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EF8A0" w14:textId="7DFBDF18" w:rsidR="00AD09ED" w:rsidRPr="000A66AB" w:rsidRDefault="00AD09ED" w:rsidP="00AD09ED">
      <w:pPr>
        <w:spacing w:after="0" w:line="240" w:lineRule="auto"/>
        <w:jc w:val="both"/>
        <w:rPr>
          <w:rFonts w:ascii="Verdana" w:eastAsia="Calibri" w:hAnsi="Verdana" w:cs="Arial"/>
          <w:b/>
          <w:color w:val="000000" w:themeColor="text1"/>
          <w:lang w:val="es-ES"/>
        </w:rPr>
      </w:pPr>
      <w:r w:rsidRPr="00EA3BD1">
        <w:rPr>
          <w:rFonts w:ascii="Verdana" w:eastAsia="Calibri" w:hAnsi="Verdana" w:cs="Arial"/>
          <w:b/>
          <w:color w:val="000000" w:themeColor="text1"/>
          <w:lang w:val="es-ES"/>
        </w:rPr>
        <w:t xml:space="preserve">RÉGIMEN DE INHABILIDADES E INCOMPATIBILIDADES – Definición – Taxatividad – Interpretación restrictiva </w:t>
      </w:r>
    </w:p>
    <w:p w14:paraId="18EC8C91" w14:textId="3D5375D5" w:rsidR="00AC2D50" w:rsidRDefault="007205AE" w:rsidP="000A66AB">
      <w:pPr>
        <w:spacing w:before="120" w:after="0" w:line="240" w:lineRule="auto"/>
        <w:jc w:val="both"/>
        <w:rPr>
          <w:rFonts w:ascii="Verdana" w:eastAsia="Calibri" w:hAnsi="Verdana" w:cs="Arial"/>
          <w:color w:val="000000" w:themeColor="text1"/>
          <w:sz w:val="20"/>
          <w:szCs w:val="20"/>
          <w:lang w:val="es-ES_tradnl" w:eastAsia="es-ES_tradnl"/>
        </w:rPr>
      </w:pPr>
      <w:r w:rsidRPr="007205AE">
        <w:rPr>
          <w:rFonts w:ascii="Verdana" w:eastAsia="Calibri" w:hAnsi="Verdana" w:cs="Arial"/>
          <w:color w:val="000000" w:themeColor="text1"/>
          <w:sz w:val="20"/>
          <w:szCs w:val="20"/>
          <w:lang w:eastAsia="es-ES_tradnl"/>
        </w:rPr>
        <w:t>Las inhabilidades son circunstancias establecidas por la Constitución o la ley que impiden que personas naturales o jurídicas sean elegidas o designadas en un cargo público, celebren contratos con el Estado, o no puedan ejercer una profesión, con el objetivo de garantizar la idoneidad, imparcialidad, probidad, transparencia y moralidad de la función pública, garantizando el interés general. De igual modo, en torno a la incompatibilidad, la Corte Constitucional ha señalado</w:t>
      </w:r>
      <w:r w:rsidR="00210E4A">
        <w:rPr>
          <w:rFonts w:ascii="Verdana" w:eastAsia="Calibri" w:hAnsi="Verdana" w:cs="Arial"/>
          <w:color w:val="000000" w:themeColor="text1"/>
          <w:sz w:val="20"/>
          <w:szCs w:val="20"/>
          <w:lang w:eastAsia="es-ES_tradnl"/>
        </w:rPr>
        <w:t xml:space="preserve"> (…)</w:t>
      </w:r>
      <w:r w:rsidR="007C61C5">
        <w:rPr>
          <w:rFonts w:ascii="Verdana" w:eastAsia="Calibri" w:hAnsi="Verdana" w:cs="Arial"/>
          <w:color w:val="000000" w:themeColor="text1"/>
          <w:sz w:val="20"/>
          <w:szCs w:val="20"/>
          <w:lang w:eastAsia="es-ES_tradnl"/>
        </w:rPr>
        <w:t xml:space="preserve"> </w:t>
      </w:r>
      <w:r w:rsidR="007C61C5" w:rsidRPr="007C61C5">
        <w:rPr>
          <w:rFonts w:ascii="Verdana" w:eastAsia="Calibri" w:hAnsi="Verdana" w:cs="Arial"/>
          <w:color w:val="000000" w:themeColor="text1"/>
          <w:sz w:val="20"/>
          <w:szCs w:val="20"/>
          <w:lang w:val="es-ES_tradnl" w:eastAsia="es-ES_tradnl"/>
        </w:rPr>
        <w:t>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w:t>
      </w:r>
      <w:r w:rsidR="007C61C5">
        <w:rPr>
          <w:rFonts w:ascii="Verdana" w:eastAsia="Calibri" w:hAnsi="Verdana" w:cs="Arial"/>
          <w:color w:val="000000" w:themeColor="text1"/>
          <w:sz w:val="20"/>
          <w:szCs w:val="20"/>
          <w:lang w:val="es-ES_tradnl" w:eastAsia="es-ES_tradnl"/>
        </w:rPr>
        <w:t>.</w:t>
      </w:r>
    </w:p>
    <w:p w14:paraId="74446ACF" w14:textId="77777777" w:rsidR="00CC11D6" w:rsidRPr="00EA3BD1" w:rsidRDefault="00CC11D6" w:rsidP="00A63BBC">
      <w:pPr>
        <w:spacing w:before="120" w:after="120"/>
        <w:ind w:right="51"/>
        <w:rPr>
          <w:rFonts w:ascii="Verdana" w:hAnsi="Verdana"/>
          <w:color w:val="000000" w:themeColor="text1"/>
        </w:rPr>
      </w:pPr>
      <w:bookmarkStart w:id="0" w:name="_Hlk206499431"/>
      <w:r w:rsidRPr="00EA3BD1">
        <w:rPr>
          <w:rFonts w:ascii="Verdana" w:hAnsi="Verdana"/>
          <w:b/>
          <w:bCs/>
          <w:color w:val="000000" w:themeColor="text1"/>
          <w:lang w:val="es-ES_tradnl"/>
        </w:rPr>
        <w:t>INHABILIDAD – Incumplimiento reiterado</w:t>
      </w:r>
      <w:r w:rsidRPr="00EA3BD1">
        <w:rPr>
          <w:rFonts w:ascii="Verdana" w:hAnsi="Verdana"/>
          <w:color w:val="000000" w:themeColor="text1"/>
        </w:rPr>
        <w:t xml:space="preserve"> </w:t>
      </w:r>
    </w:p>
    <w:p w14:paraId="5E241453" w14:textId="361A0156" w:rsidR="000A66AB" w:rsidRDefault="00CC11D6" w:rsidP="00A63BBC">
      <w:pPr>
        <w:widowControl w:val="0"/>
        <w:autoSpaceDE w:val="0"/>
        <w:autoSpaceDN w:val="0"/>
        <w:spacing w:before="120" w:after="120" w:line="240" w:lineRule="auto"/>
        <w:ind w:right="51"/>
        <w:jc w:val="both"/>
        <w:rPr>
          <w:rFonts w:ascii="Verdana" w:eastAsia="Arial" w:hAnsi="Verdana" w:cs="Arial"/>
          <w:color w:val="000000" w:themeColor="text1"/>
          <w:sz w:val="20"/>
          <w:lang w:val="es-ES"/>
        </w:rPr>
      </w:pPr>
      <w:r w:rsidRPr="00EA3BD1">
        <w:rPr>
          <w:rFonts w:ascii="Verdana" w:eastAsia="Arial" w:hAnsi="Verdana" w:cs="Arial"/>
          <w:color w:val="000000" w:themeColor="text1"/>
          <w:sz w:val="20"/>
          <w:lang w:val="es-ES"/>
        </w:rPr>
        <w:t>En ese orden, a la luz del texto original de la Ley 1474 de 2011, para que se configurara la inhabilidad era necesario que las cinco multas –literal a)– o los dos incumplimientos –literal b)– fueran declarados en la misma vigencia fiscal, esto es, en el mismo año. Después de la modificación introducida por la Ley 1955 de 2019, basta que las dos declaratorias de incumplimiento o las cinco multas se hayan impuesto dentro de los últimos tres años.</w:t>
      </w:r>
      <w:bookmarkEnd w:id="0"/>
    </w:p>
    <w:p w14:paraId="64F3A735" w14:textId="3BF12492" w:rsidR="00A63BBC" w:rsidRPr="00EA3BD1" w:rsidRDefault="00B14218" w:rsidP="000A66AB">
      <w:pPr>
        <w:spacing w:before="120" w:after="0" w:line="240" w:lineRule="auto"/>
        <w:jc w:val="both"/>
        <w:rPr>
          <w:rFonts w:ascii="Verdana" w:eastAsia="Calibri" w:hAnsi="Verdana" w:cs="Arial"/>
          <w:b/>
          <w:bCs/>
          <w:color w:val="000000" w:themeColor="text1"/>
          <w:lang w:val="es-ES_tradnl" w:eastAsia="es-ES_tradnl"/>
        </w:rPr>
      </w:pPr>
      <w:r w:rsidRPr="00EA3BD1">
        <w:rPr>
          <w:rFonts w:ascii="Verdana" w:eastAsia="Calibri" w:hAnsi="Verdana" w:cs="Arial"/>
          <w:b/>
          <w:bCs/>
          <w:color w:val="000000" w:themeColor="text1"/>
          <w:lang w:val="es-ES_tradnl" w:eastAsia="es-ES_tradnl"/>
        </w:rPr>
        <w:t xml:space="preserve">LEY 2020 DE 2020 – Objetivo </w:t>
      </w:r>
    </w:p>
    <w:p w14:paraId="0F667919" w14:textId="3DBA8882" w:rsidR="00A833ED" w:rsidRDefault="00A833ED" w:rsidP="00A63BBC">
      <w:pPr>
        <w:widowControl w:val="0"/>
        <w:tabs>
          <w:tab w:val="left" w:pos="270"/>
          <w:tab w:val="left" w:pos="8647"/>
        </w:tabs>
        <w:kinsoku w:val="0"/>
        <w:overflowPunct w:val="0"/>
        <w:autoSpaceDE w:val="0"/>
        <w:autoSpaceDN w:val="0"/>
        <w:adjustRightInd w:val="0"/>
        <w:spacing w:before="120" w:after="120" w:line="240" w:lineRule="auto"/>
        <w:ind w:right="191"/>
        <w:jc w:val="both"/>
        <w:rPr>
          <w:rFonts w:ascii="Verdana" w:eastAsiaTheme="minorEastAsia" w:hAnsi="Verdana" w:cs="Arial"/>
          <w:color w:val="000000" w:themeColor="text1"/>
          <w:sz w:val="20"/>
          <w:szCs w:val="20"/>
          <w:lang w:eastAsia="es-CO"/>
        </w:rPr>
      </w:pPr>
      <w:r w:rsidRPr="00A833ED">
        <w:rPr>
          <w:rFonts w:ascii="Verdana" w:eastAsiaTheme="minorEastAsia" w:hAnsi="Verdana" w:cs="Arial"/>
          <w:color w:val="000000" w:themeColor="text1"/>
          <w:sz w:val="20"/>
          <w:szCs w:val="20"/>
          <w:lang w:eastAsia="es-CO"/>
        </w:rPr>
        <w:t>La Ley 2020 de 2020 creó el Registro Nacional de Obras Civiles Inconclusas, el cual</w:t>
      </w:r>
      <w:r w:rsidR="00A63BBC">
        <w:rPr>
          <w:rFonts w:ascii="Verdana" w:eastAsiaTheme="minorEastAsia" w:hAnsi="Verdana" w:cs="Arial"/>
          <w:color w:val="000000" w:themeColor="text1"/>
          <w:sz w:val="20"/>
          <w:szCs w:val="20"/>
          <w:lang w:eastAsia="es-CO"/>
        </w:rPr>
        <w:t xml:space="preserve"> </w:t>
      </w:r>
      <w:r w:rsidRPr="00A833ED">
        <w:rPr>
          <w:rFonts w:ascii="Verdana" w:eastAsiaTheme="minorEastAsia" w:hAnsi="Verdana" w:cs="Arial"/>
          <w:color w:val="000000" w:themeColor="text1"/>
          <w:sz w:val="20"/>
          <w:szCs w:val="20"/>
          <w:lang w:eastAsia="es-CO"/>
        </w:rPr>
        <w:t xml:space="preserve">consiste en un sistema que permite identificar el estado de ejecución o terminación de las obras financiadas total o parcialmente con recursos públicos, para concretar su destinación definitiva. Según el inciso primero del literal a) del artículo 2 de esta ley, se entiende por obra civil inconclusa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04958307" w14:textId="694065D5" w:rsidR="00B14218" w:rsidRPr="00EA537E" w:rsidRDefault="00B14218" w:rsidP="00B14218">
      <w:pPr>
        <w:widowControl w:val="0"/>
        <w:tabs>
          <w:tab w:val="left" w:pos="270"/>
        </w:tabs>
        <w:kinsoku w:val="0"/>
        <w:overflowPunct w:val="0"/>
        <w:autoSpaceDE w:val="0"/>
        <w:autoSpaceDN w:val="0"/>
        <w:adjustRightInd w:val="0"/>
        <w:spacing w:before="93" w:after="120" w:line="240" w:lineRule="auto"/>
        <w:ind w:right="643"/>
        <w:jc w:val="both"/>
        <w:rPr>
          <w:rFonts w:ascii="Verdana" w:eastAsiaTheme="minorEastAsia" w:hAnsi="Verdana" w:cs="Arial"/>
          <w:b/>
          <w:bCs/>
          <w:spacing w:val="-10"/>
          <w:lang w:eastAsia="es-CO"/>
        </w:rPr>
      </w:pPr>
      <w:r w:rsidRPr="00EA537E">
        <w:rPr>
          <w:rFonts w:ascii="Verdana" w:eastAsiaTheme="minorEastAsia" w:hAnsi="Verdana" w:cs="Arial"/>
          <w:b/>
          <w:bCs/>
          <w:lang w:eastAsia="es-CO"/>
        </w:rPr>
        <w:t>REGISTRO NACIONAL</w:t>
      </w:r>
      <w:r w:rsidRPr="00EA537E">
        <w:rPr>
          <w:rFonts w:ascii="Verdana" w:eastAsiaTheme="minorEastAsia" w:hAnsi="Verdana" w:cs="Arial"/>
          <w:b/>
          <w:bCs/>
          <w:spacing w:val="-5"/>
          <w:lang w:eastAsia="es-CO"/>
        </w:rPr>
        <w:t xml:space="preserve"> </w:t>
      </w:r>
      <w:r w:rsidRPr="00EA537E">
        <w:rPr>
          <w:rFonts w:ascii="Verdana" w:eastAsiaTheme="minorEastAsia" w:hAnsi="Verdana" w:cs="Arial"/>
          <w:b/>
          <w:bCs/>
          <w:lang w:eastAsia="es-CO"/>
        </w:rPr>
        <w:t>DE</w:t>
      </w:r>
      <w:r w:rsidRPr="00EA537E">
        <w:rPr>
          <w:rFonts w:ascii="Verdana" w:eastAsiaTheme="minorEastAsia" w:hAnsi="Verdana" w:cs="Arial"/>
          <w:b/>
          <w:bCs/>
          <w:spacing w:val="-5"/>
          <w:lang w:eastAsia="es-CO"/>
        </w:rPr>
        <w:t xml:space="preserve"> </w:t>
      </w:r>
      <w:r w:rsidRPr="00EA537E">
        <w:rPr>
          <w:rFonts w:ascii="Verdana" w:eastAsiaTheme="minorEastAsia" w:hAnsi="Verdana" w:cs="Arial"/>
          <w:b/>
          <w:bCs/>
          <w:lang w:eastAsia="es-CO"/>
        </w:rPr>
        <w:t>OBRAS</w:t>
      </w:r>
      <w:r w:rsidRPr="00EA537E">
        <w:rPr>
          <w:rFonts w:ascii="Verdana" w:eastAsiaTheme="minorEastAsia" w:hAnsi="Verdana" w:cs="Arial"/>
          <w:b/>
          <w:bCs/>
          <w:spacing w:val="-5"/>
          <w:lang w:eastAsia="es-CO"/>
        </w:rPr>
        <w:t xml:space="preserve"> </w:t>
      </w:r>
      <w:r w:rsidRPr="00EA537E">
        <w:rPr>
          <w:rFonts w:ascii="Verdana" w:eastAsiaTheme="minorEastAsia" w:hAnsi="Verdana" w:cs="Arial"/>
          <w:b/>
          <w:bCs/>
          <w:lang w:eastAsia="es-CO"/>
        </w:rPr>
        <w:t>CIVILES</w:t>
      </w:r>
      <w:r w:rsidRPr="00EA537E">
        <w:rPr>
          <w:rFonts w:ascii="Verdana" w:eastAsiaTheme="minorEastAsia" w:hAnsi="Verdana" w:cs="Arial"/>
          <w:b/>
          <w:bCs/>
          <w:spacing w:val="-5"/>
          <w:lang w:eastAsia="es-CO"/>
        </w:rPr>
        <w:t xml:space="preserve"> </w:t>
      </w:r>
      <w:r w:rsidRPr="00EA537E">
        <w:rPr>
          <w:rFonts w:ascii="Verdana" w:eastAsiaTheme="minorEastAsia" w:hAnsi="Verdana" w:cs="Arial"/>
          <w:b/>
          <w:bCs/>
          <w:lang w:eastAsia="es-CO"/>
        </w:rPr>
        <w:t>INCONCLUSAS –</w:t>
      </w:r>
      <w:r w:rsidRPr="00EA537E">
        <w:rPr>
          <w:rFonts w:ascii="Verdana" w:eastAsiaTheme="minorEastAsia" w:hAnsi="Verdana" w:cs="Arial"/>
          <w:b/>
          <w:bCs/>
          <w:spacing w:val="-5"/>
          <w:lang w:eastAsia="es-CO"/>
        </w:rPr>
        <w:t xml:space="preserve"> </w:t>
      </w:r>
      <w:r w:rsidRPr="00EA537E">
        <w:rPr>
          <w:rFonts w:ascii="Verdana" w:eastAsiaTheme="minorEastAsia" w:hAnsi="Verdana" w:cs="Arial"/>
          <w:b/>
          <w:bCs/>
          <w:lang w:eastAsia="es-CO"/>
        </w:rPr>
        <w:t>Concepto</w:t>
      </w:r>
      <w:r w:rsidRPr="00EA537E">
        <w:rPr>
          <w:rFonts w:ascii="Verdana" w:eastAsiaTheme="minorEastAsia" w:hAnsi="Verdana" w:cs="Arial"/>
          <w:b/>
          <w:bCs/>
          <w:spacing w:val="-10"/>
          <w:lang w:eastAsia="es-CO"/>
        </w:rPr>
        <w:t xml:space="preserve"> – </w:t>
      </w:r>
      <w:r w:rsidRPr="00EA537E">
        <w:rPr>
          <w:rFonts w:ascii="Verdana" w:eastAsiaTheme="minorEastAsia" w:hAnsi="Verdana" w:cs="Arial"/>
          <w:b/>
          <w:bCs/>
          <w:lang w:eastAsia="es-CO"/>
        </w:rPr>
        <w:t xml:space="preserve">Ley 2020 de 2020 </w:t>
      </w:r>
    </w:p>
    <w:p w14:paraId="76D066FA" w14:textId="77777777" w:rsidR="00B14218" w:rsidRPr="00EA537E" w:rsidRDefault="00B14218" w:rsidP="00A63BBC">
      <w:pPr>
        <w:widowControl w:val="0"/>
        <w:kinsoku w:val="0"/>
        <w:overflowPunct w:val="0"/>
        <w:autoSpaceDE w:val="0"/>
        <w:autoSpaceDN w:val="0"/>
        <w:adjustRightInd w:val="0"/>
        <w:spacing w:before="120" w:after="0" w:line="240" w:lineRule="auto"/>
        <w:ind w:right="176"/>
        <w:jc w:val="both"/>
        <w:rPr>
          <w:rFonts w:ascii="Verdana" w:eastAsiaTheme="minorEastAsia" w:hAnsi="Verdana" w:cs="Arial"/>
          <w:sz w:val="20"/>
          <w:szCs w:val="20"/>
          <w:lang w:eastAsia="es-CO"/>
        </w:rPr>
      </w:pPr>
      <w:r w:rsidRPr="00EA537E">
        <w:rPr>
          <w:rFonts w:ascii="Verdana" w:eastAsiaTheme="minorEastAsia" w:hAnsi="Verdana" w:cs="Arial"/>
          <w:sz w:val="20"/>
          <w:szCs w:val="20"/>
          <w:lang w:eastAsia="es-CO"/>
        </w:rPr>
        <w:t>El concepto de obra civil inconclusa es armónico con la definición del contrato</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de</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obra,</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prevista</w:t>
      </w:r>
      <w:r w:rsidRPr="00EA537E">
        <w:rPr>
          <w:rFonts w:ascii="Verdana" w:eastAsiaTheme="minorEastAsia" w:hAnsi="Verdana" w:cs="Arial"/>
          <w:spacing w:val="-7"/>
          <w:sz w:val="20"/>
          <w:szCs w:val="20"/>
          <w:lang w:eastAsia="es-CO"/>
        </w:rPr>
        <w:t xml:space="preserve"> </w:t>
      </w:r>
      <w:r w:rsidRPr="00EA537E">
        <w:rPr>
          <w:rFonts w:ascii="Verdana" w:eastAsiaTheme="minorEastAsia" w:hAnsi="Verdana" w:cs="Arial"/>
          <w:sz w:val="20"/>
          <w:szCs w:val="20"/>
          <w:lang w:eastAsia="es-CO"/>
        </w:rPr>
        <w:t>en</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el</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artículo</w:t>
      </w:r>
      <w:r w:rsidRPr="00EA537E">
        <w:rPr>
          <w:rFonts w:ascii="Verdana" w:eastAsiaTheme="minorEastAsia" w:hAnsi="Verdana" w:cs="Arial"/>
          <w:spacing w:val="-7"/>
          <w:sz w:val="20"/>
          <w:szCs w:val="20"/>
          <w:lang w:eastAsia="es-CO"/>
        </w:rPr>
        <w:t xml:space="preserve"> </w:t>
      </w:r>
      <w:r w:rsidRPr="00EA537E">
        <w:rPr>
          <w:rFonts w:ascii="Verdana" w:eastAsiaTheme="minorEastAsia" w:hAnsi="Verdana" w:cs="Arial"/>
          <w:sz w:val="20"/>
          <w:szCs w:val="20"/>
          <w:lang w:eastAsia="es-CO"/>
        </w:rPr>
        <w:t>32</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de</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la</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Ley</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80</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de</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1993,</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según</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el</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cual</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“Son</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contratos</w:t>
      </w:r>
      <w:r w:rsidRPr="00EA537E">
        <w:rPr>
          <w:rFonts w:ascii="Verdana" w:eastAsiaTheme="minorEastAsia" w:hAnsi="Verdana" w:cs="Arial"/>
          <w:spacing w:val="-8"/>
          <w:sz w:val="20"/>
          <w:szCs w:val="20"/>
          <w:lang w:eastAsia="es-CO"/>
        </w:rPr>
        <w:t xml:space="preserve"> </w:t>
      </w:r>
      <w:r w:rsidRPr="00EA537E">
        <w:rPr>
          <w:rFonts w:ascii="Verdana" w:eastAsiaTheme="minorEastAsia" w:hAnsi="Verdana" w:cs="Arial"/>
          <w:sz w:val="20"/>
          <w:szCs w:val="20"/>
          <w:lang w:eastAsia="es-CO"/>
        </w:rPr>
        <w:t>de obra</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los</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que</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celebren</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las</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entidades</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estatales</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para</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la</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construcción,</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mantenimiento,</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instalación</w:t>
      </w:r>
      <w:r w:rsidRPr="00EA537E">
        <w:rPr>
          <w:rFonts w:ascii="Verdana" w:eastAsiaTheme="minorEastAsia" w:hAnsi="Verdana" w:cs="Arial"/>
          <w:spacing w:val="-4"/>
          <w:sz w:val="20"/>
          <w:szCs w:val="20"/>
          <w:lang w:eastAsia="es-CO"/>
        </w:rPr>
        <w:t xml:space="preserve"> </w:t>
      </w:r>
      <w:r w:rsidRPr="00EA537E">
        <w:rPr>
          <w:rFonts w:ascii="Verdana" w:eastAsiaTheme="minorEastAsia" w:hAnsi="Verdana" w:cs="Arial"/>
          <w:sz w:val="20"/>
          <w:szCs w:val="20"/>
          <w:lang w:eastAsia="es-CO"/>
        </w:rPr>
        <w:t>y, en general, para la realización de cualquier otro trabajo material sobre bienes inmuebles, cualquiera</w:t>
      </w:r>
      <w:r w:rsidRPr="00EA537E">
        <w:rPr>
          <w:rFonts w:ascii="Verdana" w:eastAsiaTheme="minorEastAsia" w:hAnsi="Verdana" w:cs="Arial"/>
          <w:spacing w:val="-16"/>
          <w:sz w:val="20"/>
          <w:szCs w:val="20"/>
          <w:lang w:eastAsia="es-CO"/>
        </w:rPr>
        <w:t xml:space="preserve"> </w:t>
      </w:r>
      <w:r w:rsidRPr="00EA537E">
        <w:rPr>
          <w:rFonts w:ascii="Verdana" w:eastAsiaTheme="minorEastAsia" w:hAnsi="Verdana" w:cs="Arial"/>
          <w:sz w:val="20"/>
          <w:szCs w:val="20"/>
          <w:lang w:eastAsia="es-CO"/>
        </w:rPr>
        <w:t>que</w:t>
      </w:r>
      <w:r w:rsidRPr="00EA537E">
        <w:rPr>
          <w:rFonts w:ascii="Verdana" w:eastAsiaTheme="minorEastAsia" w:hAnsi="Verdana" w:cs="Arial"/>
          <w:spacing w:val="-15"/>
          <w:sz w:val="20"/>
          <w:szCs w:val="20"/>
          <w:lang w:eastAsia="es-CO"/>
        </w:rPr>
        <w:t xml:space="preserve"> </w:t>
      </w:r>
      <w:r w:rsidRPr="00EA537E">
        <w:rPr>
          <w:rFonts w:ascii="Verdana" w:eastAsiaTheme="minorEastAsia" w:hAnsi="Verdana" w:cs="Arial"/>
          <w:sz w:val="20"/>
          <w:szCs w:val="20"/>
          <w:lang w:eastAsia="es-CO"/>
        </w:rPr>
        <w:t>sea</w:t>
      </w:r>
      <w:r w:rsidRPr="00EA537E">
        <w:rPr>
          <w:rFonts w:ascii="Verdana" w:eastAsiaTheme="minorEastAsia" w:hAnsi="Verdana" w:cs="Arial"/>
          <w:spacing w:val="-15"/>
          <w:sz w:val="20"/>
          <w:szCs w:val="20"/>
          <w:lang w:eastAsia="es-CO"/>
        </w:rPr>
        <w:t xml:space="preserve"> </w:t>
      </w:r>
      <w:r w:rsidRPr="00EA537E">
        <w:rPr>
          <w:rFonts w:ascii="Verdana" w:eastAsiaTheme="minorEastAsia" w:hAnsi="Verdana" w:cs="Arial"/>
          <w:sz w:val="20"/>
          <w:szCs w:val="20"/>
          <w:lang w:eastAsia="es-CO"/>
        </w:rPr>
        <w:t>la</w:t>
      </w:r>
      <w:r w:rsidRPr="00EA537E">
        <w:rPr>
          <w:rFonts w:ascii="Verdana" w:eastAsiaTheme="minorEastAsia" w:hAnsi="Verdana" w:cs="Arial"/>
          <w:spacing w:val="-15"/>
          <w:sz w:val="20"/>
          <w:szCs w:val="20"/>
          <w:lang w:eastAsia="es-CO"/>
        </w:rPr>
        <w:t xml:space="preserve"> </w:t>
      </w:r>
      <w:r w:rsidRPr="00EA537E">
        <w:rPr>
          <w:rFonts w:ascii="Verdana" w:eastAsiaTheme="minorEastAsia" w:hAnsi="Verdana" w:cs="Arial"/>
          <w:sz w:val="20"/>
          <w:szCs w:val="20"/>
          <w:lang w:eastAsia="es-CO"/>
        </w:rPr>
        <w:t>modalidad</w:t>
      </w:r>
      <w:r w:rsidRPr="00EA537E">
        <w:rPr>
          <w:rFonts w:ascii="Verdana" w:eastAsiaTheme="minorEastAsia" w:hAnsi="Verdana" w:cs="Arial"/>
          <w:spacing w:val="-16"/>
          <w:sz w:val="20"/>
          <w:szCs w:val="20"/>
          <w:lang w:eastAsia="es-CO"/>
        </w:rPr>
        <w:t xml:space="preserve"> </w:t>
      </w:r>
      <w:r w:rsidRPr="00EA537E">
        <w:rPr>
          <w:rFonts w:ascii="Verdana" w:eastAsiaTheme="minorEastAsia" w:hAnsi="Verdana" w:cs="Arial"/>
          <w:sz w:val="20"/>
          <w:szCs w:val="20"/>
          <w:lang w:eastAsia="es-CO"/>
        </w:rPr>
        <w:t>de</w:t>
      </w:r>
      <w:r w:rsidRPr="00EA537E">
        <w:rPr>
          <w:rFonts w:ascii="Verdana" w:eastAsiaTheme="minorEastAsia" w:hAnsi="Verdana" w:cs="Arial"/>
          <w:spacing w:val="-15"/>
          <w:sz w:val="20"/>
          <w:szCs w:val="20"/>
          <w:lang w:eastAsia="es-CO"/>
        </w:rPr>
        <w:t xml:space="preserve"> </w:t>
      </w:r>
      <w:r w:rsidRPr="00EA537E">
        <w:rPr>
          <w:rFonts w:ascii="Verdana" w:eastAsiaTheme="minorEastAsia" w:hAnsi="Verdana" w:cs="Arial"/>
          <w:sz w:val="20"/>
          <w:szCs w:val="20"/>
          <w:lang w:eastAsia="es-CO"/>
        </w:rPr>
        <w:t>ejecución</w:t>
      </w:r>
      <w:r w:rsidRPr="00EA537E">
        <w:rPr>
          <w:rFonts w:ascii="Verdana" w:eastAsiaTheme="minorEastAsia" w:hAnsi="Verdana" w:cs="Arial"/>
          <w:spacing w:val="-15"/>
          <w:sz w:val="20"/>
          <w:szCs w:val="20"/>
          <w:lang w:eastAsia="es-CO"/>
        </w:rPr>
        <w:t xml:space="preserve"> </w:t>
      </w:r>
      <w:r w:rsidRPr="00EA537E">
        <w:rPr>
          <w:rFonts w:ascii="Verdana" w:eastAsiaTheme="minorEastAsia" w:hAnsi="Verdana" w:cs="Arial"/>
          <w:sz w:val="20"/>
          <w:szCs w:val="20"/>
          <w:lang w:eastAsia="es-CO"/>
        </w:rPr>
        <w:t>y</w:t>
      </w:r>
      <w:r w:rsidRPr="00EA537E">
        <w:rPr>
          <w:rFonts w:ascii="Verdana" w:eastAsiaTheme="minorEastAsia" w:hAnsi="Verdana" w:cs="Arial"/>
          <w:spacing w:val="-15"/>
          <w:sz w:val="20"/>
          <w:szCs w:val="20"/>
          <w:lang w:eastAsia="es-CO"/>
        </w:rPr>
        <w:t xml:space="preserve"> </w:t>
      </w:r>
      <w:r w:rsidRPr="00EA537E">
        <w:rPr>
          <w:rFonts w:ascii="Verdana" w:eastAsiaTheme="minorEastAsia" w:hAnsi="Verdana" w:cs="Arial"/>
          <w:sz w:val="20"/>
          <w:szCs w:val="20"/>
          <w:lang w:eastAsia="es-CO"/>
        </w:rPr>
        <w:t>pago”.</w:t>
      </w:r>
      <w:r w:rsidRPr="00EA537E">
        <w:rPr>
          <w:rFonts w:ascii="Verdana" w:eastAsiaTheme="minorEastAsia" w:hAnsi="Verdana" w:cs="Arial"/>
          <w:spacing w:val="-16"/>
          <w:sz w:val="20"/>
          <w:szCs w:val="20"/>
          <w:lang w:eastAsia="es-CO"/>
        </w:rPr>
        <w:t xml:space="preserve"> </w:t>
      </w:r>
      <w:r w:rsidRPr="00EA537E">
        <w:rPr>
          <w:rFonts w:ascii="Verdana" w:eastAsiaTheme="minorEastAsia" w:hAnsi="Verdana" w:cs="Arial"/>
          <w:sz w:val="20"/>
          <w:szCs w:val="20"/>
          <w:lang w:eastAsia="es-CO"/>
        </w:rPr>
        <w:t>Por</w:t>
      </w:r>
      <w:r w:rsidRPr="00EA537E">
        <w:rPr>
          <w:rFonts w:ascii="Verdana" w:eastAsiaTheme="minorEastAsia" w:hAnsi="Verdana" w:cs="Arial"/>
          <w:spacing w:val="-14"/>
          <w:sz w:val="20"/>
          <w:szCs w:val="20"/>
          <w:lang w:eastAsia="es-CO"/>
        </w:rPr>
        <w:t xml:space="preserve"> </w:t>
      </w:r>
      <w:r w:rsidRPr="00EA537E">
        <w:rPr>
          <w:rFonts w:ascii="Verdana" w:eastAsiaTheme="minorEastAsia" w:hAnsi="Verdana" w:cs="Arial"/>
          <w:sz w:val="20"/>
          <w:szCs w:val="20"/>
          <w:lang w:eastAsia="es-CO"/>
        </w:rPr>
        <w:t>tanto,</w:t>
      </w:r>
      <w:r w:rsidRPr="00EA537E">
        <w:rPr>
          <w:rFonts w:ascii="Verdana" w:eastAsiaTheme="minorEastAsia" w:hAnsi="Verdana" w:cs="Arial"/>
          <w:spacing w:val="-14"/>
          <w:sz w:val="20"/>
          <w:szCs w:val="20"/>
          <w:lang w:eastAsia="es-CO"/>
        </w:rPr>
        <w:t xml:space="preserve"> </w:t>
      </w:r>
      <w:r w:rsidRPr="00EA537E">
        <w:rPr>
          <w:rFonts w:ascii="Verdana" w:eastAsiaTheme="minorEastAsia" w:hAnsi="Verdana" w:cs="Arial"/>
          <w:sz w:val="20"/>
          <w:szCs w:val="20"/>
          <w:lang w:eastAsia="es-CO"/>
        </w:rPr>
        <w:t>cuando</w:t>
      </w:r>
      <w:r w:rsidRPr="00EA537E">
        <w:rPr>
          <w:rFonts w:ascii="Verdana" w:eastAsiaTheme="minorEastAsia" w:hAnsi="Verdana" w:cs="Arial"/>
          <w:spacing w:val="-16"/>
          <w:sz w:val="20"/>
          <w:szCs w:val="20"/>
          <w:lang w:eastAsia="es-CO"/>
        </w:rPr>
        <w:t xml:space="preserve"> </w:t>
      </w:r>
      <w:r w:rsidRPr="00EA537E">
        <w:rPr>
          <w:rFonts w:ascii="Verdana" w:eastAsiaTheme="minorEastAsia" w:hAnsi="Verdana" w:cs="Arial"/>
          <w:sz w:val="20"/>
          <w:szCs w:val="20"/>
          <w:lang w:eastAsia="es-CO"/>
        </w:rPr>
        <w:t>el</w:t>
      </w:r>
      <w:r w:rsidRPr="00EA537E">
        <w:rPr>
          <w:rFonts w:ascii="Verdana" w:eastAsiaTheme="minorEastAsia" w:hAnsi="Verdana" w:cs="Arial"/>
          <w:spacing w:val="-15"/>
          <w:sz w:val="20"/>
          <w:szCs w:val="20"/>
          <w:lang w:eastAsia="es-CO"/>
        </w:rPr>
        <w:t xml:space="preserve"> </w:t>
      </w:r>
      <w:r w:rsidRPr="00EA537E">
        <w:rPr>
          <w:rFonts w:ascii="Verdana" w:eastAsiaTheme="minorEastAsia" w:hAnsi="Verdana" w:cs="Arial"/>
          <w:sz w:val="20"/>
          <w:szCs w:val="20"/>
          <w:lang w:eastAsia="es-CO"/>
        </w:rPr>
        <w:t>trabajo</w:t>
      </w:r>
      <w:r w:rsidRPr="00EA537E">
        <w:rPr>
          <w:rFonts w:ascii="Verdana" w:eastAsiaTheme="minorEastAsia" w:hAnsi="Verdana" w:cs="Arial"/>
          <w:spacing w:val="-14"/>
          <w:sz w:val="20"/>
          <w:szCs w:val="20"/>
          <w:lang w:eastAsia="es-CO"/>
        </w:rPr>
        <w:t xml:space="preserve"> </w:t>
      </w:r>
      <w:r w:rsidRPr="00EA537E">
        <w:rPr>
          <w:rFonts w:ascii="Verdana" w:eastAsiaTheme="minorEastAsia" w:hAnsi="Verdana" w:cs="Arial"/>
          <w:sz w:val="20"/>
          <w:szCs w:val="20"/>
          <w:lang w:eastAsia="es-CO"/>
        </w:rPr>
        <w:t>material</w:t>
      </w:r>
      <w:r w:rsidRPr="00EA537E">
        <w:rPr>
          <w:rFonts w:ascii="Verdana" w:eastAsiaTheme="minorEastAsia" w:hAnsi="Verdana" w:cs="Arial"/>
          <w:spacing w:val="-16"/>
          <w:sz w:val="20"/>
          <w:szCs w:val="20"/>
          <w:lang w:eastAsia="es-CO"/>
        </w:rPr>
        <w:t xml:space="preserve"> </w:t>
      </w:r>
      <w:r w:rsidRPr="00EA537E">
        <w:rPr>
          <w:rFonts w:ascii="Verdana" w:eastAsiaTheme="minorEastAsia" w:hAnsi="Verdana" w:cs="Arial"/>
          <w:sz w:val="20"/>
          <w:szCs w:val="20"/>
          <w:lang w:eastAsia="es-CO"/>
        </w:rPr>
        <w:t>sobre el</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bien</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inmueble</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no</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ha</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finalizado satisfactoriamente</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o</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no</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se</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adecua</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a</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la</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función para</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la</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cual</w:t>
      </w:r>
      <w:r w:rsidRPr="00EA537E">
        <w:rPr>
          <w:rFonts w:ascii="Verdana" w:eastAsiaTheme="minorEastAsia" w:hAnsi="Verdana" w:cs="Arial"/>
          <w:spacing w:val="-1"/>
          <w:sz w:val="20"/>
          <w:szCs w:val="20"/>
          <w:lang w:eastAsia="es-CO"/>
        </w:rPr>
        <w:t xml:space="preserve"> </w:t>
      </w:r>
      <w:r w:rsidRPr="00EA537E">
        <w:rPr>
          <w:rFonts w:ascii="Verdana" w:eastAsiaTheme="minorEastAsia" w:hAnsi="Verdana" w:cs="Arial"/>
          <w:sz w:val="20"/>
          <w:szCs w:val="20"/>
          <w:lang w:eastAsia="es-CO"/>
        </w:rPr>
        <w:t>fue contratada</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la</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obra,</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esto</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se</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puede</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constatar</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en</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el</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registro</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creado</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por</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el</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artículo</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3</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de</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la</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Ley</w:t>
      </w:r>
      <w:r w:rsidRPr="00EA537E">
        <w:rPr>
          <w:rFonts w:ascii="Verdana" w:eastAsiaTheme="minorEastAsia" w:hAnsi="Verdana" w:cs="Arial"/>
          <w:spacing w:val="-2"/>
          <w:sz w:val="20"/>
          <w:szCs w:val="20"/>
          <w:lang w:eastAsia="es-CO"/>
        </w:rPr>
        <w:t xml:space="preserve"> </w:t>
      </w:r>
      <w:r w:rsidRPr="00EA537E">
        <w:rPr>
          <w:rFonts w:ascii="Verdana" w:eastAsiaTheme="minorEastAsia" w:hAnsi="Verdana" w:cs="Arial"/>
          <w:sz w:val="20"/>
          <w:szCs w:val="20"/>
          <w:lang w:eastAsia="es-CO"/>
        </w:rPr>
        <w:t>2020 de 2020.</w:t>
      </w:r>
    </w:p>
    <w:p w14:paraId="1B7E63F1" w14:textId="5FDCBE66" w:rsidR="00C05772" w:rsidRPr="00EA537E" w:rsidRDefault="00177AB9" w:rsidP="00C05772">
      <w:pPr>
        <w:widowControl w:val="0"/>
        <w:tabs>
          <w:tab w:val="left" w:pos="270"/>
        </w:tabs>
        <w:kinsoku w:val="0"/>
        <w:overflowPunct w:val="0"/>
        <w:autoSpaceDE w:val="0"/>
        <w:autoSpaceDN w:val="0"/>
        <w:adjustRightInd w:val="0"/>
        <w:spacing w:before="93" w:after="120" w:line="240" w:lineRule="auto"/>
        <w:ind w:right="191"/>
        <w:jc w:val="both"/>
        <w:rPr>
          <w:rFonts w:ascii="Verdana" w:eastAsiaTheme="minorEastAsia" w:hAnsi="Verdana" w:cs="Arial"/>
          <w:b/>
          <w:bCs/>
          <w:lang w:eastAsia="es-CO"/>
        </w:rPr>
      </w:pPr>
      <w:r w:rsidRPr="00EA537E">
        <w:rPr>
          <w:rFonts w:ascii="Verdana" w:eastAsiaTheme="minorEastAsia" w:hAnsi="Verdana" w:cs="Arial"/>
          <w:b/>
          <w:bCs/>
          <w:lang w:eastAsia="es-CO"/>
        </w:rPr>
        <w:t xml:space="preserve">REGISTRO NACIONAL DE OBRAS CIVILES INCONCLUSAS – No genera </w:t>
      </w:r>
      <w:r w:rsidRPr="00EA537E">
        <w:rPr>
          <w:rFonts w:ascii="Verdana" w:eastAsiaTheme="minorEastAsia" w:hAnsi="Verdana" w:cs="Arial"/>
          <w:b/>
          <w:bCs/>
          <w:lang w:eastAsia="es-CO"/>
        </w:rPr>
        <w:lastRenderedPageBreak/>
        <w:t>inhabilidad</w:t>
      </w:r>
    </w:p>
    <w:p w14:paraId="480370EA" w14:textId="4229B3B7" w:rsidR="00EA537E" w:rsidRPr="009E67A0" w:rsidRDefault="00DF68EA" w:rsidP="00C05772">
      <w:pPr>
        <w:spacing w:before="120" w:after="120" w:line="240" w:lineRule="auto"/>
        <w:jc w:val="both"/>
        <w:rPr>
          <w:rFonts w:ascii="Verdana" w:hAnsi="Verdana"/>
          <w:sz w:val="20"/>
          <w:szCs w:val="20"/>
        </w:rPr>
      </w:pPr>
      <w:r w:rsidRPr="009E67A0">
        <w:rPr>
          <w:rFonts w:ascii="Verdana" w:hAnsi="Verdana"/>
          <w:sz w:val="20"/>
          <w:szCs w:val="20"/>
        </w:rPr>
        <w:t xml:space="preserve">Debe advertirse que, revisado el marco jurídico del Registro Nacional de Obras Inconclusas establecido por la Ley 2020 de 2020, de acuerdo con el principio pro libertate y conforme al criterio de interpretación restrictiva explicado supra, es posible afirmar que del mismo no derivan directamente restricciones a la capacidad para participar en procesos de selección, celebrar o ejecutar contratos estatales. Esto comoquiera que, ni el artículo 6, ni ninguna de las demás disposiciones que integran la Ley 2020 de 2020, hacen referencia a restricciones a la capacidad contractual que se configuren a partir de la inclusión en el referido registro. </w:t>
      </w:r>
    </w:p>
    <w:p w14:paraId="340B70F1" w14:textId="55216AF8" w:rsidR="00B14218" w:rsidRPr="009E67A0" w:rsidRDefault="00DF68EA" w:rsidP="00A63BBC">
      <w:pPr>
        <w:tabs>
          <w:tab w:val="left" w:pos="709"/>
        </w:tabs>
        <w:spacing w:after="120" w:line="240" w:lineRule="auto"/>
        <w:jc w:val="both"/>
        <w:rPr>
          <w:rFonts w:ascii="Verdana" w:eastAsia="Calibri" w:hAnsi="Verdana" w:cs="Arial"/>
          <w:bCs/>
          <w:sz w:val="18"/>
          <w:szCs w:val="18"/>
          <w:lang w:val="es-ES_tradnl" w:eastAsia="es-ES_tradnl"/>
        </w:rPr>
      </w:pPr>
      <w:r w:rsidRPr="009E67A0">
        <w:rPr>
          <w:rFonts w:ascii="Verdana" w:hAnsi="Verdana"/>
          <w:sz w:val="20"/>
          <w:szCs w:val="20"/>
        </w:rPr>
        <w:t xml:space="preserve">Con todo, si bien la inclusión en el Registro Nacional de Obras Civiles Inconclusas no genera </w:t>
      </w:r>
      <w:r w:rsidRPr="009E67A0">
        <w:rPr>
          <w:rFonts w:ascii="Verdana" w:hAnsi="Verdana"/>
          <w:i/>
          <w:iCs/>
          <w:sz w:val="20"/>
          <w:szCs w:val="20"/>
        </w:rPr>
        <w:t>per se</w:t>
      </w:r>
      <w:r w:rsidRPr="009E67A0">
        <w:rPr>
          <w:rFonts w:ascii="Verdana" w:hAnsi="Verdana"/>
          <w:sz w:val="20"/>
          <w:szCs w:val="20"/>
        </w:rPr>
        <w:t xml:space="preserve"> la configuración de una inhabilidad, nada obsta para que los hechos de los que da cuenta el registro puedan ser relevantes para la configuración de los supuestos de hecho de otras inhabilidades. Este, por ejemplo, podría ser el caso </w:t>
      </w:r>
      <w:r w:rsidRPr="009E67A0">
        <w:rPr>
          <w:rFonts w:ascii="Verdana" w:eastAsia="Arial" w:hAnsi="Verdana" w:cs="Arial"/>
          <w:sz w:val="20"/>
          <w:szCs w:val="20"/>
          <w:lang w:val="es-ES"/>
        </w:rPr>
        <w:t>de la inhabilidad por incumplimiento reiterado contemplada por el artículo 90 de la Ley 1474 de 2011, cuya configuración bien podría estar asociada incumplimientos contractuales que han dado lugar a obras inconclusas, siempre que se cumplan los presupuestos de esta última norma</w:t>
      </w:r>
      <w:r w:rsidR="0054519B">
        <w:rPr>
          <w:rFonts w:ascii="Verdana" w:eastAsia="Arial" w:hAnsi="Verdana" w:cs="Arial"/>
          <w:sz w:val="20"/>
          <w:szCs w:val="20"/>
          <w:lang w:val="es-ES"/>
        </w:rPr>
        <w:t>.</w:t>
      </w:r>
    </w:p>
    <w:p w14:paraId="246B9861" w14:textId="77777777" w:rsidR="00B14218" w:rsidRPr="00EA537E" w:rsidRDefault="00B14218" w:rsidP="00B14218">
      <w:pPr>
        <w:widowControl w:val="0"/>
        <w:autoSpaceDE w:val="0"/>
        <w:autoSpaceDN w:val="0"/>
        <w:spacing w:line="276" w:lineRule="auto"/>
        <w:ind w:right="114"/>
        <w:jc w:val="both"/>
        <w:rPr>
          <w:rFonts w:ascii="Verdana" w:eastAsia="Calibri" w:hAnsi="Verdana" w:cs="Arial"/>
          <w:kern w:val="2"/>
          <w:sz w:val="20"/>
          <w:szCs w:val="20"/>
          <w:lang w:val="es-ES"/>
          <w14:ligatures w14:val="standardContextual"/>
        </w:rPr>
      </w:pPr>
    </w:p>
    <w:p w14:paraId="4EC18EDD" w14:textId="77777777" w:rsidR="00B14218" w:rsidRDefault="00B14218"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47B7B8F9" w14:textId="77777777" w:rsidR="000A66AB"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28519309" w14:textId="77777777" w:rsidR="000A66AB"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143A7114" w14:textId="77777777" w:rsidR="000A66AB"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1BACA148" w14:textId="77777777" w:rsidR="000A66AB"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3F857DC7" w14:textId="77777777" w:rsidR="000A66AB"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7E2A16EB" w14:textId="77777777" w:rsidR="000A66AB"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2E62226D" w14:textId="77777777" w:rsidR="000A66AB"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061A7C64" w14:textId="77777777" w:rsidR="000A66AB"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7E03BC94" w14:textId="77777777" w:rsidR="00A63BBC" w:rsidRDefault="00A63BBC"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24E0C22C" w14:textId="77777777" w:rsidR="00A63BBC" w:rsidRDefault="00A63BBC"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7336AC08" w14:textId="77777777" w:rsidR="00A63BBC" w:rsidRDefault="00A63BBC"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69C59F73" w14:textId="77777777" w:rsidR="000A66AB"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02BC748B" w14:textId="77777777" w:rsidR="000A66AB" w:rsidRPr="00EA537E" w:rsidRDefault="000A66AB" w:rsidP="00B14218">
      <w:pPr>
        <w:widowControl w:val="0"/>
        <w:autoSpaceDE w:val="0"/>
        <w:autoSpaceDN w:val="0"/>
        <w:spacing w:line="276" w:lineRule="auto"/>
        <w:ind w:right="114"/>
        <w:jc w:val="both"/>
        <w:rPr>
          <w:rFonts w:ascii="Verdana" w:eastAsia="Calibri" w:hAnsi="Verdana" w:cs="Arial"/>
          <w:kern w:val="2"/>
          <w:sz w:val="20"/>
          <w:szCs w:val="20"/>
          <w:lang w:val="es-ES_tradnl"/>
          <w14:ligatures w14:val="standardContextual"/>
        </w:rPr>
      </w:pPr>
    </w:p>
    <w:p w14:paraId="01922CDA" w14:textId="77777777" w:rsidR="00E37C0C" w:rsidRPr="00EA3BD1" w:rsidRDefault="00E37C0C" w:rsidP="00B14218">
      <w:pPr>
        <w:spacing w:after="0" w:line="240" w:lineRule="auto"/>
        <w:jc w:val="both"/>
        <w:rPr>
          <w:rFonts w:ascii="Verdana" w:eastAsia="Times New Roman" w:hAnsi="Verdana" w:cs="Arial"/>
          <w:color w:val="7030A0"/>
          <w:lang w:eastAsia="es-ES_tradnl"/>
        </w:rPr>
      </w:pPr>
    </w:p>
    <w:p w14:paraId="6A13C7BC" w14:textId="352E636F" w:rsidR="00D13F42" w:rsidRDefault="00D13F42" w:rsidP="00B14218">
      <w:pPr>
        <w:spacing w:after="0" w:line="240" w:lineRule="auto"/>
        <w:jc w:val="both"/>
        <w:rPr>
          <w:rFonts w:ascii="Verdana" w:eastAsia="Times New Roman" w:hAnsi="Verdana" w:cs="Arial"/>
          <w:color w:val="000000" w:themeColor="text1"/>
          <w:lang w:eastAsia="es-ES_tradnl"/>
        </w:rPr>
      </w:pPr>
      <w:r w:rsidRPr="00D13F42">
        <w:rPr>
          <w:rFonts w:ascii="Verdana" w:eastAsia="Times New Roman" w:hAnsi="Verdana" w:cs="Arial"/>
          <w:color w:val="000000" w:themeColor="text1"/>
          <w:lang w:val="es-MX" w:eastAsia="es-ES_tradnl"/>
        </w:rPr>
        <w:lastRenderedPageBreak/>
        <w:t>Bogotá D.C., </w:t>
      </w:r>
      <w:r w:rsidR="00015A27">
        <w:rPr>
          <w:rFonts w:ascii="Verdana" w:eastAsia="Times New Roman" w:hAnsi="Verdana" w:cs="Arial"/>
          <w:color w:val="000000" w:themeColor="text1"/>
          <w:lang w:val="es-MX" w:eastAsia="es-ES_tradnl"/>
        </w:rPr>
        <w:t>26</w:t>
      </w:r>
      <w:r w:rsidRPr="00D13F42">
        <w:rPr>
          <w:rFonts w:ascii="Verdana" w:eastAsia="Times New Roman" w:hAnsi="Verdana" w:cs="Arial"/>
          <w:color w:val="000000" w:themeColor="text1"/>
          <w:lang w:val="es-MX" w:eastAsia="es-ES_tradnl"/>
        </w:rPr>
        <w:t xml:space="preserve"> de </w:t>
      </w:r>
      <w:r w:rsidR="00015A27">
        <w:rPr>
          <w:rFonts w:ascii="Verdana" w:eastAsia="Times New Roman" w:hAnsi="Verdana" w:cs="Arial"/>
          <w:color w:val="000000" w:themeColor="text1"/>
          <w:lang w:val="es-MX" w:eastAsia="es-ES_tradnl"/>
        </w:rPr>
        <w:t>agosto</w:t>
      </w:r>
      <w:r w:rsidRPr="00D13F42">
        <w:rPr>
          <w:rFonts w:ascii="Verdana" w:eastAsia="Times New Roman" w:hAnsi="Verdana" w:cs="Arial"/>
          <w:color w:val="000000" w:themeColor="text1"/>
          <w:lang w:val="es-MX" w:eastAsia="es-ES_tradnl"/>
        </w:rPr>
        <w:t xml:space="preserve"> de </w:t>
      </w:r>
      <w:r w:rsidR="00015A27">
        <w:rPr>
          <w:rFonts w:ascii="Verdana" w:eastAsia="Times New Roman" w:hAnsi="Verdana" w:cs="Arial"/>
          <w:color w:val="000000" w:themeColor="text1"/>
          <w:lang w:val="es-MX" w:eastAsia="es-ES_tradnl"/>
        </w:rPr>
        <w:t>2025</w:t>
      </w:r>
    </w:p>
    <w:p w14:paraId="5D7CBAC8" w14:textId="2981BD34" w:rsidR="00D13F42" w:rsidRPr="00EA3BD1" w:rsidRDefault="00D13F42" w:rsidP="00B14218">
      <w:pPr>
        <w:spacing w:after="0" w:line="240" w:lineRule="auto"/>
        <w:jc w:val="both"/>
        <w:rPr>
          <w:rFonts w:ascii="Verdana" w:eastAsia="Times New Roman" w:hAnsi="Verdana" w:cs="Arial"/>
          <w:color w:val="000000" w:themeColor="text1"/>
          <w:lang w:eastAsia="es-ES_tradnl"/>
        </w:rPr>
      </w:pPr>
    </w:p>
    <w:p w14:paraId="4CE56B1F" w14:textId="26286E59" w:rsidR="00B14218" w:rsidRPr="00EA3BD1" w:rsidRDefault="0054519B" w:rsidP="00B14218">
      <w:pPr>
        <w:spacing w:after="0" w:line="240" w:lineRule="auto"/>
        <w:jc w:val="both"/>
        <w:rPr>
          <w:rFonts w:ascii="Verdana" w:eastAsia="Times New Roman" w:hAnsi="Verdana" w:cs="Arial"/>
          <w:color w:val="7030A0"/>
          <w:lang w:eastAsia="es-ES_tradnl"/>
        </w:rPr>
      </w:pPr>
      <w:r w:rsidRPr="005E1FF1">
        <w:rPr>
          <w:rFonts w:ascii="Verdana" w:eastAsia="Calibri" w:hAnsi="Verdana" w:cs="Arial"/>
          <w:noProof/>
          <w:color w:val="000000" w:themeColor="text1"/>
          <w:lang w:eastAsia="es-ES_tradnl"/>
        </w:rPr>
        <w:drawing>
          <wp:anchor distT="0" distB="0" distL="114300" distR="114300" simplePos="0" relativeHeight="251657216" behindDoc="1" locked="0" layoutInCell="1" allowOverlap="1" wp14:anchorId="574CE209" wp14:editId="4C39EFF1">
            <wp:simplePos x="0" y="0"/>
            <wp:positionH relativeFrom="margin">
              <wp:posOffset>3968502</wp:posOffset>
            </wp:positionH>
            <wp:positionV relativeFrom="paragraph">
              <wp:posOffset>8890</wp:posOffset>
            </wp:positionV>
            <wp:extent cx="2388235" cy="795020"/>
            <wp:effectExtent l="0" t="0" r="0" b="5080"/>
            <wp:wrapSquare wrapText="bothSides"/>
            <wp:docPr id="176991589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915893"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388235" cy="795020"/>
                    </a:xfrm>
                    <a:prstGeom prst="rect">
                      <a:avLst/>
                    </a:prstGeom>
                  </pic:spPr>
                </pic:pic>
              </a:graphicData>
            </a:graphic>
            <wp14:sizeRelH relativeFrom="margin">
              <wp14:pctWidth>0</wp14:pctWidth>
            </wp14:sizeRelH>
            <wp14:sizeRelV relativeFrom="margin">
              <wp14:pctHeight>0</wp14:pctHeight>
            </wp14:sizeRelV>
          </wp:anchor>
        </w:drawing>
      </w:r>
    </w:p>
    <w:p w14:paraId="184B55DD" w14:textId="4A99AF1E" w:rsidR="00B14218" w:rsidRPr="00EA3BD1" w:rsidRDefault="00B14218" w:rsidP="005F3509">
      <w:pPr>
        <w:tabs>
          <w:tab w:val="left" w:pos="5928"/>
        </w:tabs>
        <w:spacing w:after="0" w:line="240" w:lineRule="auto"/>
        <w:jc w:val="both"/>
        <w:rPr>
          <w:rFonts w:ascii="Verdana" w:eastAsia="Calibri" w:hAnsi="Verdana" w:cs="Arial"/>
          <w:color w:val="000000" w:themeColor="text1"/>
          <w:lang w:eastAsia="es-ES_tradnl"/>
        </w:rPr>
      </w:pPr>
      <w:r w:rsidRPr="00EA3BD1">
        <w:rPr>
          <w:rFonts w:ascii="Verdana" w:eastAsia="Calibri" w:hAnsi="Verdana" w:cs="Arial"/>
          <w:color w:val="000000" w:themeColor="text1"/>
          <w:lang w:eastAsia="es-ES_tradnl"/>
        </w:rPr>
        <w:t>Señ</w:t>
      </w:r>
      <w:r w:rsidR="0054519B">
        <w:rPr>
          <w:rFonts w:ascii="Verdana" w:eastAsia="Calibri" w:hAnsi="Verdana" w:cs="Arial"/>
          <w:color w:val="000000" w:themeColor="text1"/>
          <w:lang w:eastAsia="es-ES_tradnl"/>
        </w:rPr>
        <w:t>or</w:t>
      </w:r>
      <w:r w:rsidR="005F3509">
        <w:rPr>
          <w:rFonts w:ascii="Verdana" w:eastAsia="Calibri" w:hAnsi="Verdana" w:cs="Arial"/>
          <w:color w:val="000000" w:themeColor="text1"/>
          <w:lang w:eastAsia="es-ES_tradnl"/>
        </w:rPr>
        <w:tab/>
      </w:r>
    </w:p>
    <w:p w14:paraId="1D29AB58" w14:textId="3D4F4C21" w:rsidR="00B14218" w:rsidRPr="00EA3BD1" w:rsidRDefault="009311D4" w:rsidP="00B14218">
      <w:pPr>
        <w:spacing w:after="0" w:line="240" w:lineRule="auto"/>
        <w:rPr>
          <w:rFonts w:ascii="Verdana" w:eastAsia="Calibri" w:hAnsi="Verdana" w:cs="Arial"/>
          <w:b/>
          <w:bCs/>
          <w:color w:val="000000" w:themeColor="text1"/>
          <w:lang w:eastAsia="es-ES_tradnl"/>
        </w:rPr>
      </w:pPr>
      <w:r w:rsidRPr="00EA3BD1">
        <w:rPr>
          <w:rFonts w:ascii="Verdana" w:eastAsia="Calibri" w:hAnsi="Verdana" w:cs="Arial"/>
          <w:b/>
          <w:bCs/>
          <w:color w:val="000000" w:themeColor="text1"/>
          <w:lang w:eastAsia="es-ES_tradnl"/>
        </w:rPr>
        <w:t>Gustavo Adolfo Patarroyo Cubides</w:t>
      </w:r>
    </w:p>
    <w:p w14:paraId="629F2150" w14:textId="77777777" w:rsidR="00B14218" w:rsidRPr="00EA3BD1" w:rsidRDefault="00B14218" w:rsidP="00B14218">
      <w:pPr>
        <w:spacing w:after="0" w:line="240" w:lineRule="auto"/>
        <w:rPr>
          <w:rFonts w:ascii="Verdana" w:hAnsi="Verdana"/>
          <w:color w:val="7030A0"/>
        </w:rPr>
      </w:pPr>
      <w:hyperlink r:id="rId12" w:history="1">
        <w:r w:rsidRPr="00EA3BD1">
          <w:rPr>
            <w:rStyle w:val="Hipervnculo"/>
            <w:rFonts w:ascii="Verdana" w:hAnsi="Verdana"/>
          </w:rPr>
          <w:t>gustavopatarroyo@hotmail.com</w:t>
        </w:r>
      </w:hyperlink>
      <w:r w:rsidRPr="00EA3BD1">
        <w:rPr>
          <w:rFonts w:ascii="Verdana" w:hAnsi="Verdana"/>
          <w:color w:val="7030A0"/>
        </w:rPr>
        <w:t xml:space="preserve"> </w:t>
      </w:r>
    </w:p>
    <w:p w14:paraId="0DCDEBCF" w14:textId="77777777" w:rsidR="00B14218" w:rsidRPr="00EA3BD1" w:rsidRDefault="00B14218" w:rsidP="00B14218">
      <w:pPr>
        <w:spacing w:after="0" w:line="240" w:lineRule="auto"/>
        <w:rPr>
          <w:rFonts w:ascii="Verdana" w:hAnsi="Verdana"/>
          <w:color w:val="000000" w:themeColor="text1"/>
        </w:rPr>
      </w:pPr>
      <w:hyperlink r:id="rId13" w:history="1">
        <w:r w:rsidRPr="00EA3BD1">
          <w:rPr>
            <w:rStyle w:val="Hipervnculo"/>
            <w:rFonts w:ascii="Verdana" w:hAnsi="Verdana"/>
            <w:color w:val="000000" w:themeColor="text1"/>
            <w:u w:val="none"/>
          </w:rPr>
          <w:t>Ibagué,</w:t>
        </w:r>
      </w:hyperlink>
      <w:r w:rsidRPr="00EA3BD1">
        <w:rPr>
          <w:rFonts w:ascii="Verdana" w:hAnsi="Verdana"/>
          <w:color w:val="000000" w:themeColor="text1"/>
        </w:rPr>
        <w:t xml:space="preserve"> Tolima</w:t>
      </w:r>
    </w:p>
    <w:p w14:paraId="2FDC0D56" w14:textId="77777777" w:rsidR="00B14218" w:rsidRPr="00EA3BD1" w:rsidRDefault="00B14218" w:rsidP="00B14218">
      <w:pPr>
        <w:spacing w:after="0" w:line="240" w:lineRule="auto"/>
        <w:rPr>
          <w:rFonts w:ascii="Verdana" w:eastAsia="Calibri" w:hAnsi="Verdana" w:cs="Arial"/>
          <w:color w:val="7030A0"/>
          <w:lang w:eastAsia="es-ES_tradnl"/>
        </w:rPr>
      </w:pPr>
    </w:p>
    <w:p w14:paraId="27F86B5E" w14:textId="77777777" w:rsidR="00B14218" w:rsidRPr="00EA3BD1" w:rsidRDefault="00B14218" w:rsidP="00B14218">
      <w:pPr>
        <w:spacing w:after="0" w:line="240" w:lineRule="auto"/>
        <w:rPr>
          <w:rFonts w:ascii="Verdana" w:eastAsia="Calibri" w:hAnsi="Verdana" w:cs="Arial"/>
          <w:color w:val="7030A0"/>
          <w:lang w:eastAsia="es-ES_tradnl"/>
        </w:rPr>
      </w:pPr>
    </w:p>
    <w:p w14:paraId="003BC7CC" w14:textId="77777777" w:rsidR="00B14218" w:rsidRPr="00EA3BD1" w:rsidRDefault="00B14218" w:rsidP="00B14218">
      <w:pPr>
        <w:spacing w:after="0" w:line="240" w:lineRule="auto"/>
        <w:ind w:left="2694"/>
        <w:rPr>
          <w:rFonts w:ascii="Verdana" w:eastAsia="Calibri" w:hAnsi="Verdana" w:cs="Arial"/>
          <w:b/>
          <w:bCs/>
          <w:color w:val="000000" w:themeColor="text1"/>
          <w:lang w:eastAsia="es-ES_tradnl"/>
        </w:rPr>
      </w:pPr>
      <w:r w:rsidRPr="00EA3BD1">
        <w:rPr>
          <w:rFonts w:ascii="Verdana" w:eastAsia="Calibri" w:hAnsi="Verdana" w:cs="Arial"/>
          <w:b/>
          <w:bCs/>
          <w:color w:val="000000" w:themeColor="text1"/>
          <w:lang w:eastAsia="es-ES_tradnl"/>
        </w:rPr>
        <w:t>Concepto C-1090 de 2025</w:t>
      </w:r>
    </w:p>
    <w:p w14:paraId="106C9E00" w14:textId="77777777" w:rsidR="00B14218" w:rsidRPr="00EA3BD1" w:rsidRDefault="00B14218" w:rsidP="00B14218">
      <w:pPr>
        <w:spacing w:after="0" w:line="240" w:lineRule="auto"/>
        <w:jc w:val="both"/>
        <w:rPr>
          <w:rFonts w:ascii="Verdana" w:eastAsia="Calibri" w:hAnsi="Verdana" w:cs="Arial"/>
          <w:color w:val="7030A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B14218" w:rsidRPr="00EA3BD1" w14:paraId="7D66820B" w14:textId="77777777">
        <w:tc>
          <w:tcPr>
            <w:tcW w:w="2694" w:type="dxa"/>
          </w:tcPr>
          <w:p w14:paraId="31F62504" w14:textId="77777777" w:rsidR="00B14218" w:rsidRPr="00EA3BD1" w:rsidRDefault="00B14218">
            <w:pPr>
              <w:rPr>
                <w:rFonts w:ascii="Verdana" w:eastAsia="Calibri" w:hAnsi="Verdana" w:cs="Arial"/>
                <w:color w:val="7030A0"/>
                <w:lang w:eastAsia="es-ES_tradnl"/>
              </w:rPr>
            </w:pPr>
            <w:r w:rsidRPr="00EA3BD1">
              <w:rPr>
                <w:rFonts w:ascii="Verdana" w:eastAsia="Calibri" w:hAnsi="Verdana" w:cs="Arial"/>
                <w:b/>
                <w:lang w:eastAsia="es-ES_tradnl"/>
              </w:rPr>
              <w:t>Temas</w:t>
            </w:r>
          </w:p>
        </w:tc>
        <w:tc>
          <w:tcPr>
            <w:tcW w:w="6095" w:type="dxa"/>
          </w:tcPr>
          <w:p w14:paraId="4AF6E971" w14:textId="124A52B4" w:rsidR="007C1FCB" w:rsidRPr="0054519B" w:rsidRDefault="00B14218" w:rsidP="000169FB">
            <w:pPr>
              <w:spacing w:line="276" w:lineRule="auto"/>
              <w:jc w:val="both"/>
              <w:rPr>
                <w:rFonts w:ascii="Verdana" w:eastAsia="Calibri" w:hAnsi="Verdana" w:cs="Arial"/>
                <w:bCs/>
              </w:rPr>
            </w:pPr>
            <w:r w:rsidRPr="00EA3BD1">
              <w:rPr>
                <w:rFonts w:ascii="Verdana" w:eastAsia="Calibri" w:hAnsi="Verdana" w:cs="Arial"/>
                <w:bCs/>
              </w:rPr>
              <w:t>RÉGIMEN DE INHABILIDADES E INCOMPATIBILIDADES – Definición – Taxatividad – Interpretación restrictiva / INHABILIDAD – Incumplimiento reiterado</w:t>
            </w:r>
            <w:r w:rsidR="000774A3">
              <w:rPr>
                <w:rFonts w:ascii="Verdana" w:eastAsia="Calibri" w:hAnsi="Verdana" w:cs="Arial"/>
                <w:bCs/>
              </w:rPr>
              <w:t xml:space="preserve"> / </w:t>
            </w:r>
            <w:r w:rsidR="000774A3" w:rsidRPr="00EA3BD1">
              <w:rPr>
                <w:rFonts w:ascii="Verdana" w:eastAsia="Calibri" w:hAnsi="Verdana" w:cs="Arial"/>
                <w:bCs/>
              </w:rPr>
              <w:t>LEY 2020 DE 2020 – Objetivo / REGISTRO NACIONAL DE OBRAS CIVILES INCONCLUSAS – Concepto – Ley 2020 de 2020 /</w:t>
            </w:r>
            <w:r w:rsidR="009311D4">
              <w:rPr>
                <w:rFonts w:ascii="Verdana" w:eastAsia="Calibri" w:hAnsi="Verdana" w:cs="Arial"/>
                <w:bCs/>
              </w:rPr>
              <w:t xml:space="preserve"> </w:t>
            </w:r>
            <w:r w:rsidR="009311D4" w:rsidRPr="00EA3BD1">
              <w:rPr>
                <w:rFonts w:ascii="Verdana" w:eastAsia="Calibri" w:hAnsi="Verdana" w:cs="Arial"/>
                <w:bCs/>
              </w:rPr>
              <w:t>REGISTRO NACIONAL DE OBRAS CIVILES INCONCLUSAS</w:t>
            </w:r>
            <w:r w:rsidR="009311D4">
              <w:rPr>
                <w:rFonts w:ascii="Verdana" w:eastAsia="Calibri" w:hAnsi="Verdana" w:cs="Arial"/>
                <w:bCs/>
              </w:rPr>
              <w:t xml:space="preserve"> – No genera inhabilidad</w:t>
            </w:r>
          </w:p>
        </w:tc>
      </w:tr>
      <w:tr w:rsidR="00B14218" w:rsidRPr="00EA3BD1" w14:paraId="0926A779" w14:textId="77777777">
        <w:tc>
          <w:tcPr>
            <w:tcW w:w="2694" w:type="dxa"/>
          </w:tcPr>
          <w:p w14:paraId="6097D2B6" w14:textId="77777777" w:rsidR="00B14218" w:rsidRPr="00EA3BD1" w:rsidRDefault="00B14218">
            <w:pPr>
              <w:rPr>
                <w:rFonts w:ascii="Verdana" w:eastAsia="Calibri" w:hAnsi="Verdana" w:cs="Arial"/>
                <w:b/>
                <w:color w:val="000000" w:themeColor="text1"/>
                <w:lang w:eastAsia="es-ES_tradnl"/>
              </w:rPr>
            </w:pPr>
            <w:r w:rsidRPr="00EA3BD1">
              <w:rPr>
                <w:rFonts w:ascii="Verdana" w:eastAsia="Calibri" w:hAnsi="Verdana" w:cs="Arial"/>
                <w:b/>
                <w:color w:val="000000" w:themeColor="text1"/>
                <w:lang w:eastAsia="es-ES_tradnl"/>
              </w:rPr>
              <w:t>Radicación:</w:t>
            </w:r>
          </w:p>
        </w:tc>
        <w:tc>
          <w:tcPr>
            <w:tcW w:w="6095" w:type="dxa"/>
          </w:tcPr>
          <w:p w14:paraId="3B7B6D8E" w14:textId="77777777" w:rsidR="00B14218" w:rsidRPr="00EA3BD1" w:rsidRDefault="00B14218">
            <w:pPr>
              <w:jc w:val="both"/>
              <w:rPr>
                <w:rFonts w:ascii="Verdana" w:eastAsia="Calibri" w:hAnsi="Verdana" w:cs="Arial"/>
                <w:color w:val="000000" w:themeColor="text1"/>
                <w:lang w:eastAsia="es-ES_tradnl"/>
              </w:rPr>
            </w:pPr>
            <w:r w:rsidRPr="00EA3BD1">
              <w:rPr>
                <w:rFonts w:ascii="Verdana" w:eastAsia="Calibri" w:hAnsi="Verdana" w:cs="Arial"/>
                <w:color w:val="000000" w:themeColor="text1"/>
                <w:lang w:eastAsia="es-ES_tradnl"/>
              </w:rPr>
              <w:t>Respuesta a consulta radicado No. 1_2025_08_05_008208</w:t>
            </w:r>
          </w:p>
        </w:tc>
      </w:tr>
    </w:tbl>
    <w:p w14:paraId="2AF379FE" w14:textId="77777777" w:rsidR="00B14218" w:rsidRPr="00EA3BD1" w:rsidRDefault="00B14218" w:rsidP="00B14218">
      <w:pPr>
        <w:spacing w:after="0" w:line="240" w:lineRule="auto"/>
        <w:jc w:val="both"/>
        <w:rPr>
          <w:rFonts w:ascii="Verdana" w:eastAsia="Calibri" w:hAnsi="Verdana" w:cs="Arial"/>
          <w:color w:val="000000" w:themeColor="text1"/>
          <w:lang w:eastAsia="es-ES_tradnl"/>
        </w:rPr>
      </w:pPr>
    </w:p>
    <w:p w14:paraId="599BBF1E" w14:textId="77777777" w:rsidR="00B14218" w:rsidRPr="00EA3BD1" w:rsidRDefault="00B14218" w:rsidP="00B14218">
      <w:pPr>
        <w:spacing w:after="0" w:line="240" w:lineRule="auto"/>
        <w:jc w:val="both"/>
        <w:rPr>
          <w:rFonts w:ascii="Verdana" w:eastAsia="Calibri" w:hAnsi="Verdana" w:cs="Arial"/>
          <w:color w:val="000000" w:themeColor="text1"/>
          <w:lang w:eastAsia="es-ES_tradnl"/>
        </w:rPr>
      </w:pPr>
    </w:p>
    <w:p w14:paraId="46FFC46E" w14:textId="77777777" w:rsidR="00B14218" w:rsidRPr="00EA3BD1" w:rsidRDefault="00B14218" w:rsidP="00B14218">
      <w:pPr>
        <w:spacing w:after="0" w:line="276" w:lineRule="auto"/>
        <w:jc w:val="both"/>
        <w:rPr>
          <w:rFonts w:ascii="Verdana" w:eastAsia="Calibri" w:hAnsi="Verdana" w:cs="Arial"/>
          <w:bCs/>
          <w:color w:val="000000" w:themeColor="text1"/>
          <w:lang w:eastAsia="es-ES_tradnl"/>
        </w:rPr>
      </w:pPr>
      <w:r w:rsidRPr="00EA3BD1">
        <w:rPr>
          <w:rFonts w:ascii="Verdana" w:eastAsia="Calibri" w:hAnsi="Verdana" w:cs="Arial"/>
          <w:color w:val="000000" w:themeColor="text1"/>
          <w:lang w:eastAsia="es-ES_tradnl"/>
        </w:rPr>
        <w:t>Estimado señor Patarroyo:</w:t>
      </w:r>
    </w:p>
    <w:p w14:paraId="5D1F8454" w14:textId="77777777" w:rsidR="00B14218" w:rsidRPr="00EA3BD1" w:rsidRDefault="00B14218" w:rsidP="00B14218">
      <w:pPr>
        <w:spacing w:after="0" w:line="276" w:lineRule="auto"/>
        <w:jc w:val="both"/>
        <w:rPr>
          <w:rFonts w:ascii="Verdana" w:eastAsia="Calibri" w:hAnsi="Verdana" w:cs="Arial"/>
          <w:color w:val="000000" w:themeColor="text1"/>
          <w:lang w:eastAsia="es-ES_tradnl"/>
        </w:rPr>
      </w:pPr>
    </w:p>
    <w:p w14:paraId="0AA735CE" w14:textId="30A8EF5E" w:rsidR="00B14218" w:rsidRPr="00352331" w:rsidRDefault="00B14218" w:rsidP="00DC2F81">
      <w:pPr>
        <w:spacing w:after="0" w:line="276" w:lineRule="auto"/>
        <w:jc w:val="both"/>
        <w:rPr>
          <w:rFonts w:ascii="Verdana" w:eastAsia="Calibri" w:hAnsi="Verdana" w:cs="Arial"/>
          <w:color w:val="000000" w:themeColor="text1"/>
          <w:lang w:eastAsia="es-ES_tradnl"/>
        </w:rPr>
      </w:pPr>
      <w:r w:rsidRPr="00DC2F81">
        <w:rPr>
          <w:rFonts w:ascii="Verdana" w:eastAsia="Calibri" w:hAnsi="Verdana" w:cs="Arial"/>
          <w:color w:val="000000" w:themeColor="text1"/>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del 05 de agosto de 2025, en las cuales manifiesta lo siguiente:</w:t>
      </w:r>
      <w:r w:rsidR="00DC2F81" w:rsidRPr="00DC2F81">
        <w:rPr>
          <w:rFonts w:ascii="Verdana" w:eastAsia="Calibri" w:hAnsi="Verdana" w:cs="Arial"/>
          <w:color w:val="000000" w:themeColor="text1"/>
          <w:lang w:eastAsia="es-ES_tradnl"/>
        </w:rPr>
        <w:t xml:space="preserve"> </w:t>
      </w:r>
      <w:r w:rsidRPr="00DC2F81">
        <w:rPr>
          <w:rFonts w:ascii="Verdana" w:eastAsia="Times New Roman" w:hAnsi="Verdana" w:cs="Arial"/>
          <w:i/>
          <w:iCs/>
          <w:color w:val="000000" w:themeColor="text1"/>
          <w:lang w:eastAsia="es-ES_tradnl"/>
        </w:rPr>
        <w:t>“Una obra inconclusa genera inhabilidades para el contratista que participó en ella y no puede volver a contratar con el Estado y es causal de rechazo de la propuesta?”</w:t>
      </w:r>
      <w:r w:rsidR="00DC2F81" w:rsidRPr="00DC2F81">
        <w:rPr>
          <w:rFonts w:ascii="Verdana" w:eastAsia="Times New Roman" w:hAnsi="Verdana" w:cs="Arial"/>
          <w:i/>
          <w:iCs/>
          <w:color w:val="000000" w:themeColor="text1"/>
          <w:lang w:eastAsia="es-ES_tradnl"/>
        </w:rPr>
        <w:t>.</w:t>
      </w:r>
    </w:p>
    <w:p w14:paraId="1D6C926E" w14:textId="77777777" w:rsidR="00352331" w:rsidRPr="00DC2F81" w:rsidRDefault="00352331" w:rsidP="00DC2F81">
      <w:pPr>
        <w:spacing w:after="0" w:line="276" w:lineRule="auto"/>
        <w:jc w:val="both"/>
        <w:rPr>
          <w:rFonts w:ascii="Verdana" w:eastAsia="Times New Roman" w:hAnsi="Verdana" w:cs="Arial"/>
          <w:i/>
          <w:iCs/>
          <w:color w:val="000000" w:themeColor="text1"/>
          <w:lang w:eastAsia="es-ES_tradnl"/>
        </w:rPr>
      </w:pPr>
    </w:p>
    <w:p w14:paraId="4DEDFF9E" w14:textId="77777777" w:rsidR="00B14218" w:rsidRPr="00EA3BD1" w:rsidRDefault="00B14218" w:rsidP="00B14218">
      <w:pPr>
        <w:spacing w:after="120" w:line="276" w:lineRule="auto"/>
        <w:ind w:firstLine="709"/>
        <w:jc w:val="both"/>
        <w:rPr>
          <w:rFonts w:ascii="Verdana" w:eastAsia="Calibri" w:hAnsi="Verdana" w:cs="Arial"/>
          <w:color w:val="000000" w:themeColor="text1"/>
          <w:lang w:eastAsia="es-ES"/>
        </w:rPr>
      </w:pPr>
      <w:r w:rsidRPr="00EA3BD1">
        <w:rPr>
          <w:rFonts w:ascii="Verdana" w:eastAsia="Calibri" w:hAnsi="Verdana" w:cs="Arial"/>
          <w:color w:val="000000" w:themeColor="text1"/>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w:t>
      </w:r>
      <w:r w:rsidRPr="00EA3BD1">
        <w:rPr>
          <w:rFonts w:ascii="Verdana" w:eastAsia="Calibri" w:hAnsi="Verdana" w:cs="Arial"/>
          <w:color w:val="000000" w:themeColor="text1"/>
          <w:lang w:eastAsia="es-ES"/>
        </w:rPr>
        <w:lastRenderedPageBreak/>
        <w:t xml:space="preserve">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3BD1">
        <w:rPr>
          <w:rFonts w:ascii="Verdana" w:eastAsia="Calibri" w:hAnsi="Verdana" w:cs="Arial"/>
          <w:color w:val="000000" w:themeColor="text1"/>
          <w:szCs w:val="24"/>
          <w:lang w:eastAsia="es-ES_tradnl"/>
        </w:rPr>
        <w:tab/>
      </w:r>
    </w:p>
    <w:p w14:paraId="3E7441FD" w14:textId="77777777" w:rsidR="00B14218" w:rsidRPr="00EA3BD1" w:rsidRDefault="00B14218" w:rsidP="00B14218">
      <w:pPr>
        <w:spacing w:after="0" w:line="276" w:lineRule="auto"/>
        <w:ind w:firstLine="709"/>
        <w:jc w:val="both"/>
        <w:rPr>
          <w:rFonts w:ascii="Verdana" w:eastAsia="Calibri" w:hAnsi="Verdana" w:cs="Arial"/>
          <w:color w:val="000000" w:themeColor="text1"/>
          <w:lang w:eastAsia="es-ES"/>
        </w:rPr>
      </w:pPr>
      <w:r w:rsidRPr="00EA3BD1">
        <w:rPr>
          <w:rFonts w:ascii="Verdana" w:eastAsia="Calibri" w:hAnsi="Verdana" w:cs="Arial"/>
          <w:color w:val="000000" w:themeColor="text1"/>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0D146ED7" w14:textId="77777777" w:rsidR="00B14218" w:rsidRPr="00EA3BD1" w:rsidRDefault="00B14218" w:rsidP="00B14218">
      <w:pPr>
        <w:spacing w:after="0" w:line="276" w:lineRule="auto"/>
        <w:jc w:val="both"/>
        <w:rPr>
          <w:rFonts w:ascii="Verdana" w:eastAsia="Times New Roman" w:hAnsi="Verdana" w:cs="Arial"/>
          <w:color w:val="7030A0"/>
          <w:szCs w:val="24"/>
          <w:lang w:eastAsia="es-ES_tradnl"/>
        </w:rPr>
      </w:pPr>
    </w:p>
    <w:p w14:paraId="63ECDF1B" w14:textId="77777777" w:rsidR="00B14218" w:rsidRPr="00EA3BD1" w:rsidRDefault="00B14218" w:rsidP="00B14218">
      <w:pPr>
        <w:tabs>
          <w:tab w:val="left" w:pos="0"/>
          <w:tab w:val="left" w:pos="284"/>
        </w:tabs>
        <w:spacing w:after="0" w:line="276" w:lineRule="auto"/>
        <w:jc w:val="both"/>
        <w:rPr>
          <w:rFonts w:ascii="Verdana" w:eastAsia="Calibri" w:hAnsi="Verdana" w:cs="Arial"/>
          <w:b/>
          <w:color w:val="000000" w:themeColor="text1"/>
        </w:rPr>
      </w:pPr>
      <w:r w:rsidRPr="00EA3BD1">
        <w:rPr>
          <w:rFonts w:ascii="Verdana" w:eastAsia="Calibri" w:hAnsi="Verdana" w:cs="Arial"/>
          <w:b/>
          <w:color w:val="000000" w:themeColor="text1"/>
        </w:rPr>
        <w:t>1. Problema planteado:</w:t>
      </w:r>
    </w:p>
    <w:p w14:paraId="11380712" w14:textId="77777777" w:rsidR="00B14218" w:rsidRPr="00EA3BD1" w:rsidRDefault="00B14218" w:rsidP="00B14218">
      <w:pPr>
        <w:tabs>
          <w:tab w:val="left" w:pos="0"/>
          <w:tab w:val="left" w:pos="284"/>
        </w:tabs>
        <w:spacing w:after="0" w:line="276" w:lineRule="auto"/>
        <w:jc w:val="both"/>
        <w:rPr>
          <w:rFonts w:ascii="Verdana" w:eastAsia="Calibri" w:hAnsi="Verdana" w:cs="Arial"/>
          <w:b/>
          <w:color w:val="000000" w:themeColor="text1"/>
        </w:rPr>
      </w:pPr>
    </w:p>
    <w:p w14:paraId="2D740579" w14:textId="4FD4FC33" w:rsidR="00B14218" w:rsidRPr="00EA3BD1" w:rsidRDefault="00B14218" w:rsidP="00B14218">
      <w:pPr>
        <w:spacing w:after="0" w:line="276" w:lineRule="auto"/>
        <w:jc w:val="both"/>
        <w:rPr>
          <w:rFonts w:ascii="Verdana" w:eastAsia="Calibri" w:hAnsi="Verdana" w:cs="Arial"/>
          <w:color w:val="7030A0"/>
          <w:u w:val="single"/>
          <w:lang w:eastAsia="es-ES_tradnl"/>
        </w:rPr>
      </w:pPr>
      <w:r w:rsidRPr="00EA3BD1">
        <w:rPr>
          <w:rFonts w:ascii="Verdana" w:eastAsia="Century Gothic" w:hAnsi="Verdana" w:cs="Century Gothic"/>
          <w:color w:val="000000" w:themeColor="text1"/>
        </w:rPr>
        <w:t xml:space="preserve">De acuerdo con el contenido de su solicitud, esta Agencia resolverá el siguiente problema jurídico: </w:t>
      </w:r>
      <w:r w:rsidRPr="00EA3BD1">
        <w:rPr>
          <w:rFonts w:ascii="Verdana" w:eastAsia="Calibri" w:hAnsi="Verdana" w:cs="Arial"/>
          <w:lang w:eastAsia="es-ES_tradnl"/>
        </w:rPr>
        <w:t xml:space="preserve">¿Constituye una causal de inhabilidad o de rechazo, dentro de un proceso de contratación, </w:t>
      </w:r>
      <w:r w:rsidR="00C70055">
        <w:rPr>
          <w:rFonts w:ascii="Verdana" w:eastAsia="Calibri" w:hAnsi="Verdana" w:cs="Arial"/>
          <w:lang w:eastAsia="es-ES_tradnl"/>
        </w:rPr>
        <w:t>el hecho de que un proponente esté</w:t>
      </w:r>
      <w:r w:rsidRPr="00EA3BD1">
        <w:rPr>
          <w:rFonts w:ascii="Verdana" w:eastAsia="Calibri" w:hAnsi="Verdana" w:cs="Arial"/>
          <w:lang w:eastAsia="es-ES_tradnl"/>
        </w:rPr>
        <w:t xml:space="preserve"> </w:t>
      </w:r>
      <w:r w:rsidR="00C70055">
        <w:rPr>
          <w:rFonts w:ascii="Verdana" w:eastAsia="Calibri" w:hAnsi="Verdana" w:cs="Arial"/>
          <w:lang w:eastAsia="es-ES_tradnl"/>
        </w:rPr>
        <w:t>inscrito</w:t>
      </w:r>
      <w:r w:rsidRPr="00EA3BD1">
        <w:rPr>
          <w:rFonts w:ascii="Verdana" w:eastAsia="Calibri" w:hAnsi="Verdana" w:cs="Arial"/>
          <w:lang w:eastAsia="es-ES_tradnl"/>
        </w:rPr>
        <w:t xml:space="preserve"> en el Registro Nacional de Obras Civiles Inconclusas?</w:t>
      </w:r>
    </w:p>
    <w:p w14:paraId="5702B4D1" w14:textId="77777777" w:rsidR="00B14218" w:rsidRPr="00EA3BD1" w:rsidRDefault="00B14218" w:rsidP="00B14218">
      <w:pPr>
        <w:spacing w:after="0" w:line="276" w:lineRule="auto"/>
        <w:jc w:val="both"/>
        <w:rPr>
          <w:rFonts w:ascii="Verdana" w:eastAsia="Calibri" w:hAnsi="Verdana" w:cs="Arial"/>
          <w:color w:val="7030A0"/>
          <w:lang w:eastAsia="es-ES_tradnl"/>
        </w:rPr>
      </w:pPr>
    </w:p>
    <w:p w14:paraId="1DDFA92B" w14:textId="77777777" w:rsidR="00B14218" w:rsidRPr="00EA3BD1" w:rsidRDefault="00B14218" w:rsidP="00B14218">
      <w:pPr>
        <w:widowControl w:val="0"/>
        <w:tabs>
          <w:tab w:val="left" w:pos="382"/>
        </w:tabs>
        <w:autoSpaceDE w:val="0"/>
        <w:autoSpaceDN w:val="0"/>
        <w:spacing w:after="0" w:line="276" w:lineRule="auto"/>
        <w:outlineLvl w:val="0"/>
        <w:rPr>
          <w:rFonts w:ascii="Verdana" w:eastAsia="Verdana" w:hAnsi="Verdana" w:cs="Verdana"/>
          <w:b/>
          <w:bCs/>
        </w:rPr>
      </w:pPr>
      <w:r w:rsidRPr="00EA3BD1">
        <w:rPr>
          <w:rFonts w:ascii="Verdana" w:eastAsia="Verdana" w:hAnsi="Verdana" w:cs="Verdana"/>
          <w:b/>
          <w:bCs/>
          <w:spacing w:val="-2"/>
        </w:rPr>
        <w:t>2. Respuesta:</w:t>
      </w:r>
    </w:p>
    <w:p w14:paraId="28699809" w14:textId="77777777" w:rsidR="00B14218" w:rsidRPr="00EA3BD1" w:rsidRDefault="00B14218" w:rsidP="00B14218">
      <w:pPr>
        <w:tabs>
          <w:tab w:val="left" w:pos="142"/>
          <w:tab w:val="left" w:pos="284"/>
        </w:tabs>
        <w:spacing w:after="0" w:line="276" w:lineRule="auto"/>
        <w:jc w:val="both"/>
        <w:rPr>
          <w:rFonts w:ascii="Verdana" w:eastAsia="Century Gothic" w:hAnsi="Verdana" w:cs="Century Gothic"/>
          <w:b/>
          <w:bCs/>
          <w:color w:val="7030A0"/>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14218" w:rsidRPr="00EA3BD1" w14:paraId="3647874E" w14:textId="77777777">
        <w:tc>
          <w:tcPr>
            <w:tcW w:w="8828" w:type="dxa"/>
          </w:tcPr>
          <w:p w14:paraId="6430B54D" w14:textId="0E6057F8" w:rsidR="003645BD" w:rsidRDefault="00C70055" w:rsidP="00312394">
            <w:pPr>
              <w:spacing w:before="120" w:after="120" w:line="278" w:lineRule="auto"/>
              <w:jc w:val="both"/>
              <w:rPr>
                <w:rFonts w:ascii="Verdana" w:hAnsi="Verdana"/>
              </w:rPr>
            </w:pPr>
            <w:r>
              <w:rPr>
                <w:rFonts w:ascii="Verdana" w:hAnsi="Verdana" w:cs="Arial"/>
                <w:lang w:val="es-ES_tradnl"/>
              </w:rPr>
              <w:t xml:space="preserve">No, tener anotaciones en el </w:t>
            </w:r>
            <w:r w:rsidR="003645BD" w:rsidRPr="000F1B7D">
              <w:rPr>
                <w:rFonts w:ascii="Verdana" w:hAnsi="Verdana" w:cs="Arial"/>
                <w:lang w:val="es-ES_tradnl"/>
              </w:rPr>
              <w:t>Registro Nacional de Obras Inconclusas</w:t>
            </w:r>
            <w:r w:rsidR="001A7B4F">
              <w:rPr>
                <w:rFonts w:ascii="Verdana" w:hAnsi="Verdana" w:cs="Arial"/>
                <w:lang w:val="es-ES_tradnl"/>
              </w:rPr>
              <w:t xml:space="preserve"> no supone casual de inhabilidad</w:t>
            </w:r>
            <w:r w:rsidR="003645BD" w:rsidRPr="000F1B7D">
              <w:rPr>
                <w:rFonts w:ascii="Verdana" w:hAnsi="Verdana" w:cs="Arial"/>
                <w:lang w:val="es-ES_tradnl"/>
              </w:rPr>
              <w:t xml:space="preserve"> </w:t>
            </w:r>
            <w:r w:rsidR="001A7B4F">
              <w:rPr>
                <w:rFonts w:ascii="Verdana" w:hAnsi="Verdana" w:cs="Arial"/>
                <w:lang w:val="es-ES_tradnl"/>
              </w:rPr>
              <w:t>o incompatibilidad.</w:t>
            </w:r>
            <w:r w:rsidR="003645BD">
              <w:rPr>
                <w:rFonts w:ascii="Verdana" w:hAnsi="Verdana"/>
              </w:rPr>
              <w:t xml:space="preserve"> Esto comoquiera </w:t>
            </w:r>
            <w:r w:rsidR="007E4717">
              <w:rPr>
                <w:rFonts w:ascii="Verdana" w:hAnsi="Verdana"/>
              </w:rPr>
              <w:t>que,</w:t>
            </w:r>
            <w:r w:rsidR="003645BD">
              <w:rPr>
                <w:rFonts w:ascii="Verdana" w:hAnsi="Verdana"/>
              </w:rPr>
              <w:t xml:space="preserve"> la Ley 2020 de 202</w:t>
            </w:r>
            <w:r w:rsidR="00647B07">
              <w:rPr>
                <w:rFonts w:ascii="Verdana" w:hAnsi="Verdana"/>
              </w:rPr>
              <w:t>0 no establece</w:t>
            </w:r>
            <w:r w:rsidR="003645BD">
              <w:rPr>
                <w:rFonts w:ascii="Verdana" w:hAnsi="Verdana"/>
              </w:rPr>
              <w:t xml:space="preserve"> restricciones a la capacidad contractual que se configuren a partir de la inclusión en el referido registro.</w:t>
            </w:r>
            <w:r w:rsidR="007E4717">
              <w:rPr>
                <w:rFonts w:ascii="Verdana" w:hAnsi="Verdana"/>
              </w:rPr>
              <w:t xml:space="preserve"> </w:t>
            </w:r>
            <w:r w:rsidR="00BF03B1">
              <w:rPr>
                <w:rFonts w:ascii="Verdana" w:hAnsi="Verdana"/>
              </w:rPr>
              <w:t xml:space="preserve">Dada la estricta </w:t>
            </w:r>
            <w:r w:rsidR="00BF03B1" w:rsidRPr="00312394">
              <w:rPr>
                <w:rFonts w:ascii="Verdana" w:hAnsi="Verdana"/>
                <w:i/>
                <w:iCs/>
              </w:rPr>
              <w:t>reserva legal</w:t>
            </w:r>
            <w:r w:rsidR="00BF03B1">
              <w:rPr>
                <w:rFonts w:ascii="Verdana" w:hAnsi="Verdana"/>
                <w:i/>
                <w:iCs/>
              </w:rPr>
              <w:t xml:space="preserve"> </w:t>
            </w:r>
            <w:r w:rsidR="00BF03B1">
              <w:rPr>
                <w:rFonts w:ascii="Verdana" w:hAnsi="Verdana"/>
              </w:rPr>
              <w:t>existente en materia de inhabilidades, tampoco le estaría dado a las Entidades Estatales establecer causales de inhabilidad de que excluyan de los procesos de contratación a la</w:t>
            </w:r>
            <w:r w:rsidR="00932330">
              <w:rPr>
                <w:rFonts w:ascii="Verdana" w:hAnsi="Verdana"/>
              </w:rPr>
              <w:t>s</w:t>
            </w:r>
            <w:r w:rsidR="00BF03B1">
              <w:rPr>
                <w:rFonts w:ascii="Verdana" w:hAnsi="Verdana"/>
              </w:rPr>
              <w:t xml:space="preserve"> </w:t>
            </w:r>
            <w:r w:rsidR="000774A3">
              <w:rPr>
                <w:rFonts w:ascii="Verdana" w:hAnsi="Verdana"/>
              </w:rPr>
              <w:t xml:space="preserve">personas con anotaciones en el mencionado registro. </w:t>
            </w:r>
            <w:r w:rsidR="007E4717">
              <w:rPr>
                <w:rFonts w:ascii="Verdana" w:hAnsi="Verdana"/>
              </w:rPr>
              <w:t xml:space="preserve">No obstante, de </w:t>
            </w:r>
            <w:r w:rsidR="00647B07">
              <w:rPr>
                <w:rFonts w:ascii="Verdana" w:hAnsi="Verdana"/>
              </w:rPr>
              <w:t>conformidad</w:t>
            </w:r>
            <w:r w:rsidR="007E4717">
              <w:rPr>
                <w:rFonts w:ascii="Verdana" w:hAnsi="Verdana"/>
              </w:rPr>
              <w:t xml:space="preserve"> </w:t>
            </w:r>
            <w:r w:rsidR="00647B07">
              <w:rPr>
                <w:rFonts w:ascii="Verdana" w:hAnsi="Verdana"/>
              </w:rPr>
              <w:t xml:space="preserve">con </w:t>
            </w:r>
            <w:r w:rsidR="007E4717">
              <w:rPr>
                <w:rFonts w:ascii="Verdana" w:hAnsi="Verdana"/>
              </w:rPr>
              <w:t>lo establ</w:t>
            </w:r>
            <w:r w:rsidR="00647B07">
              <w:rPr>
                <w:rFonts w:ascii="Verdana" w:hAnsi="Verdana"/>
              </w:rPr>
              <w:t xml:space="preserve">ecido en el artículo 6 de dicha ley, </w:t>
            </w:r>
            <w:r w:rsidR="00AE3ED5">
              <w:rPr>
                <w:rFonts w:ascii="Verdana" w:hAnsi="Verdana"/>
              </w:rPr>
              <w:t xml:space="preserve">de manera discrecional, </w:t>
            </w:r>
            <w:r w:rsidR="000774A3">
              <w:rPr>
                <w:rFonts w:ascii="Verdana" w:hAnsi="Verdana"/>
              </w:rPr>
              <w:t>las Entidades Estatales si pueden</w:t>
            </w:r>
            <w:r w:rsidR="00AE3ED5">
              <w:rPr>
                <w:rFonts w:ascii="Verdana" w:hAnsi="Verdana"/>
              </w:rPr>
              <w:t xml:space="preserve"> contemplar en los pliegos de condiciones</w:t>
            </w:r>
            <w:r w:rsidR="00AD3F65">
              <w:rPr>
                <w:rFonts w:ascii="Verdana" w:hAnsi="Verdana"/>
              </w:rPr>
              <w:t xml:space="preserve"> de procesos de contratación de obras o interventorías</w:t>
            </w:r>
            <w:r w:rsidR="000774A3">
              <w:rPr>
                <w:rFonts w:ascii="Verdana" w:hAnsi="Verdana"/>
              </w:rPr>
              <w:t>,</w:t>
            </w:r>
            <w:r w:rsidR="00AE3ED5">
              <w:rPr>
                <w:rFonts w:ascii="Verdana" w:hAnsi="Verdana"/>
              </w:rPr>
              <w:t xml:space="preserve"> mecanismo</w:t>
            </w:r>
            <w:r w:rsidR="00AD3F65">
              <w:rPr>
                <w:rFonts w:ascii="Verdana" w:hAnsi="Verdana"/>
              </w:rPr>
              <w:t>s</w:t>
            </w:r>
            <w:r w:rsidR="00AE3ED5">
              <w:rPr>
                <w:rFonts w:ascii="Verdana" w:hAnsi="Verdana"/>
              </w:rPr>
              <w:t xml:space="preserve"> de reducción de puntaje</w:t>
            </w:r>
            <w:r w:rsidR="0073712D">
              <w:rPr>
                <w:rFonts w:ascii="Verdana" w:hAnsi="Verdana"/>
              </w:rPr>
              <w:t xml:space="preserve">, cuya aplicación se realice a partir del análisis del </w:t>
            </w:r>
            <w:r w:rsidR="0073712D" w:rsidRPr="000F1B7D">
              <w:rPr>
                <w:rFonts w:ascii="Verdana" w:hAnsi="Verdana" w:cs="Arial"/>
                <w:lang w:val="es-ES_tradnl"/>
              </w:rPr>
              <w:t>Registro Nacional de Obras Inconclusas</w:t>
            </w:r>
            <w:r w:rsidR="0073712D">
              <w:rPr>
                <w:rFonts w:ascii="Verdana" w:hAnsi="Verdana" w:cs="Arial"/>
                <w:lang w:val="es-ES_tradnl"/>
              </w:rPr>
              <w:t>.</w:t>
            </w:r>
          </w:p>
          <w:p w14:paraId="79B8815B" w14:textId="4F422B54" w:rsidR="00B14218" w:rsidRPr="00EA3BD1" w:rsidRDefault="003645BD">
            <w:pPr>
              <w:spacing w:after="120" w:line="276" w:lineRule="auto"/>
              <w:ind w:firstLine="709"/>
              <w:jc w:val="both"/>
              <w:rPr>
                <w:rFonts w:ascii="Verdana" w:eastAsia="Calibri" w:hAnsi="Verdana" w:cs="Arial"/>
              </w:rPr>
            </w:pPr>
            <w:r>
              <w:rPr>
                <w:rFonts w:ascii="Verdana" w:hAnsi="Verdana"/>
              </w:rPr>
              <w:t xml:space="preserve"> </w:t>
            </w:r>
            <w:r w:rsidR="0073712D">
              <w:rPr>
                <w:rFonts w:ascii="Verdana" w:hAnsi="Verdana"/>
              </w:rPr>
              <w:t>Sin perjuicio de lo anterior,</w:t>
            </w:r>
            <w:r>
              <w:rPr>
                <w:rFonts w:ascii="Verdana" w:hAnsi="Verdana"/>
              </w:rPr>
              <w:t xml:space="preserve"> si bien la </w:t>
            </w:r>
            <w:r w:rsidR="0073712D">
              <w:rPr>
                <w:rFonts w:ascii="Verdana" w:hAnsi="Verdana"/>
              </w:rPr>
              <w:t xml:space="preserve">sola </w:t>
            </w:r>
            <w:r>
              <w:rPr>
                <w:rFonts w:ascii="Verdana" w:hAnsi="Verdana"/>
              </w:rPr>
              <w:t xml:space="preserve">inclusión en el </w:t>
            </w:r>
            <w:r w:rsidRPr="000E0EE6">
              <w:rPr>
                <w:rFonts w:ascii="Verdana" w:hAnsi="Verdana"/>
              </w:rPr>
              <w:t>Registro Nacional de Obras Civiles Inconclusas</w:t>
            </w:r>
            <w:r>
              <w:rPr>
                <w:rFonts w:ascii="Verdana" w:hAnsi="Verdana"/>
              </w:rPr>
              <w:t xml:space="preserve"> no genera </w:t>
            </w:r>
            <w:r w:rsidRPr="0044234D">
              <w:rPr>
                <w:rFonts w:ascii="Verdana" w:hAnsi="Verdana"/>
                <w:i/>
                <w:iCs/>
              </w:rPr>
              <w:t>per se</w:t>
            </w:r>
            <w:r>
              <w:rPr>
                <w:rFonts w:ascii="Verdana" w:hAnsi="Verdana"/>
              </w:rPr>
              <w:t xml:space="preserve"> la configuración de una </w:t>
            </w:r>
            <w:r>
              <w:rPr>
                <w:rFonts w:ascii="Verdana" w:hAnsi="Verdana"/>
              </w:rPr>
              <w:lastRenderedPageBreak/>
              <w:t xml:space="preserve">inhabilidad, nada obsta para que los hechos de los que da cuenta el registro puedan </w:t>
            </w:r>
            <w:r w:rsidR="00B90E39">
              <w:rPr>
                <w:rFonts w:ascii="Verdana" w:hAnsi="Verdana"/>
              </w:rPr>
              <w:t>ser relevantes</w:t>
            </w:r>
            <w:r>
              <w:rPr>
                <w:rFonts w:ascii="Verdana" w:hAnsi="Verdana"/>
              </w:rPr>
              <w:t xml:space="preserve"> </w:t>
            </w:r>
            <w:r w:rsidR="00B90E39">
              <w:rPr>
                <w:rFonts w:ascii="Verdana" w:hAnsi="Verdana"/>
              </w:rPr>
              <w:t>para</w:t>
            </w:r>
            <w:r>
              <w:rPr>
                <w:rFonts w:ascii="Verdana" w:hAnsi="Verdana"/>
              </w:rPr>
              <w:t xml:space="preserve"> la configuración de los supuestos de hecho de otras inhabilidades. Este, por ejemplo, podría ser el caso </w:t>
            </w:r>
            <w:r w:rsidRPr="00EA3BD1">
              <w:rPr>
                <w:rFonts w:ascii="Verdana" w:eastAsia="Arial" w:hAnsi="Verdana" w:cs="Arial"/>
                <w:lang w:val="es-ES"/>
              </w:rPr>
              <w:t>de</w:t>
            </w:r>
            <w:r>
              <w:rPr>
                <w:rFonts w:ascii="Verdana" w:eastAsia="Arial" w:hAnsi="Verdana" w:cs="Arial"/>
                <w:lang w:val="es-ES"/>
              </w:rPr>
              <w:t xml:space="preserve"> </w:t>
            </w:r>
            <w:r w:rsidRPr="00EA3BD1">
              <w:rPr>
                <w:rFonts w:ascii="Verdana" w:eastAsia="Arial" w:hAnsi="Verdana" w:cs="Arial"/>
                <w:lang w:val="es-ES"/>
              </w:rPr>
              <w:t>l</w:t>
            </w:r>
            <w:r>
              <w:rPr>
                <w:rFonts w:ascii="Verdana" w:eastAsia="Arial" w:hAnsi="Verdana" w:cs="Arial"/>
                <w:lang w:val="es-ES"/>
              </w:rPr>
              <w:t>a</w:t>
            </w:r>
            <w:r w:rsidRPr="00EA3BD1">
              <w:rPr>
                <w:rFonts w:ascii="Verdana" w:eastAsia="Arial" w:hAnsi="Verdana" w:cs="Arial"/>
                <w:lang w:val="es-ES"/>
              </w:rPr>
              <w:t xml:space="preserve"> </w:t>
            </w:r>
            <w:r>
              <w:rPr>
                <w:rFonts w:ascii="Verdana" w:eastAsia="Arial" w:hAnsi="Verdana" w:cs="Arial"/>
                <w:lang w:val="es-ES"/>
              </w:rPr>
              <w:t xml:space="preserve">inhabilidad por </w:t>
            </w:r>
            <w:r w:rsidRPr="00EA3BD1">
              <w:rPr>
                <w:rFonts w:ascii="Verdana" w:eastAsia="Arial" w:hAnsi="Verdana" w:cs="Arial"/>
                <w:lang w:val="es-ES"/>
              </w:rPr>
              <w:t xml:space="preserve">incumplimiento reiterado </w:t>
            </w:r>
            <w:r>
              <w:rPr>
                <w:rFonts w:ascii="Verdana" w:eastAsia="Arial" w:hAnsi="Verdana" w:cs="Arial"/>
                <w:lang w:val="es-ES"/>
              </w:rPr>
              <w:t>contemplada por el</w:t>
            </w:r>
            <w:r w:rsidRPr="00EA3BD1">
              <w:rPr>
                <w:rFonts w:ascii="Verdana" w:eastAsia="Arial" w:hAnsi="Verdana" w:cs="Arial"/>
                <w:lang w:val="es-ES"/>
              </w:rPr>
              <w:t xml:space="preserve"> artículo 90 de la Ley 1474 de 2011</w:t>
            </w:r>
            <w:r>
              <w:rPr>
                <w:rFonts w:ascii="Verdana" w:eastAsia="Arial" w:hAnsi="Verdana" w:cs="Arial"/>
                <w:lang w:val="es-ES"/>
              </w:rPr>
              <w:t xml:space="preserve">, cuya configuración bien podría estar asociada incumplimientos contractuales que han dado lugar a obras inconclusas, siempre que se cumplan </w:t>
            </w:r>
            <w:r w:rsidR="00932330">
              <w:rPr>
                <w:rFonts w:ascii="Verdana" w:eastAsia="Arial" w:hAnsi="Verdana" w:cs="Arial"/>
                <w:lang w:val="es-ES"/>
              </w:rPr>
              <w:t>los presupuestos</w:t>
            </w:r>
            <w:r>
              <w:rPr>
                <w:rFonts w:ascii="Verdana" w:eastAsia="Arial" w:hAnsi="Verdana" w:cs="Arial"/>
                <w:lang w:val="es-ES"/>
              </w:rPr>
              <w:t xml:space="preserve"> de </w:t>
            </w:r>
            <w:r w:rsidR="00B90E39">
              <w:rPr>
                <w:rFonts w:ascii="Verdana" w:eastAsia="Arial" w:hAnsi="Verdana" w:cs="Arial"/>
                <w:lang w:val="es-ES"/>
              </w:rPr>
              <w:t xml:space="preserve">dicha inhabilidad. </w:t>
            </w:r>
          </w:p>
        </w:tc>
      </w:tr>
    </w:tbl>
    <w:p w14:paraId="711E8FED" w14:textId="77777777" w:rsidR="00B14218" w:rsidRPr="00EA3BD1" w:rsidRDefault="00B14218" w:rsidP="00B14218">
      <w:pPr>
        <w:spacing w:after="0" w:line="276" w:lineRule="auto"/>
        <w:jc w:val="both"/>
        <w:rPr>
          <w:rFonts w:ascii="Verdana" w:eastAsia="Times New Roman" w:hAnsi="Verdana" w:cs="Arial"/>
          <w:color w:val="7030A0"/>
          <w:lang w:eastAsia="es-ES_tradnl"/>
        </w:rPr>
      </w:pPr>
    </w:p>
    <w:p w14:paraId="3C847A13" w14:textId="77777777" w:rsidR="00B14218" w:rsidRPr="00EA3BD1" w:rsidRDefault="00B14218" w:rsidP="00B1421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A3BD1">
        <w:rPr>
          <w:rFonts w:ascii="Verdana" w:eastAsia="Century Gothic" w:hAnsi="Verdana" w:cs="Century Gothic"/>
          <w:b/>
          <w:bCs/>
        </w:rPr>
        <w:t>3. Razones de la respuesta:</w:t>
      </w:r>
    </w:p>
    <w:p w14:paraId="414BF1DC" w14:textId="77777777" w:rsidR="00B14218" w:rsidRPr="00EA3BD1" w:rsidRDefault="00B14218" w:rsidP="00B14218">
      <w:pPr>
        <w:pStyle w:val="Prrafodelista"/>
        <w:tabs>
          <w:tab w:val="left" w:pos="142"/>
          <w:tab w:val="left" w:pos="284"/>
        </w:tabs>
        <w:spacing w:after="0" w:line="276" w:lineRule="auto"/>
        <w:ind w:left="0"/>
        <w:contextualSpacing w:val="0"/>
        <w:jc w:val="both"/>
        <w:rPr>
          <w:rFonts w:ascii="Verdana" w:eastAsia="Calibri" w:hAnsi="Verdana" w:cs="Arial"/>
        </w:rPr>
      </w:pPr>
    </w:p>
    <w:p w14:paraId="198A5F4A" w14:textId="77777777" w:rsidR="00B14218" w:rsidRDefault="00B14218" w:rsidP="00B14218">
      <w:pPr>
        <w:pStyle w:val="Prrafodelista"/>
        <w:tabs>
          <w:tab w:val="left" w:pos="142"/>
          <w:tab w:val="left" w:pos="284"/>
        </w:tabs>
        <w:spacing w:after="0" w:line="276" w:lineRule="auto"/>
        <w:ind w:left="0"/>
        <w:contextualSpacing w:val="0"/>
        <w:jc w:val="both"/>
        <w:rPr>
          <w:rFonts w:ascii="Verdana" w:eastAsia="Calibri" w:hAnsi="Verdana" w:cs="Arial"/>
        </w:rPr>
      </w:pPr>
      <w:r w:rsidRPr="00EA3BD1">
        <w:rPr>
          <w:rFonts w:ascii="Verdana" w:eastAsia="Calibri" w:hAnsi="Verdana" w:cs="Arial"/>
        </w:rPr>
        <w:t xml:space="preserve">Lo anterior se sustenta en las siguientes consideraciones: </w:t>
      </w:r>
    </w:p>
    <w:p w14:paraId="454DB032" w14:textId="77777777" w:rsidR="00953EEB" w:rsidRPr="00EA3BD1" w:rsidRDefault="00953EEB" w:rsidP="00B14218">
      <w:pPr>
        <w:pStyle w:val="Prrafodelista"/>
        <w:tabs>
          <w:tab w:val="left" w:pos="142"/>
          <w:tab w:val="left" w:pos="284"/>
        </w:tabs>
        <w:spacing w:after="0" w:line="276" w:lineRule="auto"/>
        <w:ind w:left="0"/>
        <w:contextualSpacing w:val="0"/>
        <w:jc w:val="both"/>
        <w:rPr>
          <w:rFonts w:ascii="Verdana" w:eastAsia="Calibri" w:hAnsi="Verdana" w:cs="Arial"/>
        </w:rPr>
      </w:pPr>
    </w:p>
    <w:p w14:paraId="4E3B86BF" w14:textId="12FEDDBD" w:rsidR="00EA6FE4" w:rsidRDefault="00B14218" w:rsidP="00EA6FE4">
      <w:pPr>
        <w:spacing w:after="0" w:line="276" w:lineRule="auto"/>
        <w:jc w:val="both"/>
        <w:rPr>
          <w:rFonts w:ascii="Verdana" w:eastAsia="Calibri" w:hAnsi="Verdana" w:cs="Arial"/>
          <w:lang w:val="es-MX"/>
        </w:rPr>
      </w:pPr>
      <w:r w:rsidRPr="00EA3BD1">
        <w:rPr>
          <w:rFonts w:ascii="Verdana" w:hAnsi="Verdana" w:cs="Arial"/>
          <w:lang w:val="es-ES_tradnl"/>
        </w:rPr>
        <w:t xml:space="preserve">i) </w:t>
      </w:r>
      <w:r w:rsidR="00EA6FE4" w:rsidRPr="0060163E">
        <w:rPr>
          <w:rFonts w:ascii="Verdana" w:eastAsia="Calibri" w:hAnsi="Verdana" w:cs="Arial"/>
          <w:lang w:val="es-MX"/>
        </w:rPr>
        <w:t>Las inhabilidades son circunstancias establecidas por la Constitución o la ley que impiden que personas naturales o jurídicas sean elegidas o d</w:t>
      </w:r>
      <w:r w:rsidR="00EA6FE4">
        <w:rPr>
          <w:rFonts w:ascii="Verdana" w:eastAsia="Calibri" w:hAnsi="Verdana" w:cs="Arial"/>
          <w:lang w:val="es-MX"/>
        </w:rPr>
        <w:t xml:space="preserve">esignadas en un cargo público, </w:t>
      </w:r>
      <w:r w:rsidR="00EA6FE4" w:rsidRPr="0060163E">
        <w:rPr>
          <w:rFonts w:ascii="Verdana" w:eastAsia="Calibri" w:hAnsi="Verdana" w:cs="Arial"/>
          <w:lang w:val="es-MX"/>
        </w:rPr>
        <w:t>celebren contratos con el Estado</w:t>
      </w:r>
      <w:r w:rsidR="00EA6FE4">
        <w:rPr>
          <w:rFonts w:ascii="Verdana" w:eastAsia="Calibri" w:hAnsi="Verdana" w:cs="Arial"/>
          <w:lang w:val="es-MX"/>
        </w:rPr>
        <w:t>, o no puedan ejercer una profesión</w:t>
      </w:r>
      <w:r w:rsidR="00EA6FE4"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sidR="00EA6FE4">
        <w:rPr>
          <w:rFonts w:ascii="Verdana" w:eastAsia="Calibri" w:hAnsi="Verdana" w:cs="Arial"/>
          <w:lang w:val="es-MX"/>
        </w:rPr>
        <w:t xml:space="preserve">De igual modo, en torno a la incompatibilidad, la Corte Constitucional ha señalado: </w:t>
      </w:r>
    </w:p>
    <w:p w14:paraId="5CAD1B16" w14:textId="77777777" w:rsidR="00EA6FE4" w:rsidRDefault="00EA6FE4" w:rsidP="00EA6FE4">
      <w:pPr>
        <w:spacing w:after="0" w:line="276" w:lineRule="auto"/>
        <w:jc w:val="both"/>
        <w:rPr>
          <w:rFonts w:ascii="Verdana" w:eastAsia="Calibri" w:hAnsi="Verdana" w:cs="Arial"/>
          <w:lang w:val="es-MX"/>
        </w:rPr>
      </w:pPr>
    </w:p>
    <w:p w14:paraId="77F502B1" w14:textId="77777777" w:rsidR="00EA6FE4" w:rsidRDefault="00EA6FE4" w:rsidP="00EA6FE4">
      <w:pPr>
        <w:spacing w:after="0" w:line="240" w:lineRule="auto"/>
        <w:ind w:left="709" w:right="709"/>
        <w:jc w:val="both"/>
        <w:rPr>
          <w:rFonts w:ascii="Verdana" w:eastAsia="Calibri" w:hAnsi="Verdana" w:cs="Arial"/>
          <w:bCs/>
          <w:iCs/>
          <w:sz w:val="21"/>
          <w:szCs w:val="21"/>
          <w:lang w:val="es-ES"/>
        </w:rPr>
      </w:pPr>
      <w:r w:rsidRPr="000B4D9F">
        <w:rPr>
          <w:rFonts w:ascii="Verdana" w:eastAsia="Calibri" w:hAnsi="Verdana" w:cs="Arial"/>
          <w:sz w:val="21"/>
          <w:szCs w:val="21"/>
          <w:lang w:val="es-MX"/>
        </w:rPr>
        <w:t xml:space="preserve"> </w:t>
      </w:r>
      <w:r w:rsidRPr="000B4D9F">
        <w:rPr>
          <w:rFonts w:ascii="Verdana" w:eastAsia="Calibri" w:hAnsi="Verdana" w:cs="Arial"/>
          <w:bCs/>
          <w:iCs/>
          <w:sz w:val="21"/>
          <w:szCs w:val="21"/>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0B4D9F">
        <w:rPr>
          <w:rFonts w:ascii="Verdana" w:eastAsia="Calibri" w:hAnsi="Verdana" w:cs="Arial"/>
          <w:bCs/>
          <w:iCs/>
          <w:sz w:val="21"/>
          <w:szCs w:val="21"/>
          <w:vertAlign w:val="superscript"/>
          <w:lang w:val="es-ES"/>
        </w:rPr>
        <w:footnoteReference w:id="1"/>
      </w:r>
      <w:r w:rsidRPr="000B4D9F">
        <w:rPr>
          <w:rFonts w:ascii="Verdana" w:eastAsia="Calibri" w:hAnsi="Verdana" w:cs="Arial"/>
          <w:bCs/>
          <w:iCs/>
          <w:sz w:val="21"/>
          <w:szCs w:val="21"/>
          <w:lang w:val="es-ES"/>
        </w:rPr>
        <w:t>.</w:t>
      </w:r>
    </w:p>
    <w:p w14:paraId="0D752921" w14:textId="77777777" w:rsidR="00EA6FE4" w:rsidRPr="000B4D9F" w:rsidRDefault="00EA6FE4" w:rsidP="00EA6FE4">
      <w:pPr>
        <w:spacing w:after="0" w:line="240" w:lineRule="auto"/>
        <w:ind w:left="709" w:right="709"/>
        <w:jc w:val="both"/>
        <w:rPr>
          <w:rFonts w:ascii="Verdana" w:eastAsia="Calibri" w:hAnsi="Verdana" w:cs="Arial"/>
          <w:bCs/>
          <w:iCs/>
          <w:sz w:val="21"/>
          <w:szCs w:val="21"/>
          <w:lang w:val="es-ES_tradnl"/>
        </w:rPr>
      </w:pPr>
    </w:p>
    <w:p w14:paraId="62B78EF5" w14:textId="592862AF" w:rsidR="00EA6FE4" w:rsidRDefault="00EA6FE4" w:rsidP="00EA6FE4">
      <w:pPr>
        <w:spacing w:after="120" w:line="276" w:lineRule="auto"/>
        <w:ind w:firstLine="709"/>
        <w:jc w:val="both"/>
        <w:rPr>
          <w:rFonts w:ascii="Verdana" w:eastAsia="Calibri" w:hAnsi="Verdana" w:cs="Arial"/>
          <w:lang w:val="es-MX"/>
        </w:rPr>
      </w:pPr>
      <w:r>
        <w:rPr>
          <w:rFonts w:ascii="Verdana" w:eastAsia="Calibri" w:hAnsi="Verdana" w:cs="Arial"/>
          <w:lang w:val="es-MX"/>
        </w:rPr>
        <w:t>Las inhabilidades e incompatibilidades pueden enfocarse en varios asuntos: en primer lugar, se encuentran las inhabilidades e incompatibilidades que impiden que u</w:t>
      </w:r>
      <w:r w:rsidRPr="007218AE">
        <w:rPr>
          <w:rFonts w:ascii="Verdana" w:eastAsia="Calibri" w:hAnsi="Verdana" w:cs="Arial"/>
        </w:rPr>
        <w:t xml:space="preserve">na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w:t>
      </w:r>
      <w:r>
        <w:rPr>
          <w:rFonts w:ascii="Verdana" w:eastAsia="Calibri" w:hAnsi="Verdana" w:cs="Arial"/>
        </w:rPr>
        <w:lastRenderedPageBreak/>
        <w:t xml:space="preserve">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w:t>
      </w:r>
      <w:r w:rsidR="002B6B6B">
        <w:rPr>
          <w:rFonts w:ascii="Verdana" w:eastAsia="Calibri" w:hAnsi="Verdana" w:cs="Arial"/>
          <w:lang w:val="es-MX"/>
        </w:rPr>
        <w:t>De acuerdo con</w:t>
      </w:r>
      <w:r>
        <w:rPr>
          <w:rFonts w:ascii="Verdana" w:eastAsia="Calibri" w:hAnsi="Verdana" w:cs="Arial"/>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36F44125" w14:textId="77777777" w:rsidR="00EA6FE4" w:rsidRPr="0060163E" w:rsidRDefault="00EA6FE4" w:rsidP="00EA6FE4">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2"/>
      </w:r>
    </w:p>
    <w:p w14:paraId="5373F0BF" w14:textId="77777777" w:rsidR="00EA6FE4" w:rsidRPr="0060163E" w:rsidRDefault="00EA6FE4" w:rsidP="00EA6FE4">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21E7B418" w14:textId="77777777" w:rsidR="00EA6FE4" w:rsidRPr="0060163E" w:rsidRDefault="00EA6FE4" w:rsidP="00EA6FE4">
      <w:pPr>
        <w:spacing w:after="0" w:line="276" w:lineRule="auto"/>
        <w:jc w:val="both"/>
        <w:rPr>
          <w:rFonts w:ascii="Verdana" w:eastAsia="Calibri" w:hAnsi="Verdana" w:cs="Arial"/>
          <w:lang w:val="es-MX"/>
        </w:rPr>
      </w:pPr>
    </w:p>
    <w:p w14:paraId="50F4B4FD" w14:textId="77777777" w:rsidR="00EA6FE4" w:rsidRPr="004218E1" w:rsidRDefault="00EA6FE4" w:rsidP="00EA6FE4">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56D0378F" w14:textId="77777777" w:rsidR="00EA6FE4" w:rsidRPr="004218E1" w:rsidRDefault="00EA6FE4" w:rsidP="00EA6FE4">
      <w:pPr>
        <w:shd w:val="clear" w:color="auto" w:fill="FFFFFF"/>
        <w:spacing w:after="0" w:line="240" w:lineRule="auto"/>
        <w:ind w:left="709" w:right="709"/>
        <w:jc w:val="both"/>
        <w:rPr>
          <w:rFonts w:ascii="Verdana" w:eastAsia="Calibri" w:hAnsi="Verdana" w:cs="Arial"/>
          <w:sz w:val="21"/>
          <w:szCs w:val="21"/>
          <w:lang w:val="es-ES"/>
        </w:rPr>
      </w:pPr>
    </w:p>
    <w:p w14:paraId="0CF04723" w14:textId="77777777" w:rsidR="00EA6FE4" w:rsidRPr="004218E1" w:rsidRDefault="00EA6FE4" w:rsidP="00EA6FE4">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 xml:space="preserve">Adicionalmente, toda vez que la Jurisprudencia Constitucional se ha referido a la protección del Interés General como causa que legitima la estructuración legal de las incompatibilidades e inhabilidades, se puede </w:t>
      </w:r>
      <w:r w:rsidRPr="004218E1">
        <w:rPr>
          <w:rFonts w:ascii="Verdana" w:eastAsia="Calibri" w:hAnsi="Verdana" w:cs="Arial"/>
          <w:sz w:val="21"/>
          <w:szCs w:val="21"/>
          <w:lang w:val="es-ES"/>
        </w:rPr>
        <w:lastRenderedPageBreak/>
        <w:t>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218E1">
        <w:rPr>
          <w:rFonts w:ascii="Verdana" w:eastAsia="Calibri" w:hAnsi="Verdana" w:cs="Arial"/>
          <w:sz w:val="21"/>
          <w:szCs w:val="21"/>
          <w:vertAlign w:val="superscript"/>
          <w:lang w:val="es-ES"/>
        </w:rPr>
        <w:footnoteReference w:id="3"/>
      </w:r>
    </w:p>
    <w:p w14:paraId="78E5C98D" w14:textId="77777777" w:rsidR="00EA6FE4" w:rsidRPr="0060163E" w:rsidRDefault="00EA6FE4" w:rsidP="00EA6FE4">
      <w:pPr>
        <w:shd w:val="clear" w:color="auto" w:fill="FFFFFF"/>
        <w:spacing w:after="0" w:line="240" w:lineRule="auto"/>
        <w:ind w:left="709" w:right="709"/>
        <w:jc w:val="both"/>
        <w:rPr>
          <w:rFonts w:ascii="Verdana" w:eastAsia="Calibri" w:hAnsi="Verdana" w:cs="Arial"/>
          <w:lang w:val="es-ES"/>
        </w:rPr>
      </w:pPr>
    </w:p>
    <w:p w14:paraId="22721D23" w14:textId="77777777" w:rsidR="00EA6FE4" w:rsidRPr="0060163E" w:rsidRDefault="00EA6FE4" w:rsidP="00EA6FE4">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0ED48562" w14:textId="77777777" w:rsidR="00EA6FE4" w:rsidRPr="004218E1" w:rsidRDefault="00EA6FE4" w:rsidP="00EA6FE4">
      <w:pPr>
        <w:spacing w:after="0" w:line="276" w:lineRule="auto"/>
        <w:rPr>
          <w:rFonts w:ascii="Verdana" w:eastAsia="Times New Roman" w:hAnsi="Verdana" w:cs="Arial"/>
          <w:sz w:val="21"/>
          <w:szCs w:val="21"/>
          <w:shd w:val="clear" w:color="auto" w:fill="FFFFFF"/>
          <w:lang w:eastAsia="es-ES_tradnl"/>
        </w:rPr>
      </w:pPr>
    </w:p>
    <w:p w14:paraId="0A0DC6E3" w14:textId="0234FF13" w:rsidR="00EA6FE4" w:rsidRPr="004218E1" w:rsidRDefault="00EA6FE4" w:rsidP="00EA6FE4">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r w:rsidR="00AA65B6" w:rsidRPr="004218E1">
        <w:rPr>
          <w:rFonts w:ascii="Verdana" w:eastAsia="Calibri" w:hAnsi="Verdana" w:cs="Arial"/>
          <w:sz w:val="21"/>
          <w:szCs w:val="21"/>
          <w:lang w:val="es-MX"/>
        </w:rPr>
        <w:t>incompatibilidades</w:t>
      </w:r>
      <w:r w:rsidRPr="004218E1">
        <w:rPr>
          <w:rFonts w:ascii="Verdana" w:eastAsia="Calibri" w:hAnsi="Verdana" w:cs="Arial"/>
          <w:sz w:val="21"/>
          <w:szCs w:val="21"/>
          <w:lang w:val="es-MX"/>
        </w:rPr>
        <w:t xml:space="preserve"> se erige en causal de nulidad del contrato celebrado en esas condiciones (ley 80 de 1993, art. 44).</w:t>
      </w:r>
    </w:p>
    <w:p w14:paraId="4D93B47A" w14:textId="77777777" w:rsidR="00EA6FE4" w:rsidRPr="004218E1" w:rsidRDefault="00EA6FE4" w:rsidP="00EA6FE4">
      <w:pPr>
        <w:spacing w:after="0" w:line="240" w:lineRule="auto"/>
        <w:ind w:left="709" w:right="709"/>
        <w:jc w:val="both"/>
        <w:rPr>
          <w:rFonts w:ascii="Verdana" w:eastAsia="Calibri" w:hAnsi="Verdana" w:cs="Arial"/>
          <w:sz w:val="21"/>
          <w:szCs w:val="21"/>
          <w:lang w:val="es-MX"/>
        </w:rPr>
      </w:pPr>
    </w:p>
    <w:p w14:paraId="367F8722" w14:textId="77777777" w:rsidR="00EA6FE4" w:rsidRPr="004218E1" w:rsidRDefault="00EA6FE4" w:rsidP="00EA6FE4">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w:t>
      </w:r>
      <w:r w:rsidRPr="004218E1">
        <w:rPr>
          <w:rFonts w:ascii="Verdana" w:eastAsia="Calibri" w:hAnsi="Verdana" w:cs="Arial"/>
          <w:sz w:val="21"/>
          <w:szCs w:val="21"/>
          <w:lang w:val="es-MX"/>
        </w:rPr>
        <w:lastRenderedPageBreak/>
        <w:t>constitucional como medio legítimo para restringir, en ese caso, el derecho a la igualdad y el reconocimiento de la personalidad jurídica de las personas que resultan rechazadas del ámbito contractual del Estado”</w:t>
      </w:r>
      <w:r w:rsidRPr="004218E1">
        <w:rPr>
          <w:rFonts w:ascii="Verdana" w:eastAsia="Calibri" w:hAnsi="Verdana" w:cs="Arial"/>
          <w:sz w:val="21"/>
          <w:szCs w:val="21"/>
          <w:vertAlign w:val="superscript"/>
          <w:lang w:val="es-MX"/>
        </w:rPr>
        <w:footnoteReference w:id="4"/>
      </w:r>
      <w:r w:rsidRPr="004218E1">
        <w:rPr>
          <w:rFonts w:ascii="Verdana" w:eastAsia="Calibri" w:hAnsi="Verdana" w:cs="Arial"/>
          <w:sz w:val="21"/>
          <w:szCs w:val="21"/>
          <w:lang w:val="es-MX"/>
        </w:rPr>
        <w:t xml:space="preserve">. </w:t>
      </w:r>
    </w:p>
    <w:p w14:paraId="557002E2" w14:textId="77777777" w:rsidR="00EA6FE4" w:rsidRPr="0060163E" w:rsidRDefault="00EA6FE4" w:rsidP="00EA6FE4">
      <w:pPr>
        <w:spacing w:after="0" w:line="276" w:lineRule="auto"/>
        <w:ind w:right="709"/>
        <w:jc w:val="both"/>
        <w:rPr>
          <w:rFonts w:ascii="Verdana" w:eastAsia="Calibri" w:hAnsi="Verdana" w:cs="Arial"/>
          <w:lang w:val="es-MX"/>
        </w:rPr>
      </w:pPr>
    </w:p>
    <w:p w14:paraId="452B88A5" w14:textId="77777777" w:rsidR="00EA6FE4" w:rsidRPr="0060163E" w:rsidRDefault="00EA6FE4" w:rsidP="00EA6FE4">
      <w:pPr>
        <w:spacing w:after="0" w:line="276" w:lineRule="auto"/>
        <w:ind w:firstLine="709"/>
        <w:jc w:val="both"/>
        <w:rPr>
          <w:rFonts w:ascii="Verdana" w:eastAsia="Calibri" w:hAnsi="Verdana" w:cs="Arial"/>
          <w:lang w:val="es-MX"/>
        </w:rPr>
      </w:pPr>
      <w:r w:rsidRPr="0060163E">
        <w:rPr>
          <w:rFonts w:ascii="Verdana" w:eastAsia="Calibri" w:hAnsi="Verdana" w:cs="Arial"/>
          <w:lang w:val="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3225F50A" w14:textId="77777777" w:rsidR="00EA6FE4" w:rsidRPr="0060163E" w:rsidRDefault="00EA6FE4" w:rsidP="00EA6FE4">
      <w:pPr>
        <w:tabs>
          <w:tab w:val="left" w:pos="1532"/>
        </w:tabs>
        <w:spacing w:after="0" w:line="276" w:lineRule="auto"/>
        <w:jc w:val="both"/>
        <w:rPr>
          <w:rFonts w:ascii="Verdana" w:eastAsia="Calibri" w:hAnsi="Verdana" w:cs="Arial"/>
          <w:lang w:val="es-MX"/>
        </w:rPr>
      </w:pPr>
    </w:p>
    <w:p w14:paraId="753644F7" w14:textId="77777777" w:rsidR="00EA6FE4" w:rsidRPr="004218E1" w:rsidRDefault="00EA6FE4" w:rsidP="00EA6FE4">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3E00AABF" w14:textId="77777777" w:rsidR="00EA6FE4" w:rsidRPr="004218E1" w:rsidRDefault="00EA6FE4" w:rsidP="00EA6FE4">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 </w:t>
      </w:r>
    </w:p>
    <w:p w14:paraId="3AA33455" w14:textId="591568AF" w:rsidR="00EA6FE4" w:rsidRPr="004218E1" w:rsidRDefault="00EA6FE4" w:rsidP="00EA6FE4">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Se comprende con facilidad que el régimen de inhabilidades e </w:t>
      </w:r>
      <w:r w:rsidR="00AA65B6" w:rsidRPr="004218E1">
        <w:rPr>
          <w:rFonts w:ascii="Verdana" w:eastAsia="Calibri" w:hAnsi="Verdana" w:cs="Arial"/>
          <w:sz w:val="21"/>
          <w:szCs w:val="21"/>
          <w:lang w:val="es-MX"/>
        </w:rPr>
        <w:t>incompatibilidades</w:t>
      </w:r>
      <w:r w:rsidRPr="004218E1">
        <w:rPr>
          <w:rFonts w:ascii="Verdana" w:eastAsia="Calibri" w:hAnsi="Verdana" w:cs="Arial"/>
          <w:sz w:val="21"/>
          <w:szCs w:val="21"/>
          <w:lang w:val="es-MX"/>
        </w:rPr>
        <w:t xml:space="preserve"> corresponde a una materia de normal y obligada inclusión en un estatuto contractual. El legislador, a quien se ha confiado expedir el indicado estatuto, tiene, pues, competencia para establecerlo (CP art. 150)”</w:t>
      </w:r>
      <w:r w:rsidRPr="004218E1">
        <w:rPr>
          <w:rFonts w:ascii="Verdana" w:eastAsia="Calibri" w:hAnsi="Verdana" w:cs="Arial"/>
          <w:sz w:val="21"/>
          <w:szCs w:val="21"/>
          <w:vertAlign w:val="superscript"/>
          <w:lang w:val="es-MX"/>
        </w:rPr>
        <w:footnoteReference w:id="5"/>
      </w:r>
      <w:r w:rsidRPr="004218E1">
        <w:rPr>
          <w:rFonts w:ascii="Verdana" w:eastAsia="Calibri" w:hAnsi="Verdana" w:cs="Arial"/>
          <w:sz w:val="21"/>
          <w:szCs w:val="21"/>
          <w:lang w:val="es-MX"/>
        </w:rPr>
        <w:t>.</w:t>
      </w:r>
    </w:p>
    <w:p w14:paraId="221B7DA4" w14:textId="77777777" w:rsidR="00EA6FE4" w:rsidRPr="0060163E" w:rsidRDefault="00EA6FE4" w:rsidP="00EA6FE4">
      <w:pPr>
        <w:spacing w:after="0" w:line="276" w:lineRule="auto"/>
        <w:ind w:left="709" w:right="709"/>
        <w:jc w:val="both"/>
        <w:rPr>
          <w:rFonts w:ascii="Verdana" w:eastAsia="Calibri" w:hAnsi="Verdana" w:cs="Arial"/>
          <w:lang w:val="es-MX"/>
        </w:rPr>
      </w:pPr>
    </w:p>
    <w:p w14:paraId="13AFD17A" w14:textId="77777777" w:rsidR="00EA6FE4" w:rsidRPr="0060163E" w:rsidRDefault="00EA6FE4" w:rsidP="00EA6FE4">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w:t>
      </w:r>
      <w:r w:rsidRPr="0060163E">
        <w:rPr>
          <w:rFonts w:ascii="Verdana" w:eastAsia="Calibri" w:hAnsi="Verdana" w:cs="Arial"/>
          <w:lang w:val="es-MX"/>
        </w:rPr>
        <w:lastRenderedPageBreak/>
        <w:t>propias de la persona y garantizan la moralidad, la imparcialidad, la eficacia y la transparencia</w:t>
      </w:r>
      <w:r w:rsidRPr="0060163E">
        <w:rPr>
          <w:rFonts w:ascii="Verdana" w:eastAsia="Calibri" w:hAnsi="Verdana" w:cs="Arial"/>
          <w:vertAlign w:val="superscript"/>
          <w:lang w:val="es-MX"/>
        </w:rPr>
        <w:footnoteReference w:id="6"/>
      </w:r>
      <w:r w:rsidRPr="0060163E">
        <w:rPr>
          <w:rFonts w:ascii="Verdana" w:eastAsia="Calibri" w:hAnsi="Verdana" w:cs="Arial"/>
          <w:lang w:val="es-MX"/>
        </w:rPr>
        <w:t>.</w:t>
      </w:r>
    </w:p>
    <w:p w14:paraId="5B03E114" w14:textId="77777777" w:rsidR="00EA6FE4" w:rsidRPr="0060163E" w:rsidRDefault="00EA6FE4" w:rsidP="00EA6FE4">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7"/>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3EDE991A" w14:textId="77777777" w:rsidR="00EA6FE4" w:rsidRPr="0060163E" w:rsidRDefault="00EA6FE4" w:rsidP="00EA6FE4">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7CA4564E" w14:textId="77777777" w:rsidR="00EA6FE4" w:rsidRPr="0060163E" w:rsidRDefault="00EA6FE4" w:rsidP="00EA6FE4">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0163E">
        <w:rPr>
          <w:rFonts w:ascii="Verdana" w:eastAsia="Calibri" w:hAnsi="Verdana" w:cs="Arial"/>
          <w:i/>
          <w:iCs/>
          <w:lang w:val="es-ES_tradnl"/>
        </w:rPr>
        <w:t>restrictiva</w:t>
      </w:r>
      <w:r w:rsidRPr="0060163E">
        <w:rPr>
          <w:rFonts w:ascii="Verdana" w:eastAsia="Calibri" w:hAnsi="Verdana" w:cs="Arial"/>
          <w:i/>
          <w:iCs/>
          <w:vertAlign w:val="superscript"/>
          <w:lang w:val="es-ES_tradnl"/>
        </w:rPr>
        <w:footnoteReference w:id="8"/>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w:t>
      </w:r>
      <w:r w:rsidRPr="0060163E">
        <w:rPr>
          <w:rFonts w:ascii="Verdana" w:eastAsia="Calibri" w:hAnsi="Verdana" w:cs="Arial"/>
          <w:lang w:val="es-ES_tradnl"/>
        </w:rPr>
        <w:lastRenderedPageBreak/>
        <w:t xml:space="preserve">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478FE2B3" w14:textId="77777777" w:rsidR="00EA6FE4" w:rsidRPr="0060163E" w:rsidRDefault="00EA6FE4" w:rsidP="00EA6FE4">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9"/>
      </w:r>
      <w:r w:rsidRPr="0060163E">
        <w:rPr>
          <w:rFonts w:ascii="Verdana" w:eastAsia="Calibri" w:hAnsi="Verdana" w:cs="Arial"/>
          <w:lang w:val="es-ES_tradnl"/>
        </w:rPr>
        <w:t xml:space="preserve">. </w:t>
      </w:r>
    </w:p>
    <w:p w14:paraId="75F8CA4F" w14:textId="77777777" w:rsidR="00EA6FE4" w:rsidRPr="0060163E" w:rsidRDefault="00EA6FE4" w:rsidP="00EA6FE4">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10"/>
      </w:r>
      <w:r w:rsidRPr="0060163E">
        <w:rPr>
          <w:rFonts w:ascii="Verdana" w:eastAsia="Calibri" w:hAnsi="Verdana" w:cs="Arial"/>
          <w:lang w:val="es-ES_tradnl"/>
        </w:rPr>
        <w:t>. En tal sentido, la Sección Tercera ha señalado que:</w:t>
      </w:r>
    </w:p>
    <w:p w14:paraId="64763E5F" w14:textId="77777777" w:rsidR="00EA6FE4" w:rsidRPr="0060163E" w:rsidRDefault="00EA6FE4" w:rsidP="00EA6FE4">
      <w:pPr>
        <w:spacing w:after="0" w:line="276" w:lineRule="auto"/>
        <w:ind w:firstLine="709"/>
        <w:jc w:val="both"/>
        <w:rPr>
          <w:rFonts w:ascii="Verdana" w:eastAsia="Calibri" w:hAnsi="Verdana" w:cs="Arial"/>
          <w:lang w:val="es-ES_tradnl"/>
        </w:rPr>
      </w:pPr>
    </w:p>
    <w:p w14:paraId="27439E27" w14:textId="77777777" w:rsidR="00EA6FE4" w:rsidRPr="004218E1" w:rsidRDefault="00EA6FE4" w:rsidP="00EA6FE4">
      <w:pPr>
        <w:spacing w:after="0" w:line="240" w:lineRule="auto"/>
        <w:ind w:left="709" w:right="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218E1">
        <w:rPr>
          <w:rFonts w:ascii="Verdana" w:eastAsia="Calibri" w:hAnsi="Verdana" w:cs="Arial"/>
          <w:sz w:val="21"/>
          <w:szCs w:val="21"/>
          <w:vertAlign w:val="superscript"/>
          <w:lang w:val="es-ES_tradnl"/>
        </w:rPr>
        <w:footnoteReference w:id="11"/>
      </w:r>
      <w:r w:rsidRPr="004218E1">
        <w:rPr>
          <w:rFonts w:ascii="Verdana" w:eastAsia="Calibri" w:hAnsi="Verdana" w:cs="Arial"/>
          <w:sz w:val="21"/>
          <w:szCs w:val="21"/>
          <w:lang w:val="es-ES_tradnl"/>
        </w:rPr>
        <w:t>.</w:t>
      </w:r>
    </w:p>
    <w:p w14:paraId="6816F743" w14:textId="77777777" w:rsidR="00EA6FE4" w:rsidRPr="004218E1" w:rsidRDefault="00EA6FE4" w:rsidP="00EA6FE4">
      <w:pPr>
        <w:spacing w:after="0" w:line="240" w:lineRule="auto"/>
        <w:ind w:firstLine="709"/>
        <w:jc w:val="both"/>
        <w:rPr>
          <w:rFonts w:ascii="Verdana" w:eastAsia="Calibri" w:hAnsi="Verdana" w:cs="Arial"/>
          <w:sz w:val="21"/>
          <w:szCs w:val="21"/>
          <w:lang w:val="es-ES_tradnl"/>
        </w:rPr>
      </w:pPr>
    </w:p>
    <w:p w14:paraId="5418AEEA" w14:textId="77777777" w:rsidR="00EA6FE4" w:rsidRPr="004218E1" w:rsidRDefault="00EA6FE4" w:rsidP="00EA6FE4">
      <w:pPr>
        <w:spacing w:after="0" w:line="240" w:lineRule="auto"/>
        <w:ind w:firstLine="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También ha dicho que:</w:t>
      </w:r>
    </w:p>
    <w:p w14:paraId="51FB1E39" w14:textId="77777777" w:rsidR="00EA6FE4" w:rsidRPr="004218E1" w:rsidRDefault="00EA6FE4" w:rsidP="00EA6FE4">
      <w:pPr>
        <w:spacing w:after="0" w:line="240" w:lineRule="auto"/>
        <w:ind w:left="709" w:right="616"/>
        <w:jc w:val="both"/>
        <w:rPr>
          <w:rFonts w:ascii="Verdana" w:eastAsia="Calibri" w:hAnsi="Verdana" w:cs="Arial"/>
          <w:sz w:val="21"/>
          <w:szCs w:val="21"/>
          <w:lang w:val="es-ES"/>
        </w:rPr>
      </w:pPr>
      <w:r w:rsidRPr="004218E1">
        <w:rPr>
          <w:rFonts w:ascii="Verdana" w:eastAsia="Calibri" w:hAnsi="Verdana" w:cs="Arial"/>
          <w:sz w:val="21"/>
          <w:szCs w:val="21"/>
          <w:lang w:val="es-ES"/>
        </w:rPr>
        <w:t xml:space="preserve">[…] la aplicación de estos preceptos exige una interpretación restrictiva, dado que según el principio hermenéutico </w:t>
      </w:r>
      <w:r w:rsidRPr="004218E1">
        <w:rPr>
          <w:rFonts w:ascii="Verdana" w:eastAsia="Calibri" w:hAnsi="Verdana" w:cs="Arial"/>
          <w:i/>
          <w:iCs/>
          <w:sz w:val="21"/>
          <w:szCs w:val="21"/>
          <w:lang w:val="es-ES"/>
        </w:rPr>
        <w:t>pro libertate</w:t>
      </w:r>
      <w:r w:rsidRPr="004218E1">
        <w:rPr>
          <w:rFonts w:ascii="Verdana" w:eastAsia="Calibri" w:hAnsi="Verdana" w:cs="Arial"/>
          <w:sz w:val="21"/>
          <w:szCs w:val="21"/>
          <w:lang w:val="es-ES"/>
        </w:rPr>
        <w:t xml:space="preserve">, entre varias </w:t>
      </w:r>
      <w:r w:rsidRPr="004218E1">
        <w:rPr>
          <w:rFonts w:ascii="Verdana" w:eastAsia="Calibri" w:hAnsi="Verdana" w:cs="Arial"/>
          <w:sz w:val="21"/>
          <w:szCs w:val="21"/>
          <w:lang w:val="es-ES"/>
        </w:rPr>
        <w:lastRenderedPageBreak/>
        <w:t>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218E1">
        <w:rPr>
          <w:rFonts w:ascii="Verdana" w:eastAsia="Calibri" w:hAnsi="Verdana" w:cs="Arial"/>
          <w:sz w:val="21"/>
          <w:szCs w:val="21"/>
          <w:vertAlign w:val="superscript"/>
          <w:lang w:val="es-ES"/>
        </w:rPr>
        <w:footnoteReference w:id="12"/>
      </w:r>
      <w:r w:rsidRPr="004218E1">
        <w:rPr>
          <w:rFonts w:ascii="Verdana" w:eastAsia="Calibri" w:hAnsi="Verdana" w:cs="Arial"/>
          <w:sz w:val="21"/>
          <w:szCs w:val="21"/>
          <w:lang w:val="es-ES"/>
        </w:rPr>
        <w:t>.</w:t>
      </w:r>
    </w:p>
    <w:p w14:paraId="29C35B08" w14:textId="77777777" w:rsidR="00EA6FE4" w:rsidRPr="0060163E" w:rsidRDefault="00EA6FE4" w:rsidP="00EA6FE4">
      <w:pPr>
        <w:spacing w:after="0" w:line="276" w:lineRule="auto"/>
        <w:jc w:val="both"/>
        <w:rPr>
          <w:rFonts w:ascii="Verdana" w:eastAsia="Arial" w:hAnsi="Verdana" w:cs="Arial"/>
          <w:color w:val="000000"/>
          <w:lang w:val="es-ES_tradnl"/>
        </w:rPr>
      </w:pPr>
    </w:p>
    <w:p w14:paraId="46881214" w14:textId="77777777" w:rsidR="00EA6FE4" w:rsidRDefault="00EA6FE4" w:rsidP="00EA6FE4">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pro libertate</w:t>
      </w:r>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3"/>
      </w:r>
    </w:p>
    <w:p w14:paraId="26365861" w14:textId="77777777" w:rsidR="00BB055C" w:rsidRPr="0060163E" w:rsidRDefault="00BB055C" w:rsidP="00BB055C">
      <w:pPr>
        <w:spacing w:after="0" w:line="276" w:lineRule="auto"/>
        <w:ind w:firstLine="709"/>
        <w:jc w:val="both"/>
        <w:rPr>
          <w:rFonts w:ascii="Verdana" w:eastAsia="Calibri" w:hAnsi="Verdana" w:cs="Arial"/>
          <w:color w:val="000000"/>
          <w:shd w:val="clear" w:color="auto" w:fill="FFFFFF"/>
          <w:lang w:val="es-MX"/>
        </w:rPr>
      </w:pPr>
      <w:r w:rsidRPr="0060163E">
        <w:rPr>
          <w:rFonts w:ascii="Verdana" w:eastAsia="Calibri" w:hAnsi="Verdana" w:cs="Arial"/>
          <w:shd w:val="clear" w:color="auto" w:fill="FFFFFF"/>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60163E">
        <w:rPr>
          <w:rFonts w:ascii="Verdana" w:eastAsia="Calibri" w:hAnsi="Verdana" w:cs="Arial"/>
          <w:shd w:val="clear" w:color="auto" w:fill="FFFFFF"/>
          <w:vertAlign w:val="superscript"/>
          <w:lang w:val="es-MX"/>
        </w:rPr>
        <w:footnoteReference w:id="14"/>
      </w:r>
      <w:r w:rsidRPr="0060163E">
        <w:rPr>
          <w:rFonts w:ascii="Verdana" w:eastAsia="Calibri" w:hAnsi="Verdana" w:cs="Arial"/>
          <w:shd w:val="clear" w:color="auto" w:fill="FFFFFF"/>
          <w:lang w:val="es-MX"/>
        </w:rPr>
        <w:t xml:space="preserve"> En similar sentido, la Sala de Consulta y Servicio Civil del Consejo de Estado expresó </w:t>
      </w:r>
      <w:r w:rsidRPr="0060163E">
        <w:rPr>
          <w:rFonts w:ascii="Verdana" w:eastAsia="Calibri" w:hAnsi="Verdana" w:cs="Arial"/>
          <w:color w:val="000000"/>
          <w:shd w:val="clear" w:color="auto" w:fill="FFFFFF"/>
          <w:lang w:val="es-MX"/>
        </w:rPr>
        <w:t xml:space="preserve">que “[…] las causales de inhabilidad e incompatibilidad deben estar expresa y taxativamente establecidas en la Constitución o en la ley y son de aplicación e interpretación </w:t>
      </w:r>
      <w:r w:rsidRPr="0060163E">
        <w:rPr>
          <w:rFonts w:ascii="Verdana" w:eastAsia="Calibri" w:hAnsi="Verdana" w:cs="Arial"/>
          <w:color w:val="000000"/>
          <w:shd w:val="clear" w:color="auto" w:fill="FFFFFF"/>
          <w:lang w:val="es-MX"/>
        </w:rPr>
        <w:lastRenderedPageBreak/>
        <w:t>restrictivas […]”</w:t>
      </w:r>
      <w:r w:rsidRPr="0060163E">
        <w:rPr>
          <w:rFonts w:ascii="Verdana" w:eastAsia="Calibri" w:hAnsi="Verdana" w:cs="Arial"/>
          <w:color w:val="000000"/>
          <w:shd w:val="clear" w:color="auto" w:fill="FFFFFF"/>
          <w:vertAlign w:val="superscript"/>
          <w:lang w:val="es-MX"/>
        </w:rPr>
        <w:footnoteReference w:id="15"/>
      </w:r>
      <w:r w:rsidRPr="0060163E">
        <w:rPr>
          <w:rFonts w:ascii="Verdana" w:eastAsia="Calibri" w:hAnsi="Verdana" w:cs="Arial"/>
          <w:color w:val="000000"/>
          <w:shd w:val="clear" w:color="auto" w:fill="FFFFFF"/>
          <w:lang w:val="es-MX"/>
        </w:rPr>
        <w:t xml:space="preserve">. </w:t>
      </w:r>
      <w:r w:rsidRPr="0060163E">
        <w:rPr>
          <w:rFonts w:ascii="Verdana" w:eastAsia="MS Mincho" w:hAnsi="Verdana" w:cs="Arial"/>
          <w:color w:val="000000"/>
          <w:shd w:val="clear" w:color="auto" w:fill="FFFFFF"/>
          <w:lang w:val="es-MX"/>
        </w:rPr>
        <w:t xml:space="preserve">Como se observa, </w:t>
      </w:r>
      <w:r w:rsidRPr="0060163E">
        <w:rPr>
          <w:rFonts w:ascii="Verdana" w:eastAsia="MS Mincho" w:hAnsi="Verdana" w:cs="Arial"/>
          <w:color w:val="000000"/>
          <w:shd w:val="clear" w:color="auto" w:fill="FFFFFF"/>
        </w:rPr>
        <w:t>existe consenso, incluso como lo ha expresado esta Agencia en ocasiones anteriores, que la creación de inhabilidades o incompatibilidades está reservada al constituyente o al legislador.</w:t>
      </w:r>
    </w:p>
    <w:p w14:paraId="3D8E2F79" w14:textId="77777777" w:rsidR="00BB055C" w:rsidRPr="0060163E" w:rsidRDefault="00BB055C" w:rsidP="00EA6FE4">
      <w:pPr>
        <w:spacing w:after="120" w:line="276" w:lineRule="auto"/>
        <w:ind w:firstLine="708"/>
        <w:jc w:val="both"/>
        <w:rPr>
          <w:rFonts w:ascii="Verdana" w:eastAsia="Calibri" w:hAnsi="Verdana" w:cs="Arial"/>
          <w:color w:val="000000"/>
          <w:lang w:val="es-MX"/>
        </w:rPr>
      </w:pPr>
    </w:p>
    <w:p w14:paraId="6C764F9B" w14:textId="2D57FFBF" w:rsidR="00B14218" w:rsidRPr="00EA3BD1" w:rsidRDefault="00BB055C" w:rsidP="00B14218">
      <w:pPr>
        <w:tabs>
          <w:tab w:val="left" w:pos="0"/>
        </w:tabs>
        <w:spacing w:before="120" w:after="0" w:line="276" w:lineRule="auto"/>
        <w:jc w:val="both"/>
        <w:rPr>
          <w:rFonts w:ascii="Verdana" w:hAnsi="Verdana" w:cs="Arial"/>
          <w:lang w:val="es-ES_tradnl"/>
        </w:rPr>
      </w:pPr>
      <w:r>
        <w:rPr>
          <w:rFonts w:ascii="Verdana" w:hAnsi="Verdana" w:cs="Arial"/>
          <w:lang w:val="es-MX"/>
        </w:rPr>
        <w:t xml:space="preserve">ii) </w:t>
      </w:r>
      <w:r w:rsidR="00840B2D">
        <w:rPr>
          <w:rFonts w:ascii="Verdana" w:hAnsi="Verdana" w:cs="Arial"/>
          <w:lang w:val="es-ES_tradnl"/>
        </w:rPr>
        <w:t>La</w:t>
      </w:r>
      <w:r w:rsidR="00B14218" w:rsidRPr="00EA3BD1">
        <w:rPr>
          <w:rFonts w:ascii="Verdana" w:hAnsi="Verdana" w:cs="Arial"/>
          <w:lang w:val="es-ES_tradnl"/>
        </w:rPr>
        <w:t xml:space="preserve"> Ley 2020 de 2020 creó el Registro Nacional de Obras Civiles Inconclusas</w:t>
      </w:r>
      <w:r w:rsidR="00840B2D">
        <w:rPr>
          <w:rFonts w:ascii="Verdana" w:hAnsi="Verdana" w:cs="Arial"/>
          <w:lang w:val="es-ES_tradnl"/>
        </w:rPr>
        <w:t xml:space="preserve">, el cual consiste en </w:t>
      </w:r>
      <w:r w:rsidR="00B14218" w:rsidRPr="00EA3BD1">
        <w:rPr>
          <w:rFonts w:ascii="Verdana" w:hAnsi="Verdana" w:cs="Arial"/>
          <w:lang w:val="es-ES_tradnl"/>
        </w:rPr>
        <w:t xml:space="preserve">un sistema que permite identificar el estado de ejecución o terminación de las obras financiadas total o parcialmente con recursos públicos, para concretar su destinación definitiva. </w:t>
      </w:r>
      <w:bookmarkStart w:id="1" w:name="_Hlk71184857"/>
      <w:r w:rsidR="00B14218" w:rsidRPr="00EA3BD1">
        <w:rPr>
          <w:rFonts w:ascii="Verdana" w:hAnsi="Verdana" w:cs="Arial"/>
          <w:lang w:val="es-ES_tradnl"/>
        </w:rPr>
        <w:t xml:space="preserve">Según el inciso primero del literal a) del artículo 2 de esta ley, se entiende por obra civil inconclusa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bookmarkEnd w:id="1"/>
    </w:p>
    <w:p w14:paraId="11D8D038" w14:textId="77777777" w:rsidR="00B14218" w:rsidRPr="00EA3BD1" w:rsidRDefault="00B14218" w:rsidP="00B14218">
      <w:pPr>
        <w:tabs>
          <w:tab w:val="left" w:pos="0"/>
        </w:tabs>
        <w:spacing w:before="120" w:after="0" w:line="276" w:lineRule="auto"/>
        <w:ind w:firstLine="709"/>
        <w:jc w:val="both"/>
        <w:rPr>
          <w:rFonts w:ascii="Verdana" w:hAnsi="Verdana" w:cs="Arial"/>
          <w:lang w:val="es-ES_tradnl"/>
        </w:rPr>
      </w:pPr>
      <w:r w:rsidRPr="00EA3BD1">
        <w:rPr>
          <w:rFonts w:ascii="Verdana" w:hAnsi="Verdana" w:cs="Arial"/>
          <w:lang w:val="es-ES_tradnl"/>
        </w:rPr>
        <w:t>En otras palabras, el concepto de obra civil inconclusa es armónico con la definición del contrato de obra, prevista en el artículo 32 de la Ley 80 de 1993, según el cual “Son contratos de obra los que 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p>
    <w:p w14:paraId="45B89ED4" w14:textId="77777777" w:rsidR="00B14218" w:rsidRPr="00EA3BD1" w:rsidRDefault="00B14218" w:rsidP="00B14218">
      <w:pPr>
        <w:tabs>
          <w:tab w:val="left" w:pos="0"/>
        </w:tabs>
        <w:spacing w:before="120" w:after="0" w:line="276" w:lineRule="auto"/>
        <w:ind w:firstLine="709"/>
        <w:jc w:val="both"/>
        <w:rPr>
          <w:rFonts w:ascii="Verdana" w:hAnsi="Verdana" w:cs="Arial"/>
          <w:lang w:val="es-ES_tradnl"/>
        </w:rPr>
      </w:pPr>
      <w:r w:rsidRPr="00EA3BD1">
        <w:rPr>
          <w:rFonts w:ascii="Verdana" w:hAnsi="Verdana" w:cs="Arial"/>
          <w:lang w:val="es-ES_tradnl"/>
        </w:rPr>
        <w:t>Por su parte, el inciso segundo del literal a) del artículo 2 de dicha Ley establece la hipótesis en la que no se haya concluido satisfactoriamente la obra civil por causas no imputables al contratista. A este respecto, señala que “Cuando la obra civil no haya concluido de manera satisfactoria por causas que no sean imputables al contratista, un comité técnico, designado por el representante legal de la entidad contratante, definirá si efectivamente corresponde a una obra civil inconclusa”.</w:t>
      </w:r>
    </w:p>
    <w:p w14:paraId="56B2047B" w14:textId="77777777" w:rsidR="00B14218" w:rsidRPr="00EA3BD1" w:rsidRDefault="00B14218" w:rsidP="00B14218">
      <w:pPr>
        <w:tabs>
          <w:tab w:val="left" w:pos="0"/>
        </w:tabs>
        <w:spacing w:before="120" w:after="0" w:line="276" w:lineRule="auto"/>
        <w:ind w:firstLine="709"/>
        <w:jc w:val="both"/>
        <w:rPr>
          <w:rFonts w:ascii="Verdana" w:hAnsi="Verdana" w:cs="Arial"/>
          <w:lang w:val="es-ES_tradnl"/>
        </w:rPr>
      </w:pPr>
      <w:r w:rsidRPr="00EA3BD1">
        <w:rPr>
          <w:rFonts w:ascii="Verdana" w:hAnsi="Verdana" w:cs="Arial"/>
          <w:lang w:val="es-ES_tradnl"/>
        </w:rPr>
        <w:t xml:space="preserve">De la definición del artículo 2 de la Ley 2020 de 2020 se resalta lo siguiente. Por un lado, cuando la obra civil cumpla con los elementos </w:t>
      </w:r>
      <w:r w:rsidRPr="00EA3BD1">
        <w:rPr>
          <w:rFonts w:ascii="Verdana" w:hAnsi="Verdana" w:cs="Arial"/>
          <w:lang w:val="es-ES_tradnl"/>
        </w:rPr>
        <w:lastRenderedPageBreak/>
        <w:t xml:space="preserve">establecidos en el inciso primero literal a) del artículo 2, deberá catalogarse como obra civil inconclusa. Es decir, si el trabajo material sobre el bien inmueble no ha concluido de manera satisfactoria o no está prestando el servicio para el que se contrató y ha transcurrido un año o más desde que se venció el término de liquidación contractual, se considera obra civil inconclusa. Por otra parte, cuando la obra civil cumple los presupuestos anteriores, pero no concluyó por causas no imputables al contratista, la entidad contratante será la encargada de determinar si la misma se define como obra civil inconclusa, previa valoración de un comité técnico designado por el representante legal de la entidad contratante. </w:t>
      </w:r>
    </w:p>
    <w:p w14:paraId="0662B7E2" w14:textId="77777777" w:rsidR="00B14218" w:rsidRPr="00EA3BD1" w:rsidRDefault="00B14218" w:rsidP="00B14218">
      <w:pPr>
        <w:tabs>
          <w:tab w:val="left" w:pos="0"/>
        </w:tabs>
        <w:spacing w:before="120" w:after="0" w:line="276" w:lineRule="auto"/>
        <w:ind w:firstLine="709"/>
        <w:jc w:val="both"/>
        <w:rPr>
          <w:rFonts w:ascii="Verdana" w:hAnsi="Verdana" w:cs="Arial"/>
          <w:lang w:val="es-ES_tradnl"/>
        </w:rPr>
      </w:pPr>
      <w:r w:rsidRPr="00EA3BD1">
        <w:rPr>
          <w:rFonts w:ascii="Verdana" w:hAnsi="Verdana" w:cs="Arial"/>
          <w:lang w:val="es-ES_tradnl"/>
        </w:rPr>
        <w:t>Esta última precisión es importante, debido a que el propósito del literal a) del artículo 2 de la Ley 2020 de 2020 es definir el concepto de obra civil inconclusa, sin desconocer que durante la ejecución de un contrato pueden presentarse situaciones ajenas y exógenas al contratista que impiden la culminación de la obra. Lo que pretende el legislador es que sea un órgano o una autoridad determinada, la que analice las circunstancias particulares del caso y las razones técnicas por las cuales la obra civil quedó en estado incompleto</w:t>
      </w:r>
      <w:r w:rsidRPr="00EA3BD1">
        <w:rPr>
          <w:rFonts w:ascii="Verdana" w:hAnsi="Verdana" w:cs="Arial"/>
          <w:color w:val="EE0000"/>
          <w:lang w:val="es-ES_tradnl"/>
        </w:rPr>
        <w:t xml:space="preserve">. </w:t>
      </w:r>
      <w:r w:rsidRPr="00EA3BD1">
        <w:rPr>
          <w:rFonts w:ascii="Verdana" w:hAnsi="Verdana" w:cs="Arial"/>
          <w:lang w:val="es-ES_tradnl"/>
        </w:rPr>
        <w:t xml:space="preserve">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1434FA5F" w14:textId="23FB1436" w:rsidR="00B14218" w:rsidRPr="00EA3BD1" w:rsidRDefault="00B14218" w:rsidP="7C40BFE3">
      <w:pPr>
        <w:spacing w:before="120" w:after="0" w:line="276" w:lineRule="auto"/>
        <w:ind w:firstLine="709"/>
        <w:jc w:val="both"/>
        <w:rPr>
          <w:rFonts w:ascii="Verdana" w:hAnsi="Verdana" w:cs="Arial"/>
          <w:lang w:val="es-ES"/>
        </w:rPr>
      </w:pPr>
      <w:r w:rsidRPr="7C40BFE3">
        <w:rPr>
          <w:rFonts w:ascii="Verdana" w:hAnsi="Verdana" w:cs="Arial"/>
          <w:lang w:val="es-ES"/>
        </w:rPr>
        <w:t xml:space="preserve">En esta medida, el propósito de la norma es no solo estructurar un sistema de registro, sino también identificar el estado real de la infraestructura de obra en cada entidad pública, con miras a elaborar un diagnóstico sobre la viabilidad técnica, financiera y jurídica de terminar o demoler la obra, asegurando que pueda realizar una inversión de sus recursos para la intervención de esta. Por ello los artículos 5 y 13 </w:t>
      </w:r>
      <w:r w:rsidR="006859C1" w:rsidRPr="7C40BFE3">
        <w:rPr>
          <w:rFonts w:ascii="Verdana" w:hAnsi="Verdana" w:cs="Arial"/>
          <w:lang w:val="es-ES"/>
        </w:rPr>
        <w:t>Ibídem</w:t>
      </w:r>
      <w:r w:rsidRPr="7C40BFE3">
        <w:rPr>
          <w:rFonts w:ascii="Verdana" w:hAnsi="Verdana" w:cs="Arial"/>
          <w:lang w:val="es-ES"/>
        </w:rPr>
        <w:t xml:space="preserve"> disponen que la entidad estatal contratante decidirá sobre la intervención física de terminación o demolición de la obra civil inconclusa, para lo cual podrá disponer de las partidas necesarias, según la disponibilidad de recursos compatibles con el marco fiscal de mediano plazo y la regla fiscal de cada entidad. Además, podrá presentarse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p>
    <w:p w14:paraId="4F75DADD" w14:textId="77777777" w:rsidR="00B14218" w:rsidRPr="00EA3BD1" w:rsidRDefault="00B14218" w:rsidP="00B14218">
      <w:pPr>
        <w:tabs>
          <w:tab w:val="left" w:pos="0"/>
        </w:tabs>
        <w:spacing w:before="120" w:after="0" w:line="276" w:lineRule="auto"/>
        <w:ind w:firstLine="709"/>
        <w:jc w:val="both"/>
        <w:rPr>
          <w:rFonts w:ascii="Verdana" w:hAnsi="Verdana" w:cs="Arial"/>
          <w:lang w:val="es-ES_tradnl"/>
        </w:rPr>
      </w:pPr>
      <w:r w:rsidRPr="00EA3BD1">
        <w:rPr>
          <w:rFonts w:ascii="Verdana" w:hAnsi="Verdana" w:cs="Arial"/>
          <w:lang w:val="es-ES_tradnl"/>
        </w:rPr>
        <w:lastRenderedPageBreak/>
        <w:t xml:space="preserve">De conformidad con el artículo 3 de la Ley 2020 de 2020, el Registro Nacional de Obras Civiles Inconclusas es un sistema administrado por la Contraloría General de la República,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 </w:t>
      </w:r>
    </w:p>
    <w:p w14:paraId="775A2DA5" w14:textId="77777777" w:rsidR="00B14218" w:rsidRPr="00EA3BD1" w:rsidRDefault="00B14218" w:rsidP="00B14218">
      <w:pPr>
        <w:tabs>
          <w:tab w:val="left" w:pos="0"/>
        </w:tabs>
        <w:spacing w:before="120" w:after="0" w:line="276" w:lineRule="auto"/>
        <w:ind w:firstLine="709"/>
        <w:jc w:val="both"/>
        <w:rPr>
          <w:rFonts w:ascii="Verdana" w:hAnsi="Verdana" w:cs="Arial"/>
          <w:lang w:val="es-ES_tradnl"/>
        </w:rPr>
      </w:pPr>
      <w:r w:rsidRPr="00EA3BD1">
        <w:rPr>
          <w:rFonts w:ascii="Verdana" w:hAnsi="Verdana" w:cs="Arial"/>
          <w:lang w:val="es-ES_tradnl"/>
        </w:rPr>
        <w:t>La información de este registro debe actualizarse permanentemente.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p>
    <w:p w14:paraId="5995F938" w14:textId="77777777" w:rsidR="00B14218" w:rsidRPr="00EA3BD1" w:rsidRDefault="00B14218" w:rsidP="00B14218">
      <w:pPr>
        <w:tabs>
          <w:tab w:val="left" w:pos="0"/>
        </w:tabs>
        <w:spacing w:before="120" w:after="0" w:line="276" w:lineRule="auto"/>
        <w:ind w:firstLine="709"/>
        <w:jc w:val="both"/>
        <w:rPr>
          <w:rFonts w:ascii="Verdana" w:hAnsi="Verdana" w:cs="Arial"/>
          <w:lang w:val="es-ES_tradnl"/>
        </w:rPr>
      </w:pPr>
      <w:r w:rsidRPr="00EA3BD1">
        <w:rPr>
          <w:rFonts w:ascii="Verdana" w:hAnsi="Verdana" w:cs="Arial"/>
          <w:lang w:val="es-ES_tradnl"/>
        </w:rPr>
        <w:t>El artículo 6 de la Ley 2020 de 2020 establece un deber a cargo de las entidades estatales dentro de los procedimientos que adelanten para la contratación de obras públicas. Consiste en la obligación de consultar y analizar la información contenida en el Registro Nacional de Obras Civiles Inconclusas. Además, dispone que en los procesos de selección de contratistas de obra e interventores han de considerarse las anotaciones del registro en la evaluación de las ofertas. La norma prescribe lo siguiente:</w:t>
      </w:r>
    </w:p>
    <w:p w14:paraId="6986B0EF" w14:textId="77777777" w:rsidR="00B14218" w:rsidRPr="00EA3BD1" w:rsidRDefault="00B14218" w:rsidP="00B14218">
      <w:pPr>
        <w:tabs>
          <w:tab w:val="left" w:pos="0"/>
        </w:tabs>
        <w:spacing w:before="120" w:after="0" w:line="276" w:lineRule="auto"/>
        <w:ind w:left="709" w:right="709"/>
        <w:jc w:val="both"/>
        <w:rPr>
          <w:rFonts w:ascii="Verdana" w:hAnsi="Verdana" w:cs="Arial"/>
          <w:sz w:val="20"/>
          <w:szCs w:val="20"/>
          <w:lang w:val="es-ES_tradnl"/>
        </w:rPr>
      </w:pPr>
      <w:r w:rsidRPr="00EA3BD1">
        <w:rPr>
          <w:rFonts w:ascii="Verdana" w:hAnsi="Verdana" w:cs="Arial"/>
          <w:lang w:val="es-ES_tradnl"/>
        </w:rPr>
        <w:t>“</w:t>
      </w:r>
      <w:r w:rsidRPr="00EA3BD1">
        <w:rPr>
          <w:rFonts w:ascii="Verdana" w:hAnsi="Verdana" w:cs="Arial"/>
          <w:sz w:val="20"/>
          <w:szCs w:val="20"/>
          <w:lang w:val="es-ES_tradnl"/>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6F3EA7A0" w14:textId="77777777" w:rsidR="00B14218" w:rsidRPr="00EA3BD1" w:rsidRDefault="00B14218" w:rsidP="00B14218">
      <w:pPr>
        <w:tabs>
          <w:tab w:val="left" w:pos="0"/>
        </w:tabs>
        <w:spacing w:before="120" w:after="0" w:line="276" w:lineRule="auto"/>
        <w:ind w:left="709" w:right="709"/>
        <w:jc w:val="both"/>
        <w:rPr>
          <w:rFonts w:ascii="Verdana" w:hAnsi="Verdana" w:cs="Arial"/>
          <w:sz w:val="20"/>
          <w:szCs w:val="20"/>
          <w:lang w:val="es-ES_tradnl"/>
        </w:rPr>
      </w:pPr>
      <w:r w:rsidRPr="00EA3BD1">
        <w:rPr>
          <w:rFonts w:ascii="Verdana" w:hAnsi="Verdana" w:cs="Arial"/>
          <w:sz w:val="20"/>
          <w:szCs w:val="20"/>
          <w:lang w:val="es-ES_tradnl"/>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 de la Ley 1150 de 2007 o la norma que la modifique.</w:t>
      </w:r>
    </w:p>
    <w:p w14:paraId="51B1870E" w14:textId="77777777" w:rsidR="00B14218" w:rsidRPr="00EA3BD1" w:rsidRDefault="00B14218" w:rsidP="00B14218">
      <w:pPr>
        <w:tabs>
          <w:tab w:val="left" w:pos="0"/>
        </w:tabs>
        <w:spacing w:before="120" w:after="0" w:line="276" w:lineRule="auto"/>
        <w:ind w:left="709" w:right="709"/>
        <w:jc w:val="both"/>
        <w:rPr>
          <w:rFonts w:ascii="Verdana" w:hAnsi="Verdana" w:cs="Arial"/>
          <w:sz w:val="20"/>
          <w:szCs w:val="20"/>
          <w:lang w:val="es-ES_tradnl"/>
        </w:rPr>
      </w:pPr>
      <w:r w:rsidRPr="00EA3BD1">
        <w:rPr>
          <w:rFonts w:ascii="Verdana" w:hAnsi="Verdana" w:cs="Arial"/>
          <w:sz w:val="20"/>
          <w:szCs w:val="20"/>
          <w:lang w:val="es-ES_tradnl"/>
        </w:rPr>
        <w:t xml:space="preserve">Cualquier controversia o solicitud que surja en relación con los reportes de información que suministre la entidad contratante, serán resueltos por </w:t>
      </w:r>
      <w:r w:rsidRPr="00EA3BD1">
        <w:rPr>
          <w:rFonts w:ascii="Verdana" w:hAnsi="Verdana" w:cs="Arial"/>
          <w:sz w:val="20"/>
          <w:szCs w:val="20"/>
          <w:lang w:val="es-ES_tradnl"/>
        </w:rPr>
        <w:lastRenderedPageBreak/>
        <w:t>esta, atendiendo los principios y disposiciones establecidos en la normatividad vigente”</w:t>
      </w:r>
    </w:p>
    <w:p w14:paraId="22970D83" w14:textId="77777777" w:rsidR="00B14218" w:rsidRPr="00EA3BD1" w:rsidRDefault="00B14218" w:rsidP="00B14218">
      <w:pPr>
        <w:tabs>
          <w:tab w:val="left" w:pos="0"/>
        </w:tabs>
        <w:spacing w:before="120" w:after="0" w:line="276" w:lineRule="auto"/>
        <w:ind w:firstLine="709"/>
        <w:jc w:val="both"/>
        <w:rPr>
          <w:rFonts w:ascii="Verdana" w:hAnsi="Verdana" w:cs="Arial"/>
          <w:lang w:val="es-ES_tradnl"/>
        </w:rPr>
      </w:pPr>
      <w:r w:rsidRPr="00EA3BD1">
        <w:rPr>
          <w:rFonts w:ascii="Verdana" w:hAnsi="Verdana" w:cs="Arial"/>
          <w:lang w:val="es-ES_tradnl"/>
        </w:rPr>
        <w:t>Como se observa, el artículo 6 de la Ley 2020 de 2020 se remite al literal a) del artículo 5 de la Ley 1150 de 2007, conviene recordar lo señalado en dicho enunciado normativo. Este consagra los criterios para garantizar la selección objetiva en los procedimientos contractuales, precisando la metodología con la cual pueden establecerse tanto los requisitos habilitantes como los criterios de evaluación. En lo pertinente, la norma dispone:</w:t>
      </w:r>
    </w:p>
    <w:p w14:paraId="7FC86C8F" w14:textId="77777777" w:rsidR="005C76B6" w:rsidRDefault="005C76B6" w:rsidP="005C76B6">
      <w:pPr>
        <w:tabs>
          <w:tab w:val="left" w:pos="0"/>
        </w:tabs>
        <w:spacing w:after="0" w:line="276" w:lineRule="auto"/>
        <w:ind w:left="709" w:right="709"/>
        <w:jc w:val="both"/>
        <w:rPr>
          <w:rFonts w:ascii="Verdana" w:hAnsi="Verdana" w:cs="Arial"/>
          <w:sz w:val="20"/>
          <w:szCs w:val="20"/>
          <w:lang w:val="es-ES_tradnl"/>
        </w:rPr>
      </w:pPr>
    </w:p>
    <w:p w14:paraId="17EE23DF" w14:textId="2423783C" w:rsidR="00B14218" w:rsidRPr="00EA3BD1" w:rsidRDefault="00B14218" w:rsidP="00312394">
      <w:pPr>
        <w:tabs>
          <w:tab w:val="left" w:pos="0"/>
        </w:tabs>
        <w:spacing w:after="0" w:line="276" w:lineRule="auto"/>
        <w:ind w:left="709" w:right="709"/>
        <w:jc w:val="both"/>
        <w:rPr>
          <w:rFonts w:ascii="Verdana" w:hAnsi="Verdana" w:cs="Arial"/>
          <w:sz w:val="20"/>
          <w:szCs w:val="20"/>
          <w:lang w:val="es-ES_tradnl"/>
        </w:rPr>
      </w:pPr>
      <w:r w:rsidRPr="00EA3BD1">
        <w:rPr>
          <w:rFonts w:ascii="Verdana" w:hAnsi="Verdana" w:cs="Arial"/>
          <w:sz w:val="20"/>
          <w:szCs w:val="20"/>
          <w:lang w:val="es-ES_tradnl"/>
        </w:rPr>
        <w: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25E2EE37" w14:textId="77777777" w:rsidR="00B14218" w:rsidRDefault="00B14218" w:rsidP="005C76B6">
      <w:pPr>
        <w:tabs>
          <w:tab w:val="left" w:pos="0"/>
        </w:tabs>
        <w:spacing w:after="0" w:line="276" w:lineRule="auto"/>
        <w:ind w:left="709" w:right="709"/>
        <w:jc w:val="both"/>
        <w:rPr>
          <w:rFonts w:ascii="Verdana" w:hAnsi="Verdana" w:cs="Arial"/>
          <w:sz w:val="20"/>
          <w:szCs w:val="20"/>
          <w:lang w:val="es-ES_tradnl"/>
        </w:rPr>
      </w:pPr>
      <w:r w:rsidRPr="00EA3BD1">
        <w:rPr>
          <w:rFonts w:ascii="Verdana" w:hAnsi="Verdana" w:cs="Arial"/>
          <w:sz w:val="20"/>
          <w:szCs w:val="20"/>
          <w:lang w:val="es-ES_tradnl"/>
        </w:rPr>
        <w:t>En los procesos de selección en los que se tenga en cuenta los factores técnicos y económicos, la oferta más ventajosa será la que resulte de aplicar alguna de las siguientes alternativas:</w:t>
      </w:r>
    </w:p>
    <w:p w14:paraId="663C2EED" w14:textId="77777777" w:rsidR="005C76B6" w:rsidRPr="00EA3BD1" w:rsidRDefault="005C76B6" w:rsidP="00312394">
      <w:pPr>
        <w:tabs>
          <w:tab w:val="left" w:pos="0"/>
        </w:tabs>
        <w:spacing w:after="0" w:line="276" w:lineRule="auto"/>
        <w:ind w:left="709" w:right="709"/>
        <w:jc w:val="both"/>
        <w:rPr>
          <w:rFonts w:ascii="Verdana" w:hAnsi="Verdana" w:cs="Arial"/>
          <w:sz w:val="20"/>
          <w:szCs w:val="20"/>
          <w:lang w:val="es-ES_tradnl"/>
        </w:rPr>
      </w:pPr>
    </w:p>
    <w:p w14:paraId="0DD98368" w14:textId="77777777" w:rsidR="00B14218" w:rsidRPr="00EA3BD1" w:rsidRDefault="00B14218" w:rsidP="00312394">
      <w:pPr>
        <w:tabs>
          <w:tab w:val="left" w:pos="0"/>
        </w:tabs>
        <w:spacing w:after="0" w:line="276" w:lineRule="auto"/>
        <w:ind w:left="709" w:right="709"/>
        <w:jc w:val="both"/>
        <w:rPr>
          <w:rFonts w:ascii="Verdana" w:hAnsi="Verdana" w:cs="Arial"/>
          <w:sz w:val="20"/>
          <w:szCs w:val="20"/>
          <w:lang w:val="es-ES_tradnl"/>
        </w:rPr>
      </w:pPr>
      <w:r w:rsidRPr="00EA3BD1">
        <w:rPr>
          <w:rFonts w:ascii="Verdana" w:hAnsi="Verdana" w:cs="Arial"/>
          <w:sz w:val="20"/>
          <w:szCs w:val="20"/>
          <w:lang w:val="es-ES_tradnl"/>
        </w:rPr>
        <w:t>a) La ponderación de los elementos de calidad y precio soportados en puntajes o fórmulas señaladas en el pliego de condiciones; o</w:t>
      </w:r>
    </w:p>
    <w:p w14:paraId="162A776B" w14:textId="77777777" w:rsidR="005C76B6" w:rsidRDefault="005C76B6" w:rsidP="005C76B6">
      <w:pPr>
        <w:tabs>
          <w:tab w:val="left" w:pos="0"/>
        </w:tabs>
        <w:spacing w:after="0" w:line="276" w:lineRule="auto"/>
        <w:ind w:left="709" w:right="709"/>
        <w:jc w:val="both"/>
        <w:rPr>
          <w:rFonts w:ascii="Verdana" w:hAnsi="Verdana" w:cs="Arial"/>
          <w:sz w:val="20"/>
          <w:szCs w:val="20"/>
          <w:lang w:val="es-ES_tradnl"/>
        </w:rPr>
      </w:pPr>
    </w:p>
    <w:p w14:paraId="6C92F4EF" w14:textId="28DBDFEE" w:rsidR="00B14218" w:rsidRDefault="00B14218" w:rsidP="00312394">
      <w:pPr>
        <w:tabs>
          <w:tab w:val="left" w:pos="0"/>
        </w:tabs>
        <w:spacing w:after="0" w:line="276" w:lineRule="auto"/>
        <w:ind w:left="709" w:right="709"/>
        <w:jc w:val="both"/>
        <w:rPr>
          <w:rFonts w:ascii="Verdana" w:hAnsi="Verdana" w:cs="Arial"/>
          <w:sz w:val="20"/>
          <w:szCs w:val="20"/>
          <w:lang w:val="es-ES_tradnl"/>
        </w:rPr>
      </w:pPr>
      <w:r w:rsidRPr="00EA3BD1">
        <w:rPr>
          <w:rFonts w:ascii="Verdana" w:hAnsi="Verdana" w:cs="Arial"/>
          <w:sz w:val="20"/>
          <w:szCs w:val="20"/>
          <w:lang w:val="es-ES_tradnl"/>
        </w:rPr>
        <w:t xml:space="preserve">b) La ponderación de los elementos de calidad y precio que representen la mejor relación de costo-beneficio para la entidad (…)” </w:t>
      </w:r>
    </w:p>
    <w:p w14:paraId="7E7F6157" w14:textId="77777777" w:rsidR="005C76B6" w:rsidRPr="00EA3BD1" w:rsidRDefault="005C76B6" w:rsidP="00312394">
      <w:pPr>
        <w:tabs>
          <w:tab w:val="left" w:pos="0"/>
        </w:tabs>
        <w:spacing w:after="0" w:line="276" w:lineRule="auto"/>
        <w:ind w:left="709" w:right="709"/>
        <w:jc w:val="both"/>
        <w:rPr>
          <w:rFonts w:ascii="Verdana" w:hAnsi="Verdana" w:cs="Arial"/>
          <w:sz w:val="20"/>
          <w:szCs w:val="20"/>
          <w:lang w:val="es-ES_tradnl"/>
        </w:rPr>
      </w:pPr>
    </w:p>
    <w:p w14:paraId="3090FAB3" w14:textId="77777777" w:rsidR="005C76B6" w:rsidRPr="00312394" w:rsidRDefault="005C76B6" w:rsidP="005C76B6">
      <w:pPr>
        <w:tabs>
          <w:tab w:val="left" w:pos="0"/>
        </w:tabs>
        <w:spacing w:after="0" w:line="276" w:lineRule="auto"/>
        <w:ind w:firstLine="709"/>
        <w:jc w:val="both"/>
        <w:rPr>
          <w:rFonts w:ascii="Verdana" w:eastAsia="Calibri" w:hAnsi="Verdana" w:cs="Arial"/>
          <w:color w:val="000000"/>
          <w:szCs w:val="24"/>
          <w:lang w:val="es-ES_tradnl" w:eastAsia="en-GB"/>
        </w:rPr>
      </w:pPr>
      <w:r w:rsidRPr="00312394">
        <w:rPr>
          <w:rFonts w:ascii="Verdana" w:eastAsia="Calibri" w:hAnsi="Verdana" w:cs="Arial"/>
          <w:color w:val="000000"/>
          <w:szCs w:val="24"/>
          <w:lang w:val="es-ES_tradnl" w:eastAsia="en-GB"/>
        </w:rPr>
        <w:t xml:space="preserve">De acuerdo con lo anterior, para interpretar el artículo 6 de la Ley 2020 de 2020 – especialmente el aparte referido a la evaluación de los factores de ponderación de calidad, previo análisis de las anotaciones del Registro Nacional de Obras Civiles Inconclusas– debe resaltarse que el artículo 5 de la Ley 1150 de 2007 </w:t>
      </w:r>
      <w:r w:rsidRPr="00312394">
        <w:rPr>
          <w:rFonts w:ascii="Verdana" w:eastAsia="Calibri" w:hAnsi="Verdana" w:cs="Arial"/>
          <w:iCs/>
          <w:color w:val="000000"/>
          <w:szCs w:val="24"/>
          <w:lang w:val="es-ES_tradnl" w:eastAsia="en-GB"/>
        </w:rPr>
        <w:t>no</w:t>
      </w:r>
      <w:r w:rsidRPr="00312394">
        <w:rPr>
          <w:rFonts w:ascii="Verdana" w:eastAsia="Calibri" w:hAnsi="Verdana" w:cs="Arial"/>
          <w:color w:val="000000"/>
          <w:szCs w:val="24"/>
          <w:lang w:val="es-ES_tradnl" w:eastAsia="en-GB"/>
        </w:rPr>
        <w:t xml:space="preserve"> los define, sino que se limita a mencionarlos de manera genérica. En efecto, el literal a) de dicho artículo está precedido por un inciso que establece: </w:t>
      </w:r>
      <w:r w:rsidRPr="00312394">
        <w:rPr>
          <w:rFonts w:ascii="Verdana" w:eastAsia="Calibri" w:hAnsi="Verdana" w:cs="Arial"/>
          <w:i/>
          <w:iCs/>
          <w:color w:val="000000"/>
          <w:szCs w:val="24"/>
          <w:lang w:val="es-ES_tradnl" w:eastAsia="en-GB"/>
        </w:rPr>
        <w:t>“En los procesos de selección en los que se tenga en cuenta los factores técnicos y económicos, la oferta más ventajosa será la que resulte de aplicar alguna de las siguientes alternativas”</w:t>
      </w:r>
      <w:r w:rsidRPr="00312394">
        <w:rPr>
          <w:rFonts w:ascii="Verdana" w:eastAsia="Calibri" w:hAnsi="Verdana" w:cs="Arial"/>
          <w:color w:val="000000"/>
          <w:szCs w:val="24"/>
          <w:lang w:val="es-ES_tradnl" w:eastAsia="en-GB"/>
        </w:rPr>
        <w:t xml:space="preserve">; y, a renglón seguido, dentro de las </w:t>
      </w:r>
      <w:r w:rsidRPr="00312394">
        <w:rPr>
          <w:rFonts w:ascii="Verdana" w:eastAsia="Calibri" w:hAnsi="Verdana" w:cs="Arial"/>
          <w:i/>
          <w:iCs/>
          <w:color w:val="000000"/>
          <w:szCs w:val="24"/>
          <w:lang w:val="es-ES_tradnl" w:eastAsia="en-GB"/>
        </w:rPr>
        <w:t>“alternativas”</w:t>
      </w:r>
      <w:r w:rsidRPr="00312394">
        <w:rPr>
          <w:rFonts w:ascii="Verdana" w:eastAsia="Calibri" w:hAnsi="Verdana" w:cs="Arial"/>
          <w:color w:val="000000"/>
          <w:szCs w:val="24"/>
          <w:lang w:val="es-ES_tradnl" w:eastAsia="en-GB"/>
        </w:rPr>
        <w:t xml:space="preserve">, el legislador incorpora la siguiente: </w:t>
      </w:r>
      <w:r w:rsidRPr="00312394">
        <w:rPr>
          <w:rFonts w:ascii="Verdana" w:eastAsia="Calibri" w:hAnsi="Verdana" w:cs="Arial"/>
          <w:i/>
          <w:iCs/>
          <w:color w:val="000000"/>
          <w:szCs w:val="24"/>
          <w:lang w:val="es-ES_tradnl" w:eastAsia="en-GB"/>
        </w:rPr>
        <w:t xml:space="preserve">“a) La ponderación de los </w:t>
      </w:r>
      <w:r w:rsidRPr="00312394">
        <w:rPr>
          <w:rFonts w:ascii="Verdana" w:eastAsia="Calibri" w:hAnsi="Verdana" w:cs="Arial"/>
          <w:i/>
          <w:iCs/>
          <w:color w:val="000000"/>
          <w:szCs w:val="24"/>
          <w:lang w:val="es-ES_tradnl" w:eastAsia="en-GB"/>
        </w:rPr>
        <w:lastRenderedPageBreak/>
        <w:t>elementos de calidad y precio soportados en puntajes o fórmulas señaladas en el pliego de condiciones”</w:t>
      </w:r>
      <w:r w:rsidRPr="00312394">
        <w:rPr>
          <w:rFonts w:ascii="Verdana" w:eastAsia="Calibri" w:hAnsi="Verdana" w:cs="Arial"/>
          <w:color w:val="000000"/>
          <w:szCs w:val="24"/>
          <w:lang w:val="es-ES_tradnl" w:eastAsia="en-GB"/>
        </w:rPr>
        <w:t>.</w:t>
      </w:r>
    </w:p>
    <w:p w14:paraId="44EE7C9E" w14:textId="77777777" w:rsidR="005C76B6" w:rsidRPr="00312394" w:rsidRDefault="005C76B6" w:rsidP="46001AC7">
      <w:pPr>
        <w:spacing w:before="120" w:after="0" w:line="276" w:lineRule="auto"/>
        <w:ind w:firstLine="709"/>
        <w:jc w:val="both"/>
        <w:rPr>
          <w:rFonts w:ascii="Verdana" w:eastAsia="Calibri" w:hAnsi="Verdana" w:cs="Arial"/>
          <w:color w:val="000000"/>
          <w:lang w:val="es-ES" w:eastAsia="en-GB"/>
        </w:rPr>
      </w:pPr>
      <w:r w:rsidRPr="00312394">
        <w:rPr>
          <w:rFonts w:ascii="Verdana" w:eastAsia="Calibri" w:hAnsi="Verdana" w:cs="Arial"/>
          <w:color w:val="000000" w:themeColor="text1"/>
          <w:lang w:val="es-ES"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 De igual forma, el legislador no estableció una fórmula o metodología específica para realizar esta ponderación, sino que también lo dejó librado a la apreciación de las entidades públicas interesadas en contratar.</w:t>
      </w:r>
    </w:p>
    <w:p w14:paraId="0C2FA034" w14:textId="2CE22DC1" w:rsidR="005C76B6" w:rsidRPr="00312394" w:rsidRDefault="005C76B6" w:rsidP="005C76B6">
      <w:pPr>
        <w:tabs>
          <w:tab w:val="left" w:pos="0"/>
        </w:tabs>
        <w:spacing w:before="120" w:after="0" w:line="276" w:lineRule="auto"/>
        <w:ind w:firstLine="709"/>
        <w:jc w:val="both"/>
        <w:rPr>
          <w:rFonts w:ascii="Verdana" w:eastAsia="Times New Roman" w:hAnsi="Verdana" w:cs="Arial"/>
          <w:color w:val="000000"/>
          <w:szCs w:val="24"/>
          <w:lang w:eastAsia="es-ES_tradnl"/>
        </w:rPr>
      </w:pPr>
      <w:r w:rsidRPr="00312394">
        <w:rPr>
          <w:rFonts w:ascii="Verdana" w:eastAsia="Calibri" w:hAnsi="Verdana" w:cs="Arial"/>
          <w:color w:val="000000"/>
          <w:szCs w:val="24"/>
          <w:lang w:val="es-ES_tradnl" w:eastAsia="en-GB"/>
        </w:rPr>
        <w:t xml:space="preserve">Esta Subdirección se pronunció sobre el reconocimiento de la discrecionalidad administrativa como modelo de asignación de potestades en la contratación estatal. Por ejemplo, en el </w:t>
      </w:r>
      <w:r w:rsidR="004974D9" w:rsidRPr="00312394">
        <w:rPr>
          <w:rFonts w:ascii="Verdana" w:eastAsia="Calibri" w:hAnsi="Verdana" w:cs="Arial"/>
          <w:color w:val="000000"/>
          <w:szCs w:val="24"/>
          <w:lang w:val="es-ES_tradnl" w:eastAsia="en-GB"/>
        </w:rPr>
        <w:t>c</w:t>
      </w:r>
      <w:r w:rsidRPr="00312394">
        <w:rPr>
          <w:rFonts w:ascii="Verdana" w:eastAsia="Calibri" w:hAnsi="Verdana" w:cs="Arial"/>
          <w:color w:val="000000"/>
          <w:szCs w:val="24"/>
          <w:lang w:val="es-ES_tradnl" w:eastAsia="en-GB"/>
        </w:rPr>
        <w:t xml:space="preserve">oncepto C-120 del 3 de marzo de 2020 señaló que si bien la discrecionalidad implica un margen de libertad para las entidades estales, en todo caso, al hacer uso de ella, deben observar el artículo 44 de la Ley 1437 de 2011, según el cual </w:t>
      </w:r>
      <w:r w:rsidRPr="00312394">
        <w:rPr>
          <w:rFonts w:ascii="Verdana" w:eastAsia="Times New Roman" w:hAnsi="Verdana" w:cs="Arial"/>
          <w:color w:val="000000"/>
          <w:szCs w:val="24"/>
          <w:lang w:eastAsia="es-ES_tradnl"/>
        </w:rPr>
        <w:t>la decisión debe ser adecuada y proporcional al trámite y a los hechos que lo motivaron</w:t>
      </w:r>
      <w:r w:rsidRPr="00312394">
        <w:rPr>
          <w:rFonts w:ascii="Verdana" w:eastAsia="Times New Roman" w:hAnsi="Verdana" w:cs="Arial"/>
          <w:color w:val="000000"/>
          <w:szCs w:val="24"/>
          <w:vertAlign w:val="superscript"/>
          <w:lang w:eastAsia="es-ES_tradnl"/>
        </w:rPr>
        <w:footnoteReference w:id="16"/>
      </w:r>
      <w:r w:rsidRPr="00312394">
        <w:rPr>
          <w:rFonts w:ascii="Verdana" w:eastAsia="Times New Roman" w:hAnsi="Verdana" w:cs="Arial"/>
          <w:color w:val="000000"/>
          <w:szCs w:val="24"/>
          <w:lang w:eastAsia="es-ES_tradnl"/>
        </w:rPr>
        <w:t>. Este también ha sido el entendimiento de la doctrina, que ha considerado que el ejercicio de la discrecionalidad administrativa debe respetar el principio de proporcionalidad</w:t>
      </w:r>
      <w:r w:rsidRPr="00312394">
        <w:rPr>
          <w:rFonts w:ascii="Verdana" w:eastAsia="Times New Roman" w:hAnsi="Verdana" w:cs="Arial"/>
          <w:color w:val="000000"/>
          <w:szCs w:val="24"/>
          <w:vertAlign w:val="superscript"/>
          <w:lang w:eastAsia="es-ES_tradnl"/>
        </w:rPr>
        <w:footnoteReference w:id="17"/>
      </w:r>
      <w:r w:rsidRPr="00312394">
        <w:rPr>
          <w:rFonts w:ascii="Verdana" w:eastAsia="Times New Roman" w:hAnsi="Verdana" w:cs="Arial"/>
          <w:color w:val="000000"/>
          <w:szCs w:val="24"/>
          <w:lang w:eastAsia="es-ES_tradnl"/>
        </w:rPr>
        <w:t>.</w:t>
      </w:r>
    </w:p>
    <w:p w14:paraId="1A21A676" w14:textId="77777777" w:rsidR="005C76B6" w:rsidRPr="00312394" w:rsidRDefault="005C76B6" w:rsidP="005C76B6">
      <w:pPr>
        <w:tabs>
          <w:tab w:val="left" w:pos="0"/>
        </w:tabs>
        <w:spacing w:before="120" w:after="0" w:line="276" w:lineRule="auto"/>
        <w:ind w:firstLine="709"/>
        <w:jc w:val="both"/>
        <w:rPr>
          <w:rFonts w:ascii="Verdana" w:eastAsia="Times New Roman" w:hAnsi="Verdana" w:cs="Arial"/>
          <w:color w:val="000000"/>
          <w:szCs w:val="24"/>
          <w:lang w:eastAsia="es-ES_tradnl"/>
        </w:rPr>
      </w:pPr>
      <w:r w:rsidRPr="00312394">
        <w:rPr>
          <w:rFonts w:ascii="Verdana" w:eastAsia="Times New Roman" w:hAnsi="Verdana" w:cs="Arial"/>
          <w:color w:val="000000"/>
          <w:szCs w:val="24"/>
          <w:lang w:eastAsia="es-ES_tradnl"/>
        </w:rPr>
        <w:t xml:space="preserve">Esta discrecionalidad también se encuentra presente al momento de elaborar el pliego de condiciones y específicamente, al definir los criterios de calificación con puntos. Entre estos criterios se encuentran los elementos de calidad y precio indicados en el artículo 5, numeral 2, literal a), de la Ley 1150 de 2007. Por ello, la Sección Tercera del Consejo de Estado considera: </w:t>
      </w:r>
    </w:p>
    <w:p w14:paraId="17FBBFDB" w14:textId="77777777" w:rsidR="005C76B6" w:rsidRPr="00312394" w:rsidRDefault="005C76B6" w:rsidP="005C76B6">
      <w:pPr>
        <w:tabs>
          <w:tab w:val="left" w:pos="0"/>
        </w:tabs>
        <w:spacing w:after="0" w:line="276" w:lineRule="auto"/>
        <w:ind w:left="709" w:right="709"/>
        <w:jc w:val="both"/>
        <w:rPr>
          <w:rFonts w:ascii="Verdana" w:eastAsia="Calibri" w:hAnsi="Verdana" w:cs="Arial"/>
          <w:color w:val="000000"/>
          <w:sz w:val="20"/>
          <w:szCs w:val="20"/>
          <w:lang w:eastAsia="en-GB"/>
        </w:rPr>
      </w:pPr>
    </w:p>
    <w:p w14:paraId="2FFBF6DF" w14:textId="77777777" w:rsidR="005C76B6" w:rsidRPr="00312394" w:rsidRDefault="005C76B6" w:rsidP="005C76B6">
      <w:pPr>
        <w:tabs>
          <w:tab w:val="left" w:pos="0"/>
        </w:tabs>
        <w:spacing w:after="0" w:line="240" w:lineRule="auto"/>
        <w:ind w:left="709" w:right="709"/>
        <w:jc w:val="both"/>
        <w:rPr>
          <w:rFonts w:ascii="Verdana" w:eastAsia="Calibri" w:hAnsi="Verdana" w:cs="Arial"/>
          <w:color w:val="000000"/>
          <w:sz w:val="20"/>
          <w:szCs w:val="20"/>
          <w:lang w:val="es-ES_tradnl" w:eastAsia="en-GB"/>
        </w:rPr>
      </w:pPr>
      <w:r w:rsidRPr="00312394">
        <w:rPr>
          <w:rFonts w:ascii="Verdana" w:eastAsia="Calibri" w:hAnsi="Verdana" w:cs="Arial"/>
          <w:color w:val="000000"/>
          <w:sz w:val="20"/>
          <w:szCs w:val="20"/>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sidRPr="00312394">
        <w:rPr>
          <w:rFonts w:ascii="Verdana" w:eastAsia="Calibri" w:hAnsi="Verdana" w:cs="Arial"/>
          <w:color w:val="000000"/>
          <w:sz w:val="20"/>
          <w:szCs w:val="20"/>
          <w:vertAlign w:val="superscript"/>
          <w:lang w:val="es-ES_tradnl" w:eastAsia="en-GB"/>
        </w:rPr>
        <w:footnoteReference w:id="18"/>
      </w:r>
      <w:r w:rsidRPr="00312394">
        <w:rPr>
          <w:rFonts w:ascii="Verdana" w:eastAsia="Calibri" w:hAnsi="Verdana" w:cs="Arial"/>
          <w:color w:val="000000"/>
          <w:sz w:val="20"/>
          <w:szCs w:val="20"/>
          <w:lang w:val="es-ES_tradnl" w:eastAsia="en-GB"/>
        </w:rPr>
        <w:t>.</w:t>
      </w:r>
    </w:p>
    <w:p w14:paraId="703A9955" w14:textId="77777777" w:rsidR="005C76B6" w:rsidRPr="00312394" w:rsidRDefault="005C76B6" w:rsidP="005C76B6">
      <w:pPr>
        <w:tabs>
          <w:tab w:val="left" w:pos="0"/>
        </w:tabs>
        <w:spacing w:after="0" w:line="276" w:lineRule="auto"/>
        <w:ind w:firstLine="709"/>
        <w:jc w:val="both"/>
        <w:rPr>
          <w:rFonts w:ascii="Verdana" w:eastAsia="Times New Roman" w:hAnsi="Verdana" w:cs="Arial"/>
          <w:color w:val="000000"/>
          <w:sz w:val="20"/>
          <w:lang w:eastAsia="es-ES_tradnl"/>
        </w:rPr>
      </w:pPr>
    </w:p>
    <w:p w14:paraId="1319474B" w14:textId="77777777" w:rsidR="005C76B6" w:rsidRPr="00312394" w:rsidRDefault="005C76B6" w:rsidP="005C76B6">
      <w:pPr>
        <w:spacing w:after="120" w:line="276" w:lineRule="auto"/>
        <w:ind w:firstLine="709"/>
        <w:jc w:val="both"/>
        <w:rPr>
          <w:rFonts w:ascii="Verdana" w:eastAsia="Times New Roman" w:hAnsi="Verdana" w:cs="Arial"/>
          <w:color w:val="000000"/>
          <w:szCs w:val="24"/>
          <w:lang w:eastAsia="es-ES_tradnl"/>
        </w:rPr>
      </w:pPr>
      <w:r w:rsidRPr="00312394">
        <w:rPr>
          <w:rFonts w:ascii="Verdana" w:eastAsia="Times New Roman" w:hAnsi="Verdana" w:cs="Arial"/>
          <w:color w:val="000000"/>
          <w:szCs w:val="24"/>
          <w:lang w:eastAsia="es-ES_tradnl"/>
        </w:rPr>
        <w:t>Por lo tanto, como se indicó, el artículo 6 de la Ley 2020 de 2020 establece que “Durante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w:t>
      </w:r>
      <w:r w:rsidRPr="00312394">
        <w:rPr>
          <w:rFonts w:ascii="Verdana" w:eastAsia="Times New Roman" w:hAnsi="Verdana" w:cs="Arial"/>
          <w:color w:val="000000"/>
          <w:szCs w:val="24"/>
          <w:vertAlign w:val="superscript"/>
          <w:lang w:eastAsia="es-ES_tradnl"/>
        </w:rPr>
        <w:t>o</w:t>
      </w:r>
      <w:r w:rsidRPr="00312394">
        <w:rPr>
          <w:rFonts w:ascii="Verdana" w:eastAsia="Times New Roman" w:hAnsi="Verdana" w:cs="Arial"/>
          <w:color w:val="000000"/>
          <w:szCs w:val="24"/>
          <w:lang w:eastAsia="es-ES_tradnl"/>
        </w:rPr>
        <w:t xml:space="preserve"> de la Ley 1150 de 2007 o la norma que la modifique”. De lo prescrito en la disposición precitada, se deriva que el deber de consultar y analizar solamente aplica a las tipologías contractuales de obra pública y de interventoría, y no a los demás contratos de consultoría. Esto por cuanto, si bien el contrato de interventoría es de consultoría, no todo contrato de consultoría tiene por objeto una interventoría. Así se desprende del artículo 32, numeral 2, de la Ley 80 de 1993</w:t>
      </w:r>
      <w:r w:rsidRPr="00312394">
        <w:rPr>
          <w:rStyle w:val="Refdenotaalpie"/>
          <w:rFonts w:ascii="Verdana" w:eastAsia="Times New Roman" w:hAnsi="Verdana" w:cs="Arial"/>
          <w:color w:val="000000"/>
          <w:szCs w:val="24"/>
          <w:lang w:eastAsia="es-ES_tradnl"/>
        </w:rPr>
        <w:footnoteReference w:id="19"/>
      </w:r>
      <w:r w:rsidRPr="00312394">
        <w:rPr>
          <w:rFonts w:ascii="Verdana" w:eastAsia="Times New Roman" w:hAnsi="Verdana" w:cs="Arial"/>
          <w:color w:val="000000"/>
          <w:szCs w:val="24"/>
          <w:lang w:eastAsia="es-ES_tradnl"/>
        </w:rPr>
        <w:t>.</w:t>
      </w:r>
    </w:p>
    <w:p w14:paraId="4BD0D400" w14:textId="77777777" w:rsidR="005C76B6" w:rsidRPr="00312394" w:rsidRDefault="005C76B6" w:rsidP="005C76B6">
      <w:pPr>
        <w:spacing w:after="0" w:line="276" w:lineRule="auto"/>
        <w:ind w:firstLine="709"/>
        <w:jc w:val="both"/>
        <w:rPr>
          <w:rFonts w:ascii="Verdana" w:eastAsia="Times New Roman" w:hAnsi="Verdana" w:cs="Arial"/>
          <w:color w:val="000000"/>
          <w:szCs w:val="24"/>
          <w:lang w:eastAsia="es-ES_tradnl"/>
        </w:rPr>
      </w:pPr>
      <w:r w:rsidRPr="00312394">
        <w:rPr>
          <w:rFonts w:ascii="Verdana" w:eastAsia="Times New Roman" w:hAnsi="Verdana" w:cs="Arial"/>
          <w:color w:val="000000"/>
          <w:szCs w:val="24"/>
          <w:lang w:eastAsia="es-ES_tradnl"/>
        </w:rPr>
        <w:t xml:space="preserve"> Para los contratos de obra pública y de interventoría, lo anterior significa que, al aplicar dichos criterios de calificación con puntos dentro del procedimiento contractual, las entidades estatales deben servirse de la información contenida en el Registro y de las actualizaciones de dicha información que se reporten por parte de la Contraloría General de la República y de las entidades estatales, conforme lo establece el artículo 3 de la Ley 2020 de 2020. </w:t>
      </w:r>
      <w:r w:rsidRPr="00312394">
        <w:rPr>
          <w:rFonts w:ascii="Verdana" w:eastAsia="Calibri" w:hAnsi="Verdana" w:cs="Arial"/>
          <w:lang w:val="es-MX"/>
        </w:rPr>
        <w:t>En este contexto, las entidades deberán examinar la particularidad de la anotación y determinar si esta afectará la ponderación al momento de realizar la respectiva evaluación.</w:t>
      </w:r>
    </w:p>
    <w:p w14:paraId="2561CFFB" w14:textId="77777777" w:rsidR="005C76B6" w:rsidRPr="00312394" w:rsidRDefault="005C76B6" w:rsidP="005C76B6">
      <w:pPr>
        <w:spacing w:before="120" w:after="0" w:line="276" w:lineRule="auto"/>
        <w:ind w:firstLine="709"/>
        <w:jc w:val="both"/>
        <w:rPr>
          <w:rFonts w:ascii="Verdana" w:eastAsia="Times New Roman" w:hAnsi="Verdana" w:cs="Arial"/>
          <w:color w:val="000000"/>
          <w:szCs w:val="24"/>
          <w:lang w:val="es-MX" w:eastAsia="es-ES_tradnl"/>
        </w:rPr>
      </w:pPr>
      <w:r w:rsidRPr="00312394">
        <w:rPr>
          <w:rFonts w:ascii="Verdana" w:eastAsia="Times New Roman" w:hAnsi="Verdana" w:cs="Arial"/>
          <w:color w:val="000000"/>
          <w:szCs w:val="24"/>
          <w:lang w:eastAsia="es-ES_tradnl"/>
        </w:rPr>
        <w:lastRenderedPageBreak/>
        <w:t>De esta manera, como las entidades estatales cuentan con discrecionalidad para determinar los criterios de calificación, corresponde a estas definir, en los pliegos de condiciones, los factores de asignación de puntaje y</w:t>
      </w:r>
      <w:r w:rsidRPr="00312394">
        <w:rPr>
          <w:rFonts w:ascii="Verdana" w:eastAsia="Times New Roman" w:hAnsi="Verdana" w:cs="Arial"/>
          <w:color w:val="000000"/>
          <w:szCs w:val="24"/>
          <w:lang w:val="es-ES_tradnl" w:eastAsia="es-ES_tradnl"/>
        </w:rPr>
        <w:t xml:space="preserve"> la forma en que se realizará la valoración de las anotaciones vigentes en el Registro Nacional de Obras Civiles Inconclusas al momento de evaluar las ofertas, conforme a los parámetros del artículo 6 de la Ley 2020 de 2020</w:t>
      </w:r>
      <w:r w:rsidRPr="00312394">
        <w:rPr>
          <w:rFonts w:ascii="Verdana" w:eastAsia="Times New Roman" w:hAnsi="Verdana" w:cs="Arial"/>
          <w:color w:val="000000"/>
          <w:szCs w:val="24"/>
          <w:lang w:eastAsia="es-ES_tradnl"/>
        </w:rPr>
        <w:t xml:space="preserve">. Lo anterior, teniendo en cuenta que </w:t>
      </w:r>
      <w:r w:rsidRPr="00312394">
        <w:rPr>
          <w:rFonts w:ascii="Verdana" w:eastAsia="Times New Roman" w:hAnsi="Verdana" w:cs="Arial"/>
          <w:color w:val="000000"/>
          <w:szCs w:val="24"/>
          <w:lang w:val="es-MX" w:eastAsia="es-ES_tradnl"/>
        </w:rPr>
        <w:t xml:space="preserve">la norma no restringió a una metodología específica el análisis y la valoración de estas anotaciones. </w:t>
      </w:r>
    </w:p>
    <w:p w14:paraId="34748AB4" w14:textId="77777777" w:rsidR="005C76B6" w:rsidRPr="00312394" w:rsidRDefault="005C76B6" w:rsidP="005C76B6">
      <w:pPr>
        <w:spacing w:before="120" w:after="0" w:line="276" w:lineRule="auto"/>
        <w:ind w:firstLine="709"/>
        <w:jc w:val="both"/>
        <w:rPr>
          <w:rFonts w:ascii="Verdana" w:eastAsia="Calibri" w:hAnsi="Verdana" w:cs="Arial"/>
          <w:color w:val="000000"/>
          <w:lang w:val="es-ES_tradnl" w:eastAsia="en-GB"/>
        </w:rPr>
      </w:pPr>
      <w:r w:rsidRPr="00312394">
        <w:rPr>
          <w:rFonts w:ascii="Verdana" w:eastAsia="Times New Roman" w:hAnsi="Verdana" w:cs="Arial"/>
          <w:color w:val="000000"/>
          <w:szCs w:val="24"/>
          <w:lang w:eastAsia="es-ES_tradnl"/>
        </w:rPr>
        <w:t>Sin embargo, debe precisarse que l</w:t>
      </w:r>
      <w:r w:rsidRPr="00312394">
        <w:rPr>
          <w:rFonts w:ascii="Verdana" w:eastAsia="Calibri" w:hAnsi="Verdana" w:cs="Arial"/>
          <w:color w:val="000000"/>
          <w:szCs w:val="24"/>
          <w:lang w:val="es-ES_tradnl" w:eastAsia="en-GB"/>
        </w:rPr>
        <w:t>a sola inclusión en el Registro Nacional de Obras Civiles Inconclusas no puede entenderse como suficiente para</w:t>
      </w:r>
      <w:r w:rsidRPr="00312394">
        <w:rPr>
          <w:rFonts w:ascii="Verdana" w:eastAsia="Times New Roman" w:hAnsi="Verdana" w:cs="Arial"/>
          <w:color w:val="000000"/>
          <w:szCs w:val="24"/>
          <w:lang w:eastAsia="es-ES_tradnl"/>
        </w:rPr>
        <w:t xml:space="preserve"> afectar la ponderación del factor de calidad del proponente, puesto que la norma establece el deber de la entidad de realizar la consulta y el análisis de la anotación. </w:t>
      </w:r>
      <w:r w:rsidRPr="00312394">
        <w:rPr>
          <w:rFonts w:ascii="Verdana" w:eastAsia="Calibri" w:hAnsi="Verdana" w:cs="Arial"/>
          <w:color w:val="000000"/>
          <w:szCs w:val="24"/>
          <w:lang w:val="es-ES_tradnl" w:eastAsia="en-GB"/>
        </w:rPr>
        <w:t xml:space="preserve">Además, como se expuso, el Registro Nacional de Obras Civiles Inconclusas es un sistema </w:t>
      </w:r>
      <w:r w:rsidRPr="00312394">
        <w:rPr>
          <w:rFonts w:ascii="Verdana" w:eastAsia="Calibri" w:hAnsi="Verdana" w:cs="Arial"/>
          <w:color w:val="000000"/>
          <w:szCs w:val="24"/>
          <w:lang w:eastAsia="en-GB"/>
        </w:rPr>
        <w:t xml:space="preserve">que contiene los datos sobre obras inconclusas en todo el territorio nacional, compuesto por la información reportada por las entidades estatales o la información obtenida por la Contraloría General de la República. </w:t>
      </w:r>
      <w:r w:rsidRPr="00312394">
        <w:rPr>
          <w:rFonts w:ascii="Verdana" w:eastAsia="Calibri" w:hAnsi="Verdana" w:cs="Arial"/>
          <w:color w:val="000000"/>
          <w:szCs w:val="24"/>
          <w:lang w:val="es-ES_tradnl" w:eastAsia="en-GB"/>
        </w:rPr>
        <w:t xml:space="preserve">Esto significa que el Registro contiene toda la información necesaria que permita verificar el estado real de dicha obra, entre ellos, datos sobre la identificación del contratista, consultores, interventores y demás personas naturales y/o jurídicas que intervinieron en la planeación y ejecución del proyecto, entre otros. En este sentido, no puede entenderse que la sola inclusión de dicha información tenga incidencia </w:t>
      </w:r>
      <w:r w:rsidRPr="00312394">
        <w:rPr>
          <w:rFonts w:ascii="Verdana" w:eastAsia="Calibri" w:hAnsi="Verdana" w:cs="Arial"/>
          <w:i/>
          <w:iCs/>
          <w:color w:val="000000"/>
          <w:szCs w:val="24"/>
          <w:lang w:val="es-ES_tradnl" w:eastAsia="en-GB"/>
        </w:rPr>
        <w:t>automática</w:t>
      </w:r>
      <w:r w:rsidRPr="00312394">
        <w:rPr>
          <w:rFonts w:ascii="Verdana" w:eastAsia="Calibri" w:hAnsi="Verdana" w:cs="Arial"/>
          <w:color w:val="000000"/>
          <w:szCs w:val="24"/>
          <w:lang w:val="es-ES_tradnl" w:eastAsia="en-GB"/>
        </w:rPr>
        <w:t xml:space="preserve"> </w:t>
      </w:r>
      <w:r w:rsidRPr="00312394">
        <w:rPr>
          <w:rFonts w:ascii="Verdana" w:eastAsia="Calibri" w:hAnsi="Verdana" w:cs="Arial"/>
          <w:color w:val="000000"/>
          <w:lang w:val="es-ES_tradnl" w:eastAsia="en-GB"/>
        </w:rPr>
        <w:t xml:space="preserve">al momento de evaluar los factores de ponderación. Por ello, el artículo 6 dispuso expresamente que las entidades estatales contratantes </w:t>
      </w:r>
      <w:r w:rsidRPr="00312394">
        <w:rPr>
          <w:rFonts w:ascii="Verdana" w:eastAsia="Times New Roman" w:hAnsi="Verdana" w:cs="Arial"/>
          <w:color w:val="000000"/>
          <w:lang w:eastAsia="es-ES_tradnl"/>
        </w:rPr>
        <w:t>“</w:t>
      </w:r>
      <w:r w:rsidRPr="00312394">
        <w:rPr>
          <w:rFonts w:ascii="Verdana" w:eastAsia="Calibri" w:hAnsi="Verdana" w:cs="Arial"/>
          <w:color w:val="000000"/>
          <w:lang w:val="es-ES_tradnl" w:eastAsia="en-GB"/>
        </w:rPr>
        <w:t>deberán consultar y analizar las anotaciones vigentes que presenten las personas naturales o jurídicas, nacionales o extranjeras domiciliadas o con sucursal en Colombia, en el Registro Nacional de Obras Civiles Inconclusas</w:t>
      </w:r>
      <w:r w:rsidRPr="00312394">
        <w:rPr>
          <w:rFonts w:ascii="Verdana" w:eastAsia="Times New Roman" w:hAnsi="Verdana" w:cs="Arial"/>
          <w:color w:val="000000"/>
          <w:lang w:eastAsia="es-ES_tradnl"/>
        </w:rPr>
        <w:t>”</w:t>
      </w:r>
      <w:r w:rsidRPr="00312394">
        <w:rPr>
          <w:rFonts w:ascii="Verdana" w:eastAsia="Calibri" w:hAnsi="Verdana" w:cs="Arial"/>
          <w:color w:val="000000"/>
          <w:lang w:val="es-ES_tradnl" w:eastAsia="en-GB"/>
        </w:rPr>
        <w:t>.</w:t>
      </w:r>
    </w:p>
    <w:p w14:paraId="75F9EFE8" w14:textId="172152E9" w:rsidR="005C76B6" w:rsidRDefault="005C76B6" w:rsidP="005C76B6">
      <w:pPr>
        <w:spacing w:before="120" w:after="0" w:line="276" w:lineRule="auto"/>
        <w:ind w:firstLine="709"/>
        <w:jc w:val="both"/>
        <w:rPr>
          <w:rFonts w:ascii="Verdana" w:eastAsia="Calibri" w:hAnsi="Verdana" w:cs="Arial"/>
          <w:color w:val="000000"/>
          <w:lang w:val="es-ES_tradnl" w:eastAsia="en-GB"/>
        </w:rPr>
      </w:pPr>
      <w:r w:rsidRPr="00312394">
        <w:rPr>
          <w:rFonts w:ascii="Verdana" w:eastAsia="Times New Roman" w:hAnsi="Verdana" w:cs="Arial"/>
          <w:color w:val="000000"/>
          <w:szCs w:val="24"/>
          <w:lang w:eastAsia="es-ES_tradnl"/>
        </w:rPr>
        <w:t xml:space="preserve">De esta </w:t>
      </w:r>
      <w:r w:rsidR="00D75304" w:rsidRPr="00D75304">
        <w:rPr>
          <w:rFonts w:ascii="Verdana" w:eastAsia="Times New Roman" w:hAnsi="Verdana" w:cs="Arial"/>
          <w:color w:val="000000"/>
          <w:szCs w:val="24"/>
          <w:lang w:eastAsia="es-ES_tradnl"/>
        </w:rPr>
        <w:t>manera, el</w:t>
      </w:r>
      <w:r w:rsidRPr="00312394">
        <w:rPr>
          <w:rFonts w:ascii="Verdana" w:eastAsia="Times New Roman" w:hAnsi="Verdana" w:cs="Arial"/>
          <w:color w:val="000000"/>
          <w:szCs w:val="24"/>
          <w:lang w:eastAsia="es-ES_tradnl"/>
        </w:rPr>
        <w:t xml:space="preserve"> solo hecho de que el contratista de obra o interventor se encuentre incluido en dicho Registro no genera automáticamente una consecuencia en la ponderación de los criterios de evaluación, pues la entidad tiene el deber de </w:t>
      </w:r>
      <w:r w:rsidRPr="00312394">
        <w:rPr>
          <w:rFonts w:ascii="Verdana" w:eastAsia="Calibri" w:hAnsi="Verdana" w:cs="Arial"/>
          <w:color w:val="000000"/>
          <w:lang w:val="es-ES_tradnl" w:eastAsia="en-GB"/>
        </w:rPr>
        <w:t xml:space="preserve">consultar y analizar las anotaciones vigentes. En todo caso, si se presenta alguna discrepancia en relación con la información reportada en el Registro por la entidad contratante, el artículo 6 dispuso que tal controversia o solicitud será resuelta por la entidad contratante que suministró dicha información. En consecuencia, el contratista deberá manifestar su inconformidad directamente ante la entidad contratante que realizó la anotación, la cual deberá </w:t>
      </w:r>
      <w:r w:rsidRPr="00312394">
        <w:rPr>
          <w:rFonts w:ascii="Verdana" w:eastAsia="Calibri" w:hAnsi="Verdana" w:cs="Arial"/>
          <w:color w:val="000000"/>
          <w:lang w:val="es-ES_tradnl" w:eastAsia="en-GB"/>
        </w:rPr>
        <w:lastRenderedPageBreak/>
        <w:t>atenderla teniendo en cuenta los principios y disposiciones establecidas en la normatividad vigente.</w:t>
      </w:r>
    </w:p>
    <w:p w14:paraId="5463CD89" w14:textId="77777777" w:rsidR="00985048" w:rsidRDefault="00D75304" w:rsidP="000F1B7D">
      <w:pPr>
        <w:spacing w:before="120" w:after="0" w:line="278" w:lineRule="auto"/>
        <w:jc w:val="both"/>
        <w:rPr>
          <w:rFonts w:ascii="Verdana" w:hAnsi="Verdana"/>
        </w:rPr>
      </w:pPr>
      <w:r w:rsidRPr="000F1B7D">
        <w:rPr>
          <w:rFonts w:ascii="Verdana" w:hAnsi="Verdana" w:cs="Arial"/>
          <w:lang w:val="es-ES_tradnl"/>
        </w:rPr>
        <w:t>iii) Con todo,</w:t>
      </w:r>
      <w:r w:rsidR="00E0392C" w:rsidRPr="000F1B7D">
        <w:rPr>
          <w:rFonts w:ascii="Verdana" w:hAnsi="Verdana" w:cs="Arial"/>
          <w:lang w:val="es-ES_tradnl"/>
        </w:rPr>
        <w:t xml:space="preserve"> en aras de resolver la cuestión </w:t>
      </w:r>
      <w:r w:rsidR="00517359" w:rsidRPr="000F1B7D">
        <w:rPr>
          <w:rFonts w:ascii="Verdana" w:hAnsi="Verdana" w:cs="Arial"/>
          <w:lang w:val="es-ES_tradnl"/>
        </w:rPr>
        <w:t>objeto de consulta,</w:t>
      </w:r>
      <w:r w:rsidRPr="000F1B7D">
        <w:rPr>
          <w:rFonts w:ascii="Verdana" w:hAnsi="Verdana" w:cs="Arial"/>
          <w:lang w:val="es-ES_tradnl"/>
        </w:rPr>
        <w:t xml:space="preserve"> debe advertirse que, </w:t>
      </w:r>
      <w:r w:rsidR="001922FD" w:rsidRPr="000F1B7D">
        <w:rPr>
          <w:rFonts w:ascii="Verdana" w:hAnsi="Verdana" w:cs="Arial"/>
          <w:lang w:val="es-ES_tradnl"/>
        </w:rPr>
        <w:t xml:space="preserve">revisado el marco jurídico del Registro </w:t>
      </w:r>
      <w:r w:rsidR="00E0392C" w:rsidRPr="000F1B7D">
        <w:rPr>
          <w:rFonts w:ascii="Verdana" w:hAnsi="Verdana" w:cs="Arial"/>
          <w:lang w:val="es-ES_tradnl"/>
        </w:rPr>
        <w:t xml:space="preserve">Nacional </w:t>
      </w:r>
      <w:r w:rsidR="001922FD" w:rsidRPr="000F1B7D">
        <w:rPr>
          <w:rFonts w:ascii="Verdana" w:hAnsi="Verdana" w:cs="Arial"/>
          <w:lang w:val="es-ES_tradnl"/>
        </w:rPr>
        <w:t>de Obras Inconclusas establecido por la Ley 2020 de 2020</w:t>
      </w:r>
      <w:r w:rsidR="00E0392C" w:rsidRPr="000F1B7D">
        <w:rPr>
          <w:rFonts w:ascii="Verdana" w:hAnsi="Verdana" w:cs="Arial"/>
          <w:lang w:val="es-ES_tradnl"/>
        </w:rPr>
        <w:t xml:space="preserve">, </w:t>
      </w:r>
      <w:r w:rsidR="00517359" w:rsidRPr="000F1B7D">
        <w:rPr>
          <w:rFonts w:ascii="Verdana" w:hAnsi="Verdana" w:cs="Arial"/>
          <w:lang w:val="es-ES_tradnl"/>
        </w:rPr>
        <w:t xml:space="preserve">de acuerdo con el </w:t>
      </w:r>
      <w:r w:rsidR="000F1B7D" w:rsidRPr="000F1B7D">
        <w:rPr>
          <w:rFonts w:ascii="Verdana" w:hAnsi="Verdana" w:cs="Arial"/>
          <w:lang w:val="es-ES_tradnl"/>
        </w:rPr>
        <w:t xml:space="preserve">principio </w:t>
      </w:r>
      <w:r w:rsidR="000F1B7D" w:rsidRPr="00312394">
        <w:rPr>
          <w:rFonts w:ascii="Verdana" w:hAnsi="Verdana" w:cs="Arial"/>
          <w:i/>
          <w:iCs/>
          <w:lang w:val="es-ES_tradnl"/>
        </w:rPr>
        <w:t>pro libertate</w:t>
      </w:r>
      <w:r w:rsidR="000F1B7D" w:rsidRPr="00312394">
        <w:rPr>
          <w:rFonts w:ascii="Verdana" w:hAnsi="Verdana"/>
        </w:rPr>
        <w:t xml:space="preserve"> y conforme al criterio de interpretación restrictiva explicado </w:t>
      </w:r>
      <w:r w:rsidR="000F1B7D" w:rsidRPr="00312394">
        <w:rPr>
          <w:rFonts w:ascii="Verdana" w:hAnsi="Verdana"/>
          <w:i/>
          <w:iCs/>
        </w:rPr>
        <w:t>supra</w:t>
      </w:r>
      <w:r w:rsidR="000F1B7D">
        <w:rPr>
          <w:rFonts w:ascii="Verdana" w:hAnsi="Verdana"/>
          <w:i/>
          <w:iCs/>
        </w:rPr>
        <w:t>,</w:t>
      </w:r>
      <w:r w:rsidR="00CF6E18">
        <w:rPr>
          <w:rFonts w:ascii="Verdana" w:hAnsi="Verdana"/>
          <w:i/>
          <w:iCs/>
        </w:rPr>
        <w:t xml:space="preserve"> </w:t>
      </w:r>
      <w:r w:rsidR="00CF6E18">
        <w:rPr>
          <w:rFonts w:ascii="Verdana" w:hAnsi="Verdana"/>
        </w:rPr>
        <w:t xml:space="preserve">es posible afirmar que del mismo no derivan </w:t>
      </w:r>
      <w:r w:rsidR="004D2B41">
        <w:rPr>
          <w:rFonts w:ascii="Verdana" w:hAnsi="Verdana"/>
        </w:rPr>
        <w:t xml:space="preserve">directamente restricciones a la capacidad para </w:t>
      </w:r>
      <w:r w:rsidR="00870DBD">
        <w:rPr>
          <w:rFonts w:ascii="Verdana" w:hAnsi="Verdana"/>
        </w:rPr>
        <w:t xml:space="preserve">participar en procesos de selección, celebrar o ejecutar contratos estatales. </w:t>
      </w:r>
      <w:r w:rsidR="00853A6F">
        <w:rPr>
          <w:rFonts w:ascii="Verdana" w:hAnsi="Verdana"/>
        </w:rPr>
        <w:t xml:space="preserve">Esto comoquiera que, ni el artículo 6, ni </w:t>
      </w:r>
      <w:r w:rsidR="00D61593">
        <w:rPr>
          <w:rFonts w:ascii="Verdana" w:hAnsi="Verdana"/>
        </w:rPr>
        <w:t xml:space="preserve">ninguna de las demás disposiciones que integran la Ley 2020 de 2020, hacen referencia a </w:t>
      </w:r>
      <w:r w:rsidR="00D27F3F">
        <w:rPr>
          <w:rFonts w:ascii="Verdana" w:hAnsi="Verdana"/>
        </w:rPr>
        <w:t>restricciones a la capa</w:t>
      </w:r>
      <w:r w:rsidR="00F97CEC">
        <w:rPr>
          <w:rFonts w:ascii="Verdana" w:hAnsi="Verdana"/>
        </w:rPr>
        <w:t xml:space="preserve">cidad contractual que se configuren a partir de la inclusión </w:t>
      </w:r>
      <w:r w:rsidR="00494B95">
        <w:rPr>
          <w:rFonts w:ascii="Verdana" w:hAnsi="Verdana"/>
        </w:rPr>
        <w:t>en el referido registro.</w:t>
      </w:r>
      <w:r w:rsidR="00985048">
        <w:rPr>
          <w:rFonts w:ascii="Verdana" w:hAnsi="Verdana"/>
        </w:rPr>
        <w:t xml:space="preserve"> </w:t>
      </w:r>
    </w:p>
    <w:p w14:paraId="4209A31B" w14:textId="78D7DAF0" w:rsidR="00B467B3" w:rsidRDefault="00494B95" w:rsidP="00035B21">
      <w:pPr>
        <w:tabs>
          <w:tab w:val="left" w:pos="0"/>
          <w:tab w:val="left" w:pos="7938"/>
        </w:tabs>
        <w:spacing w:before="120" w:after="0" w:line="278" w:lineRule="auto"/>
        <w:ind w:right="49" w:firstLine="567"/>
        <w:jc w:val="both"/>
        <w:rPr>
          <w:rFonts w:ascii="Verdana" w:eastAsia="Arial" w:hAnsi="Verdana" w:cs="Arial"/>
          <w:lang w:val="es-ES"/>
        </w:rPr>
      </w:pPr>
      <w:r>
        <w:rPr>
          <w:rFonts w:ascii="Verdana" w:hAnsi="Verdana"/>
        </w:rPr>
        <w:t xml:space="preserve"> </w:t>
      </w:r>
      <w:r w:rsidR="000E0EE6">
        <w:rPr>
          <w:rFonts w:ascii="Verdana" w:hAnsi="Verdana"/>
        </w:rPr>
        <w:t xml:space="preserve">Con todo, si bien la inclusión </w:t>
      </w:r>
      <w:r w:rsidR="00B71BF8">
        <w:rPr>
          <w:rFonts w:ascii="Verdana" w:hAnsi="Verdana"/>
        </w:rPr>
        <w:t xml:space="preserve">en el </w:t>
      </w:r>
      <w:r w:rsidR="000E0EE6" w:rsidRPr="000E0EE6">
        <w:rPr>
          <w:rFonts w:ascii="Verdana" w:hAnsi="Verdana"/>
        </w:rPr>
        <w:t>Registro Nacional de Obras Civiles Inconclusas</w:t>
      </w:r>
      <w:r w:rsidR="00B71BF8">
        <w:rPr>
          <w:rFonts w:ascii="Verdana" w:hAnsi="Verdana"/>
        </w:rPr>
        <w:t xml:space="preserve"> no genera </w:t>
      </w:r>
      <w:r w:rsidR="00B71BF8" w:rsidRPr="00312394">
        <w:rPr>
          <w:rFonts w:ascii="Verdana" w:hAnsi="Verdana"/>
          <w:i/>
          <w:iCs/>
        </w:rPr>
        <w:t>per se</w:t>
      </w:r>
      <w:r w:rsidR="00B71BF8">
        <w:rPr>
          <w:rFonts w:ascii="Verdana" w:hAnsi="Verdana"/>
        </w:rPr>
        <w:t xml:space="preserve"> la configuración de </w:t>
      </w:r>
      <w:r w:rsidR="00E374DC">
        <w:rPr>
          <w:rFonts w:ascii="Verdana" w:hAnsi="Verdana"/>
        </w:rPr>
        <w:t xml:space="preserve">una inhabilidad, nada obsta para que los hechos de los que da cuenta el </w:t>
      </w:r>
      <w:r w:rsidR="00035B21">
        <w:rPr>
          <w:rFonts w:ascii="Verdana" w:hAnsi="Verdana"/>
        </w:rPr>
        <w:t>registro</w:t>
      </w:r>
      <w:r w:rsidR="00A80D7D">
        <w:rPr>
          <w:rFonts w:ascii="Verdana" w:hAnsi="Verdana"/>
        </w:rPr>
        <w:t xml:space="preserve"> puedan </w:t>
      </w:r>
      <w:r w:rsidR="009311D4">
        <w:rPr>
          <w:rFonts w:ascii="Verdana" w:hAnsi="Verdana"/>
        </w:rPr>
        <w:t>ser relevantes</w:t>
      </w:r>
      <w:r w:rsidR="00A80D7D">
        <w:rPr>
          <w:rFonts w:ascii="Verdana" w:hAnsi="Verdana"/>
        </w:rPr>
        <w:t xml:space="preserve"> </w:t>
      </w:r>
      <w:r w:rsidR="009311D4">
        <w:rPr>
          <w:rFonts w:ascii="Verdana" w:hAnsi="Verdana"/>
        </w:rPr>
        <w:t>para</w:t>
      </w:r>
      <w:r w:rsidR="00A80D7D">
        <w:rPr>
          <w:rFonts w:ascii="Verdana" w:hAnsi="Verdana"/>
        </w:rPr>
        <w:t xml:space="preserve"> la configuración de </w:t>
      </w:r>
      <w:r w:rsidR="00035B21">
        <w:rPr>
          <w:rFonts w:ascii="Verdana" w:hAnsi="Verdana"/>
        </w:rPr>
        <w:t xml:space="preserve">los supuestos de hecho de </w:t>
      </w:r>
      <w:r w:rsidR="00A80D7D">
        <w:rPr>
          <w:rFonts w:ascii="Verdana" w:hAnsi="Verdana"/>
        </w:rPr>
        <w:t>otras inhabilidades</w:t>
      </w:r>
      <w:r w:rsidR="00035B21">
        <w:rPr>
          <w:rFonts w:ascii="Verdana" w:hAnsi="Verdana"/>
        </w:rPr>
        <w:t xml:space="preserve">. Este, por ejemplo, podría ser el caso </w:t>
      </w:r>
      <w:r w:rsidR="00B14218" w:rsidRPr="00EA3BD1">
        <w:rPr>
          <w:rFonts w:ascii="Verdana" w:eastAsia="Arial" w:hAnsi="Verdana" w:cs="Arial"/>
          <w:lang w:val="es-ES"/>
        </w:rPr>
        <w:t>de</w:t>
      </w:r>
      <w:r w:rsidR="00035B21">
        <w:rPr>
          <w:rFonts w:ascii="Verdana" w:eastAsia="Arial" w:hAnsi="Verdana" w:cs="Arial"/>
          <w:lang w:val="es-ES"/>
        </w:rPr>
        <w:t xml:space="preserve"> </w:t>
      </w:r>
      <w:r w:rsidR="00B14218" w:rsidRPr="00EA3BD1">
        <w:rPr>
          <w:rFonts w:ascii="Verdana" w:eastAsia="Arial" w:hAnsi="Verdana" w:cs="Arial"/>
          <w:lang w:val="es-ES"/>
        </w:rPr>
        <w:t>l</w:t>
      </w:r>
      <w:r w:rsidR="00035B21">
        <w:rPr>
          <w:rFonts w:ascii="Verdana" w:eastAsia="Arial" w:hAnsi="Verdana" w:cs="Arial"/>
          <w:lang w:val="es-ES"/>
        </w:rPr>
        <w:t>a</w:t>
      </w:r>
      <w:r w:rsidR="00B14218" w:rsidRPr="00EA3BD1">
        <w:rPr>
          <w:rFonts w:ascii="Verdana" w:eastAsia="Arial" w:hAnsi="Verdana" w:cs="Arial"/>
          <w:lang w:val="es-ES"/>
        </w:rPr>
        <w:t xml:space="preserve"> </w:t>
      </w:r>
      <w:r w:rsidR="00035B21">
        <w:rPr>
          <w:rFonts w:ascii="Verdana" w:eastAsia="Arial" w:hAnsi="Verdana" w:cs="Arial"/>
          <w:lang w:val="es-ES"/>
        </w:rPr>
        <w:t xml:space="preserve">inhabilidad por </w:t>
      </w:r>
      <w:r w:rsidR="00B14218" w:rsidRPr="00EA3BD1">
        <w:rPr>
          <w:rFonts w:ascii="Verdana" w:eastAsia="Arial" w:hAnsi="Verdana" w:cs="Arial"/>
          <w:lang w:val="es-ES"/>
        </w:rPr>
        <w:t xml:space="preserve">incumplimiento reiterado </w:t>
      </w:r>
      <w:r w:rsidR="00AB04EB">
        <w:rPr>
          <w:rFonts w:ascii="Verdana" w:eastAsia="Arial" w:hAnsi="Verdana" w:cs="Arial"/>
          <w:lang w:val="es-ES"/>
        </w:rPr>
        <w:t>contemplada por el</w:t>
      </w:r>
      <w:r w:rsidR="00B14218" w:rsidRPr="00EA3BD1">
        <w:rPr>
          <w:rFonts w:ascii="Verdana" w:eastAsia="Arial" w:hAnsi="Verdana" w:cs="Arial"/>
          <w:lang w:val="es-ES"/>
        </w:rPr>
        <w:t xml:space="preserve"> artículo 90 de la Ley 1474 de 2011</w:t>
      </w:r>
      <w:r w:rsidR="009D2257">
        <w:rPr>
          <w:rFonts w:ascii="Verdana" w:eastAsia="Arial" w:hAnsi="Verdana" w:cs="Arial"/>
          <w:lang w:val="es-ES"/>
        </w:rPr>
        <w:t xml:space="preserve">, cuya configuración bien podría estar asociada </w:t>
      </w:r>
      <w:r w:rsidR="00856720">
        <w:rPr>
          <w:rFonts w:ascii="Verdana" w:eastAsia="Arial" w:hAnsi="Verdana" w:cs="Arial"/>
          <w:lang w:val="es-ES"/>
        </w:rPr>
        <w:t xml:space="preserve">incumplimientos contractuales que han </w:t>
      </w:r>
      <w:r w:rsidR="008C5E6D">
        <w:rPr>
          <w:rFonts w:ascii="Verdana" w:eastAsia="Arial" w:hAnsi="Verdana" w:cs="Arial"/>
          <w:lang w:val="es-ES"/>
        </w:rPr>
        <w:t>dado lugar a obras inconclusas</w:t>
      </w:r>
      <w:r w:rsidR="00BD1300">
        <w:rPr>
          <w:rFonts w:ascii="Verdana" w:eastAsia="Arial" w:hAnsi="Verdana" w:cs="Arial"/>
          <w:lang w:val="es-ES"/>
        </w:rPr>
        <w:t xml:space="preserve">, siempre que se cumplan </w:t>
      </w:r>
      <w:r w:rsidR="00AA65B6">
        <w:rPr>
          <w:rFonts w:ascii="Verdana" w:eastAsia="Arial" w:hAnsi="Verdana" w:cs="Arial"/>
          <w:lang w:val="es-ES"/>
        </w:rPr>
        <w:t>los presupuestos</w:t>
      </w:r>
      <w:r w:rsidR="00BD1300">
        <w:rPr>
          <w:rFonts w:ascii="Verdana" w:eastAsia="Arial" w:hAnsi="Verdana" w:cs="Arial"/>
          <w:lang w:val="es-ES"/>
        </w:rPr>
        <w:t xml:space="preserve"> de </w:t>
      </w:r>
      <w:r w:rsidR="00FD4630">
        <w:rPr>
          <w:rFonts w:ascii="Verdana" w:eastAsia="Arial" w:hAnsi="Verdana" w:cs="Arial"/>
          <w:lang w:val="es-ES"/>
        </w:rPr>
        <w:t>esta última norma</w:t>
      </w:r>
      <w:r w:rsidR="00B467B3">
        <w:rPr>
          <w:rStyle w:val="Refdenotaalpie"/>
          <w:rFonts w:ascii="Verdana" w:eastAsia="Arial" w:hAnsi="Verdana" w:cs="Arial"/>
          <w:lang w:val="es-ES"/>
        </w:rPr>
        <w:footnoteReference w:id="20"/>
      </w:r>
    </w:p>
    <w:p w14:paraId="7A07CF03" w14:textId="77777777" w:rsidR="00B467B3" w:rsidRDefault="00B467B3" w:rsidP="00035B21">
      <w:pPr>
        <w:tabs>
          <w:tab w:val="left" w:pos="0"/>
          <w:tab w:val="left" w:pos="7938"/>
        </w:tabs>
        <w:spacing w:before="120" w:after="0" w:line="278" w:lineRule="auto"/>
        <w:ind w:right="49" w:firstLine="567"/>
        <w:jc w:val="both"/>
        <w:rPr>
          <w:rFonts w:ascii="Verdana" w:eastAsia="Arial" w:hAnsi="Verdana" w:cs="Arial"/>
          <w:lang w:val="es-ES"/>
        </w:rPr>
      </w:pPr>
    </w:p>
    <w:p w14:paraId="666C175E" w14:textId="77777777" w:rsidR="00B14218" w:rsidRPr="00EA3BD1" w:rsidRDefault="00B14218" w:rsidP="00B14218">
      <w:pPr>
        <w:tabs>
          <w:tab w:val="left" w:pos="142"/>
          <w:tab w:val="left" w:pos="284"/>
        </w:tabs>
        <w:spacing w:after="0" w:line="276" w:lineRule="auto"/>
        <w:jc w:val="both"/>
        <w:rPr>
          <w:rFonts w:ascii="Verdana" w:eastAsia="Century Gothic" w:hAnsi="Verdana" w:cs="Century Gothic"/>
          <w:b/>
          <w:bCs/>
        </w:rPr>
      </w:pPr>
      <w:r w:rsidRPr="00EA3BD1">
        <w:rPr>
          <w:rFonts w:ascii="Verdana" w:eastAsia="Century Gothic" w:hAnsi="Verdana" w:cs="Century Gothic"/>
          <w:b/>
          <w:bCs/>
        </w:rPr>
        <w:t>4. Referencias normativas, jurisprudenciales y otras fuentes:</w:t>
      </w:r>
    </w:p>
    <w:p w14:paraId="5BC95B05" w14:textId="77777777" w:rsidR="00B14218" w:rsidRPr="00EA3BD1" w:rsidRDefault="00B14218" w:rsidP="00B14218">
      <w:pPr>
        <w:tabs>
          <w:tab w:val="left" w:pos="142"/>
          <w:tab w:val="left" w:pos="284"/>
        </w:tabs>
        <w:spacing w:after="0" w:line="276" w:lineRule="auto"/>
        <w:jc w:val="both"/>
        <w:rPr>
          <w:rFonts w:ascii="Verdana" w:eastAsia="Century Gothic" w:hAnsi="Verdana" w:cs="Century Gothic"/>
          <w:b/>
          <w:bCs/>
          <w:color w:val="7030A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14218" w:rsidRPr="00EA3BD1" w14:paraId="494A17F3" w14:textId="77777777">
        <w:trPr>
          <w:trHeight w:val="870"/>
        </w:trPr>
        <w:tc>
          <w:tcPr>
            <w:tcW w:w="8647" w:type="dxa"/>
          </w:tcPr>
          <w:p w14:paraId="56B5C1E8" w14:textId="77777777" w:rsidR="00B14218" w:rsidRPr="00EA3BD1" w:rsidRDefault="00B14218">
            <w:pPr>
              <w:pStyle w:val="Prrafodelista"/>
              <w:numPr>
                <w:ilvl w:val="0"/>
                <w:numId w:val="16"/>
              </w:numPr>
              <w:spacing w:after="120" w:line="276" w:lineRule="auto"/>
              <w:contextualSpacing w:val="0"/>
              <w:rPr>
                <w:rFonts w:ascii="Verdana" w:hAnsi="Verdana" w:cs="Arial"/>
              </w:rPr>
            </w:pPr>
            <w:r w:rsidRPr="00EA3BD1">
              <w:rPr>
                <w:rFonts w:ascii="Verdana" w:hAnsi="Verdana" w:cs="Arial"/>
              </w:rPr>
              <w:t>Constitución Política de Colombia, artículo 150.</w:t>
            </w:r>
          </w:p>
          <w:p w14:paraId="15DCBB20" w14:textId="77777777" w:rsidR="00B14218" w:rsidRPr="00EA3BD1" w:rsidRDefault="00B14218">
            <w:pPr>
              <w:pStyle w:val="Prrafodelista"/>
              <w:numPr>
                <w:ilvl w:val="0"/>
                <w:numId w:val="16"/>
              </w:numPr>
              <w:spacing w:after="120" w:line="276" w:lineRule="auto"/>
              <w:contextualSpacing w:val="0"/>
              <w:rPr>
                <w:rFonts w:ascii="Verdana" w:hAnsi="Verdana" w:cs="Arial"/>
              </w:rPr>
            </w:pPr>
            <w:r w:rsidRPr="00EA3BD1">
              <w:rPr>
                <w:rFonts w:ascii="Verdana" w:hAnsi="Verdana" w:cs="Arial"/>
              </w:rPr>
              <w:t>Ley 2020 de 2020, artículo 1,2 y 6.</w:t>
            </w:r>
          </w:p>
          <w:p w14:paraId="500365EF" w14:textId="77777777" w:rsidR="00B14218" w:rsidRPr="00EA3BD1" w:rsidRDefault="00B14218">
            <w:pPr>
              <w:pStyle w:val="Prrafodelista"/>
              <w:numPr>
                <w:ilvl w:val="0"/>
                <w:numId w:val="16"/>
              </w:numPr>
              <w:spacing w:after="120" w:line="276" w:lineRule="auto"/>
              <w:contextualSpacing w:val="0"/>
              <w:rPr>
                <w:rFonts w:ascii="Verdana" w:hAnsi="Verdana" w:cs="Arial"/>
              </w:rPr>
            </w:pPr>
            <w:r w:rsidRPr="00EA3BD1">
              <w:rPr>
                <w:rFonts w:ascii="Verdana" w:hAnsi="Verdana" w:cs="Arial"/>
              </w:rPr>
              <w:t>Ley 1150 de 2007, artículo 5.</w:t>
            </w:r>
          </w:p>
          <w:p w14:paraId="2D6A5B37" w14:textId="77777777" w:rsidR="00B14218" w:rsidRPr="00EA3BD1" w:rsidRDefault="00B14218">
            <w:pPr>
              <w:pStyle w:val="Prrafodelista"/>
              <w:numPr>
                <w:ilvl w:val="0"/>
                <w:numId w:val="16"/>
              </w:numPr>
              <w:spacing w:after="120" w:line="276" w:lineRule="auto"/>
              <w:contextualSpacing w:val="0"/>
              <w:rPr>
                <w:rFonts w:ascii="Verdana" w:hAnsi="Verdana" w:cs="Arial"/>
              </w:rPr>
            </w:pPr>
            <w:r w:rsidRPr="00EA3BD1">
              <w:rPr>
                <w:rFonts w:ascii="Verdana" w:hAnsi="Verdana" w:cs="Arial"/>
              </w:rPr>
              <w:t>Ley 80 de 1993, artículo 32.</w:t>
            </w:r>
          </w:p>
          <w:p w14:paraId="643A1B34" w14:textId="081CB4A2" w:rsidR="00B14218" w:rsidRPr="00AA65B6" w:rsidRDefault="00B14218" w:rsidP="00AA65B6">
            <w:pPr>
              <w:pStyle w:val="Prrafodelista"/>
              <w:numPr>
                <w:ilvl w:val="0"/>
                <w:numId w:val="16"/>
              </w:numPr>
              <w:spacing w:after="120" w:line="276" w:lineRule="auto"/>
              <w:contextualSpacing w:val="0"/>
              <w:rPr>
                <w:rFonts w:ascii="Verdana" w:hAnsi="Verdana" w:cs="Arial"/>
              </w:rPr>
            </w:pPr>
            <w:r w:rsidRPr="00EA3BD1">
              <w:rPr>
                <w:rFonts w:ascii="Verdana" w:hAnsi="Verdana" w:cs="Arial"/>
              </w:rPr>
              <w:t>Ley 1955 de 2019, artículo 43</w:t>
            </w:r>
          </w:p>
          <w:p w14:paraId="24328C02" w14:textId="77777777" w:rsidR="00B14218" w:rsidRPr="00EA3BD1" w:rsidRDefault="00B14218">
            <w:pPr>
              <w:pStyle w:val="Prrafodelista"/>
              <w:numPr>
                <w:ilvl w:val="0"/>
                <w:numId w:val="16"/>
              </w:numPr>
              <w:spacing w:after="120" w:line="276" w:lineRule="auto"/>
              <w:contextualSpacing w:val="0"/>
              <w:jc w:val="both"/>
              <w:rPr>
                <w:rFonts w:ascii="Verdana" w:hAnsi="Verdana" w:cs="Arial"/>
                <w:color w:val="7030A0"/>
              </w:rPr>
            </w:pPr>
            <w:r w:rsidRPr="00EA3BD1">
              <w:rPr>
                <w:rFonts w:ascii="Verdana" w:hAnsi="Verdana" w:cs="Arial"/>
              </w:rPr>
              <w:t xml:space="preserve">Corte Constitucional. Sentencia T-1039 de 2006. M.P. Humberto Sierra Porto. </w:t>
            </w:r>
          </w:p>
          <w:p w14:paraId="4231F4B4" w14:textId="77777777" w:rsidR="00B14218" w:rsidRPr="00EA3BD1" w:rsidRDefault="00B14218">
            <w:pPr>
              <w:pStyle w:val="Prrafodelista"/>
              <w:numPr>
                <w:ilvl w:val="0"/>
                <w:numId w:val="16"/>
              </w:numPr>
              <w:spacing w:after="120" w:line="276" w:lineRule="auto"/>
              <w:contextualSpacing w:val="0"/>
              <w:jc w:val="both"/>
              <w:rPr>
                <w:rFonts w:ascii="Verdana" w:hAnsi="Verdana" w:cs="Arial"/>
                <w:color w:val="7030A0"/>
              </w:rPr>
            </w:pPr>
            <w:r w:rsidRPr="00EA3BD1">
              <w:rPr>
                <w:rFonts w:ascii="Verdana" w:hAnsi="Verdana" w:cs="Arial"/>
              </w:rPr>
              <w:t xml:space="preserve">Consejo de Estado. Sala de Consulta y Servicio Civil. Sección Tercera. Subsección A. Sentencia del 24 de junio de 2015. Exp. 40.365. C.P. </w:t>
            </w:r>
            <w:r w:rsidRPr="00EA3BD1">
              <w:rPr>
                <w:rFonts w:ascii="Verdana" w:hAnsi="Verdana"/>
              </w:rPr>
              <w:t>Hernán Andrade Rincón (E).</w:t>
            </w:r>
          </w:p>
          <w:p w14:paraId="11857E47" w14:textId="77777777" w:rsidR="00B14218" w:rsidRPr="00EA3BD1" w:rsidRDefault="00B14218">
            <w:pPr>
              <w:pStyle w:val="Prrafodelista"/>
              <w:numPr>
                <w:ilvl w:val="0"/>
                <w:numId w:val="16"/>
              </w:numPr>
              <w:spacing w:after="120" w:line="276" w:lineRule="auto"/>
              <w:contextualSpacing w:val="0"/>
              <w:jc w:val="both"/>
              <w:rPr>
                <w:rFonts w:ascii="Verdana" w:hAnsi="Verdana" w:cs="Arial"/>
                <w:color w:val="7030A0"/>
              </w:rPr>
            </w:pPr>
            <w:r w:rsidRPr="00EA3BD1">
              <w:rPr>
                <w:rFonts w:ascii="Verdana" w:hAnsi="Verdana" w:cs="Arial"/>
              </w:rPr>
              <w:t xml:space="preserve">Consejo de Estado. Sala de Consulta y Servicio Civil. Sección Tercera. Subsección C. Sentencia del 22 de mayo de 2013. Exp. 24.057. C.P. </w:t>
            </w:r>
            <w:r w:rsidRPr="00EA3BD1">
              <w:rPr>
                <w:rFonts w:ascii="Verdana" w:hAnsi="Verdana"/>
              </w:rPr>
              <w:t>Olga Mélida Valle De La Hoz.</w:t>
            </w:r>
          </w:p>
        </w:tc>
      </w:tr>
    </w:tbl>
    <w:p w14:paraId="3A859AEC" w14:textId="77777777" w:rsidR="00B14218" w:rsidRPr="00EA3BD1" w:rsidRDefault="00B14218" w:rsidP="00B14218">
      <w:pPr>
        <w:pStyle w:val="Prrafodelista"/>
        <w:tabs>
          <w:tab w:val="left" w:pos="142"/>
          <w:tab w:val="left" w:pos="284"/>
        </w:tabs>
        <w:spacing w:after="120" w:line="276" w:lineRule="auto"/>
        <w:ind w:left="0"/>
        <w:contextualSpacing w:val="0"/>
        <w:jc w:val="both"/>
        <w:rPr>
          <w:rFonts w:ascii="Verdana" w:eastAsia="Century Gothic" w:hAnsi="Verdana" w:cs="Century Gothic"/>
          <w:b/>
          <w:bCs/>
          <w:color w:val="7030A0"/>
        </w:rPr>
      </w:pPr>
    </w:p>
    <w:p w14:paraId="32951AD0" w14:textId="77777777" w:rsidR="00B14218" w:rsidRPr="00EA3BD1" w:rsidRDefault="00B14218" w:rsidP="00B14218">
      <w:pPr>
        <w:pStyle w:val="Prrafodelista"/>
        <w:tabs>
          <w:tab w:val="left" w:pos="142"/>
          <w:tab w:val="left" w:pos="284"/>
        </w:tabs>
        <w:spacing w:before="120" w:after="0" w:line="276" w:lineRule="auto"/>
        <w:ind w:left="0"/>
        <w:contextualSpacing w:val="0"/>
        <w:jc w:val="both"/>
        <w:rPr>
          <w:rStyle w:val="normaltextrun"/>
          <w:rFonts w:ascii="Verdana" w:eastAsia="Century Gothic" w:hAnsi="Verdana" w:cs="Century Gothic"/>
          <w:b/>
          <w:bCs/>
        </w:rPr>
      </w:pPr>
      <w:r w:rsidRPr="00EA3BD1">
        <w:rPr>
          <w:rFonts w:ascii="Verdana" w:eastAsia="Century Gothic" w:hAnsi="Verdana" w:cs="Century Gothic"/>
          <w:b/>
          <w:bCs/>
        </w:rPr>
        <w:t>5. Doctrina de la Agencia Nacional de Contratación Pública:</w:t>
      </w:r>
    </w:p>
    <w:p w14:paraId="1D32778E" w14:textId="46E0A6BC" w:rsidR="00B14218" w:rsidRPr="00EA3BD1" w:rsidRDefault="00B14218" w:rsidP="00B14218">
      <w:pPr>
        <w:widowControl w:val="0"/>
        <w:autoSpaceDE w:val="0"/>
        <w:autoSpaceDN w:val="0"/>
        <w:spacing w:before="120" w:after="0" w:line="276" w:lineRule="auto"/>
        <w:jc w:val="both"/>
        <w:rPr>
          <w:rStyle w:val="normaltextrun"/>
          <w:rFonts w:ascii="Verdana" w:hAnsi="Verdana" w:cs="Arial"/>
          <w:color w:val="000000" w:themeColor="text1"/>
          <w:shd w:val="clear" w:color="auto" w:fill="FFFFFF"/>
        </w:rPr>
      </w:pPr>
      <w:r w:rsidRPr="00EA3BD1">
        <w:rPr>
          <w:rStyle w:val="normaltextrun"/>
          <w:rFonts w:ascii="Verdana" w:hAnsi="Verdana" w:cs="Arial"/>
          <w:color w:val="000000" w:themeColor="text1"/>
          <w:shd w:val="clear" w:color="auto" w:fill="FFFFFF"/>
        </w:rPr>
        <w:t xml:space="preserve">Sobre el Registro Nacional de Obras Civiles Inconclusas, esta Subdirección se ha pronunciado en los conceptos Nro. </w:t>
      </w:r>
      <w:r w:rsidR="007C1FCB">
        <w:rPr>
          <w:rStyle w:val="normaltextrun"/>
          <w:rFonts w:ascii="Verdana" w:hAnsi="Verdana" w:cs="Arial"/>
          <w:color w:val="000000" w:themeColor="text1"/>
          <w:shd w:val="clear" w:color="auto" w:fill="FFFFFF"/>
        </w:rPr>
        <w:t>C</w:t>
      </w:r>
      <w:r w:rsidRPr="00EA3BD1">
        <w:rPr>
          <w:rStyle w:val="normaltextrun"/>
          <w:rFonts w:ascii="Verdana" w:hAnsi="Verdana" w:cs="Arial"/>
          <w:color w:val="000000" w:themeColor="text1"/>
          <w:shd w:val="clear" w:color="auto" w:fill="FFFFFF"/>
        </w:rPr>
        <w:t>-088 del 17 de marzo de 2021, C-110 del 29 de marzo de 2021, C-203 del 3 de mayo de 2021, C-333 del 9 de julio de 2021, C-551 del 30 de septiembre de 2021, C-571 del 13 de octubre de 2021, C-591 del 21 de octubre de 2021, C-600 del 26 de octubre de 2021, C-626 del 9 de noviembre de 2021 y C-747 de 4 de febrero de 2022, C-194 del 12 de abril de 2022, C – 391 de 9 de agosto de 2022, C- 525 de 16 de agosto de 2022, C-632 de 30 de agosto de 2022, C-924 de 28 de diciembre de 2022, C-096 de 13 de junio de 2023, C-246 de 4 de julio de 2023,  C-249 del 10 de julio de 2023, C-348 del 28 de agosto de 2023, C-014 del 06 de marzo de 2024 y C-351 del 24 de abril de 2025.</w:t>
      </w:r>
      <w:r w:rsidR="007C1FCB">
        <w:rPr>
          <w:rStyle w:val="normaltextrun"/>
          <w:rFonts w:ascii="Verdana" w:hAnsi="Verdana" w:cs="Arial"/>
          <w:color w:val="000000" w:themeColor="text1"/>
          <w:shd w:val="clear" w:color="auto" w:fill="FFFFFF"/>
        </w:rPr>
        <w:t xml:space="preserve"> </w:t>
      </w:r>
      <w:r w:rsidRPr="00EA3BD1">
        <w:rPr>
          <w:rStyle w:val="normaltextrun"/>
          <w:rFonts w:ascii="Verdana" w:hAnsi="Verdana" w:cs="Arial"/>
          <w:color w:val="000000" w:themeColor="text1"/>
          <w:shd w:val="clear" w:color="auto" w:fill="FFFFFF"/>
        </w:rPr>
        <w:t xml:space="preserve">Estos y otros conceptos se encuentran </w:t>
      </w:r>
      <w:r w:rsidRPr="00EA3BD1">
        <w:rPr>
          <w:rStyle w:val="normaltextrun"/>
          <w:rFonts w:ascii="Verdana" w:hAnsi="Verdana" w:cs="Arial"/>
          <w:shd w:val="clear" w:color="auto" w:fill="FFFFFF"/>
        </w:rPr>
        <w:t>disponibles para consulta en el Sistema de relatoría de la Agencia,</w:t>
      </w:r>
      <w:r w:rsidRPr="00EA3BD1">
        <w:rPr>
          <w:rStyle w:val="normaltextrun"/>
          <w:rFonts w:ascii="Verdana" w:hAnsi="Verdana"/>
          <w:shd w:val="clear" w:color="auto" w:fill="FFFFFF"/>
        </w:rPr>
        <w:t xml:space="preserve"> al cual puede accederse a través del siguiente enlace: </w:t>
      </w:r>
      <w:hyperlink r:id="rId14" w:history="1">
        <w:r w:rsidRPr="00EA3BD1">
          <w:rPr>
            <w:rStyle w:val="Hipervnculo"/>
            <w:rFonts w:ascii="Verdana" w:eastAsia="Calibri" w:hAnsi="Verdana" w:cs="Arial"/>
            <w:lang w:eastAsia="es-ES_tradnl"/>
          </w:rPr>
          <w:t>https://relatoria.colombiacompra.gov.co/busqueda/conceptos</w:t>
        </w:r>
      </w:hyperlink>
    </w:p>
    <w:p w14:paraId="34213BD5" w14:textId="77777777" w:rsidR="00B14218" w:rsidRPr="00EA3BD1" w:rsidRDefault="00B14218" w:rsidP="00B14218">
      <w:pPr>
        <w:widowControl w:val="0"/>
        <w:autoSpaceDE w:val="0"/>
        <w:autoSpaceDN w:val="0"/>
        <w:spacing w:after="0" w:line="276" w:lineRule="auto"/>
        <w:jc w:val="both"/>
        <w:rPr>
          <w:rStyle w:val="normaltextrun"/>
          <w:rFonts w:ascii="Verdana" w:hAnsi="Verdana"/>
          <w:color w:val="000000" w:themeColor="text1"/>
          <w:shd w:val="clear" w:color="auto" w:fill="FFFFFF"/>
        </w:rPr>
      </w:pPr>
    </w:p>
    <w:p w14:paraId="7A012B86" w14:textId="77777777" w:rsidR="00B14218" w:rsidRPr="00EA3BD1" w:rsidRDefault="00B14218" w:rsidP="00B14218">
      <w:pPr>
        <w:spacing w:after="0" w:line="276" w:lineRule="auto"/>
        <w:jc w:val="both"/>
        <w:rPr>
          <w:rFonts w:ascii="Verdana" w:hAnsi="Verdana"/>
          <w:color w:val="7030A0"/>
        </w:rPr>
      </w:pPr>
      <w:r w:rsidRPr="00EA3BD1">
        <w:rPr>
          <w:rFonts w:ascii="Verdana" w:hAnsi="Verdana"/>
          <w:color w:val="000000" w:themeColor="text1"/>
        </w:rPr>
        <w:t>Te contamos que ya se encuentra disponible la </w:t>
      </w:r>
      <w:r w:rsidRPr="00EA3BD1">
        <w:rPr>
          <w:rFonts w:ascii="Verdana" w:hAnsi="Verdana"/>
          <w:b/>
          <w:bCs/>
          <w:color w:val="000000" w:themeColor="text1"/>
        </w:rPr>
        <w:t xml:space="preserve">Guía de lineamientos de transparencia y selección objetiva para el departamento de La Guajira – </w:t>
      </w:r>
      <w:r w:rsidRPr="00EA3BD1">
        <w:rPr>
          <w:rFonts w:ascii="Verdana" w:hAnsi="Verdana"/>
          <w:b/>
          <w:bCs/>
          <w:color w:val="000000" w:themeColor="text1"/>
        </w:rPr>
        <w:lastRenderedPageBreak/>
        <w:t>Objetivo sexto constitucional de la Sentencia T-302 del 2017. </w:t>
      </w:r>
      <w:r w:rsidRPr="00EA3BD1">
        <w:rPr>
          <w:rFonts w:ascii="Verdana" w:hAnsi="Verdana"/>
          <w:color w:val="000000" w:themeColor="text1"/>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EA3BD1">
          <w:rPr>
            <w:rStyle w:val="Hipervnculo"/>
            <w:rFonts w:ascii="Verdana" w:eastAsia="Calibri" w:hAnsi="Verdana" w:cs="Arial"/>
            <w:lang w:eastAsia="es-ES_tradnl"/>
          </w:rPr>
          <w:t>Guía de lineamientos de transparencia y selección objetiva para el departamento de La Guajira – Objetivo sexto constitucional de la Sentencia T-302 del 2017</w:t>
        </w:r>
      </w:hyperlink>
      <w:r w:rsidRPr="00EA3BD1">
        <w:rPr>
          <w:rStyle w:val="Hipervnculo"/>
          <w:rFonts w:ascii="Verdana" w:eastAsia="Calibri" w:hAnsi="Verdana" w:cs="Arial"/>
          <w:lang w:eastAsia="es-ES_tradnl"/>
        </w:rPr>
        <w:t>.</w:t>
      </w:r>
    </w:p>
    <w:p w14:paraId="19EFA905" w14:textId="77777777" w:rsidR="00B14218" w:rsidRPr="00EA3BD1" w:rsidRDefault="00B14218" w:rsidP="00B14218">
      <w:pPr>
        <w:spacing w:after="0" w:line="276" w:lineRule="auto"/>
        <w:jc w:val="both"/>
        <w:rPr>
          <w:rFonts w:ascii="Verdana" w:hAnsi="Verdana"/>
          <w:color w:val="7030A0"/>
        </w:rPr>
      </w:pPr>
    </w:p>
    <w:p w14:paraId="1A33E9AE" w14:textId="77777777" w:rsidR="00B14218" w:rsidRPr="00EA3BD1" w:rsidRDefault="00B14218" w:rsidP="00B14218">
      <w:pPr>
        <w:spacing w:after="0" w:line="276" w:lineRule="auto"/>
        <w:jc w:val="both"/>
        <w:rPr>
          <w:rFonts w:ascii="Verdana" w:hAnsi="Verdana"/>
          <w:color w:val="000000" w:themeColor="text1"/>
        </w:rPr>
      </w:pPr>
      <w:r w:rsidRPr="00EA3BD1">
        <w:rPr>
          <w:rFonts w:ascii="Verdana" w:hAnsi="Verdana"/>
          <w:color w:val="000000" w:themeColor="text1"/>
        </w:rPr>
        <w:t xml:space="preserve">Por último, lo invitamos a seguirnos en las redes sociales en las cuales se difunde información institucional: </w:t>
      </w:r>
    </w:p>
    <w:p w14:paraId="549868EA" w14:textId="77777777" w:rsidR="00B14218" w:rsidRPr="00EA3BD1" w:rsidRDefault="00B14218" w:rsidP="00B14218">
      <w:pPr>
        <w:spacing w:after="0" w:line="276" w:lineRule="auto"/>
        <w:jc w:val="both"/>
        <w:rPr>
          <w:rFonts w:ascii="Verdana" w:hAnsi="Verdana"/>
          <w:color w:val="000000" w:themeColor="text1"/>
        </w:rPr>
      </w:pPr>
    </w:p>
    <w:p w14:paraId="75FDB564" w14:textId="77777777" w:rsidR="00B14218" w:rsidRPr="00EA3BD1" w:rsidRDefault="00B14218" w:rsidP="00B14218">
      <w:pPr>
        <w:spacing w:after="0" w:line="276" w:lineRule="auto"/>
        <w:jc w:val="both"/>
        <w:rPr>
          <w:rFonts w:ascii="Verdana" w:hAnsi="Verdana"/>
          <w:color w:val="000000" w:themeColor="text1"/>
        </w:rPr>
      </w:pPr>
      <w:r w:rsidRPr="00EA3BD1">
        <w:rPr>
          <w:rFonts w:ascii="Verdana" w:hAnsi="Verdana"/>
          <w:color w:val="000000" w:themeColor="text1"/>
        </w:rPr>
        <w:t xml:space="preserve">Twitter: </w:t>
      </w:r>
      <w:r w:rsidRPr="00EA3BD1">
        <w:rPr>
          <w:rStyle w:val="Hipervnculo"/>
          <w:rFonts w:ascii="Verdana" w:eastAsia="Calibri" w:hAnsi="Verdana" w:cs="Arial"/>
          <w:lang w:eastAsia="es-ES_tradnl"/>
        </w:rPr>
        <w:t>@colombiacompra</w:t>
      </w:r>
      <w:r w:rsidRPr="00EA3BD1">
        <w:rPr>
          <w:rFonts w:ascii="Verdana" w:hAnsi="Verdana"/>
          <w:color w:val="000000" w:themeColor="text1"/>
        </w:rPr>
        <w:t xml:space="preserve"> </w:t>
      </w:r>
    </w:p>
    <w:p w14:paraId="2124BC1C" w14:textId="77777777" w:rsidR="00B14218" w:rsidRPr="00EA3BD1" w:rsidRDefault="00B14218" w:rsidP="00B14218">
      <w:pPr>
        <w:spacing w:after="0" w:line="276" w:lineRule="auto"/>
        <w:jc w:val="both"/>
        <w:rPr>
          <w:rFonts w:ascii="Verdana" w:eastAsia="Calibri" w:hAnsi="Verdana" w:cs="Arial"/>
          <w:color w:val="000000" w:themeColor="text1"/>
          <w:u w:val="single"/>
          <w:lang w:eastAsia="es-ES_tradnl"/>
        </w:rPr>
      </w:pPr>
      <w:r w:rsidRPr="00EA3BD1">
        <w:rPr>
          <w:rFonts w:ascii="Verdana" w:hAnsi="Verdana"/>
          <w:color w:val="000000" w:themeColor="text1"/>
        </w:rPr>
        <w:t xml:space="preserve">Facebook: </w:t>
      </w:r>
      <w:r w:rsidRPr="00EA3BD1">
        <w:rPr>
          <w:rStyle w:val="Hipervnculo"/>
          <w:rFonts w:ascii="Verdana" w:eastAsia="Calibri" w:hAnsi="Verdana" w:cs="Arial"/>
          <w:lang w:eastAsia="es-ES_tradnl"/>
        </w:rPr>
        <w:t>ColombiaCompraEficiente</w:t>
      </w:r>
    </w:p>
    <w:p w14:paraId="19513E8A" w14:textId="77777777" w:rsidR="00B14218" w:rsidRPr="00EA3BD1" w:rsidRDefault="00B14218" w:rsidP="00B14218">
      <w:pPr>
        <w:spacing w:after="0" w:line="276" w:lineRule="auto"/>
        <w:jc w:val="both"/>
        <w:rPr>
          <w:rFonts w:ascii="Verdana" w:hAnsi="Verdana"/>
          <w:color w:val="0000FF"/>
        </w:rPr>
      </w:pPr>
      <w:r w:rsidRPr="00EA3BD1">
        <w:rPr>
          <w:rFonts w:ascii="Verdana" w:hAnsi="Verdana"/>
          <w:color w:val="000000" w:themeColor="text1"/>
        </w:rPr>
        <w:t xml:space="preserve">LinkedIn: </w:t>
      </w:r>
      <w:r w:rsidRPr="00EA3BD1">
        <w:rPr>
          <w:rStyle w:val="Hipervnculo"/>
          <w:rFonts w:ascii="Verdana" w:eastAsia="Calibri" w:hAnsi="Verdana" w:cs="Arial"/>
          <w:lang w:eastAsia="es-ES_tradnl"/>
        </w:rPr>
        <w:t xml:space="preserve">Agencia Nacional de Contratación Pública - Colombia Compra Eficiente </w:t>
      </w:r>
      <w:r w:rsidRPr="00EA3BD1">
        <w:rPr>
          <w:rFonts w:ascii="Verdana" w:hAnsi="Verdana"/>
          <w:color w:val="000000" w:themeColor="text1"/>
        </w:rPr>
        <w:t xml:space="preserve">Instagram: </w:t>
      </w:r>
      <w:r w:rsidRPr="00EA3BD1">
        <w:rPr>
          <w:rStyle w:val="Hipervnculo"/>
          <w:rFonts w:ascii="Verdana" w:eastAsia="Calibri" w:hAnsi="Verdana" w:cs="Arial"/>
          <w:lang w:eastAsia="es-ES_tradnl"/>
        </w:rPr>
        <w:t>@colombiacompraeficiente_cce</w:t>
      </w:r>
    </w:p>
    <w:p w14:paraId="5CD8E8BB" w14:textId="77777777" w:rsidR="00B14218" w:rsidRPr="00EA3BD1" w:rsidRDefault="00B14218" w:rsidP="00B14218">
      <w:pPr>
        <w:widowControl w:val="0"/>
        <w:autoSpaceDE w:val="0"/>
        <w:autoSpaceDN w:val="0"/>
        <w:spacing w:after="0" w:line="276" w:lineRule="auto"/>
        <w:jc w:val="both"/>
        <w:rPr>
          <w:rFonts w:ascii="Verdana" w:hAnsi="Verdana"/>
          <w:color w:val="000000" w:themeColor="text1"/>
        </w:rPr>
      </w:pPr>
    </w:p>
    <w:p w14:paraId="08653B68" w14:textId="77777777" w:rsidR="00B14218" w:rsidRPr="00EA3BD1" w:rsidRDefault="00B14218" w:rsidP="00B14218">
      <w:pPr>
        <w:widowControl w:val="0"/>
        <w:autoSpaceDE w:val="0"/>
        <w:autoSpaceDN w:val="0"/>
        <w:spacing w:after="0" w:line="276" w:lineRule="auto"/>
        <w:jc w:val="both"/>
        <w:rPr>
          <w:rFonts w:ascii="Verdana" w:hAnsi="Verdana" w:cs="Arial"/>
          <w:color w:val="000000" w:themeColor="text1"/>
        </w:rPr>
      </w:pPr>
      <w:r w:rsidRPr="00EA3BD1">
        <w:rPr>
          <w:rFonts w:ascii="Verdana" w:hAnsi="Verdana" w:cs="Arial"/>
          <w:color w:val="000000" w:themeColor="text1"/>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EA4C6B8" w14:textId="77777777" w:rsidR="00B14218" w:rsidRPr="00EA3BD1" w:rsidRDefault="00B14218" w:rsidP="00B14218">
      <w:pPr>
        <w:spacing w:after="0" w:line="276" w:lineRule="auto"/>
        <w:ind w:firstLine="709"/>
        <w:jc w:val="both"/>
        <w:rPr>
          <w:rFonts w:ascii="Verdana" w:eastAsia="Times New Roman" w:hAnsi="Verdana" w:cs="Arial"/>
          <w:color w:val="000000" w:themeColor="text1"/>
          <w:szCs w:val="24"/>
          <w:lang w:eastAsia="es-ES_tradnl"/>
        </w:rPr>
      </w:pPr>
    </w:p>
    <w:p w14:paraId="026854B1" w14:textId="77777777" w:rsidR="00B14218" w:rsidRPr="00EA3BD1" w:rsidRDefault="00B14218" w:rsidP="00B14218">
      <w:pPr>
        <w:spacing w:after="0" w:line="276" w:lineRule="auto"/>
        <w:jc w:val="both"/>
        <w:rPr>
          <w:rFonts w:ascii="Verdana" w:eastAsia="Times New Roman" w:hAnsi="Verdana" w:cs="Arial"/>
          <w:color w:val="000000" w:themeColor="text1"/>
          <w:lang w:eastAsia="es-CO"/>
        </w:rPr>
      </w:pPr>
      <w:bookmarkStart w:id="2" w:name="_Hlk117695077"/>
      <w:r w:rsidRPr="00EA3BD1">
        <w:rPr>
          <w:rFonts w:ascii="Verdana" w:eastAsia="Times New Roman" w:hAnsi="Verdana" w:cs="Arial"/>
          <w:color w:val="000000" w:themeColor="text1"/>
          <w:lang w:eastAsia="es-CO"/>
        </w:rPr>
        <w:t>Atentamente,</w:t>
      </w:r>
    </w:p>
    <w:p w14:paraId="7785C797" w14:textId="77777777" w:rsidR="00B14218" w:rsidRPr="00EA3BD1" w:rsidRDefault="00B14218" w:rsidP="00B14218">
      <w:pPr>
        <w:spacing w:after="0" w:line="276" w:lineRule="auto"/>
        <w:jc w:val="both"/>
        <w:rPr>
          <w:rFonts w:ascii="Verdana" w:eastAsia="Times New Roman" w:hAnsi="Verdana" w:cs="Arial"/>
          <w:color w:val="7030A0"/>
          <w:lang w:eastAsia="es-CO"/>
        </w:rPr>
      </w:pPr>
    </w:p>
    <w:bookmarkEnd w:id="2"/>
    <w:p w14:paraId="6246DC06" w14:textId="0BA5F71B" w:rsidR="00B14218" w:rsidRPr="00EA3BD1" w:rsidRDefault="00F62506" w:rsidP="00B14218">
      <w:pPr>
        <w:spacing w:after="0" w:line="276" w:lineRule="auto"/>
        <w:jc w:val="center"/>
        <w:rPr>
          <w:rFonts w:ascii="Verdana" w:eastAsia="Times New Roman" w:hAnsi="Verdana" w:cs="Arial"/>
          <w:color w:val="7030A0"/>
          <w:lang w:eastAsia="es-CO"/>
        </w:rPr>
      </w:pPr>
      <w:r w:rsidRPr="00F62506">
        <w:rPr>
          <w:rFonts w:ascii="Verdana" w:eastAsia="Times New Roman" w:hAnsi="Verdana" w:cs="Arial"/>
          <w:noProof/>
          <w:color w:val="7030A0"/>
          <w:lang w:eastAsia="es-CO"/>
        </w:rPr>
        <w:drawing>
          <wp:inline distT="0" distB="0" distL="0" distR="0" wp14:anchorId="79057F14" wp14:editId="6820EBDA">
            <wp:extent cx="3626790" cy="1306286"/>
            <wp:effectExtent l="0" t="0" r="0" b="8255"/>
            <wp:docPr id="210664286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642865" name="Imagen 1" descr="Texto&#10;&#10;El contenido generado por IA puede ser incorrecto."/>
                    <pic:cNvPicPr/>
                  </pic:nvPicPr>
                  <pic:blipFill rotWithShape="1">
                    <a:blip r:embed="rId16"/>
                    <a:srcRect b="9814"/>
                    <a:stretch>
                      <a:fillRect/>
                    </a:stretch>
                  </pic:blipFill>
                  <pic:spPr bwMode="auto">
                    <a:xfrm>
                      <a:off x="0" y="0"/>
                      <a:ext cx="3632847" cy="1308468"/>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B14218" w:rsidRPr="00EA3BD1" w14:paraId="1CF7DB32" w14:textId="77777777">
        <w:trPr>
          <w:trHeight w:val="286"/>
        </w:trPr>
        <w:tc>
          <w:tcPr>
            <w:tcW w:w="893" w:type="dxa"/>
            <w:vAlign w:val="center"/>
            <w:hideMark/>
          </w:tcPr>
          <w:p w14:paraId="5373BFCD" w14:textId="77777777" w:rsidR="00B14218" w:rsidRPr="00EA3BD1" w:rsidRDefault="00B14218">
            <w:pPr>
              <w:rPr>
                <w:rFonts w:ascii="Verdana" w:eastAsia="Times New Roman" w:hAnsi="Verdana" w:cs="Arial"/>
                <w:color w:val="000000" w:themeColor="text1"/>
                <w:sz w:val="14"/>
                <w:szCs w:val="14"/>
                <w:lang w:eastAsia="es-ES"/>
              </w:rPr>
            </w:pPr>
            <w:r w:rsidRPr="00EA3BD1">
              <w:rPr>
                <w:rFonts w:ascii="Verdana" w:eastAsia="Times New Roman" w:hAnsi="Verdana" w:cs="Arial"/>
                <w:color w:val="000000" w:themeColor="text1"/>
                <w:sz w:val="16"/>
                <w:szCs w:val="16"/>
                <w:lang w:eastAsia="es-ES"/>
              </w:rPr>
              <w:t>Elaboró:</w:t>
            </w:r>
          </w:p>
        </w:tc>
        <w:tc>
          <w:tcPr>
            <w:tcW w:w="4777" w:type="dxa"/>
            <w:vAlign w:val="center"/>
            <w:hideMark/>
          </w:tcPr>
          <w:p w14:paraId="1A91EB59" w14:textId="77777777" w:rsidR="00B14218" w:rsidRPr="00EA3BD1" w:rsidRDefault="00B14218">
            <w:pPr>
              <w:rPr>
                <w:rFonts w:ascii="Verdana" w:eastAsia="Times New Roman" w:hAnsi="Verdana" w:cs="Arial"/>
                <w:color w:val="000000" w:themeColor="text1"/>
                <w:sz w:val="16"/>
                <w:szCs w:val="16"/>
                <w:lang w:eastAsia="es-ES"/>
              </w:rPr>
            </w:pPr>
          </w:p>
          <w:p w14:paraId="6AFE80EF" w14:textId="77777777" w:rsidR="00B14218" w:rsidRPr="00EA3BD1" w:rsidRDefault="00B14218">
            <w:pPr>
              <w:rPr>
                <w:rFonts w:ascii="Verdana" w:eastAsia="Times New Roman" w:hAnsi="Verdana" w:cs="Arial"/>
                <w:color w:val="000000" w:themeColor="text1"/>
                <w:sz w:val="16"/>
                <w:szCs w:val="16"/>
                <w:lang w:eastAsia="es-ES"/>
              </w:rPr>
            </w:pPr>
            <w:r w:rsidRPr="00EA3BD1">
              <w:rPr>
                <w:rFonts w:ascii="Verdana" w:eastAsia="Times New Roman" w:hAnsi="Verdana" w:cs="Arial"/>
                <w:color w:val="000000" w:themeColor="text1"/>
                <w:sz w:val="16"/>
                <w:szCs w:val="16"/>
                <w:lang w:eastAsia="es-ES"/>
              </w:rPr>
              <w:t>Camila Alejandra Naranjo Gómez</w:t>
            </w:r>
          </w:p>
          <w:p w14:paraId="40A5353A" w14:textId="77777777" w:rsidR="00B14218" w:rsidRPr="00EA3BD1" w:rsidRDefault="00B14218">
            <w:pPr>
              <w:rPr>
                <w:rFonts w:ascii="Verdana" w:eastAsia="Times New Roman" w:hAnsi="Verdana" w:cs="Arial"/>
                <w:color w:val="000000" w:themeColor="text1"/>
                <w:sz w:val="14"/>
                <w:szCs w:val="14"/>
                <w:lang w:eastAsia="es-ES"/>
              </w:rPr>
            </w:pPr>
            <w:r w:rsidRPr="00EA3BD1">
              <w:rPr>
                <w:rFonts w:ascii="Verdana" w:eastAsia="Times New Roman" w:hAnsi="Verdana" w:cs="Arial"/>
                <w:color w:val="000000" w:themeColor="text1"/>
                <w:sz w:val="16"/>
                <w:szCs w:val="16"/>
                <w:lang w:eastAsia="es-ES"/>
              </w:rPr>
              <w:t>Analista T2-1 de la Subdirección de Gestión Contractual</w:t>
            </w:r>
          </w:p>
        </w:tc>
      </w:tr>
      <w:tr w:rsidR="00B14218" w:rsidRPr="00EA3BD1" w14:paraId="0B7B0612" w14:textId="77777777">
        <w:trPr>
          <w:trHeight w:val="299"/>
        </w:trPr>
        <w:tc>
          <w:tcPr>
            <w:tcW w:w="893" w:type="dxa"/>
            <w:vAlign w:val="center"/>
            <w:hideMark/>
          </w:tcPr>
          <w:p w14:paraId="6BA0E0EE" w14:textId="77777777" w:rsidR="00B14218" w:rsidRPr="00EA3BD1" w:rsidRDefault="00B14218">
            <w:pPr>
              <w:rPr>
                <w:rFonts w:ascii="Verdana" w:eastAsia="Times New Roman" w:hAnsi="Verdana" w:cs="Arial"/>
                <w:color w:val="000000" w:themeColor="text1"/>
                <w:sz w:val="14"/>
                <w:szCs w:val="14"/>
                <w:lang w:eastAsia="es-ES"/>
              </w:rPr>
            </w:pPr>
            <w:r w:rsidRPr="00EA3BD1">
              <w:rPr>
                <w:rFonts w:ascii="Verdana" w:eastAsia="Times New Roman" w:hAnsi="Verdana" w:cs="Arial"/>
                <w:color w:val="000000" w:themeColor="text1"/>
                <w:sz w:val="16"/>
                <w:szCs w:val="16"/>
                <w:lang w:eastAsia="es-ES"/>
              </w:rPr>
              <w:t>Revisó:</w:t>
            </w:r>
          </w:p>
        </w:tc>
        <w:tc>
          <w:tcPr>
            <w:tcW w:w="4777" w:type="dxa"/>
            <w:vAlign w:val="center"/>
            <w:hideMark/>
          </w:tcPr>
          <w:p w14:paraId="15E20D83" w14:textId="77777777" w:rsidR="00B14218" w:rsidRPr="00EA3BD1" w:rsidRDefault="00B14218">
            <w:pPr>
              <w:rPr>
                <w:rFonts w:ascii="Verdana" w:eastAsia="Times New Roman" w:hAnsi="Verdana" w:cs="Arial"/>
                <w:color w:val="000000" w:themeColor="text1"/>
                <w:sz w:val="16"/>
                <w:szCs w:val="16"/>
                <w:lang w:eastAsia="es-ES"/>
              </w:rPr>
            </w:pPr>
            <w:r w:rsidRPr="00EA3BD1">
              <w:rPr>
                <w:rFonts w:ascii="Verdana" w:eastAsia="Times New Roman" w:hAnsi="Verdana" w:cs="Arial"/>
                <w:color w:val="000000" w:themeColor="text1"/>
                <w:sz w:val="16"/>
                <w:szCs w:val="16"/>
                <w:lang w:eastAsia="es-ES"/>
              </w:rPr>
              <w:t>Alejandro Sarmiento</w:t>
            </w:r>
          </w:p>
          <w:p w14:paraId="1C2D2898" w14:textId="77777777" w:rsidR="00B14218" w:rsidRPr="00EA3BD1" w:rsidRDefault="00B14218">
            <w:pPr>
              <w:rPr>
                <w:rFonts w:ascii="Verdana" w:eastAsia="Times New Roman" w:hAnsi="Verdana" w:cs="Arial"/>
                <w:color w:val="000000" w:themeColor="text1"/>
                <w:sz w:val="14"/>
                <w:szCs w:val="14"/>
                <w:lang w:eastAsia="es-ES"/>
              </w:rPr>
            </w:pPr>
            <w:r w:rsidRPr="00EA3BD1">
              <w:rPr>
                <w:rFonts w:ascii="Verdana" w:eastAsia="Times New Roman" w:hAnsi="Verdana" w:cs="Arial"/>
                <w:color w:val="000000" w:themeColor="text1"/>
                <w:sz w:val="16"/>
                <w:szCs w:val="16"/>
                <w:lang w:eastAsia="es-ES"/>
              </w:rPr>
              <w:t>Gestor T1-15 de la Subdirección de Gestión Contractual</w:t>
            </w:r>
          </w:p>
        </w:tc>
      </w:tr>
      <w:tr w:rsidR="00B14218" w:rsidRPr="00EA3BD1" w14:paraId="075CFBA0" w14:textId="77777777">
        <w:trPr>
          <w:trHeight w:val="87"/>
        </w:trPr>
        <w:tc>
          <w:tcPr>
            <w:tcW w:w="893" w:type="dxa"/>
            <w:vAlign w:val="center"/>
            <w:hideMark/>
          </w:tcPr>
          <w:p w14:paraId="09A49285" w14:textId="77777777" w:rsidR="00B14218" w:rsidRPr="00EA3BD1" w:rsidRDefault="00B14218">
            <w:pPr>
              <w:rPr>
                <w:rFonts w:ascii="Verdana" w:eastAsia="Times New Roman" w:hAnsi="Verdana" w:cs="Arial"/>
                <w:color w:val="000000" w:themeColor="text1"/>
                <w:sz w:val="14"/>
                <w:szCs w:val="14"/>
                <w:lang w:eastAsia="es-ES"/>
              </w:rPr>
            </w:pPr>
            <w:r w:rsidRPr="00EA3BD1">
              <w:rPr>
                <w:rFonts w:ascii="Verdana" w:eastAsia="Times New Roman" w:hAnsi="Verdana" w:cs="Arial"/>
                <w:color w:val="000000" w:themeColor="text1"/>
                <w:sz w:val="16"/>
                <w:szCs w:val="16"/>
                <w:lang w:eastAsia="es-ES"/>
              </w:rPr>
              <w:t>Aprobó:</w:t>
            </w:r>
          </w:p>
        </w:tc>
        <w:tc>
          <w:tcPr>
            <w:tcW w:w="4777" w:type="dxa"/>
            <w:vAlign w:val="center"/>
            <w:hideMark/>
          </w:tcPr>
          <w:p w14:paraId="0995B1B7" w14:textId="77777777" w:rsidR="00B14218" w:rsidRPr="00EA3BD1" w:rsidRDefault="00B14218">
            <w:pPr>
              <w:rPr>
                <w:rFonts w:ascii="Verdana" w:eastAsia="Times New Roman" w:hAnsi="Verdana" w:cs="Arial"/>
                <w:color w:val="000000" w:themeColor="text1"/>
                <w:sz w:val="16"/>
                <w:szCs w:val="16"/>
                <w:lang w:eastAsia="es-ES"/>
              </w:rPr>
            </w:pPr>
            <w:r w:rsidRPr="00EA3BD1">
              <w:rPr>
                <w:rFonts w:ascii="Verdana" w:eastAsia="Times New Roman" w:hAnsi="Verdana" w:cs="Arial"/>
                <w:color w:val="000000" w:themeColor="text1"/>
                <w:sz w:val="16"/>
                <w:szCs w:val="16"/>
                <w:lang w:eastAsia="es-ES"/>
              </w:rPr>
              <w:t>Carolina Quintero Gacharná</w:t>
            </w:r>
          </w:p>
          <w:p w14:paraId="4ECF7233" w14:textId="77777777" w:rsidR="00B14218" w:rsidRPr="00EA3BD1" w:rsidRDefault="00B14218">
            <w:pPr>
              <w:rPr>
                <w:rFonts w:ascii="Verdana" w:eastAsia="Times New Roman" w:hAnsi="Verdana" w:cs="Arial"/>
                <w:color w:val="000000" w:themeColor="text1"/>
                <w:sz w:val="14"/>
                <w:szCs w:val="14"/>
                <w:lang w:eastAsia="es-ES"/>
              </w:rPr>
            </w:pPr>
            <w:r w:rsidRPr="00EA3BD1">
              <w:rPr>
                <w:rFonts w:ascii="Verdana" w:eastAsia="Times New Roman" w:hAnsi="Verdana" w:cs="Arial"/>
                <w:color w:val="000000" w:themeColor="text1"/>
                <w:sz w:val="16"/>
                <w:szCs w:val="16"/>
                <w:lang w:eastAsia="es-ES"/>
              </w:rPr>
              <w:t>Subdirectora de Gestión Contractual ANCP – CCE</w:t>
            </w:r>
          </w:p>
        </w:tc>
      </w:tr>
      <w:tr w:rsidR="00B14218" w:rsidRPr="00EA3BD1" w14:paraId="4D9DB98C" w14:textId="77777777">
        <w:trPr>
          <w:trHeight w:val="272"/>
        </w:trPr>
        <w:tc>
          <w:tcPr>
            <w:tcW w:w="893" w:type="dxa"/>
            <w:vAlign w:val="center"/>
          </w:tcPr>
          <w:p w14:paraId="152DEE96" w14:textId="77777777" w:rsidR="00B14218" w:rsidRPr="00EA3BD1" w:rsidRDefault="00B14218">
            <w:pPr>
              <w:rPr>
                <w:rFonts w:ascii="Verdana" w:eastAsia="Times New Roman" w:hAnsi="Verdana" w:cs="Arial"/>
                <w:color w:val="7030A0"/>
                <w:sz w:val="16"/>
                <w:szCs w:val="16"/>
                <w:lang w:eastAsia="es-ES"/>
              </w:rPr>
            </w:pPr>
          </w:p>
        </w:tc>
        <w:tc>
          <w:tcPr>
            <w:tcW w:w="4777" w:type="dxa"/>
            <w:vAlign w:val="center"/>
          </w:tcPr>
          <w:p w14:paraId="1E26B295" w14:textId="77777777" w:rsidR="00B14218" w:rsidRPr="00EA3BD1" w:rsidRDefault="00B14218">
            <w:pPr>
              <w:rPr>
                <w:rFonts w:ascii="Verdana" w:eastAsia="Times New Roman" w:hAnsi="Verdana" w:cs="Arial"/>
                <w:color w:val="7030A0"/>
                <w:sz w:val="16"/>
                <w:szCs w:val="16"/>
                <w:lang w:eastAsia="es-ES"/>
              </w:rPr>
            </w:pPr>
          </w:p>
        </w:tc>
      </w:tr>
    </w:tbl>
    <w:p w14:paraId="3900974D" w14:textId="46F0439E" w:rsidR="003D5B0D" w:rsidRPr="00B14218" w:rsidRDefault="003D5B0D" w:rsidP="00B14218"/>
    <w:sectPr w:rsidR="003D5B0D" w:rsidRPr="00B1421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DD097" w14:textId="77777777" w:rsidR="00734CEC" w:rsidRDefault="00734CEC" w:rsidP="004A1847">
      <w:pPr>
        <w:spacing w:after="0" w:line="240" w:lineRule="auto"/>
      </w:pPr>
      <w:r>
        <w:separator/>
      </w:r>
    </w:p>
  </w:endnote>
  <w:endnote w:type="continuationSeparator" w:id="0">
    <w:p w14:paraId="630CB271" w14:textId="77777777" w:rsidR="00734CEC" w:rsidRDefault="00734CE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A3DD0" w14:textId="77777777" w:rsidR="00734CEC" w:rsidRDefault="00734CEC" w:rsidP="004A1847">
      <w:pPr>
        <w:spacing w:after="0" w:line="240" w:lineRule="auto"/>
      </w:pPr>
      <w:r>
        <w:separator/>
      </w:r>
    </w:p>
  </w:footnote>
  <w:footnote w:type="continuationSeparator" w:id="0">
    <w:p w14:paraId="5DF8FF6C" w14:textId="77777777" w:rsidR="00734CEC" w:rsidRDefault="00734CEC" w:rsidP="004A1847">
      <w:pPr>
        <w:spacing w:after="0" w:line="240" w:lineRule="auto"/>
      </w:pPr>
      <w:r>
        <w:continuationSeparator/>
      </w:r>
    </w:p>
  </w:footnote>
  <w:footnote w:id="1">
    <w:p w14:paraId="1033FCF2" w14:textId="77777777" w:rsidR="00EA6FE4" w:rsidRPr="00C70F19" w:rsidRDefault="00EA6FE4" w:rsidP="005F0542">
      <w:pPr>
        <w:pStyle w:val="Textonotapie"/>
        <w:ind w:firstLine="708"/>
        <w:jc w:val="both"/>
        <w:rPr>
          <w:rFonts w:ascii="Verdana" w:hAnsi="Verdana"/>
          <w:sz w:val="16"/>
          <w:szCs w:val="16"/>
        </w:rPr>
      </w:pPr>
      <w:r w:rsidRPr="00C70F19">
        <w:rPr>
          <w:rFonts w:ascii="Verdana" w:hAnsi="Verdana"/>
          <w:sz w:val="16"/>
          <w:szCs w:val="16"/>
          <w:vertAlign w:val="superscript"/>
        </w:rPr>
        <w:footnoteRef/>
      </w:r>
      <w:r w:rsidRPr="00C70F19">
        <w:rPr>
          <w:rFonts w:ascii="Verdana" w:hAnsi="Verdana"/>
          <w:sz w:val="16"/>
          <w:szCs w:val="16"/>
        </w:rPr>
        <w:t xml:space="preserve"> CORTE CONSTITUCIONAL. Sentencia C-181 de 1997. M.P. Fabio Morón Díaz. Ver también las Sentencias C-540 de 2001, C-893 de 2003 y C-903 de 2008, entre otras.</w:t>
      </w:r>
    </w:p>
  </w:footnote>
  <w:footnote w:id="2">
    <w:p w14:paraId="357B942D" w14:textId="77777777" w:rsidR="00EA6FE4" w:rsidRPr="00C70F19" w:rsidRDefault="00EA6FE4" w:rsidP="005F0542">
      <w:pPr>
        <w:pStyle w:val="Textonotapie"/>
        <w:ind w:firstLine="708"/>
        <w:jc w:val="both"/>
        <w:rPr>
          <w:rFonts w:ascii="Verdana" w:hAnsi="Verdana"/>
          <w:sz w:val="16"/>
          <w:szCs w:val="16"/>
          <w:lang w:val="pt-BR"/>
        </w:rPr>
      </w:pPr>
      <w:r w:rsidRPr="00C70F19">
        <w:rPr>
          <w:rStyle w:val="Refdenotaalpie"/>
          <w:rFonts w:ascii="Verdana" w:hAnsi="Verdana"/>
          <w:sz w:val="16"/>
          <w:szCs w:val="16"/>
        </w:rPr>
        <w:footnoteRef/>
      </w:r>
      <w:r w:rsidRPr="00C70F19">
        <w:rPr>
          <w:rFonts w:ascii="Verdana" w:hAnsi="Verdana"/>
          <w:sz w:val="16"/>
          <w:szCs w:val="16"/>
          <w:lang w:val="pt-BR"/>
        </w:rPr>
        <w:t xml:space="preserve"> CORTE CONSTITUCIONAL. Sentencia C-1016 de 2012. M.P. Jorge Iván Palacio.</w:t>
      </w:r>
    </w:p>
  </w:footnote>
  <w:footnote w:id="3">
    <w:p w14:paraId="60F04807" w14:textId="77777777" w:rsidR="00EA6FE4" w:rsidRPr="00C70F19" w:rsidRDefault="00EA6FE4" w:rsidP="005F0542">
      <w:pPr>
        <w:pStyle w:val="Textonotapie"/>
        <w:ind w:firstLine="708"/>
        <w:jc w:val="both"/>
        <w:rPr>
          <w:rFonts w:ascii="Verdana" w:hAnsi="Verdana"/>
          <w:sz w:val="16"/>
          <w:szCs w:val="16"/>
          <w:lang w:val="pt-BR"/>
        </w:rPr>
      </w:pPr>
      <w:r w:rsidRPr="00C70F19">
        <w:rPr>
          <w:rStyle w:val="Refdenotaalpie"/>
          <w:rFonts w:ascii="Verdana" w:hAnsi="Verdana"/>
          <w:sz w:val="16"/>
          <w:szCs w:val="16"/>
        </w:rPr>
        <w:footnoteRef/>
      </w:r>
      <w:r w:rsidRPr="00C70F19">
        <w:rPr>
          <w:rFonts w:ascii="Verdana" w:hAnsi="Verdana"/>
          <w:sz w:val="16"/>
          <w:szCs w:val="16"/>
        </w:rPr>
        <w:t xml:space="preserve"> CONSEJO DE ESTADO. Sección Tercera. Subsección A. Sentencia del 13 de noviembre de 2013. </w:t>
      </w:r>
      <w:r w:rsidRPr="00C70F19">
        <w:rPr>
          <w:rFonts w:ascii="Verdana" w:hAnsi="Verdana"/>
          <w:sz w:val="16"/>
          <w:szCs w:val="16"/>
          <w:lang w:val="pt-BR"/>
        </w:rPr>
        <w:t xml:space="preserve">Rad. 25.646. C.P. Mauricio Fajardo Gómez.  </w:t>
      </w:r>
    </w:p>
    <w:p w14:paraId="7D0831E5" w14:textId="77777777" w:rsidR="00EA6FE4" w:rsidRPr="00C70F19" w:rsidRDefault="00EA6FE4" w:rsidP="005F0542">
      <w:pPr>
        <w:pStyle w:val="Textonotapie"/>
        <w:jc w:val="both"/>
        <w:rPr>
          <w:rFonts w:ascii="Verdana" w:hAnsi="Verdana"/>
          <w:sz w:val="16"/>
          <w:szCs w:val="16"/>
          <w:lang w:val="pt-BR"/>
        </w:rPr>
      </w:pPr>
    </w:p>
  </w:footnote>
  <w:footnote w:id="4">
    <w:p w14:paraId="3E6F19F9" w14:textId="77777777" w:rsidR="00EA6FE4" w:rsidRPr="00C70F19" w:rsidRDefault="00EA6FE4" w:rsidP="005F0542">
      <w:pPr>
        <w:pStyle w:val="Textonotapie"/>
        <w:ind w:firstLine="708"/>
        <w:jc w:val="both"/>
        <w:rPr>
          <w:rFonts w:ascii="Verdana" w:hAnsi="Verdana"/>
          <w:sz w:val="16"/>
          <w:szCs w:val="16"/>
          <w:lang w:val="pt-BR"/>
        </w:rPr>
      </w:pPr>
      <w:r w:rsidRPr="00C70F19">
        <w:rPr>
          <w:rStyle w:val="Refdenotaalpie"/>
          <w:rFonts w:ascii="Verdana" w:hAnsi="Verdana"/>
          <w:sz w:val="16"/>
          <w:szCs w:val="16"/>
        </w:rPr>
        <w:footnoteRef/>
      </w:r>
      <w:r w:rsidRPr="00C70F19">
        <w:rPr>
          <w:rFonts w:ascii="Verdana" w:hAnsi="Verdana"/>
          <w:sz w:val="16"/>
          <w:szCs w:val="16"/>
          <w:lang w:val="pt-BR"/>
        </w:rPr>
        <w:t xml:space="preserve"> CORTE CONSTITUCIONAL. Sentencia C-415 de 1994. M.P. Eduardo Cifuentes Muñoz.</w:t>
      </w:r>
    </w:p>
  </w:footnote>
  <w:footnote w:id="5">
    <w:p w14:paraId="474441FE" w14:textId="77777777" w:rsidR="00EA6FE4" w:rsidRPr="00C70F19" w:rsidRDefault="00EA6FE4" w:rsidP="005F0542">
      <w:pPr>
        <w:pStyle w:val="Textonotapie"/>
        <w:ind w:firstLine="708"/>
        <w:jc w:val="both"/>
        <w:rPr>
          <w:rFonts w:ascii="Verdana" w:hAnsi="Verdana"/>
          <w:sz w:val="16"/>
          <w:szCs w:val="16"/>
          <w:lang w:val="pt-BR"/>
        </w:rPr>
      </w:pPr>
      <w:r w:rsidRPr="00C70F19">
        <w:rPr>
          <w:rStyle w:val="Refdenotaalpie"/>
          <w:rFonts w:ascii="Verdana" w:hAnsi="Verdana"/>
          <w:sz w:val="16"/>
          <w:szCs w:val="16"/>
        </w:rPr>
        <w:footnoteRef/>
      </w:r>
      <w:r w:rsidRPr="00C70F19">
        <w:rPr>
          <w:rFonts w:ascii="Verdana" w:hAnsi="Verdana"/>
          <w:sz w:val="16"/>
          <w:szCs w:val="16"/>
          <w:lang w:val="pt-BR"/>
        </w:rPr>
        <w:t xml:space="preserve"> Ibídem.</w:t>
      </w:r>
    </w:p>
    <w:p w14:paraId="20A493A1" w14:textId="77777777" w:rsidR="00EA6FE4" w:rsidRPr="00C70F19" w:rsidRDefault="00EA6FE4" w:rsidP="005F0542">
      <w:pPr>
        <w:pStyle w:val="Textonotapie"/>
        <w:jc w:val="both"/>
        <w:rPr>
          <w:rFonts w:ascii="Verdana" w:hAnsi="Verdana"/>
          <w:sz w:val="16"/>
          <w:szCs w:val="16"/>
          <w:lang w:val="pt-BR"/>
        </w:rPr>
      </w:pPr>
    </w:p>
  </w:footnote>
  <w:footnote w:id="6">
    <w:p w14:paraId="64C03F9C" w14:textId="77777777" w:rsidR="00EA6FE4" w:rsidRPr="00C70F19" w:rsidRDefault="00EA6FE4" w:rsidP="005F0542">
      <w:pPr>
        <w:pStyle w:val="Textonotapie"/>
        <w:ind w:firstLine="708"/>
        <w:jc w:val="both"/>
        <w:rPr>
          <w:rFonts w:ascii="Verdana" w:hAnsi="Verdana"/>
          <w:sz w:val="16"/>
          <w:szCs w:val="16"/>
          <w:lang w:val="es-CO"/>
        </w:rPr>
      </w:pPr>
      <w:r w:rsidRPr="00C70F19">
        <w:rPr>
          <w:rStyle w:val="Refdenotaalpie"/>
          <w:rFonts w:ascii="Verdana" w:hAnsi="Verdana"/>
          <w:sz w:val="16"/>
          <w:szCs w:val="16"/>
        </w:rPr>
        <w:footnoteRef/>
      </w:r>
      <w:r w:rsidRPr="00C70F19">
        <w:rPr>
          <w:rFonts w:ascii="Verdana" w:hAnsi="Verdana"/>
          <w:sz w:val="16"/>
          <w:szCs w:val="16"/>
          <w:lang w:val="pt-BR"/>
        </w:rPr>
        <w:t xml:space="preserve"> CORTE CONSTITUCIONAL. </w:t>
      </w:r>
      <w:r w:rsidRPr="00C70F19">
        <w:rPr>
          <w:rFonts w:ascii="Verdana" w:hAnsi="Verdana"/>
          <w:sz w:val="16"/>
          <w:szCs w:val="16"/>
        </w:rPr>
        <w:t xml:space="preserve">Sentencia C-780 de 2001. </w:t>
      </w:r>
      <w:r w:rsidRPr="00C70F19">
        <w:rPr>
          <w:rFonts w:ascii="Verdana" w:hAnsi="Verdana"/>
          <w:sz w:val="16"/>
          <w:szCs w:val="16"/>
          <w:lang w:val="es-CO"/>
        </w:rPr>
        <w:t xml:space="preserve">M.P. Jaime Córdoba Triviño. </w:t>
      </w:r>
    </w:p>
    <w:p w14:paraId="3E551F62" w14:textId="77777777" w:rsidR="00EA6FE4" w:rsidRPr="00C70F19" w:rsidRDefault="00EA6FE4" w:rsidP="005F0542">
      <w:pPr>
        <w:pStyle w:val="Textonotapie"/>
        <w:jc w:val="both"/>
        <w:rPr>
          <w:rFonts w:ascii="Verdana" w:hAnsi="Verdana"/>
          <w:sz w:val="16"/>
          <w:szCs w:val="16"/>
          <w:lang w:val="es-CO"/>
        </w:rPr>
      </w:pPr>
    </w:p>
  </w:footnote>
  <w:footnote w:id="7">
    <w:p w14:paraId="62A1D907" w14:textId="77777777" w:rsidR="00EA6FE4" w:rsidRPr="00C70F19" w:rsidRDefault="00EA6FE4" w:rsidP="005F0542">
      <w:pPr>
        <w:pStyle w:val="NormalWeb"/>
        <w:spacing w:before="0" w:beforeAutospacing="0" w:after="0" w:afterAutospacing="0"/>
        <w:ind w:firstLine="708"/>
        <w:jc w:val="both"/>
        <w:rPr>
          <w:rFonts w:ascii="Verdana" w:eastAsia="Calibri" w:hAnsi="Verdana" w:cs="Arial"/>
          <w:sz w:val="16"/>
          <w:szCs w:val="16"/>
          <w:lang w:val="es-ES" w:eastAsia="en-US"/>
        </w:rPr>
      </w:pPr>
      <w:r w:rsidRPr="00C70F19">
        <w:rPr>
          <w:rStyle w:val="Refdenotaalpie"/>
          <w:rFonts w:ascii="Verdana" w:hAnsi="Verdana"/>
          <w:sz w:val="16"/>
          <w:szCs w:val="16"/>
        </w:rPr>
        <w:footnoteRef/>
      </w:r>
      <w:r w:rsidRPr="00C70F19">
        <w:rPr>
          <w:rFonts w:ascii="Verdana" w:hAnsi="Verdana"/>
          <w:sz w:val="16"/>
          <w:szCs w:val="16"/>
        </w:rPr>
        <w:t xml:space="preserve"> </w:t>
      </w:r>
      <w:r w:rsidRPr="00C70F19">
        <w:rPr>
          <w:rFonts w:ascii="Verdana" w:eastAsia="Calibri" w:hAnsi="Verdana" w:cs="Arial"/>
          <w:sz w:val="16"/>
          <w:szCs w:val="16"/>
          <w:lang w:val="es-ES" w:eastAsia="en-US"/>
        </w:rPr>
        <w:t>Ley 80 de 1993: “Artículo 8: 1o. Son inhábiles para participar en licitaciones o concursos y para celebrar contratos con las entidades estatales: </w:t>
      </w:r>
    </w:p>
    <w:p w14:paraId="760FC6FE"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a) Las personas que se hallen inhabilitadas para contratar por la Constitución y las leyes. </w:t>
      </w:r>
    </w:p>
    <w:p w14:paraId="5651FC3A"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b) Quienes participaron en las licitaciones o concursos o celebraron los contratos de que trata el literal anterior estando inhabilitados. </w:t>
      </w:r>
    </w:p>
    <w:p w14:paraId="224623F3"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c) Quienes dieron lugar a la declaratoria de caducidad. </w:t>
      </w:r>
    </w:p>
    <w:p w14:paraId="77DDE3D0"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d) Quienes en sentencia judicial hayan sido condenados a la pena accesoria de interdicción de derechos y funciones públicas y quienes hayan sido sancionados disciplinariamente con destitución. </w:t>
      </w:r>
    </w:p>
    <w:p w14:paraId="167987CB"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e) Quienes sin justa causa se abstengan de suscribir el contrato estatal adjudicado. </w:t>
      </w:r>
    </w:p>
    <w:p w14:paraId="4F5B3982"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f) Los servidores públicos. </w:t>
      </w:r>
    </w:p>
    <w:p w14:paraId="79BA03FE"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70382A52" w14:textId="77777777" w:rsidR="00EA6FE4" w:rsidRPr="00C70F19" w:rsidRDefault="00EA6FE4" w:rsidP="005F0542">
      <w:pPr>
        <w:pStyle w:val="NormalWeb"/>
        <w:spacing w:before="0" w:beforeAutospacing="0" w:after="0" w:afterAutospacing="0"/>
        <w:ind w:firstLine="708"/>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35BC8027"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i) Los socios de sociedades de personas a las cuales se haya declarado la caducidad, así como las sociedades de personas de las que aquellos formen parte con posterioridad a dicha declaratoria. </w:t>
      </w:r>
    </w:p>
    <w:p w14:paraId="1B8D3575"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13488274"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FC1516A"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C70F19">
        <w:rPr>
          <w:rFonts w:ascii="Verdana" w:eastAsia="Calibr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C70F19">
        <w:rPr>
          <w:rFonts w:ascii="Verdana" w:eastAsia="Calibr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C70F19">
        <w:rPr>
          <w:rFonts w:ascii="Verdana" w:eastAsia="Calibri" w:hAnsi="Verdana" w:cs="Arial"/>
          <w:sz w:val="16"/>
          <w:szCs w:val="16"/>
          <w:lang w:val="es-ES" w:eastAsia="en-US"/>
        </w:rPr>
        <w:softHyphen/>
        <w:t>nería jurídica en los términos de ley, o cuyos representantes legales, ad</w:t>
      </w:r>
      <w:r w:rsidRPr="00C70F19">
        <w:rPr>
          <w:rFonts w:ascii="Verdana" w:eastAsia="Calibr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C70F19">
        <w:rPr>
          <w:rFonts w:ascii="Verdana" w:eastAsia="Calibr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165D2EF8"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w:t>
      </w:r>
    </w:p>
    <w:p w14:paraId="0FDFA34F" w14:textId="77777777" w:rsidR="00EA6FE4" w:rsidRPr="00C70F19" w:rsidRDefault="00EA6FE4" w:rsidP="005F0542">
      <w:pPr>
        <w:pStyle w:val="NormalWeb"/>
        <w:spacing w:before="0" w:beforeAutospacing="0" w:after="0" w:afterAutospacing="0"/>
        <w:ind w:firstLine="708"/>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2o. Tampoco podrán participar en licitaciones o concursos ni celebrar contratos estatales con la entidad respectiva: </w:t>
      </w:r>
    </w:p>
    <w:p w14:paraId="1188BE8E"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4603118C"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7EC4F807"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656C3261"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02D5AD9A" w14:textId="77777777" w:rsidR="00EA6FE4" w:rsidRPr="00C70F19" w:rsidRDefault="00EA6FE4" w:rsidP="005F0542">
      <w:pPr>
        <w:pStyle w:val="NormalWeb"/>
        <w:spacing w:before="0" w:beforeAutospacing="0" w:after="0" w:afterAutospacing="0"/>
        <w:jc w:val="both"/>
        <w:rPr>
          <w:rFonts w:ascii="Verdana" w:eastAsia="Calibri" w:hAnsi="Verdana" w:cs="Arial"/>
          <w:sz w:val="16"/>
          <w:szCs w:val="16"/>
          <w:lang w:val="es-ES" w:eastAsia="en-US"/>
        </w:rPr>
      </w:pPr>
      <w:r w:rsidRPr="00C70F19">
        <w:rPr>
          <w:rFonts w:ascii="Verdana" w:eastAsia="Calibri" w:hAnsi="Verdana" w:cs="Arial"/>
          <w:sz w:val="16"/>
          <w:szCs w:val="16"/>
          <w:lang w:val="es-ES" w:eastAsia="en-US"/>
        </w:rPr>
        <w:t>  </w:t>
      </w:r>
      <w:r w:rsidRPr="00C70F19">
        <w:rPr>
          <w:rFonts w:ascii="Verdana" w:eastAsia="Calibri" w:hAnsi="Verdana" w:cs="Arial"/>
          <w:sz w:val="16"/>
          <w:szCs w:val="16"/>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5A7191CF" w14:textId="34290C0A" w:rsidR="00EA6FE4" w:rsidRPr="00C70F19" w:rsidRDefault="00EA6FE4" w:rsidP="005F0542">
      <w:pPr>
        <w:pStyle w:val="NormalWeb"/>
        <w:spacing w:before="0" w:beforeAutospacing="0" w:after="0" w:afterAutospacing="0"/>
        <w:ind w:firstLine="708"/>
        <w:jc w:val="both"/>
        <w:rPr>
          <w:rFonts w:ascii="Verdana" w:eastAsia="Calibri" w:hAnsi="Verdana" w:cs="Arial"/>
          <w:sz w:val="16"/>
          <w:szCs w:val="16"/>
          <w:lang w:val="pt-BR" w:eastAsia="en-US"/>
        </w:rPr>
      </w:pPr>
      <w:r w:rsidRPr="00C70F19">
        <w:rPr>
          <w:rFonts w:ascii="Verdana" w:eastAsia="Calibri" w:hAnsi="Verdana" w:cs="Arial"/>
          <w:sz w:val="16"/>
          <w:szCs w:val="16"/>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r w:rsidR="00CE38D1" w:rsidRPr="00C70F19">
        <w:rPr>
          <w:rFonts w:ascii="Verdana" w:eastAsia="Calibri" w:hAnsi="Verdana" w:cs="Arial"/>
          <w:sz w:val="16"/>
          <w:szCs w:val="16"/>
          <w:lang w:val="es-ES" w:eastAsia="en-US"/>
        </w:rPr>
        <w:t>exempleado</w:t>
      </w:r>
      <w:r w:rsidRPr="00C70F19">
        <w:rPr>
          <w:rFonts w:ascii="Verdana" w:eastAsia="Calibri" w:hAnsi="Verdana" w:cs="Arial"/>
          <w:sz w:val="16"/>
          <w:szCs w:val="16"/>
          <w:lang w:val="es-ES" w:eastAsia="en-US"/>
        </w:rPr>
        <w:t xml:space="preserve"> público”. </w:t>
      </w:r>
      <w:r w:rsidRPr="00C70F19">
        <w:rPr>
          <w:rFonts w:ascii="Verdana" w:eastAsia="Calibri" w:hAnsi="Verdana" w:cs="Arial"/>
          <w:sz w:val="16"/>
          <w:szCs w:val="16"/>
          <w:lang w:val="pt-BR" w:eastAsia="en-US"/>
        </w:rPr>
        <w:t xml:space="preserve">(…). </w:t>
      </w:r>
    </w:p>
    <w:p w14:paraId="51F39A20" w14:textId="77777777" w:rsidR="00EA6FE4" w:rsidRPr="00C70F19" w:rsidRDefault="00EA6FE4" w:rsidP="005F0542">
      <w:pPr>
        <w:pStyle w:val="Textonotapie"/>
        <w:jc w:val="both"/>
        <w:rPr>
          <w:rFonts w:ascii="Verdana" w:hAnsi="Verdana"/>
          <w:sz w:val="16"/>
          <w:szCs w:val="16"/>
          <w:lang w:val="pt-BR"/>
        </w:rPr>
      </w:pPr>
    </w:p>
  </w:footnote>
  <w:footnote w:id="8">
    <w:p w14:paraId="096CABFF" w14:textId="77777777" w:rsidR="00EA6FE4" w:rsidRPr="00C70F19" w:rsidRDefault="00EA6FE4" w:rsidP="005F0542">
      <w:pPr>
        <w:pStyle w:val="Textonotapie"/>
        <w:ind w:firstLine="708"/>
        <w:jc w:val="both"/>
        <w:rPr>
          <w:rFonts w:ascii="Verdana" w:hAnsi="Verdana"/>
          <w:sz w:val="16"/>
          <w:szCs w:val="16"/>
          <w:lang w:val="pt-BR"/>
        </w:rPr>
      </w:pPr>
      <w:r w:rsidRPr="00C70F19">
        <w:rPr>
          <w:rStyle w:val="Refdenotaalpie"/>
          <w:rFonts w:ascii="Verdana" w:hAnsi="Verdana"/>
          <w:sz w:val="16"/>
          <w:szCs w:val="16"/>
        </w:rPr>
        <w:footnoteRef/>
      </w:r>
      <w:r w:rsidRPr="00C70F19">
        <w:rPr>
          <w:rFonts w:ascii="Verdana" w:hAnsi="Verdana"/>
          <w:sz w:val="16"/>
          <w:szCs w:val="16"/>
          <w:lang w:val="pt-BR"/>
        </w:rPr>
        <w:t xml:space="preserve"> </w:t>
      </w:r>
      <w:r w:rsidRPr="00C70F19">
        <w:rPr>
          <w:rFonts w:ascii="Verdana" w:hAnsi="Verdana" w:cs="Arial"/>
          <w:sz w:val="16"/>
          <w:szCs w:val="16"/>
          <w:lang w:val="pt-BR"/>
        </w:rPr>
        <w:t>Ibídem. p. 69.</w:t>
      </w:r>
    </w:p>
  </w:footnote>
  <w:footnote w:id="9">
    <w:p w14:paraId="290F1E78" w14:textId="77777777" w:rsidR="00EA6FE4" w:rsidRPr="00C70F19" w:rsidRDefault="00EA6FE4" w:rsidP="005F0542">
      <w:pPr>
        <w:pStyle w:val="Textonotapie"/>
        <w:ind w:firstLine="708"/>
        <w:jc w:val="both"/>
        <w:rPr>
          <w:rFonts w:ascii="Verdana" w:hAnsi="Verdana" w:cs="Arial"/>
          <w:sz w:val="16"/>
          <w:szCs w:val="16"/>
          <w:lang w:val="es-ES"/>
        </w:rPr>
      </w:pPr>
      <w:r w:rsidRPr="00C70F19">
        <w:rPr>
          <w:rStyle w:val="Refdenotaalpie"/>
          <w:rFonts w:ascii="Verdana" w:hAnsi="Verdana"/>
          <w:sz w:val="16"/>
          <w:szCs w:val="16"/>
        </w:rPr>
        <w:footnoteRef/>
      </w:r>
      <w:r w:rsidRPr="00C70F19">
        <w:rPr>
          <w:rFonts w:ascii="Verdana" w:hAnsi="Verdana"/>
          <w:sz w:val="16"/>
          <w:szCs w:val="16"/>
          <w:lang w:val="pt-BR"/>
        </w:rPr>
        <w:t xml:space="preserve"> </w:t>
      </w:r>
      <w:r w:rsidRPr="00C70F19">
        <w:rPr>
          <w:rFonts w:ascii="Verdana" w:hAnsi="Verdana" w:cs="Arial"/>
          <w:sz w:val="16"/>
          <w:szCs w:val="16"/>
          <w:lang w:val="pt-BR"/>
        </w:rPr>
        <w:t xml:space="preserve">CORTE CONSTITUCIONAL. Sentencia T-1039 de 2006. M.P. Humberto Sierra Porto. </w:t>
      </w:r>
      <w:r w:rsidRPr="00C70F19">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p w14:paraId="4410AA59" w14:textId="77777777" w:rsidR="00EA6FE4" w:rsidRPr="00C70F19" w:rsidRDefault="00EA6FE4" w:rsidP="005F0542">
      <w:pPr>
        <w:pStyle w:val="Textonotapie"/>
        <w:jc w:val="both"/>
        <w:rPr>
          <w:rFonts w:ascii="Verdana" w:hAnsi="Verdana" w:cs="Arial"/>
          <w:sz w:val="16"/>
          <w:szCs w:val="16"/>
          <w:lang w:val="es-ES"/>
        </w:rPr>
      </w:pPr>
    </w:p>
  </w:footnote>
  <w:footnote w:id="10">
    <w:p w14:paraId="4E64007B" w14:textId="77777777" w:rsidR="00EA6FE4" w:rsidRPr="00C70F19" w:rsidRDefault="00EA6FE4" w:rsidP="005F0542">
      <w:pPr>
        <w:pStyle w:val="Textonotapie"/>
        <w:ind w:firstLine="708"/>
        <w:jc w:val="both"/>
        <w:rPr>
          <w:rFonts w:ascii="Verdana" w:hAnsi="Verdana" w:cs="Arial"/>
          <w:sz w:val="16"/>
          <w:szCs w:val="16"/>
          <w:lang w:val="es-ES"/>
        </w:rPr>
      </w:pPr>
      <w:r w:rsidRPr="00C70F19">
        <w:rPr>
          <w:rStyle w:val="Refdenotaalpie"/>
          <w:rFonts w:ascii="Verdana" w:hAnsi="Verdana"/>
          <w:sz w:val="16"/>
          <w:szCs w:val="16"/>
        </w:rPr>
        <w:footnoteRef/>
      </w:r>
      <w:r w:rsidRPr="00C70F19">
        <w:rPr>
          <w:rFonts w:ascii="Verdana" w:hAnsi="Verdana"/>
          <w:sz w:val="16"/>
          <w:szCs w:val="16"/>
        </w:rPr>
        <w:t xml:space="preserve"> </w:t>
      </w:r>
      <w:r w:rsidRPr="00C70F19">
        <w:rPr>
          <w:rFonts w:ascii="Verdana" w:hAnsi="Verdana" w:cs="Arial"/>
          <w:sz w:val="16"/>
          <w:szCs w:val="16"/>
          <w:lang w:val="es-ES"/>
        </w:rPr>
        <w:t>CONSEJO DE ESTADO. Sala de Consulta y Servicio Civil. Concepto del 30 de abril de 2015. Exp. 2251. C.P. Álvaro Namén Vargas.</w:t>
      </w:r>
    </w:p>
    <w:p w14:paraId="6D735AF4" w14:textId="77777777" w:rsidR="00EA6FE4" w:rsidRPr="00C70F19" w:rsidRDefault="00EA6FE4" w:rsidP="005F0542">
      <w:pPr>
        <w:pStyle w:val="Textonotapie"/>
        <w:jc w:val="both"/>
        <w:rPr>
          <w:rFonts w:ascii="Verdana" w:hAnsi="Verdana"/>
          <w:sz w:val="16"/>
          <w:szCs w:val="16"/>
          <w:lang w:val="es-ES_tradnl"/>
        </w:rPr>
      </w:pPr>
    </w:p>
  </w:footnote>
  <w:footnote w:id="11">
    <w:p w14:paraId="7D752E89" w14:textId="77777777" w:rsidR="00EA6FE4" w:rsidRPr="00C70F19" w:rsidRDefault="00EA6FE4" w:rsidP="005F0542">
      <w:pPr>
        <w:pStyle w:val="Textonotapie"/>
        <w:ind w:firstLine="708"/>
        <w:jc w:val="both"/>
        <w:rPr>
          <w:rFonts w:ascii="Verdana" w:hAnsi="Verdana" w:cs="Arial"/>
          <w:sz w:val="16"/>
          <w:szCs w:val="16"/>
        </w:rPr>
      </w:pPr>
      <w:r w:rsidRPr="00C70F19">
        <w:rPr>
          <w:rStyle w:val="Refdenotaalpie"/>
          <w:rFonts w:ascii="Verdana" w:hAnsi="Verdana"/>
          <w:sz w:val="16"/>
          <w:szCs w:val="16"/>
        </w:rPr>
        <w:footnoteRef/>
      </w:r>
      <w:r w:rsidRPr="00C70F19">
        <w:rPr>
          <w:rFonts w:ascii="Verdana" w:hAnsi="Verdana"/>
          <w:sz w:val="16"/>
          <w:szCs w:val="16"/>
        </w:rPr>
        <w:t xml:space="preserve"> </w:t>
      </w:r>
      <w:r w:rsidRPr="00C70F19">
        <w:rPr>
          <w:rFonts w:ascii="Verdana" w:hAnsi="Verdana" w:cs="Arial"/>
          <w:sz w:val="16"/>
          <w:szCs w:val="16"/>
        </w:rPr>
        <w:t>CONSEJO DE ESTADO. Sección Tercera. Subsección A. Sentencia del 24 de junio de 2015. Exp. 40.635. C.P. Hernán Andrade Rincón (E).</w:t>
      </w:r>
    </w:p>
    <w:p w14:paraId="13872D31" w14:textId="77777777" w:rsidR="00EA6FE4" w:rsidRPr="00C70F19" w:rsidRDefault="00EA6FE4" w:rsidP="005F0542">
      <w:pPr>
        <w:pStyle w:val="Textonotapie"/>
        <w:jc w:val="both"/>
        <w:rPr>
          <w:rFonts w:ascii="Verdana" w:hAnsi="Verdana"/>
          <w:sz w:val="16"/>
          <w:szCs w:val="16"/>
          <w:lang w:val="es-ES_tradnl"/>
        </w:rPr>
      </w:pPr>
    </w:p>
  </w:footnote>
  <w:footnote w:id="12">
    <w:p w14:paraId="43DD682C" w14:textId="77777777" w:rsidR="00EA6FE4" w:rsidRPr="00C70F19" w:rsidRDefault="00EA6FE4" w:rsidP="005F0542">
      <w:pPr>
        <w:pStyle w:val="Textonotapie"/>
        <w:ind w:firstLine="708"/>
        <w:jc w:val="both"/>
        <w:rPr>
          <w:rFonts w:ascii="Verdana" w:hAnsi="Verdana"/>
          <w:sz w:val="16"/>
          <w:szCs w:val="16"/>
          <w:lang w:val="es-ES_tradnl"/>
        </w:rPr>
      </w:pPr>
      <w:r w:rsidRPr="00C70F19">
        <w:rPr>
          <w:rStyle w:val="Refdenotaalpie"/>
          <w:rFonts w:ascii="Verdana" w:hAnsi="Verdana"/>
          <w:sz w:val="16"/>
          <w:szCs w:val="16"/>
        </w:rPr>
        <w:footnoteRef/>
      </w:r>
      <w:r w:rsidRPr="00C70F19">
        <w:rPr>
          <w:rFonts w:ascii="Verdana" w:hAnsi="Verdana"/>
          <w:sz w:val="16"/>
          <w:szCs w:val="16"/>
        </w:rPr>
        <w:t xml:space="preserve"> </w:t>
      </w:r>
      <w:r w:rsidRPr="00C70F19">
        <w:rPr>
          <w:rFonts w:ascii="Verdana" w:hAnsi="Verdana" w:cs="Arial"/>
          <w:sz w:val="16"/>
          <w:szCs w:val="16"/>
        </w:rPr>
        <w:t xml:space="preserve">CONSEJO DE ESTADO. Sección Tercera. Subsección C. Sentencia del 22 de mayo de 2013. Rad. 24.057. C.P. Olga Mélida Valle De </w:t>
      </w:r>
      <w:r w:rsidRPr="00C70F19">
        <w:rPr>
          <w:rFonts w:ascii="Verdana" w:hAnsi="Verdana" w:cs="Arial"/>
          <w:sz w:val="16"/>
          <w:szCs w:val="16"/>
        </w:rPr>
        <w:t>De La Hoz.</w:t>
      </w:r>
    </w:p>
  </w:footnote>
  <w:footnote w:id="13">
    <w:p w14:paraId="1FF242BE" w14:textId="77777777" w:rsidR="00EA6FE4" w:rsidRPr="00C70F19" w:rsidRDefault="00EA6FE4" w:rsidP="005F0542">
      <w:pPr>
        <w:pStyle w:val="Textonotapie"/>
        <w:ind w:firstLine="708"/>
        <w:jc w:val="both"/>
        <w:rPr>
          <w:rFonts w:ascii="Verdana" w:hAnsi="Verdana" w:cs="Arial"/>
          <w:sz w:val="16"/>
          <w:szCs w:val="16"/>
          <w:lang w:val="pt-BR"/>
        </w:rPr>
      </w:pPr>
      <w:r w:rsidRPr="00C70F19">
        <w:rPr>
          <w:rStyle w:val="Refdenotaalpie"/>
          <w:rFonts w:ascii="Verdana" w:hAnsi="Verdana"/>
          <w:sz w:val="16"/>
          <w:szCs w:val="16"/>
        </w:rPr>
        <w:footnoteRef/>
      </w:r>
      <w:r w:rsidRPr="00C70F19">
        <w:rPr>
          <w:rFonts w:ascii="Verdana" w:hAnsi="Verdana"/>
          <w:sz w:val="16"/>
          <w:szCs w:val="16"/>
          <w:lang w:val="pt-BR"/>
        </w:rPr>
        <w:t xml:space="preserve"> </w:t>
      </w:r>
      <w:r w:rsidRPr="00C70F19">
        <w:rPr>
          <w:rFonts w:ascii="Verdana" w:hAnsi="Verdana" w:cs="Arial"/>
          <w:sz w:val="16"/>
          <w:szCs w:val="16"/>
          <w:lang w:val="pt-BR"/>
        </w:rPr>
        <w:t>CORTE CONSTITUCIONAL. Sentencia C-415 de 1994. M.P. Eduardo Cifuentes Muñoz.</w:t>
      </w:r>
    </w:p>
    <w:p w14:paraId="2BF735F0" w14:textId="77777777" w:rsidR="00EA6FE4" w:rsidRPr="00C70F19" w:rsidRDefault="00EA6FE4" w:rsidP="005F0542">
      <w:pPr>
        <w:pStyle w:val="Textonotapie"/>
        <w:jc w:val="both"/>
        <w:rPr>
          <w:rFonts w:ascii="Verdana" w:hAnsi="Verdana"/>
          <w:sz w:val="16"/>
          <w:szCs w:val="16"/>
          <w:lang w:val="pt-BR"/>
        </w:rPr>
      </w:pPr>
    </w:p>
  </w:footnote>
  <w:footnote w:id="14">
    <w:p w14:paraId="0DE9371E" w14:textId="77777777" w:rsidR="00BB055C" w:rsidRPr="00C70F19" w:rsidRDefault="00BB055C" w:rsidP="005F0542">
      <w:pPr>
        <w:pStyle w:val="Textonotapie"/>
        <w:ind w:firstLine="708"/>
        <w:jc w:val="both"/>
        <w:rPr>
          <w:rFonts w:ascii="Verdana" w:hAnsi="Verdana" w:cs="Arial"/>
          <w:color w:val="000000"/>
          <w:sz w:val="16"/>
          <w:szCs w:val="16"/>
        </w:rPr>
      </w:pPr>
      <w:r w:rsidRPr="00C70F19">
        <w:rPr>
          <w:rStyle w:val="Refdenotaalpie"/>
          <w:rFonts w:ascii="Verdana" w:hAnsi="Verdana"/>
          <w:sz w:val="16"/>
          <w:szCs w:val="16"/>
        </w:rPr>
        <w:footnoteRef/>
      </w:r>
      <w:r w:rsidRPr="00C70F19">
        <w:rPr>
          <w:rFonts w:ascii="Verdana" w:hAnsi="Verdana"/>
          <w:sz w:val="16"/>
          <w:szCs w:val="16"/>
          <w:lang w:val="pt-BR"/>
        </w:rPr>
        <w:t xml:space="preserve"> </w:t>
      </w:r>
      <w:r w:rsidRPr="00C70F19">
        <w:rPr>
          <w:rFonts w:ascii="Verdana" w:hAnsi="Verdana" w:cs="Arial"/>
          <w:color w:val="000000"/>
          <w:sz w:val="16"/>
          <w:szCs w:val="16"/>
          <w:lang w:val="pt-BR"/>
        </w:rPr>
        <w:t xml:space="preserve">CONSEJO DE ESTADO. Sala de </w:t>
      </w:r>
      <w:r w:rsidRPr="00C70F19">
        <w:rPr>
          <w:rFonts w:ascii="Verdana" w:hAnsi="Verdana" w:cs="Arial"/>
          <w:color w:val="000000"/>
          <w:sz w:val="16"/>
          <w:szCs w:val="16"/>
          <w:lang w:val="pt-BR"/>
        </w:rPr>
        <w:t xml:space="preserve">lo contencioso administrativo. Sentencia del 12 de diciembre de 2014. Exp. 26496. C.P. Ramiro Pazos Guerrero. </w:t>
      </w:r>
      <w:r w:rsidRPr="00C70F19">
        <w:rPr>
          <w:rFonts w:ascii="Verdana" w:hAnsi="Verdana" w:cs="Arial"/>
          <w:color w:val="000000"/>
          <w:sz w:val="16"/>
          <w:szCs w:val="16"/>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46F42984" w14:textId="77777777" w:rsidR="00BB055C" w:rsidRPr="00C70F19" w:rsidRDefault="00BB055C" w:rsidP="005F0542">
      <w:pPr>
        <w:pStyle w:val="Textonotapie"/>
        <w:jc w:val="both"/>
        <w:rPr>
          <w:rFonts w:ascii="Verdana" w:hAnsi="Verdana"/>
          <w:sz w:val="16"/>
          <w:szCs w:val="16"/>
          <w:lang w:val="es-ES_tradnl"/>
        </w:rPr>
      </w:pPr>
    </w:p>
  </w:footnote>
  <w:footnote w:id="15">
    <w:p w14:paraId="1FE98436" w14:textId="77777777" w:rsidR="00BB055C" w:rsidRPr="00C70F19" w:rsidRDefault="00BB055C" w:rsidP="005F0542">
      <w:pPr>
        <w:pStyle w:val="Textonotapie"/>
        <w:ind w:firstLine="708"/>
        <w:jc w:val="both"/>
        <w:rPr>
          <w:rFonts w:ascii="Verdana" w:hAnsi="Verdana"/>
          <w:sz w:val="16"/>
          <w:szCs w:val="16"/>
          <w:lang w:val="es-ES_tradnl"/>
        </w:rPr>
      </w:pPr>
      <w:r w:rsidRPr="00C70F19">
        <w:rPr>
          <w:rStyle w:val="Refdenotaalpie"/>
          <w:rFonts w:ascii="Verdana" w:hAnsi="Verdana"/>
          <w:sz w:val="16"/>
          <w:szCs w:val="16"/>
        </w:rPr>
        <w:footnoteRef/>
      </w:r>
      <w:r w:rsidRPr="00C70F19">
        <w:rPr>
          <w:rFonts w:ascii="Verdana" w:hAnsi="Verdana"/>
          <w:sz w:val="16"/>
          <w:szCs w:val="16"/>
        </w:rPr>
        <w:t xml:space="preserve"> </w:t>
      </w:r>
      <w:r w:rsidRPr="00C70F19">
        <w:rPr>
          <w:rFonts w:ascii="Verdana" w:hAnsi="Verdana" w:cs="Arial"/>
          <w:color w:val="000000"/>
          <w:sz w:val="16"/>
          <w:szCs w:val="16"/>
        </w:rPr>
        <w:t>CONSEJO DE ESTADO. Sala de Consulta y Servicio Civil. Concepto del 29 de abril de 1998. Rad. 1097. C.P. Augusto Trejos Jaramillo.</w:t>
      </w:r>
    </w:p>
  </w:footnote>
  <w:footnote w:id="16">
    <w:p w14:paraId="1075934A" w14:textId="77777777" w:rsidR="005C76B6" w:rsidRPr="00312394" w:rsidRDefault="005C76B6" w:rsidP="005F0542">
      <w:pPr>
        <w:pStyle w:val="Textonotapie"/>
        <w:ind w:firstLine="709"/>
        <w:jc w:val="both"/>
        <w:rPr>
          <w:rFonts w:ascii="Verdana" w:hAnsi="Verdana" w:cs="Arial"/>
          <w:sz w:val="16"/>
          <w:szCs w:val="16"/>
        </w:rPr>
      </w:pPr>
      <w:r w:rsidRPr="00312394">
        <w:rPr>
          <w:rStyle w:val="Refdenotaalpie"/>
          <w:rFonts w:ascii="Verdana" w:hAnsi="Verdana" w:cs="Arial"/>
          <w:sz w:val="16"/>
          <w:szCs w:val="16"/>
        </w:rPr>
        <w:footnoteRef/>
      </w:r>
      <w:r w:rsidRPr="00312394">
        <w:rPr>
          <w:rFonts w:ascii="Verdana" w:hAnsi="Verdana" w:cs="Arial"/>
          <w:sz w:val="16"/>
          <w:szCs w:val="16"/>
        </w:rPr>
        <w:t xml:space="preserve"> </w:t>
      </w:r>
      <w:r w:rsidRPr="00312394">
        <w:rPr>
          <w:rFonts w:ascii="Verdana" w:hAnsi="Verdana" w:cs="Arial"/>
          <w:sz w:val="16"/>
          <w:szCs w:val="16"/>
          <w:lang w:eastAsia="es-CO"/>
        </w:rPr>
        <w:t>Ley 1437 de 2011:</w:t>
      </w:r>
      <w:r w:rsidRPr="00312394">
        <w:rPr>
          <w:rFonts w:ascii="Verdana" w:hAnsi="Verdana" w:cs="Arial"/>
          <w:sz w:val="16"/>
          <w:szCs w:val="16"/>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312394">
        <w:rPr>
          <w:rFonts w:ascii="Verdana" w:hAnsi="Verdana" w:cs="Arial"/>
          <w:sz w:val="16"/>
          <w:szCs w:val="16"/>
          <w:lang w:eastAsia="es-CO"/>
        </w:rPr>
        <w:t>”</w:t>
      </w:r>
      <w:r w:rsidRPr="00312394">
        <w:rPr>
          <w:rFonts w:ascii="Verdana" w:hAnsi="Verdana" w:cs="Arial"/>
          <w:sz w:val="16"/>
          <w:szCs w:val="16"/>
        </w:rPr>
        <w:t>.</w:t>
      </w:r>
    </w:p>
    <w:p w14:paraId="09A0490A" w14:textId="77777777" w:rsidR="005C76B6" w:rsidRPr="00312394" w:rsidRDefault="005C76B6" w:rsidP="005F0542">
      <w:pPr>
        <w:pStyle w:val="Textonotapie"/>
        <w:ind w:firstLine="709"/>
        <w:jc w:val="both"/>
        <w:rPr>
          <w:rFonts w:ascii="Verdana" w:hAnsi="Verdana" w:cs="Arial"/>
          <w:sz w:val="16"/>
          <w:szCs w:val="16"/>
          <w:lang w:val="es-ES"/>
        </w:rPr>
      </w:pPr>
    </w:p>
  </w:footnote>
  <w:footnote w:id="17">
    <w:p w14:paraId="651EBF3A" w14:textId="77777777" w:rsidR="005C76B6" w:rsidRPr="00312394" w:rsidRDefault="005C76B6" w:rsidP="005F0542">
      <w:pPr>
        <w:pStyle w:val="Textonotapie"/>
        <w:ind w:firstLine="709"/>
        <w:jc w:val="both"/>
        <w:rPr>
          <w:rFonts w:ascii="Verdana" w:hAnsi="Verdana" w:cs="Arial"/>
          <w:sz w:val="16"/>
          <w:szCs w:val="16"/>
          <w:lang w:val="es-ES"/>
        </w:rPr>
      </w:pPr>
      <w:r w:rsidRPr="00312394">
        <w:rPr>
          <w:rStyle w:val="Refdenotaalpie"/>
          <w:rFonts w:ascii="Verdana" w:hAnsi="Verdana" w:cs="Arial"/>
          <w:sz w:val="16"/>
          <w:szCs w:val="16"/>
        </w:rPr>
        <w:footnoteRef/>
      </w:r>
      <w:r w:rsidRPr="00312394">
        <w:rPr>
          <w:rFonts w:ascii="Verdana" w:hAnsi="Verdana" w:cs="Arial"/>
          <w:sz w:val="16"/>
          <w:szCs w:val="16"/>
        </w:rPr>
        <w:t xml:space="preserve"> </w:t>
      </w:r>
      <w:r w:rsidRPr="00312394">
        <w:rPr>
          <w:rFonts w:ascii="Verdana" w:hAnsi="Verdana" w:cs="Arial"/>
          <w:sz w:val="16"/>
          <w:szCs w:val="16"/>
          <w:lang w:val="es-ES"/>
        </w:rPr>
        <w:t xml:space="preserve">Principio que se compone a su vez de “tres subprincipios, etapas o mandatos parciales: el </w:t>
      </w:r>
      <w:r w:rsidRPr="00312394">
        <w:rPr>
          <w:rFonts w:ascii="Verdana" w:hAnsi="Verdana" w:cs="Arial"/>
          <w:i/>
          <w:iCs/>
          <w:sz w:val="16"/>
          <w:szCs w:val="16"/>
          <w:lang w:val="es-ES"/>
        </w:rPr>
        <w:t>subprincipio o mandato de adecuación, de idoneidad o de congruencia</w:t>
      </w:r>
      <w:r w:rsidRPr="00312394">
        <w:rPr>
          <w:rFonts w:ascii="Verdana" w:hAnsi="Verdana" w:cs="Arial"/>
          <w:sz w:val="16"/>
          <w:szCs w:val="16"/>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312394">
        <w:rPr>
          <w:rFonts w:ascii="Verdana" w:hAnsi="Verdana" w:cs="Arial"/>
          <w:i/>
          <w:iCs/>
          <w:sz w:val="16"/>
          <w:szCs w:val="16"/>
          <w:lang w:val="es-ES"/>
        </w:rPr>
        <w:t>subprincipio o mandato de necesidad, intervención mínima o menor lesividad</w:t>
      </w:r>
      <w:r w:rsidRPr="00312394">
        <w:rPr>
          <w:rFonts w:ascii="Verdana" w:hAnsi="Verdana" w:cs="Arial"/>
          <w:sz w:val="16"/>
          <w:szCs w:val="16"/>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312394">
        <w:rPr>
          <w:rFonts w:ascii="Verdana" w:hAnsi="Verdana" w:cs="Arial"/>
          <w:i/>
          <w:iCs/>
          <w:sz w:val="16"/>
          <w:szCs w:val="16"/>
          <w:lang w:val="es-ES"/>
        </w:rPr>
        <w:t>el subprincipio o mandato de proporcionalidad en sentido estricto</w:t>
      </w:r>
      <w:r w:rsidRPr="00312394">
        <w:rPr>
          <w:rFonts w:ascii="Verdana" w:hAnsi="Verdana" w:cs="Arial"/>
          <w:sz w:val="16"/>
          <w:szCs w:val="16"/>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679AEF8E" w14:textId="77777777" w:rsidR="005C76B6" w:rsidRPr="00312394" w:rsidRDefault="005C76B6" w:rsidP="005F0542">
      <w:pPr>
        <w:pStyle w:val="Textonotapie"/>
        <w:ind w:firstLine="709"/>
        <w:jc w:val="both"/>
        <w:rPr>
          <w:rFonts w:ascii="Verdana" w:hAnsi="Verdana" w:cs="Arial"/>
          <w:sz w:val="16"/>
          <w:szCs w:val="16"/>
          <w:lang w:val="es-ES"/>
        </w:rPr>
      </w:pPr>
    </w:p>
  </w:footnote>
  <w:footnote w:id="18">
    <w:p w14:paraId="1802776A" w14:textId="1F201E28" w:rsidR="005C76B6" w:rsidRPr="00312394" w:rsidRDefault="005C76B6" w:rsidP="00312394">
      <w:pPr>
        <w:spacing w:after="0" w:line="240" w:lineRule="auto"/>
        <w:ind w:firstLine="709"/>
        <w:jc w:val="both"/>
        <w:rPr>
          <w:rFonts w:ascii="Verdana" w:hAnsi="Verdana" w:cs="Arial"/>
          <w:sz w:val="16"/>
          <w:szCs w:val="16"/>
          <w:lang w:val="es-ES"/>
        </w:rPr>
      </w:pPr>
      <w:r w:rsidRPr="00312394">
        <w:rPr>
          <w:rStyle w:val="Refdenotaalpie"/>
          <w:rFonts w:ascii="Verdana" w:hAnsi="Verdana" w:cs="Arial"/>
          <w:sz w:val="16"/>
          <w:szCs w:val="16"/>
        </w:rPr>
        <w:footnoteRef/>
      </w:r>
      <w:r w:rsidRPr="00312394">
        <w:rPr>
          <w:rFonts w:ascii="Verdana" w:hAnsi="Verdana" w:cs="Arial"/>
          <w:sz w:val="16"/>
          <w:szCs w:val="16"/>
        </w:rPr>
        <w:t xml:space="preserve"> </w:t>
      </w:r>
      <w:r w:rsidRPr="00312394">
        <w:rPr>
          <w:rFonts w:ascii="Verdana" w:hAnsi="Verdana" w:cs="Arial"/>
          <w:sz w:val="16"/>
          <w:szCs w:val="16"/>
          <w:lang w:val="es-ES"/>
        </w:rPr>
        <w:t>Consejo de Estado. Sección Tercera. Sentencia del 14 de abril de 2010. Consejero Ponente: Enrique Gil Botero. Radicación número: 11001-03-26-000-2008-00101-00(36054).</w:t>
      </w:r>
    </w:p>
  </w:footnote>
  <w:footnote w:id="19">
    <w:p w14:paraId="31ABCD9D" w14:textId="77777777" w:rsidR="005C76B6" w:rsidRPr="00312394" w:rsidRDefault="005C76B6" w:rsidP="005F0542">
      <w:pPr>
        <w:pStyle w:val="Textonotapie"/>
        <w:ind w:firstLine="709"/>
        <w:jc w:val="both"/>
        <w:rPr>
          <w:rFonts w:ascii="Verdana" w:hAnsi="Verdana" w:cs="Arial"/>
          <w:sz w:val="16"/>
          <w:szCs w:val="16"/>
          <w:lang w:val="es-ES"/>
        </w:rPr>
      </w:pPr>
      <w:r w:rsidRPr="00312394">
        <w:rPr>
          <w:rStyle w:val="Refdenotaalpie"/>
          <w:rFonts w:ascii="Verdana" w:hAnsi="Verdana" w:cs="Arial"/>
          <w:sz w:val="16"/>
          <w:szCs w:val="16"/>
        </w:rPr>
        <w:footnoteRef/>
      </w:r>
      <w:r w:rsidRPr="00312394">
        <w:rPr>
          <w:rFonts w:ascii="Verdana" w:hAnsi="Verdana" w:cs="Arial"/>
          <w:sz w:val="16"/>
          <w:szCs w:val="16"/>
        </w:rPr>
        <w:t xml:space="preserve"> Esta norma establece: </w:t>
      </w:r>
      <w:r w:rsidRPr="00312394">
        <w:rPr>
          <w:rFonts w:ascii="Verdana" w:hAnsi="Verdana" w:cs="Arial"/>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4A911A8" w14:textId="466CA18F" w:rsidR="005C76B6" w:rsidRPr="00312394" w:rsidRDefault="005C76B6" w:rsidP="005F0542">
      <w:pPr>
        <w:pStyle w:val="Textonotapie"/>
        <w:ind w:firstLine="709"/>
        <w:jc w:val="both"/>
        <w:rPr>
          <w:rFonts w:ascii="Verdana" w:hAnsi="Verdana" w:cs="Arial"/>
          <w:sz w:val="16"/>
          <w:szCs w:val="16"/>
          <w:lang w:val="es-ES"/>
        </w:rPr>
      </w:pPr>
      <w:r w:rsidRPr="00312394">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r w:rsidR="00F56E19">
        <w:rPr>
          <w:rFonts w:ascii="Verdana" w:hAnsi="Verdana" w:cs="Arial"/>
          <w:sz w:val="16"/>
          <w:szCs w:val="16"/>
          <w:lang w:val="es-ES"/>
        </w:rPr>
        <w:t xml:space="preserve"> </w:t>
      </w:r>
      <w:r w:rsidRPr="00312394">
        <w:rPr>
          <w:rFonts w:ascii="Verdana" w:hAnsi="Verdana" w:cs="Arial"/>
          <w:sz w:val="16"/>
          <w:szCs w:val="16"/>
          <w:lang w:val="es-ES"/>
        </w:rPr>
        <w:t xml:space="preserve">“Ninguna orden del interventor de una obra podrá darse verbalmente. Es obligatorio para el interventor entregar por escrito sus órdenes o sugerencias y ellas deben </w:t>
      </w:r>
      <w:r w:rsidR="00F56E19" w:rsidRPr="00312394">
        <w:rPr>
          <w:rFonts w:ascii="Verdana" w:hAnsi="Verdana" w:cs="Arial"/>
          <w:sz w:val="16"/>
          <w:szCs w:val="16"/>
          <w:lang w:val="es-ES"/>
        </w:rPr>
        <w:t>enmarcarse en</w:t>
      </w:r>
      <w:r w:rsidRPr="00312394">
        <w:rPr>
          <w:rFonts w:ascii="Verdana" w:hAnsi="Verdana" w:cs="Arial"/>
          <w:sz w:val="16"/>
          <w:szCs w:val="16"/>
          <w:lang w:val="es-ES"/>
        </w:rPr>
        <w:t xml:space="preserve"> los términos del respectivo contrato”.</w:t>
      </w:r>
    </w:p>
  </w:footnote>
  <w:footnote w:id="20">
    <w:p w14:paraId="0ECEE5C2" w14:textId="370E40C0" w:rsidR="00B467B3" w:rsidRPr="00312394" w:rsidRDefault="00B467B3" w:rsidP="00312394">
      <w:pPr>
        <w:pStyle w:val="Textonotapie"/>
        <w:ind w:firstLine="709"/>
        <w:jc w:val="both"/>
        <w:rPr>
          <w:rFonts w:ascii="Verdana" w:hAnsi="Verdana"/>
          <w:sz w:val="16"/>
          <w:szCs w:val="16"/>
        </w:rPr>
      </w:pPr>
      <w:r w:rsidRPr="00312394">
        <w:rPr>
          <w:rStyle w:val="Refdenotaalpie"/>
          <w:rFonts w:ascii="Verdana" w:hAnsi="Verdana"/>
          <w:sz w:val="16"/>
          <w:szCs w:val="16"/>
        </w:rPr>
        <w:footnoteRef/>
      </w:r>
      <w:r w:rsidRPr="00312394">
        <w:rPr>
          <w:rFonts w:ascii="Verdana" w:hAnsi="Verdana"/>
          <w:sz w:val="16"/>
          <w:szCs w:val="16"/>
        </w:rPr>
        <w:t xml:space="preserve"> </w:t>
      </w:r>
      <w:r w:rsidR="005F0542" w:rsidRPr="00312394">
        <w:rPr>
          <w:rFonts w:ascii="Verdana" w:hAnsi="Verdana"/>
          <w:sz w:val="16"/>
          <w:szCs w:val="16"/>
        </w:rPr>
        <w:t>Ley 1474 de 2011: “</w:t>
      </w:r>
      <w:r w:rsidRPr="00312394">
        <w:rPr>
          <w:rFonts w:ascii="Verdana" w:hAnsi="Verdana"/>
          <w:sz w:val="16"/>
          <w:szCs w:val="16"/>
        </w:rPr>
        <w:t xml:space="preserve">Artículo 90. Inhabilidad por incumplimiento reiterado. Quedará inhabilitado el contratista que incurra en alguna de las siguientes con­ductas: </w:t>
      </w:r>
    </w:p>
    <w:p w14:paraId="4CEBA176" w14:textId="77777777" w:rsidR="00B467B3" w:rsidRPr="00312394" w:rsidRDefault="00B467B3" w:rsidP="00312394">
      <w:pPr>
        <w:pStyle w:val="Textonotapie"/>
        <w:ind w:firstLine="708"/>
        <w:jc w:val="both"/>
        <w:rPr>
          <w:rFonts w:ascii="Verdana" w:hAnsi="Verdana"/>
          <w:sz w:val="16"/>
          <w:szCs w:val="16"/>
        </w:rPr>
      </w:pPr>
      <w:r w:rsidRPr="00312394">
        <w:rPr>
          <w:rFonts w:ascii="Verdana" w:hAnsi="Verdana"/>
          <w:sz w:val="16"/>
          <w:szCs w:val="16"/>
        </w:rPr>
        <w:t xml:space="preserve">a) Haber sido objeto de imposición de cinco (5) o más multas durante la ejecución de uno o varios contratos, con una o va­rias entidades estatales, durante los últimos tres (3) años; </w:t>
      </w:r>
    </w:p>
    <w:p w14:paraId="6837F41E" w14:textId="77777777" w:rsidR="00B467B3" w:rsidRPr="00312394" w:rsidRDefault="00B467B3" w:rsidP="00312394">
      <w:pPr>
        <w:pStyle w:val="Textonotapie"/>
        <w:ind w:firstLine="708"/>
        <w:jc w:val="both"/>
        <w:rPr>
          <w:rFonts w:ascii="Verdana" w:hAnsi="Verdana"/>
          <w:sz w:val="16"/>
          <w:szCs w:val="16"/>
        </w:rPr>
      </w:pPr>
      <w:r w:rsidRPr="00312394">
        <w:rPr>
          <w:rFonts w:ascii="Verdana" w:hAnsi="Verdana"/>
          <w:sz w:val="16"/>
          <w:szCs w:val="16"/>
        </w:rPr>
        <w:t xml:space="preserve">b) Haber sido objeto de declaratorias de incumplimiento con­tractual en por lo menos dos (2) contratos, con una o varias entidades estatales, durante los últimos tres (3) años; </w:t>
      </w:r>
    </w:p>
    <w:p w14:paraId="167743F1" w14:textId="77777777" w:rsidR="00B467B3" w:rsidRPr="00312394" w:rsidRDefault="00B467B3" w:rsidP="00312394">
      <w:pPr>
        <w:pStyle w:val="Textonotapie"/>
        <w:ind w:firstLine="708"/>
        <w:jc w:val="both"/>
        <w:rPr>
          <w:rFonts w:ascii="Verdana" w:hAnsi="Verdana"/>
          <w:sz w:val="16"/>
          <w:szCs w:val="16"/>
        </w:rPr>
      </w:pPr>
      <w:r w:rsidRPr="00312394">
        <w:rPr>
          <w:rFonts w:ascii="Verdana" w:hAnsi="Verdana"/>
          <w:sz w:val="16"/>
          <w:szCs w:val="16"/>
        </w:rPr>
        <w:t xml:space="preserve">c) Haber sido objeto de imposición de dos (2) multas y un (1) incumplimiento durante una misma vigencia fiscal, con una o varias entidades estatales. </w:t>
      </w:r>
    </w:p>
    <w:p w14:paraId="7F0D2ADD" w14:textId="77777777" w:rsidR="00B467B3" w:rsidRPr="00312394" w:rsidRDefault="00B467B3" w:rsidP="00312394">
      <w:pPr>
        <w:pStyle w:val="Textonotapie"/>
        <w:ind w:firstLine="708"/>
        <w:jc w:val="both"/>
        <w:rPr>
          <w:rFonts w:ascii="Verdana" w:hAnsi="Verdana"/>
          <w:sz w:val="16"/>
          <w:szCs w:val="16"/>
        </w:rPr>
      </w:pPr>
      <w:r w:rsidRPr="00312394">
        <w:rPr>
          <w:rFonts w:ascii="Verdana" w:hAnsi="Verdana"/>
          <w:sz w:val="16"/>
          <w:szCs w:val="16"/>
        </w:rPr>
        <w:t xml:space="preserve">d)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 </w:t>
      </w:r>
      <w:r w:rsidRPr="00312394">
        <w:t>c</w:t>
      </w:r>
      <w:r w:rsidRPr="00312394">
        <w:rPr>
          <w:rFonts w:ascii="Verdana" w:hAnsi="Verdana"/>
          <w:sz w:val="16"/>
          <w:szCs w:val="16"/>
        </w:rPr>
        <w:t xml:space="preserve">La inhabilidad pertinente se hará explícita en el Registro Único de Proponentes cuando a ello haya lugar. </w:t>
      </w:r>
    </w:p>
    <w:p w14:paraId="6377BD91" w14:textId="5DC70B59" w:rsidR="00B467B3" w:rsidRPr="00312394" w:rsidRDefault="00B467B3" w:rsidP="00312394">
      <w:pPr>
        <w:pStyle w:val="Textonotapie"/>
        <w:jc w:val="both"/>
        <w:rPr>
          <w:rFonts w:ascii="Verdana" w:hAnsi="Verdana"/>
          <w:sz w:val="16"/>
          <w:szCs w:val="16"/>
        </w:rPr>
      </w:pPr>
      <w:r w:rsidRPr="00312394">
        <w:rPr>
          <w:rFonts w:ascii="Verdana" w:hAnsi="Verdana"/>
          <w:sz w:val="16"/>
          <w:szCs w:val="16"/>
        </w:rPr>
        <w:tab/>
        <w:t xml:space="preserve">La inhabilidad se extenderá por un término de tres (3) años, con­tados a partir de la publicación del acto administrativo que impone la inscripción de la última multa o incumplimiento en el Registro Único de Proponentes, de acuerdo con la información remitida por las entida­des públicas. La inhabilidad pertinente se hará explícita en el Registro Único de Proponentes cuando a ello haya lugar. </w:t>
      </w:r>
    </w:p>
    <w:p w14:paraId="45D9836C" w14:textId="25F30CEE" w:rsidR="00B467B3" w:rsidRPr="00312394" w:rsidRDefault="00B467B3" w:rsidP="00312394">
      <w:pPr>
        <w:pStyle w:val="Textonotapie"/>
        <w:ind w:firstLine="708"/>
        <w:jc w:val="both"/>
        <w:rPr>
          <w:rFonts w:ascii="Verdana" w:hAnsi="Verdana"/>
          <w:sz w:val="16"/>
          <w:szCs w:val="16"/>
        </w:rPr>
      </w:pPr>
      <w:r w:rsidRPr="00312394">
        <w:rPr>
          <w:rFonts w:ascii="Verdana" w:hAnsi="Verdana"/>
          <w:sz w:val="16"/>
          <w:szCs w:val="16"/>
        </w:rPr>
        <w:t>Parágrafo. La inhabilidad a que se refiere el presente artículo se ex­tenderá a los socios de sociedades de personas a las cuales se haya de­clarado esta inhabilidad, así como a las sociedades de personas de las que aquellos formen parte con posterioridad a dicha declaratoria</w:t>
      </w:r>
      <w:r w:rsidR="005F0542" w:rsidRPr="00312394">
        <w:rPr>
          <w:rFonts w:ascii="Verdana" w:hAnsi="Verdana"/>
          <w:sz w:val="16"/>
          <w:szCs w:val="16"/>
        </w:rPr>
        <w:t>”</w:t>
      </w:r>
      <w:r w:rsidRPr="00312394">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1AE0494A"/>
    <w:lvl w:ilvl="0" w:tplc="08FE3E8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9"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8"/>
  </w:num>
  <w:num w:numId="17" w16cid:durableId="1862627426">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A27"/>
    <w:rsid w:val="000169FB"/>
    <w:rsid w:val="00016F78"/>
    <w:rsid w:val="0002475B"/>
    <w:rsid w:val="00035B21"/>
    <w:rsid w:val="00046945"/>
    <w:rsid w:val="00061B2A"/>
    <w:rsid w:val="000774A3"/>
    <w:rsid w:val="00082362"/>
    <w:rsid w:val="000A5A65"/>
    <w:rsid w:val="000A66AB"/>
    <w:rsid w:val="000A683E"/>
    <w:rsid w:val="000B19B9"/>
    <w:rsid w:val="000D0334"/>
    <w:rsid w:val="000E0EE6"/>
    <w:rsid w:val="000F1B7D"/>
    <w:rsid w:val="000F6486"/>
    <w:rsid w:val="000F6A5C"/>
    <w:rsid w:val="001040F4"/>
    <w:rsid w:val="001109E3"/>
    <w:rsid w:val="00121857"/>
    <w:rsid w:val="00125105"/>
    <w:rsid w:val="00127233"/>
    <w:rsid w:val="00140707"/>
    <w:rsid w:val="001511A0"/>
    <w:rsid w:val="00160EA0"/>
    <w:rsid w:val="00166C4C"/>
    <w:rsid w:val="00177AB9"/>
    <w:rsid w:val="001922FD"/>
    <w:rsid w:val="001A7B4F"/>
    <w:rsid w:val="001E4177"/>
    <w:rsid w:val="001F7DC6"/>
    <w:rsid w:val="00210E4A"/>
    <w:rsid w:val="002421BB"/>
    <w:rsid w:val="0025796E"/>
    <w:rsid w:val="002707A2"/>
    <w:rsid w:val="002951A0"/>
    <w:rsid w:val="002962BC"/>
    <w:rsid w:val="002A093D"/>
    <w:rsid w:val="002A0DD0"/>
    <w:rsid w:val="002A49AC"/>
    <w:rsid w:val="002A64FD"/>
    <w:rsid w:val="002B6B6B"/>
    <w:rsid w:val="002C7A84"/>
    <w:rsid w:val="002E3FB6"/>
    <w:rsid w:val="002E4FD9"/>
    <w:rsid w:val="00312394"/>
    <w:rsid w:val="00322A85"/>
    <w:rsid w:val="00324168"/>
    <w:rsid w:val="003448F4"/>
    <w:rsid w:val="00352331"/>
    <w:rsid w:val="003645BD"/>
    <w:rsid w:val="00374F5E"/>
    <w:rsid w:val="003755A9"/>
    <w:rsid w:val="00377E3E"/>
    <w:rsid w:val="003A779E"/>
    <w:rsid w:val="003D0F4D"/>
    <w:rsid w:val="003D5B0D"/>
    <w:rsid w:val="003E0499"/>
    <w:rsid w:val="003F3941"/>
    <w:rsid w:val="00406575"/>
    <w:rsid w:val="00414C74"/>
    <w:rsid w:val="0042722E"/>
    <w:rsid w:val="00427E6E"/>
    <w:rsid w:val="0044528D"/>
    <w:rsid w:val="00494B95"/>
    <w:rsid w:val="004974D9"/>
    <w:rsid w:val="004A1847"/>
    <w:rsid w:val="004A305D"/>
    <w:rsid w:val="004D2B41"/>
    <w:rsid w:val="004E0D7E"/>
    <w:rsid w:val="004E72BD"/>
    <w:rsid w:val="004F21C4"/>
    <w:rsid w:val="004F4B83"/>
    <w:rsid w:val="004F685F"/>
    <w:rsid w:val="00517359"/>
    <w:rsid w:val="00523FBF"/>
    <w:rsid w:val="0054519B"/>
    <w:rsid w:val="005566E8"/>
    <w:rsid w:val="00574867"/>
    <w:rsid w:val="00575E6A"/>
    <w:rsid w:val="00591460"/>
    <w:rsid w:val="005B3816"/>
    <w:rsid w:val="005C3777"/>
    <w:rsid w:val="005C5CDC"/>
    <w:rsid w:val="005C76B6"/>
    <w:rsid w:val="005D476C"/>
    <w:rsid w:val="005D49F7"/>
    <w:rsid w:val="005E1FF1"/>
    <w:rsid w:val="005F0542"/>
    <w:rsid w:val="005F3509"/>
    <w:rsid w:val="00611F1E"/>
    <w:rsid w:val="00617A46"/>
    <w:rsid w:val="006219F8"/>
    <w:rsid w:val="00647B07"/>
    <w:rsid w:val="00665D70"/>
    <w:rsid w:val="006702AE"/>
    <w:rsid w:val="00672852"/>
    <w:rsid w:val="00681E56"/>
    <w:rsid w:val="006859C1"/>
    <w:rsid w:val="006900D9"/>
    <w:rsid w:val="006904D8"/>
    <w:rsid w:val="006A125E"/>
    <w:rsid w:val="00706C16"/>
    <w:rsid w:val="007205AE"/>
    <w:rsid w:val="00723993"/>
    <w:rsid w:val="00734CEC"/>
    <w:rsid w:val="0073712D"/>
    <w:rsid w:val="00756841"/>
    <w:rsid w:val="007649AB"/>
    <w:rsid w:val="00771D0C"/>
    <w:rsid w:val="007833AC"/>
    <w:rsid w:val="007B268C"/>
    <w:rsid w:val="007B7171"/>
    <w:rsid w:val="007B78BD"/>
    <w:rsid w:val="007C0C0F"/>
    <w:rsid w:val="007C1FCB"/>
    <w:rsid w:val="007C3DC2"/>
    <w:rsid w:val="007C61C5"/>
    <w:rsid w:val="007E4717"/>
    <w:rsid w:val="007E5497"/>
    <w:rsid w:val="007F261F"/>
    <w:rsid w:val="00806F5F"/>
    <w:rsid w:val="00820278"/>
    <w:rsid w:val="00840B2D"/>
    <w:rsid w:val="00842A8F"/>
    <w:rsid w:val="00853A6F"/>
    <w:rsid w:val="00856720"/>
    <w:rsid w:val="00867F95"/>
    <w:rsid w:val="00870DBD"/>
    <w:rsid w:val="008843B6"/>
    <w:rsid w:val="0088612F"/>
    <w:rsid w:val="00891928"/>
    <w:rsid w:val="008A367D"/>
    <w:rsid w:val="008A446D"/>
    <w:rsid w:val="008B01EB"/>
    <w:rsid w:val="008B411D"/>
    <w:rsid w:val="008C5E6D"/>
    <w:rsid w:val="008D180B"/>
    <w:rsid w:val="008F0EA7"/>
    <w:rsid w:val="0091307C"/>
    <w:rsid w:val="00923EEF"/>
    <w:rsid w:val="009311D4"/>
    <w:rsid w:val="00932330"/>
    <w:rsid w:val="009419F9"/>
    <w:rsid w:val="00953EEB"/>
    <w:rsid w:val="0095685E"/>
    <w:rsid w:val="00961B09"/>
    <w:rsid w:val="00965334"/>
    <w:rsid w:val="0097093E"/>
    <w:rsid w:val="00985048"/>
    <w:rsid w:val="00986AC5"/>
    <w:rsid w:val="009A0DFA"/>
    <w:rsid w:val="009B2D26"/>
    <w:rsid w:val="009C71FA"/>
    <w:rsid w:val="009C72E7"/>
    <w:rsid w:val="009D2257"/>
    <w:rsid w:val="009D3058"/>
    <w:rsid w:val="009E4905"/>
    <w:rsid w:val="009E67A0"/>
    <w:rsid w:val="009F3A13"/>
    <w:rsid w:val="00A122D3"/>
    <w:rsid w:val="00A17F13"/>
    <w:rsid w:val="00A20739"/>
    <w:rsid w:val="00A33C78"/>
    <w:rsid w:val="00A534ED"/>
    <w:rsid w:val="00A63BBC"/>
    <w:rsid w:val="00A80D7D"/>
    <w:rsid w:val="00A833ED"/>
    <w:rsid w:val="00AA5D30"/>
    <w:rsid w:val="00AA65B6"/>
    <w:rsid w:val="00AB04EB"/>
    <w:rsid w:val="00AB0ADB"/>
    <w:rsid w:val="00AC2D50"/>
    <w:rsid w:val="00AD09ED"/>
    <w:rsid w:val="00AD3F65"/>
    <w:rsid w:val="00AE3ED5"/>
    <w:rsid w:val="00B01B1A"/>
    <w:rsid w:val="00B14218"/>
    <w:rsid w:val="00B270BC"/>
    <w:rsid w:val="00B467B3"/>
    <w:rsid w:val="00B66319"/>
    <w:rsid w:val="00B71BF8"/>
    <w:rsid w:val="00B72CD3"/>
    <w:rsid w:val="00B72FFF"/>
    <w:rsid w:val="00B75E07"/>
    <w:rsid w:val="00B822AF"/>
    <w:rsid w:val="00B90E39"/>
    <w:rsid w:val="00BB055C"/>
    <w:rsid w:val="00BC3D36"/>
    <w:rsid w:val="00BD046F"/>
    <w:rsid w:val="00BD0A0F"/>
    <w:rsid w:val="00BD1300"/>
    <w:rsid w:val="00BD7F72"/>
    <w:rsid w:val="00BF03B1"/>
    <w:rsid w:val="00C04FB3"/>
    <w:rsid w:val="00C05772"/>
    <w:rsid w:val="00C330EB"/>
    <w:rsid w:val="00C41061"/>
    <w:rsid w:val="00C440BF"/>
    <w:rsid w:val="00C637BD"/>
    <w:rsid w:val="00C70055"/>
    <w:rsid w:val="00C70F19"/>
    <w:rsid w:val="00C735E9"/>
    <w:rsid w:val="00C7378B"/>
    <w:rsid w:val="00C754BE"/>
    <w:rsid w:val="00C76B1C"/>
    <w:rsid w:val="00C95D24"/>
    <w:rsid w:val="00C9792A"/>
    <w:rsid w:val="00CB6357"/>
    <w:rsid w:val="00CC11D6"/>
    <w:rsid w:val="00CC1B26"/>
    <w:rsid w:val="00CD1533"/>
    <w:rsid w:val="00CE38D1"/>
    <w:rsid w:val="00CF163E"/>
    <w:rsid w:val="00CF6E18"/>
    <w:rsid w:val="00D00F21"/>
    <w:rsid w:val="00D13F42"/>
    <w:rsid w:val="00D257CF"/>
    <w:rsid w:val="00D27F3F"/>
    <w:rsid w:val="00D423A2"/>
    <w:rsid w:val="00D46EF6"/>
    <w:rsid w:val="00D51DE1"/>
    <w:rsid w:val="00D520D8"/>
    <w:rsid w:val="00D61593"/>
    <w:rsid w:val="00D63AC2"/>
    <w:rsid w:val="00D671C9"/>
    <w:rsid w:val="00D7383B"/>
    <w:rsid w:val="00D75304"/>
    <w:rsid w:val="00D917DA"/>
    <w:rsid w:val="00D97CF3"/>
    <w:rsid w:val="00DA231B"/>
    <w:rsid w:val="00DC2F81"/>
    <w:rsid w:val="00DC39FC"/>
    <w:rsid w:val="00DD15F6"/>
    <w:rsid w:val="00DF5254"/>
    <w:rsid w:val="00DF68EA"/>
    <w:rsid w:val="00E0067A"/>
    <w:rsid w:val="00E0392C"/>
    <w:rsid w:val="00E07F7D"/>
    <w:rsid w:val="00E16408"/>
    <w:rsid w:val="00E20894"/>
    <w:rsid w:val="00E245AB"/>
    <w:rsid w:val="00E2764C"/>
    <w:rsid w:val="00E27F2E"/>
    <w:rsid w:val="00E33B83"/>
    <w:rsid w:val="00E374DC"/>
    <w:rsid w:val="00E37C0C"/>
    <w:rsid w:val="00E50AFE"/>
    <w:rsid w:val="00E75C92"/>
    <w:rsid w:val="00E771DC"/>
    <w:rsid w:val="00E85700"/>
    <w:rsid w:val="00E864BA"/>
    <w:rsid w:val="00E8772A"/>
    <w:rsid w:val="00E90F6B"/>
    <w:rsid w:val="00E92C27"/>
    <w:rsid w:val="00EA0E3D"/>
    <w:rsid w:val="00EA3BD1"/>
    <w:rsid w:val="00EA537E"/>
    <w:rsid w:val="00EA6FE4"/>
    <w:rsid w:val="00EC38A7"/>
    <w:rsid w:val="00ED7384"/>
    <w:rsid w:val="00EE1AA8"/>
    <w:rsid w:val="00EE1B7D"/>
    <w:rsid w:val="00EF475C"/>
    <w:rsid w:val="00F01652"/>
    <w:rsid w:val="00F31EDC"/>
    <w:rsid w:val="00F462B3"/>
    <w:rsid w:val="00F5664F"/>
    <w:rsid w:val="00F56E19"/>
    <w:rsid w:val="00F62506"/>
    <w:rsid w:val="00F666C4"/>
    <w:rsid w:val="00F76AFC"/>
    <w:rsid w:val="00F84160"/>
    <w:rsid w:val="00F97CEC"/>
    <w:rsid w:val="00FA47C0"/>
    <w:rsid w:val="00FB5DD1"/>
    <w:rsid w:val="00FC2B5D"/>
    <w:rsid w:val="00FC6902"/>
    <w:rsid w:val="00FD4630"/>
    <w:rsid w:val="00FF1449"/>
    <w:rsid w:val="165E9519"/>
    <w:rsid w:val="382536D9"/>
    <w:rsid w:val="46001AC7"/>
    <w:rsid w:val="6EFDAB80"/>
    <w:rsid w:val="7B6AA7A6"/>
    <w:rsid w:val="7C183931"/>
    <w:rsid w:val="7C40BFE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8FDE43C-D691-4F77-A413-C1D648406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B1421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1421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14218"/>
    <w:rPr>
      <w:rFonts w:ascii="Geomanist Light" w:hAnsi="Geomanist Light"/>
      <w:lang w:val="es-ES"/>
    </w:rPr>
  </w:style>
  <w:style w:type="character" w:customStyle="1" w:styleId="NormalWebCar">
    <w:name w:val="Normal (Web) Car"/>
    <w:link w:val="NormalWeb"/>
    <w:uiPriority w:val="99"/>
    <w:locked/>
    <w:rsid w:val="00EA6FE4"/>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C735E9"/>
    <w:rPr>
      <w:sz w:val="16"/>
      <w:szCs w:val="16"/>
    </w:rPr>
  </w:style>
  <w:style w:type="paragraph" w:styleId="Textocomentario">
    <w:name w:val="annotation text"/>
    <w:basedOn w:val="Normal"/>
    <w:link w:val="TextocomentarioCar"/>
    <w:uiPriority w:val="99"/>
    <w:unhideWhenUsed/>
    <w:rsid w:val="00C735E9"/>
    <w:pPr>
      <w:spacing w:line="240" w:lineRule="auto"/>
    </w:pPr>
    <w:rPr>
      <w:sz w:val="20"/>
      <w:szCs w:val="20"/>
    </w:rPr>
  </w:style>
  <w:style w:type="character" w:customStyle="1" w:styleId="TextocomentarioCar">
    <w:name w:val="Texto comentario Car"/>
    <w:basedOn w:val="Fuentedeprrafopredeter"/>
    <w:link w:val="Textocomentario"/>
    <w:uiPriority w:val="99"/>
    <w:rsid w:val="00C735E9"/>
    <w:rPr>
      <w:sz w:val="20"/>
      <w:szCs w:val="20"/>
    </w:rPr>
  </w:style>
  <w:style w:type="paragraph" w:styleId="Asuntodelcomentario">
    <w:name w:val="annotation subject"/>
    <w:basedOn w:val="Textocomentario"/>
    <w:next w:val="Textocomentario"/>
    <w:link w:val="AsuntodelcomentarioCar"/>
    <w:uiPriority w:val="99"/>
    <w:semiHidden/>
    <w:unhideWhenUsed/>
    <w:rsid w:val="00C735E9"/>
    <w:rPr>
      <w:b/>
      <w:bCs/>
    </w:rPr>
  </w:style>
  <w:style w:type="character" w:customStyle="1" w:styleId="AsuntodelcomentarioCar">
    <w:name w:val="Asunto del comentario Car"/>
    <w:basedOn w:val="TextocomentarioCar"/>
    <w:link w:val="Asuntodelcomentario"/>
    <w:uiPriority w:val="99"/>
    <w:semiHidden/>
    <w:rsid w:val="00C735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bianrodriguez7@gmail.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ustavopatarroyo@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2ED015A5-D277-47DB-AB7F-892AB2FE5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963DDF4-E096-4CC4-B1EF-A0844999672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schemas.microsoft.com/office/2006/documentManagement/types"/>
    <ds:schemaRef ds:uri="http://www.w3.org/XML/1998/namespace"/>
    <ds:schemaRef ds:uri="http://purl.org/dc/elements/1.1/"/>
    <ds:schemaRef ds:uri="a6cb9e4b-f1d1-4245-83ec-6cad768d538a"/>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7018</Words>
  <Characters>38603</Characters>
  <Application>Microsoft Office Word</Application>
  <DocSecurity>0</DocSecurity>
  <Lines>321</Lines>
  <Paragraphs>91</Paragraphs>
  <ScaleCrop>false</ScaleCrop>
  <Company/>
  <LinksUpToDate>false</LinksUpToDate>
  <CharactersWithSpaces>45530</CharactersWithSpaces>
  <SharedDoc>false</SharedDoc>
  <HLinks>
    <vt:vector size="24" baseType="variant">
      <vt:variant>
        <vt:i4>3276900</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7471117</vt:i4>
      </vt:variant>
      <vt:variant>
        <vt:i4>3</vt:i4>
      </vt:variant>
      <vt:variant>
        <vt:i4>0</vt:i4>
      </vt:variant>
      <vt:variant>
        <vt:i4>5</vt:i4>
      </vt:variant>
      <vt:variant>
        <vt:lpwstr>mailto:fabianrodriguez7@gmail.com</vt:lpwstr>
      </vt:variant>
      <vt:variant>
        <vt:lpwstr/>
      </vt:variant>
      <vt:variant>
        <vt:i4>1638457</vt:i4>
      </vt:variant>
      <vt:variant>
        <vt:i4>0</vt:i4>
      </vt:variant>
      <vt:variant>
        <vt:i4>0</vt:i4>
      </vt:variant>
      <vt:variant>
        <vt:i4>5</vt:i4>
      </vt:variant>
      <vt:variant>
        <vt:lpwstr>mailto:gustavopatarroyo@hotmail.com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2025-08-26T22:16:00Z</dcterms:created>
  <dcterms:modified xsi:type="dcterms:W3CDTF">2025-08-26T22:16:00Z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