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C9B82" w14:textId="114A8056" w:rsidR="00363EDC" w:rsidRPr="00363EDC" w:rsidRDefault="00363EDC" w:rsidP="00363EDC">
      <w:pPr>
        <w:spacing w:after="0" w:line="240" w:lineRule="auto"/>
        <w:jc w:val="both"/>
        <w:rPr>
          <w:rFonts w:ascii="Verdana" w:eastAsia="Aptos" w:hAnsi="Verdana" w:cs="Times New Roman"/>
          <w:b/>
        </w:rPr>
      </w:pPr>
      <w:bookmarkStart w:id="0" w:name="_Hlk143780582"/>
      <w:r w:rsidRPr="00363EDC">
        <w:rPr>
          <w:rFonts w:ascii="Verdana" w:eastAsia="Aptos" w:hAnsi="Verdana" w:cs="Arial"/>
          <w:b/>
        </w:rPr>
        <w:t xml:space="preserve">INHABILIDADES </w:t>
      </w:r>
      <w:r w:rsidR="004744C9" w:rsidRPr="004744C9">
        <w:rPr>
          <w:rFonts w:ascii="Verdana" w:eastAsia="Aptos" w:hAnsi="Verdana" w:cs="Arial"/>
          <w:b/>
          <w:bCs/>
          <w:lang w:val="es-ES"/>
        </w:rPr>
        <w:t>–</w:t>
      </w:r>
      <w:r w:rsidRPr="00363EDC">
        <w:rPr>
          <w:rFonts w:ascii="Verdana" w:eastAsia="Aptos" w:hAnsi="Verdana" w:cs="Arial"/>
          <w:b/>
        </w:rPr>
        <w:t xml:space="preserve"> Definición </w:t>
      </w:r>
      <w:r w:rsidR="004744C9" w:rsidRPr="004744C9">
        <w:rPr>
          <w:rFonts w:ascii="Verdana" w:eastAsia="Aptos" w:hAnsi="Verdana" w:cs="Arial"/>
          <w:b/>
          <w:bCs/>
          <w:lang w:val="es-ES"/>
        </w:rPr>
        <w:t>–</w:t>
      </w:r>
      <w:r w:rsidRPr="00363EDC">
        <w:rPr>
          <w:rFonts w:ascii="Verdana" w:eastAsia="Aptos" w:hAnsi="Verdana" w:cs="Arial"/>
          <w:b/>
        </w:rPr>
        <w:t xml:space="preserve"> Finalidad </w:t>
      </w:r>
      <w:r w:rsidR="004744C9" w:rsidRPr="004744C9">
        <w:rPr>
          <w:rFonts w:ascii="Verdana" w:eastAsia="Aptos" w:hAnsi="Verdana" w:cs="Arial"/>
          <w:b/>
          <w:bCs/>
          <w:lang w:val="es-ES"/>
        </w:rPr>
        <w:t>–</w:t>
      </w:r>
      <w:r w:rsidRPr="00363EDC">
        <w:rPr>
          <w:rFonts w:ascii="Verdana" w:eastAsia="Aptos" w:hAnsi="Verdana" w:cs="Arial"/>
          <w:b/>
        </w:rPr>
        <w:t xml:space="preserve"> Limitación capacidad contractual</w:t>
      </w:r>
    </w:p>
    <w:p w14:paraId="7A56B48C" w14:textId="77777777" w:rsidR="00363EDC" w:rsidRPr="00363EDC" w:rsidRDefault="00363EDC" w:rsidP="00363EDC">
      <w:pPr>
        <w:spacing w:after="0" w:line="240" w:lineRule="auto"/>
        <w:jc w:val="both"/>
        <w:rPr>
          <w:rFonts w:ascii="Verdana" w:eastAsia="Aptos" w:hAnsi="Verdana" w:cs="Times New Roman"/>
          <w:b/>
        </w:rPr>
      </w:pPr>
    </w:p>
    <w:p w14:paraId="6B595578" w14:textId="77777777" w:rsidR="00363EDC" w:rsidRPr="00363EDC" w:rsidRDefault="00363EDC" w:rsidP="00363EDC">
      <w:pPr>
        <w:spacing w:after="0" w:line="240" w:lineRule="auto"/>
        <w:jc w:val="both"/>
        <w:rPr>
          <w:rFonts w:ascii="Verdana" w:eastAsia="Calibri" w:hAnsi="Verdana" w:cs="Arial"/>
          <w:sz w:val="20"/>
        </w:rPr>
      </w:pPr>
      <w:r w:rsidRPr="00363EDC">
        <w:rPr>
          <w:rFonts w:ascii="Verdana" w:eastAsia="Calibri" w:hAnsi="Verdana" w:cs="Arial"/>
          <w:sz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5D30CB1D" w14:textId="77777777" w:rsidR="00363EDC" w:rsidRPr="00363EDC" w:rsidRDefault="00363EDC" w:rsidP="00363EDC">
      <w:pPr>
        <w:spacing w:after="0" w:line="240" w:lineRule="auto"/>
        <w:jc w:val="both"/>
        <w:rPr>
          <w:rFonts w:ascii="Verdana" w:eastAsia="Calibri" w:hAnsi="Verdana" w:cs="Arial"/>
          <w:sz w:val="20"/>
        </w:rPr>
      </w:pPr>
    </w:p>
    <w:p w14:paraId="33ECEE61" w14:textId="77777777" w:rsidR="00363EDC" w:rsidRPr="00363EDC" w:rsidRDefault="00363EDC" w:rsidP="00363EDC">
      <w:pPr>
        <w:spacing w:after="0" w:line="240" w:lineRule="auto"/>
        <w:jc w:val="both"/>
        <w:rPr>
          <w:rFonts w:ascii="Verdana" w:eastAsia="Calibri" w:hAnsi="Verdana" w:cs="Arial"/>
          <w:sz w:val="20"/>
        </w:rPr>
      </w:pPr>
      <w:r w:rsidRPr="00363EDC">
        <w:rPr>
          <w:rFonts w:ascii="Verdana" w:eastAsia="Calibri" w:hAnsi="Verdana" w:cs="Arial"/>
          <w:sz w:val="20"/>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2381C6B9" w14:textId="77777777" w:rsidR="00363EDC" w:rsidRPr="00363EDC" w:rsidRDefault="00363EDC" w:rsidP="00363EDC">
      <w:pPr>
        <w:spacing w:after="0" w:line="240" w:lineRule="auto"/>
        <w:jc w:val="both"/>
        <w:rPr>
          <w:rFonts w:ascii="Verdana" w:eastAsia="Aptos" w:hAnsi="Verdana" w:cs="Times New Roman"/>
          <w:b/>
          <w:sz w:val="20"/>
        </w:rPr>
      </w:pPr>
    </w:p>
    <w:p w14:paraId="44B1659F" w14:textId="77777777" w:rsidR="00363EDC" w:rsidRPr="00363EDC" w:rsidRDefault="00363EDC" w:rsidP="00363EDC">
      <w:pPr>
        <w:spacing w:after="0" w:line="240" w:lineRule="auto"/>
        <w:jc w:val="both"/>
        <w:rPr>
          <w:rFonts w:ascii="Verdana" w:eastAsia="Aptos" w:hAnsi="Verdana" w:cs="Times New Roman"/>
          <w:b/>
        </w:rPr>
      </w:pPr>
      <w:r w:rsidRPr="00363EDC">
        <w:rPr>
          <w:rFonts w:ascii="Verdana" w:eastAsia="Aptos" w:hAnsi="Verdana" w:cs="Arial"/>
          <w:b/>
        </w:rPr>
        <w:t>INHABILIDADES – Taxatividad – Principio de legalidad – Interpretación restrictiva</w:t>
      </w:r>
    </w:p>
    <w:p w14:paraId="64946A5D" w14:textId="77777777" w:rsidR="00363EDC" w:rsidRPr="00363EDC" w:rsidRDefault="00363EDC" w:rsidP="00363EDC">
      <w:pPr>
        <w:spacing w:after="0" w:line="240" w:lineRule="auto"/>
        <w:jc w:val="both"/>
        <w:rPr>
          <w:rFonts w:ascii="Verdana" w:eastAsia="Aptos" w:hAnsi="Verdana" w:cs="Times New Roman"/>
          <w:b/>
        </w:rPr>
      </w:pPr>
    </w:p>
    <w:p w14:paraId="2CC15751" w14:textId="77777777" w:rsidR="00363EDC" w:rsidRPr="00363EDC" w:rsidRDefault="00363EDC" w:rsidP="00363EDC">
      <w:pPr>
        <w:spacing w:after="0" w:line="240" w:lineRule="auto"/>
        <w:jc w:val="both"/>
        <w:rPr>
          <w:rFonts w:ascii="Verdana" w:eastAsia="Aptos" w:hAnsi="Verdana" w:cs="Times New Roman"/>
          <w:b/>
          <w:sz w:val="20"/>
        </w:rPr>
      </w:pPr>
      <w:r w:rsidRPr="00363EDC">
        <w:rPr>
          <w:rFonts w:ascii="Verdana" w:eastAsia="Calibri" w:hAnsi="Verdana" w:cs="Arial"/>
          <w:sz w:val="20"/>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363EDC">
        <w:rPr>
          <w:rFonts w:ascii="Verdana" w:eastAsia="Calibri" w:hAnsi="Verdana" w:cs="Arial"/>
          <w:i/>
          <w:iCs/>
          <w:sz w:val="20"/>
        </w:rPr>
        <w:t xml:space="preserve">restrictiva, </w:t>
      </w:r>
      <w:r w:rsidRPr="00363EDC">
        <w:rPr>
          <w:rFonts w:ascii="Verdana" w:eastAsia="Calibri" w:hAnsi="Verdana" w:cs="Arial"/>
          <w:sz w:val="20"/>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03F76A0" w14:textId="77777777" w:rsidR="00363EDC" w:rsidRPr="00363EDC" w:rsidRDefault="00363EDC" w:rsidP="00363EDC">
      <w:pPr>
        <w:spacing w:after="0" w:line="240" w:lineRule="auto"/>
        <w:jc w:val="both"/>
        <w:rPr>
          <w:rFonts w:ascii="Verdana" w:eastAsia="Calibri" w:hAnsi="Verdana" w:cs="Arial"/>
          <w:sz w:val="20"/>
        </w:rPr>
      </w:pPr>
    </w:p>
    <w:p w14:paraId="6DB69471" w14:textId="77777777" w:rsidR="00363EDC" w:rsidRPr="00363EDC" w:rsidRDefault="00363EDC" w:rsidP="00363EDC">
      <w:pPr>
        <w:spacing w:after="0" w:line="240" w:lineRule="auto"/>
        <w:jc w:val="both"/>
        <w:rPr>
          <w:rFonts w:ascii="Verdana" w:eastAsia="Calibri" w:hAnsi="Verdana" w:cs="Arial"/>
          <w:sz w:val="20"/>
        </w:rPr>
      </w:pPr>
      <w:r w:rsidRPr="00363EDC">
        <w:rPr>
          <w:rFonts w:ascii="Verdana" w:eastAsia="Calibri" w:hAnsi="Verdana" w:cs="Arial"/>
          <w:sz w:val="20"/>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p>
    <w:p w14:paraId="1069955C" w14:textId="77777777" w:rsidR="00363EDC" w:rsidRPr="00363EDC" w:rsidRDefault="00363EDC" w:rsidP="00363EDC">
      <w:pPr>
        <w:spacing w:after="0" w:line="240" w:lineRule="auto"/>
        <w:jc w:val="both"/>
        <w:rPr>
          <w:rFonts w:ascii="Verdana" w:eastAsia="Calibri" w:hAnsi="Verdana" w:cs="Arial"/>
          <w:sz w:val="20"/>
        </w:rPr>
      </w:pPr>
    </w:p>
    <w:p w14:paraId="3D93A9E3" w14:textId="77777777" w:rsidR="00363EDC" w:rsidRPr="00363EDC" w:rsidRDefault="00363EDC" w:rsidP="00363EDC">
      <w:pPr>
        <w:spacing w:after="0" w:line="240" w:lineRule="auto"/>
        <w:jc w:val="both"/>
        <w:rPr>
          <w:rFonts w:ascii="Verdana" w:eastAsia="Calibri" w:hAnsi="Verdana" w:cs="Arial"/>
          <w:sz w:val="20"/>
        </w:rPr>
      </w:pPr>
      <w:r w:rsidRPr="00363EDC">
        <w:rPr>
          <w:rFonts w:ascii="Verdana" w:eastAsia="Calibri" w:hAnsi="Verdana" w:cs="Arial"/>
          <w:sz w:val="20"/>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w:t>
      </w:r>
      <w:r w:rsidRPr="00363EDC">
        <w:rPr>
          <w:rFonts w:ascii="Verdana" w:eastAsia="Calibri" w:hAnsi="Verdana" w:cs="Arial"/>
          <w:sz w:val="20"/>
        </w:rPr>
        <w:lastRenderedPageBreak/>
        <w:t>que se traduce en que pueden hacer todo aquello que no les esté expresamente prohibido”.</w:t>
      </w:r>
    </w:p>
    <w:p w14:paraId="64E93D88" w14:textId="77777777" w:rsidR="00363EDC" w:rsidRPr="00363EDC" w:rsidRDefault="00363EDC" w:rsidP="00363EDC">
      <w:pPr>
        <w:spacing w:after="0" w:line="240" w:lineRule="auto"/>
        <w:rPr>
          <w:rFonts w:ascii="Verdana" w:eastAsia="Aptos" w:hAnsi="Verdana" w:cs="Times New Roman"/>
          <w:b/>
          <w:sz w:val="20"/>
        </w:rPr>
      </w:pPr>
    </w:p>
    <w:p w14:paraId="62EA82F7" w14:textId="7FC94666" w:rsidR="00363EDC" w:rsidRPr="00363EDC" w:rsidRDefault="00363EDC" w:rsidP="00363EDC">
      <w:pPr>
        <w:spacing w:after="0" w:line="240" w:lineRule="auto"/>
        <w:jc w:val="both"/>
        <w:rPr>
          <w:rFonts w:ascii="Verdana" w:eastAsia="Calibri" w:hAnsi="Verdana" w:cs="Arial"/>
          <w:b/>
          <w:bCs/>
        </w:rPr>
      </w:pPr>
      <w:r w:rsidRPr="00363EDC">
        <w:rPr>
          <w:rFonts w:ascii="Verdana" w:eastAsia="Calibri" w:hAnsi="Verdana" w:cs="Arial"/>
          <w:b/>
          <w:bCs/>
        </w:rPr>
        <w:t xml:space="preserve">INHABILIDADES </w:t>
      </w:r>
      <w:r w:rsidR="004744C9" w:rsidRPr="004744C9">
        <w:rPr>
          <w:rFonts w:ascii="Verdana" w:eastAsia="Calibri" w:hAnsi="Verdana" w:cs="Arial"/>
          <w:b/>
          <w:bCs/>
          <w:lang w:val="es-ES"/>
        </w:rPr>
        <w:t>–</w:t>
      </w:r>
      <w:r w:rsidRPr="00363EDC">
        <w:rPr>
          <w:rFonts w:ascii="Verdana" w:eastAsia="Calibri" w:hAnsi="Verdana" w:cs="Arial"/>
          <w:b/>
          <w:bCs/>
        </w:rPr>
        <w:t xml:space="preserve"> Ley 1296 de 2009 </w:t>
      </w:r>
      <w:r w:rsidR="004744C9" w:rsidRPr="004744C9">
        <w:rPr>
          <w:rFonts w:ascii="Verdana" w:eastAsia="Calibri" w:hAnsi="Verdana" w:cs="Arial"/>
          <w:b/>
          <w:bCs/>
          <w:lang w:val="es-ES"/>
        </w:rPr>
        <w:t>–</w:t>
      </w:r>
      <w:r w:rsidRPr="00363EDC">
        <w:rPr>
          <w:rFonts w:ascii="Verdana" w:eastAsia="Calibri" w:hAnsi="Verdana" w:cs="Arial"/>
          <w:b/>
          <w:bCs/>
        </w:rPr>
        <w:t xml:space="preserve"> Alcance   </w:t>
      </w:r>
    </w:p>
    <w:p w14:paraId="59AF2189" w14:textId="77777777" w:rsidR="00363EDC" w:rsidRPr="00363EDC" w:rsidRDefault="00363EDC" w:rsidP="00363EDC">
      <w:pPr>
        <w:spacing w:after="0" w:line="240" w:lineRule="auto"/>
        <w:jc w:val="both"/>
        <w:rPr>
          <w:rFonts w:ascii="Verdana" w:eastAsia="Calibri" w:hAnsi="Verdana" w:cs="Arial"/>
          <w:sz w:val="20"/>
          <w:szCs w:val="20"/>
        </w:rPr>
      </w:pPr>
    </w:p>
    <w:p w14:paraId="2EA65C83" w14:textId="77777777" w:rsidR="00363EDC" w:rsidRPr="00363EDC" w:rsidRDefault="00363EDC" w:rsidP="00363EDC">
      <w:pPr>
        <w:spacing w:after="0" w:line="240" w:lineRule="auto"/>
        <w:jc w:val="both"/>
        <w:rPr>
          <w:rFonts w:ascii="Verdana" w:eastAsia="Calibri" w:hAnsi="Verdana" w:cs="Arial"/>
          <w:sz w:val="20"/>
          <w:szCs w:val="20"/>
        </w:rPr>
      </w:pPr>
      <w:r w:rsidRPr="00363EDC">
        <w:rPr>
          <w:rFonts w:ascii="Verdana" w:eastAsia="Calibri" w:hAnsi="Verdana" w:cs="Arial"/>
          <w:sz w:val="20"/>
          <w:szCs w:val="20"/>
        </w:rPr>
        <w:t xml:space="preserve">El artículo 1° de la Ley 1296 de 2009, que modifica el inciso 3 del artículo 1° de la Ley 1148 de 2011, modificatorio del artículo 49 de la Ley 617 del 2000, establece que “Los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 </w:t>
      </w:r>
    </w:p>
    <w:p w14:paraId="3F37DBF7" w14:textId="77777777" w:rsidR="00363EDC" w:rsidRPr="00363EDC" w:rsidRDefault="00363EDC" w:rsidP="00363EDC">
      <w:pPr>
        <w:spacing w:after="0" w:line="240" w:lineRule="auto"/>
        <w:jc w:val="both"/>
        <w:rPr>
          <w:rFonts w:ascii="Verdana" w:eastAsia="Calibri" w:hAnsi="Verdana" w:cs="Arial"/>
          <w:sz w:val="20"/>
          <w:szCs w:val="20"/>
        </w:rPr>
      </w:pPr>
    </w:p>
    <w:p w14:paraId="5CFE6C6B" w14:textId="77777777" w:rsidR="00363EDC" w:rsidRPr="00363EDC" w:rsidRDefault="00363EDC" w:rsidP="00363EDC">
      <w:pPr>
        <w:spacing w:after="0" w:line="240" w:lineRule="auto"/>
        <w:jc w:val="both"/>
        <w:rPr>
          <w:rFonts w:ascii="Verdana" w:eastAsia="Calibri" w:hAnsi="Verdana" w:cs="Arial"/>
          <w:sz w:val="20"/>
          <w:szCs w:val="20"/>
        </w:rPr>
      </w:pPr>
      <w:r w:rsidRPr="00363EDC">
        <w:rPr>
          <w:rFonts w:ascii="Verdana" w:eastAsia="Calibri" w:hAnsi="Verdana" w:cs="Arial"/>
          <w:sz w:val="20"/>
          <w:szCs w:val="20"/>
        </w:rPr>
        <w:t xml:space="preserve">la citada inhabilidad tiene fundamento en las relaciones familiares o de parentesco con los servidores públicos que ostentan la calidad de gobernador, diputado, alcalde y concejal municipal o distrital. Esa circunstancia implica que esa causal de inhabilidad se instituyó, única y exclusivamente, con el propósito de limitar la capacidad para ser contratista del correspondiente departamento, distrito o municipio, o de sus entidades descentralizadas, de acuerdo con la existencia de parentesco o familiaridad con aquellos servidores públicos. </w:t>
      </w:r>
    </w:p>
    <w:p w14:paraId="27922EF9" w14:textId="77777777" w:rsidR="00363EDC" w:rsidRPr="00363EDC" w:rsidRDefault="00363EDC" w:rsidP="00363EDC">
      <w:pPr>
        <w:spacing w:after="0" w:line="240" w:lineRule="auto"/>
        <w:jc w:val="both"/>
        <w:rPr>
          <w:rFonts w:ascii="Verdana" w:eastAsia="Calibri" w:hAnsi="Verdana" w:cs="Arial"/>
          <w:sz w:val="20"/>
          <w:szCs w:val="20"/>
        </w:rPr>
      </w:pPr>
    </w:p>
    <w:p w14:paraId="2E20C1BA" w14:textId="77777777" w:rsidR="00363EDC" w:rsidRPr="00363EDC" w:rsidRDefault="00363EDC" w:rsidP="00363EDC">
      <w:pPr>
        <w:spacing w:after="0" w:line="240" w:lineRule="auto"/>
        <w:jc w:val="both"/>
        <w:rPr>
          <w:rFonts w:ascii="Verdana" w:eastAsia="Calibri" w:hAnsi="Verdana" w:cs="Arial"/>
          <w:sz w:val="20"/>
          <w:szCs w:val="20"/>
        </w:rPr>
      </w:pPr>
      <w:r w:rsidRPr="00363EDC">
        <w:rPr>
          <w:rFonts w:ascii="Verdana" w:eastAsia="Calibri" w:hAnsi="Verdana" w:cs="Arial"/>
          <w:sz w:val="20"/>
          <w:szCs w:val="20"/>
        </w:rPr>
        <w:t>[…]</w:t>
      </w:r>
    </w:p>
    <w:p w14:paraId="39B4CA0C" w14:textId="77777777" w:rsidR="00363EDC" w:rsidRPr="00363EDC" w:rsidRDefault="00363EDC" w:rsidP="00363EDC">
      <w:pPr>
        <w:spacing w:after="0" w:line="240" w:lineRule="auto"/>
        <w:jc w:val="both"/>
        <w:rPr>
          <w:rFonts w:ascii="Verdana" w:eastAsia="Calibri" w:hAnsi="Verdana" w:cs="Arial"/>
          <w:sz w:val="20"/>
          <w:szCs w:val="20"/>
        </w:rPr>
      </w:pPr>
    </w:p>
    <w:p w14:paraId="67B80127" w14:textId="77777777" w:rsidR="00363EDC" w:rsidRPr="00363EDC" w:rsidRDefault="00363EDC" w:rsidP="00363EDC">
      <w:pPr>
        <w:spacing w:after="0" w:line="240" w:lineRule="auto"/>
        <w:jc w:val="both"/>
        <w:rPr>
          <w:rFonts w:ascii="Verdana" w:eastAsia="Calibri" w:hAnsi="Verdana" w:cs="Arial"/>
          <w:sz w:val="20"/>
          <w:szCs w:val="20"/>
        </w:rPr>
      </w:pPr>
      <w:r w:rsidRPr="00363EDC">
        <w:rPr>
          <w:rFonts w:ascii="Verdana" w:eastAsia="Calibri" w:hAnsi="Verdana" w:cs="Arial"/>
          <w:sz w:val="20"/>
          <w:szCs w:val="20"/>
        </w:rPr>
        <w:t xml:space="preserve">La inhabilidad de que trata el artículo 1° Ley 1296 de 2009 subsiste para los sujetos señalados mientras los gobernadores, diputados, alcaldes y concejales desempeñen dichos cargos. En consecuencia, ateniendo a la interpretación restrictiva de las inhabilidades, en caso de que los gobernadores, diputados, alcaldes y concejales dejen de ostentar tal calidad, se extinguiría para sus cónyuges o compañeros permanentes y parientes señalados la prohibición para contratar con el respectivo departamento, distrito o municipio, o de sus entidades descentralizadas. </w:t>
      </w:r>
    </w:p>
    <w:p w14:paraId="19112A5C" w14:textId="77777777" w:rsidR="00363EDC" w:rsidRPr="00363EDC" w:rsidRDefault="00363EDC" w:rsidP="00363EDC">
      <w:pPr>
        <w:spacing w:after="0" w:line="240" w:lineRule="auto"/>
        <w:rPr>
          <w:rFonts w:ascii="Verdana" w:eastAsia="Aptos" w:hAnsi="Verdana" w:cs="Times New Roman"/>
          <w:b/>
        </w:rPr>
      </w:pPr>
    </w:p>
    <w:p w14:paraId="4292C232" w14:textId="77777777" w:rsidR="00363EDC" w:rsidRPr="00363EDC" w:rsidRDefault="00363EDC" w:rsidP="00363EDC">
      <w:pPr>
        <w:spacing w:after="0" w:line="240" w:lineRule="auto"/>
        <w:jc w:val="both"/>
        <w:rPr>
          <w:rFonts w:ascii="Verdana" w:eastAsia="Aptos" w:hAnsi="Verdana" w:cs="Arial"/>
          <w:b/>
        </w:rPr>
      </w:pPr>
      <w:r w:rsidRPr="00363EDC">
        <w:rPr>
          <w:rFonts w:ascii="Verdana" w:eastAsia="Calibri" w:hAnsi="Verdana" w:cs="Arial"/>
          <w:b/>
          <w:bCs/>
        </w:rPr>
        <w:t xml:space="preserve">LEY 1296 DE 2009 </w:t>
      </w:r>
      <w:r w:rsidRPr="00363EDC">
        <w:rPr>
          <w:rFonts w:ascii="Verdana" w:eastAsia="Aptos" w:hAnsi="Verdana" w:cs="Arial"/>
          <w:b/>
        </w:rPr>
        <w:t>– Contratación directa e indirecta – Alcance</w:t>
      </w:r>
    </w:p>
    <w:p w14:paraId="1330C98A" w14:textId="77777777" w:rsidR="00363EDC" w:rsidRPr="00363EDC" w:rsidRDefault="00363EDC" w:rsidP="00363EDC">
      <w:pPr>
        <w:spacing w:after="0" w:line="240" w:lineRule="auto"/>
        <w:jc w:val="both"/>
        <w:rPr>
          <w:rFonts w:ascii="Verdana" w:eastAsia="Calibri" w:hAnsi="Verdana" w:cs="Arial"/>
          <w:sz w:val="20"/>
          <w:szCs w:val="20"/>
        </w:rPr>
      </w:pPr>
    </w:p>
    <w:p w14:paraId="51B070A6" w14:textId="77777777" w:rsidR="00363EDC" w:rsidRPr="00363EDC" w:rsidRDefault="00363EDC" w:rsidP="006F28B1">
      <w:pPr>
        <w:spacing w:after="0" w:line="240" w:lineRule="auto"/>
        <w:jc w:val="both"/>
        <w:rPr>
          <w:rFonts w:ascii="Verdana" w:eastAsia="Calibri" w:hAnsi="Verdana" w:cs="Arial"/>
          <w:sz w:val="20"/>
          <w:szCs w:val="20"/>
        </w:rPr>
      </w:pPr>
      <w:r w:rsidRPr="00363EDC">
        <w:rPr>
          <w:rFonts w:ascii="Verdana" w:eastAsia="Calibri" w:hAnsi="Verdana" w:cs="Arial"/>
          <w:sz w:val="20"/>
          <w:szCs w:val="20"/>
        </w:rPr>
        <w:t>La expresión “no puede celebrar contratos de forma directa o indirecta” es importante para comprender dicha inhabilidad, pues, aunque, el artículo 1 de la Ley 1296 d 2009 no define su alcance, es posible acercarse a su definición a través de las pautas hermenéuticas del artículo 28 del Código Civil, pues “</w:t>
      </w:r>
      <w:r w:rsidRPr="00363EDC">
        <w:rPr>
          <w:rFonts w:ascii="Verdana" w:eastAsia="Calibri" w:hAnsi="Verdana" w:cs="Arial"/>
          <w:i/>
          <w:iCs/>
          <w:sz w:val="20"/>
          <w:szCs w:val="20"/>
        </w:rPr>
        <w:t>Las palabras de la ley se entenderán en su sentido natural y obvio, según el uso general de las mismas palabras</w:t>
      </w:r>
      <w:r w:rsidRPr="00363EDC">
        <w:rPr>
          <w:rFonts w:ascii="Verdana" w:eastAsia="Calibri" w:hAnsi="Verdana" w:cs="Arial"/>
          <w:sz w:val="20"/>
          <w:szCs w:val="20"/>
        </w:rPr>
        <w:t xml:space="preserve">; pero cuando el legislador las haya definido expresamente para ciertas materias, se les dará en éstas su significado legal” (Énfasis fuera de texto). De esta manera, el diccionario de la Real Academia Española define la palabra “directo” aludiendo a aquello “Que va de una parte a otra sin detenerse en los puntos intermedios”. Por oposición, define la palabra “indirecto” como aquello que “Que no va rectamente a un fin, aunque se encamine a él”. </w:t>
      </w:r>
    </w:p>
    <w:p w14:paraId="78DE6F03" w14:textId="77777777" w:rsidR="00363EDC" w:rsidRPr="00363EDC" w:rsidRDefault="00363EDC" w:rsidP="006F28B1">
      <w:pPr>
        <w:spacing w:after="0" w:line="240" w:lineRule="auto"/>
        <w:jc w:val="both"/>
        <w:rPr>
          <w:rFonts w:ascii="Verdana" w:eastAsia="Calibri" w:hAnsi="Verdana" w:cs="Arial"/>
          <w:sz w:val="20"/>
          <w:szCs w:val="20"/>
        </w:rPr>
      </w:pPr>
    </w:p>
    <w:p w14:paraId="0855B6B6" w14:textId="77777777" w:rsidR="00363EDC" w:rsidRPr="00363EDC" w:rsidRDefault="00363EDC" w:rsidP="006F28B1">
      <w:pPr>
        <w:spacing w:after="120" w:line="240" w:lineRule="auto"/>
        <w:jc w:val="both"/>
        <w:rPr>
          <w:rFonts w:ascii="Verdana" w:eastAsia="Calibri" w:hAnsi="Verdana" w:cs="Arial"/>
          <w:sz w:val="20"/>
          <w:szCs w:val="20"/>
        </w:rPr>
      </w:pPr>
      <w:r w:rsidRPr="00363EDC">
        <w:rPr>
          <w:rFonts w:ascii="Verdana" w:eastAsia="Calibri" w:hAnsi="Verdana" w:cs="Arial"/>
          <w:sz w:val="20"/>
          <w:szCs w:val="20"/>
        </w:rPr>
        <w:t xml:space="preserve">Existe intervención a nombre propio cuando la persona afectada por la restricción del artículo 1 de la Ley 1296 de 2009 pretende participar en la celebración y ejecución del contrato por sí mismo o a través de un representante facultado para el efecto. </w:t>
      </w:r>
    </w:p>
    <w:p w14:paraId="5B4F17E4" w14:textId="77777777" w:rsidR="00363EDC" w:rsidRPr="00363EDC" w:rsidRDefault="00363EDC" w:rsidP="006F28B1">
      <w:pPr>
        <w:spacing w:after="120" w:line="240" w:lineRule="auto"/>
        <w:jc w:val="both"/>
        <w:rPr>
          <w:rFonts w:ascii="Verdana" w:eastAsia="Calibri" w:hAnsi="Verdana" w:cs="Arial"/>
          <w:sz w:val="20"/>
          <w:szCs w:val="20"/>
        </w:rPr>
      </w:pPr>
      <w:r w:rsidRPr="00363EDC">
        <w:rPr>
          <w:rFonts w:ascii="Verdana" w:eastAsia="Calibri" w:hAnsi="Verdana" w:cs="Arial"/>
          <w:sz w:val="20"/>
          <w:szCs w:val="20"/>
        </w:rPr>
        <w:lastRenderedPageBreak/>
        <w:t>(…)</w:t>
      </w:r>
    </w:p>
    <w:p w14:paraId="04547361" w14:textId="77777777" w:rsidR="00363EDC" w:rsidRPr="00363EDC" w:rsidRDefault="00363EDC" w:rsidP="006F28B1">
      <w:pPr>
        <w:spacing w:after="120" w:line="240" w:lineRule="auto"/>
        <w:jc w:val="both"/>
        <w:rPr>
          <w:rFonts w:ascii="Verdana" w:eastAsia="Calibri" w:hAnsi="Verdana" w:cs="Arial"/>
          <w:sz w:val="20"/>
          <w:szCs w:val="20"/>
        </w:rPr>
      </w:pPr>
      <w:r w:rsidRPr="00363EDC">
        <w:rPr>
          <w:rFonts w:ascii="Verdana" w:eastAsia="Calibri" w:hAnsi="Verdana" w:cs="Arial"/>
          <w:sz w:val="20"/>
          <w:szCs w:val="20"/>
        </w:rPr>
        <w:t xml:space="preserve">En contraste, existe </w:t>
      </w:r>
      <w:r w:rsidRPr="00363EDC">
        <w:rPr>
          <w:rFonts w:ascii="Verdana" w:eastAsia="Calibri" w:hAnsi="Verdana" w:cs="Arial"/>
          <w:i/>
          <w:iCs/>
          <w:sz w:val="20"/>
          <w:szCs w:val="20"/>
        </w:rPr>
        <w:t>intervención a través de terceros</w:t>
      </w:r>
      <w:r w:rsidRPr="00363EDC">
        <w:rPr>
          <w:rFonts w:ascii="Verdana" w:eastAsia="Calibri" w:hAnsi="Verdana" w:cs="Arial"/>
          <w:sz w:val="20"/>
          <w:szCs w:val="20"/>
        </w:rPr>
        <w:t xml:space="preserve"> cuando la persona afectada por la restricción del artículo 1 de la Ley 1296 de 2009 pretende participar en la celebración y ejecución del contrato a través de “mandatos ocultos” o en calidad de socio </w:t>
      </w:r>
      <w:r w:rsidRPr="00363EDC">
        <w:rPr>
          <w:rFonts w:ascii="Verdana" w:eastAsia="Calibri" w:hAnsi="Verdana" w:cs="Arial"/>
          <w:i/>
          <w:iCs/>
          <w:sz w:val="20"/>
          <w:szCs w:val="20"/>
        </w:rPr>
        <w:t>o representante legal de una persona jurídica</w:t>
      </w:r>
      <w:r w:rsidRPr="00363EDC">
        <w:rPr>
          <w:rFonts w:ascii="Verdana" w:eastAsia="Calibri" w:hAnsi="Verdana" w:cs="Arial"/>
          <w:sz w:val="20"/>
          <w:szCs w:val="20"/>
        </w:rPr>
        <w:t xml:space="preserve">, sin perjuicio de otras modalidades de participación subrepticia por parte del sujeto inhabilitado. </w:t>
      </w:r>
    </w:p>
    <w:p w14:paraId="36DAF2C8" w14:textId="77777777" w:rsidR="00363EDC" w:rsidRPr="00363EDC" w:rsidRDefault="00363EDC" w:rsidP="00363EDC">
      <w:pPr>
        <w:spacing w:after="0"/>
        <w:rPr>
          <w:rFonts w:ascii="Verdana" w:eastAsia="Aptos" w:hAnsi="Verdana" w:cs="Times New Roman"/>
        </w:rPr>
      </w:pPr>
    </w:p>
    <w:p w14:paraId="08A0B262" w14:textId="77777777" w:rsidR="00363EDC" w:rsidRPr="00363EDC" w:rsidRDefault="00363EDC" w:rsidP="00363EDC">
      <w:pPr>
        <w:spacing w:after="0"/>
        <w:rPr>
          <w:rFonts w:ascii="Verdana" w:eastAsia="Aptos" w:hAnsi="Verdana" w:cs="Times New Roman"/>
        </w:rPr>
      </w:pPr>
    </w:p>
    <w:p w14:paraId="17E81745" w14:textId="77777777" w:rsidR="00363EDC" w:rsidRPr="00363EDC" w:rsidRDefault="00363EDC" w:rsidP="00363EDC">
      <w:pPr>
        <w:spacing w:after="0"/>
        <w:rPr>
          <w:rFonts w:ascii="Verdana" w:eastAsia="Aptos" w:hAnsi="Verdana" w:cs="Times New Roman"/>
        </w:rPr>
      </w:pPr>
    </w:p>
    <w:p w14:paraId="3DD17859" w14:textId="77777777" w:rsidR="00363EDC" w:rsidRPr="00363EDC" w:rsidRDefault="00363EDC" w:rsidP="00363EDC">
      <w:pPr>
        <w:spacing w:after="0"/>
        <w:rPr>
          <w:rFonts w:ascii="Verdana" w:eastAsia="Aptos" w:hAnsi="Verdana" w:cs="Times New Roman"/>
        </w:rPr>
      </w:pPr>
    </w:p>
    <w:p w14:paraId="2802D6B5" w14:textId="77777777" w:rsidR="00363EDC" w:rsidRPr="00363EDC" w:rsidRDefault="00363EDC" w:rsidP="00363EDC">
      <w:pPr>
        <w:spacing w:after="0"/>
        <w:rPr>
          <w:rFonts w:ascii="Verdana" w:eastAsia="Aptos" w:hAnsi="Verdana" w:cs="Times New Roman"/>
        </w:rPr>
      </w:pPr>
    </w:p>
    <w:p w14:paraId="0FF3B892" w14:textId="77777777" w:rsidR="00363EDC" w:rsidRPr="00363EDC" w:rsidRDefault="00363EDC" w:rsidP="00363EDC">
      <w:pPr>
        <w:spacing w:after="0"/>
        <w:rPr>
          <w:rFonts w:ascii="Verdana" w:eastAsia="Aptos" w:hAnsi="Verdana" w:cs="Times New Roman"/>
        </w:rPr>
      </w:pPr>
    </w:p>
    <w:p w14:paraId="13FC7236" w14:textId="77777777" w:rsidR="00363EDC" w:rsidRPr="00363EDC" w:rsidRDefault="00363EDC" w:rsidP="00363EDC">
      <w:pPr>
        <w:spacing w:after="0"/>
        <w:rPr>
          <w:rFonts w:ascii="Verdana" w:eastAsia="Aptos" w:hAnsi="Verdana" w:cs="Times New Roman"/>
        </w:rPr>
      </w:pPr>
    </w:p>
    <w:p w14:paraId="56B64BCC" w14:textId="77777777" w:rsidR="00363EDC" w:rsidRPr="00363EDC" w:rsidRDefault="00363EDC" w:rsidP="00363EDC">
      <w:pPr>
        <w:spacing w:after="0"/>
        <w:rPr>
          <w:rFonts w:ascii="Verdana" w:eastAsia="Aptos" w:hAnsi="Verdana" w:cs="Times New Roman"/>
        </w:rPr>
      </w:pPr>
    </w:p>
    <w:p w14:paraId="2A86A435" w14:textId="77777777" w:rsidR="00363EDC" w:rsidRPr="00363EDC" w:rsidRDefault="00363EDC" w:rsidP="00363EDC">
      <w:pPr>
        <w:spacing w:after="0"/>
        <w:rPr>
          <w:rFonts w:ascii="Verdana" w:eastAsia="Aptos" w:hAnsi="Verdana" w:cs="Times New Roman"/>
        </w:rPr>
      </w:pPr>
    </w:p>
    <w:p w14:paraId="0A564998" w14:textId="77777777" w:rsidR="00363EDC" w:rsidRPr="00363EDC" w:rsidRDefault="00363EDC" w:rsidP="00363EDC">
      <w:pPr>
        <w:spacing w:after="0"/>
        <w:rPr>
          <w:rFonts w:ascii="Verdana" w:eastAsia="Aptos" w:hAnsi="Verdana" w:cs="Times New Roman"/>
        </w:rPr>
      </w:pPr>
    </w:p>
    <w:p w14:paraId="2B51F282" w14:textId="77777777" w:rsidR="00363EDC" w:rsidRPr="00363EDC" w:rsidRDefault="00363EDC" w:rsidP="00363EDC">
      <w:pPr>
        <w:spacing w:after="0"/>
        <w:rPr>
          <w:rFonts w:ascii="Verdana" w:eastAsia="Aptos" w:hAnsi="Verdana" w:cs="Times New Roman"/>
        </w:rPr>
      </w:pPr>
    </w:p>
    <w:p w14:paraId="01D1381A" w14:textId="77777777" w:rsidR="00363EDC" w:rsidRPr="00363EDC" w:rsidRDefault="00363EDC" w:rsidP="00363EDC">
      <w:pPr>
        <w:spacing w:after="0"/>
        <w:rPr>
          <w:rFonts w:ascii="Verdana" w:eastAsia="Aptos" w:hAnsi="Verdana" w:cs="Times New Roman"/>
        </w:rPr>
      </w:pPr>
    </w:p>
    <w:p w14:paraId="5261ECE0" w14:textId="77777777" w:rsidR="00363EDC" w:rsidRPr="00363EDC" w:rsidRDefault="00363EDC" w:rsidP="00363EDC">
      <w:pPr>
        <w:spacing w:after="0"/>
        <w:rPr>
          <w:rFonts w:ascii="Verdana" w:eastAsia="Aptos" w:hAnsi="Verdana" w:cs="Times New Roman"/>
        </w:rPr>
      </w:pPr>
    </w:p>
    <w:p w14:paraId="11C92665" w14:textId="77777777" w:rsidR="00363EDC" w:rsidRPr="00363EDC" w:rsidRDefault="00363EDC" w:rsidP="00363EDC">
      <w:pPr>
        <w:spacing w:after="0"/>
        <w:rPr>
          <w:rFonts w:ascii="Verdana" w:eastAsia="Aptos" w:hAnsi="Verdana" w:cs="Times New Roman"/>
        </w:rPr>
      </w:pPr>
    </w:p>
    <w:p w14:paraId="6CD2B313" w14:textId="77777777" w:rsidR="00363EDC" w:rsidRPr="00363EDC" w:rsidRDefault="00363EDC" w:rsidP="00363EDC">
      <w:pPr>
        <w:spacing w:after="0"/>
        <w:rPr>
          <w:rFonts w:ascii="Verdana" w:eastAsia="Aptos" w:hAnsi="Verdana" w:cs="Times New Roman"/>
        </w:rPr>
      </w:pPr>
    </w:p>
    <w:p w14:paraId="6A2CDD8E" w14:textId="77777777" w:rsidR="00363EDC" w:rsidRPr="00363EDC" w:rsidRDefault="00363EDC" w:rsidP="00363EDC">
      <w:pPr>
        <w:spacing w:after="0"/>
        <w:rPr>
          <w:rFonts w:ascii="Verdana" w:eastAsia="Aptos" w:hAnsi="Verdana" w:cs="Times New Roman"/>
        </w:rPr>
      </w:pPr>
    </w:p>
    <w:p w14:paraId="563C81F4" w14:textId="77777777" w:rsidR="00363EDC" w:rsidRPr="00363EDC" w:rsidRDefault="00363EDC" w:rsidP="00363EDC">
      <w:pPr>
        <w:spacing w:after="0"/>
        <w:rPr>
          <w:rFonts w:ascii="Verdana" w:eastAsia="Aptos" w:hAnsi="Verdana" w:cs="Times New Roman"/>
        </w:rPr>
      </w:pPr>
    </w:p>
    <w:p w14:paraId="6A5240A9" w14:textId="77777777" w:rsidR="00363EDC" w:rsidRPr="00363EDC" w:rsidRDefault="00363EDC" w:rsidP="00363EDC">
      <w:pPr>
        <w:spacing w:after="0"/>
        <w:rPr>
          <w:rFonts w:ascii="Verdana" w:eastAsia="Aptos" w:hAnsi="Verdana" w:cs="Times New Roman"/>
        </w:rPr>
      </w:pPr>
    </w:p>
    <w:p w14:paraId="7087771F" w14:textId="77777777" w:rsidR="00363EDC" w:rsidRPr="00363EDC" w:rsidRDefault="00363EDC" w:rsidP="00363EDC">
      <w:pPr>
        <w:spacing w:after="0"/>
        <w:rPr>
          <w:rFonts w:ascii="Verdana" w:eastAsia="Aptos" w:hAnsi="Verdana" w:cs="Times New Roman"/>
        </w:rPr>
      </w:pPr>
    </w:p>
    <w:p w14:paraId="17F1D767" w14:textId="77777777" w:rsidR="00363EDC" w:rsidRPr="00363EDC" w:rsidRDefault="00363EDC" w:rsidP="00363EDC">
      <w:pPr>
        <w:spacing w:after="0"/>
        <w:rPr>
          <w:rFonts w:ascii="Verdana" w:eastAsia="Aptos" w:hAnsi="Verdana" w:cs="Times New Roman"/>
        </w:rPr>
      </w:pPr>
    </w:p>
    <w:p w14:paraId="33E136B4" w14:textId="77777777" w:rsidR="00363EDC" w:rsidRPr="00363EDC" w:rsidRDefault="00363EDC" w:rsidP="00363EDC">
      <w:pPr>
        <w:spacing w:after="0"/>
        <w:rPr>
          <w:rFonts w:ascii="Verdana" w:eastAsia="Aptos" w:hAnsi="Verdana" w:cs="Times New Roman"/>
        </w:rPr>
      </w:pPr>
    </w:p>
    <w:p w14:paraId="61FC5847" w14:textId="77777777" w:rsidR="00363EDC" w:rsidRPr="00363EDC" w:rsidRDefault="00363EDC" w:rsidP="00363EDC">
      <w:pPr>
        <w:spacing w:after="0"/>
        <w:rPr>
          <w:rFonts w:ascii="Verdana" w:eastAsia="Aptos" w:hAnsi="Verdana" w:cs="Times New Roman"/>
        </w:rPr>
      </w:pPr>
    </w:p>
    <w:p w14:paraId="28D3812C" w14:textId="77777777" w:rsidR="00363EDC" w:rsidRPr="00363EDC" w:rsidRDefault="00363EDC" w:rsidP="00363EDC">
      <w:pPr>
        <w:spacing w:after="0"/>
        <w:rPr>
          <w:rFonts w:ascii="Verdana" w:eastAsia="Aptos" w:hAnsi="Verdana" w:cs="Times New Roman"/>
        </w:rPr>
      </w:pPr>
    </w:p>
    <w:p w14:paraId="550F459B" w14:textId="77777777" w:rsidR="00363EDC" w:rsidRPr="00363EDC" w:rsidRDefault="00363EDC" w:rsidP="00363EDC">
      <w:pPr>
        <w:spacing w:after="0"/>
        <w:rPr>
          <w:rFonts w:ascii="Verdana" w:eastAsia="Aptos" w:hAnsi="Verdana" w:cs="Times New Roman"/>
        </w:rPr>
      </w:pPr>
    </w:p>
    <w:p w14:paraId="45EE363B" w14:textId="77777777" w:rsidR="00363EDC" w:rsidRPr="00363EDC" w:rsidRDefault="00363EDC" w:rsidP="00363EDC">
      <w:pPr>
        <w:spacing w:after="0"/>
        <w:rPr>
          <w:rFonts w:ascii="Verdana" w:eastAsia="Aptos" w:hAnsi="Verdana" w:cs="Times New Roman"/>
        </w:rPr>
      </w:pPr>
    </w:p>
    <w:p w14:paraId="5EA356FD" w14:textId="77777777" w:rsidR="00363EDC" w:rsidRPr="00363EDC" w:rsidRDefault="00363EDC" w:rsidP="00363EDC">
      <w:pPr>
        <w:spacing w:after="0"/>
        <w:rPr>
          <w:rFonts w:ascii="Verdana" w:eastAsia="Aptos" w:hAnsi="Verdana" w:cs="Times New Roman"/>
        </w:rPr>
      </w:pPr>
    </w:p>
    <w:p w14:paraId="3B4D14C8" w14:textId="77777777" w:rsidR="00363EDC" w:rsidRPr="00363EDC" w:rsidRDefault="00363EDC" w:rsidP="00363EDC">
      <w:pPr>
        <w:spacing w:after="0"/>
        <w:rPr>
          <w:rFonts w:ascii="Verdana" w:eastAsia="Aptos" w:hAnsi="Verdana" w:cs="Times New Roman"/>
        </w:rPr>
      </w:pPr>
    </w:p>
    <w:p w14:paraId="17231393" w14:textId="77777777" w:rsidR="00363EDC" w:rsidRPr="00363EDC" w:rsidRDefault="00363EDC" w:rsidP="00363EDC">
      <w:pPr>
        <w:spacing w:after="0"/>
        <w:rPr>
          <w:rFonts w:ascii="Verdana" w:eastAsia="Aptos" w:hAnsi="Verdana" w:cs="Times New Roman"/>
        </w:rPr>
      </w:pPr>
    </w:p>
    <w:p w14:paraId="37B2BCDA" w14:textId="77777777" w:rsidR="00363EDC" w:rsidRPr="00363EDC" w:rsidRDefault="00363EDC" w:rsidP="00363EDC">
      <w:pPr>
        <w:spacing w:after="0"/>
        <w:rPr>
          <w:rFonts w:ascii="Verdana" w:eastAsia="Aptos" w:hAnsi="Verdana" w:cs="Times New Roman"/>
        </w:rPr>
      </w:pPr>
    </w:p>
    <w:p w14:paraId="5F03D7DA" w14:textId="77777777" w:rsidR="00363EDC" w:rsidRPr="00363EDC" w:rsidRDefault="00363EDC" w:rsidP="00363EDC">
      <w:pPr>
        <w:spacing w:after="0"/>
        <w:rPr>
          <w:rFonts w:ascii="Verdana" w:eastAsia="Aptos" w:hAnsi="Verdana" w:cs="Times New Roman"/>
        </w:rPr>
      </w:pPr>
    </w:p>
    <w:p w14:paraId="317CAC2D" w14:textId="77777777" w:rsidR="00363EDC" w:rsidRDefault="00363EDC" w:rsidP="00363EDC">
      <w:pPr>
        <w:spacing w:after="0"/>
        <w:rPr>
          <w:rFonts w:ascii="Verdana" w:eastAsia="Aptos" w:hAnsi="Verdana" w:cs="Times New Roman"/>
        </w:rPr>
      </w:pPr>
    </w:p>
    <w:p w14:paraId="4EBA1B0D" w14:textId="77777777" w:rsidR="00BC0341" w:rsidRDefault="00BC0341" w:rsidP="00363EDC">
      <w:pPr>
        <w:spacing w:after="0"/>
        <w:rPr>
          <w:rFonts w:ascii="Verdana" w:eastAsia="Aptos" w:hAnsi="Verdana" w:cs="Times New Roman"/>
        </w:rPr>
      </w:pPr>
    </w:p>
    <w:p w14:paraId="7C743083" w14:textId="77777777" w:rsidR="00BC0341" w:rsidRDefault="00BC0341" w:rsidP="00363EDC">
      <w:pPr>
        <w:spacing w:after="0"/>
        <w:rPr>
          <w:rFonts w:ascii="Verdana" w:eastAsia="Aptos" w:hAnsi="Verdana" w:cs="Times New Roman"/>
        </w:rPr>
      </w:pPr>
    </w:p>
    <w:p w14:paraId="19C6CAD4" w14:textId="77777777" w:rsidR="00BC0341" w:rsidRPr="00363EDC" w:rsidRDefault="00BC0341" w:rsidP="00363EDC">
      <w:pPr>
        <w:spacing w:after="0"/>
        <w:rPr>
          <w:rFonts w:ascii="Verdana" w:eastAsia="Aptos" w:hAnsi="Verdana" w:cs="Times New Roman"/>
        </w:rPr>
      </w:pPr>
    </w:p>
    <w:p w14:paraId="4E9F64BA" w14:textId="578BBEB7" w:rsidR="00BC0341" w:rsidRDefault="004E63B7" w:rsidP="00BC0341">
      <w:pPr>
        <w:spacing w:after="0" w:line="240" w:lineRule="auto"/>
        <w:rPr>
          <w:rFonts w:ascii="Verdana" w:eastAsia="Geomanist Light" w:hAnsi="Verdana" w:cs="Arial"/>
          <w:kern w:val="2"/>
          <w14:ligatures w14:val="standardContextual"/>
        </w:rPr>
      </w:pPr>
      <w:r w:rsidRPr="005A5C7A">
        <w:rPr>
          <w:rFonts w:ascii="Verdana" w:eastAsia="Geomanist Light" w:hAnsi="Verdana" w:cs="Arial"/>
          <w:noProof/>
        </w:rPr>
        <w:lastRenderedPageBreak/>
        <w:drawing>
          <wp:anchor distT="0" distB="0" distL="114300" distR="114300" simplePos="0" relativeHeight="251657216" behindDoc="0" locked="0" layoutInCell="1" allowOverlap="1" wp14:anchorId="51F1949F" wp14:editId="48FAA798">
            <wp:simplePos x="0" y="0"/>
            <wp:positionH relativeFrom="column">
              <wp:posOffset>3042920</wp:posOffset>
            </wp:positionH>
            <wp:positionV relativeFrom="paragraph">
              <wp:posOffset>69850</wp:posOffset>
            </wp:positionV>
            <wp:extent cx="2927985" cy="959485"/>
            <wp:effectExtent l="0" t="0" r="5715" b="0"/>
            <wp:wrapSquare wrapText="bothSides"/>
            <wp:docPr id="3448803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8039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7985" cy="959485"/>
                    </a:xfrm>
                    <a:prstGeom prst="rect">
                      <a:avLst/>
                    </a:prstGeom>
                  </pic:spPr>
                </pic:pic>
              </a:graphicData>
            </a:graphic>
            <wp14:sizeRelH relativeFrom="page">
              <wp14:pctWidth>0</wp14:pctWidth>
            </wp14:sizeRelH>
            <wp14:sizeRelV relativeFrom="page">
              <wp14:pctHeight>0</wp14:pctHeight>
            </wp14:sizeRelV>
          </wp:anchor>
        </w:drawing>
      </w:r>
      <w:r w:rsidR="00BC0341" w:rsidRPr="00363EDC">
        <w:rPr>
          <w:rFonts w:ascii="Verdana" w:eastAsia="Geomanist Light" w:hAnsi="Verdana" w:cs="Arial"/>
          <w:kern w:val="2"/>
          <w14:ligatures w14:val="standardContextual"/>
        </w:rPr>
        <w:t>Bogotá D.C., </w:t>
      </w:r>
      <w:r w:rsidR="005A5C7A">
        <w:rPr>
          <w:rFonts w:ascii="Verdana" w:eastAsia="Geomanist Light" w:hAnsi="Verdana" w:cs="Arial"/>
          <w:kern w:val="2"/>
          <w14:ligatures w14:val="standardContextual"/>
        </w:rPr>
        <w:t>12 de septiembre de 2025</w:t>
      </w:r>
    </w:p>
    <w:p w14:paraId="53E820D1" w14:textId="016695C1" w:rsidR="00BC0341" w:rsidRPr="00324BAB" w:rsidRDefault="00BC0341" w:rsidP="00BC0341">
      <w:pPr>
        <w:spacing w:after="0" w:line="240" w:lineRule="auto"/>
        <w:rPr>
          <w:rFonts w:ascii="Verdana" w:eastAsia="Geomanist Light" w:hAnsi="Verdana" w:cs="Arial"/>
          <w:kern w:val="2"/>
          <w14:ligatures w14:val="standardContextual"/>
        </w:rPr>
      </w:pPr>
    </w:p>
    <w:p w14:paraId="0B3FC553" w14:textId="77777777" w:rsidR="00BC0341" w:rsidRPr="00363EDC" w:rsidRDefault="00BC0341" w:rsidP="00BC0341">
      <w:pPr>
        <w:spacing w:after="0" w:line="240" w:lineRule="auto"/>
        <w:rPr>
          <w:rFonts w:ascii="Verdana" w:eastAsia="Calibri" w:hAnsi="Verdana" w:cs="Times New Roman"/>
        </w:rPr>
      </w:pPr>
      <w:r w:rsidRPr="00363EDC">
        <w:rPr>
          <w:rFonts w:ascii="Verdana" w:eastAsia="Calibri" w:hAnsi="Verdana" w:cs="Times New Roman"/>
        </w:rPr>
        <w:t>Señor</w:t>
      </w:r>
    </w:p>
    <w:p w14:paraId="2881BB00" w14:textId="77777777" w:rsidR="00BC0341" w:rsidRPr="00363EDC" w:rsidRDefault="00BC0341" w:rsidP="00BC0341">
      <w:pPr>
        <w:spacing w:after="0" w:line="240" w:lineRule="auto"/>
        <w:rPr>
          <w:rFonts w:ascii="Verdana" w:eastAsia="Calibri" w:hAnsi="Verdana" w:cs="Times New Roman"/>
          <w:b/>
        </w:rPr>
      </w:pPr>
      <w:proofErr w:type="spellStart"/>
      <w:r w:rsidRPr="00363EDC">
        <w:rPr>
          <w:rFonts w:ascii="Verdana" w:eastAsia="Calibri" w:hAnsi="Verdana" w:cs="Times New Roman"/>
          <w:b/>
        </w:rPr>
        <w:t>Grenfell</w:t>
      </w:r>
      <w:proofErr w:type="spellEnd"/>
      <w:r w:rsidRPr="00363EDC">
        <w:rPr>
          <w:rFonts w:ascii="Verdana" w:eastAsia="Calibri" w:hAnsi="Verdana" w:cs="Times New Roman"/>
          <w:b/>
        </w:rPr>
        <w:t xml:space="preserve"> Lozano Guerrero</w:t>
      </w:r>
    </w:p>
    <w:p w14:paraId="13EFAB2C" w14:textId="77777777" w:rsidR="00BC0341" w:rsidRPr="00363EDC" w:rsidRDefault="00BC0341" w:rsidP="00BC0341">
      <w:pPr>
        <w:autoSpaceDE w:val="0"/>
        <w:autoSpaceDN w:val="0"/>
        <w:adjustRightInd w:val="0"/>
        <w:spacing w:after="0" w:line="240" w:lineRule="auto"/>
        <w:rPr>
          <w:rFonts w:ascii="Verdana" w:eastAsia="Aptos" w:hAnsi="Verdana" w:cs="Times New Roman"/>
          <w:color w:val="215E99"/>
          <w14:ligatures w14:val="standardContextual"/>
        </w:rPr>
      </w:pPr>
      <w:hyperlink r:id="rId11" w:history="1">
        <w:r w:rsidRPr="00363EDC">
          <w:rPr>
            <w:rFonts w:ascii="Verdana" w:eastAsia="Aptos" w:hAnsi="Verdana" w:cs="Times New Roman"/>
            <w:color w:val="215E99"/>
            <w:u w:val="single"/>
            <w14:ligatures w14:val="standardContextual"/>
          </w:rPr>
          <w:t>grenlozguer@hotmail.com</w:t>
        </w:r>
      </w:hyperlink>
    </w:p>
    <w:p w14:paraId="6C8664FD" w14:textId="77777777" w:rsidR="00BC0341" w:rsidRPr="00363EDC" w:rsidRDefault="00BC0341" w:rsidP="00BC0341">
      <w:pPr>
        <w:spacing w:after="0" w:line="240" w:lineRule="auto"/>
        <w:rPr>
          <w:rFonts w:ascii="Verdana" w:eastAsia="Calibri" w:hAnsi="Verdana" w:cs="Times New Roman"/>
        </w:rPr>
      </w:pPr>
      <w:r w:rsidRPr="00363EDC">
        <w:rPr>
          <w:rFonts w:ascii="Verdana" w:eastAsia="Calibri" w:hAnsi="Verdana" w:cs="Times New Roman"/>
        </w:rPr>
        <w:t xml:space="preserve">Ciudad </w:t>
      </w:r>
    </w:p>
    <w:p w14:paraId="7ADD2BFA" w14:textId="77777777" w:rsidR="00BC0341" w:rsidRPr="00363EDC" w:rsidRDefault="00BC0341" w:rsidP="00BC0341">
      <w:pPr>
        <w:spacing w:after="0" w:line="240" w:lineRule="auto"/>
        <w:rPr>
          <w:rFonts w:ascii="Verdana" w:eastAsia="Calibri" w:hAnsi="Verdana" w:cs="Times New Roman"/>
        </w:rPr>
      </w:pPr>
    </w:p>
    <w:p w14:paraId="11ED0F95" w14:textId="77777777" w:rsidR="00BC0341" w:rsidRPr="00363EDC" w:rsidRDefault="00BC0341" w:rsidP="00BC0341">
      <w:pPr>
        <w:spacing w:after="0" w:line="240" w:lineRule="auto"/>
        <w:rPr>
          <w:rFonts w:ascii="Verdana" w:eastAsia="Calibri" w:hAnsi="Verdana" w:cs="Times New Roman"/>
          <w:b/>
          <w:bCs/>
        </w:rPr>
      </w:pPr>
      <w:r w:rsidRPr="00363EDC">
        <w:rPr>
          <w:rFonts w:ascii="Verdana" w:eastAsia="Calibri" w:hAnsi="Verdana" w:cs="Times New Roman"/>
          <w:b/>
          <w:bCs/>
        </w:rPr>
        <w:t xml:space="preserve">                                    Concepto C–1092 de 2025</w:t>
      </w:r>
    </w:p>
    <w:p w14:paraId="4E7B810C" w14:textId="77777777" w:rsidR="00BC0341" w:rsidRPr="00363EDC" w:rsidRDefault="00BC0341" w:rsidP="00BC0341">
      <w:pPr>
        <w:spacing w:after="0" w:line="240" w:lineRule="auto"/>
        <w:rPr>
          <w:rFonts w:ascii="Verdana" w:eastAsia="Calibri" w:hAnsi="Verdana" w:cs="Times New Roman"/>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BC0341" w:rsidRPr="00363EDC" w14:paraId="4462FDD8" w14:textId="77777777" w:rsidTr="0082547C">
        <w:trPr>
          <w:trHeight w:val="884"/>
        </w:trPr>
        <w:tc>
          <w:tcPr>
            <w:tcW w:w="2685" w:type="dxa"/>
            <w:hideMark/>
          </w:tcPr>
          <w:p w14:paraId="731292DB" w14:textId="77777777" w:rsidR="00BC0341" w:rsidRPr="00363EDC" w:rsidRDefault="00BC0341" w:rsidP="0082547C">
            <w:pPr>
              <w:rPr>
                <w:rFonts w:ascii="Verdana" w:hAnsi="Verdana"/>
                <w:b/>
                <w:bCs/>
              </w:rPr>
            </w:pPr>
            <w:r w:rsidRPr="00363EDC">
              <w:rPr>
                <w:rFonts w:ascii="Verdana" w:hAnsi="Verdana"/>
                <w:b/>
                <w:bCs/>
              </w:rPr>
              <w:t xml:space="preserve">Temas:                   </w:t>
            </w:r>
          </w:p>
        </w:tc>
        <w:tc>
          <w:tcPr>
            <w:tcW w:w="6241" w:type="dxa"/>
            <w:hideMark/>
          </w:tcPr>
          <w:p w14:paraId="2A98D22C" w14:textId="77777777" w:rsidR="00BC0341" w:rsidRPr="00363EDC" w:rsidRDefault="00BC0341" w:rsidP="0082547C">
            <w:pPr>
              <w:jc w:val="both"/>
              <w:rPr>
                <w:rFonts w:ascii="Verdana" w:hAnsi="Verdana" w:cs="Arial"/>
                <w:bCs/>
              </w:rPr>
            </w:pPr>
            <w:r w:rsidRPr="00363EDC">
              <w:rPr>
                <w:rFonts w:ascii="Verdana" w:hAnsi="Verdana" w:cs="Arial"/>
                <w:bCs/>
              </w:rPr>
              <w:t>INHABILIDADES ─ Definición ─ Finalidad ─ Limitación capacidad contractual</w:t>
            </w:r>
            <w:r w:rsidRPr="00363EDC">
              <w:rPr>
                <w:rFonts w:ascii="Verdana" w:hAnsi="Verdana"/>
                <w:bCs/>
              </w:rPr>
              <w:t xml:space="preserve"> / </w:t>
            </w:r>
            <w:r w:rsidRPr="00363EDC">
              <w:rPr>
                <w:rFonts w:ascii="Verdana" w:hAnsi="Verdana" w:cs="Arial"/>
                <w:bCs/>
              </w:rPr>
              <w:t>INHABILIDADES – Taxatividad – Principio de legalidad – Interpretación restrictiva</w:t>
            </w:r>
            <w:r w:rsidRPr="00363EDC">
              <w:rPr>
                <w:rFonts w:ascii="Verdana" w:hAnsi="Verdana"/>
                <w:bCs/>
              </w:rPr>
              <w:t xml:space="preserve"> / </w:t>
            </w:r>
            <w:r w:rsidRPr="00363EDC">
              <w:rPr>
                <w:rFonts w:ascii="Verdana" w:hAnsi="Verdana" w:cs="Arial"/>
                <w:bCs/>
              </w:rPr>
              <w:t>INHABILIDADES ― Ley 1296 de 2009 ― Alcance / LEY 1296 DE 2009 – Contratación directa e indirecta – Alcance</w:t>
            </w:r>
          </w:p>
        </w:tc>
        <w:tc>
          <w:tcPr>
            <w:tcW w:w="6237" w:type="dxa"/>
          </w:tcPr>
          <w:p w14:paraId="43C3AA24" w14:textId="77777777" w:rsidR="00BC0341" w:rsidRPr="00363EDC" w:rsidRDefault="00BC0341" w:rsidP="0082547C">
            <w:pPr>
              <w:rPr>
                <w:rFonts w:ascii="Verdana" w:hAnsi="Verdana"/>
              </w:rPr>
            </w:pPr>
          </w:p>
        </w:tc>
      </w:tr>
      <w:tr w:rsidR="00BC0341" w:rsidRPr="00363EDC" w14:paraId="165513D7" w14:textId="77777777" w:rsidTr="0082547C">
        <w:tc>
          <w:tcPr>
            <w:tcW w:w="2685" w:type="dxa"/>
          </w:tcPr>
          <w:p w14:paraId="24B12E59" w14:textId="77777777" w:rsidR="00BC0341" w:rsidRPr="00363EDC" w:rsidRDefault="00BC0341" w:rsidP="0082547C">
            <w:pPr>
              <w:rPr>
                <w:rFonts w:ascii="Verdana" w:hAnsi="Verdana"/>
              </w:rPr>
            </w:pPr>
          </w:p>
          <w:p w14:paraId="3C4BCEDE" w14:textId="77777777" w:rsidR="00BC0341" w:rsidRPr="00363EDC" w:rsidRDefault="00BC0341" w:rsidP="0082547C">
            <w:pPr>
              <w:rPr>
                <w:rFonts w:ascii="Verdana" w:hAnsi="Verdana"/>
                <w:b/>
                <w:bCs/>
              </w:rPr>
            </w:pPr>
            <w:r w:rsidRPr="00363EDC">
              <w:rPr>
                <w:rFonts w:ascii="Verdana" w:hAnsi="Verdana"/>
                <w:b/>
                <w:bCs/>
              </w:rPr>
              <w:t xml:space="preserve">Radicación:               </w:t>
            </w:r>
          </w:p>
        </w:tc>
        <w:tc>
          <w:tcPr>
            <w:tcW w:w="6241" w:type="dxa"/>
          </w:tcPr>
          <w:p w14:paraId="434BFFE0" w14:textId="77777777" w:rsidR="00BC0341" w:rsidRPr="00363EDC" w:rsidRDefault="00BC0341" w:rsidP="0082547C">
            <w:pPr>
              <w:jc w:val="both"/>
              <w:rPr>
                <w:rFonts w:ascii="Verdana" w:hAnsi="Verdana"/>
              </w:rPr>
            </w:pPr>
          </w:p>
          <w:p w14:paraId="55A41D6C" w14:textId="77777777" w:rsidR="00BC0341" w:rsidRPr="00363EDC" w:rsidRDefault="00BC0341" w:rsidP="0082547C">
            <w:pPr>
              <w:jc w:val="both"/>
              <w:rPr>
                <w:rFonts w:ascii="Verdana" w:hAnsi="Verdana"/>
              </w:rPr>
            </w:pPr>
            <w:r w:rsidRPr="00363EDC">
              <w:rPr>
                <w:rFonts w:ascii="Verdana" w:hAnsi="Verdana"/>
              </w:rPr>
              <w:t xml:space="preserve">Respuesta a consulta con radicado No. </w:t>
            </w:r>
            <w:r w:rsidRPr="00363EDC">
              <w:rPr>
                <w:rFonts w:ascii="Verdana" w:hAnsi="Verdana"/>
                <w:bCs/>
              </w:rPr>
              <w:t>1_2025_08_05_008193</w:t>
            </w:r>
          </w:p>
          <w:p w14:paraId="1409AB67" w14:textId="77777777" w:rsidR="00BC0341" w:rsidRPr="00363EDC" w:rsidRDefault="00BC0341" w:rsidP="0082547C">
            <w:pPr>
              <w:jc w:val="both"/>
              <w:rPr>
                <w:rFonts w:ascii="Verdana" w:hAnsi="Verdana"/>
              </w:rPr>
            </w:pPr>
          </w:p>
        </w:tc>
        <w:tc>
          <w:tcPr>
            <w:tcW w:w="6237" w:type="dxa"/>
          </w:tcPr>
          <w:p w14:paraId="520148DC" w14:textId="77777777" w:rsidR="00BC0341" w:rsidRPr="00363EDC" w:rsidRDefault="00BC0341" w:rsidP="0082547C">
            <w:pPr>
              <w:rPr>
                <w:rFonts w:ascii="Verdana" w:hAnsi="Verdana"/>
              </w:rPr>
            </w:pPr>
          </w:p>
        </w:tc>
      </w:tr>
      <w:tr w:rsidR="00BC0341" w:rsidRPr="00363EDC" w14:paraId="70B6704E" w14:textId="77777777" w:rsidTr="0082547C">
        <w:tc>
          <w:tcPr>
            <w:tcW w:w="2685" w:type="dxa"/>
          </w:tcPr>
          <w:p w14:paraId="58E6D281" w14:textId="77777777" w:rsidR="00BC0341" w:rsidRPr="00363EDC" w:rsidRDefault="00BC0341" w:rsidP="0082547C">
            <w:pPr>
              <w:rPr>
                <w:rFonts w:ascii="Verdana" w:hAnsi="Verdana"/>
              </w:rPr>
            </w:pPr>
          </w:p>
        </w:tc>
        <w:tc>
          <w:tcPr>
            <w:tcW w:w="6241" w:type="dxa"/>
          </w:tcPr>
          <w:p w14:paraId="2A268FEF" w14:textId="77777777" w:rsidR="00BC0341" w:rsidRPr="00363EDC" w:rsidRDefault="00BC0341" w:rsidP="0082547C">
            <w:pPr>
              <w:jc w:val="both"/>
              <w:rPr>
                <w:rFonts w:ascii="Verdana" w:hAnsi="Verdana"/>
              </w:rPr>
            </w:pPr>
          </w:p>
        </w:tc>
        <w:tc>
          <w:tcPr>
            <w:tcW w:w="6237" w:type="dxa"/>
          </w:tcPr>
          <w:p w14:paraId="246C7AF9" w14:textId="77777777" w:rsidR="00BC0341" w:rsidRPr="00363EDC" w:rsidRDefault="00BC0341" w:rsidP="0082547C">
            <w:pPr>
              <w:rPr>
                <w:rFonts w:ascii="Verdana" w:hAnsi="Verdana"/>
              </w:rPr>
            </w:pPr>
          </w:p>
        </w:tc>
      </w:tr>
    </w:tbl>
    <w:p w14:paraId="21FF55FA" w14:textId="77777777" w:rsidR="00BC0341" w:rsidRPr="00363EDC" w:rsidRDefault="00BC0341" w:rsidP="00BC0341">
      <w:pPr>
        <w:spacing w:after="0" w:line="256" w:lineRule="auto"/>
        <w:rPr>
          <w:rFonts w:ascii="Verdana" w:eastAsia="Calibri" w:hAnsi="Verdana" w:cs="Times New Roman"/>
        </w:rPr>
      </w:pPr>
      <w:r w:rsidRPr="00363EDC">
        <w:rPr>
          <w:rFonts w:ascii="Verdana" w:eastAsia="Calibri" w:hAnsi="Verdana" w:cs="Times New Roman"/>
        </w:rPr>
        <w:t xml:space="preserve">Estimado Señor Lozano Guerrero: </w:t>
      </w:r>
    </w:p>
    <w:p w14:paraId="5B92120A" w14:textId="77777777" w:rsidR="00BC0341" w:rsidRPr="00363EDC" w:rsidRDefault="00BC0341" w:rsidP="00BC0341">
      <w:pPr>
        <w:spacing w:after="0" w:line="276" w:lineRule="auto"/>
        <w:rPr>
          <w:rFonts w:ascii="Verdana" w:eastAsia="Calibri" w:hAnsi="Verdana" w:cs="Times New Roman"/>
        </w:rPr>
      </w:pPr>
    </w:p>
    <w:p w14:paraId="0DCAE8A5" w14:textId="77777777" w:rsidR="00BC0341" w:rsidRPr="00363EDC" w:rsidRDefault="00BC0341" w:rsidP="00BC0341">
      <w:pPr>
        <w:spacing w:after="0" w:line="276" w:lineRule="auto"/>
        <w:jc w:val="both"/>
        <w:rPr>
          <w:rFonts w:ascii="Verdana" w:eastAsia="Calibri" w:hAnsi="Verdana" w:cs="Arial"/>
          <w:color w:val="7030A0"/>
          <w:lang w:eastAsia="es-ES"/>
        </w:rPr>
      </w:pPr>
      <w:r w:rsidRPr="00363EDC">
        <w:rPr>
          <w:rFonts w:ascii="Verdana" w:eastAsia="Calibri" w:hAnsi="Verdana" w:cs="Arial"/>
          <w:color w:val="000000"/>
          <w:lang w:eastAsia="es-ES"/>
        </w:rPr>
        <w:t>En ejercicio de la competencia otorgada por los artículos 3, numeral 5º, y 11, numeral 8º, del Decreto Ley 4170 de 2011,</w:t>
      </w:r>
      <w:r w:rsidRPr="00363EDC">
        <w:rPr>
          <w:rFonts w:ascii="Verdana" w:eastAsia="Arial MT" w:hAnsi="Verdana" w:cs="Arial MT"/>
          <w:lang w:eastAsia="es-ES"/>
        </w:rPr>
        <w:t xml:space="preserve"> </w:t>
      </w:r>
      <w:r w:rsidRPr="00363EDC">
        <w:rPr>
          <w:rFonts w:ascii="Verdana" w:eastAsia="Aptos" w:hAnsi="Verdana" w:cs="Arial"/>
        </w:rPr>
        <w:t xml:space="preserve">así como lo establecido en el artículo 4 de la Resolución 1707 de 2018 expedida por esta Entidad, </w:t>
      </w:r>
      <w:r w:rsidRPr="00363EDC">
        <w:rPr>
          <w:rFonts w:ascii="Verdana" w:eastAsia="Calibri" w:hAnsi="Verdana" w:cs="Arial"/>
          <w:color w:val="000000"/>
          <w:lang w:eastAsia="es-ES"/>
        </w:rPr>
        <w:t xml:space="preserve">la Agencia Nacional de Contratación Pública – Colombia Compra Eficiente responde su solicitud de consulta de </w:t>
      </w:r>
      <w:r w:rsidRPr="00363EDC">
        <w:rPr>
          <w:rFonts w:ascii="Verdana" w:eastAsia="Calibri" w:hAnsi="Verdana" w:cs="Arial"/>
          <w:lang w:eastAsia="es-ES"/>
        </w:rPr>
        <w:t xml:space="preserve">fecha 5 de agosto de 2025, en la que pregunta lo siguiente: </w:t>
      </w:r>
    </w:p>
    <w:p w14:paraId="3C4BC1B5" w14:textId="77777777" w:rsidR="00BC0341" w:rsidRPr="00363EDC" w:rsidRDefault="00BC0341" w:rsidP="00BC0341">
      <w:pPr>
        <w:spacing w:after="0" w:line="276" w:lineRule="auto"/>
        <w:jc w:val="both"/>
        <w:rPr>
          <w:rFonts w:ascii="Verdana" w:eastAsia="Calibri" w:hAnsi="Verdana" w:cs="Times New Roman"/>
        </w:rPr>
      </w:pPr>
    </w:p>
    <w:p w14:paraId="41530655" w14:textId="77777777" w:rsidR="00BC0341" w:rsidRPr="00363EDC" w:rsidRDefault="00BC0341" w:rsidP="00BC0341">
      <w:pPr>
        <w:spacing w:after="0" w:line="240" w:lineRule="auto"/>
        <w:ind w:left="709" w:right="709"/>
        <w:jc w:val="both"/>
        <w:rPr>
          <w:rFonts w:ascii="Verdana" w:eastAsia="Calibri" w:hAnsi="Verdana" w:cs="Times New Roman"/>
          <w:sz w:val="20"/>
          <w:szCs w:val="20"/>
        </w:rPr>
      </w:pPr>
      <w:r w:rsidRPr="00363EDC">
        <w:rPr>
          <w:rFonts w:ascii="Verdana" w:eastAsia="Calibri" w:hAnsi="Verdana" w:cs="Times New Roman"/>
          <w:bCs/>
          <w:sz w:val="20"/>
          <w:szCs w:val="20"/>
        </w:rPr>
        <w:t>“existe viabilidad jurídica y contractual para suscribir un convenio solidario entre una alcaldía municipal con una junta de acción comunal, aclarando que el presidente de la junta de acción comunal es hermano de un concejal del respectivo municipio</w:t>
      </w:r>
      <w:r w:rsidRPr="00363EDC">
        <w:rPr>
          <w:rFonts w:ascii="Verdana" w:eastAsia="Calibri" w:hAnsi="Verdana" w:cs="Times New Roman"/>
          <w:sz w:val="20"/>
          <w:szCs w:val="20"/>
        </w:rPr>
        <w:t xml:space="preserve">” </w:t>
      </w:r>
    </w:p>
    <w:p w14:paraId="2926D2F5" w14:textId="77777777" w:rsidR="00BC0341" w:rsidRPr="00363EDC" w:rsidRDefault="00BC0341" w:rsidP="00BC0341">
      <w:pPr>
        <w:spacing w:after="0" w:line="276" w:lineRule="auto"/>
        <w:rPr>
          <w:rFonts w:ascii="Verdana" w:eastAsia="Calibri" w:hAnsi="Verdana" w:cs="Times New Roman"/>
        </w:rPr>
      </w:pPr>
    </w:p>
    <w:p w14:paraId="5177BFF1" w14:textId="77777777" w:rsidR="00BC0341" w:rsidRPr="00363EDC" w:rsidRDefault="00BC0341" w:rsidP="00BC0341">
      <w:pPr>
        <w:spacing w:after="120" w:line="276" w:lineRule="auto"/>
        <w:ind w:firstLine="709"/>
        <w:jc w:val="both"/>
        <w:rPr>
          <w:rFonts w:ascii="Verdana" w:eastAsia="Calibri" w:hAnsi="Verdana" w:cs="Times New Roman"/>
        </w:rPr>
      </w:pPr>
      <w:r w:rsidRPr="00363EDC">
        <w:rPr>
          <w:rFonts w:ascii="Verdana" w:eastAsia="Calibri" w:hAnsi="Verdana" w:cs="Times New Roman"/>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363EDC">
        <w:rPr>
          <w:rFonts w:ascii="Verdana" w:eastAsia="Calibri" w:hAnsi="Verdana" w:cs="Times New Roman"/>
        </w:rPr>
        <w:lastRenderedPageBreak/>
        <w:t>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A0B7091" w14:textId="77777777" w:rsidR="00BC0341" w:rsidRPr="00363EDC" w:rsidRDefault="00BC0341" w:rsidP="00BC0341">
      <w:pPr>
        <w:spacing w:after="0" w:line="276" w:lineRule="auto"/>
        <w:ind w:firstLine="708"/>
        <w:jc w:val="both"/>
        <w:rPr>
          <w:rFonts w:ascii="Verdana" w:eastAsia="Calibri" w:hAnsi="Verdana" w:cs="Times New Roman"/>
        </w:rPr>
      </w:pPr>
      <w:r w:rsidRPr="00363EDC">
        <w:rPr>
          <w:rFonts w:ascii="Verdana" w:eastAsia="Calibri" w:hAnsi="Verdana" w:cs="Times New Roman"/>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3EA59B9" w14:textId="77777777" w:rsidR="00BC0341" w:rsidRPr="00363EDC" w:rsidRDefault="00BC0341" w:rsidP="00BC0341">
      <w:pPr>
        <w:spacing w:after="0" w:line="276" w:lineRule="auto"/>
        <w:rPr>
          <w:rFonts w:ascii="Verdana" w:eastAsia="Calibri" w:hAnsi="Verdana" w:cs="Times New Roman"/>
        </w:rPr>
      </w:pPr>
    </w:p>
    <w:p w14:paraId="7080C906" w14:textId="77777777" w:rsidR="00BC0341" w:rsidRPr="00363EDC" w:rsidRDefault="00BC0341" w:rsidP="00BC0341">
      <w:pPr>
        <w:numPr>
          <w:ilvl w:val="0"/>
          <w:numId w:val="17"/>
        </w:numPr>
        <w:spacing w:after="0" w:line="276" w:lineRule="auto"/>
        <w:contextualSpacing/>
        <w:rPr>
          <w:rFonts w:ascii="Verdana" w:eastAsia="Calibri" w:hAnsi="Verdana" w:cs="Times New Roman"/>
          <w:b/>
          <w:bCs/>
        </w:rPr>
      </w:pPr>
      <w:r w:rsidRPr="00363EDC">
        <w:rPr>
          <w:rFonts w:ascii="Verdana" w:eastAsia="Calibri" w:hAnsi="Verdana" w:cs="Times New Roman"/>
          <w:b/>
          <w:bCs/>
        </w:rPr>
        <w:t>Problema planteado:</w:t>
      </w:r>
    </w:p>
    <w:p w14:paraId="17ACDB93" w14:textId="77777777" w:rsidR="00BC0341" w:rsidRPr="00363EDC" w:rsidRDefault="00BC0341" w:rsidP="00BC0341">
      <w:pPr>
        <w:spacing w:after="0" w:line="276" w:lineRule="auto"/>
        <w:rPr>
          <w:rFonts w:ascii="Verdana" w:eastAsia="Calibri" w:hAnsi="Verdana" w:cs="Times New Roman"/>
        </w:rPr>
      </w:pPr>
    </w:p>
    <w:p w14:paraId="5D705B8F" w14:textId="77777777" w:rsidR="00BC0341" w:rsidRPr="00363EDC" w:rsidRDefault="00BC0341" w:rsidP="00BC0341">
      <w:pPr>
        <w:spacing w:after="0" w:line="276" w:lineRule="auto"/>
        <w:jc w:val="both"/>
        <w:rPr>
          <w:rFonts w:ascii="Verdana" w:eastAsia="Calibri" w:hAnsi="Verdana" w:cs="Times New Roman"/>
        </w:rPr>
      </w:pPr>
      <w:r w:rsidRPr="00363EDC">
        <w:rPr>
          <w:rFonts w:ascii="Verdana" w:eastAsia="Calibri" w:hAnsi="Verdana" w:cs="Times New Roman"/>
        </w:rPr>
        <w:t xml:space="preserve">De acuerdo con el contenido de su solicitud, esta Agencia procede a resolver el siguiente problema jurídico: ¿existe alguna inhabilidad o incompatibilidad para que el hermano de un concejal municipal -que es el presidente de una junta de acción comunal-, celebre un convenio solidario con la alcaldía del municipio? </w:t>
      </w:r>
    </w:p>
    <w:p w14:paraId="3A756FE4" w14:textId="77777777" w:rsidR="00BC0341" w:rsidRPr="00363EDC" w:rsidRDefault="00BC0341" w:rsidP="00BC0341">
      <w:pPr>
        <w:spacing w:after="0" w:line="276" w:lineRule="auto"/>
        <w:rPr>
          <w:rFonts w:ascii="Verdana" w:eastAsia="Calibri" w:hAnsi="Verdana" w:cs="Times New Roman"/>
        </w:rPr>
      </w:pPr>
    </w:p>
    <w:p w14:paraId="465249BB" w14:textId="77777777" w:rsidR="00BC0341" w:rsidRPr="00363EDC" w:rsidRDefault="00BC0341" w:rsidP="00BC0341">
      <w:pPr>
        <w:numPr>
          <w:ilvl w:val="0"/>
          <w:numId w:val="17"/>
        </w:numPr>
        <w:spacing w:after="0" w:line="276" w:lineRule="auto"/>
        <w:contextualSpacing/>
        <w:rPr>
          <w:rFonts w:ascii="Verdana" w:eastAsia="Calibri" w:hAnsi="Verdana" w:cs="Times New Roman"/>
          <w:b/>
          <w:bCs/>
        </w:rPr>
      </w:pPr>
      <w:r w:rsidRPr="00363EDC">
        <w:rPr>
          <w:rFonts w:ascii="Verdana" w:eastAsia="Calibri" w:hAnsi="Verdana" w:cs="Times New Roman"/>
          <w:b/>
          <w:bCs/>
        </w:rPr>
        <w:t>Respuesta:</w:t>
      </w:r>
    </w:p>
    <w:p w14:paraId="5DE364D9" w14:textId="77777777" w:rsidR="00BC0341" w:rsidRPr="00363EDC" w:rsidRDefault="00BC0341" w:rsidP="00BC0341">
      <w:pPr>
        <w:spacing w:after="0" w:line="276" w:lineRule="auto"/>
        <w:jc w:val="both"/>
        <w:rPr>
          <w:rFonts w:ascii="Verdana" w:eastAsia="Calibri" w:hAnsi="Verdana" w:cs="Times New Roman"/>
          <w:bCs/>
          <w:lang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0341" w:rsidRPr="00363EDC" w14:paraId="245631F8" w14:textId="77777777" w:rsidTr="0082547C">
        <w:trPr>
          <w:trHeight w:val="870"/>
          <w:jc w:val="center"/>
        </w:trPr>
        <w:tc>
          <w:tcPr>
            <w:tcW w:w="8647" w:type="dxa"/>
          </w:tcPr>
          <w:p w14:paraId="77A0B178" w14:textId="77777777" w:rsidR="00BC0341" w:rsidRPr="00363EDC" w:rsidRDefault="00BC0341" w:rsidP="0082547C">
            <w:pPr>
              <w:tabs>
                <w:tab w:val="left" w:pos="0"/>
              </w:tabs>
              <w:spacing w:after="120" w:line="276" w:lineRule="auto"/>
              <w:jc w:val="both"/>
              <w:rPr>
                <w:rFonts w:ascii="Verdana" w:eastAsia="Calibri" w:hAnsi="Verdana" w:cs="Arial"/>
              </w:rPr>
            </w:pPr>
            <w:r w:rsidRPr="00363EDC">
              <w:rPr>
                <w:rFonts w:ascii="Verdana" w:eastAsia="Calibri" w:hAnsi="Verdana" w:cs="Arial"/>
              </w:rPr>
              <w:t xml:space="preserve">A los miembros y dignatarios que representan los intereses de los Organismos de Acción Comunal en el marco del convenio solidario, les será aplicable el régimen de inhabilidades e incompatibilidades dispuesto en la Constitución Política y en la Ley.  </w:t>
            </w:r>
          </w:p>
          <w:p w14:paraId="6AC54439" w14:textId="77777777" w:rsidR="00BC0341" w:rsidRPr="00363EDC" w:rsidRDefault="00BC0341" w:rsidP="0082547C">
            <w:pPr>
              <w:tabs>
                <w:tab w:val="left" w:pos="0"/>
              </w:tabs>
              <w:spacing w:after="120" w:line="276" w:lineRule="auto"/>
              <w:ind w:firstLine="709"/>
              <w:jc w:val="both"/>
              <w:rPr>
                <w:rFonts w:ascii="Verdana" w:eastAsia="Calibri" w:hAnsi="Verdana" w:cs="Arial"/>
              </w:rPr>
            </w:pPr>
            <w:r w:rsidRPr="00363EDC">
              <w:rPr>
                <w:rFonts w:ascii="Verdana" w:eastAsia="Calibri" w:hAnsi="Verdana" w:cs="Arial"/>
              </w:rPr>
              <w:t xml:space="preserve">En este sentido, revisado el régimen de inhabilidades e incompatibilidades, se encuentra que el artículo 1° de la Ley 1296 de 2009, que modifica el inciso 3 del artículo 1° de la Ley 1148 de 2007, modificatorio del artículo 49 de la Ley 617 del 2000, establece una inhabilidad para contratar con algunas entidades estatales, derivada de los aspectos propios de la persona, como es el parentesco o afinidad con determinado servidor público. </w:t>
            </w:r>
          </w:p>
          <w:p w14:paraId="2CD733AC" w14:textId="77777777" w:rsidR="00BC0341" w:rsidRPr="00363EDC" w:rsidRDefault="00BC0341" w:rsidP="0082547C">
            <w:pPr>
              <w:tabs>
                <w:tab w:val="left" w:pos="0"/>
              </w:tabs>
              <w:spacing w:after="120" w:line="276" w:lineRule="auto"/>
              <w:ind w:firstLine="709"/>
              <w:jc w:val="both"/>
              <w:rPr>
                <w:rFonts w:ascii="Verdana" w:eastAsia="Calibri" w:hAnsi="Verdana" w:cs="Arial"/>
              </w:rPr>
            </w:pPr>
            <w:r w:rsidRPr="00363EDC">
              <w:rPr>
                <w:rFonts w:ascii="Verdana" w:eastAsia="Calibri" w:hAnsi="Verdana" w:cs="Arial"/>
              </w:rPr>
              <w:t xml:space="preserve">La norma dispone que </w:t>
            </w:r>
            <w:r w:rsidRPr="00363EDC">
              <w:rPr>
                <w:rFonts w:ascii="Verdana" w:eastAsia="Arial" w:hAnsi="Verdana" w:cs="Arial"/>
              </w:rPr>
              <w:t>“</w:t>
            </w:r>
            <w:r w:rsidRPr="00363EDC">
              <w:rPr>
                <w:rFonts w:ascii="Verdana" w:eastAsia="Calibri" w:hAnsi="Verdana" w:cs="Arial"/>
              </w:rPr>
              <w:t xml:space="preserve">Los cónyuges o compañeros permanentes de los gobernadores, diputados, alcaldes municipales y distritales, concejales municipales y distritales y sus parientes dentro del cuarto grado de consanguinidad, segundo de afinidad, o primero civil no podrán ser </w:t>
            </w:r>
            <w:r w:rsidRPr="00363EDC">
              <w:rPr>
                <w:rFonts w:ascii="Verdana" w:eastAsia="Calibri" w:hAnsi="Verdana" w:cs="Arial"/>
              </w:rPr>
              <w:lastRenderedPageBreak/>
              <w:t>contratistas del respectivo departamento, distrito o municipio, o de sus entidades descentralizadas, ni directa, ni indirectamente</w:t>
            </w:r>
            <w:r w:rsidRPr="00363EDC">
              <w:rPr>
                <w:rFonts w:ascii="Verdana" w:eastAsia="Calibri" w:hAnsi="Verdana" w:cs="Arial"/>
                <w:lang w:eastAsia="en-GB"/>
              </w:rPr>
              <w:t xml:space="preserve">”. </w:t>
            </w:r>
          </w:p>
          <w:p w14:paraId="56E615CA" w14:textId="77777777" w:rsidR="00BC0341" w:rsidRPr="00363EDC" w:rsidRDefault="00BC0341" w:rsidP="0082547C">
            <w:pPr>
              <w:tabs>
                <w:tab w:val="left" w:pos="0"/>
              </w:tabs>
              <w:spacing w:after="120" w:line="276" w:lineRule="auto"/>
              <w:ind w:firstLine="709"/>
              <w:jc w:val="both"/>
              <w:rPr>
                <w:rFonts w:ascii="Verdana" w:eastAsia="Calibri" w:hAnsi="Verdana" w:cs="Arial"/>
              </w:rPr>
            </w:pPr>
            <w:r w:rsidRPr="00363EDC">
              <w:rPr>
                <w:rFonts w:ascii="Verdana" w:eastAsia="Calibri" w:hAnsi="Verdana" w:cs="Arial"/>
              </w:rPr>
              <w:t xml:space="preserve">Según se observa, la citada inhabilidad tiene fundamento en las relaciones familiares o de parentesco con los servidores públicos que ostentan la calidad de gobernador, diputado, alcalde y concejal municipal o distrital. Esa circunstancia implica que esa causal de inhabilidad se instituyó, única y exclusivamente, con el propósito de limitar la capacidad para ser contratista del correspondiente departamento, distrito o municipio, o de sus entidades descentralizadas, de acuerdo con la existencia de parentesco o familiaridad con aquellos servidores públicos. </w:t>
            </w:r>
          </w:p>
          <w:p w14:paraId="53DECB16" w14:textId="77777777" w:rsidR="00BC0341" w:rsidRPr="00363EDC" w:rsidRDefault="00BC0341" w:rsidP="0082547C">
            <w:pPr>
              <w:tabs>
                <w:tab w:val="left" w:pos="0"/>
              </w:tabs>
              <w:spacing w:after="120" w:line="276" w:lineRule="auto"/>
              <w:ind w:firstLine="709"/>
              <w:jc w:val="both"/>
              <w:rPr>
                <w:rFonts w:ascii="Verdana" w:eastAsia="Calibri" w:hAnsi="Verdana" w:cs="Arial"/>
                <w:bCs/>
              </w:rPr>
            </w:pPr>
            <w:r w:rsidRPr="00363EDC">
              <w:rPr>
                <w:rFonts w:ascii="Verdana" w:eastAsia="Calibri" w:hAnsi="Verdana" w:cs="Arial"/>
              </w:rPr>
              <w:t xml:space="preserve">La referida inhabilidad se sustenta en la necesidad de garantizar los principios constitucionales y el interés general, mediante la limitación de la capacidad de contratación de ciertas personas, con el fin de evitar que los servidores públicos con determinadas calidades actúen en favor de aquellas, en virtud de su relación de consanguinidad, afinidad o familiaridad. Sin embargo, de acuerdo con el alcance que ha determinado la Corte Constitucional, debe interpretarse que esta limitación a la capacidad de contratación únicamente surte efecto </w:t>
            </w:r>
            <w:r w:rsidRPr="00363EDC">
              <w:rPr>
                <w:rFonts w:ascii="Verdana" w:eastAsia="Calibri" w:hAnsi="Verdana" w:cs="Arial"/>
                <w:iCs/>
              </w:rPr>
              <w:t xml:space="preserve">dentro del ámbito territorial de competencias del respectivo </w:t>
            </w:r>
            <w:r w:rsidRPr="00363EDC">
              <w:rPr>
                <w:rFonts w:ascii="Verdana" w:eastAsia="Calibri" w:hAnsi="Verdana" w:cs="Arial"/>
                <w:bCs/>
              </w:rPr>
              <w:t xml:space="preserve">gobernador, alcalde, diputado o concejal. </w:t>
            </w:r>
          </w:p>
          <w:p w14:paraId="2521E9A1" w14:textId="77777777" w:rsidR="00BC0341" w:rsidRPr="00363EDC" w:rsidRDefault="00BC0341" w:rsidP="0082547C">
            <w:pPr>
              <w:tabs>
                <w:tab w:val="left" w:pos="0"/>
              </w:tabs>
              <w:spacing w:after="120" w:line="276" w:lineRule="auto"/>
              <w:ind w:firstLine="709"/>
              <w:jc w:val="both"/>
              <w:rPr>
                <w:rFonts w:ascii="Verdana" w:eastAsia="Calibri" w:hAnsi="Verdana" w:cs="Arial"/>
                <w:sz w:val="21"/>
                <w:szCs w:val="21"/>
              </w:rPr>
            </w:pPr>
            <w:r w:rsidRPr="00363EDC">
              <w:rPr>
                <w:rFonts w:ascii="Verdana" w:eastAsia="Calibri" w:hAnsi="Verdana" w:cs="Arial"/>
                <w:bCs/>
              </w:rPr>
              <w:t xml:space="preserve">Esto significa que las personas señaladas en el artículo 1° de la Ley 1296 de 2009 no podrán contratar en el territorio en el que su cónyuge o compañero permanente o pariente dentro del </w:t>
            </w:r>
            <w:r w:rsidRPr="00363EDC">
              <w:rPr>
                <w:rFonts w:ascii="Verdana" w:eastAsia="Calibri" w:hAnsi="Verdana" w:cs="Arial"/>
              </w:rPr>
              <w:t>cuarto grado de consanguinidad, segundo de afinidad, o primero civil, ejerza sus competencias como gobernador o diputado, o alcalde o concejal municipal o distrital.</w:t>
            </w:r>
            <w:r w:rsidRPr="00363EDC">
              <w:rPr>
                <w:rFonts w:ascii="Verdana" w:eastAsia="Calibri" w:hAnsi="Verdana" w:cs="Arial"/>
                <w:bCs/>
              </w:rPr>
              <w:t xml:space="preserve"> Además, la limitación señalada, de acuerdo con lo expresado por la Corte Constitucional </w:t>
            </w:r>
            <w:r w:rsidRPr="00363EDC">
              <w:rPr>
                <w:rFonts w:ascii="Verdana" w:eastAsia="Calibri" w:hAnsi="Verdana" w:cs="Arial"/>
              </w:rPr>
              <w:t xml:space="preserve">“no se aplica a aquellos contratos por medio de los cuales la administración ofrece, en igualdad de condiciones, a todos los ciudadanos y personas, un determinado bien o servicio, en desarrollo de sus funciones constitucionales y legales”. </w:t>
            </w:r>
          </w:p>
          <w:p w14:paraId="210C88C7" w14:textId="77777777" w:rsidR="00BC0341" w:rsidRPr="00363EDC" w:rsidRDefault="00BC0341" w:rsidP="0082547C">
            <w:pPr>
              <w:spacing w:after="120" w:line="276" w:lineRule="auto"/>
              <w:ind w:firstLine="709"/>
              <w:jc w:val="both"/>
              <w:rPr>
                <w:rFonts w:ascii="Verdana" w:eastAsia="Calibri" w:hAnsi="Verdana" w:cs="Arial"/>
              </w:rPr>
            </w:pPr>
            <w:r w:rsidRPr="00363EDC">
              <w:rPr>
                <w:rFonts w:ascii="Verdana" w:eastAsia="Calibri" w:hAnsi="Verdana" w:cs="Arial"/>
              </w:rPr>
              <w:t xml:space="preserve">Para efectos del problema jurídico planteado en este concepto, debe indicarse que, en relación con el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w:t>
            </w:r>
          </w:p>
          <w:p w14:paraId="78E7F21D" w14:textId="77777777" w:rsidR="00BC0341" w:rsidRPr="00363EDC" w:rsidRDefault="00BC0341" w:rsidP="0082547C">
            <w:pPr>
              <w:spacing w:after="120" w:line="276" w:lineRule="auto"/>
              <w:ind w:firstLine="709"/>
              <w:jc w:val="both"/>
              <w:rPr>
                <w:rFonts w:ascii="Verdana" w:eastAsia="Aptos" w:hAnsi="Verdana" w:cs="Arial"/>
              </w:rPr>
            </w:pPr>
            <w:r w:rsidRPr="00363EDC">
              <w:rPr>
                <w:rFonts w:ascii="Verdana" w:eastAsia="Calibri" w:hAnsi="Verdana" w:cs="Arial"/>
              </w:rPr>
              <w:lastRenderedPageBreak/>
              <w:t xml:space="preserve">En cuanto a los grados del parentesco se refiere, ya sea de consanguinidad o de afinidad, estos se cuentan en consideración al número de generaciones existentes entre las personas. De esta manera, esta causal de inhabilidad </w:t>
            </w:r>
            <w:r w:rsidRPr="00363EDC">
              <w:rPr>
                <w:rFonts w:ascii="Verdana" w:eastAsia="Calibri" w:hAnsi="Verdana" w:cs="Arial"/>
                <w:i/>
                <w:iCs/>
              </w:rPr>
              <w:t>se configura, por ejemplo</w:t>
            </w:r>
            <w:r w:rsidRPr="00363EDC">
              <w:rPr>
                <w:rFonts w:ascii="Verdana" w:eastAsia="Calibri" w:hAnsi="Verdana" w:cs="Arial"/>
              </w:rPr>
              <w:t>, sin reducirse a ellos, respecto de los padres</w:t>
            </w:r>
            <w:r w:rsidRPr="00363EDC">
              <w:rPr>
                <w:rFonts w:ascii="Verdana" w:eastAsia="Calibri" w:hAnsi="Verdana" w:cs="Arial"/>
                <w:i/>
                <w:iCs/>
              </w:rPr>
              <w:t>, hermanos</w:t>
            </w:r>
            <w:r w:rsidRPr="00363EDC">
              <w:rPr>
                <w:rFonts w:ascii="Verdana" w:eastAsia="Calibri" w:hAnsi="Verdana" w:cs="Arial"/>
              </w:rPr>
              <w:t xml:space="preserve">, abuelos, nietos, tíos y primos, y demás personas que se encuentren dentro del cuarto grado de consanguinidad. </w:t>
            </w:r>
          </w:p>
          <w:p w14:paraId="754028BC" w14:textId="77777777" w:rsidR="00BC0341" w:rsidRPr="00363EDC" w:rsidRDefault="00BC0341" w:rsidP="0082547C">
            <w:pPr>
              <w:spacing w:after="120" w:line="276" w:lineRule="auto"/>
              <w:ind w:firstLine="708"/>
              <w:jc w:val="both"/>
              <w:rPr>
                <w:rFonts w:ascii="Verdana" w:eastAsia="Calibri" w:hAnsi="Verdana" w:cs="Arial"/>
              </w:rPr>
            </w:pPr>
            <w:r w:rsidRPr="00363EDC">
              <w:rPr>
                <w:rFonts w:ascii="Verdana" w:eastAsia="Calibri" w:hAnsi="Verdana" w:cs="Arial"/>
              </w:rPr>
              <w:t>La expresión “no puede celebrar contratos de forma directa o indirecta” es importante para comprender dicha inhabilidad, pues, aunque, el artículo 1 de la Ley 1296 d 2009 no define su alcance, es posible acercarse a su definición a través de las pautas hermenéuticas del artículo 28 del Código Civil, pues “</w:t>
            </w:r>
            <w:r w:rsidRPr="00363EDC">
              <w:rPr>
                <w:rFonts w:ascii="Verdana" w:eastAsia="Calibri" w:hAnsi="Verdana" w:cs="Arial"/>
                <w:i/>
                <w:iCs/>
              </w:rPr>
              <w:t>Las palabras de la ley se entenderán en su sentido natural y obvio, según el uso general de las mismas palabras</w:t>
            </w:r>
            <w:r w:rsidRPr="00363EDC">
              <w:rPr>
                <w:rFonts w:ascii="Verdana" w:eastAsia="Calibri" w:hAnsi="Verdana" w:cs="Arial"/>
              </w:rPr>
              <w:t xml:space="preserve">; pero cuando el legislador las haya definido expresamente para ciertas materias, se les dará en éstas su significado legal” (Énfasis fuera de texto). De esta manera, el diccionario de la Real Academia Española define la palabra “directo” aludiendo a aquello “Que va de una parte a otra sin detenerse en los puntos intermedios”. Por oposición, define la palabra “indirecto” como aquello que “Que no va rectamente a un fin, aunque se encamine a él”. </w:t>
            </w:r>
          </w:p>
          <w:p w14:paraId="3967AB35" w14:textId="77777777" w:rsidR="00BC0341" w:rsidRPr="00363EDC" w:rsidRDefault="00BC0341" w:rsidP="0082547C">
            <w:pPr>
              <w:spacing w:after="120" w:line="276" w:lineRule="auto"/>
              <w:ind w:firstLine="708"/>
              <w:jc w:val="both"/>
              <w:rPr>
                <w:rFonts w:ascii="Verdana" w:eastAsia="Calibri" w:hAnsi="Verdana" w:cs="Arial"/>
              </w:rPr>
            </w:pPr>
            <w:r w:rsidRPr="00363EDC">
              <w:rPr>
                <w:rFonts w:ascii="Verdana" w:eastAsia="Calibri" w:hAnsi="Verdana" w:cs="Arial"/>
              </w:rPr>
              <w:t xml:space="preserve">Aplicadas las definiciones a los contratos, estos serán celebrados directa o indirectamente dependiendo si existe o no un intermediario. Si la participación corresponde al mismo interesado estando dentro de las restricciones del artículo 1 de la Ley 1296 de 2009, esta será directa. Por el contrario, si la intervención del mismo sujeto se presenta de forma encubierta o subrepticia, es decir, a través de terceras personas, esta será indirecta. De esta manera, la norma citada prohíbe que los parientes, cónyuges y compañeros permanentes de los gobernadores, diputados, alcaldes y concejales, participen en la celebración y ejecución de contratos con el departamento, distrito o municipio, o de sus entidades descentralizadas, bien sea que intervengan a nombre propio o a través de terceros.  </w:t>
            </w:r>
          </w:p>
          <w:p w14:paraId="591FF448" w14:textId="77777777" w:rsidR="00BC0341" w:rsidRPr="00363EDC" w:rsidRDefault="00BC0341" w:rsidP="0082547C">
            <w:pPr>
              <w:spacing w:after="120" w:line="276" w:lineRule="auto"/>
              <w:ind w:firstLine="708"/>
              <w:jc w:val="both"/>
              <w:rPr>
                <w:rFonts w:ascii="Verdana" w:eastAsia="Calibri" w:hAnsi="Verdana" w:cs="Arial"/>
              </w:rPr>
            </w:pPr>
            <w:r w:rsidRPr="00363EDC">
              <w:rPr>
                <w:rFonts w:ascii="Verdana" w:eastAsia="Calibri" w:hAnsi="Verdana" w:cs="Arial"/>
              </w:rPr>
              <w:t xml:space="preserve">Existe intervención a nombre propio cuando la persona afectada por la restricción del artículo 1 de la Ley 1296 de 2009 pretende participar en la celebración y ejecución del contrato por sí mismo o a través de un representante facultado para el efecto. En contraste, existe </w:t>
            </w:r>
            <w:r w:rsidRPr="00363EDC">
              <w:rPr>
                <w:rFonts w:ascii="Verdana" w:eastAsia="Calibri" w:hAnsi="Verdana" w:cs="Arial"/>
                <w:i/>
                <w:iCs/>
              </w:rPr>
              <w:t>intervención a través de terceros</w:t>
            </w:r>
            <w:r w:rsidRPr="00363EDC">
              <w:rPr>
                <w:rFonts w:ascii="Verdana" w:eastAsia="Calibri" w:hAnsi="Verdana" w:cs="Arial"/>
              </w:rPr>
              <w:t xml:space="preserve"> cuando la persona afectada por la restricción del artículo 1 de la Ley 1296 de 2009 pretende participar en la celebración y ejecución </w:t>
            </w:r>
            <w:r w:rsidRPr="00363EDC">
              <w:rPr>
                <w:rFonts w:ascii="Verdana" w:eastAsia="Calibri" w:hAnsi="Verdana" w:cs="Arial"/>
              </w:rPr>
              <w:lastRenderedPageBreak/>
              <w:t xml:space="preserve">del contrato a través de “mandatos ocultos” o en calidad de socio </w:t>
            </w:r>
            <w:r w:rsidRPr="00363EDC">
              <w:rPr>
                <w:rFonts w:ascii="Verdana" w:eastAsia="Calibri" w:hAnsi="Verdana" w:cs="Arial"/>
                <w:i/>
                <w:iCs/>
              </w:rPr>
              <w:t>o representante legal de una persona jurídica</w:t>
            </w:r>
            <w:r w:rsidRPr="00363EDC">
              <w:rPr>
                <w:rFonts w:ascii="Verdana" w:eastAsia="Calibri" w:hAnsi="Verdana" w:cs="Arial"/>
              </w:rPr>
              <w:t xml:space="preserve">, sin perjuicio de otras modalidades de participación subrepticia por parte del sujeto inhabilitado. </w:t>
            </w:r>
          </w:p>
          <w:p w14:paraId="39EB5ACE" w14:textId="77777777" w:rsidR="00BC0341" w:rsidRPr="00363EDC" w:rsidRDefault="00BC0341" w:rsidP="0082547C">
            <w:pPr>
              <w:spacing w:after="120" w:line="276" w:lineRule="auto"/>
              <w:ind w:firstLine="709"/>
              <w:jc w:val="both"/>
              <w:rPr>
                <w:rFonts w:ascii="Verdana" w:eastAsia="Calibri" w:hAnsi="Verdana" w:cs="Arial"/>
              </w:rPr>
            </w:pPr>
            <w:r w:rsidRPr="00363EDC">
              <w:rPr>
                <w:rFonts w:ascii="Verdana" w:eastAsia="Calibri" w:hAnsi="Verdana" w:cs="Arial"/>
              </w:rPr>
              <w:t xml:space="preserve">Las personas sujetas a la inhabilidad del artículo 1 de la Ley 1269 de 2009, también pueden beneficiarse indirectamente en calidad de socios o representantes legales de las personas jurídicas que contratan con el departamento, distrito o municipio, o sus entidades descentralizadas. </w:t>
            </w:r>
          </w:p>
          <w:p w14:paraId="150752DA" w14:textId="77777777" w:rsidR="00BC0341" w:rsidRPr="00363EDC" w:rsidRDefault="00BC0341" w:rsidP="0082547C">
            <w:pPr>
              <w:spacing w:after="120" w:line="276" w:lineRule="auto"/>
              <w:ind w:firstLine="709"/>
              <w:jc w:val="both"/>
              <w:rPr>
                <w:rFonts w:ascii="Verdana" w:eastAsia="Calibri" w:hAnsi="Verdana" w:cs="Arial"/>
                <w:sz w:val="21"/>
                <w:szCs w:val="21"/>
              </w:rPr>
            </w:pPr>
            <w:r w:rsidRPr="00363EDC">
              <w:rPr>
                <w:rFonts w:ascii="Verdana" w:eastAsia="Calibri" w:hAnsi="Verdana" w:cs="Arial"/>
              </w:rPr>
              <w:t xml:space="preserve">Por tanto, </w:t>
            </w:r>
            <w:r w:rsidRPr="00363EDC">
              <w:rPr>
                <w:rFonts w:ascii="Verdana" w:eastAsia="Calibri" w:hAnsi="Verdana" w:cs="Arial"/>
                <w:i/>
                <w:iCs/>
              </w:rPr>
              <w:t>los gobernadores, diputados, alcaldes y concejales no pueden celebrar contratos con las personas jurídicas para beneficiar indirectamente a sus parientes, cónyuges y compañeros permanentes cuando son representantes legales</w:t>
            </w:r>
            <w:r w:rsidRPr="00363EDC">
              <w:rPr>
                <w:rFonts w:ascii="Verdana" w:eastAsia="Calibri" w:hAnsi="Verdana" w:cs="Arial"/>
              </w:rPr>
              <w:t xml:space="preserve">, pues la actuación pondría en riesgo el principio de objetividad, igualdad y moralidad administrativa. Cuando estos tengan la calidad de socios, es necesario analizar caso por caso variables adicionales como el tipo societario, su porcentaje de participación, entre otros. </w:t>
            </w:r>
          </w:p>
          <w:p w14:paraId="550229A5" w14:textId="77777777" w:rsidR="00BC0341" w:rsidRPr="00363EDC" w:rsidRDefault="00BC0341" w:rsidP="0082547C">
            <w:pPr>
              <w:spacing w:after="120" w:line="276" w:lineRule="auto"/>
              <w:ind w:firstLine="709"/>
              <w:jc w:val="both"/>
              <w:rPr>
                <w:rFonts w:ascii="Verdana" w:eastAsia="Calibri" w:hAnsi="Verdana" w:cs="Arial"/>
              </w:rPr>
            </w:pPr>
            <w:r w:rsidRPr="00363EDC">
              <w:rPr>
                <w:rFonts w:ascii="Verdana" w:eastAsia="Calibri" w:hAnsi="Verdana" w:cs="Arial"/>
              </w:rPr>
              <w:t xml:space="preserve">En este contexto, cuando el artículo 1 de la Ley 1296 de 2009 prohíbe celebración indirecta significa que los sujetos de la inhabilidad no pueden actuar subrepticiamente, a través de terceras personas, en la contratación realizada por los departamentos, distritos o municipios, así como de sus entidades descentralizadas, cuando son parientes, cónyuges y compañeros permanentes de los gobernadores, diputados, alcaldes y concejales. Estos supuestos corresponden a los explicados anteriormente, así como a todas aquellas hipótesis de participación encubierta por parte de los sujetos inhabilitados, los cuales deberá analizar la entidad contratante en cada proceso de selección.   </w:t>
            </w:r>
          </w:p>
          <w:p w14:paraId="4F047E79" w14:textId="77777777" w:rsidR="00BC0341" w:rsidRPr="00363EDC" w:rsidRDefault="00BC0341" w:rsidP="0082547C">
            <w:pPr>
              <w:spacing w:after="120" w:line="276" w:lineRule="auto"/>
              <w:ind w:firstLine="709"/>
              <w:jc w:val="both"/>
              <w:rPr>
                <w:rFonts w:ascii="Verdana" w:eastAsia="Times New Roman" w:hAnsi="Verdana" w:cs="Times New Roman"/>
                <w:color w:val="000000"/>
                <w:lang w:eastAsia="es-CO"/>
              </w:rPr>
            </w:pPr>
            <w:r w:rsidRPr="00363EDC">
              <w:rPr>
                <w:rFonts w:ascii="Verdana" w:eastAsia="Times New Roman" w:hAnsi="Verdana" w:cs="Times New Roman"/>
                <w:color w:val="000000"/>
                <w:lang w:eastAsia="es-CO"/>
              </w:rPr>
              <w:t xml:space="preserve">Finalmente, es pertinente mencionar que, con fundamento en el artículo 1 de la Ley 2022 de 2020,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que tiene como fundamento normativo el artículo 95 de la Ley 2166 de 2021. </w:t>
            </w:r>
          </w:p>
          <w:p w14:paraId="7A74D87F" w14:textId="77777777" w:rsidR="00BC0341" w:rsidRPr="00363EDC" w:rsidRDefault="00BC0341" w:rsidP="0082547C">
            <w:pPr>
              <w:spacing w:after="120" w:line="276" w:lineRule="auto"/>
              <w:ind w:firstLine="709"/>
              <w:jc w:val="both"/>
              <w:rPr>
                <w:rFonts w:ascii="Verdana" w:eastAsia="Times New Roman" w:hAnsi="Verdana" w:cs="Times New Roman"/>
                <w:color w:val="000000"/>
                <w:lang w:eastAsia="es-CO"/>
              </w:rPr>
            </w:pPr>
            <w:r w:rsidRPr="00363EDC">
              <w:rPr>
                <w:rFonts w:ascii="Verdana" w:eastAsia="Times New Roman" w:hAnsi="Verdana" w:cs="Times New Roman"/>
                <w:color w:val="000000"/>
                <w:lang w:eastAsia="es-CO"/>
              </w:rPr>
              <w:t xml:space="preserve">En la minuta del documento tipo indicado se encuentra el numeral 23, mediante el cual, las partes que suscriben el convenio manifiestan que no se encuentran incursos en las causales de inhabilidad, incompatibilidad o </w:t>
            </w:r>
            <w:r w:rsidRPr="00363EDC">
              <w:rPr>
                <w:rFonts w:ascii="Verdana" w:eastAsia="Times New Roman" w:hAnsi="Verdana" w:cs="Times New Roman"/>
                <w:color w:val="000000"/>
                <w:lang w:eastAsia="es-CO"/>
              </w:rPr>
              <w:lastRenderedPageBreak/>
              <w:t xml:space="preserve">prohibición previstas en la Constitución Política y en la Ley. Por lo tanto, en la suscripción de los convenios solidarios adoptados mediante la Resolución 358 de 2023 aplica la inhabilidad prevista en el artículo 1 de la Ley 1296 de 2009, cuando se configuren los supuestos que allí se establecen en los términos explicados ut supra. </w:t>
            </w:r>
          </w:p>
          <w:p w14:paraId="6FA27998" w14:textId="77777777" w:rsidR="00BC0341" w:rsidRPr="00363EDC" w:rsidRDefault="00BC0341" w:rsidP="0082547C">
            <w:pPr>
              <w:spacing w:after="120" w:line="276" w:lineRule="auto"/>
              <w:ind w:firstLine="709"/>
              <w:jc w:val="both"/>
              <w:rPr>
                <w:rFonts w:ascii="Verdana" w:eastAsia="Times New Roman" w:hAnsi="Verdana" w:cs="Times New Roman"/>
                <w:color w:val="000000"/>
                <w:lang w:eastAsia="es-CO"/>
              </w:rPr>
            </w:pPr>
            <w:r w:rsidRPr="00363EDC">
              <w:rPr>
                <w:rFonts w:ascii="Verdana" w:eastAsia="Times New Roman" w:hAnsi="Verdana" w:cs="Times New Roman"/>
                <w:color w:val="000000"/>
                <w:lang w:eastAsia="es-CO"/>
              </w:rPr>
              <w:t xml:space="preserve">Las consideraciones expuestas en este concepto, aplican sin perjuicio de la posible aplicación de otras causales de inhabilidad o incompatibilidad establecidas en el ordenamiento jurídico, por lo que el análisis señalado se circunscribe al estudio particular de la inhabilidad contenida en el artículo 1 de la Ley 1296 de 2009. </w:t>
            </w:r>
          </w:p>
          <w:p w14:paraId="471FA6FE" w14:textId="77777777" w:rsidR="00BC0341" w:rsidRPr="00363EDC" w:rsidRDefault="00BC0341" w:rsidP="0082547C">
            <w:pPr>
              <w:spacing w:after="120" w:line="276" w:lineRule="auto"/>
              <w:ind w:firstLine="709"/>
              <w:jc w:val="both"/>
              <w:rPr>
                <w:rFonts w:ascii="Verdana" w:eastAsia="Times New Roman" w:hAnsi="Verdana" w:cs="Times New Roman"/>
                <w:color w:val="000000"/>
                <w:lang w:eastAsia="es-CO"/>
              </w:rPr>
            </w:pPr>
            <w:r w:rsidRPr="00363EDC">
              <w:rPr>
                <w:rFonts w:ascii="Verdana" w:eastAsia="Calibri" w:hAnsi="Verdana" w:cs="Arial"/>
                <w:bCs/>
                <w:color w:val="000000"/>
              </w:rPr>
              <w:t>En este sentido,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9C7CCD0" w14:textId="77777777" w:rsidR="00BC0341" w:rsidRPr="00363EDC" w:rsidRDefault="00BC0341" w:rsidP="00BC0341">
      <w:pPr>
        <w:spacing w:after="0" w:line="276" w:lineRule="auto"/>
        <w:jc w:val="both"/>
        <w:rPr>
          <w:rFonts w:ascii="Verdana" w:eastAsia="Calibri" w:hAnsi="Verdana" w:cs="Arial"/>
          <w:bCs/>
          <w:color w:val="000000"/>
        </w:rPr>
      </w:pPr>
    </w:p>
    <w:p w14:paraId="2109199C" w14:textId="77777777" w:rsidR="00BC0341" w:rsidRPr="00363EDC" w:rsidRDefault="00BC0341" w:rsidP="00BC0341">
      <w:pPr>
        <w:numPr>
          <w:ilvl w:val="0"/>
          <w:numId w:val="17"/>
        </w:numPr>
        <w:spacing w:after="0" w:line="276" w:lineRule="auto"/>
        <w:contextualSpacing/>
        <w:rPr>
          <w:rFonts w:ascii="Verdana" w:eastAsia="Calibri" w:hAnsi="Verdana" w:cs="Times New Roman"/>
          <w:b/>
          <w:bCs/>
        </w:rPr>
      </w:pPr>
      <w:r w:rsidRPr="00363EDC">
        <w:rPr>
          <w:rFonts w:ascii="Verdana" w:eastAsia="Calibri" w:hAnsi="Verdana" w:cs="Times New Roman"/>
          <w:b/>
          <w:bCs/>
        </w:rPr>
        <w:t>Razones de la respuesta:</w:t>
      </w:r>
    </w:p>
    <w:p w14:paraId="75284B89" w14:textId="77777777" w:rsidR="00BC0341" w:rsidRPr="00363EDC" w:rsidRDefault="00BC0341" w:rsidP="00BC0341">
      <w:pPr>
        <w:spacing w:after="0" w:line="276" w:lineRule="auto"/>
        <w:rPr>
          <w:rFonts w:ascii="Verdana" w:eastAsia="Calibri" w:hAnsi="Verdana" w:cs="Times New Roman"/>
          <w:b/>
          <w:bCs/>
        </w:rPr>
      </w:pPr>
    </w:p>
    <w:p w14:paraId="25E6CD1E" w14:textId="77777777" w:rsidR="00BC0341" w:rsidRPr="00363EDC" w:rsidRDefault="00BC0341" w:rsidP="00BC0341">
      <w:pPr>
        <w:spacing w:after="0" w:line="276" w:lineRule="auto"/>
        <w:jc w:val="both"/>
        <w:rPr>
          <w:rFonts w:ascii="Verdana" w:eastAsia="Calibri" w:hAnsi="Verdana" w:cs="Arial"/>
        </w:rPr>
      </w:pPr>
      <w:r w:rsidRPr="00363EDC">
        <w:rPr>
          <w:rFonts w:ascii="Verdana" w:eastAsia="Calibri" w:hAnsi="Verdana" w:cs="Arial"/>
        </w:rPr>
        <w:t xml:space="preserve">Lo anterior se sustenta en las siguientes consideraciones: </w:t>
      </w:r>
    </w:p>
    <w:p w14:paraId="2257C59A" w14:textId="77777777" w:rsidR="00BC0341" w:rsidRPr="00363EDC" w:rsidRDefault="00BC0341" w:rsidP="00BC0341">
      <w:pPr>
        <w:spacing w:after="0" w:line="276" w:lineRule="auto"/>
        <w:jc w:val="both"/>
        <w:rPr>
          <w:rFonts w:ascii="Verdana" w:eastAsia="Calibri" w:hAnsi="Verdana" w:cs="Arial"/>
        </w:rPr>
      </w:pPr>
    </w:p>
    <w:p w14:paraId="1C446649" w14:textId="77777777" w:rsidR="00BC0341" w:rsidRPr="00363EDC" w:rsidRDefault="00BC0341" w:rsidP="00BC0341">
      <w:pPr>
        <w:spacing w:after="120" w:line="276" w:lineRule="auto"/>
        <w:jc w:val="both"/>
        <w:rPr>
          <w:rFonts w:ascii="Verdana" w:eastAsia="Calibri" w:hAnsi="Verdana" w:cs="Arial"/>
        </w:rPr>
      </w:pPr>
      <w:r w:rsidRPr="00363EDC">
        <w:rPr>
          <w:rFonts w:ascii="Verdana" w:eastAsia="Calibri" w:hAnsi="Verdana" w:cs="Arial"/>
        </w:rPr>
        <w:t xml:space="preserve">i) 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714C0FC" w14:textId="77777777" w:rsidR="00BC0341" w:rsidRPr="00363EDC" w:rsidRDefault="00BC0341" w:rsidP="00BC0341">
      <w:pPr>
        <w:spacing w:after="0" w:line="276" w:lineRule="auto"/>
        <w:ind w:firstLine="709"/>
        <w:jc w:val="both"/>
        <w:rPr>
          <w:rFonts w:ascii="Verdana" w:eastAsia="Calibri" w:hAnsi="Verdana" w:cs="Arial"/>
        </w:rPr>
      </w:pPr>
      <w:r w:rsidRPr="00363EDC">
        <w:rPr>
          <w:rFonts w:ascii="Verdana" w:eastAsia="Calibri" w:hAnsi="Verdana" w:cs="Arial"/>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w:t>
      </w:r>
      <w:r w:rsidRPr="00363EDC">
        <w:rPr>
          <w:rFonts w:ascii="Verdana" w:eastAsia="Calibri" w:hAnsi="Verdana" w:cs="Arial"/>
        </w:rPr>
        <w:lastRenderedPageBreak/>
        <w:t>a la falta de aptitud o a la carencia de una cualidad, calidad o requisito en el sujeto incapacitado quien por esta razón no podrá hacer parte de una relación contractual”</w:t>
      </w:r>
      <w:r w:rsidRPr="00363EDC">
        <w:rPr>
          <w:rFonts w:ascii="Verdana" w:eastAsia="Calibri" w:hAnsi="Verdana" w:cs="Arial"/>
          <w:vertAlign w:val="superscript"/>
        </w:rPr>
        <w:footnoteReference w:id="1"/>
      </w:r>
      <w:r w:rsidRPr="00363EDC">
        <w:rPr>
          <w:rFonts w:ascii="Verdana" w:eastAsia="Calibri" w:hAnsi="Verdana" w:cs="Arial"/>
        </w:rPr>
        <w:t>.</w:t>
      </w:r>
    </w:p>
    <w:p w14:paraId="423C3B72" w14:textId="77777777" w:rsidR="00BC0341" w:rsidRPr="00363EDC" w:rsidRDefault="00BC0341" w:rsidP="00BC0341">
      <w:pPr>
        <w:spacing w:before="120" w:after="0" w:line="276" w:lineRule="auto"/>
        <w:ind w:firstLine="709"/>
        <w:jc w:val="both"/>
        <w:rPr>
          <w:rFonts w:ascii="Verdana" w:eastAsia="Calibri" w:hAnsi="Verdana" w:cs="Arial"/>
        </w:rPr>
      </w:pPr>
      <w:r w:rsidRPr="00363EDC">
        <w:rPr>
          <w:rFonts w:ascii="Verdana" w:eastAsia="Calibri" w:hAnsi="Verdana" w:cs="Arial"/>
        </w:rPr>
        <w:t xml:space="preserve">La regulación de las inhabilidades que implican limitaciones a la capacidad jurídica para contratar, que desarrolla los principios de la función administrativa consagrados en el artículo 209 de la Constitución Política, con especial énfasis el de moralidad. Así lo entiende el Consejo de Estado: </w:t>
      </w:r>
    </w:p>
    <w:p w14:paraId="1BC14B39" w14:textId="77777777" w:rsidR="00BC0341" w:rsidRPr="00363EDC" w:rsidRDefault="00BC0341" w:rsidP="00BC0341">
      <w:pPr>
        <w:spacing w:after="0" w:line="276" w:lineRule="auto"/>
        <w:jc w:val="both"/>
        <w:rPr>
          <w:rFonts w:ascii="Verdana" w:eastAsia="Calibri" w:hAnsi="Verdana" w:cs="Arial"/>
        </w:rPr>
      </w:pPr>
    </w:p>
    <w:p w14:paraId="616F9622" w14:textId="77777777" w:rsidR="00BC0341" w:rsidRPr="00363EDC" w:rsidRDefault="00BC0341" w:rsidP="00BC0341">
      <w:pPr>
        <w:shd w:val="clear" w:color="auto" w:fill="FFFFFF"/>
        <w:spacing w:after="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0DF7AAF" w14:textId="77777777" w:rsidR="00BC0341" w:rsidRPr="00363EDC" w:rsidRDefault="00BC0341" w:rsidP="00BC0341">
      <w:pPr>
        <w:shd w:val="clear" w:color="auto" w:fill="FFFFFF"/>
        <w:spacing w:after="0" w:line="240" w:lineRule="auto"/>
        <w:ind w:left="709" w:right="709"/>
        <w:jc w:val="both"/>
        <w:rPr>
          <w:rFonts w:ascii="Verdana" w:eastAsia="Calibri" w:hAnsi="Verdana" w:cs="Arial"/>
          <w:sz w:val="20"/>
          <w:szCs w:val="20"/>
        </w:rPr>
      </w:pPr>
    </w:p>
    <w:p w14:paraId="6872475D" w14:textId="77777777" w:rsidR="00BC0341" w:rsidRPr="00363EDC" w:rsidRDefault="00BC0341" w:rsidP="00BC0341">
      <w:pPr>
        <w:shd w:val="clear" w:color="auto" w:fill="FFFFFF"/>
        <w:spacing w:after="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363EDC">
        <w:rPr>
          <w:rFonts w:ascii="Verdana" w:eastAsia="Calibri" w:hAnsi="Verdana" w:cs="Arial"/>
          <w:sz w:val="20"/>
          <w:szCs w:val="20"/>
          <w:vertAlign w:val="superscript"/>
        </w:rPr>
        <w:footnoteReference w:id="2"/>
      </w:r>
      <w:r w:rsidRPr="00363EDC">
        <w:rPr>
          <w:rFonts w:ascii="Verdana" w:eastAsia="Calibri" w:hAnsi="Verdana" w:cs="Arial"/>
          <w:sz w:val="20"/>
          <w:szCs w:val="20"/>
        </w:rPr>
        <w:t>.</w:t>
      </w:r>
    </w:p>
    <w:p w14:paraId="0328B90B" w14:textId="77777777" w:rsidR="00BC0341" w:rsidRPr="00363EDC" w:rsidRDefault="00BC0341" w:rsidP="00BC0341">
      <w:pPr>
        <w:shd w:val="clear" w:color="auto" w:fill="FFFFFF"/>
        <w:spacing w:after="0" w:line="240" w:lineRule="auto"/>
        <w:ind w:left="709" w:right="709"/>
        <w:jc w:val="both"/>
        <w:rPr>
          <w:rFonts w:ascii="Verdana" w:eastAsia="Calibri" w:hAnsi="Verdana" w:cs="Arial"/>
        </w:rPr>
      </w:pPr>
    </w:p>
    <w:p w14:paraId="4C4F90F2" w14:textId="77777777" w:rsidR="00BC0341" w:rsidRPr="00363EDC" w:rsidRDefault="00BC0341" w:rsidP="00BC0341">
      <w:pPr>
        <w:spacing w:after="0" w:line="276" w:lineRule="auto"/>
        <w:ind w:firstLine="709"/>
        <w:jc w:val="both"/>
        <w:rPr>
          <w:rFonts w:ascii="Verdana" w:eastAsia="Calibri" w:hAnsi="Verdana" w:cs="Arial"/>
        </w:rPr>
      </w:pPr>
      <w:r w:rsidRPr="00363EDC">
        <w:rPr>
          <w:rFonts w:ascii="Verdana" w:eastAsia="Calibri" w:hAnsi="Verdana" w:cs="Arial"/>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w:t>
      </w:r>
      <w:r w:rsidRPr="00363EDC">
        <w:rPr>
          <w:rFonts w:ascii="Verdana" w:eastAsia="Calibri" w:hAnsi="Verdana" w:cs="Arial"/>
        </w:rPr>
        <w:lastRenderedPageBreak/>
        <w:t xml:space="preserve">en la salvaguarda del interés general y que su interpretación es taxativa y restrictiva: </w:t>
      </w:r>
    </w:p>
    <w:p w14:paraId="2378655E" w14:textId="77777777" w:rsidR="00BC0341" w:rsidRPr="00363EDC" w:rsidRDefault="00BC0341" w:rsidP="00BC0341">
      <w:pPr>
        <w:spacing w:after="0" w:line="276" w:lineRule="auto"/>
        <w:rPr>
          <w:rFonts w:ascii="Verdana" w:eastAsia="Times New Roman" w:hAnsi="Verdana" w:cs="Arial"/>
          <w:shd w:val="clear" w:color="auto" w:fill="FFFFFF"/>
          <w:lang w:eastAsia="es-ES_tradnl"/>
        </w:rPr>
      </w:pPr>
    </w:p>
    <w:p w14:paraId="5CD57C45" w14:textId="77777777" w:rsidR="00BC0341" w:rsidRPr="00363EDC" w:rsidRDefault="00BC0341" w:rsidP="00BC0341">
      <w:pPr>
        <w:spacing w:after="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050D5AF5" w14:textId="77777777" w:rsidR="00BC0341" w:rsidRPr="00363EDC" w:rsidRDefault="00BC0341" w:rsidP="00BC0341">
      <w:pPr>
        <w:spacing w:after="0" w:line="240" w:lineRule="auto"/>
        <w:ind w:left="709" w:right="709"/>
        <w:jc w:val="both"/>
        <w:rPr>
          <w:rFonts w:ascii="Verdana" w:eastAsia="Calibri" w:hAnsi="Verdana" w:cs="Arial"/>
          <w:sz w:val="20"/>
          <w:szCs w:val="20"/>
        </w:rPr>
      </w:pPr>
    </w:p>
    <w:p w14:paraId="6C670E17" w14:textId="77777777" w:rsidR="00BC0341" w:rsidRPr="00363EDC" w:rsidRDefault="00BC0341" w:rsidP="00BC0341">
      <w:pPr>
        <w:spacing w:after="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363EDC">
        <w:rPr>
          <w:rFonts w:ascii="Verdana" w:eastAsia="Calibri" w:hAnsi="Verdana" w:cs="Arial"/>
          <w:sz w:val="20"/>
          <w:szCs w:val="20"/>
          <w:vertAlign w:val="superscript"/>
        </w:rPr>
        <w:footnoteReference w:id="3"/>
      </w:r>
      <w:r w:rsidRPr="00363EDC">
        <w:rPr>
          <w:rFonts w:ascii="Verdana" w:eastAsia="Calibri" w:hAnsi="Verdana" w:cs="Arial"/>
          <w:sz w:val="20"/>
          <w:szCs w:val="20"/>
        </w:rPr>
        <w:t xml:space="preserve">. </w:t>
      </w:r>
    </w:p>
    <w:p w14:paraId="48948530" w14:textId="77777777" w:rsidR="00BC0341" w:rsidRPr="00363EDC" w:rsidRDefault="00BC0341" w:rsidP="00BC0341">
      <w:pPr>
        <w:spacing w:after="0" w:line="276" w:lineRule="auto"/>
        <w:ind w:right="709"/>
        <w:jc w:val="both"/>
        <w:rPr>
          <w:rFonts w:ascii="Verdana" w:eastAsia="Calibri" w:hAnsi="Verdana" w:cs="Arial"/>
        </w:rPr>
      </w:pPr>
    </w:p>
    <w:p w14:paraId="04C64D72" w14:textId="77777777" w:rsidR="00BC0341" w:rsidRPr="00363EDC" w:rsidRDefault="00BC0341" w:rsidP="00BC0341">
      <w:pPr>
        <w:spacing w:after="0" w:line="276" w:lineRule="auto"/>
        <w:ind w:firstLine="709"/>
        <w:jc w:val="both"/>
        <w:rPr>
          <w:rFonts w:ascii="Verdana" w:eastAsia="Calibri" w:hAnsi="Verdana" w:cs="Arial"/>
        </w:rPr>
      </w:pPr>
      <w:r w:rsidRPr="00363EDC">
        <w:rPr>
          <w:rFonts w:ascii="Verdana" w:eastAsia="Calibri" w:hAnsi="Verdana"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4695BB12" w14:textId="77777777" w:rsidR="00BC0341" w:rsidRPr="00363EDC" w:rsidRDefault="00BC0341" w:rsidP="00BC0341">
      <w:pPr>
        <w:tabs>
          <w:tab w:val="left" w:pos="1532"/>
        </w:tabs>
        <w:spacing w:after="0" w:line="276" w:lineRule="auto"/>
        <w:jc w:val="both"/>
        <w:rPr>
          <w:rFonts w:ascii="Verdana" w:eastAsia="Calibri" w:hAnsi="Verdana" w:cs="Arial"/>
        </w:rPr>
      </w:pPr>
    </w:p>
    <w:p w14:paraId="79368544" w14:textId="77777777" w:rsidR="00BC0341" w:rsidRPr="00363EDC" w:rsidRDefault="00BC0341" w:rsidP="00BC0341">
      <w:pPr>
        <w:spacing w:after="12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363EDC">
        <w:rPr>
          <w:rFonts w:ascii="Verdana" w:eastAsia="Calibri" w:hAnsi="Verdana" w:cs="Arial"/>
          <w:sz w:val="20"/>
          <w:szCs w:val="20"/>
        </w:rPr>
        <w:t>libertate</w:t>
      </w:r>
      <w:proofErr w:type="spellEnd"/>
      <w:r w:rsidRPr="00363EDC">
        <w:rPr>
          <w:rFonts w:ascii="Verdana" w:eastAsia="Calibri" w:hAnsi="Verdana" w:cs="Arial"/>
          <w:sz w:val="20"/>
          <w:szCs w:val="20"/>
        </w:rPr>
        <w:t xml:space="preserve">, sino el de legalidad, el que ordena que la función pública debe </w:t>
      </w:r>
      <w:r w:rsidRPr="00363EDC">
        <w:rPr>
          <w:rFonts w:ascii="Verdana" w:eastAsia="Calibri" w:hAnsi="Verdana" w:cs="Arial"/>
          <w:sz w:val="20"/>
          <w:szCs w:val="20"/>
        </w:rPr>
        <w:lastRenderedPageBreak/>
        <w:t xml:space="preserve">someterse estrictamente a lo que disponga la Constitución y la ley (CP art. 6). </w:t>
      </w:r>
    </w:p>
    <w:p w14:paraId="3BA378D7" w14:textId="77777777" w:rsidR="00BC0341" w:rsidRPr="00363EDC" w:rsidRDefault="00BC0341" w:rsidP="00BC0341">
      <w:pPr>
        <w:spacing w:after="12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 xml:space="preserve">[…] </w:t>
      </w:r>
    </w:p>
    <w:p w14:paraId="095FA29B" w14:textId="77777777" w:rsidR="00BC0341" w:rsidRPr="00363EDC" w:rsidRDefault="00BC0341" w:rsidP="00BC0341">
      <w:pPr>
        <w:spacing w:after="12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363EDC">
        <w:rPr>
          <w:rFonts w:ascii="Verdana" w:eastAsia="Calibri" w:hAnsi="Verdana" w:cs="Arial"/>
          <w:sz w:val="20"/>
          <w:szCs w:val="20"/>
          <w:vertAlign w:val="superscript"/>
        </w:rPr>
        <w:footnoteReference w:id="4"/>
      </w:r>
      <w:r w:rsidRPr="00363EDC">
        <w:rPr>
          <w:rFonts w:ascii="Verdana" w:eastAsia="Calibri" w:hAnsi="Verdana" w:cs="Arial"/>
          <w:sz w:val="20"/>
          <w:szCs w:val="20"/>
        </w:rPr>
        <w:t>.</w:t>
      </w:r>
    </w:p>
    <w:p w14:paraId="34EDC743" w14:textId="77777777" w:rsidR="00BC0341" w:rsidRPr="00363EDC" w:rsidRDefault="00BC0341" w:rsidP="00BC0341">
      <w:pPr>
        <w:spacing w:after="0" w:line="276" w:lineRule="auto"/>
        <w:ind w:left="709" w:right="709"/>
        <w:jc w:val="both"/>
        <w:rPr>
          <w:rFonts w:ascii="Verdana" w:eastAsia="Calibri" w:hAnsi="Verdana" w:cs="Arial"/>
        </w:rPr>
      </w:pPr>
    </w:p>
    <w:p w14:paraId="21021C99" w14:textId="77777777" w:rsidR="00BC0341" w:rsidRPr="00363EDC" w:rsidRDefault="00BC0341" w:rsidP="00BC0341">
      <w:pPr>
        <w:spacing w:after="120" w:line="276" w:lineRule="auto"/>
        <w:ind w:firstLine="709"/>
        <w:jc w:val="both"/>
        <w:rPr>
          <w:rFonts w:ascii="Verdana" w:eastAsia="Calibri" w:hAnsi="Verdana" w:cs="Arial"/>
        </w:rPr>
      </w:pPr>
      <w:r w:rsidRPr="00363EDC">
        <w:rPr>
          <w:rFonts w:ascii="Verdana" w:eastAsia="Calibri" w:hAnsi="Verdana" w:cs="Arial"/>
        </w:rPr>
        <w:t xml:space="preserve">Conviene también distinguir las fuentes de las inhabilidades, las cuales han sido clasificadas en dos (2) grupos: i) inhabilidades-sanción y </w:t>
      </w:r>
      <w:proofErr w:type="spellStart"/>
      <w:r w:rsidRPr="00363EDC">
        <w:rPr>
          <w:rFonts w:ascii="Verdana" w:eastAsia="Calibri" w:hAnsi="Verdana" w:cs="Arial"/>
        </w:rPr>
        <w:t>ii</w:t>
      </w:r>
      <w:proofErr w:type="spellEnd"/>
      <w:r w:rsidRPr="00363EDC">
        <w:rPr>
          <w:rFonts w:ascii="Verdana" w:eastAsia="Calibri" w:hAnsi="Verdana" w:cs="Ari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363EDC">
        <w:rPr>
          <w:rFonts w:ascii="Verdana" w:eastAsia="Calibri" w:hAnsi="Verdana" w:cs="Arial"/>
          <w:vertAlign w:val="superscript"/>
        </w:rPr>
        <w:footnoteReference w:id="5"/>
      </w:r>
      <w:r w:rsidRPr="00363EDC">
        <w:rPr>
          <w:rFonts w:ascii="Verdana" w:eastAsia="Calibri" w:hAnsi="Verdana" w:cs="Arial"/>
        </w:rPr>
        <w:t>.</w:t>
      </w:r>
    </w:p>
    <w:p w14:paraId="690FE974" w14:textId="77777777" w:rsidR="00BC0341" w:rsidRPr="00363EDC" w:rsidRDefault="00BC0341" w:rsidP="00BC0341">
      <w:pPr>
        <w:spacing w:before="120" w:after="120" w:line="276" w:lineRule="auto"/>
        <w:ind w:firstLine="708"/>
        <w:jc w:val="both"/>
        <w:rPr>
          <w:rFonts w:ascii="Verdana" w:eastAsia="Calibri" w:hAnsi="Verdana" w:cs="Arial"/>
        </w:rPr>
      </w:pPr>
      <w:r w:rsidRPr="00363EDC">
        <w:rPr>
          <w:rFonts w:ascii="Verdana" w:eastAsia="Calibri" w:hAnsi="Verdana" w:cs="Arial"/>
        </w:rPr>
        <w:t>A manera de ejemplo, en materia contractual, los literales c), d) y j) del numeral 1 del artículo 8 de la Ley 80 de 1993</w:t>
      </w:r>
      <w:r w:rsidRPr="00363EDC">
        <w:rPr>
          <w:rFonts w:ascii="Verdana" w:eastAsia="Calibri" w:hAnsi="Verdana" w:cs="Arial"/>
          <w:vertAlign w:val="superscript"/>
        </w:rPr>
        <w:footnoteReference w:id="6"/>
      </w:r>
      <w:r w:rsidRPr="00363EDC">
        <w:rPr>
          <w:rFonts w:ascii="Verdana" w:eastAsia="Calibri" w:hAnsi="Verdana" w:cs="Arial"/>
        </w:rPr>
        <w:t xml:space="preserve"> establecen inhabilidades-sanción, </w:t>
      </w:r>
      <w:r w:rsidRPr="00363EDC">
        <w:rPr>
          <w:rFonts w:ascii="Verdana" w:eastAsia="Calibri" w:hAnsi="Verdana" w:cs="Arial"/>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w:t>
      </w:r>
      <w:r w:rsidRPr="00363EDC">
        <w:rPr>
          <w:rFonts w:ascii="Verdana" w:eastAsia="Calibri" w:hAnsi="Verdana" w:cs="Arial"/>
        </w:rPr>
        <w:lastRenderedPageBreak/>
        <w:t xml:space="preserve">Administración o el juez, sino de aspectos propios de la persona, derivados, por ejemplo, del parentesco o la afinidad o de la condición de servidor público. </w:t>
      </w:r>
    </w:p>
    <w:p w14:paraId="227BF91C" w14:textId="77777777" w:rsidR="00BC0341" w:rsidRPr="00363EDC" w:rsidRDefault="00BC0341" w:rsidP="00BC0341">
      <w:pPr>
        <w:spacing w:before="120" w:after="120" w:line="276" w:lineRule="auto"/>
        <w:ind w:firstLine="709"/>
        <w:jc w:val="both"/>
        <w:rPr>
          <w:rFonts w:ascii="Verdana" w:eastAsia="Calibri" w:hAnsi="Verdana" w:cs="Arial"/>
        </w:rPr>
      </w:pPr>
      <w:r w:rsidRPr="00363EDC">
        <w:rPr>
          <w:rFonts w:ascii="Verdana" w:eastAsia="Calibri" w:hAnsi="Verdana"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09106537" w14:textId="77777777" w:rsidR="00BC0341" w:rsidRPr="00363EDC" w:rsidRDefault="00BC0341" w:rsidP="00BC0341">
      <w:pPr>
        <w:spacing w:before="120" w:after="120" w:line="276" w:lineRule="auto"/>
        <w:ind w:firstLine="709"/>
        <w:jc w:val="both"/>
        <w:rPr>
          <w:rFonts w:ascii="Verdana" w:eastAsia="Calibri" w:hAnsi="Verdana" w:cs="Arial"/>
        </w:rPr>
      </w:pPr>
      <w:r w:rsidRPr="00363EDC">
        <w:rPr>
          <w:rFonts w:ascii="Verdana" w:eastAsia="Calibri" w:hAnsi="Verdana" w:cs="Aria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363EDC">
        <w:rPr>
          <w:rFonts w:ascii="Verdana" w:eastAsia="Calibri" w:hAnsi="Verdana" w:cs="Arial"/>
          <w:i/>
          <w:iCs/>
        </w:rPr>
        <w:t>restrictiva</w:t>
      </w:r>
      <w:r w:rsidRPr="00363EDC">
        <w:rPr>
          <w:rFonts w:ascii="Verdana" w:eastAsia="Calibri" w:hAnsi="Verdana" w:cs="Arial"/>
          <w:i/>
          <w:iCs/>
          <w:vertAlign w:val="superscript"/>
        </w:rPr>
        <w:footnoteReference w:id="7"/>
      </w:r>
      <w:r w:rsidRPr="00363EDC">
        <w:rPr>
          <w:rFonts w:ascii="Verdana" w:eastAsia="Calibri" w:hAnsi="Verdana" w:cs="Arial"/>
          <w:i/>
          <w:iCs/>
        </w:rPr>
        <w:t xml:space="preserve">, </w:t>
      </w:r>
      <w:r w:rsidRPr="00363EDC">
        <w:rPr>
          <w:rFonts w:ascii="Verdana" w:eastAsia="Calibri" w:hAnsi="Verdana" w:cs="Aria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5507B1BE" w14:textId="77777777" w:rsidR="00BC0341" w:rsidRPr="00363EDC" w:rsidRDefault="00BC0341" w:rsidP="00BC0341">
      <w:pPr>
        <w:spacing w:after="120" w:line="276" w:lineRule="auto"/>
        <w:ind w:firstLine="709"/>
        <w:jc w:val="both"/>
        <w:rPr>
          <w:rFonts w:ascii="Verdana" w:eastAsia="Calibri" w:hAnsi="Verdana" w:cs="Arial"/>
        </w:rPr>
      </w:pPr>
      <w:r w:rsidRPr="00363EDC">
        <w:rPr>
          <w:rFonts w:ascii="Verdana" w:eastAsia="Calibri" w:hAnsi="Verdana" w:cs="Aria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63EDC">
        <w:rPr>
          <w:rFonts w:ascii="Verdana" w:eastAsia="Calibri" w:hAnsi="Verdana" w:cs="Arial"/>
          <w:vertAlign w:val="superscript"/>
        </w:rPr>
        <w:footnoteReference w:id="8"/>
      </w:r>
      <w:r w:rsidRPr="00363EDC">
        <w:rPr>
          <w:rFonts w:ascii="Verdana" w:eastAsia="Calibri" w:hAnsi="Verdana" w:cs="Arial"/>
        </w:rPr>
        <w:t xml:space="preserve">. </w:t>
      </w:r>
    </w:p>
    <w:p w14:paraId="233A99CC" w14:textId="77777777" w:rsidR="00BC0341" w:rsidRPr="00363EDC" w:rsidRDefault="00BC0341" w:rsidP="00BC0341">
      <w:pPr>
        <w:spacing w:after="0" w:line="276" w:lineRule="auto"/>
        <w:ind w:firstLine="709"/>
        <w:jc w:val="both"/>
        <w:rPr>
          <w:rFonts w:ascii="Verdana" w:eastAsia="Calibri" w:hAnsi="Verdana" w:cs="Arial"/>
        </w:rPr>
      </w:pPr>
      <w:r w:rsidRPr="00363EDC">
        <w:rPr>
          <w:rFonts w:ascii="Verdana" w:eastAsia="Calibri" w:hAnsi="Verdana" w:cs="Arial"/>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w:t>
      </w:r>
      <w:r w:rsidRPr="00363EDC">
        <w:rPr>
          <w:rFonts w:ascii="Verdana" w:eastAsia="Calibri" w:hAnsi="Verdana" w:cs="Arial"/>
        </w:rPr>
        <w:lastRenderedPageBreak/>
        <w:t>pueden hacer todo aquello que no les esté expresamente prohibido”</w:t>
      </w:r>
      <w:r w:rsidRPr="00363EDC">
        <w:rPr>
          <w:rFonts w:ascii="Verdana" w:eastAsia="Calibri" w:hAnsi="Verdana" w:cs="Arial"/>
          <w:vertAlign w:val="superscript"/>
        </w:rPr>
        <w:footnoteReference w:id="9"/>
      </w:r>
      <w:r w:rsidRPr="00363EDC">
        <w:rPr>
          <w:rFonts w:ascii="Verdana" w:eastAsia="Calibri" w:hAnsi="Verdana" w:cs="Arial"/>
        </w:rPr>
        <w:t>. En tal sentido, la Sección Tercera ha señalado que:</w:t>
      </w:r>
    </w:p>
    <w:p w14:paraId="1A2ADD6F" w14:textId="77777777" w:rsidR="00BC0341" w:rsidRPr="00363EDC" w:rsidRDefault="00BC0341" w:rsidP="00BC0341">
      <w:pPr>
        <w:spacing w:after="0" w:line="276" w:lineRule="auto"/>
        <w:ind w:firstLine="709"/>
        <w:jc w:val="both"/>
        <w:rPr>
          <w:rFonts w:ascii="Verdana" w:eastAsia="Calibri" w:hAnsi="Verdana" w:cs="Arial"/>
        </w:rPr>
      </w:pPr>
    </w:p>
    <w:p w14:paraId="797DB93F" w14:textId="77777777" w:rsidR="00BC0341" w:rsidRPr="00363EDC" w:rsidRDefault="00BC0341" w:rsidP="00BC0341">
      <w:pPr>
        <w:spacing w:after="120" w:line="240" w:lineRule="auto"/>
        <w:ind w:left="709" w:right="709"/>
        <w:jc w:val="both"/>
        <w:rPr>
          <w:rFonts w:ascii="Verdana" w:eastAsia="Calibri" w:hAnsi="Verdana" w:cs="Arial"/>
          <w:sz w:val="20"/>
          <w:szCs w:val="20"/>
        </w:rPr>
      </w:pPr>
      <w:r w:rsidRPr="00363EDC">
        <w:rPr>
          <w:rFonts w:ascii="Verdana" w:eastAsia="Calibri" w:hAnsi="Verdana" w:cs="Arial"/>
          <w:sz w:val="20"/>
          <w:szCs w:val="20"/>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63EDC">
        <w:rPr>
          <w:rFonts w:ascii="Verdana" w:eastAsia="Calibri" w:hAnsi="Verdana" w:cs="Arial"/>
          <w:sz w:val="20"/>
          <w:szCs w:val="20"/>
          <w:vertAlign w:val="superscript"/>
        </w:rPr>
        <w:footnoteReference w:id="10"/>
      </w:r>
      <w:r w:rsidRPr="00363EDC">
        <w:rPr>
          <w:rFonts w:ascii="Verdana" w:eastAsia="Calibri" w:hAnsi="Verdana" w:cs="Arial"/>
          <w:sz w:val="20"/>
          <w:szCs w:val="20"/>
        </w:rPr>
        <w:t>.</w:t>
      </w:r>
    </w:p>
    <w:p w14:paraId="6738A27E" w14:textId="77777777" w:rsidR="00BC0341" w:rsidRPr="00363EDC" w:rsidRDefault="00BC0341" w:rsidP="00BC0341">
      <w:pPr>
        <w:spacing w:after="120" w:line="240" w:lineRule="auto"/>
        <w:ind w:firstLine="709"/>
        <w:jc w:val="both"/>
        <w:rPr>
          <w:rFonts w:ascii="Verdana" w:eastAsia="Calibri" w:hAnsi="Verdana" w:cs="Arial"/>
          <w:sz w:val="20"/>
          <w:szCs w:val="20"/>
        </w:rPr>
      </w:pPr>
    </w:p>
    <w:p w14:paraId="02BE9850" w14:textId="77777777" w:rsidR="00BC0341" w:rsidRPr="00363EDC" w:rsidRDefault="00BC0341" w:rsidP="00BC0341">
      <w:pPr>
        <w:spacing w:after="120" w:line="240" w:lineRule="auto"/>
        <w:ind w:firstLine="709"/>
        <w:jc w:val="both"/>
        <w:rPr>
          <w:rFonts w:ascii="Verdana" w:eastAsia="Calibri" w:hAnsi="Verdana" w:cs="Arial"/>
          <w:sz w:val="20"/>
          <w:szCs w:val="20"/>
        </w:rPr>
      </w:pPr>
      <w:r w:rsidRPr="00363EDC">
        <w:rPr>
          <w:rFonts w:ascii="Verdana" w:eastAsia="Calibri" w:hAnsi="Verdana" w:cs="Arial"/>
          <w:sz w:val="20"/>
          <w:szCs w:val="20"/>
        </w:rPr>
        <w:t>También ha dicho que:</w:t>
      </w:r>
    </w:p>
    <w:p w14:paraId="64E5F50D" w14:textId="77777777" w:rsidR="00BC0341" w:rsidRPr="00363EDC" w:rsidRDefault="00BC0341" w:rsidP="00BC0341">
      <w:pPr>
        <w:spacing w:after="0" w:line="240" w:lineRule="auto"/>
        <w:ind w:left="709" w:right="616"/>
        <w:jc w:val="both"/>
        <w:rPr>
          <w:rFonts w:ascii="Verdana" w:eastAsia="Calibri" w:hAnsi="Verdana" w:cs="Arial"/>
          <w:sz w:val="20"/>
          <w:szCs w:val="20"/>
        </w:rPr>
      </w:pPr>
      <w:r w:rsidRPr="00363EDC">
        <w:rPr>
          <w:rFonts w:ascii="Verdana" w:eastAsia="Calibri" w:hAnsi="Verdana" w:cs="Arial"/>
          <w:sz w:val="20"/>
          <w:szCs w:val="20"/>
        </w:rPr>
        <w:t xml:space="preserve">(…) la aplicación de estos preceptos exige una interpretación restrictiva, dado que según el principio hermenéutico </w:t>
      </w:r>
      <w:r w:rsidRPr="00363EDC">
        <w:rPr>
          <w:rFonts w:ascii="Verdana" w:eastAsia="Calibri" w:hAnsi="Verdana" w:cs="Arial"/>
          <w:i/>
          <w:iCs/>
          <w:sz w:val="20"/>
          <w:szCs w:val="20"/>
        </w:rPr>
        <w:t xml:space="preserve">pro </w:t>
      </w:r>
      <w:proofErr w:type="spellStart"/>
      <w:r w:rsidRPr="00363EDC">
        <w:rPr>
          <w:rFonts w:ascii="Verdana" w:eastAsia="Calibri" w:hAnsi="Verdana" w:cs="Arial"/>
          <w:i/>
          <w:iCs/>
          <w:sz w:val="20"/>
          <w:szCs w:val="20"/>
        </w:rPr>
        <w:t>libertate</w:t>
      </w:r>
      <w:proofErr w:type="spellEnd"/>
      <w:r w:rsidRPr="00363EDC">
        <w:rPr>
          <w:rFonts w:ascii="Verdana" w:eastAsia="Calibri" w:hAnsi="Verdana" w:cs="Arial"/>
          <w:sz w:val="20"/>
          <w:szCs w:val="20"/>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63EDC">
        <w:rPr>
          <w:rFonts w:ascii="Verdana" w:eastAsia="Calibri" w:hAnsi="Verdana" w:cs="Arial"/>
          <w:sz w:val="20"/>
          <w:szCs w:val="20"/>
          <w:vertAlign w:val="superscript"/>
        </w:rPr>
        <w:footnoteReference w:id="11"/>
      </w:r>
      <w:r w:rsidRPr="00363EDC">
        <w:rPr>
          <w:rFonts w:ascii="Verdana" w:eastAsia="Calibri" w:hAnsi="Verdana" w:cs="Arial"/>
          <w:sz w:val="20"/>
          <w:szCs w:val="20"/>
        </w:rPr>
        <w:t>.</w:t>
      </w:r>
    </w:p>
    <w:p w14:paraId="64F6D235" w14:textId="77777777" w:rsidR="00BC0341" w:rsidRPr="00363EDC" w:rsidRDefault="00BC0341" w:rsidP="00BC0341">
      <w:pPr>
        <w:spacing w:after="0" w:line="276" w:lineRule="auto"/>
        <w:jc w:val="both"/>
        <w:rPr>
          <w:rFonts w:ascii="Verdana" w:eastAsia="Arial" w:hAnsi="Verdana" w:cs="Arial"/>
          <w:color w:val="000000"/>
        </w:rPr>
      </w:pPr>
    </w:p>
    <w:p w14:paraId="6BEB2DF7" w14:textId="77777777" w:rsidR="00BC0341" w:rsidRPr="00363EDC" w:rsidRDefault="00BC0341" w:rsidP="00BC0341">
      <w:pPr>
        <w:spacing w:after="120" w:line="276" w:lineRule="auto"/>
        <w:ind w:firstLine="708"/>
        <w:jc w:val="both"/>
        <w:rPr>
          <w:rFonts w:ascii="Verdana" w:eastAsia="Calibri" w:hAnsi="Verdana" w:cs="Arial"/>
          <w:color w:val="000000"/>
        </w:rPr>
      </w:pPr>
      <w:r w:rsidRPr="00363EDC">
        <w:rPr>
          <w:rFonts w:ascii="Verdana" w:eastAsia="Arial" w:hAnsi="Verdana" w:cs="Arial"/>
          <w:color w:val="000000"/>
        </w:rPr>
        <w:t xml:space="preserve">Como se aprecia, el principio </w:t>
      </w:r>
      <w:r w:rsidRPr="00363EDC">
        <w:rPr>
          <w:rFonts w:ascii="Verdana" w:eastAsia="Arial" w:hAnsi="Verdana" w:cs="Arial"/>
          <w:i/>
          <w:iCs/>
          <w:color w:val="000000"/>
        </w:rPr>
        <w:t xml:space="preserve">pro </w:t>
      </w:r>
      <w:proofErr w:type="spellStart"/>
      <w:r w:rsidRPr="00363EDC">
        <w:rPr>
          <w:rFonts w:ascii="Verdana" w:eastAsia="Arial" w:hAnsi="Verdana" w:cs="Arial"/>
          <w:i/>
          <w:iCs/>
          <w:color w:val="000000"/>
        </w:rPr>
        <w:t>libertate</w:t>
      </w:r>
      <w:proofErr w:type="spellEnd"/>
      <w:r w:rsidRPr="00363EDC">
        <w:rPr>
          <w:rFonts w:ascii="Verdana" w:eastAsia="Arial" w:hAnsi="Verdana" w:cs="Arial"/>
          <w:color w:val="000000"/>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363EDC">
        <w:rPr>
          <w:rFonts w:ascii="Verdana" w:eastAsia="Calibri" w:hAnsi="Verdana" w:cs="Arial"/>
          <w:color w:val="000000"/>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363EDC">
        <w:rPr>
          <w:rFonts w:ascii="Verdana" w:eastAsia="Calibri" w:hAnsi="Verdana" w:cs="Arial"/>
          <w:color w:val="000000"/>
          <w:vertAlign w:val="superscript"/>
        </w:rPr>
        <w:footnoteReference w:id="12"/>
      </w:r>
      <w:r w:rsidRPr="00363EDC">
        <w:rPr>
          <w:rFonts w:ascii="Verdana" w:eastAsia="Calibri" w:hAnsi="Verdana" w:cs="Arial"/>
          <w:color w:val="000000"/>
        </w:rPr>
        <w:t>.</w:t>
      </w:r>
    </w:p>
    <w:p w14:paraId="384F6075" w14:textId="77777777" w:rsidR="00BC0341" w:rsidRPr="00363EDC" w:rsidRDefault="00BC0341" w:rsidP="00BC0341">
      <w:pPr>
        <w:spacing w:after="120" w:line="276" w:lineRule="auto"/>
        <w:ind w:firstLine="709"/>
        <w:jc w:val="both"/>
        <w:rPr>
          <w:rFonts w:ascii="Verdana" w:eastAsia="MS Mincho" w:hAnsi="Verdana" w:cs="Arial"/>
          <w:color w:val="000000"/>
          <w:shd w:val="clear" w:color="auto" w:fill="FFFFFF"/>
        </w:rPr>
      </w:pPr>
      <w:r w:rsidRPr="00363EDC">
        <w:rPr>
          <w:rFonts w:ascii="Verdana" w:eastAsia="Calibri" w:hAnsi="Verdana" w:cs="Arial"/>
          <w:shd w:val="clear" w:color="auto" w:fill="FFFFFF"/>
        </w:rPr>
        <w:lastRenderedPageBreak/>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363EDC">
        <w:rPr>
          <w:rFonts w:ascii="Verdana" w:eastAsia="Calibri" w:hAnsi="Verdana" w:cs="Arial"/>
          <w:shd w:val="clear" w:color="auto" w:fill="FFFFFF"/>
          <w:vertAlign w:val="superscript"/>
        </w:rPr>
        <w:footnoteReference w:id="13"/>
      </w:r>
      <w:r w:rsidRPr="00363EDC">
        <w:rPr>
          <w:rFonts w:ascii="Verdana" w:eastAsia="Calibri" w:hAnsi="Verdana" w:cs="Arial"/>
          <w:shd w:val="clear" w:color="auto" w:fill="FFFFFF"/>
        </w:rPr>
        <w:t xml:space="preserve">. En similar sentido, la Sala de Consulta y Servicio Civil del Consejo de Estado expresó </w:t>
      </w:r>
      <w:r w:rsidRPr="00363EDC">
        <w:rPr>
          <w:rFonts w:ascii="Verdana" w:eastAsia="Calibri" w:hAnsi="Verdana" w:cs="Arial"/>
          <w:color w:val="000000"/>
          <w:shd w:val="clear" w:color="auto" w:fill="FFFFFF"/>
        </w:rPr>
        <w:t>que “(…) las causales de inhabilidad e incompatibilidad deben estar expresa y taxativamente establecidas en la Constitución o en la ley y son de aplicación e interpretación restrictivas (…)”</w:t>
      </w:r>
      <w:r w:rsidRPr="00363EDC">
        <w:rPr>
          <w:rFonts w:ascii="Verdana" w:eastAsia="Calibri" w:hAnsi="Verdana" w:cs="Arial"/>
          <w:color w:val="000000"/>
          <w:shd w:val="clear" w:color="auto" w:fill="FFFFFF"/>
          <w:vertAlign w:val="superscript"/>
        </w:rPr>
        <w:footnoteReference w:id="14"/>
      </w:r>
      <w:r w:rsidRPr="00363EDC">
        <w:rPr>
          <w:rFonts w:ascii="Verdana" w:eastAsia="Calibri" w:hAnsi="Verdana" w:cs="Arial"/>
          <w:color w:val="000000"/>
          <w:shd w:val="clear" w:color="auto" w:fill="FFFFFF"/>
        </w:rPr>
        <w:t xml:space="preserve">. </w:t>
      </w:r>
      <w:r w:rsidRPr="00363EDC">
        <w:rPr>
          <w:rFonts w:ascii="Verdana" w:eastAsia="MS Mincho" w:hAnsi="Verdana" w:cs="Arial"/>
          <w:color w:val="000000"/>
          <w:shd w:val="clear" w:color="auto" w:fill="FFFFFF"/>
        </w:rPr>
        <w:t>Como se observa, existe consenso, incluso como lo ha expresado esta Agencia en ocasiones anteriores, que la creación de inhabilidades o incompatibilidades está reservada al constituyente o al legislador.</w:t>
      </w:r>
    </w:p>
    <w:p w14:paraId="5834286B" w14:textId="77777777" w:rsidR="00BC0341" w:rsidRPr="00363EDC" w:rsidRDefault="00BC0341" w:rsidP="00BC0341">
      <w:pPr>
        <w:tabs>
          <w:tab w:val="left" w:pos="0"/>
        </w:tabs>
        <w:spacing w:after="120" w:line="276" w:lineRule="auto"/>
        <w:jc w:val="both"/>
        <w:rPr>
          <w:rFonts w:ascii="Verdana" w:eastAsia="Calibri" w:hAnsi="Verdana" w:cs="Arial"/>
        </w:rPr>
      </w:pPr>
      <w:bookmarkStart w:id="1" w:name="_Hlk67555479"/>
      <w:proofErr w:type="spellStart"/>
      <w:r w:rsidRPr="00363EDC">
        <w:rPr>
          <w:rFonts w:ascii="Verdana" w:eastAsia="Calibri" w:hAnsi="Verdana" w:cs="Arial"/>
        </w:rPr>
        <w:t>ii</w:t>
      </w:r>
      <w:proofErr w:type="spellEnd"/>
      <w:r w:rsidRPr="00363EDC">
        <w:rPr>
          <w:rFonts w:ascii="Verdana" w:eastAsia="Calibri" w:hAnsi="Verdana" w:cs="Arial"/>
        </w:rPr>
        <w:t xml:space="preserve">) En relación con su solicitud, en la que indaga sobre la posible inhabilidad que puede tener un primo de un concejal municipal, para suscribir un convenio solidario con la alcaldía de ese municipio. Sobre el particular debe indicarse que, a los miembros y dignatarios que representan los intereses de los Organismos de Acción Comunal en el marco del convenio solidario, les será aplicable el régimen de inhabilidades e incompatibilidades dispuesto en la Constitución Política y en la Ley.  </w:t>
      </w:r>
    </w:p>
    <w:p w14:paraId="63FF6863" w14:textId="77777777" w:rsidR="00BC0341" w:rsidRPr="00363EDC" w:rsidRDefault="00BC0341" w:rsidP="00BC0341">
      <w:pPr>
        <w:tabs>
          <w:tab w:val="left" w:pos="0"/>
        </w:tabs>
        <w:spacing w:after="120" w:line="276" w:lineRule="auto"/>
        <w:jc w:val="both"/>
        <w:rPr>
          <w:rFonts w:ascii="Verdana" w:eastAsia="Calibri" w:hAnsi="Verdana" w:cs="Arial"/>
        </w:rPr>
      </w:pPr>
      <w:r w:rsidRPr="00363EDC">
        <w:rPr>
          <w:rFonts w:ascii="Verdana" w:eastAsia="Calibri" w:hAnsi="Verdana" w:cs="Arial"/>
        </w:rPr>
        <w:tab/>
        <w:t xml:space="preserve">En este sentido, revisado el régimen de inhabilidades e incompatibilidades, se encuentra que el artículo 1° de la Ley 1296 de 2009, que modifica el inciso 3 del artículo 1° de la Ley 1148 de 2007, modificatorio del artículo 49 de la Ley 617 del 2000, establece una inhabilidad para contratar con algunas entidades estatales, derivada de los aspectos propios de la persona, como es el parentesco o afinidad con determinado servidor público. La norma dispone que </w:t>
      </w:r>
      <w:r w:rsidRPr="00363EDC">
        <w:rPr>
          <w:rFonts w:ascii="Verdana" w:eastAsia="Arial" w:hAnsi="Verdana" w:cs="Arial"/>
        </w:rPr>
        <w:t>“</w:t>
      </w:r>
      <w:r w:rsidRPr="00363EDC">
        <w:rPr>
          <w:rFonts w:ascii="Verdana" w:eastAsia="Calibri" w:hAnsi="Verdana" w:cs="Arial"/>
        </w:rPr>
        <w:t xml:space="preserve">Los cónyuges o compañeros permanentes de los gobernadores, diputados, alcaldes municipales y distritales, concejales municipales y distritales y sus parientes dentro del cuarto grado de consanguinidad, segundo de afinidad, </w:t>
      </w:r>
      <w:r w:rsidRPr="00363EDC">
        <w:rPr>
          <w:rFonts w:ascii="Verdana" w:eastAsia="Calibri" w:hAnsi="Verdana" w:cs="Arial"/>
        </w:rPr>
        <w:lastRenderedPageBreak/>
        <w:t>o primero civil no podrán ser contratistas del respectivo departamento, distrito o municipio, o de sus entidades descentralizadas, ni directa, ni indirectamente</w:t>
      </w:r>
      <w:r w:rsidRPr="00363EDC">
        <w:rPr>
          <w:rFonts w:ascii="Verdana" w:eastAsia="Calibri" w:hAnsi="Verdana" w:cs="Arial"/>
          <w:lang w:eastAsia="en-GB"/>
        </w:rPr>
        <w:t xml:space="preserve">”. </w:t>
      </w:r>
      <w:bookmarkEnd w:id="1"/>
    </w:p>
    <w:p w14:paraId="58547DCC" w14:textId="77777777" w:rsidR="00BC0341" w:rsidRPr="00363EDC" w:rsidRDefault="00BC0341" w:rsidP="00BC0341">
      <w:pPr>
        <w:tabs>
          <w:tab w:val="left" w:pos="0"/>
        </w:tabs>
        <w:spacing w:after="0" w:line="276" w:lineRule="auto"/>
        <w:ind w:firstLine="709"/>
        <w:jc w:val="both"/>
        <w:rPr>
          <w:rFonts w:ascii="Verdana" w:eastAsia="Calibri" w:hAnsi="Verdana" w:cs="Arial"/>
        </w:rPr>
      </w:pPr>
      <w:r w:rsidRPr="00363EDC">
        <w:rPr>
          <w:rFonts w:ascii="Verdana" w:eastAsia="Calibri" w:hAnsi="Verdana" w:cs="Arial"/>
        </w:rPr>
        <w:t xml:space="preserve">Según se observa, la citada inhabilidad tiene fundamento en las relaciones familiares o de parentesco con los servidores públicos que ostentan la calidad de gobernador, diputado, alcalde y concejal municipal o distrital. Esa circunstancia implica que esa causal de inhabilidad se instituyó, única y exclusivamente, con el propósito de limitar la capacidad para ser contratista del correspondiente departamento, distrito o municipio, o de sus entidades descentralizadas, de acuerdo con la existencia de parentesco o familiaridad con aquellos servidores públicos. En este sentido, la Corte Constitucional analizó la constitucionalidad del artículo 1° de la Ley 1296 2009 en los siguientes términos: </w:t>
      </w:r>
    </w:p>
    <w:p w14:paraId="3C6AE12A" w14:textId="77777777" w:rsidR="00BC0341" w:rsidRPr="00363EDC" w:rsidRDefault="00BC0341" w:rsidP="00BC0341">
      <w:pPr>
        <w:tabs>
          <w:tab w:val="left" w:pos="0"/>
        </w:tabs>
        <w:spacing w:after="0" w:line="276" w:lineRule="auto"/>
        <w:ind w:firstLine="709"/>
        <w:jc w:val="both"/>
        <w:rPr>
          <w:rFonts w:ascii="Verdana" w:eastAsia="Calibri" w:hAnsi="Verdana" w:cs="Arial"/>
        </w:rPr>
      </w:pPr>
    </w:p>
    <w:p w14:paraId="6B4CCADE" w14:textId="77777777" w:rsidR="00BC0341" w:rsidRPr="00363EDC" w:rsidRDefault="00BC0341" w:rsidP="00BC0341">
      <w:pPr>
        <w:spacing w:after="0"/>
        <w:ind w:left="709" w:right="709"/>
        <w:jc w:val="both"/>
        <w:rPr>
          <w:rFonts w:ascii="Verdana" w:eastAsia="Calibri" w:hAnsi="Verdana" w:cs="Arial"/>
          <w:sz w:val="21"/>
          <w:szCs w:val="21"/>
        </w:rPr>
      </w:pPr>
      <w:r w:rsidRPr="00363EDC">
        <w:rPr>
          <w:rFonts w:ascii="Verdana" w:eastAsia="Calibri" w:hAnsi="Verdana" w:cs="Arial"/>
          <w:sz w:val="21"/>
          <w:szCs w:val="21"/>
        </w:rPr>
        <w:t>“(…) debe recordarse que la proporcionalidad de la inhabilidad demandada ya fue juzgada por esta Corte en la sentencia C-348 de 2004, en donde se concluyó que “</w:t>
      </w:r>
      <w:r w:rsidRPr="00363EDC">
        <w:rPr>
          <w:rFonts w:ascii="Verdana" w:eastAsia="Calibri" w:hAnsi="Verdana" w:cs="Arial"/>
          <w:i/>
          <w:iCs/>
          <w:sz w:val="21"/>
          <w:szCs w:val="21"/>
        </w:rPr>
        <w:t>Estas medidas constituyen igualmente un desarrollo legislativo razonable y proporcionado, como instrumento necesario e idóneo para el logro de los principios rectores de la actuación administrativa y garantizar que las actuaciones públicas estén despojadas de propósitos o intenciones ajenos al servicio público y al interés general. Lo que buscan las disposiciones demandadas es evitar, entre otros efectos, la injerencia indebida de los miembros de las corporaciones públicas en la gestión pública del orden territorial y a favor de sus allegados, lo cual no puede entenderse como una sanción legislativa a los parientes de los diputados y concejales. De tal suerte que las inhabilidades en referencia constituyen una garantía de imparcialidad, transparencia y moralidad de la gestión pública en los departamentos, distritos y municipios</w:t>
      </w:r>
      <w:r w:rsidRPr="00363EDC">
        <w:rPr>
          <w:rFonts w:ascii="Verdana" w:eastAsia="Calibri" w:hAnsi="Verdana" w:cs="Arial"/>
          <w:sz w:val="21"/>
          <w:szCs w:val="21"/>
        </w:rPr>
        <w:t>”</w:t>
      </w:r>
      <w:r w:rsidRPr="00363EDC">
        <w:rPr>
          <w:rFonts w:ascii="Verdana" w:eastAsia="Calibri" w:hAnsi="Verdana" w:cs="Arial"/>
          <w:sz w:val="21"/>
          <w:szCs w:val="21"/>
          <w:vertAlign w:val="superscript"/>
        </w:rPr>
        <w:footnoteReference w:id="15"/>
      </w:r>
      <w:r w:rsidRPr="00363EDC">
        <w:rPr>
          <w:rFonts w:ascii="Verdana" w:eastAsia="Calibri" w:hAnsi="Verdana" w:cs="Arial"/>
          <w:sz w:val="21"/>
          <w:szCs w:val="21"/>
        </w:rPr>
        <w:t>.</w:t>
      </w:r>
    </w:p>
    <w:p w14:paraId="7C0F92D7" w14:textId="77777777" w:rsidR="00BC0341" w:rsidRPr="00363EDC" w:rsidRDefault="00BC0341" w:rsidP="00BC0341">
      <w:pPr>
        <w:spacing w:after="0"/>
        <w:ind w:left="709" w:right="709"/>
        <w:jc w:val="both"/>
        <w:rPr>
          <w:rFonts w:ascii="Verdana" w:eastAsia="Calibri" w:hAnsi="Verdana" w:cs="Arial"/>
        </w:rPr>
      </w:pPr>
    </w:p>
    <w:p w14:paraId="7C814D65" w14:textId="77777777" w:rsidR="00BC0341" w:rsidRPr="00363EDC" w:rsidRDefault="00BC0341" w:rsidP="00BC0341">
      <w:pPr>
        <w:tabs>
          <w:tab w:val="left" w:pos="0"/>
        </w:tabs>
        <w:spacing w:after="120" w:line="276" w:lineRule="auto"/>
        <w:ind w:firstLine="709"/>
        <w:jc w:val="both"/>
        <w:rPr>
          <w:rFonts w:ascii="Verdana" w:eastAsia="Calibri" w:hAnsi="Verdana" w:cs="Arial"/>
          <w:bCs/>
        </w:rPr>
      </w:pPr>
      <w:r w:rsidRPr="00363EDC">
        <w:rPr>
          <w:rFonts w:ascii="Verdana" w:eastAsia="Calibri" w:hAnsi="Verdana" w:cs="Arial"/>
        </w:rPr>
        <w:t xml:space="preserve">De lo anterior se desprende que esta inhabilidad se sustenta en la necesidad de garantizar los principios constitucionales y el interés general, mediante la limitación de la capacidad de contratación de ciertas personas, con el fin de evitar que los servidores públicos con determinadas calidades actúen en favor de aquellas, en virtud de su relación de consanguinidad, afinidad o familiaridad. Sin embargo, de acuerdo con el alcance determinado por la Corte Constitucional, debe interpretarse que esta limitación a la capacidad de </w:t>
      </w:r>
      <w:r w:rsidRPr="00363EDC">
        <w:rPr>
          <w:rFonts w:ascii="Verdana" w:eastAsia="Calibri" w:hAnsi="Verdana" w:cs="Arial"/>
        </w:rPr>
        <w:lastRenderedPageBreak/>
        <w:t xml:space="preserve">contratación únicamente surte efecto </w:t>
      </w:r>
      <w:r w:rsidRPr="00363EDC">
        <w:rPr>
          <w:rFonts w:ascii="Verdana" w:eastAsia="Calibri" w:hAnsi="Verdana" w:cs="Arial"/>
          <w:iCs/>
        </w:rPr>
        <w:t xml:space="preserve">dentro del ámbito territorial de competencias del respectivo </w:t>
      </w:r>
      <w:r w:rsidRPr="00363EDC">
        <w:rPr>
          <w:rFonts w:ascii="Verdana" w:eastAsia="Calibri" w:hAnsi="Verdana" w:cs="Arial"/>
          <w:bCs/>
        </w:rPr>
        <w:t xml:space="preserve">gobernador, alcalde, diputado o concejal. </w:t>
      </w:r>
    </w:p>
    <w:p w14:paraId="07830F4F" w14:textId="77777777" w:rsidR="00BC0341" w:rsidRPr="00363EDC" w:rsidRDefault="00BC0341" w:rsidP="00BC0341">
      <w:pPr>
        <w:tabs>
          <w:tab w:val="left" w:pos="0"/>
        </w:tabs>
        <w:spacing w:after="0" w:line="276" w:lineRule="auto"/>
        <w:ind w:firstLine="709"/>
        <w:jc w:val="both"/>
        <w:rPr>
          <w:rFonts w:ascii="Verdana" w:eastAsia="Calibri" w:hAnsi="Verdana" w:cs="Arial"/>
          <w:bCs/>
        </w:rPr>
      </w:pPr>
      <w:r w:rsidRPr="00363EDC">
        <w:rPr>
          <w:rFonts w:ascii="Verdana" w:eastAsia="Calibri" w:hAnsi="Verdana" w:cs="Arial"/>
          <w:bCs/>
        </w:rPr>
        <w:t xml:space="preserve">Esto significa que las personas señaladas en el artículo 1° de la Ley 1296 de 2009 no podrán contratar en el territorio en el que su cónyuge o compañero permanente o pariente dentro del </w:t>
      </w:r>
      <w:r w:rsidRPr="00363EDC">
        <w:rPr>
          <w:rFonts w:ascii="Verdana" w:eastAsia="Calibri" w:hAnsi="Verdana" w:cs="Arial"/>
        </w:rPr>
        <w:t>cuarto grado de consanguinidad, segundo de afinidad, o primero civil, ejerza sus competencias como gobernador o diputado, o alcalde o concejal municipal o distrital.</w:t>
      </w:r>
      <w:r w:rsidRPr="00363EDC">
        <w:rPr>
          <w:rFonts w:ascii="Verdana" w:eastAsia="Calibri" w:hAnsi="Verdana" w:cs="Arial"/>
          <w:bCs/>
        </w:rPr>
        <w:t xml:space="preserve"> Además, la limitación señalada, de acuerdo con lo expresado por la Corte Constitucional </w:t>
      </w:r>
      <w:r w:rsidRPr="00363EDC">
        <w:rPr>
          <w:rFonts w:ascii="Verdana" w:eastAsia="Calibri" w:hAnsi="Verdana" w:cs="Arial"/>
        </w:rPr>
        <w:t>“no se aplica a aquellos contratos por medio de los cuales la administración ofrece, en igualdad de condiciones, a todos los ciudadanos y personas, un determinado bien o servicio, en desarrollo de sus funciones constitucionales y legales”. Así lo</w:t>
      </w:r>
      <w:r w:rsidRPr="00363EDC">
        <w:rPr>
          <w:rFonts w:ascii="Verdana" w:eastAsia="Calibri" w:hAnsi="Verdana" w:cs="Arial"/>
          <w:bCs/>
        </w:rPr>
        <w:t xml:space="preserve"> precisó la Corte Constitucional:</w:t>
      </w:r>
    </w:p>
    <w:p w14:paraId="49EF07AA" w14:textId="77777777" w:rsidR="00BC0341" w:rsidRPr="00363EDC" w:rsidRDefault="00BC0341" w:rsidP="00BC0341">
      <w:pPr>
        <w:tabs>
          <w:tab w:val="left" w:pos="0"/>
        </w:tabs>
        <w:spacing w:after="0" w:line="276" w:lineRule="auto"/>
        <w:jc w:val="both"/>
        <w:rPr>
          <w:rFonts w:ascii="Verdana" w:eastAsia="Calibri" w:hAnsi="Verdana" w:cs="Arial"/>
          <w:bCs/>
        </w:rPr>
      </w:pPr>
    </w:p>
    <w:p w14:paraId="7205E6E9" w14:textId="77777777" w:rsidR="00BC0341" w:rsidRPr="00363EDC" w:rsidRDefault="00BC0341" w:rsidP="00BC0341">
      <w:pPr>
        <w:spacing w:after="120"/>
        <w:ind w:left="709" w:right="709"/>
        <w:jc w:val="both"/>
        <w:rPr>
          <w:rFonts w:ascii="Verdana" w:eastAsia="Calibri" w:hAnsi="Verdana" w:cs="Arial"/>
          <w:sz w:val="21"/>
          <w:szCs w:val="21"/>
        </w:rPr>
      </w:pPr>
      <w:r w:rsidRPr="00363EDC">
        <w:rPr>
          <w:rFonts w:ascii="Verdana" w:eastAsia="Calibri" w:hAnsi="Verdana" w:cs="Arial"/>
          <w:sz w:val="21"/>
          <w:szCs w:val="21"/>
        </w:rPr>
        <w:t xml:space="preserve">“Empero, para garantizar la proporcionalidad, dicho fallo condicionó la </w:t>
      </w:r>
      <w:proofErr w:type="spellStart"/>
      <w:r w:rsidRPr="00363EDC">
        <w:rPr>
          <w:rFonts w:ascii="Verdana" w:eastAsia="Calibri" w:hAnsi="Verdana" w:cs="Arial"/>
          <w:sz w:val="21"/>
          <w:szCs w:val="21"/>
        </w:rPr>
        <w:t>exequibilidad</w:t>
      </w:r>
      <w:proofErr w:type="spellEnd"/>
      <w:r w:rsidRPr="00363EDC">
        <w:rPr>
          <w:rFonts w:ascii="Verdana" w:eastAsia="Calibri" w:hAnsi="Verdana" w:cs="Arial"/>
          <w:sz w:val="21"/>
          <w:szCs w:val="21"/>
        </w:rPr>
        <w:t xml:space="preserve"> de la norma en el entendido de que</w:t>
      </w:r>
      <w:r w:rsidRPr="00363EDC">
        <w:rPr>
          <w:rFonts w:ascii="Verdana" w:eastAsia="Calibri" w:hAnsi="Verdana" w:cs="Arial"/>
          <w:i/>
          <w:iCs/>
          <w:sz w:val="21"/>
          <w:szCs w:val="21"/>
        </w:rPr>
        <w:t> “las prohibiciones allí previstas surtan efectos únicamente dentro del ámbito territorial de competencias del respectivo diputado o concejal”. </w:t>
      </w:r>
      <w:r w:rsidRPr="00363EDC">
        <w:rPr>
          <w:rFonts w:ascii="Verdana" w:eastAsia="Calibri" w:hAnsi="Verdana" w:cs="Arial"/>
          <w:sz w:val="21"/>
          <w:szCs w:val="21"/>
        </w:rPr>
        <w:t>Además, decidió que “</w:t>
      </w:r>
      <w:r w:rsidRPr="00363EDC">
        <w:rPr>
          <w:rFonts w:ascii="Verdana" w:eastAsia="Calibri" w:hAnsi="Verdana" w:cs="Arial"/>
          <w:i/>
          <w:iCs/>
          <w:sz w:val="21"/>
          <w:szCs w:val="21"/>
        </w:rPr>
        <w:t>para evitar alcances irrazonables de las disposiciones acusadas, en el mismo sentido de lo señalado en la sentencia C-618 de 1997 </w:t>
      </w:r>
      <w:r w:rsidRPr="00363EDC">
        <w:rPr>
          <w:rFonts w:ascii="Verdana" w:eastAsia="Calibri" w:hAnsi="Verdana" w:cs="Arial"/>
          <w:sz w:val="21"/>
          <w:szCs w:val="21"/>
        </w:rPr>
        <w:t>(…),</w:t>
      </w:r>
      <w:r w:rsidRPr="00363EDC">
        <w:rPr>
          <w:rFonts w:ascii="Verdana" w:eastAsia="Calibri" w:hAnsi="Verdana" w:cs="Arial"/>
          <w:i/>
          <w:iCs/>
          <w:sz w:val="21"/>
          <w:szCs w:val="21"/>
        </w:rPr>
        <w:t> “la Corte entiende que la disposición acusada no se aplica a aquellos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tal caso la inhabilidad sería totalmente irrazonable</w:t>
      </w:r>
      <w:r w:rsidRPr="00363EDC">
        <w:rPr>
          <w:rFonts w:ascii="Verdana" w:eastAsia="Calibri" w:hAnsi="Verdana" w:cs="Arial"/>
          <w:sz w:val="21"/>
          <w:szCs w:val="21"/>
        </w:rPr>
        <w:t>”</w:t>
      </w:r>
      <w:r w:rsidRPr="00363EDC">
        <w:rPr>
          <w:rFonts w:ascii="Verdana" w:eastAsia="Calibri" w:hAnsi="Verdana" w:cs="Arial"/>
          <w:sz w:val="21"/>
          <w:szCs w:val="21"/>
          <w:vertAlign w:val="superscript"/>
        </w:rPr>
        <w:footnoteReference w:id="16"/>
      </w:r>
      <w:r w:rsidRPr="00363EDC">
        <w:rPr>
          <w:rFonts w:ascii="Verdana" w:eastAsia="Calibri" w:hAnsi="Verdana" w:cs="Arial"/>
          <w:sz w:val="21"/>
          <w:szCs w:val="21"/>
        </w:rPr>
        <w:t xml:space="preserve">. </w:t>
      </w:r>
    </w:p>
    <w:p w14:paraId="677876E6" w14:textId="77777777" w:rsidR="00BC0341" w:rsidRPr="00363EDC" w:rsidRDefault="00BC0341" w:rsidP="00BC0341">
      <w:pPr>
        <w:spacing w:after="0"/>
        <w:ind w:left="709" w:right="709"/>
        <w:jc w:val="both"/>
        <w:rPr>
          <w:rFonts w:ascii="Verdana" w:eastAsia="Calibri" w:hAnsi="Verdana" w:cs="Arial"/>
          <w:sz w:val="21"/>
          <w:szCs w:val="21"/>
        </w:rPr>
      </w:pPr>
      <w:r w:rsidRPr="00363EDC">
        <w:rPr>
          <w:rFonts w:ascii="Verdana" w:eastAsia="Calibri" w:hAnsi="Verdana" w:cs="Arial"/>
          <w:sz w:val="21"/>
          <w:szCs w:val="21"/>
        </w:rPr>
        <w:t>Dichas precisiones constitucionales introducidas por la sentencia C-348 de 2004 siguen surtiendo efectos, a pesar que la misma norma se encuentra ahora en una disposición diferente. Por lo tanto, no se hace necesario reiterar dichos condicionamientos, en la parte resolutiva de la presente sentencia”.</w:t>
      </w:r>
    </w:p>
    <w:p w14:paraId="137631F2" w14:textId="77777777" w:rsidR="00BC0341" w:rsidRPr="00363EDC" w:rsidRDefault="00BC0341" w:rsidP="00BC0341">
      <w:pPr>
        <w:tabs>
          <w:tab w:val="left" w:pos="0"/>
        </w:tabs>
        <w:spacing w:after="0" w:line="276" w:lineRule="auto"/>
        <w:ind w:firstLine="709"/>
        <w:jc w:val="both"/>
        <w:rPr>
          <w:rFonts w:ascii="Verdana" w:eastAsia="Calibri" w:hAnsi="Verdana" w:cs="Arial"/>
        </w:rPr>
      </w:pPr>
    </w:p>
    <w:p w14:paraId="3866C2F8" w14:textId="77777777" w:rsidR="00BC0341" w:rsidRPr="00363EDC" w:rsidRDefault="00BC0341" w:rsidP="00BC0341">
      <w:pPr>
        <w:tabs>
          <w:tab w:val="left" w:pos="0"/>
        </w:tabs>
        <w:spacing w:after="120" w:line="276" w:lineRule="auto"/>
        <w:ind w:firstLine="709"/>
        <w:jc w:val="both"/>
        <w:rPr>
          <w:rFonts w:ascii="Verdana" w:eastAsia="Calibri" w:hAnsi="Verdana" w:cs="Arial"/>
        </w:rPr>
      </w:pPr>
      <w:r w:rsidRPr="00363EDC">
        <w:rPr>
          <w:rFonts w:ascii="Verdana" w:eastAsia="Calibri" w:hAnsi="Verdana" w:cs="Arial"/>
        </w:rPr>
        <w:t xml:space="preserve">De esta manera, esta inhabilidad, como todas las demás contenidas en el ordenamiento jurídico, debe interpretarse, según se explicó, de manera restrictiva y, por ello, su aplicación y alcance debe circunscribirse a lo expresamente consagrado en la Ley y en la jurisprudencia. Por ello, conforme </w:t>
      </w:r>
      <w:r w:rsidRPr="00363EDC">
        <w:rPr>
          <w:rFonts w:ascii="Verdana" w:eastAsia="Calibri" w:hAnsi="Verdana" w:cs="Arial"/>
        </w:rPr>
        <w:lastRenderedPageBreak/>
        <w:t xml:space="preserve">se ha expuesto, la situación de hecho que genera la inhabilidad contenida en el artículo 1 de la Ley 1296 de 2009 es el </w:t>
      </w:r>
      <w:r w:rsidRPr="00363EDC">
        <w:rPr>
          <w:rFonts w:ascii="Verdana" w:eastAsia="Calibri" w:hAnsi="Verdana" w:cs="Arial"/>
          <w:bCs/>
        </w:rPr>
        <w:t xml:space="preserve">parentesco dentro del cuarto grado de consanguinidad, segundo de afinidad, primero civil o estar ligados por matrimonio o unión permanente con los gobernadores, diputados, alcaldes o concejales. </w:t>
      </w:r>
    </w:p>
    <w:p w14:paraId="59526475" w14:textId="77777777" w:rsidR="00BC0341" w:rsidRPr="00363EDC" w:rsidRDefault="00BC0341" w:rsidP="00BC0341">
      <w:pPr>
        <w:spacing w:after="120" w:line="276" w:lineRule="auto"/>
        <w:ind w:firstLine="709"/>
        <w:jc w:val="both"/>
        <w:rPr>
          <w:rFonts w:ascii="Verdana" w:eastAsia="Calibri" w:hAnsi="Verdana" w:cs="Arial"/>
        </w:rPr>
      </w:pPr>
      <w:r w:rsidRPr="00363EDC">
        <w:rPr>
          <w:rFonts w:ascii="Verdana" w:eastAsia="Calibri" w:hAnsi="Verdana" w:cs="Arial"/>
        </w:rPr>
        <w:t>Para efectos del problema jurídico planteado en este concepto, debe indicarse que, en relación con el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w:t>
      </w:r>
      <w:r w:rsidRPr="00363EDC">
        <w:rPr>
          <w:rFonts w:ascii="Verdana" w:eastAsia="Calibri" w:hAnsi="Verdana" w:cs="Arial"/>
          <w:vertAlign w:val="superscript"/>
        </w:rPr>
        <w:footnoteReference w:id="17"/>
      </w:r>
      <w:r w:rsidRPr="00363EDC">
        <w:rPr>
          <w:rFonts w:ascii="Verdana" w:eastAsia="Calibri" w:hAnsi="Verdana" w:cs="Arial"/>
        </w:rPr>
        <w:t>. Por su parte, el parentesco de afinidad se refiere a la relación surgida entre una persona y los consanguíneos de su esposo, esposa o compañeros permanentes, según el caso</w:t>
      </w:r>
      <w:r w:rsidRPr="00363EDC">
        <w:rPr>
          <w:rFonts w:ascii="Verdana" w:eastAsia="Calibri" w:hAnsi="Verdana" w:cs="Arial"/>
          <w:vertAlign w:val="superscript"/>
        </w:rPr>
        <w:footnoteReference w:id="18"/>
      </w:r>
      <w:r w:rsidRPr="00363EDC">
        <w:rPr>
          <w:rFonts w:ascii="Verdana" w:eastAsia="Calibri" w:hAnsi="Verdana" w:cs="Arial"/>
        </w:rPr>
        <w:t xml:space="preserve">. </w:t>
      </w:r>
    </w:p>
    <w:p w14:paraId="48E4B777" w14:textId="77777777" w:rsidR="00BC0341" w:rsidRPr="00363EDC" w:rsidRDefault="00BC0341" w:rsidP="00BC0341">
      <w:pPr>
        <w:spacing w:line="276" w:lineRule="auto"/>
        <w:ind w:firstLine="709"/>
        <w:jc w:val="both"/>
        <w:rPr>
          <w:rFonts w:ascii="Verdana" w:eastAsia="Aptos" w:hAnsi="Verdana" w:cs="Arial"/>
        </w:rPr>
      </w:pPr>
      <w:r w:rsidRPr="00363EDC">
        <w:rPr>
          <w:rFonts w:ascii="Verdana" w:eastAsia="Calibri" w:hAnsi="Verdana" w:cs="Arial"/>
        </w:rPr>
        <w:t>En cuanto a los grados del parentesco se refiere, ya sea de consanguinidad o de afinidad</w:t>
      </w:r>
      <w:r w:rsidRPr="00363EDC">
        <w:rPr>
          <w:rFonts w:ascii="Verdana" w:eastAsia="Calibri" w:hAnsi="Verdana" w:cs="Arial"/>
          <w:vertAlign w:val="superscript"/>
        </w:rPr>
        <w:footnoteReference w:id="19"/>
      </w:r>
      <w:r w:rsidRPr="00363EDC">
        <w:rPr>
          <w:rFonts w:ascii="Verdana" w:eastAsia="Calibri" w:hAnsi="Verdana" w:cs="Arial"/>
        </w:rPr>
        <w:t>, estos se cuentan en consideración al número de generaciones existentes entre las personas. De esta manera, esta causal de inhabilidad se configura, por ejemplo, sin reducirse a ellos, respecto de los padres, hermanos, abuelos, nietos, tíos y primos, y demás personas que se encuentren dentro del cuarto grado de consanguinidad. Mientras que, dentro del segundo grado de afinidad están, por ejemplo, los padres, hermanos –cuñados–, abuelos y nietos del cónyuge o compañero permanente. Respecto del</w:t>
      </w:r>
      <w:r w:rsidRPr="00363EDC">
        <w:rPr>
          <w:rFonts w:ascii="Verdana" w:eastAsia="Aptos" w:hAnsi="Verdana" w:cs="Arial"/>
        </w:rPr>
        <w:t xml:space="preserve"> parentesco civil, el Código de la Infancia y de la Adolescencia señala que </w:t>
      </w:r>
      <w:r w:rsidRPr="00363EDC">
        <w:rPr>
          <w:rFonts w:ascii="Verdana" w:eastAsia="Calibri" w:hAnsi="Verdana" w:cs="Arial"/>
        </w:rPr>
        <w:t>“</w:t>
      </w:r>
      <w:r w:rsidRPr="00363EDC">
        <w:rPr>
          <w:rFonts w:ascii="Verdana" w:eastAsia="Aptos" w:hAnsi="Verdana" w:cs="Arial"/>
        </w:rPr>
        <w:t>la adopción establece parentesco civil entre el adoptivo y el adoptante, que se extiende en todas las líneas y grados a los consanguíneos, adoptivos o afines de estos</w:t>
      </w:r>
      <w:r w:rsidRPr="00363EDC">
        <w:rPr>
          <w:rFonts w:ascii="Verdana" w:eastAsia="Calibri" w:hAnsi="Verdana" w:cs="Arial"/>
        </w:rPr>
        <w:t>”</w:t>
      </w:r>
      <w:r w:rsidRPr="00363EDC">
        <w:rPr>
          <w:rFonts w:ascii="Verdana" w:eastAsia="Aptos" w:hAnsi="Verdana" w:cs="Arial"/>
          <w:vertAlign w:val="superscript"/>
        </w:rPr>
        <w:footnoteReference w:id="20"/>
      </w:r>
      <w:r w:rsidRPr="00363EDC">
        <w:rPr>
          <w:rFonts w:ascii="Verdana" w:eastAsia="Aptos" w:hAnsi="Verdana" w:cs="Arial"/>
        </w:rPr>
        <w:t xml:space="preserve">, por tanto, se encuentran inmersos en esta situación, por ejemplo, los hijos adoptivos. </w:t>
      </w:r>
    </w:p>
    <w:p w14:paraId="095F3DB4" w14:textId="77777777" w:rsidR="00BC0341" w:rsidRPr="00363EDC" w:rsidRDefault="00BC0341" w:rsidP="00BC0341">
      <w:pPr>
        <w:spacing w:before="120" w:line="276" w:lineRule="auto"/>
        <w:ind w:firstLine="709"/>
        <w:jc w:val="both"/>
        <w:rPr>
          <w:rFonts w:ascii="Verdana" w:eastAsia="Calibri" w:hAnsi="Verdana" w:cs="Arial"/>
        </w:rPr>
      </w:pPr>
      <w:r w:rsidRPr="00363EDC">
        <w:rPr>
          <w:rFonts w:ascii="Verdana" w:eastAsia="Calibri" w:hAnsi="Verdana" w:cs="Arial"/>
        </w:rPr>
        <w:lastRenderedPageBreak/>
        <w:t xml:space="preserve">Según se observa, la intención del legislador es clara en establecer como condicionante de la capacidad para contratar de estas personas, su relación familiar o de parentesco con los gobernadores, </w:t>
      </w:r>
      <w:r w:rsidRPr="00363EDC">
        <w:rPr>
          <w:rFonts w:ascii="Verdana" w:eastAsia="Calibri" w:hAnsi="Verdana" w:cs="Arial"/>
          <w:bCs/>
        </w:rPr>
        <w:t xml:space="preserve">diputados, alcaldes o concejales, precisamente para evitar la injerencia indebida de estos en la gestión pública a favor de aquellos, teniendo en cuenta su cercanía. Bajo estas consideraciones, </w:t>
      </w:r>
      <w:bookmarkStart w:id="2" w:name="_Hlk67555557"/>
      <w:r w:rsidRPr="00363EDC">
        <w:rPr>
          <w:rFonts w:ascii="Verdana" w:eastAsia="Calibri" w:hAnsi="Verdana" w:cs="Arial"/>
          <w:bCs/>
        </w:rPr>
        <w:t>la inhabilidad de que trata el artículo 1°</w:t>
      </w:r>
      <w:r w:rsidRPr="00363EDC">
        <w:rPr>
          <w:rFonts w:ascii="Verdana" w:eastAsia="Calibri" w:hAnsi="Verdana" w:cs="Arial"/>
        </w:rPr>
        <w:t xml:space="preserve"> Ley 1296 de 2009</w:t>
      </w:r>
      <w:r w:rsidRPr="00363EDC">
        <w:rPr>
          <w:rFonts w:ascii="Verdana" w:eastAsia="Calibri" w:hAnsi="Verdana" w:cs="Arial"/>
          <w:bCs/>
        </w:rPr>
        <w:t xml:space="preserve"> subsiste para los sujetos señalados mientras los gobernadores, diputados, alcaldes y concejales desempeñen dichos cargos. En consecuencia, atendiendo a la interpretación restrictiva de las inhabilidades, en caso de que los gobernadores, diputados, alcaldes y concejales dejen de ostentar tal calidad, se extinguiría para sus cónyuges o compañeros permanentes y parientes señalados la prohibición para contratar </w:t>
      </w:r>
      <w:r w:rsidRPr="00363EDC">
        <w:rPr>
          <w:rFonts w:ascii="Verdana" w:eastAsia="Calibri" w:hAnsi="Verdana" w:cs="Arial"/>
        </w:rPr>
        <w:t xml:space="preserve">con el respectivo departamento, distrito o municipio, o de sus entidades descentralizadas. </w:t>
      </w:r>
    </w:p>
    <w:bookmarkEnd w:id="2"/>
    <w:p w14:paraId="25CEE454" w14:textId="77777777" w:rsidR="00BC0341" w:rsidRPr="00363EDC" w:rsidRDefault="00BC0341" w:rsidP="00BC0341">
      <w:pPr>
        <w:spacing w:before="120" w:line="276" w:lineRule="auto"/>
        <w:ind w:firstLine="720"/>
        <w:jc w:val="both"/>
        <w:rPr>
          <w:rFonts w:ascii="Verdana" w:eastAsia="Calibri" w:hAnsi="Verdana" w:cs="Arial"/>
          <w:bCs/>
        </w:rPr>
      </w:pPr>
      <w:r w:rsidRPr="00363EDC">
        <w:rPr>
          <w:rFonts w:ascii="Verdana" w:eastAsia="Calibri" w:hAnsi="Verdana" w:cs="Arial"/>
          <w:bCs/>
        </w:rPr>
        <w:t>Ello es así por cuanto la norma no establece una extensión de la limitación para contratar una vez cese la calidad de gobernadores, diputados, alcaldes y concejales, como lo hace respecto de otras inhabilidades o incompatibilidades</w:t>
      </w:r>
      <w:r w:rsidRPr="00363EDC">
        <w:rPr>
          <w:rFonts w:ascii="Verdana" w:eastAsia="Calibri" w:hAnsi="Verdana" w:cs="Arial"/>
          <w:bCs/>
          <w:vertAlign w:val="superscript"/>
        </w:rPr>
        <w:footnoteReference w:id="21"/>
      </w:r>
      <w:r w:rsidRPr="00363EDC">
        <w:rPr>
          <w:rFonts w:ascii="Verdana" w:eastAsia="Calibri" w:hAnsi="Verdana" w:cs="Arial"/>
          <w:bCs/>
        </w:rPr>
        <w:t xml:space="preserve">. Además, debe agregarse que, atendiendo al propósito de la inhabilidad de garantizar los principios constitucionales y el interés general en relación con el ejercicio de dichos cargos, el legislador consideró que no sería proporcional ni razonable agotado el periodo de gobernador, diputado, alcalde o concejal, se mantuviera una restricción para contratar para sus familiares o parientes. Como se explicó, las restricciones deben interpretarse </w:t>
      </w:r>
      <w:r w:rsidRPr="00363EDC">
        <w:rPr>
          <w:rFonts w:ascii="Verdana" w:eastAsia="Aptos" w:hAnsi="Verdana" w:cs="Arial"/>
        </w:rPr>
        <w:t xml:space="preserve">de forma que implique el menor sacrificio posible al derecho de libertad de empresa, concurrencia en los procedimientos de selección y de reconocimiento de la personalidad jurídica de quienes aspiran a contratar con el Estado. </w:t>
      </w:r>
      <w:r w:rsidRPr="00363EDC">
        <w:rPr>
          <w:rFonts w:ascii="Verdana" w:eastAsia="Calibri" w:hAnsi="Verdana" w:cs="Arial"/>
          <w:bCs/>
        </w:rPr>
        <w:t xml:space="preserve"> </w:t>
      </w:r>
    </w:p>
    <w:p w14:paraId="0D1A3E5D" w14:textId="77777777" w:rsidR="00BC0341" w:rsidRPr="00363EDC" w:rsidRDefault="00BC0341" w:rsidP="00BC0341">
      <w:pPr>
        <w:spacing w:before="120" w:after="120" w:line="276" w:lineRule="auto"/>
        <w:ind w:firstLine="708"/>
        <w:jc w:val="both"/>
        <w:rPr>
          <w:rFonts w:ascii="Verdana" w:eastAsia="Calibri" w:hAnsi="Verdana" w:cs="Arial"/>
        </w:rPr>
      </w:pPr>
      <w:r w:rsidRPr="00363EDC">
        <w:rPr>
          <w:rFonts w:ascii="Verdana" w:eastAsia="Calibri" w:hAnsi="Verdana" w:cs="Arial"/>
        </w:rPr>
        <w:t xml:space="preserve">Para efectos de su solicitud, debe señalarse que, según la inhabilidad del artículo 1 de la Ley 1296 de 2009, </w:t>
      </w:r>
      <w:r w:rsidRPr="00363EDC">
        <w:rPr>
          <w:rFonts w:ascii="Verdana" w:eastAsia="Times New Roman" w:hAnsi="Verdana" w:cs="Arial"/>
        </w:rPr>
        <w:t xml:space="preserve">los cónyuges o compañeros permanentes de los concejales de un municipio y sus parientes dentro del cuarto grado de </w:t>
      </w:r>
      <w:r w:rsidRPr="00363EDC">
        <w:rPr>
          <w:rFonts w:ascii="Verdana" w:eastAsia="Times New Roman" w:hAnsi="Verdana" w:cs="Arial"/>
        </w:rPr>
        <w:lastRenderedPageBreak/>
        <w:t xml:space="preserve">consanguinidad, primero de afinidad, o único civil no podrán ser contratistas en las entidades del respectivo municipio, ni directa, ni indirectamente. </w:t>
      </w:r>
    </w:p>
    <w:p w14:paraId="42D73314" w14:textId="77777777" w:rsidR="00BC0341" w:rsidRPr="00363EDC" w:rsidRDefault="00BC0341" w:rsidP="00BC0341">
      <w:pPr>
        <w:spacing w:after="120" w:line="276" w:lineRule="auto"/>
        <w:ind w:firstLine="708"/>
        <w:jc w:val="both"/>
        <w:rPr>
          <w:rFonts w:ascii="Verdana" w:eastAsia="Calibri" w:hAnsi="Verdana" w:cs="Arial"/>
        </w:rPr>
      </w:pPr>
      <w:r w:rsidRPr="00363EDC">
        <w:rPr>
          <w:rFonts w:ascii="Verdana" w:eastAsia="Calibri" w:hAnsi="Verdana" w:cs="Arial"/>
        </w:rPr>
        <w:t>La expresión “no puede celebrar contratos de forma directa o indirecta” es importante para comprender dicha inhabilidad, pues, aunque, el artículo 1 de la Ley 1296 d 2009 no define su alcance, es posible acercarse a su definición a través de las pautas hermenéuticas del artículo 28 del Código Civil, pues “</w:t>
      </w:r>
      <w:r w:rsidRPr="00363EDC">
        <w:rPr>
          <w:rFonts w:ascii="Verdana" w:eastAsia="Calibri" w:hAnsi="Verdana" w:cs="Arial"/>
          <w:i/>
          <w:iCs/>
        </w:rPr>
        <w:t>Las palabras de la ley se entenderán en su sentido natural y obvio, según el uso general de las mismas palabras</w:t>
      </w:r>
      <w:r w:rsidRPr="00363EDC">
        <w:rPr>
          <w:rFonts w:ascii="Verdana" w:eastAsia="Calibri" w:hAnsi="Verdana" w:cs="Arial"/>
        </w:rPr>
        <w:t xml:space="preserve">; pero cuando el legislador las haya definido expresamente para ciertas materias, se les dará en éstas su significado legal” (Énfasis fuera de texto). De esta manera, el diccionario de la Real Academia Española define la palabra “directo” aludiendo a aquello “Que va de una parte a otra sin detenerse en los puntos intermedios”. Por oposición, define la palabra “indirecto” como aquello que “Que no va rectamente a un fin, aunque se encamine a él”. </w:t>
      </w:r>
    </w:p>
    <w:p w14:paraId="54CF5012" w14:textId="77777777" w:rsidR="00BC0341" w:rsidRPr="00363EDC" w:rsidRDefault="00BC0341" w:rsidP="00BC0341">
      <w:pPr>
        <w:spacing w:after="120" w:line="276" w:lineRule="auto"/>
        <w:ind w:firstLine="708"/>
        <w:jc w:val="both"/>
        <w:rPr>
          <w:rFonts w:ascii="Verdana" w:eastAsia="Calibri" w:hAnsi="Verdana" w:cs="Arial"/>
        </w:rPr>
      </w:pPr>
      <w:r w:rsidRPr="00363EDC">
        <w:rPr>
          <w:rFonts w:ascii="Verdana" w:eastAsia="Calibri" w:hAnsi="Verdana" w:cs="Arial"/>
        </w:rPr>
        <w:t xml:space="preserve">Aplicadas las definiciones a los contratos, estos serán celebrados directa o indirectamente dependiendo si existe o no un intermediario. Si la participación corresponde al mismo interesado estando dentro de las restricciones del artículo 1 de la Ley 1296 de 2009, esta será directa. Por el contrario, si la intervención del mismo sujeto se presenta de forma encubierta o subrepticia, es decir, a través de terceras personas, esta será indirecta. De esta manera, la norma citada prohíbe que los parientes, cónyuges y compañeros permanentes de los gobernadores, diputados, alcaldes y concejales, participen en la celebración y ejecución de contratos con el departamento, distrito o municipio, o de sus entidades descentralizadas, bien sea que intervengan a nombre propio o a través de terceros.  </w:t>
      </w:r>
    </w:p>
    <w:p w14:paraId="303F9928" w14:textId="77777777" w:rsidR="00BC0341" w:rsidRPr="00363EDC" w:rsidRDefault="00BC0341" w:rsidP="00BC0341">
      <w:pPr>
        <w:spacing w:after="120" w:line="276" w:lineRule="auto"/>
        <w:ind w:firstLine="708"/>
        <w:jc w:val="both"/>
        <w:rPr>
          <w:rFonts w:ascii="Verdana" w:eastAsia="Calibri" w:hAnsi="Verdana" w:cs="Arial"/>
        </w:rPr>
      </w:pPr>
      <w:r w:rsidRPr="00363EDC">
        <w:rPr>
          <w:rFonts w:ascii="Verdana" w:eastAsia="Calibri" w:hAnsi="Verdana" w:cs="Arial"/>
        </w:rPr>
        <w:t xml:space="preserve">Existe </w:t>
      </w:r>
      <w:r w:rsidRPr="00363EDC">
        <w:rPr>
          <w:rFonts w:ascii="Verdana" w:eastAsia="Calibri" w:hAnsi="Verdana" w:cs="Arial"/>
          <w:i/>
          <w:iCs/>
        </w:rPr>
        <w:t>intervención a nombre propio</w:t>
      </w:r>
      <w:r w:rsidRPr="00363EDC">
        <w:rPr>
          <w:rFonts w:ascii="Verdana" w:eastAsia="Calibri" w:hAnsi="Verdana" w:cs="Arial"/>
        </w:rPr>
        <w:t xml:space="preserve"> cuando la persona afectada por la restricción del artículo 1 de la Ley 1296 de 2009 pretende participar en la celebración y ejecución del contrato por sí mismo o a través de un representante facultado para el efecto. El primer supuesto no genera dificultad alguna, pues presupone la participación directa del inhabilitado. No obstante, a pesar de que en la segunda hipótesis existe intermediación de un tercero, es necesario tener en cuenta que el artículo 1505 del Código Civil –aplicable a los contratos estatales de las entidades sometidas al Estatuto General de Contratación por remisión de los art. 13, 32 y 40 de la Ley 80 de 1993– dispone que “Lo que una persona ejecuta a nombre de otra, estando facultada por ella o por la ley para representarla, produce respecto del representado iguales efectos que si hubiese </w:t>
      </w:r>
      <w:r w:rsidRPr="00363EDC">
        <w:rPr>
          <w:rFonts w:ascii="Verdana" w:eastAsia="Calibri" w:hAnsi="Verdana" w:cs="Arial"/>
        </w:rPr>
        <w:lastRenderedPageBreak/>
        <w:t>contratado él mismo”. Esta norma crea una ficción legal, por la cual la intervención del representante equivale a la que realizaría directamente el mismo representado.</w:t>
      </w:r>
    </w:p>
    <w:p w14:paraId="12E36C79" w14:textId="77777777" w:rsidR="00BC0341" w:rsidRPr="00363EDC" w:rsidRDefault="00BC0341" w:rsidP="00BC0341">
      <w:pPr>
        <w:spacing w:after="120" w:line="276" w:lineRule="auto"/>
        <w:ind w:firstLine="708"/>
        <w:jc w:val="both"/>
        <w:rPr>
          <w:rFonts w:ascii="Verdana" w:eastAsia="Calibri" w:hAnsi="Verdana" w:cs="Arial"/>
        </w:rPr>
      </w:pPr>
      <w:r w:rsidRPr="00363EDC">
        <w:rPr>
          <w:rFonts w:ascii="Verdana" w:eastAsia="Calibri" w:hAnsi="Verdana" w:cs="Arial"/>
        </w:rPr>
        <w:t xml:space="preserve">En contraste, existe </w:t>
      </w:r>
      <w:r w:rsidRPr="00363EDC">
        <w:rPr>
          <w:rFonts w:ascii="Verdana" w:eastAsia="Calibri" w:hAnsi="Verdana" w:cs="Arial"/>
          <w:i/>
          <w:iCs/>
        </w:rPr>
        <w:t>intervención a través de terceros</w:t>
      </w:r>
      <w:r w:rsidRPr="00363EDC">
        <w:rPr>
          <w:rFonts w:ascii="Verdana" w:eastAsia="Calibri" w:hAnsi="Verdana" w:cs="Arial"/>
        </w:rPr>
        <w:t xml:space="preserve"> cuando la persona afectada por la restricción del artículo 1 de la Ley 1296 de 2009 pretende participar en la celebración y ejecución del contrato a través de “mandatos ocultos” o en calidad de socio </w:t>
      </w:r>
      <w:r w:rsidRPr="00363EDC">
        <w:rPr>
          <w:rFonts w:ascii="Verdana" w:eastAsia="Calibri" w:hAnsi="Verdana" w:cs="Arial"/>
          <w:i/>
          <w:iCs/>
        </w:rPr>
        <w:t>o representante legal de una persona jurídica</w:t>
      </w:r>
      <w:r w:rsidRPr="00363EDC">
        <w:rPr>
          <w:rFonts w:ascii="Verdana" w:eastAsia="Calibri" w:hAnsi="Verdana" w:cs="Arial"/>
        </w:rPr>
        <w:t>, sin perjuicio de otras modalidades de participación subrepticia por parte del sujeto inhabilitado</w:t>
      </w:r>
      <w:r w:rsidRPr="00363EDC">
        <w:rPr>
          <w:rFonts w:ascii="Verdana" w:eastAsia="Calibri" w:hAnsi="Verdana" w:cs="Arial"/>
          <w:vertAlign w:val="superscript"/>
        </w:rPr>
        <w:footnoteReference w:id="22"/>
      </w:r>
      <w:r w:rsidRPr="00363EDC">
        <w:rPr>
          <w:rFonts w:ascii="Verdana" w:eastAsia="Calibri" w:hAnsi="Verdana" w:cs="Arial"/>
        </w:rPr>
        <w:t xml:space="preserve">. </w:t>
      </w:r>
    </w:p>
    <w:p w14:paraId="39C528BC" w14:textId="77777777" w:rsidR="00BC0341" w:rsidRPr="00363EDC" w:rsidRDefault="00BC0341" w:rsidP="00BC0341">
      <w:pPr>
        <w:spacing w:after="120" w:line="276" w:lineRule="auto"/>
        <w:ind w:firstLine="709"/>
        <w:jc w:val="both"/>
        <w:rPr>
          <w:rFonts w:ascii="Verdana" w:eastAsia="Calibri" w:hAnsi="Verdana" w:cs="Arial"/>
        </w:rPr>
      </w:pPr>
      <w:r w:rsidRPr="00363EDC">
        <w:rPr>
          <w:rFonts w:ascii="Verdana" w:eastAsia="Calibri" w:hAnsi="Verdana" w:cs="Arial"/>
        </w:rPr>
        <w:t xml:space="preserve">Las personas sujetas a la inhabilidad del artículo 1 de la Ley 1269 de 2009, también pueden beneficiarse indirectamente en calidad de socios o representantes legales de las personas jurídicas que contratan con el departamento, distrito o municipio, o sus entidades descentralizadas. </w:t>
      </w:r>
    </w:p>
    <w:p w14:paraId="5BB898C6" w14:textId="77777777" w:rsidR="00BC0341" w:rsidRPr="00363EDC" w:rsidRDefault="00BC0341" w:rsidP="00BC0341">
      <w:pPr>
        <w:spacing w:after="120" w:line="276" w:lineRule="auto"/>
        <w:ind w:firstLine="708"/>
        <w:jc w:val="both"/>
        <w:rPr>
          <w:rFonts w:ascii="Verdana" w:eastAsia="Calibri" w:hAnsi="Verdana" w:cs="Arial"/>
          <w:sz w:val="21"/>
          <w:szCs w:val="21"/>
        </w:rPr>
      </w:pPr>
      <w:r w:rsidRPr="00363EDC">
        <w:rPr>
          <w:rFonts w:ascii="Verdana" w:eastAsia="Calibri" w:hAnsi="Verdana" w:cs="Arial"/>
        </w:rPr>
        <w:t xml:space="preserve">Por tanto, los gobernadores, diputados, alcaldes y concejales no pueden celebrar contratos con las personas jurídicas para beneficiar indirectamente a sus parientes, cónyuges y compañeros permanentes cuando son representantes legales, pues la actuación pondría en riesgo el principio de objetividad, igualdad y moralidad administrativa. Cuando estos tengan la calidad de socios, es necesario analizar caso por caso variables adicionales como el tipo societario, su porcentaje de participación, entre otros. </w:t>
      </w:r>
    </w:p>
    <w:p w14:paraId="53C9D406" w14:textId="77777777" w:rsidR="00BC0341" w:rsidRPr="00363EDC" w:rsidRDefault="00BC0341" w:rsidP="00BC0341">
      <w:pPr>
        <w:spacing w:after="120" w:line="276" w:lineRule="auto"/>
        <w:ind w:firstLine="708"/>
        <w:jc w:val="both"/>
        <w:rPr>
          <w:rFonts w:ascii="Verdana" w:eastAsia="Calibri" w:hAnsi="Verdana" w:cs="Arial"/>
        </w:rPr>
      </w:pPr>
      <w:r w:rsidRPr="00363EDC">
        <w:rPr>
          <w:rFonts w:ascii="Verdana" w:eastAsia="Calibri" w:hAnsi="Verdana" w:cs="Arial"/>
        </w:rPr>
        <w:t xml:space="preserve">En este contexto, cuando el artículo 1 de la Ley 1296 de 2009 prohíbe celebración indirecta significa que los sujetos de la inhabilidad no pueden actuar subrepticiamente, a través de terceras personas, en la contratación realizada por los departamentos, distritos o municipios, así como de sus entidades descentralizadas, cuando son parientes, cónyuges y compañeros permanentes de los gobernadores, diputados, alcaldes y concejales. Estos supuestos corresponden a los explicados anteriormente, así como a todas aquellas </w:t>
      </w:r>
      <w:r w:rsidRPr="00363EDC">
        <w:rPr>
          <w:rFonts w:ascii="Verdana" w:eastAsia="Calibri" w:hAnsi="Verdana" w:cs="Arial"/>
        </w:rPr>
        <w:lastRenderedPageBreak/>
        <w:t xml:space="preserve">hipótesis de participación encubierta por parte de los sujetos inhabilitados, los cuales deberá analizar la entidad contratante en cada proceso de selección.   </w:t>
      </w:r>
    </w:p>
    <w:p w14:paraId="00D7B9D5" w14:textId="77777777" w:rsidR="00BC0341" w:rsidRPr="00363EDC" w:rsidRDefault="00BC0341" w:rsidP="00BC0341">
      <w:pPr>
        <w:spacing w:after="120" w:line="276" w:lineRule="auto"/>
        <w:ind w:firstLine="709"/>
        <w:jc w:val="both"/>
        <w:rPr>
          <w:rFonts w:ascii="Verdana" w:eastAsia="Times New Roman" w:hAnsi="Verdana" w:cs="Times New Roman"/>
          <w:color w:val="000000"/>
          <w:lang w:eastAsia="es-CO"/>
        </w:rPr>
      </w:pPr>
      <w:r w:rsidRPr="00363EDC">
        <w:rPr>
          <w:rFonts w:ascii="Verdana" w:eastAsia="Times New Roman" w:hAnsi="Verdana" w:cs="Times New Roman"/>
          <w:color w:val="000000"/>
          <w:lang w:eastAsia="es-CO"/>
        </w:rPr>
        <w:t xml:space="preserve">Es pertinente mencionar que, con fundamento en el artículo 1 de la Ley 2022 de 2020,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que tiene como fundamento normativo el artículo 95 de la Ley 2166 de 2021. </w:t>
      </w:r>
    </w:p>
    <w:p w14:paraId="6F00D713" w14:textId="77777777" w:rsidR="00BC0341" w:rsidRPr="00363EDC" w:rsidRDefault="00BC0341" w:rsidP="00BC0341">
      <w:pPr>
        <w:spacing w:after="120" w:line="276" w:lineRule="auto"/>
        <w:ind w:firstLine="709"/>
        <w:jc w:val="both"/>
        <w:rPr>
          <w:rFonts w:ascii="Verdana" w:eastAsia="Times New Roman" w:hAnsi="Verdana" w:cs="Times New Roman"/>
          <w:color w:val="000000"/>
          <w:lang w:eastAsia="es-CO"/>
        </w:rPr>
      </w:pPr>
      <w:r w:rsidRPr="00363EDC">
        <w:rPr>
          <w:rFonts w:ascii="Verdana" w:eastAsia="Times New Roman" w:hAnsi="Verdana" w:cs="Times New Roman"/>
          <w:color w:val="000000"/>
          <w:lang w:eastAsia="es-CO"/>
        </w:rPr>
        <w:t xml:space="preserve">En la minuta del documento tipo indicado se encuentra el numeral 23, mediante el cual, las partes que suscriben el convenio manifiestan que no se encuentran incursos en las causales de inhabilidad, incompatibilidad o prohibición previstas en la Constitución Política y en la Ley. Por lo tanto, en la suscripción de los convenios solidarios adoptados mediante la Resolución 358 de 2023 aplica la inhabilidad prevista en el artículo 1 de la Ley 1296 de 2009, cuando se configuren los supuestos que allí se establecen en los términos explicados ut supra. </w:t>
      </w:r>
    </w:p>
    <w:p w14:paraId="0E47E4AD" w14:textId="77777777" w:rsidR="00BC0341" w:rsidRPr="00363EDC" w:rsidRDefault="00BC0341" w:rsidP="00BC0341">
      <w:pPr>
        <w:spacing w:after="120" w:line="276" w:lineRule="auto"/>
        <w:ind w:firstLine="708"/>
        <w:jc w:val="both"/>
        <w:rPr>
          <w:rFonts w:ascii="Verdana" w:eastAsia="Calibri" w:hAnsi="Verdana" w:cs="Arial"/>
          <w:bCs/>
          <w:color w:val="000000"/>
        </w:rPr>
      </w:pPr>
      <w:r w:rsidRPr="00363EDC">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71C6795" w14:textId="77777777" w:rsidR="00BC0341" w:rsidRPr="00363EDC" w:rsidRDefault="00BC0341" w:rsidP="00BC0341">
      <w:pPr>
        <w:spacing w:after="0" w:line="276" w:lineRule="auto"/>
        <w:ind w:firstLine="708"/>
        <w:jc w:val="both"/>
        <w:rPr>
          <w:rFonts w:ascii="Verdana" w:eastAsia="Calibri" w:hAnsi="Verdana" w:cs="Arial"/>
          <w:bCs/>
          <w:color w:val="000000"/>
        </w:rPr>
      </w:pPr>
      <w:r w:rsidRPr="00363EDC">
        <w:rPr>
          <w:rFonts w:ascii="Verdana" w:eastAsia="Calibri" w:hAnsi="Verdana" w:cs="Arial"/>
          <w:bCs/>
          <w:color w:val="000000"/>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7BEBBD0" w14:textId="77777777" w:rsidR="00BC0341" w:rsidRPr="00363EDC" w:rsidRDefault="00BC0341" w:rsidP="00BC0341">
      <w:pPr>
        <w:spacing w:after="0" w:line="276" w:lineRule="auto"/>
        <w:jc w:val="both"/>
        <w:rPr>
          <w:rFonts w:ascii="Verdana" w:eastAsia="Times New Roman" w:hAnsi="Verdana" w:cs="Times New Roman"/>
          <w:color w:val="000000"/>
          <w:lang w:eastAsia="es-CO"/>
        </w:rPr>
      </w:pPr>
    </w:p>
    <w:p w14:paraId="0B37D7A2" w14:textId="77777777" w:rsidR="00BC0341" w:rsidRPr="00363EDC" w:rsidRDefault="00BC0341" w:rsidP="00BC0341">
      <w:pPr>
        <w:numPr>
          <w:ilvl w:val="0"/>
          <w:numId w:val="17"/>
        </w:numPr>
        <w:spacing w:after="0" w:line="276" w:lineRule="auto"/>
        <w:contextualSpacing/>
        <w:rPr>
          <w:rFonts w:ascii="Verdana" w:eastAsia="Calibri" w:hAnsi="Verdana" w:cs="Times New Roman"/>
          <w:b/>
          <w:bCs/>
        </w:rPr>
      </w:pPr>
      <w:r w:rsidRPr="00363EDC">
        <w:rPr>
          <w:rFonts w:ascii="Verdana" w:eastAsia="Calibri" w:hAnsi="Verdana" w:cs="Times New Roman"/>
          <w:b/>
          <w:bCs/>
        </w:rPr>
        <w:lastRenderedPageBreak/>
        <w:t>Referencias normativas, jurisprudenciales y otras fuentes:</w:t>
      </w:r>
    </w:p>
    <w:p w14:paraId="785816BF" w14:textId="77777777" w:rsidR="00BC0341" w:rsidRPr="00363EDC" w:rsidRDefault="00BC0341" w:rsidP="00BC0341">
      <w:pPr>
        <w:widowControl w:val="0"/>
        <w:autoSpaceDE w:val="0"/>
        <w:autoSpaceDN w:val="0"/>
        <w:spacing w:after="0" w:line="276" w:lineRule="auto"/>
        <w:jc w:val="both"/>
        <w:rPr>
          <w:rFonts w:ascii="Verdana" w:eastAsia="Aptos"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0341" w:rsidRPr="00363EDC" w14:paraId="56063DB9" w14:textId="77777777" w:rsidTr="00324BAB">
        <w:trPr>
          <w:trHeight w:val="4743"/>
          <w:jc w:val="center"/>
        </w:trPr>
        <w:tc>
          <w:tcPr>
            <w:tcW w:w="8647" w:type="dxa"/>
          </w:tcPr>
          <w:p w14:paraId="666DA6BA"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Ley 617 de 2010, artículo 49. </w:t>
            </w:r>
          </w:p>
          <w:p w14:paraId="17A22BD4"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Ley 821 de 2003, artículo 1. </w:t>
            </w:r>
          </w:p>
          <w:p w14:paraId="437819F7"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Ley 1148 de 2007, artículo 1. </w:t>
            </w:r>
          </w:p>
          <w:p w14:paraId="7188EA2D"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Ley 1296 de 2009, artículo 1. </w:t>
            </w:r>
          </w:p>
          <w:p w14:paraId="2C8CAB32"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CONSEJO DE ESTADO. Sala de Consulta y Servicio Civil. Concepto del 29 de abril de 1998. Rad. 1097. C.P. Augusto Trejos Jaramillo.</w:t>
            </w:r>
          </w:p>
          <w:p w14:paraId="2B9077C1"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CONSEJO DE ESTADO. Sección Quinta. Sentencia del 19 de enero de 2006. Rad. 3875. C.P. Darío Quiñones Pinilla.</w:t>
            </w:r>
          </w:p>
          <w:p w14:paraId="604EF1BD"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CONSEJO DE ESTADO. Sección Tercera. Subsección C. Sentencia del 22 de mayo de 2013. Rad. 24.057. C.P. Olga Mélida Valle De </w:t>
            </w:r>
            <w:proofErr w:type="spellStart"/>
            <w:r w:rsidRPr="00363EDC">
              <w:rPr>
                <w:rFonts w:ascii="Verdana" w:eastAsia="Aptos" w:hAnsi="Verdana" w:cs="Arial"/>
              </w:rPr>
              <w:t>De</w:t>
            </w:r>
            <w:proofErr w:type="spellEnd"/>
            <w:r w:rsidRPr="00363EDC">
              <w:rPr>
                <w:rFonts w:ascii="Verdana" w:eastAsia="Aptos" w:hAnsi="Verdana" w:cs="Arial"/>
              </w:rPr>
              <w:t xml:space="preserve"> La Hoz.</w:t>
            </w:r>
          </w:p>
          <w:p w14:paraId="4F9CDC91"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CONSEJO DE ESTADO. Sección Tercera. Subsección A. Sentencia del 13 de noviembre de 2013. Rad. 25.646. C.P. Mauricio Fajardo Gómez.  </w:t>
            </w:r>
          </w:p>
          <w:p w14:paraId="4FC678A6"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CONSEJO DE ESTADO. Sala de lo contencioso administrativo. Sentencia del 12 de diciembre de 2014. </w:t>
            </w:r>
            <w:proofErr w:type="spellStart"/>
            <w:r w:rsidRPr="00363EDC">
              <w:rPr>
                <w:rFonts w:ascii="Verdana" w:eastAsia="Aptos" w:hAnsi="Verdana" w:cs="Arial"/>
              </w:rPr>
              <w:t>Exp</w:t>
            </w:r>
            <w:proofErr w:type="spellEnd"/>
            <w:r w:rsidRPr="00363EDC">
              <w:rPr>
                <w:rFonts w:ascii="Verdana" w:eastAsia="Aptos" w:hAnsi="Verdana" w:cs="Arial"/>
              </w:rPr>
              <w:t xml:space="preserve">. 26496. C.P. Ramiro Pazos Guerrero. </w:t>
            </w:r>
          </w:p>
          <w:p w14:paraId="0C0F4735"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CONSEJO DE ESTADO. Sala de Consulta y Servicio Civil. Concepto del 30 de abril de 2015. </w:t>
            </w:r>
            <w:proofErr w:type="spellStart"/>
            <w:r w:rsidRPr="00363EDC">
              <w:rPr>
                <w:rFonts w:ascii="Verdana" w:eastAsia="Aptos" w:hAnsi="Verdana" w:cs="Arial"/>
              </w:rPr>
              <w:t>Exp</w:t>
            </w:r>
            <w:proofErr w:type="spellEnd"/>
            <w:r w:rsidRPr="00363EDC">
              <w:rPr>
                <w:rFonts w:ascii="Verdana" w:eastAsia="Aptos" w:hAnsi="Verdana" w:cs="Arial"/>
              </w:rPr>
              <w:t xml:space="preserve">. 2251. C.P. Álvaro </w:t>
            </w:r>
            <w:proofErr w:type="spellStart"/>
            <w:r w:rsidRPr="00363EDC">
              <w:rPr>
                <w:rFonts w:ascii="Verdana" w:eastAsia="Aptos" w:hAnsi="Verdana" w:cs="Arial"/>
              </w:rPr>
              <w:t>Namén</w:t>
            </w:r>
            <w:proofErr w:type="spellEnd"/>
            <w:r w:rsidRPr="00363EDC">
              <w:rPr>
                <w:rFonts w:ascii="Verdana" w:eastAsia="Aptos" w:hAnsi="Verdana" w:cs="Arial"/>
              </w:rPr>
              <w:t xml:space="preserve"> Vargas.</w:t>
            </w:r>
          </w:p>
          <w:p w14:paraId="412B79FF"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CONSEJO DE ESTADO. Sección Tercera. Subsección A. Sentencia del 24 de junio de 2015. </w:t>
            </w:r>
            <w:proofErr w:type="spellStart"/>
            <w:r w:rsidRPr="00363EDC">
              <w:rPr>
                <w:rFonts w:ascii="Verdana" w:eastAsia="Aptos" w:hAnsi="Verdana" w:cs="Arial"/>
              </w:rPr>
              <w:t>Exp</w:t>
            </w:r>
            <w:proofErr w:type="spellEnd"/>
            <w:r w:rsidRPr="00363EDC">
              <w:rPr>
                <w:rFonts w:ascii="Verdana" w:eastAsia="Aptos" w:hAnsi="Verdana" w:cs="Arial"/>
              </w:rPr>
              <w:t>. 40.635. C.P. Hernán Andrade Rincón (E).</w:t>
            </w:r>
          </w:p>
          <w:p w14:paraId="3BF3F8E3"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CORTE CONSTITUCIONAL. Sentencia C-415 de 1994. M.P. Eduardo Cifuentes Muñoz.</w:t>
            </w:r>
          </w:p>
          <w:p w14:paraId="19A000B9"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CORTE CONSTITUCIONAL. Sentencia C-780 de 2001. M.P. Jaime Córdoba Triviño.</w:t>
            </w:r>
          </w:p>
          <w:p w14:paraId="2A486E08"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CORTE CONSTITUCIONAL. Sentencia C-348 de 2004. M.P. Jaime Córdoba Triviño.</w:t>
            </w:r>
          </w:p>
          <w:p w14:paraId="37B204EB"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CORTE CONSTITUCIONAL. Sentencia T-1039 de 2006. M.P. Humberto Sierra Porto. </w:t>
            </w:r>
          </w:p>
          <w:p w14:paraId="4373874F"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CORTE CONSTITUCIONAL. Sentencia C-903 de 2008. M.P. Jaime Araujo Rentería; </w:t>
            </w:r>
          </w:p>
          <w:p w14:paraId="421AB6AB"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CORTE CONSTITUCIONAL. Sentencia C-1016 de 2012. M.P. Jorge Iván Palacio. </w:t>
            </w:r>
          </w:p>
          <w:p w14:paraId="15DE9737"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CORTE CONSTITUCIONAL. Sentencia C-101 de 2018. M.P. Gloria Stella Ortiz Delgado; entre otras. </w:t>
            </w:r>
          </w:p>
          <w:p w14:paraId="175BCB56"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lastRenderedPageBreak/>
              <w:t>CORTE CONSTITUCIONAL. Sentencia C-087 de 2024. M.P. Antonio José Lizarazo Ocampo.</w:t>
            </w:r>
          </w:p>
          <w:p w14:paraId="3794581E"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CORTE SUPREMA DE JUSTICIA. Sala de Casación Civil. Sentencia del 17 de mayo de 1976. M.P. Humberto Murcia Ballén. Publicada en la Gaceta Judicial. Tomo CLII. </w:t>
            </w:r>
            <w:proofErr w:type="spellStart"/>
            <w:r w:rsidRPr="00363EDC">
              <w:rPr>
                <w:rFonts w:ascii="Verdana" w:eastAsia="Aptos" w:hAnsi="Verdana" w:cs="Arial"/>
              </w:rPr>
              <w:t>Nº</w:t>
            </w:r>
            <w:proofErr w:type="spellEnd"/>
            <w:r w:rsidRPr="00363EDC">
              <w:rPr>
                <w:rFonts w:ascii="Verdana" w:eastAsia="Aptos" w:hAnsi="Verdana" w:cs="Arial"/>
              </w:rPr>
              <w:t xml:space="preserve"> 2393. p. 153. </w:t>
            </w:r>
          </w:p>
          <w:p w14:paraId="51054160" w14:textId="77777777" w:rsidR="00BC0341" w:rsidRPr="00363EDC"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 xml:space="preserve">DAVILA VINUEZA, Luis Guillermo Régimen jurídico de la contratación estatal: aproximación crítica a Ley 80 de 1993. 3ª ed. Bogotá: Legis, 2016. </w:t>
            </w:r>
          </w:p>
          <w:p w14:paraId="7F3CAEAE" w14:textId="7F84873E" w:rsidR="00BC0341" w:rsidRPr="00002D4E" w:rsidRDefault="00BC0341" w:rsidP="0082547C">
            <w:pPr>
              <w:numPr>
                <w:ilvl w:val="0"/>
                <w:numId w:val="16"/>
              </w:numPr>
              <w:spacing w:line="276" w:lineRule="auto"/>
              <w:ind w:left="731"/>
              <w:contextualSpacing/>
              <w:jc w:val="both"/>
              <w:rPr>
                <w:rFonts w:ascii="Verdana" w:eastAsia="Aptos" w:hAnsi="Verdana" w:cs="Arial"/>
              </w:rPr>
            </w:pPr>
            <w:r w:rsidRPr="00363EDC">
              <w:rPr>
                <w:rFonts w:ascii="Verdana" w:eastAsia="Aptos" w:hAnsi="Verdana" w:cs="Arial"/>
              </w:rPr>
              <w:t>OSPINA FERNÁNDEZ, Guillermo y OSPINA ACOSTA, Eduardo. Teoría general del contrato y del negocio jurídico. Quinta edición. Bogotá: Temis, 1998.</w:t>
            </w:r>
          </w:p>
        </w:tc>
      </w:tr>
    </w:tbl>
    <w:p w14:paraId="487ACD6E" w14:textId="77777777" w:rsidR="00BC0341" w:rsidRPr="00363EDC" w:rsidRDefault="00BC0341" w:rsidP="00BC0341">
      <w:pPr>
        <w:spacing w:after="0" w:line="276" w:lineRule="auto"/>
        <w:ind w:left="360"/>
        <w:contextualSpacing/>
        <w:rPr>
          <w:rFonts w:ascii="Verdana" w:eastAsia="Calibri" w:hAnsi="Verdana" w:cs="Times New Roman"/>
          <w:b/>
          <w:bCs/>
        </w:rPr>
      </w:pPr>
    </w:p>
    <w:p w14:paraId="2A27CC07" w14:textId="77777777" w:rsidR="00BC0341" w:rsidRPr="00363EDC" w:rsidRDefault="00BC0341" w:rsidP="00BC0341">
      <w:pPr>
        <w:numPr>
          <w:ilvl w:val="0"/>
          <w:numId w:val="17"/>
        </w:numPr>
        <w:spacing w:after="0" w:line="276" w:lineRule="auto"/>
        <w:contextualSpacing/>
        <w:rPr>
          <w:rFonts w:ascii="Verdana" w:eastAsia="Calibri" w:hAnsi="Verdana" w:cs="Times New Roman"/>
          <w:b/>
          <w:bCs/>
        </w:rPr>
      </w:pPr>
      <w:r w:rsidRPr="00363EDC">
        <w:rPr>
          <w:rFonts w:ascii="Verdana" w:eastAsia="Calibri" w:hAnsi="Verdana" w:cs="Times New Roman"/>
          <w:b/>
          <w:bCs/>
        </w:rPr>
        <w:t>Doctrina de la Agencia Nacional de Contratación Pública:</w:t>
      </w:r>
    </w:p>
    <w:p w14:paraId="53CB04EE" w14:textId="77777777" w:rsidR="00BC0341" w:rsidRPr="00363EDC" w:rsidRDefault="00BC0341" w:rsidP="00BC0341">
      <w:pPr>
        <w:spacing w:after="0" w:line="276" w:lineRule="auto"/>
        <w:rPr>
          <w:rFonts w:ascii="Verdana" w:eastAsia="Calibri" w:hAnsi="Verdana" w:cs="Times New Roman"/>
        </w:rPr>
      </w:pPr>
    </w:p>
    <w:p w14:paraId="2E88F6E1" w14:textId="77777777" w:rsidR="00BC0341" w:rsidRPr="00363EDC" w:rsidRDefault="00BC0341" w:rsidP="00BC0341">
      <w:pPr>
        <w:widowControl w:val="0"/>
        <w:autoSpaceDE w:val="0"/>
        <w:autoSpaceDN w:val="0"/>
        <w:spacing w:after="0" w:line="276" w:lineRule="auto"/>
        <w:jc w:val="both"/>
        <w:rPr>
          <w:rFonts w:ascii="Verdana" w:eastAsia="Calibri" w:hAnsi="Verdana" w:cs="Times New Roman"/>
        </w:rPr>
      </w:pPr>
      <w:r w:rsidRPr="00363EDC">
        <w:rPr>
          <w:rFonts w:ascii="Verdana" w:eastAsia="Aptos" w:hAnsi="Verdana" w:cs="Arial"/>
          <w:shd w:val="clear" w:color="auto" w:fill="FFFFFF"/>
        </w:rPr>
        <w:t xml:space="preserve">La Agencia Nacional de Contratación Pública – Colombia Compra Eficiente, se pronunció sobre la inhabilidad contenida en el artículo el artículo 1 de la Ley 1296 de 2009, en los siguientes conceptos: C-190 del 30 de abril de 2021, C-262 del 21 de septiembre de 2021, C-293 del 28 de junio de 2021 y C-201 del 26 de marzo de 2021. Por otra parte, sobre </w:t>
      </w:r>
      <w:r w:rsidRPr="00363EDC">
        <w:rPr>
          <w:rFonts w:ascii="Verdana" w:eastAsia="Aptos" w:hAnsi="Verdana" w:cs="Arial"/>
        </w:rPr>
        <w:t xml:space="preserve">el ámbito de las inhabilidades e incompatibilidades en la contratación pública, se pronunció esta Subdirección en los conceptos </w:t>
      </w:r>
      <w:r w:rsidRPr="00363EDC">
        <w:rPr>
          <w:rFonts w:ascii="Verdana" w:eastAsia="Aptos" w:hAnsi="Verdana" w:cs="Arial"/>
          <w:shd w:val="clear" w:color="auto" w:fill="FFFFFF"/>
          <w:lang w:val="es-ES"/>
        </w:rPr>
        <w:t xml:space="preserve">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C-731 de 10 de noviembre de 2022, C-059 de 13 de junio de 2023, C-289 del 15 de agosto de 2023, C-827 de 2025, C-916 de 2025 y C-989 del 19 de agosto de 2025. </w:t>
      </w:r>
    </w:p>
    <w:p w14:paraId="5773D61A" w14:textId="77777777" w:rsidR="00BC0341" w:rsidRPr="00363EDC" w:rsidRDefault="00BC0341" w:rsidP="00BC0341">
      <w:pPr>
        <w:widowControl w:val="0"/>
        <w:autoSpaceDE w:val="0"/>
        <w:autoSpaceDN w:val="0"/>
        <w:spacing w:after="0" w:line="276" w:lineRule="auto"/>
        <w:jc w:val="both"/>
        <w:rPr>
          <w:rFonts w:ascii="Verdana" w:eastAsia="Calibri" w:hAnsi="Verdana" w:cs="Times New Roman"/>
        </w:rPr>
      </w:pPr>
    </w:p>
    <w:p w14:paraId="11E97E69" w14:textId="77777777" w:rsidR="00BC0341" w:rsidRPr="00363EDC" w:rsidRDefault="00BC0341" w:rsidP="00BC0341">
      <w:pPr>
        <w:widowControl w:val="0"/>
        <w:autoSpaceDE w:val="0"/>
        <w:autoSpaceDN w:val="0"/>
        <w:spacing w:after="0" w:line="276" w:lineRule="auto"/>
        <w:jc w:val="both"/>
        <w:rPr>
          <w:rFonts w:ascii="Verdana" w:eastAsia="Times New Roman" w:hAnsi="Verdana" w:cs="Arial"/>
          <w:shd w:val="clear" w:color="auto" w:fill="FFFFFF"/>
        </w:rPr>
      </w:pPr>
      <w:r w:rsidRPr="00363EDC">
        <w:rPr>
          <w:rFonts w:ascii="Verdana" w:eastAsia="Times New Roman"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w:t>
      </w:r>
      <w:r w:rsidRPr="00363EDC">
        <w:rPr>
          <w:rFonts w:ascii="Verdana" w:eastAsia="Times New Roman" w:hAnsi="Verdana" w:cs="Arial"/>
          <w:shd w:val="clear" w:color="auto" w:fill="FFFFFF"/>
        </w:rPr>
        <w:lastRenderedPageBreak/>
        <w:t>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363EDC">
          <w:rPr>
            <w:rFonts w:ascii="Verdana" w:eastAsia="Calibri" w:hAnsi="Verdana" w:cs="Arial"/>
            <w:color w:val="0000FF"/>
            <w:kern w:val="2"/>
            <w:u w:val="single"/>
            <w:shd w:val="clear" w:color="auto" w:fill="FFFFFF"/>
            <w14:ligatures w14:val="standardContextual"/>
          </w:rPr>
          <w:t>https://relatoria.colombiacompra.gov.co/</w:t>
        </w:r>
      </w:hyperlink>
      <w:r w:rsidRPr="00363EDC">
        <w:rPr>
          <w:rFonts w:ascii="Verdana" w:eastAsia="Calibri" w:hAnsi="Verdana" w:cs="Arial"/>
          <w:color w:val="0000FF"/>
          <w:kern w:val="2"/>
          <w:u w:val="single"/>
          <w:shd w:val="clear" w:color="auto" w:fill="FFFFFF"/>
          <w14:ligatures w14:val="standardContextual"/>
        </w:rPr>
        <w:t> .</w:t>
      </w:r>
    </w:p>
    <w:p w14:paraId="45A34940" w14:textId="77777777" w:rsidR="00BC0341" w:rsidRPr="00363EDC" w:rsidRDefault="00BC0341" w:rsidP="00BC0341">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243E048D" w14:textId="77777777" w:rsidR="00BC0341" w:rsidRPr="00363EDC" w:rsidRDefault="00BC0341" w:rsidP="00BC0341">
      <w:pPr>
        <w:spacing w:after="0" w:line="240" w:lineRule="auto"/>
        <w:jc w:val="both"/>
        <w:rPr>
          <w:rFonts w:ascii="Verdana" w:eastAsia="Calibri" w:hAnsi="Verdana" w:cs="Arial"/>
          <w:color w:val="000000"/>
          <w:kern w:val="2"/>
          <w:shd w:val="clear" w:color="auto" w:fill="FFFFFF"/>
          <w14:ligatures w14:val="standardContextual"/>
        </w:rPr>
      </w:pPr>
      <w:r w:rsidRPr="00363EDC">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363EDC">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363EDC">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63EDC">
        <w:rPr>
          <w:rFonts w:ascii="Verdana" w:eastAsia="Calibri" w:hAnsi="Verdana" w:cs="Arial"/>
          <w:color w:val="000000"/>
          <w:kern w:val="2"/>
          <w:shd w:val="clear" w:color="auto" w:fill="FFFFFF"/>
          <w14:ligatures w14:val="standardContextual"/>
        </w:rPr>
        <w:t>Wayúu</w:t>
      </w:r>
      <w:proofErr w:type="spellEnd"/>
      <w:r w:rsidRPr="00363EDC">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363EDC">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363EDC">
        <w:rPr>
          <w:rFonts w:ascii="Verdana" w:eastAsia="Calibri" w:hAnsi="Verdana" w:cs="Arial"/>
          <w:color w:val="000000"/>
          <w:kern w:val="2"/>
          <w:u w:val="single"/>
          <w:shd w:val="clear" w:color="auto" w:fill="FFFFFF"/>
          <w14:ligatures w14:val="standardContextual"/>
        </w:rPr>
        <w:t>"</w:t>
      </w:r>
    </w:p>
    <w:p w14:paraId="7A416910" w14:textId="77777777" w:rsidR="00BC0341" w:rsidRPr="00363EDC" w:rsidRDefault="00BC0341" w:rsidP="00BC0341">
      <w:pPr>
        <w:spacing w:after="0" w:line="278" w:lineRule="auto"/>
        <w:jc w:val="both"/>
        <w:rPr>
          <w:rFonts w:ascii="Verdana" w:eastAsia="Aptos" w:hAnsi="Verdana" w:cs="Times New Roman"/>
          <w:color w:val="212121"/>
          <w:kern w:val="2"/>
          <w14:ligatures w14:val="standardContextual"/>
        </w:rPr>
      </w:pPr>
    </w:p>
    <w:p w14:paraId="3A6894D5" w14:textId="77777777" w:rsidR="00BC0341" w:rsidRPr="00363EDC" w:rsidRDefault="00BC0341" w:rsidP="00BC0341">
      <w:pPr>
        <w:spacing w:after="0" w:line="240" w:lineRule="auto"/>
        <w:jc w:val="both"/>
        <w:rPr>
          <w:rFonts w:ascii="Verdana" w:eastAsia="Calibri" w:hAnsi="Verdana" w:cs="Times New Roman"/>
          <w:kern w:val="2"/>
          <w14:ligatures w14:val="standardContextual"/>
        </w:rPr>
      </w:pPr>
      <w:r w:rsidRPr="00363EDC">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5922792F" w14:textId="77777777" w:rsidR="00BC0341" w:rsidRPr="00363EDC" w:rsidRDefault="00BC0341" w:rsidP="00BC0341">
      <w:pPr>
        <w:spacing w:after="0" w:line="240" w:lineRule="auto"/>
        <w:jc w:val="both"/>
        <w:rPr>
          <w:rFonts w:ascii="Verdana" w:eastAsia="Aptos" w:hAnsi="Verdana" w:cs="Times New Roman"/>
          <w:kern w:val="2"/>
          <w14:ligatures w14:val="standardContextual"/>
        </w:rPr>
      </w:pPr>
    </w:p>
    <w:p w14:paraId="1A8FD6B2" w14:textId="77777777" w:rsidR="00BC0341" w:rsidRPr="00363EDC" w:rsidRDefault="00BC0341" w:rsidP="00BC0341">
      <w:pPr>
        <w:spacing w:after="0" w:line="240" w:lineRule="auto"/>
        <w:jc w:val="both"/>
        <w:rPr>
          <w:rFonts w:ascii="Verdana" w:eastAsia="Aptos" w:hAnsi="Verdana" w:cs="Times New Roman"/>
          <w:kern w:val="2"/>
          <w14:ligatures w14:val="standardContextual"/>
        </w:rPr>
      </w:pPr>
      <w:r w:rsidRPr="00363EDC">
        <w:rPr>
          <w:rFonts w:ascii="Verdana" w:eastAsia="Aptos" w:hAnsi="Verdana" w:cs="Times New Roman"/>
          <w:kern w:val="2"/>
          <w14:ligatures w14:val="standardContextual"/>
        </w:rPr>
        <w:t xml:space="preserve">Twitter: </w:t>
      </w:r>
      <w:r w:rsidRPr="00363EDC">
        <w:rPr>
          <w:rFonts w:ascii="Verdana" w:eastAsia="Calibri" w:hAnsi="Verdana" w:cs="Times New Roman"/>
          <w:color w:val="156082"/>
          <w:kern w:val="2"/>
          <w:u w:val="single"/>
          <w14:ligatures w14:val="standardContextual"/>
        </w:rPr>
        <w:t>@colombiacompra</w:t>
      </w:r>
      <w:r w:rsidRPr="00363EDC">
        <w:rPr>
          <w:rFonts w:ascii="Verdana" w:eastAsia="Calibri" w:hAnsi="Verdana" w:cs="Times New Roman"/>
          <w:color w:val="156082"/>
          <w:kern w:val="2"/>
          <w14:ligatures w14:val="standardContextual"/>
        </w:rPr>
        <w:t xml:space="preserve"> </w:t>
      </w:r>
    </w:p>
    <w:p w14:paraId="1B2C1D3E" w14:textId="77777777" w:rsidR="00BC0341" w:rsidRPr="00363EDC" w:rsidRDefault="00BC0341" w:rsidP="00BC0341">
      <w:pPr>
        <w:spacing w:after="0" w:line="240" w:lineRule="auto"/>
        <w:jc w:val="both"/>
        <w:rPr>
          <w:rFonts w:ascii="Verdana" w:eastAsia="Aptos" w:hAnsi="Verdana" w:cs="Times New Roman"/>
          <w:kern w:val="2"/>
          <w14:ligatures w14:val="standardContextual"/>
        </w:rPr>
      </w:pPr>
      <w:r w:rsidRPr="00363EDC">
        <w:rPr>
          <w:rFonts w:ascii="Verdana" w:eastAsia="Aptos" w:hAnsi="Verdana" w:cs="Times New Roman"/>
          <w:kern w:val="2"/>
          <w14:ligatures w14:val="standardContextual"/>
        </w:rPr>
        <w:t xml:space="preserve">Facebook: </w:t>
      </w:r>
      <w:proofErr w:type="spellStart"/>
      <w:r w:rsidRPr="00363EDC">
        <w:rPr>
          <w:rFonts w:ascii="Verdana" w:eastAsia="Calibri" w:hAnsi="Verdana" w:cs="Times New Roman"/>
          <w:color w:val="156082"/>
          <w:kern w:val="2"/>
          <w:u w:val="single"/>
          <w14:ligatures w14:val="standardContextual"/>
        </w:rPr>
        <w:t>ColombiaCompraEficiente</w:t>
      </w:r>
      <w:proofErr w:type="spellEnd"/>
    </w:p>
    <w:p w14:paraId="066A9E4E" w14:textId="77777777" w:rsidR="00BC0341" w:rsidRPr="00363EDC" w:rsidRDefault="00BC0341" w:rsidP="00BC0341">
      <w:pPr>
        <w:spacing w:after="0" w:line="240" w:lineRule="auto"/>
        <w:jc w:val="both"/>
        <w:rPr>
          <w:rFonts w:ascii="Verdana" w:eastAsia="Aptos" w:hAnsi="Verdana" w:cs="Times New Roman"/>
          <w:kern w:val="2"/>
          <w14:ligatures w14:val="standardContextual"/>
        </w:rPr>
      </w:pPr>
      <w:r w:rsidRPr="00363EDC">
        <w:rPr>
          <w:rFonts w:ascii="Verdana" w:eastAsia="Aptos" w:hAnsi="Verdana" w:cs="Times New Roman"/>
          <w:kern w:val="2"/>
          <w14:ligatures w14:val="standardContextual"/>
        </w:rPr>
        <w:t xml:space="preserve">LinkedIn: </w:t>
      </w:r>
      <w:r w:rsidRPr="00363EDC">
        <w:rPr>
          <w:rFonts w:ascii="Verdana" w:eastAsia="Calibri" w:hAnsi="Verdana" w:cs="Times New Roman"/>
          <w:color w:val="156082"/>
          <w:kern w:val="2"/>
          <w:u w:val="single"/>
          <w14:ligatures w14:val="standardContextual"/>
        </w:rPr>
        <w:t>Agencia Nacional de Contratación Pública - Colombia Compra Eficiente</w:t>
      </w:r>
      <w:r w:rsidRPr="00363EDC">
        <w:rPr>
          <w:rFonts w:ascii="Verdana" w:eastAsia="Calibri" w:hAnsi="Verdana" w:cs="Times New Roman"/>
          <w:color w:val="156082"/>
          <w:kern w:val="2"/>
          <w14:ligatures w14:val="standardContextual"/>
        </w:rPr>
        <w:t xml:space="preserve"> </w:t>
      </w:r>
      <w:r w:rsidRPr="00363EDC">
        <w:rPr>
          <w:rFonts w:ascii="Verdana" w:eastAsia="Aptos" w:hAnsi="Verdana" w:cs="Times New Roman"/>
          <w:kern w:val="2"/>
          <w14:ligatures w14:val="standardContextual"/>
        </w:rPr>
        <w:t xml:space="preserve">Instagram: </w:t>
      </w:r>
      <w:r w:rsidRPr="00363EDC">
        <w:rPr>
          <w:rFonts w:ascii="Verdana" w:eastAsia="Calibri" w:hAnsi="Verdana" w:cs="Times New Roman"/>
          <w:color w:val="156082"/>
          <w:kern w:val="2"/>
          <w:u w:val="single"/>
          <w14:ligatures w14:val="standardContextual"/>
        </w:rPr>
        <w:t>@colombiacompraeficiente_cce</w:t>
      </w:r>
    </w:p>
    <w:p w14:paraId="4347D474" w14:textId="77777777" w:rsidR="00BC0341" w:rsidRPr="00363EDC" w:rsidRDefault="00BC0341" w:rsidP="00BC0341">
      <w:pPr>
        <w:spacing w:after="0" w:line="276" w:lineRule="auto"/>
        <w:jc w:val="both"/>
        <w:rPr>
          <w:rFonts w:ascii="Verdana" w:eastAsia="Aptos" w:hAnsi="Verdana" w:cs="Times New Roman"/>
          <w:kern w:val="2"/>
          <w14:ligatures w14:val="standardContextual"/>
        </w:rPr>
      </w:pPr>
    </w:p>
    <w:p w14:paraId="35AE2FDF" w14:textId="77777777" w:rsidR="00BC0341" w:rsidRPr="00363EDC" w:rsidRDefault="00BC0341" w:rsidP="00BC0341">
      <w:pPr>
        <w:spacing w:after="0" w:line="276" w:lineRule="auto"/>
        <w:jc w:val="both"/>
        <w:rPr>
          <w:rFonts w:ascii="Verdana" w:eastAsia="Calibri" w:hAnsi="Verdana" w:cs="Times New Roman"/>
          <w:bCs/>
          <w:kern w:val="2"/>
          <w14:ligatures w14:val="standardContextual"/>
        </w:rPr>
      </w:pPr>
      <w:r w:rsidRPr="00363EDC">
        <w:rPr>
          <w:rFonts w:ascii="Verdana" w:eastAsia="Calibri" w:hAnsi="Verdana" w:cs="Times New Roman"/>
          <w:kern w:val="2"/>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66F4DA8" w14:textId="77777777" w:rsidR="00BC0341" w:rsidRPr="00363EDC" w:rsidRDefault="00BC0341" w:rsidP="00BC0341">
      <w:pPr>
        <w:widowControl w:val="0"/>
        <w:autoSpaceDE w:val="0"/>
        <w:autoSpaceDN w:val="0"/>
        <w:spacing w:after="0" w:line="276" w:lineRule="auto"/>
        <w:jc w:val="both"/>
        <w:rPr>
          <w:rFonts w:ascii="Verdana" w:eastAsia="Calibri" w:hAnsi="Verdana" w:cs="Arial"/>
        </w:rPr>
      </w:pPr>
    </w:p>
    <w:p w14:paraId="3F5A37E8" w14:textId="78359262" w:rsidR="00BC0341" w:rsidRPr="00324BAB" w:rsidRDefault="00BC0341" w:rsidP="00324BAB">
      <w:pPr>
        <w:spacing w:after="0" w:line="240" w:lineRule="auto"/>
        <w:rPr>
          <w:rFonts w:ascii="Verdana" w:eastAsia="Calibri" w:hAnsi="Verdana" w:cs="Arial"/>
          <w:lang w:eastAsia="es-CO"/>
        </w:rPr>
      </w:pPr>
      <w:r w:rsidRPr="00363EDC">
        <w:rPr>
          <w:rFonts w:ascii="Verdana" w:eastAsia="Times New Roman" w:hAnsi="Verdana" w:cs="Arial"/>
          <w:lang w:eastAsia="es-CO"/>
        </w:rPr>
        <w:t>Atentamente,</w:t>
      </w:r>
      <w:r w:rsidRPr="00363EDC">
        <w:rPr>
          <w:rFonts w:ascii="Verdana" w:eastAsia="Calibri" w:hAnsi="Verdana" w:cs="Arial"/>
          <w:lang w:eastAsia="es-CO"/>
        </w:rPr>
        <w:t xml:space="preserve"> </w:t>
      </w:r>
    </w:p>
    <w:p w14:paraId="031FA749" w14:textId="17A493C9" w:rsidR="00BC0341" w:rsidRPr="00363EDC" w:rsidRDefault="00324BAB" w:rsidP="00BC0341">
      <w:pPr>
        <w:spacing w:after="0" w:line="276" w:lineRule="auto"/>
        <w:jc w:val="center"/>
        <w:rPr>
          <w:rFonts w:ascii="Verdana" w:eastAsia="Aptos" w:hAnsi="Verdana" w:cs="Times New Roman"/>
        </w:rPr>
      </w:pPr>
      <w:r w:rsidRPr="004D5C25">
        <w:rPr>
          <w:rFonts w:ascii="Century Gothic" w:hAnsi="Century Gothic"/>
          <w:noProof/>
        </w:rPr>
        <w:drawing>
          <wp:inline distT="0" distB="0" distL="0" distR="0" wp14:anchorId="1FC63CF2" wp14:editId="131CC8DD">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93984" cy="102775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0341" w:rsidRPr="00363EDC" w14:paraId="674A632C" w14:textId="77777777" w:rsidTr="0082547C">
        <w:trPr>
          <w:trHeight w:val="315"/>
        </w:trPr>
        <w:tc>
          <w:tcPr>
            <w:tcW w:w="893" w:type="dxa"/>
            <w:vAlign w:val="center"/>
            <w:hideMark/>
          </w:tcPr>
          <w:p w14:paraId="7061537D" w14:textId="77777777" w:rsidR="00BC0341" w:rsidRPr="00363EDC" w:rsidRDefault="00BC0341" w:rsidP="0082547C">
            <w:pPr>
              <w:rPr>
                <w:rFonts w:ascii="Verdana" w:eastAsia="Calibri" w:hAnsi="Verdana" w:cs="Arial"/>
                <w:sz w:val="16"/>
                <w:szCs w:val="16"/>
                <w:lang w:eastAsia="es-ES"/>
              </w:rPr>
            </w:pPr>
            <w:r w:rsidRPr="00363EDC">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0CCD68D" w14:textId="6EF40964" w:rsidR="00BC0341" w:rsidRPr="00363EDC" w:rsidRDefault="00BC0341" w:rsidP="0082547C">
            <w:pPr>
              <w:rPr>
                <w:rFonts w:ascii="Verdana" w:eastAsia="Arial" w:hAnsi="Verdana" w:cs="Arial"/>
                <w:sz w:val="16"/>
                <w:szCs w:val="16"/>
              </w:rPr>
            </w:pPr>
            <w:r w:rsidRPr="00363EDC">
              <w:rPr>
                <w:rFonts w:ascii="Verdana" w:eastAsia="Arial" w:hAnsi="Verdana" w:cs="Arial"/>
                <w:sz w:val="16"/>
                <w:szCs w:val="16"/>
              </w:rPr>
              <w:t xml:space="preserve">Carlos Mario </w:t>
            </w:r>
            <w:r w:rsidR="00002D4E" w:rsidRPr="00363EDC">
              <w:rPr>
                <w:rFonts w:ascii="Verdana" w:eastAsia="Arial" w:hAnsi="Verdana" w:cs="Arial"/>
                <w:sz w:val="16"/>
                <w:szCs w:val="16"/>
              </w:rPr>
              <w:t>Castrillón</w:t>
            </w:r>
            <w:r w:rsidRPr="00363EDC">
              <w:rPr>
                <w:rFonts w:ascii="Verdana" w:eastAsia="Arial" w:hAnsi="Verdana" w:cs="Arial"/>
                <w:sz w:val="16"/>
                <w:szCs w:val="16"/>
              </w:rPr>
              <w:t xml:space="preserve"> Endo </w:t>
            </w:r>
          </w:p>
          <w:p w14:paraId="2D4FBE75" w14:textId="77777777" w:rsidR="00BC0341" w:rsidRPr="00363EDC" w:rsidRDefault="00BC0341" w:rsidP="0082547C">
            <w:pPr>
              <w:rPr>
                <w:rFonts w:ascii="Verdana" w:eastAsia="Arial" w:hAnsi="Verdana" w:cs="Arial"/>
                <w:sz w:val="16"/>
                <w:szCs w:val="16"/>
              </w:rPr>
            </w:pPr>
            <w:r w:rsidRPr="00363EDC">
              <w:rPr>
                <w:rFonts w:ascii="Verdana" w:eastAsia="Arial" w:hAnsi="Verdana" w:cs="Arial"/>
                <w:sz w:val="16"/>
                <w:szCs w:val="16"/>
              </w:rPr>
              <w:t>Contratista de la Subdirección de Gestión Contractual</w:t>
            </w:r>
          </w:p>
        </w:tc>
      </w:tr>
      <w:tr w:rsidR="00BC0341" w:rsidRPr="00363EDC" w14:paraId="11B4DA16" w14:textId="77777777" w:rsidTr="0082547C">
        <w:trPr>
          <w:trHeight w:val="330"/>
        </w:trPr>
        <w:tc>
          <w:tcPr>
            <w:tcW w:w="893" w:type="dxa"/>
            <w:vAlign w:val="center"/>
            <w:hideMark/>
          </w:tcPr>
          <w:p w14:paraId="2BCB7291" w14:textId="77777777" w:rsidR="00BC0341" w:rsidRPr="00363EDC" w:rsidRDefault="00BC0341" w:rsidP="0082547C">
            <w:pPr>
              <w:rPr>
                <w:rFonts w:ascii="Verdana" w:eastAsia="Calibri" w:hAnsi="Verdana" w:cs="Arial"/>
                <w:sz w:val="16"/>
                <w:szCs w:val="16"/>
                <w:lang w:eastAsia="es-ES"/>
              </w:rPr>
            </w:pPr>
            <w:r w:rsidRPr="00363EDC">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6F6E783" w14:textId="12CAD823" w:rsidR="00BC0341" w:rsidRPr="00363EDC" w:rsidRDefault="00BC0341" w:rsidP="0082547C">
            <w:pPr>
              <w:textAlignment w:val="baseline"/>
              <w:rPr>
                <w:rFonts w:ascii="Verdana" w:eastAsia="Times New Roman" w:hAnsi="Verdana" w:cs="Segoe UI"/>
                <w:sz w:val="16"/>
                <w:szCs w:val="16"/>
                <w:lang w:eastAsia="es-ES"/>
              </w:rPr>
            </w:pPr>
            <w:r w:rsidRPr="00363EDC">
              <w:rPr>
                <w:rFonts w:ascii="Verdana" w:eastAsia="Times New Roman" w:hAnsi="Verdana" w:cs="Segoe UI"/>
                <w:sz w:val="16"/>
                <w:szCs w:val="16"/>
                <w:lang w:eastAsia="es-ES"/>
              </w:rPr>
              <w:t>Juan David Cárdenas Cabeza</w:t>
            </w:r>
          </w:p>
          <w:p w14:paraId="391C6754" w14:textId="77777777" w:rsidR="00BC0341" w:rsidRPr="00363EDC" w:rsidRDefault="00BC0341" w:rsidP="0082547C">
            <w:pPr>
              <w:textAlignment w:val="baseline"/>
              <w:rPr>
                <w:rFonts w:ascii="Verdana" w:eastAsia="Times New Roman" w:hAnsi="Verdana" w:cs="Segoe UI"/>
                <w:sz w:val="16"/>
                <w:szCs w:val="16"/>
                <w:lang w:eastAsia="es-ES_tradnl"/>
              </w:rPr>
            </w:pPr>
            <w:r w:rsidRPr="00363EDC">
              <w:rPr>
                <w:rFonts w:ascii="Verdana" w:eastAsia="Times New Roman" w:hAnsi="Verdana" w:cs="Arial"/>
                <w:sz w:val="16"/>
                <w:szCs w:val="16"/>
                <w:lang w:eastAsia="es-ES_tradnl"/>
              </w:rPr>
              <w:t>Contratista de la Subdirección de Gestión Contractual </w:t>
            </w:r>
          </w:p>
        </w:tc>
      </w:tr>
      <w:tr w:rsidR="00BC0341" w:rsidRPr="00363EDC" w14:paraId="096EB3B9" w14:textId="77777777" w:rsidTr="0082547C">
        <w:trPr>
          <w:trHeight w:val="300"/>
        </w:trPr>
        <w:tc>
          <w:tcPr>
            <w:tcW w:w="893" w:type="dxa"/>
            <w:vAlign w:val="center"/>
          </w:tcPr>
          <w:p w14:paraId="621F25ED" w14:textId="77777777" w:rsidR="00BC0341" w:rsidRPr="00363EDC" w:rsidRDefault="00BC0341" w:rsidP="0082547C">
            <w:pPr>
              <w:rPr>
                <w:rFonts w:ascii="Verdana" w:eastAsia="Calibri" w:hAnsi="Verdana" w:cs="Arial"/>
                <w:sz w:val="16"/>
                <w:szCs w:val="16"/>
                <w:lang w:eastAsia="es-ES"/>
              </w:rPr>
            </w:pPr>
            <w:r w:rsidRPr="00363EDC">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FFEEE2E" w14:textId="77777777" w:rsidR="00BC0341" w:rsidRPr="00363EDC" w:rsidRDefault="00BC0341" w:rsidP="0082547C">
            <w:pPr>
              <w:rPr>
                <w:rFonts w:ascii="Verdana" w:eastAsia="Calibri" w:hAnsi="Verdana" w:cs="Arial"/>
                <w:sz w:val="16"/>
                <w:szCs w:val="16"/>
                <w:lang w:eastAsia="es-ES"/>
              </w:rPr>
            </w:pPr>
            <w:r w:rsidRPr="00363EDC">
              <w:rPr>
                <w:rFonts w:ascii="Verdana" w:eastAsia="Calibri" w:hAnsi="Verdana" w:cs="Arial"/>
                <w:sz w:val="16"/>
                <w:szCs w:val="16"/>
                <w:lang w:eastAsia="es-ES"/>
              </w:rPr>
              <w:t xml:space="preserve">Carolina Quintero </w:t>
            </w:r>
            <w:proofErr w:type="spellStart"/>
            <w:r w:rsidRPr="00363EDC">
              <w:rPr>
                <w:rFonts w:ascii="Verdana" w:eastAsia="Calibri" w:hAnsi="Verdana" w:cs="Arial"/>
                <w:sz w:val="16"/>
                <w:szCs w:val="16"/>
                <w:lang w:eastAsia="es-ES"/>
              </w:rPr>
              <w:t>Gacharná</w:t>
            </w:r>
            <w:proofErr w:type="spellEnd"/>
          </w:p>
          <w:p w14:paraId="520448EE" w14:textId="77777777" w:rsidR="00BC0341" w:rsidRPr="00363EDC" w:rsidRDefault="00BC0341" w:rsidP="0082547C">
            <w:pPr>
              <w:rPr>
                <w:rFonts w:ascii="Verdana" w:eastAsia="Calibri" w:hAnsi="Verdana" w:cs="Arial"/>
                <w:sz w:val="16"/>
                <w:szCs w:val="16"/>
                <w:lang w:eastAsia="es-ES"/>
              </w:rPr>
            </w:pPr>
            <w:r w:rsidRPr="00363EDC">
              <w:rPr>
                <w:rFonts w:ascii="Verdana" w:eastAsia="Calibri" w:hAnsi="Verdana" w:cs="Arial"/>
                <w:sz w:val="16"/>
                <w:szCs w:val="16"/>
                <w:lang w:eastAsia="es-ES"/>
              </w:rPr>
              <w:t>Subdirectora de Gestión Contractual ANCP – CCE</w:t>
            </w:r>
          </w:p>
        </w:tc>
      </w:tr>
    </w:tbl>
    <w:p w14:paraId="3ADEDED3" w14:textId="77777777" w:rsidR="00363EDC" w:rsidRPr="00363EDC" w:rsidRDefault="00363EDC" w:rsidP="00363EDC">
      <w:pPr>
        <w:spacing w:after="0"/>
        <w:rPr>
          <w:rFonts w:ascii="Verdana" w:eastAsia="Aptos" w:hAnsi="Verdana" w:cs="Times New Roman"/>
        </w:rPr>
      </w:pPr>
    </w:p>
    <w:bookmarkEnd w:id="0"/>
    <w:sectPr w:rsidR="00363EDC" w:rsidRPr="00363ED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A9668" w14:textId="77777777" w:rsidR="00CA303A" w:rsidRDefault="00CA303A" w:rsidP="004A1847">
      <w:pPr>
        <w:spacing w:after="0" w:line="240" w:lineRule="auto"/>
      </w:pPr>
      <w:r>
        <w:separator/>
      </w:r>
    </w:p>
  </w:endnote>
  <w:endnote w:type="continuationSeparator" w:id="0">
    <w:p w14:paraId="36CE1AA1" w14:textId="77777777" w:rsidR="00CA303A" w:rsidRDefault="00CA30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63EDC">
      <w:rPr>
        <w:rFonts w:ascii="Verdana" w:eastAsia="Times New Roman" w:hAnsi="Verdana" w:cs="Times New Roman"/>
        <w:b/>
        <w:bCs/>
        <w:sz w:val="16"/>
        <w:szCs w:val="16"/>
        <w:lang w:val="es-ES"/>
      </w:rPr>
      <w:t xml:space="preserve">pág. </w:t>
    </w:r>
    <w:r w:rsidRPr="00363EDC">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63EDC">
      <w:rPr>
        <w:rFonts w:ascii="Verdana" w:eastAsia="Times New Roman" w:hAnsi="Verdana"/>
        <w:b/>
        <w:bCs/>
        <w:sz w:val="16"/>
        <w:szCs w:val="16"/>
      </w:rPr>
      <w:fldChar w:fldCharType="separate"/>
    </w:r>
    <w:r w:rsidRPr="00363EDC">
      <w:rPr>
        <w:rFonts w:ascii="Verdana" w:eastAsia="Times New Roman" w:hAnsi="Verdana"/>
        <w:b/>
        <w:bCs/>
        <w:sz w:val="16"/>
        <w:szCs w:val="16"/>
      </w:rPr>
      <w:t>1</w:t>
    </w:r>
    <w:r w:rsidRPr="00363EDC">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A55E" w14:textId="77777777" w:rsidR="00CA303A" w:rsidRDefault="00CA303A" w:rsidP="004A1847">
      <w:pPr>
        <w:spacing w:after="0" w:line="240" w:lineRule="auto"/>
      </w:pPr>
      <w:r>
        <w:separator/>
      </w:r>
    </w:p>
  </w:footnote>
  <w:footnote w:type="continuationSeparator" w:id="0">
    <w:p w14:paraId="7D5692C9" w14:textId="77777777" w:rsidR="00CA303A" w:rsidRDefault="00CA303A" w:rsidP="004A1847">
      <w:pPr>
        <w:spacing w:after="0" w:line="240" w:lineRule="auto"/>
      </w:pPr>
      <w:r>
        <w:continuationSeparator/>
      </w:r>
    </w:p>
  </w:footnote>
  <w:footnote w:id="1">
    <w:p w14:paraId="083BE408" w14:textId="77777777" w:rsidR="00BC0341"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CORTE CONSTITUCIONAL. Sentencia C-1016 de 2012. M.P. Jorge Iván Palacio.</w:t>
      </w:r>
    </w:p>
    <w:p w14:paraId="7CA7BB0E" w14:textId="77777777" w:rsidR="00BC0341" w:rsidRPr="00FA1262" w:rsidRDefault="00BC0341" w:rsidP="00BC0341">
      <w:pPr>
        <w:pStyle w:val="Textonotapie"/>
        <w:ind w:firstLine="708"/>
        <w:jc w:val="both"/>
        <w:rPr>
          <w:rFonts w:ascii="Verdana" w:hAnsi="Verdana"/>
          <w:sz w:val="16"/>
          <w:szCs w:val="16"/>
          <w:lang w:val="es-CO"/>
        </w:rPr>
      </w:pPr>
    </w:p>
  </w:footnote>
  <w:footnote w:id="2">
    <w:p w14:paraId="49BFF21C" w14:textId="77777777" w:rsidR="00BC0341" w:rsidRPr="00FA1262"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CONSEJO DE ESTADO. Sección Tercera. Subsección A. Sentencia del 13 de noviembre de 2013. Rad. 25.646. C.P. Mauricio Fajardo Gómez.  </w:t>
      </w:r>
    </w:p>
    <w:p w14:paraId="63B7F6E8" w14:textId="77777777" w:rsidR="00BC0341" w:rsidRPr="00FA1262" w:rsidRDefault="00BC0341" w:rsidP="00BC0341">
      <w:pPr>
        <w:pStyle w:val="Textonotapie"/>
        <w:jc w:val="both"/>
        <w:rPr>
          <w:rFonts w:ascii="Verdana" w:hAnsi="Verdana"/>
          <w:sz w:val="16"/>
          <w:szCs w:val="16"/>
          <w:lang w:val="es-CO"/>
        </w:rPr>
      </w:pPr>
    </w:p>
  </w:footnote>
  <w:footnote w:id="3">
    <w:p w14:paraId="23882136" w14:textId="77777777" w:rsidR="00BC0341" w:rsidRPr="00FA1262"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CORTE CONSTITUCIONAL. Sentencia C-415 de 1994. M.P. Eduardo Cifuentes Muñoz.</w:t>
      </w:r>
    </w:p>
  </w:footnote>
  <w:footnote w:id="4">
    <w:p w14:paraId="386EE2EB" w14:textId="77777777" w:rsidR="00BC0341" w:rsidRPr="00FA1262"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proofErr w:type="spellStart"/>
      <w:r w:rsidRPr="00FA1262">
        <w:rPr>
          <w:rFonts w:ascii="Verdana" w:hAnsi="Verdana"/>
          <w:sz w:val="16"/>
          <w:szCs w:val="16"/>
          <w:lang w:val="es-CO"/>
        </w:rPr>
        <w:t>Ibídem</w:t>
      </w:r>
      <w:proofErr w:type="spellEnd"/>
      <w:r w:rsidRPr="00FA1262">
        <w:rPr>
          <w:rFonts w:ascii="Verdana" w:hAnsi="Verdana"/>
          <w:sz w:val="16"/>
          <w:szCs w:val="16"/>
          <w:lang w:val="es-CO"/>
        </w:rPr>
        <w:t>.</w:t>
      </w:r>
    </w:p>
    <w:p w14:paraId="11042418" w14:textId="77777777" w:rsidR="00BC0341" w:rsidRPr="00FA1262" w:rsidRDefault="00BC0341" w:rsidP="00BC0341">
      <w:pPr>
        <w:pStyle w:val="Textonotapie"/>
        <w:jc w:val="both"/>
        <w:rPr>
          <w:rFonts w:ascii="Verdana" w:hAnsi="Verdana"/>
          <w:sz w:val="16"/>
          <w:szCs w:val="16"/>
          <w:lang w:val="es-CO"/>
        </w:rPr>
      </w:pPr>
    </w:p>
  </w:footnote>
  <w:footnote w:id="5">
    <w:p w14:paraId="66E97493" w14:textId="77777777" w:rsidR="00BC0341" w:rsidRPr="00FA1262"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CORTE CONSTITUCIONAL. Sentencia C-780 de 2001. M.P. Jaime Córdoba Triviño. </w:t>
      </w:r>
    </w:p>
    <w:p w14:paraId="252A0CA9" w14:textId="77777777" w:rsidR="00BC0341" w:rsidRPr="00FA1262" w:rsidRDefault="00BC0341" w:rsidP="00BC0341">
      <w:pPr>
        <w:pStyle w:val="Textonotapie"/>
        <w:jc w:val="both"/>
        <w:rPr>
          <w:rFonts w:ascii="Verdana" w:hAnsi="Verdana"/>
          <w:sz w:val="16"/>
          <w:szCs w:val="16"/>
          <w:lang w:val="es-CO"/>
        </w:rPr>
      </w:pPr>
    </w:p>
  </w:footnote>
  <w:footnote w:id="6">
    <w:p w14:paraId="59348064" w14:textId="77777777" w:rsidR="00BC0341" w:rsidRPr="00FA1262" w:rsidRDefault="00BC0341" w:rsidP="00BC0341">
      <w:pPr>
        <w:pStyle w:val="NormalWeb"/>
        <w:spacing w:before="0" w:beforeAutospacing="0" w:after="0" w:afterAutospacing="0"/>
        <w:ind w:firstLine="708"/>
        <w:jc w:val="both"/>
        <w:rPr>
          <w:rFonts w:ascii="Verdana" w:eastAsia="Calibri" w:hAnsi="Verdana" w:cs="Arial"/>
          <w:sz w:val="16"/>
          <w:szCs w:val="16"/>
          <w:lang w:eastAsia="en-US"/>
        </w:rPr>
      </w:pPr>
      <w:r w:rsidRPr="00363EDC">
        <w:rPr>
          <w:rStyle w:val="Refdenotaalpie"/>
          <w:rFonts w:ascii="Verdana" w:hAnsi="Verdana"/>
          <w:sz w:val="16"/>
          <w:szCs w:val="16"/>
        </w:rPr>
        <w:footnoteRef/>
      </w:r>
      <w:r w:rsidRPr="00FA1262">
        <w:rPr>
          <w:rFonts w:ascii="Verdana" w:hAnsi="Verdana"/>
          <w:sz w:val="16"/>
          <w:szCs w:val="16"/>
        </w:rPr>
        <w:t xml:space="preserve"> </w:t>
      </w:r>
      <w:r w:rsidRPr="00FA1262">
        <w:rPr>
          <w:rFonts w:ascii="Verdana" w:eastAsia="Calibri" w:hAnsi="Verdana" w:cs="Arial"/>
          <w:sz w:val="16"/>
          <w:szCs w:val="16"/>
          <w:lang w:eastAsia="en-US"/>
        </w:rPr>
        <w:t xml:space="preserve">Ley 80 de 1993: </w:t>
      </w:r>
      <w:r>
        <w:rPr>
          <w:rFonts w:ascii="Verdana" w:eastAsia="Calibri" w:hAnsi="Verdana" w:cs="Arial"/>
          <w:sz w:val="16"/>
          <w:szCs w:val="16"/>
          <w:lang w:eastAsia="en-US"/>
        </w:rPr>
        <w:t>“</w:t>
      </w:r>
      <w:r w:rsidRPr="00FA1262">
        <w:rPr>
          <w:rFonts w:ascii="Verdana" w:eastAsia="Calibri" w:hAnsi="Verdana" w:cs="Arial"/>
          <w:sz w:val="16"/>
          <w:szCs w:val="16"/>
          <w:lang w:eastAsia="en-US"/>
        </w:rPr>
        <w:t>Artículo 8: 1o. Son inhábiles para participar en licitaciones o concursos y para celebrar contratos con las entidades estatales: </w:t>
      </w:r>
    </w:p>
    <w:p w14:paraId="4E2E63BB"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a) Las personas que se hallen inhabilitadas para contratar por la Constitución y las leyes. </w:t>
      </w:r>
    </w:p>
    <w:p w14:paraId="64B4C9E2"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b) Quienes participaron en las licitaciones o concursos o celebraron los contratos de que trata el literal anterior estando inhabilitados. </w:t>
      </w:r>
    </w:p>
    <w:p w14:paraId="06B1D1D9"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c) Quienes dieron lugar a la declaratoria de caducidad. </w:t>
      </w:r>
    </w:p>
    <w:p w14:paraId="6ECC3723"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d) Quienes en sentencia judicial hayan sido condenados a la pena accesoria de interdicción de derechos y funciones públicas y quienes hayan sido sancionados disciplinariamente con destitución. </w:t>
      </w:r>
    </w:p>
    <w:p w14:paraId="2B6C3A98"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e) Quienes sin justa causa se abstengan de suscribir el contrato estatal adjudicado. </w:t>
      </w:r>
    </w:p>
    <w:p w14:paraId="72109CE0"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f) Los servidores públicos. </w:t>
      </w:r>
    </w:p>
    <w:p w14:paraId="025F3E68"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1AE9C704" w14:textId="77777777" w:rsidR="00BC0341" w:rsidRPr="00FA1262" w:rsidRDefault="00BC0341" w:rsidP="00BC0341">
      <w:pPr>
        <w:pStyle w:val="NormalWeb"/>
        <w:spacing w:before="0" w:beforeAutospacing="0" w:after="0" w:afterAutospacing="0"/>
        <w:ind w:firstLine="708"/>
        <w:jc w:val="both"/>
        <w:rPr>
          <w:rFonts w:ascii="Verdana" w:eastAsia="Calibri" w:hAnsi="Verdana" w:cs="Arial"/>
          <w:sz w:val="16"/>
          <w:szCs w:val="16"/>
          <w:lang w:eastAsia="en-US"/>
        </w:rPr>
      </w:pPr>
      <w:r w:rsidRPr="00FA1262">
        <w:rPr>
          <w:rFonts w:ascii="Verdana" w:eastAsia="Calibri" w:hAnsi="Verdana" w:cs="Arial"/>
          <w:sz w:val="16"/>
          <w:szCs w:val="16"/>
          <w:lang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584B6E1"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i) Los socios de sociedades de personas a las cuales se haya declarado la caducidad, así como las sociedades de personas de las que aquellos formen parte con posterioridad a dicha declaratoria. </w:t>
      </w:r>
    </w:p>
    <w:p w14:paraId="1F6898BA"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AB7D9E3"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4A2E836D"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FA1262">
        <w:rPr>
          <w:rFonts w:ascii="Verdana" w:eastAsia="Calibri" w:hAnsi="Verdana" w:cs="Arial"/>
          <w:sz w:val="16"/>
          <w:szCs w:val="16"/>
          <w:lang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FA1262">
        <w:rPr>
          <w:rFonts w:ascii="Verdana" w:eastAsia="Calibri" w:hAnsi="Verdana" w:cs="Arial"/>
          <w:sz w:val="16"/>
          <w:szCs w:val="16"/>
          <w:lang w:eastAsia="en-US"/>
        </w:rPr>
        <w:softHyphen/>
        <w:t>cepción de las sociedades anónimas abiertas. También se considerarán inhabilitadas para contratar, las personas jurídicas sobre las cuales se haya ordenado la suspensión de la perso</w:t>
      </w:r>
      <w:r w:rsidRPr="00FA1262">
        <w:rPr>
          <w:rFonts w:ascii="Verdana" w:eastAsia="Calibri" w:hAnsi="Verdana" w:cs="Arial"/>
          <w:sz w:val="16"/>
          <w:szCs w:val="16"/>
          <w:lang w:eastAsia="en-US"/>
        </w:rPr>
        <w:softHyphen/>
        <w:t>nería jurídica en los términos de ley, o cuyos representantes legales, ad</w:t>
      </w:r>
      <w:r w:rsidRPr="00FA1262">
        <w:rPr>
          <w:rFonts w:ascii="Verdana" w:eastAsia="Calibri" w:hAnsi="Verdana" w:cs="Arial"/>
          <w:sz w:val="16"/>
          <w:szCs w:val="16"/>
          <w:lang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FA1262">
        <w:rPr>
          <w:rFonts w:ascii="Verdana" w:eastAsia="Calibri" w:hAnsi="Verdana" w:cs="Arial"/>
          <w:sz w:val="16"/>
          <w:szCs w:val="16"/>
          <w:lang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7574BBA5"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w:t>
      </w:r>
    </w:p>
    <w:p w14:paraId="1A4F9AFC" w14:textId="77777777" w:rsidR="00BC0341" w:rsidRPr="00FA1262" w:rsidRDefault="00BC0341" w:rsidP="00BC0341">
      <w:pPr>
        <w:pStyle w:val="NormalWeb"/>
        <w:spacing w:before="0" w:beforeAutospacing="0" w:after="0" w:afterAutospacing="0"/>
        <w:ind w:firstLine="708"/>
        <w:jc w:val="both"/>
        <w:rPr>
          <w:rFonts w:ascii="Verdana" w:eastAsia="Calibri" w:hAnsi="Verdana" w:cs="Arial"/>
          <w:sz w:val="16"/>
          <w:szCs w:val="16"/>
          <w:lang w:eastAsia="en-US"/>
        </w:rPr>
      </w:pPr>
      <w:r w:rsidRPr="00FA1262">
        <w:rPr>
          <w:rFonts w:ascii="Verdana" w:eastAsia="Calibri" w:hAnsi="Verdana" w:cs="Arial"/>
          <w:sz w:val="16"/>
          <w:szCs w:val="16"/>
          <w:lang w:eastAsia="en-US"/>
        </w:rPr>
        <w:t>2o. Tampoco podrán participar en licitaciones o concursos ni celebrar contratos estatales con la entidad respectiva: </w:t>
      </w:r>
    </w:p>
    <w:p w14:paraId="7AF97A8D"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4FDF7E97"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4C083B00"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c) El cónyuge, compañero o compañera permanente del servidor público en los niveles directivo, asesor, ejecutivo, o de un miembro de la junta o consejo directivo, o de quien ejerza funciones de control interno o de control fiscal. </w:t>
      </w:r>
    </w:p>
    <w:p w14:paraId="72CC4829"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1F952F2" w14:textId="77777777" w:rsidR="00BC0341" w:rsidRPr="00FA1262" w:rsidRDefault="00BC0341" w:rsidP="00BC0341">
      <w:pPr>
        <w:pStyle w:val="NormalWeb"/>
        <w:spacing w:before="0" w:beforeAutospacing="0" w:after="0" w:afterAutospacing="0"/>
        <w:jc w:val="both"/>
        <w:rPr>
          <w:rFonts w:ascii="Verdana" w:eastAsia="Calibri" w:hAnsi="Verdana" w:cs="Arial"/>
          <w:sz w:val="16"/>
          <w:szCs w:val="16"/>
          <w:lang w:eastAsia="en-US"/>
        </w:rPr>
      </w:pPr>
      <w:r w:rsidRPr="00FA1262">
        <w:rPr>
          <w:rFonts w:ascii="Verdana" w:eastAsia="Calibri" w:hAnsi="Verdana" w:cs="Arial"/>
          <w:sz w:val="16"/>
          <w:szCs w:val="16"/>
          <w:lang w:eastAsia="en-US"/>
        </w:rPr>
        <w:t>  </w:t>
      </w:r>
      <w:r w:rsidRPr="00FA1262">
        <w:rPr>
          <w:rFonts w:ascii="Verdana" w:eastAsia="Calibri" w:hAnsi="Verdana" w:cs="Arial"/>
          <w:sz w:val="16"/>
          <w:szCs w:val="16"/>
          <w:lang w:eastAsia="en-US"/>
        </w:rPr>
        <w:tab/>
        <w:t>e) Los miembros de las juntas o consejos directivos. Esta incompatibilidad sólo se predica respecto de la entidad a la cual prestan sus servicios y de las del sector administrativo al que la misma esté adscrita o vinculada. </w:t>
      </w:r>
    </w:p>
    <w:p w14:paraId="74EFBFBD" w14:textId="77777777" w:rsidR="00BC0341" w:rsidRPr="00FA1262" w:rsidRDefault="00BC0341" w:rsidP="00BC0341">
      <w:pPr>
        <w:pStyle w:val="NormalWeb"/>
        <w:spacing w:before="0" w:beforeAutospacing="0" w:after="0" w:afterAutospacing="0"/>
        <w:ind w:firstLine="708"/>
        <w:jc w:val="both"/>
        <w:rPr>
          <w:rFonts w:ascii="Verdana" w:eastAsia="Calibri" w:hAnsi="Verdana" w:cs="Arial"/>
          <w:sz w:val="16"/>
          <w:szCs w:val="16"/>
          <w:lang w:eastAsia="en-US"/>
        </w:rPr>
      </w:pPr>
      <w:r w:rsidRPr="00FA1262">
        <w:rPr>
          <w:rFonts w:ascii="Verdana" w:eastAsia="Calibri" w:hAnsi="Verdana" w:cs="Arial"/>
          <w:sz w:val="16"/>
          <w:szCs w:val="16"/>
          <w:lang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w:t>
      </w:r>
      <w:r>
        <w:rPr>
          <w:rFonts w:ascii="Verdana" w:eastAsia="Calibri" w:hAnsi="Verdana" w:cs="Arial"/>
          <w:sz w:val="16"/>
          <w:szCs w:val="16"/>
          <w:lang w:eastAsia="en-US"/>
        </w:rPr>
        <w:t>”</w:t>
      </w:r>
      <w:r w:rsidRPr="00FA1262">
        <w:rPr>
          <w:rFonts w:ascii="Verdana" w:eastAsia="Calibri" w:hAnsi="Verdana" w:cs="Arial"/>
          <w:sz w:val="16"/>
          <w:szCs w:val="16"/>
          <w:lang w:eastAsia="en-US"/>
        </w:rPr>
        <w:t xml:space="preserve">. (…). </w:t>
      </w:r>
    </w:p>
    <w:p w14:paraId="2C9BADD9" w14:textId="77777777" w:rsidR="00BC0341" w:rsidRPr="00FA1262" w:rsidRDefault="00BC0341" w:rsidP="00BC0341">
      <w:pPr>
        <w:pStyle w:val="Textonotapie"/>
        <w:jc w:val="both"/>
        <w:rPr>
          <w:rFonts w:ascii="Verdana" w:hAnsi="Verdana"/>
          <w:sz w:val="16"/>
          <w:szCs w:val="16"/>
          <w:lang w:val="es-CO"/>
        </w:rPr>
      </w:pPr>
    </w:p>
  </w:footnote>
  <w:footnote w:id="7">
    <w:p w14:paraId="6B691ECB" w14:textId="77777777" w:rsidR="00BC0341"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Ibídem. p. 69.</w:t>
      </w:r>
    </w:p>
    <w:p w14:paraId="3ACF3E18" w14:textId="77777777" w:rsidR="00BC0341" w:rsidRPr="00FA1262" w:rsidRDefault="00BC0341" w:rsidP="00BC0341">
      <w:pPr>
        <w:pStyle w:val="Textonotapie"/>
        <w:ind w:firstLine="708"/>
        <w:jc w:val="both"/>
        <w:rPr>
          <w:rFonts w:ascii="Verdana" w:hAnsi="Verdana"/>
          <w:sz w:val="16"/>
          <w:szCs w:val="16"/>
          <w:lang w:val="es-CO"/>
        </w:rPr>
      </w:pPr>
    </w:p>
  </w:footnote>
  <w:footnote w:id="8">
    <w:p w14:paraId="3B8DEB39" w14:textId="77777777" w:rsidR="00BC0341" w:rsidRPr="00FA1262"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4E85AEA4" w14:textId="77777777" w:rsidR="00BC0341" w:rsidRPr="00FA1262" w:rsidRDefault="00BC0341" w:rsidP="00BC0341">
      <w:pPr>
        <w:pStyle w:val="Textonotapie"/>
        <w:jc w:val="both"/>
        <w:rPr>
          <w:rFonts w:ascii="Verdana" w:hAnsi="Verdana" w:cs="Arial"/>
          <w:sz w:val="16"/>
          <w:szCs w:val="16"/>
          <w:lang w:val="es-CO"/>
        </w:rPr>
      </w:pPr>
    </w:p>
  </w:footnote>
  <w:footnote w:id="9">
    <w:p w14:paraId="7989A79C" w14:textId="77777777" w:rsidR="00BC0341" w:rsidRPr="00FA1262"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CONSEJO DE ESTADO. Sala de Consulta y Servicio Civil. Concepto del 30 de abril de 2015. Exp. 2251. C.P. Álvaro Namén Vargas.</w:t>
      </w:r>
    </w:p>
    <w:p w14:paraId="30F00A4D" w14:textId="77777777" w:rsidR="00BC0341" w:rsidRPr="00FA1262" w:rsidRDefault="00BC0341" w:rsidP="00BC0341">
      <w:pPr>
        <w:pStyle w:val="Textonotapie"/>
        <w:jc w:val="both"/>
        <w:rPr>
          <w:rFonts w:ascii="Verdana" w:hAnsi="Verdana"/>
          <w:sz w:val="16"/>
          <w:szCs w:val="16"/>
          <w:lang w:val="es-CO"/>
        </w:rPr>
      </w:pPr>
    </w:p>
  </w:footnote>
  <w:footnote w:id="10">
    <w:p w14:paraId="03C804C4" w14:textId="77777777" w:rsidR="00BC0341" w:rsidRPr="00FA1262"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CONSEJO DE ESTADO. Sección Tercera. Subsección A. Sentencia del 24 de junio de 2015. Exp. 40.635. C.P. Hernán Andrade Rincón (E).</w:t>
      </w:r>
    </w:p>
    <w:p w14:paraId="2B6B900C" w14:textId="77777777" w:rsidR="00BC0341" w:rsidRPr="00FA1262" w:rsidRDefault="00BC0341" w:rsidP="00BC0341">
      <w:pPr>
        <w:pStyle w:val="Textonotapie"/>
        <w:jc w:val="both"/>
        <w:rPr>
          <w:rFonts w:ascii="Verdana" w:hAnsi="Verdana"/>
          <w:sz w:val="16"/>
          <w:szCs w:val="16"/>
          <w:lang w:val="es-CO"/>
        </w:rPr>
      </w:pPr>
    </w:p>
  </w:footnote>
  <w:footnote w:id="11">
    <w:p w14:paraId="5881E2B7" w14:textId="77777777" w:rsidR="00BC0341"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CONSEJO DE ESTADO. Sección Tercera. Subsección C. Sentencia del 22 de mayo de 2013. Rad. 24.057. C.P. Olga Mélida Valle De De La Hoz.</w:t>
      </w:r>
    </w:p>
    <w:p w14:paraId="09E375D4" w14:textId="77777777" w:rsidR="00BC0341" w:rsidRPr="00FA1262" w:rsidRDefault="00BC0341" w:rsidP="00BC0341">
      <w:pPr>
        <w:pStyle w:val="Textonotapie"/>
        <w:ind w:firstLine="708"/>
        <w:jc w:val="both"/>
        <w:rPr>
          <w:rFonts w:ascii="Verdana" w:hAnsi="Verdana"/>
          <w:sz w:val="16"/>
          <w:szCs w:val="16"/>
          <w:lang w:val="es-CO"/>
        </w:rPr>
      </w:pPr>
    </w:p>
  </w:footnote>
  <w:footnote w:id="12">
    <w:p w14:paraId="762BF657" w14:textId="77777777" w:rsidR="00BC0341" w:rsidRPr="00FA1262"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Corte Constitucional. Sentencia C-415 de 1994. M.P. Eduardo Cifuentes Muñoz.</w:t>
      </w:r>
    </w:p>
    <w:p w14:paraId="0F966DE1" w14:textId="77777777" w:rsidR="00BC0341" w:rsidRPr="00FA1262" w:rsidRDefault="00BC0341" w:rsidP="00BC0341">
      <w:pPr>
        <w:pStyle w:val="Textonotapie"/>
        <w:jc w:val="both"/>
        <w:rPr>
          <w:rFonts w:ascii="Verdana" w:hAnsi="Verdana"/>
          <w:sz w:val="16"/>
          <w:szCs w:val="16"/>
          <w:lang w:val="es-CO"/>
        </w:rPr>
      </w:pPr>
    </w:p>
  </w:footnote>
  <w:footnote w:id="13">
    <w:p w14:paraId="19021766" w14:textId="77777777" w:rsidR="00BC0341" w:rsidRPr="00FA1262" w:rsidRDefault="00BC0341" w:rsidP="00BC0341">
      <w:pPr>
        <w:pStyle w:val="Textonotapie"/>
        <w:ind w:firstLine="708"/>
        <w:jc w:val="both"/>
        <w:rPr>
          <w:rFonts w:ascii="Verdana" w:hAnsi="Verdana" w:cs="Arial"/>
          <w:color w:val="000000"/>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color w:val="000000"/>
          <w:sz w:val="16"/>
          <w:szCs w:val="16"/>
          <w:lang w:val="es-CO"/>
        </w:rPr>
        <w:t>CONSEJO DE ESTADO. Sala de lo contencioso administrativo. Sentencia del 12 de diciembre de 2014. Exp. 26496. C.P. Ramiro Pazos Guerrero. 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048628D" w14:textId="77777777" w:rsidR="00BC0341" w:rsidRPr="00FA1262" w:rsidRDefault="00BC0341" w:rsidP="00BC0341">
      <w:pPr>
        <w:pStyle w:val="Textonotapie"/>
        <w:jc w:val="both"/>
        <w:rPr>
          <w:rFonts w:ascii="Verdana" w:hAnsi="Verdana"/>
          <w:sz w:val="16"/>
          <w:szCs w:val="16"/>
          <w:lang w:val="es-CO"/>
        </w:rPr>
      </w:pPr>
    </w:p>
  </w:footnote>
  <w:footnote w:id="14">
    <w:p w14:paraId="73F95B10" w14:textId="77777777" w:rsidR="00BC0341" w:rsidRPr="00FA1262" w:rsidRDefault="00BC0341" w:rsidP="00BC0341">
      <w:pPr>
        <w:pStyle w:val="Textonotapie"/>
        <w:ind w:firstLine="708"/>
        <w:jc w:val="both"/>
        <w:rPr>
          <w:rFonts w:ascii="Verdana" w:hAnsi="Verdana"/>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color w:val="000000"/>
          <w:sz w:val="16"/>
          <w:szCs w:val="16"/>
          <w:lang w:val="es-CO"/>
        </w:rPr>
        <w:t>CONSEJO DE ESTADO. Sala de Consulta y Servicio Civil. Concepto del 29 de abril de 1998. Rad. 1097. C.P. Augusto Trejos Jaramillo.</w:t>
      </w:r>
    </w:p>
  </w:footnote>
  <w:footnote w:id="15">
    <w:p w14:paraId="40277C96" w14:textId="77777777" w:rsidR="00BC0341" w:rsidRPr="00FA1262" w:rsidRDefault="00BC0341" w:rsidP="00BC0341">
      <w:pPr>
        <w:pStyle w:val="Textonotapie"/>
        <w:ind w:firstLine="709"/>
        <w:jc w:val="both"/>
        <w:rPr>
          <w:rFonts w:ascii="Arial" w:hAnsi="Arial" w:cs="Arial"/>
          <w:sz w:val="19"/>
          <w:szCs w:val="19"/>
          <w:lang w:val="es-CO"/>
        </w:rPr>
      </w:pPr>
      <w:r w:rsidRPr="00FA1262">
        <w:rPr>
          <w:rStyle w:val="Refdenotaalpie"/>
          <w:lang w:val="es-CO"/>
        </w:rPr>
        <w:footnoteRef/>
      </w:r>
      <w:r w:rsidRPr="00FA1262">
        <w:rPr>
          <w:lang w:val="es-CO"/>
        </w:rPr>
        <w:t xml:space="preserve"> </w:t>
      </w:r>
      <w:r w:rsidRPr="00FA1262">
        <w:rPr>
          <w:rFonts w:ascii="Arial" w:hAnsi="Arial" w:cs="Arial"/>
          <w:sz w:val="19"/>
          <w:szCs w:val="19"/>
          <w:lang w:val="es-CO"/>
        </w:rPr>
        <w:t>Corte Constitucional. Sentencia C-106 del 31 de octubre de 2018. M.P. Alejandro Linares Cantillo.</w:t>
      </w:r>
    </w:p>
    <w:p w14:paraId="45E34D73" w14:textId="77777777" w:rsidR="00BC0341" w:rsidRPr="00FA1262" w:rsidRDefault="00BC0341" w:rsidP="00BC0341">
      <w:pPr>
        <w:pStyle w:val="Textonotapie"/>
        <w:ind w:firstLine="709"/>
        <w:rPr>
          <w:lang w:val="es-CO"/>
        </w:rPr>
      </w:pPr>
    </w:p>
  </w:footnote>
  <w:footnote w:id="16">
    <w:p w14:paraId="3C1F0F24" w14:textId="77777777" w:rsidR="00BC0341" w:rsidRPr="00FA1262" w:rsidRDefault="00BC0341" w:rsidP="00BC0341">
      <w:pPr>
        <w:pStyle w:val="Textonotapie"/>
        <w:ind w:firstLine="709"/>
        <w:rPr>
          <w:rFonts w:ascii="Arial" w:hAnsi="Arial" w:cs="Arial"/>
          <w:sz w:val="19"/>
          <w:szCs w:val="19"/>
          <w:lang w:val="es-CO"/>
        </w:rPr>
      </w:pPr>
      <w:r w:rsidRPr="00FA1262">
        <w:rPr>
          <w:rStyle w:val="Refdenotaalpie"/>
          <w:lang w:val="es-CO"/>
        </w:rPr>
        <w:footnoteRef/>
      </w:r>
      <w:r w:rsidRPr="00FA1262">
        <w:rPr>
          <w:rFonts w:ascii="Arial" w:hAnsi="Arial" w:cs="Arial"/>
          <w:sz w:val="19"/>
          <w:szCs w:val="19"/>
          <w:lang w:val="es-CO"/>
        </w:rPr>
        <w:t xml:space="preserve"> Ibídem</w:t>
      </w:r>
    </w:p>
    <w:p w14:paraId="0E94B42B" w14:textId="77777777" w:rsidR="00BC0341" w:rsidRPr="00FA1262" w:rsidRDefault="00BC0341" w:rsidP="00BC0341">
      <w:pPr>
        <w:pStyle w:val="Textonotapie"/>
        <w:ind w:firstLine="709"/>
        <w:rPr>
          <w:lang w:val="es-CO"/>
        </w:rPr>
      </w:pPr>
      <w:r w:rsidRPr="00FA1262">
        <w:rPr>
          <w:lang w:val="es-CO"/>
        </w:rPr>
        <w:t xml:space="preserve"> </w:t>
      </w:r>
    </w:p>
  </w:footnote>
  <w:footnote w:id="17">
    <w:p w14:paraId="79D09229" w14:textId="77777777" w:rsidR="00BC0341" w:rsidRPr="00FA1262" w:rsidRDefault="00BC0341" w:rsidP="00BC0341">
      <w:pPr>
        <w:pStyle w:val="Textonotapie"/>
        <w:ind w:firstLine="709"/>
        <w:jc w:val="both"/>
        <w:rPr>
          <w:rFonts w:ascii="Arial" w:hAnsi="Arial" w:cs="Arial"/>
          <w:sz w:val="19"/>
          <w:szCs w:val="19"/>
          <w:lang w:val="es-CO"/>
        </w:rPr>
      </w:pPr>
      <w:r w:rsidRPr="00FA1262">
        <w:rPr>
          <w:rStyle w:val="Refdenotaalpie"/>
          <w:rFonts w:ascii="Arial" w:hAnsi="Arial" w:cs="Arial"/>
          <w:sz w:val="19"/>
          <w:szCs w:val="19"/>
          <w:lang w:val="es-CO"/>
        </w:rPr>
        <w:footnoteRef/>
      </w:r>
      <w:r w:rsidRPr="00FA1262">
        <w:rPr>
          <w:rFonts w:ascii="Arial" w:hAnsi="Arial" w:cs="Arial"/>
          <w:sz w:val="19"/>
          <w:szCs w:val="19"/>
          <w:lang w:val="es-CO"/>
        </w:rPr>
        <w:t xml:space="preserve"> Código Civil, artículo 36.</w:t>
      </w:r>
    </w:p>
    <w:p w14:paraId="5184261B" w14:textId="77777777" w:rsidR="00BC0341" w:rsidRPr="00FA1262" w:rsidRDefault="00BC0341" w:rsidP="00BC0341">
      <w:pPr>
        <w:pStyle w:val="Textonotapie"/>
        <w:ind w:firstLine="709"/>
        <w:jc w:val="both"/>
        <w:rPr>
          <w:rFonts w:ascii="Arial" w:hAnsi="Arial" w:cs="Arial"/>
          <w:sz w:val="19"/>
          <w:szCs w:val="19"/>
          <w:lang w:val="es-CO"/>
        </w:rPr>
      </w:pPr>
    </w:p>
  </w:footnote>
  <w:footnote w:id="18">
    <w:p w14:paraId="55B6B359" w14:textId="77777777" w:rsidR="00BC0341" w:rsidRPr="00FA1262" w:rsidRDefault="00BC0341" w:rsidP="00BC0341">
      <w:pPr>
        <w:pStyle w:val="Textonotapie"/>
        <w:ind w:firstLine="709"/>
        <w:jc w:val="both"/>
        <w:rPr>
          <w:rFonts w:ascii="Arial" w:hAnsi="Arial" w:cs="Arial"/>
          <w:sz w:val="19"/>
          <w:szCs w:val="19"/>
          <w:lang w:val="es-CO"/>
        </w:rPr>
      </w:pPr>
      <w:r w:rsidRPr="00FA1262">
        <w:rPr>
          <w:rStyle w:val="Refdenotaalpie"/>
          <w:rFonts w:ascii="Arial" w:hAnsi="Arial" w:cs="Arial"/>
          <w:sz w:val="19"/>
          <w:szCs w:val="19"/>
          <w:lang w:val="es-CO"/>
        </w:rPr>
        <w:footnoteRef/>
      </w:r>
      <w:r w:rsidRPr="00FA1262">
        <w:rPr>
          <w:rFonts w:ascii="Arial" w:hAnsi="Arial" w:cs="Arial"/>
          <w:sz w:val="19"/>
          <w:szCs w:val="19"/>
          <w:lang w:val="es-CO"/>
        </w:rPr>
        <w:t xml:space="preserve"> Código Civil: “Artículo 47. Afinidad legítima. Afinidad legítima es la que existe entre una persona que está o ha estado casada y los consanguíneos legítimos de su marido o mujer (…)”.</w:t>
      </w:r>
    </w:p>
    <w:p w14:paraId="5D0B397E" w14:textId="77777777" w:rsidR="00BC0341" w:rsidRPr="00FA1262" w:rsidRDefault="00BC0341" w:rsidP="00BC0341">
      <w:pPr>
        <w:pStyle w:val="Textonotapie"/>
        <w:ind w:firstLine="709"/>
        <w:jc w:val="both"/>
        <w:rPr>
          <w:rFonts w:ascii="Arial" w:hAnsi="Arial" w:cs="Arial"/>
          <w:sz w:val="19"/>
          <w:szCs w:val="19"/>
          <w:lang w:val="es-CO"/>
        </w:rPr>
      </w:pPr>
    </w:p>
  </w:footnote>
  <w:footnote w:id="19">
    <w:p w14:paraId="12A980A6" w14:textId="77777777" w:rsidR="00BC0341" w:rsidRPr="00FA1262" w:rsidRDefault="00BC0341" w:rsidP="00BC0341">
      <w:pPr>
        <w:pStyle w:val="Textonotapie"/>
        <w:ind w:firstLine="709"/>
        <w:jc w:val="both"/>
        <w:rPr>
          <w:rFonts w:ascii="Arial" w:hAnsi="Arial" w:cs="Arial"/>
          <w:sz w:val="19"/>
          <w:szCs w:val="19"/>
          <w:lang w:val="es-CO"/>
        </w:rPr>
      </w:pPr>
      <w:r w:rsidRPr="00FA1262">
        <w:rPr>
          <w:rStyle w:val="Refdenotaalpie"/>
          <w:rFonts w:ascii="Arial" w:hAnsi="Arial" w:cs="Arial"/>
          <w:sz w:val="19"/>
          <w:szCs w:val="19"/>
          <w:lang w:val="es-CO"/>
        </w:rPr>
        <w:footnoteRef/>
      </w:r>
      <w:r w:rsidRPr="00FA1262">
        <w:rPr>
          <w:rFonts w:ascii="Arial" w:hAnsi="Arial" w:cs="Arial"/>
          <w:sz w:val="19"/>
          <w:szCs w:val="19"/>
          <w:lang w:val="es-CO"/>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0BB92D09" w14:textId="77777777" w:rsidR="00BC0341" w:rsidRPr="00FA1262" w:rsidRDefault="00BC0341" w:rsidP="00BC0341">
      <w:pPr>
        <w:pStyle w:val="Textonotapie"/>
        <w:ind w:firstLine="709"/>
        <w:jc w:val="both"/>
        <w:rPr>
          <w:rFonts w:ascii="Arial" w:hAnsi="Arial" w:cs="Arial"/>
          <w:sz w:val="19"/>
          <w:szCs w:val="19"/>
          <w:lang w:val="es-CO"/>
        </w:rPr>
      </w:pPr>
      <w:r w:rsidRPr="00FA1262">
        <w:rPr>
          <w:rFonts w:ascii="Arial" w:hAnsi="Arial" w:cs="Arial"/>
          <w:sz w:val="19"/>
          <w:szCs w:val="19"/>
          <w:lang w:val="es-CO"/>
        </w:rPr>
        <w:t>“Artículo 47. Afinidad legítima. (…) La línea o grado de afinidad legítima de una persona con un consanguíneo de su marido o mujer, se califica por la línea o grado de consanguinidad legítima de dicho marido o mujer con el dicho consanguíneo (…)”.</w:t>
      </w:r>
    </w:p>
    <w:p w14:paraId="5A0165BE" w14:textId="77777777" w:rsidR="00BC0341" w:rsidRPr="00FA1262" w:rsidRDefault="00BC0341" w:rsidP="00BC0341">
      <w:pPr>
        <w:pStyle w:val="Textonotapie"/>
        <w:ind w:firstLine="709"/>
        <w:jc w:val="both"/>
        <w:rPr>
          <w:rFonts w:ascii="Arial" w:hAnsi="Arial" w:cs="Arial"/>
          <w:sz w:val="19"/>
          <w:szCs w:val="19"/>
          <w:lang w:val="es-CO"/>
        </w:rPr>
      </w:pPr>
    </w:p>
  </w:footnote>
  <w:footnote w:id="20">
    <w:p w14:paraId="02A92210" w14:textId="77777777" w:rsidR="00BC0341" w:rsidRPr="00FA1262" w:rsidRDefault="00BC0341" w:rsidP="00BC0341">
      <w:pPr>
        <w:pStyle w:val="Textonotapie"/>
        <w:ind w:firstLine="709"/>
        <w:rPr>
          <w:lang w:val="es-CO"/>
        </w:rPr>
      </w:pPr>
      <w:r w:rsidRPr="00FA1262">
        <w:rPr>
          <w:rStyle w:val="Refdenotaalpie"/>
          <w:lang w:val="es-CO"/>
        </w:rPr>
        <w:footnoteRef/>
      </w:r>
      <w:r w:rsidRPr="00FA1262">
        <w:rPr>
          <w:lang w:val="es-CO"/>
        </w:rPr>
        <w:t xml:space="preserve"> </w:t>
      </w:r>
      <w:r w:rsidRPr="00FA1262">
        <w:rPr>
          <w:rFonts w:ascii="Arial" w:hAnsi="Arial" w:cs="Arial"/>
          <w:sz w:val="19"/>
          <w:szCs w:val="19"/>
          <w:lang w:val="es-CO"/>
        </w:rPr>
        <w:t>Artículo 64. Numeral 2.</w:t>
      </w:r>
      <w:r w:rsidRPr="00FA1262">
        <w:rPr>
          <w:lang w:val="es-CO"/>
        </w:rPr>
        <w:t xml:space="preserve"> </w:t>
      </w:r>
    </w:p>
    <w:p w14:paraId="2D8C72D7" w14:textId="77777777" w:rsidR="00BC0341" w:rsidRPr="00FA1262" w:rsidRDefault="00BC0341" w:rsidP="00BC0341">
      <w:pPr>
        <w:pStyle w:val="Textonotapie"/>
        <w:ind w:firstLine="709"/>
        <w:rPr>
          <w:lang w:val="es-CO"/>
        </w:rPr>
      </w:pPr>
    </w:p>
  </w:footnote>
  <w:footnote w:id="21">
    <w:p w14:paraId="001E7056" w14:textId="77777777" w:rsidR="00BC0341" w:rsidRPr="00FA1262" w:rsidRDefault="00BC0341" w:rsidP="00BC0341">
      <w:pPr>
        <w:pStyle w:val="Textonotapie"/>
        <w:ind w:firstLine="708"/>
        <w:jc w:val="both"/>
        <w:rPr>
          <w:rFonts w:ascii="Arial" w:hAnsi="Arial" w:cs="Arial"/>
          <w:sz w:val="19"/>
          <w:szCs w:val="19"/>
          <w:lang w:val="es-CO"/>
        </w:rPr>
      </w:pPr>
      <w:r w:rsidRPr="00FA1262">
        <w:rPr>
          <w:rStyle w:val="Refdenotaalpie"/>
          <w:lang w:val="es-CO"/>
        </w:rPr>
        <w:footnoteRef/>
      </w:r>
      <w:r w:rsidRPr="00FA1262">
        <w:rPr>
          <w:lang w:val="es-CO"/>
        </w:rPr>
        <w:t xml:space="preserve"> </w:t>
      </w:r>
      <w:r w:rsidRPr="00FA1262">
        <w:rPr>
          <w:rFonts w:ascii="Arial" w:hAnsi="Arial" w:cs="Arial"/>
          <w:sz w:val="19"/>
          <w:szCs w:val="19"/>
          <w:lang w:val="es-CO"/>
        </w:rPr>
        <w:t xml:space="preserve">Por ejemplo, el literal k del numeral primero del artículo 8 de la Ley 80 de 1993 establece que </w:t>
      </w:r>
      <w:r>
        <w:rPr>
          <w:rFonts w:ascii="Arial" w:hAnsi="Arial" w:cs="Arial"/>
          <w:color w:val="000000"/>
          <w:sz w:val="22"/>
          <w:lang w:val="es-CO"/>
        </w:rPr>
        <w:t>“</w:t>
      </w:r>
      <w:r w:rsidRPr="00FA1262">
        <w:rPr>
          <w:rFonts w:ascii="Arial" w:hAnsi="Arial" w:cs="Arial"/>
          <w:sz w:val="19"/>
          <w:szCs w:val="19"/>
          <w:lang w:val="es-CO"/>
        </w:rPr>
        <w:t>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2AC84FA3" w14:textId="77777777" w:rsidR="00BC0341" w:rsidRPr="00FA1262" w:rsidRDefault="00BC0341" w:rsidP="00BC0341">
      <w:pPr>
        <w:pStyle w:val="Textonotapie"/>
        <w:ind w:firstLine="709"/>
        <w:jc w:val="both"/>
        <w:rPr>
          <w:lang w:val="es-CO"/>
        </w:rPr>
      </w:pPr>
      <w:r w:rsidRPr="00FA1262">
        <w:rPr>
          <w:rFonts w:ascii="Arial" w:hAnsi="Arial" w:cs="Arial"/>
          <w:i/>
          <w:sz w:val="19"/>
          <w:szCs w:val="19"/>
          <w:lang w:val="es-CO"/>
        </w:rPr>
        <w:t>La inhabilidad se extenderá por todo el período para el cual el candidato fue elegido</w:t>
      </w:r>
      <w:r w:rsidRPr="00FA1262">
        <w:rPr>
          <w:rFonts w:ascii="Arial" w:hAnsi="Arial" w:cs="Arial"/>
          <w:sz w:val="19"/>
          <w:szCs w:val="19"/>
          <w:lang w:val="es-CO"/>
        </w:rPr>
        <w:t>. Esta causal también operará para las personas que se encuentren dentro del segundo grado de consanguinidad, segundo de afinidad, o primero civil de la persona que ha financiado la campaña política.</w:t>
      </w:r>
      <w:r w:rsidRPr="00363EDC">
        <w:rPr>
          <w:rFonts w:ascii="Arial" w:hAnsi="Arial" w:cs="Arial"/>
          <w:color w:val="000000"/>
          <w:sz w:val="22"/>
          <w:lang w:val="es-CO"/>
        </w:rPr>
        <w:t xml:space="preserve"> […]</w:t>
      </w:r>
      <w:r>
        <w:rPr>
          <w:rFonts w:ascii="Arial" w:hAnsi="Arial" w:cs="Arial"/>
          <w:color w:val="000000"/>
          <w:sz w:val="22"/>
          <w:lang w:val="es-CO"/>
        </w:rPr>
        <w:t>”</w:t>
      </w:r>
      <w:r w:rsidRPr="00363EDC">
        <w:rPr>
          <w:rFonts w:ascii="Arial" w:hAnsi="Arial" w:cs="Arial"/>
          <w:color w:val="000000"/>
          <w:sz w:val="22"/>
          <w:lang w:val="es-CO"/>
        </w:rPr>
        <w:t xml:space="preserve"> </w:t>
      </w:r>
      <w:r w:rsidRPr="00363EDC">
        <w:rPr>
          <w:rFonts w:ascii="Arial" w:hAnsi="Arial" w:cs="Arial"/>
          <w:color w:val="000000"/>
          <w:sz w:val="19"/>
          <w:szCs w:val="19"/>
          <w:lang w:val="es-CO"/>
        </w:rPr>
        <w:t>[énfasis por fuera de texto].</w:t>
      </w:r>
    </w:p>
  </w:footnote>
  <w:footnote w:id="22">
    <w:p w14:paraId="61A3E320" w14:textId="77777777" w:rsidR="00BC0341" w:rsidRPr="00FA1262" w:rsidRDefault="00BC0341" w:rsidP="00BC0341">
      <w:pPr>
        <w:pStyle w:val="Textonotapie"/>
        <w:ind w:firstLine="708"/>
        <w:jc w:val="both"/>
        <w:rPr>
          <w:rFonts w:ascii="Verdana" w:hAnsi="Verdana" w:cs="Arial"/>
          <w:sz w:val="16"/>
          <w:szCs w:val="16"/>
          <w:lang w:val="es-CO"/>
        </w:rPr>
      </w:pPr>
      <w:r w:rsidRPr="00FA1262">
        <w:rPr>
          <w:rStyle w:val="Refdenotaalpie"/>
          <w:rFonts w:ascii="Verdana" w:hAnsi="Verdana"/>
          <w:sz w:val="16"/>
          <w:szCs w:val="16"/>
          <w:lang w:val="es-CO"/>
        </w:rPr>
        <w:footnoteRef/>
      </w:r>
      <w:r w:rsidRPr="00FA1262">
        <w:rPr>
          <w:rFonts w:ascii="Verdana" w:hAnsi="Verdana"/>
          <w:sz w:val="16"/>
          <w:szCs w:val="16"/>
          <w:lang w:val="es-CO"/>
        </w:rPr>
        <w:t xml:space="preserve"> </w:t>
      </w:r>
      <w:r w:rsidRPr="00FA1262">
        <w:rPr>
          <w:rFonts w:ascii="Verdana" w:hAnsi="Verdana" w:cs="Arial"/>
          <w:sz w:val="16"/>
          <w:szCs w:val="16"/>
          <w:lang w:val="es-CO"/>
        </w:rPr>
        <w:t xml:space="preserve">Estos casos de participación subrepticia de terceros guardan similitud con la teoría del fraude simulatorio relacionado con la identidad de las partes. Al respecto, la doctrina explica lo siguiente: “[…] la declaración pública acerca de la naturaleza del negocio y de sus condiciones corresponde a una intensión real; pero, de ordinario, para eludir las prohibiciones legales tocantes con la capacidad de las partes, se recurre a una operación triangular, mediante la interposición de un testaferro u hombre de paja, quien sin tener interés en el negocio, se presta a desviar los efectos de este, primeramente hacia sí, para luego trasladárselos, mediante otro acto, a quien verdaderamente está llamado a recibirlos […]” (Cfr. OSPINA FERNÁNDEZ, Guillermo y OSPINA ACOSTA, Eduardo. Teoría general del contrato y del negocio jurídico. Quinta edición. Bogotá: Temis, 1998. p. 113).  </w:t>
      </w:r>
    </w:p>
    <w:p w14:paraId="674D32B7" w14:textId="77777777" w:rsidR="00BC0341" w:rsidRPr="00FA1262" w:rsidRDefault="00BC0341" w:rsidP="00BC0341">
      <w:pPr>
        <w:pStyle w:val="Textonotapie"/>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C40D6E"/>
    <w:multiLevelType w:val="hybridMultilevel"/>
    <w:tmpl w:val="0A3E26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0"/>
  </w:num>
  <w:num w:numId="13" w16cid:durableId="1512908409">
    <w:abstractNumId w:val="4"/>
  </w:num>
  <w:num w:numId="14" w16cid:durableId="895897244">
    <w:abstractNumId w:val="14"/>
  </w:num>
  <w:num w:numId="15" w16cid:durableId="390349800">
    <w:abstractNumId w:val="10"/>
  </w:num>
  <w:num w:numId="16" w16cid:durableId="471366706">
    <w:abstractNumId w:val="2"/>
  </w:num>
  <w:num w:numId="17" w16cid:durableId="818814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D4E"/>
    <w:rsid w:val="00016F78"/>
    <w:rsid w:val="00046945"/>
    <w:rsid w:val="00061B2A"/>
    <w:rsid w:val="00082362"/>
    <w:rsid w:val="000A683E"/>
    <w:rsid w:val="000B19B9"/>
    <w:rsid w:val="000D0334"/>
    <w:rsid w:val="000F6486"/>
    <w:rsid w:val="00125105"/>
    <w:rsid w:val="00127233"/>
    <w:rsid w:val="001511A0"/>
    <w:rsid w:val="00192045"/>
    <w:rsid w:val="001E4177"/>
    <w:rsid w:val="001F7DC6"/>
    <w:rsid w:val="002421BB"/>
    <w:rsid w:val="0025796E"/>
    <w:rsid w:val="002707A2"/>
    <w:rsid w:val="002951A0"/>
    <w:rsid w:val="002962BC"/>
    <w:rsid w:val="002A093D"/>
    <w:rsid w:val="002A0DD0"/>
    <w:rsid w:val="002A49AC"/>
    <w:rsid w:val="002A64FD"/>
    <w:rsid w:val="002B7D88"/>
    <w:rsid w:val="002C7A84"/>
    <w:rsid w:val="002E4FD9"/>
    <w:rsid w:val="00322A85"/>
    <w:rsid w:val="00324168"/>
    <w:rsid w:val="00324BAB"/>
    <w:rsid w:val="003448F4"/>
    <w:rsid w:val="00363EDC"/>
    <w:rsid w:val="00374F5E"/>
    <w:rsid w:val="00377E3E"/>
    <w:rsid w:val="003A779E"/>
    <w:rsid w:val="003D0F4D"/>
    <w:rsid w:val="003D5B0D"/>
    <w:rsid w:val="003E0499"/>
    <w:rsid w:val="003F00EE"/>
    <w:rsid w:val="003F38BB"/>
    <w:rsid w:val="003F3941"/>
    <w:rsid w:val="00406575"/>
    <w:rsid w:val="00414C74"/>
    <w:rsid w:val="0042722E"/>
    <w:rsid w:val="0044528D"/>
    <w:rsid w:val="004744C9"/>
    <w:rsid w:val="004A1847"/>
    <w:rsid w:val="004A305D"/>
    <w:rsid w:val="004E63B7"/>
    <w:rsid w:val="004F21C4"/>
    <w:rsid w:val="004F685F"/>
    <w:rsid w:val="00553C1C"/>
    <w:rsid w:val="005566E8"/>
    <w:rsid w:val="00574867"/>
    <w:rsid w:val="00591460"/>
    <w:rsid w:val="005A5C7A"/>
    <w:rsid w:val="005B3816"/>
    <w:rsid w:val="005C3777"/>
    <w:rsid w:val="005C5CDC"/>
    <w:rsid w:val="005D476C"/>
    <w:rsid w:val="006219F8"/>
    <w:rsid w:val="00634396"/>
    <w:rsid w:val="00665D70"/>
    <w:rsid w:val="006900D9"/>
    <w:rsid w:val="006E5E66"/>
    <w:rsid w:val="006F28B1"/>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C2C87"/>
    <w:rsid w:val="00B01B1A"/>
    <w:rsid w:val="00B66319"/>
    <w:rsid w:val="00B72CD3"/>
    <w:rsid w:val="00B72FFF"/>
    <w:rsid w:val="00B93A5A"/>
    <w:rsid w:val="00BC0341"/>
    <w:rsid w:val="00BC3D36"/>
    <w:rsid w:val="00BD7F72"/>
    <w:rsid w:val="00C04FB3"/>
    <w:rsid w:val="00C330EB"/>
    <w:rsid w:val="00C41061"/>
    <w:rsid w:val="00C754BE"/>
    <w:rsid w:val="00C76B1C"/>
    <w:rsid w:val="00CA303A"/>
    <w:rsid w:val="00CA551D"/>
    <w:rsid w:val="00CB6357"/>
    <w:rsid w:val="00CC1B26"/>
    <w:rsid w:val="00D423A2"/>
    <w:rsid w:val="00D520D8"/>
    <w:rsid w:val="00D63AC2"/>
    <w:rsid w:val="00D7383B"/>
    <w:rsid w:val="00D93D30"/>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63EDC"/>
    <w:pPr>
      <w:spacing w:line="240" w:lineRule="exact"/>
    </w:pPr>
    <w:rPr>
      <w:vertAlign w:val="superscript"/>
    </w:rPr>
  </w:style>
  <w:style w:type="character" w:customStyle="1" w:styleId="NormalWebCar">
    <w:name w:val="Normal (Web) Car"/>
    <w:link w:val="NormalWeb"/>
    <w:uiPriority w:val="99"/>
    <w:locked/>
    <w:rsid w:val="00363EDC"/>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36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363E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qFormat/>
    <w:rsid w:val="00363ED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enlozguer@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199327A-261E-458E-ABDF-BD5AFB399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9d85dbaf-23eb-4e57-a637-93dcacc8b1a1"/>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8552</Words>
  <Characters>47041</Characters>
  <Application>Microsoft Office Word</Application>
  <DocSecurity>0</DocSecurity>
  <Lines>392</Lines>
  <Paragraphs>110</Paragraphs>
  <ScaleCrop>false</ScaleCrop>
  <Company/>
  <LinksUpToDate>false</LinksUpToDate>
  <CharactersWithSpaces>55483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2025-09-15T15:57:00Z</dcterms:created>
  <dcterms:modified xsi:type="dcterms:W3CDTF">2025-09-15T15:57:00Z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