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E23CF" w14:textId="0BAC59BA" w:rsidR="00D35E4D" w:rsidRPr="00F02C5A" w:rsidRDefault="00D35E4D" w:rsidP="00D35E4D">
      <w:pPr>
        <w:tabs>
          <w:tab w:val="left" w:pos="426"/>
        </w:tabs>
        <w:spacing w:line="240" w:lineRule="auto"/>
        <w:contextualSpacing/>
        <w:jc w:val="both"/>
        <w:rPr>
          <w:rFonts w:ascii="Verdana" w:eastAsia="Calibri" w:hAnsi="Verdana" w:cs="Arial"/>
          <w:b/>
          <w:bCs/>
          <w:lang w:val="es-MX"/>
        </w:rPr>
      </w:pPr>
      <w:r w:rsidRPr="00F02C5A">
        <w:rPr>
          <w:rFonts w:ascii="Verdana" w:eastAsia="Calibri" w:hAnsi="Verdana" w:cs="Arial"/>
          <w:b/>
          <w:bCs/>
          <w:lang w:val="es-MX"/>
        </w:rPr>
        <w:t xml:space="preserve">LEY DE GARANTÍAS ELECTORALES </w:t>
      </w:r>
      <w:r w:rsidR="005D0E91" w:rsidRPr="005D0E91">
        <w:rPr>
          <w:rFonts w:ascii="Verdana" w:eastAsia="Calibri" w:hAnsi="Verdana" w:cs="Arial"/>
          <w:b/>
          <w:bCs/>
          <w:lang w:val="es-ES"/>
        </w:rPr>
        <w:t>–</w:t>
      </w:r>
      <w:r w:rsidRPr="00F02C5A">
        <w:rPr>
          <w:rFonts w:ascii="Verdana" w:eastAsia="Calibri" w:hAnsi="Verdana" w:cs="Arial"/>
          <w:b/>
          <w:bCs/>
          <w:lang w:val="es-MX"/>
        </w:rPr>
        <w:t xml:space="preserve"> Prohibición ‒ Contratación directa ‒ Alcance </w:t>
      </w:r>
    </w:p>
    <w:p w14:paraId="4130A9AB" w14:textId="77777777" w:rsidR="00D35E4D" w:rsidRPr="00F02C5A" w:rsidRDefault="00D35E4D" w:rsidP="00D35E4D">
      <w:pPr>
        <w:tabs>
          <w:tab w:val="left" w:pos="426"/>
        </w:tabs>
        <w:spacing w:line="240" w:lineRule="auto"/>
        <w:contextualSpacing/>
        <w:jc w:val="both"/>
        <w:rPr>
          <w:rFonts w:ascii="Verdana" w:eastAsia="Calibri" w:hAnsi="Verdana" w:cs="Arial"/>
          <w:noProof/>
          <w:sz w:val="20"/>
          <w:szCs w:val="20"/>
          <w:lang w:val="es-MX"/>
        </w:rPr>
      </w:pPr>
    </w:p>
    <w:p w14:paraId="02E9ED6D" w14:textId="77777777" w:rsidR="00D35E4D" w:rsidRPr="00F02C5A" w:rsidRDefault="00D35E4D" w:rsidP="00D35E4D">
      <w:pPr>
        <w:spacing w:line="240" w:lineRule="auto"/>
        <w:contextualSpacing/>
        <w:jc w:val="both"/>
        <w:rPr>
          <w:rFonts w:ascii="Verdana" w:eastAsia="Times New Roman" w:hAnsi="Verdana" w:cs="Arial"/>
          <w:bCs/>
          <w:sz w:val="20"/>
          <w:szCs w:val="20"/>
          <w:lang w:val="es-MX" w:eastAsia="x-none"/>
        </w:rPr>
      </w:pPr>
      <w:r w:rsidRPr="00F02C5A">
        <w:rPr>
          <w:rFonts w:ascii="Verdana" w:eastAsia="Calibri" w:hAnsi="Verdana" w:cs="Arial"/>
          <w:noProof/>
          <w:sz w:val="20"/>
          <w:szCs w:val="20"/>
          <w:lang w:val="es-ES_tradnl"/>
        </w:rPr>
        <w:t xml:space="preserve">[…] </w:t>
      </w:r>
      <w:r w:rsidRPr="00F02C5A">
        <w:rPr>
          <w:rFonts w:ascii="Verdana" w:eastAsia="Times New Roman" w:hAnsi="Verdana" w:cs="Arial"/>
          <w:bCs/>
          <w:sz w:val="20"/>
          <w:szCs w:val="20"/>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sz w:val="20"/>
          <w:szCs w:val="20"/>
          <w:vertAlign w:val="superscript"/>
          <w:lang w:eastAsia="x-none"/>
        </w:rPr>
        <w:t xml:space="preserve"> </w:t>
      </w:r>
    </w:p>
    <w:p w14:paraId="63461C14" w14:textId="77777777" w:rsidR="00D35E4D" w:rsidRPr="00F02C5A" w:rsidRDefault="00D35E4D" w:rsidP="00D35E4D">
      <w:pPr>
        <w:spacing w:line="240" w:lineRule="auto"/>
        <w:contextualSpacing/>
        <w:jc w:val="both"/>
        <w:rPr>
          <w:rFonts w:ascii="Verdana" w:eastAsia="Times New Roman" w:hAnsi="Verdana" w:cs="Arial"/>
          <w:bCs/>
          <w:sz w:val="20"/>
          <w:szCs w:val="20"/>
          <w:lang w:val="es-MX" w:eastAsia="x-none"/>
        </w:rPr>
      </w:pPr>
    </w:p>
    <w:p w14:paraId="13B00EED" w14:textId="77777777" w:rsidR="00D35E4D" w:rsidRPr="00F02C5A" w:rsidRDefault="00D35E4D" w:rsidP="00D35E4D">
      <w:pPr>
        <w:spacing w:line="240" w:lineRule="auto"/>
        <w:contextualSpacing/>
        <w:jc w:val="both"/>
        <w:rPr>
          <w:rFonts w:ascii="Verdana" w:eastAsia="Times New Roman" w:hAnsi="Verdana" w:cs="Arial"/>
          <w:sz w:val="20"/>
          <w:szCs w:val="20"/>
          <w:lang w:eastAsia="x-none"/>
        </w:rPr>
      </w:pPr>
      <w:r w:rsidRPr="00F02C5A">
        <w:rPr>
          <w:rFonts w:ascii="Verdana" w:eastAsia="Times New Roman" w:hAnsi="Verdana"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14:paraId="6439548A" w14:textId="77777777" w:rsidR="00D35E4D" w:rsidRPr="00F02C5A" w:rsidRDefault="00D35E4D" w:rsidP="00D35E4D">
      <w:pPr>
        <w:spacing w:line="240" w:lineRule="auto"/>
        <w:contextualSpacing/>
        <w:jc w:val="both"/>
        <w:rPr>
          <w:rFonts w:ascii="Verdana" w:eastAsia="Times New Roman" w:hAnsi="Verdana" w:cs="Arial"/>
          <w:lang w:eastAsia="x-none"/>
        </w:rPr>
      </w:pPr>
    </w:p>
    <w:p w14:paraId="066D260D" w14:textId="33CBA1FE" w:rsidR="00D35E4D" w:rsidRPr="00F02C5A" w:rsidRDefault="00D35E4D" w:rsidP="00D35E4D">
      <w:pPr>
        <w:tabs>
          <w:tab w:val="left" w:pos="426"/>
        </w:tabs>
        <w:spacing w:line="240" w:lineRule="auto"/>
        <w:contextualSpacing/>
        <w:jc w:val="both"/>
        <w:rPr>
          <w:rFonts w:ascii="Verdana" w:eastAsia="Calibri" w:hAnsi="Verdana" w:cs="Arial"/>
          <w:b/>
          <w:bCs/>
          <w:sz w:val="20"/>
          <w:szCs w:val="20"/>
          <w:lang w:val="es-MX"/>
        </w:rPr>
      </w:pPr>
      <w:r w:rsidRPr="00F02C5A">
        <w:rPr>
          <w:rFonts w:ascii="Verdana" w:eastAsia="Calibri" w:hAnsi="Verdana" w:cs="Arial"/>
          <w:b/>
          <w:bCs/>
          <w:lang w:val="es-MX"/>
        </w:rPr>
        <w:t xml:space="preserve">LEY DE GARANTÍAS ELECTORALES </w:t>
      </w:r>
      <w:r w:rsidR="005D0E91" w:rsidRPr="005D0E91">
        <w:rPr>
          <w:rFonts w:ascii="Verdana" w:eastAsia="Calibri" w:hAnsi="Verdana" w:cs="Arial"/>
          <w:b/>
          <w:bCs/>
          <w:lang w:val="es-ES"/>
        </w:rPr>
        <w:t>–</w:t>
      </w:r>
      <w:r w:rsidRPr="00F02C5A">
        <w:rPr>
          <w:rFonts w:ascii="Verdana" w:eastAsia="Calibri" w:hAnsi="Verdana" w:cs="Arial"/>
          <w:b/>
          <w:bCs/>
          <w:lang w:val="es-MX"/>
        </w:rPr>
        <w:t xml:space="preserve"> Prohibición ‒ Contratación directa ‒ </w:t>
      </w:r>
      <w:r w:rsidRPr="00F02C5A">
        <w:rPr>
          <w:rFonts w:ascii="Verdana" w:eastAsia="Times New Roman" w:hAnsi="Verdana" w:cs="Arial"/>
          <w:b/>
          <w:bCs/>
          <w:lang w:eastAsia="es-CO"/>
        </w:rPr>
        <w:t>Excepciones</w:t>
      </w:r>
      <w:r w:rsidRPr="00F02C5A">
        <w:rPr>
          <w:rFonts w:ascii="Verdana" w:eastAsia="Calibri" w:hAnsi="Verdana" w:cs="Arial"/>
          <w:b/>
          <w:bCs/>
          <w:lang w:val="es-MX"/>
        </w:rPr>
        <w:t xml:space="preserve"> </w:t>
      </w:r>
    </w:p>
    <w:p w14:paraId="24597420" w14:textId="77777777" w:rsidR="00D35E4D" w:rsidRPr="00F02C5A" w:rsidRDefault="00D35E4D" w:rsidP="00D35E4D">
      <w:pPr>
        <w:tabs>
          <w:tab w:val="left" w:pos="426"/>
        </w:tabs>
        <w:spacing w:line="240" w:lineRule="auto"/>
        <w:contextualSpacing/>
        <w:jc w:val="both"/>
        <w:rPr>
          <w:rFonts w:ascii="Verdana" w:eastAsia="Times New Roman" w:hAnsi="Verdana" w:cs="Arial"/>
          <w:sz w:val="20"/>
          <w:szCs w:val="20"/>
          <w:lang w:eastAsia="x-none"/>
        </w:rPr>
      </w:pPr>
    </w:p>
    <w:p w14:paraId="16C8BA55" w14:textId="77777777" w:rsidR="00D35E4D" w:rsidRDefault="00D35E4D" w:rsidP="00D35E4D">
      <w:pPr>
        <w:spacing w:line="240" w:lineRule="auto"/>
        <w:contextualSpacing/>
        <w:jc w:val="both"/>
        <w:rPr>
          <w:rFonts w:ascii="Verdana" w:eastAsia="Times New Roman" w:hAnsi="Verdana" w:cs="Arial"/>
          <w:bCs/>
          <w:sz w:val="20"/>
          <w:szCs w:val="20"/>
          <w:lang w:val="es-MX" w:eastAsia="es-CO"/>
        </w:rPr>
      </w:pPr>
      <w:r w:rsidRPr="00F02C5A">
        <w:rPr>
          <w:rFonts w:ascii="Verdana" w:eastAsia="Calibri" w:hAnsi="Verdana" w:cs="Arial"/>
          <w:noProof/>
          <w:sz w:val="20"/>
          <w:szCs w:val="20"/>
          <w:lang w:val="es-ES_tradnl"/>
        </w:rPr>
        <w:t xml:space="preserve">[…] </w:t>
      </w:r>
      <w:r w:rsidRPr="00F02C5A">
        <w:rPr>
          <w:rFonts w:ascii="Verdana" w:eastAsia="Times New Roman" w:hAnsi="Verdana" w:cs="Arial"/>
          <w:bCs/>
          <w:sz w:val="20"/>
          <w:szCs w:val="20"/>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F02C5A">
        <w:rPr>
          <w:rFonts w:ascii="Verdana" w:eastAsia="Times New Roman" w:hAnsi="Verdana" w:cs="Arial"/>
          <w:bCs/>
          <w:sz w:val="20"/>
          <w:szCs w:val="20"/>
          <w:lang w:val="es-MX" w:eastAsia="x-none"/>
        </w:rPr>
        <w:t>ii</w:t>
      </w:r>
      <w:proofErr w:type="spellEnd"/>
      <w:r w:rsidRPr="00F02C5A">
        <w:rPr>
          <w:rFonts w:ascii="Verdana" w:eastAsia="Times New Roman" w:hAnsi="Verdana" w:cs="Arial"/>
          <w:bCs/>
          <w:sz w:val="20"/>
          <w:szCs w:val="20"/>
          <w:lang w:val="es-MX" w:eastAsia="x-none"/>
        </w:rPr>
        <w:t xml:space="preserve">) los contratos de crédito público; </w:t>
      </w:r>
      <w:proofErr w:type="spellStart"/>
      <w:r w:rsidRPr="00F02C5A">
        <w:rPr>
          <w:rFonts w:ascii="Verdana" w:eastAsia="Times New Roman" w:hAnsi="Verdana" w:cs="Arial"/>
          <w:bCs/>
          <w:sz w:val="20"/>
          <w:szCs w:val="20"/>
          <w:lang w:val="es-MX" w:eastAsia="x-none"/>
        </w:rPr>
        <w:t>iii</w:t>
      </w:r>
      <w:proofErr w:type="spellEnd"/>
      <w:r w:rsidRPr="00F02C5A">
        <w:rPr>
          <w:rFonts w:ascii="Verdana" w:eastAsia="Times New Roman" w:hAnsi="Verdana" w:cs="Arial"/>
          <w:bCs/>
          <w:sz w:val="20"/>
          <w:szCs w:val="20"/>
          <w:lang w:val="es-MX" w:eastAsia="x-none"/>
        </w:rPr>
        <w:t xml:space="preserve">) los requeridos para cubrir las emergencias educativas, sanitarias y desastres; </w:t>
      </w:r>
      <w:proofErr w:type="spellStart"/>
      <w:r w:rsidRPr="00F02C5A">
        <w:rPr>
          <w:rFonts w:ascii="Verdana" w:eastAsia="Times New Roman" w:hAnsi="Verdana" w:cs="Arial"/>
          <w:bCs/>
          <w:sz w:val="20"/>
          <w:szCs w:val="20"/>
          <w:lang w:val="es-MX" w:eastAsia="x-none"/>
        </w:rPr>
        <w:t>iv</w:t>
      </w:r>
      <w:proofErr w:type="spellEnd"/>
      <w:r w:rsidRPr="00F02C5A">
        <w:rPr>
          <w:rFonts w:ascii="Verdana" w:eastAsia="Times New Roman" w:hAnsi="Verdana" w:cs="Arial"/>
          <w:bCs/>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02C5A">
        <w:rPr>
          <w:rFonts w:ascii="Verdana" w:eastAsia="Times New Roman" w:hAnsi="Verdana"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B2EFF8E" w14:textId="77777777" w:rsidR="00D35E4D" w:rsidRDefault="00D35E4D" w:rsidP="00D35E4D">
      <w:pPr>
        <w:spacing w:line="240" w:lineRule="auto"/>
        <w:contextualSpacing/>
        <w:jc w:val="both"/>
        <w:rPr>
          <w:rFonts w:ascii="Verdana" w:eastAsia="Times New Roman" w:hAnsi="Verdana" w:cs="Arial"/>
          <w:bCs/>
          <w:sz w:val="20"/>
          <w:szCs w:val="20"/>
          <w:lang w:val="es-MX" w:eastAsia="es-CO"/>
        </w:rPr>
      </w:pPr>
    </w:p>
    <w:p w14:paraId="18FC7739" w14:textId="1F82C326" w:rsidR="00D35E4D" w:rsidRPr="00F02C5A" w:rsidRDefault="00D35E4D" w:rsidP="00D35E4D">
      <w:pPr>
        <w:tabs>
          <w:tab w:val="left" w:pos="426"/>
        </w:tabs>
        <w:spacing w:line="240" w:lineRule="auto"/>
        <w:contextualSpacing/>
        <w:jc w:val="both"/>
        <w:rPr>
          <w:rFonts w:ascii="Verdana" w:eastAsia="Calibri" w:hAnsi="Verdana" w:cs="Arial"/>
          <w:b/>
          <w:bCs/>
          <w:sz w:val="20"/>
          <w:szCs w:val="20"/>
          <w:lang w:val="es-MX"/>
        </w:rPr>
      </w:pPr>
      <w:r w:rsidRPr="00F02C5A">
        <w:rPr>
          <w:rFonts w:ascii="Verdana" w:eastAsia="Calibri" w:hAnsi="Verdana" w:cs="Arial"/>
          <w:b/>
          <w:bCs/>
          <w:lang w:val="es-MX"/>
        </w:rPr>
        <w:t xml:space="preserve">LEY DE GARANTÍAS ELECTORALES </w:t>
      </w:r>
      <w:r w:rsidR="005D0E91" w:rsidRPr="005D0E91">
        <w:rPr>
          <w:rFonts w:ascii="Verdana" w:eastAsia="Calibri" w:hAnsi="Verdana" w:cs="Arial"/>
          <w:b/>
          <w:bCs/>
          <w:lang w:val="es-ES"/>
        </w:rPr>
        <w:t>–</w:t>
      </w:r>
      <w:r w:rsidRPr="00F02C5A">
        <w:rPr>
          <w:rFonts w:ascii="Verdana" w:eastAsia="Calibri" w:hAnsi="Verdana" w:cs="Arial"/>
          <w:b/>
          <w:bCs/>
          <w:lang w:val="es-MX"/>
        </w:rPr>
        <w:t xml:space="preserve"> Prohibición ‒ Contratación directa ‒</w:t>
      </w:r>
      <w:r w:rsidRPr="00D35E4D">
        <w:t xml:space="preserve"> </w:t>
      </w:r>
      <w:r>
        <w:rPr>
          <w:rFonts w:ascii="Verdana" w:eastAsia="Calibri" w:hAnsi="Verdana" w:cs="Arial"/>
          <w:b/>
          <w:bCs/>
          <w:lang w:val="es-MX"/>
        </w:rPr>
        <w:t>C</w:t>
      </w:r>
      <w:r w:rsidRPr="00D35E4D">
        <w:rPr>
          <w:rFonts w:ascii="Verdana" w:eastAsia="Calibri" w:hAnsi="Verdana" w:cs="Arial"/>
          <w:b/>
          <w:bCs/>
          <w:lang w:val="es-MX"/>
        </w:rPr>
        <w:t xml:space="preserve">onvenios </w:t>
      </w:r>
      <w:r w:rsidR="009616B6">
        <w:rPr>
          <w:rFonts w:ascii="Verdana" w:eastAsia="Calibri" w:hAnsi="Verdana" w:cs="Arial"/>
          <w:b/>
          <w:bCs/>
          <w:lang w:val="es-MX"/>
        </w:rPr>
        <w:t>solidarios</w:t>
      </w:r>
    </w:p>
    <w:p w14:paraId="16B42BAE" w14:textId="77777777" w:rsidR="00D35E4D" w:rsidRPr="00F02C5A" w:rsidRDefault="00D35E4D" w:rsidP="00D35E4D">
      <w:pPr>
        <w:spacing w:line="240" w:lineRule="auto"/>
        <w:contextualSpacing/>
        <w:jc w:val="both"/>
        <w:rPr>
          <w:rFonts w:ascii="Verdana" w:eastAsia="Times New Roman" w:hAnsi="Verdana" w:cs="Arial"/>
          <w:bCs/>
          <w:sz w:val="20"/>
          <w:szCs w:val="20"/>
          <w:lang w:val="es-MX" w:eastAsia="es-CO"/>
        </w:rPr>
      </w:pPr>
    </w:p>
    <w:p w14:paraId="6AEECFBF" w14:textId="77777777" w:rsidR="007230C1" w:rsidRDefault="007230C1" w:rsidP="007230C1">
      <w:pPr>
        <w:spacing w:line="240" w:lineRule="auto"/>
        <w:contextualSpacing/>
        <w:jc w:val="both"/>
        <w:rPr>
          <w:rFonts w:ascii="Verdana" w:eastAsia="Times New Roman" w:hAnsi="Verdana" w:cs="Arial"/>
          <w:bCs/>
          <w:sz w:val="20"/>
          <w:szCs w:val="20"/>
          <w:lang w:val="es-MX" w:eastAsia="es-CO"/>
        </w:rPr>
      </w:pPr>
      <w:r w:rsidRPr="007230C1">
        <w:rPr>
          <w:rFonts w:ascii="Verdana" w:eastAsia="Times New Roman" w:hAnsi="Verdana" w:cs="Arial"/>
          <w:bCs/>
          <w:sz w:val="20"/>
          <w:szCs w:val="20"/>
          <w:lang w:val="es-MX" w:eastAsia="es-CO"/>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223509D1" w14:textId="77777777" w:rsidR="007230C1" w:rsidRPr="007230C1" w:rsidRDefault="007230C1" w:rsidP="007230C1">
      <w:pPr>
        <w:spacing w:line="240" w:lineRule="auto"/>
        <w:contextualSpacing/>
        <w:jc w:val="both"/>
        <w:rPr>
          <w:rFonts w:ascii="Verdana" w:eastAsia="Times New Roman" w:hAnsi="Verdana" w:cs="Arial"/>
          <w:bCs/>
          <w:sz w:val="20"/>
          <w:szCs w:val="20"/>
          <w:lang w:val="es-MX" w:eastAsia="es-CO"/>
        </w:rPr>
      </w:pPr>
    </w:p>
    <w:p w14:paraId="2005F26A" w14:textId="5B440735" w:rsidR="00187855" w:rsidRPr="00D35E4D" w:rsidRDefault="007230C1" w:rsidP="007230C1">
      <w:pPr>
        <w:spacing w:line="240" w:lineRule="auto"/>
        <w:contextualSpacing/>
        <w:jc w:val="both"/>
        <w:rPr>
          <w:rFonts w:ascii="Verdana" w:eastAsia="Times New Roman" w:hAnsi="Verdana" w:cs="Arial"/>
          <w:bCs/>
          <w:sz w:val="20"/>
          <w:szCs w:val="20"/>
          <w:lang w:val="es-MX" w:eastAsia="es-CO"/>
        </w:rPr>
      </w:pPr>
      <w:r w:rsidRPr="007230C1">
        <w:rPr>
          <w:rFonts w:ascii="Verdana" w:eastAsia="Times New Roman" w:hAnsi="Verdana" w:cs="Arial"/>
          <w:bCs/>
          <w:sz w:val="20"/>
          <w:szCs w:val="20"/>
          <w:lang w:val="es-MX" w:eastAsia="es-CO"/>
        </w:rPr>
        <w:t xml:space="preserve">Por tanto, teniendo en cuenta que el artículo 95 de la Ley 2166 de 2021 dispone que “Se autoriza a los entes del orden Nacional, Departamental, Distrital y municipal para celebrar directamente convenios solidarios con los Organismos de Acción Comunal con </w:t>
      </w:r>
      <w:r w:rsidRPr="007230C1">
        <w:rPr>
          <w:rFonts w:ascii="Verdana" w:eastAsia="Times New Roman" w:hAnsi="Verdana" w:cs="Arial"/>
          <w:bCs/>
          <w:sz w:val="20"/>
          <w:szCs w:val="20"/>
          <w:lang w:val="es-MX" w:eastAsia="es-CO"/>
        </w:rPr>
        <w:lastRenderedPageBreak/>
        <w:t>el fin de contratar con los habitantes de la comunidad”; esta contratación al ser directa se encuentra cobijada por la prohibición del artículo 33 de la Ley de Garantías Electorales, ya que como se señaló en el párrafo anterior, la prohibición es amplia y aplica a toda la contratación que no implique convocatoria pública.</w:t>
      </w:r>
    </w:p>
    <w:p w14:paraId="1F31A05B" w14:textId="77777777" w:rsidR="00187855" w:rsidRDefault="00187855" w:rsidP="00187855">
      <w:pPr>
        <w:spacing w:after="0" w:line="240" w:lineRule="auto"/>
        <w:jc w:val="both"/>
        <w:rPr>
          <w:rFonts w:ascii="Verdana" w:eastAsia="Times New Roman" w:hAnsi="Verdana" w:cs="Arial"/>
          <w:noProof/>
          <w:lang w:val="es-ES_tradnl" w:eastAsia="es-ES_tradnl"/>
        </w:rPr>
      </w:pPr>
    </w:p>
    <w:p w14:paraId="72677E61"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4649A48E"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72827A6E"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14CC746E"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1AC5EDE8"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01CB1020"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4E401634"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2CD1CEA2"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3F6EB5EB"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2FDDF2FA"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6F3DC4F9"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223810DE"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011B51C6"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3A8472D8"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79666D9C"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206759AD"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5B5EC46E"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43D47DDF"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3E8C71DC"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608FA724"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22A019ED"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30FBBDE9"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62582708" w14:textId="77777777" w:rsidR="00720768" w:rsidRDefault="00720768" w:rsidP="00187855">
      <w:pPr>
        <w:spacing w:after="0" w:line="240" w:lineRule="auto"/>
        <w:jc w:val="both"/>
        <w:rPr>
          <w:rFonts w:ascii="Verdana" w:eastAsia="Times New Roman" w:hAnsi="Verdana" w:cs="Arial"/>
          <w:noProof/>
          <w:lang w:val="es-ES_tradnl" w:eastAsia="es-ES_tradnl"/>
        </w:rPr>
      </w:pPr>
    </w:p>
    <w:p w14:paraId="6DC20161" w14:textId="77777777" w:rsidR="00720768" w:rsidRPr="00CC5C68" w:rsidRDefault="00720768" w:rsidP="00187855">
      <w:pPr>
        <w:spacing w:after="0" w:line="240" w:lineRule="auto"/>
        <w:jc w:val="both"/>
        <w:rPr>
          <w:rFonts w:ascii="Verdana" w:eastAsia="Times New Roman" w:hAnsi="Verdana" w:cs="Arial"/>
          <w:noProof/>
          <w:lang w:val="es-ES_tradnl" w:eastAsia="es-ES_tradnl"/>
        </w:rPr>
      </w:pPr>
    </w:p>
    <w:p w14:paraId="4DE18059" w14:textId="77777777" w:rsidR="00187855" w:rsidRDefault="00187855" w:rsidP="00187855">
      <w:pPr>
        <w:spacing w:after="0" w:line="240" w:lineRule="auto"/>
        <w:jc w:val="both"/>
        <w:rPr>
          <w:rFonts w:ascii="Verdana" w:eastAsia="Times New Roman" w:hAnsi="Verdana" w:cs="Arial"/>
          <w:noProof/>
          <w:lang w:val="es-ES_tradnl" w:eastAsia="es-ES_tradnl"/>
        </w:rPr>
      </w:pPr>
    </w:p>
    <w:p w14:paraId="0F9B3726"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0F73C25B"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319414F4"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7B3E743A"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14C95D51"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02E44546"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2A771800"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01FFA98D"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631A08D5"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1FD504AC"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6EA02DA7"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4D4BFAD8"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7F90A48C"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50342036" w14:textId="77777777" w:rsidR="00126AC1" w:rsidRDefault="00126AC1" w:rsidP="00187855">
      <w:pPr>
        <w:spacing w:after="0" w:line="240" w:lineRule="auto"/>
        <w:jc w:val="both"/>
        <w:rPr>
          <w:rFonts w:ascii="Verdana" w:eastAsia="Times New Roman" w:hAnsi="Verdana" w:cs="Arial"/>
          <w:noProof/>
          <w:lang w:val="es-ES_tradnl" w:eastAsia="es-ES_tradnl"/>
        </w:rPr>
      </w:pPr>
    </w:p>
    <w:p w14:paraId="3F7F275C" w14:textId="57FD458D" w:rsidR="00F517AB" w:rsidRDefault="001C3A47" w:rsidP="00187855">
      <w:pPr>
        <w:spacing w:after="0" w:line="240" w:lineRule="auto"/>
        <w:jc w:val="both"/>
        <w:rPr>
          <w:rFonts w:ascii="Verdana" w:eastAsia="Times New Roman" w:hAnsi="Verdana" w:cs="Arial"/>
          <w:noProof/>
          <w:lang w:val="es-ES_tradnl" w:eastAsia="es-ES_tradnl"/>
        </w:rPr>
      </w:pPr>
      <w:r w:rsidRPr="001C3A47">
        <w:rPr>
          <w:rFonts w:ascii="Verdana" w:eastAsia="Times New Roman" w:hAnsi="Verdana" w:cs="Arial"/>
          <w:noProof/>
          <w:lang w:val="es-ES_tradnl" w:eastAsia="es-ES_tradnl"/>
        </w:rPr>
        <w:lastRenderedPageBreak/>
        <w:t xml:space="preserve">Bogotá D.C., </w:t>
      </w:r>
      <w:r w:rsidR="00085CC8">
        <w:rPr>
          <w:rFonts w:ascii="Verdana" w:eastAsia="Times New Roman" w:hAnsi="Verdana" w:cs="Arial"/>
          <w:noProof/>
          <w:lang w:val="es-ES_tradnl" w:eastAsia="es-ES_tradnl"/>
        </w:rPr>
        <w:t>28 de agosto de 2025</w:t>
      </w:r>
    </w:p>
    <w:p w14:paraId="0FB78501" w14:textId="77777777" w:rsidR="00085CC8" w:rsidRDefault="00085CC8" w:rsidP="00187855">
      <w:pPr>
        <w:spacing w:after="0" w:line="240" w:lineRule="auto"/>
        <w:jc w:val="both"/>
        <w:rPr>
          <w:rFonts w:ascii="Verdana" w:eastAsia="Times New Roman" w:hAnsi="Verdana" w:cs="Arial"/>
          <w:noProof/>
          <w:lang w:val="es-ES_tradnl" w:eastAsia="es-ES_tradnl"/>
        </w:rPr>
      </w:pPr>
    </w:p>
    <w:p w14:paraId="66170E9F" w14:textId="5033200E" w:rsidR="00085CC8" w:rsidRDefault="00085CC8" w:rsidP="00085CC8">
      <w:pPr>
        <w:spacing w:after="0" w:line="240" w:lineRule="auto"/>
        <w:jc w:val="right"/>
        <w:rPr>
          <w:rFonts w:ascii="Verdana" w:eastAsia="Times New Roman" w:hAnsi="Verdana" w:cs="Arial"/>
          <w:noProof/>
          <w:lang w:val="es-ES_tradnl" w:eastAsia="es-ES_tradnl"/>
        </w:rPr>
      </w:pPr>
    </w:p>
    <w:p w14:paraId="7C87E4BA" w14:textId="58AAFEF9" w:rsidR="001C3A47" w:rsidRDefault="00E03A71" w:rsidP="00187855">
      <w:pPr>
        <w:spacing w:after="0" w:line="240" w:lineRule="auto"/>
        <w:jc w:val="both"/>
        <w:rPr>
          <w:rFonts w:ascii="Verdana" w:eastAsia="Times New Roman" w:hAnsi="Verdana" w:cs="Arial"/>
          <w:noProof/>
          <w:lang w:val="es-ES_tradnl" w:eastAsia="es-ES_tradnl"/>
        </w:rPr>
      </w:pPr>
      <w:r w:rsidRPr="00085CC8">
        <w:rPr>
          <w:rFonts w:ascii="Verdana" w:eastAsia="Times New Roman" w:hAnsi="Verdana" w:cs="Arial"/>
          <w:noProof/>
          <w:lang w:val="es-ES_tradnl" w:eastAsia="es-ES_tradnl"/>
        </w:rPr>
        <w:drawing>
          <wp:anchor distT="0" distB="0" distL="114300" distR="114300" simplePos="0" relativeHeight="251659264" behindDoc="0" locked="0" layoutInCell="1" allowOverlap="1" wp14:anchorId="29DA5533" wp14:editId="33048E91">
            <wp:simplePos x="0" y="0"/>
            <wp:positionH relativeFrom="margin">
              <wp:align>right</wp:align>
            </wp:positionH>
            <wp:positionV relativeFrom="paragraph">
              <wp:posOffset>6654</wp:posOffset>
            </wp:positionV>
            <wp:extent cx="3067050" cy="981075"/>
            <wp:effectExtent l="0" t="0" r="0" b="9525"/>
            <wp:wrapSquare wrapText="bothSides"/>
            <wp:docPr id="77111471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114716"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067050" cy="981075"/>
                    </a:xfrm>
                    <a:prstGeom prst="rect">
                      <a:avLst/>
                    </a:prstGeom>
                  </pic:spPr>
                </pic:pic>
              </a:graphicData>
            </a:graphic>
            <wp14:sizeRelH relativeFrom="margin">
              <wp14:pctWidth>0</wp14:pctWidth>
            </wp14:sizeRelH>
          </wp:anchor>
        </w:drawing>
      </w:r>
    </w:p>
    <w:p w14:paraId="64EFC9DE" w14:textId="77777777" w:rsidR="00E21288" w:rsidRPr="001C3A47" w:rsidRDefault="00E21288" w:rsidP="00187855">
      <w:pPr>
        <w:spacing w:after="0" w:line="240" w:lineRule="auto"/>
        <w:jc w:val="right"/>
        <w:rPr>
          <w:rFonts w:ascii="Verdana" w:eastAsia="Times New Roman" w:hAnsi="Verdana" w:cs="Arial"/>
          <w:noProof/>
          <w:lang w:val="es-ES_tradnl" w:eastAsia="es-ES_tradnl"/>
        </w:rPr>
      </w:pPr>
    </w:p>
    <w:p w14:paraId="3E0568F6" w14:textId="77777777" w:rsidR="00187855" w:rsidRPr="001C3A47" w:rsidRDefault="00187855" w:rsidP="00187855">
      <w:pPr>
        <w:spacing w:after="0" w:line="240" w:lineRule="auto"/>
        <w:jc w:val="both"/>
        <w:rPr>
          <w:rFonts w:ascii="Verdana" w:eastAsia="Calibri" w:hAnsi="Verdana" w:cs="Arial"/>
          <w:lang w:val="es-ES" w:eastAsia="es-ES_tradnl"/>
        </w:rPr>
      </w:pPr>
      <w:r w:rsidRPr="001C3A47">
        <w:rPr>
          <w:rFonts w:ascii="Verdana" w:eastAsia="Calibri" w:hAnsi="Verdana" w:cs="Arial"/>
          <w:lang w:val="es-ES" w:eastAsia="es-ES_tradnl"/>
        </w:rPr>
        <w:t>Señor</w:t>
      </w:r>
    </w:p>
    <w:p w14:paraId="70986A73" w14:textId="720AA481" w:rsidR="00187855" w:rsidRPr="001C3A47" w:rsidRDefault="001C3A47" w:rsidP="00187855">
      <w:pPr>
        <w:spacing w:after="0" w:line="240" w:lineRule="auto"/>
        <w:rPr>
          <w:rFonts w:ascii="Verdana" w:eastAsia="Calibri" w:hAnsi="Verdana" w:cs="Arial"/>
          <w:b/>
          <w:bCs/>
          <w:lang w:val="es-ES" w:eastAsia="es-ES_tradnl"/>
        </w:rPr>
      </w:pPr>
      <w:r w:rsidRPr="001C3A47">
        <w:rPr>
          <w:rFonts w:ascii="Verdana" w:eastAsia="Calibri" w:hAnsi="Verdana" w:cs="Arial"/>
          <w:b/>
          <w:bCs/>
          <w:lang w:val="es-ES" w:eastAsia="es-ES_tradnl"/>
        </w:rPr>
        <w:t xml:space="preserve">Luis Rene Tapia </w:t>
      </w:r>
      <w:proofErr w:type="spellStart"/>
      <w:r w:rsidRPr="001C3A47">
        <w:rPr>
          <w:rFonts w:ascii="Verdana" w:eastAsia="Calibri" w:hAnsi="Verdana" w:cs="Arial"/>
          <w:b/>
          <w:bCs/>
          <w:lang w:val="es-ES" w:eastAsia="es-ES_tradnl"/>
        </w:rPr>
        <w:t>Alandete</w:t>
      </w:r>
      <w:proofErr w:type="spellEnd"/>
    </w:p>
    <w:p w14:paraId="72BCB280" w14:textId="4F45D8C7" w:rsidR="001C3A47" w:rsidRPr="001C3A47" w:rsidRDefault="001C3A47" w:rsidP="001C3A47">
      <w:pPr>
        <w:spacing w:after="0" w:line="240" w:lineRule="auto"/>
        <w:rPr>
          <w:rFonts w:ascii="Verdana" w:hAnsi="Verdana"/>
        </w:rPr>
      </w:pPr>
      <w:hyperlink r:id="rId11" w:history="1">
        <w:r w:rsidRPr="001C3A47">
          <w:rPr>
            <w:rStyle w:val="Hipervnculo"/>
            <w:rFonts w:ascii="Verdana" w:hAnsi="Verdana"/>
          </w:rPr>
          <w:t>luiret2126@hotmail.com</w:t>
        </w:r>
      </w:hyperlink>
    </w:p>
    <w:p w14:paraId="2238A9C0" w14:textId="25EC3BBE" w:rsidR="00187855" w:rsidRPr="001C3A47" w:rsidRDefault="00187855" w:rsidP="001C3A47">
      <w:pPr>
        <w:spacing w:after="0" w:line="240" w:lineRule="auto"/>
        <w:rPr>
          <w:rFonts w:ascii="Verdana" w:eastAsia="Calibri" w:hAnsi="Verdana" w:cs="Arial"/>
          <w:lang w:val="es-ES_tradnl" w:eastAsia="es-ES_tradnl"/>
        </w:rPr>
      </w:pPr>
      <w:r w:rsidRPr="001C3A47">
        <w:rPr>
          <w:rFonts w:ascii="Verdana" w:eastAsia="Calibri" w:hAnsi="Verdana" w:cs="Arial"/>
          <w:bCs/>
          <w:lang w:val="es-ES_tradnl" w:eastAsia="es-ES_tradnl"/>
        </w:rPr>
        <w:t>Ciudad</w:t>
      </w:r>
    </w:p>
    <w:p w14:paraId="72D4FAD8" w14:textId="77777777" w:rsidR="00187855" w:rsidRPr="00CC5C68" w:rsidRDefault="00187855" w:rsidP="00187855">
      <w:pPr>
        <w:spacing w:after="0" w:line="240" w:lineRule="auto"/>
        <w:rPr>
          <w:rFonts w:ascii="Verdana" w:eastAsia="Calibri" w:hAnsi="Verdana" w:cs="Arial"/>
          <w:lang w:val="es-ES_tradnl" w:eastAsia="es-ES_tradnl"/>
        </w:rPr>
      </w:pPr>
    </w:p>
    <w:p w14:paraId="6FA83756" w14:textId="77777777" w:rsidR="00187855" w:rsidRPr="00CC5C68" w:rsidRDefault="00187855" w:rsidP="00187855">
      <w:pPr>
        <w:spacing w:after="0" w:line="240" w:lineRule="auto"/>
        <w:rPr>
          <w:rFonts w:ascii="Verdana" w:eastAsia="Calibri" w:hAnsi="Verdana" w:cs="Arial"/>
          <w:lang w:val="es-ES_tradnl" w:eastAsia="es-ES_tradnl"/>
        </w:rPr>
      </w:pPr>
    </w:p>
    <w:p w14:paraId="235FDCA6" w14:textId="66D4EC3B" w:rsidR="00187855" w:rsidRPr="00CC5C68" w:rsidRDefault="00187855" w:rsidP="00187855">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sidR="00E21288">
        <w:rPr>
          <w:rFonts w:ascii="Verdana" w:eastAsia="Calibri" w:hAnsi="Verdana" w:cs="Arial"/>
          <w:b/>
          <w:bCs/>
          <w:lang w:val="es-ES" w:eastAsia="es-ES_tradnl"/>
        </w:rPr>
        <w:t>10</w:t>
      </w:r>
      <w:r w:rsidR="00D66371">
        <w:rPr>
          <w:rFonts w:ascii="Verdana" w:eastAsia="Calibri" w:hAnsi="Verdana" w:cs="Arial"/>
          <w:b/>
          <w:bCs/>
          <w:lang w:val="es-ES" w:eastAsia="es-ES_tradnl"/>
        </w:rPr>
        <w:t>96</w:t>
      </w:r>
      <w:r w:rsidRPr="00CC5C68">
        <w:rPr>
          <w:rFonts w:ascii="Verdana" w:eastAsia="Calibri" w:hAnsi="Verdana" w:cs="Arial"/>
          <w:b/>
          <w:bCs/>
          <w:lang w:val="es-ES" w:eastAsia="es-ES_tradnl"/>
        </w:rPr>
        <w:t xml:space="preserve"> de 202</w:t>
      </w:r>
      <w:r w:rsidR="00A6189F">
        <w:rPr>
          <w:rFonts w:ascii="Verdana" w:eastAsia="Calibri" w:hAnsi="Verdana" w:cs="Arial"/>
          <w:b/>
          <w:bCs/>
          <w:lang w:val="es-ES" w:eastAsia="es-ES_tradnl"/>
        </w:rPr>
        <w:t>5</w:t>
      </w:r>
    </w:p>
    <w:p w14:paraId="2FA09044" w14:textId="77777777" w:rsidR="00187855" w:rsidRPr="00CC5C68" w:rsidRDefault="00187855" w:rsidP="00187855">
      <w:pPr>
        <w:spacing w:after="0" w:line="240" w:lineRule="auto"/>
        <w:jc w:val="both"/>
        <w:rPr>
          <w:rFonts w:ascii="Verdana" w:eastAsia="Calibri" w:hAnsi="Verdana" w:cs="Arial"/>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187855" w:rsidRPr="00CC5C68" w14:paraId="2F90E71E" w14:textId="77777777" w:rsidTr="00EC5A97">
        <w:tc>
          <w:tcPr>
            <w:tcW w:w="2694" w:type="dxa"/>
          </w:tcPr>
          <w:p w14:paraId="3DCB50E0" w14:textId="77777777" w:rsidR="00187855" w:rsidRPr="00CC5C68" w:rsidRDefault="00187855" w:rsidP="00E075F9">
            <w:pP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095" w:type="dxa"/>
          </w:tcPr>
          <w:p w14:paraId="3BEA88DA" w14:textId="248817DC" w:rsidR="00187855" w:rsidRPr="00CC5C68" w:rsidRDefault="00D35E4D" w:rsidP="00E075F9">
            <w:pPr>
              <w:spacing w:line="276" w:lineRule="auto"/>
              <w:jc w:val="both"/>
              <w:textAlignment w:val="baseline"/>
              <w:rPr>
                <w:rFonts w:ascii="Verdana" w:eastAsia="Times New Roman" w:hAnsi="Verdana" w:cs="Arial"/>
                <w:lang w:val="es-ES_tradnl" w:eastAsia="es-ES_tradnl"/>
              </w:rPr>
            </w:pPr>
            <w:r w:rsidRPr="003F7B98">
              <w:rPr>
                <w:rFonts w:ascii="Verdana" w:eastAsia="Times New Roman" w:hAnsi="Verdana" w:cs="Arial"/>
                <w:lang w:eastAsia="es-ES_tradnl"/>
              </w:rPr>
              <w:t xml:space="preserve">LEY DE GARANTÍAS ELECTORALES ─ Prohibición ‒ Contratación directa ‒ Alcance </w:t>
            </w:r>
            <w:r w:rsidR="00187855" w:rsidRPr="003F7B98">
              <w:rPr>
                <w:rFonts w:ascii="Verdana" w:eastAsia="Times New Roman" w:hAnsi="Verdana" w:cs="Arial"/>
                <w:lang w:eastAsia="es-ES_tradnl"/>
              </w:rPr>
              <w:t xml:space="preserve">/ </w:t>
            </w:r>
            <w:r w:rsidRPr="003F7B98">
              <w:rPr>
                <w:rFonts w:ascii="Verdana" w:eastAsia="Times New Roman" w:hAnsi="Verdana" w:cs="Arial"/>
                <w:lang w:eastAsia="es-ES_tradnl"/>
              </w:rPr>
              <w:t xml:space="preserve">LEY DE GARANTÍAS ELECTORALES ─ Prohibición ‒ Contratación directa ‒ Excepciones </w:t>
            </w:r>
            <w:r w:rsidR="00187855" w:rsidRPr="003F7B98">
              <w:rPr>
                <w:rFonts w:ascii="Verdana" w:eastAsia="Times New Roman" w:hAnsi="Verdana" w:cs="Arial"/>
                <w:lang w:eastAsia="es-ES_tradnl"/>
              </w:rPr>
              <w:t xml:space="preserve">/ </w:t>
            </w:r>
            <w:r w:rsidR="003F7B98" w:rsidRPr="003F7B98">
              <w:rPr>
                <w:rFonts w:ascii="Verdana" w:eastAsia="Times New Roman" w:hAnsi="Verdana" w:cs="Arial"/>
                <w:lang w:eastAsia="es-ES_tradnl"/>
              </w:rPr>
              <w:t>LEY DE GARANTÍAS ELECTORALES ─ Prohibición ‒ Contratación directa ‒ Convenios</w:t>
            </w:r>
            <w:r w:rsidR="003A4F34">
              <w:rPr>
                <w:rFonts w:ascii="Verdana" w:eastAsia="Times New Roman" w:hAnsi="Verdana" w:cs="Arial"/>
                <w:lang w:eastAsia="es-ES_tradnl"/>
              </w:rPr>
              <w:t xml:space="preserve"> solidarios</w:t>
            </w:r>
          </w:p>
        </w:tc>
      </w:tr>
      <w:tr w:rsidR="00187855" w:rsidRPr="00CC5C68" w14:paraId="430F24C2" w14:textId="77777777" w:rsidTr="00EC5A97">
        <w:tc>
          <w:tcPr>
            <w:tcW w:w="2694" w:type="dxa"/>
          </w:tcPr>
          <w:p w14:paraId="64FF2E28" w14:textId="77777777" w:rsidR="00187855" w:rsidRPr="00CC5C68" w:rsidRDefault="00187855" w:rsidP="00E075F9">
            <w:pP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095" w:type="dxa"/>
          </w:tcPr>
          <w:p w14:paraId="2C9AA094" w14:textId="707D758B" w:rsidR="00187855" w:rsidRPr="00CC5C68" w:rsidRDefault="00187855" w:rsidP="00E075F9">
            <w:pPr>
              <w:jc w:val="both"/>
              <w:rPr>
                <w:rFonts w:ascii="Verdana" w:eastAsia="Calibri" w:hAnsi="Verdana" w:cs="Arial"/>
                <w:lang w:val="es-ES" w:eastAsia="es-ES_tradnl"/>
              </w:rPr>
            </w:pPr>
            <w:r w:rsidRPr="00CC5C68">
              <w:rPr>
                <w:rFonts w:ascii="Verdana" w:eastAsia="Calibri" w:hAnsi="Verdana" w:cs="Arial"/>
                <w:lang w:val="es-ES" w:eastAsia="es-ES_tradnl"/>
              </w:rPr>
              <w:t xml:space="preserve">Respuesta a consulta radicado No. </w:t>
            </w:r>
            <w:r w:rsidR="003A4F34" w:rsidRPr="003A4F34">
              <w:rPr>
                <w:rFonts w:ascii="Verdana" w:eastAsia="Times New Roman" w:hAnsi="Verdana" w:cs="Arial"/>
                <w:lang w:eastAsia="es-ES_tradnl"/>
              </w:rPr>
              <w:t>1_2025_08_06_008234</w:t>
            </w:r>
          </w:p>
        </w:tc>
      </w:tr>
    </w:tbl>
    <w:p w14:paraId="3701FBE5" w14:textId="77777777" w:rsidR="00187855" w:rsidRPr="00CC5C68" w:rsidRDefault="00187855" w:rsidP="00187855">
      <w:pPr>
        <w:spacing w:after="0" w:line="240" w:lineRule="auto"/>
        <w:jc w:val="both"/>
        <w:rPr>
          <w:rFonts w:ascii="Verdana" w:eastAsia="Calibri" w:hAnsi="Verdana" w:cs="Arial"/>
          <w:lang w:val="es-ES_tradnl" w:eastAsia="es-ES_tradnl"/>
        </w:rPr>
      </w:pPr>
    </w:p>
    <w:p w14:paraId="62295CBA" w14:textId="77777777" w:rsidR="00187855" w:rsidRPr="00CC5C68" w:rsidRDefault="00187855" w:rsidP="00187855">
      <w:pPr>
        <w:spacing w:after="0" w:line="240" w:lineRule="auto"/>
        <w:jc w:val="both"/>
        <w:rPr>
          <w:rFonts w:ascii="Verdana" w:eastAsia="Calibri" w:hAnsi="Verdana" w:cs="Arial"/>
          <w:lang w:val="es-ES_tradnl" w:eastAsia="es-ES_tradnl"/>
        </w:rPr>
      </w:pPr>
    </w:p>
    <w:p w14:paraId="67D731EC" w14:textId="01BBD26D" w:rsidR="00187855" w:rsidRPr="00CC5C68" w:rsidRDefault="00187855" w:rsidP="00187855">
      <w:pPr>
        <w:spacing w:after="0" w:line="276" w:lineRule="auto"/>
        <w:contextualSpacing/>
        <w:jc w:val="both"/>
        <w:rPr>
          <w:rFonts w:ascii="Verdana" w:eastAsia="Calibri" w:hAnsi="Verdana" w:cs="Arial"/>
          <w:bCs/>
          <w:lang w:val="es-ES_tradnl" w:eastAsia="es-ES_tradnl"/>
        </w:rPr>
      </w:pPr>
      <w:r w:rsidRPr="00CC5C68">
        <w:rPr>
          <w:rFonts w:ascii="Verdana" w:eastAsia="Calibri" w:hAnsi="Verdana" w:cs="Arial"/>
          <w:lang w:val="es-ES_tradnl" w:eastAsia="es-ES_tradnl"/>
        </w:rPr>
        <w:t xml:space="preserve">Estimado señor </w:t>
      </w:r>
      <w:r w:rsidR="001C3A47">
        <w:rPr>
          <w:rFonts w:ascii="Verdana" w:eastAsia="Calibri" w:hAnsi="Verdana" w:cs="Arial"/>
          <w:lang w:val="es-ES_tradnl" w:eastAsia="es-ES_tradnl"/>
        </w:rPr>
        <w:t>Tapia</w:t>
      </w:r>
      <w:r w:rsidRPr="00CC5C68">
        <w:rPr>
          <w:rFonts w:ascii="Verdana" w:eastAsia="Calibri" w:hAnsi="Verdana" w:cs="Arial"/>
          <w:bCs/>
          <w:lang w:val="es-ES_tradnl" w:eastAsia="es-ES_tradnl"/>
        </w:rPr>
        <w:t>:</w:t>
      </w:r>
    </w:p>
    <w:p w14:paraId="45A30938" w14:textId="77777777" w:rsidR="00187855" w:rsidRPr="00CC5C68" w:rsidRDefault="00187855" w:rsidP="00187855">
      <w:pPr>
        <w:spacing w:after="0" w:line="276" w:lineRule="auto"/>
        <w:contextualSpacing/>
        <w:jc w:val="both"/>
        <w:rPr>
          <w:rFonts w:ascii="Verdana" w:eastAsia="Calibri" w:hAnsi="Verdana" w:cs="Arial"/>
          <w:lang w:val="es-ES_tradnl" w:eastAsia="es-ES_tradnl"/>
        </w:rPr>
      </w:pPr>
    </w:p>
    <w:p w14:paraId="1AA5850F" w14:textId="34A61786" w:rsidR="00187855" w:rsidRPr="00CC5C68" w:rsidRDefault="00187855" w:rsidP="00187855">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sidR="000D5783">
        <w:rPr>
          <w:rFonts w:ascii="Verdana" w:eastAsia="Calibri" w:hAnsi="Verdana" w:cs="Arial"/>
          <w:lang w:val="es-ES" w:eastAsia="es-ES_tradnl"/>
        </w:rPr>
        <w:t>6</w:t>
      </w:r>
      <w:r w:rsidRPr="00CC5C68">
        <w:rPr>
          <w:rFonts w:ascii="Verdana" w:eastAsia="Calibri" w:hAnsi="Verdana" w:cs="Arial"/>
          <w:lang w:val="es-ES" w:eastAsia="es-ES_tradnl"/>
        </w:rPr>
        <w:t xml:space="preserve"> de </w:t>
      </w:r>
      <w:r w:rsidR="000D5783">
        <w:rPr>
          <w:rFonts w:ascii="Verdana" w:eastAsia="Calibri" w:hAnsi="Verdana" w:cs="Arial"/>
          <w:lang w:val="es-ES" w:eastAsia="es-ES_tradnl"/>
        </w:rPr>
        <w:t>agosto</w:t>
      </w:r>
      <w:r w:rsidRPr="00CC5C68">
        <w:rPr>
          <w:rFonts w:ascii="Verdana" w:eastAsia="Calibri" w:hAnsi="Verdana" w:cs="Arial"/>
          <w:lang w:val="es-ES" w:eastAsia="es-ES_tradnl"/>
        </w:rPr>
        <w:t xml:space="preserve"> de 202</w:t>
      </w:r>
      <w:r w:rsidR="00A6189F">
        <w:rPr>
          <w:rFonts w:ascii="Verdana" w:eastAsia="Calibri" w:hAnsi="Verdana" w:cs="Arial"/>
          <w:lang w:val="es-ES" w:eastAsia="es-ES_tradnl"/>
        </w:rPr>
        <w:t>5</w:t>
      </w:r>
      <w:r w:rsidRPr="00CC5C68">
        <w:rPr>
          <w:rFonts w:ascii="Verdana" w:eastAsia="Calibri" w:hAnsi="Verdana" w:cs="Arial"/>
          <w:lang w:val="es-ES" w:eastAsia="es-ES_tradnl"/>
        </w:rPr>
        <w:t>, en la cual manifiesta lo siguiente:</w:t>
      </w:r>
    </w:p>
    <w:p w14:paraId="5AEE5083" w14:textId="77777777" w:rsidR="00187855" w:rsidRPr="00CC5C68" w:rsidRDefault="00187855" w:rsidP="00187855">
      <w:pPr>
        <w:spacing w:after="0" w:line="276" w:lineRule="auto"/>
        <w:contextualSpacing/>
        <w:jc w:val="both"/>
        <w:rPr>
          <w:rFonts w:ascii="Verdana" w:eastAsia="Calibri" w:hAnsi="Verdana" w:cs="Arial"/>
          <w:b/>
          <w:szCs w:val="24"/>
          <w:lang w:val="es-ES_tradnl" w:eastAsia="es-ES_tradnl"/>
        </w:rPr>
      </w:pPr>
    </w:p>
    <w:p w14:paraId="0393970C" w14:textId="0526CB79" w:rsidR="00187855" w:rsidRPr="00CC5C68" w:rsidRDefault="00187855" w:rsidP="000D5783">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000D5783" w:rsidRPr="000D5783">
        <w:rPr>
          <w:rFonts w:ascii="Verdana" w:eastAsia="Times New Roman" w:hAnsi="Verdana" w:cs="Arial"/>
          <w:sz w:val="21"/>
          <w:szCs w:val="21"/>
          <w:lang w:eastAsia="es-ES_tradnl"/>
        </w:rPr>
        <w:t>Solicito amablemente me den un concepto sobre si: 1. Si la contratación directa en</w:t>
      </w:r>
      <w:r w:rsidR="000D5783">
        <w:rPr>
          <w:rFonts w:ascii="Verdana" w:eastAsia="Times New Roman" w:hAnsi="Verdana" w:cs="Arial"/>
          <w:sz w:val="21"/>
          <w:szCs w:val="21"/>
          <w:lang w:eastAsia="es-ES_tradnl"/>
        </w:rPr>
        <w:t xml:space="preserve"> </w:t>
      </w:r>
      <w:r w:rsidR="000D5783" w:rsidRPr="000D5783">
        <w:rPr>
          <w:rFonts w:ascii="Verdana" w:eastAsia="Times New Roman" w:hAnsi="Verdana" w:cs="Arial"/>
          <w:sz w:val="21"/>
          <w:szCs w:val="21"/>
          <w:lang w:eastAsia="es-ES_tradnl"/>
        </w:rPr>
        <w:t>modalidad de convenios solidarios está exenta de ley de garantías y 2. Desde y</w:t>
      </w:r>
      <w:r w:rsidR="000D5783">
        <w:rPr>
          <w:rFonts w:ascii="Verdana" w:eastAsia="Times New Roman" w:hAnsi="Verdana" w:cs="Arial"/>
          <w:sz w:val="21"/>
          <w:szCs w:val="21"/>
          <w:lang w:eastAsia="es-ES_tradnl"/>
        </w:rPr>
        <w:t xml:space="preserve"> </w:t>
      </w:r>
      <w:r w:rsidR="000D5783" w:rsidRPr="000D5783">
        <w:rPr>
          <w:rFonts w:ascii="Verdana" w:eastAsia="Times New Roman" w:hAnsi="Verdana" w:cs="Arial"/>
          <w:sz w:val="21"/>
          <w:szCs w:val="21"/>
          <w:lang w:eastAsia="es-ES_tradnl"/>
        </w:rPr>
        <w:t>hasta cuando aplica la ley de garantías</w:t>
      </w:r>
      <w:r w:rsidRPr="00CC5C68">
        <w:rPr>
          <w:rFonts w:ascii="Verdana" w:eastAsia="Times New Roman" w:hAnsi="Verdana" w:cs="Arial"/>
          <w:sz w:val="21"/>
          <w:szCs w:val="21"/>
          <w:lang w:eastAsia="es-ES_tradnl"/>
        </w:rPr>
        <w:t>”</w:t>
      </w:r>
    </w:p>
    <w:p w14:paraId="50165896" w14:textId="77777777" w:rsidR="00187855" w:rsidRPr="00CC5C68" w:rsidRDefault="00187855" w:rsidP="00187855">
      <w:pPr>
        <w:spacing w:after="0" w:line="240" w:lineRule="auto"/>
        <w:ind w:left="709" w:right="709"/>
        <w:contextualSpacing/>
        <w:jc w:val="both"/>
        <w:rPr>
          <w:rFonts w:ascii="Verdana" w:eastAsia="Times New Roman" w:hAnsi="Verdana" w:cs="Arial"/>
          <w:sz w:val="21"/>
          <w:szCs w:val="21"/>
          <w:lang w:eastAsia="es-ES_tradnl"/>
        </w:rPr>
      </w:pPr>
    </w:p>
    <w:p w14:paraId="0451594C" w14:textId="77777777" w:rsidR="00187855" w:rsidRPr="00CC5C68" w:rsidRDefault="00187855" w:rsidP="00187855">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CC5C68">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3FDB742D" w14:textId="77777777" w:rsidR="00187855" w:rsidRPr="00CC5C68" w:rsidRDefault="00187855" w:rsidP="00187855">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104CBB2" w14:textId="77777777" w:rsidR="00187855" w:rsidRPr="00CC5C68" w:rsidRDefault="00187855" w:rsidP="00187855">
      <w:pPr>
        <w:spacing w:after="0" w:line="276" w:lineRule="auto"/>
        <w:contextualSpacing/>
        <w:jc w:val="both"/>
        <w:rPr>
          <w:rFonts w:ascii="Verdana" w:eastAsia="Times New Roman" w:hAnsi="Verdana" w:cs="Arial"/>
          <w:szCs w:val="24"/>
          <w:lang w:val="es-ES_tradnl" w:eastAsia="es-ES_tradnl"/>
        </w:rPr>
      </w:pPr>
    </w:p>
    <w:p w14:paraId="10075458" w14:textId="77777777" w:rsidR="00187855" w:rsidRPr="00CC5C68" w:rsidRDefault="00187855" w:rsidP="00187855">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043B5DEF" w14:textId="77777777" w:rsidR="00187855" w:rsidRPr="00CC5C68" w:rsidRDefault="00187855" w:rsidP="00187855">
      <w:pPr>
        <w:tabs>
          <w:tab w:val="left" w:pos="0"/>
          <w:tab w:val="left" w:pos="284"/>
        </w:tabs>
        <w:spacing w:after="0" w:line="276" w:lineRule="auto"/>
        <w:contextualSpacing/>
        <w:jc w:val="both"/>
        <w:rPr>
          <w:rFonts w:ascii="Verdana" w:eastAsia="Calibri" w:hAnsi="Verdana" w:cs="Arial"/>
          <w:b/>
          <w:lang w:val="es-ES_tradnl"/>
        </w:rPr>
      </w:pPr>
    </w:p>
    <w:p w14:paraId="748F4282" w14:textId="192E5977" w:rsidR="00187855" w:rsidRPr="00CC5C68" w:rsidRDefault="00187855" w:rsidP="005C7B28">
      <w:pPr>
        <w:spacing w:after="0" w:line="276" w:lineRule="auto"/>
        <w:jc w:val="both"/>
        <w:rPr>
          <w:rFonts w:ascii="Verdana" w:eastAsia="Century Gothic" w:hAnsi="Verdana" w:cs="Century Gothic"/>
        </w:rPr>
      </w:pPr>
      <w:r w:rsidRPr="00CC5C68">
        <w:rPr>
          <w:rFonts w:ascii="Verdana" w:eastAsia="Century Gothic" w:hAnsi="Verdana" w:cs="Century Gothic"/>
        </w:rPr>
        <w:t>De acuerdo con el contenido de su solicitud, esta Agencia resolverá el siguiente problema jurídico: ¿</w:t>
      </w:r>
      <w:r w:rsidR="007E5CBA">
        <w:rPr>
          <w:rFonts w:ascii="Verdana" w:eastAsia="Century Gothic" w:hAnsi="Verdana" w:cs="Century Gothic"/>
        </w:rPr>
        <w:t>La</w:t>
      </w:r>
      <w:r w:rsidR="00BA2DB8">
        <w:rPr>
          <w:rFonts w:ascii="Verdana" w:eastAsia="Century Gothic" w:hAnsi="Verdana" w:cs="Century Gothic"/>
        </w:rPr>
        <w:t xml:space="preserve"> restricción</w:t>
      </w:r>
      <w:r w:rsidR="007E5CBA">
        <w:rPr>
          <w:rFonts w:ascii="Verdana" w:eastAsia="Century Gothic" w:hAnsi="Verdana" w:cs="Century Gothic"/>
        </w:rPr>
        <w:t xml:space="preserve"> a la contratación directa de la Ley de garantías</w:t>
      </w:r>
      <w:r w:rsidR="00BA2DB8">
        <w:rPr>
          <w:rFonts w:ascii="Verdana" w:eastAsia="Century Gothic" w:hAnsi="Verdana" w:cs="Century Gothic"/>
        </w:rPr>
        <w:t xml:space="preserve"> aplica a </w:t>
      </w:r>
      <w:r w:rsidR="00BA2DB8" w:rsidRPr="00BA2DB8">
        <w:rPr>
          <w:rFonts w:ascii="Verdana" w:eastAsia="Century Gothic" w:hAnsi="Verdana" w:cs="Century Gothic"/>
        </w:rPr>
        <w:t xml:space="preserve">convenios </w:t>
      </w:r>
      <w:r w:rsidR="007E5CBA">
        <w:rPr>
          <w:rFonts w:ascii="Verdana" w:eastAsia="Century Gothic" w:hAnsi="Verdana" w:cs="Century Gothic"/>
        </w:rPr>
        <w:t>solidarios, y en qué fechas aplica</w:t>
      </w:r>
      <w:r w:rsidR="00F7394B">
        <w:rPr>
          <w:rFonts w:ascii="Verdana" w:eastAsia="Century Gothic" w:hAnsi="Verdana" w:cs="Century Gothic"/>
        </w:rPr>
        <w:t>n las restricciones de la Ley de garantías</w:t>
      </w:r>
      <w:r>
        <w:rPr>
          <w:rFonts w:ascii="Verdana" w:eastAsia="Century Gothic" w:hAnsi="Verdana" w:cs="Century Gothic"/>
        </w:rPr>
        <w:t>?</w:t>
      </w:r>
    </w:p>
    <w:p w14:paraId="36F76745" w14:textId="77777777" w:rsidR="00187855" w:rsidRPr="007E5CBA" w:rsidRDefault="00187855" w:rsidP="00187855">
      <w:pPr>
        <w:spacing w:after="0" w:line="276" w:lineRule="auto"/>
        <w:ind w:firstLine="709"/>
        <w:jc w:val="both"/>
        <w:rPr>
          <w:rFonts w:ascii="Verdana" w:eastAsia="Calibri" w:hAnsi="Verdana" w:cs="Arial"/>
          <w:lang w:eastAsia="es-ES_tradnl"/>
        </w:rPr>
      </w:pPr>
    </w:p>
    <w:p w14:paraId="4C41873A" w14:textId="77777777" w:rsidR="00187855" w:rsidRPr="00CC5C68" w:rsidRDefault="00187855" w:rsidP="00187855">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08ED88A7" w14:textId="77777777" w:rsidR="00187855" w:rsidRPr="00CC5C68" w:rsidRDefault="00187855" w:rsidP="0018785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87855" w:rsidRPr="00CC5C68" w14:paraId="67340F2A" w14:textId="77777777" w:rsidTr="00E075F9">
        <w:tc>
          <w:tcPr>
            <w:tcW w:w="8828" w:type="dxa"/>
          </w:tcPr>
          <w:p w14:paraId="107FF8C5" w14:textId="77777777" w:rsidR="00820CE0" w:rsidRDefault="00820CE0" w:rsidP="00E075F9">
            <w:pPr>
              <w:spacing w:after="120" w:line="276" w:lineRule="auto"/>
              <w:jc w:val="both"/>
              <w:rPr>
                <w:rFonts w:ascii="Verdana" w:eastAsia="Times New Roman" w:hAnsi="Verdana" w:cs="Arial"/>
                <w:lang w:eastAsia="x-none"/>
              </w:rPr>
            </w:pPr>
            <w:bookmarkStart w:id="0" w:name="_Hlk78818702"/>
            <w:r>
              <w:rPr>
                <w:rFonts w:ascii="Verdana" w:eastAsia="Times New Roman" w:hAnsi="Verdana" w:cs="Arial"/>
                <w:lang w:eastAsia="x-none"/>
              </w:rPr>
              <w:t>L</w:t>
            </w:r>
            <w:r w:rsidRPr="00F02C5A">
              <w:rPr>
                <w:rFonts w:ascii="Verdana" w:eastAsia="Times New Roman" w:hAnsi="Verdana" w:cs="Arial"/>
                <w:lang w:eastAsia="x-none"/>
              </w:rPr>
              <w:t xml:space="preserve">a prohibición del artículo 33 de la Ley de Garantías Electorales se refiere a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cualquier sistema que no implique convocatoria pública y posibilidad de pluralidad de oferentes</w:t>
            </w:r>
            <w:r w:rsidRPr="00F02C5A">
              <w:rPr>
                <w:rFonts w:ascii="Verdana" w:eastAsia="Times New Roman" w:hAnsi="Verdana" w:cs="Arial"/>
                <w:lang w:eastAsia="en-GB"/>
              </w:rPr>
              <w:t>”</w:t>
            </w:r>
            <w:r w:rsidRPr="00F02C5A">
              <w:rPr>
                <w:rFonts w:ascii="Verdana" w:eastAsia="Times New Roman" w:hAnsi="Verdana" w:cs="Arial"/>
                <w:lang w:eastAsia="x-none"/>
              </w:rPr>
              <w:t>, por lo que excluye las demás modalidades de contratación previstas en la Ley 1150 de 2007, es decir, la licitación pública, la selección abreviada y el concurso de méritos u otros previstos en normas especiales.</w:t>
            </w:r>
            <w:bookmarkEnd w:id="0"/>
          </w:p>
          <w:p w14:paraId="34542BA5" w14:textId="57ED4957" w:rsidR="00221280" w:rsidRDefault="00221280" w:rsidP="00E075F9">
            <w:pPr>
              <w:spacing w:after="120" w:line="276" w:lineRule="auto"/>
              <w:jc w:val="both"/>
              <w:rPr>
                <w:rFonts w:ascii="Verdana" w:eastAsia="Times New Roman" w:hAnsi="Verdana" w:cs="Arial"/>
                <w:lang w:eastAsia="x-none"/>
              </w:rPr>
            </w:pPr>
            <w:r>
              <w:rPr>
                <w:rFonts w:ascii="Verdana" w:eastAsia="Times New Roman" w:hAnsi="Verdana" w:cs="Arial"/>
                <w:lang w:eastAsia="x-none"/>
              </w:rPr>
              <w:t xml:space="preserve">Por tanto, teniendo en cuenta que </w:t>
            </w:r>
            <w:r w:rsidR="007A3886">
              <w:rPr>
                <w:rFonts w:ascii="Verdana" w:eastAsia="Times New Roman" w:hAnsi="Verdana" w:cs="Arial"/>
                <w:lang w:eastAsia="x-none"/>
              </w:rPr>
              <w:t xml:space="preserve">el artículo </w:t>
            </w:r>
            <w:r w:rsidR="00A957EA">
              <w:rPr>
                <w:rFonts w:ascii="Verdana" w:eastAsia="Times New Roman" w:hAnsi="Verdana" w:cs="Arial"/>
                <w:lang w:eastAsia="x-none"/>
              </w:rPr>
              <w:t>95 de la Ley 2166 de 2021 dispone que “</w:t>
            </w:r>
            <w:r w:rsidR="00A957EA" w:rsidRPr="00A957EA">
              <w:rPr>
                <w:rFonts w:ascii="Verdana" w:eastAsia="Times New Roman" w:hAnsi="Verdana" w:cs="Arial"/>
                <w:i/>
                <w:iCs/>
                <w:lang w:eastAsia="x-none"/>
              </w:rPr>
              <w:t>Se autoriza a los entes del orden Nacional, Departamental, Distrital y municipal para celebrar directamente convenios solidarios con los Organismos de Acción Comunal con el fin de contratar con los habitantes de la comunidad</w:t>
            </w:r>
            <w:r w:rsidR="00A957EA">
              <w:rPr>
                <w:rFonts w:ascii="Verdana" w:eastAsia="Times New Roman" w:hAnsi="Verdana" w:cs="Arial"/>
                <w:lang w:eastAsia="x-none"/>
              </w:rPr>
              <w:t>”; esta contratación al ser directa se encuentra cobijada por la prohibición del artículo 33 de la Ley de Garantías Electorales, ya que como se señaló en el párrafo anterior, la prohibición es amplia y aplica a toda la contratación que no implique convocatoria pública.</w:t>
            </w:r>
          </w:p>
          <w:p w14:paraId="2C2382B0" w14:textId="34BE0449" w:rsidR="00BC3C65" w:rsidRDefault="006F4293" w:rsidP="00E74B36">
            <w:pPr>
              <w:spacing w:after="120" w:line="276" w:lineRule="auto"/>
              <w:jc w:val="both"/>
              <w:rPr>
                <w:rFonts w:ascii="Verdana" w:eastAsia="Calibri" w:hAnsi="Verdana" w:cs="Arial"/>
              </w:rPr>
            </w:pPr>
            <w:r>
              <w:rPr>
                <w:rFonts w:ascii="Verdana" w:eastAsia="Times New Roman" w:hAnsi="Verdana" w:cs="Arial"/>
                <w:lang w:eastAsia="x-none"/>
              </w:rPr>
              <w:lastRenderedPageBreak/>
              <w:t>Finalmente, sobre las fechas en que aplica la Ley de garantías, se debe tener en cuenta que el Consejo Nacional Electoral mediante Resolución No. 2581 del 5 de marzo de 2025</w:t>
            </w:r>
            <w:r w:rsidR="00E80ACF">
              <w:rPr>
                <w:rFonts w:ascii="Verdana" w:eastAsia="Times New Roman" w:hAnsi="Verdana" w:cs="Arial"/>
                <w:lang w:eastAsia="x-none"/>
              </w:rPr>
              <w:t xml:space="preserve"> fijó el calendario electoral para las elecciones al Congreso de la República </w:t>
            </w:r>
            <w:r w:rsidR="00BC3C65">
              <w:rPr>
                <w:rFonts w:ascii="Verdana" w:eastAsia="Times New Roman" w:hAnsi="Verdana" w:cs="Arial"/>
                <w:lang w:eastAsia="x-none"/>
              </w:rPr>
              <w:t xml:space="preserve">que serán el 8 de marzo de 2026, en esa medida, de acuerdo con el artículo 38 de la Ley 996 de 2005, </w:t>
            </w:r>
            <w:r w:rsidR="00BC3C65" w:rsidRPr="000C5BB0">
              <w:rPr>
                <w:rFonts w:ascii="Verdana" w:eastAsia="Calibri" w:hAnsi="Verdana" w:cs="Arial"/>
              </w:rPr>
              <w:t>la restricci</w:t>
            </w:r>
            <w:r w:rsidR="00BC3C65">
              <w:rPr>
                <w:rFonts w:ascii="Verdana" w:eastAsia="Calibri" w:hAnsi="Verdana" w:cs="Arial"/>
              </w:rPr>
              <w:t>ón</w:t>
            </w:r>
            <w:r w:rsidR="00BC3C65" w:rsidRPr="000C5BB0">
              <w:rPr>
                <w:rFonts w:ascii="Verdana" w:eastAsia="Calibri" w:hAnsi="Verdana" w:cs="Arial"/>
              </w:rPr>
              <w:t xml:space="preserve"> inicia</w:t>
            </w:r>
            <w:r w:rsidR="00BC3C65">
              <w:rPr>
                <w:rFonts w:ascii="Verdana" w:eastAsia="Calibri" w:hAnsi="Verdana" w:cs="Arial"/>
              </w:rPr>
              <w:t>ría</w:t>
            </w:r>
            <w:r w:rsidR="00BC3C65" w:rsidRPr="000C5BB0">
              <w:rPr>
                <w:rFonts w:ascii="Verdana" w:eastAsia="Calibri" w:hAnsi="Verdana" w:cs="Arial"/>
              </w:rPr>
              <w:t xml:space="preserve"> el 8 de noviembre de 2025, es decir, 4 meses antes de la fecha de las elecciones</w:t>
            </w:r>
            <w:r w:rsidR="00BC3C65">
              <w:rPr>
                <w:rFonts w:ascii="Verdana" w:eastAsia="Calibri" w:hAnsi="Verdana" w:cs="Arial"/>
              </w:rPr>
              <w:t xml:space="preserve">, y las restricciones que se aplican son </w:t>
            </w:r>
            <w:r w:rsidR="00BC3C65" w:rsidRPr="00461891">
              <w:rPr>
                <w:rFonts w:ascii="Verdana" w:eastAsia="Calibri" w:hAnsi="Verdana" w:cs="Arial"/>
              </w:rPr>
              <w:t>que prohíbe a los gobernadores, alcaldes municipales o distritales, secretarios, gerentes y directores de entidades descentralizadas del orden municipal, departamental o distrital</w:t>
            </w:r>
            <w:r w:rsidR="00BC3C65">
              <w:rPr>
                <w:rFonts w:ascii="Verdana" w:eastAsia="Calibri" w:hAnsi="Verdana" w:cs="Arial"/>
              </w:rPr>
              <w:t xml:space="preserve"> </w:t>
            </w:r>
            <w:r w:rsidR="00BC3C65" w:rsidRPr="00461891">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BC3C65" w:rsidRPr="000C5BB0">
              <w:rPr>
                <w:rFonts w:ascii="Verdana" w:eastAsia="Calibri" w:hAnsi="Verdana" w:cs="Arial"/>
              </w:rPr>
              <w:t>.</w:t>
            </w:r>
          </w:p>
          <w:p w14:paraId="1BA01436" w14:textId="0180EDF8" w:rsidR="00820CE0" w:rsidRPr="00820CE0" w:rsidRDefault="00BC3C65" w:rsidP="00800158">
            <w:pPr>
              <w:spacing w:after="120" w:line="276" w:lineRule="auto"/>
              <w:jc w:val="both"/>
              <w:rPr>
                <w:rFonts w:ascii="Verdana" w:eastAsia="Times New Roman" w:hAnsi="Verdana" w:cs="Arial"/>
                <w:sz w:val="21"/>
                <w:szCs w:val="21"/>
                <w:lang w:eastAsia="x-none"/>
              </w:rPr>
            </w:pPr>
            <w:r>
              <w:rPr>
                <w:rFonts w:ascii="Verdana" w:eastAsia="Calibri" w:hAnsi="Verdana" w:cs="Arial"/>
              </w:rPr>
              <w:t>P</w:t>
            </w:r>
            <w:r w:rsidRPr="000C5BB0">
              <w:rPr>
                <w:rFonts w:ascii="Verdana" w:eastAsia="Calibri" w:hAnsi="Verdana" w:cs="Arial"/>
              </w:rPr>
              <w:t>ara las elecciones presidenciales,</w:t>
            </w:r>
            <w:r w:rsidR="009514F7">
              <w:rPr>
                <w:rFonts w:ascii="Verdana" w:eastAsia="Calibri" w:hAnsi="Verdana" w:cs="Arial"/>
              </w:rPr>
              <w:t xml:space="preserve"> </w:t>
            </w:r>
            <w:r w:rsidR="009514F7">
              <w:rPr>
                <w:rFonts w:ascii="Verdana" w:eastAsia="Times New Roman" w:hAnsi="Verdana" w:cs="Arial"/>
                <w:lang w:eastAsia="x-none"/>
              </w:rPr>
              <w:t>el Consejo Nacional Electoral mediante Resolución No. 2580 del 5 de marzo de 2025 fijó el calendario electoral para las elecciones</w:t>
            </w:r>
            <w:r w:rsidRPr="000C5BB0">
              <w:rPr>
                <w:rFonts w:ascii="Verdana" w:eastAsia="Calibri" w:hAnsi="Verdana" w:cs="Arial"/>
              </w:rPr>
              <w:t xml:space="preserve"> </w:t>
            </w:r>
            <w:r w:rsidR="00DF31D1">
              <w:rPr>
                <w:rFonts w:ascii="Verdana" w:eastAsia="Calibri" w:hAnsi="Verdana" w:cs="Arial"/>
              </w:rPr>
              <w:t>de Presidente y Vicepresidente de la República en primera vuelta que se celebrará</w:t>
            </w:r>
            <w:r w:rsidR="00323E8C">
              <w:rPr>
                <w:rFonts w:ascii="Verdana" w:eastAsia="Calibri" w:hAnsi="Verdana" w:cs="Arial"/>
              </w:rPr>
              <w:t>n</w:t>
            </w:r>
            <w:r w:rsidR="00DF31D1">
              <w:rPr>
                <w:rFonts w:ascii="Verdana" w:eastAsia="Calibri" w:hAnsi="Verdana" w:cs="Arial"/>
              </w:rPr>
              <w:t xml:space="preserve"> el 31 de mayo de 2026,</w:t>
            </w:r>
            <w:r w:rsidR="00323E8C">
              <w:rPr>
                <w:rFonts w:ascii="Verdana" w:eastAsia="Calibri" w:hAnsi="Verdana" w:cs="Arial"/>
              </w:rPr>
              <w:t xml:space="preserve"> por lo que</w:t>
            </w:r>
            <w:r w:rsidR="00DF31D1">
              <w:rPr>
                <w:rFonts w:ascii="Verdana" w:eastAsia="Calibri" w:hAnsi="Verdana" w:cs="Arial"/>
              </w:rPr>
              <w:t xml:space="preserve"> </w:t>
            </w:r>
            <w:r>
              <w:rPr>
                <w:rFonts w:ascii="Verdana" w:eastAsia="Calibri" w:hAnsi="Verdana" w:cs="Arial"/>
              </w:rPr>
              <w:t>las restricciones a aplicar son las del artículo 33 de la Ley 996 de 2005</w:t>
            </w:r>
            <w:r w:rsidR="00A73A3A">
              <w:rPr>
                <w:rFonts w:ascii="Verdana" w:eastAsia="Calibri" w:hAnsi="Verdana" w:cs="Arial"/>
              </w:rPr>
              <w:t xml:space="preserve"> que dispone que</w:t>
            </w:r>
            <w:r>
              <w:rPr>
                <w:rFonts w:ascii="Verdana" w:eastAsia="Calibri" w:hAnsi="Verdana" w:cs="Arial"/>
              </w:rPr>
              <w:t xml:space="preserve"> dentro de los 4 meses anteriores a la elección presidencial, es decir desde el 31 de enero de 2026 y hasta el momento de la celebración de la segunda vuelta, si fuere el caso, q</w:t>
            </w:r>
            <w:r w:rsidRPr="008772F9">
              <w:rPr>
                <w:rFonts w:ascii="Verdana" w:eastAsia="Calibri" w:hAnsi="Verdana" w:cs="Arial"/>
              </w:rPr>
              <w:t>ueda prohibida la contratación directa por parte de todos los entes del Estado</w:t>
            </w:r>
            <w:r>
              <w:rPr>
                <w:rFonts w:ascii="Verdana" w:eastAsia="Calibri" w:hAnsi="Verdana" w:cs="Arial"/>
              </w:rPr>
              <w:t>, dentro de lo cual se incluye</w:t>
            </w:r>
            <w:r w:rsidR="00501634">
              <w:rPr>
                <w:rFonts w:ascii="Verdana" w:eastAsia="Calibri" w:hAnsi="Verdana" w:cs="Arial"/>
              </w:rPr>
              <w:t>n</w:t>
            </w:r>
            <w:r>
              <w:rPr>
                <w:rFonts w:ascii="Verdana" w:eastAsia="Calibri" w:hAnsi="Verdana" w:cs="Arial"/>
              </w:rPr>
              <w:t xml:space="preserve"> los </w:t>
            </w:r>
            <w:r w:rsidR="009514F7">
              <w:rPr>
                <w:rFonts w:ascii="Verdana" w:eastAsia="Calibri" w:hAnsi="Verdana" w:cs="Arial"/>
              </w:rPr>
              <w:t>convenios solidarios</w:t>
            </w:r>
            <w:r w:rsidRPr="008772F9">
              <w:rPr>
                <w:rFonts w:ascii="Verdana" w:eastAsia="Calibri" w:hAnsi="Verdana" w:cs="Arial"/>
              </w:rPr>
              <w:t>.</w:t>
            </w:r>
          </w:p>
        </w:tc>
      </w:tr>
    </w:tbl>
    <w:p w14:paraId="7607889B" w14:textId="77777777" w:rsidR="00187855" w:rsidRPr="00CC5C68" w:rsidRDefault="00187855" w:rsidP="00187855">
      <w:pPr>
        <w:spacing w:after="0" w:line="276" w:lineRule="auto"/>
        <w:contextualSpacing/>
        <w:jc w:val="both"/>
        <w:rPr>
          <w:rFonts w:ascii="Verdana" w:eastAsia="Times New Roman" w:hAnsi="Verdana" w:cs="Arial"/>
          <w:lang w:eastAsia="es-ES_tradnl"/>
        </w:rPr>
      </w:pPr>
    </w:p>
    <w:p w14:paraId="1A109746"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098820BD" w14:textId="77777777" w:rsidR="00187855" w:rsidRPr="00CC5C68" w:rsidRDefault="00187855" w:rsidP="00187855">
      <w:pPr>
        <w:spacing w:after="0" w:line="276" w:lineRule="auto"/>
        <w:jc w:val="both"/>
        <w:rPr>
          <w:rFonts w:ascii="Verdana" w:eastAsia="Calibri" w:hAnsi="Verdana" w:cs="Arial"/>
          <w:color w:val="7030A0"/>
          <w:lang w:val="es-ES"/>
        </w:rPr>
      </w:pPr>
    </w:p>
    <w:p w14:paraId="465CB100" w14:textId="77777777" w:rsidR="00187855" w:rsidRPr="00CC5C68" w:rsidRDefault="00187855" w:rsidP="00187855">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6CFF2BA2" w14:textId="77777777" w:rsidR="00187855" w:rsidRPr="00CC5C68" w:rsidRDefault="00187855" w:rsidP="00187855">
      <w:pPr>
        <w:spacing w:after="0" w:line="276" w:lineRule="auto"/>
        <w:jc w:val="both"/>
        <w:rPr>
          <w:rFonts w:ascii="Verdana" w:eastAsia="Calibri" w:hAnsi="Verdana" w:cs="Arial"/>
          <w:lang w:val="es-ES"/>
        </w:rPr>
      </w:pPr>
    </w:p>
    <w:p w14:paraId="73B563CD" w14:textId="77777777" w:rsidR="00624B56" w:rsidRPr="00F02C5A" w:rsidRDefault="00624B56" w:rsidP="00624B56">
      <w:pPr>
        <w:spacing w:after="0" w:line="276" w:lineRule="auto"/>
        <w:contextualSpacing/>
        <w:jc w:val="both"/>
        <w:rPr>
          <w:rFonts w:ascii="Verdana" w:eastAsia="Times New Roman" w:hAnsi="Verdana" w:cs="Arial"/>
          <w:lang w:val="es-MX" w:eastAsia="es-CO"/>
        </w:rPr>
      </w:pPr>
      <w:r w:rsidRPr="00F02C5A">
        <w:rPr>
          <w:rFonts w:ascii="Verdana" w:eastAsia="Times New Roman" w:hAnsi="Verdana" w:cs="Arial"/>
          <w:lang w:val="es-MX" w:eastAsia="x-none"/>
        </w:rPr>
        <w:t xml:space="preserve">El ámbito material de la prohibición contenida </w:t>
      </w:r>
      <w:bookmarkStart w:id="1" w:name="_Hlk75628761"/>
      <w:r w:rsidRPr="00F02C5A">
        <w:rPr>
          <w:rFonts w:ascii="Verdana" w:eastAsia="Times New Roman" w:hAnsi="Verdana" w:cs="Arial"/>
          <w:lang w:val="es-MX" w:eastAsia="x-none"/>
        </w:rPr>
        <w:t xml:space="preserve">en el artículo 33 de la Ley 996 de 2005 </w:t>
      </w:r>
      <w:bookmarkEnd w:id="1"/>
      <w:r w:rsidRPr="00F02C5A">
        <w:rPr>
          <w:rFonts w:ascii="Verdana" w:eastAsia="Times New Roman" w:hAnsi="Verdana" w:cs="Arial"/>
          <w:lang w:val="es-MX" w:eastAsia="x-none"/>
        </w:rPr>
        <w:t xml:space="preserve">está delimitado por la expresión </w:t>
      </w:r>
      <w:r w:rsidRPr="00F02C5A">
        <w:rPr>
          <w:rFonts w:ascii="Verdana" w:eastAsia="Calibri" w:hAnsi="Verdana" w:cs="Arial"/>
          <w:sz w:val="20"/>
          <w:szCs w:val="20"/>
          <w:lang w:val="es-MX"/>
        </w:rPr>
        <w:t>“</w:t>
      </w:r>
      <w:r w:rsidRPr="00F02C5A">
        <w:rPr>
          <w:rFonts w:ascii="Verdana" w:eastAsia="Times New Roman" w:hAnsi="Verdana" w:cs="Arial"/>
          <w:lang w:val="es-MX" w:eastAsia="x-none"/>
        </w:rPr>
        <w:t>queda prohibida la contratación directa</w:t>
      </w:r>
      <w:r w:rsidRPr="00F02C5A">
        <w:rPr>
          <w:rFonts w:ascii="Verdana" w:eastAsia="Calibri" w:hAnsi="Verdana" w:cs="Arial"/>
          <w:sz w:val="20"/>
          <w:szCs w:val="20"/>
          <w:lang w:val="es-MX"/>
        </w:rPr>
        <w:t>”</w:t>
      </w:r>
      <w:r w:rsidRPr="00F02C5A">
        <w:rPr>
          <w:rFonts w:ascii="Verdana" w:eastAsia="Times New Roman" w:hAnsi="Verdana" w:cs="Arial"/>
          <w:lang w:val="es-MX" w:eastAsia="x-none"/>
        </w:rPr>
        <w:t>.</w:t>
      </w:r>
      <w:r w:rsidRPr="00F02C5A">
        <w:rPr>
          <w:rFonts w:ascii="Verdana" w:eastAsia="Times New Roman" w:hAnsi="Verdana" w:cs="Arial"/>
          <w:lang w:val="es-MX" w:eastAsia="es-CO"/>
        </w:rPr>
        <w:t xml:space="preserve"> A propósito de </w:t>
      </w:r>
      <w:r w:rsidRPr="00F02C5A">
        <w:rPr>
          <w:rFonts w:ascii="Verdana" w:eastAsia="Times New Roman" w:hAnsi="Verdana" w:cs="Arial"/>
          <w:lang w:eastAsia="es-CO"/>
        </w:rPr>
        <w:t>esta restricción de la Ley de Garantías Electorales, la Sala de Consulta y Servicio Civil del Consejo de Estado ha considerado que:</w:t>
      </w:r>
    </w:p>
    <w:p w14:paraId="10C29D9F" w14:textId="77777777" w:rsidR="00624B56" w:rsidRPr="00F02C5A" w:rsidRDefault="00624B56" w:rsidP="00624B56">
      <w:pPr>
        <w:spacing w:after="0" w:line="276" w:lineRule="auto"/>
        <w:ind w:left="708" w:right="709"/>
        <w:contextualSpacing/>
        <w:jc w:val="both"/>
        <w:rPr>
          <w:rFonts w:ascii="Verdana" w:eastAsia="Calibri" w:hAnsi="Verdana" w:cs="Arial"/>
          <w:sz w:val="21"/>
          <w:szCs w:val="21"/>
          <w:lang w:val="es-MX"/>
        </w:rPr>
      </w:pPr>
    </w:p>
    <w:p w14:paraId="152590D7" w14:textId="77777777" w:rsidR="00624B56" w:rsidRPr="00F02C5A" w:rsidRDefault="00624B56" w:rsidP="00624B56">
      <w:pPr>
        <w:spacing w:after="0" w:line="240" w:lineRule="auto"/>
        <w:ind w:left="709" w:right="709"/>
        <w:contextualSpacing/>
        <w:jc w:val="both"/>
        <w:rPr>
          <w:rFonts w:ascii="Verdana" w:eastAsia="Calibri" w:hAnsi="Verdana" w:cs="Arial"/>
          <w:sz w:val="21"/>
          <w:szCs w:val="21"/>
          <w:lang w:val="es-MX"/>
        </w:rPr>
      </w:pPr>
      <w:r w:rsidRPr="00F02C5A">
        <w:rPr>
          <w:rFonts w:ascii="Verdana" w:eastAsia="Calibri" w:hAnsi="Verdana" w:cs="Arial"/>
          <w:sz w:val="21"/>
          <w:szCs w:val="21"/>
          <w:lang w:val="es-MX"/>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w:t>
      </w:r>
      <w:r w:rsidRPr="00F02C5A">
        <w:rPr>
          <w:rFonts w:ascii="Verdana" w:eastAsia="Calibri" w:hAnsi="Verdana" w:cs="Arial"/>
          <w:sz w:val="21"/>
          <w:szCs w:val="21"/>
          <w:lang w:val="es-MX"/>
        </w:rPr>
        <w:lastRenderedPageBreak/>
        <w:t>(numeral 4, artículo 2, ley 1150 de 2007), y cumpliendo siempre los principios que rigen la contratación pública</w:t>
      </w:r>
      <w:r w:rsidRPr="00F02C5A">
        <w:rPr>
          <w:rFonts w:ascii="Verdana" w:eastAsia="Times New Roman" w:hAnsi="Verdana" w:cs="Arial"/>
          <w:vertAlign w:val="superscript"/>
          <w:lang w:eastAsia="es-CO"/>
        </w:rPr>
        <w:footnoteReference w:id="1"/>
      </w:r>
      <w:r w:rsidRPr="00F02C5A">
        <w:rPr>
          <w:rFonts w:ascii="Verdana" w:eastAsia="Calibri" w:hAnsi="Verdana" w:cs="Arial"/>
          <w:sz w:val="21"/>
          <w:szCs w:val="21"/>
          <w:lang w:val="es-MX"/>
        </w:rPr>
        <w:t>.</w:t>
      </w:r>
    </w:p>
    <w:p w14:paraId="5D3244CC" w14:textId="77777777" w:rsidR="00624B56" w:rsidRPr="00F02C5A" w:rsidRDefault="00624B56" w:rsidP="00624B56">
      <w:pPr>
        <w:spacing w:after="0" w:line="240" w:lineRule="auto"/>
        <w:ind w:left="709" w:right="709"/>
        <w:contextualSpacing/>
        <w:jc w:val="both"/>
        <w:rPr>
          <w:rFonts w:ascii="Verdana" w:eastAsia="Calibri" w:hAnsi="Verdana" w:cs="Arial"/>
          <w:sz w:val="12"/>
          <w:szCs w:val="12"/>
          <w:lang w:val="es-MX"/>
        </w:rPr>
      </w:pPr>
    </w:p>
    <w:p w14:paraId="6C8624E4" w14:textId="77777777" w:rsidR="00624B56" w:rsidRPr="00F02C5A" w:rsidRDefault="00624B56" w:rsidP="00624B56">
      <w:pPr>
        <w:spacing w:after="0" w:line="240" w:lineRule="auto"/>
        <w:ind w:left="708" w:right="709"/>
        <w:contextualSpacing/>
        <w:jc w:val="both"/>
        <w:rPr>
          <w:rFonts w:ascii="Verdana" w:eastAsia="Calibri" w:hAnsi="Verdana" w:cs="Arial"/>
          <w:sz w:val="21"/>
          <w:szCs w:val="21"/>
          <w:lang w:val="es-MX"/>
        </w:rPr>
      </w:pPr>
      <w:r w:rsidRPr="00F02C5A">
        <w:rPr>
          <w:rFonts w:ascii="Verdana" w:eastAsia="Calibri" w:hAnsi="Verdana" w:cs="Arial"/>
          <w:sz w:val="21"/>
          <w:szCs w:val="21"/>
          <w:lang w:val="es-MX"/>
        </w:rPr>
        <w:t xml:space="preserve">Esta Sala ha entendido </w:t>
      </w:r>
      <w:proofErr w:type="gramStart"/>
      <w:r w:rsidRPr="00F02C5A">
        <w:rPr>
          <w:rFonts w:ascii="Verdana" w:eastAsia="Calibri" w:hAnsi="Verdana" w:cs="Arial"/>
          <w:sz w:val="21"/>
          <w:szCs w:val="21"/>
          <w:lang w:val="es-MX"/>
        </w:rPr>
        <w:t>que</w:t>
      </w:r>
      <w:proofErr w:type="gramEnd"/>
      <w:r w:rsidRPr="00F02C5A">
        <w:rPr>
          <w:rFonts w:ascii="Verdana" w:eastAsia="Calibri" w:hAnsi="Verdana" w:cs="Arial"/>
          <w:sz w:val="21"/>
          <w:szCs w:val="21"/>
          <w:lang w:val="es-MX"/>
        </w:rPr>
        <w:t xml:space="preserve"> para los efectos de la ley de garantías, y dada su finalidad, el enunciado ´contratación directa´ es sinónimo </w:t>
      </w:r>
      <w:bookmarkStart w:id="2" w:name="_Hlk75741738"/>
      <w:r w:rsidRPr="00F02C5A">
        <w:rPr>
          <w:rFonts w:ascii="Verdana" w:eastAsia="Calibri" w:hAnsi="Verdana" w:cs="Arial"/>
          <w:sz w:val="21"/>
          <w:szCs w:val="21"/>
          <w:lang w:val="es-MX"/>
        </w:rPr>
        <w:t xml:space="preserve">de cualquier sistema que no implique convocatoria pública y posibilidad de pluralidad de oferentes, </w:t>
      </w:r>
      <w:bookmarkEnd w:id="2"/>
      <w:r w:rsidRPr="00F02C5A">
        <w:rPr>
          <w:rFonts w:ascii="Verdana" w:eastAsia="Calibri" w:hAnsi="Verdana" w:cs="Arial"/>
          <w:sz w:val="21"/>
          <w:szCs w:val="21"/>
          <w:lang w:val="es-MX"/>
        </w:rPr>
        <w:t>y que, además, no necesariamente hace referencia al procedimiento especial regulado por la ley de contratación estatal, sino a cualquier otro que prescinda de un proceso de licitación pública o concurso</w:t>
      </w:r>
      <w:r w:rsidRPr="00F02C5A">
        <w:rPr>
          <w:rFonts w:ascii="Verdana" w:eastAsia="Times New Roman" w:hAnsi="Verdana" w:cs="Arial"/>
          <w:sz w:val="21"/>
          <w:szCs w:val="21"/>
          <w:vertAlign w:val="superscript"/>
          <w:lang w:val="es-MX"/>
        </w:rPr>
        <w:footnoteReference w:id="2"/>
      </w:r>
      <w:r w:rsidRPr="00F02C5A">
        <w:rPr>
          <w:rFonts w:ascii="Verdana" w:eastAsia="Times New Roman" w:hAnsi="Verdana" w:cs="Arial"/>
          <w:sz w:val="21"/>
          <w:szCs w:val="21"/>
          <w:vertAlign w:val="superscript"/>
          <w:lang w:val="es-MX"/>
        </w:rPr>
        <w:t>.</w:t>
      </w:r>
      <w:r w:rsidRPr="00F02C5A">
        <w:rPr>
          <w:rFonts w:ascii="Verdana" w:eastAsia="Calibri" w:hAnsi="Verdana"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F02C5A">
        <w:rPr>
          <w:rFonts w:ascii="Verdana" w:eastAsia="Times New Roman" w:hAnsi="Verdana" w:cs="Arial"/>
          <w:vertAlign w:val="superscript"/>
          <w:lang w:eastAsia="es-CO"/>
        </w:rPr>
        <w:footnoteReference w:id="3"/>
      </w:r>
      <w:r w:rsidRPr="00F02C5A">
        <w:rPr>
          <w:rFonts w:ascii="Verdana" w:eastAsia="Calibri" w:hAnsi="Verdana" w:cs="Arial"/>
          <w:sz w:val="21"/>
          <w:szCs w:val="21"/>
          <w:lang w:val="es-MX"/>
        </w:rPr>
        <w:t xml:space="preserve"> .</w:t>
      </w:r>
    </w:p>
    <w:p w14:paraId="71423669" w14:textId="77777777" w:rsidR="00624B56" w:rsidRPr="00F02C5A" w:rsidRDefault="00624B56" w:rsidP="00624B56">
      <w:pPr>
        <w:shd w:val="clear" w:color="auto" w:fill="FFFFFF"/>
        <w:spacing w:after="0" w:line="276" w:lineRule="auto"/>
        <w:ind w:firstLine="709"/>
        <w:contextualSpacing/>
        <w:jc w:val="both"/>
        <w:rPr>
          <w:rFonts w:ascii="Verdana" w:eastAsia="Times New Roman" w:hAnsi="Verdana" w:cs="Arial"/>
          <w:lang w:eastAsia="x-none"/>
        </w:rPr>
      </w:pPr>
    </w:p>
    <w:p w14:paraId="142E5674" w14:textId="77777777" w:rsidR="00624B56" w:rsidRPr="00F02C5A" w:rsidRDefault="00624B56" w:rsidP="00624B56">
      <w:pPr>
        <w:spacing w:after="120" w:line="276" w:lineRule="auto"/>
        <w:ind w:firstLine="709"/>
        <w:jc w:val="both"/>
        <w:rPr>
          <w:rFonts w:ascii="Verdana" w:eastAsia="Times New Roman" w:hAnsi="Verdana" w:cs="Arial"/>
          <w:lang w:eastAsia="x-none"/>
        </w:rPr>
      </w:pPr>
      <w:bookmarkStart w:id="4" w:name="_Hlk94521748"/>
      <w:r w:rsidRPr="00F02C5A">
        <w:rPr>
          <w:rFonts w:ascii="Verdana" w:eastAsia="Times New Roman" w:hAnsi="Verdana" w:cs="Arial"/>
          <w:lang w:eastAsia="x-none"/>
        </w:rPr>
        <w:t xml:space="preserve">De conformidad con el citado concepto, la prohibición del artículo 33 de la Ley de Garantías Electorales se refiere a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cualquier sistema que no implique convocatoria pública y posibilidad de pluralidad de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4"/>
      <w:r w:rsidRPr="00F02C5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02C5A">
        <w:rPr>
          <w:rFonts w:ascii="Verdana" w:eastAsia="Times New Roman" w:hAnsi="Verdana" w:cs="Arial"/>
          <w:vertAlign w:val="superscript"/>
          <w:lang w:val="en-GB" w:eastAsia="x-none"/>
        </w:rPr>
        <w:footnoteReference w:id="4"/>
      </w:r>
      <w:r w:rsidRPr="00F02C5A">
        <w:rPr>
          <w:rFonts w:ascii="Verdana" w:eastAsia="Times New Roman" w:hAnsi="Verdana" w:cs="Arial"/>
          <w:lang w:eastAsia="x-none"/>
        </w:rPr>
        <w:t xml:space="preserve"> y sistematizó las causales de contratación directa</w:t>
      </w:r>
      <w:r w:rsidRPr="00F02C5A">
        <w:rPr>
          <w:rFonts w:ascii="Verdana" w:eastAsia="Times New Roman" w:hAnsi="Verdana" w:cs="Arial"/>
          <w:vertAlign w:val="superscript"/>
          <w:lang w:val="en-GB" w:eastAsia="x-none"/>
        </w:rPr>
        <w:footnoteReference w:id="5"/>
      </w:r>
      <w:r w:rsidRPr="00F02C5A">
        <w:rPr>
          <w:rFonts w:ascii="Verdana" w:eastAsia="Times New Roman" w:hAnsi="Verdana" w:cs="Arial"/>
          <w:lang w:eastAsia="x-none"/>
        </w:rPr>
        <w:t xml:space="preserve">. </w:t>
      </w:r>
    </w:p>
    <w:p w14:paraId="50B760CE" w14:textId="77777777" w:rsidR="00624B56" w:rsidRPr="00F02C5A" w:rsidRDefault="00624B56" w:rsidP="00624B56">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eastAsia="x-none"/>
        </w:rPr>
        <w:t xml:space="preserve">De esta forma, se ha depurado la noción de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contratación directa</w:t>
      </w:r>
      <w:r w:rsidRPr="00F02C5A">
        <w:rPr>
          <w:rFonts w:ascii="Verdana" w:eastAsia="Times New Roman" w:hAnsi="Verdana" w:cs="Arial"/>
          <w:lang w:eastAsia="en-GB"/>
        </w:rPr>
        <w:t>”</w:t>
      </w:r>
      <w:r w:rsidRPr="00F02C5A">
        <w:rPr>
          <w:rFonts w:ascii="Verdana" w:eastAsia="Times New Roman" w:hAnsi="Verdana" w:cs="Arial"/>
          <w:lang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w:t>
      </w:r>
      <w:r w:rsidRPr="00F02C5A">
        <w:rPr>
          <w:rFonts w:ascii="Verdana" w:eastAsia="Times New Roman" w:hAnsi="Verdana" w:cs="Arial"/>
          <w:lang w:eastAsia="x-none"/>
        </w:rPr>
        <w:lastRenderedPageBreak/>
        <w:t>especiales e, incluso, en el derecho privado</w:t>
      </w:r>
      <w:r w:rsidRPr="00F02C5A">
        <w:rPr>
          <w:rFonts w:ascii="Verdana" w:eastAsia="Times New Roman" w:hAnsi="Verdana" w:cs="Arial"/>
          <w:vertAlign w:val="superscript"/>
          <w:lang w:val="en-GB" w:eastAsia="x-none"/>
        </w:rPr>
        <w:footnoteReference w:id="6"/>
      </w:r>
      <w:r w:rsidRPr="00F02C5A">
        <w:rPr>
          <w:rFonts w:ascii="Verdana" w:eastAsia="Times New Roman" w:hAnsi="Verdana" w:cs="Arial"/>
          <w:lang w:eastAsia="x-none"/>
        </w:rPr>
        <w:t>, han establecido sistemas de contratación que implican convocatoria pública y participación de varios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w:t>
      </w:r>
    </w:p>
    <w:p w14:paraId="26098F50" w14:textId="77777777" w:rsidR="00624B56" w:rsidRPr="00F02C5A" w:rsidRDefault="00624B56" w:rsidP="00624B56">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E</w:t>
      </w:r>
      <w:r w:rsidRPr="00F02C5A">
        <w:rPr>
          <w:rFonts w:ascii="Verdana" w:eastAsia="Times New Roman" w:hAnsi="Verdana" w:cs="Arial"/>
          <w:lang w:eastAsia="x-none"/>
        </w:rPr>
        <w:t xml:space="preserve">n efecto, vale la pena mencionar que, </w:t>
      </w:r>
      <w:bookmarkStart w:id="5" w:name="_Hlk75636073"/>
      <w:r w:rsidRPr="00F02C5A">
        <w:rPr>
          <w:rFonts w:ascii="Verdana" w:eastAsia="Times New Roman" w:hAnsi="Verdana"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5"/>
      <w:r w:rsidRPr="00F02C5A">
        <w:rPr>
          <w:rFonts w:ascii="Verdana" w:eastAsia="Times New Roman" w:hAnsi="Verdana" w:cs="Arial"/>
          <w:vertAlign w:val="superscript"/>
          <w:lang w:eastAsia="x-none"/>
        </w:rPr>
        <w:footnoteReference w:id="7"/>
      </w:r>
      <w:r w:rsidRPr="00F02C5A">
        <w:rPr>
          <w:rFonts w:ascii="Verdana" w:eastAsia="Times New Roman" w:hAnsi="Verdana" w:cs="Arial"/>
          <w:lang w:eastAsia="x-none"/>
        </w:rPr>
        <w:t xml:space="preserve">. </w:t>
      </w:r>
    </w:p>
    <w:p w14:paraId="57CBA6AF" w14:textId="77777777" w:rsidR="00624B56" w:rsidRPr="00F02C5A" w:rsidRDefault="00624B56" w:rsidP="00624B56">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3AC67160" w14:textId="77777777" w:rsidR="00624B56" w:rsidRPr="00F02C5A" w:rsidRDefault="00624B56" w:rsidP="00624B56">
      <w:pPr>
        <w:spacing w:after="120" w:line="276" w:lineRule="auto"/>
        <w:ind w:firstLine="709"/>
        <w:jc w:val="both"/>
        <w:rPr>
          <w:rFonts w:ascii="Verdana" w:eastAsia="Times New Roman" w:hAnsi="Verdana" w:cs="Arial"/>
          <w:lang w:val="es-MX" w:eastAsia="x-none"/>
        </w:rPr>
      </w:pPr>
      <w:bookmarkStart w:id="6" w:name="_Hlk78818796"/>
      <w:r w:rsidRPr="00F02C5A">
        <w:rPr>
          <w:rFonts w:ascii="Verdana" w:eastAsia="Times New Roman" w:hAnsi="Verdana" w:cs="Arial"/>
          <w:lang w:val="es-MX" w:eastAsia="x-none"/>
        </w:rPr>
        <w:t xml:space="preserve"> Así las cosas, </w:t>
      </w:r>
      <w:bookmarkStart w:id="7" w:name="_Hlk99577798"/>
      <w:r w:rsidRPr="00F02C5A">
        <w:rPr>
          <w:rFonts w:ascii="Verdana" w:eastAsia="Times New Roman" w:hAnsi="Verdana" w:cs="Arial"/>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vertAlign w:val="superscript"/>
          <w:lang w:eastAsia="x-none"/>
        </w:rPr>
        <w:footnoteReference w:id="8"/>
      </w:r>
      <w:r w:rsidRPr="00F02C5A">
        <w:rPr>
          <w:rFonts w:ascii="Verdana" w:eastAsia="Times New Roman" w:hAnsi="Verdana" w:cs="Arial"/>
          <w:lang w:val="es-MX" w:eastAsia="x-none"/>
        </w:rPr>
        <w:t>.</w:t>
      </w:r>
      <w:r w:rsidRPr="00F02C5A">
        <w:rPr>
          <w:rFonts w:ascii="Verdana" w:eastAsia="Times New Roman" w:hAnsi="Verdana" w:cs="Arial"/>
          <w:vertAlign w:val="superscript"/>
          <w:lang w:eastAsia="x-none"/>
        </w:rPr>
        <w:t xml:space="preserve"> </w:t>
      </w:r>
    </w:p>
    <w:bookmarkEnd w:id="6"/>
    <w:p w14:paraId="69F835A2" w14:textId="77777777" w:rsidR="00624B56" w:rsidRPr="00F02C5A" w:rsidRDefault="00624B56" w:rsidP="00624B56">
      <w:pPr>
        <w:spacing w:after="120" w:line="276" w:lineRule="auto"/>
        <w:ind w:firstLine="709"/>
        <w:jc w:val="both"/>
        <w:rPr>
          <w:rFonts w:ascii="Verdana" w:eastAsia="Times New Roman" w:hAnsi="Verdana" w:cs="Arial"/>
          <w:lang w:eastAsia="x-none"/>
        </w:rPr>
      </w:pPr>
      <w:r w:rsidRPr="00F02C5A">
        <w:rPr>
          <w:rFonts w:ascii="Verdana" w:eastAsia="Times New Roman" w:hAnsi="Verdana" w:cs="Arial"/>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lang w:eastAsia="x-none"/>
        </w:rPr>
        <w:t xml:space="preserve"> Por tanto, no son materia de la prohibición las demás modalidades de selección previstas </w:t>
      </w:r>
      <w:r w:rsidRPr="00F02C5A">
        <w:rPr>
          <w:rFonts w:ascii="Verdana" w:eastAsia="Times New Roman" w:hAnsi="Verdana" w:cs="Arial"/>
          <w:lang w:eastAsia="x-none"/>
        </w:rPr>
        <w:lastRenderedPageBreak/>
        <w:t>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722E65CF" w14:textId="77777777" w:rsidR="00624B56" w:rsidRPr="00F02C5A" w:rsidRDefault="00624B56" w:rsidP="00624B56">
      <w:pPr>
        <w:spacing w:after="120" w:line="276" w:lineRule="auto"/>
        <w:ind w:firstLine="709"/>
        <w:jc w:val="both"/>
        <w:rPr>
          <w:rFonts w:ascii="Verdana" w:eastAsia="Times New Roman" w:hAnsi="Verdana" w:cs="Arial"/>
          <w:lang w:val="es-MX" w:eastAsia="x-none"/>
        </w:rPr>
      </w:pPr>
      <w:bookmarkStart w:id="8" w:name="_Hlk77237094"/>
      <w:bookmarkEnd w:id="7"/>
      <w:r w:rsidRPr="00F02C5A">
        <w:rPr>
          <w:rFonts w:ascii="Verdana" w:eastAsia="Times New Roman" w:hAnsi="Verdana" w:cs="Arial"/>
          <w:lang w:val="es-MX" w:eastAsia="es-CO"/>
        </w:rPr>
        <w:t xml:space="preserve">Como en otras oportunidades lo ha manifestado esta Agencia, las prórrogas, modificaciones o adiciones de los contratos suscritos antes de la </w:t>
      </w:r>
      <w:proofErr w:type="gramStart"/>
      <w:r w:rsidRPr="00F02C5A">
        <w:rPr>
          <w:rFonts w:ascii="Verdana" w:eastAsia="Times New Roman" w:hAnsi="Verdana" w:cs="Arial"/>
          <w:lang w:val="es-MX" w:eastAsia="es-CO"/>
        </w:rPr>
        <w:t>entrada en vigencia</w:t>
      </w:r>
      <w:proofErr w:type="gramEnd"/>
      <w:r w:rsidRPr="00F02C5A">
        <w:rPr>
          <w:rFonts w:ascii="Verdana" w:eastAsia="Times New Roman" w:hAnsi="Verdana" w:cs="Arial"/>
          <w:lang w:val="es-MX" w:eastAsia="es-CO"/>
        </w:rPr>
        <w:t xml:space="preserve"> de las prohibiciones anotadas, así como la cesión de </w:t>
      </w:r>
      <w:proofErr w:type="gramStart"/>
      <w:r w:rsidRPr="00F02C5A">
        <w:rPr>
          <w:rFonts w:ascii="Verdana" w:eastAsia="Times New Roman" w:hAnsi="Verdana" w:cs="Arial"/>
          <w:lang w:val="es-MX" w:eastAsia="es-CO"/>
        </w:rPr>
        <w:t>los mismos</w:t>
      </w:r>
      <w:proofErr w:type="gramEnd"/>
      <w:r w:rsidRPr="00F02C5A">
        <w:rPr>
          <w:rFonts w:ascii="Verdana" w:eastAsia="Times New Roman" w:hAnsi="Verdana" w:cs="Arial"/>
          <w:lang w:val="es-MX" w:eastAsia="es-CO"/>
        </w:rPr>
        <w:t>, pueden tener lugar en el período de aplicación de la Ley de Garantías, sin que ello haga nugatoria la restricción de la contratación directa y siempre que cumplan los principios de planeación, transparencia y responsabilidad.</w:t>
      </w:r>
      <w:bookmarkEnd w:id="8"/>
    </w:p>
    <w:p w14:paraId="7904ADDB" w14:textId="77777777" w:rsidR="00624B56" w:rsidRPr="00F02C5A" w:rsidRDefault="00624B56" w:rsidP="00624B56">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 xml:space="preserve">De otro lado, </w:t>
      </w:r>
      <w:bookmarkStart w:id="9" w:name="_Hlk99577887"/>
      <w:bookmarkStart w:id="10" w:name="_Hlk100679762"/>
      <w:r w:rsidRPr="00F02C5A">
        <w:rPr>
          <w:rFonts w:ascii="Verdana" w:eastAsia="Times New Roman" w:hAnsi="Verdana" w:cs="Arial"/>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F02C5A">
        <w:rPr>
          <w:rFonts w:ascii="Verdana" w:eastAsia="Times New Roman" w:hAnsi="Verdana" w:cs="Arial"/>
          <w:lang w:val="es-MX" w:eastAsia="x-none"/>
        </w:rPr>
        <w:t>ii</w:t>
      </w:r>
      <w:proofErr w:type="spellEnd"/>
      <w:r w:rsidRPr="00F02C5A">
        <w:rPr>
          <w:rFonts w:ascii="Verdana" w:eastAsia="Times New Roman" w:hAnsi="Verdana" w:cs="Arial"/>
          <w:lang w:val="es-MX" w:eastAsia="x-none"/>
        </w:rPr>
        <w:t xml:space="preserve">) los contratos de crédito público; </w:t>
      </w:r>
      <w:proofErr w:type="spellStart"/>
      <w:r w:rsidRPr="00F02C5A">
        <w:rPr>
          <w:rFonts w:ascii="Verdana" w:eastAsia="Times New Roman" w:hAnsi="Verdana" w:cs="Arial"/>
          <w:lang w:val="es-MX" w:eastAsia="x-none"/>
        </w:rPr>
        <w:t>iii</w:t>
      </w:r>
      <w:proofErr w:type="spellEnd"/>
      <w:r w:rsidRPr="00F02C5A">
        <w:rPr>
          <w:rFonts w:ascii="Verdana" w:eastAsia="Times New Roman" w:hAnsi="Verdana" w:cs="Arial"/>
          <w:lang w:val="es-MX" w:eastAsia="x-none"/>
        </w:rPr>
        <w:t xml:space="preserve">) los requeridos para cubrir las emergencias educativas, sanitarias y desastres; </w:t>
      </w:r>
      <w:proofErr w:type="spellStart"/>
      <w:r w:rsidRPr="00F02C5A">
        <w:rPr>
          <w:rFonts w:ascii="Verdana" w:eastAsia="Times New Roman" w:hAnsi="Verdana" w:cs="Arial"/>
          <w:lang w:val="es-MX" w:eastAsia="x-none"/>
        </w:rPr>
        <w:t>iv</w:t>
      </w:r>
      <w:proofErr w:type="spellEnd"/>
      <w:r w:rsidRPr="00F02C5A">
        <w:rPr>
          <w:rFonts w:ascii="Verdana" w:eastAsia="Times New Roman" w:hAnsi="Verdana" w:cs="Arial"/>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02C5A">
        <w:rPr>
          <w:rFonts w:ascii="Verdana" w:eastAsia="Times New Roman" w:hAnsi="Verdana" w:cs="Arial"/>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9"/>
    </w:p>
    <w:bookmarkEnd w:id="10"/>
    <w:p w14:paraId="438EADE8" w14:textId="77777777" w:rsidR="00624B56" w:rsidRDefault="00624B56" w:rsidP="00582479">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val="es-MX" w:eastAsia="x-none"/>
        </w:rPr>
        <w:t>En esta labor es importante tener en cuenta, como lo anotó la Corte Constitucional, en Sentencia C-1153 de noviembre 11 de 2005</w:t>
      </w:r>
      <w:r w:rsidRPr="00F02C5A">
        <w:rPr>
          <w:rFonts w:ascii="Verdana" w:eastAsia="Calibri" w:hAnsi="Verdana" w:cs="Arial"/>
          <w:sz w:val="24"/>
          <w:lang w:val="es-MX"/>
        </w:rPr>
        <w:t>,</w:t>
      </w:r>
      <w:r w:rsidRPr="00F02C5A">
        <w:rPr>
          <w:rFonts w:ascii="Verdana" w:eastAsia="Times New Roman" w:hAnsi="Verdana" w:cs="Arial"/>
          <w:lang w:val="es-MX" w:eastAsia="x-none"/>
        </w:rPr>
        <w:t xml:space="preserve"> </w:t>
      </w:r>
      <w:bookmarkStart w:id="11" w:name="_Hlk74309042"/>
      <w:r w:rsidRPr="00F02C5A">
        <w:rPr>
          <w:rFonts w:ascii="Verdana" w:eastAsia="Times New Roman" w:hAnsi="Verdana" w:cs="Arial"/>
          <w:lang w:val="es-MX" w:eastAsia="x-none"/>
        </w:rPr>
        <w:t>que “</w:t>
      </w:r>
      <w:bookmarkEnd w:id="11"/>
      <w:r w:rsidRPr="00F02C5A">
        <w:rPr>
          <w:rFonts w:ascii="Verdana" w:eastAsia="Times New Roman" w:hAnsi="Verdana" w:cs="Arial"/>
          <w:lang w:val="es-MX" w:eastAsia="x-none"/>
        </w:rPr>
        <w:t xml:space="preserve">si bien la limitación garantiza la igualdad de condiciones, también es necesario que tal limitación que pretende la igualdad </w:t>
      </w:r>
      <w:bookmarkStart w:id="12" w:name="_Hlk75768308"/>
      <w:r w:rsidRPr="00F02C5A">
        <w:rPr>
          <w:rFonts w:ascii="Verdana" w:eastAsia="Times New Roman" w:hAnsi="Verdana" w:cs="Arial"/>
          <w:lang w:val="es-MX" w:eastAsia="x-none"/>
        </w:rPr>
        <w:t>no termine yendo en detrimento de intereses públicos, cuya garantía está en cabeza del ejecutivo, como son los inmersos en las excepciones para la prohibición de contratación”</w:t>
      </w:r>
      <w:r w:rsidRPr="00F02C5A">
        <w:rPr>
          <w:rFonts w:ascii="Verdana" w:eastAsia="Calibri" w:hAnsi="Verdana" w:cs="Arial"/>
          <w:vertAlign w:val="superscript"/>
          <w:lang w:val="es-MX"/>
        </w:rPr>
        <w:footnoteReference w:id="9"/>
      </w:r>
      <w:r w:rsidRPr="00F02C5A">
        <w:rPr>
          <w:rFonts w:ascii="Verdana" w:eastAsia="Times New Roman" w:hAnsi="Verdana" w:cs="Arial"/>
          <w:lang w:val="es-MX" w:eastAsia="x-none"/>
        </w:rPr>
        <w:t xml:space="preserve">. De ahí que la Corte haya hecho particular énfasis en que las excepciones a la restricción protegen diversos tipos de urgencias de defensa, salud, educación, infraestructura vial y de servicios públicos y ecológicas, que tienden a no limitar desproporcionadamente </w:t>
      </w:r>
      <w:r w:rsidRPr="00F02C5A">
        <w:rPr>
          <w:rFonts w:ascii="Verdana" w:eastAsia="Times New Roman" w:hAnsi="Verdana" w:cs="Arial"/>
          <w:lang w:val="es-MX" w:eastAsia="x-none"/>
        </w:rPr>
        <w:lastRenderedPageBreak/>
        <w:t xml:space="preserve">la acción del Estado en el cumplimiento de sus fines, en procura de la igualdad entre los </w:t>
      </w:r>
      <w:r w:rsidRPr="00F02C5A">
        <w:rPr>
          <w:rFonts w:ascii="Verdana" w:eastAsia="Times New Roman" w:hAnsi="Verdana" w:cs="Arial"/>
          <w:lang w:val="es-MX" w:eastAsia="es-CO"/>
        </w:rPr>
        <w:t>candidatos</w:t>
      </w:r>
      <w:r w:rsidRPr="00F02C5A">
        <w:rPr>
          <w:rFonts w:ascii="Verdana" w:eastAsia="Times New Roman" w:hAnsi="Verdana" w:cs="Arial"/>
          <w:lang w:val="es-MX" w:eastAsia="x-none"/>
        </w:rPr>
        <w:t xml:space="preserve"> como garantía electoral.</w:t>
      </w:r>
      <w:bookmarkEnd w:id="12"/>
    </w:p>
    <w:p w14:paraId="41B33373" w14:textId="77777777" w:rsidR="000A2B4E" w:rsidRDefault="000A2B4E" w:rsidP="00187855">
      <w:pPr>
        <w:tabs>
          <w:tab w:val="left" w:pos="142"/>
          <w:tab w:val="left" w:pos="284"/>
        </w:tabs>
        <w:spacing w:after="0" w:line="276" w:lineRule="auto"/>
        <w:jc w:val="both"/>
        <w:rPr>
          <w:rFonts w:ascii="Verdana" w:eastAsia="Century Gothic" w:hAnsi="Verdana" w:cs="Century Gothic"/>
          <w:b/>
          <w:bCs/>
        </w:rPr>
      </w:pPr>
    </w:p>
    <w:p w14:paraId="1AAA8D53" w14:textId="418FB8D9" w:rsidR="00187855" w:rsidRPr="00CC5C68" w:rsidRDefault="00187855" w:rsidP="00187855">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1BFC5CEE" w14:textId="77777777" w:rsidR="00187855" w:rsidRPr="00CC5C68" w:rsidRDefault="00187855" w:rsidP="0018785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87855" w:rsidRPr="00CC5C68" w14:paraId="12123090" w14:textId="77777777" w:rsidTr="00E075F9">
        <w:trPr>
          <w:trHeight w:val="870"/>
        </w:trPr>
        <w:tc>
          <w:tcPr>
            <w:tcW w:w="8647" w:type="dxa"/>
          </w:tcPr>
          <w:p w14:paraId="3B85DDA5" w14:textId="3B605C6A" w:rsidR="00187855" w:rsidRDefault="00187855" w:rsidP="00187855">
            <w:pPr>
              <w:pStyle w:val="Prrafodelista"/>
              <w:widowControl w:val="0"/>
              <w:numPr>
                <w:ilvl w:val="0"/>
                <w:numId w:val="1"/>
              </w:numPr>
              <w:autoSpaceDE w:val="0"/>
              <w:autoSpaceDN w:val="0"/>
              <w:spacing w:after="120" w:line="276" w:lineRule="auto"/>
              <w:jc w:val="both"/>
              <w:rPr>
                <w:rFonts w:ascii="Verdana" w:hAnsi="Verdana" w:cs="Arial"/>
              </w:rPr>
            </w:pPr>
            <w:r w:rsidRPr="00745CAA">
              <w:rPr>
                <w:rFonts w:ascii="Verdana" w:hAnsi="Verdana" w:cs="Arial"/>
              </w:rPr>
              <w:t xml:space="preserve">Ley </w:t>
            </w:r>
            <w:r w:rsidR="00624B56">
              <w:rPr>
                <w:rFonts w:ascii="Verdana" w:hAnsi="Verdana" w:cs="Arial"/>
              </w:rPr>
              <w:t>996</w:t>
            </w:r>
            <w:r w:rsidRPr="00745CAA">
              <w:rPr>
                <w:rFonts w:ascii="Verdana" w:hAnsi="Verdana" w:cs="Arial"/>
              </w:rPr>
              <w:t xml:space="preserve"> de 200</w:t>
            </w:r>
            <w:r w:rsidR="00624B56">
              <w:rPr>
                <w:rFonts w:ascii="Verdana" w:hAnsi="Verdana" w:cs="Arial"/>
              </w:rPr>
              <w:t>5</w:t>
            </w:r>
            <w:r w:rsidRPr="00745CAA">
              <w:rPr>
                <w:rFonts w:ascii="Verdana" w:hAnsi="Verdana" w:cs="Arial"/>
              </w:rPr>
              <w:t>, artículo</w:t>
            </w:r>
            <w:r w:rsidR="002E3BF9">
              <w:rPr>
                <w:rFonts w:ascii="Verdana" w:hAnsi="Verdana" w:cs="Arial"/>
              </w:rPr>
              <w:t>s</w:t>
            </w:r>
            <w:r w:rsidR="00624B56">
              <w:rPr>
                <w:rFonts w:ascii="Verdana" w:hAnsi="Verdana" w:cs="Arial"/>
              </w:rPr>
              <w:t xml:space="preserve"> 3</w:t>
            </w:r>
            <w:r w:rsidR="002E3BF9">
              <w:rPr>
                <w:rFonts w:ascii="Verdana" w:hAnsi="Verdana" w:cs="Arial"/>
              </w:rPr>
              <w:t>3 y 38</w:t>
            </w:r>
            <w:r w:rsidRPr="00745CAA">
              <w:rPr>
                <w:rFonts w:ascii="Verdana" w:hAnsi="Verdana" w:cs="Arial"/>
              </w:rPr>
              <w:t>.</w:t>
            </w:r>
          </w:p>
          <w:p w14:paraId="169162BE" w14:textId="47FBC31D" w:rsidR="003E412A" w:rsidRPr="003E412A" w:rsidRDefault="003E412A" w:rsidP="00187855">
            <w:pPr>
              <w:pStyle w:val="Prrafodelista"/>
              <w:widowControl w:val="0"/>
              <w:numPr>
                <w:ilvl w:val="0"/>
                <w:numId w:val="1"/>
              </w:numPr>
              <w:autoSpaceDE w:val="0"/>
              <w:autoSpaceDN w:val="0"/>
              <w:spacing w:after="120" w:line="276" w:lineRule="auto"/>
              <w:jc w:val="both"/>
              <w:rPr>
                <w:rFonts w:ascii="Verdana" w:hAnsi="Verdana" w:cs="Arial"/>
              </w:rPr>
            </w:pPr>
            <w:r w:rsidRPr="00F02C5A">
              <w:rPr>
                <w:rFonts w:ascii="Verdana" w:eastAsia="Times New Roman" w:hAnsi="Verdana" w:cs="Arial"/>
                <w:lang w:val="es-MX" w:eastAsia="x-none"/>
              </w:rPr>
              <w:t>Corte Constitucional, Sentencia C-1153 de noviembre 11 de 2005</w:t>
            </w:r>
            <w:r>
              <w:rPr>
                <w:rFonts w:ascii="Verdana" w:eastAsia="Times New Roman" w:hAnsi="Verdana" w:cs="Arial"/>
                <w:lang w:val="es-MX" w:eastAsia="x-none"/>
              </w:rPr>
              <w:t>.</w:t>
            </w:r>
          </w:p>
          <w:p w14:paraId="4D2FE493" w14:textId="77777777" w:rsidR="003E412A" w:rsidRPr="003E412A" w:rsidRDefault="003E412A" w:rsidP="003E412A">
            <w:pPr>
              <w:pStyle w:val="Prrafodelista"/>
              <w:widowControl w:val="0"/>
              <w:numPr>
                <w:ilvl w:val="0"/>
                <w:numId w:val="1"/>
              </w:numPr>
              <w:autoSpaceDE w:val="0"/>
              <w:autoSpaceDN w:val="0"/>
              <w:spacing w:after="120" w:line="276" w:lineRule="auto"/>
              <w:jc w:val="both"/>
              <w:rPr>
                <w:rFonts w:ascii="Verdana" w:hAnsi="Verdana" w:cs="Arial"/>
              </w:rPr>
            </w:pPr>
            <w:r w:rsidRPr="003E412A">
              <w:rPr>
                <w:rFonts w:ascii="Verdana" w:hAnsi="Verdana" w:cs="Arial"/>
              </w:rPr>
              <w:t xml:space="preserve">Consejo de Estado. Sala de Consulta y Servicio Civil, Concepto de 8 de mayo de 2018. Radicación Número: 11001-03-06-000-2018-00095-00(2382). Consejero Ponente: Álvaro </w:t>
            </w:r>
            <w:proofErr w:type="spellStart"/>
            <w:r w:rsidRPr="003E412A">
              <w:rPr>
                <w:rFonts w:ascii="Verdana" w:hAnsi="Verdana" w:cs="Arial"/>
              </w:rPr>
              <w:t>Namén</w:t>
            </w:r>
            <w:proofErr w:type="spellEnd"/>
            <w:r w:rsidRPr="003E412A">
              <w:rPr>
                <w:rFonts w:ascii="Verdana" w:hAnsi="Verdana" w:cs="Arial"/>
              </w:rPr>
              <w:t xml:space="preserve"> Vargas.</w:t>
            </w:r>
          </w:p>
          <w:p w14:paraId="614CF042" w14:textId="1CF73028" w:rsidR="003E412A" w:rsidRDefault="003E412A" w:rsidP="003E412A">
            <w:pPr>
              <w:pStyle w:val="Prrafodelista"/>
              <w:widowControl w:val="0"/>
              <w:numPr>
                <w:ilvl w:val="0"/>
                <w:numId w:val="1"/>
              </w:numPr>
              <w:autoSpaceDE w:val="0"/>
              <w:autoSpaceDN w:val="0"/>
              <w:spacing w:after="120" w:line="276" w:lineRule="auto"/>
              <w:jc w:val="both"/>
              <w:rPr>
                <w:rFonts w:ascii="Verdana" w:hAnsi="Verdana" w:cs="Arial"/>
              </w:rPr>
            </w:pPr>
            <w:r w:rsidRPr="003E412A">
              <w:rPr>
                <w:rFonts w:ascii="Verdana" w:hAnsi="Verdana" w:cs="Arial"/>
              </w:rPr>
              <w:t xml:space="preserve">Consejo de Estado. Sala de Consulta y Servicio Civil. Concepto del 08 de mayo de 2018. </w:t>
            </w:r>
            <w:proofErr w:type="spellStart"/>
            <w:r w:rsidRPr="003E412A">
              <w:rPr>
                <w:rFonts w:ascii="Verdana" w:hAnsi="Verdana" w:cs="Arial"/>
              </w:rPr>
              <w:t>Exp</w:t>
            </w:r>
            <w:proofErr w:type="spellEnd"/>
            <w:r w:rsidRPr="003E412A">
              <w:rPr>
                <w:rFonts w:ascii="Verdana" w:hAnsi="Verdana" w:cs="Arial"/>
              </w:rPr>
              <w:t xml:space="preserve">. 2.382. C.P. Álvaro </w:t>
            </w:r>
            <w:proofErr w:type="spellStart"/>
            <w:r w:rsidRPr="003E412A">
              <w:rPr>
                <w:rFonts w:ascii="Verdana" w:hAnsi="Verdana" w:cs="Arial"/>
              </w:rPr>
              <w:t>Namén</w:t>
            </w:r>
            <w:proofErr w:type="spellEnd"/>
            <w:r w:rsidRPr="003E412A">
              <w:rPr>
                <w:rFonts w:ascii="Verdana" w:hAnsi="Verdana" w:cs="Arial"/>
              </w:rPr>
              <w:t xml:space="preserve"> Vargas.</w:t>
            </w:r>
          </w:p>
          <w:p w14:paraId="01F3B556" w14:textId="6CBE424E" w:rsidR="007E43EB" w:rsidRPr="007E43EB" w:rsidRDefault="007E43EB" w:rsidP="007E43EB">
            <w:pPr>
              <w:pStyle w:val="Prrafodelista"/>
              <w:widowControl w:val="0"/>
              <w:numPr>
                <w:ilvl w:val="0"/>
                <w:numId w:val="1"/>
              </w:numPr>
              <w:autoSpaceDE w:val="0"/>
              <w:autoSpaceDN w:val="0"/>
              <w:spacing w:after="120" w:line="276" w:lineRule="auto"/>
              <w:jc w:val="both"/>
              <w:rPr>
                <w:rFonts w:ascii="Verdana" w:hAnsi="Verdana" w:cs="Arial"/>
              </w:rPr>
            </w:pPr>
            <w:r>
              <w:rPr>
                <w:rFonts w:ascii="Verdana" w:hAnsi="Verdana" w:cs="Arial"/>
              </w:rPr>
              <w:t>C</w:t>
            </w:r>
            <w:r w:rsidRPr="007E43EB">
              <w:rPr>
                <w:rFonts w:ascii="Verdana" w:hAnsi="Verdana" w:cs="Arial"/>
              </w:rPr>
              <w:t>onsejo de Estado. Sección Tercera. Sentencia de 3 de diciembre de 2007. Radicados: 24.715, 25.206, 25.409, 24.524, 27.834, 25.410, 26.105, 28.244, 31.447 -acumulados-”.</w:t>
            </w:r>
          </w:p>
          <w:p w14:paraId="40F9B0C6" w14:textId="379AE66B" w:rsidR="007E43EB" w:rsidRPr="007E43EB" w:rsidRDefault="007E43EB" w:rsidP="007E43EB">
            <w:pPr>
              <w:pStyle w:val="Prrafodelista"/>
              <w:widowControl w:val="0"/>
              <w:numPr>
                <w:ilvl w:val="0"/>
                <w:numId w:val="1"/>
              </w:numPr>
              <w:autoSpaceDE w:val="0"/>
              <w:autoSpaceDN w:val="0"/>
              <w:spacing w:after="120" w:line="276" w:lineRule="auto"/>
              <w:jc w:val="both"/>
              <w:rPr>
                <w:rFonts w:ascii="Verdana" w:hAnsi="Verdana" w:cs="Arial"/>
              </w:rPr>
            </w:pPr>
            <w:r>
              <w:rPr>
                <w:rFonts w:ascii="Verdana" w:hAnsi="Verdana" w:cs="Arial"/>
              </w:rPr>
              <w:t xml:space="preserve">Consejo de Estado, </w:t>
            </w:r>
            <w:r w:rsidRPr="007E43EB">
              <w:rPr>
                <w:rFonts w:ascii="Verdana" w:hAnsi="Verdana" w:cs="Arial"/>
              </w:rPr>
              <w:t>Sala de Consulta y Servicio Civil</w:t>
            </w:r>
            <w:r>
              <w:rPr>
                <w:rFonts w:ascii="Verdana" w:hAnsi="Verdana" w:cs="Arial"/>
              </w:rPr>
              <w:t>, C</w:t>
            </w:r>
            <w:r w:rsidRPr="007E43EB">
              <w:rPr>
                <w:rFonts w:ascii="Verdana" w:hAnsi="Verdana" w:cs="Arial"/>
              </w:rPr>
              <w:t xml:space="preserve">oncepto 1712 de 2 de febrero de 2006. </w:t>
            </w:r>
          </w:p>
          <w:p w14:paraId="11EB49AE" w14:textId="5AC47D20" w:rsidR="007E43EB" w:rsidRDefault="007E43EB" w:rsidP="007E43EB">
            <w:pPr>
              <w:pStyle w:val="Prrafodelista"/>
              <w:widowControl w:val="0"/>
              <w:numPr>
                <w:ilvl w:val="0"/>
                <w:numId w:val="1"/>
              </w:numPr>
              <w:autoSpaceDE w:val="0"/>
              <w:autoSpaceDN w:val="0"/>
              <w:spacing w:after="120" w:line="276" w:lineRule="auto"/>
              <w:jc w:val="both"/>
              <w:rPr>
                <w:rFonts w:ascii="Verdana" w:hAnsi="Verdana" w:cs="Arial"/>
              </w:rPr>
            </w:pPr>
            <w:r w:rsidRPr="007E43EB">
              <w:rPr>
                <w:rFonts w:ascii="Verdana" w:hAnsi="Verdana" w:cs="Arial"/>
              </w:rPr>
              <w:t xml:space="preserve">Consejo de Estado. Sala de Consulta y Servicio Civil. Concepto del 2 de septiembre de 2013. Radicación número: 11001-03-06-000-2013-00412-00 (2168). Consejero Ponente: Álvaro </w:t>
            </w:r>
            <w:proofErr w:type="spellStart"/>
            <w:r w:rsidRPr="007E43EB">
              <w:rPr>
                <w:rFonts w:ascii="Verdana" w:hAnsi="Verdana" w:cs="Arial"/>
              </w:rPr>
              <w:t>Namén</w:t>
            </w:r>
            <w:proofErr w:type="spellEnd"/>
            <w:r w:rsidRPr="007E43EB">
              <w:rPr>
                <w:rFonts w:ascii="Verdana" w:hAnsi="Verdana" w:cs="Arial"/>
              </w:rPr>
              <w:t xml:space="preserve"> Vargas.</w:t>
            </w:r>
          </w:p>
          <w:p w14:paraId="0DA1C513" w14:textId="77777777" w:rsidR="00187855" w:rsidRPr="00CC5C68" w:rsidRDefault="00187855" w:rsidP="00187855">
            <w:pPr>
              <w:pStyle w:val="Prrafodelista"/>
              <w:widowControl w:val="0"/>
              <w:numPr>
                <w:ilvl w:val="0"/>
                <w:numId w:val="1"/>
              </w:numPr>
              <w:tabs>
                <w:tab w:val="left" w:pos="8419"/>
              </w:tabs>
              <w:autoSpaceDE w:val="0"/>
              <w:autoSpaceDN w:val="0"/>
              <w:spacing w:after="120" w:line="276" w:lineRule="auto"/>
              <w:contextualSpacing w:val="0"/>
              <w:jc w:val="both"/>
              <w:rPr>
                <w:rFonts w:ascii="Verdana" w:hAnsi="Verdana" w:cs="Arial"/>
              </w:rPr>
            </w:pPr>
            <w:r>
              <w:rPr>
                <w:rFonts w:ascii="Verdana" w:hAnsi="Verdana" w:cs="Arial"/>
              </w:rPr>
              <w:t xml:space="preserve">Colombia Compra Eficiente, </w:t>
            </w:r>
            <w:r w:rsidRPr="00D4444C">
              <w:rPr>
                <w:rFonts w:ascii="Verdana" w:hAnsi="Verdana" w:cs="Arial"/>
              </w:rPr>
              <w:t>Circular Externa Única</w:t>
            </w:r>
            <w:r>
              <w:rPr>
                <w:rFonts w:ascii="Verdana" w:hAnsi="Verdana" w:cs="Arial"/>
              </w:rPr>
              <w:t>. Disponible en</w:t>
            </w:r>
            <w:r w:rsidRPr="00D4444C">
              <w:rPr>
                <w:rFonts w:ascii="Verdana" w:hAnsi="Verdana" w:cs="Arial"/>
              </w:rPr>
              <w:t xml:space="preserve">: </w:t>
            </w:r>
            <w:hyperlink r:id="rId12" w:history="1">
              <w:r w:rsidRPr="008D4636">
                <w:rPr>
                  <w:rStyle w:val="Hipervnculo"/>
                  <w:rFonts w:ascii="Verdana" w:hAnsi="Verdana" w:cs="Arial"/>
                </w:rPr>
                <w:t>https://colombiacompra.gov.co/sites/cce_public/files/cce_circulares/cce-eicp-ma-06_circular_externa_con_comentarios_de_ciudadanos-_v2f_002.pdf</w:t>
              </w:r>
            </w:hyperlink>
          </w:p>
        </w:tc>
      </w:tr>
    </w:tbl>
    <w:p w14:paraId="5EDDC2CD"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C871F0A"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5. Doctrina de la Agencia Nacional de Contratación Pública:</w:t>
      </w:r>
    </w:p>
    <w:p w14:paraId="66BECA67" w14:textId="77777777" w:rsidR="00187855" w:rsidRPr="00CC5C68" w:rsidRDefault="00187855" w:rsidP="00187855">
      <w:pPr>
        <w:spacing w:after="0" w:line="276" w:lineRule="auto"/>
        <w:ind w:firstLine="709"/>
        <w:jc w:val="both"/>
        <w:rPr>
          <w:rFonts w:ascii="Verdana" w:eastAsia="Times New Roman" w:hAnsi="Verdana" w:cs="Arial"/>
          <w:szCs w:val="24"/>
          <w:lang w:val="es-ES" w:eastAsia="es-ES_tradnl"/>
        </w:rPr>
      </w:pPr>
    </w:p>
    <w:p w14:paraId="4067B05A" w14:textId="01EE4605" w:rsidR="00187855" w:rsidRPr="00CC5C68" w:rsidRDefault="00187855" w:rsidP="0018785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CC5C68">
        <w:rPr>
          <w:rFonts w:ascii="Verdana" w:eastAsia="Calibri" w:hAnsi="Verdana" w:cs="Arial"/>
          <w:lang w:val="es-ES_tradnl" w:eastAsia="es-ES_tradnl"/>
        </w:rPr>
        <w:t xml:space="preserve">Sobre </w:t>
      </w:r>
      <w:r w:rsidR="00EA39A0">
        <w:rPr>
          <w:rFonts w:ascii="Verdana" w:eastAsia="Calibri" w:hAnsi="Verdana" w:cs="Arial"/>
          <w:lang w:val="es-ES_tradnl" w:eastAsia="es-ES_tradnl"/>
        </w:rPr>
        <w:t>las restricciones de la Ley de Garantías Electorales</w:t>
      </w:r>
      <w:r w:rsidRPr="00CC5C68">
        <w:rPr>
          <w:rFonts w:ascii="Verdana" w:eastAsia="Calibri" w:hAnsi="Verdana" w:cs="Arial"/>
          <w:lang w:val="es-ES_tradnl" w:eastAsia="es-ES_tradnl"/>
        </w:rPr>
        <w:t>, se pronunció esta Subdirección en los</w:t>
      </w:r>
      <w:r w:rsidR="008B49A3">
        <w:rPr>
          <w:rFonts w:ascii="Verdana" w:eastAsia="Calibri" w:hAnsi="Verdana" w:cs="Arial"/>
          <w:lang w:val="es-ES_tradnl" w:eastAsia="es-ES_tradnl"/>
        </w:rPr>
        <w:t xml:space="preserve"> conceptos</w:t>
      </w:r>
      <w:r w:rsidRPr="00CC5C68">
        <w:rPr>
          <w:rFonts w:ascii="Verdana" w:eastAsia="Calibri" w:hAnsi="Verdana" w:cs="Arial"/>
          <w:lang w:val="es-ES_tradnl" w:eastAsia="es-ES_tradnl"/>
        </w:rPr>
        <w:t xml:space="preserve"> </w:t>
      </w:r>
      <w:r w:rsidR="00EA39A0" w:rsidRPr="00F02C5A">
        <w:rPr>
          <w:rStyle w:val="normaltextrun"/>
          <w:rFonts w:ascii="Verdana" w:hAnsi="Verdana" w:cs="Arial"/>
          <w:color w:val="000000"/>
          <w:shd w:val="clear" w:color="auto" w:fill="FFFFFF"/>
          <w:lang w:val="es-ES"/>
        </w:rPr>
        <w:t xml:space="preserve">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w:t>
      </w:r>
      <w:r w:rsidR="00EA39A0" w:rsidRPr="00F02C5A">
        <w:rPr>
          <w:rStyle w:val="normaltextrun"/>
          <w:rFonts w:ascii="Verdana" w:hAnsi="Verdana" w:cs="Arial"/>
          <w:color w:val="000000"/>
          <w:shd w:val="clear" w:color="auto" w:fill="FFFFFF"/>
          <w:lang w:val="es-ES"/>
        </w:rPr>
        <w:lastRenderedPageBreak/>
        <w:t xml:space="preserve">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C-675 del 6 de enero de 2022, C-677 del 4 de diciembre de 2021, C-695 del 22 de diciembre de 2021, C-699 del 6 de enero de 2022, C-700 del 6 de enero de 2021, C-723 del 28 de diciembre de 2021, </w:t>
      </w:r>
      <w:r w:rsidR="00EA39A0" w:rsidRPr="00F02C5A">
        <w:rPr>
          <w:rStyle w:val="normaltextrun"/>
          <w:rFonts w:ascii="Verdana" w:hAnsi="Verdana" w:cs="Arial"/>
          <w:color w:val="000000"/>
          <w:shd w:val="clear" w:color="auto" w:fill="FFFFFF"/>
        </w:rPr>
        <w:t>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C-054 del 7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 C-134 del 1° de abril de 2022, C-164 del 22 de marzo de 2022, C-170 del 5 de abril de 2022, C-175 del 17 de mayo de 2022, C-329 del 24 de mayo de 2022, C-027 del 22 de marzo de 2023, C-049 del 13 de abril de 2023, C-075 del 25 de abril de 2023, C-076 del 25 de abril de 2023, C-098 del 4 de mayo de 2023, C-105 del 14 de junio de 2023, C-107 del 8 de mayo de 2023, C-115 del 8 de junio de 2023, C-116 del 8 de junio de 2023, C-118 del 9 de junio de 2023, C-134 del 26 de mayo de 2023, C-145 del 18 de mayo de 2023</w:t>
      </w:r>
      <w:r w:rsidR="00EA39A0">
        <w:rPr>
          <w:rStyle w:val="normaltextrun"/>
          <w:rFonts w:ascii="Verdana" w:hAnsi="Verdana" w:cs="Arial"/>
          <w:color w:val="000000"/>
          <w:shd w:val="clear" w:color="auto" w:fill="FFFFFF"/>
        </w:rPr>
        <w:t xml:space="preserve">, </w:t>
      </w:r>
      <w:r w:rsidR="00EA39A0" w:rsidRPr="00F02C5A">
        <w:rPr>
          <w:rStyle w:val="normaltextrun"/>
          <w:rFonts w:ascii="Verdana" w:hAnsi="Verdana" w:cs="Arial"/>
          <w:color w:val="000000"/>
          <w:shd w:val="clear" w:color="auto" w:fill="FFFFFF"/>
        </w:rPr>
        <w:t>C-149 del 1° de junio de 2023</w:t>
      </w:r>
      <w:r w:rsidR="00EA39A0">
        <w:rPr>
          <w:rStyle w:val="normaltextrun"/>
          <w:rFonts w:ascii="Verdana" w:hAnsi="Verdana" w:cs="Arial"/>
          <w:color w:val="000000"/>
          <w:shd w:val="clear" w:color="auto" w:fill="FFFFFF"/>
        </w:rPr>
        <w:t>, C-345 del 14 de julio de 2023</w:t>
      </w:r>
      <w:r w:rsidR="00E21288">
        <w:rPr>
          <w:rStyle w:val="normaltextrun"/>
          <w:rFonts w:ascii="Verdana" w:hAnsi="Verdana" w:cs="Arial"/>
          <w:color w:val="000000"/>
          <w:shd w:val="clear" w:color="auto" w:fill="FFFFFF"/>
        </w:rPr>
        <w:t>,</w:t>
      </w:r>
      <w:r w:rsidR="00752875">
        <w:rPr>
          <w:rStyle w:val="normaltextrun"/>
          <w:rFonts w:ascii="Verdana" w:hAnsi="Verdana" w:cs="Arial"/>
          <w:color w:val="000000"/>
          <w:shd w:val="clear" w:color="auto" w:fill="FFFFFF"/>
        </w:rPr>
        <w:t xml:space="preserve"> C-317 del 25 de abril de 2025</w:t>
      </w:r>
      <w:r w:rsidR="00E21288">
        <w:rPr>
          <w:rStyle w:val="normaltextrun"/>
          <w:rFonts w:ascii="Verdana" w:hAnsi="Verdana" w:cs="Arial"/>
          <w:color w:val="000000"/>
          <w:shd w:val="clear" w:color="auto" w:fill="FFFFFF"/>
        </w:rPr>
        <w:t xml:space="preserve"> y C-584 del 24 de junio de 2025</w:t>
      </w:r>
      <w:r w:rsidRPr="00CC5C68">
        <w:rPr>
          <w:rFonts w:ascii="Verdana" w:eastAsia="Calibri" w:hAnsi="Verdana" w:cs="Arial"/>
          <w:lang w:val="es-ES_tradnl" w:eastAsia="es-ES_tradnl"/>
        </w:rPr>
        <w:t xml:space="preserve">. </w:t>
      </w:r>
      <w:r w:rsidRPr="00CC5C68">
        <w:rPr>
          <w:rFonts w:ascii="Verdana" w:eastAsia="Calibri" w:hAnsi="Verdana" w:cs="Arial"/>
          <w:lang w:val="es-ES" w:eastAsia="es-ES_tradnl"/>
        </w:rPr>
        <w:t>Estos</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lang w:val="es-ES"/>
        </w:rPr>
        <w:t xml:space="preserve"> </w:t>
      </w:r>
      <w:hyperlink r:id="rId13" w:history="1">
        <w:r w:rsidRPr="00CC5C68">
          <w:rPr>
            <w:rStyle w:val="Hipervnculo"/>
            <w:rFonts w:ascii="Verdana" w:hAnsi="Verdana" w:cs="Arial"/>
            <w:shd w:val="clear" w:color="auto" w:fill="FFFFFF"/>
            <w:lang w:val="es-ES"/>
          </w:rPr>
          <w:t>https://relatoria.colombiacompra.gov.co/busqueda/conceptos</w:t>
        </w:r>
      </w:hyperlink>
    </w:p>
    <w:p w14:paraId="64E54BDA" w14:textId="77777777" w:rsidR="00187855" w:rsidRPr="00CC5C68" w:rsidRDefault="00187855" w:rsidP="0018785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6527205E" w14:textId="77777777" w:rsidR="00067BB4" w:rsidRPr="00067BB4" w:rsidRDefault="00067BB4" w:rsidP="00067BB4">
      <w:pPr>
        <w:spacing w:after="0" w:line="276" w:lineRule="auto"/>
        <w:jc w:val="both"/>
        <w:rPr>
          <w:rFonts w:ascii="Verdana" w:hAnsi="Verdana"/>
        </w:rPr>
      </w:pPr>
      <w:r w:rsidRPr="00067BB4">
        <w:rPr>
          <w:rFonts w:ascii="Verdana" w:hAnsi="Verdana"/>
        </w:rPr>
        <w:t>La Agencia Nacional de Contratación Pública – Colombia Compra Eficiente invita a las Entidades Estatales, a los actores del Sistema de Compra Pública y a la ciudadanía en general a conocer y participar en la actualización de la </w:t>
      </w:r>
      <w:r w:rsidRPr="00067BB4">
        <w:rPr>
          <w:rFonts w:ascii="Verdana" w:hAnsi="Verdana"/>
          <w:b/>
          <w:bCs/>
          <w:i/>
          <w:iCs/>
        </w:rPr>
        <w:t>Guía para la Elaboración de Estudios del Sector</w:t>
      </w:r>
      <w:r w:rsidRPr="00067BB4">
        <w:rPr>
          <w:rFonts w:ascii="Verdana" w:hAnsi="Verdana"/>
        </w:rPr>
        <w:t xml:space="preserve">. Esta herramienta orientadora facilita el análisis del mercado del bien, obra o servicio a contratar, y tiene como </w:t>
      </w:r>
      <w:r w:rsidRPr="00067BB4">
        <w:rPr>
          <w:rFonts w:ascii="Verdana" w:hAnsi="Verdana"/>
        </w:rPr>
        <w:lastRenderedPageBreak/>
        <w:t>propósito promover procesos de contratación más eficientes, competitivos, sostenibles e inclusivos. La guía se encuentra disponible para consulta y comentarios hasta el 22 de mayo de 2025, a través del siguiente enlace: </w:t>
      </w:r>
      <w:hyperlink r:id="rId14" w:tgtFrame="_blank" w:tooltip="Dirección URL original: https://www.colombiacompra.gov.co/archivos/convocatoria/participacion-ciudadana-proyecto-de-la-guia-para-la-elaboracion-de-estudios-del-sector. Haga clic o pulse si confía en este vínculo." w:history="1">
        <w:r w:rsidRPr="00067BB4">
          <w:rPr>
            <w:rStyle w:val="Hipervnculo"/>
            <w:rFonts w:ascii="Verdana" w:hAnsi="Verdana"/>
          </w:rPr>
          <w:t>https://www.colombiacompra.gov.co/archivos/convocatoria/participacion-ciudadana-proyecto-de-la-guia-para-la-</w:t>
        </w:r>
      </w:hyperlink>
    </w:p>
    <w:p w14:paraId="29119130" w14:textId="77777777" w:rsidR="00067BB4" w:rsidRPr="00067BB4" w:rsidRDefault="00067BB4" w:rsidP="00067BB4">
      <w:pPr>
        <w:spacing w:after="0" w:line="276" w:lineRule="auto"/>
        <w:jc w:val="both"/>
        <w:rPr>
          <w:rFonts w:ascii="Verdana" w:hAnsi="Verdana"/>
        </w:rPr>
      </w:pPr>
    </w:p>
    <w:p w14:paraId="21FBAC84" w14:textId="77777777" w:rsidR="00067BB4" w:rsidRPr="00067BB4" w:rsidRDefault="00067BB4" w:rsidP="00067BB4">
      <w:pPr>
        <w:spacing w:after="0" w:line="276" w:lineRule="auto"/>
        <w:jc w:val="both"/>
        <w:rPr>
          <w:rFonts w:ascii="Verdana" w:hAnsi="Verdana"/>
        </w:rPr>
      </w:pPr>
      <w:r w:rsidRPr="00067BB4">
        <w:rPr>
          <w:rFonts w:ascii="Verdana" w:hAnsi="Verdana"/>
        </w:rPr>
        <w:t>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hyperlink r:id="rId15" w:tgtFrame="_blank" w:tooltip="Dirección URL original: https://www.colombiacompra.gov.co/normativa-y-relatoria/documentos-tipo. Haga clic o pulse si confía en este vínculo." w:history="1">
        <w:r w:rsidRPr="00067BB4">
          <w:rPr>
            <w:rStyle w:val="Hipervnculo"/>
            <w:rFonts w:ascii="Verdana" w:hAnsi="Verdana"/>
          </w:rPr>
          <w:t>Documentos Tipo – ANCP Colombia Compra Eficiente</w:t>
        </w:r>
      </w:hyperlink>
      <w:r w:rsidRPr="00067BB4">
        <w:rPr>
          <w:rFonts w:ascii="Verdana" w:hAnsi="Verdana"/>
          <w:u w:val="single"/>
        </w:rPr>
        <w:t> </w:t>
      </w:r>
    </w:p>
    <w:p w14:paraId="652BD513" w14:textId="77777777" w:rsidR="00067BB4" w:rsidRDefault="00067BB4" w:rsidP="00067BB4">
      <w:pPr>
        <w:spacing w:after="0" w:line="276" w:lineRule="auto"/>
        <w:jc w:val="both"/>
        <w:rPr>
          <w:rFonts w:ascii="Verdana" w:hAnsi="Verdana"/>
        </w:rPr>
      </w:pPr>
    </w:p>
    <w:p w14:paraId="4F1601C5" w14:textId="6B09771F" w:rsidR="00067BB4" w:rsidRPr="00067BB4" w:rsidRDefault="00067BB4" w:rsidP="00067BB4">
      <w:pPr>
        <w:spacing w:after="0" w:line="276" w:lineRule="auto"/>
        <w:jc w:val="both"/>
        <w:rPr>
          <w:rFonts w:ascii="Verdana" w:hAnsi="Verdana"/>
        </w:rPr>
      </w:pPr>
      <w:r w:rsidRPr="00067BB4">
        <w:rPr>
          <w:rFonts w:ascii="Verdana" w:hAnsi="Verdana"/>
        </w:rPr>
        <w:t>También le contamos que ya se encuentra disponible la </w:t>
      </w:r>
      <w:r w:rsidRPr="00067BB4">
        <w:rPr>
          <w:rFonts w:ascii="Verdana" w:hAnsi="Verdana"/>
          <w:b/>
          <w:bCs/>
        </w:rPr>
        <w:t>Guía de lineamientos de transparencia y selección objetiva para el departamento de La Guajira – Objetivo sexto constitucional de la Sentencia T-302 del 2017. </w:t>
      </w:r>
      <w:r w:rsidRPr="00067BB4">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67BB4">
        <w:rPr>
          <w:rFonts w:ascii="Verdana" w:hAnsi="Verdana"/>
        </w:rPr>
        <w:t>Wayúu</w:t>
      </w:r>
      <w:proofErr w:type="spellEnd"/>
      <w:r w:rsidRPr="00067BB4">
        <w:rPr>
          <w:rFonts w:ascii="Verdana" w:hAnsi="Verdana"/>
        </w:rPr>
        <w:t>. Puede consultar la guía en el siguiente enlace: </w:t>
      </w:r>
      <w:hyperlink r:id="rId16" w:tgtFrame="_blank" w:tooltip="Dirección URL original: https://www.colombiacompra.gov.co/wp-content/uploads/2025/05/GUIA-DE-LINEAMIENTOS-DE-TRANSPARENCIA-Y-SELECCION-OBJETIVA-1.0.pdf. Haga clic o pulse si confía en este vínculo." w:history="1">
        <w:r w:rsidRPr="00067BB4">
          <w:rPr>
            <w:rStyle w:val="Hipervnculo"/>
            <w:rFonts w:ascii="Verdana" w:hAnsi="Verdana"/>
          </w:rPr>
          <w:t>Guía de lineamientos de transparencia y selección objetiva para el departamento de La Guajira – Objetivo sexto constitucional de la Sentencia T-302 del 2017</w:t>
        </w:r>
      </w:hyperlink>
    </w:p>
    <w:p w14:paraId="0E38C526" w14:textId="77777777" w:rsidR="00CF39CF" w:rsidRPr="00CC5C68" w:rsidRDefault="00CF39CF" w:rsidP="00187855">
      <w:pPr>
        <w:spacing w:after="0" w:line="240" w:lineRule="auto"/>
        <w:jc w:val="both"/>
        <w:rPr>
          <w:rFonts w:ascii="Verdana" w:hAnsi="Verdana"/>
        </w:rPr>
      </w:pPr>
    </w:p>
    <w:p w14:paraId="66D7E2AC"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031FBEC0" w14:textId="77777777" w:rsidR="00187855" w:rsidRPr="00CC5C68" w:rsidRDefault="00187855" w:rsidP="00187855">
      <w:pPr>
        <w:spacing w:after="0" w:line="240" w:lineRule="auto"/>
        <w:jc w:val="both"/>
        <w:rPr>
          <w:rFonts w:ascii="Verdana" w:hAnsi="Verdana"/>
        </w:rPr>
      </w:pPr>
    </w:p>
    <w:p w14:paraId="73E56C31"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43748698"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685C4A43"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3799CC66" w14:textId="77777777" w:rsidR="00187855" w:rsidRPr="0044528D" w:rsidRDefault="00187855" w:rsidP="00187855">
      <w:pPr>
        <w:widowControl w:val="0"/>
        <w:autoSpaceDE w:val="0"/>
        <w:autoSpaceDN w:val="0"/>
        <w:spacing w:after="0" w:line="276" w:lineRule="auto"/>
        <w:jc w:val="both"/>
        <w:rPr>
          <w:rFonts w:ascii="Verdana" w:hAnsi="Verdana"/>
        </w:rPr>
      </w:pPr>
    </w:p>
    <w:p w14:paraId="224339A7" w14:textId="77777777" w:rsidR="00187855" w:rsidRPr="00CC5C68" w:rsidRDefault="00187855" w:rsidP="00187855">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080771EB" w14:textId="77777777" w:rsidR="00187855" w:rsidRPr="00CC5C68" w:rsidRDefault="00187855" w:rsidP="00187855">
      <w:pPr>
        <w:spacing w:after="0" w:line="276" w:lineRule="auto"/>
        <w:ind w:firstLine="709"/>
        <w:jc w:val="both"/>
        <w:rPr>
          <w:rFonts w:ascii="Verdana" w:eastAsia="Times New Roman" w:hAnsi="Verdana" w:cs="Arial"/>
          <w:szCs w:val="24"/>
          <w:lang w:val="es-ES_tradnl" w:eastAsia="es-ES_tradnl"/>
        </w:rPr>
      </w:pPr>
    </w:p>
    <w:p w14:paraId="20AA0B55" w14:textId="77777777" w:rsidR="00187855" w:rsidRPr="00CC5C68" w:rsidRDefault="00187855" w:rsidP="00187855">
      <w:pPr>
        <w:spacing w:after="0" w:line="276" w:lineRule="auto"/>
        <w:jc w:val="both"/>
        <w:rPr>
          <w:rFonts w:ascii="Verdana" w:eastAsia="Times New Roman" w:hAnsi="Verdana" w:cs="Arial"/>
          <w:lang w:val="es-ES_tradnl" w:eastAsia="es-CO"/>
        </w:rPr>
      </w:pPr>
      <w:bookmarkStart w:id="13" w:name="_Hlk117695077"/>
      <w:r w:rsidRPr="00CC5C68">
        <w:rPr>
          <w:rFonts w:ascii="Verdana" w:eastAsia="Times New Roman" w:hAnsi="Verdana" w:cs="Arial"/>
          <w:lang w:val="es-ES_tradnl" w:eastAsia="es-CO"/>
        </w:rPr>
        <w:lastRenderedPageBreak/>
        <w:t>Atentamente,</w:t>
      </w:r>
    </w:p>
    <w:bookmarkEnd w:id="13"/>
    <w:p w14:paraId="1EADE6D4" w14:textId="1117F86E" w:rsidR="00187855" w:rsidRPr="00CC5C68" w:rsidRDefault="00085CC8" w:rsidP="00B01786">
      <w:pPr>
        <w:spacing w:after="18" w:line="240" w:lineRule="auto"/>
        <w:jc w:val="center"/>
        <w:rPr>
          <w:rFonts w:ascii="Verdana" w:eastAsia="Times New Roman" w:hAnsi="Verdana" w:cs="Arial"/>
          <w:sz w:val="24"/>
          <w:szCs w:val="24"/>
          <w:lang w:eastAsia="es-CO"/>
        </w:rPr>
      </w:pPr>
      <w:r>
        <w:rPr>
          <w:noProof/>
          <w14:ligatures w14:val="standardContextual"/>
        </w:rPr>
        <w:drawing>
          <wp:inline distT="0" distB="0" distL="0" distR="0" wp14:anchorId="5FA24A5B" wp14:editId="700B8050">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187855" w:rsidRPr="00CC5C68" w14:paraId="269CB499" w14:textId="77777777" w:rsidTr="53C2E12A">
        <w:trPr>
          <w:trHeight w:val="286"/>
        </w:trPr>
        <w:tc>
          <w:tcPr>
            <w:tcW w:w="893" w:type="dxa"/>
            <w:vAlign w:val="center"/>
            <w:hideMark/>
          </w:tcPr>
          <w:p w14:paraId="107D0F90"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777" w:type="dxa"/>
            <w:vAlign w:val="center"/>
            <w:hideMark/>
          </w:tcPr>
          <w:p w14:paraId="63F73A9D" w14:textId="6CA46805" w:rsidR="00EC5A97" w:rsidRPr="00CC5C68" w:rsidRDefault="00EC5A97" w:rsidP="00E075F9">
            <w:pPr>
              <w:rPr>
                <w:rFonts w:ascii="Verdana" w:eastAsia="Times New Roman" w:hAnsi="Verdana" w:cs="Arial"/>
                <w:sz w:val="16"/>
                <w:szCs w:val="16"/>
                <w:lang w:val="es-ES_tradnl" w:eastAsia="es-ES"/>
              </w:rPr>
            </w:pPr>
            <w:r w:rsidRPr="00EC5A97">
              <w:rPr>
                <w:rFonts w:ascii="Verdana" w:eastAsia="Times New Roman" w:hAnsi="Verdana" w:cs="Arial"/>
                <w:sz w:val="16"/>
                <w:szCs w:val="16"/>
                <w:lang w:val="es-ES_tradnl" w:eastAsia="es-ES"/>
              </w:rPr>
              <w:t>Ximena Ríos López</w:t>
            </w:r>
          </w:p>
          <w:p w14:paraId="0313B894" w14:textId="48D79FEC" w:rsidR="00187855" w:rsidRPr="00CC5C68" w:rsidRDefault="00EC5A97" w:rsidP="00E075F9">
            <w:pPr>
              <w:rPr>
                <w:rFonts w:ascii="Verdana" w:eastAsia="Times New Roman" w:hAnsi="Verdana" w:cs="Arial"/>
                <w:sz w:val="14"/>
                <w:szCs w:val="14"/>
                <w:lang w:eastAsia="es-ES"/>
              </w:rPr>
            </w:pPr>
            <w:r>
              <w:rPr>
                <w:rFonts w:ascii="Verdana" w:eastAsia="Times New Roman" w:hAnsi="Verdana" w:cs="Arial"/>
                <w:sz w:val="16"/>
                <w:szCs w:val="16"/>
                <w:lang w:eastAsia="es-ES"/>
              </w:rPr>
              <w:t>Gestor</w:t>
            </w:r>
            <w:r w:rsidR="00187855" w:rsidRPr="00CC5C68">
              <w:rPr>
                <w:rFonts w:ascii="Verdana" w:eastAsia="Times New Roman" w:hAnsi="Verdana" w:cs="Arial"/>
                <w:sz w:val="16"/>
                <w:szCs w:val="16"/>
                <w:lang w:eastAsia="es-ES"/>
              </w:rPr>
              <w:t xml:space="preserve"> T</w:t>
            </w:r>
            <w:r>
              <w:rPr>
                <w:rFonts w:ascii="Verdana" w:eastAsia="Times New Roman" w:hAnsi="Verdana" w:cs="Arial"/>
                <w:sz w:val="16"/>
                <w:szCs w:val="16"/>
                <w:lang w:eastAsia="es-ES"/>
              </w:rPr>
              <w:t>1</w:t>
            </w:r>
            <w:r w:rsidR="00187855" w:rsidRPr="00CC5C68">
              <w:rPr>
                <w:rFonts w:ascii="Verdana" w:eastAsia="Times New Roman" w:hAnsi="Verdana" w:cs="Arial"/>
                <w:sz w:val="16"/>
                <w:szCs w:val="16"/>
                <w:lang w:eastAsia="es-ES"/>
              </w:rPr>
              <w:t>-1</w:t>
            </w:r>
            <w:r>
              <w:rPr>
                <w:rFonts w:ascii="Verdana" w:eastAsia="Times New Roman" w:hAnsi="Verdana" w:cs="Arial"/>
                <w:sz w:val="16"/>
                <w:szCs w:val="16"/>
                <w:lang w:eastAsia="es-ES"/>
              </w:rPr>
              <w:t>1</w:t>
            </w:r>
            <w:r w:rsidR="00187855" w:rsidRPr="00CC5C68">
              <w:rPr>
                <w:rFonts w:ascii="Verdana" w:eastAsia="Times New Roman" w:hAnsi="Verdana" w:cs="Arial"/>
                <w:sz w:val="16"/>
                <w:szCs w:val="16"/>
                <w:lang w:eastAsia="es-ES"/>
              </w:rPr>
              <w:t xml:space="preserve"> de la Subdirección de Gestión Contractual</w:t>
            </w:r>
          </w:p>
        </w:tc>
      </w:tr>
      <w:tr w:rsidR="00187855" w:rsidRPr="00CC5C68" w14:paraId="6F0C4FDE" w14:textId="77777777" w:rsidTr="53C2E12A">
        <w:trPr>
          <w:trHeight w:val="299"/>
        </w:trPr>
        <w:tc>
          <w:tcPr>
            <w:tcW w:w="893" w:type="dxa"/>
            <w:vAlign w:val="center"/>
            <w:hideMark/>
          </w:tcPr>
          <w:p w14:paraId="64C91937"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777" w:type="dxa"/>
            <w:vAlign w:val="center"/>
            <w:hideMark/>
          </w:tcPr>
          <w:p w14:paraId="11D93657" w14:textId="475D5DCF" w:rsidR="00187855" w:rsidRPr="00CC5C68" w:rsidRDefault="00EC5A97" w:rsidP="53C2E12A">
            <w:pPr>
              <w:rPr>
                <w:rFonts w:ascii="Verdana" w:eastAsia="Times New Roman" w:hAnsi="Verdana" w:cs="Arial"/>
                <w:sz w:val="16"/>
                <w:szCs w:val="16"/>
                <w:lang w:val="es-ES" w:eastAsia="es-ES"/>
              </w:rPr>
            </w:pPr>
            <w:r w:rsidRPr="53C2E12A">
              <w:rPr>
                <w:rFonts w:ascii="Verdana" w:eastAsia="Times New Roman" w:hAnsi="Verdana" w:cs="Arial"/>
                <w:sz w:val="16"/>
                <w:szCs w:val="16"/>
                <w:lang w:val="es-ES" w:eastAsia="es-ES"/>
              </w:rPr>
              <w:t xml:space="preserve">Juan Carlos </w:t>
            </w:r>
            <w:proofErr w:type="spellStart"/>
            <w:r w:rsidRPr="53C2E12A">
              <w:rPr>
                <w:rFonts w:ascii="Verdana" w:eastAsia="Times New Roman" w:hAnsi="Verdana" w:cs="Arial"/>
                <w:sz w:val="16"/>
                <w:szCs w:val="16"/>
                <w:lang w:val="es-ES" w:eastAsia="es-ES"/>
              </w:rPr>
              <w:t>Gonzalez</w:t>
            </w:r>
            <w:proofErr w:type="spellEnd"/>
          </w:p>
          <w:p w14:paraId="55065589" w14:textId="2FB3AD40" w:rsidR="00187855" w:rsidRPr="00CC5C68" w:rsidRDefault="00EC5A97" w:rsidP="00E075F9">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00187855" w:rsidRPr="00CC5C68">
              <w:rPr>
                <w:rFonts w:ascii="Verdana" w:eastAsia="Times New Roman" w:hAnsi="Verdana" w:cs="Arial"/>
                <w:sz w:val="16"/>
                <w:szCs w:val="16"/>
                <w:lang w:eastAsia="es-ES"/>
              </w:rPr>
              <w:t xml:space="preserve"> de la Subdirección de Gestión Contractual</w:t>
            </w:r>
          </w:p>
        </w:tc>
      </w:tr>
      <w:tr w:rsidR="00187855" w:rsidRPr="00CC5C68" w14:paraId="7D1EC642" w14:textId="77777777" w:rsidTr="53C2E12A">
        <w:trPr>
          <w:trHeight w:val="272"/>
        </w:trPr>
        <w:tc>
          <w:tcPr>
            <w:tcW w:w="893" w:type="dxa"/>
            <w:vAlign w:val="center"/>
            <w:hideMark/>
          </w:tcPr>
          <w:p w14:paraId="4660F574"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777" w:type="dxa"/>
            <w:vAlign w:val="center"/>
            <w:hideMark/>
          </w:tcPr>
          <w:p w14:paraId="10B53C15" w14:textId="77777777" w:rsidR="00187855" w:rsidRPr="00CC5C68" w:rsidRDefault="00187855" w:rsidP="00E075F9">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 xml:space="preserve">Carolina Quintero </w:t>
            </w:r>
            <w:proofErr w:type="spellStart"/>
            <w:r w:rsidRPr="00CC5C68">
              <w:rPr>
                <w:rFonts w:ascii="Verdana" w:eastAsia="Times New Roman" w:hAnsi="Verdana" w:cs="Arial"/>
                <w:sz w:val="16"/>
                <w:szCs w:val="16"/>
                <w:lang w:eastAsia="es-ES"/>
              </w:rPr>
              <w:t>Gacharná</w:t>
            </w:r>
            <w:proofErr w:type="spellEnd"/>
          </w:p>
          <w:p w14:paraId="13CEBC69"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20A8C212" w14:textId="77777777" w:rsidR="00187855" w:rsidRPr="00CC5C68" w:rsidRDefault="00187855" w:rsidP="00187855">
      <w:pPr>
        <w:spacing w:after="0" w:line="276" w:lineRule="auto"/>
        <w:jc w:val="both"/>
        <w:rPr>
          <w:rFonts w:ascii="Verdana" w:eastAsia="Times New Roman" w:hAnsi="Verdana" w:cs="Arial"/>
          <w:lang w:val="es-ES_tradnl"/>
        </w:rPr>
      </w:pPr>
    </w:p>
    <w:p w14:paraId="0529FC31" w14:textId="77777777" w:rsidR="00187855" w:rsidRPr="00CC5C68" w:rsidRDefault="00187855" w:rsidP="00187855">
      <w:pPr>
        <w:spacing w:after="0" w:line="240" w:lineRule="auto"/>
        <w:rPr>
          <w:rFonts w:ascii="Verdana" w:eastAsia="Times New Roman" w:hAnsi="Verdana" w:cs="Arial"/>
          <w:sz w:val="24"/>
          <w:szCs w:val="24"/>
          <w:lang w:eastAsia="es-ES_tradnl"/>
        </w:rPr>
      </w:pPr>
    </w:p>
    <w:p w14:paraId="36BC9A80" w14:textId="77777777" w:rsidR="00187855" w:rsidRPr="00CC5C68" w:rsidRDefault="00187855" w:rsidP="00187855">
      <w:pPr>
        <w:rPr>
          <w:rFonts w:ascii="Verdana" w:hAnsi="Verdana"/>
        </w:rPr>
      </w:pPr>
    </w:p>
    <w:p w14:paraId="7C7FEAE7" w14:textId="77777777" w:rsidR="00187855" w:rsidRPr="002A2C48" w:rsidRDefault="00187855" w:rsidP="00187855"/>
    <w:p w14:paraId="079E8C50" w14:textId="77777777" w:rsidR="00C24FFE" w:rsidRPr="00187855" w:rsidRDefault="00C24FFE" w:rsidP="00187855"/>
    <w:sectPr w:rsidR="00C24FFE" w:rsidRPr="00187855" w:rsidSect="00187855">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B2370" w14:textId="77777777" w:rsidR="0018614D" w:rsidRDefault="0018614D" w:rsidP="00187855">
      <w:pPr>
        <w:spacing w:after="0" w:line="240" w:lineRule="auto"/>
      </w:pPr>
      <w:r>
        <w:separator/>
      </w:r>
    </w:p>
  </w:endnote>
  <w:endnote w:type="continuationSeparator" w:id="0">
    <w:p w14:paraId="3C6B3941" w14:textId="77777777" w:rsidR="0018614D" w:rsidRDefault="0018614D" w:rsidP="00187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DF6F" w14:textId="77777777" w:rsidR="00187855" w:rsidRDefault="00187855">
    <w:pPr>
      <w:pStyle w:val="Piedepgina"/>
    </w:pPr>
  </w:p>
  <w:p w14:paraId="59268395" w14:textId="77777777" w:rsidR="00187855" w:rsidRPr="00174B77" w:rsidRDefault="0018785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592D84D" w14:textId="77777777" w:rsidR="00187855" w:rsidRDefault="0018785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D80CE66" w14:textId="77777777" w:rsidR="00187855" w:rsidRPr="00E41027" w:rsidRDefault="00187855" w:rsidP="00D520D8">
    <w:pPr>
      <w:spacing w:after="0"/>
      <w:jc w:val="both"/>
      <w:rPr>
        <w:rFonts w:ascii="Verdana" w:hAnsi="Verdana"/>
        <w:sz w:val="18"/>
        <w:szCs w:val="18"/>
      </w:rPr>
    </w:pPr>
    <w:r w:rsidRPr="00E41027">
      <w:rPr>
        <w:rFonts w:ascii="Verdana" w:hAnsi="Verdana"/>
        <w:sz w:val="18"/>
        <w:szCs w:val="18"/>
      </w:rPr>
      <w:t>Mesa de servicio: (+57) 601 7456788</w:t>
    </w:r>
  </w:p>
  <w:p w14:paraId="317B0363" w14:textId="77777777" w:rsidR="00187855" w:rsidRDefault="0018785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C029E" w14:textId="77777777" w:rsidR="0018614D" w:rsidRDefault="0018614D" w:rsidP="00187855">
      <w:pPr>
        <w:spacing w:after="0" w:line="240" w:lineRule="auto"/>
      </w:pPr>
      <w:r>
        <w:separator/>
      </w:r>
    </w:p>
  </w:footnote>
  <w:footnote w:type="continuationSeparator" w:id="0">
    <w:p w14:paraId="50A9FE97" w14:textId="77777777" w:rsidR="0018614D" w:rsidRDefault="0018614D" w:rsidP="00187855">
      <w:pPr>
        <w:spacing w:after="0" w:line="240" w:lineRule="auto"/>
      </w:pPr>
      <w:r>
        <w:continuationSeparator/>
      </w:r>
    </w:p>
  </w:footnote>
  <w:footnote w:id="1">
    <w:p w14:paraId="53B28727" w14:textId="77777777" w:rsidR="00624B56" w:rsidRPr="00B93D47" w:rsidRDefault="00624B56" w:rsidP="00B93D47">
      <w:pPr>
        <w:pStyle w:val="Textonotapie"/>
        <w:ind w:right="51"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sz w:val="16"/>
          <w:szCs w:val="16"/>
          <w:lang w:val="es-ES"/>
        </w:rPr>
        <w:t xml:space="preserve">[25] </w:t>
      </w:r>
      <w:r w:rsidRPr="00B93D47">
        <w:rPr>
          <w:rFonts w:ascii="Verdana" w:hAnsi="Verdana" w:cs="Arial"/>
          <w:sz w:val="16"/>
          <w:szCs w:val="16"/>
        </w:rPr>
        <w:t>Cfr. Consejo de Estado. Sección Tercera. Sentencia de 3 de diciembre de 2007. Radicados: 24.715, 25.206, 25.409, 24.524, 27.834, 25.410, 26.105, 28.244, 31.447 -acumulados-”.</w:t>
      </w:r>
    </w:p>
    <w:p w14:paraId="20D656A0" w14:textId="77777777" w:rsidR="00B93D47" w:rsidRPr="00B93D47" w:rsidRDefault="00B93D47" w:rsidP="00B93D47">
      <w:pPr>
        <w:pStyle w:val="Textonotapie"/>
        <w:ind w:right="51" w:firstLine="709"/>
        <w:contextualSpacing/>
        <w:jc w:val="both"/>
        <w:rPr>
          <w:rFonts w:ascii="Verdana" w:hAnsi="Verdana" w:cs="Arial"/>
          <w:sz w:val="16"/>
          <w:szCs w:val="16"/>
        </w:rPr>
      </w:pPr>
    </w:p>
  </w:footnote>
  <w:footnote w:id="2">
    <w:p w14:paraId="02F7D643" w14:textId="77777777" w:rsidR="00624B56" w:rsidRPr="00B93D47" w:rsidRDefault="00624B56" w:rsidP="00B93D47">
      <w:pPr>
        <w:pStyle w:val="Textonotapie"/>
        <w:ind w:right="51"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w:t>
      </w:r>
      <w:bookmarkStart w:id="3" w:name="_Hlk74294506"/>
      <w:r w:rsidRPr="00B93D47">
        <w:rPr>
          <w:rFonts w:ascii="Verdana" w:hAnsi="Verdana" w:cs="Arial"/>
          <w:sz w:val="16"/>
          <w:szCs w:val="16"/>
        </w:rPr>
        <w:t>“</w:t>
      </w:r>
      <w:r w:rsidRPr="00B93D47">
        <w:rPr>
          <w:rFonts w:ascii="Verdana" w:hAnsi="Verdana" w:cs="Arial"/>
          <w:sz w:val="16"/>
          <w:szCs w:val="16"/>
          <w:lang w:val="es-ES"/>
        </w:rPr>
        <w:t xml:space="preserve">[26] </w:t>
      </w:r>
      <w:bookmarkEnd w:id="3"/>
      <w:r w:rsidRPr="00B93D47">
        <w:rPr>
          <w:rFonts w:ascii="Verdana" w:hAnsi="Verdana" w:cs="Arial"/>
          <w:sz w:val="16"/>
          <w:szCs w:val="16"/>
        </w:rPr>
        <w:t>Al respecto ver el concepto 1712 de 2 de febrero de 2006. Consejo de Estado Sala de Consulta y Servicio Civil”.</w:t>
      </w:r>
    </w:p>
    <w:p w14:paraId="1A8FF1BD" w14:textId="77777777" w:rsidR="00B93D47" w:rsidRPr="00B93D47" w:rsidRDefault="00B93D47" w:rsidP="00B93D47">
      <w:pPr>
        <w:pStyle w:val="Textonotapie"/>
        <w:ind w:right="51" w:firstLine="709"/>
        <w:contextualSpacing/>
        <w:jc w:val="both"/>
        <w:rPr>
          <w:rFonts w:ascii="Verdana" w:hAnsi="Verdana" w:cs="Arial"/>
          <w:sz w:val="16"/>
          <w:szCs w:val="16"/>
        </w:rPr>
      </w:pPr>
    </w:p>
  </w:footnote>
  <w:footnote w:id="3">
    <w:p w14:paraId="78E37BD0" w14:textId="77777777" w:rsidR="00624B56" w:rsidRPr="00B93D47" w:rsidRDefault="00624B56" w:rsidP="00B93D47">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p w14:paraId="008EE337" w14:textId="77777777" w:rsidR="00B93D47" w:rsidRPr="00B93D47" w:rsidRDefault="00B93D47" w:rsidP="00B93D47">
      <w:pPr>
        <w:pStyle w:val="Textonotapie"/>
        <w:ind w:firstLine="709"/>
        <w:contextualSpacing/>
        <w:jc w:val="both"/>
        <w:rPr>
          <w:rFonts w:ascii="Verdana" w:hAnsi="Verdana" w:cs="Arial"/>
          <w:sz w:val="16"/>
          <w:szCs w:val="16"/>
        </w:rPr>
      </w:pPr>
    </w:p>
  </w:footnote>
  <w:footnote w:id="4">
    <w:p w14:paraId="4A11D29A" w14:textId="77777777" w:rsidR="00624B56" w:rsidRPr="00B93D47" w:rsidRDefault="00624B56" w:rsidP="00B93D47">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sz w:val="16"/>
          <w:szCs w:val="16"/>
          <w:lang w:val="es-ES"/>
        </w:rPr>
        <w:t xml:space="preserve">Artículo 2. </w:t>
      </w:r>
    </w:p>
  </w:footnote>
  <w:footnote w:id="5">
    <w:p w14:paraId="599A52EA" w14:textId="77777777" w:rsidR="00B93D47" w:rsidRPr="00B93D47" w:rsidRDefault="00B93D47" w:rsidP="00B93D47">
      <w:pPr>
        <w:pStyle w:val="Textonotapie"/>
        <w:ind w:firstLine="709"/>
        <w:contextualSpacing/>
        <w:jc w:val="both"/>
        <w:rPr>
          <w:rFonts w:ascii="Verdana" w:hAnsi="Verdana" w:cs="Arial"/>
          <w:sz w:val="16"/>
          <w:szCs w:val="16"/>
        </w:rPr>
      </w:pPr>
    </w:p>
    <w:p w14:paraId="28C9280D" w14:textId="04AF714D" w:rsidR="00624B56" w:rsidRPr="00B93D47" w:rsidRDefault="00624B56" w:rsidP="00B93D47">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i/>
          <w:sz w:val="16"/>
          <w:szCs w:val="16"/>
          <w:lang w:val="es-ES"/>
        </w:rPr>
        <w:t>Ídem</w:t>
      </w:r>
      <w:r w:rsidRPr="00B93D47">
        <w:rPr>
          <w:rFonts w:ascii="Verdana" w:hAnsi="Verdana" w:cs="Arial"/>
          <w:sz w:val="16"/>
          <w:szCs w:val="16"/>
          <w:lang w:val="es-ES"/>
        </w:rPr>
        <w:t>.</w:t>
      </w:r>
    </w:p>
  </w:footnote>
  <w:footnote w:id="6">
    <w:p w14:paraId="481246DA" w14:textId="77777777" w:rsidR="00624B56" w:rsidRDefault="00624B56" w:rsidP="00B93D47">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 xml:space="preserve">“[…] A este respecto, cabe recordar que el artículo 860 del Código de Comercio regula la licitación en el derecho privado”. </w:t>
      </w:r>
    </w:p>
    <w:p w14:paraId="0A5FB58B" w14:textId="77777777" w:rsidR="009D66B0" w:rsidRPr="00B93D47" w:rsidRDefault="009D66B0" w:rsidP="00B93D47">
      <w:pPr>
        <w:pStyle w:val="Textonotapie"/>
        <w:ind w:firstLine="709"/>
        <w:contextualSpacing/>
        <w:jc w:val="both"/>
        <w:rPr>
          <w:rFonts w:ascii="Verdana" w:hAnsi="Verdana" w:cs="Arial"/>
          <w:sz w:val="16"/>
          <w:szCs w:val="16"/>
          <w:lang w:val="es-ES"/>
        </w:rPr>
      </w:pPr>
    </w:p>
  </w:footnote>
  <w:footnote w:id="7">
    <w:p w14:paraId="0034E1A8" w14:textId="77777777" w:rsidR="00624B56" w:rsidRPr="00B93D47" w:rsidRDefault="00624B56" w:rsidP="00B93D47">
      <w:pPr>
        <w:shd w:val="clear" w:color="auto" w:fill="FFFFFF"/>
        <w:spacing w:after="0" w:line="240" w:lineRule="auto"/>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Consejo de Estado. Sala de Consulta y Servicio Civil, Concepto de 8 de mayo de 2018. Radicación Número: 11001-03-06-000-2018-00095-00(2382). Consejero Ponente: Álvaro Namén Vargas.</w:t>
      </w:r>
    </w:p>
  </w:footnote>
  <w:footnote w:id="8">
    <w:p w14:paraId="47AF1B75" w14:textId="77777777" w:rsidR="009D66B0" w:rsidRDefault="009D66B0" w:rsidP="00B93D47">
      <w:pPr>
        <w:pStyle w:val="Textonotapie"/>
        <w:ind w:firstLine="709"/>
        <w:contextualSpacing/>
        <w:jc w:val="both"/>
        <w:rPr>
          <w:rFonts w:ascii="Verdana" w:hAnsi="Verdana" w:cs="Arial"/>
          <w:sz w:val="16"/>
          <w:szCs w:val="16"/>
        </w:rPr>
      </w:pPr>
    </w:p>
    <w:p w14:paraId="07C18FF3" w14:textId="14C43EEF" w:rsidR="00624B56" w:rsidRDefault="00624B56" w:rsidP="00B93D47">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Consejo de Estado. Sala de Consulta y Servicio Civil. Concepto del 08 de mayo de 2018. Exp. 2.382. C.P. Álvaro Namén Vargas.</w:t>
      </w:r>
    </w:p>
    <w:p w14:paraId="2E4E354B" w14:textId="77777777" w:rsidR="009D66B0" w:rsidRPr="00B93D47" w:rsidRDefault="009D66B0" w:rsidP="00B93D47">
      <w:pPr>
        <w:pStyle w:val="Textonotapie"/>
        <w:ind w:firstLine="709"/>
        <w:contextualSpacing/>
        <w:jc w:val="both"/>
        <w:rPr>
          <w:rFonts w:ascii="Verdana" w:hAnsi="Verdana" w:cs="Arial"/>
          <w:sz w:val="16"/>
          <w:szCs w:val="16"/>
        </w:rPr>
      </w:pPr>
    </w:p>
  </w:footnote>
  <w:footnote w:id="9">
    <w:p w14:paraId="27BC0D4F" w14:textId="77777777" w:rsidR="00624B56" w:rsidRPr="00B93D47" w:rsidRDefault="00624B56" w:rsidP="00B93D47">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8650" w14:textId="77777777" w:rsidR="00187855" w:rsidRDefault="00187855">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737FF25D" wp14:editId="0E81DC7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6F36C51" wp14:editId="638F23E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ECB723E" w14:textId="77777777" w:rsidR="00187855" w:rsidRDefault="00187855">
    <w:pPr>
      <w:pStyle w:val="Encabezado"/>
    </w:pPr>
  </w:p>
  <w:p w14:paraId="5DEAA3CA" w14:textId="77777777" w:rsidR="00187855" w:rsidRDefault="00187855" w:rsidP="004A305D">
    <w:pPr>
      <w:spacing w:after="0"/>
      <w:rPr>
        <w:rFonts w:ascii="Verdana" w:hAnsi="Verdana"/>
        <w:b/>
        <w:bCs/>
      </w:rPr>
    </w:pPr>
  </w:p>
  <w:p w14:paraId="0D9A728C" w14:textId="77777777" w:rsidR="00187855" w:rsidRPr="004A305D" w:rsidRDefault="00187855" w:rsidP="00B01B1A">
    <w:pPr>
      <w:spacing w:after="0" w:line="120" w:lineRule="auto"/>
      <w:rPr>
        <w:rFonts w:ascii="Century Gothic" w:eastAsia="Geo" w:hAnsi="Century Gothic" w:cs="Geo"/>
        <w:sz w:val="16"/>
        <w:szCs w:val="16"/>
        <w:lang w:eastAsia="es-CO"/>
      </w:rPr>
    </w:pPr>
  </w:p>
  <w:p w14:paraId="7929297E" w14:textId="77777777" w:rsidR="00187855" w:rsidRDefault="0018785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855"/>
    <w:rsid w:val="00064C04"/>
    <w:rsid w:val="00067BB4"/>
    <w:rsid w:val="000744B6"/>
    <w:rsid w:val="00085CC8"/>
    <w:rsid w:val="00095D58"/>
    <w:rsid w:val="000A2B4E"/>
    <w:rsid w:val="000D3C2D"/>
    <w:rsid w:val="000D4E90"/>
    <w:rsid w:val="000D5783"/>
    <w:rsid w:val="00126AC1"/>
    <w:rsid w:val="00135D5A"/>
    <w:rsid w:val="00145E4A"/>
    <w:rsid w:val="00161E67"/>
    <w:rsid w:val="00165C0B"/>
    <w:rsid w:val="0018614D"/>
    <w:rsid w:val="00187855"/>
    <w:rsid w:val="001C3A47"/>
    <w:rsid w:val="00221280"/>
    <w:rsid w:val="00222B0E"/>
    <w:rsid w:val="002B69D1"/>
    <w:rsid w:val="002E3BF9"/>
    <w:rsid w:val="002F028B"/>
    <w:rsid w:val="00323E8C"/>
    <w:rsid w:val="003837CD"/>
    <w:rsid w:val="003A4F34"/>
    <w:rsid w:val="003E412A"/>
    <w:rsid w:val="003E72CA"/>
    <w:rsid w:val="003F7B98"/>
    <w:rsid w:val="00460C55"/>
    <w:rsid w:val="004701D0"/>
    <w:rsid w:val="00474DF4"/>
    <w:rsid w:val="00494144"/>
    <w:rsid w:val="004D0AE3"/>
    <w:rsid w:val="004E2EEB"/>
    <w:rsid w:val="004F471F"/>
    <w:rsid w:val="00501634"/>
    <w:rsid w:val="00527739"/>
    <w:rsid w:val="00547EBA"/>
    <w:rsid w:val="00582479"/>
    <w:rsid w:val="005873FC"/>
    <w:rsid w:val="005923A2"/>
    <w:rsid w:val="005C7B28"/>
    <w:rsid w:val="005D0E91"/>
    <w:rsid w:val="0062174E"/>
    <w:rsid w:val="00624B56"/>
    <w:rsid w:val="006B1B51"/>
    <w:rsid w:val="006F4293"/>
    <w:rsid w:val="00707ECB"/>
    <w:rsid w:val="00720768"/>
    <w:rsid w:val="007230C1"/>
    <w:rsid w:val="00745748"/>
    <w:rsid w:val="00752875"/>
    <w:rsid w:val="007A3886"/>
    <w:rsid w:val="007E2C30"/>
    <w:rsid w:val="007E43EB"/>
    <w:rsid w:val="007E5CBA"/>
    <w:rsid w:val="007F0ECF"/>
    <w:rsid w:val="00800158"/>
    <w:rsid w:val="00816537"/>
    <w:rsid w:val="00820CE0"/>
    <w:rsid w:val="00896374"/>
    <w:rsid w:val="008B49A3"/>
    <w:rsid w:val="009514F7"/>
    <w:rsid w:val="009616B6"/>
    <w:rsid w:val="009D66B0"/>
    <w:rsid w:val="009E7E15"/>
    <w:rsid w:val="00A0121F"/>
    <w:rsid w:val="00A04810"/>
    <w:rsid w:val="00A10576"/>
    <w:rsid w:val="00A3624E"/>
    <w:rsid w:val="00A6189F"/>
    <w:rsid w:val="00A73A3A"/>
    <w:rsid w:val="00A957EA"/>
    <w:rsid w:val="00AE27A9"/>
    <w:rsid w:val="00AF6210"/>
    <w:rsid w:val="00B01786"/>
    <w:rsid w:val="00B8312A"/>
    <w:rsid w:val="00B93D47"/>
    <w:rsid w:val="00BA2DB8"/>
    <w:rsid w:val="00BB7A9D"/>
    <w:rsid w:val="00BC3C65"/>
    <w:rsid w:val="00C24FFE"/>
    <w:rsid w:val="00C27825"/>
    <w:rsid w:val="00C73761"/>
    <w:rsid w:val="00CF39CF"/>
    <w:rsid w:val="00D24E05"/>
    <w:rsid w:val="00D35E4D"/>
    <w:rsid w:val="00D66371"/>
    <w:rsid w:val="00D97ED6"/>
    <w:rsid w:val="00DB2160"/>
    <w:rsid w:val="00DB3CAF"/>
    <w:rsid w:val="00DC3A4A"/>
    <w:rsid w:val="00DC3D55"/>
    <w:rsid w:val="00DE4652"/>
    <w:rsid w:val="00DF31D1"/>
    <w:rsid w:val="00E03A71"/>
    <w:rsid w:val="00E21288"/>
    <w:rsid w:val="00E74B36"/>
    <w:rsid w:val="00E80ACF"/>
    <w:rsid w:val="00EA39A0"/>
    <w:rsid w:val="00EC5A97"/>
    <w:rsid w:val="00F44DFD"/>
    <w:rsid w:val="00F517AB"/>
    <w:rsid w:val="00F7394B"/>
    <w:rsid w:val="00F8622B"/>
    <w:rsid w:val="00FF6762"/>
    <w:rsid w:val="53C2E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49D5A"/>
  <w15:chartTrackingRefBased/>
  <w15:docId w15:val="{B2C14908-F93E-4943-89D7-E8A625497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E4D"/>
    <w:rPr>
      <w:kern w:val="0"/>
      <w14:ligatures w14:val="none"/>
    </w:rPr>
  </w:style>
  <w:style w:type="paragraph" w:styleId="Ttulo1">
    <w:name w:val="heading 1"/>
    <w:basedOn w:val="Normal"/>
    <w:next w:val="Normal"/>
    <w:link w:val="Ttulo1Car"/>
    <w:uiPriority w:val="9"/>
    <w:qFormat/>
    <w:rsid w:val="001878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1878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8785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8785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8785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8785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785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785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785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785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18785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8785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8785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8785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878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78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78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7855"/>
    <w:rPr>
      <w:rFonts w:eastAsiaTheme="majorEastAsia" w:cstheme="majorBidi"/>
      <w:color w:val="272727" w:themeColor="text1" w:themeTint="D8"/>
    </w:rPr>
  </w:style>
  <w:style w:type="paragraph" w:styleId="Ttulo">
    <w:name w:val="Title"/>
    <w:basedOn w:val="Normal"/>
    <w:next w:val="Normal"/>
    <w:link w:val="TtuloCar"/>
    <w:uiPriority w:val="10"/>
    <w:qFormat/>
    <w:rsid w:val="001878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78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785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78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7855"/>
    <w:pPr>
      <w:spacing w:before="160"/>
      <w:jc w:val="center"/>
    </w:pPr>
    <w:rPr>
      <w:i/>
      <w:iCs/>
      <w:color w:val="404040" w:themeColor="text1" w:themeTint="BF"/>
    </w:rPr>
  </w:style>
  <w:style w:type="character" w:customStyle="1" w:styleId="CitaCar">
    <w:name w:val="Cita Car"/>
    <w:basedOn w:val="Fuentedeprrafopredeter"/>
    <w:link w:val="Cita"/>
    <w:uiPriority w:val="29"/>
    <w:rsid w:val="0018785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87855"/>
    <w:pPr>
      <w:ind w:left="720"/>
      <w:contextualSpacing/>
    </w:pPr>
  </w:style>
  <w:style w:type="character" w:styleId="nfasisintenso">
    <w:name w:val="Intense Emphasis"/>
    <w:basedOn w:val="Fuentedeprrafopredeter"/>
    <w:uiPriority w:val="21"/>
    <w:qFormat/>
    <w:rsid w:val="00187855"/>
    <w:rPr>
      <w:i/>
      <w:iCs/>
      <w:color w:val="2F5496" w:themeColor="accent1" w:themeShade="BF"/>
    </w:rPr>
  </w:style>
  <w:style w:type="paragraph" w:styleId="Citadestacada">
    <w:name w:val="Intense Quote"/>
    <w:basedOn w:val="Normal"/>
    <w:next w:val="Normal"/>
    <w:link w:val="CitadestacadaCar"/>
    <w:uiPriority w:val="30"/>
    <w:qFormat/>
    <w:rsid w:val="001878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87855"/>
    <w:rPr>
      <w:i/>
      <w:iCs/>
      <w:color w:val="2F5496" w:themeColor="accent1" w:themeShade="BF"/>
    </w:rPr>
  </w:style>
  <w:style w:type="character" w:styleId="Referenciaintensa">
    <w:name w:val="Intense Reference"/>
    <w:basedOn w:val="Fuentedeprrafopredeter"/>
    <w:uiPriority w:val="32"/>
    <w:qFormat/>
    <w:rsid w:val="00187855"/>
    <w:rPr>
      <w:b/>
      <w:bCs/>
      <w:smallCaps/>
      <w:color w:val="2F5496" w:themeColor="accent1" w:themeShade="BF"/>
      <w:spacing w:val="5"/>
    </w:rPr>
  </w:style>
  <w:style w:type="paragraph" w:styleId="Encabezado">
    <w:name w:val="header"/>
    <w:basedOn w:val="Normal"/>
    <w:link w:val="EncabezadoCar"/>
    <w:uiPriority w:val="99"/>
    <w:unhideWhenUsed/>
    <w:rsid w:val="001878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87855"/>
    <w:rPr>
      <w:kern w:val="0"/>
      <w14:ligatures w14:val="none"/>
    </w:rPr>
  </w:style>
  <w:style w:type="paragraph" w:styleId="Piedepgina">
    <w:name w:val="footer"/>
    <w:basedOn w:val="Normal"/>
    <w:link w:val="PiedepginaCar"/>
    <w:uiPriority w:val="99"/>
    <w:unhideWhenUsed/>
    <w:rsid w:val="001878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8785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8785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8785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8785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87855"/>
    <w:rPr>
      <w:vertAlign w:val="superscript"/>
    </w:rPr>
  </w:style>
  <w:style w:type="character" w:customStyle="1" w:styleId="normaltextrun">
    <w:name w:val="normaltextrun"/>
    <w:basedOn w:val="Fuentedeprrafopredeter"/>
    <w:rsid w:val="00187855"/>
  </w:style>
  <w:style w:type="table" w:styleId="Tablaconcuadrcula">
    <w:name w:val="Table Grid"/>
    <w:basedOn w:val="Tablanormal"/>
    <w:uiPriority w:val="39"/>
    <w:qFormat/>
    <w:rsid w:val="0018785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87855"/>
    <w:rPr>
      <w:color w:val="0000FF"/>
      <w:u w:val="single"/>
    </w:rPr>
  </w:style>
  <w:style w:type="paragraph" w:styleId="NormalWeb">
    <w:name w:val="Normal (Web)"/>
    <w:basedOn w:val="Normal"/>
    <w:uiPriority w:val="99"/>
    <w:semiHidden/>
    <w:unhideWhenUsed/>
    <w:rsid w:val="00187855"/>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187855"/>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87855"/>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87855"/>
  </w:style>
  <w:style w:type="character" w:styleId="Textoennegrita">
    <w:name w:val="Strong"/>
    <w:basedOn w:val="Fuentedeprrafopredeter"/>
    <w:uiPriority w:val="22"/>
    <w:qFormat/>
    <w:rsid w:val="00187855"/>
    <w:rPr>
      <w:b/>
      <w:bCs/>
    </w:rPr>
  </w:style>
  <w:style w:type="character" w:styleId="nfasis">
    <w:name w:val="Emphasis"/>
    <w:basedOn w:val="Fuentedeprrafopredeter"/>
    <w:uiPriority w:val="20"/>
    <w:qFormat/>
    <w:rsid w:val="00187855"/>
    <w:rPr>
      <w:i/>
      <w:iCs/>
    </w:rPr>
  </w:style>
  <w:style w:type="character" w:styleId="Mencinsinresolver">
    <w:name w:val="Unresolved Mention"/>
    <w:basedOn w:val="Fuentedeprrafopredeter"/>
    <w:uiPriority w:val="99"/>
    <w:semiHidden/>
    <w:unhideWhenUsed/>
    <w:rsid w:val="00067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610024">
      <w:bodyDiv w:val="1"/>
      <w:marLeft w:val="0"/>
      <w:marRight w:val="0"/>
      <w:marTop w:val="0"/>
      <w:marBottom w:val="0"/>
      <w:divBdr>
        <w:top w:val="none" w:sz="0" w:space="0" w:color="auto"/>
        <w:left w:val="none" w:sz="0" w:space="0" w:color="auto"/>
        <w:bottom w:val="none" w:sz="0" w:space="0" w:color="auto"/>
        <w:right w:val="none" w:sz="0" w:space="0" w:color="auto"/>
      </w:divBdr>
      <w:divsChild>
        <w:div w:id="1350912748">
          <w:marLeft w:val="0"/>
          <w:marRight w:val="0"/>
          <w:marTop w:val="0"/>
          <w:marBottom w:val="0"/>
          <w:divBdr>
            <w:top w:val="none" w:sz="0" w:space="0" w:color="auto"/>
            <w:left w:val="none" w:sz="0" w:space="0" w:color="auto"/>
            <w:bottom w:val="none" w:sz="0" w:space="0" w:color="auto"/>
            <w:right w:val="none" w:sz="0" w:space="0" w:color="auto"/>
          </w:divBdr>
        </w:div>
        <w:div w:id="1865316331">
          <w:marLeft w:val="0"/>
          <w:marRight w:val="0"/>
          <w:marTop w:val="0"/>
          <w:marBottom w:val="0"/>
          <w:divBdr>
            <w:top w:val="none" w:sz="0" w:space="0" w:color="auto"/>
            <w:left w:val="none" w:sz="0" w:space="0" w:color="auto"/>
            <w:bottom w:val="none" w:sz="0" w:space="0" w:color="auto"/>
            <w:right w:val="none" w:sz="0" w:space="0" w:color="auto"/>
          </w:divBdr>
        </w:div>
        <w:div w:id="479149863">
          <w:marLeft w:val="0"/>
          <w:marRight w:val="0"/>
          <w:marTop w:val="0"/>
          <w:marBottom w:val="0"/>
          <w:divBdr>
            <w:top w:val="none" w:sz="0" w:space="0" w:color="auto"/>
            <w:left w:val="none" w:sz="0" w:space="0" w:color="auto"/>
            <w:bottom w:val="none" w:sz="0" w:space="0" w:color="auto"/>
            <w:right w:val="none" w:sz="0" w:space="0" w:color="auto"/>
          </w:divBdr>
        </w:div>
        <w:div w:id="1719697054">
          <w:marLeft w:val="0"/>
          <w:marRight w:val="0"/>
          <w:marTop w:val="240"/>
          <w:marBottom w:val="240"/>
          <w:divBdr>
            <w:top w:val="none" w:sz="0" w:space="0" w:color="auto"/>
            <w:left w:val="none" w:sz="0" w:space="0" w:color="auto"/>
            <w:bottom w:val="none" w:sz="0" w:space="0" w:color="auto"/>
            <w:right w:val="none" w:sz="0" w:space="0" w:color="auto"/>
          </w:divBdr>
        </w:div>
      </w:divsChild>
    </w:div>
    <w:div w:id="825895046">
      <w:bodyDiv w:val="1"/>
      <w:marLeft w:val="0"/>
      <w:marRight w:val="0"/>
      <w:marTop w:val="0"/>
      <w:marBottom w:val="0"/>
      <w:divBdr>
        <w:top w:val="none" w:sz="0" w:space="0" w:color="auto"/>
        <w:left w:val="none" w:sz="0" w:space="0" w:color="auto"/>
        <w:bottom w:val="none" w:sz="0" w:space="0" w:color="auto"/>
        <w:right w:val="none" w:sz="0" w:space="0" w:color="auto"/>
      </w:divBdr>
      <w:divsChild>
        <w:div w:id="1364018733">
          <w:marLeft w:val="0"/>
          <w:marRight w:val="0"/>
          <w:marTop w:val="0"/>
          <w:marBottom w:val="0"/>
          <w:divBdr>
            <w:top w:val="none" w:sz="0" w:space="0" w:color="auto"/>
            <w:left w:val="none" w:sz="0" w:space="0" w:color="auto"/>
            <w:bottom w:val="none" w:sz="0" w:space="0" w:color="auto"/>
            <w:right w:val="none" w:sz="0" w:space="0" w:color="auto"/>
          </w:divBdr>
        </w:div>
        <w:div w:id="1253245680">
          <w:marLeft w:val="0"/>
          <w:marRight w:val="0"/>
          <w:marTop w:val="0"/>
          <w:marBottom w:val="0"/>
          <w:divBdr>
            <w:top w:val="none" w:sz="0" w:space="0" w:color="auto"/>
            <w:left w:val="none" w:sz="0" w:space="0" w:color="auto"/>
            <w:bottom w:val="none" w:sz="0" w:space="0" w:color="auto"/>
            <w:right w:val="none" w:sz="0" w:space="0" w:color="auto"/>
          </w:divBdr>
        </w:div>
        <w:div w:id="1027177716">
          <w:marLeft w:val="0"/>
          <w:marRight w:val="0"/>
          <w:marTop w:val="0"/>
          <w:marBottom w:val="0"/>
          <w:divBdr>
            <w:top w:val="none" w:sz="0" w:space="0" w:color="auto"/>
            <w:left w:val="none" w:sz="0" w:space="0" w:color="auto"/>
            <w:bottom w:val="none" w:sz="0" w:space="0" w:color="auto"/>
            <w:right w:val="none" w:sz="0" w:space="0" w:color="auto"/>
          </w:divBdr>
        </w:div>
        <w:div w:id="1423718732">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colombiacompra.gov.co/sites/cce_public/files/cce_circulares/cce-eicp-ma-06_circular_externa_con_comentarios_de_ciudadanos-_v2f_002.pdf"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ret2126@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5C361A-6820-40D3-943C-42E8D28FD6D4}">
  <ds:schemaRefs>
    <ds:schemaRef ds:uri="a6cb9e4b-f1d1-4245-83ec-6cad768d538a"/>
    <ds:schemaRef ds:uri="http://schemas.microsoft.com/office/2006/documentManagement/types"/>
    <ds:schemaRef ds:uri="http://schemas.microsoft.com/office/2006/metadata/properties"/>
    <ds:schemaRef ds:uri="9d85dbaf-23eb-4e57-a637-93dcacc8b1a1"/>
    <ds:schemaRef ds:uri="http://schemas.openxmlformats.org/package/2006/metadata/core-properties"/>
    <ds:schemaRef ds:uri="http://purl.org/dc/terms/"/>
    <ds:schemaRef ds:uri="http://schemas.microsoft.com/office/infopath/2007/PartnerControls"/>
    <ds:schemaRef ds:uri="http://purl.org/dc/dcmitype/"/>
    <ds:schemaRef ds:uri="http://www.w3.org/XML/1998/namespace"/>
    <ds:schemaRef ds:uri="http://purl.org/dc/elements/1.1/"/>
  </ds:schemaRefs>
</ds:datastoreItem>
</file>

<file path=customXml/itemProps2.xml><?xml version="1.0" encoding="utf-8"?>
<ds:datastoreItem xmlns:ds="http://schemas.openxmlformats.org/officeDocument/2006/customXml" ds:itemID="{A3E1C687-4089-4A15-A586-DECEF0C2043F}">
  <ds:schemaRefs>
    <ds:schemaRef ds:uri="http://schemas.microsoft.com/sharepoint/v3/contenttype/forms"/>
  </ds:schemaRefs>
</ds:datastoreItem>
</file>

<file path=customXml/itemProps3.xml><?xml version="1.0" encoding="utf-8"?>
<ds:datastoreItem xmlns:ds="http://schemas.openxmlformats.org/officeDocument/2006/customXml" ds:itemID="{59421EB2-E3EB-4791-A61F-2EB9EFB17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4017</Words>
  <Characters>22095</Characters>
  <Application>Microsoft Office Word</Application>
  <DocSecurity>0</DocSecurity>
  <Lines>184</Lines>
  <Paragraphs>52</Paragraphs>
  <ScaleCrop>false</ScaleCrop>
  <Company/>
  <LinksUpToDate>false</LinksUpToDate>
  <CharactersWithSpaces>26060</CharactersWithSpaces>
  <SharedDoc>false</SharedDoc>
  <HLinks>
    <vt:vector size="36" baseType="variant">
      <vt:variant>
        <vt:i4>3276900</vt:i4>
      </vt:variant>
      <vt:variant>
        <vt:i4>15</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3014696</vt:i4>
      </vt:variant>
      <vt:variant>
        <vt:i4>12</vt:i4>
      </vt:variant>
      <vt:variant>
        <vt:i4>0</vt:i4>
      </vt:variant>
      <vt:variant>
        <vt:i4>5</vt:i4>
      </vt:variant>
      <vt:variant>
        <vt:lpwstr>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vt:lpwstr>
      </vt:variant>
      <vt:variant>
        <vt:lpwstr/>
      </vt:variant>
      <vt:variant>
        <vt:i4>4063266</vt:i4>
      </vt:variant>
      <vt:variant>
        <vt:i4>9</vt:i4>
      </vt:variant>
      <vt:variant>
        <vt:i4>0</vt:i4>
      </vt:variant>
      <vt:variant>
        <vt:i4>5</vt:i4>
      </vt:variant>
      <vt:variant>
        <vt:lpwstr>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655437</vt:i4>
      </vt:variant>
      <vt:variant>
        <vt:i4>3</vt:i4>
      </vt:variant>
      <vt:variant>
        <vt:i4>0</vt:i4>
      </vt:variant>
      <vt:variant>
        <vt:i4>5</vt:i4>
      </vt:variant>
      <vt:variant>
        <vt:lpwstr>https://colombiacompra.gov.co/sites/cce_public/files/cce_circulares/cce-eicp-ma-06_circular_externa_con_comentarios_de_ciudadanos-_v2f_002.pdf</vt:lpwstr>
      </vt:variant>
      <vt:variant>
        <vt:lpwstr/>
      </vt:variant>
      <vt:variant>
        <vt:i4>6815820</vt:i4>
      </vt:variant>
      <vt:variant>
        <vt:i4>0</vt:i4>
      </vt:variant>
      <vt:variant>
        <vt:i4>0</vt:i4>
      </vt:variant>
      <vt:variant>
        <vt:i4>5</vt:i4>
      </vt:variant>
      <vt:variant>
        <vt:lpwstr>mailto:luiret2126@hotmail.com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Andrés Rivera Cano</cp:lastModifiedBy>
  <cp:revision>2</cp:revision>
  <dcterms:created xsi:type="dcterms:W3CDTF">2025-08-29T13:47:00Z</dcterms:created>
  <dcterms:modified xsi:type="dcterms:W3CDTF">2025-08-29T13:47:00Z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