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8405A" w14:textId="77777777" w:rsidR="00C90DA4" w:rsidRPr="00EB73BF" w:rsidRDefault="00C90DA4" w:rsidP="006102B4">
      <w:pPr>
        <w:spacing w:after="0" w:line="240" w:lineRule="auto"/>
        <w:jc w:val="both"/>
        <w:rPr>
          <w:rFonts w:ascii="Verdana" w:eastAsia="Times New Roman" w:hAnsi="Verdana" w:cs="Arial"/>
          <w:b/>
          <w:lang w:eastAsia="es-ES"/>
        </w:rPr>
      </w:pPr>
      <w:bookmarkStart w:id="0" w:name="_Hlk143780582"/>
      <w:r w:rsidRPr="00EB73BF">
        <w:rPr>
          <w:rFonts w:ascii="Verdana" w:eastAsia="Times New Roman" w:hAnsi="Verdana" w:cs="Arial"/>
          <w:b/>
          <w:lang w:eastAsia="es-ES"/>
        </w:rPr>
        <w:t xml:space="preserve">CONTRATO DE PRESTACIÓN DE SERVICIOS – Concepto </w:t>
      </w:r>
    </w:p>
    <w:p w14:paraId="6229B301" w14:textId="77777777" w:rsidR="00C90DA4" w:rsidRPr="00133A58" w:rsidRDefault="00C90DA4" w:rsidP="006102B4">
      <w:pPr>
        <w:spacing w:after="0" w:line="240" w:lineRule="auto"/>
        <w:jc w:val="both"/>
        <w:rPr>
          <w:rFonts w:ascii="Verdana" w:eastAsia="Times New Roman" w:hAnsi="Verdana" w:cs="Arial"/>
          <w:sz w:val="20"/>
          <w:lang w:eastAsia="es-ES"/>
        </w:rPr>
      </w:pPr>
    </w:p>
    <w:p w14:paraId="74C5265F" w14:textId="77777777" w:rsidR="00C90DA4" w:rsidRPr="00133A58" w:rsidRDefault="00C90DA4" w:rsidP="006102B4">
      <w:pPr>
        <w:spacing w:after="0" w:line="240" w:lineRule="auto"/>
        <w:jc w:val="both"/>
        <w:rPr>
          <w:rFonts w:ascii="Verdana" w:eastAsia="Times New Roman" w:hAnsi="Verdana" w:cs="Arial"/>
          <w:sz w:val="20"/>
          <w:lang w:eastAsia="es-ES"/>
        </w:rPr>
      </w:pPr>
      <w:r w:rsidRPr="00133A58">
        <w:rPr>
          <w:rFonts w:ascii="Verdana" w:eastAsia="Times New Roman" w:hAnsi="Verdana" w:cs="Arial"/>
          <w:sz w:val="20"/>
          <w:lang w:eastAsia="es-ES"/>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4A5DF1C3" w14:textId="77777777" w:rsidR="00C90DA4" w:rsidRPr="00EB73BF" w:rsidRDefault="00C90DA4" w:rsidP="006102B4">
      <w:pPr>
        <w:spacing w:after="0" w:line="240" w:lineRule="auto"/>
        <w:jc w:val="both"/>
        <w:rPr>
          <w:rFonts w:ascii="Verdana" w:eastAsia="Times New Roman" w:hAnsi="Verdana" w:cs="Arial"/>
          <w:b/>
          <w:lang w:eastAsia="es-ES"/>
        </w:rPr>
      </w:pPr>
    </w:p>
    <w:p w14:paraId="1110AB5F" w14:textId="77777777" w:rsidR="00C90DA4" w:rsidRPr="00EB73BF" w:rsidRDefault="00C90DA4" w:rsidP="006102B4">
      <w:pPr>
        <w:spacing w:after="0" w:line="240" w:lineRule="auto"/>
        <w:jc w:val="both"/>
        <w:rPr>
          <w:rFonts w:ascii="Verdana" w:eastAsia="Times New Roman" w:hAnsi="Verdana" w:cs="Arial"/>
          <w:b/>
          <w:lang w:eastAsia="es-ES"/>
        </w:rPr>
      </w:pPr>
      <w:r w:rsidRPr="00EB73BF">
        <w:rPr>
          <w:rFonts w:ascii="Verdana" w:eastAsia="Times New Roman" w:hAnsi="Verdana" w:cs="Arial"/>
          <w:b/>
          <w:lang w:eastAsia="es-ES"/>
        </w:rPr>
        <w:t>CONTRATO DE PRESTACIÓN DE SERVICIOS – Características</w:t>
      </w:r>
    </w:p>
    <w:p w14:paraId="478B13B5" w14:textId="77777777" w:rsidR="00C90DA4" w:rsidRDefault="00C90DA4" w:rsidP="006102B4">
      <w:pPr>
        <w:spacing w:after="0" w:line="240" w:lineRule="auto"/>
        <w:jc w:val="both"/>
        <w:rPr>
          <w:rFonts w:ascii="Verdana" w:eastAsia="Times New Roman" w:hAnsi="Verdana" w:cs="Arial"/>
          <w:b/>
          <w:lang w:eastAsia="es-ES"/>
        </w:rPr>
      </w:pPr>
    </w:p>
    <w:p w14:paraId="3D7FE96F" w14:textId="77777777" w:rsidR="00C90DA4" w:rsidRPr="00133A58" w:rsidRDefault="00C90DA4" w:rsidP="006102B4">
      <w:pPr>
        <w:spacing w:after="0" w:line="240" w:lineRule="auto"/>
        <w:jc w:val="both"/>
        <w:rPr>
          <w:rFonts w:ascii="Verdana" w:eastAsia="Times New Roman" w:hAnsi="Verdana" w:cs="Arial"/>
          <w:sz w:val="20"/>
          <w:lang w:val="es-ES" w:eastAsia="es-ES"/>
        </w:rPr>
      </w:pPr>
      <w:r w:rsidRPr="00133A58">
        <w:rPr>
          <w:rFonts w:ascii="Verdana" w:eastAsia="Times New Roman" w:hAnsi="Verdana" w:cs="Arial"/>
          <w:sz w:val="20"/>
          <w:lang w:eastAsia="es-ES"/>
        </w:rPr>
        <w:t xml:space="preserve">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 a) Solo puede celebrarse para realizar “actividades relacionadas con la administración o funcionamiento de la entidad”, es decir, que hagan parte de su giro ordinario o quehacer cotidiano. 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c)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133A58">
        <w:rPr>
          <w:rFonts w:ascii="Verdana" w:eastAsia="Times New Roman" w:hAnsi="Verdana" w:cs="Arial"/>
          <w:i/>
          <w:iCs/>
          <w:sz w:val="20"/>
          <w:lang w:eastAsia="es-ES"/>
        </w:rPr>
        <w:t>subordinación y dependencia</w:t>
      </w:r>
      <w:r w:rsidRPr="00133A58">
        <w:rPr>
          <w:rFonts w:ascii="Verdana" w:eastAsia="Times New Roman" w:hAnsi="Verdana" w:cs="Arial"/>
          <w:sz w:val="20"/>
          <w:lang w:eastAsia="es-ES"/>
        </w:rPr>
        <w:t>, que es uno de los elementos constitutivos del vínculo laboral. d) Deben ser temporales. e</w:t>
      </w:r>
      <w:r w:rsidRPr="00133A58">
        <w:rPr>
          <w:rFonts w:ascii="Verdana" w:eastAsia="Times New Roman" w:hAnsi="Verdana" w:cs="Arial"/>
          <w:sz w:val="20"/>
          <w:lang w:val="es-ES" w:eastAsia="es-ES"/>
        </w:rPr>
        <w:t xml:space="preserve">) Los contratos de prestación de servicios constituyen un </w:t>
      </w:r>
      <w:r w:rsidRPr="00133A58">
        <w:rPr>
          <w:rFonts w:ascii="Verdana" w:eastAsia="Times New Roman" w:hAnsi="Verdana" w:cs="Arial"/>
          <w:i/>
          <w:iCs/>
          <w:sz w:val="20"/>
          <w:lang w:val="es-ES" w:eastAsia="es-ES"/>
        </w:rPr>
        <w:t>género</w:t>
      </w:r>
      <w:r w:rsidRPr="00133A58">
        <w:rPr>
          <w:rFonts w:ascii="Verdana" w:eastAsia="Times New Roman" w:hAnsi="Verdana" w:cs="Arial"/>
          <w:sz w:val="20"/>
          <w:lang w:val="es-ES" w:eastAsia="es-ES"/>
        </w:rPr>
        <w:t xml:space="preserve"> que incluye, como </w:t>
      </w:r>
      <w:r w:rsidRPr="00133A58">
        <w:rPr>
          <w:rFonts w:ascii="Verdana" w:eastAsia="Times New Roman" w:hAnsi="Verdana" w:cs="Arial"/>
          <w:i/>
          <w:iCs/>
          <w:sz w:val="20"/>
          <w:lang w:val="es-ES" w:eastAsia="es-ES"/>
        </w:rPr>
        <w:t>especies</w:t>
      </w:r>
      <w:r w:rsidRPr="00133A58">
        <w:rPr>
          <w:rFonts w:ascii="Verdana" w:eastAsia="Times New Roman" w:hAnsi="Verdana" w:cs="Arial"/>
          <w:sz w:val="20"/>
          <w:lang w:val="es-ES" w:eastAsia="es-ES"/>
        </w:rPr>
        <w:t xml:space="preserve">,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w:t>
      </w:r>
      <w:r w:rsidRPr="00133A58">
        <w:rPr>
          <w:rFonts w:ascii="Verdana" w:eastAsia="Times New Roman" w:hAnsi="Verdana" w:cs="Arial"/>
          <w:i/>
          <w:iCs/>
          <w:sz w:val="20"/>
          <w:lang w:val="es-ES" w:eastAsia="es-ES"/>
        </w:rPr>
        <w:t>profesionales</w:t>
      </w:r>
      <w:r w:rsidRPr="00133A58">
        <w:rPr>
          <w:rFonts w:ascii="Verdana" w:eastAsia="Times New Roman" w:hAnsi="Verdana" w:cs="Arial"/>
          <w:sz w:val="20"/>
          <w:lang w:val="es-ES" w:eastAsia="es-ES"/>
        </w:rPr>
        <w:t xml:space="preserve"> con las otras dos especies del género en el cual se ubican radica en su contenido intelectual intangible y, al mismo tiempo, en la formación profesional que se exige para desempeñar la labor</w:t>
      </w:r>
      <w:r w:rsidRPr="00133A58">
        <w:rPr>
          <w:rFonts w:ascii="Verdana" w:eastAsia="Times New Roman" w:hAnsi="Verdana" w:cs="Arial"/>
          <w:sz w:val="20"/>
          <w:vertAlign w:val="superscript"/>
          <w:lang w:val="es-ES" w:eastAsia="es-ES"/>
        </w:rPr>
        <w:t xml:space="preserve">. </w:t>
      </w:r>
      <w:r w:rsidRPr="00133A58">
        <w:rPr>
          <w:rFonts w:ascii="Verdana" w:eastAsia="Times New Roman" w:hAnsi="Verdana" w:cs="Arial"/>
          <w:sz w:val="20"/>
          <w:lang w:val="es-ES" w:eastAsia="es-ES"/>
        </w:rPr>
        <w:t>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r w:rsidRPr="00133A58">
        <w:rPr>
          <w:rFonts w:ascii="Verdana" w:eastAsia="Times New Roman" w:hAnsi="Verdana" w:cs="Arial"/>
          <w:sz w:val="20"/>
          <w:lang w:eastAsia="es-ES"/>
        </w:rPr>
        <w:t xml:space="preserve"> </w:t>
      </w:r>
      <w:r w:rsidRPr="00133A58">
        <w:rPr>
          <w:rFonts w:ascii="Verdana" w:eastAsia="Times New Roman" w:hAnsi="Verdana" w:cs="Arial"/>
          <w:sz w:val="20"/>
          <w:lang w:val="es-ES" w:eastAsia="es-ES"/>
        </w:rPr>
        <w:t xml:space="preserve">g) Para su celebración no se requiere en algunos casos la expedición del acto administrativo </w:t>
      </w:r>
      <w:r w:rsidRPr="00133A58">
        <w:rPr>
          <w:rFonts w:ascii="Verdana" w:eastAsia="Times New Roman" w:hAnsi="Verdana" w:cs="Arial"/>
          <w:sz w:val="20"/>
          <w:lang w:val="es-ES" w:eastAsia="es-ES"/>
        </w:rPr>
        <w:lastRenderedPageBreak/>
        <w:t xml:space="preserve">de justificación de la contratación directa. h) Admiten el pacto de cláusulas excepcionales. </w:t>
      </w:r>
    </w:p>
    <w:p w14:paraId="365C5473" w14:textId="77777777" w:rsidR="00C90DA4" w:rsidRDefault="00C90DA4" w:rsidP="006102B4">
      <w:pPr>
        <w:spacing w:after="0" w:line="240" w:lineRule="auto"/>
        <w:jc w:val="both"/>
        <w:rPr>
          <w:rFonts w:ascii="Verdana" w:hAnsi="Verdana"/>
        </w:rPr>
      </w:pPr>
    </w:p>
    <w:p w14:paraId="579FB90A" w14:textId="1CC1F196" w:rsidR="00C90DA4" w:rsidRPr="006102B4" w:rsidRDefault="00C90DA4" w:rsidP="006102B4">
      <w:pPr>
        <w:spacing w:after="0" w:line="240" w:lineRule="auto"/>
        <w:jc w:val="both"/>
        <w:rPr>
          <w:rFonts w:ascii="Verdana" w:eastAsia="Times New Roman" w:hAnsi="Verdana" w:cs="Arial"/>
          <w:b/>
          <w:lang w:eastAsia="es-ES"/>
        </w:rPr>
      </w:pPr>
      <w:r w:rsidRPr="006102B4">
        <w:rPr>
          <w:rFonts w:ascii="Verdana" w:eastAsia="Times New Roman" w:hAnsi="Verdana" w:cs="Arial"/>
          <w:b/>
          <w:lang w:eastAsia="es-ES"/>
        </w:rPr>
        <w:t xml:space="preserve">DIGNIDAD HUMANA – Jurisprudencia Constitucional – Comunidad LGTBIQ+ </w:t>
      </w:r>
    </w:p>
    <w:p w14:paraId="6D5E4C60" w14:textId="77777777" w:rsidR="00C90DA4" w:rsidRDefault="00C90DA4" w:rsidP="006102B4">
      <w:pPr>
        <w:spacing w:after="0" w:line="240" w:lineRule="auto"/>
        <w:jc w:val="both"/>
        <w:rPr>
          <w:rFonts w:ascii="Verdana" w:eastAsia="Times New Roman" w:hAnsi="Verdana" w:cs="Arial"/>
          <w:lang w:eastAsia="es-ES"/>
        </w:rPr>
      </w:pPr>
    </w:p>
    <w:p w14:paraId="4ACE3AFD" w14:textId="77777777" w:rsidR="006102B4" w:rsidRPr="00BF44D7" w:rsidRDefault="006102B4" w:rsidP="006102B4">
      <w:pPr>
        <w:spacing w:after="120" w:line="240" w:lineRule="auto"/>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La dignidad humana </w:t>
      </w:r>
      <w:r w:rsidRPr="00BF44D7">
        <w:rPr>
          <w:rFonts w:ascii="Verdana" w:eastAsia="Aptos" w:hAnsi="Verdana" w:cs="Times New Roman"/>
          <w:kern w:val="2"/>
          <w14:ligatures w14:val="standardContextual"/>
        </w:rPr>
        <w:t>debe comprender</w:t>
      </w:r>
      <w:r>
        <w:rPr>
          <w:rFonts w:ascii="Verdana" w:eastAsia="Aptos" w:hAnsi="Verdana" w:cs="Times New Roman"/>
          <w:kern w:val="2"/>
          <w14:ligatures w14:val="standardContextual"/>
        </w:rPr>
        <w:t>se</w:t>
      </w:r>
      <w:r w:rsidRPr="00BF44D7">
        <w:rPr>
          <w:rFonts w:ascii="Verdana" w:eastAsia="Aptos" w:hAnsi="Verdana" w:cs="Times New Roman"/>
          <w:kern w:val="2"/>
          <w14:ligatures w14:val="standardContextual"/>
        </w:rPr>
        <w:t xml:space="preserve"> en conjunto de esos tres lineamientos que se han simplificado de la siguiente manera: i) vivir como quiere, ii) vivir bien y iii) vivir sin humillaciones. Adicionalmente, el principio de igualdad implica superar </w:t>
      </w:r>
      <w:r w:rsidRPr="00BF44D7">
        <w:rPr>
          <w:rFonts w:ascii="Verdana" w:eastAsia="Aptos" w:hAnsi="Verdana" w:cs="Times New Roman"/>
          <w:kern w:val="2"/>
          <w:lang w:val="es-ES"/>
          <w14:ligatures w14:val="standardContextual"/>
        </w:rPr>
        <w:t xml:space="preserve">la visión formalista, la que considera suficiente dar un trato idéntico a todas las personas, hoy el enfoque debe ser desde la igualdad material. En esta perspectiva </w:t>
      </w:r>
      <w:r w:rsidRPr="00BF44D7">
        <w:rPr>
          <w:rFonts w:ascii="Verdana" w:eastAsia="Aptos" w:hAnsi="Verdana" w:cs="Times New Roman"/>
          <w:kern w:val="2"/>
          <w14:ligatures w14:val="standardContextual"/>
        </w:rPr>
        <w:t>se asegura especialmente la protección de grupos tradicionalmente discriminados o marginados. Lo que conllev</w:t>
      </w:r>
      <w:r>
        <w:rPr>
          <w:rFonts w:ascii="Verdana" w:eastAsia="Aptos" w:hAnsi="Verdana" w:cs="Times New Roman"/>
          <w:kern w:val="2"/>
          <w14:ligatures w14:val="standardContextual"/>
        </w:rPr>
        <w:t xml:space="preserve">a al Estado a una doble tarea. </w:t>
      </w:r>
      <w:r w:rsidRPr="00BF44D7">
        <w:rPr>
          <w:rFonts w:ascii="Verdana" w:eastAsia="Aptos" w:hAnsi="Verdana" w:cs="Times New Roman"/>
          <w:kern w:val="2"/>
          <w14:ligatures w14:val="standardContextual"/>
        </w:rPr>
        <w:t>Por un lado, la abstención, según la cual el Estado debe evitar generar o permitir la discriminación, ya sea de manera directa o indirecta, en contra de tales sujetos. Por otro lado, la intervención, conforme a la cual, ha de diseñar mecanismos de política pública destinados a superar o aminorar los efectos de la desigualdad material que enfrentan esos grupos, respecto del resto de la sociedad.</w:t>
      </w:r>
    </w:p>
    <w:p w14:paraId="79E7AAB8" w14:textId="77777777" w:rsidR="00C90DA4" w:rsidRPr="006102B4" w:rsidRDefault="00C90DA4" w:rsidP="006102B4">
      <w:pPr>
        <w:spacing w:after="0" w:line="240" w:lineRule="auto"/>
        <w:jc w:val="both"/>
        <w:rPr>
          <w:rFonts w:ascii="Verdana" w:eastAsia="Times New Roman" w:hAnsi="Verdana" w:cs="Arial"/>
          <w:lang w:eastAsia="es-ES"/>
        </w:rPr>
      </w:pPr>
    </w:p>
    <w:p w14:paraId="527805DA" w14:textId="77777777" w:rsidR="00C90DA4" w:rsidRPr="006102B4" w:rsidRDefault="00C90DA4" w:rsidP="006102B4">
      <w:pPr>
        <w:spacing w:after="0" w:line="240" w:lineRule="auto"/>
        <w:jc w:val="both"/>
        <w:rPr>
          <w:rFonts w:ascii="Verdana" w:eastAsia="Times New Roman" w:hAnsi="Verdana" w:cs="Arial"/>
          <w:b/>
          <w:lang w:eastAsia="es-ES"/>
        </w:rPr>
      </w:pPr>
      <w:r w:rsidRPr="006102B4">
        <w:rPr>
          <w:rFonts w:ascii="Verdana" w:eastAsia="Times New Roman" w:hAnsi="Verdana" w:cs="Arial"/>
          <w:b/>
          <w:lang w:eastAsia="es-ES"/>
        </w:rPr>
        <w:t xml:space="preserve">PERSONAS TRANSGÉNERO – Lucha contra la discriminación – Derecho al libre desarrollo de la personalidad </w:t>
      </w:r>
    </w:p>
    <w:p w14:paraId="3B8151E3" w14:textId="77777777" w:rsidR="006102B4" w:rsidRDefault="006102B4" w:rsidP="006102B4">
      <w:pPr>
        <w:spacing w:after="0" w:line="240" w:lineRule="auto"/>
        <w:jc w:val="both"/>
        <w:rPr>
          <w:rFonts w:ascii="Verdana" w:eastAsia="Times New Roman" w:hAnsi="Verdana" w:cs="Arial"/>
          <w:lang w:eastAsia="es-ES"/>
        </w:rPr>
      </w:pPr>
    </w:p>
    <w:p w14:paraId="286CEE1E" w14:textId="3ED939A9" w:rsidR="006102B4" w:rsidRPr="006102B4" w:rsidRDefault="006102B4" w:rsidP="006102B4">
      <w:pPr>
        <w:spacing w:after="0" w:line="240" w:lineRule="auto"/>
        <w:jc w:val="both"/>
        <w:rPr>
          <w:rFonts w:ascii="Verdana" w:eastAsia="Aptos" w:hAnsi="Verdana" w:cs="Times New Roman"/>
          <w:kern w:val="2"/>
          <w:sz w:val="20"/>
          <w14:ligatures w14:val="standardContextual"/>
        </w:rPr>
      </w:pPr>
      <w:r w:rsidRPr="006102B4">
        <w:rPr>
          <w:rFonts w:ascii="Verdana" w:eastAsia="Aptos" w:hAnsi="Verdana" w:cs="Times New Roman"/>
          <w:kern w:val="2"/>
          <w:sz w:val="20"/>
          <w14:ligatures w14:val="standardContextual"/>
        </w:rPr>
        <w:t xml:space="preserve">La Corte Constitucional tiene una extensa línea jurisprudencial sobre la identidad de género y su relación con el derecho al libre desarrollo de la personalidad. Entre las primeras sentencias que empezaron a adentrarse en el tema se encuentran en la Sentencia SU-337 de 1999, que identificaron los impactos de relacionar de manera heteronormativa el género respecto del sexo. Hace unas décadas se concebía el género como resultado del sexo, al igual que la orientación sexual, esto implicaba a que antes del nacimiento se fijara en forma abstracta el destino de ser. Como se indica en estas sentencias a partir de un cuerpo, mujer u hombre, le era asignada una orientación sexual que predominaba la heterosexualidad, y un género, femenino o masculino. Hoy la sociedad ha evolucionado y modificado estos criterios, de lo cual puede predicarse que el género depende de la vivencia del individuo, afirmándose </w:t>
      </w:r>
      <w:r w:rsidRPr="006102B4">
        <w:rPr>
          <w:rFonts w:ascii="Verdana" w:eastAsia="Aptos" w:hAnsi="Verdana" w:cs="Times New Roman"/>
          <w:kern w:val="2"/>
          <w:sz w:val="20"/>
          <w:lang w:val="es-ES"/>
          <w14:ligatures w14:val="standardContextual"/>
        </w:rPr>
        <w:t xml:space="preserve">que la identidad de género es independiente del cuerpo biológico, como de las preferencias afectivas y sexuales. </w:t>
      </w:r>
    </w:p>
    <w:p w14:paraId="75F7C1EC" w14:textId="094C929A" w:rsidR="006102B4" w:rsidRPr="006102B4" w:rsidRDefault="006102B4" w:rsidP="006102B4">
      <w:pPr>
        <w:spacing w:after="0" w:line="240" w:lineRule="auto"/>
        <w:jc w:val="both"/>
        <w:rPr>
          <w:rFonts w:ascii="Verdana" w:eastAsia="Aptos" w:hAnsi="Verdana" w:cs="Times New Roman"/>
          <w:kern w:val="2"/>
          <w:sz w:val="20"/>
          <w14:ligatures w14:val="standardContextual"/>
        </w:rPr>
      </w:pPr>
      <w:r w:rsidRPr="006102B4">
        <w:rPr>
          <w:rFonts w:ascii="Verdana" w:eastAsia="Aptos" w:hAnsi="Verdana" w:cs="Times New Roman"/>
          <w:kern w:val="2"/>
          <w:sz w:val="20"/>
          <w14:ligatures w14:val="standardContextual"/>
        </w:rPr>
        <w:t xml:space="preserve">La Corte Constitucional ha ido modificando su postura a lo largo del tiempo sobre el género y el sexo, en la Sentencia T-504 de 1994 se consideró que el sexo de una persona respondía a “un componente objetivo del estado civil que individualiza a la persona, pues como hecho jurídico no depende de la apreciación subjetiva de quien lo detenta, sino del carácter objetivo que tiene por ser un hecho de la naturaleza física”. Sin embargo, fue con la Sentencia T-918 de 2012 que se dio un giro de ciento ochenta grados, dejando de considerar el sexo un dato objetivo e inmodificable, para pasar al reconocimiento de la existencia de un “sexo neurológico” o de una definición sexual marcada por la identidad de género como exigencia de la dignidad humana y el libre desarrollo de la personalidad. De igual modo, la Corte también ha dado pasos en la remoción de </w:t>
      </w:r>
      <w:r w:rsidRPr="006102B4">
        <w:rPr>
          <w:rFonts w:ascii="Verdana" w:eastAsia="Aptos" w:hAnsi="Verdana" w:cs="Times New Roman"/>
          <w:kern w:val="2"/>
          <w:sz w:val="20"/>
          <w14:ligatures w14:val="standardContextual"/>
        </w:rPr>
        <w:lastRenderedPageBreak/>
        <w:t xml:space="preserve">obstáculos normativos y sociales que históricamente han limitado el goce efectivo de los derechos fundamentales de las personas transgénero. En materia del derecho a la salud, la Corte ha reconocido la importancia de las cirugías de reafirmación sexual dentro del proceso de construcción de la identidad de las personas trans. </w:t>
      </w:r>
    </w:p>
    <w:p w14:paraId="2E7D7075" w14:textId="77777777" w:rsidR="006102B4" w:rsidRPr="006102B4" w:rsidRDefault="006102B4" w:rsidP="006102B4">
      <w:pPr>
        <w:spacing w:after="0" w:line="240" w:lineRule="auto"/>
        <w:jc w:val="both"/>
        <w:rPr>
          <w:rFonts w:ascii="Verdana" w:eastAsia="Times New Roman" w:hAnsi="Verdana" w:cs="Arial"/>
          <w:b/>
          <w:sz w:val="20"/>
          <w:lang w:eastAsia="es-ES"/>
        </w:rPr>
      </w:pPr>
    </w:p>
    <w:p w14:paraId="5A7DB834" w14:textId="0EB4B9E2" w:rsidR="00C90DA4" w:rsidRPr="006102B4" w:rsidRDefault="00C90DA4" w:rsidP="006102B4">
      <w:pPr>
        <w:spacing w:after="0" w:line="240" w:lineRule="auto"/>
        <w:jc w:val="both"/>
        <w:rPr>
          <w:rFonts w:ascii="Verdana" w:hAnsi="Verdana"/>
          <w:b/>
        </w:rPr>
      </w:pPr>
      <w:r w:rsidRPr="006102B4">
        <w:rPr>
          <w:rFonts w:ascii="Verdana" w:eastAsia="Times New Roman" w:hAnsi="Verdana" w:cs="Arial"/>
          <w:b/>
          <w:lang w:eastAsia="es-ES"/>
        </w:rPr>
        <w:t>PERSONAS TRANSGÉNERO – Derechos Laborales – Igualdad de Oportunidades.</w:t>
      </w:r>
    </w:p>
    <w:p w14:paraId="4C4D93E5" w14:textId="6BB27E30" w:rsidR="00C90DA4" w:rsidRDefault="00C90DA4" w:rsidP="006102B4">
      <w:pPr>
        <w:spacing w:after="0" w:line="240" w:lineRule="auto"/>
        <w:jc w:val="both"/>
        <w:rPr>
          <w:rFonts w:ascii="Verdana" w:hAnsi="Verdana"/>
        </w:rPr>
      </w:pPr>
    </w:p>
    <w:p w14:paraId="2E5C27B7" w14:textId="10192D32" w:rsidR="00C90DA4" w:rsidRDefault="00C90DA4" w:rsidP="006102B4">
      <w:pPr>
        <w:spacing w:after="0" w:line="240" w:lineRule="auto"/>
        <w:jc w:val="both"/>
        <w:rPr>
          <w:rFonts w:ascii="Verdana" w:hAnsi="Verdana"/>
          <w:sz w:val="20"/>
        </w:rPr>
      </w:pPr>
      <w:r w:rsidRPr="006102B4">
        <w:rPr>
          <w:rFonts w:ascii="Verdana" w:hAnsi="Verdana"/>
          <w:sz w:val="20"/>
        </w:rPr>
        <w:t>También debe tenerse claridad de la sentencia T-363 de 2016 que estableció que es inadmisible imponer a una persona la obligación de modificar su nombre o sexo para que corresponda a expectativas sociales o estereotipos externos, pues la identidad es una construcción individual y autónoma. Sentencias como la T-152 de 2007 y la T-392 de 2017 prohíben excluir a una persona por razones de sexo, orientación sexual o identidad de género en procesos de contratación y permanencia laboral, señalando que estas prácticas constituyen discriminación injustificada. La Sentencia SU-440 de 2021 definió el derecho a la identidad de género como la facultad para construir y expresar libremente la identidad de género propia y prohíbe la discriminación por esta causa. En el plano laboral, este derecho exige que todas las entidades, públicas y privadas, actualicen y reconozcan los documentos de identidad sin afectar la experiencia laboral ni crear barreras para el empleo.</w:t>
      </w:r>
    </w:p>
    <w:p w14:paraId="30E78F49" w14:textId="77777777" w:rsidR="006102B4" w:rsidRPr="006102B4" w:rsidRDefault="006102B4" w:rsidP="006102B4">
      <w:pPr>
        <w:spacing w:after="0" w:line="240" w:lineRule="auto"/>
        <w:jc w:val="both"/>
        <w:rPr>
          <w:rFonts w:ascii="Verdana" w:hAnsi="Verdana"/>
          <w:sz w:val="20"/>
        </w:rPr>
      </w:pPr>
    </w:p>
    <w:p w14:paraId="206C6F73" w14:textId="77777777" w:rsidR="00C90DA4" w:rsidRPr="006102B4" w:rsidRDefault="00C90DA4" w:rsidP="006102B4">
      <w:pPr>
        <w:spacing w:after="0" w:line="240" w:lineRule="auto"/>
        <w:jc w:val="both"/>
        <w:rPr>
          <w:rFonts w:ascii="Verdana" w:hAnsi="Verdana"/>
          <w:sz w:val="20"/>
        </w:rPr>
      </w:pPr>
      <w:r w:rsidRPr="006102B4">
        <w:rPr>
          <w:rFonts w:ascii="Verdana" w:hAnsi="Verdana"/>
          <w:sz w:val="20"/>
        </w:rPr>
        <w:t>Así las cosas, la experiencia laboral de una persona transgénero no desaparece ni pierde validez por el hecho de cambiar su nombre o sexo en los documentos oficiales. Cualquier acto o práctica que considere dicha experiencia invalidada o que la excluya por discrepancias en los documentos constituye una clara barrera discriminatoria, prohibida por la Constitución y la jurisprudencia de la Corte Constitucional.</w:t>
      </w:r>
    </w:p>
    <w:p w14:paraId="399FD82C" w14:textId="77777777" w:rsidR="00C90DA4" w:rsidRPr="0044528D" w:rsidRDefault="00C90DA4" w:rsidP="00C90DA4">
      <w:pPr>
        <w:spacing w:after="0"/>
        <w:rPr>
          <w:rFonts w:ascii="Verdana" w:hAnsi="Verdana"/>
        </w:rPr>
      </w:pPr>
    </w:p>
    <w:p w14:paraId="02CB5B3A" w14:textId="77777777" w:rsidR="006102B4" w:rsidRDefault="006102B4" w:rsidP="00FF49B9">
      <w:pPr>
        <w:spacing w:after="0" w:line="240" w:lineRule="auto"/>
        <w:rPr>
          <w:rFonts w:ascii="Verdana" w:eastAsia="Calibri" w:hAnsi="Verdana" w:cs="Arial"/>
          <w:color w:val="000000"/>
          <w:lang w:val="es-ES"/>
        </w:rPr>
      </w:pPr>
    </w:p>
    <w:p w14:paraId="6975AB33" w14:textId="77777777" w:rsidR="006102B4" w:rsidRDefault="006102B4" w:rsidP="00FF49B9">
      <w:pPr>
        <w:spacing w:after="0" w:line="240" w:lineRule="auto"/>
        <w:rPr>
          <w:rFonts w:ascii="Verdana" w:eastAsia="Calibri" w:hAnsi="Verdana" w:cs="Arial"/>
          <w:color w:val="000000"/>
          <w:lang w:val="es-ES"/>
        </w:rPr>
      </w:pPr>
    </w:p>
    <w:p w14:paraId="0C25E3D0" w14:textId="77777777" w:rsidR="006102B4" w:rsidRDefault="006102B4" w:rsidP="00FF49B9">
      <w:pPr>
        <w:spacing w:after="0" w:line="240" w:lineRule="auto"/>
        <w:rPr>
          <w:rFonts w:ascii="Verdana" w:eastAsia="Calibri" w:hAnsi="Verdana" w:cs="Arial"/>
          <w:color w:val="000000"/>
          <w:lang w:val="es-ES"/>
        </w:rPr>
      </w:pPr>
    </w:p>
    <w:p w14:paraId="5EF83EAF" w14:textId="77777777" w:rsidR="006102B4" w:rsidRDefault="006102B4" w:rsidP="00FF49B9">
      <w:pPr>
        <w:spacing w:after="0" w:line="240" w:lineRule="auto"/>
        <w:rPr>
          <w:rFonts w:ascii="Verdana" w:eastAsia="Calibri" w:hAnsi="Verdana" w:cs="Arial"/>
          <w:color w:val="000000"/>
          <w:lang w:val="es-ES"/>
        </w:rPr>
      </w:pPr>
    </w:p>
    <w:p w14:paraId="193CB707" w14:textId="77777777" w:rsidR="006102B4" w:rsidRDefault="006102B4" w:rsidP="00FF49B9">
      <w:pPr>
        <w:spacing w:after="0" w:line="240" w:lineRule="auto"/>
        <w:rPr>
          <w:rFonts w:ascii="Verdana" w:eastAsia="Calibri" w:hAnsi="Verdana" w:cs="Arial"/>
          <w:color w:val="000000"/>
          <w:lang w:val="es-ES"/>
        </w:rPr>
      </w:pPr>
    </w:p>
    <w:p w14:paraId="5B94BC57" w14:textId="77777777" w:rsidR="006102B4" w:rsidRDefault="006102B4" w:rsidP="00FF49B9">
      <w:pPr>
        <w:spacing w:after="0" w:line="240" w:lineRule="auto"/>
        <w:rPr>
          <w:rFonts w:ascii="Verdana" w:eastAsia="Calibri" w:hAnsi="Verdana" w:cs="Arial"/>
          <w:color w:val="000000"/>
          <w:lang w:val="es-ES"/>
        </w:rPr>
      </w:pPr>
    </w:p>
    <w:p w14:paraId="7C3D7CCB" w14:textId="77777777" w:rsidR="006102B4" w:rsidRDefault="006102B4" w:rsidP="00FF49B9">
      <w:pPr>
        <w:spacing w:after="0" w:line="240" w:lineRule="auto"/>
        <w:rPr>
          <w:rFonts w:ascii="Verdana" w:eastAsia="Calibri" w:hAnsi="Verdana" w:cs="Arial"/>
          <w:color w:val="000000"/>
          <w:lang w:val="es-ES"/>
        </w:rPr>
      </w:pPr>
    </w:p>
    <w:p w14:paraId="2E70EFCE" w14:textId="77777777" w:rsidR="006102B4" w:rsidRDefault="006102B4" w:rsidP="00FF49B9">
      <w:pPr>
        <w:spacing w:after="0" w:line="240" w:lineRule="auto"/>
        <w:rPr>
          <w:rFonts w:ascii="Verdana" w:eastAsia="Calibri" w:hAnsi="Verdana" w:cs="Arial"/>
          <w:color w:val="000000"/>
          <w:lang w:val="es-ES"/>
        </w:rPr>
      </w:pPr>
    </w:p>
    <w:p w14:paraId="1078AE7A" w14:textId="77777777" w:rsidR="006102B4" w:rsidRDefault="006102B4" w:rsidP="00FF49B9">
      <w:pPr>
        <w:spacing w:after="0" w:line="240" w:lineRule="auto"/>
        <w:rPr>
          <w:rFonts w:ascii="Verdana" w:eastAsia="Calibri" w:hAnsi="Verdana" w:cs="Arial"/>
          <w:color w:val="000000"/>
          <w:lang w:val="es-ES"/>
        </w:rPr>
      </w:pPr>
    </w:p>
    <w:p w14:paraId="7B3CD243" w14:textId="77777777" w:rsidR="006102B4" w:rsidRDefault="006102B4" w:rsidP="00FF49B9">
      <w:pPr>
        <w:spacing w:after="0" w:line="240" w:lineRule="auto"/>
        <w:rPr>
          <w:rFonts w:ascii="Verdana" w:eastAsia="Calibri" w:hAnsi="Verdana" w:cs="Arial"/>
          <w:color w:val="000000"/>
          <w:lang w:val="es-ES"/>
        </w:rPr>
      </w:pPr>
    </w:p>
    <w:p w14:paraId="1FBC04E4" w14:textId="77777777" w:rsidR="006102B4" w:rsidRDefault="006102B4" w:rsidP="00FF49B9">
      <w:pPr>
        <w:spacing w:after="0" w:line="240" w:lineRule="auto"/>
        <w:rPr>
          <w:rFonts w:ascii="Verdana" w:eastAsia="Calibri" w:hAnsi="Verdana" w:cs="Arial"/>
          <w:color w:val="000000"/>
          <w:lang w:val="es-ES"/>
        </w:rPr>
      </w:pPr>
    </w:p>
    <w:p w14:paraId="3D53630B" w14:textId="77777777" w:rsidR="006102B4" w:rsidRDefault="006102B4" w:rsidP="00FF49B9">
      <w:pPr>
        <w:spacing w:after="0" w:line="240" w:lineRule="auto"/>
        <w:rPr>
          <w:rFonts w:ascii="Verdana" w:eastAsia="Calibri" w:hAnsi="Verdana" w:cs="Arial"/>
          <w:color w:val="000000"/>
          <w:lang w:val="es-ES"/>
        </w:rPr>
      </w:pPr>
    </w:p>
    <w:p w14:paraId="7BE22530" w14:textId="77777777" w:rsidR="006102B4" w:rsidRDefault="006102B4" w:rsidP="00FF49B9">
      <w:pPr>
        <w:spacing w:after="0" w:line="240" w:lineRule="auto"/>
        <w:rPr>
          <w:rFonts w:ascii="Verdana" w:eastAsia="Calibri" w:hAnsi="Verdana" w:cs="Arial"/>
          <w:color w:val="000000"/>
          <w:lang w:val="es-ES"/>
        </w:rPr>
      </w:pPr>
    </w:p>
    <w:p w14:paraId="6EEC1E62" w14:textId="77777777" w:rsidR="006102B4" w:rsidRDefault="006102B4" w:rsidP="00FF49B9">
      <w:pPr>
        <w:spacing w:after="0" w:line="240" w:lineRule="auto"/>
        <w:rPr>
          <w:rFonts w:ascii="Verdana" w:eastAsia="Calibri" w:hAnsi="Verdana" w:cs="Arial"/>
          <w:color w:val="000000"/>
          <w:lang w:val="es-ES"/>
        </w:rPr>
      </w:pPr>
    </w:p>
    <w:p w14:paraId="693BCC63" w14:textId="77777777" w:rsidR="006102B4" w:rsidRDefault="006102B4" w:rsidP="00FF49B9">
      <w:pPr>
        <w:spacing w:after="0" w:line="240" w:lineRule="auto"/>
        <w:rPr>
          <w:rFonts w:ascii="Verdana" w:eastAsia="Calibri" w:hAnsi="Verdana" w:cs="Arial"/>
          <w:color w:val="000000"/>
          <w:lang w:val="es-ES"/>
        </w:rPr>
      </w:pPr>
    </w:p>
    <w:p w14:paraId="038F471D" w14:textId="1C94CA15" w:rsidR="006102B4" w:rsidRDefault="006102B4" w:rsidP="00FF49B9">
      <w:pPr>
        <w:spacing w:after="0" w:line="240" w:lineRule="auto"/>
        <w:rPr>
          <w:rFonts w:ascii="Verdana" w:eastAsia="Calibri" w:hAnsi="Verdana" w:cs="Arial"/>
          <w:color w:val="000000"/>
          <w:lang w:val="es-ES"/>
        </w:rPr>
      </w:pPr>
    </w:p>
    <w:p w14:paraId="13193B1C" w14:textId="73C1736A" w:rsidR="006102B4" w:rsidRDefault="006102B4" w:rsidP="00FF49B9">
      <w:pPr>
        <w:spacing w:after="0" w:line="240" w:lineRule="auto"/>
        <w:rPr>
          <w:rFonts w:ascii="Verdana" w:eastAsia="Calibri" w:hAnsi="Verdana" w:cs="Arial"/>
          <w:color w:val="000000"/>
          <w:lang w:val="es-ES"/>
        </w:rPr>
      </w:pPr>
    </w:p>
    <w:p w14:paraId="5F75B1CD" w14:textId="77777777" w:rsidR="006102B4" w:rsidRDefault="006102B4" w:rsidP="00FF49B9">
      <w:pPr>
        <w:spacing w:after="0" w:line="240" w:lineRule="auto"/>
        <w:rPr>
          <w:rFonts w:ascii="Verdana" w:eastAsia="Calibri" w:hAnsi="Verdana" w:cs="Arial"/>
          <w:color w:val="000000"/>
          <w:lang w:val="es-ES"/>
        </w:rPr>
      </w:pPr>
    </w:p>
    <w:p w14:paraId="2756FB8E" w14:textId="77777777" w:rsidR="006102B4" w:rsidRPr="006102B4" w:rsidRDefault="006102B4" w:rsidP="006102B4">
      <w:pPr>
        <w:spacing w:after="0" w:line="240" w:lineRule="auto"/>
        <w:rPr>
          <w:rFonts w:ascii="Verdana" w:eastAsia="Calibri" w:hAnsi="Verdana" w:cs="Arial"/>
          <w:color w:val="000000"/>
        </w:rPr>
      </w:pPr>
      <w:r w:rsidRPr="006102B4">
        <w:rPr>
          <w:rFonts w:ascii="Verdana" w:eastAsia="Calibri" w:hAnsi="Verdana" w:cs="Arial"/>
          <w:color w:val="000000"/>
        </w:rPr>
        <w:lastRenderedPageBreak/>
        <w:t>Bogotá D.C., 8 de septiembre de 2025</w:t>
      </w:r>
      <w:r w:rsidRPr="006102B4">
        <w:rPr>
          <w:rFonts w:ascii="Verdana" w:eastAsia="Calibri" w:hAnsi="Verdana" w:cs="Arial"/>
          <w:color w:val="000000"/>
        </w:rPr>
        <w:tab/>
      </w:r>
    </w:p>
    <w:p w14:paraId="20E74360" w14:textId="685442B0" w:rsidR="00FF49B9" w:rsidRPr="00A74C36" w:rsidRDefault="00C90DA4" w:rsidP="00FF49B9">
      <w:pPr>
        <w:spacing w:after="0" w:line="240" w:lineRule="auto"/>
        <w:rPr>
          <w:rFonts w:ascii="Verdana" w:eastAsia="Calibri" w:hAnsi="Verdana" w:cs="Arial"/>
          <w:color w:val="000000"/>
          <w:lang w:val="es-ES"/>
        </w:rPr>
      </w:pPr>
      <w:r w:rsidRPr="00C90DA4">
        <w:rPr>
          <w:rFonts w:ascii="Verdana" w:hAnsi="Verdana"/>
          <w:noProof/>
          <w:lang w:val="en-US"/>
        </w:rPr>
        <w:drawing>
          <wp:anchor distT="0" distB="0" distL="114300" distR="114300" simplePos="0" relativeHeight="251658240" behindDoc="0" locked="0" layoutInCell="1" allowOverlap="1" wp14:anchorId="44CBA22B" wp14:editId="09AF4D08">
            <wp:simplePos x="0" y="0"/>
            <wp:positionH relativeFrom="column">
              <wp:posOffset>2920365</wp:posOffset>
            </wp:positionH>
            <wp:positionV relativeFrom="paragraph">
              <wp:posOffset>6985</wp:posOffset>
            </wp:positionV>
            <wp:extent cx="2609850" cy="7239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985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10869A" w14:textId="77777777" w:rsidR="00FF49B9" w:rsidRPr="00A74C36" w:rsidRDefault="00FF49B9" w:rsidP="00FF49B9">
      <w:pPr>
        <w:spacing w:after="0" w:line="240" w:lineRule="auto"/>
        <w:jc w:val="both"/>
        <w:rPr>
          <w:rFonts w:ascii="Verdana" w:eastAsia="Calibri" w:hAnsi="Verdana" w:cs="Arial"/>
          <w:color w:val="000000"/>
          <w:lang w:val="es-ES"/>
        </w:rPr>
      </w:pPr>
    </w:p>
    <w:p w14:paraId="0C089BCA" w14:textId="77777777" w:rsidR="00FF49B9" w:rsidRPr="009E3728" w:rsidRDefault="00FF49B9" w:rsidP="00FF49B9">
      <w:pPr>
        <w:spacing w:after="0" w:line="240" w:lineRule="auto"/>
        <w:jc w:val="both"/>
        <w:rPr>
          <w:rFonts w:ascii="Verdana" w:eastAsia="Calibri" w:hAnsi="Verdana" w:cs="Arial"/>
          <w:lang w:val="es-ES" w:eastAsia="es-ES"/>
        </w:rPr>
      </w:pPr>
      <w:r w:rsidRPr="009E3728">
        <w:rPr>
          <w:rFonts w:ascii="Verdana" w:eastAsia="Calibri" w:hAnsi="Verdana" w:cs="Arial"/>
          <w:lang w:val="es-ES" w:eastAsia="es-ES"/>
        </w:rPr>
        <w:t>Señor</w:t>
      </w:r>
      <w:r>
        <w:rPr>
          <w:rFonts w:ascii="Verdana" w:eastAsia="Calibri" w:hAnsi="Verdana" w:cs="Arial"/>
          <w:lang w:val="es-ES" w:eastAsia="es-ES"/>
        </w:rPr>
        <w:t>a</w:t>
      </w:r>
    </w:p>
    <w:p w14:paraId="414D3FB1" w14:textId="77777777" w:rsidR="00FF49B9" w:rsidRPr="001756EC" w:rsidRDefault="00FF49B9" w:rsidP="00FF49B9">
      <w:pPr>
        <w:spacing w:after="0" w:line="240" w:lineRule="auto"/>
        <w:rPr>
          <w:rFonts w:ascii="Verdana" w:hAnsi="Verdana"/>
          <w:b/>
        </w:rPr>
      </w:pPr>
      <w:r w:rsidRPr="001756EC">
        <w:rPr>
          <w:rFonts w:ascii="Verdana" w:hAnsi="Verdana"/>
          <w:b/>
        </w:rPr>
        <w:t xml:space="preserve">Anyela Isabel </w:t>
      </w:r>
      <w:proofErr w:type="spellStart"/>
      <w:r w:rsidRPr="001756EC">
        <w:rPr>
          <w:rFonts w:ascii="Verdana" w:hAnsi="Verdana"/>
          <w:b/>
        </w:rPr>
        <w:t>Schorborgth</w:t>
      </w:r>
      <w:proofErr w:type="spellEnd"/>
      <w:r w:rsidRPr="001756EC">
        <w:rPr>
          <w:rFonts w:ascii="Verdana" w:hAnsi="Verdana"/>
          <w:b/>
        </w:rPr>
        <w:t xml:space="preserve"> Serrano</w:t>
      </w:r>
    </w:p>
    <w:p w14:paraId="4B9142B1" w14:textId="77777777" w:rsidR="00FF49B9" w:rsidRPr="00FF49B9" w:rsidRDefault="00FF49B9" w:rsidP="00FF49B9">
      <w:pPr>
        <w:spacing w:after="0" w:line="240" w:lineRule="auto"/>
        <w:rPr>
          <w:rFonts w:ascii="Verdana" w:eastAsia="Calibri" w:hAnsi="Verdana" w:cs="Arial"/>
          <w:lang w:eastAsia="es-ES"/>
        </w:rPr>
      </w:pPr>
      <w:hyperlink r:id="rId12" w:history="1">
        <w:r w:rsidRPr="00FF49B9">
          <w:rPr>
            <w:rStyle w:val="Hipervnculo"/>
            <w:rFonts w:ascii="Verdana" w:eastAsia="Calibri" w:hAnsi="Verdana" w:cs="Arial"/>
            <w:lang w:eastAsia="es-ES"/>
          </w:rPr>
          <w:t>anyelasserrano@gmail.com</w:t>
        </w:r>
      </w:hyperlink>
      <w:r w:rsidRPr="00FF49B9">
        <w:rPr>
          <w:rFonts w:ascii="Verdana" w:eastAsia="Calibri" w:hAnsi="Verdana" w:cs="Arial"/>
          <w:lang w:eastAsia="es-ES"/>
        </w:rPr>
        <w:t xml:space="preserve"> </w:t>
      </w:r>
    </w:p>
    <w:p w14:paraId="1EB84E87" w14:textId="77777777" w:rsidR="00FF49B9" w:rsidRPr="009E3728" w:rsidRDefault="00FF49B9" w:rsidP="00FF49B9">
      <w:pPr>
        <w:spacing w:after="0" w:line="240" w:lineRule="auto"/>
        <w:rPr>
          <w:rFonts w:ascii="Verdana" w:eastAsia="Calibri" w:hAnsi="Verdana" w:cs="Arial"/>
          <w:lang w:val="es-ES" w:eastAsia="es-ES"/>
        </w:rPr>
      </w:pPr>
      <w:r w:rsidRPr="009E3728">
        <w:rPr>
          <w:rFonts w:ascii="Verdana" w:eastAsia="Calibri" w:hAnsi="Verdana" w:cs="Arial"/>
          <w:lang w:val="es-ES" w:eastAsia="es-ES"/>
        </w:rPr>
        <w:t xml:space="preserve">Bogotá D.C. </w:t>
      </w:r>
    </w:p>
    <w:p w14:paraId="1FA95CCC" w14:textId="77777777" w:rsidR="00FF49B9" w:rsidRPr="00A74C36" w:rsidRDefault="00FF49B9" w:rsidP="00FF49B9">
      <w:pPr>
        <w:spacing w:after="0" w:line="240" w:lineRule="auto"/>
        <w:rPr>
          <w:rFonts w:ascii="Verdana" w:eastAsia="Calibri" w:hAnsi="Verdana" w:cs="Arial"/>
          <w:b/>
          <w:bCs/>
          <w:color w:val="000000"/>
          <w:lang w:val="es-ES_tradnl" w:eastAsia="es-ES_tradnl"/>
        </w:rPr>
      </w:pPr>
    </w:p>
    <w:p w14:paraId="3F59CA16" w14:textId="77777777" w:rsidR="00FF49B9" w:rsidRPr="00A74C36" w:rsidDel="00A37FEF" w:rsidRDefault="00FF49B9" w:rsidP="00FF49B9">
      <w:pPr>
        <w:spacing w:after="0" w:line="240" w:lineRule="auto"/>
        <w:rPr>
          <w:rFonts w:ascii="Verdana" w:eastAsia="Calibri" w:hAnsi="Verdana" w:cs="Arial"/>
          <w:b/>
          <w:bCs/>
          <w:color w:val="000000"/>
          <w:lang w:val="es-ES" w:eastAsia="es-ES"/>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F49B9" w:rsidRPr="00A74C36" w14:paraId="42C755D6" w14:textId="77777777" w:rsidTr="00EA4763">
        <w:trPr>
          <w:trHeight w:val="602"/>
        </w:trPr>
        <w:tc>
          <w:tcPr>
            <w:tcW w:w="2689" w:type="dxa"/>
          </w:tcPr>
          <w:p w14:paraId="72AA8EDF" w14:textId="77777777" w:rsidR="00FF49B9" w:rsidRPr="00A74C36" w:rsidRDefault="00FF49B9" w:rsidP="00EA4763">
            <w:pPr>
              <w:jc w:val="both"/>
              <w:rPr>
                <w:rFonts w:ascii="Verdana" w:eastAsia="Calibri" w:hAnsi="Verdana" w:cs="Arial"/>
                <w:b/>
                <w:bCs/>
                <w:color w:val="7030A0"/>
                <w:lang w:val="es-ES_tradnl" w:eastAsia="es-ES_tradnl"/>
              </w:rPr>
            </w:pPr>
          </w:p>
        </w:tc>
        <w:tc>
          <w:tcPr>
            <w:tcW w:w="6100" w:type="dxa"/>
          </w:tcPr>
          <w:p w14:paraId="1437FBE6" w14:textId="77777777" w:rsidR="00FF49B9" w:rsidRPr="00A74C36" w:rsidRDefault="00FF49B9" w:rsidP="00EA4763">
            <w:pPr>
              <w:jc w:val="both"/>
              <w:rPr>
                <w:rFonts w:ascii="Verdana" w:eastAsia="Calibri" w:hAnsi="Verdana" w:cs="Arial"/>
                <w:b/>
                <w:bCs/>
                <w:color w:val="7030A0"/>
                <w:lang w:val="es-ES" w:eastAsia="es-ES"/>
              </w:rPr>
            </w:pPr>
            <w:r w:rsidRPr="00A74C36">
              <w:rPr>
                <w:rFonts w:ascii="Verdana" w:eastAsia="Calibri" w:hAnsi="Verdana" w:cs="Arial"/>
                <w:b/>
                <w:bCs/>
                <w:lang w:val="es-ES" w:eastAsia="es-ES"/>
              </w:rPr>
              <w:t xml:space="preserve">Concepto C – </w:t>
            </w:r>
            <w:r>
              <w:rPr>
                <w:rFonts w:ascii="Verdana" w:eastAsia="Calibri" w:hAnsi="Verdana" w:cs="Arial"/>
                <w:b/>
                <w:bCs/>
                <w:lang w:val="es-ES" w:eastAsia="es-ES"/>
              </w:rPr>
              <w:t>1098 de 2025</w:t>
            </w:r>
          </w:p>
        </w:tc>
      </w:tr>
      <w:tr w:rsidR="00FF49B9" w:rsidRPr="00A74C36" w14:paraId="675FF58A" w14:textId="77777777" w:rsidTr="00EA4763">
        <w:trPr>
          <w:trHeight w:val="884"/>
        </w:trPr>
        <w:tc>
          <w:tcPr>
            <w:tcW w:w="2689" w:type="dxa"/>
          </w:tcPr>
          <w:p w14:paraId="7434BDD1" w14:textId="77777777" w:rsidR="00FF49B9" w:rsidRPr="00A74C36" w:rsidRDefault="00FF49B9" w:rsidP="00EA4763">
            <w:pPr>
              <w:jc w:val="both"/>
              <w:rPr>
                <w:rFonts w:ascii="Verdana" w:eastAsia="Calibri" w:hAnsi="Verdana" w:cs="Arial"/>
                <w:color w:val="000000"/>
                <w:lang w:val="es-ES_tradnl" w:eastAsia="es-ES_tradnl"/>
              </w:rPr>
            </w:pPr>
            <w:r w:rsidRPr="00A74C36">
              <w:rPr>
                <w:rFonts w:ascii="Verdana" w:eastAsia="Calibri" w:hAnsi="Verdana" w:cs="Arial"/>
                <w:b/>
                <w:color w:val="000000"/>
                <w:lang w:val="es-ES_tradnl" w:eastAsia="es-ES_tradnl"/>
              </w:rPr>
              <w:t>Temas:</w:t>
            </w:r>
            <w:r w:rsidRPr="00A74C36">
              <w:rPr>
                <w:rFonts w:ascii="Verdana" w:eastAsia="Calibri" w:hAnsi="Verdana" w:cs="Arial"/>
                <w:color w:val="000000"/>
                <w:lang w:val="es-ES_tradnl" w:eastAsia="es-ES_tradnl"/>
              </w:rPr>
              <w:t xml:space="preserve">                   </w:t>
            </w:r>
          </w:p>
        </w:tc>
        <w:tc>
          <w:tcPr>
            <w:tcW w:w="6100" w:type="dxa"/>
          </w:tcPr>
          <w:p w14:paraId="2662FB48" w14:textId="77777777" w:rsidR="00FF49B9" w:rsidRDefault="00FF49B9" w:rsidP="00EA4763">
            <w:pPr>
              <w:spacing w:line="276" w:lineRule="auto"/>
              <w:jc w:val="both"/>
              <w:rPr>
                <w:rFonts w:ascii="Verdana" w:eastAsia="Times New Roman" w:hAnsi="Verdana" w:cs="Arial"/>
                <w:lang w:eastAsia="es-ES"/>
              </w:rPr>
            </w:pPr>
            <w:r w:rsidRPr="00A74C36">
              <w:rPr>
                <w:rFonts w:ascii="Verdana" w:eastAsia="Times New Roman" w:hAnsi="Verdana" w:cs="Arial"/>
                <w:lang w:eastAsia="es-ES"/>
              </w:rPr>
              <w:t xml:space="preserve">CONTRATO DE PRESTACIÓN DE SERVICIOS – Concepto CONTRATO DE PRESTACIÓN DE SERVICIOS – Características / </w:t>
            </w:r>
            <w:r>
              <w:rPr>
                <w:rFonts w:ascii="Verdana" w:eastAsia="Times New Roman" w:hAnsi="Verdana" w:cs="Arial"/>
                <w:lang w:eastAsia="es-ES"/>
              </w:rPr>
              <w:t xml:space="preserve">DIGNIDAD HUMANO – Jurisprudencia Constitucional – Comunidad LGTBIQ+ / PERSONAS TRANSGÉNERO – Lucha contra la discriminación – Derecho al libre desarrollo de la personalidad / PERSONAS TRANSGÉNERO – Derechos Laborales – Igualdad de Oportunidades. </w:t>
            </w:r>
          </w:p>
          <w:p w14:paraId="3E4EB27A" w14:textId="77777777" w:rsidR="00FF49B9" w:rsidRPr="00A74C36" w:rsidRDefault="00FF49B9" w:rsidP="00EA4763">
            <w:pPr>
              <w:spacing w:line="276" w:lineRule="auto"/>
              <w:jc w:val="both"/>
              <w:rPr>
                <w:rFonts w:ascii="Verdana" w:eastAsia="Calibri" w:hAnsi="Verdana" w:cs="Arial"/>
                <w:lang w:val="es-MX" w:eastAsia="es-ES"/>
              </w:rPr>
            </w:pPr>
            <w:r w:rsidRPr="00A74C36">
              <w:rPr>
                <w:rFonts w:ascii="Verdana" w:eastAsia="Times New Roman" w:hAnsi="Verdana" w:cs="Arial"/>
                <w:lang w:eastAsia="es-ES"/>
              </w:rPr>
              <w:t xml:space="preserve"> </w:t>
            </w:r>
          </w:p>
          <w:p w14:paraId="6C21CA6F" w14:textId="77777777" w:rsidR="00FF49B9" w:rsidRPr="00A74C36" w:rsidRDefault="00FF49B9" w:rsidP="00EA4763">
            <w:pPr>
              <w:spacing w:line="276" w:lineRule="auto"/>
              <w:jc w:val="both"/>
              <w:rPr>
                <w:rFonts w:ascii="Verdana" w:eastAsia="Calibri" w:hAnsi="Verdana" w:cs="Arial"/>
                <w:lang w:val="es-ES" w:eastAsia="es-ES"/>
              </w:rPr>
            </w:pPr>
          </w:p>
        </w:tc>
      </w:tr>
      <w:tr w:rsidR="00FF49B9" w:rsidRPr="00A74C36" w14:paraId="48838B93" w14:textId="77777777" w:rsidTr="00EA4763">
        <w:trPr>
          <w:trHeight w:val="128"/>
        </w:trPr>
        <w:tc>
          <w:tcPr>
            <w:tcW w:w="2689" w:type="dxa"/>
          </w:tcPr>
          <w:p w14:paraId="675B9AA7" w14:textId="77777777" w:rsidR="00FF49B9" w:rsidRPr="00A74C36" w:rsidRDefault="00FF49B9" w:rsidP="00EA4763">
            <w:pPr>
              <w:jc w:val="both"/>
              <w:rPr>
                <w:rFonts w:ascii="Verdana" w:eastAsia="Calibri" w:hAnsi="Verdana" w:cs="Arial"/>
                <w:b/>
                <w:lang w:val="es-ES_tradnl" w:eastAsia="es-ES_tradnl"/>
              </w:rPr>
            </w:pPr>
            <w:r w:rsidRPr="00A74C36">
              <w:rPr>
                <w:rFonts w:ascii="Verdana" w:eastAsia="Calibri" w:hAnsi="Verdana" w:cs="Arial"/>
                <w:b/>
                <w:lang w:val="es-ES_tradnl" w:eastAsia="es-ES_tradnl"/>
              </w:rPr>
              <w:t>Radicación:</w:t>
            </w:r>
            <w:r w:rsidRPr="00A74C36">
              <w:rPr>
                <w:rFonts w:ascii="Verdana" w:eastAsia="Calibri" w:hAnsi="Verdana" w:cs="Arial"/>
                <w:lang w:val="es-ES_tradnl" w:eastAsia="es-ES_tradnl"/>
              </w:rPr>
              <w:t xml:space="preserve">               </w:t>
            </w:r>
          </w:p>
        </w:tc>
        <w:tc>
          <w:tcPr>
            <w:tcW w:w="6100" w:type="dxa"/>
          </w:tcPr>
          <w:p w14:paraId="4048EB9C" w14:textId="77777777" w:rsidR="00FF49B9" w:rsidRPr="00A74C36" w:rsidRDefault="00FF49B9" w:rsidP="00EA4763">
            <w:pPr>
              <w:spacing w:line="276" w:lineRule="auto"/>
              <w:jc w:val="both"/>
              <w:rPr>
                <w:rFonts w:ascii="Verdana" w:eastAsia="Calibri" w:hAnsi="Verdana" w:cs="Arial"/>
                <w:lang w:val="es-ES_tradnl" w:eastAsia="es-ES_tradnl"/>
              </w:rPr>
            </w:pPr>
            <w:r w:rsidRPr="00A74C36">
              <w:rPr>
                <w:rFonts w:ascii="Verdana" w:eastAsia="Calibri" w:hAnsi="Verdana" w:cs="Arial"/>
                <w:lang w:val="es-ES_tradnl" w:eastAsia="es-ES_tradnl"/>
              </w:rPr>
              <w:t>Respuesta a la consulta con radicado No.</w:t>
            </w:r>
            <w:r>
              <w:rPr>
                <w:rFonts w:ascii="Verdana" w:hAnsi="Verdana" w:cs="Segoe UI"/>
                <w:shd w:val="clear" w:color="auto" w:fill="FFFFFF"/>
              </w:rPr>
              <w:t xml:space="preserve"> </w:t>
            </w:r>
            <w:r w:rsidRPr="009E3728">
              <w:rPr>
                <w:rFonts w:ascii="Verdana" w:hAnsi="Verdana" w:cs="Segoe UI"/>
                <w:shd w:val="clear" w:color="auto" w:fill="FFFFFF"/>
              </w:rPr>
              <w:t>1_2025_08_06_008217</w:t>
            </w:r>
          </w:p>
        </w:tc>
      </w:tr>
    </w:tbl>
    <w:p w14:paraId="798E6050" w14:textId="77777777" w:rsidR="00FF49B9" w:rsidRPr="00A74C36" w:rsidRDefault="00FF49B9" w:rsidP="00FF49B9">
      <w:pPr>
        <w:spacing w:after="0" w:line="240" w:lineRule="auto"/>
        <w:jc w:val="both"/>
        <w:rPr>
          <w:rFonts w:ascii="Verdana" w:eastAsia="Calibri" w:hAnsi="Verdana" w:cs="Arial"/>
          <w:color w:val="000000"/>
          <w:lang w:val="es-ES_tradnl" w:eastAsia="es-ES_tradnl"/>
        </w:rPr>
      </w:pPr>
    </w:p>
    <w:p w14:paraId="6611DC10" w14:textId="77777777" w:rsidR="00FF49B9" w:rsidRPr="00A74C36" w:rsidRDefault="00FF49B9" w:rsidP="00FF49B9">
      <w:pPr>
        <w:spacing w:after="0" w:line="240" w:lineRule="auto"/>
        <w:jc w:val="both"/>
        <w:rPr>
          <w:rFonts w:ascii="Verdana" w:eastAsia="Calibri" w:hAnsi="Verdana" w:cs="Arial"/>
          <w:lang w:val="es-ES" w:eastAsia="es-ES"/>
        </w:rPr>
      </w:pPr>
      <w:r>
        <w:rPr>
          <w:rFonts w:ascii="Verdana" w:eastAsia="Calibri" w:hAnsi="Verdana" w:cs="Arial"/>
          <w:lang w:val="es-ES" w:eastAsia="es-ES"/>
        </w:rPr>
        <w:t>Estimada Señora Anyela</w:t>
      </w:r>
      <w:r w:rsidRPr="00A74C36">
        <w:rPr>
          <w:rFonts w:ascii="Verdana" w:eastAsia="Calibri" w:hAnsi="Verdana" w:cs="Arial"/>
          <w:lang w:val="es-ES" w:eastAsia="es-ES"/>
        </w:rPr>
        <w:t xml:space="preserve">: </w:t>
      </w:r>
    </w:p>
    <w:p w14:paraId="56344D85" w14:textId="77777777" w:rsidR="00FF49B9" w:rsidRPr="00A74C36" w:rsidRDefault="00FF49B9" w:rsidP="00FF49B9">
      <w:pPr>
        <w:tabs>
          <w:tab w:val="left" w:pos="3768"/>
        </w:tabs>
        <w:spacing w:after="0" w:line="276" w:lineRule="auto"/>
        <w:jc w:val="both"/>
        <w:rPr>
          <w:rFonts w:ascii="Verdana" w:eastAsia="Calibri" w:hAnsi="Verdana" w:cs="Arial"/>
          <w:color w:val="000000" w:themeColor="text1"/>
          <w:lang w:val="es-ES" w:eastAsia="es-ES"/>
        </w:rPr>
      </w:pPr>
      <w:r w:rsidRPr="00A74C36">
        <w:rPr>
          <w:rFonts w:ascii="Verdana" w:eastAsia="Calibri" w:hAnsi="Verdana" w:cs="Arial"/>
          <w:color w:val="000000" w:themeColor="text1"/>
          <w:lang w:val="es-ES" w:eastAsia="es-ES"/>
        </w:rPr>
        <w:tab/>
      </w:r>
    </w:p>
    <w:p w14:paraId="2F8EBCE3" w14:textId="77777777" w:rsidR="00FF49B9" w:rsidRPr="00A74C36" w:rsidRDefault="00FF49B9" w:rsidP="00FF49B9">
      <w:pPr>
        <w:spacing w:after="0" w:line="276" w:lineRule="auto"/>
        <w:jc w:val="both"/>
        <w:rPr>
          <w:rFonts w:ascii="Verdana" w:hAnsi="Verdana" w:cs="Arial"/>
        </w:rPr>
      </w:pPr>
      <w:r w:rsidRPr="00A74C36">
        <w:rPr>
          <w:rFonts w:ascii="Verdana" w:eastAsia="Calibri" w:hAnsi="Verdana" w:cs="Arial"/>
          <w:color w:val="000000" w:themeColor="text1"/>
          <w:lang w:val="es-ES" w:eastAsia="es-ES"/>
        </w:rPr>
        <w:t>En ejercicio de la competencia otorgada por los artículos 3, numeral 5º, y 11, numeral 8º, del Decreto Ley 4170 de 2011,</w:t>
      </w:r>
      <w:r w:rsidRPr="00A74C36">
        <w:rPr>
          <w:rFonts w:ascii="Verdana" w:eastAsia="Arial MT" w:hAnsi="Verdana" w:cs="Arial MT"/>
          <w:lang w:val="es-ES" w:eastAsia="es-ES"/>
        </w:rPr>
        <w:t xml:space="preserve"> </w:t>
      </w:r>
      <w:r w:rsidRPr="00A74C36">
        <w:rPr>
          <w:rFonts w:ascii="Verdana" w:hAnsi="Verdana" w:cs="Arial"/>
        </w:rPr>
        <w:t xml:space="preserve">así como lo establecido </w:t>
      </w:r>
      <w:r w:rsidRPr="00A74C36">
        <w:rPr>
          <w:rFonts w:ascii="Verdana" w:hAnsi="Verdana" w:cs="Arial"/>
          <w:bCs/>
        </w:rPr>
        <w:t>por la Resolución 469 de 2025 expedida por esta Entidad</w:t>
      </w:r>
      <w:r w:rsidRPr="00A74C36">
        <w:rPr>
          <w:rFonts w:ascii="Verdana" w:hAnsi="Verdana" w:cs="Arial"/>
        </w:rPr>
        <w:t xml:space="preserve">, </w:t>
      </w:r>
      <w:r w:rsidRPr="00A74C36">
        <w:rPr>
          <w:rFonts w:ascii="Verdana" w:eastAsia="Calibri" w:hAnsi="Verdana" w:cs="Arial"/>
          <w:color w:val="000000" w:themeColor="text1"/>
          <w:lang w:val="es-ES" w:eastAsia="es-ES"/>
        </w:rPr>
        <w:t xml:space="preserve">la Agencia Nacional de Contratación Pública – Colombia Compra Eficiente responde su solicitud de consulta del </w:t>
      </w:r>
      <w:r>
        <w:rPr>
          <w:rFonts w:ascii="Verdana" w:eastAsia="Calibri" w:hAnsi="Verdana" w:cs="Arial"/>
          <w:lang w:val="es-ES" w:eastAsia="es-ES"/>
        </w:rPr>
        <w:t xml:space="preserve">6 de agosto </w:t>
      </w:r>
      <w:r w:rsidRPr="00A74C36">
        <w:rPr>
          <w:rFonts w:ascii="Verdana" w:eastAsia="Calibri" w:hAnsi="Verdana" w:cs="Arial"/>
          <w:lang w:val="es-ES" w:eastAsia="es-ES"/>
        </w:rPr>
        <w:t xml:space="preserve">de 2025, en la cual pregunta: </w:t>
      </w:r>
    </w:p>
    <w:p w14:paraId="11F11494" w14:textId="77777777" w:rsidR="00FF49B9" w:rsidRPr="00A74C36" w:rsidRDefault="00FF49B9" w:rsidP="00FF49B9">
      <w:pPr>
        <w:tabs>
          <w:tab w:val="left" w:pos="142"/>
          <w:tab w:val="left" w:pos="284"/>
        </w:tabs>
        <w:spacing w:after="0" w:line="276" w:lineRule="auto"/>
        <w:contextualSpacing/>
        <w:jc w:val="both"/>
        <w:rPr>
          <w:rFonts w:ascii="Verdana" w:eastAsia="Century Gothic" w:hAnsi="Verdana" w:cs="Century Gothic"/>
          <w:bCs/>
          <w:sz w:val="20"/>
          <w:szCs w:val="20"/>
          <w:lang w:val="es-ES"/>
        </w:rPr>
      </w:pPr>
    </w:p>
    <w:p w14:paraId="68AF2983" w14:textId="77777777" w:rsidR="00FF49B9" w:rsidRPr="005E2559" w:rsidRDefault="00FF49B9" w:rsidP="00FF49B9">
      <w:pPr>
        <w:spacing w:after="0" w:line="240" w:lineRule="auto"/>
        <w:ind w:left="709" w:right="709"/>
        <w:jc w:val="both"/>
        <w:rPr>
          <w:rFonts w:ascii="Verdana" w:eastAsia="Century Gothic" w:hAnsi="Verdana" w:cs="Century Gothic"/>
          <w:bCs/>
          <w:sz w:val="20"/>
          <w:szCs w:val="20"/>
        </w:rPr>
      </w:pPr>
      <w:bookmarkStart w:id="1" w:name="_Hlk95313578"/>
      <w:r w:rsidRPr="005E2559">
        <w:rPr>
          <w:rFonts w:ascii="Verdana" w:eastAsia="Century Gothic" w:hAnsi="Verdana" w:cs="Century Gothic"/>
          <w:sz w:val="20"/>
          <w:szCs w:val="20"/>
          <w:lang w:val="es-ES"/>
        </w:rPr>
        <w:t>“</w:t>
      </w:r>
      <w:bookmarkEnd w:id="1"/>
      <w:r w:rsidRPr="005E2559">
        <w:rPr>
          <w:rFonts w:ascii="Verdana" w:eastAsia="Century Gothic" w:hAnsi="Verdana" w:cs="Century Gothic"/>
          <w:bCs/>
          <w:sz w:val="20"/>
          <w:szCs w:val="20"/>
        </w:rPr>
        <w:t>• ¿Cómo debería proceder la entidad para la contratación de dicho profesional respecto a los</w:t>
      </w:r>
      <w:r>
        <w:rPr>
          <w:rFonts w:ascii="Verdana" w:eastAsia="Century Gothic" w:hAnsi="Verdana" w:cs="Century Gothic"/>
          <w:bCs/>
          <w:sz w:val="20"/>
          <w:szCs w:val="20"/>
        </w:rPr>
        <w:t xml:space="preserve"> </w:t>
      </w:r>
      <w:r w:rsidRPr="005E2559">
        <w:rPr>
          <w:rFonts w:ascii="Verdana" w:eastAsia="Century Gothic" w:hAnsi="Verdana" w:cs="Century Gothic"/>
          <w:bCs/>
          <w:sz w:val="20"/>
          <w:szCs w:val="20"/>
        </w:rPr>
        <w:t>documentos exigidos para la elaboración del contrato?</w:t>
      </w:r>
    </w:p>
    <w:p w14:paraId="22D865D3" w14:textId="77777777" w:rsidR="00FF49B9" w:rsidRPr="005E2559" w:rsidRDefault="00FF49B9" w:rsidP="00FF49B9">
      <w:pPr>
        <w:spacing w:after="0" w:line="240" w:lineRule="auto"/>
        <w:ind w:left="709" w:right="709"/>
        <w:jc w:val="both"/>
        <w:rPr>
          <w:rFonts w:ascii="Verdana" w:eastAsia="Century Gothic" w:hAnsi="Verdana" w:cs="Century Gothic"/>
          <w:bCs/>
          <w:sz w:val="20"/>
          <w:szCs w:val="20"/>
        </w:rPr>
      </w:pPr>
      <w:r w:rsidRPr="005E2559">
        <w:rPr>
          <w:rFonts w:ascii="Verdana" w:eastAsia="Century Gothic" w:hAnsi="Verdana" w:cs="Century Gothic"/>
          <w:bCs/>
          <w:sz w:val="20"/>
          <w:szCs w:val="20"/>
        </w:rPr>
        <w:t>• ¿Debería tener en cuenta la entidad la experiencia profesional aportada por el profesional, aunque esta</w:t>
      </w:r>
      <w:r>
        <w:rPr>
          <w:rFonts w:ascii="Verdana" w:eastAsia="Century Gothic" w:hAnsi="Verdana" w:cs="Century Gothic"/>
          <w:bCs/>
          <w:sz w:val="20"/>
          <w:szCs w:val="20"/>
        </w:rPr>
        <w:t xml:space="preserve"> </w:t>
      </w:r>
      <w:r w:rsidRPr="005E2559">
        <w:rPr>
          <w:rFonts w:ascii="Verdana" w:eastAsia="Century Gothic" w:hAnsi="Verdana" w:cs="Century Gothic"/>
          <w:bCs/>
          <w:sz w:val="20"/>
          <w:szCs w:val="20"/>
        </w:rPr>
        <w:t>se encuentre bajo su antiguo nombre y género femenino?</w:t>
      </w:r>
    </w:p>
    <w:p w14:paraId="62C72452" w14:textId="77777777" w:rsidR="00FF49B9" w:rsidRPr="005E2559" w:rsidRDefault="00FF49B9" w:rsidP="00FF49B9">
      <w:pPr>
        <w:spacing w:after="0" w:line="240" w:lineRule="auto"/>
        <w:ind w:left="709" w:right="709"/>
        <w:jc w:val="both"/>
        <w:rPr>
          <w:rFonts w:ascii="Verdana" w:eastAsia="Century Gothic" w:hAnsi="Verdana" w:cs="Century Gothic"/>
          <w:bCs/>
          <w:sz w:val="20"/>
          <w:szCs w:val="20"/>
        </w:rPr>
      </w:pPr>
      <w:r w:rsidRPr="005E2559">
        <w:rPr>
          <w:rFonts w:ascii="Verdana" w:eastAsia="Century Gothic" w:hAnsi="Verdana" w:cs="Century Gothic"/>
          <w:bCs/>
          <w:sz w:val="20"/>
          <w:szCs w:val="20"/>
        </w:rPr>
        <w:t>• ¿Debería tener en cuenta la entidad los diplomas de pregrado y posgrados que se encuentran bajo el</w:t>
      </w:r>
      <w:r>
        <w:rPr>
          <w:rFonts w:ascii="Verdana" w:eastAsia="Century Gothic" w:hAnsi="Verdana" w:cs="Century Gothic"/>
          <w:bCs/>
          <w:sz w:val="20"/>
          <w:szCs w:val="20"/>
        </w:rPr>
        <w:t xml:space="preserve"> </w:t>
      </w:r>
      <w:r w:rsidRPr="005E2559">
        <w:rPr>
          <w:rFonts w:ascii="Verdana" w:eastAsia="Century Gothic" w:hAnsi="Verdana" w:cs="Century Gothic"/>
          <w:bCs/>
          <w:sz w:val="20"/>
          <w:szCs w:val="20"/>
        </w:rPr>
        <w:t xml:space="preserve">nombre y género femenino, aunque </w:t>
      </w:r>
      <w:r w:rsidRPr="005E2559">
        <w:rPr>
          <w:rFonts w:ascii="Verdana" w:eastAsia="Century Gothic" w:hAnsi="Verdana" w:cs="Century Gothic"/>
          <w:bCs/>
          <w:sz w:val="20"/>
          <w:szCs w:val="20"/>
        </w:rPr>
        <w:lastRenderedPageBreak/>
        <w:t>el nombre que repose en la tarjeta profesional y cédula de ciudadanía</w:t>
      </w:r>
      <w:r>
        <w:rPr>
          <w:rFonts w:ascii="Verdana" w:eastAsia="Century Gothic" w:hAnsi="Verdana" w:cs="Century Gothic"/>
          <w:bCs/>
          <w:sz w:val="20"/>
          <w:szCs w:val="20"/>
        </w:rPr>
        <w:t xml:space="preserve"> </w:t>
      </w:r>
      <w:r w:rsidRPr="005E2559">
        <w:rPr>
          <w:rFonts w:ascii="Verdana" w:eastAsia="Century Gothic" w:hAnsi="Verdana" w:cs="Century Gothic"/>
          <w:bCs/>
          <w:sz w:val="20"/>
          <w:szCs w:val="20"/>
        </w:rPr>
        <w:t>sea de nombre y género masculino?</w:t>
      </w:r>
      <w:r w:rsidRPr="005E2559">
        <w:rPr>
          <w:rFonts w:ascii="Verdana" w:eastAsia="Century Gothic" w:hAnsi="Verdana" w:cs="Century Gothic"/>
          <w:sz w:val="20"/>
          <w:szCs w:val="20"/>
        </w:rPr>
        <w:t>”</w:t>
      </w:r>
    </w:p>
    <w:p w14:paraId="0CC9415F" w14:textId="77777777" w:rsidR="00FF49B9" w:rsidRPr="00A74C36" w:rsidRDefault="00FF49B9" w:rsidP="00FF49B9">
      <w:pPr>
        <w:tabs>
          <w:tab w:val="left" w:pos="142"/>
          <w:tab w:val="left" w:pos="284"/>
        </w:tabs>
        <w:spacing w:after="0" w:line="276" w:lineRule="auto"/>
        <w:contextualSpacing/>
        <w:jc w:val="both"/>
        <w:rPr>
          <w:rFonts w:ascii="Verdana" w:eastAsia="Century Gothic" w:hAnsi="Verdana" w:cs="Century Gothic"/>
          <w:b/>
          <w:bCs/>
          <w:lang w:val="es-ES"/>
        </w:rPr>
      </w:pPr>
    </w:p>
    <w:p w14:paraId="1FDD9C5A" w14:textId="77777777" w:rsidR="00FF49B9" w:rsidRPr="00A74C36" w:rsidRDefault="00FF49B9" w:rsidP="00FF49B9">
      <w:pPr>
        <w:spacing w:after="120" w:line="276" w:lineRule="auto"/>
        <w:ind w:firstLine="709"/>
        <w:jc w:val="both"/>
        <w:rPr>
          <w:rFonts w:ascii="Verdana" w:eastAsia="Calibri" w:hAnsi="Verdana" w:cs="Arial"/>
          <w:color w:val="000000"/>
          <w:lang w:val="es-ES" w:eastAsia="es-ES"/>
        </w:rPr>
      </w:pPr>
      <w:r w:rsidRPr="00A74C3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74C36">
        <w:rPr>
          <w:rFonts w:ascii="Verdana" w:eastAsia="Calibri" w:hAnsi="Verdana" w:cs="Arial"/>
          <w:color w:val="000000"/>
          <w:szCs w:val="24"/>
          <w:lang w:val="es-ES_tradnl" w:eastAsia="es-ES_tradnl"/>
        </w:rPr>
        <w:tab/>
      </w:r>
    </w:p>
    <w:p w14:paraId="13C3DD13" w14:textId="77777777" w:rsidR="00FF49B9" w:rsidRPr="00A74C36" w:rsidRDefault="00FF49B9" w:rsidP="00FF49B9">
      <w:pPr>
        <w:spacing w:after="0" w:line="276" w:lineRule="auto"/>
        <w:ind w:firstLine="708"/>
        <w:jc w:val="both"/>
        <w:rPr>
          <w:rFonts w:ascii="Verdana" w:eastAsia="Calibri" w:hAnsi="Verdana" w:cs="Times New Roman"/>
          <w:lang w:val="es-ES"/>
        </w:rPr>
      </w:pPr>
      <w:r w:rsidRPr="00A74C3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C04D41A" w14:textId="77777777" w:rsidR="00FF49B9" w:rsidRPr="00A74C36" w:rsidRDefault="00FF49B9" w:rsidP="00FF49B9">
      <w:pPr>
        <w:spacing w:after="0" w:line="276" w:lineRule="auto"/>
        <w:jc w:val="both"/>
        <w:rPr>
          <w:rFonts w:ascii="Verdana" w:eastAsia="Calibri" w:hAnsi="Verdana" w:cs="Arial"/>
          <w:color w:val="000000"/>
          <w:lang w:val="es-ES" w:eastAsia="es-ES"/>
        </w:rPr>
      </w:pPr>
    </w:p>
    <w:p w14:paraId="4049DE1C" w14:textId="77777777" w:rsidR="00FF49B9" w:rsidRPr="00A74C36" w:rsidRDefault="00FF49B9" w:rsidP="00FF49B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A74C36">
        <w:rPr>
          <w:rFonts w:ascii="Verdana" w:eastAsia="Century Gothic" w:hAnsi="Verdana" w:cs="Century Gothic"/>
          <w:b/>
          <w:bCs/>
          <w:lang w:val="es-ES"/>
        </w:rPr>
        <w:t>Problema planteado:</w:t>
      </w:r>
    </w:p>
    <w:p w14:paraId="6CDAAAE4" w14:textId="77777777" w:rsidR="00FF49B9" w:rsidRPr="00A74C36" w:rsidRDefault="00FF49B9" w:rsidP="00FF49B9">
      <w:pPr>
        <w:tabs>
          <w:tab w:val="left" w:pos="426"/>
        </w:tabs>
        <w:spacing w:after="0" w:line="276" w:lineRule="auto"/>
        <w:jc w:val="both"/>
        <w:rPr>
          <w:rFonts w:ascii="Verdana" w:eastAsia="Century Gothic" w:hAnsi="Verdana" w:cs="Century Gothic"/>
          <w:lang w:val="es-ES"/>
        </w:rPr>
      </w:pPr>
    </w:p>
    <w:p w14:paraId="1BDADB0D" w14:textId="77777777" w:rsidR="00FF49B9" w:rsidRPr="00A74C36" w:rsidRDefault="00FF49B9" w:rsidP="00FF49B9">
      <w:pPr>
        <w:spacing w:after="0" w:line="276" w:lineRule="auto"/>
        <w:jc w:val="both"/>
        <w:rPr>
          <w:rFonts w:ascii="Verdana" w:eastAsia="Century Gothic" w:hAnsi="Verdana" w:cs="Century Gothic"/>
        </w:rPr>
      </w:pPr>
      <w:r w:rsidRPr="00A74C36">
        <w:rPr>
          <w:rFonts w:ascii="Verdana" w:eastAsia="Century Gothic" w:hAnsi="Verdana" w:cs="Century Gothic"/>
        </w:rPr>
        <w:t xml:space="preserve">Conforme al contenido de su solicitud, esta Agencia resolverá el siguiente problema jurídico: </w:t>
      </w:r>
      <w:r>
        <w:rPr>
          <w:rFonts w:ascii="Verdana" w:eastAsia="Century Gothic" w:hAnsi="Verdana" w:cs="Century Gothic"/>
        </w:rPr>
        <w:t xml:space="preserve">¿Es procedente la contratación por prestación de servicios a con una persona que modificó su nombre y género cuando la información entregada es con su anterior información personal? </w:t>
      </w:r>
    </w:p>
    <w:p w14:paraId="36123CB1" w14:textId="77777777" w:rsidR="00FF49B9" w:rsidRPr="00A74C36" w:rsidRDefault="00FF49B9" w:rsidP="00FF49B9">
      <w:pPr>
        <w:spacing w:after="0" w:line="276" w:lineRule="auto"/>
        <w:jc w:val="both"/>
        <w:rPr>
          <w:rFonts w:ascii="Verdana" w:eastAsia="Calibri" w:hAnsi="Verdana" w:cs="Arial"/>
          <w:color w:val="7030A0"/>
        </w:rPr>
      </w:pPr>
    </w:p>
    <w:p w14:paraId="74AF2A44" w14:textId="77777777" w:rsidR="00FF49B9" w:rsidRPr="00A74C36" w:rsidRDefault="00FF49B9" w:rsidP="00FF49B9">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A74C36">
        <w:rPr>
          <w:rFonts w:ascii="Verdana" w:eastAsia="Century Gothic" w:hAnsi="Verdana" w:cs="Century Gothic"/>
          <w:b/>
          <w:bCs/>
          <w:lang w:val="es-ES"/>
        </w:rPr>
        <w:t>Respuesta:</w:t>
      </w:r>
    </w:p>
    <w:p w14:paraId="7EF555FB" w14:textId="77777777" w:rsidR="00FF49B9" w:rsidRPr="00A74C36" w:rsidRDefault="00FF49B9" w:rsidP="00FF49B9">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49B9" w:rsidRPr="00A74C36" w14:paraId="0C0073C5" w14:textId="77777777" w:rsidTr="00EA4763">
        <w:trPr>
          <w:jc w:val="center"/>
        </w:trPr>
        <w:tc>
          <w:tcPr>
            <w:tcW w:w="8828" w:type="dxa"/>
          </w:tcPr>
          <w:p w14:paraId="24F071F3" w14:textId="77777777" w:rsidR="00FF49B9" w:rsidRDefault="00FF49B9" w:rsidP="00EA4763">
            <w:pPr>
              <w:spacing w:before="120" w:after="120" w:line="276" w:lineRule="auto"/>
              <w:jc w:val="both"/>
              <w:rPr>
                <w:rFonts w:ascii="Verdana" w:eastAsia="Aptos" w:hAnsi="Verdana" w:cs="Times New Roman"/>
                <w:kern w:val="2"/>
                <w14:ligatures w14:val="standardContextual"/>
              </w:rPr>
            </w:pPr>
            <w:bookmarkStart w:id="2" w:name="_Hlk171694685"/>
            <w:r>
              <w:rPr>
                <w:rFonts w:ascii="Verdana" w:eastAsia="Aptos" w:hAnsi="Verdana" w:cs="Times New Roman"/>
                <w:kern w:val="2"/>
                <w14:ligatures w14:val="standardContextual"/>
              </w:rPr>
              <w:t xml:space="preserve">En atención al problema jurídico de su consulta, se expresa que </w:t>
            </w:r>
            <w:r w:rsidRPr="00BF44D7">
              <w:rPr>
                <w:rFonts w:ascii="Verdana" w:eastAsia="Aptos" w:hAnsi="Verdana" w:cs="Times New Roman"/>
                <w:kern w:val="2"/>
                <w14:ligatures w14:val="standardContextual"/>
              </w:rPr>
              <w:t xml:space="preserve">la identidad de género es un derecho fundamental que debe </w:t>
            </w:r>
            <w:r>
              <w:rPr>
                <w:rFonts w:ascii="Verdana" w:eastAsia="Aptos" w:hAnsi="Verdana" w:cs="Times New Roman"/>
                <w:kern w:val="2"/>
                <w14:ligatures w14:val="standardContextual"/>
              </w:rPr>
              <w:t xml:space="preserve">respetarse y garantizarse </w:t>
            </w:r>
            <w:r w:rsidRPr="00BF44D7">
              <w:rPr>
                <w:rFonts w:ascii="Verdana" w:eastAsia="Aptos" w:hAnsi="Verdana" w:cs="Times New Roman"/>
                <w:kern w:val="2"/>
                <w14:ligatures w14:val="standardContextual"/>
              </w:rPr>
              <w:t>en todos los ámbitos sociales, incluyendo el laboral</w:t>
            </w:r>
            <w:r>
              <w:rPr>
                <w:rFonts w:ascii="Verdana" w:eastAsia="Aptos" w:hAnsi="Verdana" w:cs="Times New Roman"/>
                <w:kern w:val="2"/>
                <w14:ligatures w14:val="standardContextual"/>
              </w:rPr>
              <w:t xml:space="preserve"> o contractual</w:t>
            </w:r>
            <w:r w:rsidRPr="00BF44D7">
              <w:rPr>
                <w:rFonts w:ascii="Verdana" w:eastAsia="Aptos" w:hAnsi="Verdana" w:cs="Times New Roman"/>
                <w:kern w:val="2"/>
                <w14:ligatures w14:val="standardContextual"/>
              </w:rPr>
              <w:t>. El cambio de nombre o de sexo en los documentos oficiales de una person</w:t>
            </w:r>
            <w:r>
              <w:rPr>
                <w:rFonts w:ascii="Verdana" w:eastAsia="Aptos" w:hAnsi="Verdana" w:cs="Times New Roman"/>
                <w:kern w:val="2"/>
                <w14:ligatures w14:val="standardContextual"/>
              </w:rPr>
              <w:t xml:space="preserve">a transgénero no debe implicar </w:t>
            </w:r>
            <w:r w:rsidRPr="00BF44D7">
              <w:rPr>
                <w:rFonts w:ascii="Verdana" w:eastAsia="Aptos" w:hAnsi="Verdana" w:cs="Times New Roman"/>
                <w:kern w:val="2"/>
                <w14:ligatures w14:val="standardContextual"/>
              </w:rPr>
              <w:t>la pérdida o negación de su experiencia laboral previa</w:t>
            </w:r>
            <w:r>
              <w:rPr>
                <w:rFonts w:ascii="Verdana" w:eastAsia="Aptos" w:hAnsi="Verdana" w:cs="Times New Roman"/>
                <w:kern w:val="2"/>
                <w14:ligatures w14:val="standardContextual"/>
              </w:rPr>
              <w:t>, o la pérdida de capacidad jurídica a efecto de asumir una relación laboral o contractual</w:t>
            </w:r>
            <w:r w:rsidRPr="00BF44D7">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 xml:space="preserve">Imponer barreras </w:t>
            </w:r>
            <w:r w:rsidRPr="00BF44D7">
              <w:rPr>
                <w:rFonts w:ascii="Verdana" w:eastAsia="Aptos" w:hAnsi="Verdana" w:cs="Times New Roman"/>
                <w:kern w:val="2"/>
                <w14:ligatures w14:val="standardContextual"/>
              </w:rPr>
              <w:t xml:space="preserve">constituiría una </w:t>
            </w:r>
            <w:r>
              <w:rPr>
                <w:rFonts w:ascii="Verdana" w:eastAsia="Aptos" w:hAnsi="Verdana" w:cs="Times New Roman"/>
                <w:kern w:val="2"/>
                <w14:ligatures w14:val="standardContextual"/>
              </w:rPr>
              <w:t xml:space="preserve">práctica </w:t>
            </w:r>
            <w:r w:rsidRPr="00BF44D7">
              <w:rPr>
                <w:rFonts w:ascii="Verdana" w:eastAsia="Aptos" w:hAnsi="Verdana" w:cs="Times New Roman"/>
                <w:kern w:val="2"/>
                <w14:ligatures w14:val="standardContextual"/>
              </w:rPr>
              <w:t xml:space="preserve">discriminatoria que </w:t>
            </w:r>
            <w:r w:rsidRPr="00BF44D7">
              <w:rPr>
                <w:rFonts w:ascii="Verdana" w:eastAsia="Aptos" w:hAnsi="Verdana" w:cs="Times New Roman"/>
                <w:kern w:val="2"/>
                <w14:ligatures w14:val="standardContextual"/>
              </w:rPr>
              <w:lastRenderedPageBreak/>
              <w:t xml:space="preserve">afecta directamente el acceso, permanencia y dignidad laboral </w:t>
            </w:r>
            <w:r>
              <w:rPr>
                <w:rFonts w:ascii="Verdana" w:eastAsia="Aptos" w:hAnsi="Verdana" w:cs="Times New Roman"/>
                <w:kern w:val="2"/>
                <w14:ligatures w14:val="standardContextual"/>
              </w:rPr>
              <w:t xml:space="preserve">o contractual </w:t>
            </w:r>
            <w:r w:rsidRPr="00BF44D7">
              <w:rPr>
                <w:rFonts w:ascii="Verdana" w:eastAsia="Aptos" w:hAnsi="Verdana" w:cs="Times New Roman"/>
                <w:kern w:val="2"/>
                <w14:ligatures w14:val="standardContextual"/>
              </w:rPr>
              <w:t>de estas personas.</w:t>
            </w:r>
            <w:r>
              <w:rPr>
                <w:rFonts w:ascii="Verdana" w:eastAsia="Aptos" w:hAnsi="Verdana" w:cs="Times New Roman"/>
                <w:kern w:val="2"/>
                <w14:ligatures w14:val="standardContextual"/>
              </w:rPr>
              <w:t xml:space="preserve"> Al respecto, s</w:t>
            </w:r>
            <w:r w:rsidRPr="00BF44D7">
              <w:rPr>
                <w:rFonts w:ascii="Verdana" w:eastAsia="Aptos" w:hAnsi="Verdana" w:cs="Times New Roman"/>
                <w:kern w:val="2"/>
                <w14:ligatures w14:val="standardContextual"/>
              </w:rPr>
              <w:t xml:space="preserve">e han establecido reglas claras para garantizar el acceso y trato digno </w:t>
            </w:r>
            <w:r>
              <w:rPr>
                <w:rFonts w:ascii="Verdana" w:eastAsia="Aptos" w:hAnsi="Verdana" w:cs="Times New Roman"/>
                <w:kern w:val="2"/>
                <w14:ligatures w14:val="standardContextual"/>
              </w:rPr>
              <w:t>a escenarios laborales o contractuales</w:t>
            </w:r>
            <w:r w:rsidRPr="00BF44D7">
              <w:rPr>
                <w:rFonts w:ascii="Verdana" w:eastAsia="Aptos" w:hAnsi="Verdana" w:cs="Times New Roman"/>
                <w:kern w:val="2"/>
                <w14:ligatures w14:val="standardContextual"/>
              </w:rPr>
              <w:t xml:space="preserve"> para las personas tr</w:t>
            </w:r>
            <w:r>
              <w:rPr>
                <w:rFonts w:ascii="Verdana" w:eastAsia="Aptos" w:hAnsi="Verdana" w:cs="Times New Roman"/>
                <w:kern w:val="2"/>
                <w14:ligatures w14:val="standardContextual"/>
              </w:rPr>
              <w:t xml:space="preserve">ans. </w:t>
            </w:r>
          </w:p>
          <w:p w14:paraId="3750432E" w14:textId="77777777" w:rsidR="00FF49B9" w:rsidRPr="00BF44D7" w:rsidRDefault="00FF49B9" w:rsidP="00EA4763">
            <w:pPr>
              <w:spacing w:before="120" w:after="120" w:line="276" w:lineRule="auto"/>
              <w:ind w:firstLine="567"/>
              <w:jc w:val="both"/>
              <w:rPr>
                <w:rFonts w:ascii="Verdana" w:eastAsia="Aptos" w:hAnsi="Verdana" w:cs="Times New Roman"/>
                <w:kern w:val="2"/>
                <w14:ligatures w14:val="standardContextual"/>
              </w:rPr>
            </w:pPr>
            <w:r w:rsidRPr="00BF44D7">
              <w:rPr>
                <w:rFonts w:ascii="Verdana" w:eastAsia="Aptos" w:hAnsi="Verdana" w:cs="Times New Roman"/>
                <w:kern w:val="2"/>
                <w14:ligatures w14:val="standardContextual"/>
              </w:rPr>
              <w:t>Para garantizar que la identidad tenga correspondencia con los documentos de la persona existe la facultad de la rectificación o modificación de los datos registrales, lo cual está amparado constitucionalmente y reglamentado por la Ley Estatutaria 1266 de 2008, la Ley 1581 de 2012 y el Decreto 1377 de 2013. Es fundamental entender que el proceso de cambio de nombre o sexo en documentos no implica la eliminación ni perdida de la experiencia laboral</w:t>
            </w:r>
            <w:r>
              <w:rPr>
                <w:rFonts w:ascii="Verdana" w:eastAsia="Aptos" w:hAnsi="Verdana" w:cs="Times New Roman"/>
                <w:kern w:val="2"/>
                <w14:ligatures w14:val="standardContextual"/>
              </w:rPr>
              <w:t xml:space="preserve"> o profesional</w:t>
            </w:r>
            <w:r w:rsidRPr="00BF44D7">
              <w:rPr>
                <w:rFonts w:ascii="Verdana" w:eastAsia="Aptos" w:hAnsi="Verdana" w:cs="Times New Roman"/>
                <w:kern w:val="2"/>
                <w14:ligatures w14:val="standardContextual"/>
              </w:rPr>
              <w:t xml:space="preserve"> adquirida previamente. Por el contrario, la continuidad del historial profesional debe mantenerse intacta, garantizando que la persona pueda acreditar su trayectoria y formación sin que su cambio identitario sea un obstáculo.</w:t>
            </w:r>
          </w:p>
          <w:p w14:paraId="1D2E15A1" w14:textId="77777777" w:rsidR="00FF49B9" w:rsidRPr="00E53F61" w:rsidRDefault="00FF49B9" w:rsidP="00EA4763">
            <w:pPr>
              <w:spacing w:before="120" w:after="120" w:line="276" w:lineRule="auto"/>
              <w:ind w:firstLine="567"/>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L</w:t>
            </w:r>
            <w:r w:rsidRPr="00BF44D7">
              <w:rPr>
                <w:rFonts w:ascii="Verdana" w:eastAsia="Aptos" w:hAnsi="Verdana" w:cs="Times New Roman"/>
                <w:kern w:val="2"/>
                <w14:ligatures w14:val="standardContextual"/>
              </w:rPr>
              <w:t>a experiencia laboral</w:t>
            </w:r>
            <w:r>
              <w:rPr>
                <w:rFonts w:ascii="Verdana" w:eastAsia="Aptos" w:hAnsi="Verdana" w:cs="Times New Roman"/>
                <w:kern w:val="2"/>
                <w14:ligatures w14:val="standardContextual"/>
              </w:rPr>
              <w:t xml:space="preserve"> o profesional</w:t>
            </w:r>
            <w:r w:rsidRPr="00BF44D7">
              <w:rPr>
                <w:rFonts w:ascii="Verdana" w:eastAsia="Aptos" w:hAnsi="Verdana" w:cs="Times New Roman"/>
                <w:kern w:val="2"/>
                <w14:ligatures w14:val="standardContextual"/>
              </w:rPr>
              <w:t xml:space="preserve"> de una persona transgénero no desaparece ni pierde validez por e</w:t>
            </w:r>
            <w:r>
              <w:rPr>
                <w:rFonts w:ascii="Verdana" w:eastAsia="Aptos" w:hAnsi="Verdana" w:cs="Times New Roman"/>
                <w:kern w:val="2"/>
                <w14:ligatures w14:val="standardContextual"/>
              </w:rPr>
              <w:t>l hecho de cambiar su nombre o género</w:t>
            </w:r>
            <w:r w:rsidRPr="00BF44D7">
              <w:rPr>
                <w:rFonts w:ascii="Verdana" w:eastAsia="Aptos" w:hAnsi="Verdana" w:cs="Times New Roman"/>
                <w:kern w:val="2"/>
                <w14:ligatures w14:val="standardContextual"/>
              </w:rPr>
              <w:t xml:space="preserve"> en los documentos oficiales. Cualquier acto o práctica que considere dicha experiencia invalidada o que la excluya por discrepancias en los documentos constituye una clara barrera discriminatoria, prohibida por la Constitución y la jurisprudencia de la</w:t>
            </w:r>
            <w:r>
              <w:rPr>
                <w:rFonts w:ascii="Verdana" w:eastAsia="Aptos" w:hAnsi="Verdana" w:cs="Times New Roman"/>
                <w:kern w:val="2"/>
                <w14:ligatures w14:val="standardContextual"/>
              </w:rPr>
              <w:t xml:space="preserve"> Corte Constitucional, como se expone en las razones de la respuesta</w:t>
            </w:r>
            <w:r w:rsidRPr="00BF44D7">
              <w:rPr>
                <w:rFonts w:ascii="Verdana" w:eastAsia="Aptos" w:hAnsi="Verdana" w:cs="Times New Roman"/>
                <w:kern w:val="2"/>
                <w14:ligatures w14:val="standardContextual"/>
              </w:rPr>
              <w:t>.</w:t>
            </w:r>
          </w:p>
        </w:tc>
      </w:tr>
    </w:tbl>
    <w:p w14:paraId="0865FB7A" w14:textId="77777777" w:rsidR="00FF49B9" w:rsidRPr="00A74C36" w:rsidRDefault="00FF49B9" w:rsidP="00FF49B9">
      <w:pPr>
        <w:tabs>
          <w:tab w:val="left" w:pos="142"/>
          <w:tab w:val="left" w:pos="284"/>
        </w:tabs>
        <w:spacing w:after="0" w:line="276" w:lineRule="auto"/>
        <w:jc w:val="both"/>
        <w:rPr>
          <w:rFonts w:ascii="Verdana" w:eastAsia="Century Gothic" w:hAnsi="Verdana" w:cs="Century Gothic"/>
          <w:b/>
          <w:bCs/>
        </w:rPr>
      </w:pPr>
    </w:p>
    <w:bookmarkEnd w:id="2"/>
    <w:p w14:paraId="4B6D1F8E" w14:textId="77777777" w:rsidR="00FF49B9" w:rsidRPr="00A74C36" w:rsidRDefault="00FF49B9" w:rsidP="00FF49B9">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A74C36">
        <w:rPr>
          <w:rFonts w:ascii="Verdana" w:eastAsia="Century Gothic" w:hAnsi="Verdana" w:cs="Century Gothic"/>
          <w:b/>
          <w:bCs/>
          <w:lang w:val="es-ES"/>
        </w:rPr>
        <w:t>Razones de la respuesta:</w:t>
      </w:r>
    </w:p>
    <w:p w14:paraId="3460792E" w14:textId="77777777" w:rsidR="00FF49B9" w:rsidRPr="00A74C36" w:rsidRDefault="00FF49B9" w:rsidP="00FF49B9">
      <w:pPr>
        <w:spacing w:after="0" w:line="276" w:lineRule="auto"/>
        <w:jc w:val="both"/>
        <w:rPr>
          <w:rFonts w:ascii="Verdana" w:eastAsia="Calibri" w:hAnsi="Verdana" w:cs="Arial"/>
          <w:color w:val="7030A0"/>
          <w:lang w:val="es-ES"/>
        </w:rPr>
      </w:pPr>
    </w:p>
    <w:p w14:paraId="7415B772" w14:textId="77777777" w:rsidR="00FF49B9" w:rsidRPr="00A74C36" w:rsidRDefault="00FF49B9" w:rsidP="00FF49B9">
      <w:pPr>
        <w:spacing w:after="0" w:line="276" w:lineRule="auto"/>
        <w:jc w:val="both"/>
        <w:rPr>
          <w:rFonts w:ascii="Verdana" w:eastAsia="Calibri" w:hAnsi="Verdana" w:cs="Arial"/>
          <w:lang w:val="es-ES"/>
        </w:rPr>
      </w:pPr>
      <w:r w:rsidRPr="00A74C36">
        <w:rPr>
          <w:rFonts w:ascii="Verdana" w:eastAsia="Calibri" w:hAnsi="Verdana" w:cs="Arial"/>
          <w:lang w:val="es-ES"/>
        </w:rPr>
        <w:t>Lo anterior se sustenta en las siguientes consideraciones:</w:t>
      </w:r>
    </w:p>
    <w:p w14:paraId="002B732C" w14:textId="77777777" w:rsidR="00FF49B9" w:rsidRPr="00A74C36" w:rsidRDefault="00FF49B9" w:rsidP="00FF49B9">
      <w:pPr>
        <w:spacing w:after="0" w:line="276" w:lineRule="auto"/>
        <w:jc w:val="both"/>
        <w:rPr>
          <w:rFonts w:ascii="Verdana" w:eastAsia="Calibri" w:hAnsi="Verdana" w:cs="Arial"/>
          <w:lang w:val="es-ES"/>
        </w:rPr>
      </w:pPr>
    </w:p>
    <w:p w14:paraId="1DEE220C" w14:textId="77777777" w:rsidR="00FF49B9" w:rsidRPr="00A74C36" w:rsidRDefault="00FF49B9" w:rsidP="00FF49B9">
      <w:pPr>
        <w:spacing w:after="0" w:line="276" w:lineRule="auto"/>
        <w:jc w:val="both"/>
        <w:rPr>
          <w:rFonts w:ascii="Verdana" w:eastAsia="Calibri" w:hAnsi="Verdana" w:cs="Arial"/>
          <w:color w:val="000000"/>
        </w:rPr>
      </w:pPr>
      <w:r w:rsidRPr="00A74C36">
        <w:rPr>
          <w:rFonts w:ascii="Verdana" w:eastAsia="Arial" w:hAnsi="Verdana" w:cs="Arial"/>
          <w:lang w:val="es-ES"/>
        </w:rPr>
        <w:t xml:space="preserve">i. </w:t>
      </w:r>
      <w:r w:rsidRPr="00A74C36">
        <w:rPr>
          <w:rFonts w:ascii="Verdana" w:eastAsia="Calibri" w:hAnsi="Verdana" w:cs="Arial"/>
          <w:color w:val="00000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539CEFA4" w14:textId="77777777" w:rsidR="00FF49B9" w:rsidRPr="00A74C36" w:rsidRDefault="00FF49B9" w:rsidP="00FF49B9">
      <w:pPr>
        <w:spacing w:after="0" w:line="276" w:lineRule="auto"/>
        <w:jc w:val="both"/>
        <w:rPr>
          <w:rFonts w:ascii="Verdana" w:eastAsia="Calibri" w:hAnsi="Verdana" w:cs="Arial"/>
          <w:color w:val="000000"/>
        </w:rPr>
      </w:pPr>
    </w:p>
    <w:p w14:paraId="46A2412B" w14:textId="77777777" w:rsidR="00FF49B9" w:rsidRPr="00A74C36" w:rsidRDefault="00FF49B9" w:rsidP="00FF49B9">
      <w:pPr>
        <w:spacing w:after="0" w:line="240" w:lineRule="auto"/>
        <w:ind w:left="709" w:right="709"/>
        <w:jc w:val="both"/>
        <w:rPr>
          <w:rFonts w:ascii="Verdana" w:eastAsia="Calibri" w:hAnsi="Verdana" w:cs="Arial"/>
          <w:color w:val="000000"/>
          <w:sz w:val="21"/>
          <w:szCs w:val="21"/>
        </w:rPr>
      </w:pPr>
      <w:r w:rsidRPr="00A74C36">
        <w:rPr>
          <w:rFonts w:ascii="Verdana" w:eastAsia="Calibri" w:hAnsi="Verdana" w:cs="Arial"/>
          <w:color w:val="000000" w:themeColor="text1"/>
          <w:sz w:val="21"/>
          <w:szCs w:val="21"/>
        </w:rPr>
        <w:t xml:space="preserve">“Son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A74C36">
        <w:rPr>
          <w:rFonts w:ascii="Verdana" w:eastAsia="Calibri" w:hAnsi="Verdana" w:cs="Arial"/>
          <w:color w:val="000000" w:themeColor="text1"/>
          <w:sz w:val="21"/>
          <w:szCs w:val="21"/>
        </w:rPr>
        <w:lastRenderedPageBreak/>
        <w:t>no puedan realizarse con personal de planta o requieran conocimientos especializados.</w:t>
      </w:r>
    </w:p>
    <w:p w14:paraId="59AAD940" w14:textId="77777777" w:rsidR="00FF49B9" w:rsidRPr="00A74C36" w:rsidRDefault="00FF49B9" w:rsidP="00FF49B9">
      <w:pPr>
        <w:spacing w:after="0" w:line="240" w:lineRule="auto"/>
        <w:ind w:left="709" w:right="709"/>
        <w:jc w:val="both"/>
        <w:rPr>
          <w:rFonts w:ascii="Verdana" w:eastAsia="Calibri" w:hAnsi="Verdana" w:cs="Arial"/>
          <w:color w:val="000000"/>
          <w:sz w:val="21"/>
          <w:szCs w:val="21"/>
        </w:rPr>
      </w:pPr>
    </w:p>
    <w:p w14:paraId="0A5D42CC" w14:textId="77777777" w:rsidR="00FF49B9" w:rsidRPr="00A74C36" w:rsidRDefault="00FF49B9" w:rsidP="00FF49B9">
      <w:pPr>
        <w:spacing w:after="0" w:line="240" w:lineRule="auto"/>
        <w:ind w:left="709" w:right="709"/>
        <w:jc w:val="both"/>
        <w:rPr>
          <w:rFonts w:ascii="Verdana" w:eastAsia="Calibri" w:hAnsi="Verdana" w:cs="Arial"/>
          <w:color w:val="000000"/>
          <w:sz w:val="21"/>
          <w:szCs w:val="21"/>
        </w:rPr>
      </w:pPr>
      <w:r w:rsidRPr="00A74C36">
        <w:rPr>
          <w:rFonts w:ascii="Verdana" w:eastAsia="Calibri" w:hAnsi="Verdana" w:cs="Arial"/>
          <w:color w:val="000000" w:themeColor="text1"/>
          <w:sz w:val="21"/>
          <w:szCs w:val="21"/>
        </w:rPr>
        <w:t>En ningún caso estos contratos generan relación laboral ni prestaciones sociales y se celebrarán por el término estrictamente indispensable”.</w:t>
      </w:r>
    </w:p>
    <w:p w14:paraId="36D837B8" w14:textId="77777777" w:rsidR="00FF49B9" w:rsidRPr="00A74C36" w:rsidRDefault="00FF49B9" w:rsidP="00FF49B9">
      <w:pPr>
        <w:tabs>
          <w:tab w:val="left" w:pos="284"/>
        </w:tabs>
        <w:spacing w:after="0" w:line="276" w:lineRule="auto"/>
        <w:contextualSpacing/>
        <w:jc w:val="both"/>
        <w:rPr>
          <w:rFonts w:ascii="Verdana" w:eastAsia="Calibri" w:hAnsi="Verdana" w:cs="Arial"/>
          <w:b/>
          <w:color w:val="000000"/>
        </w:rPr>
      </w:pPr>
    </w:p>
    <w:p w14:paraId="1FDE5CBF" w14:textId="77777777" w:rsidR="00FF49B9" w:rsidRPr="00A74C36" w:rsidRDefault="00FF49B9" w:rsidP="00FF49B9">
      <w:pPr>
        <w:spacing w:after="0" w:line="276" w:lineRule="auto"/>
        <w:ind w:firstLine="709"/>
        <w:jc w:val="both"/>
        <w:rPr>
          <w:rFonts w:ascii="Verdana" w:eastAsia="Calibri" w:hAnsi="Verdana" w:cs="Arial"/>
          <w:color w:val="000000"/>
        </w:rPr>
      </w:pPr>
      <w:r w:rsidRPr="00A74C36">
        <w:rPr>
          <w:rFonts w:ascii="Verdana" w:eastAsia="Calibri" w:hAnsi="Verdana" w:cs="Arial"/>
          <w:color w:val="000000"/>
        </w:rPr>
        <w:t>De otro lado, la celebración de dicho contrato debe efectuarse mediante la modalidad de la contratación directa. Así lo prevé el artículo 2, numeral 4º, literal h) de la Ley 1150 de 2007, que dispone:</w:t>
      </w:r>
    </w:p>
    <w:p w14:paraId="3098C921" w14:textId="77777777" w:rsidR="00FF49B9" w:rsidRPr="00A74C36" w:rsidRDefault="00FF49B9" w:rsidP="00FF49B9">
      <w:pPr>
        <w:spacing w:after="0" w:line="276" w:lineRule="auto"/>
        <w:ind w:firstLine="709"/>
        <w:jc w:val="both"/>
        <w:rPr>
          <w:rFonts w:ascii="Verdana" w:eastAsia="Calibri" w:hAnsi="Verdana" w:cs="Arial"/>
          <w:color w:val="000000"/>
        </w:rPr>
      </w:pPr>
    </w:p>
    <w:p w14:paraId="7068C43D" w14:textId="77777777" w:rsidR="00FF49B9" w:rsidRPr="00A74C36" w:rsidRDefault="00FF49B9" w:rsidP="00FF49B9">
      <w:pPr>
        <w:spacing w:after="0" w:line="240" w:lineRule="auto"/>
        <w:ind w:left="709" w:right="709"/>
        <w:jc w:val="both"/>
        <w:rPr>
          <w:rFonts w:ascii="Verdana" w:eastAsia="Calibri" w:hAnsi="Verdana" w:cs="Arial"/>
          <w:color w:val="000000"/>
          <w:sz w:val="20"/>
          <w:szCs w:val="20"/>
        </w:rPr>
      </w:pPr>
      <w:r w:rsidRPr="00A74C36">
        <w:rPr>
          <w:rFonts w:ascii="Verdana" w:eastAsia="Calibri" w:hAnsi="Verdana" w:cs="Arial"/>
          <w:color w:val="000000" w:themeColor="text1"/>
          <w:sz w:val="20"/>
          <w:szCs w:val="20"/>
        </w:rPr>
        <w:t>“[…]Contratación directa. La modalidad de selección de contratación directa, solamente procederá en los siguientes casos:</w:t>
      </w:r>
    </w:p>
    <w:p w14:paraId="7E3D3C69" w14:textId="77777777" w:rsidR="00FF49B9" w:rsidRPr="00A74C36" w:rsidRDefault="00FF49B9" w:rsidP="00FF49B9">
      <w:pPr>
        <w:spacing w:after="0" w:line="240" w:lineRule="auto"/>
        <w:ind w:left="709" w:right="709"/>
        <w:jc w:val="both"/>
        <w:rPr>
          <w:rFonts w:ascii="Verdana" w:eastAsia="Calibri" w:hAnsi="Verdana" w:cs="Arial"/>
          <w:color w:val="000000"/>
          <w:sz w:val="20"/>
          <w:szCs w:val="20"/>
        </w:rPr>
      </w:pPr>
    </w:p>
    <w:p w14:paraId="0E4389D9" w14:textId="77777777" w:rsidR="00FF49B9" w:rsidRPr="00A74C36" w:rsidRDefault="00FF49B9" w:rsidP="00FF49B9">
      <w:pPr>
        <w:spacing w:after="0" w:line="240" w:lineRule="auto"/>
        <w:ind w:left="709" w:right="709"/>
        <w:jc w:val="both"/>
        <w:rPr>
          <w:rFonts w:ascii="Verdana" w:eastAsia="Calibri" w:hAnsi="Verdana" w:cs="Arial"/>
          <w:color w:val="000000"/>
          <w:sz w:val="20"/>
          <w:szCs w:val="20"/>
        </w:rPr>
      </w:pPr>
      <w:r w:rsidRPr="00A74C36">
        <w:rPr>
          <w:rFonts w:ascii="Verdana" w:eastAsia="Calibri" w:hAnsi="Verdana" w:cs="Arial"/>
          <w:color w:val="000000" w:themeColor="text1"/>
          <w:sz w:val="20"/>
          <w:szCs w:val="20"/>
        </w:rPr>
        <w:t>[…]</w:t>
      </w:r>
    </w:p>
    <w:p w14:paraId="500C0D7E" w14:textId="77777777" w:rsidR="00FF49B9" w:rsidRPr="00A74C36" w:rsidRDefault="00FF49B9" w:rsidP="00FF49B9">
      <w:pPr>
        <w:spacing w:after="0" w:line="240" w:lineRule="auto"/>
        <w:ind w:left="709" w:right="709"/>
        <w:jc w:val="both"/>
        <w:rPr>
          <w:rFonts w:ascii="Verdana" w:eastAsia="Calibri" w:hAnsi="Verdana" w:cs="Arial"/>
          <w:color w:val="000000"/>
          <w:sz w:val="20"/>
          <w:szCs w:val="20"/>
        </w:rPr>
      </w:pPr>
      <w:r w:rsidRPr="00A74C36">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796E756F" w14:textId="77777777" w:rsidR="00FF49B9" w:rsidRPr="00A74C36" w:rsidRDefault="00FF49B9" w:rsidP="00FF49B9">
      <w:pPr>
        <w:spacing w:after="0" w:line="240" w:lineRule="auto"/>
        <w:ind w:right="709"/>
        <w:jc w:val="both"/>
        <w:rPr>
          <w:rFonts w:ascii="Verdana" w:eastAsia="Calibri" w:hAnsi="Verdana" w:cs="Arial"/>
          <w:color w:val="000000"/>
        </w:rPr>
      </w:pPr>
    </w:p>
    <w:p w14:paraId="1D9C1B49" w14:textId="77777777" w:rsidR="00FF49B9" w:rsidRPr="00A74C36" w:rsidRDefault="00FF49B9" w:rsidP="00FF49B9">
      <w:pPr>
        <w:spacing w:after="0" w:line="276" w:lineRule="auto"/>
        <w:ind w:firstLine="709"/>
        <w:jc w:val="both"/>
        <w:rPr>
          <w:rFonts w:ascii="Verdana" w:eastAsia="Calibri" w:hAnsi="Verdana" w:cs="Arial"/>
          <w:color w:val="000000"/>
        </w:rPr>
      </w:pPr>
      <w:r w:rsidRPr="00A74C36">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08CF9205" w14:textId="77777777" w:rsidR="00FF49B9" w:rsidRPr="00A74C36" w:rsidRDefault="00FF49B9" w:rsidP="00FF49B9">
      <w:pPr>
        <w:spacing w:before="120" w:after="120" w:line="276" w:lineRule="auto"/>
        <w:ind w:firstLine="709"/>
        <w:jc w:val="both"/>
        <w:rPr>
          <w:rFonts w:ascii="Verdana" w:eastAsia="Calibri" w:hAnsi="Verdana" w:cs="Arial"/>
          <w:color w:val="000000"/>
        </w:rPr>
      </w:pPr>
      <w:r w:rsidRPr="00A74C36">
        <w:rPr>
          <w:rFonts w:ascii="Verdana" w:eastAsia="Calibri" w:hAnsi="Verdana" w:cs="Arial"/>
          <w:color w:val="000000"/>
        </w:rPr>
        <w:t>a) Solo puede celebrarse para realizar “actividades relacionadas con la administración o funcionamiento de la entidad”, es decir, que hagan parte de su giro ordinario o quehacer cotidiano.</w:t>
      </w:r>
    </w:p>
    <w:p w14:paraId="1E217CC5" w14:textId="77777777" w:rsidR="00FF49B9" w:rsidRPr="00A74C36" w:rsidRDefault="00FF49B9" w:rsidP="00FF49B9">
      <w:pPr>
        <w:spacing w:before="120" w:after="120" w:line="276" w:lineRule="auto"/>
        <w:ind w:firstLine="709"/>
        <w:jc w:val="both"/>
        <w:rPr>
          <w:rFonts w:ascii="Verdana" w:eastAsia="Calibri" w:hAnsi="Verdana" w:cs="Arial"/>
          <w:color w:val="000000"/>
        </w:rPr>
      </w:pPr>
      <w:r w:rsidRPr="00A74C36">
        <w:rPr>
          <w:rFonts w:ascii="Verdana" w:eastAsia="Calibri" w:hAnsi="Verdana" w:cs="Arial"/>
          <w:color w:val="000000"/>
        </w:rPr>
        <w:t>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05BC58D4" w14:textId="77777777" w:rsidR="00FF49B9" w:rsidRPr="00A74C36" w:rsidRDefault="00FF49B9" w:rsidP="00FF49B9">
      <w:pPr>
        <w:spacing w:before="120" w:after="120" w:line="276" w:lineRule="auto"/>
        <w:ind w:firstLine="709"/>
        <w:jc w:val="both"/>
        <w:rPr>
          <w:rFonts w:ascii="Verdana" w:eastAsia="Calibri" w:hAnsi="Verdana" w:cs="Arial"/>
          <w:color w:val="000000"/>
        </w:rPr>
      </w:pPr>
      <w:r w:rsidRPr="00A74C36">
        <w:rPr>
          <w:rFonts w:ascii="Verdana" w:eastAsia="Calibri" w:hAnsi="Verdana" w:cs="Arial"/>
          <w:color w:val="000000"/>
        </w:rPr>
        <w:lastRenderedPageBreak/>
        <w:t>c) Si bien se celebran para obtener la prestación personal de un servicio, se diferencian del contrato de trabajo</w:t>
      </w:r>
      <w:r w:rsidRPr="00A74C36">
        <w:rPr>
          <w:rFonts w:ascii="Verdana" w:eastAsia="Calibri" w:hAnsi="Verdana" w:cs="Arial"/>
          <w:color w:val="000000"/>
          <w:vertAlign w:val="superscript"/>
        </w:rPr>
        <w:footnoteReference w:id="2"/>
      </w:r>
      <w:r w:rsidRPr="00A74C36">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00A74C36">
        <w:rPr>
          <w:rFonts w:ascii="Verdana" w:eastAsia="Calibri" w:hAnsi="Verdana" w:cs="Arial"/>
          <w:i/>
          <w:iCs/>
          <w:color w:val="000000"/>
        </w:rPr>
        <w:t>subordinación y dependencia</w:t>
      </w:r>
      <w:r w:rsidRPr="00A74C36">
        <w:rPr>
          <w:rFonts w:ascii="Verdana" w:eastAsia="Calibri" w:hAnsi="Verdana" w:cs="Arial"/>
          <w:color w:val="00000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A74C36">
        <w:rPr>
          <w:rFonts w:ascii="Verdana" w:eastAsia="Calibri" w:hAnsi="Verdana" w:cs="Arial"/>
          <w:i/>
          <w:iCs/>
          <w:color w:val="000000"/>
        </w:rPr>
        <w:t>no pueden</w:t>
      </w:r>
      <w:r w:rsidRPr="00A74C36">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A74C36">
        <w:rPr>
          <w:rFonts w:ascii="Verdana" w:eastAsia="Calibri" w:hAnsi="Verdana" w:cs="Arial"/>
          <w:i/>
          <w:iCs/>
          <w:color w:val="000000"/>
        </w:rPr>
        <w:t>contrato realidad</w:t>
      </w:r>
      <w:r w:rsidRPr="00A74C36">
        <w:rPr>
          <w:rFonts w:ascii="Verdana" w:eastAsia="Calibri" w:hAnsi="Verdana" w:cs="Arial"/>
          <w:color w:val="000000"/>
        </w:rPr>
        <w:t>,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A74C36">
        <w:rPr>
          <w:rFonts w:ascii="Verdana" w:eastAsia="Calibri" w:hAnsi="Verdana" w:cs="Arial"/>
          <w:color w:val="000000"/>
          <w:vertAlign w:val="superscript"/>
        </w:rPr>
        <w:footnoteReference w:id="3"/>
      </w:r>
      <w:r w:rsidRPr="00A74C36">
        <w:rPr>
          <w:rFonts w:ascii="Verdana" w:eastAsia="Calibri" w:hAnsi="Verdana" w:cs="Arial"/>
          <w:color w:val="000000"/>
        </w:rPr>
        <w:t xml:space="preserve">.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w:t>
      </w:r>
      <w:r w:rsidRPr="00A74C36">
        <w:rPr>
          <w:rFonts w:ascii="Verdana" w:eastAsia="Calibri" w:hAnsi="Verdana" w:cs="Arial"/>
          <w:color w:val="000000"/>
        </w:rPr>
        <w:lastRenderedPageBreak/>
        <w:t>subordinación, características que eventualmente configurarían una vinculación legal y reglamentaria y/o un contrato de trabajo, según sea la naturaleza jurídica de la entidad pública y el tipo de cargo</w:t>
      </w:r>
      <w:r w:rsidRPr="00A74C36">
        <w:rPr>
          <w:rFonts w:ascii="Verdana" w:eastAsia="Calibri" w:hAnsi="Verdana" w:cs="Arial"/>
          <w:color w:val="000000"/>
          <w:vertAlign w:val="superscript"/>
        </w:rPr>
        <w:footnoteReference w:id="4"/>
      </w:r>
      <w:r w:rsidRPr="00A74C36">
        <w:rPr>
          <w:rFonts w:ascii="Verdana" w:eastAsia="Calibri" w:hAnsi="Verdana" w:cs="Arial"/>
          <w:color w:val="000000"/>
        </w:rPr>
        <w:t>. De modo que, bajo la perspectiva indicada, se podría invocar la presunción de la existencia de una relación laboral; siendo contrario a uno de los aspectos más relevantes del contrato de prestación de servicio, la autonomía e independencia en la ejecución del mismo.</w:t>
      </w:r>
    </w:p>
    <w:p w14:paraId="25A86687" w14:textId="77777777" w:rsidR="00FF49B9" w:rsidRPr="00A74C36" w:rsidRDefault="00FF49B9" w:rsidP="00FF49B9">
      <w:pPr>
        <w:spacing w:after="0" w:line="276" w:lineRule="auto"/>
        <w:ind w:firstLine="709"/>
        <w:jc w:val="both"/>
        <w:rPr>
          <w:rFonts w:ascii="Verdana" w:eastAsia="Calibri" w:hAnsi="Verdana" w:cs="Arial"/>
          <w:color w:val="000000"/>
        </w:rPr>
      </w:pPr>
      <w:r w:rsidRPr="00A74C36">
        <w:rPr>
          <w:rFonts w:ascii="Verdana" w:eastAsia="Calibri" w:hAnsi="Verdana" w:cs="Arial"/>
          <w:color w:val="000000"/>
        </w:rPr>
        <w:t>d) Deben ser temporales. Así lo señaló la Corte Constitucional en la misma providencia a la que se aludió previamente, expresando que:</w:t>
      </w:r>
    </w:p>
    <w:p w14:paraId="487214A5" w14:textId="77777777" w:rsidR="00FF49B9" w:rsidRPr="00A74C36" w:rsidRDefault="00FF49B9" w:rsidP="00FF49B9">
      <w:pPr>
        <w:spacing w:after="0" w:line="276" w:lineRule="auto"/>
        <w:ind w:firstLine="709"/>
        <w:jc w:val="both"/>
        <w:rPr>
          <w:rFonts w:ascii="Verdana" w:eastAsia="Calibri" w:hAnsi="Verdana" w:cs="Arial"/>
          <w:color w:val="000000"/>
        </w:rPr>
      </w:pPr>
    </w:p>
    <w:p w14:paraId="5B8EE258" w14:textId="77777777" w:rsidR="00FF49B9" w:rsidRPr="00A74C36" w:rsidRDefault="00FF49B9" w:rsidP="00FF49B9">
      <w:pPr>
        <w:spacing w:after="0" w:line="240" w:lineRule="auto"/>
        <w:ind w:left="709" w:right="709"/>
        <w:jc w:val="both"/>
        <w:rPr>
          <w:rFonts w:ascii="Verdana" w:eastAsia="Calibri" w:hAnsi="Verdana" w:cs="Arial"/>
          <w:color w:val="000000"/>
          <w:sz w:val="21"/>
          <w:szCs w:val="21"/>
        </w:rPr>
      </w:pPr>
      <w:r w:rsidRPr="00A74C36">
        <w:rPr>
          <w:rFonts w:ascii="Verdana" w:eastAsia="Calibri" w:hAnsi="Verdana" w:cs="Arial"/>
          <w:color w:val="000000"/>
          <w:sz w:val="21"/>
          <w:szCs w:val="21"/>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A74C36">
        <w:rPr>
          <w:rFonts w:ascii="Verdana" w:eastAsia="Calibri" w:hAnsi="Verdana" w:cs="Arial"/>
          <w:color w:val="000000"/>
          <w:sz w:val="21"/>
          <w:szCs w:val="21"/>
          <w:vertAlign w:val="superscript"/>
        </w:rPr>
        <w:footnoteReference w:id="5"/>
      </w:r>
      <w:r w:rsidRPr="00A74C36">
        <w:rPr>
          <w:rFonts w:ascii="Verdana" w:eastAsia="Calibri" w:hAnsi="Verdana" w:cs="Arial"/>
          <w:color w:val="000000"/>
          <w:sz w:val="21"/>
          <w:szCs w:val="21"/>
        </w:rPr>
        <w:t>.</w:t>
      </w:r>
    </w:p>
    <w:p w14:paraId="138E3319" w14:textId="77777777" w:rsidR="00FF49B9" w:rsidRPr="00A74C36" w:rsidRDefault="00FF49B9" w:rsidP="00FF49B9">
      <w:pPr>
        <w:widowControl w:val="0"/>
        <w:autoSpaceDE w:val="0"/>
        <w:autoSpaceDN w:val="0"/>
        <w:spacing w:after="120" w:line="276" w:lineRule="auto"/>
        <w:jc w:val="both"/>
        <w:rPr>
          <w:rFonts w:ascii="Verdana" w:eastAsia="Arial" w:hAnsi="Verdana" w:cs="Arial"/>
        </w:rPr>
      </w:pPr>
    </w:p>
    <w:p w14:paraId="514AF37D" w14:textId="77777777" w:rsidR="00FF49B9" w:rsidRPr="00A74C36" w:rsidRDefault="00FF49B9" w:rsidP="00FF49B9">
      <w:pPr>
        <w:spacing w:after="120" w:line="276" w:lineRule="auto"/>
        <w:ind w:firstLine="709"/>
        <w:jc w:val="both"/>
        <w:rPr>
          <w:rFonts w:ascii="Verdana" w:eastAsia="Calibri" w:hAnsi="Verdana" w:cs="Arial"/>
          <w:color w:val="000000"/>
          <w:lang w:val="es-ES_tradnl" w:eastAsia="es-ES_tradnl"/>
        </w:rPr>
      </w:pPr>
      <w:r w:rsidRPr="00A74C36">
        <w:rPr>
          <w:rFonts w:ascii="Verdana" w:eastAsia="Calibri" w:hAnsi="Verdana" w:cs="Arial"/>
          <w:color w:val="000000"/>
          <w:lang w:eastAsia="es-ES"/>
        </w:rPr>
        <w:t>e</w:t>
      </w:r>
      <w:r w:rsidRPr="00A74C36">
        <w:rPr>
          <w:rFonts w:ascii="Verdana" w:eastAsia="Calibri" w:hAnsi="Verdana" w:cs="Arial"/>
          <w:color w:val="000000"/>
          <w:lang w:val="es-ES" w:eastAsia="es-ES"/>
        </w:rPr>
        <w:t xml:space="preserve">) Los contratos de prestación de servicios constituyen un </w:t>
      </w:r>
      <w:r w:rsidRPr="00A74C36">
        <w:rPr>
          <w:rFonts w:ascii="Verdana" w:eastAsia="Calibri" w:hAnsi="Verdana" w:cs="Arial"/>
          <w:i/>
          <w:iCs/>
          <w:color w:val="000000"/>
          <w:lang w:val="es-ES" w:eastAsia="es-ES"/>
        </w:rPr>
        <w:t>género</w:t>
      </w:r>
      <w:r w:rsidRPr="00A74C36">
        <w:rPr>
          <w:rFonts w:ascii="Verdana" w:eastAsia="Calibri" w:hAnsi="Verdana" w:cs="Arial"/>
          <w:color w:val="000000"/>
          <w:lang w:val="es-ES" w:eastAsia="es-ES"/>
        </w:rPr>
        <w:t xml:space="preserve"> que incluye, como </w:t>
      </w:r>
      <w:r w:rsidRPr="00A74C36">
        <w:rPr>
          <w:rFonts w:ascii="Verdana" w:eastAsia="Calibri" w:hAnsi="Verdana" w:cs="Arial"/>
          <w:i/>
          <w:iCs/>
          <w:color w:val="000000"/>
          <w:lang w:val="es-ES" w:eastAsia="es-ES"/>
        </w:rPr>
        <w:t>especies</w:t>
      </w:r>
      <w:r w:rsidRPr="00A74C36">
        <w:rPr>
          <w:rFonts w:ascii="Verdana" w:eastAsia="Calibri" w:hAnsi="Verdana" w:cs="Arial"/>
          <w:color w:val="000000"/>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A74C36">
        <w:rPr>
          <w:rFonts w:ascii="Verdana" w:eastAsia="Calibri" w:hAnsi="Verdana" w:cs="Arial"/>
          <w:color w:val="000000"/>
          <w:vertAlign w:val="superscript"/>
          <w:lang w:val="es-ES" w:eastAsia="es-ES"/>
        </w:rPr>
        <w:footnoteReference w:id="6"/>
      </w:r>
      <w:r w:rsidRPr="00A74C36">
        <w:rPr>
          <w:rFonts w:ascii="Verdana" w:eastAsia="Calibri" w:hAnsi="Verdana" w:cs="Arial"/>
          <w:color w:val="000000"/>
          <w:lang w:val="es-ES" w:eastAsia="es-ES"/>
        </w:rPr>
        <w:t xml:space="preserve">. La diferencia entre el contrato de prestación de servicios </w:t>
      </w:r>
      <w:r w:rsidRPr="00A74C36">
        <w:rPr>
          <w:rFonts w:ascii="Verdana" w:eastAsia="Calibri" w:hAnsi="Verdana" w:cs="Arial"/>
          <w:i/>
          <w:iCs/>
          <w:color w:val="000000"/>
          <w:lang w:val="es-ES" w:eastAsia="es-ES"/>
        </w:rPr>
        <w:t>profesionales</w:t>
      </w:r>
      <w:r w:rsidRPr="00A74C36">
        <w:rPr>
          <w:rFonts w:ascii="Verdana" w:eastAsia="Calibri" w:hAnsi="Verdana" w:cs="Arial"/>
          <w:color w:val="000000"/>
          <w:lang w:val="es-ES" w:eastAsia="es-ES"/>
        </w:rPr>
        <w:t xml:space="preserve"> con las otras dos especies del género en el cual se ubican radica </w:t>
      </w:r>
      <w:r w:rsidRPr="00A74C36">
        <w:rPr>
          <w:rFonts w:ascii="Verdana" w:eastAsia="Calibri" w:hAnsi="Verdana" w:cs="Arial"/>
          <w:color w:val="000000"/>
          <w:lang w:val="es-ES" w:eastAsia="es-ES"/>
        </w:rPr>
        <w:lastRenderedPageBreak/>
        <w:t>en su contenido intelectual intangible y, al mismo tiempo, en la formación profesional que se exige para desempeñar la labor</w:t>
      </w:r>
      <w:r w:rsidRPr="00A74C36">
        <w:rPr>
          <w:rFonts w:ascii="Verdana" w:eastAsia="Calibri" w:hAnsi="Verdana" w:cs="Arial"/>
          <w:color w:val="000000"/>
          <w:vertAlign w:val="superscript"/>
          <w:lang w:val="es-ES" w:eastAsia="es-ES"/>
        </w:rPr>
        <w:footnoteReference w:id="7"/>
      </w:r>
      <w:r w:rsidRPr="00A74C36">
        <w:rPr>
          <w:rFonts w:ascii="Verdana" w:eastAsia="Calibri" w:hAnsi="Verdana" w:cs="Arial"/>
          <w:color w:val="000000"/>
          <w:lang w:val="es-ES" w:eastAsia="es-ES"/>
        </w:rPr>
        <w:t>.</w:t>
      </w:r>
    </w:p>
    <w:p w14:paraId="436BDF19" w14:textId="77777777" w:rsidR="00FF49B9" w:rsidRPr="00A74C36" w:rsidRDefault="00FF49B9" w:rsidP="00FF49B9">
      <w:pPr>
        <w:spacing w:after="120" w:line="276" w:lineRule="auto"/>
        <w:ind w:firstLine="709"/>
        <w:jc w:val="both"/>
        <w:rPr>
          <w:rFonts w:ascii="Verdana" w:eastAsia="Calibri" w:hAnsi="Verdana" w:cs="Arial"/>
          <w:color w:val="000000"/>
          <w:lang w:val="es-ES" w:eastAsia="es-ES"/>
        </w:rPr>
      </w:pPr>
      <w:r w:rsidRPr="00A74C36">
        <w:rPr>
          <w:rFonts w:ascii="Verdana" w:eastAsia="Calibri" w:hAnsi="Verdana" w:cs="Arial"/>
          <w:color w:val="000000"/>
          <w:lang w:val="es-ES" w:eastAsia="es-ES"/>
        </w:rPr>
        <w:t>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w:t>
      </w:r>
      <w:r w:rsidRPr="00A74C36">
        <w:rPr>
          <w:rFonts w:ascii="Verdana" w:eastAsia="Calibri" w:hAnsi="Verdana" w:cs="Arial"/>
          <w:color w:val="000000"/>
          <w:vertAlign w:val="superscript"/>
          <w:lang w:val="es-ES" w:eastAsia="es-ES"/>
        </w:rPr>
        <w:footnoteReference w:id="8"/>
      </w:r>
      <w:r w:rsidRPr="00A74C36">
        <w:rPr>
          <w:rFonts w:ascii="Verdana" w:eastAsia="Calibri" w:hAnsi="Verdana" w:cs="Arial"/>
          <w:color w:val="000000"/>
          <w:lang w:val="es-ES" w:eastAsia="es-ES"/>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1C5A9003" w14:textId="77777777" w:rsidR="00FF49B9" w:rsidRPr="00A74C36" w:rsidRDefault="00FF49B9" w:rsidP="00FF49B9">
      <w:pPr>
        <w:spacing w:after="120" w:line="276" w:lineRule="auto"/>
        <w:ind w:firstLine="709"/>
        <w:jc w:val="both"/>
        <w:rPr>
          <w:rFonts w:ascii="Verdana" w:eastAsia="Calibri" w:hAnsi="Verdana" w:cs="Arial"/>
          <w:color w:val="000000"/>
          <w:lang w:val="es-ES" w:eastAsia="es-ES"/>
        </w:rPr>
      </w:pPr>
      <w:r w:rsidRPr="00A74C36">
        <w:rPr>
          <w:rFonts w:ascii="Verdana" w:eastAsia="Calibri" w:hAnsi="Verdana" w:cs="Arial"/>
          <w:color w:val="000000"/>
          <w:lang w:val="es-ES" w:eastAsia="es-ES"/>
        </w:rPr>
        <w:t>g) Para su celebración no se requiere en algunos casos la expedición del acto administrativo de justificación de la contratación directa</w:t>
      </w:r>
      <w:r w:rsidRPr="00A74C36">
        <w:rPr>
          <w:rFonts w:ascii="Verdana" w:eastAsia="Calibri" w:hAnsi="Verdana" w:cs="Arial"/>
          <w:color w:val="000000"/>
          <w:vertAlign w:val="superscript"/>
          <w:lang w:val="es-ES" w:eastAsia="es-ES"/>
        </w:rPr>
        <w:footnoteReference w:id="9"/>
      </w:r>
      <w:r w:rsidRPr="00A74C36">
        <w:rPr>
          <w:rFonts w:ascii="Verdana" w:eastAsia="Calibri" w:hAnsi="Verdana" w:cs="Arial"/>
          <w:color w:val="000000"/>
          <w:lang w:val="es-ES" w:eastAsia="es-ES"/>
        </w:rPr>
        <w:t xml:space="preserve">. </w:t>
      </w:r>
    </w:p>
    <w:p w14:paraId="595372F8" w14:textId="77777777" w:rsidR="00FF49B9" w:rsidRPr="00A74C36" w:rsidRDefault="00FF49B9" w:rsidP="00FF49B9">
      <w:pPr>
        <w:spacing w:after="120" w:line="276" w:lineRule="auto"/>
        <w:ind w:firstLine="709"/>
        <w:jc w:val="both"/>
        <w:rPr>
          <w:rFonts w:ascii="Verdana" w:eastAsia="Calibri" w:hAnsi="Verdana" w:cs="Arial"/>
          <w:color w:val="000000"/>
          <w:lang w:val="es-ES" w:eastAsia="es-ES"/>
        </w:rPr>
      </w:pPr>
      <w:r w:rsidRPr="00A74C36">
        <w:rPr>
          <w:rFonts w:ascii="Verdana" w:eastAsia="Calibri" w:hAnsi="Verdana" w:cs="Arial"/>
          <w:color w:val="000000"/>
          <w:lang w:val="es-ES" w:eastAsia="es-ES"/>
        </w:rPr>
        <w:t xml:space="preserve">h)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w:t>
      </w:r>
      <w:r w:rsidRPr="00A74C36">
        <w:rPr>
          <w:rFonts w:ascii="Verdana" w:eastAsia="Calibri" w:hAnsi="Verdana" w:cs="Arial"/>
          <w:color w:val="000000"/>
          <w:lang w:val="es-ES" w:eastAsia="es-ES"/>
        </w:rPr>
        <w:lastRenderedPageBreak/>
        <w:t>pactadas por naturaleza. Así se infiere del artículo 14, numeral 2º, de la Ley 80 de 1993</w:t>
      </w:r>
      <w:r w:rsidRPr="00A74C36">
        <w:rPr>
          <w:rFonts w:ascii="Verdana" w:eastAsia="Calibri" w:hAnsi="Verdana" w:cs="Arial"/>
          <w:color w:val="000000"/>
          <w:vertAlign w:val="superscript"/>
          <w:lang w:val="es-ES" w:eastAsia="es-ES"/>
        </w:rPr>
        <w:footnoteReference w:id="10"/>
      </w:r>
      <w:r w:rsidRPr="00A74C36">
        <w:rPr>
          <w:rFonts w:ascii="Verdana" w:eastAsia="Calibri" w:hAnsi="Verdana" w:cs="Arial"/>
          <w:color w:val="000000"/>
          <w:lang w:val="es-ES" w:eastAsia="es-ES"/>
        </w:rPr>
        <w:t>.</w:t>
      </w:r>
    </w:p>
    <w:p w14:paraId="716E708D" w14:textId="77777777" w:rsidR="00FF49B9" w:rsidRPr="00A74C36" w:rsidRDefault="00FF49B9" w:rsidP="00FF49B9">
      <w:pPr>
        <w:spacing w:after="120" w:line="276" w:lineRule="auto"/>
        <w:ind w:firstLine="709"/>
        <w:jc w:val="both"/>
        <w:rPr>
          <w:rFonts w:ascii="Verdana" w:eastAsia="Calibri" w:hAnsi="Verdana" w:cs="Arial"/>
          <w:color w:val="000000"/>
          <w:lang w:val="es-ES" w:eastAsia="es-ES"/>
        </w:rPr>
      </w:pPr>
      <w:r w:rsidRPr="00A74C36">
        <w:rPr>
          <w:rFonts w:ascii="Verdana" w:eastAsia="Calibri" w:hAnsi="Verdana" w:cs="Arial"/>
          <w:color w:val="000000"/>
          <w:lang w:val="es-ES" w:eastAsia="es-ES"/>
        </w:rPr>
        <w:t>i) En algunos casos no es obligatoria la liquidación, pues así lo estableció el artículo 217 del Decreto 019 de 2012, que modificó el artículo 60 de la Ley 80 de 1993</w:t>
      </w:r>
      <w:r w:rsidRPr="00A74C36">
        <w:rPr>
          <w:rFonts w:ascii="Verdana" w:eastAsia="Calibri" w:hAnsi="Verdana" w:cs="Arial"/>
          <w:color w:val="000000"/>
          <w:vertAlign w:val="superscript"/>
          <w:lang w:val="es-ES" w:eastAsia="es-ES"/>
        </w:rPr>
        <w:footnoteReference w:id="11"/>
      </w:r>
      <w:r w:rsidRPr="00A74C36">
        <w:rPr>
          <w:rFonts w:ascii="Verdana" w:eastAsia="Calibri" w:hAnsi="Verdana" w:cs="Arial"/>
          <w:color w:val="000000"/>
          <w:lang w:val="es-ES" w:eastAsia="es-ES"/>
        </w:rPr>
        <w:t>, refiriéndose a los contratos de prestación de servicios profesionales y de apoyo a la gestión.</w:t>
      </w:r>
    </w:p>
    <w:p w14:paraId="34E0D6F8" w14:textId="77777777" w:rsidR="00FF49B9" w:rsidRPr="00A74C36" w:rsidRDefault="00FF49B9" w:rsidP="00FF49B9">
      <w:pPr>
        <w:spacing w:after="120" w:line="276" w:lineRule="auto"/>
        <w:ind w:firstLine="709"/>
        <w:jc w:val="both"/>
        <w:rPr>
          <w:rFonts w:ascii="Verdana" w:eastAsia="Calibri" w:hAnsi="Verdana" w:cs="Arial"/>
          <w:color w:val="000000"/>
          <w:lang w:val="es-ES_tradnl" w:eastAsia="es-ES_tradnl"/>
        </w:rPr>
      </w:pPr>
      <w:r w:rsidRPr="00A74C36">
        <w:rPr>
          <w:rFonts w:ascii="Verdana" w:eastAsia="Calibri" w:hAnsi="Verdana" w:cs="Arial"/>
          <w:color w:val="000000"/>
          <w:lang w:val="es-ES" w:eastAsia="es-ES"/>
        </w:rPr>
        <w:t>j) Para su celebración no se requiere inscripción en el Registro Único de Proponentes (RUP), según lo prevé el artículo 6 de la Ley 1150 de 2007</w:t>
      </w:r>
      <w:r w:rsidRPr="00A74C36">
        <w:rPr>
          <w:rFonts w:ascii="Verdana" w:eastAsia="Calibri" w:hAnsi="Verdana" w:cs="Arial"/>
          <w:color w:val="000000"/>
          <w:vertAlign w:val="superscript"/>
          <w:lang w:val="es-ES" w:eastAsia="es-ES"/>
        </w:rPr>
        <w:footnoteReference w:id="12"/>
      </w:r>
      <w:r w:rsidRPr="00A74C36">
        <w:rPr>
          <w:rFonts w:ascii="Verdana" w:eastAsia="Calibri" w:hAnsi="Verdana" w:cs="Arial"/>
          <w:color w:val="000000"/>
          <w:lang w:val="es-ES" w:eastAsia="es-ES"/>
        </w:rPr>
        <w:t>.</w:t>
      </w:r>
    </w:p>
    <w:p w14:paraId="30A3CAC7" w14:textId="77777777" w:rsidR="00FF49B9" w:rsidRPr="00A74C36" w:rsidRDefault="00FF49B9" w:rsidP="00FF49B9">
      <w:pPr>
        <w:spacing w:after="120" w:line="276" w:lineRule="auto"/>
        <w:ind w:firstLine="709"/>
        <w:jc w:val="both"/>
        <w:rPr>
          <w:rFonts w:ascii="Verdana" w:eastAsia="Calibri" w:hAnsi="Verdana" w:cs="Arial"/>
          <w:color w:val="000000"/>
          <w:lang w:val="es-ES_tradnl" w:eastAsia="es-ES_tradnl"/>
        </w:rPr>
      </w:pPr>
      <w:r w:rsidRPr="00A74C36">
        <w:rPr>
          <w:rFonts w:ascii="Verdana" w:eastAsia="Calibri" w:hAnsi="Verdana" w:cs="Arial"/>
          <w:color w:val="000000"/>
          <w:lang w:val="es-ES" w:eastAsia="es-ES"/>
        </w:rPr>
        <w:t>l) En ellos no son necesarias las garantías</w:t>
      </w:r>
      <w:r w:rsidRPr="00A74C36">
        <w:rPr>
          <w:rFonts w:ascii="Verdana" w:eastAsia="Calibri" w:hAnsi="Verdana" w:cs="Arial"/>
          <w:color w:val="000000"/>
          <w:vertAlign w:val="superscript"/>
          <w:lang w:val="es-ES" w:eastAsia="es-ES"/>
        </w:rPr>
        <w:footnoteReference w:id="13"/>
      </w:r>
      <w:r w:rsidRPr="00A74C36">
        <w:rPr>
          <w:rFonts w:ascii="Verdana" w:eastAsia="Calibri" w:hAnsi="Verdana" w:cs="Arial"/>
          <w:color w:val="000000"/>
          <w:lang w:val="es-ES" w:eastAsia="es-ES"/>
        </w:rPr>
        <w:t>.</w:t>
      </w:r>
    </w:p>
    <w:p w14:paraId="16A6F03D" w14:textId="77777777" w:rsidR="00FF49B9" w:rsidRPr="00A74C36" w:rsidRDefault="00FF49B9" w:rsidP="00FF49B9">
      <w:pPr>
        <w:shd w:val="clear" w:color="auto" w:fill="FFFFFF"/>
        <w:spacing w:after="120" w:line="276" w:lineRule="auto"/>
        <w:ind w:firstLine="567"/>
        <w:jc w:val="both"/>
        <w:rPr>
          <w:rFonts w:ascii="Verdana" w:hAnsi="Verdana"/>
        </w:rPr>
      </w:pPr>
      <w:r w:rsidRPr="00A74C36">
        <w:rPr>
          <w:rFonts w:ascii="Verdana" w:hAnsi="Verdana"/>
        </w:rPr>
        <w:t xml:space="preserve">De lo expuesto, se destaca una de las características que se destacaron atrás, que es la diferencia entre el contrato de prestación de servicios con el contrato laboral. Queda claro que la diferencia entre el contrato de prestación de servicios regulado por el numeral 3 del artículo 32 de la Ley 80 de 1993 y el contrato de carácter laboral radica esencialmente en el elemento de la subordinación o dependencia, en la medida en que, en el contrato de prestación de servicios, necesariamente, el contratista no puede tener frente a la Administración calidad diferente a la de contratista independiente sin derecho a prestaciones sociales. En contraste, en el evento en que se acredite la existencia </w:t>
      </w:r>
      <w:r w:rsidRPr="00A74C36">
        <w:rPr>
          <w:rFonts w:ascii="Verdana" w:hAnsi="Verdana"/>
        </w:rPr>
        <w:lastRenderedPageBreak/>
        <w:t>de un trabajo subordinado o dependiente donde las entidades estatales contratantes adoptan una actitud con vocación a impartir órdenes a quien presta el servicio para que se efectúe la ejecución de la labor contratada o determina la fijación de horario de trabajo para la prestación del servicio, es claro que resultaría posible que se tipifique dicho negocio jurídico como un contrato laboral, circunstancia que haría que surgiera derecho al pago de prestaciones sociales.</w:t>
      </w:r>
    </w:p>
    <w:p w14:paraId="1D5B13A0" w14:textId="77777777" w:rsidR="00FF49B9" w:rsidRPr="00BF44D7" w:rsidRDefault="00FF49B9" w:rsidP="00FF49B9">
      <w:pPr>
        <w:widowControl w:val="0"/>
        <w:autoSpaceDE w:val="0"/>
        <w:autoSpaceDN w:val="0"/>
        <w:spacing w:after="0" w:line="276" w:lineRule="auto"/>
        <w:jc w:val="both"/>
        <w:rPr>
          <w:rFonts w:ascii="Verdana" w:eastAsia="Arial" w:hAnsi="Verdana" w:cs="Arial"/>
          <w:lang w:val="es-ES"/>
        </w:rPr>
      </w:pPr>
      <w:bookmarkStart w:id="3" w:name="_Hlk134189783"/>
    </w:p>
    <w:p w14:paraId="4A0CB532" w14:textId="77777777" w:rsidR="00FF49B9" w:rsidRPr="00BF44D7" w:rsidRDefault="00FF49B9" w:rsidP="00FF49B9">
      <w:pPr>
        <w:spacing w:after="120" w:line="276" w:lineRule="auto"/>
        <w:jc w:val="both"/>
        <w:rPr>
          <w:rFonts w:ascii="Verdana" w:eastAsia="Aptos" w:hAnsi="Verdana" w:cs="Times New Roman"/>
          <w:kern w:val="2"/>
          <w14:ligatures w14:val="standardContextual"/>
        </w:rPr>
      </w:pPr>
      <w:r w:rsidRPr="00BF44D7">
        <w:rPr>
          <w:rFonts w:ascii="Verdana" w:eastAsia="Arial" w:hAnsi="Verdana" w:cs="Arial"/>
          <w:lang w:val="es-ES"/>
        </w:rPr>
        <w:t xml:space="preserve">ii. </w:t>
      </w:r>
      <w:bookmarkEnd w:id="3"/>
      <w:r w:rsidRPr="00BF44D7">
        <w:rPr>
          <w:rFonts w:ascii="Verdana" w:eastAsia="Aptos" w:hAnsi="Verdana" w:cs="Times New Roman"/>
          <w:kern w:val="2"/>
          <w14:ligatures w14:val="standardContextual"/>
        </w:rPr>
        <w:t>Colombia se consagró en la Constitución de 1991 como un Estado pluralista, lo que significó que debe garantizar las libertades y la coexistencia armónica de las diferencias, multiplicidad de identidades, capacidades, tradiciones y visiones del mundo. De la mano con la dignidad humana el Estado dentro de sus fines esenciales debe preservar la libertad, la autonomía, la integridad física y moral.</w:t>
      </w:r>
      <w:r>
        <w:rPr>
          <w:rFonts w:ascii="Verdana" w:eastAsia="Aptos" w:hAnsi="Verdana" w:cs="Times New Roman"/>
          <w:kern w:val="2"/>
          <w14:ligatures w14:val="standardContextual"/>
        </w:rPr>
        <w:t xml:space="preserve"> </w:t>
      </w:r>
      <w:r w:rsidRPr="00BF44D7">
        <w:rPr>
          <w:rFonts w:ascii="Verdana" w:eastAsia="Aptos" w:hAnsi="Verdana" w:cs="Times New Roman"/>
          <w:kern w:val="2"/>
          <w14:ligatures w14:val="standardContextual"/>
        </w:rPr>
        <w:t>Desde el artículo 1° de la Constitución se establecen los principios y valores en los que se funda el Estado Social de Derecho, reconociendo el respeto de la dignidad humana, la solidaridad de las personas que la integran y la prevalencia del interés general. La sentencia T-881 de 2002 es un hito sobre la dignidad humana porque se precisó el alcance de este derecho fundamental de la siguiente manera:</w:t>
      </w:r>
      <w:r>
        <w:rPr>
          <w:rFonts w:ascii="Verdana" w:eastAsia="Aptos" w:hAnsi="Verdana" w:cs="Times New Roman"/>
          <w:kern w:val="2"/>
          <w14:ligatures w14:val="standardContextual"/>
        </w:rPr>
        <w:t xml:space="preserve"> “[…] </w:t>
      </w:r>
      <w:r w:rsidRPr="00BF44D7">
        <w:rPr>
          <w:rFonts w:ascii="Verdana" w:eastAsia="Aptos" w:hAnsi="Verdana" w:cs="Times New Roman"/>
          <w:kern w:val="2"/>
          <w14:ligatures w14:val="standardContextual"/>
        </w:rPr>
        <w:t>la dignidad humana está vinculado con tres ámbitos exclusivos de la persona natural: la autonomía individual (materializada en la posibilidad de elegir un proyecto de vida y de determinarse según esa elección), unas condiciones de vida cualificadas (referidas a las circunstancias materiales necesarias para desarrollar el proyecto de vida) y la intangibilidad del cuerpo y del espíritu (entendida como integridad física y espiritual, presupuesto para la realización del proyecto de vida)</w:t>
      </w:r>
      <w:r>
        <w:rPr>
          <w:rFonts w:ascii="Verdana" w:eastAsia="Aptos" w:hAnsi="Verdana" w:cs="Times New Roman"/>
          <w:kern w:val="2"/>
          <w14:ligatures w14:val="standardContextual"/>
        </w:rPr>
        <w:t>”</w:t>
      </w:r>
      <w:r>
        <w:rPr>
          <w:rStyle w:val="Refdenotaalpie"/>
          <w:rFonts w:ascii="Verdana" w:eastAsia="Aptos" w:hAnsi="Verdana" w:cs="Times New Roman"/>
          <w:kern w:val="2"/>
          <w14:ligatures w14:val="standardContextual"/>
        </w:rPr>
        <w:footnoteReference w:id="14"/>
      </w:r>
      <w:r w:rsidRPr="00BF44D7">
        <w:rPr>
          <w:rFonts w:ascii="Verdana" w:eastAsia="Aptos" w:hAnsi="Verdana" w:cs="Times New Roman"/>
          <w:kern w:val="2"/>
          <w14:ligatures w14:val="standardContextual"/>
        </w:rPr>
        <w:t xml:space="preserve">. </w:t>
      </w:r>
    </w:p>
    <w:p w14:paraId="6490115C" w14:textId="77777777" w:rsidR="00FF49B9" w:rsidRPr="00BF44D7" w:rsidRDefault="00FF49B9" w:rsidP="00FF49B9">
      <w:pPr>
        <w:spacing w:after="120" w:line="276" w:lineRule="auto"/>
        <w:ind w:firstLine="567"/>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La dignidad humana </w:t>
      </w:r>
      <w:r w:rsidRPr="00BF44D7">
        <w:rPr>
          <w:rFonts w:ascii="Verdana" w:eastAsia="Aptos" w:hAnsi="Verdana" w:cs="Times New Roman"/>
          <w:kern w:val="2"/>
          <w14:ligatures w14:val="standardContextual"/>
        </w:rPr>
        <w:t>debe comprender</w:t>
      </w:r>
      <w:r>
        <w:rPr>
          <w:rFonts w:ascii="Verdana" w:eastAsia="Aptos" w:hAnsi="Verdana" w:cs="Times New Roman"/>
          <w:kern w:val="2"/>
          <w14:ligatures w14:val="standardContextual"/>
        </w:rPr>
        <w:t>se</w:t>
      </w:r>
      <w:r w:rsidRPr="00BF44D7">
        <w:rPr>
          <w:rFonts w:ascii="Verdana" w:eastAsia="Aptos" w:hAnsi="Verdana" w:cs="Times New Roman"/>
          <w:kern w:val="2"/>
          <w14:ligatures w14:val="standardContextual"/>
        </w:rPr>
        <w:t xml:space="preserve"> en conjunto de esos tres lineamientos que se han simplificado de la siguiente manera: i) vivir como quiere, ii) vivir bien y iii) vivir sin humillaciones. Adicionalmente, el principio de igualdad implica superar </w:t>
      </w:r>
      <w:r w:rsidRPr="00BF44D7">
        <w:rPr>
          <w:rFonts w:ascii="Verdana" w:eastAsia="Aptos" w:hAnsi="Verdana" w:cs="Times New Roman"/>
          <w:kern w:val="2"/>
          <w:lang w:val="es-ES"/>
          <w14:ligatures w14:val="standardContextual"/>
        </w:rPr>
        <w:t xml:space="preserve">la visión formalista, la que considera suficiente dar un trato idéntico a todas las personas, hoy el enfoque debe ser desde la igualdad material. En esta perspectiva </w:t>
      </w:r>
      <w:r w:rsidRPr="00BF44D7">
        <w:rPr>
          <w:rFonts w:ascii="Verdana" w:eastAsia="Aptos" w:hAnsi="Verdana" w:cs="Times New Roman"/>
          <w:kern w:val="2"/>
          <w14:ligatures w14:val="standardContextual"/>
        </w:rPr>
        <w:t>se asegura especialmente la protección de grupos tradicionalmente discriminados o marginados. Lo que conllev</w:t>
      </w:r>
      <w:r>
        <w:rPr>
          <w:rFonts w:ascii="Verdana" w:eastAsia="Aptos" w:hAnsi="Verdana" w:cs="Times New Roman"/>
          <w:kern w:val="2"/>
          <w14:ligatures w14:val="standardContextual"/>
        </w:rPr>
        <w:t xml:space="preserve">a al Estado a una doble tarea. </w:t>
      </w:r>
      <w:r w:rsidRPr="00BF44D7">
        <w:rPr>
          <w:rFonts w:ascii="Verdana" w:eastAsia="Aptos" w:hAnsi="Verdana" w:cs="Times New Roman"/>
          <w:kern w:val="2"/>
          <w14:ligatures w14:val="standardContextual"/>
        </w:rPr>
        <w:t xml:space="preserve">Por un lado, la abstención, según la cual el Estado debe evitar generar o permitir la discriminación, ya sea de manera directa o indirecta, en contra de tales sujetos. Por otro lado, la intervención, conforme a la cual, ha de </w:t>
      </w:r>
      <w:r w:rsidRPr="00BF44D7">
        <w:rPr>
          <w:rFonts w:ascii="Verdana" w:eastAsia="Aptos" w:hAnsi="Verdana" w:cs="Times New Roman"/>
          <w:kern w:val="2"/>
          <w14:ligatures w14:val="standardContextual"/>
        </w:rPr>
        <w:lastRenderedPageBreak/>
        <w:t>diseñar mecanismos de política pública destinados a superar o aminorar los efectos de la desigualdad material que enfrentan esos grupos, respecto del resto de la sociedad.</w:t>
      </w:r>
    </w:p>
    <w:p w14:paraId="05F6DA3B" w14:textId="77777777" w:rsidR="00FF49B9" w:rsidRPr="00BF44D7" w:rsidRDefault="00FF49B9" w:rsidP="00FF49B9">
      <w:pPr>
        <w:spacing w:after="120" w:line="276" w:lineRule="auto"/>
        <w:ind w:firstLine="567"/>
        <w:jc w:val="both"/>
        <w:rPr>
          <w:rFonts w:ascii="Verdana" w:eastAsia="Aptos" w:hAnsi="Verdana" w:cs="Times New Roman"/>
          <w:kern w:val="2"/>
          <w:lang w:val="es-ES"/>
          <w14:ligatures w14:val="standardContextual"/>
        </w:rPr>
      </w:pPr>
      <w:r w:rsidRPr="00BF44D7">
        <w:rPr>
          <w:rFonts w:ascii="Verdana" w:eastAsia="Aptos" w:hAnsi="Verdana" w:cs="Times New Roman"/>
          <w:kern w:val="2"/>
          <w14:ligatures w14:val="standardContextual"/>
        </w:rPr>
        <w:t xml:space="preserve">El Estado colombiano tiene como deber generalizar las garantías constitucionales </w:t>
      </w:r>
      <w:r w:rsidRPr="00BF44D7">
        <w:rPr>
          <w:rFonts w:ascii="Verdana" w:eastAsia="Aptos" w:hAnsi="Verdana" w:cs="Times New Roman"/>
          <w:kern w:val="2"/>
          <w:lang w:val="es-ES"/>
          <w14:ligatures w14:val="standardContextual"/>
        </w:rPr>
        <w:t>y que se apliquen en favor de todos los asociados, al mismo tiempo, es necesario considerar las c</w:t>
      </w:r>
      <w:r>
        <w:rPr>
          <w:rFonts w:ascii="Verdana" w:eastAsia="Aptos" w:hAnsi="Verdana" w:cs="Times New Roman"/>
          <w:kern w:val="2"/>
          <w:lang w:val="es-ES"/>
          <w14:ligatures w14:val="standardContextual"/>
        </w:rPr>
        <w:t xml:space="preserve">ircunstancias particulares, en especial, </w:t>
      </w:r>
      <w:r w:rsidRPr="00BF44D7">
        <w:rPr>
          <w:rFonts w:ascii="Verdana" w:eastAsia="Aptos" w:hAnsi="Verdana" w:cs="Times New Roman"/>
          <w:kern w:val="2"/>
          <w:lang w:val="es-ES"/>
          <w14:ligatures w14:val="standardContextual"/>
        </w:rPr>
        <w:t>de los grupos históricamente más vulnerables. Desde la carta magna se entiende que “la universalidad de las garantías constitucionales se logra mediante el trato diferencial, sin el cual, la concreción de los postulados superiores sería deficitaria y tendría un impacto limitado”</w:t>
      </w:r>
      <w:r>
        <w:rPr>
          <w:rStyle w:val="Refdenotaalpie"/>
          <w:rFonts w:ascii="Verdana" w:eastAsia="Aptos" w:hAnsi="Verdana" w:cs="Times New Roman"/>
          <w:kern w:val="2"/>
          <w:lang w:val="es-ES"/>
          <w14:ligatures w14:val="standardContextual"/>
        </w:rPr>
        <w:footnoteReference w:id="15"/>
      </w:r>
      <w:r w:rsidRPr="00BF44D7">
        <w:rPr>
          <w:rFonts w:ascii="Verdana" w:eastAsia="Aptos" w:hAnsi="Verdana" w:cs="Times New Roman"/>
          <w:kern w:val="2"/>
          <w:lang w:val="es-ES"/>
          <w14:ligatures w14:val="standardContextual"/>
        </w:rPr>
        <w:t>. La institucionalidad tiene la labor de que las diferencias convivan armónicamen</w:t>
      </w:r>
      <w:r>
        <w:rPr>
          <w:rFonts w:ascii="Verdana" w:eastAsia="Aptos" w:hAnsi="Verdana" w:cs="Times New Roman"/>
          <w:kern w:val="2"/>
          <w:lang w:val="es-ES"/>
          <w14:ligatures w14:val="standardContextual"/>
        </w:rPr>
        <w:t xml:space="preserve">te en la sociedad, por ello, </w:t>
      </w:r>
      <w:r w:rsidRPr="00BF44D7">
        <w:rPr>
          <w:rFonts w:ascii="Verdana" w:eastAsia="Aptos" w:hAnsi="Verdana" w:cs="Times New Roman"/>
          <w:kern w:val="2"/>
          <w:lang w:val="es-ES"/>
          <w14:ligatures w14:val="standardContextual"/>
        </w:rPr>
        <w:t>debe cobijar, proteger y convocar la diferencia, para que todos puedan participar en la construcción de una sociedad democrática.</w:t>
      </w:r>
    </w:p>
    <w:p w14:paraId="6A1EBACF" w14:textId="77777777" w:rsidR="00FF49B9" w:rsidRPr="00BF44D7" w:rsidRDefault="00FF49B9" w:rsidP="00FF49B9">
      <w:pPr>
        <w:spacing w:after="120" w:line="276" w:lineRule="auto"/>
        <w:ind w:firstLine="567"/>
        <w:jc w:val="both"/>
        <w:rPr>
          <w:rFonts w:ascii="Verdana" w:eastAsia="Aptos" w:hAnsi="Verdana" w:cs="Times New Roman"/>
          <w:kern w:val="2"/>
          <w:lang w:val="es-ES"/>
          <w14:ligatures w14:val="standardContextual"/>
        </w:rPr>
      </w:pPr>
      <w:r w:rsidRPr="00BF44D7">
        <w:rPr>
          <w:rFonts w:ascii="Verdana" w:eastAsia="Aptos" w:hAnsi="Verdana" w:cs="Times New Roman"/>
          <w:kern w:val="2"/>
          <w14:ligatures w14:val="standardContextual"/>
        </w:rPr>
        <w:t>La Corte Constitucional en diferentes sentencias ha reconocido que quienes experimentan identidades de género enfrentan estigmas sociales porque se espera que la identidad de género coincida con la anatomía y el sexo asignado al nacer</w:t>
      </w:r>
      <w:r>
        <w:rPr>
          <w:rStyle w:val="Refdenotaalpie"/>
          <w:rFonts w:ascii="Verdana" w:eastAsia="Aptos" w:hAnsi="Verdana" w:cs="Times New Roman"/>
          <w:kern w:val="2"/>
          <w14:ligatures w14:val="standardContextual"/>
        </w:rPr>
        <w:footnoteReference w:id="16"/>
      </w:r>
      <w:r w:rsidRPr="00BF44D7">
        <w:rPr>
          <w:rFonts w:ascii="Verdana" w:eastAsia="Aptos" w:hAnsi="Verdana" w:cs="Times New Roman"/>
          <w:kern w:val="2"/>
          <w:lang w:val="es-ES"/>
          <w14:ligatures w14:val="standardContextual"/>
        </w:rPr>
        <w:t>. Por ello, la tarea de</w:t>
      </w:r>
      <w:r w:rsidRPr="00BF44D7">
        <w:rPr>
          <w:rFonts w:ascii="Verdana" w:eastAsia="Aptos" w:hAnsi="Verdana" w:cs="Times New Roman"/>
          <w:kern w:val="2"/>
          <w14:ligatures w14:val="standardContextual"/>
        </w:rPr>
        <w:t xml:space="preserve"> la Corte Constitucional ha sido trabajar en el reconocimiento de las </w:t>
      </w:r>
      <w:r w:rsidRPr="00BF44D7">
        <w:rPr>
          <w:rFonts w:ascii="Verdana" w:eastAsia="Aptos" w:hAnsi="Verdana" w:cs="Times New Roman"/>
          <w:kern w:val="2"/>
          <w:lang w:val="es-ES"/>
          <w14:ligatures w14:val="standardContextual"/>
        </w:rPr>
        <w:t>personas con identidades de género diversas como sujetos de especial protección constitucional</w:t>
      </w:r>
      <w:r>
        <w:rPr>
          <w:rStyle w:val="Refdenotaalpie"/>
          <w:rFonts w:ascii="Verdana" w:eastAsia="Aptos" w:hAnsi="Verdana" w:cs="Times New Roman"/>
          <w:kern w:val="2"/>
          <w:lang w:val="es-ES"/>
          <w14:ligatures w14:val="standardContextual"/>
        </w:rPr>
        <w:footnoteReference w:id="17"/>
      </w:r>
      <w:r w:rsidRPr="00BF44D7">
        <w:rPr>
          <w:rFonts w:ascii="Verdana" w:eastAsia="Aptos" w:hAnsi="Verdana" w:cs="Times New Roman"/>
          <w:kern w:val="2"/>
          <w14:ligatures w14:val="standardContextual"/>
        </w:rPr>
        <w:t xml:space="preserve">. Debido a que están </w:t>
      </w:r>
      <w:r w:rsidRPr="00BF44D7">
        <w:rPr>
          <w:rFonts w:ascii="Verdana" w:eastAsia="Aptos" w:hAnsi="Verdana" w:cs="Times New Roman"/>
          <w:kern w:val="2"/>
          <w:lang w:val="es-ES"/>
          <w14:ligatures w14:val="standardContextual"/>
        </w:rPr>
        <w:t xml:space="preserve">expuestos a estigmas y preconcepciones originadas en las reglas e imaginarios sociales que dan por sentado lo que es “normal”. </w:t>
      </w:r>
    </w:p>
    <w:p w14:paraId="37F18BF0" w14:textId="77777777" w:rsidR="00FF49B9" w:rsidRPr="00BF44D7" w:rsidRDefault="00FF49B9" w:rsidP="00FF49B9">
      <w:pPr>
        <w:spacing w:after="120" w:line="276" w:lineRule="auto"/>
        <w:ind w:firstLine="567"/>
        <w:jc w:val="both"/>
        <w:rPr>
          <w:rFonts w:ascii="Verdana" w:eastAsia="Aptos" w:hAnsi="Verdana" w:cs="Times New Roman"/>
          <w:bCs/>
          <w:kern w:val="2"/>
          <w14:ligatures w14:val="standardContextual"/>
        </w:rPr>
      </w:pPr>
      <w:r w:rsidRPr="00BF44D7">
        <w:rPr>
          <w:rFonts w:ascii="Verdana" w:eastAsia="Aptos" w:hAnsi="Verdana" w:cs="Times New Roman"/>
          <w:kern w:val="2"/>
          <w:lang w:val="es-ES"/>
          <w14:ligatures w14:val="standardContextual"/>
        </w:rPr>
        <w:t>La discriminación hacia las personas con identidades de género diversas responde a factores estructurales que limitan la expresión de su identidad y el ejercicio pleno de sus derechos. Frente a esta</w:t>
      </w:r>
      <w:r>
        <w:rPr>
          <w:rFonts w:ascii="Verdana" w:eastAsia="Aptos" w:hAnsi="Verdana" w:cs="Times New Roman"/>
          <w:kern w:val="2"/>
          <w:lang w:val="es-ES"/>
          <w14:ligatures w14:val="standardContextual"/>
        </w:rPr>
        <w:t xml:space="preserve"> realidad, la Corte Constitucional</w:t>
      </w:r>
      <w:r w:rsidRPr="00BF44D7">
        <w:rPr>
          <w:rFonts w:ascii="Verdana" w:eastAsia="Aptos" w:hAnsi="Verdana" w:cs="Times New Roman"/>
          <w:kern w:val="2"/>
          <w:lang w:val="es-ES"/>
          <w14:ligatures w14:val="standardContextual"/>
        </w:rPr>
        <w:t xml:space="preserve"> ha reconocido la histórica marginación de este grupo, de ahí que el Estado deba garantizar la igualdad de oportunidades y de abstenerse de generar condiciones que perpetúen su exclusión, en atención a la protección reforzada que ampara sus derechos fundamentales</w:t>
      </w:r>
      <w:r>
        <w:rPr>
          <w:rStyle w:val="Refdenotaalpie"/>
          <w:rFonts w:ascii="Verdana" w:eastAsia="Aptos" w:hAnsi="Verdana" w:cs="Times New Roman"/>
          <w:kern w:val="2"/>
          <w:lang w:val="es-ES"/>
          <w14:ligatures w14:val="standardContextual"/>
        </w:rPr>
        <w:footnoteReference w:id="18"/>
      </w:r>
      <w:r w:rsidRPr="00BF44D7">
        <w:rPr>
          <w:rFonts w:ascii="Verdana" w:eastAsia="Aptos" w:hAnsi="Verdana" w:cs="Times New Roman"/>
          <w:kern w:val="2"/>
          <w:lang w:val="es-ES"/>
          <w14:ligatures w14:val="standardContextual"/>
        </w:rPr>
        <w:t>. Para avanzar en la protección de los derechos de las pers</w:t>
      </w:r>
      <w:r>
        <w:rPr>
          <w:rFonts w:ascii="Verdana" w:eastAsia="Aptos" w:hAnsi="Verdana" w:cs="Times New Roman"/>
          <w:kern w:val="2"/>
          <w:lang w:val="es-ES"/>
          <w14:ligatures w14:val="standardContextual"/>
        </w:rPr>
        <w:t xml:space="preserve">onas con diversidad de género </w:t>
      </w:r>
      <w:r w:rsidRPr="00BF44D7">
        <w:rPr>
          <w:rFonts w:ascii="Verdana" w:eastAsia="Aptos" w:hAnsi="Verdana" w:cs="Times New Roman"/>
          <w:kern w:val="2"/>
          <w14:ligatures w14:val="standardContextual"/>
        </w:rPr>
        <w:t>debe realizar</w:t>
      </w:r>
      <w:r>
        <w:rPr>
          <w:rFonts w:ascii="Verdana" w:eastAsia="Aptos" w:hAnsi="Verdana" w:cs="Times New Roman"/>
          <w:kern w:val="2"/>
          <w14:ligatures w14:val="standardContextual"/>
        </w:rPr>
        <w:t xml:space="preserve">se una interpretación </w:t>
      </w:r>
      <w:r w:rsidRPr="00BF44D7">
        <w:rPr>
          <w:rFonts w:ascii="Verdana" w:eastAsia="Aptos" w:hAnsi="Verdana" w:cs="Times New Roman"/>
          <w:kern w:val="2"/>
          <w14:ligatures w14:val="standardContextual"/>
        </w:rPr>
        <w:t>sistemática de la Constitución para entender e</w:t>
      </w:r>
      <w:r w:rsidRPr="00BF44D7">
        <w:rPr>
          <w:rFonts w:ascii="Verdana" w:eastAsia="Aptos" w:hAnsi="Verdana" w:cs="Times New Roman"/>
          <w:bCs/>
          <w:kern w:val="2"/>
          <w14:ligatures w14:val="standardContextual"/>
        </w:rPr>
        <w:t>l derecho al libre desarrollo de la personalidad, la libertad de género </w:t>
      </w:r>
      <w:bookmarkStart w:id="4" w:name="_Hlk198019935"/>
      <w:r w:rsidRPr="00BF44D7">
        <w:rPr>
          <w:rFonts w:ascii="Verdana" w:eastAsia="Aptos" w:hAnsi="Verdana" w:cs="Times New Roman"/>
          <w:bCs/>
          <w:kern w:val="2"/>
          <w14:ligatures w14:val="standardContextual"/>
        </w:rPr>
        <w:t>y el derecho a la personalidad jurídica</w:t>
      </w:r>
      <w:bookmarkEnd w:id="4"/>
      <w:r>
        <w:rPr>
          <w:rFonts w:ascii="Verdana" w:eastAsia="Aptos" w:hAnsi="Verdana" w:cs="Times New Roman"/>
          <w:bCs/>
          <w:kern w:val="2"/>
          <w14:ligatures w14:val="standardContextual"/>
        </w:rPr>
        <w:t>.</w:t>
      </w:r>
    </w:p>
    <w:p w14:paraId="48924FE0" w14:textId="77777777" w:rsidR="00FF49B9" w:rsidRPr="00BF44D7" w:rsidRDefault="00FF49B9" w:rsidP="00FF49B9">
      <w:pPr>
        <w:spacing w:after="120" w:line="276" w:lineRule="auto"/>
        <w:ind w:firstLine="567"/>
        <w:jc w:val="both"/>
        <w:rPr>
          <w:rFonts w:ascii="Verdana" w:eastAsia="Aptos" w:hAnsi="Verdana" w:cs="Times New Roman"/>
          <w:bCs/>
          <w:kern w:val="2"/>
          <w14:ligatures w14:val="standardContextual"/>
        </w:rPr>
      </w:pPr>
      <w:r w:rsidRPr="00BF44D7">
        <w:rPr>
          <w:rFonts w:ascii="Verdana" w:eastAsia="Aptos" w:hAnsi="Verdana" w:cs="Times New Roman"/>
          <w:bCs/>
          <w:kern w:val="2"/>
          <w14:ligatures w14:val="standardContextual"/>
        </w:rPr>
        <w:lastRenderedPageBreak/>
        <w:t>El libre desarrollo de la personalidad, consagrado en el artículo 16 de la Constitución, se concreta en la capacidad consciente de cada individuo para autodeterminarse frente a las diversas opciones que ofrece la vida. Los individuos tienen esta facultad, tanto en el ámbito privado como en el público, de diseñar de manera autónoma el proyecto vital q</w:t>
      </w:r>
      <w:r>
        <w:rPr>
          <w:rFonts w:ascii="Verdana" w:eastAsia="Aptos" w:hAnsi="Verdana" w:cs="Times New Roman"/>
          <w:bCs/>
          <w:kern w:val="2"/>
          <w14:ligatures w14:val="standardContextual"/>
        </w:rPr>
        <w:t>ue desea asumir. Cada ser humano</w:t>
      </w:r>
      <w:r w:rsidRPr="00BF44D7">
        <w:rPr>
          <w:rFonts w:ascii="Verdana" w:eastAsia="Aptos" w:hAnsi="Verdana" w:cs="Times New Roman"/>
          <w:bCs/>
          <w:kern w:val="2"/>
          <w14:ligatures w14:val="standardContextual"/>
        </w:rPr>
        <w:t xml:space="preserve"> tiene la capacidad de autodeterminarse, lo que involucra el derecho a la identidad y a la expresión de género. La Corte Constitucional ha interpretado esta disposición como una cláusula general de libertad, entendida también como una “libertad general de acción”</w:t>
      </w:r>
      <w:r>
        <w:rPr>
          <w:rStyle w:val="Refdenotaalpie"/>
          <w:rFonts w:ascii="Verdana" w:eastAsia="Aptos" w:hAnsi="Verdana" w:cs="Times New Roman"/>
          <w:bCs/>
          <w:kern w:val="2"/>
          <w14:ligatures w14:val="standardContextual"/>
        </w:rPr>
        <w:footnoteReference w:id="19"/>
      </w:r>
      <w:r w:rsidRPr="00BF44D7">
        <w:rPr>
          <w:rFonts w:ascii="Verdana" w:eastAsia="Aptos" w:hAnsi="Verdana" w:cs="Times New Roman"/>
          <w:bCs/>
          <w:kern w:val="2"/>
          <w14:ligatures w14:val="standardContextual"/>
        </w:rPr>
        <w:t>, que garantiza a cada persona la posibilidad de definir su existencia sin injerencias.</w:t>
      </w:r>
    </w:p>
    <w:p w14:paraId="300F2E7A" w14:textId="77777777" w:rsidR="00FF49B9" w:rsidRPr="00BF44D7" w:rsidRDefault="00FF49B9" w:rsidP="00FF49B9">
      <w:pPr>
        <w:spacing w:after="120" w:line="276" w:lineRule="auto"/>
        <w:ind w:firstLine="567"/>
        <w:jc w:val="both"/>
        <w:rPr>
          <w:rFonts w:ascii="Verdana" w:eastAsia="Aptos" w:hAnsi="Verdana" w:cs="Times New Roman"/>
          <w:kern w:val="2"/>
          <w:lang w:val="es-ES"/>
          <w14:ligatures w14:val="standardContextual"/>
        </w:rPr>
      </w:pPr>
      <w:r w:rsidRPr="00BF44D7">
        <w:rPr>
          <w:rFonts w:ascii="Verdana" w:eastAsia="Aptos" w:hAnsi="Verdana" w:cs="Times New Roman"/>
          <w:kern w:val="2"/>
          <w:lang w:val="es-ES"/>
          <w14:ligatures w14:val="standardContextual"/>
        </w:rPr>
        <w:t xml:space="preserve">El derecho de las personas a definir de manera autónoma su propia identidad sexual y de género se relaciona con el derecho a que los datos de identificación de los documentos de identificación oficial tengan correspondencia con lo que son. Esto se encuentra consagrado en el artículo 14 </w:t>
      </w:r>
      <w:bookmarkStart w:id="5" w:name="_ftnref224"/>
      <w:r>
        <w:rPr>
          <w:rFonts w:ascii="Verdana" w:eastAsia="Aptos" w:hAnsi="Verdana" w:cs="Times New Roman"/>
          <w:kern w:val="2"/>
          <w:lang w:val="es-ES"/>
          <w14:ligatures w14:val="standardContextual"/>
        </w:rPr>
        <w:t>de la Constitución</w:t>
      </w:r>
      <w:r w:rsidRPr="00BF44D7">
        <w:rPr>
          <w:rFonts w:ascii="Verdana" w:eastAsia="Aptos" w:hAnsi="Verdana" w:cs="Times New Roman"/>
          <w:kern w:val="2"/>
          <w:lang w:val="es-ES"/>
          <w14:ligatures w14:val="standardContextual"/>
        </w:rPr>
        <w:t>,</w:t>
      </w:r>
      <w:bookmarkEnd w:id="5"/>
      <w:r w:rsidRPr="00BF44D7">
        <w:rPr>
          <w:rFonts w:ascii="Verdana" w:eastAsia="Aptos" w:hAnsi="Verdana" w:cs="Times New Roman"/>
          <w:kern w:val="2"/>
          <w:lang w:val="es-ES"/>
          <w14:ligatures w14:val="standardContextual"/>
        </w:rPr>
        <w:t xml:space="preserve"> como una garantía de todas las personas en el territorio nacional. En la Sentencia T-033 de 2022 se aclaró por parte de la Corte que el “derecho a la personalidad jurídica resulta convergente con el derecho a tener y exhibir una identidad de género”. En la sentencia T-063 de 2015, se estableció que el artículo 14 de la Constitución garantiza a todas las personas el derecho a que los atributos de su personalidad jurídica, consignados en los documentos de identificación reflejen su identidad</w:t>
      </w:r>
      <w:r>
        <w:rPr>
          <w:rStyle w:val="Refdenotaalpie"/>
          <w:rFonts w:ascii="Verdana" w:eastAsia="Aptos" w:hAnsi="Verdana" w:cs="Times New Roman"/>
          <w:kern w:val="2"/>
          <w:lang w:val="es-ES"/>
          <w14:ligatures w14:val="standardContextual"/>
        </w:rPr>
        <w:footnoteReference w:id="20"/>
      </w:r>
      <w:r w:rsidRPr="00BF44D7">
        <w:rPr>
          <w:rFonts w:ascii="Verdana" w:eastAsia="Aptos" w:hAnsi="Verdana" w:cs="Times New Roman"/>
          <w:kern w:val="2"/>
          <w:lang w:val="es-ES"/>
          <w14:ligatures w14:val="standardContextual"/>
        </w:rPr>
        <w:t>. Cuando no existe esta correspondencia se configura la posibilidad de realizar las mod</w:t>
      </w:r>
      <w:r>
        <w:rPr>
          <w:rFonts w:ascii="Verdana" w:eastAsia="Aptos" w:hAnsi="Verdana" w:cs="Times New Roman"/>
          <w:kern w:val="2"/>
          <w:lang w:val="es-ES"/>
          <w14:ligatures w14:val="standardContextual"/>
        </w:rPr>
        <w:t xml:space="preserve">ificaciones necesarias. De la interpretación de </w:t>
      </w:r>
      <w:r w:rsidRPr="00BF44D7">
        <w:rPr>
          <w:rFonts w:ascii="Verdana" w:eastAsia="Aptos" w:hAnsi="Verdana" w:cs="Times New Roman"/>
          <w:kern w:val="2"/>
          <w:lang w:val="es-ES"/>
          <w14:ligatures w14:val="standardContextual"/>
        </w:rPr>
        <w:t>la Corte los atributos de la personalidad constituyen aquellas características esenciales que individualizan a cada sujeto, ya sea persona natural o jurídica, en su calidad de titular de derechos.</w:t>
      </w:r>
    </w:p>
    <w:p w14:paraId="5176B996" w14:textId="77777777" w:rsidR="00FF49B9" w:rsidRPr="00BF44D7" w:rsidRDefault="00FF49B9" w:rsidP="00FF49B9">
      <w:pPr>
        <w:spacing w:after="120" w:line="276" w:lineRule="auto"/>
        <w:ind w:firstLine="567"/>
        <w:jc w:val="both"/>
        <w:rPr>
          <w:rFonts w:ascii="Verdana" w:eastAsia="Aptos" w:hAnsi="Verdana" w:cs="Times New Roman"/>
          <w:kern w:val="2"/>
          <w14:ligatures w14:val="standardContextual"/>
        </w:rPr>
      </w:pPr>
      <w:r w:rsidRPr="00BF44D7">
        <w:rPr>
          <w:rFonts w:ascii="Verdana" w:eastAsia="Aptos" w:hAnsi="Verdana" w:cs="Times New Roman"/>
          <w:kern w:val="2"/>
          <w14:ligatures w14:val="standardContextual"/>
        </w:rPr>
        <w:t xml:space="preserve">La Corte Constitucional tiene una </w:t>
      </w:r>
      <w:r>
        <w:rPr>
          <w:rFonts w:ascii="Verdana" w:eastAsia="Aptos" w:hAnsi="Verdana" w:cs="Times New Roman"/>
          <w:kern w:val="2"/>
          <w14:ligatures w14:val="standardContextual"/>
        </w:rPr>
        <w:t xml:space="preserve">extensa línea jurisprudencial sobre </w:t>
      </w:r>
      <w:r w:rsidRPr="00BF44D7">
        <w:rPr>
          <w:rFonts w:ascii="Verdana" w:eastAsia="Aptos" w:hAnsi="Verdana" w:cs="Times New Roman"/>
          <w:kern w:val="2"/>
          <w14:ligatures w14:val="standardContextual"/>
        </w:rPr>
        <w:t xml:space="preserve">la identidad de género y su relación con el derecho al libre desarrollo de la personalidad. Entre las primeras sentencias que empezaron a adentrarse en el tema se encuentran </w:t>
      </w:r>
      <w:r>
        <w:rPr>
          <w:rFonts w:ascii="Verdana" w:eastAsia="Aptos" w:hAnsi="Verdana" w:cs="Times New Roman"/>
          <w:kern w:val="2"/>
          <w14:ligatures w14:val="standardContextual"/>
        </w:rPr>
        <w:t xml:space="preserve">en la Sentencia </w:t>
      </w:r>
      <w:r w:rsidRPr="00BF44D7">
        <w:rPr>
          <w:rFonts w:ascii="Verdana" w:eastAsia="Aptos" w:hAnsi="Verdana" w:cs="Times New Roman"/>
          <w:kern w:val="2"/>
          <w14:ligatures w14:val="standardContextual"/>
        </w:rPr>
        <w:t>SU-337 de 1999, que identificaron los impactos de relacionar de manera heteronormativa el género respecto del sexo</w:t>
      </w:r>
      <w:r>
        <w:rPr>
          <w:rStyle w:val="Refdenotaalpie"/>
          <w:rFonts w:ascii="Verdana" w:eastAsia="Aptos" w:hAnsi="Verdana" w:cs="Times New Roman"/>
          <w:kern w:val="2"/>
          <w14:ligatures w14:val="standardContextual"/>
        </w:rPr>
        <w:footnoteReference w:id="21"/>
      </w:r>
      <w:r w:rsidRPr="00BF44D7">
        <w:rPr>
          <w:rFonts w:ascii="Verdana" w:eastAsia="Aptos" w:hAnsi="Verdana" w:cs="Times New Roman"/>
          <w:kern w:val="2"/>
          <w14:ligatures w14:val="standardContextual"/>
        </w:rPr>
        <w:t>. Hace unas décadas se concebía el género como resultado del sexo, al igual que</w:t>
      </w:r>
      <w:r>
        <w:rPr>
          <w:rFonts w:ascii="Verdana" w:eastAsia="Aptos" w:hAnsi="Verdana" w:cs="Times New Roman"/>
          <w:kern w:val="2"/>
          <w14:ligatures w14:val="standardContextual"/>
        </w:rPr>
        <w:t xml:space="preserve"> la orientación sexual, esto implicaba </w:t>
      </w:r>
      <w:r w:rsidRPr="00BF44D7">
        <w:rPr>
          <w:rFonts w:ascii="Verdana" w:eastAsia="Aptos" w:hAnsi="Verdana" w:cs="Times New Roman"/>
          <w:kern w:val="2"/>
          <w14:ligatures w14:val="standardContextual"/>
        </w:rPr>
        <w:t xml:space="preserve">a que antes del nacimiento se fijara en forma abstracta el destino de ser. Como se indica en estas sentencias a partir de un cuerpo, mujer u hombre, le era asignada una orientación sexual </w:t>
      </w:r>
      <w:r w:rsidRPr="00BF44D7">
        <w:rPr>
          <w:rFonts w:ascii="Verdana" w:eastAsia="Aptos" w:hAnsi="Verdana" w:cs="Times New Roman"/>
          <w:kern w:val="2"/>
          <w14:ligatures w14:val="standardContextual"/>
        </w:rPr>
        <w:lastRenderedPageBreak/>
        <w:t>que predominaba la heterosexualidad, y un</w:t>
      </w:r>
      <w:r>
        <w:rPr>
          <w:rFonts w:ascii="Verdana" w:eastAsia="Aptos" w:hAnsi="Verdana" w:cs="Times New Roman"/>
          <w:kern w:val="2"/>
          <w14:ligatures w14:val="standardContextual"/>
        </w:rPr>
        <w:t xml:space="preserve"> género, femenino o masculino. </w:t>
      </w:r>
      <w:r w:rsidRPr="00BF44D7">
        <w:rPr>
          <w:rFonts w:ascii="Verdana" w:eastAsia="Aptos" w:hAnsi="Verdana" w:cs="Times New Roman"/>
          <w:kern w:val="2"/>
          <w14:ligatures w14:val="standardContextual"/>
        </w:rPr>
        <w:t>Hoy la sociedad ha evolucionado y modificado</w:t>
      </w:r>
      <w:r>
        <w:rPr>
          <w:rFonts w:ascii="Verdana" w:eastAsia="Aptos" w:hAnsi="Verdana" w:cs="Times New Roman"/>
          <w:kern w:val="2"/>
          <w14:ligatures w14:val="standardContextual"/>
        </w:rPr>
        <w:t xml:space="preserve"> estos criterios, de lo cual </w:t>
      </w:r>
      <w:r w:rsidRPr="00BF44D7">
        <w:rPr>
          <w:rFonts w:ascii="Verdana" w:eastAsia="Aptos" w:hAnsi="Verdana" w:cs="Times New Roman"/>
          <w:kern w:val="2"/>
          <w14:ligatures w14:val="standardContextual"/>
        </w:rPr>
        <w:t>puede predicar</w:t>
      </w:r>
      <w:r>
        <w:rPr>
          <w:rFonts w:ascii="Verdana" w:eastAsia="Aptos" w:hAnsi="Verdana" w:cs="Times New Roman"/>
          <w:kern w:val="2"/>
          <w14:ligatures w14:val="standardContextual"/>
        </w:rPr>
        <w:t>se que el género depende de</w:t>
      </w:r>
      <w:r w:rsidRPr="00BF44D7">
        <w:rPr>
          <w:rFonts w:ascii="Verdana" w:eastAsia="Aptos" w:hAnsi="Verdana" w:cs="Times New Roman"/>
          <w:kern w:val="2"/>
          <w14:ligatures w14:val="standardContextual"/>
        </w:rPr>
        <w:t xml:space="preserve"> la vivencia del individuo, </w:t>
      </w:r>
      <w:r>
        <w:rPr>
          <w:rFonts w:ascii="Verdana" w:eastAsia="Aptos" w:hAnsi="Verdana" w:cs="Times New Roman"/>
          <w:kern w:val="2"/>
          <w14:ligatures w14:val="standardContextual"/>
        </w:rPr>
        <w:t xml:space="preserve">afirmándose </w:t>
      </w:r>
      <w:r w:rsidRPr="00BF44D7">
        <w:rPr>
          <w:rFonts w:ascii="Verdana" w:eastAsia="Aptos" w:hAnsi="Verdana" w:cs="Times New Roman"/>
          <w:kern w:val="2"/>
          <w:lang w:val="es-ES"/>
          <w14:ligatures w14:val="standardContextual"/>
        </w:rPr>
        <w:t xml:space="preserve">que la identidad de género es independiente del cuerpo biológico, como de las preferencias afectivas y sexuales. </w:t>
      </w:r>
    </w:p>
    <w:p w14:paraId="52BAA355" w14:textId="77777777" w:rsidR="00FF49B9" w:rsidRPr="00BF44D7" w:rsidRDefault="00FF49B9" w:rsidP="00FF49B9">
      <w:pPr>
        <w:spacing w:after="120" w:line="276" w:lineRule="auto"/>
        <w:ind w:firstLine="567"/>
        <w:jc w:val="both"/>
        <w:rPr>
          <w:rFonts w:ascii="Verdana" w:eastAsia="Aptos" w:hAnsi="Verdana" w:cs="Times New Roman"/>
          <w:kern w:val="2"/>
          <w14:ligatures w14:val="standardContextual"/>
        </w:rPr>
      </w:pPr>
      <w:r w:rsidRPr="00BF44D7">
        <w:rPr>
          <w:rFonts w:ascii="Verdana" w:eastAsia="Aptos" w:hAnsi="Verdana" w:cs="Times New Roman"/>
          <w:kern w:val="2"/>
          <w14:ligatures w14:val="standardContextual"/>
        </w:rPr>
        <w:t>La Corte Constitucional ha ido modificando su postura a lo largo del tiempo so</w:t>
      </w:r>
      <w:r>
        <w:rPr>
          <w:rFonts w:ascii="Verdana" w:eastAsia="Aptos" w:hAnsi="Verdana" w:cs="Times New Roman"/>
          <w:kern w:val="2"/>
          <w14:ligatures w14:val="standardContextual"/>
        </w:rPr>
        <w:t>bre el género y el sexo, en la S</w:t>
      </w:r>
      <w:r w:rsidRPr="00BF44D7">
        <w:rPr>
          <w:rFonts w:ascii="Verdana" w:eastAsia="Aptos" w:hAnsi="Verdana" w:cs="Times New Roman"/>
          <w:kern w:val="2"/>
          <w14:ligatures w14:val="standardContextual"/>
        </w:rPr>
        <w:t>entencia T-504 de 1994 se consideró que el sexo de una persona respondía a “un componente objetivo del estado civil que individualiza a la persona, pues como hecho jurídico no depende de la apreciación subjetiva de quien lo detenta, sino del carácter objetivo que tiene por ser un hech</w:t>
      </w:r>
      <w:r>
        <w:rPr>
          <w:rFonts w:ascii="Verdana" w:eastAsia="Aptos" w:hAnsi="Verdana" w:cs="Times New Roman"/>
          <w:kern w:val="2"/>
          <w14:ligatures w14:val="standardContextual"/>
        </w:rPr>
        <w:t>o de la naturaleza física”</w:t>
      </w:r>
      <w:r>
        <w:rPr>
          <w:rStyle w:val="Refdenotaalpie"/>
          <w:rFonts w:ascii="Verdana" w:eastAsia="Aptos" w:hAnsi="Verdana" w:cs="Times New Roman"/>
          <w:kern w:val="2"/>
          <w14:ligatures w14:val="standardContextual"/>
        </w:rPr>
        <w:footnoteReference w:id="22"/>
      </w:r>
      <w:r>
        <w:rPr>
          <w:rFonts w:ascii="Verdana" w:eastAsia="Aptos" w:hAnsi="Verdana" w:cs="Times New Roman"/>
          <w:kern w:val="2"/>
          <w14:ligatures w14:val="standardContextual"/>
        </w:rPr>
        <w:t>. Sin embargo, fue con la S</w:t>
      </w:r>
      <w:r w:rsidRPr="00BF44D7">
        <w:rPr>
          <w:rFonts w:ascii="Verdana" w:eastAsia="Aptos" w:hAnsi="Verdana" w:cs="Times New Roman"/>
          <w:kern w:val="2"/>
          <w14:ligatures w14:val="standardContextual"/>
        </w:rPr>
        <w:t>entencia T-918 de 2012 que se dio un giro de ciento ochenta grados, dejando de considerar el sexo un dato objetivo e inmodificable, para pasar al reconocimiento de la existencia de un “sexo neurológico” o de una definición sexual marcada por la identidad de género como exigencia de la dignidad humana y el libre desarrollo de la personalidad</w:t>
      </w:r>
      <w:r>
        <w:rPr>
          <w:rStyle w:val="Refdenotaalpie"/>
          <w:rFonts w:ascii="Verdana" w:eastAsia="Aptos" w:hAnsi="Verdana" w:cs="Times New Roman"/>
          <w:kern w:val="2"/>
          <w14:ligatures w14:val="standardContextual"/>
        </w:rPr>
        <w:footnoteReference w:id="23"/>
      </w:r>
      <w:r w:rsidRPr="00BF44D7">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 xml:space="preserve">De igual modo, la </w:t>
      </w:r>
      <w:r w:rsidRPr="00BF44D7">
        <w:rPr>
          <w:rFonts w:ascii="Verdana" w:eastAsia="Aptos" w:hAnsi="Verdana" w:cs="Times New Roman"/>
          <w:kern w:val="2"/>
          <w14:ligatures w14:val="standardContextual"/>
        </w:rPr>
        <w:t xml:space="preserve">Corte también ha dado pasos en la remoción de obstáculos normativos y sociales que históricamente han limitado el goce efectivo de los derechos fundamentales de las personas transgénero. En materia del derecho a la salud, la Corte ha reconocido la importancia de las cirugías de reafirmación sexual dentro del proceso de construcción de la identidad de las personas trans. </w:t>
      </w:r>
    </w:p>
    <w:p w14:paraId="5D18C6AC" w14:textId="77777777" w:rsidR="00FF49B9" w:rsidRPr="00BF44D7" w:rsidRDefault="00FF49B9" w:rsidP="00FF49B9">
      <w:pPr>
        <w:spacing w:after="120" w:line="276" w:lineRule="auto"/>
        <w:ind w:firstLine="708"/>
        <w:jc w:val="both"/>
        <w:rPr>
          <w:rFonts w:ascii="Verdana" w:eastAsia="Aptos" w:hAnsi="Verdana" w:cs="Times New Roman"/>
          <w:kern w:val="2"/>
          <w14:ligatures w14:val="standardContextual"/>
        </w:rPr>
      </w:pPr>
      <w:r w:rsidRPr="00BF44D7">
        <w:rPr>
          <w:rFonts w:ascii="Verdana" w:eastAsia="Aptos" w:hAnsi="Verdana" w:cs="Times New Roman"/>
          <w:kern w:val="2"/>
          <w14:ligatures w14:val="standardContextual"/>
        </w:rPr>
        <w:t>La jurisprudencia también ha protegido el derecho a la identidad en los documentos oficiales mediante la posibilidad de modificar el nombre de acuerdo con la identidad de género. En las sentencias T-1033 de 2008, T-977 de 2012 y T-086 de 2014, la Corte declaró que la disposición legal que solo permitía cambiar el nombre una vez restringía en exceso los derechos a la libertad</w:t>
      </w:r>
      <w:r>
        <w:rPr>
          <w:rFonts w:ascii="Verdana" w:eastAsia="Aptos" w:hAnsi="Verdana" w:cs="Times New Roman"/>
          <w:kern w:val="2"/>
          <w14:ligatures w14:val="standardContextual"/>
        </w:rPr>
        <w:t>, autonomía e igualdad. Por tanto</w:t>
      </w:r>
      <w:r w:rsidRPr="00BF44D7">
        <w:rPr>
          <w:rFonts w:ascii="Verdana" w:eastAsia="Aptos" w:hAnsi="Verdana" w:cs="Times New Roman"/>
          <w:kern w:val="2"/>
          <w14:ligatures w14:val="standardContextual"/>
        </w:rPr>
        <w:t xml:space="preserve">, permitió que las personas trans pudieran realizar una segunda modificación, argumentando que la imposibilidad de hacerlo comprometía directamente su proyecto de vida y desconocía el valor constitucional de la autodeterminación. </w:t>
      </w:r>
    </w:p>
    <w:p w14:paraId="1A8AA9AD" w14:textId="77777777" w:rsidR="00FF49B9" w:rsidRPr="00BF44D7" w:rsidRDefault="00FF49B9" w:rsidP="00FF49B9">
      <w:pPr>
        <w:spacing w:after="120" w:line="276" w:lineRule="auto"/>
        <w:ind w:firstLine="708"/>
        <w:jc w:val="both"/>
        <w:rPr>
          <w:rFonts w:ascii="Verdana" w:eastAsia="Aptos" w:hAnsi="Verdana" w:cs="Times New Roman"/>
          <w:kern w:val="2"/>
          <w14:ligatures w14:val="standardContextual"/>
        </w:rPr>
      </w:pPr>
      <w:r w:rsidRPr="00BF44D7">
        <w:rPr>
          <w:rFonts w:ascii="Verdana" w:eastAsia="Aptos" w:hAnsi="Verdana" w:cs="Times New Roman"/>
          <w:kern w:val="2"/>
          <w14:ligatures w14:val="standardContextual"/>
        </w:rPr>
        <w:t>En el ámbito laboral se ha buscado garantizar el trato digno e igualitario de las personas transgénero. En la sentencia T-476 de 2014</w:t>
      </w:r>
      <w:r>
        <w:rPr>
          <w:rStyle w:val="Refdenotaalpie"/>
          <w:rFonts w:ascii="Verdana" w:eastAsia="Aptos" w:hAnsi="Verdana" w:cs="Times New Roman"/>
          <w:kern w:val="2"/>
          <w14:ligatures w14:val="standardContextual"/>
        </w:rPr>
        <w:footnoteReference w:id="24"/>
      </w:r>
      <w:r w:rsidRPr="00BF44D7">
        <w:rPr>
          <w:rFonts w:ascii="Verdana" w:eastAsia="Aptos" w:hAnsi="Verdana" w:cs="Times New Roman"/>
          <w:kern w:val="2"/>
          <w14:ligatures w14:val="standardContextual"/>
        </w:rPr>
        <w:t xml:space="preserve">, se tutelaron los derechos de una mujer trans a quien no se le permitió ser contratada en una </w:t>
      </w:r>
      <w:r w:rsidRPr="00BF44D7">
        <w:rPr>
          <w:rFonts w:ascii="Verdana" w:eastAsia="Aptos" w:hAnsi="Verdana" w:cs="Times New Roman"/>
          <w:kern w:val="2"/>
          <w14:ligatures w14:val="standardContextual"/>
        </w:rPr>
        <w:lastRenderedPageBreak/>
        <w:t>dependencia del Distrito de Bogotá por no presentar libreta militar. La Corte consideró que tal requisito no le era exigible, porque ella se reconocía y vivía públicamente como mujer. Obligarla a cumplir con un requisito propio de los hombres desconocía su derecho a la autodeterminación y a la construcción de su identidad sexual.</w:t>
      </w:r>
    </w:p>
    <w:p w14:paraId="549C089F" w14:textId="77777777" w:rsidR="00FF49B9" w:rsidRPr="00BF44D7" w:rsidRDefault="00FF49B9" w:rsidP="00FF49B9">
      <w:pPr>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La S</w:t>
      </w:r>
      <w:r w:rsidRPr="00BF44D7">
        <w:rPr>
          <w:rFonts w:ascii="Verdana" w:eastAsia="Aptos" w:hAnsi="Verdana" w:cs="Times New Roman"/>
          <w:kern w:val="2"/>
          <w14:ligatures w14:val="standardContextual"/>
        </w:rPr>
        <w:t>entencia T-804 de 2014 realizó precisiones conceptuales sobre la diferencia entre “orientación sexual” e “identidad de género”</w:t>
      </w:r>
      <w:r>
        <w:rPr>
          <w:rStyle w:val="Refdenotaalpie"/>
          <w:rFonts w:ascii="Verdana" w:eastAsia="Aptos" w:hAnsi="Verdana" w:cs="Times New Roman"/>
          <w:kern w:val="2"/>
          <w14:ligatures w14:val="standardContextual"/>
        </w:rPr>
        <w:footnoteReference w:id="25"/>
      </w:r>
      <w:r w:rsidRPr="00BF44D7">
        <w:rPr>
          <w:rFonts w:ascii="Verdana" w:eastAsia="Aptos" w:hAnsi="Verdana" w:cs="Times New Roman"/>
          <w:kern w:val="2"/>
          <w14:ligatures w14:val="standardContextual"/>
        </w:rPr>
        <w:t xml:space="preserve">. Esta sentencia tomo como fundamento las definiciones de la Oficina del Alto Comisionado de las Naciones Unidas para los Derechos Humanos. Definió que el sexo es un hecho biológico, mientras que el género es una construcción social. Asimismo, indicó que la orientación sexual se refiere a la atracción física o emocional hacia otras personas, mientras que la identidad de género corresponde a la vivencia personal de ser hombre, mujer o distinto, y a la manera en que esa experiencia se expresa socialmente. Esta sentencia resaltó la importancia del lenguaje para evitar discriminación y reconoció que las autoridades deben referirse a las personas conforme </w:t>
      </w:r>
      <w:r>
        <w:rPr>
          <w:rFonts w:ascii="Verdana" w:eastAsia="Aptos" w:hAnsi="Verdana" w:cs="Times New Roman"/>
          <w:kern w:val="2"/>
          <w14:ligatures w14:val="standardContextual"/>
        </w:rPr>
        <w:t>a su propia identificación. La S</w:t>
      </w:r>
      <w:r w:rsidRPr="00BF44D7">
        <w:rPr>
          <w:rFonts w:ascii="Verdana" w:eastAsia="Aptos" w:hAnsi="Verdana" w:cs="Times New Roman"/>
          <w:kern w:val="2"/>
          <w14:ligatures w14:val="standardContextual"/>
        </w:rPr>
        <w:t>entencia T-099 de 2015 profundizó en estas categorías</w:t>
      </w:r>
      <w:r>
        <w:rPr>
          <w:rStyle w:val="Refdenotaalpie"/>
          <w:rFonts w:ascii="Verdana" w:eastAsia="Aptos" w:hAnsi="Verdana" w:cs="Times New Roman"/>
          <w:kern w:val="2"/>
          <w14:ligatures w14:val="standardContextual"/>
        </w:rPr>
        <w:footnoteReference w:id="26"/>
      </w:r>
      <w:r w:rsidRPr="00BF44D7">
        <w:rPr>
          <w:rFonts w:ascii="Verdana" w:eastAsia="Aptos" w:hAnsi="Verdana" w:cs="Times New Roman"/>
          <w:kern w:val="2"/>
          <w14:ligatures w14:val="standardContextual"/>
        </w:rPr>
        <w:t>. Definió la orientación sexual como los deseos, sentimientos y atracciones hacia personas del mismo, diferente o distintos géneros. A su vez, precisó que la identidad de género es la vivencia interna e individual que puede o no coincidir con el sexo asignado al nacer, pudiendo incluir modificaciones corporales libremente escogidas. Diferenció entre personas transgénero, cuya vivencia no corresponde al sexo asignado, y personas cisgénero, a quienes su vivencia sí les coincide con su sexo.</w:t>
      </w:r>
    </w:p>
    <w:p w14:paraId="01038D23" w14:textId="77777777" w:rsidR="00FF49B9" w:rsidRPr="00BF44D7" w:rsidRDefault="00FF49B9" w:rsidP="00FF49B9">
      <w:pPr>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La Corte Constitucional, en la S</w:t>
      </w:r>
      <w:r w:rsidRPr="00BF44D7">
        <w:rPr>
          <w:rFonts w:ascii="Verdana" w:eastAsia="Aptos" w:hAnsi="Verdana" w:cs="Times New Roman"/>
          <w:kern w:val="2"/>
          <w14:ligatures w14:val="standardContextual"/>
        </w:rPr>
        <w:t>entencia T-033 de 2015, reafirmó que el derecho a la identidad de género constituye un elemento esencial y estructural en la construcción del proyecto de vida de cada individuo</w:t>
      </w:r>
      <w:r>
        <w:rPr>
          <w:rStyle w:val="Refdenotaalpie"/>
          <w:rFonts w:ascii="Verdana" w:eastAsia="Aptos" w:hAnsi="Verdana" w:cs="Times New Roman"/>
          <w:kern w:val="2"/>
          <w14:ligatures w14:val="standardContextual"/>
        </w:rPr>
        <w:footnoteReference w:id="27"/>
      </w:r>
      <w:r w:rsidRPr="00BF44D7">
        <w:rPr>
          <w:rFonts w:ascii="Verdana" w:eastAsia="Aptos" w:hAnsi="Verdana" w:cs="Times New Roman"/>
          <w:kern w:val="2"/>
          <w14:ligatures w14:val="standardContextual"/>
        </w:rPr>
        <w:t xml:space="preserve">. Este derecho asegura que toda persona pueda definir y desarrollar de manera autónoma su identidad, reconociendo así tanto su singularidad como su capacidad de autodeterminación. En esa medida, la identidad de género es una expresión integral de la dignidad humana que debe ser protegida por el orden constitucional. En apoyo de esta perspectiva, la Corte ha acudido a estándares internacionales, particularmente a los “Principios de Yogyakarta: Principios sobre la aplicación de la legislación internacional de derechos humanos en relación con la orientación sexual y la identidad de género”. Este documento ofrece una guía interpretativa sobre cómo </w:t>
      </w:r>
      <w:r w:rsidRPr="00BF44D7">
        <w:rPr>
          <w:rFonts w:ascii="Verdana" w:eastAsia="Aptos" w:hAnsi="Verdana" w:cs="Times New Roman"/>
          <w:kern w:val="2"/>
          <w14:ligatures w14:val="standardContextual"/>
        </w:rPr>
        <w:lastRenderedPageBreak/>
        <w:t>los derecho</w:t>
      </w:r>
      <w:r>
        <w:rPr>
          <w:rFonts w:ascii="Verdana" w:eastAsia="Aptos" w:hAnsi="Verdana" w:cs="Times New Roman"/>
          <w:kern w:val="2"/>
          <w14:ligatures w14:val="standardContextual"/>
        </w:rPr>
        <w:t>s humanos deben aplicarse a la P</w:t>
      </w:r>
      <w:r w:rsidRPr="00BF44D7">
        <w:rPr>
          <w:rFonts w:ascii="Verdana" w:eastAsia="Aptos" w:hAnsi="Verdana" w:cs="Times New Roman"/>
          <w:kern w:val="2"/>
          <w14:ligatures w14:val="standardContextual"/>
        </w:rPr>
        <w:t>oblación LGBTIQ+. De allí, la Corte acogió la definición de identidad de género como la vivencia interna e individual del género que cada persona experimenta, la cual puede coincidir o no con el sexo asignado al momento del nacimiento. Esta vivencia incluye la percepción personal del propio cuerpo, que puede conllevar si lo desea la persona a modificaciones de la apariencia o de la función corporal mediante procedimientos médicos, quirúrgicos u otros, conocidos como “tránsitos”, así como múltiples formas de expresión de género tales como la vestimenta, el lenguaje, los modales y demás manifestaciones externas de identidad</w:t>
      </w:r>
    </w:p>
    <w:p w14:paraId="004A353C" w14:textId="77777777" w:rsidR="00FF49B9" w:rsidRPr="00BF44D7" w:rsidRDefault="00FF49B9" w:rsidP="00FF49B9">
      <w:pPr>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Por su parte, la S</w:t>
      </w:r>
      <w:r w:rsidRPr="00BF44D7">
        <w:rPr>
          <w:rFonts w:ascii="Verdana" w:eastAsia="Aptos" w:hAnsi="Verdana" w:cs="Times New Roman"/>
          <w:kern w:val="2"/>
          <w14:ligatures w14:val="standardContextual"/>
        </w:rPr>
        <w:t>entencia SU-440 de 2021 señaló que el término transgénero o trans es un término “paraguas” usado para describir las diferentes variantes de identidad de género de las personas cuya expresión no coincide con las identidades socialmente establecidas para el sexo asignado al nacer</w:t>
      </w:r>
      <w:r>
        <w:rPr>
          <w:rStyle w:val="Refdenotaalpie"/>
          <w:rFonts w:ascii="Verdana" w:eastAsia="Aptos" w:hAnsi="Verdana" w:cs="Times New Roman"/>
          <w:kern w:val="2"/>
          <w14:ligatures w14:val="standardContextual"/>
        </w:rPr>
        <w:footnoteReference w:id="28"/>
      </w:r>
      <w:r w:rsidRPr="00BF44D7">
        <w:rPr>
          <w:rFonts w:ascii="Verdana" w:eastAsia="Aptos" w:hAnsi="Verdana" w:cs="Times New Roman"/>
          <w:kern w:val="2"/>
          <w14:ligatures w14:val="standardContextual"/>
        </w:rPr>
        <w:t>. Dentro de esta categoría se encuentran: las “femineidades trans”, que abarcan las vivencias de género de las personas conocidas como “mujeres trans”; las “masculinidades trans”, con las que se identifican las personas conocidas como “hombres trans”, y las personas de identidad “no binaria”, que se identifican con vivencias que no se encuadran en lo social y culturalmente defi</w:t>
      </w:r>
      <w:r>
        <w:rPr>
          <w:rFonts w:ascii="Verdana" w:eastAsia="Aptos" w:hAnsi="Verdana" w:cs="Times New Roman"/>
          <w:kern w:val="2"/>
          <w14:ligatures w14:val="standardContextual"/>
        </w:rPr>
        <w:t xml:space="preserve">nido como femenino o masculino. </w:t>
      </w:r>
    </w:p>
    <w:p w14:paraId="39E8F725" w14:textId="77777777" w:rsidR="00FF49B9" w:rsidRPr="00977699" w:rsidRDefault="00FF49B9" w:rsidP="00FF49B9">
      <w:pPr>
        <w:spacing w:after="120" w:line="276" w:lineRule="auto"/>
        <w:ind w:firstLine="567"/>
        <w:jc w:val="both"/>
        <w:rPr>
          <w:rFonts w:ascii="Verdana" w:eastAsia="Aptos" w:hAnsi="Verdana" w:cs="Times New Roman"/>
          <w:kern w:val="2"/>
          <w14:ligatures w14:val="standardContextual"/>
        </w:rPr>
      </w:pPr>
      <w:r>
        <w:rPr>
          <w:rFonts w:ascii="Verdana" w:eastAsia="Aptos" w:hAnsi="Verdana" w:cs="Times New Roman"/>
          <w:kern w:val="2"/>
          <w:lang w:val="es-ES"/>
          <w14:ligatures w14:val="standardContextual"/>
        </w:rPr>
        <w:t xml:space="preserve">De lo anterior, se determina que la identidad de género </w:t>
      </w:r>
      <w:r w:rsidRPr="00BF44D7">
        <w:rPr>
          <w:rFonts w:ascii="Verdana" w:eastAsia="Aptos" w:hAnsi="Verdana" w:cs="Times New Roman"/>
          <w:kern w:val="2"/>
          <w:lang w:val="es-ES"/>
          <w14:ligatures w14:val="standardContextual"/>
        </w:rPr>
        <w:t>debe garantizar</w:t>
      </w:r>
      <w:r>
        <w:rPr>
          <w:rFonts w:ascii="Verdana" w:eastAsia="Aptos" w:hAnsi="Verdana" w:cs="Times New Roman"/>
          <w:kern w:val="2"/>
          <w:lang w:val="es-ES"/>
          <w14:ligatures w14:val="standardContextual"/>
        </w:rPr>
        <w:t>se</w:t>
      </w:r>
      <w:r w:rsidRPr="00BF44D7">
        <w:rPr>
          <w:rFonts w:ascii="Verdana" w:eastAsia="Aptos" w:hAnsi="Verdana" w:cs="Times New Roman"/>
          <w:kern w:val="2"/>
          <w:lang w:val="es-ES"/>
          <w14:ligatures w14:val="standardContextual"/>
        </w:rPr>
        <w:t xml:space="preserve"> que sea exteriorizada, reconocida y respetada, sin que pueda ser objeto de </w:t>
      </w:r>
      <w:proofErr w:type="spellStart"/>
      <w:r w:rsidRPr="00BF44D7">
        <w:rPr>
          <w:rFonts w:ascii="Verdana" w:eastAsia="Aptos" w:hAnsi="Verdana" w:cs="Times New Roman"/>
          <w:kern w:val="2"/>
          <w:lang w:val="es-ES"/>
          <w14:ligatures w14:val="standardContextual"/>
        </w:rPr>
        <w:t>invisibili</w:t>
      </w:r>
      <w:r>
        <w:rPr>
          <w:rFonts w:ascii="Verdana" w:eastAsia="Aptos" w:hAnsi="Verdana" w:cs="Times New Roman"/>
          <w:kern w:val="2"/>
          <w:lang w:val="es-ES"/>
          <w14:ligatures w14:val="standardContextual"/>
        </w:rPr>
        <w:t>zación</w:t>
      </w:r>
      <w:proofErr w:type="spellEnd"/>
      <w:r>
        <w:rPr>
          <w:rFonts w:ascii="Verdana" w:eastAsia="Aptos" w:hAnsi="Verdana" w:cs="Times New Roman"/>
          <w:kern w:val="2"/>
          <w:lang w:val="es-ES"/>
          <w14:ligatures w14:val="standardContextual"/>
        </w:rPr>
        <w:t xml:space="preserve"> o reproche, en especial,</w:t>
      </w:r>
      <w:r w:rsidRPr="00BF44D7">
        <w:rPr>
          <w:rFonts w:ascii="Verdana" w:eastAsia="Aptos" w:hAnsi="Verdana" w:cs="Times New Roman"/>
          <w:kern w:val="2"/>
          <w:lang w:val="es-ES"/>
          <w14:ligatures w14:val="standardContextual"/>
        </w:rPr>
        <w:t xml:space="preserve"> por parte del Estado, que ostenta un deber de protección. En la jurisprudencia constitucional se </w:t>
      </w:r>
      <w:r>
        <w:rPr>
          <w:rFonts w:ascii="Verdana" w:eastAsia="Aptos" w:hAnsi="Verdana" w:cs="Times New Roman"/>
          <w:kern w:val="2"/>
          <w:lang w:val="es-ES"/>
          <w14:ligatures w14:val="standardContextual"/>
        </w:rPr>
        <w:t xml:space="preserve">refiere </w:t>
      </w:r>
      <w:r w:rsidRPr="00BF44D7">
        <w:rPr>
          <w:rFonts w:ascii="Verdana" w:eastAsia="Aptos" w:hAnsi="Verdana" w:cs="Times New Roman"/>
          <w:kern w:val="2"/>
          <w:lang w:val="es-ES"/>
          <w14:ligatures w14:val="standardContextual"/>
        </w:rPr>
        <w:t xml:space="preserve">a dos fases de consolidación de la identidad de género: la interna y la externa. </w:t>
      </w:r>
      <w:r w:rsidRPr="00BF44D7">
        <w:rPr>
          <w:rFonts w:ascii="Verdana" w:eastAsia="Aptos" w:hAnsi="Verdana" w:cs="Times New Roman"/>
          <w:kern w:val="2"/>
          <w14:ligatures w14:val="standardContextual"/>
        </w:rPr>
        <w:t xml:space="preserve">En el ámbito interno, la identidad de género concreta los derechos al desarrollo libre de la personalidad y a la dignidad humana. En la dimensión externa, se refiere a la manifestación que el individuo </w:t>
      </w:r>
      <w:r>
        <w:rPr>
          <w:rFonts w:ascii="Verdana" w:eastAsia="Aptos" w:hAnsi="Verdana" w:cs="Times New Roman"/>
          <w:kern w:val="2"/>
          <w14:ligatures w14:val="standardContextual"/>
        </w:rPr>
        <w:t xml:space="preserve">hace con respecto a </w:t>
      </w:r>
      <w:r w:rsidRPr="00BF44D7">
        <w:rPr>
          <w:rFonts w:ascii="Verdana" w:eastAsia="Aptos" w:hAnsi="Verdana" w:cs="Times New Roman"/>
          <w:kern w:val="2"/>
          <w14:ligatures w14:val="standardContextual"/>
        </w:rPr>
        <w:t xml:space="preserve">la sociedad de su ser. Como derecho fundamental, </w:t>
      </w:r>
      <w:r w:rsidRPr="00BF44D7">
        <w:rPr>
          <w:rFonts w:ascii="Verdana" w:eastAsia="Aptos" w:hAnsi="Verdana" w:cs="Times New Roman"/>
          <w:kern w:val="2"/>
          <w:lang w:val="es-ES"/>
          <w14:ligatures w14:val="standardContextual"/>
        </w:rPr>
        <w:t>la identidad de género converge con el ejercicio de los derechos al libre desarrollo de la personalidad y a la dignidad humana.</w:t>
      </w:r>
      <w:r>
        <w:rPr>
          <w:rFonts w:ascii="Verdana" w:eastAsia="Aptos" w:hAnsi="Verdana" w:cs="Times New Roman"/>
          <w:kern w:val="2"/>
          <w:lang w:val="es-ES"/>
          <w14:ligatures w14:val="standardContextual"/>
        </w:rPr>
        <w:t xml:space="preserve"> </w:t>
      </w:r>
      <w:r w:rsidRPr="00BF44D7">
        <w:rPr>
          <w:rFonts w:ascii="Verdana" w:eastAsia="Aptos" w:hAnsi="Verdana" w:cs="Times New Roman"/>
          <w:kern w:val="2"/>
          <w14:ligatures w14:val="standardContextual"/>
        </w:rPr>
        <w:t>Tomando como sustento sentencias como la T-467 de 2014, T-063 de 2015, T-192 de 2020 y SU-440 de 202</w:t>
      </w:r>
      <w:r>
        <w:rPr>
          <w:rFonts w:ascii="Verdana" w:eastAsia="Aptos" w:hAnsi="Verdana" w:cs="Times New Roman"/>
          <w:kern w:val="2"/>
          <w14:ligatures w14:val="standardContextual"/>
        </w:rPr>
        <w:t>1</w:t>
      </w:r>
      <w:r w:rsidRPr="00BF44D7">
        <w:rPr>
          <w:rFonts w:ascii="Verdana" w:eastAsia="Aptos" w:hAnsi="Verdana" w:cs="Times New Roman"/>
          <w:kern w:val="2"/>
          <w14:ligatures w14:val="standardContextual"/>
        </w:rPr>
        <w:t xml:space="preserve">, el reconocimiento jurídico de la identidad de género diversa contempla tres aspectos: </w:t>
      </w:r>
      <w:r>
        <w:rPr>
          <w:rFonts w:ascii="Verdana" w:eastAsia="Aptos" w:hAnsi="Verdana" w:cs="Times New Roman"/>
          <w:kern w:val="2"/>
          <w14:ligatures w14:val="standardContextual"/>
        </w:rPr>
        <w:t>“</w:t>
      </w:r>
      <w:r w:rsidRPr="00BF44D7">
        <w:rPr>
          <w:rFonts w:ascii="Verdana" w:eastAsia="Aptos" w:hAnsi="Verdana" w:cs="Times New Roman"/>
          <w:kern w:val="2"/>
          <w14:ligatures w14:val="standardContextual"/>
        </w:rPr>
        <w:t xml:space="preserve">(i) la obligación del Estado de contar con procedimientos idóneos que permitan a las personas trans modificar su nombre y el marcador de género o ‘sexo’ en los documentos de identificación y registros públicos; (ii) el cambio del género debe estar fundado en la libre determinación </w:t>
      </w:r>
      <w:r w:rsidRPr="00BF44D7">
        <w:rPr>
          <w:rFonts w:ascii="Verdana" w:eastAsia="Aptos" w:hAnsi="Verdana" w:cs="Times New Roman"/>
          <w:kern w:val="2"/>
          <w14:ligatures w14:val="standardContextual"/>
        </w:rPr>
        <w:lastRenderedPageBreak/>
        <w:t>de las personas, no puede estar condicionado a requisitos abusivos; y (</w:t>
      </w:r>
      <w:proofErr w:type="spellStart"/>
      <w:r w:rsidRPr="00BF44D7">
        <w:rPr>
          <w:rFonts w:ascii="Verdana" w:eastAsia="Aptos" w:hAnsi="Verdana" w:cs="Times New Roman"/>
          <w:kern w:val="2"/>
          <w14:ligatures w14:val="standardContextual"/>
        </w:rPr>
        <w:t>iii</w:t>
      </w:r>
      <w:proofErr w:type="spellEnd"/>
      <w:r w:rsidRPr="00BF44D7">
        <w:rPr>
          <w:rFonts w:ascii="Verdana" w:eastAsia="Aptos" w:hAnsi="Verdana" w:cs="Times New Roman"/>
          <w:kern w:val="2"/>
          <w14:ligatures w14:val="standardContextual"/>
        </w:rPr>
        <w:t>) las personas trans deben recibir un tratamiento constitucional y legal acorde con su de identidad de género auto-percibida</w:t>
      </w:r>
      <w:r>
        <w:rPr>
          <w:rFonts w:ascii="Verdana" w:eastAsia="Aptos" w:hAnsi="Verdana" w:cs="Times New Roman"/>
          <w:kern w:val="2"/>
          <w14:ligatures w14:val="standardContextual"/>
        </w:rPr>
        <w:t>”</w:t>
      </w:r>
      <w:r w:rsidRPr="00BF44D7">
        <w:rPr>
          <w:rFonts w:ascii="Verdana" w:eastAsia="Aptos" w:hAnsi="Verdana" w:cs="Times New Roman"/>
          <w:kern w:val="2"/>
          <w14:ligatures w14:val="standardContextual"/>
        </w:rPr>
        <w:t>.</w:t>
      </w:r>
      <w:r>
        <w:rPr>
          <w:rFonts w:ascii="Verdana" w:eastAsia="Aptos" w:hAnsi="Verdana" w:cs="Times New Roman"/>
          <w:kern w:val="2"/>
          <w14:ligatures w14:val="standardContextual"/>
        </w:rPr>
        <w:t xml:space="preserve"> </w:t>
      </w:r>
      <w:r w:rsidRPr="00BF44D7">
        <w:rPr>
          <w:rFonts w:ascii="Verdana" w:eastAsia="Aptos" w:hAnsi="Verdana" w:cs="Times New Roman"/>
          <w:kern w:val="2"/>
          <w14:ligatures w14:val="standardContextual"/>
        </w:rPr>
        <w:t>Finalmente, en la jurisprudencia constitucional se entiende que la exigencia de pruebas de la identidad a una persona trans constituye una violación al derecho a la intimidad, pues les obliga a someter sus decisiones más íntimas y asuntos más privados de su vida al escrutinio público. Por ello</w:t>
      </w:r>
      <w:r>
        <w:rPr>
          <w:rFonts w:ascii="Verdana" w:eastAsia="Aptos" w:hAnsi="Verdana" w:cs="Times New Roman"/>
          <w:kern w:val="2"/>
          <w14:ligatures w14:val="standardContextual"/>
        </w:rPr>
        <w:t>,</w:t>
      </w:r>
      <w:r w:rsidRPr="00BF44D7">
        <w:rPr>
          <w:rFonts w:ascii="Verdana" w:eastAsia="Aptos" w:hAnsi="Verdana" w:cs="Times New Roman"/>
          <w:kern w:val="2"/>
          <w14:ligatures w14:val="standardContextual"/>
        </w:rPr>
        <w:t xml:space="preserve"> se reconoce que la autodeterminación de la identidad es un proceso que cada persona tiene derecho a realizar de manera autónoma y que debe </w:t>
      </w:r>
      <w:r>
        <w:rPr>
          <w:rFonts w:ascii="Verdana" w:eastAsia="Aptos" w:hAnsi="Verdana" w:cs="Times New Roman"/>
          <w:kern w:val="2"/>
          <w14:ligatures w14:val="standardContextual"/>
        </w:rPr>
        <w:t xml:space="preserve">respetarse </w:t>
      </w:r>
      <w:r w:rsidRPr="00BF44D7">
        <w:rPr>
          <w:rFonts w:ascii="Verdana" w:eastAsia="Aptos" w:hAnsi="Verdana" w:cs="Times New Roman"/>
          <w:kern w:val="2"/>
          <w14:ligatures w14:val="standardContextual"/>
        </w:rPr>
        <w:t>por el Estado</w:t>
      </w:r>
      <w:r>
        <w:rPr>
          <w:rStyle w:val="Refdenotaalpie"/>
          <w:rFonts w:ascii="Verdana" w:eastAsia="Aptos" w:hAnsi="Verdana" w:cs="Times New Roman"/>
          <w:kern w:val="2"/>
          <w14:ligatures w14:val="standardContextual"/>
        </w:rPr>
        <w:footnoteReference w:id="29"/>
      </w:r>
      <w:r>
        <w:rPr>
          <w:rFonts w:ascii="Verdana" w:eastAsia="Aptos" w:hAnsi="Verdana" w:cs="Times New Roman"/>
          <w:kern w:val="2"/>
          <w14:ligatures w14:val="standardContextual"/>
        </w:rPr>
        <w:t xml:space="preserve">. </w:t>
      </w:r>
    </w:p>
    <w:p w14:paraId="395E1C32" w14:textId="77777777" w:rsidR="00FF49B9" w:rsidRPr="00977699" w:rsidRDefault="00FF49B9" w:rsidP="00FF49B9">
      <w:pPr>
        <w:spacing w:after="120" w:line="276" w:lineRule="auto"/>
        <w:ind w:firstLine="567"/>
        <w:jc w:val="both"/>
        <w:rPr>
          <w:rFonts w:ascii="Verdana" w:eastAsia="Aptos" w:hAnsi="Verdana" w:cs="Times New Roman"/>
          <w:kern w:val="2"/>
          <w14:ligatures w14:val="standardContextual"/>
        </w:rPr>
      </w:pPr>
      <w:r w:rsidRPr="00BF44D7">
        <w:rPr>
          <w:rFonts w:ascii="Verdana" w:eastAsia="Aptos" w:hAnsi="Verdana" w:cs="Times New Roman"/>
          <w:kern w:val="2"/>
          <w14:ligatures w14:val="standardContextual"/>
        </w:rPr>
        <w:t>La Convención Americana protege el derecho de cada persona a definir de manera autónoma su identidad sexual y de género y a que los datos que figuran en los registros de identidad sean acordes con la definición que tiene de sí mismo. La Convención en los artículos 7 y 11.2 se garantiza el libre desarrollo de la personalidad; el art. 11.2, el derecho a la privacidad; el art. 3 sobre el reconocimiento de la personalidad jurídica; finalmente el art.18 correspondiente al derecho al nombre. En consecuencia, los Estados deben respetar y garantizar a toda persona la posibilidad de registrar, cambiar, rectificar o adecuar su nombre y los demás componentes esenciales de su identidad como la imagen, o la referencia al sexo o género.</w:t>
      </w:r>
      <w:r>
        <w:rPr>
          <w:rFonts w:ascii="Verdana" w:eastAsia="Aptos" w:hAnsi="Verdana" w:cs="Times New Roman"/>
          <w:kern w:val="2"/>
          <w14:ligatures w14:val="standardContextual"/>
        </w:rPr>
        <w:t xml:space="preserve"> </w:t>
      </w:r>
      <w:r w:rsidRPr="00BF44D7">
        <w:rPr>
          <w:rFonts w:ascii="Verdana" w:eastAsia="Aptos" w:hAnsi="Verdana" w:cs="Times New Roman"/>
          <w:kern w:val="2"/>
          <w:lang w:val="es-ES"/>
          <w14:ligatures w14:val="standardContextual"/>
        </w:rPr>
        <w:t>Como se mencionó es aceptado por la jurisprudencia constitucional que la identidad es la definición de sí. Por lo tanto, la identidad de género es un derecho fundamental, que tiene una carga para la sociedad y al Estado, que consiste en el deber de tratar a la persona de un modo congruente y respetuoso de la visión que tiene de sí misma.</w:t>
      </w:r>
    </w:p>
    <w:p w14:paraId="6A6C7EC1" w14:textId="77777777" w:rsidR="00FF49B9" w:rsidRPr="00BF44D7" w:rsidRDefault="00FF49B9" w:rsidP="00FF49B9">
      <w:pPr>
        <w:spacing w:after="120" w:line="276" w:lineRule="auto"/>
        <w:ind w:firstLine="567"/>
        <w:jc w:val="both"/>
        <w:rPr>
          <w:rFonts w:ascii="Verdana" w:eastAsia="Aptos" w:hAnsi="Verdana" w:cs="Times New Roman"/>
          <w:kern w:val="2"/>
          <w:lang w:val="es-ES"/>
          <w14:ligatures w14:val="standardContextual"/>
        </w:rPr>
      </w:pPr>
      <w:r>
        <w:rPr>
          <w:rFonts w:ascii="Verdana" w:eastAsia="Aptos" w:hAnsi="Verdana" w:cs="Times New Roman"/>
          <w:kern w:val="2"/>
          <w14:ligatures w14:val="standardContextual"/>
        </w:rPr>
        <w:t>Teniendo en cuenta lo expuesto, l</w:t>
      </w:r>
      <w:r w:rsidRPr="00BF44D7">
        <w:rPr>
          <w:rFonts w:ascii="Verdana" w:eastAsia="Aptos" w:hAnsi="Verdana" w:cs="Times New Roman"/>
          <w:kern w:val="2"/>
          <w14:ligatures w14:val="standardContextual"/>
        </w:rPr>
        <w:t>os documentos de identificación son uno de los tantos mecanismo</w:t>
      </w:r>
      <w:r>
        <w:rPr>
          <w:rFonts w:ascii="Verdana" w:eastAsia="Aptos" w:hAnsi="Verdana" w:cs="Times New Roman"/>
          <w:kern w:val="2"/>
          <w14:ligatures w14:val="standardContextual"/>
        </w:rPr>
        <w:t>s</w:t>
      </w:r>
      <w:r w:rsidRPr="00BF44D7">
        <w:rPr>
          <w:rFonts w:ascii="Verdana" w:eastAsia="Aptos" w:hAnsi="Verdana" w:cs="Times New Roman"/>
          <w:kern w:val="2"/>
          <w14:ligatures w14:val="standardContextual"/>
        </w:rPr>
        <w:t xml:space="preserve"> que tienen los sujetos para determinarse a sí mismo y se le reconozca en la sociedad y en el Estado. Estos son la manera en que las personas se presentan y participan en el tráfico jurídico.</w:t>
      </w:r>
      <w:r>
        <w:rPr>
          <w:rFonts w:ascii="Verdana" w:eastAsia="Aptos" w:hAnsi="Verdana" w:cs="Times New Roman"/>
          <w:kern w:val="2"/>
          <w:lang w:val="es-ES"/>
          <w14:ligatures w14:val="standardContextual"/>
        </w:rPr>
        <w:t xml:space="preserve"> Para la Corte Constitucional, </w:t>
      </w:r>
      <w:r w:rsidRPr="00BF44D7">
        <w:rPr>
          <w:rFonts w:ascii="Verdana" w:eastAsia="Aptos" w:hAnsi="Verdana" w:cs="Times New Roman"/>
          <w:kern w:val="2"/>
          <w:lang w:val="es-ES"/>
          <w14:ligatures w14:val="standardContextual"/>
        </w:rPr>
        <w:t>el registro civil de nacimiento, la tarjeta de identidad y la cédula de ciudadanía, garantizan la personalidad jurídica. Esto implica que haya una correspondencia entre los datos consignados en dichos document</w:t>
      </w:r>
      <w:r>
        <w:rPr>
          <w:rFonts w:ascii="Verdana" w:eastAsia="Aptos" w:hAnsi="Verdana" w:cs="Times New Roman"/>
          <w:kern w:val="2"/>
          <w:lang w:val="es-ES"/>
          <w14:ligatures w14:val="standardContextual"/>
        </w:rPr>
        <w:t>os y la identidad de la persona</w:t>
      </w:r>
      <w:r>
        <w:rPr>
          <w:rStyle w:val="Refdenotaalpie"/>
          <w:rFonts w:ascii="Verdana" w:eastAsia="Aptos" w:hAnsi="Verdana" w:cs="Times New Roman"/>
          <w:kern w:val="2"/>
          <w:lang w:val="es-ES"/>
          <w14:ligatures w14:val="standardContextual"/>
        </w:rPr>
        <w:footnoteReference w:id="30"/>
      </w:r>
      <w:r w:rsidRPr="00BF44D7">
        <w:rPr>
          <w:rFonts w:ascii="Verdana" w:eastAsia="Aptos" w:hAnsi="Verdana" w:cs="Times New Roman"/>
          <w:kern w:val="2"/>
          <w:lang w:val="es-ES"/>
          <w14:ligatures w14:val="standardContextual"/>
        </w:rPr>
        <w:t xml:space="preserve">. En consecuencia, el nombre y el sexo son los datos especialmente sensibles para las personas con identidades de género diversas. </w:t>
      </w:r>
      <w:r w:rsidRPr="00BF44D7">
        <w:rPr>
          <w:rFonts w:ascii="Verdana" w:eastAsia="Aptos" w:hAnsi="Verdana" w:cs="Times New Roman"/>
          <w:kern w:val="2"/>
          <w:lang w:val="es-ES"/>
          <w14:ligatures w14:val="standardContextual"/>
        </w:rPr>
        <w:lastRenderedPageBreak/>
        <w:t xml:space="preserve">Mediante estos, ellas pueden reconfigurar su identidad para definir su proyecto de vida y exteriorizarlo como manifestación de su dignidad. </w:t>
      </w:r>
    </w:p>
    <w:p w14:paraId="5F47B516" w14:textId="77777777" w:rsidR="00FF49B9" w:rsidRPr="00BF44D7" w:rsidRDefault="00FF49B9" w:rsidP="00FF49B9">
      <w:pPr>
        <w:spacing w:after="120" w:line="276" w:lineRule="auto"/>
        <w:ind w:firstLine="567"/>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La S</w:t>
      </w:r>
      <w:r w:rsidRPr="00BF44D7">
        <w:rPr>
          <w:rFonts w:ascii="Verdana" w:eastAsia="Aptos" w:hAnsi="Verdana" w:cs="Times New Roman"/>
          <w:kern w:val="2"/>
          <w14:ligatures w14:val="standardContextual"/>
        </w:rPr>
        <w:t>entencia SU-044 de 2021 también advirtió que las concepciones tradicionales sobre lo que es “normal” en lo masculino o femenino han generado exclusión y abusos contra esta población, colocándola en situación de desventaja. Frente a ello, estableció dos garantías esenciales: i) el reconocimiento jurídico de la identidad de género diversa, mediante procedimientos ágiles para cambiar nombre y sexo en documentos oficiales, y ii) una protección cualificada contra la discriminación, en la cual corresponde al presunto responsable demostrar que su actuación no fue discriminatoria</w:t>
      </w:r>
      <w:r>
        <w:rPr>
          <w:rStyle w:val="Refdenotaalpie"/>
          <w:rFonts w:ascii="Verdana" w:eastAsia="Aptos" w:hAnsi="Verdana" w:cs="Times New Roman"/>
          <w:kern w:val="2"/>
          <w14:ligatures w14:val="standardContextual"/>
        </w:rPr>
        <w:footnoteReference w:id="31"/>
      </w:r>
      <w:r w:rsidRPr="00BF44D7">
        <w:rPr>
          <w:rFonts w:ascii="Verdana" w:eastAsia="Aptos" w:hAnsi="Verdana" w:cs="Times New Roman"/>
          <w:kern w:val="2"/>
          <w14:ligatures w14:val="standardContextual"/>
        </w:rPr>
        <w:t>. Adicionalmente, la Corte indicó que el Estado tiene un deber reforzado de acción, que incluye: eliminar leyes y prácticas discriminatorias, garantizar la libre expresión de la identidad de género en todos los ámbitos sociales, transformar patrones de violencia y desprecio contra esta población, y asegurar el ejercicio de derechos en condiciones reales de igualdad.</w:t>
      </w:r>
    </w:p>
    <w:p w14:paraId="5CFAFA50" w14:textId="77777777" w:rsidR="00FF49B9" w:rsidRPr="00BF44D7" w:rsidRDefault="00FF49B9" w:rsidP="00FF49B9">
      <w:pPr>
        <w:spacing w:after="120" w:line="276" w:lineRule="auto"/>
        <w:ind w:firstLine="567"/>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En efecto, el Alto Tribunal Constitucional </w:t>
      </w:r>
      <w:r w:rsidRPr="00BF44D7">
        <w:rPr>
          <w:rFonts w:ascii="Verdana" w:eastAsia="Aptos" w:hAnsi="Verdana" w:cs="Times New Roman"/>
          <w:kern w:val="2"/>
          <w14:ligatures w14:val="standardContextual"/>
        </w:rPr>
        <w:t>ha reconocido el derecho fundamental que le asiste a toda persona, a que el sexo consignado en el registro civil coincida con la identidad de género efectivamente asumida y vivida por esta. Se entra a un escenario de vulneración de los derechos de las personas trans cuando se establecen obstáculos para lograr la corrección del sexo en el registro civil, a fin de que coincida con su identidad vivida. A través del Decreto 1227 de 2015 se estableció el procedimiento y trámite para corregir el componente sexo en los documentos legales. Este decreto se estableció como requisito que solo es posible corregir el componente sexo dos veces y que no se podrá pedir la corrección dentro de los diez años siguientes a la expedición de la escritura pública expedida por el notario, en la cual se realiza la primera corrección.</w:t>
      </w:r>
    </w:p>
    <w:p w14:paraId="2361A96E" w14:textId="77777777" w:rsidR="00FF49B9" w:rsidRPr="00BF44D7" w:rsidRDefault="00FF49B9" w:rsidP="00FF49B9">
      <w:pPr>
        <w:spacing w:after="120" w:line="276" w:lineRule="auto"/>
        <w:ind w:firstLine="567"/>
        <w:jc w:val="both"/>
        <w:rPr>
          <w:rFonts w:ascii="Verdana" w:eastAsia="Aptos" w:hAnsi="Verdana" w:cs="Times New Roman"/>
          <w:kern w:val="2"/>
          <w:lang w:val="es-ES"/>
          <w14:ligatures w14:val="standardContextual"/>
        </w:rPr>
      </w:pPr>
      <w:r>
        <w:rPr>
          <w:rFonts w:ascii="Verdana" w:eastAsia="Aptos" w:hAnsi="Verdana" w:cs="Times New Roman"/>
          <w:kern w:val="2"/>
          <w14:ligatures w14:val="standardContextual"/>
        </w:rPr>
        <w:t>La S</w:t>
      </w:r>
      <w:r w:rsidRPr="00BF44D7">
        <w:rPr>
          <w:rFonts w:ascii="Verdana" w:eastAsia="Aptos" w:hAnsi="Verdana" w:cs="Times New Roman"/>
          <w:kern w:val="2"/>
          <w14:ligatures w14:val="standardContextual"/>
        </w:rPr>
        <w:t xml:space="preserve">entencia C-114 de 2017 es </w:t>
      </w:r>
      <w:r>
        <w:rPr>
          <w:rFonts w:ascii="Verdana" w:eastAsia="Aptos" w:hAnsi="Verdana" w:cs="Times New Roman"/>
          <w:kern w:val="2"/>
          <w14:ligatures w14:val="standardContextual"/>
        </w:rPr>
        <w:t xml:space="preserve">una sentencia hito </w:t>
      </w:r>
      <w:r w:rsidRPr="00BF44D7">
        <w:rPr>
          <w:rFonts w:ascii="Verdana" w:eastAsia="Aptos" w:hAnsi="Verdana" w:cs="Times New Roman"/>
          <w:kern w:val="2"/>
          <w14:ligatures w14:val="standardContextual"/>
        </w:rPr>
        <w:t>contra la discriminación de las personas transgénero, puesto que</w:t>
      </w:r>
      <w:r w:rsidRPr="00BF44D7">
        <w:rPr>
          <w:rFonts w:ascii="Verdana" w:eastAsia="Aptos" w:hAnsi="Verdana" w:cs="Times New Roman"/>
          <w:kern w:val="2"/>
          <w:lang w:val="es-ES"/>
          <w14:ligatures w14:val="standardContextual"/>
        </w:rPr>
        <w:t xml:space="preserve"> examinó la constitucionalidad de la expresión “por una sola vez”</w:t>
      </w:r>
      <w:r>
        <w:rPr>
          <w:rStyle w:val="Refdenotaalpie"/>
          <w:rFonts w:ascii="Verdana" w:eastAsia="Aptos" w:hAnsi="Verdana" w:cs="Times New Roman"/>
          <w:kern w:val="2"/>
          <w:lang w:val="es-ES"/>
          <w14:ligatures w14:val="standardContextual"/>
        </w:rPr>
        <w:footnoteReference w:id="32"/>
      </w:r>
      <w:r w:rsidRPr="00BF44D7">
        <w:rPr>
          <w:rFonts w:ascii="Verdana" w:eastAsia="Aptos" w:hAnsi="Verdana" w:cs="Times New Roman"/>
          <w:kern w:val="2"/>
          <w:lang w:val="es-ES"/>
          <w14:ligatures w14:val="standardContextual"/>
        </w:rPr>
        <w:t xml:space="preserve"> contenida en el artículo 94 del Decreto ley 1260 de 1970, con fundamento a una extensa línea jurisprudencial sobre la posibilidad de modificar el nombre por vía notarial, más de una vez en casos de incongruencia del registro civil con la identidad de género, adicionó una excepción a dicha regla. Tras su emisión, la restricción sobre el cambio notarial </w:t>
      </w:r>
      <w:r w:rsidRPr="00BF44D7">
        <w:rPr>
          <w:rFonts w:ascii="Verdana" w:eastAsia="Aptos" w:hAnsi="Verdana" w:cs="Times New Roman"/>
          <w:kern w:val="2"/>
          <w:lang w:val="es-ES"/>
          <w14:ligatures w14:val="standardContextual"/>
        </w:rPr>
        <w:lastRenderedPageBreak/>
        <w:t>no es aplicable “en aquellos eventos en que exista una justificación constitucional, clara y suficiente”. Es decir, </w:t>
      </w:r>
      <w:r w:rsidRPr="00BF44D7">
        <w:rPr>
          <w:rFonts w:ascii="Verdana" w:eastAsia="Aptos" w:hAnsi="Verdana" w:cs="Times New Roman"/>
          <w:kern w:val="2"/>
          <w14:ligatures w14:val="standardContextual"/>
        </w:rPr>
        <w:t>cuando se encuentre en riesgo la armonía entre la identidad de género y el nombre, pues en ese contexto la modificación del nombre resulta urgente e inaplazable</w:t>
      </w:r>
      <w:r w:rsidRPr="00BF44D7">
        <w:rPr>
          <w:rFonts w:ascii="Verdana" w:eastAsia="Aptos" w:hAnsi="Verdana" w:cs="Times New Roman"/>
          <w:kern w:val="2"/>
          <w:lang w:val="es-ES"/>
          <w14:ligatures w14:val="standardContextual"/>
        </w:rPr>
        <w:t xml:space="preserve">. </w:t>
      </w:r>
    </w:p>
    <w:p w14:paraId="74AD96AE" w14:textId="77777777" w:rsidR="00FF49B9" w:rsidRDefault="00FF49B9" w:rsidP="00FF49B9">
      <w:pPr>
        <w:spacing w:after="120" w:line="276" w:lineRule="auto"/>
        <w:ind w:firstLine="567"/>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Teniendo en cuenta lo expuesto, y en atención al problema jurídico de su consulta, se expresa que </w:t>
      </w:r>
      <w:r w:rsidRPr="00BF44D7">
        <w:rPr>
          <w:rFonts w:ascii="Verdana" w:eastAsia="Aptos" w:hAnsi="Verdana" w:cs="Times New Roman"/>
          <w:kern w:val="2"/>
          <w14:ligatures w14:val="standardContextual"/>
        </w:rPr>
        <w:t xml:space="preserve">la identidad de género es un derecho fundamental que debe </w:t>
      </w:r>
      <w:r>
        <w:rPr>
          <w:rFonts w:ascii="Verdana" w:eastAsia="Aptos" w:hAnsi="Verdana" w:cs="Times New Roman"/>
          <w:kern w:val="2"/>
          <w14:ligatures w14:val="standardContextual"/>
        </w:rPr>
        <w:t xml:space="preserve">respetarse y garantizarse </w:t>
      </w:r>
      <w:r w:rsidRPr="00BF44D7">
        <w:rPr>
          <w:rFonts w:ascii="Verdana" w:eastAsia="Aptos" w:hAnsi="Verdana" w:cs="Times New Roman"/>
          <w:kern w:val="2"/>
          <w14:ligatures w14:val="standardContextual"/>
        </w:rPr>
        <w:t>en todos los ámbitos sociales, incluyendo el laboral. El cambio de nombre o de sexo en los documentos oficiales de una person</w:t>
      </w:r>
      <w:r>
        <w:rPr>
          <w:rFonts w:ascii="Verdana" w:eastAsia="Aptos" w:hAnsi="Verdana" w:cs="Times New Roman"/>
          <w:kern w:val="2"/>
          <w14:ligatures w14:val="standardContextual"/>
        </w:rPr>
        <w:t xml:space="preserve">a transgénero no debe implicar </w:t>
      </w:r>
      <w:r w:rsidRPr="00BF44D7">
        <w:rPr>
          <w:rFonts w:ascii="Verdana" w:eastAsia="Aptos" w:hAnsi="Verdana" w:cs="Times New Roman"/>
          <w:kern w:val="2"/>
          <w14:ligatures w14:val="standardContextual"/>
        </w:rPr>
        <w:t>la pérdida o negación de su experiencia laboral previa. Negar dicha experiencia constituiría una barrera discriminatoria que afecta directamente el acceso, permanencia y dignidad laboral de estas personas.</w:t>
      </w:r>
      <w:r>
        <w:rPr>
          <w:rFonts w:ascii="Verdana" w:eastAsia="Aptos" w:hAnsi="Verdana" w:cs="Times New Roman"/>
          <w:kern w:val="2"/>
          <w14:ligatures w14:val="standardContextual"/>
        </w:rPr>
        <w:t xml:space="preserve"> Al respecto, s</w:t>
      </w:r>
      <w:r w:rsidRPr="00BF44D7">
        <w:rPr>
          <w:rFonts w:ascii="Verdana" w:eastAsia="Aptos" w:hAnsi="Verdana" w:cs="Times New Roman"/>
          <w:kern w:val="2"/>
          <w14:ligatures w14:val="standardContextual"/>
        </w:rPr>
        <w:t>e han establecido reglas claras para garantizar el acceso y trato digno en el trabajo para las personas tr</w:t>
      </w:r>
      <w:r>
        <w:rPr>
          <w:rFonts w:ascii="Verdana" w:eastAsia="Aptos" w:hAnsi="Verdana" w:cs="Times New Roman"/>
          <w:kern w:val="2"/>
          <w14:ligatures w14:val="standardContextual"/>
        </w:rPr>
        <w:t xml:space="preserve">ans. </w:t>
      </w:r>
    </w:p>
    <w:p w14:paraId="427A9A7B" w14:textId="77777777" w:rsidR="00FF49B9" w:rsidRPr="00BF44D7" w:rsidRDefault="00FF49B9" w:rsidP="00FF49B9">
      <w:pPr>
        <w:spacing w:after="120" w:line="276" w:lineRule="auto"/>
        <w:ind w:firstLine="567"/>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A modo de ejemplo, la S</w:t>
      </w:r>
      <w:r w:rsidRPr="00BF44D7">
        <w:rPr>
          <w:rFonts w:ascii="Verdana" w:eastAsia="Aptos" w:hAnsi="Verdana" w:cs="Times New Roman"/>
          <w:kern w:val="2"/>
          <w14:ligatures w14:val="standardContextual"/>
        </w:rPr>
        <w:t>entencia T-143 de 2018 que precisó que imponer un código de vestimenta contrario a la identidad de género de un trabajador vulnera su derecho al libre des</w:t>
      </w:r>
      <w:r>
        <w:rPr>
          <w:rFonts w:ascii="Verdana" w:eastAsia="Aptos" w:hAnsi="Verdana" w:cs="Times New Roman"/>
          <w:kern w:val="2"/>
          <w14:ligatures w14:val="standardContextual"/>
        </w:rPr>
        <w:t>arrollo de la personalidad</w:t>
      </w:r>
      <w:r>
        <w:rPr>
          <w:rStyle w:val="Refdenotaalpie"/>
          <w:rFonts w:ascii="Verdana" w:eastAsia="Aptos" w:hAnsi="Verdana" w:cs="Times New Roman"/>
          <w:kern w:val="2"/>
          <w14:ligatures w14:val="standardContextual"/>
        </w:rPr>
        <w:footnoteReference w:id="33"/>
      </w:r>
      <w:r>
        <w:rPr>
          <w:rFonts w:ascii="Verdana" w:eastAsia="Aptos" w:hAnsi="Verdana" w:cs="Times New Roman"/>
          <w:kern w:val="2"/>
          <w14:ligatures w14:val="standardContextual"/>
        </w:rPr>
        <w:t>. La S</w:t>
      </w:r>
      <w:r w:rsidRPr="00BF44D7">
        <w:rPr>
          <w:rFonts w:ascii="Verdana" w:eastAsia="Aptos" w:hAnsi="Verdana" w:cs="Times New Roman"/>
          <w:kern w:val="2"/>
          <w14:ligatures w14:val="standardContextual"/>
        </w:rPr>
        <w:t>entencia T-476 de 2014 reconoció la inconstitucionalidad de exigir la libreta militar a una mujer trans como requisito laboral, al tratarse de una obligación asociada exclus</w:t>
      </w:r>
      <w:r>
        <w:rPr>
          <w:rFonts w:ascii="Verdana" w:eastAsia="Aptos" w:hAnsi="Verdana" w:cs="Times New Roman"/>
          <w:kern w:val="2"/>
          <w14:ligatures w14:val="standardContextual"/>
        </w:rPr>
        <w:t>ivamente al sexo masculino</w:t>
      </w:r>
      <w:r>
        <w:rPr>
          <w:rStyle w:val="Refdenotaalpie"/>
          <w:rFonts w:ascii="Verdana" w:eastAsia="Aptos" w:hAnsi="Verdana" w:cs="Times New Roman"/>
          <w:kern w:val="2"/>
          <w14:ligatures w14:val="standardContextual"/>
        </w:rPr>
        <w:footnoteReference w:id="34"/>
      </w:r>
      <w:r>
        <w:rPr>
          <w:rFonts w:ascii="Verdana" w:eastAsia="Aptos" w:hAnsi="Verdana" w:cs="Times New Roman"/>
          <w:kern w:val="2"/>
          <w14:ligatures w14:val="standardContextual"/>
        </w:rPr>
        <w:t>. La S</w:t>
      </w:r>
      <w:r w:rsidRPr="00BF44D7">
        <w:rPr>
          <w:rFonts w:ascii="Verdana" w:eastAsia="Aptos" w:hAnsi="Verdana" w:cs="Times New Roman"/>
          <w:kern w:val="2"/>
          <w14:ligatures w14:val="standardContextual"/>
        </w:rPr>
        <w:t>entencia SU-067 de 2023 ordenó la protección reforzada contra despidos discriminatorios cuando existen indicios de hostigamiento por identidad de género</w:t>
      </w:r>
      <w:r>
        <w:rPr>
          <w:rStyle w:val="Refdenotaalpie"/>
          <w:rFonts w:ascii="Verdana" w:eastAsia="Aptos" w:hAnsi="Verdana" w:cs="Times New Roman"/>
          <w:kern w:val="2"/>
          <w14:ligatures w14:val="standardContextual"/>
        </w:rPr>
        <w:footnoteReference w:id="35"/>
      </w:r>
      <w:r w:rsidRPr="00BF44D7">
        <w:rPr>
          <w:rFonts w:ascii="Verdana" w:eastAsia="Aptos" w:hAnsi="Verdana" w:cs="Times New Roman"/>
          <w:kern w:val="2"/>
          <w14:ligatures w14:val="standardContextual"/>
        </w:rPr>
        <w:t xml:space="preserve">. La misma Corte Constitucional ha reiterado que las personas trans gozan de las mismas protecciones internacionales contra la discriminación laboral consagradas en tratados como los Convenios 100 de la OIT y el 111 de la CEDAW. </w:t>
      </w:r>
    </w:p>
    <w:p w14:paraId="74853187" w14:textId="77777777" w:rsidR="00FF49B9" w:rsidRPr="00BF44D7" w:rsidRDefault="00FF49B9" w:rsidP="00FF49B9">
      <w:pPr>
        <w:spacing w:after="120" w:line="276" w:lineRule="auto"/>
        <w:ind w:firstLine="567"/>
        <w:jc w:val="both"/>
        <w:rPr>
          <w:rFonts w:ascii="Verdana" w:eastAsia="Aptos" w:hAnsi="Verdana" w:cs="Times New Roman"/>
          <w:kern w:val="2"/>
          <w14:ligatures w14:val="standardContextual"/>
        </w:rPr>
      </w:pPr>
      <w:r w:rsidRPr="00BF44D7">
        <w:rPr>
          <w:rFonts w:ascii="Verdana" w:eastAsia="Aptos" w:hAnsi="Verdana" w:cs="Times New Roman"/>
          <w:kern w:val="2"/>
          <w14:ligatures w14:val="standardContextual"/>
        </w:rPr>
        <w:t>Para garantizar que la identidad tenga correspondencia con los documentos de la persona existe la facultad de la rectificación o modificación de los datos registrales, lo cual está amparado constitucionalmente y reglamentado por la Ley Estatutaria 1266 de 2008, la Ley 1581 de 2012 y el Decreto 1377 de 2013. Es fundamental entender que el proceso de cambio de nombre o sexo en documentos no implica la eliminación ni perdida de la experiencia laboral</w:t>
      </w:r>
      <w:r>
        <w:rPr>
          <w:rFonts w:ascii="Verdana" w:eastAsia="Aptos" w:hAnsi="Verdana" w:cs="Times New Roman"/>
          <w:kern w:val="2"/>
          <w14:ligatures w14:val="standardContextual"/>
        </w:rPr>
        <w:t xml:space="preserve"> o profesional</w:t>
      </w:r>
      <w:r w:rsidRPr="00BF44D7">
        <w:rPr>
          <w:rFonts w:ascii="Verdana" w:eastAsia="Aptos" w:hAnsi="Verdana" w:cs="Times New Roman"/>
          <w:kern w:val="2"/>
          <w14:ligatures w14:val="standardContextual"/>
        </w:rPr>
        <w:t xml:space="preserve"> adquirida previamente. Por el contrario, la continuidad del historial profesional debe mantenerse intacta, garantizando que la persona pueda </w:t>
      </w:r>
      <w:r w:rsidRPr="00BF44D7">
        <w:rPr>
          <w:rFonts w:ascii="Verdana" w:eastAsia="Aptos" w:hAnsi="Verdana" w:cs="Times New Roman"/>
          <w:kern w:val="2"/>
          <w14:ligatures w14:val="standardContextual"/>
        </w:rPr>
        <w:lastRenderedPageBreak/>
        <w:t>acreditar su trayectoria y formación sin que su cambio identitario sea un obstáculo.</w:t>
      </w:r>
    </w:p>
    <w:p w14:paraId="34CA07DF" w14:textId="77777777" w:rsidR="00FF49B9" w:rsidRPr="00BF44D7" w:rsidRDefault="00FF49B9" w:rsidP="00FF49B9">
      <w:pPr>
        <w:spacing w:after="120" w:line="276" w:lineRule="auto"/>
        <w:ind w:firstLine="567"/>
        <w:jc w:val="both"/>
        <w:rPr>
          <w:rFonts w:ascii="Verdana" w:eastAsia="Aptos" w:hAnsi="Verdana" w:cs="Times New Roman"/>
          <w:kern w:val="2"/>
          <w14:ligatures w14:val="standardContextual"/>
        </w:rPr>
      </w:pPr>
      <w:r w:rsidRPr="00BF44D7">
        <w:rPr>
          <w:rFonts w:ascii="Verdana" w:eastAsia="Aptos" w:hAnsi="Verdana" w:cs="Times New Roman"/>
          <w:kern w:val="2"/>
          <w14:ligatures w14:val="standardContextual"/>
        </w:rPr>
        <w:t>También debe tenerse claridad de la sentencia T-363 de 2016 que estableció que es inadmisible imponer a una persona la obligación de modificar su nombre o sexo para que corresponda a expectativas sociales o estereotipos externos, pues la identidad es una construcción individual y autónoma</w:t>
      </w:r>
      <w:r>
        <w:rPr>
          <w:rStyle w:val="Refdenotaalpie"/>
          <w:rFonts w:ascii="Verdana" w:eastAsia="Aptos" w:hAnsi="Verdana" w:cs="Times New Roman"/>
          <w:kern w:val="2"/>
          <w14:ligatures w14:val="standardContextual"/>
        </w:rPr>
        <w:footnoteReference w:id="36"/>
      </w:r>
      <w:r w:rsidRPr="00BF44D7">
        <w:rPr>
          <w:rFonts w:ascii="Verdana" w:eastAsia="Aptos" w:hAnsi="Verdana" w:cs="Times New Roman"/>
          <w:kern w:val="2"/>
          <w14:ligatures w14:val="standardContextual"/>
        </w:rPr>
        <w:t>. Sentencias como la T-152 de 2007 y la T-392 de 2017 prohíben excluir a una persona por razones de sexo, orientación sexual o identidad de género en procesos de contratación y permanencia laboral, señalando que estas prácticas constituyen di</w:t>
      </w:r>
      <w:r>
        <w:rPr>
          <w:rFonts w:ascii="Verdana" w:eastAsia="Aptos" w:hAnsi="Verdana" w:cs="Times New Roman"/>
          <w:kern w:val="2"/>
          <w14:ligatures w14:val="standardContextual"/>
        </w:rPr>
        <w:t>scriminación injustificada</w:t>
      </w:r>
      <w:r>
        <w:rPr>
          <w:rStyle w:val="Refdenotaalpie"/>
          <w:rFonts w:ascii="Verdana" w:eastAsia="Aptos" w:hAnsi="Verdana" w:cs="Times New Roman"/>
          <w:kern w:val="2"/>
          <w14:ligatures w14:val="standardContextual"/>
        </w:rPr>
        <w:footnoteReference w:id="37"/>
      </w:r>
      <w:r>
        <w:rPr>
          <w:rFonts w:ascii="Verdana" w:eastAsia="Aptos" w:hAnsi="Verdana" w:cs="Times New Roman"/>
          <w:kern w:val="2"/>
          <w14:ligatures w14:val="standardContextual"/>
        </w:rPr>
        <w:t>. La S</w:t>
      </w:r>
      <w:r w:rsidRPr="00BF44D7">
        <w:rPr>
          <w:rFonts w:ascii="Verdana" w:eastAsia="Aptos" w:hAnsi="Verdana" w:cs="Times New Roman"/>
          <w:kern w:val="2"/>
          <w14:ligatures w14:val="standardContextual"/>
        </w:rPr>
        <w:t>entencia SU-440 de 2021 definió el derecho a la identidad de género como la facultad para construir y expresar libremente la identidad de género propia y prohíbe la discriminación por esta causa. En el plano laboral, este derecho exige que todas las entidades, públicas y privadas, actualicen y reconozcan los documentos de identidad sin afectar la experiencia laboral ni crear barreras para el empleo</w:t>
      </w:r>
      <w:r>
        <w:rPr>
          <w:rStyle w:val="Refdenotaalpie"/>
          <w:rFonts w:ascii="Verdana" w:eastAsia="Aptos" w:hAnsi="Verdana" w:cs="Times New Roman"/>
          <w:kern w:val="2"/>
          <w14:ligatures w14:val="standardContextual"/>
        </w:rPr>
        <w:footnoteReference w:id="38"/>
      </w:r>
      <w:r w:rsidRPr="00BF44D7">
        <w:rPr>
          <w:rFonts w:ascii="Verdana" w:eastAsia="Aptos" w:hAnsi="Verdana" w:cs="Times New Roman"/>
          <w:kern w:val="2"/>
          <w14:ligatures w14:val="standardContextual"/>
        </w:rPr>
        <w:t>.</w:t>
      </w:r>
    </w:p>
    <w:p w14:paraId="459CCB5B" w14:textId="77777777" w:rsidR="00FF49B9" w:rsidRPr="00977699" w:rsidRDefault="00FF49B9" w:rsidP="00FF49B9">
      <w:pPr>
        <w:spacing w:after="120" w:line="276" w:lineRule="auto"/>
        <w:ind w:firstLine="567"/>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Así las cosas</w:t>
      </w:r>
      <w:r w:rsidRPr="00BF44D7">
        <w:rPr>
          <w:rFonts w:ascii="Verdana" w:eastAsia="Aptos" w:hAnsi="Verdana" w:cs="Times New Roman"/>
          <w:kern w:val="2"/>
          <w14:ligatures w14:val="standardContextual"/>
        </w:rPr>
        <w:t>, la experiencia laboral de una persona transgénero no desaparece ni pierde validez por el hecho de cambiar su nombre o sexo en los documentos oficiales. Cualquier acto o práctica que considere dicha experiencia invalidada o que la excluya por discrepancias en los documentos constituye una clara barrera discriminatoria, prohibida por la Constitución y la jurisprudencia de la</w:t>
      </w:r>
      <w:r>
        <w:rPr>
          <w:rFonts w:ascii="Verdana" w:eastAsia="Aptos" w:hAnsi="Verdana" w:cs="Times New Roman"/>
          <w:kern w:val="2"/>
          <w14:ligatures w14:val="standardContextual"/>
        </w:rPr>
        <w:t xml:space="preserve"> Corte Constitucional</w:t>
      </w:r>
      <w:r w:rsidRPr="00BF44D7">
        <w:rPr>
          <w:rFonts w:ascii="Verdana" w:eastAsia="Aptos" w:hAnsi="Verdana" w:cs="Times New Roman"/>
          <w:kern w:val="2"/>
          <w14:ligatures w14:val="standardContextual"/>
        </w:rPr>
        <w:t>.</w:t>
      </w:r>
    </w:p>
    <w:p w14:paraId="2B3237A1" w14:textId="77777777" w:rsidR="00FF49B9" w:rsidRPr="00A74C36" w:rsidRDefault="00FF49B9" w:rsidP="00FF49B9">
      <w:pPr>
        <w:spacing w:after="0" w:line="276" w:lineRule="auto"/>
        <w:jc w:val="both"/>
        <w:rPr>
          <w:rFonts w:ascii="Verdana" w:hAnsi="Verdana"/>
          <w:lang w:val="es-ES"/>
        </w:rPr>
      </w:pPr>
    </w:p>
    <w:p w14:paraId="408CDF99" w14:textId="77777777" w:rsidR="00FF49B9" w:rsidRPr="00A74C36" w:rsidRDefault="00FF49B9" w:rsidP="00FF49B9">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A74C36">
        <w:rPr>
          <w:rFonts w:ascii="Verdana" w:eastAsia="Century Gothic" w:hAnsi="Verdana" w:cs="Century Gothic"/>
          <w:b/>
          <w:bCs/>
          <w:lang w:val="es-ES"/>
        </w:rPr>
        <w:t>Referencias normativas, jurisprudenciales y otras fuentes:</w:t>
      </w:r>
    </w:p>
    <w:p w14:paraId="776ACEB0" w14:textId="77777777" w:rsidR="00FF49B9" w:rsidRPr="00A74C36" w:rsidRDefault="00FF49B9" w:rsidP="00FF49B9">
      <w:pPr>
        <w:widowControl w:val="0"/>
        <w:autoSpaceDE w:val="0"/>
        <w:autoSpaceDN w:val="0"/>
        <w:spacing w:after="0" w:line="276" w:lineRule="auto"/>
        <w:jc w:val="both"/>
        <w:rPr>
          <w:rFonts w:ascii="Verdana" w:hAnsi="Verdana" w:cs="Aria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F49B9" w:rsidRPr="00322B39" w14:paraId="5A4E41B5" w14:textId="77777777" w:rsidTr="00EA4763">
        <w:trPr>
          <w:trHeight w:val="870"/>
          <w:jc w:val="center"/>
        </w:trPr>
        <w:tc>
          <w:tcPr>
            <w:tcW w:w="8647" w:type="dxa"/>
          </w:tcPr>
          <w:p w14:paraId="57883B89" w14:textId="77777777" w:rsidR="00FF49B9" w:rsidRPr="00A74C36" w:rsidRDefault="00FF49B9" w:rsidP="00EA4763">
            <w:pPr>
              <w:widowControl w:val="0"/>
              <w:numPr>
                <w:ilvl w:val="0"/>
                <w:numId w:val="17"/>
              </w:numPr>
              <w:autoSpaceDE w:val="0"/>
              <w:autoSpaceDN w:val="0"/>
              <w:spacing w:before="120" w:after="120" w:line="276" w:lineRule="auto"/>
              <w:ind w:left="714" w:hanging="357"/>
              <w:jc w:val="both"/>
              <w:rPr>
                <w:rFonts w:ascii="Verdana" w:hAnsi="Verdana" w:cs="Arial"/>
                <w:lang w:val="es-ES"/>
              </w:rPr>
            </w:pPr>
            <w:r w:rsidRPr="00A74C36">
              <w:rPr>
                <w:rFonts w:ascii="Verdana" w:hAnsi="Verdana" w:cs="Arial"/>
                <w:lang w:val="es-ES"/>
              </w:rPr>
              <w:t>Constituci</w:t>
            </w:r>
            <w:r>
              <w:rPr>
                <w:rFonts w:ascii="Verdana" w:hAnsi="Verdana" w:cs="Arial"/>
                <w:lang w:val="es-ES"/>
              </w:rPr>
              <w:t xml:space="preserve">ón Política de 1991, artículos 14, 16. </w:t>
            </w:r>
            <w:r w:rsidRPr="00A74C36">
              <w:rPr>
                <w:rFonts w:ascii="Verdana" w:hAnsi="Verdana" w:cs="Arial"/>
                <w:lang w:val="es-ES"/>
              </w:rPr>
              <w:t xml:space="preserve"> </w:t>
            </w:r>
          </w:p>
          <w:p w14:paraId="2060CB84" w14:textId="77777777" w:rsidR="00FF49B9" w:rsidRDefault="00FF49B9" w:rsidP="00EA4763">
            <w:pPr>
              <w:widowControl w:val="0"/>
              <w:numPr>
                <w:ilvl w:val="0"/>
                <w:numId w:val="17"/>
              </w:numPr>
              <w:autoSpaceDE w:val="0"/>
              <w:autoSpaceDN w:val="0"/>
              <w:spacing w:before="120" w:after="120" w:line="276" w:lineRule="auto"/>
              <w:ind w:left="714" w:hanging="357"/>
              <w:jc w:val="both"/>
              <w:rPr>
                <w:rFonts w:ascii="Verdana" w:hAnsi="Verdana" w:cs="Arial"/>
                <w:lang w:val="es-ES"/>
              </w:rPr>
            </w:pPr>
            <w:r>
              <w:rPr>
                <w:rFonts w:ascii="Verdana" w:hAnsi="Verdana" w:cs="Arial"/>
                <w:lang w:val="es-ES"/>
              </w:rPr>
              <w:t xml:space="preserve">Decreto Ley 1260 de 1970, artículo 94. </w:t>
            </w:r>
          </w:p>
          <w:p w14:paraId="3C6C4B23" w14:textId="77777777" w:rsidR="00FF49B9" w:rsidRPr="00A74C36" w:rsidRDefault="00FF49B9" w:rsidP="00EA4763">
            <w:pPr>
              <w:widowControl w:val="0"/>
              <w:numPr>
                <w:ilvl w:val="0"/>
                <w:numId w:val="17"/>
              </w:numPr>
              <w:autoSpaceDE w:val="0"/>
              <w:autoSpaceDN w:val="0"/>
              <w:spacing w:before="120" w:after="120" w:line="276" w:lineRule="auto"/>
              <w:ind w:left="714" w:hanging="357"/>
              <w:jc w:val="both"/>
              <w:rPr>
                <w:rFonts w:ascii="Verdana" w:hAnsi="Verdana" w:cs="Arial"/>
                <w:lang w:val="es-ES"/>
              </w:rPr>
            </w:pPr>
            <w:r w:rsidRPr="00A74C36">
              <w:rPr>
                <w:rFonts w:ascii="Verdana" w:hAnsi="Verdana" w:cs="Arial"/>
                <w:lang w:val="es-ES"/>
              </w:rPr>
              <w:t>Ley 80 de 1993, artículos 14, 26, 32 y 41.</w:t>
            </w:r>
          </w:p>
          <w:p w14:paraId="218B62CC" w14:textId="77777777" w:rsidR="00FF49B9" w:rsidRDefault="00FF49B9" w:rsidP="00EA4763">
            <w:pPr>
              <w:numPr>
                <w:ilvl w:val="0"/>
                <w:numId w:val="17"/>
              </w:numPr>
              <w:spacing w:before="120" w:after="120" w:line="276" w:lineRule="auto"/>
              <w:jc w:val="both"/>
              <w:rPr>
                <w:rFonts w:ascii="Verdana" w:hAnsi="Verdana" w:cs="Arial"/>
                <w:lang w:val="es-ES"/>
              </w:rPr>
            </w:pPr>
            <w:r w:rsidRPr="00A74C36">
              <w:rPr>
                <w:rFonts w:ascii="Verdana" w:hAnsi="Verdana" w:cs="Arial"/>
                <w:lang w:val="es-ES"/>
              </w:rPr>
              <w:t xml:space="preserve">Ley 1150 de 2007, artículo 2, numeral 4º, literal h). </w:t>
            </w:r>
          </w:p>
          <w:p w14:paraId="7B59E0DB" w14:textId="77777777" w:rsidR="00FF49B9" w:rsidRDefault="00FF49B9" w:rsidP="00EA4763">
            <w:pPr>
              <w:numPr>
                <w:ilvl w:val="0"/>
                <w:numId w:val="17"/>
              </w:numPr>
              <w:spacing w:before="120" w:after="120" w:line="276" w:lineRule="auto"/>
              <w:jc w:val="both"/>
              <w:rPr>
                <w:rFonts w:ascii="Verdana" w:hAnsi="Verdana" w:cs="Arial"/>
                <w:lang w:val="es-ES"/>
              </w:rPr>
            </w:pPr>
            <w:r>
              <w:rPr>
                <w:rFonts w:ascii="Verdana" w:hAnsi="Verdana" w:cs="Arial"/>
                <w:lang w:val="es-ES"/>
              </w:rPr>
              <w:t xml:space="preserve">Ley 1266 de 2008. </w:t>
            </w:r>
          </w:p>
          <w:p w14:paraId="42142CF7" w14:textId="77777777" w:rsidR="00FF49B9" w:rsidRDefault="00FF49B9" w:rsidP="00EA4763">
            <w:pPr>
              <w:numPr>
                <w:ilvl w:val="0"/>
                <w:numId w:val="17"/>
              </w:numPr>
              <w:spacing w:before="120" w:after="120" w:line="276" w:lineRule="auto"/>
              <w:jc w:val="both"/>
              <w:rPr>
                <w:rFonts w:ascii="Verdana" w:hAnsi="Verdana" w:cs="Arial"/>
                <w:lang w:val="es-ES"/>
              </w:rPr>
            </w:pPr>
            <w:r>
              <w:rPr>
                <w:rFonts w:ascii="Verdana" w:hAnsi="Verdana" w:cs="Arial"/>
                <w:lang w:val="es-ES"/>
              </w:rPr>
              <w:t xml:space="preserve">Ley 1581 de 2012. </w:t>
            </w:r>
          </w:p>
          <w:p w14:paraId="1B0DDFDE" w14:textId="77777777" w:rsidR="00FF49B9" w:rsidRPr="001847C6" w:rsidRDefault="00FF49B9" w:rsidP="00EA4763">
            <w:pPr>
              <w:numPr>
                <w:ilvl w:val="0"/>
                <w:numId w:val="17"/>
              </w:numPr>
              <w:spacing w:before="120" w:after="120" w:line="276" w:lineRule="auto"/>
              <w:jc w:val="both"/>
              <w:rPr>
                <w:rFonts w:ascii="Verdana" w:hAnsi="Verdana" w:cs="Arial"/>
                <w:lang w:val="es-ES"/>
              </w:rPr>
            </w:pPr>
            <w:r>
              <w:rPr>
                <w:rFonts w:ascii="Verdana" w:hAnsi="Verdana" w:cs="Arial"/>
                <w:lang w:val="es-ES"/>
              </w:rPr>
              <w:lastRenderedPageBreak/>
              <w:t xml:space="preserve">Decreto 1377 de 2013. </w:t>
            </w:r>
          </w:p>
          <w:p w14:paraId="7E51FCD8" w14:textId="77777777" w:rsidR="00FF49B9" w:rsidRDefault="00FF49B9" w:rsidP="00EA4763">
            <w:pPr>
              <w:numPr>
                <w:ilvl w:val="0"/>
                <w:numId w:val="17"/>
              </w:numPr>
              <w:spacing w:before="120" w:after="120" w:line="276" w:lineRule="auto"/>
              <w:jc w:val="both"/>
              <w:rPr>
                <w:rFonts w:ascii="Verdana" w:hAnsi="Verdana" w:cs="Arial"/>
                <w:lang w:val="es-ES"/>
              </w:rPr>
            </w:pPr>
            <w:r w:rsidRPr="00A74C36">
              <w:rPr>
                <w:rFonts w:ascii="Verdana" w:hAnsi="Verdana" w:cs="Arial"/>
                <w:lang w:val="es-ES"/>
              </w:rPr>
              <w:t xml:space="preserve">Decreto 1082 de 2015, artículo 2.2.1.2.1.4.9. </w:t>
            </w:r>
          </w:p>
          <w:p w14:paraId="2A5DE953" w14:textId="77777777" w:rsidR="00FF49B9" w:rsidRPr="00A74C36" w:rsidRDefault="00FF49B9" w:rsidP="00EA4763">
            <w:pPr>
              <w:numPr>
                <w:ilvl w:val="0"/>
                <w:numId w:val="17"/>
              </w:numPr>
              <w:spacing w:before="120" w:after="120" w:line="276" w:lineRule="auto"/>
              <w:jc w:val="both"/>
              <w:rPr>
                <w:rFonts w:ascii="Verdana" w:hAnsi="Verdana" w:cs="Arial"/>
                <w:lang w:val="es-ES"/>
              </w:rPr>
            </w:pPr>
            <w:r>
              <w:rPr>
                <w:rFonts w:ascii="Verdana" w:hAnsi="Verdana" w:cs="Arial"/>
                <w:lang w:val="es-ES"/>
              </w:rPr>
              <w:t xml:space="preserve">Decreto 1227 de 2015. </w:t>
            </w:r>
          </w:p>
          <w:p w14:paraId="6FCCDC8E"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1847C6">
              <w:rPr>
                <w:rFonts w:ascii="Verdana" w:hAnsi="Verdana" w:cs="Arial"/>
                <w:lang w:val="es-ES"/>
              </w:rPr>
              <w:t xml:space="preserve">CONSEJO DE ESTADO. Sección Tercera. Subsección C. Sentencia del 2 de diciembre de 2013. </w:t>
            </w:r>
            <w:proofErr w:type="spellStart"/>
            <w:r w:rsidRPr="001847C6">
              <w:rPr>
                <w:rFonts w:ascii="Verdana" w:hAnsi="Verdana" w:cs="Arial"/>
                <w:lang w:val="es-ES"/>
              </w:rPr>
              <w:t>Exp</w:t>
            </w:r>
            <w:proofErr w:type="spellEnd"/>
            <w:r w:rsidRPr="001847C6">
              <w:rPr>
                <w:rFonts w:ascii="Verdana" w:hAnsi="Verdana" w:cs="Arial"/>
                <w:lang w:val="es-ES"/>
              </w:rPr>
              <w:t>. 41719. C.P. Jaime Orlando Santofimio Gamboa.</w:t>
            </w:r>
          </w:p>
          <w:p w14:paraId="213637C3"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T-504 de 1994. </w:t>
            </w:r>
            <w:r w:rsidRPr="001847C6">
              <w:rPr>
                <w:rFonts w:ascii="Verdana" w:hAnsi="Verdana" w:cs="Arial"/>
                <w:lang w:val="es-ES"/>
              </w:rPr>
              <w:t xml:space="preserve">M.P. Alejandro Martínez Caballero. </w:t>
            </w:r>
          </w:p>
          <w:p w14:paraId="3805F734"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C-154 de 1997. </w:t>
            </w:r>
            <w:r w:rsidRPr="001847C6">
              <w:rPr>
                <w:rFonts w:ascii="Verdana" w:hAnsi="Verdana" w:cs="Arial"/>
                <w:lang w:val="es-ES"/>
              </w:rPr>
              <w:t>M.P. Hernando Herrera Vergara.</w:t>
            </w:r>
          </w:p>
          <w:p w14:paraId="57E944AE"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1847C6">
              <w:rPr>
                <w:rFonts w:ascii="Verdana" w:hAnsi="Verdana" w:cs="Arial"/>
                <w:lang w:val="es-ES"/>
              </w:rPr>
              <w:t xml:space="preserve">CORTE CONSTITUCIONAL. Sentencia SU-337 de 1999. M.P. Alejandro Martínez Caballero. </w:t>
            </w:r>
          </w:p>
          <w:p w14:paraId="2AFCA94B"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T-881 de 2002. </w:t>
            </w:r>
            <w:r w:rsidRPr="001847C6">
              <w:rPr>
                <w:rFonts w:ascii="Verdana" w:hAnsi="Verdana" w:cs="Arial"/>
                <w:lang w:val="es-ES"/>
              </w:rPr>
              <w:t xml:space="preserve">M.P. Eduardo Montealegre </w:t>
            </w:r>
            <w:proofErr w:type="spellStart"/>
            <w:r w:rsidRPr="001847C6">
              <w:rPr>
                <w:rFonts w:ascii="Verdana" w:hAnsi="Verdana" w:cs="Arial"/>
                <w:lang w:val="es-ES"/>
              </w:rPr>
              <w:t>Lynett</w:t>
            </w:r>
            <w:proofErr w:type="spellEnd"/>
            <w:r w:rsidRPr="001847C6">
              <w:rPr>
                <w:rFonts w:ascii="Verdana" w:hAnsi="Verdana" w:cs="Arial"/>
                <w:lang w:val="es-ES"/>
              </w:rPr>
              <w:t xml:space="preserve">. </w:t>
            </w:r>
          </w:p>
          <w:p w14:paraId="39F7732B" w14:textId="77777777" w:rsidR="00FF49B9" w:rsidRPr="00971812" w:rsidRDefault="00FF49B9" w:rsidP="00EA4763">
            <w:pPr>
              <w:numPr>
                <w:ilvl w:val="0"/>
                <w:numId w:val="17"/>
              </w:numPr>
              <w:spacing w:before="120" w:after="120" w:line="276" w:lineRule="auto"/>
              <w:jc w:val="both"/>
              <w:rPr>
                <w:rFonts w:ascii="Verdana" w:hAnsi="Verdana" w:cs="Arial"/>
                <w:lang w:val="pt-BR"/>
              </w:rPr>
            </w:pPr>
            <w:r w:rsidRPr="00971812">
              <w:rPr>
                <w:rFonts w:ascii="Verdana" w:hAnsi="Verdana" w:cs="Arial"/>
                <w:lang w:val="pt-BR"/>
              </w:rPr>
              <w:t>CORTE CONSTITUCIONAL. Sentencia T-152 de 2007. M.P. Rodrigo Escobar Gil.</w:t>
            </w:r>
          </w:p>
          <w:p w14:paraId="650A190D"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C-336 de 2008. </w:t>
            </w:r>
            <w:r w:rsidRPr="001847C6">
              <w:rPr>
                <w:rFonts w:ascii="Verdana" w:hAnsi="Verdana" w:cs="Arial"/>
                <w:lang w:val="es-ES"/>
              </w:rPr>
              <w:t xml:space="preserve">M.P. Clara Inés Vargas Hernández. </w:t>
            </w:r>
          </w:p>
          <w:p w14:paraId="4F6FFF28" w14:textId="77777777" w:rsidR="00FF49B9" w:rsidRPr="00971812" w:rsidRDefault="00FF49B9" w:rsidP="00EA4763">
            <w:pPr>
              <w:numPr>
                <w:ilvl w:val="0"/>
                <w:numId w:val="17"/>
              </w:numPr>
              <w:spacing w:before="120" w:after="120" w:line="276" w:lineRule="auto"/>
              <w:jc w:val="both"/>
              <w:rPr>
                <w:rFonts w:ascii="Verdana" w:hAnsi="Verdana" w:cs="Arial"/>
                <w:lang w:val="pt-BR"/>
              </w:rPr>
            </w:pPr>
            <w:r w:rsidRPr="00971812">
              <w:rPr>
                <w:rFonts w:ascii="Verdana" w:hAnsi="Verdana" w:cs="Arial"/>
                <w:lang w:val="pt-BR"/>
              </w:rPr>
              <w:t xml:space="preserve">CORTE CONSTITUCIONAL. Sentencia C-614 de 2009. M.P. Jorge Ignacio </w:t>
            </w:r>
            <w:proofErr w:type="spellStart"/>
            <w:r w:rsidRPr="00971812">
              <w:rPr>
                <w:rFonts w:ascii="Verdana" w:hAnsi="Verdana" w:cs="Arial"/>
                <w:lang w:val="pt-BR"/>
              </w:rPr>
              <w:t>Pretelt</w:t>
            </w:r>
            <w:proofErr w:type="spellEnd"/>
            <w:r w:rsidRPr="00971812">
              <w:rPr>
                <w:rFonts w:ascii="Verdana" w:hAnsi="Verdana" w:cs="Arial"/>
                <w:lang w:val="pt-BR"/>
              </w:rPr>
              <w:t xml:space="preserve"> </w:t>
            </w:r>
            <w:proofErr w:type="spellStart"/>
            <w:r w:rsidRPr="00971812">
              <w:rPr>
                <w:rFonts w:ascii="Verdana" w:hAnsi="Verdana" w:cs="Arial"/>
                <w:lang w:val="pt-BR"/>
              </w:rPr>
              <w:t>Chaljub</w:t>
            </w:r>
            <w:proofErr w:type="spellEnd"/>
            <w:r w:rsidRPr="00971812">
              <w:rPr>
                <w:rFonts w:ascii="Verdana" w:hAnsi="Verdana" w:cs="Arial"/>
                <w:lang w:val="pt-BR"/>
              </w:rPr>
              <w:t xml:space="preserve">. </w:t>
            </w:r>
          </w:p>
          <w:p w14:paraId="169C8FE7"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T-918 de 2012. </w:t>
            </w:r>
            <w:r w:rsidRPr="001847C6">
              <w:rPr>
                <w:rFonts w:ascii="Verdana" w:hAnsi="Verdana" w:cs="Arial"/>
                <w:lang w:val="es-ES"/>
              </w:rPr>
              <w:t xml:space="preserve">M.P. Jorge Iván Palacio </w:t>
            </w:r>
            <w:proofErr w:type="spellStart"/>
            <w:r w:rsidRPr="001847C6">
              <w:rPr>
                <w:rFonts w:ascii="Verdana" w:hAnsi="Verdana" w:cs="Arial"/>
                <w:lang w:val="es-ES"/>
              </w:rPr>
              <w:t>Palacio</w:t>
            </w:r>
            <w:proofErr w:type="spellEnd"/>
            <w:r w:rsidRPr="001847C6">
              <w:rPr>
                <w:rFonts w:ascii="Verdana" w:hAnsi="Verdana" w:cs="Arial"/>
                <w:lang w:val="es-ES"/>
              </w:rPr>
              <w:t xml:space="preserve">.  </w:t>
            </w:r>
          </w:p>
          <w:p w14:paraId="0F4959C0" w14:textId="77777777" w:rsidR="00FF49B9" w:rsidRPr="00971812" w:rsidRDefault="00FF49B9" w:rsidP="00EA4763">
            <w:pPr>
              <w:numPr>
                <w:ilvl w:val="0"/>
                <w:numId w:val="17"/>
              </w:numPr>
              <w:spacing w:before="120" w:after="120" w:line="276" w:lineRule="auto"/>
              <w:jc w:val="both"/>
              <w:rPr>
                <w:rFonts w:ascii="Verdana" w:hAnsi="Verdana" w:cs="Arial"/>
                <w:lang w:val="pt-BR"/>
              </w:rPr>
            </w:pPr>
            <w:r w:rsidRPr="00971812">
              <w:rPr>
                <w:rFonts w:ascii="Verdana" w:hAnsi="Verdana" w:cs="Arial"/>
                <w:lang w:val="pt-BR"/>
              </w:rPr>
              <w:t xml:space="preserve">CORTE CONSTITUCIONAL. Sentencia T-476 de 2014. M.P. Alberto Rojas Ríos. </w:t>
            </w:r>
          </w:p>
          <w:p w14:paraId="0C04E382"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T-804 de 2014. </w:t>
            </w:r>
            <w:r w:rsidRPr="001847C6">
              <w:rPr>
                <w:rFonts w:ascii="Verdana" w:hAnsi="Verdana" w:cs="Arial"/>
                <w:lang w:val="es-ES"/>
              </w:rPr>
              <w:t xml:space="preserve">M.P. Jorge Iván Palacio </w:t>
            </w:r>
            <w:proofErr w:type="spellStart"/>
            <w:r w:rsidRPr="001847C6">
              <w:rPr>
                <w:rFonts w:ascii="Verdana" w:hAnsi="Verdana" w:cs="Arial"/>
                <w:lang w:val="es-ES"/>
              </w:rPr>
              <w:t>Palacio</w:t>
            </w:r>
            <w:proofErr w:type="spellEnd"/>
            <w:r w:rsidRPr="001847C6">
              <w:rPr>
                <w:rFonts w:ascii="Verdana" w:hAnsi="Verdana" w:cs="Arial"/>
                <w:lang w:val="es-ES"/>
              </w:rPr>
              <w:t xml:space="preserve">. </w:t>
            </w:r>
          </w:p>
          <w:p w14:paraId="3298B404"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T-099 de 2015. </w:t>
            </w:r>
            <w:r w:rsidRPr="001847C6">
              <w:rPr>
                <w:rFonts w:ascii="Verdana" w:hAnsi="Verdana" w:cs="Arial"/>
                <w:lang w:val="es-ES"/>
              </w:rPr>
              <w:t xml:space="preserve">M.P. Gloria Stella Ortiz Delgado. </w:t>
            </w:r>
          </w:p>
          <w:p w14:paraId="273EC35D"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T-063 de 2015. </w:t>
            </w:r>
            <w:r w:rsidRPr="001847C6">
              <w:rPr>
                <w:rFonts w:ascii="Verdana" w:hAnsi="Verdana" w:cs="Arial"/>
                <w:lang w:val="es-ES"/>
              </w:rPr>
              <w:t xml:space="preserve">M.P. María Victoria Calle Correa. </w:t>
            </w:r>
          </w:p>
          <w:p w14:paraId="2DD98C52"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lastRenderedPageBreak/>
              <w:t xml:space="preserve">CORTE CONSTITUCIONAL. Sentencia T-033 de 2015. </w:t>
            </w:r>
            <w:r w:rsidRPr="001847C6">
              <w:rPr>
                <w:rFonts w:ascii="Verdana" w:hAnsi="Verdana" w:cs="Arial"/>
                <w:lang w:val="es-ES"/>
              </w:rPr>
              <w:t xml:space="preserve">M.P. Gloria Stella Ortiz Delgado. </w:t>
            </w:r>
          </w:p>
          <w:p w14:paraId="0DE8EED9"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T-363 de 2016. </w:t>
            </w:r>
            <w:r w:rsidRPr="001847C6">
              <w:rPr>
                <w:rFonts w:ascii="Verdana" w:hAnsi="Verdana" w:cs="Arial"/>
                <w:lang w:val="es-ES"/>
              </w:rPr>
              <w:t xml:space="preserve">M.P. Gloria Stella Ortiz Delgado. </w:t>
            </w:r>
          </w:p>
          <w:p w14:paraId="3C1FB221"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C-114 de 2017. </w:t>
            </w:r>
            <w:r w:rsidRPr="001847C6">
              <w:rPr>
                <w:rFonts w:ascii="Verdana" w:hAnsi="Verdana" w:cs="Arial"/>
                <w:lang w:val="es-ES"/>
              </w:rPr>
              <w:t xml:space="preserve">M.P. Alejandro Linares Cantillo. </w:t>
            </w:r>
          </w:p>
          <w:p w14:paraId="270177C7"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CONSTITUCJONAL. Sentencia T-392 de 2017. </w:t>
            </w:r>
            <w:r w:rsidRPr="001847C6">
              <w:rPr>
                <w:rFonts w:ascii="Verdana" w:hAnsi="Verdana" w:cs="Arial"/>
                <w:lang w:val="es-ES"/>
              </w:rPr>
              <w:t xml:space="preserve">M.P. Gloria Stella Ortiz Delgado. </w:t>
            </w:r>
          </w:p>
          <w:p w14:paraId="7E5CD452"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T-143 de 2018. </w:t>
            </w:r>
            <w:r w:rsidRPr="001847C6">
              <w:rPr>
                <w:rFonts w:ascii="Verdana" w:hAnsi="Verdana" w:cs="Arial"/>
                <w:lang w:val="es-ES"/>
              </w:rPr>
              <w:t xml:space="preserve">M.P. José Fernando Reyes Cuartas. </w:t>
            </w:r>
          </w:p>
          <w:p w14:paraId="4A4A557C"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T-447 de 2019. </w:t>
            </w:r>
            <w:r w:rsidRPr="001847C6">
              <w:rPr>
                <w:rFonts w:ascii="Verdana" w:hAnsi="Verdana" w:cs="Arial"/>
                <w:lang w:val="es-ES"/>
              </w:rPr>
              <w:t xml:space="preserve">M.P. Gloria Stella Ortiz Delgado. </w:t>
            </w:r>
          </w:p>
          <w:p w14:paraId="20BE4E17"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T-236 de 2020. </w:t>
            </w:r>
            <w:r w:rsidRPr="001847C6">
              <w:rPr>
                <w:rFonts w:ascii="Verdana" w:hAnsi="Verdana" w:cs="Arial"/>
                <w:lang w:val="es-ES"/>
              </w:rPr>
              <w:t>M.P. Luis Guillermo Guerrero Pérez.</w:t>
            </w:r>
          </w:p>
          <w:p w14:paraId="3FC68C3E"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1847C6">
              <w:rPr>
                <w:rFonts w:ascii="Verdana" w:hAnsi="Verdana" w:cs="Arial"/>
                <w:lang w:val="es-ES"/>
              </w:rPr>
              <w:t>CORTE CONSTITUCIONAL. Sentencia SU-440 de 2021. M.P. Paola Andrea Meneses Mosquera.</w:t>
            </w:r>
          </w:p>
          <w:p w14:paraId="3EFEEFBB"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T-033 de 2022. </w:t>
            </w:r>
            <w:r w:rsidRPr="001847C6">
              <w:rPr>
                <w:rFonts w:ascii="Verdana" w:hAnsi="Verdana" w:cs="Arial"/>
                <w:lang w:val="es-ES"/>
              </w:rPr>
              <w:t xml:space="preserve">M.P. Gloria Stella Ortiz Delgado. </w:t>
            </w:r>
          </w:p>
          <w:p w14:paraId="553F9E2B"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971812">
              <w:rPr>
                <w:rFonts w:ascii="Verdana" w:hAnsi="Verdana" w:cs="Arial"/>
                <w:lang w:val="pt-BR"/>
              </w:rPr>
              <w:t xml:space="preserve">CORTE CONSTITUCIONAL. Sentencia T-033 DE 2022. </w:t>
            </w:r>
            <w:r w:rsidRPr="001847C6">
              <w:rPr>
                <w:rFonts w:ascii="Verdana" w:hAnsi="Verdana" w:cs="Arial"/>
                <w:lang w:val="es-ES"/>
              </w:rPr>
              <w:t>M.P. Gloria Stella Ortiz Delgado.</w:t>
            </w:r>
          </w:p>
          <w:p w14:paraId="04A3AB2C" w14:textId="77777777" w:rsidR="00FF49B9" w:rsidRPr="001847C6" w:rsidRDefault="00FF49B9" w:rsidP="00EA4763">
            <w:pPr>
              <w:numPr>
                <w:ilvl w:val="0"/>
                <w:numId w:val="17"/>
              </w:numPr>
              <w:spacing w:before="120" w:after="120" w:line="276" w:lineRule="auto"/>
              <w:jc w:val="both"/>
              <w:rPr>
                <w:rFonts w:ascii="Verdana" w:hAnsi="Verdana" w:cs="Arial"/>
                <w:lang w:val="es-ES"/>
              </w:rPr>
            </w:pPr>
            <w:r w:rsidRPr="001847C6">
              <w:rPr>
                <w:rFonts w:ascii="Verdana" w:hAnsi="Verdana" w:cs="Arial"/>
                <w:lang w:val="es-ES"/>
              </w:rPr>
              <w:t xml:space="preserve">CORTE CONSTITUCIONAL. Sentencia SU-067 de 2023. M.P. Paola Andrea Meneses Mosquera. </w:t>
            </w:r>
          </w:p>
          <w:p w14:paraId="15EA5868" w14:textId="77777777" w:rsidR="00FF49B9" w:rsidRPr="00971812" w:rsidRDefault="00FF49B9" w:rsidP="00EA4763">
            <w:pPr>
              <w:numPr>
                <w:ilvl w:val="0"/>
                <w:numId w:val="17"/>
              </w:numPr>
              <w:spacing w:before="120" w:after="120" w:line="276" w:lineRule="auto"/>
              <w:jc w:val="both"/>
              <w:rPr>
                <w:rFonts w:ascii="Verdana" w:hAnsi="Verdana" w:cs="Arial"/>
                <w:lang w:val="pt-BR"/>
              </w:rPr>
            </w:pPr>
            <w:r w:rsidRPr="00971812">
              <w:rPr>
                <w:rFonts w:ascii="Verdana" w:hAnsi="Verdana" w:cs="Arial"/>
                <w:lang w:val="pt-BR"/>
              </w:rPr>
              <w:t xml:space="preserve"> CORTE CONSTITUCIONAL. Sentencia T-280 de 2025. M.P. Miguel Polo Rosero.</w:t>
            </w:r>
          </w:p>
        </w:tc>
      </w:tr>
    </w:tbl>
    <w:p w14:paraId="073B91E0" w14:textId="77777777" w:rsidR="00FF49B9" w:rsidRPr="00971812" w:rsidRDefault="00FF49B9" w:rsidP="00FF49B9">
      <w:pPr>
        <w:widowControl w:val="0"/>
        <w:autoSpaceDE w:val="0"/>
        <w:autoSpaceDN w:val="0"/>
        <w:spacing w:after="0" w:line="276" w:lineRule="auto"/>
        <w:jc w:val="both"/>
        <w:rPr>
          <w:rFonts w:ascii="Verdana" w:hAnsi="Verdana" w:cs="Arial"/>
          <w:lang w:val="pt-BR"/>
        </w:rPr>
      </w:pPr>
    </w:p>
    <w:p w14:paraId="1357FF0B" w14:textId="77777777" w:rsidR="00FF49B9" w:rsidRPr="00A74C36" w:rsidRDefault="00FF49B9" w:rsidP="00FF49B9">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A74C36">
        <w:rPr>
          <w:rFonts w:ascii="Verdana" w:eastAsia="Century Gothic" w:hAnsi="Verdana" w:cs="Century Gothic"/>
          <w:b/>
          <w:bCs/>
          <w:lang w:val="es-ES"/>
        </w:rPr>
        <w:t>Doctrina de la Agencia Nacional de Contratación Pública:</w:t>
      </w:r>
    </w:p>
    <w:p w14:paraId="31DFF31B" w14:textId="77777777" w:rsidR="00FF49B9" w:rsidRPr="00A74C36" w:rsidRDefault="00FF49B9" w:rsidP="00FF49B9">
      <w:pPr>
        <w:widowControl w:val="0"/>
        <w:autoSpaceDE w:val="0"/>
        <w:autoSpaceDN w:val="0"/>
        <w:spacing w:after="0" w:line="276" w:lineRule="auto"/>
        <w:jc w:val="both"/>
        <w:rPr>
          <w:rFonts w:ascii="Verdana" w:hAnsi="Verdana" w:cs="Arial"/>
        </w:rPr>
      </w:pPr>
    </w:p>
    <w:p w14:paraId="777E2FCB" w14:textId="77777777" w:rsidR="00FF49B9" w:rsidRPr="00E53F61" w:rsidDel="00A37FEF" w:rsidRDefault="00FF49B9" w:rsidP="00FF49B9">
      <w:pPr>
        <w:widowControl w:val="0"/>
        <w:autoSpaceDE w:val="0"/>
        <w:autoSpaceDN w:val="0"/>
        <w:spacing w:after="0" w:line="276" w:lineRule="auto"/>
        <w:jc w:val="both"/>
        <w:rPr>
          <w:rFonts w:ascii="Verdana" w:hAnsi="Verdana" w:cs="Arial"/>
          <w:shd w:val="clear" w:color="auto" w:fill="FFFFFF"/>
        </w:rPr>
      </w:pPr>
      <w:r w:rsidRPr="00A74C36">
        <w:rPr>
          <w:rFonts w:ascii="Verdana" w:hAnsi="Verdana" w:cs="Arial"/>
          <w:shd w:val="clear" w:color="auto" w:fill="FFFFFF"/>
          <w:lang w:val="es-ES"/>
        </w:rPr>
        <w:t xml:space="preserve">La Subdirección de Gestión Contractual de 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w:t>
      </w:r>
      <w:r w:rsidRPr="00A74C36">
        <w:rPr>
          <w:rFonts w:ascii="Verdana" w:hAnsi="Verdana" w:cs="Arial"/>
          <w:shd w:val="clear" w:color="auto" w:fill="FFFFFF"/>
          <w:lang w:val="es-ES"/>
        </w:rPr>
        <w:lastRenderedPageBreak/>
        <w:t>noviembre de 2019, 4201913000006331 del 07 de noviembre de 2019, 4201912000006692 del 12 de noviembre de 2019 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w:t>
      </w:r>
      <w:r>
        <w:rPr>
          <w:rFonts w:ascii="Verdana" w:hAnsi="Verdana" w:cs="Arial"/>
          <w:shd w:val="clear" w:color="auto" w:fill="FFFFFF"/>
          <w:lang w:val="es-ES"/>
        </w:rPr>
        <w:t xml:space="preserve"> </w:t>
      </w:r>
      <w:r w:rsidRPr="00A74C36">
        <w:rPr>
          <w:rFonts w:ascii="Verdana" w:hAnsi="Verdana" w:cs="Arial"/>
          <w:shd w:val="clear" w:color="auto" w:fill="FFFFFF"/>
          <w:lang w:val="es-ES"/>
        </w:rPr>
        <w:t>del 12 de mayo de 2020, C−238 del 18 de mayo de 2020, C−260 del 18 de mayo de 2020, C−288 del 21 de mayo de 2020, C−293 del 12 de mayo de 2020, C−313 del 21 de mayo de 2020, C−345 del 21 de mayo de 2020, C−359 del 04 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 diciembre de 2024, C-227 del 27 de marzo de 2025, C-411 del 13 de mayo de 2025, C-800 del 23 de julio de 2025, C-935 del 1 de agosto de 2025, del entre otros</w:t>
      </w:r>
      <w:r w:rsidRPr="00A74C36">
        <w:rPr>
          <w:rFonts w:ascii="Verdana" w:hAnsi="Verdana" w:cs="Arial"/>
          <w:shd w:val="clear" w:color="auto" w:fill="FFFFFF"/>
        </w:rPr>
        <w:t xml:space="preserve">. Esto sin perjuicio de las consideraciones adicionales que se exponen este concepto, de acuerdo al problema jurídico, objeto de consulta. Estos y otros se encuentran disponibles para consulta en el Sistema de relatoría de la Agencia, al cual puede accederse a través del siguiente enlace: </w:t>
      </w:r>
      <w:hyperlink r:id="rId13" w:history="1">
        <w:r w:rsidRPr="00A74C36">
          <w:rPr>
            <w:rFonts w:ascii="Verdana" w:hAnsi="Verdana" w:cs="Arial"/>
            <w:color w:val="0000FF"/>
            <w:u w:val="single"/>
            <w:shd w:val="clear" w:color="auto" w:fill="FFFFFF"/>
          </w:rPr>
          <w:t>https://relatoria.colombiacompra.gov.co/busqueda/conceptos</w:t>
        </w:r>
      </w:hyperlink>
      <w:r w:rsidRPr="00A74C36">
        <w:rPr>
          <w:rFonts w:ascii="Verdana" w:hAnsi="Verdana" w:cs="Arial"/>
          <w:shd w:val="clear" w:color="auto" w:fill="FFFFFF"/>
        </w:rPr>
        <w:t xml:space="preserve">. </w:t>
      </w:r>
      <w:r w:rsidRPr="00A74C36">
        <w:rPr>
          <w:rFonts w:ascii="Verdana" w:hAnsi="Verdana" w:cs="Arial"/>
          <w:color w:val="FF0000"/>
          <w:shd w:val="clear" w:color="auto" w:fill="FFFFFF"/>
          <w:lang w:val="es-ES"/>
        </w:rPr>
        <w:t xml:space="preserve"> </w:t>
      </w:r>
    </w:p>
    <w:p w14:paraId="3EFC688C" w14:textId="77777777" w:rsidR="00FF49B9" w:rsidRPr="00A74C36" w:rsidRDefault="00FF49B9" w:rsidP="00FF49B9">
      <w:pPr>
        <w:widowControl w:val="0"/>
        <w:spacing w:after="0" w:line="276" w:lineRule="auto"/>
        <w:jc w:val="both"/>
        <w:rPr>
          <w:rFonts w:ascii="Verdana" w:hAnsi="Verdana" w:cs="Arial"/>
          <w:color w:val="000000" w:themeColor="text1"/>
        </w:rPr>
      </w:pPr>
    </w:p>
    <w:p w14:paraId="7443889D" w14:textId="77777777" w:rsidR="00FF49B9" w:rsidRPr="00A74C36" w:rsidRDefault="00FF49B9" w:rsidP="00FF49B9">
      <w:pPr>
        <w:shd w:val="clear" w:color="auto" w:fill="FFFFFF"/>
        <w:spacing w:after="0" w:line="276" w:lineRule="auto"/>
        <w:jc w:val="both"/>
        <w:rPr>
          <w:rFonts w:ascii="Verdana" w:hAnsi="Verdana"/>
          <w:color w:val="467886"/>
          <w:u w:val="single"/>
        </w:rPr>
      </w:pPr>
      <w:r w:rsidRPr="00A74C36">
        <w:rPr>
          <w:rFonts w:ascii="Verdana" w:hAnsi="Verdana"/>
          <w:color w:val="000000"/>
        </w:rPr>
        <w:t>Te informamos que ya se encuentra disponible la </w:t>
      </w:r>
      <w:r w:rsidRPr="00A74C36">
        <w:rPr>
          <w:rFonts w:ascii="Verdana" w:hAnsi="Verdana"/>
          <w:b/>
          <w:bCs/>
          <w:color w:val="000000"/>
        </w:rPr>
        <w:t>Guía de lineamientos de transparencia y selección objetiva para el departamento de La Guajira – Objetivo sexto constitucional de la Sentencia T-302 del 2017. </w:t>
      </w:r>
      <w:r w:rsidRPr="00A74C36">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74C36">
        <w:rPr>
          <w:rFonts w:ascii="Verdana" w:hAnsi="Verdana"/>
          <w:color w:val="000000"/>
        </w:rPr>
        <w:t>Wayúu</w:t>
      </w:r>
      <w:proofErr w:type="spellEnd"/>
      <w:r w:rsidRPr="00A74C36">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A74C36">
          <w:rPr>
            <w:rFonts w:ascii="Verdana" w:hAnsi="Verdana"/>
            <w:color w:val="0000FF"/>
            <w:u w:val="single"/>
          </w:rPr>
          <w:t>Guía de lineamientos de transparencia y selección objetiva para el departamento de La Guajira – Objetivo sexto constitucional de la Sentencia T-302 del 2017</w:t>
        </w:r>
      </w:hyperlink>
      <w:r w:rsidRPr="00A74C36">
        <w:rPr>
          <w:rFonts w:ascii="Verdana" w:hAnsi="Verdana"/>
          <w:color w:val="000000"/>
          <w:u w:val="single"/>
        </w:rPr>
        <w:t>".</w:t>
      </w:r>
    </w:p>
    <w:p w14:paraId="5DDCF35B" w14:textId="77777777" w:rsidR="00FF49B9" w:rsidRPr="00A74C36" w:rsidRDefault="00FF49B9" w:rsidP="00FF49B9">
      <w:pPr>
        <w:shd w:val="clear" w:color="auto" w:fill="FFFFFF"/>
        <w:spacing w:after="0" w:line="276" w:lineRule="auto"/>
        <w:jc w:val="both"/>
        <w:rPr>
          <w:rFonts w:ascii="Verdana" w:hAnsi="Verdana" w:cs="Arial"/>
          <w:color w:val="FF0000"/>
          <w:shd w:val="clear" w:color="auto" w:fill="FFFFFF"/>
          <w:lang w:val="es-ES_tradnl"/>
        </w:rPr>
      </w:pPr>
      <w:r w:rsidRPr="00A74C36">
        <w:rPr>
          <w:rFonts w:ascii="Verdana" w:hAnsi="Verdana" w:cs="Arial"/>
          <w:color w:val="000000" w:themeColor="text1"/>
          <w:shd w:val="clear" w:color="auto" w:fill="FFFFFF"/>
          <w:lang w:val="es-ES_tradnl"/>
        </w:rPr>
        <w:lastRenderedPageBreak/>
        <w:t xml:space="preserve"> </w:t>
      </w:r>
      <w:r w:rsidRPr="00A74C36">
        <w:rPr>
          <w:rFonts w:ascii="Verdana" w:hAnsi="Verdana" w:cs="Arial"/>
          <w:color w:val="FF0000"/>
          <w:shd w:val="clear" w:color="auto" w:fill="FFFFFF"/>
          <w:lang w:val="es-ES_tradnl"/>
        </w:rPr>
        <w:t xml:space="preserve">        </w:t>
      </w:r>
    </w:p>
    <w:p w14:paraId="0070E1E0" w14:textId="77777777" w:rsidR="00FF49B9" w:rsidRPr="00A74C36" w:rsidRDefault="00FF49B9" w:rsidP="00FF49B9">
      <w:pPr>
        <w:spacing w:after="0" w:line="256" w:lineRule="auto"/>
        <w:jc w:val="both"/>
        <w:rPr>
          <w:rFonts w:ascii="Verdana" w:eastAsia="Calibri" w:hAnsi="Verdana" w:cs="Times New Roman"/>
        </w:rPr>
      </w:pPr>
      <w:r w:rsidRPr="00A74C36">
        <w:rPr>
          <w:rFonts w:ascii="Verdana" w:eastAsia="Calibri" w:hAnsi="Verdana" w:cs="Times New Roman"/>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595EC80" w14:textId="77777777" w:rsidR="00FF49B9" w:rsidRPr="00A74C36" w:rsidRDefault="00FF49B9" w:rsidP="00FF49B9">
      <w:pPr>
        <w:spacing w:after="0" w:line="240" w:lineRule="auto"/>
        <w:jc w:val="both"/>
        <w:rPr>
          <w:rFonts w:ascii="Verdana" w:eastAsia="Calibri" w:hAnsi="Verdana" w:cs="Times New Roman"/>
        </w:rPr>
      </w:pPr>
    </w:p>
    <w:p w14:paraId="639E9EB9" w14:textId="77777777" w:rsidR="00FF49B9" w:rsidRPr="00A74C36" w:rsidRDefault="00FF49B9" w:rsidP="00FF49B9">
      <w:pPr>
        <w:numPr>
          <w:ilvl w:val="0"/>
          <w:numId w:val="15"/>
        </w:numPr>
        <w:spacing w:after="0" w:line="240" w:lineRule="auto"/>
        <w:contextualSpacing/>
        <w:jc w:val="both"/>
        <w:rPr>
          <w:rFonts w:ascii="Verdana" w:hAnsi="Verdana"/>
          <w:lang w:val="es-ES"/>
        </w:rPr>
      </w:pPr>
      <w:r w:rsidRPr="00A74C36">
        <w:rPr>
          <w:rFonts w:ascii="Verdana" w:hAnsi="Verdana"/>
          <w:lang w:val="es-ES"/>
        </w:rPr>
        <w:t>Línea nacional gratuita o servicio a la ciudadanía: 01800 0520808</w:t>
      </w:r>
    </w:p>
    <w:p w14:paraId="573C1BB2" w14:textId="77777777" w:rsidR="00FF49B9" w:rsidRPr="00A74C36" w:rsidRDefault="00FF49B9" w:rsidP="00FF49B9">
      <w:pPr>
        <w:numPr>
          <w:ilvl w:val="0"/>
          <w:numId w:val="15"/>
        </w:numPr>
        <w:spacing w:after="0" w:line="240" w:lineRule="auto"/>
        <w:contextualSpacing/>
        <w:jc w:val="both"/>
        <w:rPr>
          <w:rFonts w:ascii="Verdana" w:hAnsi="Verdana"/>
          <w:lang w:val="es-ES"/>
        </w:rPr>
      </w:pPr>
      <w:r w:rsidRPr="00A74C36">
        <w:rPr>
          <w:rFonts w:ascii="Verdana" w:hAnsi="Verdana"/>
          <w:lang w:val="es-ES"/>
        </w:rPr>
        <w:t>Línea en Bogotá (Mesa de servicio): +57 601 7456788</w:t>
      </w:r>
    </w:p>
    <w:p w14:paraId="37FF5940" w14:textId="77777777" w:rsidR="00FF49B9" w:rsidRPr="00A74C36" w:rsidRDefault="00FF49B9" w:rsidP="00FF49B9">
      <w:pPr>
        <w:numPr>
          <w:ilvl w:val="0"/>
          <w:numId w:val="15"/>
        </w:numPr>
        <w:spacing w:after="0" w:line="240" w:lineRule="auto"/>
        <w:contextualSpacing/>
        <w:jc w:val="both"/>
        <w:rPr>
          <w:rFonts w:ascii="Verdana" w:hAnsi="Verdana"/>
          <w:lang w:val="es-ES"/>
        </w:rPr>
      </w:pPr>
      <w:r w:rsidRPr="00A74C36">
        <w:rPr>
          <w:rFonts w:ascii="Verdana" w:hAnsi="Verdana"/>
          <w:lang w:val="es-ES"/>
        </w:rPr>
        <w:t>Línea de servicio y atención al ciudadano: +57 601 7956600</w:t>
      </w:r>
    </w:p>
    <w:p w14:paraId="5A0FC111" w14:textId="77777777" w:rsidR="00FF49B9" w:rsidRPr="00A74C36" w:rsidRDefault="00FF49B9" w:rsidP="00FF49B9">
      <w:pPr>
        <w:numPr>
          <w:ilvl w:val="0"/>
          <w:numId w:val="15"/>
        </w:numPr>
        <w:spacing w:after="0" w:line="240" w:lineRule="auto"/>
        <w:contextualSpacing/>
        <w:jc w:val="both"/>
        <w:rPr>
          <w:rFonts w:ascii="Verdana" w:hAnsi="Verdana"/>
          <w:lang w:val="es-ES"/>
        </w:rPr>
      </w:pPr>
      <w:r w:rsidRPr="00A74C36">
        <w:rPr>
          <w:rFonts w:ascii="Verdana" w:hAnsi="Verdana"/>
          <w:lang w:val="es-ES"/>
        </w:rPr>
        <w:t xml:space="preserve">Página web: </w:t>
      </w:r>
      <w:hyperlink r:id="rId15" w:history="1">
        <w:r w:rsidRPr="00A74C36">
          <w:rPr>
            <w:rFonts w:ascii="Verdana" w:hAnsi="Verdana"/>
            <w:color w:val="0000FF"/>
            <w:u w:val="single"/>
            <w:lang w:val="es-ES"/>
          </w:rPr>
          <w:t>www.colombiacompra.gov.co</w:t>
        </w:r>
      </w:hyperlink>
    </w:p>
    <w:p w14:paraId="296E9AB2" w14:textId="77777777" w:rsidR="00FF49B9" w:rsidRPr="00A74C36" w:rsidRDefault="00FF49B9" w:rsidP="00FF49B9">
      <w:pPr>
        <w:spacing w:after="0" w:line="240" w:lineRule="auto"/>
        <w:ind w:left="785"/>
        <w:contextualSpacing/>
        <w:jc w:val="both"/>
        <w:rPr>
          <w:rFonts w:ascii="Verdana" w:hAnsi="Verdana"/>
          <w:lang w:val="es-ES"/>
        </w:rPr>
      </w:pPr>
    </w:p>
    <w:p w14:paraId="13315943" w14:textId="77777777" w:rsidR="00FF49B9" w:rsidRPr="00A74C36" w:rsidRDefault="00FF49B9" w:rsidP="00FF49B9">
      <w:pPr>
        <w:spacing w:after="0" w:line="240" w:lineRule="auto"/>
        <w:jc w:val="both"/>
        <w:rPr>
          <w:rFonts w:ascii="Verdana" w:eastAsia="Calibri" w:hAnsi="Verdana" w:cs="Times New Roman"/>
        </w:rPr>
      </w:pPr>
      <w:r w:rsidRPr="00A74C36">
        <w:rPr>
          <w:rFonts w:ascii="Verdana" w:eastAsia="Calibri" w:hAnsi="Verdana" w:cs="Times New Roman"/>
        </w:rPr>
        <w:t xml:space="preserve">Por último, lo invitamos a seguirnos en las redes sociales en las cuales se difunde información institucional: </w:t>
      </w:r>
    </w:p>
    <w:p w14:paraId="673A1476" w14:textId="77777777" w:rsidR="00FF49B9" w:rsidRPr="00A74C36" w:rsidRDefault="00FF49B9" w:rsidP="00FF49B9">
      <w:pPr>
        <w:spacing w:after="0" w:line="240" w:lineRule="auto"/>
        <w:jc w:val="both"/>
        <w:rPr>
          <w:rFonts w:ascii="Verdana" w:eastAsia="Calibri" w:hAnsi="Verdana" w:cs="Times New Roman"/>
        </w:rPr>
      </w:pPr>
    </w:p>
    <w:p w14:paraId="3A2FEAC1" w14:textId="77777777" w:rsidR="00FF49B9" w:rsidRPr="00A74C36" w:rsidRDefault="00FF49B9" w:rsidP="00FF49B9">
      <w:pPr>
        <w:spacing w:after="0" w:line="240" w:lineRule="auto"/>
        <w:jc w:val="both"/>
        <w:rPr>
          <w:rFonts w:ascii="Verdana" w:eastAsia="Calibri" w:hAnsi="Verdana" w:cs="Times New Roman"/>
        </w:rPr>
      </w:pPr>
      <w:r w:rsidRPr="00A74C36">
        <w:rPr>
          <w:rFonts w:ascii="Verdana" w:eastAsia="Calibri" w:hAnsi="Verdana" w:cs="Times New Roman"/>
        </w:rPr>
        <w:t xml:space="preserve">Twitter: </w:t>
      </w:r>
      <w:r w:rsidRPr="00A74C36">
        <w:rPr>
          <w:rFonts w:ascii="Verdana" w:eastAsia="Calibri" w:hAnsi="Verdana" w:cs="Times New Roman"/>
          <w:color w:val="0000FF"/>
          <w:u w:val="single"/>
        </w:rPr>
        <w:t>@colombiacompra</w:t>
      </w:r>
      <w:r w:rsidRPr="00A74C36">
        <w:rPr>
          <w:rFonts w:ascii="Verdana" w:eastAsia="Calibri" w:hAnsi="Verdana" w:cs="Times New Roman"/>
        </w:rPr>
        <w:t xml:space="preserve"> </w:t>
      </w:r>
    </w:p>
    <w:p w14:paraId="5B4DB991" w14:textId="77777777" w:rsidR="00FF49B9" w:rsidRPr="00A74C36" w:rsidRDefault="00FF49B9" w:rsidP="00FF49B9">
      <w:pPr>
        <w:spacing w:after="0" w:line="240" w:lineRule="auto"/>
        <w:jc w:val="both"/>
        <w:rPr>
          <w:rFonts w:ascii="Verdana" w:eastAsia="Calibri" w:hAnsi="Verdana" w:cs="Times New Roman"/>
        </w:rPr>
      </w:pPr>
      <w:r w:rsidRPr="00A74C36">
        <w:rPr>
          <w:rFonts w:ascii="Verdana" w:eastAsia="Calibri" w:hAnsi="Verdana" w:cs="Times New Roman"/>
        </w:rPr>
        <w:t xml:space="preserve">Facebook: </w:t>
      </w:r>
      <w:proofErr w:type="spellStart"/>
      <w:r w:rsidRPr="00A74C36">
        <w:rPr>
          <w:rFonts w:ascii="Verdana" w:eastAsia="Calibri" w:hAnsi="Verdana" w:cs="Times New Roman"/>
          <w:color w:val="0000FF"/>
          <w:u w:val="single"/>
        </w:rPr>
        <w:t>ColombiaCompraEficiente</w:t>
      </w:r>
      <w:proofErr w:type="spellEnd"/>
    </w:p>
    <w:p w14:paraId="4FD4C624" w14:textId="77777777" w:rsidR="00FF49B9" w:rsidRPr="00A74C36" w:rsidRDefault="00FF49B9" w:rsidP="00FF49B9">
      <w:pPr>
        <w:spacing w:after="0" w:line="240" w:lineRule="auto"/>
        <w:jc w:val="both"/>
        <w:rPr>
          <w:rFonts w:ascii="Verdana" w:eastAsia="Calibri" w:hAnsi="Verdana" w:cs="Times New Roman"/>
        </w:rPr>
      </w:pPr>
      <w:r w:rsidRPr="00A74C36">
        <w:rPr>
          <w:rFonts w:ascii="Verdana" w:eastAsia="Calibri" w:hAnsi="Verdana" w:cs="Times New Roman"/>
        </w:rPr>
        <w:t xml:space="preserve">LinkedIn: </w:t>
      </w:r>
      <w:r w:rsidRPr="00A74C36">
        <w:rPr>
          <w:rFonts w:ascii="Verdana" w:eastAsia="Calibri" w:hAnsi="Verdana" w:cs="Times New Roman"/>
          <w:color w:val="0000FF"/>
          <w:u w:val="single"/>
        </w:rPr>
        <w:t>Agencia Nacional de Contratación Pública - Colombia Compra Eficiente</w:t>
      </w:r>
      <w:r w:rsidRPr="00A74C36">
        <w:rPr>
          <w:rFonts w:ascii="Verdana" w:eastAsia="Calibri" w:hAnsi="Verdana" w:cs="Times New Roman"/>
        </w:rPr>
        <w:t xml:space="preserve"> Instagram: </w:t>
      </w:r>
      <w:r w:rsidRPr="00A74C36">
        <w:rPr>
          <w:rFonts w:ascii="Verdana" w:eastAsia="Calibri" w:hAnsi="Verdana" w:cs="Times New Roman"/>
          <w:color w:val="0000FF"/>
          <w:u w:val="single"/>
        </w:rPr>
        <w:t>@colombiacompraeficiente_cce</w:t>
      </w:r>
    </w:p>
    <w:p w14:paraId="30C24472" w14:textId="77777777" w:rsidR="00FF49B9" w:rsidRPr="00A74C36" w:rsidRDefault="00FF49B9" w:rsidP="00FF49B9">
      <w:pPr>
        <w:spacing w:after="0" w:line="240" w:lineRule="auto"/>
        <w:jc w:val="both"/>
        <w:rPr>
          <w:rFonts w:ascii="Verdana" w:eastAsia="Calibri" w:hAnsi="Verdana" w:cs="Times New Roman"/>
        </w:rPr>
      </w:pPr>
    </w:p>
    <w:p w14:paraId="27C89C70" w14:textId="77777777" w:rsidR="00FF49B9" w:rsidRPr="00A74C36" w:rsidRDefault="00FF49B9" w:rsidP="00FF49B9">
      <w:pPr>
        <w:widowControl w:val="0"/>
        <w:autoSpaceDE w:val="0"/>
        <w:autoSpaceDN w:val="0"/>
        <w:spacing w:after="0" w:line="276" w:lineRule="auto"/>
        <w:jc w:val="both"/>
        <w:rPr>
          <w:rFonts w:ascii="Verdana" w:hAnsi="Verdana" w:cs="Arial"/>
          <w:lang w:val="es-ES_tradnl"/>
        </w:rPr>
      </w:pPr>
      <w:r w:rsidRPr="00A74C3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r w:rsidRPr="00A74C36">
        <w:rPr>
          <w:rFonts w:ascii="Verdana" w:hAnsi="Verdana" w:cs="Arial"/>
          <w:bCs/>
          <w:color w:val="1A1A1A" w:themeColor="background1" w:themeShade="1A"/>
        </w:rPr>
        <w:t xml:space="preserve"> </w:t>
      </w:r>
    </w:p>
    <w:p w14:paraId="5626320E" w14:textId="77777777" w:rsidR="00FF49B9" w:rsidRPr="00A74C36" w:rsidRDefault="00FF49B9" w:rsidP="00FF49B9">
      <w:pPr>
        <w:widowControl w:val="0"/>
        <w:autoSpaceDE w:val="0"/>
        <w:autoSpaceDN w:val="0"/>
        <w:spacing w:after="0" w:line="276" w:lineRule="auto"/>
        <w:jc w:val="both"/>
        <w:rPr>
          <w:rFonts w:ascii="Verdana" w:hAnsi="Verdana" w:cs="Arial"/>
        </w:rPr>
      </w:pPr>
    </w:p>
    <w:p w14:paraId="125B13DD" w14:textId="77777777" w:rsidR="00FF49B9" w:rsidRDefault="00FF49B9" w:rsidP="00FF49B9">
      <w:pPr>
        <w:spacing w:after="0" w:line="240" w:lineRule="auto"/>
        <w:rPr>
          <w:rFonts w:ascii="Verdana" w:hAnsi="Verdana" w:cs="Arial"/>
          <w:noProof/>
          <w:lang w:eastAsia="es-CO"/>
        </w:rPr>
      </w:pPr>
      <w:r w:rsidRPr="00A74C36">
        <w:rPr>
          <w:rFonts w:ascii="Verdana" w:eastAsia="Times New Roman" w:hAnsi="Verdana" w:cs="Arial"/>
          <w:lang w:eastAsia="es-CO"/>
        </w:rPr>
        <w:t>Atentamente,</w:t>
      </w:r>
      <w:r w:rsidRPr="00A74C36">
        <w:rPr>
          <w:rFonts w:ascii="Verdana" w:hAnsi="Verdana" w:cs="Arial"/>
          <w:lang w:eastAsia="es-CO"/>
        </w:rPr>
        <w:t xml:space="preserve"> </w:t>
      </w:r>
    </w:p>
    <w:p w14:paraId="4B15B16B" w14:textId="77777777" w:rsidR="00FF49B9" w:rsidRPr="002D782E" w:rsidRDefault="00FF49B9" w:rsidP="00FF49B9">
      <w:pPr>
        <w:spacing w:after="0" w:line="240" w:lineRule="auto"/>
        <w:rPr>
          <w:rFonts w:ascii="Verdana" w:hAnsi="Verdana" w:cs="Arial"/>
          <w:noProof/>
          <w:lang w:eastAsia="es-CO"/>
        </w:rPr>
      </w:pPr>
    </w:p>
    <w:p w14:paraId="1A442F30" w14:textId="57943143" w:rsidR="00FF49B9" w:rsidRDefault="006102B4" w:rsidP="00FF49B9">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B32BE24" wp14:editId="14B54D03">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44D30BB2" w14:textId="77777777" w:rsidR="00FF49B9" w:rsidRPr="00A74C36" w:rsidRDefault="00FF49B9" w:rsidP="00FF49B9">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FF49B9" w:rsidRPr="00A74C36" w14:paraId="6A70D405" w14:textId="77777777" w:rsidTr="00EA4763">
        <w:trPr>
          <w:trHeight w:val="409"/>
        </w:trPr>
        <w:tc>
          <w:tcPr>
            <w:tcW w:w="817" w:type="dxa"/>
            <w:tcBorders>
              <w:top w:val="nil"/>
              <w:left w:val="nil"/>
              <w:bottom w:val="nil"/>
              <w:right w:val="nil"/>
            </w:tcBorders>
            <w:vAlign w:val="center"/>
            <w:hideMark/>
          </w:tcPr>
          <w:p w14:paraId="6F747B89" w14:textId="77777777" w:rsidR="00FF49B9" w:rsidRPr="00A74C36" w:rsidRDefault="00FF49B9" w:rsidP="00EA4763">
            <w:pPr>
              <w:spacing w:after="0" w:line="256" w:lineRule="auto"/>
              <w:rPr>
                <w:rFonts w:ascii="Verdana" w:eastAsia="Calibri" w:hAnsi="Verdana" w:cs="Times New Roman"/>
                <w:sz w:val="16"/>
                <w:szCs w:val="16"/>
              </w:rPr>
            </w:pPr>
            <w:r w:rsidRPr="00A74C36">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62B428BC" w14:textId="77777777" w:rsidR="00FF49B9" w:rsidRPr="00A74C36" w:rsidRDefault="00FF49B9" w:rsidP="00EA4763">
            <w:pPr>
              <w:spacing w:after="0" w:line="256" w:lineRule="auto"/>
              <w:rPr>
                <w:rFonts w:ascii="Verdana" w:eastAsia="Calibri" w:hAnsi="Verdana" w:cs="Times New Roman"/>
                <w:sz w:val="16"/>
                <w:szCs w:val="16"/>
              </w:rPr>
            </w:pPr>
            <w:r w:rsidRPr="00A74C36">
              <w:rPr>
                <w:rFonts w:ascii="Verdana" w:eastAsia="Calibri" w:hAnsi="Verdana" w:cs="Times New Roman"/>
                <w:sz w:val="16"/>
                <w:szCs w:val="16"/>
              </w:rPr>
              <w:t>José Luis Sánchez Cardona</w:t>
            </w:r>
          </w:p>
          <w:p w14:paraId="348B98C7" w14:textId="77777777" w:rsidR="00FF49B9" w:rsidRPr="00A74C36" w:rsidRDefault="00FF49B9" w:rsidP="00EA4763">
            <w:pPr>
              <w:spacing w:after="0" w:line="256" w:lineRule="auto"/>
              <w:rPr>
                <w:rFonts w:ascii="Verdana" w:eastAsia="Calibri" w:hAnsi="Verdana" w:cs="Times New Roman"/>
                <w:sz w:val="16"/>
                <w:szCs w:val="16"/>
              </w:rPr>
            </w:pPr>
            <w:r w:rsidRPr="00A74C36">
              <w:rPr>
                <w:rFonts w:ascii="Verdana" w:eastAsia="Calibri" w:hAnsi="Verdana" w:cs="Times New Roman"/>
                <w:sz w:val="16"/>
                <w:szCs w:val="16"/>
              </w:rPr>
              <w:t>Contratista de la Subdirección de Gestión Contractual</w:t>
            </w:r>
          </w:p>
        </w:tc>
      </w:tr>
      <w:tr w:rsidR="00FF49B9" w:rsidRPr="00A74C36" w14:paraId="26735C20" w14:textId="77777777" w:rsidTr="00EA4763">
        <w:trPr>
          <w:trHeight w:val="409"/>
        </w:trPr>
        <w:tc>
          <w:tcPr>
            <w:tcW w:w="817" w:type="dxa"/>
            <w:tcBorders>
              <w:top w:val="nil"/>
              <w:left w:val="nil"/>
              <w:bottom w:val="nil"/>
              <w:right w:val="nil"/>
            </w:tcBorders>
            <w:vAlign w:val="center"/>
            <w:hideMark/>
          </w:tcPr>
          <w:p w14:paraId="0582B9D5" w14:textId="77777777" w:rsidR="00FF49B9" w:rsidRPr="00A74C36" w:rsidRDefault="00FF49B9" w:rsidP="00EA4763">
            <w:pPr>
              <w:spacing w:after="0" w:line="256" w:lineRule="auto"/>
              <w:rPr>
                <w:rFonts w:ascii="Verdana" w:eastAsia="Calibri" w:hAnsi="Verdana" w:cs="Times New Roman"/>
                <w:sz w:val="16"/>
                <w:szCs w:val="16"/>
              </w:rPr>
            </w:pPr>
            <w:r w:rsidRPr="00A74C36">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31FD715" w14:textId="77777777" w:rsidR="00FF49B9" w:rsidRPr="00A74C36" w:rsidRDefault="00FF49B9" w:rsidP="00EA4763">
            <w:pPr>
              <w:spacing w:after="0" w:line="256" w:lineRule="auto"/>
              <w:rPr>
                <w:rFonts w:ascii="Verdana" w:eastAsia="Calibri" w:hAnsi="Verdana" w:cs="Times New Roman"/>
                <w:sz w:val="16"/>
                <w:szCs w:val="16"/>
              </w:rPr>
            </w:pPr>
            <w:r w:rsidRPr="00A74C36">
              <w:rPr>
                <w:rFonts w:ascii="Verdana" w:eastAsia="Calibri" w:hAnsi="Verdana" w:cs="Times New Roman"/>
                <w:sz w:val="16"/>
                <w:szCs w:val="16"/>
              </w:rPr>
              <w:t>Alejandro Sarmiento Cantillo</w:t>
            </w:r>
          </w:p>
          <w:p w14:paraId="778AE4AB" w14:textId="77777777" w:rsidR="00FF49B9" w:rsidRPr="00A74C36" w:rsidRDefault="00FF49B9" w:rsidP="00EA4763">
            <w:pPr>
              <w:spacing w:after="0" w:line="256" w:lineRule="auto"/>
              <w:rPr>
                <w:rFonts w:ascii="Verdana" w:eastAsia="Calibri" w:hAnsi="Verdana" w:cs="Times New Roman"/>
                <w:sz w:val="16"/>
                <w:szCs w:val="16"/>
              </w:rPr>
            </w:pPr>
            <w:r w:rsidRPr="00A74C36">
              <w:rPr>
                <w:rFonts w:ascii="Verdana" w:eastAsia="Calibri" w:hAnsi="Verdana" w:cs="Times New Roman"/>
                <w:sz w:val="16"/>
                <w:szCs w:val="16"/>
              </w:rPr>
              <w:t>Gestor T1-15 de la Subdirección de Gestión Contractual </w:t>
            </w:r>
          </w:p>
        </w:tc>
      </w:tr>
      <w:tr w:rsidR="00FF49B9" w:rsidRPr="00A74C36" w14:paraId="0F246DBB" w14:textId="77777777" w:rsidTr="00EA4763">
        <w:trPr>
          <w:trHeight w:val="389"/>
        </w:trPr>
        <w:tc>
          <w:tcPr>
            <w:tcW w:w="817" w:type="dxa"/>
            <w:tcBorders>
              <w:top w:val="nil"/>
              <w:left w:val="nil"/>
              <w:bottom w:val="nil"/>
              <w:right w:val="nil"/>
            </w:tcBorders>
            <w:vAlign w:val="center"/>
            <w:hideMark/>
          </w:tcPr>
          <w:p w14:paraId="32A206AD" w14:textId="77777777" w:rsidR="00FF49B9" w:rsidRPr="00A74C36" w:rsidRDefault="00FF49B9" w:rsidP="00EA4763">
            <w:pPr>
              <w:spacing w:after="0" w:line="256" w:lineRule="auto"/>
              <w:rPr>
                <w:rFonts w:ascii="Verdana" w:eastAsia="Calibri" w:hAnsi="Verdana" w:cs="Times New Roman"/>
                <w:sz w:val="16"/>
                <w:szCs w:val="16"/>
              </w:rPr>
            </w:pPr>
            <w:r w:rsidRPr="00A74C36">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CE6E687" w14:textId="77777777" w:rsidR="00FF49B9" w:rsidRPr="00A74C36" w:rsidRDefault="00FF49B9" w:rsidP="00EA4763">
            <w:pPr>
              <w:spacing w:after="0" w:line="256" w:lineRule="auto"/>
              <w:rPr>
                <w:rFonts w:ascii="Verdana" w:eastAsia="Calibri" w:hAnsi="Verdana" w:cs="Times New Roman"/>
                <w:sz w:val="16"/>
                <w:szCs w:val="16"/>
              </w:rPr>
            </w:pPr>
            <w:r w:rsidRPr="00A74C36">
              <w:rPr>
                <w:rFonts w:ascii="Verdana" w:eastAsia="Calibri" w:hAnsi="Verdana" w:cs="Times New Roman"/>
                <w:sz w:val="16"/>
                <w:szCs w:val="16"/>
              </w:rPr>
              <w:t xml:space="preserve">Carolina Quintero </w:t>
            </w:r>
            <w:proofErr w:type="spellStart"/>
            <w:r w:rsidRPr="00A74C36">
              <w:rPr>
                <w:rFonts w:ascii="Verdana" w:eastAsia="Calibri" w:hAnsi="Verdana" w:cs="Times New Roman"/>
                <w:sz w:val="16"/>
                <w:szCs w:val="16"/>
              </w:rPr>
              <w:t>Gacharná</w:t>
            </w:r>
            <w:proofErr w:type="spellEnd"/>
          </w:p>
          <w:p w14:paraId="11268E0E" w14:textId="77777777" w:rsidR="00FF49B9" w:rsidRPr="00A74C36" w:rsidRDefault="00FF49B9" w:rsidP="00EA4763">
            <w:pPr>
              <w:spacing w:after="0" w:line="256" w:lineRule="auto"/>
              <w:rPr>
                <w:rFonts w:ascii="Verdana" w:eastAsia="Calibri" w:hAnsi="Verdana" w:cs="Times New Roman"/>
                <w:sz w:val="16"/>
                <w:szCs w:val="16"/>
              </w:rPr>
            </w:pPr>
            <w:r w:rsidRPr="00A74C36">
              <w:rPr>
                <w:rFonts w:ascii="Verdana" w:eastAsia="Calibri" w:hAnsi="Verdana" w:cs="Times New Roman"/>
                <w:sz w:val="16"/>
                <w:szCs w:val="16"/>
              </w:rPr>
              <w:t>Subdirectora de Gestión Contractual ANCP – CCE</w:t>
            </w:r>
          </w:p>
        </w:tc>
      </w:tr>
      <w:bookmarkEnd w:id="0"/>
    </w:tbl>
    <w:p w14:paraId="61CD4678" w14:textId="2EC64C7F" w:rsidR="001F44FE" w:rsidRPr="00FF49B9" w:rsidRDefault="001F44FE" w:rsidP="00FF49B9">
      <w:pPr>
        <w:rPr>
          <w:lang w:val="es-ES"/>
        </w:rPr>
      </w:pPr>
    </w:p>
    <w:sectPr w:rsidR="001F44FE" w:rsidRPr="00FF49B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E48C2" w14:textId="77777777" w:rsidR="00285B34" w:rsidRDefault="00285B34" w:rsidP="004A1847">
      <w:pPr>
        <w:spacing w:after="0" w:line="240" w:lineRule="auto"/>
      </w:pPr>
      <w:r>
        <w:separator/>
      </w:r>
    </w:p>
  </w:endnote>
  <w:endnote w:type="continuationSeparator" w:id="0">
    <w:p w14:paraId="02D83B5C" w14:textId="77777777" w:rsidR="00285B34" w:rsidRDefault="00285B34" w:rsidP="004A1847">
      <w:pPr>
        <w:spacing w:after="0" w:line="240" w:lineRule="auto"/>
      </w:pPr>
      <w:r>
        <w:continuationSeparator/>
      </w:r>
    </w:p>
  </w:endnote>
  <w:endnote w:type="continuationNotice" w:id="1">
    <w:p w14:paraId="458613FF" w14:textId="77777777" w:rsidR="00285B34" w:rsidRDefault="00285B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Nova">
    <w:altName w:val="Arial"/>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652D1A9A"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6102B4" w:rsidRPr="006102B4">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A96FF" w14:textId="77777777" w:rsidR="00285B34" w:rsidRDefault="00285B34" w:rsidP="004A1847">
      <w:pPr>
        <w:spacing w:after="0" w:line="240" w:lineRule="auto"/>
      </w:pPr>
      <w:r>
        <w:separator/>
      </w:r>
    </w:p>
  </w:footnote>
  <w:footnote w:type="continuationSeparator" w:id="0">
    <w:p w14:paraId="36F3E5D9" w14:textId="77777777" w:rsidR="00285B34" w:rsidRDefault="00285B34" w:rsidP="004A1847">
      <w:pPr>
        <w:spacing w:after="0" w:line="240" w:lineRule="auto"/>
      </w:pPr>
      <w:r>
        <w:continuationSeparator/>
      </w:r>
    </w:p>
  </w:footnote>
  <w:footnote w:type="continuationNotice" w:id="1">
    <w:p w14:paraId="47F761B7" w14:textId="77777777" w:rsidR="00285B34" w:rsidRDefault="00285B34">
      <w:pPr>
        <w:spacing w:after="0" w:line="240" w:lineRule="auto"/>
      </w:pPr>
    </w:p>
  </w:footnote>
  <w:footnote w:id="2">
    <w:p w14:paraId="4E597F52" w14:textId="77777777" w:rsidR="00FF49B9" w:rsidRPr="00971812" w:rsidRDefault="00FF49B9" w:rsidP="00FF49B9">
      <w:pPr>
        <w:pStyle w:val="Textonotapie"/>
        <w:ind w:firstLine="709"/>
        <w:jc w:val="both"/>
        <w:rPr>
          <w:rFonts w:ascii="Verdana" w:hAnsi="Verdana" w:cs="Arial"/>
          <w:color w:val="000000"/>
          <w:sz w:val="15"/>
          <w:szCs w:val="15"/>
          <w:lang w:val="es-ES"/>
        </w:rPr>
      </w:pPr>
      <w:r w:rsidRPr="00D268AE">
        <w:rPr>
          <w:rStyle w:val="Refdenotaalpie"/>
          <w:rFonts w:ascii="Verdana" w:hAnsi="Verdana"/>
          <w:sz w:val="16"/>
          <w:szCs w:val="16"/>
        </w:rPr>
        <w:footnoteRef/>
      </w:r>
      <w:r w:rsidRPr="00D268AE">
        <w:rPr>
          <w:rFonts w:ascii="Verdana" w:hAnsi="Verdana"/>
          <w:sz w:val="16"/>
          <w:szCs w:val="16"/>
        </w:rPr>
        <w:t xml:space="preserve"> </w:t>
      </w:r>
      <w:r w:rsidRPr="00D268AE">
        <w:rPr>
          <w:rFonts w:ascii="Verdana" w:hAnsi="Verdana" w:cs="Arial"/>
          <w:color w:val="000000"/>
          <w:sz w:val="16"/>
          <w:szCs w:val="16"/>
          <w:lang w:val="es-ES"/>
        </w:rPr>
        <w:t>E</w:t>
      </w:r>
      <w:r w:rsidRPr="00971812">
        <w:rPr>
          <w:rFonts w:ascii="Verdana" w:hAnsi="Verdana" w:cs="Arial"/>
          <w:color w:val="000000"/>
          <w:sz w:val="15"/>
          <w:szCs w:val="15"/>
          <w:lang w:val="es-ES"/>
        </w:rPr>
        <w:t>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5A7658C2" w14:textId="77777777" w:rsidR="00FF49B9" w:rsidRPr="00971812" w:rsidRDefault="00FF49B9" w:rsidP="00FF49B9">
      <w:pPr>
        <w:pStyle w:val="Textonotapie"/>
        <w:ind w:firstLine="709"/>
        <w:jc w:val="both"/>
        <w:rPr>
          <w:rFonts w:ascii="Verdana" w:hAnsi="Verdana" w:cs="Arial"/>
          <w:color w:val="000000"/>
          <w:sz w:val="15"/>
          <w:szCs w:val="15"/>
          <w:lang w:val="es-ES"/>
        </w:rPr>
      </w:pPr>
    </w:p>
    <w:p w14:paraId="093800DE" w14:textId="77777777" w:rsidR="00FF49B9" w:rsidRPr="00971812" w:rsidRDefault="00FF49B9" w:rsidP="00FF49B9">
      <w:pPr>
        <w:pStyle w:val="Textonotapie"/>
        <w:ind w:firstLine="709"/>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2. Quien presta el servicio se denomina trabajador, quien lo recibe y remunera, empleador, y la remuneración, cualquiera que sea su forma, salario”.</w:t>
      </w:r>
    </w:p>
  </w:footnote>
  <w:footnote w:id="3">
    <w:p w14:paraId="4485F7D3" w14:textId="77777777" w:rsidR="00FF49B9" w:rsidRPr="00971812" w:rsidRDefault="00FF49B9" w:rsidP="00FF49B9">
      <w:pPr>
        <w:pStyle w:val="Textonotapie"/>
        <w:ind w:firstLine="708"/>
        <w:rPr>
          <w:rFonts w:ascii="Verdana" w:hAnsi="Verdana" w:cs="Arial"/>
          <w:color w:val="000000"/>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w:t>
      </w:r>
      <w:r w:rsidRPr="00971812">
        <w:rPr>
          <w:rFonts w:ascii="Verdana" w:hAnsi="Verdana" w:cs="Arial"/>
          <w:color w:val="000000"/>
          <w:sz w:val="15"/>
          <w:szCs w:val="15"/>
          <w:lang w:val="pt-BR"/>
        </w:rPr>
        <w:t>CORTE CONSTITUCIONAL. Sentencia C-154 de 1997. M.P. Hernando Herrera Vergara.</w:t>
      </w:r>
    </w:p>
    <w:p w14:paraId="628135D0" w14:textId="77777777" w:rsidR="00FF49B9" w:rsidRPr="00971812" w:rsidRDefault="00FF49B9" w:rsidP="00FF49B9">
      <w:pPr>
        <w:pStyle w:val="Textonotapie"/>
        <w:ind w:firstLine="708"/>
        <w:rPr>
          <w:rFonts w:ascii="Verdana" w:hAnsi="Verdana"/>
          <w:sz w:val="15"/>
          <w:szCs w:val="15"/>
          <w:lang w:val="pt-BR"/>
        </w:rPr>
      </w:pPr>
    </w:p>
  </w:footnote>
  <w:footnote w:id="4">
    <w:p w14:paraId="11FA5670" w14:textId="77777777" w:rsidR="00FF49B9" w:rsidRPr="00971812" w:rsidDel="00A37FEF" w:rsidRDefault="00FF49B9" w:rsidP="00FF49B9">
      <w:pPr>
        <w:spacing w:after="0"/>
        <w:ind w:firstLine="708"/>
        <w:jc w:val="both"/>
        <w:rPr>
          <w:rFonts w:ascii="Verdana" w:eastAsia="Arial Nova" w:hAnsi="Verdana" w:cs="Arial"/>
          <w:sz w:val="15"/>
          <w:szCs w:val="15"/>
          <w:lang w:val="pt-BR"/>
        </w:rPr>
      </w:pPr>
      <w:r w:rsidRPr="00971812">
        <w:rPr>
          <w:rStyle w:val="Refdenotaalpie"/>
          <w:rFonts w:ascii="Verdana" w:hAnsi="Verdana" w:cs="Arial"/>
          <w:sz w:val="15"/>
          <w:szCs w:val="15"/>
        </w:rPr>
        <w:footnoteRef/>
      </w:r>
      <w:r w:rsidRPr="00971812">
        <w:rPr>
          <w:rFonts w:ascii="Verdana" w:hAnsi="Verdana" w:cs="Arial"/>
          <w:sz w:val="15"/>
          <w:szCs w:val="15"/>
          <w:lang w:val="pt-BR"/>
        </w:rPr>
        <w:t xml:space="preserve"> </w:t>
      </w:r>
      <w:r w:rsidRPr="00971812">
        <w:rPr>
          <w:rFonts w:ascii="Verdana" w:eastAsia="Arial Nova" w:hAnsi="Verdana" w:cs="Arial"/>
          <w:sz w:val="15"/>
          <w:szCs w:val="15"/>
          <w:lang w:val="pt-BR"/>
        </w:rPr>
        <w:t xml:space="preserve">CORTE CONSTITUCIONAL. Sentencia C-614 de 2009. M.P. Jorge </w:t>
      </w:r>
      <w:r w:rsidRPr="00971812">
        <w:rPr>
          <w:rFonts w:ascii="Verdana" w:eastAsia="Arial Nova" w:hAnsi="Verdana" w:cs="Arial"/>
          <w:sz w:val="15"/>
          <w:szCs w:val="15"/>
          <w:lang w:val="pt-BR"/>
        </w:rPr>
        <w:t xml:space="preserve">Ignacio Pretelt Chaljub. </w:t>
      </w:r>
    </w:p>
  </w:footnote>
  <w:footnote w:id="5">
    <w:p w14:paraId="4BD2D36A" w14:textId="77777777" w:rsidR="00FF49B9" w:rsidRPr="00971812" w:rsidDel="00A37FEF" w:rsidRDefault="00FF49B9" w:rsidP="00FF49B9">
      <w:pPr>
        <w:pStyle w:val="Textonotapie"/>
        <w:ind w:firstLine="708"/>
        <w:rPr>
          <w:rFonts w:ascii="Verdana" w:hAnsi="Verdana" w:cs="Arial"/>
          <w:color w:val="000000" w:themeColor="text1"/>
          <w:sz w:val="15"/>
          <w:szCs w:val="15"/>
          <w:lang w:val="es-ES"/>
        </w:rPr>
      </w:pPr>
      <w:r w:rsidRPr="00971812">
        <w:rPr>
          <w:rStyle w:val="Refdenotaalpie"/>
          <w:rFonts w:ascii="Verdana" w:hAnsi="Verdana"/>
          <w:sz w:val="15"/>
          <w:szCs w:val="15"/>
        </w:rPr>
        <w:footnoteRef/>
      </w:r>
      <w:r w:rsidRPr="00971812">
        <w:rPr>
          <w:rFonts w:ascii="Verdana" w:hAnsi="Verdana"/>
          <w:sz w:val="15"/>
          <w:szCs w:val="15"/>
          <w:lang w:val="pt-BR"/>
        </w:rPr>
        <w:t xml:space="preserve"> </w:t>
      </w:r>
      <w:r w:rsidRPr="00971812">
        <w:rPr>
          <w:rFonts w:ascii="Verdana" w:hAnsi="Verdana" w:cs="Arial"/>
          <w:color w:val="000000"/>
          <w:sz w:val="15"/>
          <w:szCs w:val="15"/>
          <w:lang w:val="pt-BR"/>
        </w:rPr>
        <w:t xml:space="preserve">CORTE CONSTITUCIONAL. Sentencia C-154 de 1997. </w:t>
      </w:r>
      <w:r w:rsidRPr="00971812">
        <w:rPr>
          <w:rFonts w:ascii="Verdana" w:hAnsi="Verdana" w:cs="Arial"/>
          <w:color w:val="000000"/>
          <w:sz w:val="15"/>
          <w:szCs w:val="15"/>
          <w:lang w:val="es-ES"/>
        </w:rPr>
        <w:t>Magistrado Ponente: Hernando Herrera Vergara.</w:t>
      </w:r>
    </w:p>
  </w:footnote>
  <w:footnote w:id="6">
    <w:p w14:paraId="72056358"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Style w:val="Refdenotaalpie"/>
          <w:rFonts w:ascii="Verdana" w:hAnsi="Verdana" w:cs="Arial"/>
          <w:color w:val="000000"/>
          <w:sz w:val="15"/>
          <w:szCs w:val="15"/>
        </w:rPr>
        <w:footnoteRef/>
      </w:r>
      <w:r w:rsidRPr="00971812">
        <w:rPr>
          <w:rFonts w:ascii="Verdana" w:hAnsi="Verdana" w:cs="Arial"/>
          <w:color w:val="000000"/>
          <w:sz w:val="15"/>
          <w:szCs w:val="15"/>
        </w:rPr>
        <w:t xml:space="preserve"> </w:t>
      </w:r>
      <w:r w:rsidRPr="00971812">
        <w:rPr>
          <w:rFonts w:ascii="Verdana" w:hAnsi="Verdana" w:cs="Arial"/>
          <w:color w:val="000000"/>
          <w:sz w:val="15"/>
          <w:szCs w:val="15"/>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3C11F01"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2CF42E7"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La Entidad Estatal, para la contratación de trabajos artísticos que solamente puedan en­comendarse a determinadas personas naturales, debe justificar esta situación en los estudios y documentos previos”.</w:t>
      </w:r>
    </w:p>
  </w:footnote>
  <w:footnote w:id="7">
    <w:p w14:paraId="54467414" w14:textId="77777777" w:rsidR="00FF49B9" w:rsidRPr="00971812" w:rsidDel="00A37FEF" w:rsidRDefault="00FF49B9" w:rsidP="00FF49B9">
      <w:pPr>
        <w:pStyle w:val="Textonotapie"/>
        <w:ind w:firstLine="709"/>
        <w:contextualSpacing/>
        <w:jc w:val="both"/>
        <w:rPr>
          <w:rFonts w:ascii="Verdana" w:hAnsi="Verdana" w:cs="Arial"/>
          <w:color w:val="000000"/>
          <w:sz w:val="15"/>
          <w:szCs w:val="15"/>
          <w:lang w:val="es-ES"/>
        </w:rPr>
      </w:pPr>
      <w:r w:rsidRPr="00971812">
        <w:rPr>
          <w:rStyle w:val="Refdenotaalpie"/>
          <w:rFonts w:ascii="Verdana" w:hAnsi="Verdana" w:cs="Arial"/>
          <w:color w:val="000000"/>
          <w:sz w:val="15"/>
          <w:szCs w:val="15"/>
        </w:rPr>
        <w:footnoteRef/>
      </w:r>
      <w:r w:rsidRPr="00971812">
        <w:rPr>
          <w:rFonts w:ascii="Verdana" w:hAnsi="Verdana" w:cs="Arial"/>
          <w:color w:val="000000"/>
          <w:sz w:val="15"/>
          <w:szCs w:val="15"/>
        </w:rPr>
        <w:t xml:space="preserve"> </w:t>
      </w:r>
      <w:r w:rsidRPr="00971812">
        <w:rPr>
          <w:rFonts w:ascii="Verdana" w:hAnsi="Verdana" w:cs="Arial"/>
          <w:color w:val="000000"/>
          <w:sz w:val="15"/>
          <w:szCs w:val="15"/>
          <w:lang w:val="es-ES"/>
        </w:rPr>
        <w:t xml:space="preserve">CONSEJO DE ESTADO. Sección Tercera. Subsección C. Sentencia del 2 de diciembre de 2013. </w:t>
      </w:r>
      <w:r w:rsidRPr="00971812">
        <w:rPr>
          <w:rFonts w:ascii="Verdana" w:hAnsi="Verdana" w:cs="Arial"/>
          <w:color w:val="000000"/>
          <w:sz w:val="15"/>
          <w:szCs w:val="15"/>
          <w:lang w:val="es-ES"/>
        </w:rPr>
        <w:t>Exp. 41719. C.P. Jaime Orlando Santofimio Gamboa.</w:t>
      </w:r>
    </w:p>
  </w:footnote>
  <w:footnote w:id="8">
    <w:p w14:paraId="2DE00D24"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Style w:val="Refdenotaalpie"/>
          <w:rFonts w:ascii="Verdana" w:hAnsi="Verdana" w:cs="Arial"/>
          <w:color w:val="000000"/>
          <w:sz w:val="15"/>
          <w:szCs w:val="15"/>
        </w:rPr>
        <w:footnoteRef/>
      </w:r>
      <w:r w:rsidRPr="00971812">
        <w:rPr>
          <w:rFonts w:ascii="Verdana" w:hAnsi="Verdana" w:cs="Arial"/>
          <w:color w:val="000000"/>
          <w:sz w:val="15"/>
          <w:szCs w:val="15"/>
        </w:rPr>
        <w:t xml:space="preserve"> </w:t>
      </w:r>
      <w:r w:rsidRPr="00971812">
        <w:rPr>
          <w:rFonts w:ascii="Verdana" w:hAnsi="Verdana" w:cs="Arial"/>
          <w:color w:val="000000"/>
          <w:sz w:val="15"/>
          <w:szCs w:val="15"/>
          <w:lang w:val="es-ES"/>
        </w:rPr>
        <w:t xml:space="preserve">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w:t>
      </w:r>
      <w:r w:rsidRPr="00971812">
        <w:rPr>
          <w:rFonts w:ascii="Verdana" w:hAnsi="Verdana" w:cs="Arial"/>
          <w:color w:val="000000"/>
          <w:sz w:val="15"/>
          <w:szCs w:val="15"/>
          <w:lang w:val="es-ES"/>
        </w:rPr>
        <w:t>prefactibilidad o factibilidad para programas o proyectos específicos, así como a las asesorías técnicas de coordinación, control y supervisión.</w:t>
      </w:r>
    </w:p>
    <w:p w14:paraId="0764EACF"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Son también contratos de consultoría los que tienen por objeto la interventoría, asesoría, gerencia de obra o de proyectos, dirección, programación y la ejecución de diseños, planos, anteproyectos y proyectos.</w:t>
      </w:r>
    </w:p>
    <w:p w14:paraId="4590BAAD"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9">
    <w:p w14:paraId="5C565085"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Style w:val="Refdenotaalpie"/>
          <w:rFonts w:ascii="Verdana" w:hAnsi="Verdana" w:cs="Arial"/>
          <w:color w:val="000000"/>
          <w:sz w:val="15"/>
          <w:szCs w:val="15"/>
        </w:rPr>
        <w:footnoteRef/>
      </w:r>
      <w:r w:rsidRPr="00971812">
        <w:rPr>
          <w:rFonts w:ascii="Verdana" w:hAnsi="Verdana" w:cs="Arial"/>
          <w:color w:val="000000"/>
          <w:sz w:val="15"/>
          <w:szCs w:val="15"/>
        </w:rPr>
        <w:t xml:space="preserve"> </w:t>
      </w:r>
      <w:r w:rsidRPr="00971812">
        <w:rPr>
          <w:rFonts w:ascii="Verdana" w:hAnsi="Verdana" w:cs="Arial"/>
          <w:color w:val="000000"/>
          <w:sz w:val="15"/>
          <w:szCs w:val="15"/>
          <w:lang w:val="es-ES"/>
        </w:rPr>
        <w:t>Así lo prevé el artículo 2.2.1.2.1.4.1. del Decreto 1082 de 2015: “La Entidad Estatal debe señalar en un acto administrativo la justificación para contratar bajo la modalidad de contratación directa, el cual debe contener:</w:t>
      </w:r>
    </w:p>
    <w:p w14:paraId="765BD7B4"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1. La causal que invoca para contratar directamente.</w:t>
      </w:r>
    </w:p>
    <w:p w14:paraId="3C6F08FB"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2. El objeto del contrato.</w:t>
      </w:r>
    </w:p>
    <w:p w14:paraId="0AB850F1"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3. El presupuesto para la contratación y las condiciones que exigirá al contratista.</w:t>
      </w:r>
    </w:p>
    <w:p w14:paraId="5C05D32A"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4. El lugar en el cual los interesados pueden consultar los estudios y documentos previos.</w:t>
      </w:r>
    </w:p>
    <w:p w14:paraId="6682D323"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0">
    <w:p w14:paraId="43EAE099"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Style w:val="Refdenotaalpie"/>
          <w:rFonts w:ascii="Verdana" w:hAnsi="Verdana" w:cs="Arial"/>
          <w:color w:val="000000"/>
          <w:sz w:val="15"/>
          <w:szCs w:val="15"/>
        </w:rPr>
        <w:footnoteRef/>
      </w:r>
      <w:r w:rsidRPr="00971812">
        <w:rPr>
          <w:rFonts w:ascii="Verdana" w:hAnsi="Verdana" w:cs="Arial"/>
          <w:color w:val="000000"/>
          <w:sz w:val="15"/>
          <w:szCs w:val="15"/>
        </w:rPr>
        <w:t xml:space="preserve"> </w:t>
      </w:r>
      <w:r w:rsidRPr="00971812">
        <w:rPr>
          <w:rFonts w:ascii="Verdana" w:hAnsi="Verdana" w:cs="Arial"/>
          <w:color w:val="000000"/>
          <w:sz w:val="15"/>
          <w:szCs w:val="15"/>
          <w:lang w:val="es-ES"/>
        </w:rPr>
        <w:t>Esta norma expresa: “</w:t>
      </w:r>
      <w:r w:rsidRPr="00971812">
        <w:rPr>
          <w:rFonts w:ascii="Verdana" w:hAnsi="Verdana" w:cs="Arial"/>
          <w:color w:val="000000"/>
          <w:sz w:val="15"/>
          <w:szCs w:val="15"/>
        </w:rPr>
        <w:t>P</w:t>
      </w:r>
      <w:r w:rsidRPr="00971812">
        <w:rPr>
          <w:rFonts w:ascii="Verdana" w:hAnsi="Verdana" w:cs="Arial"/>
          <w:color w:val="000000"/>
          <w:sz w:val="15"/>
          <w:szCs w:val="15"/>
          <w:lang w:val="es-ES"/>
        </w:rPr>
        <w:t>ara el cumplimiento de los fines de la contratación, las entidades estatales al celebrar un contrato:</w:t>
      </w:r>
    </w:p>
    <w:p w14:paraId="24B7233A"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w:t>
      </w:r>
    </w:p>
    <w:p w14:paraId="20CF3327"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7EA12CB"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Fonts w:ascii="Verdana" w:hAnsi="Verdana" w:cs="Arial"/>
          <w:color w:val="000000" w:themeColor="text1"/>
          <w:sz w:val="15"/>
          <w:szCs w:val="15"/>
          <w:lang w:val="es-ES"/>
        </w:rPr>
        <w:t xml:space="preserve">Las entidades estatales podrán pactar estas cláusulas en los contratos de suministro y de prestación de </w:t>
      </w:r>
      <w:r w:rsidRPr="00971812">
        <w:rPr>
          <w:rFonts w:ascii="Verdana" w:hAnsi="Verdana" w:cs="Arial"/>
          <w:color w:val="000000" w:themeColor="text1"/>
          <w:sz w:val="15"/>
          <w:szCs w:val="15"/>
          <w:lang w:val="es-ES"/>
        </w:rPr>
        <w:t>servicios.[…]”.</w:t>
      </w:r>
    </w:p>
  </w:footnote>
  <w:footnote w:id="11">
    <w:p w14:paraId="79DFD55A"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r w:rsidRPr="00971812">
        <w:rPr>
          <w:rStyle w:val="Refdenotaalpie"/>
          <w:rFonts w:ascii="Verdana" w:hAnsi="Verdana" w:cs="Arial"/>
          <w:color w:val="000000"/>
          <w:sz w:val="15"/>
          <w:szCs w:val="15"/>
        </w:rPr>
        <w:footnoteRef/>
      </w:r>
      <w:r w:rsidRPr="00971812">
        <w:rPr>
          <w:rFonts w:ascii="Verdana" w:hAnsi="Verdana" w:cs="Arial"/>
          <w:color w:val="000000"/>
          <w:sz w:val="15"/>
          <w:szCs w:val="15"/>
        </w:rPr>
        <w:t xml:space="preserve"> </w:t>
      </w:r>
      <w:r w:rsidRPr="00971812">
        <w:rPr>
          <w:rFonts w:ascii="Verdana" w:hAnsi="Verdana" w:cs="Arial"/>
          <w:color w:val="000000"/>
          <w:sz w:val="15"/>
          <w:szCs w:val="15"/>
          <w:lang w:val="es-ES"/>
        </w:rPr>
        <w:t>La norma dispone: “La liquidación a que se refiere el presente artículo no será obligatoria en los contratos de prestación de servicios profesionales y de apoyo a la gestión”.</w:t>
      </w:r>
    </w:p>
    <w:p w14:paraId="1B08D535"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p>
  </w:footnote>
  <w:footnote w:id="12">
    <w:p w14:paraId="3CE8214E" w14:textId="77777777" w:rsidR="00FF49B9" w:rsidRPr="00971812" w:rsidRDefault="00FF49B9" w:rsidP="00FF49B9">
      <w:pPr>
        <w:pStyle w:val="Textonotapie"/>
        <w:ind w:firstLine="709"/>
        <w:contextualSpacing/>
        <w:jc w:val="both"/>
        <w:rPr>
          <w:rFonts w:ascii="Verdana" w:hAnsi="Verdana" w:cs="Arial"/>
          <w:color w:val="000000"/>
          <w:sz w:val="15"/>
          <w:szCs w:val="15"/>
        </w:rPr>
      </w:pPr>
      <w:r w:rsidRPr="00971812">
        <w:rPr>
          <w:rStyle w:val="Refdenotaalpie"/>
          <w:rFonts w:ascii="Verdana" w:hAnsi="Verdana" w:cs="Arial"/>
          <w:color w:val="000000"/>
          <w:sz w:val="15"/>
          <w:szCs w:val="15"/>
        </w:rPr>
        <w:footnoteRef/>
      </w:r>
      <w:r w:rsidRPr="00971812">
        <w:rPr>
          <w:rFonts w:ascii="Verdana" w:hAnsi="Verdana" w:cs="Arial"/>
          <w:color w:val="000000"/>
          <w:sz w:val="15"/>
          <w:szCs w:val="15"/>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0527904" w14:textId="77777777" w:rsidR="00FF49B9" w:rsidRPr="00971812" w:rsidRDefault="00FF49B9" w:rsidP="00FF49B9">
      <w:pPr>
        <w:pStyle w:val="Textonotapie"/>
        <w:ind w:firstLine="709"/>
        <w:contextualSpacing/>
        <w:jc w:val="both"/>
        <w:rPr>
          <w:rFonts w:ascii="Verdana" w:hAnsi="Verdana" w:cs="Arial"/>
          <w:color w:val="000000" w:themeColor="text1"/>
          <w:sz w:val="15"/>
          <w:szCs w:val="15"/>
        </w:rPr>
      </w:pPr>
      <w:r w:rsidRPr="00971812">
        <w:rPr>
          <w:rFonts w:ascii="Verdana" w:hAnsi="Verdana" w:cs="Arial"/>
          <w:color w:val="000000" w:themeColor="text1"/>
          <w:sz w:val="15"/>
          <w:szCs w:val="15"/>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w:t>
      </w:r>
      <w:r w:rsidRPr="00971812">
        <w:rPr>
          <w:rFonts w:ascii="Verdana" w:hAnsi="Verdana" w:cs="Arial"/>
          <w:color w:val="000000" w:themeColor="text1"/>
          <w:sz w:val="15"/>
          <w:szCs w:val="15"/>
        </w:rPr>
        <w:t>proponentes.[…]”.</w:t>
      </w:r>
    </w:p>
    <w:p w14:paraId="66F95376" w14:textId="77777777" w:rsidR="00FF49B9" w:rsidRPr="00971812" w:rsidRDefault="00FF49B9" w:rsidP="00FF49B9">
      <w:pPr>
        <w:pStyle w:val="Textonotapie"/>
        <w:ind w:firstLine="709"/>
        <w:contextualSpacing/>
        <w:jc w:val="both"/>
        <w:rPr>
          <w:rFonts w:ascii="Verdana" w:hAnsi="Verdana" w:cs="Arial"/>
          <w:color w:val="000000"/>
          <w:sz w:val="15"/>
          <w:szCs w:val="15"/>
          <w:lang w:val="es-ES"/>
        </w:rPr>
      </w:pPr>
    </w:p>
  </w:footnote>
  <w:footnote w:id="13">
    <w:p w14:paraId="0603BAE0" w14:textId="77777777" w:rsidR="00FF49B9" w:rsidRPr="00971812" w:rsidDel="00A37FEF" w:rsidRDefault="00FF49B9" w:rsidP="00FF49B9">
      <w:pPr>
        <w:pStyle w:val="Textonotapie"/>
        <w:ind w:firstLine="709"/>
        <w:contextualSpacing/>
        <w:jc w:val="both"/>
        <w:rPr>
          <w:rFonts w:ascii="Verdana" w:hAnsi="Verdana" w:cs="Arial"/>
          <w:color w:val="000000"/>
          <w:sz w:val="15"/>
          <w:szCs w:val="15"/>
          <w:lang w:val="es-ES"/>
        </w:rPr>
      </w:pPr>
      <w:r w:rsidRPr="00971812">
        <w:rPr>
          <w:rStyle w:val="Refdenotaalpie"/>
          <w:rFonts w:ascii="Verdana" w:hAnsi="Verdana" w:cs="Arial"/>
          <w:color w:val="000000"/>
          <w:sz w:val="15"/>
          <w:szCs w:val="15"/>
        </w:rPr>
        <w:footnoteRef/>
      </w:r>
      <w:r w:rsidRPr="00971812">
        <w:rPr>
          <w:rFonts w:ascii="Verdana" w:hAnsi="Verdana" w:cs="Arial"/>
          <w:color w:val="000000"/>
          <w:sz w:val="15"/>
          <w:szCs w:val="15"/>
        </w:rPr>
        <w:t xml:space="preserve"> </w:t>
      </w:r>
      <w:r w:rsidRPr="00971812">
        <w:rPr>
          <w:rFonts w:ascii="Verdana" w:hAnsi="Verdana" w:cs="Arial"/>
          <w:color w:val="000000"/>
          <w:sz w:val="15"/>
          <w:szCs w:val="15"/>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4">
    <w:p w14:paraId="5824D128"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T-881 de 2002. M.P. Eduardo </w:t>
      </w:r>
      <w:r w:rsidRPr="00971812">
        <w:rPr>
          <w:rFonts w:ascii="Verdana" w:hAnsi="Verdana"/>
          <w:sz w:val="15"/>
          <w:szCs w:val="15"/>
          <w:lang w:val="pt-BR"/>
        </w:rPr>
        <w:t xml:space="preserve">Montealegre Lynett. </w:t>
      </w:r>
    </w:p>
  </w:footnote>
  <w:footnote w:id="15">
    <w:p w14:paraId="1778C4B3"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T-033 de 2022. M.P. Gloria Stella Ortiz Delgado. </w:t>
      </w:r>
    </w:p>
  </w:footnote>
  <w:footnote w:id="16">
    <w:p w14:paraId="0F1EC05A"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w:t>
      </w:r>
      <w:r w:rsidRPr="00971812">
        <w:rPr>
          <w:rFonts w:ascii="Verdana" w:hAnsi="Verdana"/>
          <w:sz w:val="15"/>
          <w:szCs w:val="15"/>
          <w:lang w:val="pt-BR"/>
        </w:rPr>
        <w:t xml:space="preserve">Ibídem. </w:t>
      </w:r>
    </w:p>
  </w:footnote>
  <w:footnote w:id="17">
    <w:p w14:paraId="29C5EE73"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T-236 de 2020. M.P. Luis Guillermo Guerrero Pérez; CORTE CONSTITUCIONAL. Sentencia T-447 de 2019. M.P. Gloria Stella Ortiz Delgado. </w:t>
      </w:r>
    </w:p>
  </w:footnote>
  <w:footnote w:id="18">
    <w:p w14:paraId="29597CA2"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T-033 de 2022. M.P. Gloria Stella Ortiz Delgado. </w:t>
      </w:r>
    </w:p>
  </w:footnote>
  <w:footnote w:id="19">
    <w:p w14:paraId="690F17EF"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C-336 de 2008. M.P. Clara </w:t>
      </w:r>
      <w:r w:rsidRPr="00971812">
        <w:rPr>
          <w:rFonts w:ascii="Verdana" w:hAnsi="Verdana"/>
          <w:sz w:val="15"/>
          <w:szCs w:val="15"/>
          <w:lang w:val="pt-BR"/>
        </w:rPr>
        <w:t xml:space="preserve">Inés Vargas Hernández. </w:t>
      </w:r>
    </w:p>
  </w:footnote>
  <w:footnote w:id="20">
    <w:p w14:paraId="031617CD"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T-063 de 2015. M.P. </w:t>
      </w:r>
      <w:r w:rsidRPr="00971812">
        <w:rPr>
          <w:rFonts w:ascii="Verdana" w:hAnsi="Verdana"/>
          <w:sz w:val="15"/>
          <w:szCs w:val="15"/>
          <w:lang w:val="pt-BR"/>
        </w:rPr>
        <w:t xml:space="preserve">María Victoria Calle Correa. </w:t>
      </w:r>
    </w:p>
  </w:footnote>
  <w:footnote w:id="21">
    <w:p w14:paraId="019BBD23" w14:textId="77777777" w:rsidR="00FF49B9" w:rsidRPr="00971812" w:rsidRDefault="00FF49B9" w:rsidP="00FF49B9">
      <w:pPr>
        <w:pStyle w:val="Textonotapie"/>
        <w:ind w:firstLine="708"/>
        <w:rPr>
          <w:rFonts w:ascii="Verdana" w:hAnsi="Verdana"/>
          <w:sz w:val="15"/>
          <w:szCs w:val="15"/>
          <w:lang w:val="es-ES"/>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SU-337 de 1999. </w:t>
      </w:r>
      <w:r w:rsidRPr="00971812">
        <w:rPr>
          <w:rFonts w:ascii="Verdana" w:hAnsi="Verdana"/>
          <w:sz w:val="15"/>
          <w:szCs w:val="15"/>
        </w:rPr>
        <w:t xml:space="preserve">M.P. Alejandro Martínez Caballero. </w:t>
      </w:r>
    </w:p>
  </w:footnote>
  <w:footnote w:id="22">
    <w:p w14:paraId="4EB39AE5" w14:textId="77777777" w:rsidR="00FF49B9" w:rsidRPr="00971812" w:rsidRDefault="00FF49B9" w:rsidP="00FF49B9">
      <w:pPr>
        <w:pStyle w:val="Textonotapie"/>
        <w:ind w:firstLine="708"/>
        <w:rPr>
          <w:rFonts w:ascii="Verdana" w:hAnsi="Verdana"/>
          <w:sz w:val="15"/>
          <w:szCs w:val="15"/>
          <w:lang w:val="es-ES"/>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T-504 de 1994. </w:t>
      </w:r>
      <w:r w:rsidRPr="00971812">
        <w:rPr>
          <w:rFonts w:ascii="Verdana" w:hAnsi="Verdana"/>
          <w:sz w:val="15"/>
          <w:szCs w:val="15"/>
        </w:rPr>
        <w:t xml:space="preserve">M.P. Alejandro Martínez Caballero. </w:t>
      </w:r>
    </w:p>
  </w:footnote>
  <w:footnote w:id="23">
    <w:p w14:paraId="5B4A0FFC"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T-918 de 2012. M.P. Jorge </w:t>
      </w:r>
      <w:r w:rsidRPr="00971812">
        <w:rPr>
          <w:rFonts w:ascii="Verdana" w:hAnsi="Verdana"/>
          <w:sz w:val="15"/>
          <w:szCs w:val="15"/>
          <w:lang w:val="pt-BR"/>
        </w:rPr>
        <w:t xml:space="preserve">Iván Palacio Palacio.  </w:t>
      </w:r>
    </w:p>
  </w:footnote>
  <w:footnote w:id="24">
    <w:p w14:paraId="43542A9C"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T-476 de 2014. M.P. Alberto Rojas </w:t>
      </w:r>
      <w:r w:rsidRPr="00971812">
        <w:rPr>
          <w:rFonts w:ascii="Verdana" w:hAnsi="Verdana"/>
          <w:sz w:val="15"/>
          <w:szCs w:val="15"/>
          <w:lang w:val="pt-BR"/>
        </w:rPr>
        <w:t xml:space="preserve">Ríos. </w:t>
      </w:r>
    </w:p>
  </w:footnote>
  <w:footnote w:id="25">
    <w:p w14:paraId="0EF38A60"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T-804 de 2014. M.P. Jorge </w:t>
      </w:r>
      <w:r w:rsidRPr="00971812">
        <w:rPr>
          <w:rFonts w:ascii="Verdana" w:hAnsi="Verdana"/>
          <w:sz w:val="15"/>
          <w:szCs w:val="15"/>
          <w:lang w:val="pt-BR"/>
        </w:rPr>
        <w:t xml:space="preserve">Iván Palacio Palacio. </w:t>
      </w:r>
    </w:p>
  </w:footnote>
  <w:footnote w:id="26">
    <w:p w14:paraId="30104756"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T-099 de 2015. M.P. Gloria Stella Ortiz Delgado. </w:t>
      </w:r>
    </w:p>
  </w:footnote>
  <w:footnote w:id="27">
    <w:p w14:paraId="7B8D8C80"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T-033 de 2015. M.P. Gloria Stella Ortiz Delgado. </w:t>
      </w:r>
    </w:p>
  </w:footnote>
  <w:footnote w:id="28">
    <w:p w14:paraId="0053F7AD"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SU-440 de 2021. M.P. Paola Andrea Meneses </w:t>
      </w:r>
      <w:r w:rsidRPr="00971812">
        <w:rPr>
          <w:rFonts w:ascii="Verdana" w:hAnsi="Verdana"/>
          <w:sz w:val="15"/>
          <w:szCs w:val="15"/>
          <w:lang w:val="pt-BR"/>
        </w:rPr>
        <w:t>Mosquera.</w:t>
      </w:r>
    </w:p>
  </w:footnote>
  <w:footnote w:id="29">
    <w:p w14:paraId="30514DFD" w14:textId="77777777" w:rsidR="00FF49B9" w:rsidRPr="00971812" w:rsidRDefault="00FF49B9" w:rsidP="00FF49B9">
      <w:pPr>
        <w:pStyle w:val="Textonotapie"/>
        <w:ind w:firstLine="708"/>
        <w:jc w:val="both"/>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T-063 de 2015. M.P. </w:t>
      </w:r>
      <w:r w:rsidRPr="00971812">
        <w:rPr>
          <w:rFonts w:ascii="Verdana" w:hAnsi="Verdana"/>
          <w:sz w:val="15"/>
          <w:szCs w:val="15"/>
          <w:lang w:val="pt-BR"/>
        </w:rPr>
        <w:t xml:space="preserve">María Victoria Calle Correa. </w:t>
      </w:r>
    </w:p>
  </w:footnote>
  <w:footnote w:id="30">
    <w:p w14:paraId="3A29A7D9" w14:textId="77777777" w:rsidR="00FF49B9" w:rsidRPr="00971812" w:rsidRDefault="00FF49B9" w:rsidP="00FF49B9">
      <w:pPr>
        <w:pStyle w:val="Textonotapie"/>
        <w:ind w:firstLine="708"/>
        <w:jc w:val="both"/>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T-033 DE 2022. M.P. Gloria Stella Ortiz Delgado; CORTE CONSTITUCIONAL. Sentencia T-280 de 2025. M.P. Miguel Polo </w:t>
      </w:r>
      <w:r w:rsidRPr="00971812">
        <w:rPr>
          <w:rFonts w:ascii="Verdana" w:hAnsi="Verdana"/>
          <w:sz w:val="15"/>
          <w:szCs w:val="15"/>
          <w:lang w:val="pt-BR"/>
        </w:rPr>
        <w:t xml:space="preserve">Rosero. </w:t>
      </w:r>
    </w:p>
  </w:footnote>
  <w:footnote w:id="31">
    <w:p w14:paraId="6B18F5E3"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SU-440 de 2021. M.P. Paola Andrea Meneses </w:t>
      </w:r>
      <w:r w:rsidRPr="00971812">
        <w:rPr>
          <w:rFonts w:ascii="Verdana" w:hAnsi="Verdana"/>
          <w:sz w:val="15"/>
          <w:szCs w:val="15"/>
          <w:lang w:val="pt-BR"/>
        </w:rPr>
        <w:t>Mosquera.</w:t>
      </w:r>
    </w:p>
  </w:footnote>
  <w:footnote w:id="32">
    <w:p w14:paraId="379DFF4D"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C-114 de 2017. M.P. Alejandro </w:t>
      </w:r>
      <w:r w:rsidRPr="00971812">
        <w:rPr>
          <w:rFonts w:ascii="Verdana" w:hAnsi="Verdana"/>
          <w:sz w:val="15"/>
          <w:szCs w:val="15"/>
          <w:lang w:val="pt-BR"/>
        </w:rPr>
        <w:t xml:space="preserve">Linares Cantillo. </w:t>
      </w:r>
    </w:p>
  </w:footnote>
  <w:footnote w:id="33">
    <w:p w14:paraId="4357EDF0"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T-143 de 2018. M.P. José Fernando Reyes </w:t>
      </w:r>
      <w:r w:rsidRPr="00971812">
        <w:rPr>
          <w:rFonts w:ascii="Verdana" w:hAnsi="Verdana"/>
          <w:sz w:val="15"/>
          <w:szCs w:val="15"/>
          <w:lang w:val="pt-BR"/>
        </w:rPr>
        <w:t xml:space="preserve">Cuartas. </w:t>
      </w:r>
    </w:p>
  </w:footnote>
  <w:footnote w:id="34">
    <w:p w14:paraId="1F4FD62C"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T-476 de 2014. M.P. Alberto Rojas </w:t>
      </w:r>
      <w:r w:rsidRPr="00971812">
        <w:rPr>
          <w:rFonts w:ascii="Verdana" w:hAnsi="Verdana"/>
          <w:sz w:val="15"/>
          <w:szCs w:val="15"/>
          <w:lang w:val="pt-BR"/>
        </w:rPr>
        <w:t xml:space="preserve">Ríos. </w:t>
      </w:r>
    </w:p>
  </w:footnote>
  <w:footnote w:id="35">
    <w:p w14:paraId="54D8227C" w14:textId="77777777" w:rsidR="00FF49B9" w:rsidRPr="00971812" w:rsidRDefault="00FF49B9" w:rsidP="00FF49B9">
      <w:pPr>
        <w:pStyle w:val="Textonotapie"/>
        <w:ind w:firstLine="708"/>
        <w:rPr>
          <w:rFonts w:ascii="Verdana" w:hAnsi="Verdana"/>
          <w:sz w:val="15"/>
          <w:szCs w:val="15"/>
          <w:lang w:val="es-ES"/>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w:t>
      </w:r>
      <w:r w:rsidRPr="00971812">
        <w:rPr>
          <w:rFonts w:ascii="Verdana" w:hAnsi="Verdana"/>
          <w:sz w:val="15"/>
          <w:szCs w:val="15"/>
        </w:rPr>
        <w:t xml:space="preserve">Sentencia SU-067 de 2023. M.P. Paola Andrea Meneses Mosquera. </w:t>
      </w:r>
    </w:p>
  </w:footnote>
  <w:footnote w:id="36">
    <w:p w14:paraId="02AFDA59" w14:textId="77777777" w:rsidR="00FF49B9" w:rsidRPr="00971812" w:rsidRDefault="00FF49B9" w:rsidP="00FF49B9">
      <w:pPr>
        <w:pStyle w:val="Textonotapie"/>
        <w:ind w:firstLine="708"/>
        <w:rPr>
          <w:rFonts w:ascii="Verdana" w:hAnsi="Verdana"/>
          <w:sz w:val="15"/>
          <w:szCs w:val="15"/>
          <w:lang w:val="pt-BR"/>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T-363 de 2016. M.P. Gloria Stella Ortiz Delgado. </w:t>
      </w:r>
    </w:p>
  </w:footnote>
  <w:footnote w:id="37">
    <w:p w14:paraId="2F584001" w14:textId="77777777" w:rsidR="00FF49B9" w:rsidRPr="00971812" w:rsidRDefault="00FF49B9" w:rsidP="00FF49B9">
      <w:pPr>
        <w:pStyle w:val="Textonotapie"/>
        <w:ind w:firstLine="708"/>
        <w:rPr>
          <w:rFonts w:ascii="Verdana" w:hAnsi="Verdana"/>
          <w:sz w:val="15"/>
          <w:szCs w:val="15"/>
          <w:lang w:val="es-ES"/>
        </w:rPr>
      </w:pPr>
      <w:r w:rsidRPr="00971812">
        <w:rPr>
          <w:rStyle w:val="Refdenotaalpie"/>
          <w:rFonts w:ascii="Verdana" w:hAnsi="Verdana"/>
          <w:sz w:val="15"/>
          <w:szCs w:val="15"/>
        </w:rPr>
        <w:footnoteRef/>
      </w:r>
      <w:r w:rsidRPr="00971812">
        <w:rPr>
          <w:rFonts w:ascii="Verdana" w:hAnsi="Verdana"/>
          <w:sz w:val="15"/>
          <w:szCs w:val="15"/>
          <w:lang w:val="pt-BR"/>
        </w:rPr>
        <w:t xml:space="preserve"> CORTE CONSTITUCIONAL. Sentencia T-152 de 2007. M.P. Rodrigo Escobar Gil; CORTE CONSTITUCJONAL. Sentencia T-392 de 2017. </w:t>
      </w:r>
      <w:r w:rsidRPr="00971812">
        <w:rPr>
          <w:rFonts w:ascii="Verdana" w:hAnsi="Verdana"/>
          <w:sz w:val="15"/>
          <w:szCs w:val="15"/>
        </w:rPr>
        <w:t xml:space="preserve">M.P. Gloria Stella Ortiz Delgado. </w:t>
      </w:r>
    </w:p>
  </w:footnote>
  <w:footnote w:id="38">
    <w:p w14:paraId="679C3EA1" w14:textId="77777777" w:rsidR="00FF49B9" w:rsidRPr="004D1DB6" w:rsidRDefault="00FF49B9" w:rsidP="00FF49B9">
      <w:pPr>
        <w:pStyle w:val="Textonotapie"/>
        <w:ind w:firstLine="708"/>
        <w:rPr>
          <w:lang w:val="es-ES"/>
        </w:rPr>
      </w:pPr>
      <w:r w:rsidRPr="00971812">
        <w:rPr>
          <w:rStyle w:val="Refdenotaalpie"/>
          <w:rFonts w:ascii="Verdana" w:hAnsi="Verdana"/>
          <w:sz w:val="15"/>
          <w:szCs w:val="15"/>
        </w:rPr>
        <w:footnoteRef/>
      </w:r>
      <w:r w:rsidRPr="00971812">
        <w:rPr>
          <w:rFonts w:ascii="Verdana" w:hAnsi="Verdana"/>
          <w:sz w:val="15"/>
          <w:szCs w:val="15"/>
        </w:rPr>
        <w:t xml:space="preserve"> </w:t>
      </w:r>
      <w:r w:rsidRPr="00971812">
        <w:rPr>
          <w:rFonts w:ascii="Verdana" w:hAnsi="Verdana"/>
          <w:sz w:val="15"/>
          <w:szCs w:val="15"/>
          <w:lang w:val="es-CO"/>
        </w:rPr>
        <w:t>CORTE CONSTITUCIONAL. Sentencia SU-440 de 2021. M.P. Paola Andrea Meneses Mosquera.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pt;height:12pt;visibility:visible;mso-wrap-style:square" o:bullet="t">
        <v:imagedata r:id="rId1" o:title=""/>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2AD1188"/>
    <w:multiLevelType w:val="hybridMultilevel"/>
    <w:tmpl w:val="F35E0D28"/>
    <w:lvl w:ilvl="0" w:tplc="B91CD640">
      <w:start w:val="1"/>
      <w:numFmt w:val="lowerRoman"/>
      <w:lvlText w:val="%1."/>
      <w:lvlJc w:val="left"/>
      <w:pPr>
        <w:ind w:left="1080" w:hanging="72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90511C0"/>
    <w:multiLevelType w:val="hybridMultilevel"/>
    <w:tmpl w:val="487E7AC6"/>
    <w:lvl w:ilvl="0" w:tplc="7E5AA202">
      <w:start w:val="1"/>
      <w:numFmt w:val="lowerLetter"/>
      <w:lvlText w:val="%1)"/>
      <w:lvlJc w:val="left"/>
      <w:pPr>
        <w:ind w:left="1008" w:hanging="330"/>
      </w:pPr>
      <w:rPr>
        <w:rFonts w:ascii="Arial" w:eastAsia="Arial" w:hAnsi="Arial" w:cs="Arial" w:hint="default"/>
        <w:color w:val="4E4D4D"/>
        <w:spacing w:val="-28"/>
        <w:w w:val="100"/>
        <w:sz w:val="21"/>
        <w:szCs w:val="21"/>
        <w:lang w:val="es-ES" w:eastAsia="en-US" w:bidi="ar-SA"/>
      </w:rPr>
    </w:lvl>
    <w:lvl w:ilvl="1" w:tplc="BFF6E084">
      <w:numFmt w:val="bullet"/>
      <w:lvlText w:val="•"/>
      <w:lvlJc w:val="left"/>
      <w:pPr>
        <w:ind w:left="1834" w:hanging="330"/>
      </w:pPr>
      <w:rPr>
        <w:rFonts w:hint="default"/>
        <w:lang w:val="es-ES" w:eastAsia="en-US" w:bidi="ar-SA"/>
      </w:rPr>
    </w:lvl>
    <w:lvl w:ilvl="2" w:tplc="E9E0C728">
      <w:numFmt w:val="bullet"/>
      <w:lvlText w:val="•"/>
      <w:lvlJc w:val="left"/>
      <w:pPr>
        <w:ind w:left="2668" w:hanging="330"/>
      </w:pPr>
      <w:rPr>
        <w:rFonts w:hint="default"/>
        <w:lang w:val="es-ES" w:eastAsia="en-US" w:bidi="ar-SA"/>
      </w:rPr>
    </w:lvl>
    <w:lvl w:ilvl="3" w:tplc="C75CB3C4">
      <w:numFmt w:val="bullet"/>
      <w:lvlText w:val="•"/>
      <w:lvlJc w:val="left"/>
      <w:pPr>
        <w:ind w:left="3502" w:hanging="330"/>
      </w:pPr>
      <w:rPr>
        <w:rFonts w:hint="default"/>
        <w:lang w:val="es-ES" w:eastAsia="en-US" w:bidi="ar-SA"/>
      </w:rPr>
    </w:lvl>
    <w:lvl w:ilvl="4" w:tplc="065A04CE">
      <w:numFmt w:val="bullet"/>
      <w:lvlText w:val="•"/>
      <w:lvlJc w:val="left"/>
      <w:pPr>
        <w:ind w:left="4336" w:hanging="330"/>
      </w:pPr>
      <w:rPr>
        <w:rFonts w:hint="default"/>
        <w:lang w:val="es-ES" w:eastAsia="en-US" w:bidi="ar-SA"/>
      </w:rPr>
    </w:lvl>
    <w:lvl w:ilvl="5" w:tplc="A70A964C">
      <w:numFmt w:val="bullet"/>
      <w:lvlText w:val="•"/>
      <w:lvlJc w:val="left"/>
      <w:pPr>
        <w:ind w:left="5170" w:hanging="330"/>
      </w:pPr>
      <w:rPr>
        <w:rFonts w:hint="default"/>
        <w:lang w:val="es-ES" w:eastAsia="en-US" w:bidi="ar-SA"/>
      </w:rPr>
    </w:lvl>
    <w:lvl w:ilvl="6" w:tplc="76AAE404">
      <w:numFmt w:val="bullet"/>
      <w:lvlText w:val="•"/>
      <w:lvlJc w:val="left"/>
      <w:pPr>
        <w:ind w:left="6004" w:hanging="330"/>
      </w:pPr>
      <w:rPr>
        <w:rFonts w:hint="default"/>
        <w:lang w:val="es-ES" w:eastAsia="en-US" w:bidi="ar-SA"/>
      </w:rPr>
    </w:lvl>
    <w:lvl w:ilvl="7" w:tplc="1AAA4116">
      <w:numFmt w:val="bullet"/>
      <w:lvlText w:val="•"/>
      <w:lvlJc w:val="left"/>
      <w:pPr>
        <w:ind w:left="6838" w:hanging="330"/>
      </w:pPr>
      <w:rPr>
        <w:rFonts w:hint="default"/>
        <w:lang w:val="es-ES" w:eastAsia="en-US" w:bidi="ar-SA"/>
      </w:rPr>
    </w:lvl>
    <w:lvl w:ilvl="8" w:tplc="597439B4">
      <w:numFmt w:val="bullet"/>
      <w:lvlText w:val="•"/>
      <w:lvlJc w:val="left"/>
      <w:pPr>
        <w:ind w:left="7672" w:hanging="330"/>
      </w:pPr>
      <w:rPr>
        <w:rFonts w:hint="default"/>
        <w:lang w:val="es-ES" w:eastAsia="en-US" w:bidi="ar-SA"/>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5D73FF0"/>
    <w:multiLevelType w:val="multilevel"/>
    <w:tmpl w:val="4D202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3B2B87"/>
    <w:multiLevelType w:val="hybridMultilevel"/>
    <w:tmpl w:val="18AE16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0233097">
    <w:abstractNumId w:val="7"/>
  </w:num>
  <w:num w:numId="2" w16cid:durableId="2139057739">
    <w:abstractNumId w:val="2"/>
  </w:num>
  <w:num w:numId="3" w16cid:durableId="2136676725">
    <w:abstractNumId w:val="5"/>
  </w:num>
  <w:num w:numId="4" w16cid:durableId="14945670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4289197">
    <w:abstractNumId w:val="2"/>
  </w:num>
  <w:num w:numId="6" w16cid:durableId="780882962">
    <w:abstractNumId w:val="17"/>
  </w:num>
  <w:num w:numId="7" w16cid:durableId="1967814188">
    <w:abstractNumId w:val="6"/>
  </w:num>
  <w:num w:numId="8" w16cid:durableId="1964343121">
    <w:abstractNumId w:val="16"/>
  </w:num>
  <w:num w:numId="9" w16cid:durableId="1689023970">
    <w:abstractNumId w:val="8"/>
  </w:num>
  <w:num w:numId="10" w16cid:durableId="298649682">
    <w:abstractNumId w:val="15"/>
  </w:num>
  <w:num w:numId="11" w16cid:durableId="1124425090">
    <w:abstractNumId w:val="9"/>
  </w:num>
  <w:num w:numId="12" w16cid:durableId="2070761770">
    <w:abstractNumId w:val="1"/>
  </w:num>
  <w:num w:numId="13" w16cid:durableId="1821195600">
    <w:abstractNumId w:val="4"/>
  </w:num>
  <w:num w:numId="14" w16cid:durableId="1418019861">
    <w:abstractNumId w:val="18"/>
  </w:num>
  <w:num w:numId="15" w16cid:durableId="75634556">
    <w:abstractNumId w:val="12"/>
  </w:num>
  <w:num w:numId="16" w16cid:durableId="1609582134">
    <w:abstractNumId w:val="0"/>
  </w:num>
  <w:num w:numId="17" w16cid:durableId="1788115865">
    <w:abstractNumId w:val="10"/>
  </w:num>
  <w:num w:numId="18" w16cid:durableId="1897160910">
    <w:abstractNumId w:val="3"/>
  </w:num>
  <w:num w:numId="19" w16cid:durableId="1926499287">
    <w:abstractNumId w:val="13"/>
  </w:num>
  <w:num w:numId="20" w16cid:durableId="499270149">
    <w:abstractNumId w:val="11"/>
  </w:num>
  <w:num w:numId="21" w16cid:durableId="8807467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D85"/>
    <w:rsid w:val="000078BA"/>
    <w:rsid w:val="00007DE3"/>
    <w:rsid w:val="00011126"/>
    <w:rsid w:val="00011349"/>
    <w:rsid w:val="000157DE"/>
    <w:rsid w:val="00016F78"/>
    <w:rsid w:val="00032327"/>
    <w:rsid w:val="00036C5F"/>
    <w:rsid w:val="00045EE3"/>
    <w:rsid w:val="00046945"/>
    <w:rsid w:val="000472D6"/>
    <w:rsid w:val="00055CB6"/>
    <w:rsid w:val="00061B2A"/>
    <w:rsid w:val="0006320D"/>
    <w:rsid w:val="00073D7F"/>
    <w:rsid w:val="00075F4B"/>
    <w:rsid w:val="0007777E"/>
    <w:rsid w:val="00081190"/>
    <w:rsid w:val="00082362"/>
    <w:rsid w:val="00086612"/>
    <w:rsid w:val="00091F63"/>
    <w:rsid w:val="00093EC2"/>
    <w:rsid w:val="000A5826"/>
    <w:rsid w:val="000A683E"/>
    <w:rsid w:val="000B19B9"/>
    <w:rsid w:val="000B6022"/>
    <w:rsid w:val="000D0334"/>
    <w:rsid w:val="000D5179"/>
    <w:rsid w:val="000D58D4"/>
    <w:rsid w:val="000D7CCA"/>
    <w:rsid w:val="000E7896"/>
    <w:rsid w:val="000F1A30"/>
    <w:rsid w:val="000F3711"/>
    <w:rsid w:val="000F6486"/>
    <w:rsid w:val="00100ABA"/>
    <w:rsid w:val="00102FF4"/>
    <w:rsid w:val="00106DDE"/>
    <w:rsid w:val="00116AB7"/>
    <w:rsid w:val="00116DCF"/>
    <w:rsid w:val="00125105"/>
    <w:rsid w:val="00127233"/>
    <w:rsid w:val="00127F71"/>
    <w:rsid w:val="00133A58"/>
    <w:rsid w:val="00134FBE"/>
    <w:rsid w:val="00135CAF"/>
    <w:rsid w:val="00147359"/>
    <w:rsid w:val="001511A0"/>
    <w:rsid w:val="001526A8"/>
    <w:rsid w:val="001643AB"/>
    <w:rsid w:val="001673BE"/>
    <w:rsid w:val="00180ACE"/>
    <w:rsid w:val="001815AD"/>
    <w:rsid w:val="001847C6"/>
    <w:rsid w:val="00196C57"/>
    <w:rsid w:val="001A24D3"/>
    <w:rsid w:val="001A7236"/>
    <w:rsid w:val="001B11B0"/>
    <w:rsid w:val="001B1CD2"/>
    <w:rsid w:val="001B4BD0"/>
    <w:rsid w:val="001B67A4"/>
    <w:rsid w:val="001B68EC"/>
    <w:rsid w:val="001C2AB6"/>
    <w:rsid w:val="001C37E1"/>
    <w:rsid w:val="001C3A39"/>
    <w:rsid w:val="001C6AF5"/>
    <w:rsid w:val="001E0AC0"/>
    <w:rsid w:val="001E3213"/>
    <w:rsid w:val="001E4177"/>
    <w:rsid w:val="001E50B6"/>
    <w:rsid w:val="001E5252"/>
    <w:rsid w:val="001E6006"/>
    <w:rsid w:val="001F44FE"/>
    <w:rsid w:val="001F6D75"/>
    <w:rsid w:val="001F7DC6"/>
    <w:rsid w:val="002011C2"/>
    <w:rsid w:val="002045FA"/>
    <w:rsid w:val="00204B27"/>
    <w:rsid w:val="00210DD8"/>
    <w:rsid w:val="002131BE"/>
    <w:rsid w:val="00222612"/>
    <w:rsid w:val="00225440"/>
    <w:rsid w:val="00227157"/>
    <w:rsid w:val="002421BB"/>
    <w:rsid w:val="00244CD8"/>
    <w:rsid w:val="0025796E"/>
    <w:rsid w:val="002707A2"/>
    <w:rsid w:val="00276692"/>
    <w:rsid w:val="0028043F"/>
    <w:rsid w:val="00284000"/>
    <w:rsid w:val="00285B34"/>
    <w:rsid w:val="0028780E"/>
    <w:rsid w:val="002951A0"/>
    <w:rsid w:val="002953E3"/>
    <w:rsid w:val="002962BC"/>
    <w:rsid w:val="002A093D"/>
    <w:rsid w:val="002A0DD0"/>
    <w:rsid w:val="002A49AC"/>
    <w:rsid w:val="002A64FD"/>
    <w:rsid w:val="002B241B"/>
    <w:rsid w:val="002B5EEB"/>
    <w:rsid w:val="002C11A2"/>
    <w:rsid w:val="002C59FD"/>
    <w:rsid w:val="002C78E1"/>
    <w:rsid w:val="002C7A84"/>
    <w:rsid w:val="002D6778"/>
    <w:rsid w:val="002D782E"/>
    <w:rsid w:val="002D7F03"/>
    <w:rsid w:val="002E4E18"/>
    <w:rsid w:val="002E4F8A"/>
    <w:rsid w:val="002E4FD9"/>
    <w:rsid w:val="0030138C"/>
    <w:rsid w:val="0030579C"/>
    <w:rsid w:val="003060C8"/>
    <w:rsid w:val="00312110"/>
    <w:rsid w:val="003143EE"/>
    <w:rsid w:val="00322A85"/>
    <w:rsid w:val="00324168"/>
    <w:rsid w:val="00331A29"/>
    <w:rsid w:val="00333282"/>
    <w:rsid w:val="00334903"/>
    <w:rsid w:val="00342EFF"/>
    <w:rsid w:val="00343B6B"/>
    <w:rsid w:val="003440FC"/>
    <w:rsid w:val="003448F4"/>
    <w:rsid w:val="0034503E"/>
    <w:rsid w:val="0036719B"/>
    <w:rsid w:val="003716D1"/>
    <w:rsid w:val="00374F5E"/>
    <w:rsid w:val="00377E3E"/>
    <w:rsid w:val="0038031B"/>
    <w:rsid w:val="00382F8A"/>
    <w:rsid w:val="00383D27"/>
    <w:rsid w:val="00393DB5"/>
    <w:rsid w:val="003A484F"/>
    <w:rsid w:val="003A779E"/>
    <w:rsid w:val="003B6D3D"/>
    <w:rsid w:val="003C36C3"/>
    <w:rsid w:val="003C4AAA"/>
    <w:rsid w:val="003D0F4D"/>
    <w:rsid w:val="003D55FA"/>
    <w:rsid w:val="003D5B0D"/>
    <w:rsid w:val="003D6F14"/>
    <w:rsid w:val="003E0499"/>
    <w:rsid w:val="003E1A3B"/>
    <w:rsid w:val="003E63A3"/>
    <w:rsid w:val="003F3820"/>
    <w:rsid w:val="003F3941"/>
    <w:rsid w:val="0040225E"/>
    <w:rsid w:val="0040431C"/>
    <w:rsid w:val="00406575"/>
    <w:rsid w:val="00407D8F"/>
    <w:rsid w:val="00414C74"/>
    <w:rsid w:val="00421409"/>
    <w:rsid w:val="00422F5F"/>
    <w:rsid w:val="0042722E"/>
    <w:rsid w:val="004309DC"/>
    <w:rsid w:val="00430C1B"/>
    <w:rsid w:val="0043229F"/>
    <w:rsid w:val="00432530"/>
    <w:rsid w:val="00441048"/>
    <w:rsid w:val="004423E6"/>
    <w:rsid w:val="0044528D"/>
    <w:rsid w:val="00453070"/>
    <w:rsid w:val="00455BF1"/>
    <w:rsid w:val="004630AE"/>
    <w:rsid w:val="00472F0E"/>
    <w:rsid w:val="00474414"/>
    <w:rsid w:val="00476920"/>
    <w:rsid w:val="00476AF9"/>
    <w:rsid w:val="00492A6D"/>
    <w:rsid w:val="004A06AA"/>
    <w:rsid w:val="004A1847"/>
    <w:rsid w:val="004A305D"/>
    <w:rsid w:val="004A7279"/>
    <w:rsid w:val="004A781E"/>
    <w:rsid w:val="004A78C3"/>
    <w:rsid w:val="004B0AF9"/>
    <w:rsid w:val="004B69DB"/>
    <w:rsid w:val="004C0274"/>
    <w:rsid w:val="004C0B92"/>
    <w:rsid w:val="004C0D70"/>
    <w:rsid w:val="004C3FD5"/>
    <w:rsid w:val="004C5E8A"/>
    <w:rsid w:val="004D074C"/>
    <w:rsid w:val="004D0E73"/>
    <w:rsid w:val="004D1700"/>
    <w:rsid w:val="004D1D87"/>
    <w:rsid w:val="004D1DB6"/>
    <w:rsid w:val="004E3C6E"/>
    <w:rsid w:val="004F21C4"/>
    <w:rsid w:val="004F685F"/>
    <w:rsid w:val="004F73C2"/>
    <w:rsid w:val="00500578"/>
    <w:rsid w:val="00501D4D"/>
    <w:rsid w:val="0051328F"/>
    <w:rsid w:val="00513AE4"/>
    <w:rsid w:val="0051716D"/>
    <w:rsid w:val="005207AF"/>
    <w:rsid w:val="0053303E"/>
    <w:rsid w:val="00541491"/>
    <w:rsid w:val="00543064"/>
    <w:rsid w:val="00546EB3"/>
    <w:rsid w:val="005566E8"/>
    <w:rsid w:val="00562CCD"/>
    <w:rsid w:val="005635DE"/>
    <w:rsid w:val="00563E43"/>
    <w:rsid w:val="00574867"/>
    <w:rsid w:val="0058263C"/>
    <w:rsid w:val="00583EC1"/>
    <w:rsid w:val="00584F28"/>
    <w:rsid w:val="00586289"/>
    <w:rsid w:val="00586625"/>
    <w:rsid w:val="00591460"/>
    <w:rsid w:val="005934BE"/>
    <w:rsid w:val="00597ECC"/>
    <w:rsid w:val="005A1A89"/>
    <w:rsid w:val="005A6F04"/>
    <w:rsid w:val="005B06A5"/>
    <w:rsid w:val="005B3816"/>
    <w:rsid w:val="005B6471"/>
    <w:rsid w:val="005B7AE7"/>
    <w:rsid w:val="005C1B82"/>
    <w:rsid w:val="005C3227"/>
    <w:rsid w:val="005C3777"/>
    <w:rsid w:val="005C3AEE"/>
    <w:rsid w:val="005C5CDC"/>
    <w:rsid w:val="005D476C"/>
    <w:rsid w:val="005D56AE"/>
    <w:rsid w:val="005D7F81"/>
    <w:rsid w:val="005E2559"/>
    <w:rsid w:val="005E5C50"/>
    <w:rsid w:val="005E7CDE"/>
    <w:rsid w:val="005F019E"/>
    <w:rsid w:val="005F1597"/>
    <w:rsid w:val="005F169B"/>
    <w:rsid w:val="00601C45"/>
    <w:rsid w:val="00602226"/>
    <w:rsid w:val="006102B4"/>
    <w:rsid w:val="00616972"/>
    <w:rsid w:val="00617545"/>
    <w:rsid w:val="006219F8"/>
    <w:rsid w:val="00624859"/>
    <w:rsid w:val="006328BE"/>
    <w:rsid w:val="00633647"/>
    <w:rsid w:val="00641B3D"/>
    <w:rsid w:val="00644E62"/>
    <w:rsid w:val="00647D4F"/>
    <w:rsid w:val="00652E20"/>
    <w:rsid w:val="00654086"/>
    <w:rsid w:val="006552FA"/>
    <w:rsid w:val="00662FCE"/>
    <w:rsid w:val="00665D70"/>
    <w:rsid w:val="00667048"/>
    <w:rsid w:val="0067231A"/>
    <w:rsid w:val="0067427A"/>
    <w:rsid w:val="00681227"/>
    <w:rsid w:val="00684FA5"/>
    <w:rsid w:val="006900D9"/>
    <w:rsid w:val="00690765"/>
    <w:rsid w:val="00690772"/>
    <w:rsid w:val="00691A81"/>
    <w:rsid w:val="006B2B39"/>
    <w:rsid w:val="006B596D"/>
    <w:rsid w:val="006C345D"/>
    <w:rsid w:val="006C6022"/>
    <w:rsid w:val="006C6599"/>
    <w:rsid w:val="006C7C05"/>
    <w:rsid w:val="006D19B1"/>
    <w:rsid w:val="006D616C"/>
    <w:rsid w:val="006D72B8"/>
    <w:rsid w:val="006E03EB"/>
    <w:rsid w:val="006E0405"/>
    <w:rsid w:val="006F091A"/>
    <w:rsid w:val="006F238D"/>
    <w:rsid w:val="006F503B"/>
    <w:rsid w:val="006F5D2A"/>
    <w:rsid w:val="006F6FD1"/>
    <w:rsid w:val="00706C16"/>
    <w:rsid w:val="00712AA4"/>
    <w:rsid w:val="0071760D"/>
    <w:rsid w:val="007236CC"/>
    <w:rsid w:val="00726727"/>
    <w:rsid w:val="007303FF"/>
    <w:rsid w:val="007309B0"/>
    <w:rsid w:val="00741F35"/>
    <w:rsid w:val="00743139"/>
    <w:rsid w:val="0074728F"/>
    <w:rsid w:val="00756841"/>
    <w:rsid w:val="00761357"/>
    <w:rsid w:val="007649AB"/>
    <w:rsid w:val="00770F84"/>
    <w:rsid w:val="00771D0C"/>
    <w:rsid w:val="00773A82"/>
    <w:rsid w:val="007833AC"/>
    <w:rsid w:val="00787EC3"/>
    <w:rsid w:val="0079097F"/>
    <w:rsid w:val="0079622D"/>
    <w:rsid w:val="007968AD"/>
    <w:rsid w:val="007A15EE"/>
    <w:rsid w:val="007B268C"/>
    <w:rsid w:val="007B527A"/>
    <w:rsid w:val="007B7171"/>
    <w:rsid w:val="007C0C0F"/>
    <w:rsid w:val="007C3DC2"/>
    <w:rsid w:val="007C5FD5"/>
    <w:rsid w:val="007E0A50"/>
    <w:rsid w:val="007E3FCB"/>
    <w:rsid w:val="007E46FF"/>
    <w:rsid w:val="007E5497"/>
    <w:rsid w:val="007F0054"/>
    <w:rsid w:val="007F0824"/>
    <w:rsid w:val="007F4B16"/>
    <w:rsid w:val="007F7216"/>
    <w:rsid w:val="00802C8C"/>
    <w:rsid w:val="00802F73"/>
    <w:rsid w:val="00806EB2"/>
    <w:rsid w:val="00806F5F"/>
    <w:rsid w:val="00807F02"/>
    <w:rsid w:val="00815070"/>
    <w:rsid w:val="00820278"/>
    <w:rsid w:val="008437D4"/>
    <w:rsid w:val="00844FA8"/>
    <w:rsid w:val="008555DF"/>
    <w:rsid w:val="00856169"/>
    <w:rsid w:val="0086755E"/>
    <w:rsid w:val="00867F95"/>
    <w:rsid w:val="008714AC"/>
    <w:rsid w:val="0088209A"/>
    <w:rsid w:val="00882503"/>
    <w:rsid w:val="00882EC0"/>
    <w:rsid w:val="008843B6"/>
    <w:rsid w:val="00890CCA"/>
    <w:rsid w:val="00891928"/>
    <w:rsid w:val="008965AC"/>
    <w:rsid w:val="008A39C3"/>
    <w:rsid w:val="008A4229"/>
    <w:rsid w:val="008A42A6"/>
    <w:rsid w:val="008A446D"/>
    <w:rsid w:val="008A5B5E"/>
    <w:rsid w:val="008C02EE"/>
    <w:rsid w:val="008C39CA"/>
    <w:rsid w:val="008D180B"/>
    <w:rsid w:val="008D2724"/>
    <w:rsid w:val="008D7FD9"/>
    <w:rsid w:val="008E0FC9"/>
    <w:rsid w:val="008E2CB2"/>
    <w:rsid w:val="008F0EA7"/>
    <w:rsid w:val="00906E6A"/>
    <w:rsid w:val="00912ED1"/>
    <w:rsid w:val="00913F15"/>
    <w:rsid w:val="00917FE8"/>
    <w:rsid w:val="00923E8E"/>
    <w:rsid w:val="00923EEF"/>
    <w:rsid w:val="009265FA"/>
    <w:rsid w:val="009276AE"/>
    <w:rsid w:val="00933A33"/>
    <w:rsid w:val="00937972"/>
    <w:rsid w:val="009413A4"/>
    <w:rsid w:val="009419F9"/>
    <w:rsid w:val="00941C3E"/>
    <w:rsid w:val="009421F7"/>
    <w:rsid w:val="0095685E"/>
    <w:rsid w:val="009579E6"/>
    <w:rsid w:val="00961B09"/>
    <w:rsid w:val="00965334"/>
    <w:rsid w:val="00967A95"/>
    <w:rsid w:val="0097093E"/>
    <w:rsid w:val="009715C6"/>
    <w:rsid w:val="009743D0"/>
    <w:rsid w:val="00977699"/>
    <w:rsid w:val="009802F3"/>
    <w:rsid w:val="009864AC"/>
    <w:rsid w:val="00986AC5"/>
    <w:rsid w:val="00990018"/>
    <w:rsid w:val="00994649"/>
    <w:rsid w:val="009A0A10"/>
    <w:rsid w:val="009A0DFA"/>
    <w:rsid w:val="009A37FD"/>
    <w:rsid w:val="009A5559"/>
    <w:rsid w:val="009A6512"/>
    <w:rsid w:val="009B2D26"/>
    <w:rsid w:val="009B36D3"/>
    <w:rsid w:val="009C23B4"/>
    <w:rsid w:val="009C3B8A"/>
    <w:rsid w:val="009C4576"/>
    <w:rsid w:val="009C6E09"/>
    <w:rsid w:val="009C71FA"/>
    <w:rsid w:val="009C72E7"/>
    <w:rsid w:val="009D3058"/>
    <w:rsid w:val="009D5D7B"/>
    <w:rsid w:val="009E0E25"/>
    <w:rsid w:val="009E291B"/>
    <w:rsid w:val="009E3024"/>
    <w:rsid w:val="009E3728"/>
    <w:rsid w:val="009E53E7"/>
    <w:rsid w:val="009E5DD7"/>
    <w:rsid w:val="009E71B3"/>
    <w:rsid w:val="009F3A13"/>
    <w:rsid w:val="00A063E0"/>
    <w:rsid w:val="00A10C8A"/>
    <w:rsid w:val="00A11385"/>
    <w:rsid w:val="00A11FBA"/>
    <w:rsid w:val="00A122D3"/>
    <w:rsid w:val="00A14A60"/>
    <w:rsid w:val="00A17F13"/>
    <w:rsid w:val="00A20739"/>
    <w:rsid w:val="00A22312"/>
    <w:rsid w:val="00A27CF0"/>
    <w:rsid w:val="00A31D52"/>
    <w:rsid w:val="00A33C78"/>
    <w:rsid w:val="00A374FB"/>
    <w:rsid w:val="00A46A2A"/>
    <w:rsid w:val="00A54B54"/>
    <w:rsid w:val="00A55830"/>
    <w:rsid w:val="00A66D04"/>
    <w:rsid w:val="00A71116"/>
    <w:rsid w:val="00A77943"/>
    <w:rsid w:val="00A80A89"/>
    <w:rsid w:val="00A824D6"/>
    <w:rsid w:val="00A8370F"/>
    <w:rsid w:val="00A874E5"/>
    <w:rsid w:val="00A903FB"/>
    <w:rsid w:val="00A962DF"/>
    <w:rsid w:val="00AA3264"/>
    <w:rsid w:val="00AA732D"/>
    <w:rsid w:val="00AA7588"/>
    <w:rsid w:val="00AB0ADB"/>
    <w:rsid w:val="00AB3F48"/>
    <w:rsid w:val="00AB6C60"/>
    <w:rsid w:val="00AB7109"/>
    <w:rsid w:val="00AC046C"/>
    <w:rsid w:val="00AC53CD"/>
    <w:rsid w:val="00AD5103"/>
    <w:rsid w:val="00AD625F"/>
    <w:rsid w:val="00AE1400"/>
    <w:rsid w:val="00B01B1A"/>
    <w:rsid w:val="00B07AEB"/>
    <w:rsid w:val="00B16A84"/>
    <w:rsid w:val="00B17883"/>
    <w:rsid w:val="00B212A6"/>
    <w:rsid w:val="00B35C1E"/>
    <w:rsid w:val="00B5572B"/>
    <w:rsid w:val="00B6347E"/>
    <w:rsid w:val="00B66319"/>
    <w:rsid w:val="00B66EB6"/>
    <w:rsid w:val="00B72CD3"/>
    <w:rsid w:val="00B72FFF"/>
    <w:rsid w:val="00B740CC"/>
    <w:rsid w:val="00B81C6C"/>
    <w:rsid w:val="00B9416D"/>
    <w:rsid w:val="00B96E9D"/>
    <w:rsid w:val="00B97680"/>
    <w:rsid w:val="00BA200C"/>
    <w:rsid w:val="00BC1BFA"/>
    <w:rsid w:val="00BC3D36"/>
    <w:rsid w:val="00BD7F72"/>
    <w:rsid w:val="00BE3137"/>
    <w:rsid w:val="00BF44D7"/>
    <w:rsid w:val="00BF7E8D"/>
    <w:rsid w:val="00C02552"/>
    <w:rsid w:val="00C04FB3"/>
    <w:rsid w:val="00C06BB3"/>
    <w:rsid w:val="00C11A19"/>
    <w:rsid w:val="00C172B2"/>
    <w:rsid w:val="00C20404"/>
    <w:rsid w:val="00C21FED"/>
    <w:rsid w:val="00C3130D"/>
    <w:rsid w:val="00C320E3"/>
    <w:rsid w:val="00C330EB"/>
    <w:rsid w:val="00C3464F"/>
    <w:rsid w:val="00C41061"/>
    <w:rsid w:val="00C45CCB"/>
    <w:rsid w:val="00C501C0"/>
    <w:rsid w:val="00C515CA"/>
    <w:rsid w:val="00C51992"/>
    <w:rsid w:val="00C73E69"/>
    <w:rsid w:val="00C754BE"/>
    <w:rsid w:val="00C76B1C"/>
    <w:rsid w:val="00C8156A"/>
    <w:rsid w:val="00C852F9"/>
    <w:rsid w:val="00C90917"/>
    <w:rsid w:val="00C90DA4"/>
    <w:rsid w:val="00C93C99"/>
    <w:rsid w:val="00C95501"/>
    <w:rsid w:val="00C96B85"/>
    <w:rsid w:val="00CA3D18"/>
    <w:rsid w:val="00CA3FFC"/>
    <w:rsid w:val="00CB2A9C"/>
    <w:rsid w:val="00CB6357"/>
    <w:rsid w:val="00CC11DE"/>
    <w:rsid w:val="00CC1B26"/>
    <w:rsid w:val="00CC269B"/>
    <w:rsid w:val="00CC2A73"/>
    <w:rsid w:val="00CD064A"/>
    <w:rsid w:val="00CD266F"/>
    <w:rsid w:val="00CD5A6C"/>
    <w:rsid w:val="00CE2F18"/>
    <w:rsid w:val="00CE7ED0"/>
    <w:rsid w:val="00CF1337"/>
    <w:rsid w:val="00CF5359"/>
    <w:rsid w:val="00D00EBA"/>
    <w:rsid w:val="00D12D36"/>
    <w:rsid w:val="00D137C0"/>
    <w:rsid w:val="00D2052E"/>
    <w:rsid w:val="00D26820"/>
    <w:rsid w:val="00D35971"/>
    <w:rsid w:val="00D423A2"/>
    <w:rsid w:val="00D43EB2"/>
    <w:rsid w:val="00D45DA8"/>
    <w:rsid w:val="00D520D8"/>
    <w:rsid w:val="00D55BAB"/>
    <w:rsid w:val="00D561CB"/>
    <w:rsid w:val="00D56F4F"/>
    <w:rsid w:val="00D5791F"/>
    <w:rsid w:val="00D61B31"/>
    <w:rsid w:val="00D63AC2"/>
    <w:rsid w:val="00D7383B"/>
    <w:rsid w:val="00D83009"/>
    <w:rsid w:val="00D91429"/>
    <w:rsid w:val="00DA0074"/>
    <w:rsid w:val="00DA1565"/>
    <w:rsid w:val="00DA231B"/>
    <w:rsid w:val="00DB2291"/>
    <w:rsid w:val="00DC19C9"/>
    <w:rsid w:val="00DC39FC"/>
    <w:rsid w:val="00DC523B"/>
    <w:rsid w:val="00DC72C6"/>
    <w:rsid w:val="00DD39EC"/>
    <w:rsid w:val="00DD40BD"/>
    <w:rsid w:val="00DE2F2B"/>
    <w:rsid w:val="00DE3014"/>
    <w:rsid w:val="00DF434A"/>
    <w:rsid w:val="00DF5254"/>
    <w:rsid w:val="00DF69CD"/>
    <w:rsid w:val="00DF73E7"/>
    <w:rsid w:val="00E04BA6"/>
    <w:rsid w:val="00E04CA8"/>
    <w:rsid w:val="00E108E9"/>
    <w:rsid w:val="00E11045"/>
    <w:rsid w:val="00E153D6"/>
    <w:rsid w:val="00E16408"/>
    <w:rsid w:val="00E20894"/>
    <w:rsid w:val="00E20CCC"/>
    <w:rsid w:val="00E23E59"/>
    <w:rsid w:val="00E245AB"/>
    <w:rsid w:val="00E26FB4"/>
    <w:rsid w:val="00E2764C"/>
    <w:rsid w:val="00E27F2E"/>
    <w:rsid w:val="00E409D0"/>
    <w:rsid w:val="00E4737D"/>
    <w:rsid w:val="00E50AFE"/>
    <w:rsid w:val="00E5171C"/>
    <w:rsid w:val="00E53F61"/>
    <w:rsid w:val="00E549DE"/>
    <w:rsid w:val="00E66020"/>
    <w:rsid w:val="00E75C92"/>
    <w:rsid w:val="00E771DC"/>
    <w:rsid w:val="00E8772A"/>
    <w:rsid w:val="00E90F6B"/>
    <w:rsid w:val="00E92C27"/>
    <w:rsid w:val="00E97991"/>
    <w:rsid w:val="00EA0087"/>
    <w:rsid w:val="00EA0E3D"/>
    <w:rsid w:val="00EA534F"/>
    <w:rsid w:val="00EB18F4"/>
    <w:rsid w:val="00EB73BF"/>
    <w:rsid w:val="00EC38A7"/>
    <w:rsid w:val="00EC3BA0"/>
    <w:rsid w:val="00ED7384"/>
    <w:rsid w:val="00EE1AA8"/>
    <w:rsid w:val="00EE60C0"/>
    <w:rsid w:val="00EE7869"/>
    <w:rsid w:val="00EF527A"/>
    <w:rsid w:val="00EF6811"/>
    <w:rsid w:val="00EF6A02"/>
    <w:rsid w:val="00F05337"/>
    <w:rsid w:val="00F202C3"/>
    <w:rsid w:val="00F22715"/>
    <w:rsid w:val="00F25D80"/>
    <w:rsid w:val="00F25FC1"/>
    <w:rsid w:val="00F31CD9"/>
    <w:rsid w:val="00F31EDC"/>
    <w:rsid w:val="00F34A6F"/>
    <w:rsid w:val="00F36F1D"/>
    <w:rsid w:val="00F379A9"/>
    <w:rsid w:val="00F4550A"/>
    <w:rsid w:val="00F4607D"/>
    <w:rsid w:val="00F462B3"/>
    <w:rsid w:val="00F55D00"/>
    <w:rsid w:val="00F5664F"/>
    <w:rsid w:val="00F61E10"/>
    <w:rsid w:val="00F621CD"/>
    <w:rsid w:val="00F63D78"/>
    <w:rsid w:val="00F666C4"/>
    <w:rsid w:val="00F67C44"/>
    <w:rsid w:val="00F76AFC"/>
    <w:rsid w:val="00F77A25"/>
    <w:rsid w:val="00F821DA"/>
    <w:rsid w:val="00F977E3"/>
    <w:rsid w:val="00FA47C0"/>
    <w:rsid w:val="00FA51AF"/>
    <w:rsid w:val="00FA6796"/>
    <w:rsid w:val="00FA6B64"/>
    <w:rsid w:val="00FB01E9"/>
    <w:rsid w:val="00FB0E5E"/>
    <w:rsid w:val="00FB2940"/>
    <w:rsid w:val="00FB3F2B"/>
    <w:rsid w:val="00FB5DD1"/>
    <w:rsid w:val="00FC16E7"/>
    <w:rsid w:val="00FC2B5D"/>
    <w:rsid w:val="00FC3BD8"/>
    <w:rsid w:val="00FD7ED5"/>
    <w:rsid w:val="00FE67E5"/>
    <w:rsid w:val="00FF06D4"/>
    <w:rsid w:val="00FF1449"/>
    <w:rsid w:val="00FF4667"/>
    <w:rsid w:val="00FF49B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9B9"/>
  </w:style>
  <w:style w:type="paragraph" w:styleId="Ttulo2">
    <w:name w:val="heading 2"/>
    <w:basedOn w:val="Normal"/>
    <w:next w:val="Normal"/>
    <w:link w:val="Ttulo2Car"/>
    <w:uiPriority w:val="9"/>
    <w:semiHidden/>
    <w:unhideWhenUsed/>
    <w:qFormat/>
    <w:rsid w:val="008437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C3A3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C3A39"/>
    <w:rPr>
      <w:rFonts w:ascii="Geomanist Light" w:hAnsi="Geomanist Light"/>
      <w:lang w:val="es-ES"/>
    </w:rPr>
  </w:style>
  <w:style w:type="character" w:customStyle="1" w:styleId="s15">
    <w:name w:val="s15"/>
    <w:basedOn w:val="Fuentedeprrafopredeter"/>
    <w:rsid w:val="001C3A39"/>
  </w:style>
  <w:style w:type="character" w:customStyle="1" w:styleId="apple-converted-space">
    <w:name w:val="apple-converted-space"/>
    <w:basedOn w:val="Fuentedeprrafopredeter"/>
    <w:rsid w:val="001C3A39"/>
  </w:style>
  <w:style w:type="paragraph" w:customStyle="1" w:styleId="s16">
    <w:name w:val="s16"/>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1C3A39"/>
  </w:style>
  <w:style w:type="paragraph" w:styleId="Textoindependiente">
    <w:name w:val="Body Text"/>
    <w:basedOn w:val="Normal"/>
    <w:link w:val="TextoindependienteCar"/>
    <w:uiPriority w:val="1"/>
    <w:qFormat/>
    <w:rsid w:val="001C3A39"/>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1C3A39"/>
    <w:rPr>
      <w:rFonts w:ascii="Verdana" w:eastAsia="Verdana" w:hAnsi="Verdana" w:cs="Verdana"/>
      <w:lang w:val="es-ES"/>
    </w:rPr>
  </w:style>
  <w:style w:type="character" w:styleId="Textoennegrita">
    <w:name w:val="Strong"/>
    <w:basedOn w:val="Fuentedeprrafopredeter"/>
    <w:uiPriority w:val="22"/>
    <w:qFormat/>
    <w:rsid w:val="004E3C6E"/>
    <w:rPr>
      <w:b/>
      <w:bCs/>
    </w:rPr>
  </w:style>
  <w:style w:type="character" w:customStyle="1" w:styleId="Ttulo2Car">
    <w:name w:val="Título 2 Car"/>
    <w:basedOn w:val="Fuentedeprrafopredeter"/>
    <w:link w:val="Ttulo2"/>
    <w:uiPriority w:val="9"/>
    <w:semiHidden/>
    <w:rsid w:val="008437D4"/>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39"/>
    <w:qFormat/>
    <w:rsid w:val="00796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38126">
      <w:bodyDiv w:val="1"/>
      <w:marLeft w:val="0"/>
      <w:marRight w:val="0"/>
      <w:marTop w:val="0"/>
      <w:marBottom w:val="0"/>
      <w:divBdr>
        <w:top w:val="none" w:sz="0" w:space="0" w:color="auto"/>
        <w:left w:val="none" w:sz="0" w:space="0" w:color="auto"/>
        <w:bottom w:val="none" w:sz="0" w:space="0" w:color="auto"/>
        <w:right w:val="none" w:sz="0" w:space="0" w:color="auto"/>
      </w:divBdr>
    </w:div>
    <w:div w:id="35685334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4336393">
      <w:bodyDiv w:val="1"/>
      <w:marLeft w:val="0"/>
      <w:marRight w:val="0"/>
      <w:marTop w:val="0"/>
      <w:marBottom w:val="0"/>
      <w:divBdr>
        <w:top w:val="none" w:sz="0" w:space="0" w:color="auto"/>
        <w:left w:val="none" w:sz="0" w:space="0" w:color="auto"/>
        <w:bottom w:val="none" w:sz="0" w:space="0" w:color="auto"/>
        <w:right w:val="none" w:sz="0" w:space="0" w:color="auto"/>
      </w:divBdr>
    </w:div>
    <w:div w:id="1460801822">
      <w:bodyDiv w:val="1"/>
      <w:marLeft w:val="0"/>
      <w:marRight w:val="0"/>
      <w:marTop w:val="0"/>
      <w:marBottom w:val="0"/>
      <w:divBdr>
        <w:top w:val="none" w:sz="0" w:space="0" w:color="auto"/>
        <w:left w:val="none" w:sz="0" w:space="0" w:color="auto"/>
        <w:bottom w:val="none" w:sz="0" w:space="0" w:color="auto"/>
        <w:right w:val="none" w:sz="0" w:space="0" w:color="auto"/>
      </w:divBdr>
    </w:div>
    <w:div w:id="1754933804">
      <w:bodyDiv w:val="1"/>
      <w:marLeft w:val="0"/>
      <w:marRight w:val="0"/>
      <w:marTop w:val="0"/>
      <w:marBottom w:val="0"/>
      <w:divBdr>
        <w:top w:val="none" w:sz="0" w:space="0" w:color="auto"/>
        <w:left w:val="none" w:sz="0" w:space="0" w:color="auto"/>
        <w:bottom w:val="none" w:sz="0" w:space="0" w:color="auto"/>
        <w:right w:val="none" w:sz="0" w:space="0" w:color="auto"/>
      </w:divBdr>
    </w:div>
    <w:div w:id="1799689479">
      <w:bodyDiv w:val="1"/>
      <w:marLeft w:val="0"/>
      <w:marRight w:val="0"/>
      <w:marTop w:val="0"/>
      <w:marBottom w:val="0"/>
      <w:divBdr>
        <w:top w:val="none" w:sz="0" w:space="0" w:color="auto"/>
        <w:left w:val="none" w:sz="0" w:space="0" w:color="auto"/>
        <w:bottom w:val="none" w:sz="0" w:space="0" w:color="auto"/>
        <w:right w:val="none" w:sz="0" w:space="0" w:color="auto"/>
      </w:divBdr>
    </w:div>
    <w:div w:id="1843813191">
      <w:bodyDiv w:val="1"/>
      <w:marLeft w:val="0"/>
      <w:marRight w:val="0"/>
      <w:marTop w:val="0"/>
      <w:marBottom w:val="0"/>
      <w:divBdr>
        <w:top w:val="none" w:sz="0" w:space="0" w:color="auto"/>
        <w:left w:val="none" w:sz="0" w:space="0" w:color="auto"/>
        <w:bottom w:val="none" w:sz="0" w:space="0" w:color="auto"/>
        <w:right w:val="none" w:sz="0" w:space="0" w:color="auto"/>
      </w:divBdr>
    </w:div>
    <w:div w:id="1853715482">
      <w:bodyDiv w:val="1"/>
      <w:marLeft w:val="0"/>
      <w:marRight w:val="0"/>
      <w:marTop w:val="0"/>
      <w:marBottom w:val="0"/>
      <w:divBdr>
        <w:top w:val="none" w:sz="0" w:space="0" w:color="auto"/>
        <w:left w:val="none" w:sz="0" w:space="0" w:color="auto"/>
        <w:bottom w:val="none" w:sz="0" w:space="0" w:color="auto"/>
        <w:right w:val="none" w:sz="0" w:space="0" w:color="auto"/>
      </w:divBdr>
    </w:div>
    <w:div w:id="195941137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yelasserrano@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808A17-99AD-464F-95BC-03DD46FEFCCB}">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100F3E9-B3CD-482B-B127-3E55FA8B5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25</Pages>
  <Words>8446</Words>
  <Characters>46456</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2025-09-09T23:13:00Z</dcterms:created>
  <dcterms:modified xsi:type="dcterms:W3CDTF">2025-09-09T23:13:00Z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