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0EA575F" w14:textId="0CA03BB4" w:rsidR="00DD5B04" w:rsidRPr="008C036D" w:rsidRDefault="002411DE" w:rsidP="00AA7A60">
      <w:pPr>
        <w:jc w:val="right"/>
        <w:rPr>
          <w:rFonts w:ascii="Arial" w:eastAsia="Calibri" w:hAnsi="Arial" w:cs="Arial"/>
          <w:b/>
          <w:color w:val="000000" w:themeColor="text1"/>
          <w:sz w:val="20"/>
          <w:szCs w:val="20"/>
          <w:lang w:val="es-ES_tradnl"/>
        </w:rPr>
      </w:pPr>
      <w:bookmarkStart w:id="0" w:name="_Hlk28946138"/>
      <w:bookmarkStart w:id="1" w:name="_Hlk29548183"/>
      <w:r>
        <w:rPr>
          <w:rFonts w:ascii="Arial" w:hAnsi="Arial" w:cs="Arial"/>
          <w:b/>
          <w:color w:val="000000" w:themeColor="text1"/>
          <w:sz w:val="16"/>
          <w:szCs w:val="16"/>
          <w:lang w:val="es-ES_tradnl" w:eastAsia="es-ES"/>
        </w:rPr>
        <w:t xml:space="preserve"> </w:t>
      </w:r>
      <w:r w:rsidR="00B55C69" w:rsidRPr="008C036D">
        <w:rPr>
          <w:rFonts w:ascii="Arial" w:hAnsi="Arial" w:cs="Arial"/>
          <w:b/>
          <w:color w:val="000000" w:themeColor="text1"/>
          <w:sz w:val="16"/>
          <w:szCs w:val="16"/>
          <w:lang w:val="es-ES_tradnl" w:eastAsia="es-ES"/>
        </w:rPr>
        <w:t>CCE-DES-FM-17</w:t>
      </w:r>
    </w:p>
    <w:bookmarkEnd w:id="0"/>
    <w:bookmarkEnd w:id="1"/>
    <w:p w14:paraId="1BED658F" w14:textId="4992C5D2" w:rsidR="00F02D25" w:rsidRDefault="00EC36B1" w:rsidP="00E548C3">
      <w:pPr>
        <w:jc w:val="both"/>
        <w:rPr>
          <w:rFonts w:ascii="Arial" w:eastAsia="Calibri" w:hAnsi="Arial" w:cs="Arial"/>
          <w:b/>
          <w:bCs/>
          <w:color w:val="000000" w:themeColor="text1"/>
          <w:sz w:val="22"/>
          <w:lang w:val="es-ES_tradnl"/>
        </w:rPr>
      </w:pPr>
      <w:r>
        <w:rPr>
          <w:rFonts w:ascii="Arial" w:eastAsia="Calibri" w:hAnsi="Arial" w:cs="Arial"/>
          <w:b/>
          <w:bCs/>
          <w:color w:val="000000" w:themeColor="text1"/>
          <w:sz w:val="22"/>
          <w:lang w:val="es-ES_tradnl"/>
        </w:rPr>
        <w:t>EXPOSICIÓN DE MOTIVOS – Ley 2020 de 2020</w:t>
      </w:r>
    </w:p>
    <w:p w14:paraId="2D93CA15" w14:textId="77777777" w:rsidR="00EC36B1" w:rsidRPr="00EC36B1" w:rsidRDefault="00EC36B1" w:rsidP="00E548C3">
      <w:pPr>
        <w:jc w:val="both"/>
        <w:rPr>
          <w:rFonts w:ascii="Arial" w:eastAsia="Calibri" w:hAnsi="Arial" w:cs="Arial"/>
          <w:sz w:val="20"/>
          <w:szCs w:val="20"/>
          <w:lang w:val="es-ES_tradnl"/>
        </w:rPr>
      </w:pPr>
    </w:p>
    <w:p w14:paraId="0DF6D819" w14:textId="77777777" w:rsidR="003F63EE" w:rsidRPr="0081325C" w:rsidRDefault="003F63EE" w:rsidP="003F63EE">
      <w:pPr>
        <w:jc w:val="both"/>
        <w:rPr>
          <w:rFonts w:ascii="Arial" w:eastAsia="Calibri" w:hAnsi="Arial" w:cs="Arial"/>
          <w:sz w:val="20"/>
          <w:szCs w:val="20"/>
          <w:lang w:val="es-ES_tradnl"/>
        </w:rPr>
      </w:pPr>
      <w:r w:rsidRPr="0081325C">
        <w:rPr>
          <w:rFonts w:ascii="Arial" w:eastAsia="Calibri" w:hAnsi="Arial" w:cs="Arial"/>
          <w:sz w:val="20"/>
          <w:szCs w:val="20"/>
          <w:lang w:val="es-ES_tradnl"/>
        </w:rPr>
        <w:t xml:space="preserve">Sobre el espíritu de la Ley, la exposición de motivos explica que el proyecto «[…] pretende establecer medidas para la detección y valoración de las obras públicas que no se hayan concluido de acuerdo con lo planeado por la entidad estatal a su cargo, para someterlas a evaluación técnica y financiera, dirigida a establecer si se concluyen o se procede a su demolición. Como fin esencial del proyecto se señala el de “salvaguardar las vidas como derecho fundamental”, que se entienden amenazadas por los efectos desfavorables de las obras inconclusas». En esta medida, el propósito de la norma subyace no solo en estructurar un sistema de registro, sino también en identificar el estado real de la infraestructura de obra en cada institución pública, con miras a elaborar un diagnóstico sobre la viabilidad técnica, financiera y jurídica de terminar o demoler la obra, asegurando que pueda realizar una inversión de sus recursos para la intervención de </w:t>
      </w:r>
      <w:proofErr w:type="gramStart"/>
      <w:r w:rsidRPr="0081325C">
        <w:rPr>
          <w:rFonts w:ascii="Arial" w:eastAsia="Calibri" w:hAnsi="Arial" w:cs="Arial"/>
          <w:sz w:val="20"/>
          <w:szCs w:val="20"/>
          <w:lang w:val="es-ES_tradnl"/>
        </w:rPr>
        <w:t>la misma</w:t>
      </w:r>
      <w:proofErr w:type="gramEnd"/>
      <w:r w:rsidRPr="0081325C">
        <w:rPr>
          <w:rFonts w:ascii="Arial" w:eastAsia="Calibri" w:hAnsi="Arial" w:cs="Arial"/>
          <w:sz w:val="20"/>
          <w:szCs w:val="20"/>
          <w:lang w:val="es-ES_tradnl"/>
        </w:rPr>
        <w:t>.</w:t>
      </w:r>
    </w:p>
    <w:p w14:paraId="3AD82B62" w14:textId="2B844FD1" w:rsidR="00EC36B1" w:rsidRPr="00EC36B1" w:rsidRDefault="00EC36B1" w:rsidP="00B95C30">
      <w:pPr>
        <w:jc w:val="both"/>
        <w:rPr>
          <w:rFonts w:ascii="Arial" w:eastAsia="Calibri" w:hAnsi="Arial" w:cs="Arial"/>
          <w:sz w:val="20"/>
          <w:szCs w:val="20"/>
          <w:lang w:val="es-ES_tradnl"/>
        </w:rPr>
      </w:pPr>
    </w:p>
    <w:p w14:paraId="1EBBF7F6" w14:textId="77777777" w:rsidR="00EC36B1" w:rsidRDefault="00EC36B1" w:rsidP="00B95C30">
      <w:pPr>
        <w:jc w:val="both"/>
        <w:rPr>
          <w:rFonts w:ascii="Arial" w:eastAsia="Calibri" w:hAnsi="Arial" w:cs="Arial"/>
          <w:b/>
          <w:sz w:val="22"/>
          <w:lang w:val="es-ES_tradnl"/>
        </w:rPr>
      </w:pPr>
    </w:p>
    <w:p w14:paraId="208B97B7" w14:textId="026A2940" w:rsidR="00B95C30" w:rsidRPr="00E23980" w:rsidRDefault="00C97106" w:rsidP="00B95C30">
      <w:pPr>
        <w:jc w:val="both"/>
        <w:rPr>
          <w:rFonts w:ascii="Arial" w:eastAsia="Calibri" w:hAnsi="Arial" w:cs="Arial"/>
          <w:b/>
          <w:sz w:val="22"/>
          <w:lang w:val="es-ES_tradnl"/>
        </w:rPr>
      </w:pPr>
      <w:r>
        <w:rPr>
          <w:rFonts w:ascii="Arial" w:eastAsia="Calibri" w:hAnsi="Arial" w:cs="Arial"/>
          <w:b/>
          <w:sz w:val="22"/>
          <w:lang w:val="es-ES_tradnl"/>
        </w:rPr>
        <w:t>REGISTRO NACIONAL DE OBRAS CIVILES INCONCLUSAS</w:t>
      </w:r>
      <w:r w:rsidR="00B95C30" w:rsidRPr="00E23980">
        <w:rPr>
          <w:rFonts w:ascii="Arial" w:eastAsia="Calibri" w:hAnsi="Arial" w:cs="Arial"/>
          <w:b/>
          <w:sz w:val="22"/>
          <w:lang w:val="es-ES_tradnl"/>
        </w:rPr>
        <w:t xml:space="preserve"> </w:t>
      </w:r>
      <w:bookmarkStart w:id="2" w:name="_Hlk39666823"/>
      <w:r w:rsidR="00B95C30" w:rsidRPr="00E23980">
        <w:rPr>
          <w:rFonts w:ascii="Arial" w:eastAsia="Calibri" w:hAnsi="Arial" w:cs="Arial"/>
          <w:b/>
          <w:color w:val="000000" w:themeColor="text1"/>
          <w:sz w:val="22"/>
          <w:lang w:val="es-ES_tradnl"/>
        </w:rPr>
        <w:t>–</w:t>
      </w:r>
      <w:bookmarkEnd w:id="2"/>
      <w:r w:rsidR="00B95C30" w:rsidRPr="00E23980">
        <w:rPr>
          <w:rFonts w:ascii="Arial" w:eastAsia="Calibri" w:hAnsi="Arial" w:cs="Arial"/>
          <w:b/>
          <w:sz w:val="22"/>
          <w:lang w:val="es-ES_tradnl"/>
        </w:rPr>
        <w:t xml:space="preserve"> </w:t>
      </w:r>
      <w:r w:rsidR="009B3163">
        <w:rPr>
          <w:rFonts w:ascii="Arial" w:eastAsia="Calibri" w:hAnsi="Arial" w:cs="Arial"/>
          <w:b/>
          <w:sz w:val="22"/>
          <w:lang w:val="es-ES_tradnl"/>
        </w:rPr>
        <w:t>Concepto</w:t>
      </w:r>
      <w:r w:rsidR="00A97C93" w:rsidRPr="00E23980">
        <w:rPr>
          <w:rFonts w:ascii="Arial" w:eastAsia="Calibri" w:hAnsi="Arial" w:cs="Arial"/>
          <w:b/>
          <w:sz w:val="22"/>
          <w:lang w:val="es-ES_tradnl"/>
        </w:rPr>
        <w:t xml:space="preserve"> </w:t>
      </w:r>
      <w:r w:rsidR="00A97C93" w:rsidRPr="00E23980">
        <w:rPr>
          <w:rFonts w:ascii="Arial" w:eastAsia="Calibri" w:hAnsi="Arial" w:cs="Arial"/>
          <w:b/>
          <w:color w:val="000000" w:themeColor="text1"/>
          <w:sz w:val="22"/>
          <w:lang w:val="es-ES_tradnl"/>
        </w:rPr>
        <w:t xml:space="preserve">– </w:t>
      </w:r>
      <w:r w:rsidR="009B3163">
        <w:rPr>
          <w:rFonts w:ascii="Arial" w:eastAsia="Calibri" w:hAnsi="Arial" w:cs="Arial"/>
          <w:b/>
          <w:color w:val="000000" w:themeColor="text1"/>
          <w:sz w:val="22"/>
          <w:lang w:val="es-ES_tradnl"/>
        </w:rPr>
        <w:t>Ley 2020 de 2020</w:t>
      </w:r>
    </w:p>
    <w:p w14:paraId="26480898" w14:textId="77777777" w:rsidR="00B95C30" w:rsidRPr="00E23980" w:rsidRDefault="00B95C30" w:rsidP="00B95C30">
      <w:pPr>
        <w:jc w:val="both"/>
        <w:rPr>
          <w:rFonts w:ascii="Arial" w:eastAsia="Calibri" w:hAnsi="Arial" w:cs="Arial"/>
          <w:sz w:val="20"/>
          <w:szCs w:val="20"/>
          <w:lang w:val="es-ES_tradnl"/>
        </w:rPr>
      </w:pPr>
    </w:p>
    <w:p w14:paraId="271628E0" w14:textId="77777777" w:rsidR="003F63EE" w:rsidRPr="0081325C" w:rsidRDefault="003F63EE" w:rsidP="003F63EE">
      <w:pPr>
        <w:jc w:val="both"/>
        <w:rPr>
          <w:rFonts w:ascii="Arial" w:eastAsia="Calibri" w:hAnsi="Arial" w:cs="Arial"/>
          <w:sz w:val="20"/>
          <w:szCs w:val="20"/>
          <w:lang w:val="es-ES_tradnl"/>
        </w:rPr>
      </w:pPr>
      <w:r>
        <w:rPr>
          <w:rFonts w:ascii="Arial" w:eastAsia="Calibri" w:hAnsi="Arial" w:cs="Arial"/>
          <w:sz w:val="20"/>
          <w:szCs w:val="20"/>
          <w:lang w:val="es-ES_tradnl"/>
        </w:rPr>
        <w:t xml:space="preserve">[…] </w:t>
      </w:r>
      <w:r w:rsidRPr="0081325C">
        <w:rPr>
          <w:rFonts w:ascii="Arial" w:eastAsia="Calibri" w:hAnsi="Arial" w:cs="Arial"/>
          <w:sz w:val="20"/>
          <w:szCs w:val="20"/>
          <w:lang w:val="es-ES_tradnl"/>
        </w:rPr>
        <w:t>el Registro Nacional de Obras Civiles Inconclusas es un sistema administrado por la Contraloría General de la República, construido a partir de la información remitida por las entidades estatales en los distintos niveles o los datos obtenidos por dicho órgano de control fiscal, sobre las obras inconclusas del país. El artículo 2, literal b) de la Ley 2020 de 2020 complementa esta noción, indicando que el Registro Nacional de Obras Civiles Inconclusas «Es un sistema que contiene los datos sobre obras inconclusas en todo el territorio nacional. El inventario de obras civiles inconclusas reportado por las entidades estatales hará parte integral del banco de proyectos de la respectiva entidad».</w:t>
      </w:r>
    </w:p>
    <w:p w14:paraId="5F267DC8" w14:textId="34E17EB8" w:rsidR="007E0812" w:rsidRDefault="007E0812" w:rsidP="007E0812">
      <w:pPr>
        <w:jc w:val="both"/>
        <w:rPr>
          <w:rFonts w:ascii="Arial" w:eastAsia="Calibri" w:hAnsi="Arial" w:cs="Arial"/>
          <w:sz w:val="20"/>
          <w:szCs w:val="20"/>
          <w:lang w:val="es-ES_tradnl"/>
        </w:rPr>
      </w:pPr>
    </w:p>
    <w:p w14:paraId="7ACAAB6A" w14:textId="316074A2" w:rsidR="00FE24F4" w:rsidRPr="00E23980" w:rsidRDefault="00FE24F4" w:rsidP="00FE24F4">
      <w:pPr>
        <w:jc w:val="both"/>
        <w:rPr>
          <w:rFonts w:ascii="Arial" w:eastAsia="Calibri" w:hAnsi="Arial" w:cs="Arial"/>
          <w:b/>
          <w:sz w:val="22"/>
          <w:lang w:val="es-ES_tradnl"/>
        </w:rPr>
      </w:pPr>
      <w:r>
        <w:rPr>
          <w:rFonts w:ascii="Arial" w:eastAsia="Calibri" w:hAnsi="Arial" w:cs="Arial"/>
          <w:b/>
          <w:sz w:val="22"/>
          <w:lang w:val="es-ES_tradnl"/>
        </w:rPr>
        <w:t>OBRA</w:t>
      </w:r>
      <w:r w:rsidR="00C36845">
        <w:rPr>
          <w:rFonts w:ascii="Arial" w:eastAsia="Calibri" w:hAnsi="Arial" w:cs="Arial"/>
          <w:b/>
          <w:sz w:val="22"/>
          <w:lang w:val="es-ES_tradnl"/>
        </w:rPr>
        <w:t xml:space="preserve"> CIVIL</w:t>
      </w:r>
      <w:r>
        <w:rPr>
          <w:rFonts w:ascii="Arial" w:eastAsia="Calibri" w:hAnsi="Arial" w:cs="Arial"/>
          <w:b/>
          <w:sz w:val="22"/>
          <w:lang w:val="es-ES_tradnl"/>
        </w:rPr>
        <w:t xml:space="preserve"> </w:t>
      </w:r>
      <w:r w:rsidR="00A77D21">
        <w:rPr>
          <w:rFonts w:ascii="Arial" w:eastAsia="Calibri" w:hAnsi="Arial" w:cs="Arial"/>
          <w:b/>
          <w:sz w:val="22"/>
          <w:lang w:val="es-ES_tradnl"/>
        </w:rPr>
        <w:t>INCONCLUSA</w:t>
      </w:r>
      <w:r w:rsidRPr="00E23980">
        <w:rPr>
          <w:rFonts w:ascii="Arial" w:eastAsia="Calibri" w:hAnsi="Arial" w:cs="Arial"/>
          <w:b/>
          <w:sz w:val="22"/>
          <w:lang w:val="es-ES_tradnl"/>
        </w:rPr>
        <w:t xml:space="preserve"> </w:t>
      </w:r>
      <w:r w:rsidRPr="00E23980">
        <w:rPr>
          <w:rFonts w:ascii="Arial" w:eastAsia="Calibri" w:hAnsi="Arial" w:cs="Arial"/>
          <w:b/>
          <w:color w:val="000000" w:themeColor="text1"/>
          <w:sz w:val="22"/>
          <w:lang w:val="es-ES_tradnl"/>
        </w:rPr>
        <w:t>–</w:t>
      </w:r>
      <w:r w:rsidRPr="00E23980">
        <w:rPr>
          <w:rFonts w:ascii="Arial" w:eastAsia="Calibri" w:hAnsi="Arial" w:cs="Arial"/>
          <w:b/>
          <w:sz w:val="22"/>
          <w:lang w:val="es-ES_tradnl"/>
        </w:rPr>
        <w:t xml:space="preserve"> </w:t>
      </w:r>
      <w:r w:rsidR="00A77D21">
        <w:rPr>
          <w:rFonts w:ascii="Arial" w:eastAsia="Calibri" w:hAnsi="Arial" w:cs="Arial"/>
          <w:b/>
          <w:sz w:val="22"/>
          <w:lang w:val="es-ES_tradnl"/>
        </w:rPr>
        <w:t>Definición</w:t>
      </w:r>
      <w:r w:rsidRPr="00E23980">
        <w:rPr>
          <w:rFonts w:ascii="Arial" w:eastAsia="Calibri" w:hAnsi="Arial" w:cs="Arial"/>
          <w:b/>
          <w:sz w:val="22"/>
          <w:lang w:val="es-ES_tradnl"/>
        </w:rPr>
        <w:t xml:space="preserve"> </w:t>
      </w:r>
    </w:p>
    <w:p w14:paraId="4C1EFAF7" w14:textId="77777777" w:rsidR="00FE24F4" w:rsidRPr="00E23980" w:rsidRDefault="00FE24F4" w:rsidP="00FE24F4">
      <w:pPr>
        <w:jc w:val="both"/>
        <w:rPr>
          <w:rFonts w:ascii="Arial" w:eastAsia="Calibri" w:hAnsi="Arial" w:cs="Arial"/>
          <w:sz w:val="20"/>
          <w:szCs w:val="20"/>
          <w:lang w:val="es-ES_tradnl"/>
        </w:rPr>
      </w:pPr>
    </w:p>
    <w:p w14:paraId="381A59AF" w14:textId="77777777" w:rsidR="003F63EE" w:rsidRDefault="003F63EE" w:rsidP="003F63EE">
      <w:pPr>
        <w:jc w:val="both"/>
        <w:rPr>
          <w:rFonts w:ascii="Arial" w:eastAsia="Calibri" w:hAnsi="Arial" w:cs="Arial"/>
          <w:sz w:val="20"/>
          <w:szCs w:val="20"/>
          <w:lang w:val="es-ES_tradnl"/>
        </w:rPr>
      </w:pPr>
      <w:r w:rsidRPr="0081325C">
        <w:rPr>
          <w:rFonts w:ascii="Arial" w:eastAsia="Calibri" w:hAnsi="Arial" w:cs="Arial"/>
          <w:sz w:val="20"/>
          <w:szCs w:val="20"/>
          <w:lang w:val="es-ES_tradnl"/>
        </w:rPr>
        <w:t>Según el inciso primero del literal a) del artículo 2 de dicha Ley, se entiende por obra civil inconclusa la «Construcción, mantenimiento, instalación o realización de cualquier otro trabajo material sobre bienes inmuebles, cualquiera que sea la modalidad de ejecución y pago, que un (1) año después de vencido el término de liquidación contractual, no haya concluido de manera satisfactoria para el interés general o el definido por la entidad estatal contratante, o no esté prestando el servicio para el cual fue contratada».</w:t>
      </w:r>
    </w:p>
    <w:p w14:paraId="45185539" w14:textId="77777777" w:rsidR="00C36845" w:rsidRDefault="00C36845" w:rsidP="007E0812">
      <w:pPr>
        <w:jc w:val="both"/>
        <w:rPr>
          <w:rFonts w:ascii="Arial" w:eastAsia="Calibri" w:hAnsi="Arial" w:cs="Arial"/>
          <w:sz w:val="20"/>
          <w:szCs w:val="20"/>
          <w:lang w:val="es-ES_tradnl"/>
        </w:rPr>
      </w:pPr>
    </w:p>
    <w:p w14:paraId="37976E71" w14:textId="51A506C1" w:rsidR="00EC36B1" w:rsidRDefault="00A77D21" w:rsidP="00A77D21">
      <w:pPr>
        <w:jc w:val="both"/>
        <w:rPr>
          <w:rFonts w:ascii="Arial" w:eastAsia="Calibri" w:hAnsi="Arial" w:cs="Arial"/>
          <w:b/>
          <w:sz w:val="22"/>
          <w:lang w:val="es-ES_tradnl"/>
        </w:rPr>
      </w:pPr>
      <w:r>
        <w:rPr>
          <w:rFonts w:ascii="Arial" w:eastAsia="Calibri" w:hAnsi="Arial" w:cs="Arial"/>
          <w:b/>
          <w:sz w:val="22"/>
          <w:lang w:val="es-ES_tradnl"/>
        </w:rPr>
        <w:t xml:space="preserve">REGISTRO NACIONAL DE OBRAS CIVILES INCONCLUSAS </w:t>
      </w:r>
      <w:r w:rsidRPr="00E23980">
        <w:rPr>
          <w:rFonts w:ascii="Arial" w:eastAsia="Calibri" w:hAnsi="Arial" w:cs="Arial"/>
          <w:b/>
          <w:color w:val="000000" w:themeColor="text1"/>
          <w:sz w:val="22"/>
          <w:lang w:val="es-ES_tradnl"/>
        </w:rPr>
        <w:t>–</w:t>
      </w:r>
      <w:r w:rsidRPr="00E23980">
        <w:rPr>
          <w:rFonts w:ascii="Arial" w:eastAsia="Calibri" w:hAnsi="Arial" w:cs="Arial"/>
          <w:b/>
          <w:sz w:val="22"/>
          <w:lang w:val="es-ES_tradnl"/>
        </w:rPr>
        <w:t xml:space="preserve"> </w:t>
      </w:r>
      <w:r w:rsidR="00EC36B1">
        <w:rPr>
          <w:rFonts w:ascii="Arial" w:eastAsia="Calibri" w:hAnsi="Arial" w:cs="Arial"/>
          <w:b/>
          <w:sz w:val="22"/>
          <w:lang w:val="es-ES_tradnl"/>
        </w:rPr>
        <w:t xml:space="preserve">Reporte de información </w:t>
      </w:r>
    </w:p>
    <w:p w14:paraId="5AB3437B" w14:textId="77777777" w:rsidR="00EC36B1" w:rsidRDefault="00EC36B1" w:rsidP="00A77D21">
      <w:pPr>
        <w:jc w:val="both"/>
        <w:rPr>
          <w:rFonts w:ascii="Arial" w:eastAsia="Calibri" w:hAnsi="Arial" w:cs="Arial"/>
          <w:b/>
          <w:sz w:val="22"/>
          <w:lang w:val="es-ES_tradnl"/>
        </w:rPr>
      </w:pPr>
    </w:p>
    <w:p w14:paraId="078E4E91" w14:textId="77777777" w:rsidR="003F63EE" w:rsidRPr="00EC36B1" w:rsidRDefault="003F63EE" w:rsidP="003F63EE">
      <w:pPr>
        <w:jc w:val="both"/>
        <w:rPr>
          <w:rFonts w:ascii="Arial" w:eastAsia="Calibri" w:hAnsi="Arial" w:cs="Arial"/>
          <w:sz w:val="20"/>
          <w:szCs w:val="20"/>
          <w:lang w:val="es-ES_tradnl"/>
        </w:rPr>
      </w:pPr>
      <w:r>
        <w:rPr>
          <w:rFonts w:ascii="Arial" w:eastAsia="Calibri" w:hAnsi="Arial" w:cs="Arial"/>
          <w:sz w:val="20"/>
          <w:szCs w:val="20"/>
          <w:lang w:val="es-ES_tradnl"/>
        </w:rPr>
        <w:t xml:space="preserve">[…] </w:t>
      </w:r>
      <w:r w:rsidRPr="0081325C">
        <w:rPr>
          <w:rFonts w:ascii="Arial" w:eastAsia="Calibri" w:hAnsi="Arial" w:cs="Arial"/>
          <w:sz w:val="20"/>
          <w:szCs w:val="20"/>
          <w:lang w:val="es-ES_tradnl"/>
        </w:rPr>
        <w:t xml:space="preserve">el artículo 4 determina la información mínima que debe reportarse por las entidades públicas. Entre otros, deberá contener datos sobre las razones técnicas y/o jurídicas por las cuales la obra civil quedó inconclusa; los pagos efectuados; los procesos en curso y/o fallos que hayan declarado responsabilidades penales, fiscales, civiles y disciplinarias derivadas de la obra inconclusa; así como los actos administrativos que declaren el incumplimiento de los contratistas o caducidad de los contratos. Igualmente, en este Registro constará la información de las obras civiles ya terminadas que no se encuentre en funcionamiento conforme al artículo 15. </w:t>
      </w:r>
    </w:p>
    <w:p w14:paraId="6174D8EF" w14:textId="77777777" w:rsidR="00EC36B1" w:rsidRDefault="00EC36B1" w:rsidP="00A77D21">
      <w:pPr>
        <w:jc w:val="both"/>
        <w:rPr>
          <w:rFonts w:ascii="Arial" w:eastAsia="Calibri" w:hAnsi="Arial" w:cs="Arial"/>
          <w:b/>
          <w:sz w:val="22"/>
          <w:lang w:val="es-ES_tradnl"/>
        </w:rPr>
      </w:pPr>
    </w:p>
    <w:p w14:paraId="3A7FCB7E" w14:textId="604AAC99" w:rsidR="00A77D21" w:rsidRPr="00E23980" w:rsidRDefault="00EC36B1" w:rsidP="00A77D21">
      <w:pPr>
        <w:jc w:val="both"/>
        <w:rPr>
          <w:rFonts w:ascii="Arial" w:eastAsia="Calibri" w:hAnsi="Arial" w:cs="Arial"/>
          <w:b/>
          <w:sz w:val="22"/>
          <w:lang w:val="es-ES_tradnl"/>
        </w:rPr>
      </w:pPr>
      <w:r>
        <w:rPr>
          <w:rFonts w:ascii="Arial" w:eastAsia="Calibri" w:hAnsi="Arial" w:cs="Arial"/>
          <w:b/>
          <w:sz w:val="22"/>
          <w:lang w:val="es-ES_tradnl"/>
        </w:rPr>
        <w:t xml:space="preserve">REGISTRO NACIONAL DE OBRAS CIVILES </w:t>
      </w:r>
      <w:r w:rsidR="003F63EE">
        <w:rPr>
          <w:rFonts w:ascii="Arial" w:eastAsia="Calibri" w:hAnsi="Arial" w:cs="Arial"/>
          <w:b/>
          <w:sz w:val="22"/>
          <w:lang w:val="es-ES_tradnl"/>
        </w:rPr>
        <w:t>INCONCLUSAS –</w:t>
      </w:r>
      <w:r w:rsidRPr="00E23980">
        <w:rPr>
          <w:rFonts w:ascii="Arial" w:eastAsia="Calibri" w:hAnsi="Arial" w:cs="Arial"/>
          <w:b/>
          <w:sz w:val="22"/>
          <w:lang w:val="es-ES_tradnl"/>
        </w:rPr>
        <w:t xml:space="preserve"> </w:t>
      </w:r>
      <w:r w:rsidR="00A77D21">
        <w:rPr>
          <w:rFonts w:ascii="Arial" w:eastAsia="Calibri" w:hAnsi="Arial" w:cs="Arial"/>
          <w:b/>
          <w:sz w:val="22"/>
          <w:lang w:val="es-ES_tradnl"/>
        </w:rPr>
        <w:t>Deber de verificación</w:t>
      </w:r>
      <w:r w:rsidR="00A77D21" w:rsidRPr="00E23980">
        <w:rPr>
          <w:rFonts w:ascii="Arial" w:eastAsia="Calibri" w:hAnsi="Arial" w:cs="Arial"/>
          <w:b/>
          <w:sz w:val="22"/>
          <w:lang w:val="es-ES_tradnl"/>
        </w:rPr>
        <w:t xml:space="preserve"> </w:t>
      </w:r>
    </w:p>
    <w:p w14:paraId="53AE6B40" w14:textId="77777777" w:rsidR="00A77D21" w:rsidRPr="00E23980" w:rsidRDefault="00A77D21" w:rsidP="00A77D21">
      <w:pPr>
        <w:jc w:val="both"/>
        <w:rPr>
          <w:rFonts w:ascii="Arial" w:eastAsia="Calibri" w:hAnsi="Arial" w:cs="Arial"/>
          <w:sz w:val="20"/>
          <w:szCs w:val="20"/>
          <w:lang w:val="es-ES_tradnl"/>
        </w:rPr>
      </w:pPr>
    </w:p>
    <w:p w14:paraId="33C92489" w14:textId="77777777" w:rsidR="003F63EE" w:rsidRDefault="00A77D21" w:rsidP="003F63EE">
      <w:pPr>
        <w:tabs>
          <w:tab w:val="left" w:pos="0"/>
        </w:tabs>
        <w:jc w:val="both"/>
        <w:rPr>
          <w:rFonts w:ascii="Arial" w:eastAsia="Calibri" w:hAnsi="Arial" w:cs="Arial"/>
          <w:color w:val="000000"/>
          <w:sz w:val="20"/>
          <w:szCs w:val="20"/>
          <w:lang w:val="es-ES_tradnl" w:eastAsia="en-GB"/>
        </w:rPr>
      </w:pPr>
      <w:r w:rsidRPr="00A77D21">
        <w:rPr>
          <w:rFonts w:ascii="Arial" w:eastAsia="Calibri" w:hAnsi="Arial" w:cs="Arial"/>
          <w:color w:val="000000"/>
          <w:sz w:val="20"/>
          <w:szCs w:val="20"/>
          <w:lang w:val="es-ES_tradnl" w:eastAsia="en-GB"/>
        </w:rPr>
        <w:t xml:space="preserve"> </w:t>
      </w:r>
      <w:r w:rsidR="003F63EE" w:rsidRPr="006E3D9D">
        <w:rPr>
          <w:rFonts w:ascii="Arial" w:eastAsia="Calibri" w:hAnsi="Arial" w:cs="Arial"/>
          <w:color w:val="000000"/>
          <w:sz w:val="20"/>
          <w:szCs w:val="20"/>
          <w:lang w:val="es-ES_tradnl" w:eastAsia="en-GB"/>
        </w:rPr>
        <w:t xml:space="preserve">El artículo 6 de la Ley 2020 de 2020 establece un deber a cargo de las entidades estatales dentro de los procedimientos que adelanten para la contratación de obras públicas. Consiste en la obligación de </w:t>
      </w:r>
      <w:r w:rsidR="003F63EE" w:rsidRPr="006E3D9D">
        <w:rPr>
          <w:rFonts w:ascii="Arial" w:eastAsia="Calibri" w:hAnsi="Arial" w:cs="Arial"/>
          <w:i/>
          <w:iCs/>
          <w:color w:val="000000"/>
          <w:sz w:val="20"/>
          <w:szCs w:val="20"/>
          <w:lang w:val="es-ES_tradnl" w:eastAsia="en-GB"/>
        </w:rPr>
        <w:t>consultar</w:t>
      </w:r>
      <w:r w:rsidR="003F63EE" w:rsidRPr="006E3D9D">
        <w:rPr>
          <w:rFonts w:ascii="Arial" w:eastAsia="Calibri" w:hAnsi="Arial" w:cs="Arial"/>
          <w:color w:val="000000"/>
          <w:sz w:val="20"/>
          <w:szCs w:val="20"/>
          <w:lang w:val="es-ES_tradnl" w:eastAsia="en-GB"/>
        </w:rPr>
        <w:t xml:space="preserve"> y </w:t>
      </w:r>
      <w:r w:rsidR="003F63EE" w:rsidRPr="006E3D9D">
        <w:rPr>
          <w:rFonts w:ascii="Arial" w:eastAsia="Calibri" w:hAnsi="Arial" w:cs="Arial"/>
          <w:i/>
          <w:iCs/>
          <w:color w:val="000000"/>
          <w:sz w:val="20"/>
          <w:szCs w:val="20"/>
          <w:lang w:val="es-ES_tradnl" w:eastAsia="en-GB"/>
        </w:rPr>
        <w:t>analizar</w:t>
      </w:r>
      <w:r w:rsidR="003F63EE" w:rsidRPr="006E3D9D">
        <w:rPr>
          <w:rFonts w:ascii="Arial" w:eastAsia="Calibri" w:hAnsi="Arial" w:cs="Arial"/>
          <w:color w:val="000000"/>
          <w:sz w:val="20"/>
          <w:szCs w:val="20"/>
          <w:lang w:val="es-ES_tradnl" w:eastAsia="en-GB"/>
        </w:rPr>
        <w:t xml:space="preserve"> la información contenida en el Registro Nacional de Obras Civiles </w:t>
      </w:r>
      <w:r w:rsidR="003F63EE" w:rsidRPr="006E3D9D">
        <w:rPr>
          <w:rFonts w:ascii="Arial" w:eastAsia="Calibri" w:hAnsi="Arial" w:cs="Arial"/>
          <w:color w:val="000000"/>
          <w:sz w:val="20"/>
          <w:szCs w:val="20"/>
          <w:lang w:val="es-ES_tradnl" w:eastAsia="en-GB"/>
        </w:rPr>
        <w:lastRenderedPageBreak/>
        <w:t>Inconclusas. Además, dispone que en los procesos de selección de contratistas de obra e interventores han de considerarse las anotaciones del registro en la evaluación de los factores de calidad</w:t>
      </w:r>
      <w:r w:rsidR="003F63EE">
        <w:rPr>
          <w:rFonts w:ascii="Arial" w:eastAsia="Calibri" w:hAnsi="Arial" w:cs="Arial"/>
          <w:color w:val="000000"/>
          <w:sz w:val="20"/>
          <w:szCs w:val="20"/>
          <w:lang w:val="es-ES_tradnl" w:eastAsia="en-GB"/>
        </w:rPr>
        <w:t xml:space="preserve">. </w:t>
      </w:r>
    </w:p>
    <w:p w14:paraId="2CA01A9D" w14:textId="6D236AC0" w:rsidR="00A77D21" w:rsidRDefault="00A77D21" w:rsidP="00EC36B1">
      <w:pPr>
        <w:tabs>
          <w:tab w:val="left" w:pos="0"/>
        </w:tabs>
        <w:jc w:val="both"/>
        <w:rPr>
          <w:rFonts w:ascii="Arial" w:eastAsia="Calibri" w:hAnsi="Arial" w:cs="Arial"/>
          <w:color w:val="000000"/>
          <w:sz w:val="20"/>
          <w:szCs w:val="20"/>
          <w:lang w:val="es-ES_tradnl" w:eastAsia="en-GB"/>
        </w:rPr>
      </w:pPr>
    </w:p>
    <w:p w14:paraId="236B9204" w14:textId="77777777" w:rsidR="00873863" w:rsidRDefault="00873863" w:rsidP="00873863">
      <w:pPr>
        <w:tabs>
          <w:tab w:val="left" w:pos="0"/>
        </w:tabs>
        <w:jc w:val="both"/>
        <w:rPr>
          <w:rFonts w:ascii="Arial" w:eastAsia="Calibri" w:hAnsi="Arial" w:cs="Arial"/>
          <w:color w:val="000000"/>
          <w:sz w:val="20"/>
          <w:szCs w:val="20"/>
          <w:lang w:val="es-ES_tradnl" w:eastAsia="en-GB"/>
        </w:rPr>
      </w:pPr>
    </w:p>
    <w:p w14:paraId="097D19CB" w14:textId="1C4702F3" w:rsidR="00EC36B1" w:rsidRDefault="006174FA" w:rsidP="00EC36B1">
      <w:pPr>
        <w:tabs>
          <w:tab w:val="left" w:pos="1073"/>
        </w:tabs>
        <w:spacing w:line="276" w:lineRule="auto"/>
        <w:jc w:val="both"/>
        <w:rPr>
          <w:rFonts w:ascii="Arial" w:eastAsia="Calibri" w:hAnsi="Arial" w:cs="Arial"/>
          <w:b/>
          <w:color w:val="000000" w:themeColor="text1"/>
          <w:sz w:val="22"/>
          <w:lang w:val="es-ES_tradnl"/>
        </w:rPr>
      </w:pPr>
      <w:r>
        <w:rPr>
          <w:rFonts w:ascii="Arial" w:eastAsia="Calibri" w:hAnsi="Arial" w:cs="Arial"/>
          <w:b/>
          <w:color w:val="000000" w:themeColor="text1"/>
          <w:sz w:val="22"/>
          <w:lang w:val="es-ES_tradnl"/>
        </w:rPr>
        <w:t xml:space="preserve">ANOTACIONES EN EL REGISTRO NACIONAL DE OBRAS INCONCLUSAS – Consultar y analizar </w:t>
      </w:r>
    </w:p>
    <w:p w14:paraId="5E1665AA" w14:textId="77777777" w:rsidR="006174FA" w:rsidRDefault="006174FA" w:rsidP="00EC36B1">
      <w:pPr>
        <w:tabs>
          <w:tab w:val="left" w:pos="1073"/>
        </w:tabs>
        <w:spacing w:line="276" w:lineRule="auto"/>
        <w:jc w:val="both"/>
        <w:rPr>
          <w:rFonts w:ascii="Arial" w:eastAsia="Calibri" w:hAnsi="Arial" w:cs="Arial"/>
          <w:b/>
          <w:color w:val="000000" w:themeColor="text1"/>
          <w:sz w:val="22"/>
          <w:lang w:val="es-ES_tradnl"/>
        </w:rPr>
      </w:pPr>
    </w:p>
    <w:p w14:paraId="72912F5C" w14:textId="790FF03E" w:rsidR="003F63EE" w:rsidRPr="006174FA" w:rsidRDefault="003F63EE" w:rsidP="003F63EE">
      <w:pPr>
        <w:tabs>
          <w:tab w:val="left" w:pos="0"/>
        </w:tabs>
        <w:jc w:val="both"/>
        <w:rPr>
          <w:rFonts w:ascii="Arial" w:eastAsia="Calibri" w:hAnsi="Arial" w:cs="Arial"/>
          <w:color w:val="000000"/>
          <w:sz w:val="20"/>
          <w:szCs w:val="20"/>
          <w:lang w:eastAsia="en-GB"/>
        </w:rPr>
      </w:pPr>
      <w:r>
        <w:rPr>
          <w:rFonts w:ascii="Arial" w:eastAsia="Calibri" w:hAnsi="Arial" w:cs="Arial"/>
          <w:color w:val="000000"/>
          <w:sz w:val="20"/>
          <w:szCs w:val="20"/>
          <w:lang w:eastAsia="en-GB"/>
        </w:rPr>
        <w:t xml:space="preserve">[…] </w:t>
      </w:r>
      <w:r w:rsidRPr="006E3D9D">
        <w:rPr>
          <w:rFonts w:ascii="Arial" w:eastAsia="Calibri" w:hAnsi="Arial" w:cs="Arial"/>
          <w:color w:val="000000"/>
          <w:sz w:val="20"/>
          <w:szCs w:val="20"/>
          <w:lang w:val="es-MX" w:eastAsia="en-GB"/>
        </w:rPr>
        <w:t xml:space="preserve">la connotación de las palabras </w:t>
      </w:r>
      <w:r w:rsidRPr="006E3D9D">
        <w:rPr>
          <w:rFonts w:ascii="Arial" w:eastAsia="Calibri" w:hAnsi="Arial" w:cs="Arial"/>
          <w:color w:val="000000"/>
          <w:sz w:val="20"/>
          <w:szCs w:val="20"/>
          <w:lang w:eastAsia="en-GB"/>
        </w:rPr>
        <w:t xml:space="preserve">«consultar y </w:t>
      </w:r>
      <w:r w:rsidRPr="006E3D9D">
        <w:rPr>
          <w:rFonts w:ascii="Arial" w:eastAsia="Calibri" w:hAnsi="Arial" w:cs="Arial"/>
          <w:color w:val="000000"/>
          <w:sz w:val="20"/>
          <w:szCs w:val="20"/>
          <w:lang w:val="es-MX" w:eastAsia="en-GB"/>
        </w:rPr>
        <w:t>analizar</w:t>
      </w:r>
      <w:r w:rsidRPr="006E3D9D">
        <w:rPr>
          <w:rFonts w:ascii="Arial" w:eastAsia="Calibri" w:hAnsi="Arial" w:cs="Arial"/>
          <w:color w:val="000000"/>
          <w:sz w:val="20"/>
          <w:szCs w:val="20"/>
          <w:lang w:eastAsia="en-GB"/>
        </w:rPr>
        <w:t xml:space="preserve">» </w:t>
      </w:r>
      <w:r w:rsidRPr="006E3D9D">
        <w:rPr>
          <w:rFonts w:ascii="Arial" w:eastAsia="Calibri" w:hAnsi="Arial" w:cs="Arial"/>
          <w:color w:val="000000"/>
          <w:sz w:val="20"/>
          <w:szCs w:val="20"/>
          <w:lang w:val="es-MX" w:eastAsia="en-GB"/>
        </w:rPr>
        <w:t xml:space="preserve">constituyen el marco respecto del cual se circunscribe el deber de la entidad de tener en cuenta las anotaciones en el Registro Nacional de Obras Civiles Inconclusas, para efectos de la evaluación de los factores de ponderación de calidad. En otras palabras, las expresiones </w:t>
      </w:r>
      <w:r w:rsidRPr="006E3D9D">
        <w:rPr>
          <w:rFonts w:ascii="Arial" w:eastAsia="Calibri" w:hAnsi="Arial" w:cs="Arial"/>
          <w:color w:val="000000"/>
          <w:sz w:val="20"/>
          <w:szCs w:val="20"/>
          <w:lang w:eastAsia="en-GB"/>
        </w:rPr>
        <w:t xml:space="preserve">«consultar y </w:t>
      </w:r>
      <w:r w:rsidRPr="006E3D9D">
        <w:rPr>
          <w:rFonts w:ascii="Arial" w:eastAsia="Calibri" w:hAnsi="Arial" w:cs="Arial"/>
          <w:color w:val="000000"/>
          <w:sz w:val="20"/>
          <w:szCs w:val="20"/>
          <w:lang w:val="es-MX" w:eastAsia="en-GB"/>
        </w:rPr>
        <w:t>analizar</w:t>
      </w:r>
      <w:r w:rsidRPr="006E3D9D">
        <w:rPr>
          <w:rFonts w:ascii="Arial" w:eastAsia="Calibri" w:hAnsi="Arial" w:cs="Arial"/>
          <w:color w:val="000000"/>
          <w:sz w:val="20"/>
          <w:szCs w:val="20"/>
          <w:lang w:eastAsia="en-GB"/>
        </w:rPr>
        <w:t>»</w:t>
      </w:r>
      <w:r w:rsidRPr="006E3D9D">
        <w:rPr>
          <w:rFonts w:ascii="Arial" w:eastAsia="Calibri" w:hAnsi="Arial" w:cs="Arial"/>
          <w:color w:val="000000"/>
          <w:sz w:val="20"/>
          <w:szCs w:val="20"/>
          <w:lang w:val="es-MX" w:eastAsia="en-GB"/>
        </w:rPr>
        <w:t xml:space="preserve">, determinan el alcance de la interpretación tanto del contenido del artículo 6 de la Ley 2020 de 2020, como en el texto establecido en los Documentos Base, sobre el Registro Nacional de Obras Civiles Inconclusas. </w:t>
      </w:r>
    </w:p>
    <w:p w14:paraId="53AB9B89" w14:textId="77777777" w:rsidR="00EC36B1" w:rsidRDefault="00EC36B1" w:rsidP="00EC36B1">
      <w:pPr>
        <w:tabs>
          <w:tab w:val="left" w:pos="1073"/>
        </w:tabs>
        <w:spacing w:line="276" w:lineRule="auto"/>
        <w:jc w:val="both"/>
        <w:rPr>
          <w:rFonts w:ascii="Arial" w:eastAsia="Calibri" w:hAnsi="Arial" w:cs="Arial"/>
          <w:b/>
          <w:color w:val="000000" w:themeColor="text1"/>
          <w:sz w:val="22"/>
          <w:lang w:val="es-ES_tradnl"/>
        </w:rPr>
      </w:pPr>
    </w:p>
    <w:p w14:paraId="797AC596" w14:textId="2FA178CD" w:rsidR="00EC36B1" w:rsidRDefault="006174FA" w:rsidP="008C036D">
      <w:pPr>
        <w:tabs>
          <w:tab w:val="left" w:pos="1073"/>
        </w:tabs>
        <w:spacing w:line="276" w:lineRule="auto"/>
        <w:jc w:val="both"/>
        <w:rPr>
          <w:rFonts w:ascii="Arial" w:eastAsia="Calibri" w:hAnsi="Arial" w:cs="Arial"/>
          <w:b/>
          <w:sz w:val="22"/>
          <w:lang w:val="es-ES_tradnl"/>
        </w:rPr>
      </w:pPr>
      <w:r>
        <w:rPr>
          <w:rFonts w:ascii="Arial" w:eastAsia="Calibri" w:hAnsi="Arial" w:cs="Arial"/>
          <w:b/>
          <w:sz w:val="22"/>
          <w:lang w:val="es-ES_tradnl"/>
        </w:rPr>
        <w:t>DESCUENTO PUNTAJE EN LOS FACTORES DE CALIDAD – Anotaciones – Incumplimiento del contratista</w:t>
      </w:r>
    </w:p>
    <w:p w14:paraId="4DF899F3" w14:textId="77777777" w:rsidR="00EC36B1" w:rsidRDefault="00EC36B1" w:rsidP="008C036D">
      <w:pPr>
        <w:tabs>
          <w:tab w:val="left" w:pos="1073"/>
        </w:tabs>
        <w:spacing w:line="276" w:lineRule="auto"/>
        <w:jc w:val="both"/>
        <w:rPr>
          <w:rFonts w:ascii="Arial" w:eastAsia="Calibri" w:hAnsi="Arial" w:cs="Arial"/>
          <w:b/>
          <w:sz w:val="22"/>
          <w:lang w:val="es-ES_tradnl"/>
        </w:rPr>
      </w:pPr>
    </w:p>
    <w:p w14:paraId="2C062931" w14:textId="208F03CB" w:rsidR="003F63EE" w:rsidRPr="006E3D9D" w:rsidRDefault="003F63EE" w:rsidP="003F63EE">
      <w:pPr>
        <w:tabs>
          <w:tab w:val="left" w:pos="0"/>
        </w:tabs>
        <w:jc w:val="both"/>
        <w:rPr>
          <w:rFonts w:ascii="Arial" w:eastAsia="Calibri" w:hAnsi="Arial" w:cs="Arial"/>
          <w:color w:val="000000"/>
          <w:sz w:val="20"/>
          <w:szCs w:val="20"/>
          <w:lang w:val="es-MX" w:eastAsia="en-GB"/>
        </w:rPr>
      </w:pPr>
      <w:r>
        <w:rPr>
          <w:rFonts w:ascii="Arial" w:eastAsia="Calibri" w:hAnsi="Arial" w:cs="Arial"/>
          <w:color w:val="000000"/>
          <w:sz w:val="20"/>
          <w:szCs w:val="20"/>
          <w:lang w:eastAsia="en-GB"/>
        </w:rPr>
        <w:t xml:space="preserve">[…] </w:t>
      </w:r>
      <w:r w:rsidRPr="006E3D9D">
        <w:rPr>
          <w:rFonts w:ascii="Arial" w:eastAsia="Calibri" w:hAnsi="Arial" w:cs="Arial"/>
          <w:color w:val="000000"/>
          <w:sz w:val="20"/>
          <w:szCs w:val="20"/>
          <w:lang w:val="es-ES_tradnl" w:eastAsia="en-GB"/>
        </w:rPr>
        <w:t xml:space="preserve">el descuento del punto de la sumatoria obtenida en relación con el factor de calidad, del que trata el texto de los documentos base adoptados por la Agencia Nacional de Contratación Pública – Colombia Compra Eficiente, deberá efectuarse una vez la entidad realice la consulta y el análisis de las anotaciones en el Registro Nacional de Obras Civiles Inconclusas y determine </w:t>
      </w:r>
      <w:r w:rsidRPr="006E3D9D">
        <w:rPr>
          <w:rFonts w:ascii="Arial" w:eastAsia="Calibri" w:hAnsi="Arial" w:cs="Arial"/>
          <w:color w:val="000000"/>
          <w:sz w:val="20"/>
          <w:szCs w:val="20"/>
          <w:lang w:val="es-MX" w:eastAsia="en-GB"/>
        </w:rPr>
        <w:t xml:space="preserve">si esa anotación se dio por un incumplimiento del contratista. De esta manera, dependiendo del supuesto la entidad descontará el punto. </w:t>
      </w:r>
    </w:p>
    <w:p w14:paraId="0366F47A" w14:textId="77777777" w:rsidR="003F63EE" w:rsidRDefault="003F63EE" w:rsidP="003F63EE">
      <w:pPr>
        <w:tabs>
          <w:tab w:val="left" w:pos="0"/>
        </w:tabs>
        <w:jc w:val="both"/>
        <w:rPr>
          <w:rFonts w:ascii="Arial" w:eastAsia="Calibri" w:hAnsi="Arial" w:cs="Arial"/>
          <w:color w:val="000000"/>
          <w:sz w:val="20"/>
          <w:szCs w:val="20"/>
          <w:lang w:eastAsia="en-GB"/>
        </w:rPr>
      </w:pPr>
    </w:p>
    <w:p w14:paraId="1FBD9E3A" w14:textId="77777777" w:rsidR="003F63EE" w:rsidRPr="006E3D9D" w:rsidRDefault="003F63EE" w:rsidP="003F63EE">
      <w:pPr>
        <w:tabs>
          <w:tab w:val="left" w:pos="0"/>
        </w:tabs>
        <w:jc w:val="both"/>
        <w:rPr>
          <w:rFonts w:ascii="Arial" w:eastAsia="Calibri" w:hAnsi="Arial" w:cs="Arial"/>
          <w:color w:val="000000"/>
          <w:sz w:val="20"/>
          <w:szCs w:val="20"/>
          <w:lang w:val="es-MX" w:eastAsia="en-GB"/>
        </w:rPr>
      </w:pPr>
      <w:r>
        <w:rPr>
          <w:rFonts w:ascii="Arial" w:eastAsia="Calibri" w:hAnsi="Arial" w:cs="Arial"/>
          <w:color w:val="000000"/>
          <w:sz w:val="20"/>
          <w:szCs w:val="20"/>
          <w:lang w:val="es-MX" w:eastAsia="en-GB"/>
        </w:rPr>
        <w:t xml:space="preserve">[…] </w:t>
      </w:r>
      <w:r w:rsidRPr="006E3D9D">
        <w:rPr>
          <w:rFonts w:ascii="Arial" w:eastAsia="Calibri" w:hAnsi="Arial" w:cs="Arial"/>
          <w:color w:val="000000"/>
          <w:sz w:val="20"/>
          <w:szCs w:val="20"/>
          <w:lang w:eastAsia="en-GB"/>
        </w:rPr>
        <w:t>la sola inclusión en el Registro Nacional de Obras Civiles Inconclusas no puede entenderse suficiente para descontar el punto de la sumatoria obtenida de los factores de calidad. De todas formas, si en el informe de evaluación que realiza la entidad se produce la reducción del punto del factor de calidad bajo el único argumento de encontrarse en dicho Registro, sin efectuar un análisis previo de las anotaciones, el proponente, con fundamento en la interpretación de las normas, podrá formular la observación respectiva.</w:t>
      </w:r>
      <w:r>
        <w:rPr>
          <w:rFonts w:ascii="Arial" w:eastAsia="Calibri" w:hAnsi="Arial" w:cs="Arial"/>
          <w:color w:val="000000"/>
          <w:sz w:val="20"/>
          <w:szCs w:val="20"/>
          <w:lang w:eastAsia="en-GB"/>
        </w:rPr>
        <w:t xml:space="preserve"> </w:t>
      </w:r>
    </w:p>
    <w:p w14:paraId="5536E57B" w14:textId="199A2654" w:rsidR="00EC36B1" w:rsidRPr="003F63EE" w:rsidRDefault="00784181" w:rsidP="003F63EE">
      <w:pPr>
        <w:spacing w:after="200" w:line="276" w:lineRule="auto"/>
        <w:rPr>
          <w:rFonts w:ascii="Arial" w:eastAsia="Calibri" w:hAnsi="Arial" w:cs="Arial"/>
          <w:color w:val="000000"/>
          <w:sz w:val="20"/>
          <w:szCs w:val="20"/>
          <w:lang w:eastAsia="en-GB"/>
        </w:rPr>
      </w:pPr>
      <w:r>
        <w:rPr>
          <w:rFonts w:ascii="Arial" w:eastAsia="Calibri" w:hAnsi="Arial" w:cs="Arial"/>
          <w:color w:val="000000"/>
          <w:sz w:val="20"/>
          <w:szCs w:val="20"/>
          <w:lang w:eastAsia="en-GB"/>
        </w:rPr>
        <w:br w:type="page"/>
      </w:r>
    </w:p>
    <w:p w14:paraId="160CD82C" w14:textId="77777777" w:rsidR="00EE6A1A" w:rsidRDefault="00EE6A1A" w:rsidP="00C118DB">
      <w:pPr>
        <w:spacing w:line="276" w:lineRule="auto"/>
        <w:jc w:val="both"/>
        <w:rPr>
          <w:rFonts w:ascii="Arial" w:hAnsi="Arial" w:cs="Arial"/>
          <w:noProof/>
          <w:color w:val="000000" w:themeColor="text1"/>
          <w:sz w:val="22"/>
          <w:lang w:val="es-ES_tradnl"/>
        </w:rPr>
      </w:pPr>
    </w:p>
    <w:p w14:paraId="7DD48F49" w14:textId="5058F49C" w:rsidR="00B95C30" w:rsidRDefault="00B95C30" w:rsidP="00C118DB">
      <w:pPr>
        <w:spacing w:line="276" w:lineRule="auto"/>
        <w:jc w:val="both"/>
        <w:rPr>
          <w:rFonts w:ascii="Arial" w:hAnsi="Arial" w:cs="Arial"/>
          <w:b/>
          <w:color w:val="000000" w:themeColor="text1"/>
          <w:sz w:val="22"/>
          <w:lang w:val="es-ES"/>
        </w:rPr>
      </w:pPr>
      <w:r w:rsidRPr="00C118DB">
        <w:rPr>
          <w:rFonts w:ascii="Arial" w:hAnsi="Arial" w:cs="Arial"/>
          <w:noProof/>
          <w:color w:val="000000" w:themeColor="text1"/>
          <w:sz w:val="22"/>
          <w:lang w:val="pt-BR"/>
        </w:rPr>
        <w:t xml:space="preserve">Bogotá D.C., </w:t>
      </w:r>
      <w:r w:rsidR="00EC22CC">
        <w:rPr>
          <w:rFonts w:ascii="Arial" w:hAnsi="Arial" w:cs="Arial"/>
          <w:b/>
          <w:color w:val="000000" w:themeColor="text1"/>
          <w:sz w:val="22"/>
        </w:rPr>
        <w:t>29-03-2021 Hora 11:00:57</w:t>
      </w:r>
    </w:p>
    <w:p w14:paraId="7DF86128" w14:textId="77777777" w:rsidR="00784181" w:rsidRPr="00C118DB" w:rsidRDefault="00784181" w:rsidP="00C118DB">
      <w:pPr>
        <w:spacing w:line="276" w:lineRule="auto"/>
        <w:jc w:val="both"/>
        <w:rPr>
          <w:rFonts w:ascii="Arial" w:eastAsia="Calibri" w:hAnsi="Arial" w:cs="Arial"/>
          <w:noProof/>
          <w:color w:val="000000" w:themeColor="text1"/>
          <w:sz w:val="20"/>
          <w:lang w:val="pt-BR"/>
        </w:rPr>
      </w:pPr>
    </w:p>
    <w:p w14:paraId="6A8A869B" w14:textId="6FBE5200" w:rsidR="00B95C30" w:rsidRDefault="00EC22CC" w:rsidP="00EC22CC">
      <w:pPr>
        <w:jc w:val="right"/>
        <w:rPr>
          <w:rFonts w:ascii="Arial" w:hAnsi="Arial" w:cs="Arial"/>
          <w:b/>
          <w:color w:val="000000" w:themeColor="text1"/>
          <w:sz w:val="22"/>
          <w:lang w:val="pt-BR"/>
        </w:rPr>
      </w:pPr>
      <w:r>
        <w:rPr>
          <w:noProof/>
        </w:rPr>
        <w:drawing>
          <wp:inline distT="0" distB="0" distL="0" distR="0" wp14:anchorId="735CAA35" wp14:editId="3A89552C">
            <wp:extent cx="2505075" cy="800100"/>
            <wp:effectExtent l="0" t="0" r="9525"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43958" t="31998" r="30414" b="54719"/>
                    <a:stretch/>
                  </pic:blipFill>
                  <pic:spPr bwMode="auto">
                    <a:xfrm>
                      <a:off x="0" y="0"/>
                      <a:ext cx="2505075" cy="800100"/>
                    </a:xfrm>
                    <a:prstGeom prst="rect">
                      <a:avLst/>
                    </a:prstGeom>
                    <a:ln>
                      <a:noFill/>
                    </a:ln>
                    <a:extLst>
                      <a:ext uri="{53640926-AAD7-44D8-BBD7-CCE9431645EC}">
                        <a14:shadowObscured xmlns:a14="http://schemas.microsoft.com/office/drawing/2010/main"/>
                      </a:ext>
                    </a:extLst>
                  </pic:spPr>
                </pic:pic>
              </a:graphicData>
            </a:graphic>
          </wp:inline>
        </w:drawing>
      </w:r>
    </w:p>
    <w:p w14:paraId="312C191D" w14:textId="03CC4AFA" w:rsidR="00EC22CC" w:rsidRDefault="00EC22CC" w:rsidP="00B95C30">
      <w:pPr>
        <w:jc w:val="both"/>
        <w:rPr>
          <w:rFonts w:ascii="Arial" w:hAnsi="Arial" w:cs="Arial"/>
          <w:b/>
          <w:color w:val="000000" w:themeColor="text1"/>
          <w:sz w:val="22"/>
          <w:lang w:val="pt-BR"/>
        </w:rPr>
      </w:pPr>
    </w:p>
    <w:p w14:paraId="4F64F957" w14:textId="77777777" w:rsidR="00EC22CC" w:rsidRPr="00C118DB" w:rsidRDefault="00EC22CC" w:rsidP="00B95C30">
      <w:pPr>
        <w:jc w:val="both"/>
        <w:rPr>
          <w:rFonts w:ascii="Arial" w:hAnsi="Arial" w:cs="Arial"/>
          <w:b/>
          <w:color w:val="000000" w:themeColor="text1"/>
          <w:sz w:val="22"/>
          <w:lang w:val="pt-BR"/>
        </w:rPr>
      </w:pPr>
    </w:p>
    <w:p w14:paraId="5F5AE9EF" w14:textId="77777777" w:rsidR="00B95C30" w:rsidRPr="00E23980" w:rsidRDefault="00B95C30" w:rsidP="00B95C30">
      <w:pPr>
        <w:jc w:val="both"/>
        <w:rPr>
          <w:rFonts w:ascii="Arial" w:eastAsia="Calibri" w:hAnsi="Arial" w:cs="Arial"/>
          <w:color w:val="000000" w:themeColor="text1"/>
          <w:sz w:val="22"/>
          <w:lang w:val="es-ES_tradnl"/>
        </w:rPr>
      </w:pPr>
      <w:r w:rsidRPr="00E23980">
        <w:rPr>
          <w:rFonts w:ascii="Arial" w:eastAsia="Calibri" w:hAnsi="Arial" w:cs="Arial"/>
          <w:color w:val="000000" w:themeColor="text1"/>
          <w:sz w:val="22"/>
          <w:lang w:val="es-ES_tradnl"/>
        </w:rPr>
        <w:t>Señor</w:t>
      </w:r>
    </w:p>
    <w:p w14:paraId="42318E48" w14:textId="46F66A74" w:rsidR="00864CD5" w:rsidRDefault="00864CD5" w:rsidP="00B95C30">
      <w:pPr>
        <w:jc w:val="both"/>
        <w:rPr>
          <w:rFonts w:ascii="Arial" w:eastAsia="Calibri" w:hAnsi="Arial" w:cs="Arial"/>
          <w:b/>
          <w:color w:val="000000" w:themeColor="text1"/>
          <w:sz w:val="22"/>
          <w:lang w:val="es-ES_tradnl"/>
        </w:rPr>
      </w:pPr>
      <w:r>
        <w:rPr>
          <w:rFonts w:ascii="Arial" w:eastAsia="Calibri" w:hAnsi="Arial" w:cs="Arial"/>
          <w:b/>
          <w:color w:val="000000" w:themeColor="text1"/>
          <w:sz w:val="22"/>
          <w:lang w:val="es-ES_tradnl"/>
        </w:rPr>
        <w:t>Carlos Arturo Corzo López</w:t>
      </w:r>
    </w:p>
    <w:p w14:paraId="09D4AEA8" w14:textId="77A7C1F5" w:rsidR="00B95C30" w:rsidRPr="00E23980" w:rsidRDefault="00864CD5" w:rsidP="00B95C30">
      <w:pPr>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Bucaramanga, Santander</w:t>
      </w:r>
    </w:p>
    <w:p w14:paraId="24E8D2A9" w14:textId="3CB44600" w:rsidR="00B95C30" w:rsidRDefault="00B95C30" w:rsidP="00B95C30">
      <w:pPr>
        <w:jc w:val="both"/>
        <w:rPr>
          <w:rFonts w:ascii="Arial" w:eastAsia="Calibri" w:hAnsi="Arial" w:cs="Arial"/>
          <w:color w:val="000000" w:themeColor="text1"/>
          <w:sz w:val="22"/>
          <w:lang w:val="es-ES_tradnl"/>
        </w:rPr>
      </w:pPr>
    </w:p>
    <w:p w14:paraId="6AEE3B40" w14:textId="77777777" w:rsidR="00784181" w:rsidRPr="00E23980" w:rsidRDefault="00784181" w:rsidP="00B95C30">
      <w:pPr>
        <w:jc w:val="both"/>
        <w:rPr>
          <w:rFonts w:ascii="Arial" w:eastAsia="Calibri" w:hAnsi="Arial" w:cs="Arial"/>
          <w:color w:val="000000" w:themeColor="text1"/>
          <w:sz w:val="22"/>
          <w:lang w:val="es-ES_tradnl"/>
        </w:rPr>
      </w:pPr>
    </w:p>
    <w:p w14:paraId="12E66182" w14:textId="4A519C18" w:rsidR="00B95C30" w:rsidRPr="00E23980" w:rsidRDefault="00784181" w:rsidP="003F63EE">
      <w:pPr>
        <w:rPr>
          <w:rFonts w:ascii="Arial" w:eastAsia="Calibri" w:hAnsi="Arial" w:cs="Arial"/>
          <w:b/>
          <w:bCs/>
          <w:color w:val="000000" w:themeColor="text1"/>
          <w:sz w:val="22"/>
          <w:lang w:val="es-ES_tradnl"/>
        </w:rPr>
      </w:pPr>
      <w:r>
        <w:rPr>
          <w:rFonts w:ascii="Arial" w:eastAsia="Calibri" w:hAnsi="Arial" w:cs="Arial"/>
          <w:b/>
          <w:bCs/>
          <w:color w:val="000000" w:themeColor="text1"/>
          <w:sz w:val="22"/>
          <w:lang w:val="es-ES_tradnl"/>
        </w:rPr>
        <w:t xml:space="preserve">                                            </w:t>
      </w:r>
      <w:r w:rsidR="00864CD5">
        <w:rPr>
          <w:rFonts w:ascii="Arial" w:eastAsia="Calibri" w:hAnsi="Arial" w:cs="Arial"/>
          <w:b/>
          <w:bCs/>
          <w:color w:val="000000" w:themeColor="text1"/>
          <w:sz w:val="22"/>
          <w:lang w:val="es-ES_tradnl"/>
        </w:rPr>
        <w:t>Concepto C ‒ 110</w:t>
      </w:r>
      <w:r w:rsidR="00275FBF">
        <w:rPr>
          <w:rFonts w:ascii="Arial" w:eastAsia="Calibri" w:hAnsi="Arial" w:cs="Arial"/>
          <w:b/>
          <w:bCs/>
          <w:color w:val="000000" w:themeColor="text1"/>
          <w:sz w:val="22"/>
          <w:lang w:val="es-ES_tradnl"/>
        </w:rPr>
        <w:t xml:space="preserve"> de 2021</w:t>
      </w:r>
    </w:p>
    <w:p w14:paraId="1BD594F9" w14:textId="77777777" w:rsidR="00B95C30" w:rsidRPr="00E23980" w:rsidRDefault="00B95C30" w:rsidP="00B95C30">
      <w:pPr>
        <w:jc w:val="both"/>
        <w:rPr>
          <w:rFonts w:ascii="Arial" w:eastAsia="Calibri" w:hAnsi="Arial" w:cs="Arial"/>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B95C30" w:rsidRPr="00E23980" w14:paraId="19DFC051" w14:textId="77777777" w:rsidTr="00D15356">
        <w:tc>
          <w:tcPr>
            <w:tcW w:w="2689" w:type="dxa"/>
          </w:tcPr>
          <w:p w14:paraId="6BC0D1AC" w14:textId="77777777" w:rsidR="00B95C30" w:rsidRPr="00E23980" w:rsidRDefault="00B95C30" w:rsidP="00D15356">
            <w:pPr>
              <w:jc w:val="both"/>
              <w:rPr>
                <w:rFonts w:ascii="Arial" w:eastAsia="Calibri" w:hAnsi="Arial" w:cs="Arial"/>
                <w:color w:val="000000" w:themeColor="text1"/>
                <w:sz w:val="22"/>
                <w:lang w:val="es-ES_tradnl"/>
              </w:rPr>
            </w:pPr>
            <w:r w:rsidRPr="00E23980">
              <w:rPr>
                <w:rFonts w:ascii="Arial" w:eastAsia="Calibri" w:hAnsi="Arial" w:cs="Arial"/>
                <w:b/>
                <w:color w:val="000000" w:themeColor="text1"/>
                <w:sz w:val="22"/>
                <w:lang w:val="es-ES_tradnl"/>
              </w:rPr>
              <w:t>Temas:</w:t>
            </w:r>
            <w:r w:rsidRPr="00E23980">
              <w:rPr>
                <w:rFonts w:ascii="Arial" w:eastAsia="Calibri" w:hAnsi="Arial" w:cs="Arial"/>
                <w:color w:val="000000" w:themeColor="text1"/>
                <w:sz w:val="22"/>
                <w:lang w:val="es-ES_tradnl"/>
              </w:rPr>
              <w:t xml:space="preserve">                                      </w:t>
            </w:r>
          </w:p>
        </w:tc>
        <w:tc>
          <w:tcPr>
            <w:tcW w:w="6237" w:type="dxa"/>
          </w:tcPr>
          <w:p w14:paraId="5F389CAF" w14:textId="1A916AAB" w:rsidR="00B95C30" w:rsidRPr="00891838" w:rsidRDefault="006174FA" w:rsidP="00864CD5">
            <w:pPr>
              <w:jc w:val="both"/>
              <w:rPr>
                <w:rFonts w:ascii="Arial" w:eastAsia="Calibri" w:hAnsi="Arial" w:cs="Arial"/>
                <w:bCs/>
                <w:color w:val="000000" w:themeColor="text1"/>
                <w:sz w:val="22"/>
                <w:lang w:val="es-ES_tradnl"/>
              </w:rPr>
            </w:pPr>
            <w:r w:rsidRPr="00891838">
              <w:rPr>
                <w:rFonts w:ascii="Arial" w:eastAsia="Calibri" w:hAnsi="Arial" w:cs="Arial"/>
                <w:bCs/>
                <w:color w:val="000000" w:themeColor="text1"/>
                <w:sz w:val="22"/>
                <w:lang w:val="es-ES_tradnl"/>
              </w:rPr>
              <w:t xml:space="preserve">EXPOSICIÓN DE MOTIVOS – Ley 2020 de </w:t>
            </w:r>
            <w:r w:rsidR="003F63EE" w:rsidRPr="00891838">
              <w:rPr>
                <w:rFonts w:ascii="Arial" w:eastAsia="Calibri" w:hAnsi="Arial" w:cs="Arial"/>
                <w:bCs/>
                <w:color w:val="000000" w:themeColor="text1"/>
                <w:sz w:val="22"/>
                <w:lang w:val="es-ES_tradnl"/>
              </w:rPr>
              <w:t xml:space="preserve">2020 </w:t>
            </w:r>
            <w:r w:rsidR="004C683D" w:rsidRPr="00891838">
              <w:rPr>
                <w:rFonts w:ascii="Arial" w:eastAsia="Calibri" w:hAnsi="Arial" w:cs="Arial"/>
                <w:bCs/>
                <w:color w:val="000000" w:themeColor="text1"/>
                <w:sz w:val="22"/>
                <w:lang w:val="es-ES_tradnl"/>
              </w:rPr>
              <w:t>/</w:t>
            </w:r>
            <w:r w:rsidR="004C683D" w:rsidRPr="00891838">
              <w:rPr>
                <w:rFonts w:ascii="Arial" w:eastAsia="Calibri" w:hAnsi="Arial" w:cs="Arial"/>
                <w:bCs/>
                <w:sz w:val="22"/>
                <w:lang w:val="es-ES_tradnl"/>
              </w:rPr>
              <w:t xml:space="preserve"> </w:t>
            </w:r>
            <w:r w:rsidR="004C683D">
              <w:rPr>
                <w:rFonts w:ascii="Arial" w:eastAsia="Calibri" w:hAnsi="Arial" w:cs="Arial"/>
                <w:bCs/>
                <w:color w:val="000000" w:themeColor="text1"/>
                <w:sz w:val="22"/>
                <w:lang w:val="es-ES_tradnl"/>
              </w:rPr>
              <w:t>REGISTRO</w:t>
            </w:r>
            <w:r w:rsidR="002415B8" w:rsidRPr="00891838">
              <w:rPr>
                <w:rFonts w:ascii="Arial" w:eastAsia="Calibri" w:hAnsi="Arial" w:cs="Arial"/>
                <w:bCs/>
                <w:sz w:val="22"/>
                <w:lang w:val="es-ES_tradnl"/>
              </w:rPr>
              <w:t xml:space="preserve"> NACIONAL DE OBRAS CIVILES INCONCLUSAS – Concepto – Ley 2020 de 2020</w:t>
            </w:r>
            <w:r w:rsidR="00B95C30" w:rsidRPr="00891838">
              <w:rPr>
                <w:rFonts w:ascii="Arial" w:eastAsia="Calibri" w:hAnsi="Arial" w:cs="Arial"/>
                <w:bCs/>
                <w:sz w:val="22"/>
                <w:lang w:val="es-ES_tradnl"/>
              </w:rPr>
              <w:t xml:space="preserve"> /</w:t>
            </w:r>
            <w:r w:rsidR="002415B8" w:rsidRPr="00891838">
              <w:rPr>
                <w:rFonts w:ascii="Arial" w:eastAsia="Calibri" w:hAnsi="Arial" w:cs="Arial"/>
                <w:bCs/>
                <w:sz w:val="22"/>
                <w:lang w:val="es-ES_tradnl"/>
              </w:rPr>
              <w:t xml:space="preserve"> OBRA </w:t>
            </w:r>
            <w:r w:rsidR="00F6091B" w:rsidRPr="00891838">
              <w:rPr>
                <w:rFonts w:ascii="Arial" w:eastAsia="Calibri" w:hAnsi="Arial" w:cs="Arial"/>
                <w:bCs/>
                <w:sz w:val="22"/>
                <w:lang w:val="es-ES_tradnl"/>
              </w:rPr>
              <w:t>INCONCLUSA –</w:t>
            </w:r>
            <w:r w:rsidR="002415B8" w:rsidRPr="00891838">
              <w:rPr>
                <w:rFonts w:ascii="Arial" w:eastAsia="Calibri" w:hAnsi="Arial" w:cs="Arial"/>
                <w:bCs/>
                <w:sz w:val="22"/>
                <w:lang w:val="es-ES_tradnl"/>
              </w:rPr>
              <w:t xml:space="preserve"> Definición / REGISTRO NACIONAL DE OBRAS CIVILES </w:t>
            </w:r>
            <w:r w:rsidR="0065043E" w:rsidRPr="00891838">
              <w:rPr>
                <w:rFonts w:ascii="Arial" w:eastAsia="Calibri" w:hAnsi="Arial" w:cs="Arial"/>
                <w:bCs/>
                <w:sz w:val="22"/>
                <w:lang w:val="es-ES_tradnl"/>
              </w:rPr>
              <w:t>INCONCLUSAS –</w:t>
            </w:r>
            <w:r w:rsidR="002415B8" w:rsidRPr="00891838">
              <w:rPr>
                <w:rFonts w:ascii="Arial" w:eastAsia="Calibri" w:hAnsi="Arial" w:cs="Arial"/>
                <w:bCs/>
                <w:sz w:val="22"/>
                <w:lang w:val="es-ES_tradnl"/>
              </w:rPr>
              <w:t xml:space="preserve"> </w:t>
            </w:r>
            <w:r w:rsidRPr="00891838">
              <w:rPr>
                <w:rFonts w:ascii="Arial" w:eastAsia="Calibri" w:hAnsi="Arial" w:cs="Arial"/>
                <w:bCs/>
                <w:sz w:val="22"/>
                <w:lang w:val="es-ES_tradnl"/>
              </w:rPr>
              <w:t xml:space="preserve">Reporte de información / REGISTRO NACIONAL DE OBRAS CIVILES INCONCLUSAS – </w:t>
            </w:r>
            <w:r w:rsidR="00864CD5">
              <w:rPr>
                <w:rFonts w:ascii="Arial" w:eastAsia="Calibri" w:hAnsi="Arial" w:cs="Arial"/>
                <w:bCs/>
                <w:sz w:val="22"/>
                <w:lang w:val="es-ES_tradnl"/>
              </w:rPr>
              <w:t xml:space="preserve">Deber de verificación </w:t>
            </w:r>
            <w:r w:rsidRPr="00891838">
              <w:rPr>
                <w:rFonts w:ascii="Arial" w:eastAsia="Calibri" w:hAnsi="Arial" w:cs="Arial"/>
                <w:color w:val="000000" w:themeColor="text1"/>
                <w:sz w:val="22"/>
                <w:lang w:val="es-ES_tradnl"/>
              </w:rPr>
              <w:t xml:space="preserve">/ ANOTACIONES EN EL REGISTRO NACIONAL DE OBRAS INCONCLUSAS – Consultar y analizar / </w:t>
            </w:r>
            <w:r w:rsidR="00891838" w:rsidRPr="00891838">
              <w:rPr>
                <w:rFonts w:ascii="Arial" w:eastAsia="Calibri" w:hAnsi="Arial" w:cs="Arial"/>
                <w:sz w:val="22"/>
                <w:lang w:val="es-ES_tradnl"/>
              </w:rPr>
              <w:t>DESCUENTO PUNTAJE EN LOS FACTORES DE CALIDAD – Anotaciones – Incumplimiento del contratista</w:t>
            </w:r>
          </w:p>
        </w:tc>
      </w:tr>
      <w:tr w:rsidR="00B95C30" w:rsidRPr="00E23980" w14:paraId="27CD52AB" w14:textId="77777777" w:rsidTr="00D15356">
        <w:tc>
          <w:tcPr>
            <w:tcW w:w="2689" w:type="dxa"/>
          </w:tcPr>
          <w:p w14:paraId="37E195A1" w14:textId="3D4EB451" w:rsidR="00B95C30" w:rsidRPr="00E23980" w:rsidRDefault="00B95C30" w:rsidP="00D15356">
            <w:pPr>
              <w:spacing w:before="120"/>
              <w:jc w:val="both"/>
              <w:rPr>
                <w:rFonts w:ascii="Arial" w:eastAsia="Calibri" w:hAnsi="Arial" w:cs="Arial"/>
                <w:b/>
                <w:color w:val="000000" w:themeColor="text1"/>
                <w:sz w:val="22"/>
                <w:lang w:val="es-ES_tradnl"/>
              </w:rPr>
            </w:pPr>
            <w:r w:rsidRPr="00E23980">
              <w:rPr>
                <w:rFonts w:ascii="Arial" w:eastAsia="Calibri" w:hAnsi="Arial" w:cs="Arial"/>
                <w:b/>
                <w:color w:val="000000" w:themeColor="text1"/>
                <w:sz w:val="22"/>
                <w:lang w:val="es-ES_tradnl"/>
              </w:rPr>
              <w:t>Radicación:</w:t>
            </w:r>
            <w:r w:rsidRPr="00E23980">
              <w:rPr>
                <w:rFonts w:ascii="Arial" w:eastAsia="Calibri" w:hAnsi="Arial" w:cs="Arial"/>
                <w:color w:val="000000" w:themeColor="text1"/>
                <w:sz w:val="22"/>
                <w:lang w:val="es-ES_tradnl"/>
              </w:rPr>
              <w:t xml:space="preserve">                              </w:t>
            </w:r>
          </w:p>
        </w:tc>
        <w:tc>
          <w:tcPr>
            <w:tcW w:w="6237" w:type="dxa"/>
          </w:tcPr>
          <w:p w14:paraId="09088B1B" w14:textId="3248A0CC" w:rsidR="00B95C30" w:rsidRPr="00E23980" w:rsidRDefault="00B95C30" w:rsidP="00D15356">
            <w:pPr>
              <w:spacing w:before="120"/>
              <w:jc w:val="both"/>
              <w:rPr>
                <w:rFonts w:ascii="Arial" w:eastAsia="Calibri" w:hAnsi="Arial" w:cs="Arial"/>
                <w:color w:val="000000" w:themeColor="text1"/>
                <w:sz w:val="22"/>
                <w:lang w:val="es-ES_tradnl"/>
              </w:rPr>
            </w:pPr>
            <w:r w:rsidRPr="00E23980">
              <w:rPr>
                <w:rFonts w:ascii="Arial" w:eastAsia="Calibri" w:hAnsi="Arial" w:cs="Arial"/>
                <w:color w:val="000000" w:themeColor="text1"/>
                <w:sz w:val="22"/>
                <w:lang w:val="es-ES_tradnl"/>
              </w:rPr>
              <w:t xml:space="preserve">Respuesta a consulta </w:t>
            </w:r>
            <w:r w:rsidR="00E70850" w:rsidRPr="00E70850">
              <w:rPr>
                <w:rFonts w:ascii="Arial" w:eastAsia="Calibri" w:hAnsi="Arial" w:cs="Arial"/>
                <w:color w:val="000000" w:themeColor="text1"/>
                <w:sz w:val="22"/>
                <w:lang w:val="es-ES_tradnl"/>
              </w:rPr>
              <w:t>P20210214001207</w:t>
            </w:r>
          </w:p>
        </w:tc>
      </w:tr>
    </w:tbl>
    <w:p w14:paraId="635FAA34" w14:textId="37DE2A66" w:rsidR="006D69FA" w:rsidRDefault="006D69FA" w:rsidP="003C3339">
      <w:pPr>
        <w:jc w:val="both"/>
        <w:rPr>
          <w:rFonts w:ascii="Arial" w:eastAsia="Calibri" w:hAnsi="Arial" w:cs="Arial"/>
          <w:color w:val="000000" w:themeColor="text1"/>
          <w:sz w:val="22"/>
          <w:lang w:val="es-ES_tradnl"/>
        </w:rPr>
      </w:pPr>
    </w:p>
    <w:p w14:paraId="610D5130" w14:textId="77777777" w:rsidR="00784181" w:rsidRDefault="00784181" w:rsidP="003C3339">
      <w:pPr>
        <w:jc w:val="both"/>
        <w:rPr>
          <w:rFonts w:ascii="Arial" w:eastAsia="Calibri" w:hAnsi="Arial" w:cs="Arial"/>
          <w:color w:val="000000" w:themeColor="text1"/>
          <w:sz w:val="22"/>
          <w:lang w:val="es-ES_tradnl"/>
        </w:rPr>
      </w:pPr>
    </w:p>
    <w:p w14:paraId="1CF4AEA0" w14:textId="1142AF42" w:rsidR="003C3339" w:rsidRPr="00E23980" w:rsidRDefault="003C3339" w:rsidP="003C3339">
      <w:pPr>
        <w:jc w:val="both"/>
        <w:rPr>
          <w:rFonts w:ascii="Arial" w:eastAsia="Calibri" w:hAnsi="Arial" w:cs="Arial"/>
          <w:color w:val="000000" w:themeColor="text1"/>
          <w:sz w:val="22"/>
          <w:lang w:val="es-ES_tradnl"/>
        </w:rPr>
      </w:pPr>
      <w:r w:rsidRPr="00E23980">
        <w:rPr>
          <w:rFonts w:ascii="Arial" w:eastAsia="Calibri" w:hAnsi="Arial" w:cs="Arial"/>
          <w:color w:val="000000" w:themeColor="text1"/>
          <w:sz w:val="22"/>
          <w:lang w:val="es-ES_tradnl"/>
        </w:rPr>
        <w:t xml:space="preserve">Estimado señor </w:t>
      </w:r>
      <w:r w:rsidR="00864CD5">
        <w:rPr>
          <w:rFonts w:ascii="Arial" w:eastAsia="Calibri" w:hAnsi="Arial" w:cs="Arial"/>
          <w:color w:val="000000" w:themeColor="text1"/>
          <w:sz w:val="22"/>
          <w:lang w:val="es-ES_tradnl"/>
        </w:rPr>
        <w:t>Corzo</w:t>
      </w:r>
      <w:r w:rsidRPr="00E23980">
        <w:rPr>
          <w:rFonts w:ascii="Arial" w:eastAsia="Calibri" w:hAnsi="Arial" w:cs="Arial"/>
          <w:color w:val="000000" w:themeColor="text1"/>
          <w:sz w:val="22"/>
          <w:lang w:val="es-ES_tradnl"/>
        </w:rPr>
        <w:t>:</w:t>
      </w:r>
    </w:p>
    <w:p w14:paraId="1EAE5543" w14:textId="77777777" w:rsidR="00DD5B04" w:rsidRPr="00E23980" w:rsidRDefault="00DD5B04" w:rsidP="00DF76A2">
      <w:pPr>
        <w:jc w:val="both"/>
        <w:rPr>
          <w:rFonts w:ascii="Arial" w:eastAsia="Calibri" w:hAnsi="Arial" w:cs="Arial"/>
          <w:color w:val="000000" w:themeColor="text1"/>
          <w:sz w:val="22"/>
          <w:lang w:val="es-ES_tradnl"/>
        </w:rPr>
      </w:pPr>
    </w:p>
    <w:p w14:paraId="2109B2D3" w14:textId="53759FEC" w:rsidR="00DD5B04" w:rsidRPr="00E23980" w:rsidRDefault="00DD5B04" w:rsidP="00DF76A2">
      <w:pPr>
        <w:spacing w:line="276" w:lineRule="auto"/>
        <w:jc w:val="both"/>
        <w:rPr>
          <w:rFonts w:ascii="Arial" w:eastAsia="Calibri" w:hAnsi="Arial" w:cs="Arial"/>
          <w:color w:val="000000" w:themeColor="text1"/>
          <w:sz w:val="22"/>
          <w:lang w:val="es-ES_tradnl"/>
        </w:rPr>
      </w:pPr>
      <w:r w:rsidRPr="00E23980">
        <w:rPr>
          <w:rFonts w:ascii="Arial" w:eastAsia="Calibri" w:hAnsi="Arial" w:cs="Arial"/>
          <w:color w:val="000000" w:themeColor="text1"/>
          <w:sz w:val="22"/>
          <w:lang w:val="es-ES_tradnl"/>
        </w:rPr>
        <w:t xml:space="preserve">En ejercicio de la competencia otorgada por el numeral 8 del artículo 11 y el numeral 5 del artículo 3 del Decreto Ley 4170 de 2011, la Agencia Nacional de Contratación Pública </w:t>
      </w:r>
      <w:r w:rsidR="00784181">
        <w:rPr>
          <w:rFonts w:ascii="Arial" w:eastAsia="Calibri" w:hAnsi="Arial" w:cs="Arial"/>
          <w:color w:val="000000" w:themeColor="text1"/>
          <w:sz w:val="22"/>
          <w:lang w:val="es-ES_tradnl"/>
        </w:rPr>
        <w:t>–</w:t>
      </w:r>
      <w:r w:rsidRPr="00E23980">
        <w:rPr>
          <w:rFonts w:ascii="Arial" w:eastAsia="Calibri" w:hAnsi="Arial" w:cs="Arial"/>
          <w:color w:val="000000" w:themeColor="text1"/>
          <w:sz w:val="22"/>
          <w:lang w:val="es-ES_tradnl"/>
        </w:rPr>
        <w:t xml:space="preserve"> Colombia Compra Eficiente</w:t>
      </w:r>
      <w:r w:rsidR="00CE69CC" w:rsidRPr="00E23980">
        <w:rPr>
          <w:rFonts w:ascii="Arial" w:eastAsia="Calibri" w:hAnsi="Arial" w:cs="Arial"/>
          <w:color w:val="000000" w:themeColor="text1"/>
          <w:sz w:val="22"/>
          <w:lang w:val="es-ES_tradnl"/>
        </w:rPr>
        <w:t>, a través de la Subdirección de Gestión Contractual,</w:t>
      </w:r>
      <w:r w:rsidRPr="00E23980">
        <w:rPr>
          <w:rFonts w:ascii="Arial" w:eastAsia="Calibri" w:hAnsi="Arial" w:cs="Arial"/>
          <w:color w:val="000000" w:themeColor="text1"/>
          <w:sz w:val="22"/>
          <w:lang w:val="es-ES_tradnl"/>
        </w:rPr>
        <w:t xml:space="preserve"> responde su consulta del </w:t>
      </w:r>
      <w:r w:rsidR="00864CD5">
        <w:rPr>
          <w:rFonts w:ascii="Arial" w:eastAsia="Calibri" w:hAnsi="Arial" w:cs="Arial"/>
          <w:color w:val="000000" w:themeColor="text1"/>
          <w:sz w:val="22"/>
          <w:lang w:val="es-ES_tradnl"/>
        </w:rPr>
        <w:t>13</w:t>
      </w:r>
      <w:r w:rsidR="00FD4AF3" w:rsidRPr="00E23980">
        <w:rPr>
          <w:rFonts w:ascii="Arial" w:eastAsia="Calibri" w:hAnsi="Arial" w:cs="Arial"/>
          <w:color w:val="000000" w:themeColor="text1"/>
          <w:sz w:val="22"/>
          <w:lang w:val="es-ES_tradnl"/>
        </w:rPr>
        <w:t xml:space="preserve"> de </w:t>
      </w:r>
      <w:r w:rsidR="006D69FA">
        <w:rPr>
          <w:rFonts w:ascii="Arial" w:eastAsia="Calibri" w:hAnsi="Arial" w:cs="Arial"/>
          <w:color w:val="000000" w:themeColor="text1"/>
          <w:sz w:val="22"/>
          <w:lang w:val="es-ES_tradnl"/>
        </w:rPr>
        <w:t>febrero</w:t>
      </w:r>
      <w:r w:rsidRPr="00E23980">
        <w:rPr>
          <w:rFonts w:ascii="Arial" w:eastAsia="Calibri" w:hAnsi="Arial" w:cs="Arial"/>
          <w:color w:val="000000" w:themeColor="text1"/>
          <w:sz w:val="22"/>
          <w:lang w:val="es-ES_tradnl"/>
        </w:rPr>
        <w:t xml:space="preserve"> del</w:t>
      </w:r>
      <w:r w:rsidR="007E74BF" w:rsidRPr="00E23980">
        <w:rPr>
          <w:rFonts w:ascii="Arial" w:eastAsia="Calibri" w:hAnsi="Arial" w:cs="Arial"/>
          <w:color w:val="000000" w:themeColor="text1"/>
          <w:sz w:val="22"/>
          <w:lang w:val="es-ES_tradnl"/>
        </w:rPr>
        <w:t xml:space="preserve"> </w:t>
      </w:r>
      <w:r w:rsidR="006D69FA">
        <w:rPr>
          <w:rFonts w:ascii="Arial" w:eastAsia="Calibri" w:hAnsi="Arial" w:cs="Arial"/>
          <w:color w:val="000000" w:themeColor="text1"/>
          <w:sz w:val="22"/>
          <w:lang w:val="es-ES_tradnl"/>
        </w:rPr>
        <w:t xml:space="preserve">2021. </w:t>
      </w:r>
    </w:p>
    <w:p w14:paraId="0C1E0712" w14:textId="77777777" w:rsidR="00DD5B04" w:rsidRPr="00E23980" w:rsidRDefault="00DD5B04" w:rsidP="00DF76A2">
      <w:pPr>
        <w:spacing w:line="276" w:lineRule="auto"/>
        <w:jc w:val="both"/>
        <w:rPr>
          <w:rFonts w:ascii="Arial" w:eastAsia="Calibri" w:hAnsi="Arial" w:cs="Arial"/>
          <w:b/>
          <w:color w:val="000000" w:themeColor="text1"/>
          <w:sz w:val="22"/>
          <w:lang w:val="es-ES_tradnl"/>
        </w:rPr>
      </w:pPr>
    </w:p>
    <w:p w14:paraId="7701FCC7" w14:textId="14941EBB" w:rsidR="00DD5B04" w:rsidRPr="00E23980"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E23980">
        <w:rPr>
          <w:rFonts w:ascii="Arial" w:eastAsia="Calibri" w:hAnsi="Arial" w:cs="Arial"/>
          <w:b/>
          <w:color w:val="000000" w:themeColor="text1"/>
          <w:sz w:val="22"/>
          <w:lang w:val="es-ES_tradnl"/>
        </w:rPr>
        <w:t>Problema</w:t>
      </w:r>
      <w:r w:rsidR="00C02DBF">
        <w:rPr>
          <w:rFonts w:ascii="Arial" w:eastAsia="Calibri" w:hAnsi="Arial" w:cs="Arial"/>
          <w:b/>
          <w:color w:val="000000" w:themeColor="text1"/>
          <w:sz w:val="22"/>
          <w:lang w:val="es-ES_tradnl"/>
        </w:rPr>
        <w:t>s</w:t>
      </w:r>
      <w:r w:rsidRPr="00E23980">
        <w:rPr>
          <w:rFonts w:ascii="Arial" w:eastAsia="Calibri" w:hAnsi="Arial" w:cs="Arial"/>
          <w:b/>
          <w:color w:val="000000" w:themeColor="text1"/>
          <w:sz w:val="22"/>
          <w:lang w:val="es-ES_tradnl"/>
        </w:rPr>
        <w:t xml:space="preserve"> planteado</w:t>
      </w:r>
      <w:r w:rsidR="00C02DBF">
        <w:rPr>
          <w:rFonts w:ascii="Arial" w:eastAsia="Calibri" w:hAnsi="Arial" w:cs="Arial"/>
          <w:b/>
          <w:color w:val="000000" w:themeColor="text1"/>
          <w:sz w:val="22"/>
          <w:lang w:val="es-ES_tradnl"/>
        </w:rPr>
        <w:t>s</w:t>
      </w:r>
      <w:r w:rsidRPr="00E23980">
        <w:rPr>
          <w:rFonts w:ascii="Arial" w:eastAsia="Calibri" w:hAnsi="Arial" w:cs="Arial"/>
          <w:b/>
          <w:color w:val="000000" w:themeColor="text1"/>
          <w:sz w:val="22"/>
          <w:lang w:val="es-ES_tradnl"/>
        </w:rPr>
        <w:t xml:space="preserve"> </w:t>
      </w:r>
    </w:p>
    <w:p w14:paraId="224B43D3" w14:textId="77777777" w:rsidR="00DD5B04" w:rsidRPr="00E23980" w:rsidRDefault="00DD5B04" w:rsidP="00DF76A2">
      <w:pPr>
        <w:tabs>
          <w:tab w:val="left" w:pos="426"/>
        </w:tabs>
        <w:spacing w:line="276" w:lineRule="auto"/>
        <w:jc w:val="both"/>
        <w:rPr>
          <w:rFonts w:ascii="Arial" w:eastAsia="Calibri" w:hAnsi="Arial" w:cs="Arial"/>
          <w:b/>
          <w:color w:val="000000" w:themeColor="text1"/>
          <w:sz w:val="22"/>
          <w:lang w:val="es-ES_tradnl"/>
        </w:rPr>
      </w:pPr>
    </w:p>
    <w:p w14:paraId="15273B68" w14:textId="2BE9A43E" w:rsidR="00827203" w:rsidRDefault="00C02DBF" w:rsidP="003F63EE">
      <w:pPr>
        <w:spacing w:line="276" w:lineRule="auto"/>
        <w:jc w:val="both"/>
        <w:rPr>
          <w:rFonts w:ascii="Arial" w:hAnsi="Arial" w:cs="Arial"/>
          <w:color w:val="000000" w:themeColor="text1"/>
          <w:sz w:val="21"/>
          <w:szCs w:val="21"/>
          <w:lang w:val="es-ES_tradnl"/>
        </w:rPr>
      </w:pPr>
      <w:r>
        <w:rPr>
          <w:rFonts w:ascii="Arial" w:hAnsi="Arial" w:cs="Arial"/>
          <w:color w:val="000000" w:themeColor="text1"/>
          <w:sz w:val="22"/>
          <w:lang w:val="es-ES_tradnl"/>
        </w:rPr>
        <w:t>S</w:t>
      </w:r>
      <w:r w:rsidR="004A41BA">
        <w:rPr>
          <w:rFonts w:ascii="Arial" w:hAnsi="Arial" w:cs="Arial"/>
          <w:color w:val="000000" w:themeColor="text1"/>
          <w:sz w:val="22"/>
          <w:lang w:val="es-ES_tradnl"/>
        </w:rPr>
        <w:t xml:space="preserve">obre </w:t>
      </w:r>
      <w:r w:rsidR="00497B15">
        <w:rPr>
          <w:rFonts w:ascii="Arial" w:hAnsi="Arial" w:cs="Arial"/>
          <w:color w:val="000000" w:themeColor="text1"/>
          <w:sz w:val="22"/>
          <w:lang w:val="es-ES_tradnl"/>
        </w:rPr>
        <w:t xml:space="preserve">el criterio de </w:t>
      </w:r>
      <w:r>
        <w:rPr>
          <w:rFonts w:ascii="Arial" w:hAnsi="Arial" w:cs="Arial"/>
          <w:color w:val="000000" w:themeColor="text1"/>
          <w:sz w:val="22"/>
          <w:lang w:val="es-ES_tradnl"/>
        </w:rPr>
        <w:t xml:space="preserve">asignación de puntaje </w:t>
      </w:r>
      <w:r w:rsidR="00497B15">
        <w:rPr>
          <w:rFonts w:ascii="Arial" w:hAnsi="Arial" w:cs="Arial"/>
          <w:color w:val="000000" w:themeColor="text1"/>
          <w:sz w:val="22"/>
          <w:lang w:val="es-ES_tradnl"/>
        </w:rPr>
        <w:t xml:space="preserve">establecido </w:t>
      </w:r>
      <w:r>
        <w:rPr>
          <w:rFonts w:ascii="Arial" w:hAnsi="Arial" w:cs="Arial"/>
          <w:color w:val="000000" w:themeColor="text1"/>
          <w:sz w:val="22"/>
          <w:lang w:val="es-ES_tradnl"/>
        </w:rPr>
        <w:t>para</w:t>
      </w:r>
      <w:r w:rsidR="00497B15">
        <w:rPr>
          <w:rFonts w:ascii="Arial" w:hAnsi="Arial" w:cs="Arial"/>
          <w:color w:val="000000" w:themeColor="text1"/>
          <w:sz w:val="22"/>
          <w:lang w:val="es-ES_tradnl"/>
        </w:rPr>
        <w:t xml:space="preserve"> el </w:t>
      </w:r>
      <w:r>
        <w:rPr>
          <w:rFonts w:ascii="Arial" w:hAnsi="Arial" w:cs="Arial"/>
          <w:color w:val="000000" w:themeColor="text1"/>
          <w:sz w:val="22"/>
          <w:lang w:val="es-ES_tradnl"/>
        </w:rPr>
        <w:t xml:space="preserve">factor de calidad </w:t>
      </w:r>
      <w:r w:rsidR="00497B15">
        <w:rPr>
          <w:rFonts w:ascii="Arial" w:hAnsi="Arial" w:cs="Arial"/>
          <w:color w:val="000000" w:themeColor="text1"/>
          <w:sz w:val="22"/>
          <w:lang w:val="es-ES_tradnl"/>
        </w:rPr>
        <w:t xml:space="preserve">en los </w:t>
      </w:r>
      <w:r>
        <w:rPr>
          <w:rFonts w:ascii="Arial" w:hAnsi="Arial" w:cs="Arial"/>
          <w:color w:val="000000" w:themeColor="text1"/>
          <w:sz w:val="22"/>
          <w:lang w:val="es-ES_tradnl"/>
        </w:rPr>
        <w:t>documentos tipo respecto a</w:t>
      </w:r>
      <w:r w:rsidR="004A41BA">
        <w:rPr>
          <w:rFonts w:ascii="Arial" w:hAnsi="Arial" w:cs="Arial"/>
          <w:color w:val="000000" w:themeColor="text1"/>
          <w:sz w:val="22"/>
          <w:lang w:val="es-ES_tradnl"/>
        </w:rPr>
        <w:t xml:space="preserve"> las anotaciones en e</w:t>
      </w:r>
      <w:r w:rsidR="00497B15">
        <w:rPr>
          <w:rFonts w:ascii="Arial" w:hAnsi="Arial" w:cs="Arial"/>
          <w:color w:val="000000" w:themeColor="text1"/>
          <w:sz w:val="22"/>
          <w:lang w:val="es-ES_tradnl"/>
        </w:rPr>
        <w:t xml:space="preserve">l Registro Nacional de Obras </w:t>
      </w:r>
      <w:r w:rsidR="004A41BA">
        <w:rPr>
          <w:rFonts w:ascii="Arial" w:hAnsi="Arial" w:cs="Arial"/>
          <w:color w:val="000000" w:themeColor="text1"/>
          <w:sz w:val="22"/>
          <w:lang w:val="es-ES_tradnl"/>
        </w:rPr>
        <w:t xml:space="preserve">Civiles </w:t>
      </w:r>
      <w:r w:rsidR="00497B15">
        <w:rPr>
          <w:rFonts w:ascii="Arial" w:hAnsi="Arial" w:cs="Arial"/>
          <w:color w:val="000000" w:themeColor="text1"/>
          <w:sz w:val="22"/>
          <w:lang w:val="es-ES_tradnl"/>
        </w:rPr>
        <w:t>Inconclusas</w:t>
      </w:r>
      <w:r>
        <w:rPr>
          <w:rFonts w:ascii="Arial" w:hAnsi="Arial" w:cs="Arial"/>
          <w:color w:val="000000" w:themeColor="text1"/>
          <w:sz w:val="22"/>
          <w:lang w:val="es-ES_tradnl"/>
        </w:rPr>
        <w:t>, usted realiza las siguientes preguntas</w:t>
      </w:r>
      <w:r w:rsidR="00497B15">
        <w:rPr>
          <w:rFonts w:ascii="Arial" w:hAnsi="Arial" w:cs="Arial"/>
          <w:color w:val="000000" w:themeColor="text1"/>
          <w:sz w:val="22"/>
          <w:lang w:val="es-ES_tradnl"/>
        </w:rPr>
        <w:t>:</w:t>
      </w:r>
      <w:r>
        <w:rPr>
          <w:rFonts w:ascii="Arial" w:hAnsi="Arial" w:cs="Arial"/>
          <w:color w:val="000000" w:themeColor="text1"/>
          <w:sz w:val="22"/>
          <w:lang w:val="es-ES_tradnl"/>
        </w:rPr>
        <w:t xml:space="preserve"> </w:t>
      </w:r>
      <w:r w:rsidRPr="00A94D26">
        <w:rPr>
          <w:rFonts w:ascii="Arial" w:hAnsi="Arial" w:cs="Arial"/>
          <w:color w:val="000000" w:themeColor="text1"/>
          <w:sz w:val="22"/>
          <w:szCs w:val="22"/>
          <w:lang w:val="es-ES_tradnl"/>
        </w:rPr>
        <w:t xml:space="preserve">i) </w:t>
      </w:r>
      <w:r w:rsidR="00F0435D" w:rsidRPr="003F63EE">
        <w:rPr>
          <w:rFonts w:ascii="Arial" w:hAnsi="Arial" w:cs="Arial"/>
          <w:color w:val="000000" w:themeColor="text1"/>
          <w:sz w:val="22"/>
          <w:szCs w:val="22"/>
          <w:lang w:val="es-ES_tradnl"/>
        </w:rPr>
        <w:t>«</w:t>
      </w:r>
      <w:r w:rsidR="00864CD5" w:rsidRPr="003F63EE">
        <w:rPr>
          <w:rFonts w:ascii="Arial" w:hAnsi="Arial" w:cs="Arial"/>
          <w:color w:val="000000" w:themeColor="text1"/>
          <w:sz w:val="22"/>
          <w:szCs w:val="22"/>
          <w:lang w:val="es-ES_tradnl"/>
        </w:rPr>
        <w:t xml:space="preserve">En un proceso de Licitación </w:t>
      </w:r>
      <w:r w:rsidR="000D0AA7" w:rsidRPr="003F63EE">
        <w:rPr>
          <w:rFonts w:ascii="Arial" w:hAnsi="Arial" w:cs="Arial"/>
          <w:color w:val="000000" w:themeColor="text1"/>
          <w:sz w:val="22"/>
          <w:szCs w:val="22"/>
          <w:lang w:val="es-ES_tradnl"/>
        </w:rPr>
        <w:t>pública</w:t>
      </w:r>
      <w:r w:rsidR="00864CD5" w:rsidRPr="003F63EE">
        <w:rPr>
          <w:rFonts w:ascii="Arial" w:hAnsi="Arial" w:cs="Arial"/>
          <w:color w:val="000000" w:themeColor="text1"/>
          <w:sz w:val="22"/>
          <w:szCs w:val="22"/>
          <w:lang w:val="es-ES_tradnl"/>
        </w:rPr>
        <w:t xml:space="preserve"> al realizar la búsqueda de los proponentes sean persona natural o jurídica en el registro de Obras Inconclusas (DIARI) de la Contraloría General de la Republica y esta aparece en </w:t>
      </w:r>
      <w:r w:rsidR="00864CD5" w:rsidRPr="003F63EE">
        <w:rPr>
          <w:rFonts w:ascii="Arial" w:hAnsi="Arial" w:cs="Arial"/>
          <w:color w:val="000000" w:themeColor="text1"/>
          <w:sz w:val="22"/>
          <w:szCs w:val="22"/>
          <w:lang w:val="es-ES_tradnl"/>
        </w:rPr>
        <w:lastRenderedPageBreak/>
        <w:t xml:space="preserve">dicho registro se le descontara un (1) </w:t>
      </w:r>
      <w:r w:rsidR="00497B15" w:rsidRPr="003F63EE">
        <w:rPr>
          <w:rFonts w:ascii="Arial" w:hAnsi="Arial" w:cs="Arial"/>
          <w:color w:val="000000" w:themeColor="text1"/>
          <w:sz w:val="22"/>
          <w:szCs w:val="22"/>
          <w:lang w:val="es-ES_tradnl"/>
        </w:rPr>
        <w:t xml:space="preserve">(sic) </w:t>
      </w:r>
      <w:r w:rsidR="00864CD5" w:rsidRPr="003F63EE">
        <w:rPr>
          <w:rFonts w:ascii="Arial" w:hAnsi="Arial" w:cs="Arial"/>
          <w:color w:val="000000" w:themeColor="text1"/>
          <w:sz w:val="22"/>
          <w:szCs w:val="22"/>
          <w:lang w:val="es-ES_tradnl"/>
        </w:rPr>
        <w:t>de la sumatoria obtenida en el Factor calidad</w:t>
      </w:r>
      <w:r w:rsidRPr="003F63EE">
        <w:rPr>
          <w:rFonts w:ascii="Arial" w:hAnsi="Arial" w:cs="Arial"/>
          <w:color w:val="000000" w:themeColor="text1"/>
          <w:sz w:val="22"/>
          <w:szCs w:val="22"/>
          <w:lang w:val="es-ES_tradnl"/>
        </w:rPr>
        <w:t xml:space="preserve">», </w:t>
      </w:r>
      <w:proofErr w:type="spellStart"/>
      <w:r w:rsidRPr="003F63EE">
        <w:rPr>
          <w:rFonts w:ascii="Arial" w:hAnsi="Arial" w:cs="Arial"/>
          <w:color w:val="000000" w:themeColor="text1"/>
          <w:sz w:val="22"/>
          <w:szCs w:val="22"/>
          <w:lang w:val="es-ES_tradnl"/>
        </w:rPr>
        <w:t>ii</w:t>
      </w:r>
      <w:proofErr w:type="spellEnd"/>
      <w:r w:rsidRPr="003F63EE">
        <w:rPr>
          <w:rFonts w:ascii="Arial" w:hAnsi="Arial" w:cs="Arial"/>
          <w:color w:val="000000" w:themeColor="text1"/>
          <w:sz w:val="22"/>
          <w:szCs w:val="22"/>
          <w:lang w:val="es-ES_tradnl"/>
        </w:rPr>
        <w:t>) «</w:t>
      </w:r>
      <w:r w:rsidR="00864CD5" w:rsidRPr="003F63EE">
        <w:rPr>
          <w:rFonts w:ascii="Arial" w:hAnsi="Arial" w:cs="Arial"/>
          <w:color w:val="000000" w:themeColor="text1"/>
          <w:sz w:val="22"/>
          <w:szCs w:val="22"/>
          <w:lang w:val="es-ES_tradnl"/>
        </w:rPr>
        <w:t>Con el solo resultado de aparecer en el registro de Obras inconclusas (DIARI) la empresa sea persona natural o jurídica se le descontaría un (1) punto o requiere que la entidad que realiza el proceso de licitación solicite o analice las anotaciones vigentes para descontar el punto del factor calidad</w:t>
      </w:r>
      <w:r w:rsidRPr="003F63EE">
        <w:rPr>
          <w:rFonts w:ascii="Arial" w:hAnsi="Arial" w:cs="Arial"/>
          <w:color w:val="000000" w:themeColor="text1"/>
          <w:sz w:val="22"/>
          <w:szCs w:val="22"/>
          <w:lang w:val="es-ES_tradnl"/>
        </w:rPr>
        <w:t xml:space="preserve">» y </w:t>
      </w:r>
      <w:proofErr w:type="spellStart"/>
      <w:r w:rsidRPr="003F63EE">
        <w:rPr>
          <w:rFonts w:ascii="Arial" w:hAnsi="Arial" w:cs="Arial"/>
          <w:color w:val="000000" w:themeColor="text1"/>
          <w:sz w:val="22"/>
          <w:szCs w:val="22"/>
          <w:lang w:val="es-ES_tradnl"/>
        </w:rPr>
        <w:t>iii</w:t>
      </w:r>
      <w:proofErr w:type="spellEnd"/>
      <w:r w:rsidRPr="003F63EE">
        <w:rPr>
          <w:rFonts w:ascii="Arial" w:hAnsi="Arial" w:cs="Arial"/>
          <w:color w:val="000000" w:themeColor="text1"/>
          <w:sz w:val="22"/>
          <w:szCs w:val="22"/>
          <w:lang w:val="es-ES_tradnl"/>
        </w:rPr>
        <w:t>) «</w:t>
      </w:r>
      <w:r w:rsidR="00864CD5" w:rsidRPr="003F63EE">
        <w:rPr>
          <w:rFonts w:ascii="Arial" w:hAnsi="Arial" w:cs="Arial"/>
          <w:color w:val="000000" w:themeColor="text1"/>
          <w:sz w:val="22"/>
          <w:szCs w:val="22"/>
          <w:lang w:val="es-ES_tradnl"/>
        </w:rPr>
        <w:t>Cualquier empresa sea persona natural o jurídica que esté incluida en el registro de Obras inconclusas se puede afirmar que tendría un (1) punto menos al momento de participar en un proceso de licitación</w:t>
      </w:r>
      <w:r w:rsidR="00F23759" w:rsidRPr="003F63EE">
        <w:rPr>
          <w:rFonts w:ascii="Arial" w:hAnsi="Arial" w:cs="Arial"/>
          <w:color w:val="000000" w:themeColor="text1"/>
          <w:sz w:val="22"/>
          <w:szCs w:val="22"/>
          <w:lang w:val="es-ES_tradnl"/>
        </w:rPr>
        <w:t>»</w:t>
      </w:r>
      <w:r w:rsidR="00D32A27" w:rsidRPr="003F63EE">
        <w:rPr>
          <w:rFonts w:ascii="Arial" w:hAnsi="Arial" w:cs="Arial"/>
          <w:color w:val="000000" w:themeColor="text1"/>
          <w:sz w:val="22"/>
          <w:szCs w:val="22"/>
          <w:lang w:val="es-ES_tradnl"/>
        </w:rPr>
        <w:t>.</w:t>
      </w:r>
    </w:p>
    <w:p w14:paraId="2A79DF8F" w14:textId="77777777" w:rsidR="00864CD5" w:rsidRPr="00864CD5" w:rsidRDefault="00864CD5" w:rsidP="00864CD5">
      <w:pPr>
        <w:ind w:left="709" w:right="709"/>
        <w:jc w:val="both"/>
        <w:rPr>
          <w:rFonts w:ascii="Arial" w:hAnsi="Arial" w:cs="Arial"/>
          <w:color w:val="000000" w:themeColor="text1"/>
          <w:sz w:val="21"/>
          <w:szCs w:val="21"/>
          <w:lang w:val="es-ES_tradnl"/>
        </w:rPr>
      </w:pPr>
    </w:p>
    <w:p w14:paraId="505D2AC2" w14:textId="36A001B5" w:rsidR="00904C33" w:rsidRDefault="00DD5B04" w:rsidP="00904C33">
      <w:pPr>
        <w:pStyle w:val="Prrafodelista"/>
        <w:numPr>
          <w:ilvl w:val="0"/>
          <w:numId w:val="8"/>
        </w:numPr>
        <w:tabs>
          <w:tab w:val="left" w:pos="0"/>
          <w:tab w:val="left" w:pos="284"/>
        </w:tabs>
        <w:ind w:left="0" w:firstLine="0"/>
        <w:jc w:val="both"/>
        <w:rPr>
          <w:rFonts w:ascii="Arial" w:eastAsia="Calibri" w:hAnsi="Arial" w:cs="Arial"/>
          <w:b/>
          <w:color w:val="000000" w:themeColor="text1"/>
          <w:sz w:val="22"/>
          <w:lang w:val="es-ES_tradnl"/>
        </w:rPr>
      </w:pPr>
      <w:r w:rsidRPr="00E23980">
        <w:rPr>
          <w:rFonts w:ascii="Arial" w:eastAsia="Calibri" w:hAnsi="Arial" w:cs="Arial"/>
          <w:b/>
          <w:color w:val="000000" w:themeColor="text1"/>
          <w:sz w:val="22"/>
          <w:lang w:val="es-ES_tradnl"/>
        </w:rPr>
        <w:t>Consideraciones</w:t>
      </w:r>
    </w:p>
    <w:p w14:paraId="336E5625" w14:textId="77777777" w:rsidR="00904C33" w:rsidRPr="00904C33" w:rsidRDefault="00904C33" w:rsidP="00904C33">
      <w:pPr>
        <w:pStyle w:val="Prrafodelista"/>
        <w:tabs>
          <w:tab w:val="left" w:pos="0"/>
          <w:tab w:val="left" w:pos="284"/>
        </w:tabs>
        <w:ind w:left="0"/>
        <w:jc w:val="both"/>
        <w:rPr>
          <w:rFonts w:ascii="Arial" w:eastAsia="Calibri" w:hAnsi="Arial" w:cs="Arial"/>
          <w:b/>
          <w:color w:val="000000" w:themeColor="text1"/>
          <w:sz w:val="22"/>
          <w:lang w:val="es-ES_tradnl"/>
        </w:rPr>
      </w:pPr>
    </w:p>
    <w:p w14:paraId="603D3970" w14:textId="6F1CD11A" w:rsidR="00904C33" w:rsidRDefault="00904C33" w:rsidP="00904C33">
      <w:pPr>
        <w:spacing w:line="276" w:lineRule="auto"/>
        <w:jc w:val="both"/>
        <w:rPr>
          <w:rFonts w:ascii="Arial" w:hAnsi="Arial" w:cs="Arial"/>
          <w:color w:val="000000" w:themeColor="text1"/>
          <w:sz w:val="22"/>
          <w:lang w:val="es-ES_tradnl"/>
        </w:rPr>
      </w:pPr>
      <w:r w:rsidRPr="00904C33">
        <w:rPr>
          <w:rFonts w:ascii="Arial" w:hAnsi="Arial" w:cs="Arial"/>
          <w:color w:val="000000" w:themeColor="text1"/>
          <w:sz w:val="22"/>
          <w:lang w:val="es-ES_tradnl"/>
        </w:rPr>
        <w:t xml:space="preserve">Para resolver su consulta, se analizarán los siguientes temas: i) el Registro Nacional de Obras Civiles Inconclusas, </w:t>
      </w:r>
      <w:proofErr w:type="spellStart"/>
      <w:r w:rsidRPr="00904C33">
        <w:rPr>
          <w:rFonts w:ascii="Arial" w:hAnsi="Arial" w:cs="Arial"/>
          <w:color w:val="000000" w:themeColor="text1"/>
          <w:sz w:val="22"/>
          <w:lang w:val="es-ES_tradnl"/>
        </w:rPr>
        <w:t>ii</w:t>
      </w:r>
      <w:proofErr w:type="spellEnd"/>
      <w:r w:rsidRPr="00904C33">
        <w:rPr>
          <w:rFonts w:ascii="Arial" w:hAnsi="Arial" w:cs="Arial"/>
          <w:color w:val="000000" w:themeColor="text1"/>
          <w:sz w:val="22"/>
          <w:lang w:val="es-ES_tradnl"/>
        </w:rPr>
        <w:t>) interpretación del artículo 6 de la Ley 2020 de 2020</w:t>
      </w:r>
      <w:r>
        <w:rPr>
          <w:rFonts w:ascii="Arial" w:hAnsi="Arial" w:cs="Arial"/>
          <w:color w:val="000000" w:themeColor="text1"/>
          <w:sz w:val="22"/>
          <w:lang w:val="es-ES_tradnl"/>
        </w:rPr>
        <w:t>,</w:t>
      </w:r>
      <w:r w:rsidRPr="00904C33">
        <w:rPr>
          <w:rFonts w:ascii="Arial" w:hAnsi="Arial" w:cs="Arial"/>
          <w:color w:val="000000" w:themeColor="text1"/>
          <w:sz w:val="22"/>
          <w:lang w:val="es-ES_tradnl"/>
        </w:rPr>
        <w:t xml:space="preserve"> en relación con la evaluación de los factores de ponderación de calidad efectuada con base en las anotaciones contenidas en dicho Registro, </w:t>
      </w:r>
      <w:r>
        <w:rPr>
          <w:rFonts w:ascii="Arial" w:hAnsi="Arial" w:cs="Arial"/>
          <w:color w:val="000000" w:themeColor="text1"/>
          <w:sz w:val="22"/>
          <w:lang w:val="es-ES_tradnl"/>
        </w:rPr>
        <w:t xml:space="preserve">y </w:t>
      </w:r>
      <w:proofErr w:type="spellStart"/>
      <w:r w:rsidRPr="00904C33">
        <w:rPr>
          <w:rFonts w:ascii="Arial" w:hAnsi="Arial" w:cs="Arial"/>
          <w:color w:val="000000" w:themeColor="text1"/>
          <w:sz w:val="22"/>
          <w:lang w:val="es-ES_tradnl"/>
        </w:rPr>
        <w:t>iii</w:t>
      </w:r>
      <w:proofErr w:type="spellEnd"/>
      <w:r w:rsidRPr="00904C33">
        <w:rPr>
          <w:rFonts w:ascii="Arial" w:hAnsi="Arial" w:cs="Arial"/>
          <w:color w:val="000000" w:themeColor="text1"/>
          <w:sz w:val="22"/>
          <w:lang w:val="es-ES_tradnl"/>
        </w:rPr>
        <w:t>) análisis de las anotaciones del Registro Nacional de Obras Inconclusas como criterio de ponderación del factor calidad, en los documentos o pliegos tipos adoptados por la Agencia Nacional de Contratación Pública -Colombia Compra Eficiente.</w:t>
      </w:r>
    </w:p>
    <w:p w14:paraId="66E96B5E" w14:textId="009E9EC2" w:rsidR="00E07AAA" w:rsidRPr="00054252" w:rsidRDefault="00E07AAA" w:rsidP="00054252">
      <w:pPr>
        <w:spacing w:before="120" w:line="276" w:lineRule="auto"/>
        <w:ind w:firstLine="709"/>
        <w:jc w:val="both"/>
        <w:rPr>
          <w:rFonts w:ascii="Arial" w:eastAsiaTheme="minorHAnsi" w:hAnsi="Arial" w:cs="Arial"/>
          <w:color w:val="000000" w:themeColor="text1"/>
          <w:sz w:val="22"/>
          <w:szCs w:val="22"/>
          <w:lang w:val="es-ES_tradnl" w:eastAsia="en-US"/>
        </w:rPr>
      </w:pPr>
      <w:r w:rsidRPr="00E07AAA">
        <w:rPr>
          <w:rFonts w:ascii="Arial" w:hAnsi="Arial" w:cs="Arial"/>
          <w:color w:val="000000" w:themeColor="text1"/>
          <w:sz w:val="22"/>
          <w:lang w:val="es-ES_tradnl"/>
        </w:rPr>
        <w:t>L</w:t>
      </w:r>
      <w:r w:rsidRPr="00222BE8">
        <w:rPr>
          <w:rFonts w:ascii="Arial" w:hAnsi="Arial" w:cs="Arial"/>
          <w:color w:val="000000" w:themeColor="text1"/>
          <w:sz w:val="22"/>
          <w:lang w:val="es-ES_tradnl"/>
        </w:rPr>
        <w:t xml:space="preserve">a Agencia Nacional de Contratación Pública </w:t>
      </w:r>
      <w:r w:rsidR="001369F5">
        <w:rPr>
          <w:rFonts w:ascii="Arial" w:hAnsi="Arial" w:cs="Arial"/>
          <w:color w:val="000000" w:themeColor="text1"/>
          <w:sz w:val="22"/>
          <w:lang w:val="es-ES_tradnl"/>
        </w:rPr>
        <w:t>–</w:t>
      </w:r>
      <w:r w:rsidR="001369F5" w:rsidRPr="00222BE8">
        <w:rPr>
          <w:rFonts w:ascii="Arial" w:hAnsi="Arial" w:cs="Arial"/>
          <w:color w:val="000000" w:themeColor="text1"/>
          <w:sz w:val="22"/>
          <w:lang w:val="es-ES_tradnl"/>
        </w:rPr>
        <w:t xml:space="preserve"> </w:t>
      </w:r>
      <w:r w:rsidRPr="00222BE8">
        <w:rPr>
          <w:rFonts w:ascii="Arial" w:hAnsi="Arial" w:cs="Arial"/>
          <w:color w:val="000000" w:themeColor="text1"/>
          <w:sz w:val="22"/>
          <w:lang w:val="es-ES_tradnl"/>
        </w:rPr>
        <w:t>Colombia Compra Eficiente se pronunció sobre</w:t>
      </w:r>
      <w:r>
        <w:rPr>
          <w:rFonts w:ascii="Arial" w:hAnsi="Arial" w:cs="Arial"/>
          <w:color w:val="000000" w:themeColor="text1"/>
          <w:sz w:val="22"/>
          <w:lang w:val="es-ES_tradnl"/>
        </w:rPr>
        <w:t xml:space="preserve"> el Registro Nacional de Obras Civiles Inconclusas en el concepto C</w:t>
      </w:r>
      <w:r w:rsidR="00054252">
        <w:rPr>
          <w:rFonts w:ascii="Arial" w:hAnsi="Arial" w:cs="Arial"/>
          <w:color w:val="000000" w:themeColor="text1"/>
          <w:sz w:val="22"/>
          <w:lang w:val="es-ES_tradnl"/>
        </w:rPr>
        <w:t>-712</w:t>
      </w:r>
      <w:r w:rsidR="003F63EE">
        <w:rPr>
          <w:rFonts w:ascii="Arial" w:hAnsi="Arial" w:cs="Arial"/>
          <w:color w:val="000000" w:themeColor="text1"/>
          <w:sz w:val="22"/>
          <w:lang w:val="es-ES_tradnl"/>
        </w:rPr>
        <w:t xml:space="preserve"> del 28 de diciembre </w:t>
      </w:r>
      <w:r w:rsidR="00054252">
        <w:rPr>
          <w:rFonts w:ascii="Arial" w:hAnsi="Arial" w:cs="Arial"/>
          <w:color w:val="000000" w:themeColor="text1"/>
          <w:sz w:val="22"/>
          <w:lang w:val="es-ES_tradnl"/>
        </w:rPr>
        <w:t>de 2020</w:t>
      </w:r>
      <w:r w:rsidR="003F63EE">
        <w:rPr>
          <w:rFonts w:ascii="Arial" w:hAnsi="Arial" w:cs="Arial"/>
          <w:color w:val="000000" w:themeColor="text1"/>
          <w:sz w:val="22"/>
          <w:lang w:val="es-ES_tradnl"/>
        </w:rPr>
        <w:t xml:space="preserve"> y C-088 del 17 de marzo de 2021</w:t>
      </w:r>
      <w:r w:rsidR="00054252">
        <w:rPr>
          <w:rFonts w:ascii="Arial" w:hAnsi="Arial" w:cs="Arial"/>
          <w:color w:val="000000" w:themeColor="text1"/>
          <w:sz w:val="22"/>
          <w:lang w:val="es-ES_tradnl"/>
        </w:rPr>
        <w:t xml:space="preserve">. </w:t>
      </w:r>
      <w:r w:rsidR="00054252">
        <w:rPr>
          <w:rFonts w:ascii="Arial" w:eastAsiaTheme="minorHAnsi" w:hAnsi="Arial" w:cs="Arial"/>
          <w:color w:val="000000" w:themeColor="text1"/>
          <w:sz w:val="22"/>
          <w:szCs w:val="22"/>
          <w:lang w:val="es-ES_tradnl" w:eastAsia="en-US"/>
        </w:rPr>
        <w:t>La tesis expuesta</w:t>
      </w:r>
      <w:r w:rsidR="00054252" w:rsidRPr="00054252">
        <w:rPr>
          <w:rFonts w:ascii="Arial" w:eastAsiaTheme="minorHAnsi" w:hAnsi="Arial" w:cs="Arial"/>
          <w:color w:val="000000" w:themeColor="text1"/>
          <w:sz w:val="22"/>
          <w:szCs w:val="22"/>
          <w:lang w:val="es-ES_tradnl" w:eastAsia="en-US"/>
        </w:rPr>
        <w:t xml:space="preserve"> </w:t>
      </w:r>
      <w:r w:rsidR="00054252">
        <w:rPr>
          <w:rFonts w:ascii="Arial" w:eastAsiaTheme="minorHAnsi" w:hAnsi="Arial" w:cs="Arial"/>
          <w:color w:val="000000" w:themeColor="text1"/>
          <w:sz w:val="22"/>
          <w:szCs w:val="22"/>
          <w:lang w:val="es-ES_tradnl" w:eastAsia="en-US"/>
        </w:rPr>
        <w:t xml:space="preserve">se reitera </w:t>
      </w:r>
      <w:r w:rsidR="00054252" w:rsidRPr="00054252">
        <w:rPr>
          <w:rFonts w:ascii="Arial" w:eastAsiaTheme="minorHAnsi" w:hAnsi="Arial" w:cs="Arial"/>
          <w:color w:val="000000" w:themeColor="text1"/>
          <w:sz w:val="22"/>
          <w:szCs w:val="22"/>
          <w:lang w:val="es-ES_tradnl" w:eastAsia="en-US"/>
        </w:rPr>
        <w:t>a</w:t>
      </w:r>
      <w:r w:rsidR="00054252">
        <w:rPr>
          <w:rFonts w:ascii="Arial" w:eastAsiaTheme="minorHAnsi" w:hAnsi="Arial" w:cs="Arial"/>
          <w:color w:val="000000" w:themeColor="text1"/>
          <w:sz w:val="22"/>
          <w:szCs w:val="22"/>
          <w:lang w:val="es-ES_tradnl" w:eastAsia="en-US"/>
        </w:rPr>
        <w:t xml:space="preserve"> continuación y se complementa en lo pertinente. </w:t>
      </w:r>
    </w:p>
    <w:p w14:paraId="2427DFC4" w14:textId="338F37A8" w:rsidR="004427AC" w:rsidRPr="00E23980" w:rsidRDefault="004427AC" w:rsidP="00510DE9">
      <w:pPr>
        <w:tabs>
          <w:tab w:val="left" w:pos="0"/>
        </w:tabs>
        <w:jc w:val="both"/>
        <w:rPr>
          <w:rFonts w:ascii="Arial" w:eastAsia="Calibri" w:hAnsi="Arial" w:cs="Arial"/>
          <w:b/>
          <w:color w:val="000000" w:themeColor="text1"/>
          <w:sz w:val="22"/>
          <w:lang w:val="es-ES_tradnl"/>
        </w:rPr>
      </w:pPr>
    </w:p>
    <w:p w14:paraId="18570445" w14:textId="3D019A03" w:rsidR="00505DCB" w:rsidRPr="00E23980" w:rsidRDefault="00505DCB" w:rsidP="00510DE9">
      <w:pPr>
        <w:tabs>
          <w:tab w:val="left" w:pos="0"/>
        </w:tabs>
        <w:jc w:val="both"/>
        <w:rPr>
          <w:rFonts w:ascii="Arial" w:eastAsia="Calibri" w:hAnsi="Arial" w:cs="Arial"/>
          <w:b/>
          <w:bCs/>
          <w:color w:val="000000" w:themeColor="text1"/>
          <w:sz w:val="22"/>
          <w:lang w:val="es-ES_tradnl"/>
        </w:rPr>
      </w:pPr>
      <w:r w:rsidRPr="007A3967">
        <w:rPr>
          <w:rFonts w:ascii="Arial" w:eastAsia="Calibri" w:hAnsi="Arial" w:cs="Arial"/>
          <w:b/>
          <w:bCs/>
          <w:color w:val="000000"/>
          <w:sz w:val="22"/>
          <w:lang w:val="pt-BR" w:eastAsia="en-GB"/>
        </w:rPr>
        <w:t xml:space="preserve">2.1. Registro Nacional de Obras </w:t>
      </w:r>
      <w:proofErr w:type="spellStart"/>
      <w:r w:rsidRPr="007A3967">
        <w:rPr>
          <w:rFonts w:ascii="Arial" w:eastAsia="Calibri" w:hAnsi="Arial" w:cs="Arial"/>
          <w:b/>
          <w:bCs/>
          <w:color w:val="000000"/>
          <w:sz w:val="22"/>
          <w:lang w:val="pt-BR" w:eastAsia="en-GB"/>
        </w:rPr>
        <w:t>Civiles</w:t>
      </w:r>
      <w:proofErr w:type="spellEnd"/>
      <w:r w:rsidRPr="007A3967">
        <w:rPr>
          <w:rFonts w:ascii="Arial" w:eastAsia="Calibri" w:hAnsi="Arial" w:cs="Arial"/>
          <w:b/>
          <w:bCs/>
          <w:color w:val="000000"/>
          <w:sz w:val="22"/>
          <w:lang w:val="pt-BR" w:eastAsia="en-GB"/>
        </w:rPr>
        <w:t xml:space="preserve"> Inconclusas</w:t>
      </w:r>
    </w:p>
    <w:p w14:paraId="5716FC05" w14:textId="3B1CC33D" w:rsidR="00004556" w:rsidRPr="00E23980" w:rsidRDefault="00004556" w:rsidP="00D40F8B">
      <w:pPr>
        <w:tabs>
          <w:tab w:val="left" w:pos="0"/>
        </w:tabs>
        <w:spacing w:line="276" w:lineRule="auto"/>
        <w:jc w:val="both"/>
        <w:rPr>
          <w:rFonts w:ascii="Arial" w:eastAsia="Calibri" w:hAnsi="Arial" w:cs="Arial"/>
          <w:b/>
          <w:color w:val="000000" w:themeColor="text1"/>
          <w:sz w:val="22"/>
          <w:lang w:val="es-ES_tradnl"/>
        </w:rPr>
      </w:pPr>
    </w:p>
    <w:p w14:paraId="72529C40" w14:textId="77777777" w:rsidR="003F63EE" w:rsidRDefault="003F63EE" w:rsidP="003F63EE">
      <w:pPr>
        <w:tabs>
          <w:tab w:val="left" w:pos="0"/>
        </w:tabs>
        <w:spacing w:line="276" w:lineRule="auto"/>
        <w:jc w:val="both"/>
        <w:rPr>
          <w:rFonts w:ascii="Arial" w:eastAsia="Calibri" w:hAnsi="Arial" w:cs="Arial"/>
          <w:color w:val="000000"/>
          <w:sz w:val="22"/>
          <w:lang w:val="es-ES_tradnl" w:eastAsia="en-GB"/>
        </w:rPr>
      </w:pPr>
      <w:r w:rsidRPr="00E23980">
        <w:rPr>
          <w:rFonts w:ascii="Arial" w:eastAsia="Calibri" w:hAnsi="Arial" w:cs="Arial"/>
          <w:bCs/>
          <w:color w:val="000000" w:themeColor="text1"/>
          <w:sz w:val="22"/>
          <w:lang w:val="es-ES_tradnl"/>
        </w:rPr>
        <w:t xml:space="preserve">La Ley 2020 de 2020 creó el </w:t>
      </w:r>
      <w:r w:rsidRPr="00E23980">
        <w:rPr>
          <w:rFonts w:ascii="Arial" w:eastAsia="Calibri" w:hAnsi="Arial" w:cs="Arial"/>
          <w:color w:val="000000"/>
          <w:sz w:val="22"/>
          <w:lang w:val="es-ES_tradnl" w:eastAsia="en-GB"/>
        </w:rPr>
        <w:t xml:space="preserve">Registro Nacional de Obras Civiles Inconclusas. Se trata de un sistema que permite identificar el estado de ejecución o terminación de las obras </w:t>
      </w:r>
      <w:r>
        <w:rPr>
          <w:rFonts w:ascii="Arial" w:eastAsia="Calibri" w:hAnsi="Arial" w:cs="Arial"/>
          <w:color w:val="000000"/>
          <w:sz w:val="22"/>
          <w:lang w:val="es-ES_tradnl" w:eastAsia="en-GB"/>
        </w:rPr>
        <w:t>financiadas total o parcialmente con recursos públicos, para concretar su destinación definitiva. S</w:t>
      </w:r>
      <w:r w:rsidRPr="00E23980">
        <w:rPr>
          <w:rFonts w:ascii="Arial" w:eastAsia="Calibri" w:hAnsi="Arial" w:cs="Arial"/>
          <w:color w:val="000000"/>
          <w:sz w:val="22"/>
          <w:lang w:val="es-ES_tradnl" w:eastAsia="en-GB"/>
        </w:rPr>
        <w:t xml:space="preserve">egún el </w:t>
      </w:r>
      <w:r>
        <w:rPr>
          <w:rFonts w:ascii="Arial" w:eastAsia="Calibri" w:hAnsi="Arial" w:cs="Arial"/>
          <w:color w:val="000000"/>
          <w:sz w:val="22"/>
          <w:lang w:val="es-ES_tradnl" w:eastAsia="en-GB"/>
        </w:rPr>
        <w:t xml:space="preserve">inciso primero del </w:t>
      </w:r>
      <w:r w:rsidRPr="00E23980">
        <w:rPr>
          <w:rFonts w:ascii="Arial" w:eastAsia="Calibri" w:hAnsi="Arial" w:cs="Arial"/>
          <w:color w:val="000000"/>
          <w:sz w:val="22"/>
          <w:lang w:val="es-ES_tradnl" w:eastAsia="en-GB"/>
        </w:rPr>
        <w:t>literal a)</w:t>
      </w:r>
      <w:r>
        <w:rPr>
          <w:rFonts w:ascii="Arial" w:eastAsia="Calibri" w:hAnsi="Arial" w:cs="Arial"/>
          <w:color w:val="000000"/>
          <w:sz w:val="22"/>
          <w:lang w:val="es-ES_tradnl" w:eastAsia="en-GB"/>
        </w:rPr>
        <w:t xml:space="preserve"> del artículo 2 </w:t>
      </w:r>
      <w:r w:rsidRPr="00E23980">
        <w:rPr>
          <w:rFonts w:ascii="Arial" w:eastAsia="Calibri" w:hAnsi="Arial" w:cs="Arial"/>
          <w:color w:val="000000"/>
          <w:sz w:val="22"/>
          <w:lang w:val="es-ES_tradnl" w:eastAsia="en-GB"/>
        </w:rPr>
        <w:t xml:space="preserve">de dicha Ley, se entiende </w:t>
      </w:r>
      <w:r>
        <w:rPr>
          <w:rFonts w:ascii="Arial" w:eastAsia="Calibri" w:hAnsi="Arial" w:cs="Arial"/>
          <w:color w:val="000000"/>
          <w:sz w:val="22"/>
          <w:lang w:val="es-ES_tradnl" w:eastAsia="en-GB"/>
        </w:rPr>
        <w:t>p</w:t>
      </w:r>
      <w:r w:rsidRPr="00E23980">
        <w:rPr>
          <w:rFonts w:ascii="Arial" w:eastAsia="Calibri" w:hAnsi="Arial" w:cs="Arial"/>
          <w:color w:val="000000"/>
          <w:sz w:val="22"/>
          <w:lang w:val="es-ES_tradnl" w:eastAsia="en-GB"/>
        </w:rPr>
        <w:t xml:space="preserve">or </w:t>
      </w:r>
      <w:r w:rsidRPr="00E23980">
        <w:rPr>
          <w:rFonts w:ascii="Arial" w:eastAsia="Calibri" w:hAnsi="Arial" w:cs="Arial"/>
          <w:i/>
          <w:iCs/>
          <w:color w:val="000000"/>
          <w:sz w:val="22"/>
          <w:lang w:val="es-ES_tradnl" w:eastAsia="en-GB"/>
        </w:rPr>
        <w:t>obra</w:t>
      </w:r>
      <w:r>
        <w:rPr>
          <w:rFonts w:ascii="Arial" w:eastAsia="Calibri" w:hAnsi="Arial" w:cs="Arial"/>
          <w:i/>
          <w:iCs/>
          <w:color w:val="000000"/>
          <w:sz w:val="22"/>
          <w:lang w:val="es-ES_tradnl" w:eastAsia="en-GB"/>
        </w:rPr>
        <w:t xml:space="preserve"> civil</w:t>
      </w:r>
      <w:r w:rsidRPr="00E23980">
        <w:rPr>
          <w:rFonts w:ascii="Arial" w:eastAsia="Calibri" w:hAnsi="Arial" w:cs="Arial"/>
          <w:i/>
          <w:iCs/>
          <w:color w:val="000000"/>
          <w:sz w:val="22"/>
          <w:lang w:val="es-ES_tradnl" w:eastAsia="en-GB"/>
        </w:rPr>
        <w:t xml:space="preserve"> inconclusa</w:t>
      </w:r>
      <w:r>
        <w:rPr>
          <w:rFonts w:ascii="Arial" w:eastAsia="Calibri" w:hAnsi="Arial" w:cs="Arial"/>
          <w:color w:val="000000"/>
          <w:sz w:val="22"/>
          <w:lang w:val="es-ES_tradnl" w:eastAsia="en-GB"/>
        </w:rPr>
        <w:t xml:space="preserve"> la </w:t>
      </w:r>
      <w:r w:rsidRPr="00E23980">
        <w:rPr>
          <w:rFonts w:ascii="Arial" w:eastAsia="Calibri" w:hAnsi="Arial" w:cs="Arial"/>
          <w:color w:val="000000"/>
          <w:sz w:val="22"/>
          <w:lang w:val="es-ES_tradnl" w:eastAsia="en-GB"/>
        </w:rPr>
        <w:t>«Construcción, mantenimiento, instalación o realización de cualquier otro trabajo material sobre bienes inmuebles, cualquiera que sea la modalidad de ejecución y pago, que un (1) año después de vencido el término de liquidación contractual, no haya concluido de manera satisfactoria para el interés general o el definido por la entidad estatal contratante, o no esté prestando el servicio para el cual fue contratada».</w:t>
      </w:r>
      <w:r>
        <w:rPr>
          <w:rFonts w:ascii="Arial" w:eastAsia="Calibri" w:hAnsi="Arial" w:cs="Arial"/>
          <w:color w:val="000000"/>
          <w:sz w:val="22"/>
          <w:lang w:val="es-ES_tradnl" w:eastAsia="en-GB"/>
        </w:rPr>
        <w:t xml:space="preserve"> </w:t>
      </w:r>
    </w:p>
    <w:p w14:paraId="66414AA5" w14:textId="77777777" w:rsidR="003F63EE" w:rsidRDefault="003F63EE" w:rsidP="003F63EE">
      <w:pPr>
        <w:tabs>
          <w:tab w:val="left" w:pos="0"/>
        </w:tabs>
        <w:spacing w:before="120" w:line="276" w:lineRule="auto"/>
        <w:ind w:firstLine="709"/>
        <w:jc w:val="both"/>
        <w:rPr>
          <w:rFonts w:ascii="Arial" w:eastAsia="Calibri" w:hAnsi="Arial" w:cs="Arial"/>
          <w:color w:val="000000"/>
          <w:sz w:val="22"/>
          <w:lang w:val="es-ES_tradnl" w:eastAsia="en-GB"/>
        </w:rPr>
      </w:pPr>
      <w:r w:rsidRPr="00E23980">
        <w:rPr>
          <w:rFonts w:ascii="Arial" w:eastAsia="Calibri" w:hAnsi="Arial" w:cs="Arial"/>
          <w:color w:val="000000"/>
          <w:sz w:val="22"/>
          <w:lang w:val="es-ES_tradnl" w:eastAsia="en-GB"/>
        </w:rPr>
        <w:t>En otras palabras, el concepto de obra</w:t>
      </w:r>
      <w:r>
        <w:rPr>
          <w:rFonts w:ascii="Arial" w:eastAsia="Calibri" w:hAnsi="Arial" w:cs="Arial"/>
          <w:color w:val="000000"/>
          <w:sz w:val="22"/>
          <w:lang w:val="es-ES_tradnl" w:eastAsia="en-GB"/>
        </w:rPr>
        <w:t xml:space="preserve"> civil</w:t>
      </w:r>
      <w:r w:rsidRPr="00E23980">
        <w:rPr>
          <w:rFonts w:ascii="Arial" w:eastAsia="Calibri" w:hAnsi="Arial" w:cs="Arial"/>
          <w:color w:val="000000"/>
          <w:sz w:val="22"/>
          <w:lang w:val="es-ES_tradnl" w:eastAsia="en-GB"/>
        </w:rPr>
        <w:t xml:space="preserve"> inconclusa guarda armonía con la definición del contrato de obra</w:t>
      </w:r>
      <w:r>
        <w:rPr>
          <w:rFonts w:ascii="Arial" w:eastAsia="Calibri" w:hAnsi="Arial" w:cs="Arial"/>
          <w:color w:val="000000"/>
          <w:sz w:val="22"/>
          <w:lang w:val="es-ES_tradnl" w:eastAsia="en-GB"/>
        </w:rPr>
        <w:t>,</w:t>
      </w:r>
      <w:r w:rsidRPr="00E23980">
        <w:rPr>
          <w:rFonts w:ascii="Arial" w:eastAsia="Calibri" w:hAnsi="Arial" w:cs="Arial"/>
          <w:color w:val="000000"/>
          <w:sz w:val="22"/>
          <w:lang w:val="es-ES_tradnl" w:eastAsia="en-GB"/>
        </w:rPr>
        <w:t xml:space="preserve"> prevista en el artículo 32</w:t>
      </w:r>
      <w:r>
        <w:rPr>
          <w:rFonts w:ascii="Arial" w:eastAsia="Calibri" w:hAnsi="Arial" w:cs="Arial"/>
          <w:color w:val="000000"/>
          <w:sz w:val="22"/>
          <w:lang w:val="es-ES_tradnl" w:eastAsia="en-GB"/>
        </w:rPr>
        <w:t xml:space="preserve"> de la Ley 80 de 1993</w:t>
      </w:r>
      <w:r w:rsidRPr="00E23980">
        <w:rPr>
          <w:rFonts w:ascii="Arial" w:eastAsia="Calibri" w:hAnsi="Arial" w:cs="Arial"/>
          <w:color w:val="000000"/>
          <w:sz w:val="22"/>
          <w:lang w:val="es-ES_tradnl" w:eastAsia="en-GB"/>
        </w:rPr>
        <w:t>, a cuyo tenor</w:t>
      </w:r>
      <w:r>
        <w:rPr>
          <w:rFonts w:ascii="Arial" w:eastAsia="Calibri" w:hAnsi="Arial" w:cs="Arial"/>
          <w:color w:val="000000"/>
          <w:sz w:val="22"/>
          <w:lang w:val="es-ES_tradnl" w:eastAsia="en-GB"/>
        </w:rPr>
        <w:t xml:space="preserve"> «Son contratos de obra los que </w:t>
      </w:r>
      <w:r w:rsidRPr="00E23980">
        <w:rPr>
          <w:rFonts w:ascii="Arial" w:eastAsia="Calibri" w:hAnsi="Arial" w:cs="Arial"/>
          <w:color w:val="000000"/>
          <w:sz w:val="22"/>
          <w:lang w:val="es-ES_tradnl" w:eastAsia="en-GB"/>
        </w:rPr>
        <w:t>celebren las entidades estatales para la construcción, mantenimiento, instalación y, en general, para la realización de cualquier otro trabajo material sobre bienes inmuebles, cualquiera que sea la modalidad de ejecución y pago». Por tanto, cuando el trabajo material sobre el bien inmueble no ha finalizado satisfactoriamente o no se adecua a la función para la cual fue contratada la obra, esto se puede constatar en el registro creado por el artículo 3 de la Ley 2020 de 2020</w:t>
      </w:r>
      <w:r>
        <w:rPr>
          <w:rFonts w:ascii="Arial" w:eastAsia="Calibri" w:hAnsi="Arial" w:cs="Arial"/>
          <w:color w:val="000000"/>
          <w:sz w:val="22"/>
          <w:lang w:val="es-ES_tradnl" w:eastAsia="en-GB"/>
        </w:rPr>
        <w:t>.</w:t>
      </w:r>
    </w:p>
    <w:p w14:paraId="71D97E78" w14:textId="77777777" w:rsidR="003F63EE" w:rsidRDefault="003F63EE" w:rsidP="003F63EE">
      <w:pPr>
        <w:tabs>
          <w:tab w:val="left" w:pos="0"/>
        </w:tabs>
        <w:spacing w:before="120" w:line="276" w:lineRule="auto"/>
        <w:ind w:firstLine="709"/>
        <w:jc w:val="both"/>
        <w:rPr>
          <w:rFonts w:ascii="Arial" w:eastAsia="Calibri" w:hAnsi="Arial" w:cs="Arial"/>
          <w:color w:val="000000"/>
          <w:sz w:val="22"/>
          <w:lang w:val="es-ES_tradnl" w:eastAsia="en-GB"/>
        </w:rPr>
      </w:pPr>
      <w:r>
        <w:rPr>
          <w:rFonts w:ascii="Arial" w:eastAsia="Calibri" w:hAnsi="Arial" w:cs="Arial"/>
          <w:color w:val="000000"/>
          <w:sz w:val="22"/>
          <w:lang w:val="es-ES_tradnl" w:eastAsia="en-GB"/>
        </w:rPr>
        <w:lastRenderedPageBreak/>
        <w:t xml:space="preserve">Por su parte, el inciso segundo del </w:t>
      </w:r>
      <w:r w:rsidRPr="00E23980">
        <w:rPr>
          <w:rFonts w:ascii="Arial" w:eastAsia="Calibri" w:hAnsi="Arial" w:cs="Arial"/>
          <w:color w:val="000000"/>
          <w:sz w:val="22"/>
          <w:lang w:val="es-ES_tradnl" w:eastAsia="en-GB"/>
        </w:rPr>
        <w:t>literal a)</w:t>
      </w:r>
      <w:r>
        <w:rPr>
          <w:rFonts w:ascii="Arial" w:eastAsia="Calibri" w:hAnsi="Arial" w:cs="Arial"/>
          <w:color w:val="000000"/>
          <w:sz w:val="22"/>
          <w:lang w:val="es-ES_tradnl" w:eastAsia="en-GB"/>
        </w:rPr>
        <w:t xml:space="preserve"> del</w:t>
      </w:r>
      <w:r w:rsidRPr="00E23980">
        <w:rPr>
          <w:rFonts w:ascii="Arial" w:eastAsia="Calibri" w:hAnsi="Arial" w:cs="Arial"/>
          <w:color w:val="000000"/>
          <w:sz w:val="22"/>
          <w:lang w:val="es-ES_tradnl" w:eastAsia="en-GB"/>
        </w:rPr>
        <w:t xml:space="preserve"> art</w:t>
      </w:r>
      <w:r>
        <w:rPr>
          <w:rFonts w:ascii="Arial" w:eastAsia="Calibri" w:hAnsi="Arial" w:cs="Arial"/>
          <w:color w:val="000000"/>
          <w:sz w:val="22"/>
          <w:lang w:val="es-ES_tradnl" w:eastAsia="en-GB"/>
        </w:rPr>
        <w:t xml:space="preserve">ículo 2 </w:t>
      </w:r>
      <w:r w:rsidRPr="00E23980">
        <w:rPr>
          <w:rFonts w:ascii="Arial" w:eastAsia="Calibri" w:hAnsi="Arial" w:cs="Arial"/>
          <w:color w:val="000000"/>
          <w:sz w:val="22"/>
          <w:lang w:val="es-ES_tradnl" w:eastAsia="en-GB"/>
        </w:rPr>
        <w:t>de dicha Ley,</w:t>
      </w:r>
      <w:r>
        <w:rPr>
          <w:rFonts w:ascii="Arial" w:eastAsia="Calibri" w:hAnsi="Arial" w:cs="Arial"/>
          <w:color w:val="000000"/>
          <w:sz w:val="22"/>
          <w:lang w:val="es-ES_tradnl" w:eastAsia="en-GB"/>
        </w:rPr>
        <w:t xml:space="preserve"> establece la hipótesis en la que no se haya concluido satisfactoriamente la obra civil por causas no imputables al contratista. A este respecto, señala que «Cuando</w:t>
      </w:r>
      <w:r w:rsidRPr="00A12384">
        <w:rPr>
          <w:rFonts w:ascii="Arial" w:eastAsia="Calibri" w:hAnsi="Arial" w:cs="Arial"/>
          <w:color w:val="000000"/>
          <w:sz w:val="22"/>
          <w:lang w:val="es-ES_tradnl" w:eastAsia="en-GB"/>
        </w:rPr>
        <w:t xml:space="preserve"> la obra civil no haya concluido de manera satisfactoria por causas que no sean imputables al contratista, un comité técnico, designado por el representante legal de la entidad contratante, definirá si efectivamente corresponde a una obra civil inconclusa</w:t>
      </w:r>
      <w:r>
        <w:rPr>
          <w:rFonts w:ascii="Arial" w:eastAsia="Calibri" w:hAnsi="Arial" w:cs="Arial"/>
          <w:color w:val="000000"/>
          <w:sz w:val="22"/>
          <w:lang w:val="es-ES_tradnl" w:eastAsia="en-GB"/>
        </w:rPr>
        <w:t>»</w:t>
      </w:r>
      <w:r w:rsidRPr="00A12384">
        <w:rPr>
          <w:rFonts w:ascii="Arial" w:eastAsia="Calibri" w:hAnsi="Arial" w:cs="Arial"/>
          <w:color w:val="000000"/>
          <w:sz w:val="22"/>
          <w:lang w:val="es-ES_tradnl" w:eastAsia="en-GB"/>
        </w:rPr>
        <w:t>.</w:t>
      </w:r>
    </w:p>
    <w:p w14:paraId="3FD5BC54" w14:textId="77777777" w:rsidR="003F63EE" w:rsidRDefault="003F63EE" w:rsidP="003F63EE">
      <w:pPr>
        <w:tabs>
          <w:tab w:val="left" w:pos="0"/>
        </w:tabs>
        <w:spacing w:before="120" w:line="276" w:lineRule="auto"/>
        <w:ind w:firstLine="709"/>
        <w:jc w:val="both"/>
        <w:rPr>
          <w:rFonts w:ascii="Arial" w:eastAsia="Calibri" w:hAnsi="Arial" w:cs="Arial"/>
          <w:color w:val="000000"/>
          <w:sz w:val="22"/>
          <w:lang w:val="es-ES_tradnl" w:eastAsia="en-GB"/>
        </w:rPr>
      </w:pPr>
      <w:r w:rsidRPr="00EA2726">
        <w:rPr>
          <w:rFonts w:ascii="Arial" w:eastAsia="Calibri" w:hAnsi="Arial" w:cs="Arial"/>
          <w:color w:val="000000"/>
          <w:sz w:val="22"/>
          <w:lang w:val="es-ES_tradnl" w:eastAsia="en-GB"/>
        </w:rPr>
        <w:t>De</w:t>
      </w:r>
      <w:r>
        <w:rPr>
          <w:rFonts w:ascii="Arial" w:eastAsia="Calibri" w:hAnsi="Arial" w:cs="Arial"/>
          <w:color w:val="000000"/>
          <w:sz w:val="22"/>
          <w:lang w:val="es-ES_tradnl" w:eastAsia="en-GB"/>
        </w:rPr>
        <w:t xml:space="preserve"> la definición del artículo 2 de la Ley 2020 de 2020 </w:t>
      </w:r>
      <w:r w:rsidRPr="00EA2726">
        <w:rPr>
          <w:rFonts w:ascii="Arial" w:eastAsia="Calibri" w:hAnsi="Arial" w:cs="Arial"/>
          <w:color w:val="000000"/>
          <w:sz w:val="22"/>
          <w:lang w:val="es-ES_tradnl" w:eastAsia="en-GB"/>
        </w:rPr>
        <w:t xml:space="preserve">se </w:t>
      </w:r>
      <w:r>
        <w:rPr>
          <w:rFonts w:ascii="Arial" w:eastAsia="Calibri" w:hAnsi="Arial" w:cs="Arial"/>
          <w:color w:val="000000"/>
          <w:sz w:val="22"/>
          <w:lang w:val="es-ES_tradnl" w:eastAsia="en-GB"/>
        </w:rPr>
        <w:t xml:space="preserve">resalta </w:t>
      </w:r>
      <w:r w:rsidRPr="00EA2726">
        <w:rPr>
          <w:rFonts w:ascii="Arial" w:eastAsia="Calibri" w:hAnsi="Arial" w:cs="Arial"/>
          <w:color w:val="000000"/>
          <w:sz w:val="22"/>
          <w:lang w:val="es-ES_tradnl" w:eastAsia="en-GB"/>
        </w:rPr>
        <w:t>lo siguiente</w:t>
      </w:r>
      <w:r>
        <w:rPr>
          <w:rFonts w:ascii="Arial" w:eastAsia="Calibri" w:hAnsi="Arial" w:cs="Arial"/>
          <w:color w:val="000000"/>
          <w:sz w:val="22"/>
          <w:lang w:val="es-ES_tradnl" w:eastAsia="en-GB"/>
        </w:rPr>
        <w:t>. Por un lado,</w:t>
      </w:r>
      <w:r w:rsidRPr="00EA2726">
        <w:rPr>
          <w:rFonts w:ascii="Arial" w:eastAsia="Calibri" w:hAnsi="Arial" w:cs="Arial"/>
          <w:color w:val="000000"/>
          <w:sz w:val="22"/>
          <w:lang w:val="es-ES_tradnl" w:eastAsia="en-GB"/>
        </w:rPr>
        <w:t xml:space="preserve"> cuando la obra civil cumpla con lo</w:t>
      </w:r>
      <w:r>
        <w:rPr>
          <w:rFonts w:ascii="Arial" w:eastAsia="Calibri" w:hAnsi="Arial" w:cs="Arial"/>
          <w:color w:val="000000"/>
          <w:sz w:val="22"/>
          <w:lang w:val="es-ES_tradnl" w:eastAsia="en-GB"/>
        </w:rPr>
        <w:t xml:space="preserve">s elementos establecidos </w:t>
      </w:r>
      <w:r w:rsidRPr="00EA2726">
        <w:rPr>
          <w:rFonts w:ascii="Arial" w:eastAsia="Calibri" w:hAnsi="Arial" w:cs="Arial"/>
          <w:color w:val="000000"/>
          <w:sz w:val="22"/>
          <w:lang w:val="es-ES_tradnl" w:eastAsia="en-GB"/>
        </w:rPr>
        <w:t>en el inciso primero literal a</w:t>
      </w:r>
      <w:r>
        <w:rPr>
          <w:rFonts w:ascii="Arial" w:eastAsia="Calibri" w:hAnsi="Arial" w:cs="Arial"/>
          <w:color w:val="000000"/>
          <w:sz w:val="22"/>
          <w:lang w:val="es-ES_tradnl" w:eastAsia="en-GB"/>
        </w:rPr>
        <w:t>)</w:t>
      </w:r>
      <w:r w:rsidRPr="00EA2726">
        <w:rPr>
          <w:rFonts w:ascii="Arial" w:eastAsia="Calibri" w:hAnsi="Arial" w:cs="Arial"/>
          <w:color w:val="000000"/>
          <w:sz w:val="22"/>
          <w:lang w:val="es-ES_tradnl" w:eastAsia="en-GB"/>
        </w:rPr>
        <w:t xml:space="preserve"> del artículo 2, deberá ser catalogada como obra</w:t>
      </w:r>
      <w:r>
        <w:rPr>
          <w:rFonts w:ascii="Arial" w:eastAsia="Calibri" w:hAnsi="Arial" w:cs="Arial"/>
          <w:color w:val="000000"/>
          <w:sz w:val="22"/>
          <w:lang w:val="es-ES_tradnl" w:eastAsia="en-GB"/>
        </w:rPr>
        <w:t xml:space="preserve"> civil</w:t>
      </w:r>
      <w:r w:rsidRPr="00EA2726">
        <w:rPr>
          <w:rFonts w:ascii="Arial" w:eastAsia="Calibri" w:hAnsi="Arial" w:cs="Arial"/>
          <w:color w:val="000000"/>
          <w:sz w:val="22"/>
          <w:lang w:val="es-ES_tradnl" w:eastAsia="en-GB"/>
        </w:rPr>
        <w:t xml:space="preserve"> inconclusa</w:t>
      </w:r>
      <w:r>
        <w:rPr>
          <w:rFonts w:ascii="Arial" w:eastAsia="Calibri" w:hAnsi="Arial" w:cs="Arial"/>
          <w:color w:val="000000"/>
          <w:sz w:val="22"/>
          <w:lang w:val="es-ES_tradnl" w:eastAsia="en-GB"/>
        </w:rPr>
        <w:t>. Es decir, si el trabajo material sobre el bien inmueble no ha concluido o no está prestando el servicio para el que se contrató y ha transcurrido un año o más desde que se venció el término de liquidación contractual, se considera obra civil inconclusa. Por otra parte,</w:t>
      </w:r>
      <w:r w:rsidRPr="00EA2726">
        <w:rPr>
          <w:rFonts w:ascii="Arial" w:eastAsia="Calibri" w:hAnsi="Arial" w:cs="Arial"/>
          <w:color w:val="000000"/>
          <w:sz w:val="22"/>
          <w:lang w:val="es-ES_tradnl" w:eastAsia="en-GB"/>
        </w:rPr>
        <w:t xml:space="preserve"> </w:t>
      </w:r>
      <w:r>
        <w:rPr>
          <w:rFonts w:ascii="Arial" w:eastAsia="Calibri" w:hAnsi="Arial" w:cs="Arial"/>
          <w:color w:val="000000"/>
          <w:sz w:val="22"/>
          <w:lang w:val="es-ES_tradnl" w:eastAsia="en-GB"/>
        </w:rPr>
        <w:t>c</w:t>
      </w:r>
      <w:r w:rsidRPr="00EA2726">
        <w:rPr>
          <w:rFonts w:ascii="Arial" w:eastAsia="Calibri" w:hAnsi="Arial" w:cs="Arial"/>
          <w:color w:val="000000"/>
          <w:sz w:val="22"/>
          <w:lang w:val="es-ES_tradnl" w:eastAsia="en-GB"/>
        </w:rPr>
        <w:t>uando la obra civil cumple los presupuestos anteriores</w:t>
      </w:r>
      <w:r>
        <w:rPr>
          <w:rFonts w:ascii="Arial" w:eastAsia="Calibri" w:hAnsi="Arial" w:cs="Arial"/>
          <w:color w:val="000000"/>
          <w:sz w:val="22"/>
          <w:lang w:val="es-ES_tradnl" w:eastAsia="en-GB"/>
        </w:rPr>
        <w:t>,</w:t>
      </w:r>
      <w:r w:rsidRPr="00EA2726">
        <w:rPr>
          <w:rFonts w:ascii="Arial" w:eastAsia="Calibri" w:hAnsi="Arial" w:cs="Arial"/>
          <w:color w:val="000000"/>
          <w:sz w:val="22"/>
          <w:lang w:val="es-ES_tradnl" w:eastAsia="en-GB"/>
        </w:rPr>
        <w:t xml:space="preserve"> pero no</w:t>
      </w:r>
      <w:r>
        <w:rPr>
          <w:rFonts w:ascii="Arial" w:eastAsia="Calibri" w:hAnsi="Arial" w:cs="Arial"/>
          <w:color w:val="000000"/>
          <w:sz w:val="22"/>
          <w:lang w:val="es-ES_tradnl" w:eastAsia="en-GB"/>
        </w:rPr>
        <w:t xml:space="preserve"> concluyó</w:t>
      </w:r>
      <w:r w:rsidRPr="00EA2726">
        <w:rPr>
          <w:rFonts w:ascii="Arial" w:eastAsia="Calibri" w:hAnsi="Arial" w:cs="Arial"/>
          <w:color w:val="000000"/>
          <w:sz w:val="22"/>
          <w:lang w:val="es-ES_tradnl" w:eastAsia="en-GB"/>
        </w:rPr>
        <w:t xml:space="preserve"> por causas no</w:t>
      </w:r>
      <w:r>
        <w:rPr>
          <w:rFonts w:ascii="Arial" w:eastAsia="Calibri" w:hAnsi="Arial" w:cs="Arial"/>
          <w:color w:val="000000"/>
          <w:sz w:val="22"/>
          <w:lang w:val="es-ES_tradnl" w:eastAsia="en-GB"/>
        </w:rPr>
        <w:t xml:space="preserve"> imputables al contratista, </w:t>
      </w:r>
      <w:r w:rsidRPr="00EA2726">
        <w:rPr>
          <w:rFonts w:ascii="Arial" w:eastAsia="Calibri" w:hAnsi="Arial" w:cs="Arial"/>
          <w:color w:val="000000"/>
          <w:sz w:val="22"/>
          <w:lang w:val="es-ES_tradnl" w:eastAsia="en-GB"/>
        </w:rPr>
        <w:t>la entidad contratante</w:t>
      </w:r>
      <w:r>
        <w:rPr>
          <w:rFonts w:ascii="Arial" w:eastAsia="Calibri" w:hAnsi="Arial" w:cs="Arial"/>
          <w:color w:val="000000"/>
          <w:sz w:val="22"/>
          <w:lang w:val="es-ES_tradnl" w:eastAsia="en-GB"/>
        </w:rPr>
        <w:t xml:space="preserve"> será</w:t>
      </w:r>
      <w:r w:rsidRPr="00EA2726">
        <w:rPr>
          <w:rFonts w:ascii="Arial" w:eastAsia="Calibri" w:hAnsi="Arial" w:cs="Arial"/>
          <w:color w:val="000000"/>
          <w:sz w:val="22"/>
          <w:lang w:val="es-ES_tradnl" w:eastAsia="en-GB"/>
        </w:rPr>
        <w:t xml:space="preserve"> la encargada de determinar si la misma se define como obra </w:t>
      </w:r>
      <w:r>
        <w:rPr>
          <w:rFonts w:ascii="Arial" w:eastAsia="Calibri" w:hAnsi="Arial" w:cs="Arial"/>
          <w:color w:val="000000"/>
          <w:sz w:val="22"/>
          <w:lang w:val="es-ES_tradnl" w:eastAsia="en-GB"/>
        </w:rPr>
        <w:t xml:space="preserve">civil </w:t>
      </w:r>
      <w:r w:rsidRPr="00EA2726">
        <w:rPr>
          <w:rFonts w:ascii="Arial" w:eastAsia="Calibri" w:hAnsi="Arial" w:cs="Arial"/>
          <w:color w:val="000000"/>
          <w:sz w:val="22"/>
          <w:lang w:val="es-ES_tradnl" w:eastAsia="en-GB"/>
        </w:rPr>
        <w:t xml:space="preserve">inconclusa, </w:t>
      </w:r>
      <w:r>
        <w:rPr>
          <w:rFonts w:ascii="Arial" w:eastAsia="Calibri" w:hAnsi="Arial" w:cs="Arial"/>
          <w:color w:val="000000"/>
          <w:sz w:val="22"/>
          <w:lang w:val="es-ES_tradnl" w:eastAsia="en-GB"/>
        </w:rPr>
        <w:t>previa valoración</w:t>
      </w:r>
      <w:r w:rsidRPr="00EA2726">
        <w:rPr>
          <w:rFonts w:ascii="Arial" w:eastAsia="Calibri" w:hAnsi="Arial" w:cs="Arial"/>
          <w:color w:val="000000"/>
          <w:sz w:val="22"/>
          <w:lang w:val="es-ES_tradnl" w:eastAsia="en-GB"/>
        </w:rPr>
        <w:t xml:space="preserve"> de un comité técnico</w:t>
      </w:r>
      <w:r>
        <w:rPr>
          <w:rFonts w:ascii="Arial" w:eastAsia="Calibri" w:hAnsi="Arial" w:cs="Arial"/>
          <w:color w:val="000000"/>
          <w:sz w:val="22"/>
          <w:lang w:val="es-ES_tradnl" w:eastAsia="en-GB"/>
        </w:rPr>
        <w:t xml:space="preserve"> designado por el representante legal de la entidad contratante. </w:t>
      </w:r>
    </w:p>
    <w:p w14:paraId="05A6AA60" w14:textId="77777777" w:rsidR="003F63EE" w:rsidRDefault="003F63EE" w:rsidP="003F63EE">
      <w:pPr>
        <w:tabs>
          <w:tab w:val="left" w:pos="0"/>
        </w:tabs>
        <w:spacing w:before="120" w:line="276" w:lineRule="auto"/>
        <w:ind w:firstLine="709"/>
        <w:jc w:val="both"/>
        <w:rPr>
          <w:rFonts w:ascii="Arial" w:eastAsia="Calibri" w:hAnsi="Arial" w:cs="Arial"/>
          <w:color w:val="000000"/>
          <w:sz w:val="22"/>
          <w:lang w:val="es-ES_tradnl" w:eastAsia="en-GB"/>
        </w:rPr>
      </w:pPr>
      <w:r>
        <w:rPr>
          <w:rFonts w:ascii="Arial" w:eastAsia="Calibri" w:hAnsi="Arial" w:cs="Arial"/>
          <w:color w:val="000000"/>
          <w:sz w:val="22"/>
          <w:lang w:val="es-ES_tradnl" w:eastAsia="en-GB"/>
        </w:rPr>
        <w:t xml:space="preserve">Esta última precisión es importante, debido a que el propósito del </w:t>
      </w:r>
      <w:r w:rsidRPr="00E23980">
        <w:rPr>
          <w:rFonts w:ascii="Arial" w:eastAsia="Calibri" w:hAnsi="Arial" w:cs="Arial"/>
          <w:color w:val="000000"/>
          <w:sz w:val="22"/>
          <w:lang w:val="es-ES_tradnl" w:eastAsia="en-GB"/>
        </w:rPr>
        <w:t>literal a)</w:t>
      </w:r>
      <w:r>
        <w:rPr>
          <w:rFonts w:ascii="Arial" w:eastAsia="Calibri" w:hAnsi="Arial" w:cs="Arial"/>
          <w:color w:val="000000"/>
          <w:sz w:val="22"/>
          <w:lang w:val="es-ES_tradnl" w:eastAsia="en-GB"/>
        </w:rPr>
        <w:t xml:space="preserve"> del artículo de la Ley 2020 de 2020 es definir el concepto de obra civil inconclusa, sin desconocer que durante la ejecución de un contrato pueden presentarse situaciones ajenas y exógenas al contratista que impiden la culminación de la obra. En esta hipótesis, lo que pretende el legislador es que sea un órgano o una autoridad determinada, la que analice las circunstancias particulares del caso y las razones técnicas por las cuales la obra civil quedó en estado incompleto</w:t>
      </w:r>
      <w:r>
        <w:rPr>
          <w:rStyle w:val="Refdenotaalpie"/>
          <w:rFonts w:ascii="Arial" w:eastAsia="Calibri" w:hAnsi="Arial" w:cs="Arial"/>
          <w:color w:val="000000"/>
          <w:sz w:val="22"/>
          <w:lang w:val="es-ES_tradnl" w:eastAsia="en-GB"/>
        </w:rPr>
        <w:footnoteReference w:id="2"/>
      </w:r>
      <w:r>
        <w:rPr>
          <w:rFonts w:ascii="Arial" w:eastAsia="Calibri" w:hAnsi="Arial" w:cs="Arial"/>
          <w:color w:val="000000"/>
          <w:sz w:val="22"/>
          <w:lang w:val="es-ES_tradnl" w:eastAsia="en-GB"/>
        </w:rPr>
        <w:t xml:space="preserve">. De esta manera, en el evento en que se defina por parte de este comité técnico que la obra civil es catalogada como inconclusa, pero por causas no imputables al contratista, deberá incluir en el Registro Nacional de Obras Civiles Inconclusas los datos correspondientes que den cuenta de esta situación.  </w:t>
      </w:r>
    </w:p>
    <w:p w14:paraId="65E2DFC4" w14:textId="77777777" w:rsidR="003F63EE" w:rsidRDefault="003F63EE" w:rsidP="003F63EE">
      <w:pPr>
        <w:tabs>
          <w:tab w:val="left" w:pos="0"/>
        </w:tabs>
        <w:spacing w:before="120" w:line="276" w:lineRule="auto"/>
        <w:ind w:firstLine="709"/>
        <w:jc w:val="both"/>
        <w:rPr>
          <w:rFonts w:ascii="Arial" w:eastAsia="Calibri" w:hAnsi="Arial" w:cs="Arial"/>
          <w:color w:val="000000"/>
          <w:sz w:val="22"/>
          <w:lang w:val="es-ES_tradnl" w:eastAsia="en-GB"/>
        </w:rPr>
      </w:pPr>
      <w:r>
        <w:rPr>
          <w:rFonts w:ascii="Arial" w:eastAsia="Calibri" w:hAnsi="Arial" w:cs="Arial"/>
          <w:color w:val="000000"/>
          <w:sz w:val="22"/>
          <w:lang w:val="es-ES_tradnl" w:eastAsia="en-GB"/>
        </w:rPr>
        <w:t>De conformidad con el artículo 3 de la Ley 2020 de 2020</w:t>
      </w:r>
      <w:r>
        <w:rPr>
          <w:rStyle w:val="Refdenotaalpie"/>
          <w:rFonts w:ascii="Arial" w:eastAsia="Calibri" w:hAnsi="Arial" w:cs="Arial"/>
          <w:color w:val="000000"/>
          <w:sz w:val="22"/>
          <w:lang w:val="es-ES_tradnl" w:eastAsia="en-GB"/>
        </w:rPr>
        <w:footnoteReference w:id="3"/>
      </w:r>
      <w:r w:rsidRPr="00E23980">
        <w:rPr>
          <w:rFonts w:ascii="Arial" w:eastAsia="Calibri" w:hAnsi="Arial" w:cs="Arial"/>
          <w:color w:val="000000"/>
          <w:sz w:val="22"/>
          <w:lang w:val="es-ES_tradnl" w:eastAsia="en-GB"/>
        </w:rPr>
        <w:t xml:space="preserve">, el Registro Nacional de Obras Civiles Inconclusas es un </w:t>
      </w:r>
      <w:r>
        <w:rPr>
          <w:rFonts w:ascii="Arial" w:eastAsia="Calibri" w:hAnsi="Arial" w:cs="Arial"/>
          <w:color w:val="000000"/>
          <w:sz w:val="22"/>
          <w:lang w:val="es-ES_tradnl" w:eastAsia="en-GB"/>
        </w:rPr>
        <w:t>sistema</w:t>
      </w:r>
      <w:r w:rsidRPr="00E23980">
        <w:rPr>
          <w:rFonts w:ascii="Arial" w:eastAsia="Calibri" w:hAnsi="Arial" w:cs="Arial"/>
          <w:color w:val="000000"/>
          <w:sz w:val="22"/>
          <w:lang w:val="es-ES_tradnl" w:eastAsia="en-GB"/>
        </w:rPr>
        <w:t xml:space="preserve"> administrado por la Contraloría General de la </w:t>
      </w:r>
      <w:r w:rsidRPr="00E23980">
        <w:rPr>
          <w:rFonts w:ascii="Arial" w:eastAsia="Calibri" w:hAnsi="Arial" w:cs="Arial"/>
          <w:color w:val="000000"/>
          <w:sz w:val="22"/>
          <w:lang w:val="es-ES_tradnl" w:eastAsia="en-GB"/>
        </w:rPr>
        <w:lastRenderedPageBreak/>
        <w:t>República</w:t>
      </w:r>
      <w:r>
        <w:rPr>
          <w:rStyle w:val="Refdenotaalpie"/>
          <w:rFonts w:ascii="Arial" w:eastAsia="Calibri" w:hAnsi="Arial" w:cs="Arial"/>
          <w:color w:val="000000"/>
          <w:sz w:val="22"/>
          <w:lang w:val="es-ES_tradnl" w:eastAsia="en-GB"/>
        </w:rPr>
        <w:footnoteReference w:id="4"/>
      </w:r>
      <w:r w:rsidRPr="00E23980">
        <w:rPr>
          <w:rFonts w:ascii="Arial" w:eastAsia="Calibri" w:hAnsi="Arial" w:cs="Arial"/>
          <w:color w:val="000000"/>
          <w:sz w:val="22"/>
          <w:lang w:val="es-ES_tradnl" w:eastAsia="en-GB"/>
        </w:rPr>
        <w:t xml:space="preserve">, construido a partir de la información remitida por las entidades estatales en los distintos niveles o los datos obtenidos por dicho órgano de control fiscal, sobre las obras inconclusas del país. El artículo 2, literal b) de la Ley 2020 de 2020 complementa esta noción, indicando que el Registro </w:t>
      </w:r>
      <w:r>
        <w:rPr>
          <w:rFonts w:ascii="Arial" w:eastAsia="Calibri" w:hAnsi="Arial" w:cs="Arial"/>
          <w:color w:val="000000"/>
          <w:sz w:val="22"/>
          <w:lang w:val="es-ES_tradnl" w:eastAsia="en-GB"/>
        </w:rPr>
        <w:t xml:space="preserve">Nacional </w:t>
      </w:r>
      <w:r w:rsidRPr="00E23980">
        <w:rPr>
          <w:rFonts w:ascii="Arial" w:eastAsia="Calibri" w:hAnsi="Arial" w:cs="Arial"/>
          <w:color w:val="000000"/>
          <w:sz w:val="22"/>
          <w:lang w:val="es-ES_tradnl" w:eastAsia="en-GB"/>
        </w:rPr>
        <w:t>de Obras Civiles Inconclusas «Es un sistema que contiene los datos sobre obras inconclusas en todo el territorio nacional. El inventario de obras civiles inconclusas reportado por las entidades estatales hará parte integral del banco de proyectos de la respectiva entidad».</w:t>
      </w:r>
    </w:p>
    <w:p w14:paraId="4BAF5990" w14:textId="77777777" w:rsidR="003F63EE" w:rsidRDefault="003F63EE" w:rsidP="003F63EE">
      <w:pPr>
        <w:tabs>
          <w:tab w:val="left" w:pos="0"/>
        </w:tabs>
        <w:spacing w:before="120" w:line="276" w:lineRule="auto"/>
        <w:ind w:firstLine="709"/>
        <w:jc w:val="both"/>
        <w:rPr>
          <w:rFonts w:ascii="Arial" w:eastAsia="Calibri" w:hAnsi="Arial" w:cs="Arial"/>
          <w:color w:val="000000"/>
          <w:sz w:val="22"/>
          <w:lang w:val="es-ES_tradnl" w:eastAsia="en-GB"/>
        </w:rPr>
      </w:pPr>
      <w:r>
        <w:rPr>
          <w:rFonts w:ascii="Arial" w:eastAsia="Calibri" w:hAnsi="Arial" w:cs="Arial"/>
          <w:color w:val="000000"/>
          <w:sz w:val="22"/>
          <w:lang w:val="es-ES_tradnl" w:eastAsia="en-GB"/>
        </w:rPr>
        <w:t>Sobre el espíritu de la Ley, la exposición de motivos explica que el proyecto «[…]</w:t>
      </w:r>
      <w:r w:rsidRPr="00651B9C">
        <w:rPr>
          <w:rFonts w:ascii="Arial" w:eastAsia="Calibri" w:hAnsi="Arial" w:cs="Arial"/>
          <w:color w:val="000000"/>
          <w:sz w:val="22"/>
          <w:lang w:val="es-ES_tradnl" w:eastAsia="en-GB"/>
        </w:rPr>
        <w:t xml:space="preserve"> pretende establecer medidas</w:t>
      </w:r>
      <w:r>
        <w:rPr>
          <w:rFonts w:ascii="Arial" w:eastAsia="Calibri" w:hAnsi="Arial" w:cs="Arial"/>
          <w:color w:val="000000"/>
          <w:sz w:val="22"/>
          <w:lang w:val="es-ES_tradnl" w:eastAsia="en-GB"/>
        </w:rPr>
        <w:t xml:space="preserve"> </w:t>
      </w:r>
      <w:r w:rsidRPr="00651B9C">
        <w:rPr>
          <w:rFonts w:ascii="Arial" w:eastAsia="Calibri" w:hAnsi="Arial" w:cs="Arial"/>
          <w:color w:val="000000"/>
          <w:sz w:val="22"/>
          <w:lang w:val="es-ES_tradnl" w:eastAsia="en-GB"/>
        </w:rPr>
        <w:t>para la detección y valoración de las obras</w:t>
      </w:r>
      <w:r>
        <w:rPr>
          <w:rFonts w:ascii="Arial" w:eastAsia="Calibri" w:hAnsi="Arial" w:cs="Arial"/>
          <w:color w:val="000000"/>
          <w:sz w:val="22"/>
          <w:lang w:val="es-ES_tradnl" w:eastAsia="en-GB"/>
        </w:rPr>
        <w:t xml:space="preserve"> </w:t>
      </w:r>
      <w:r w:rsidRPr="00651B9C">
        <w:rPr>
          <w:rFonts w:ascii="Arial" w:eastAsia="Calibri" w:hAnsi="Arial" w:cs="Arial"/>
          <w:color w:val="000000"/>
          <w:sz w:val="22"/>
          <w:lang w:val="es-ES_tradnl" w:eastAsia="en-GB"/>
        </w:rPr>
        <w:t>públicas que no se hayan concluido de acuerdo</w:t>
      </w:r>
      <w:r>
        <w:rPr>
          <w:rFonts w:ascii="Arial" w:eastAsia="Calibri" w:hAnsi="Arial" w:cs="Arial"/>
          <w:color w:val="000000"/>
          <w:sz w:val="22"/>
          <w:lang w:val="es-ES_tradnl" w:eastAsia="en-GB"/>
        </w:rPr>
        <w:t xml:space="preserve"> </w:t>
      </w:r>
      <w:r w:rsidRPr="00651B9C">
        <w:rPr>
          <w:rFonts w:ascii="Arial" w:eastAsia="Calibri" w:hAnsi="Arial" w:cs="Arial"/>
          <w:color w:val="000000"/>
          <w:sz w:val="22"/>
          <w:lang w:val="es-ES_tradnl" w:eastAsia="en-GB"/>
        </w:rPr>
        <w:t>con lo planeado por la entidad estatal a su cargo,</w:t>
      </w:r>
      <w:r>
        <w:rPr>
          <w:rFonts w:ascii="Arial" w:eastAsia="Calibri" w:hAnsi="Arial" w:cs="Arial"/>
          <w:color w:val="000000"/>
          <w:sz w:val="22"/>
          <w:lang w:val="es-ES_tradnl" w:eastAsia="en-GB"/>
        </w:rPr>
        <w:t xml:space="preserve"> </w:t>
      </w:r>
      <w:r w:rsidRPr="00651B9C">
        <w:rPr>
          <w:rFonts w:ascii="Arial" w:eastAsia="Calibri" w:hAnsi="Arial" w:cs="Arial"/>
          <w:color w:val="000000"/>
          <w:sz w:val="22"/>
          <w:lang w:val="es-ES_tradnl" w:eastAsia="en-GB"/>
        </w:rPr>
        <w:t>para someterlas a evaluación técnica y financiera,</w:t>
      </w:r>
      <w:r>
        <w:rPr>
          <w:rFonts w:ascii="Arial" w:eastAsia="Calibri" w:hAnsi="Arial" w:cs="Arial"/>
          <w:color w:val="000000"/>
          <w:sz w:val="22"/>
          <w:lang w:val="es-ES_tradnl" w:eastAsia="en-GB"/>
        </w:rPr>
        <w:t xml:space="preserve"> </w:t>
      </w:r>
      <w:r w:rsidRPr="00651B9C">
        <w:rPr>
          <w:rFonts w:ascii="Arial" w:eastAsia="Calibri" w:hAnsi="Arial" w:cs="Arial"/>
          <w:color w:val="000000"/>
          <w:sz w:val="22"/>
          <w:lang w:val="es-ES_tradnl" w:eastAsia="en-GB"/>
        </w:rPr>
        <w:t>dirigida a establecer si se concluyen o se procede</w:t>
      </w:r>
      <w:r>
        <w:rPr>
          <w:rFonts w:ascii="Arial" w:eastAsia="Calibri" w:hAnsi="Arial" w:cs="Arial"/>
          <w:color w:val="000000"/>
          <w:sz w:val="22"/>
          <w:lang w:val="es-ES_tradnl" w:eastAsia="en-GB"/>
        </w:rPr>
        <w:t xml:space="preserve"> </w:t>
      </w:r>
      <w:r w:rsidRPr="00651B9C">
        <w:rPr>
          <w:rFonts w:ascii="Arial" w:eastAsia="Calibri" w:hAnsi="Arial" w:cs="Arial"/>
          <w:color w:val="000000"/>
          <w:sz w:val="22"/>
          <w:lang w:val="es-ES_tradnl" w:eastAsia="en-GB"/>
        </w:rPr>
        <w:t>a su demolición. Como fin esencial del proyecto se</w:t>
      </w:r>
      <w:r>
        <w:rPr>
          <w:rFonts w:ascii="Arial" w:eastAsia="Calibri" w:hAnsi="Arial" w:cs="Arial"/>
          <w:color w:val="000000"/>
          <w:sz w:val="22"/>
          <w:lang w:val="es-ES_tradnl" w:eastAsia="en-GB"/>
        </w:rPr>
        <w:t xml:space="preserve"> </w:t>
      </w:r>
      <w:r w:rsidRPr="00651B9C">
        <w:rPr>
          <w:rFonts w:ascii="Arial" w:eastAsia="Calibri" w:hAnsi="Arial" w:cs="Arial"/>
          <w:color w:val="000000"/>
          <w:sz w:val="22"/>
          <w:lang w:val="es-ES_tradnl" w:eastAsia="en-GB"/>
        </w:rPr>
        <w:t>señala el de “salvaguardar las vidas como derecho</w:t>
      </w:r>
      <w:r>
        <w:rPr>
          <w:rFonts w:ascii="Arial" w:eastAsia="Calibri" w:hAnsi="Arial" w:cs="Arial"/>
          <w:color w:val="000000"/>
          <w:sz w:val="22"/>
          <w:lang w:val="es-ES_tradnl" w:eastAsia="en-GB"/>
        </w:rPr>
        <w:t xml:space="preserve"> </w:t>
      </w:r>
      <w:r w:rsidRPr="00651B9C">
        <w:rPr>
          <w:rFonts w:ascii="Arial" w:eastAsia="Calibri" w:hAnsi="Arial" w:cs="Arial"/>
          <w:color w:val="000000"/>
          <w:sz w:val="22"/>
          <w:lang w:val="es-ES_tradnl" w:eastAsia="en-GB"/>
        </w:rPr>
        <w:t>fundamental”, que se entienden amenazadas por los</w:t>
      </w:r>
      <w:r>
        <w:rPr>
          <w:rFonts w:ascii="Arial" w:eastAsia="Calibri" w:hAnsi="Arial" w:cs="Arial"/>
          <w:color w:val="000000"/>
          <w:sz w:val="22"/>
          <w:lang w:val="es-ES_tradnl" w:eastAsia="en-GB"/>
        </w:rPr>
        <w:t xml:space="preserve"> </w:t>
      </w:r>
      <w:r w:rsidRPr="00651B9C">
        <w:rPr>
          <w:rFonts w:ascii="Arial" w:eastAsia="Calibri" w:hAnsi="Arial" w:cs="Arial"/>
          <w:color w:val="000000"/>
          <w:sz w:val="22"/>
          <w:lang w:val="es-ES_tradnl" w:eastAsia="en-GB"/>
        </w:rPr>
        <w:t>efectos desfavorables de las obras inconclusas</w:t>
      </w:r>
      <w:r>
        <w:rPr>
          <w:rFonts w:ascii="Arial" w:eastAsia="Calibri" w:hAnsi="Arial" w:cs="Arial"/>
          <w:color w:val="000000"/>
          <w:sz w:val="22"/>
          <w:lang w:val="es-ES_tradnl" w:eastAsia="en-GB"/>
        </w:rPr>
        <w:t>»</w:t>
      </w:r>
      <w:r>
        <w:rPr>
          <w:rStyle w:val="Refdenotaalpie"/>
          <w:rFonts w:ascii="Arial" w:eastAsia="Calibri" w:hAnsi="Arial" w:cs="Arial"/>
          <w:color w:val="000000"/>
          <w:sz w:val="22"/>
          <w:lang w:val="es-ES_tradnl" w:eastAsia="en-GB"/>
        </w:rPr>
        <w:footnoteReference w:id="5"/>
      </w:r>
      <w:r w:rsidRPr="00651B9C">
        <w:rPr>
          <w:rFonts w:ascii="Arial" w:eastAsia="Calibri" w:hAnsi="Arial" w:cs="Arial"/>
          <w:color w:val="000000"/>
          <w:sz w:val="22"/>
          <w:lang w:val="es-ES_tradnl" w:eastAsia="en-GB"/>
        </w:rPr>
        <w:t>.</w:t>
      </w:r>
      <w:r>
        <w:rPr>
          <w:rFonts w:ascii="Arial" w:eastAsia="Calibri" w:hAnsi="Arial" w:cs="Arial"/>
          <w:color w:val="000000"/>
          <w:sz w:val="22"/>
          <w:lang w:val="es-ES_tradnl" w:eastAsia="en-GB"/>
        </w:rPr>
        <w:t xml:space="preserve"> En esta medida, el propósito de la norma subyace no solo en estructurar un sistema de registro, sino también en identificar el estado real de la infraestructura de obra en cada institución pública, con miras a elaborar un diagnóstico sobre la viabilidad técnica, financiera y jurídica de </w:t>
      </w:r>
      <w:r w:rsidRPr="004F091D">
        <w:rPr>
          <w:rFonts w:ascii="Arial" w:eastAsia="Calibri" w:hAnsi="Arial" w:cs="Arial"/>
          <w:color w:val="000000"/>
          <w:sz w:val="22"/>
          <w:lang w:val="es-ES_tradnl" w:eastAsia="en-GB"/>
        </w:rPr>
        <w:t>terminar o demoler la obra</w:t>
      </w:r>
      <w:r>
        <w:rPr>
          <w:rFonts w:ascii="Arial" w:eastAsia="Calibri" w:hAnsi="Arial" w:cs="Arial"/>
          <w:color w:val="000000"/>
          <w:sz w:val="22"/>
          <w:lang w:val="es-ES_tradnl" w:eastAsia="en-GB"/>
        </w:rPr>
        <w:t xml:space="preserve">, asegurando que pueda realizar una inversión de sus recursos para la intervención de </w:t>
      </w:r>
      <w:proofErr w:type="gramStart"/>
      <w:r>
        <w:rPr>
          <w:rFonts w:ascii="Arial" w:eastAsia="Calibri" w:hAnsi="Arial" w:cs="Arial"/>
          <w:color w:val="000000"/>
          <w:sz w:val="22"/>
          <w:lang w:val="es-ES_tradnl" w:eastAsia="en-GB"/>
        </w:rPr>
        <w:t>la misma</w:t>
      </w:r>
      <w:proofErr w:type="gramEnd"/>
      <w:r>
        <w:rPr>
          <w:rFonts w:ascii="Arial" w:eastAsia="Calibri" w:hAnsi="Arial" w:cs="Arial"/>
          <w:color w:val="000000"/>
          <w:sz w:val="22"/>
          <w:lang w:val="es-ES_tradnl" w:eastAsia="en-GB"/>
        </w:rPr>
        <w:t>.</w:t>
      </w:r>
    </w:p>
    <w:p w14:paraId="210BD0B7" w14:textId="77777777" w:rsidR="003F63EE" w:rsidRDefault="003F63EE" w:rsidP="003F63EE">
      <w:pPr>
        <w:tabs>
          <w:tab w:val="left" w:pos="0"/>
        </w:tabs>
        <w:spacing w:before="120" w:line="276" w:lineRule="auto"/>
        <w:ind w:firstLine="709"/>
        <w:jc w:val="both"/>
        <w:rPr>
          <w:rFonts w:ascii="Arial" w:eastAsia="Calibri" w:hAnsi="Arial" w:cs="Arial"/>
          <w:color w:val="000000"/>
          <w:sz w:val="22"/>
          <w:lang w:val="es-ES_tradnl" w:eastAsia="en-GB"/>
        </w:rPr>
      </w:pPr>
      <w:r>
        <w:rPr>
          <w:rFonts w:ascii="Arial" w:eastAsia="Calibri" w:hAnsi="Arial" w:cs="Arial"/>
          <w:color w:val="000000"/>
          <w:sz w:val="22"/>
          <w:lang w:val="es-ES_tradnl" w:eastAsia="en-GB"/>
        </w:rPr>
        <w:t xml:space="preserve"> Es por ello </w:t>
      </w:r>
      <w:proofErr w:type="gramStart"/>
      <w:r>
        <w:rPr>
          <w:rFonts w:ascii="Arial" w:eastAsia="Calibri" w:hAnsi="Arial" w:cs="Arial"/>
          <w:color w:val="000000"/>
          <w:sz w:val="22"/>
          <w:lang w:val="es-ES_tradnl" w:eastAsia="en-GB"/>
        </w:rPr>
        <w:t>que</w:t>
      </w:r>
      <w:proofErr w:type="gramEnd"/>
      <w:r>
        <w:rPr>
          <w:rFonts w:ascii="Arial" w:eastAsia="Calibri" w:hAnsi="Arial" w:cs="Arial"/>
          <w:color w:val="000000"/>
          <w:sz w:val="22"/>
          <w:lang w:val="es-ES_tradnl" w:eastAsia="en-GB"/>
        </w:rPr>
        <w:t xml:space="preserve"> los artículos 5 y 13 </w:t>
      </w:r>
      <w:proofErr w:type="spellStart"/>
      <w:r w:rsidRPr="000060D0">
        <w:rPr>
          <w:rFonts w:ascii="Arial" w:eastAsia="Calibri" w:hAnsi="Arial" w:cs="Arial"/>
          <w:i/>
          <w:color w:val="000000"/>
          <w:sz w:val="22"/>
          <w:lang w:val="es-ES_tradnl" w:eastAsia="en-GB"/>
        </w:rPr>
        <w:t>ibídem</w:t>
      </w:r>
      <w:proofErr w:type="spellEnd"/>
      <w:r>
        <w:rPr>
          <w:rFonts w:ascii="Arial" w:eastAsia="Calibri" w:hAnsi="Arial" w:cs="Arial"/>
          <w:i/>
          <w:color w:val="000000"/>
          <w:sz w:val="22"/>
          <w:lang w:val="es-ES_tradnl" w:eastAsia="en-GB"/>
        </w:rPr>
        <w:t>,</w:t>
      </w:r>
      <w:r>
        <w:rPr>
          <w:rFonts w:ascii="Arial" w:eastAsia="Calibri" w:hAnsi="Arial" w:cs="Arial"/>
          <w:color w:val="000000"/>
          <w:sz w:val="22"/>
          <w:lang w:val="es-ES_tradnl" w:eastAsia="en-GB"/>
        </w:rPr>
        <w:t xml:space="preserve"> establecen que l</w:t>
      </w:r>
      <w:r w:rsidRPr="007B57A5">
        <w:rPr>
          <w:rFonts w:ascii="Arial" w:eastAsia="Calibri" w:hAnsi="Arial" w:cs="Arial"/>
          <w:color w:val="000000"/>
          <w:sz w:val="22"/>
          <w:lang w:val="es-ES_tradnl" w:eastAsia="en-GB"/>
        </w:rPr>
        <w:t>a enti</w:t>
      </w:r>
      <w:r>
        <w:rPr>
          <w:rFonts w:ascii="Arial" w:eastAsia="Calibri" w:hAnsi="Arial" w:cs="Arial"/>
          <w:color w:val="000000"/>
          <w:sz w:val="22"/>
          <w:lang w:val="es-ES_tradnl" w:eastAsia="en-GB"/>
        </w:rPr>
        <w:t>dad estatal contratante</w:t>
      </w:r>
      <w:r w:rsidRPr="001E56FF">
        <w:rPr>
          <w:rFonts w:ascii="Arial" w:eastAsia="Calibri" w:hAnsi="Arial" w:cs="Arial"/>
          <w:color w:val="000000"/>
          <w:sz w:val="22"/>
          <w:lang w:val="es-ES_tradnl" w:eastAsia="en-GB"/>
        </w:rPr>
        <w:t xml:space="preserve"> </w:t>
      </w:r>
      <w:r w:rsidRPr="007B57A5">
        <w:rPr>
          <w:rFonts w:ascii="Arial" w:eastAsia="Calibri" w:hAnsi="Arial" w:cs="Arial"/>
          <w:color w:val="000000"/>
          <w:sz w:val="22"/>
          <w:lang w:val="es-ES_tradnl" w:eastAsia="en-GB"/>
        </w:rPr>
        <w:t>decidirá sobre la intervención física de terminación o demolición de la obra civil inconclusa</w:t>
      </w:r>
      <w:r>
        <w:rPr>
          <w:rFonts w:ascii="Arial" w:eastAsia="Calibri" w:hAnsi="Arial" w:cs="Arial"/>
          <w:color w:val="000000"/>
          <w:sz w:val="22"/>
          <w:lang w:val="es-ES_tradnl" w:eastAsia="en-GB"/>
        </w:rPr>
        <w:t>,</w:t>
      </w:r>
      <w:r w:rsidRPr="001E56FF">
        <w:rPr>
          <w:rFonts w:ascii="Arial" w:eastAsia="Calibri" w:hAnsi="Arial" w:cs="Arial"/>
          <w:color w:val="000000"/>
          <w:sz w:val="22"/>
          <w:lang w:val="es-ES_tradnl" w:eastAsia="en-GB"/>
        </w:rPr>
        <w:t xml:space="preserve"> </w:t>
      </w:r>
      <w:r>
        <w:rPr>
          <w:rFonts w:ascii="Arial" w:eastAsia="Calibri" w:hAnsi="Arial" w:cs="Arial"/>
          <w:color w:val="000000"/>
          <w:sz w:val="22"/>
          <w:lang w:val="es-ES_tradnl" w:eastAsia="en-GB"/>
        </w:rPr>
        <w:t xml:space="preserve">para lo cual podrá disponer de las partidas necesarias, según </w:t>
      </w:r>
      <w:r w:rsidRPr="007B57A5">
        <w:rPr>
          <w:rFonts w:ascii="Arial" w:eastAsia="Calibri" w:hAnsi="Arial" w:cs="Arial"/>
          <w:color w:val="000000"/>
          <w:sz w:val="22"/>
          <w:lang w:val="es-ES_tradnl" w:eastAsia="en-GB"/>
        </w:rPr>
        <w:t>la disponibilidad de recursos compatibles con el marco fiscal de mediano plazo y l</w:t>
      </w:r>
      <w:r>
        <w:rPr>
          <w:rFonts w:ascii="Arial" w:eastAsia="Calibri" w:hAnsi="Arial" w:cs="Arial"/>
          <w:color w:val="000000"/>
          <w:sz w:val="22"/>
          <w:lang w:val="es-ES_tradnl" w:eastAsia="en-GB"/>
        </w:rPr>
        <w:t>a regla fiscal de cada entidad. Además, se podrá presentar en el plan de desarrollo de la entidad, una estrategia de atención para determinar la intervención de las obras que se encuentren en el Registro Nacional de Obras Civiles Inconclusas, con énfasis en aquellas que lleven más tiempo sin intervención, siempre atendiendo a la disponibilidad de recursos</w:t>
      </w:r>
      <w:r>
        <w:rPr>
          <w:rStyle w:val="Refdenotaalpie"/>
          <w:rFonts w:ascii="Arial" w:eastAsia="Calibri" w:hAnsi="Arial" w:cs="Arial"/>
          <w:color w:val="000000"/>
          <w:sz w:val="22"/>
          <w:lang w:val="es-ES_tradnl" w:eastAsia="en-GB"/>
        </w:rPr>
        <w:footnoteReference w:id="6"/>
      </w:r>
      <w:r>
        <w:rPr>
          <w:rFonts w:ascii="Arial" w:eastAsia="Calibri" w:hAnsi="Arial" w:cs="Arial"/>
          <w:color w:val="000000"/>
          <w:sz w:val="22"/>
          <w:lang w:val="es-ES_tradnl" w:eastAsia="en-GB"/>
        </w:rPr>
        <w:t xml:space="preserve">. </w:t>
      </w:r>
    </w:p>
    <w:p w14:paraId="5D52C96E" w14:textId="77777777" w:rsidR="003F63EE" w:rsidRDefault="003F63EE" w:rsidP="003F63EE">
      <w:pPr>
        <w:tabs>
          <w:tab w:val="left" w:pos="0"/>
        </w:tabs>
        <w:spacing w:before="120" w:line="276" w:lineRule="auto"/>
        <w:ind w:firstLine="709"/>
        <w:jc w:val="both"/>
        <w:rPr>
          <w:rFonts w:ascii="Arial" w:eastAsia="Calibri" w:hAnsi="Arial" w:cs="Arial"/>
          <w:color w:val="000000"/>
          <w:sz w:val="22"/>
          <w:lang w:val="es-ES_tradnl" w:eastAsia="en-GB"/>
        </w:rPr>
      </w:pPr>
      <w:r>
        <w:rPr>
          <w:rFonts w:ascii="Arial" w:eastAsia="Calibri" w:hAnsi="Arial" w:cs="Arial"/>
          <w:color w:val="000000"/>
          <w:sz w:val="22"/>
          <w:lang w:val="es-ES_tradnl" w:eastAsia="en-GB"/>
        </w:rPr>
        <w:lastRenderedPageBreak/>
        <w:t>En tal sentido, esta l</w:t>
      </w:r>
      <w:r w:rsidRPr="003B4B1C">
        <w:rPr>
          <w:rFonts w:ascii="Arial" w:eastAsia="Calibri" w:hAnsi="Arial" w:cs="Arial"/>
          <w:color w:val="000000"/>
          <w:sz w:val="22"/>
          <w:lang w:val="es-ES_tradnl" w:eastAsia="en-GB"/>
        </w:rPr>
        <w:t>ey busca que</w:t>
      </w:r>
      <w:r>
        <w:rPr>
          <w:rFonts w:ascii="Arial" w:eastAsia="Calibri" w:hAnsi="Arial" w:cs="Arial"/>
          <w:color w:val="000000"/>
          <w:sz w:val="22"/>
          <w:lang w:val="es-ES_tradnl" w:eastAsia="en-GB"/>
        </w:rPr>
        <w:t xml:space="preserve"> la entidad estatal determine el destino definitivo la obra, a través del concepto jurídico, técnico y financiero que emitan las áreas de la entidad cuyas funciones y competencias se encuentran relacionadas con la obra inconclusa, observando, en todo caso, el deber de apropiar las partidas presupuestales correspondientes. De todas formas, si se opta por la demolición, esta deberá ser adoptada por acto administrativo </w:t>
      </w:r>
      <w:r w:rsidRPr="00EC5ACE">
        <w:rPr>
          <w:rFonts w:ascii="Arial" w:eastAsia="Calibri" w:hAnsi="Arial" w:cs="Arial"/>
          <w:color w:val="000000"/>
          <w:sz w:val="22"/>
          <w:lang w:val="es-ES_tradnl" w:eastAsia="en-GB"/>
        </w:rPr>
        <w:t>por el representante legal de la entidad a cargo de la obra</w:t>
      </w:r>
      <w:r>
        <w:rPr>
          <w:rFonts w:ascii="Arial" w:eastAsia="Calibri" w:hAnsi="Arial" w:cs="Arial"/>
          <w:color w:val="000000"/>
          <w:sz w:val="22"/>
          <w:lang w:val="es-ES_tradnl" w:eastAsia="en-GB"/>
        </w:rPr>
        <w:t xml:space="preserve"> y </w:t>
      </w:r>
      <w:proofErr w:type="gramStart"/>
      <w:r>
        <w:rPr>
          <w:rFonts w:ascii="Arial" w:eastAsia="Calibri" w:hAnsi="Arial" w:cs="Arial"/>
          <w:color w:val="000000"/>
          <w:sz w:val="22"/>
          <w:lang w:val="es-ES_tradnl" w:eastAsia="en-GB"/>
        </w:rPr>
        <w:t xml:space="preserve">solo </w:t>
      </w:r>
      <w:r w:rsidRPr="00EC5ACE">
        <w:rPr>
          <w:rFonts w:ascii="Arial" w:eastAsia="Calibri" w:hAnsi="Arial" w:cs="Arial"/>
          <w:color w:val="000000"/>
          <w:sz w:val="22"/>
          <w:lang w:val="es-ES_tradnl" w:eastAsia="en-GB"/>
        </w:rPr>
        <w:t xml:space="preserve"> podrá</w:t>
      </w:r>
      <w:proofErr w:type="gramEnd"/>
      <w:r w:rsidRPr="00EC5ACE">
        <w:rPr>
          <w:rFonts w:ascii="Arial" w:eastAsia="Calibri" w:hAnsi="Arial" w:cs="Arial"/>
          <w:color w:val="000000"/>
          <w:sz w:val="22"/>
          <w:lang w:val="es-ES_tradnl" w:eastAsia="en-GB"/>
        </w:rPr>
        <w:t xml:space="preserve"> ser ordenada en casos de ruina o grave amenaza a los derechos fundamentales o colectivos, debidamente evaluada. </w:t>
      </w:r>
    </w:p>
    <w:p w14:paraId="4C066FB4" w14:textId="77777777" w:rsidR="003F63EE" w:rsidRDefault="003F63EE" w:rsidP="003F63EE">
      <w:pPr>
        <w:tabs>
          <w:tab w:val="left" w:pos="0"/>
        </w:tabs>
        <w:spacing w:before="120" w:line="276" w:lineRule="auto"/>
        <w:ind w:firstLine="709"/>
        <w:jc w:val="both"/>
        <w:rPr>
          <w:rFonts w:ascii="Arial" w:eastAsia="Calibri" w:hAnsi="Arial" w:cs="Arial"/>
          <w:color w:val="000000"/>
          <w:sz w:val="22"/>
          <w:lang w:val="es-ES_tradnl" w:eastAsia="en-GB"/>
        </w:rPr>
      </w:pPr>
      <w:r>
        <w:rPr>
          <w:rFonts w:ascii="Arial" w:eastAsia="Calibri" w:hAnsi="Arial" w:cs="Arial"/>
          <w:color w:val="000000"/>
          <w:sz w:val="22"/>
          <w:lang w:val="es-ES_tradnl" w:eastAsia="en-GB"/>
        </w:rPr>
        <w:t>En lo relacionado con el contenido del Registro Nacional de Obras Civiles Inconclusas, el artículo 4 determina la información mínima que debe reportarse por las entidades públicas. Entre otros, deberá contener datos sobre las r</w:t>
      </w:r>
      <w:r w:rsidRPr="00B13533">
        <w:rPr>
          <w:rFonts w:ascii="Arial" w:eastAsia="Calibri" w:hAnsi="Arial" w:cs="Arial"/>
          <w:color w:val="000000"/>
          <w:sz w:val="22"/>
          <w:lang w:val="es-ES_tradnl" w:eastAsia="en-GB"/>
        </w:rPr>
        <w:t>azones técnicas y/o jurídicas por las cuales la obra civil quedó inconclusa;</w:t>
      </w:r>
      <w:r>
        <w:rPr>
          <w:rFonts w:ascii="Arial" w:eastAsia="Calibri" w:hAnsi="Arial" w:cs="Arial"/>
          <w:color w:val="000000"/>
          <w:sz w:val="22"/>
          <w:lang w:val="es-ES_tradnl" w:eastAsia="en-GB"/>
        </w:rPr>
        <w:t xml:space="preserve"> los pagos efectuados; los p</w:t>
      </w:r>
      <w:r w:rsidRPr="00B13533">
        <w:rPr>
          <w:rFonts w:ascii="Arial" w:eastAsia="Calibri" w:hAnsi="Arial" w:cs="Arial"/>
          <w:color w:val="000000"/>
          <w:sz w:val="22"/>
          <w:lang w:val="es-ES_tradnl" w:eastAsia="en-GB"/>
        </w:rPr>
        <w:t xml:space="preserve">rocesos en curso y/o fallos que hayan declarado responsabilidades penales, fiscales, civiles y disciplinarias derivadas de la obra inconclusa; así como los actos administrativos que declaren el incumplimiento de los contratistas o caducidad de los </w:t>
      </w:r>
      <w:r>
        <w:rPr>
          <w:rFonts w:ascii="Arial" w:eastAsia="Calibri" w:hAnsi="Arial" w:cs="Arial"/>
          <w:color w:val="000000"/>
          <w:sz w:val="22"/>
          <w:lang w:val="es-ES_tradnl" w:eastAsia="en-GB"/>
        </w:rPr>
        <w:t xml:space="preserve">contratos. Igualmente, en este Registro constará la información de las obras civiles ya terminadas que no se encuentre en funcionamiento conforme al artículo 15. </w:t>
      </w:r>
    </w:p>
    <w:p w14:paraId="2DF83810" w14:textId="77777777" w:rsidR="003F63EE" w:rsidRDefault="003F63EE" w:rsidP="003F63EE">
      <w:pPr>
        <w:tabs>
          <w:tab w:val="left" w:pos="0"/>
        </w:tabs>
        <w:spacing w:before="120" w:line="276" w:lineRule="auto"/>
        <w:ind w:firstLine="709"/>
        <w:jc w:val="both"/>
        <w:rPr>
          <w:rFonts w:ascii="Arial" w:eastAsia="Calibri" w:hAnsi="Arial" w:cs="Arial"/>
          <w:color w:val="000000"/>
          <w:sz w:val="22"/>
          <w:lang w:val="es-ES_tradnl" w:eastAsia="en-GB"/>
        </w:rPr>
      </w:pPr>
      <w:r>
        <w:rPr>
          <w:rFonts w:ascii="Arial" w:eastAsia="Calibri" w:hAnsi="Arial" w:cs="Arial"/>
          <w:color w:val="000000"/>
          <w:sz w:val="22"/>
          <w:lang w:val="es-ES_tradnl" w:eastAsia="en-GB"/>
        </w:rPr>
        <w:t xml:space="preserve">Según artículo 9 de la Ley 2020 de 2020, </w:t>
      </w:r>
      <w:r w:rsidRPr="00EC5ACE">
        <w:rPr>
          <w:rFonts w:ascii="Arial" w:eastAsia="Calibri" w:hAnsi="Arial" w:cs="Arial"/>
          <w:color w:val="000000"/>
          <w:sz w:val="22"/>
          <w:lang w:val="es-ES_tradnl" w:eastAsia="en-GB"/>
        </w:rPr>
        <w:t>la obligación</w:t>
      </w:r>
      <w:r>
        <w:rPr>
          <w:rFonts w:ascii="Arial" w:eastAsia="Calibri" w:hAnsi="Arial" w:cs="Arial"/>
          <w:color w:val="000000"/>
          <w:sz w:val="22"/>
          <w:lang w:val="es-ES_tradnl" w:eastAsia="en-GB"/>
        </w:rPr>
        <w:t xml:space="preserve"> de reportar esta información</w:t>
      </w:r>
      <w:r w:rsidRPr="00EC5ACE">
        <w:rPr>
          <w:rFonts w:ascii="Arial" w:eastAsia="Calibri" w:hAnsi="Arial" w:cs="Arial"/>
          <w:color w:val="000000"/>
          <w:sz w:val="22"/>
          <w:lang w:val="es-ES_tradnl" w:eastAsia="en-GB"/>
        </w:rPr>
        <w:t xml:space="preserve"> recae en los representantes leg</w:t>
      </w:r>
      <w:r>
        <w:rPr>
          <w:rFonts w:ascii="Arial" w:eastAsia="Calibri" w:hAnsi="Arial" w:cs="Arial"/>
          <w:color w:val="000000"/>
          <w:sz w:val="22"/>
          <w:lang w:val="es-ES_tradnl" w:eastAsia="en-GB"/>
        </w:rPr>
        <w:t>ales de las entidades estatales y su incumplimiento genera las sanciones respectivas conforme a la normativa vigente</w:t>
      </w:r>
      <w:r>
        <w:rPr>
          <w:rStyle w:val="Refdenotaalpie"/>
          <w:rFonts w:ascii="Arial" w:eastAsia="Calibri" w:hAnsi="Arial" w:cs="Arial"/>
          <w:color w:val="000000"/>
          <w:sz w:val="22"/>
          <w:lang w:val="es-ES_tradnl" w:eastAsia="en-GB"/>
        </w:rPr>
        <w:footnoteReference w:id="7"/>
      </w:r>
      <w:r>
        <w:rPr>
          <w:rFonts w:ascii="Arial" w:eastAsia="Calibri" w:hAnsi="Arial" w:cs="Arial"/>
          <w:color w:val="000000"/>
          <w:sz w:val="22"/>
          <w:lang w:val="es-ES_tradnl" w:eastAsia="en-GB"/>
        </w:rPr>
        <w:t xml:space="preserve">. En todo caso, la información que consta en el </w:t>
      </w:r>
      <w:proofErr w:type="gramStart"/>
      <w:r>
        <w:rPr>
          <w:rFonts w:ascii="Arial" w:eastAsia="Calibri" w:hAnsi="Arial" w:cs="Arial"/>
          <w:color w:val="000000"/>
          <w:sz w:val="22"/>
          <w:lang w:val="es-ES_tradnl" w:eastAsia="en-GB"/>
        </w:rPr>
        <w:t>Registro,</w:t>
      </w:r>
      <w:proofErr w:type="gramEnd"/>
      <w:r>
        <w:rPr>
          <w:rFonts w:ascii="Arial" w:eastAsia="Calibri" w:hAnsi="Arial" w:cs="Arial"/>
          <w:color w:val="000000"/>
          <w:sz w:val="22"/>
          <w:lang w:val="es-ES_tradnl" w:eastAsia="en-GB"/>
        </w:rPr>
        <w:t xml:space="preserve"> podrá tenerse en cuenta por los entes de control o por las entidades públicas sometidas al Estatuto General de Contratación Pública en</w:t>
      </w:r>
      <w:r w:rsidRPr="00B31710">
        <w:rPr>
          <w:rFonts w:ascii="Arial" w:eastAsia="Calibri" w:hAnsi="Arial" w:cs="Arial"/>
          <w:color w:val="000000"/>
          <w:sz w:val="22"/>
          <w:lang w:val="es-ES_tradnl" w:eastAsia="en-GB"/>
        </w:rPr>
        <w:t xml:space="preserve"> los procesos fiscales, </w:t>
      </w:r>
      <w:r>
        <w:rPr>
          <w:rFonts w:ascii="Arial" w:eastAsia="Calibri" w:hAnsi="Arial" w:cs="Arial"/>
          <w:color w:val="000000"/>
          <w:sz w:val="22"/>
          <w:lang w:val="es-ES_tradnl" w:eastAsia="en-GB"/>
        </w:rPr>
        <w:t>disciplinarios o sancionatorios que se adelanten en razón de la obra civil inconclusa. Igualmente, e</w:t>
      </w:r>
      <w:r w:rsidRPr="00103361">
        <w:rPr>
          <w:rFonts w:ascii="Arial" w:eastAsia="Calibri" w:hAnsi="Arial" w:cs="Arial"/>
          <w:color w:val="000000"/>
          <w:sz w:val="22"/>
          <w:lang w:val="es-ES_tradnl" w:eastAsia="en-GB"/>
        </w:rPr>
        <w:t xml:space="preserve">l acto administrativo que declare el incumplimiento, caducidad y/o terminación </w:t>
      </w:r>
      <w:r>
        <w:rPr>
          <w:rFonts w:ascii="Arial" w:eastAsia="Calibri" w:hAnsi="Arial" w:cs="Arial"/>
          <w:color w:val="000000"/>
          <w:sz w:val="22"/>
          <w:lang w:val="es-ES_tradnl" w:eastAsia="en-GB"/>
        </w:rPr>
        <w:t xml:space="preserve">unilateral del contrato de obra, tendrá en cuenta en la parte motiva, la documentación que repose en el registro. </w:t>
      </w:r>
    </w:p>
    <w:p w14:paraId="2CEC3A73" w14:textId="345096D0" w:rsidR="00466861" w:rsidRDefault="003F63EE" w:rsidP="00360E6D">
      <w:pPr>
        <w:tabs>
          <w:tab w:val="left" w:pos="0"/>
        </w:tabs>
        <w:spacing w:before="120" w:line="276" w:lineRule="auto"/>
        <w:ind w:firstLine="709"/>
        <w:jc w:val="both"/>
        <w:rPr>
          <w:rFonts w:ascii="Arial" w:eastAsia="Calibri" w:hAnsi="Arial" w:cs="Arial"/>
          <w:color w:val="000000"/>
          <w:sz w:val="22"/>
          <w:lang w:val="es-ES_tradnl" w:eastAsia="en-GB"/>
        </w:rPr>
      </w:pPr>
      <w:r>
        <w:rPr>
          <w:rFonts w:ascii="Arial" w:eastAsia="Calibri" w:hAnsi="Arial" w:cs="Arial"/>
          <w:color w:val="000000"/>
          <w:sz w:val="22"/>
          <w:lang w:val="es-ES_tradnl" w:eastAsia="en-GB"/>
        </w:rPr>
        <w:t xml:space="preserve">De esta manera, debido al carácter público de la información del registro, se podrá verificar en el sistema dispuesto por la Contraloría General de la Nación, el motivo por el cual la obra civil quedo inconclusa, así como las situaciones de incumplimiento del contratista y en general el estado jurídico, técnico y financiero de la obra. Si se presenta alguna controversia respecto de la información suministrada por la entidad estatal, esta será la encargada de resolverla </w:t>
      </w:r>
      <w:r w:rsidRPr="000F2739">
        <w:rPr>
          <w:rFonts w:ascii="Arial" w:eastAsia="Calibri" w:hAnsi="Arial" w:cs="Arial"/>
          <w:color w:val="000000"/>
          <w:sz w:val="22"/>
          <w:lang w:val="es-ES_tradnl" w:eastAsia="en-GB"/>
        </w:rPr>
        <w:t>atendiendo los principios y disposiciones establecidos en la normatividad vigente.</w:t>
      </w:r>
      <w:r>
        <w:rPr>
          <w:rFonts w:ascii="Arial" w:eastAsia="Calibri" w:hAnsi="Arial" w:cs="Arial"/>
          <w:color w:val="000000"/>
          <w:sz w:val="22"/>
          <w:lang w:val="es-ES_tradnl" w:eastAsia="en-GB"/>
        </w:rPr>
        <w:t xml:space="preserve"> Conforme al artículo 12, es preciso señalar que la cancelación de la </w:t>
      </w:r>
      <w:r>
        <w:rPr>
          <w:rFonts w:ascii="Arial" w:eastAsia="Calibri" w:hAnsi="Arial" w:cs="Arial"/>
          <w:color w:val="000000"/>
          <w:sz w:val="22"/>
          <w:lang w:val="es-ES_tradnl" w:eastAsia="en-GB"/>
        </w:rPr>
        <w:lastRenderedPageBreak/>
        <w:t>anotación de la obra en el Registro Nacional de Obras Civiles Inconclusas solo operará a solicitud de la entidad estatal una vez haya sido demolida o finalizada exitosamente.</w:t>
      </w:r>
    </w:p>
    <w:p w14:paraId="12B66FEC" w14:textId="77777777" w:rsidR="00360E6D" w:rsidRPr="00466861" w:rsidRDefault="00360E6D" w:rsidP="00360E6D">
      <w:pPr>
        <w:tabs>
          <w:tab w:val="left" w:pos="0"/>
        </w:tabs>
        <w:spacing w:before="120" w:line="276" w:lineRule="auto"/>
        <w:ind w:firstLine="709"/>
        <w:jc w:val="both"/>
        <w:rPr>
          <w:rFonts w:ascii="Arial" w:eastAsia="Calibri" w:hAnsi="Arial" w:cs="Arial"/>
          <w:color w:val="000000"/>
          <w:sz w:val="22"/>
          <w:lang w:val="es-ES_tradnl" w:eastAsia="en-GB"/>
        </w:rPr>
      </w:pPr>
    </w:p>
    <w:p w14:paraId="557C39B2" w14:textId="37609D47" w:rsidR="00E5756C" w:rsidRPr="00E23980" w:rsidRDefault="00E5756C" w:rsidP="00BD67B2">
      <w:pPr>
        <w:tabs>
          <w:tab w:val="left" w:pos="0"/>
        </w:tabs>
        <w:spacing w:line="276" w:lineRule="auto"/>
        <w:jc w:val="both"/>
        <w:rPr>
          <w:rFonts w:ascii="Arial" w:eastAsia="Calibri" w:hAnsi="Arial" w:cs="Arial"/>
          <w:b/>
          <w:bCs/>
          <w:color w:val="000000"/>
          <w:sz w:val="22"/>
          <w:lang w:val="es-ES_tradnl" w:eastAsia="en-GB"/>
        </w:rPr>
      </w:pPr>
      <w:r w:rsidRPr="00E23980">
        <w:rPr>
          <w:rFonts w:ascii="Arial" w:eastAsia="Calibri" w:hAnsi="Arial" w:cs="Arial"/>
          <w:b/>
          <w:bCs/>
          <w:color w:val="000000"/>
          <w:sz w:val="22"/>
          <w:lang w:val="es-ES_tradnl" w:eastAsia="en-GB"/>
        </w:rPr>
        <w:t xml:space="preserve">2.2. </w:t>
      </w:r>
      <w:r w:rsidR="00360E6D" w:rsidRPr="00E23980">
        <w:rPr>
          <w:rFonts w:ascii="Arial" w:eastAsia="Calibri" w:hAnsi="Arial" w:cs="Arial"/>
          <w:b/>
          <w:bCs/>
          <w:color w:val="000000"/>
          <w:sz w:val="22"/>
          <w:lang w:val="es-ES_tradnl" w:eastAsia="en-GB"/>
        </w:rPr>
        <w:t xml:space="preserve">Deber de verificación del Registro Nacional de Obras Civiles Inconclusas en </w:t>
      </w:r>
      <w:r w:rsidR="00360E6D">
        <w:rPr>
          <w:rFonts w:ascii="Arial" w:eastAsia="Calibri" w:hAnsi="Arial" w:cs="Arial"/>
          <w:b/>
          <w:bCs/>
          <w:color w:val="000000"/>
          <w:sz w:val="22"/>
          <w:lang w:val="es-ES_tradnl" w:eastAsia="en-GB"/>
        </w:rPr>
        <w:t>la evaluación de factores de calidad para la selección de contratistas de obra o interventores</w:t>
      </w:r>
    </w:p>
    <w:p w14:paraId="47C4BBD9" w14:textId="252A38FB" w:rsidR="00BD67B2" w:rsidRPr="00E23980" w:rsidRDefault="00BD67B2" w:rsidP="00567723">
      <w:pPr>
        <w:tabs>
          <w:tab w:val="left" w:pos="0"/>
        </w:tabs>
        <w:spacing w:line="276" w:lineRule="auto"/>
        <w:jc w:val="both"/>
        <w:rPr>
          <w:rFonts w:ascii="Arial" w:eastAsia="Calibri" w:hAnsi="Arial" w:cs="Arial"/>
          <w:color w:val="000000"/>
          <w:sz w:val="22"/>
          <w:lang w:val="es-ES_tradnl" w:eastAsia="en-GB"/>
        </w:rPr>
      </w:pPr>
    </w:p>
    <w:p w14:paraId="1EE85E77" w14:textId="77777777" w:rsidR="00466861" w:rsidRPr="00E23980" w:rsidRDefault="00466861" w:rsidP="00466861">
      <w:pPr>
        <w:tabs>
          <w:tab w:val="left" w:pos="0"/>
        </w:tabs>
        <w:spacing w:line="276" w:lineRule="auto"/>
        <w:jc w:val="both"/>
        <w:rPr>
          <w:rFonts w:ascii="Arial" w:eastAsia="Calibri" w:hAnsi="Arial" w:cs="Arial"/>
          <w:color w:val="000000"/>
          <w:sz w:val="22"/>
          <w:lang w:val="es-ES_tradnl" w:eastAsia="en-GB"/>
        </w:rPr>
      </w:pPr>
      <w:r w:rsidRPr="00E23980">
        <w:rPr>
          <w:rFonts w:ascii="Arial" w:eastAsia="Calibri" w:hAnsi="Arial" w:cs="Arial"/>
          <w:color w:val="000000"/>
          <w:sz w:val="22"/>
          <w:lang w:val="es-ES_tradnl" w:eastAsia="en-GB"/>
        </w:rPr>
        <w:t xml:space="preserve">El artículo 6 de la Ley 2020 de 2020 establece un deber a cargo de las entidades estatales dentro de los procedimientos que adelanten para la contratación de obras públicas. Consiste en la obligación de </w:t>
      </w:r>
      <w:r w:rsidRPr="0081325C">
        <w:rPr>
          <w:rFonts w:ascii="Arial" w:eastAsia="Calibri" w:hAnsi="Arial" w:cs="Arial"/>
          <w:i/>
          <w:iCs/>
          <w:color w:val="000000"/>
          <w:sz w:val="22"/>
          <w:lang w:val="es-ES_tradnl" w:eastAsia="en-GB"/>
        </w:rPr>
        <w:t>consultar</w:t>
      </w:r>
      <w:r w:rsidRPr="00E23980">
        <w:rPr>
          <w:rFonts w:ascii="Arial" w:eastAsia="Calibri" w:hAnsi="Arial" w:cs="Arial"/>
          <w:color w:val="000000"/>
          <w:sz w:val="22"/>
          <w:lang w:val="es-ES_tradnl" w:eastAsia="en-GB"/>
        </w:rPr>
        <w:t xml:space="preserve"> y </w:t>
      </w:r>
      <w:r w:rsidRPr="0081325C">
        <w:rPr>
          <w:rFonts w:ascii="Arial" w:eastAsia="Calibri" w:hAnsi="Arial" w:cs="Arial"/>
          <w:i/>
          <w:iCs/>
          <w:color w:val="000000"/>
          <w:sz w:val="22"/>
          <w:lang w:val="es-ES_tradnl" w:eastAsia="en-GB"/>
        </w:rPr>
        <w:t>analizar</w:t>
      </w:r>
      <w:r w:rsidRPr="00E23980">
        <w:rPr>
          <w:rFonts w:ascii="Arial" w:eastAsia="Calibri" w:hAnsi="Arial" w:cs="Arial"/>
          <w:color w:val="000000"/>
          <w:sz w:val="22"/>
          <w:lang w:val="es-ES_tradnl" w:eastAsia="en-GB"/>
        </w:rPr>
        <w:t xml:space="preserve"> la información contenida en el Registro Nacional de Obras Civiles Inconclusas. Además, </w:t>
      </w:r>
      <w:r>
        <w:rPr>
          <w:rFonts w:ascii="Arial" w:eastAsia="Calibri" w:hAnsi="Arial" w:cs="Arial"/>
          <w:color w:val="000000"/>
          <w:sz w:val="22"/>
          <w:lang w:val="es-ES_tradnl" w:eastAsia="en-GB"/>
        </w:rPr>
        <w:t>dispone</w:t>
      </w:r>
      <w:r w:rsidRPr="00E23980">
        <w:rPr>
          <w:rFonts w:ascii="Arial" w:eastAsia="Calibri" w:hAnsi="Arial" w:cs="Arial"/>
          <w:color w:val="000000"/>
          <w:sz w:val="22"/>
          <w:lang w:val="es-ES_tradnl" w:eastAsia="en-GB"/>
        </w:rPr>
        <w:t xml:space="preserve"> que en los procesos de selección </w:t>
      </w:r>
      <w:r>
        <w:rPr>
          <w:rFonts w:ascii="Arial" w:eastAsia="Calibri" w:hAnsi="Arial" w:cs="Arial"/>
          <w:color w:val="000000"/>
          <w:sz w:val="22"/>
          <w:lang w:val="es-ES_tradnl" w:eastAsia="en-GB"/>
        </w:rPr>
        <w:t>d</w:t>
      </w:r>
      <w:r w:rsidRPr="00E23980">
        <w:rPr>
          <w:rFonts w:ascii="Arial" w:eastAsia="Calibri" w:hAnsi="Arial" w:cs="Arial"/>
          <w:color w:val="000000"/>
          <w:sz w:val="22"/>
          <w:lang w:val="es-ES_tradnl" w:eastAsia="en-GB"/>
        </w:rPr>
        <w:t>e contratistas de obra e interventores han de considerarse las anotaciones de</w:t>
      </w:r>
      <w:r>
        <w:rPr>
          <w:rFonts w:ascii="Arial" w:eastAsia="Calibri" w:hAnsi="Arial" w:cs="Arial"/>
          <w:color w:val="000000"/>
          <w:sz w:val="22"/>
          <w:lang w:val="es-ES_tradnl" w:eastAsia="en-GB"/>
        </w:rPr>
        <w:t>l</w:t>
      </w:r>
      <w:r w:rsidRPr="00E23980">
        <w:rPr>
          <w:rFonts w:ascii="Arial" w:eastAsia="Calibri" w:hAnsi="Arial" w:cs="Arial"/>
          <w:color w:val="000000"/>
          <w:sz w:val="22"/>
          <w:lang w:val="es-ES_tradnl" w:eastAsia="en-GB"/>
        </w:rPr>
        <w:t xml:space="preserve"> registro en la evaluación de los factores de calidad. </w:t>
      </w:r>
      <w:r>
        <w:rPr>
          <w:rFonts w:ascii="Arial" w:eastAsia="Calibri" w:hAnsi="Arial" w:cs="Arial"/>
          <w:color w:val="000000"/>
          <w:sz w:val="22"/>
          <w:lang w:val="es-ES_tradnl" w:eastAsia="en-GB"/>
        </w:rPr>
        <w:t>La norma prescribe lo siguiente</w:t>
      </w:r>
      <w:r w:rsidRPr="00E23980">
        <w:rPr>
          <w:rFonts w:ascii="Arial" w:eastAsia="Calibri" w:hAnsi="Arial" w:cs="Arial"/>
          <w:color w:val="000000"/>
          <w:sz w:val="22"/>
          <w:lang w:val="es-ES_tradnl" w:eastAsia="en-GB"/>
        </w:rPr>
        <w:t>:</w:t>
      </w:r>
    </w:p>
    <w:p w14:paraId="537CB646" w14:textId="77777777" w:rsidR="00466861" w:rsidRPr="00E23980" w:rsidRDefault="00466861" w:rsidP="00466861">
      <w:pPr>
        <w:tabs>
          <w:tab w:val="left" w:pos="0"/>
        </w:tabs>
        <w:ind w:left="709" w:right="709"/>
        <w:jc w:val="both"/>
        <w:rPr>
          <w:rFonts w:ascii="Arial" w:eastAsia="Calibri" w:hAnsi="Arial" w:cs="Arial"/>
          <w:color w:val="000000"/>
          <w:sz w:val="21"/>
          <w:szCs w:val="21"/>
          <w:lang w:val="es-ES_tradnl" w:eastAsia="en-GB"/>
        </w:rPr>
      </w:pPr>
    </w:p>
    <w:p w14:paraId="72697A5C" w14:textId="77777777" w:rsidR="00466861" w:rsidRPr="00E23980" w:rsidRDefault="00466861" w:rsidP="00466861">
      <w:pPr>
        <w:tabs>
          <w:tab w:val="left" w:pos="0"/>
        </w:tabs>
        <w:spacing w:after="120"/>
        <w:ind w:left="709" w:right="709"/>
        <w:jc w:val="both"/>
        <w:rPr>
          <w:rFonts w:ascii="Arial" w:eastAsia="Calibri" w:hAnsi="Arial" w:cs="Arial"/>
          <w:color w:val="000000"/>
          <w:sz w:val="21"/>
          <w:szCs w:val="21"/>
          <w:lang w:val="es-ES_tradnl" w:eastAsia="en-GB"/>
        </w:rPr>
      </w:pPr>
      <w:r w:rsidRPr="00E23980">
        <w:rPr>
          <w:rFonts w:ascii="Arial" w:eastAsia="Calibri" w:hAnsi="Arial" w:cs="Arial"/>
          <w:color w:val="000000"/>
          <w:sz w:val="21"/>
          <w:szCs w:val="21"/>
          <w:lang w:val="es-ES_tradnl" w:eastAsia="en-GB"/>
        </w:rPr>
        <w:t>En los procesos de contratación de obras públicas que adelanten las entidades estatales contratantes, sin importar la cuantía, deberán consultar y analizar las anotaciones vigentes que presenten las personas naturales o jurídicas, nacionales o extranjeras domiciliadas o con sucursal en Colombia, en el Registro Nacional de Obras Civiles Inconclusas.</w:t>
      </w:r>
    </w:p>
    <w:p w14:paraId="538820F1" w14:textId="77777777" w:rsidR="00466861" w:rsidRPr="00E23980" w:rsidRDefault="00466861" w:rsidP="00466861">
      <w:pPr>
        <w:tabs>
          <w:tab w:val="left" w:pos="0"/>
        </w:tabs>
        <w:spacing w:after="120"/>
        <w:ind w:left="709" w:right="709"/>
        <w:jc w:val="both"/>
        <w:rPr>
          <w:rFonts w:ascii="Arial" w:eastAsia="Calibri" w:hAnsi="Arial" w:cs="Arial"/>
          <w:color w:val="000000"/>
          <w:sz w:val="21"/>
          <w:szCs w:val="21"/>
          <w:lang w:val="es-ES_tradnl" w:eastAsia="en-GB"/>
        </w:rPr>
      </w:pPr>
      <w:r w:rsidRPr="00E23980">
        <w:rPr>
          <w:rFonts w:ascii="Arial" w:eastAsia="Calibri" w:hAnsi="Arial" w:cs="Arial"/>
          <w:color w:val="000000"/>
          <w:sz w:val="21"/>
          <w:szCs w:val="21"/>
          <w:lang w:val="es-ES_tradnl" w:eastAsia="en-GB"/>
        </w:rPr>
        <w:t>Durante los procesos de selección objetiva para contratistas de obra o interventores, se tendrán en cuenta las anotaciones vigentes en el Registro Nacional de Obras Civiles Inconclusas al momento de evaluar los factores de ponderación de calidad, establecidos en el literal a) del artículo 5o de la Ley 1150 de 2007 o la norma que la modifique.</w:t>
      </w:r>
    </w:p>
    <w:p w14:paraId="2864B1C4" w14:textId="77777777" w:rsidR="00466861" w:rsidRPr="00E23980" w:rsidRDefault="00466861" w:rsidP="00466861">
      <w:pPr>
        <w:tabs>
          <w:tab w:val="left" w:pos="0"/>
        </w:tabs>
        <w:ind w:left="709" w:right="709"/>
        <w:jc w:val="both"/>
        <w:rPr>
          <w:rFonts w:ascii="Arial" w:eastAsia="Calibri" w:hAnsi="Arial" w:cs="Arial"/>
          <w:color w:val="000000"/>
          <w:sz w:val="21"/>
          <w:szCs w:val="21"/>
          <w:lang w:val="es-ES_tradnl" w:eastAsia="en-GB"/>
        </w:rPr>
      </w:pPr>
      <w:r w:rsidRPr="00E23980">
        <w:rPr>
          <w:rFonts w:ascii="Arial" w:eastAsia="Calibri" w:hAnsi="Arial" w:cs="Arial"/>
          <w:color w:val="000000"/>
          <w:sz w:val="21"/>
          <w:szCs w:val="21"/>
          <w:lang w:val="es-ES_tradnl" w:eastAsia="en-GB"/>
        </w:rPr>
        <w:t>Cualquier controversia o solicitud que surja en relación con los reportes eje información que suministre la entidad contratante, serán resueltos por esta, atendiendo los principios y disposiciones establecidos en la normatividad vigente.</w:t>
      </w:r>
    </w:p>
    <w:p w14:paraId="3A047B7A" w14:textId="77777777" w:rsidR="00466861" w:rsidRPr="00E23980" w:rsidRDefault="00466861" w:rsidP="00466861">
      <w:pPr>
        <w:tabs>
          <w:tab w:val="left" w:pos="0"/>
        </w:tabs>
        <w:spacing w:line="276" w:lineRule="auto"/>
        <w:jc w:val="both"/>
        <w:rPr>
          <w:rFonts w:ascii="Arial" w:eastAsia="Calibri" w:hAnsi="Arial" w:cs="Arial"/>
          <w:color w:val="000000"/>
          <w:sz w:val="22"/>
          <w:lang w:val="es-ES_tradnl" w:eastAsia="en-GB"/>
        </w:rPr>
      </w:pPr>
    </w:p>
    <w:p w14:paraId="5901D7E7" w14:textId="77777777" w:rsidR="00466861" w:rsidRDefault="00466861" w:rsidP="00466861">
      <w:pPr>
        <w:tabs>
          <w:tab w:val="left" w:pos="0"/>
        </w:tabs>
        <w:spacing w:line="276" w:lineRule="auto"/>
        <w:ind w:firstLine="709"/>
        <w:jc w:val="both"/>
        <w:rPr>
          <w:rFonts w:ascii="Arial" w:eastAsia="Calibri" w:hAnsi="Arial" w:cs="Arial"/>
          <w:color w:val="000000"/>
          <w:sz w:val="22"/>
          <w:lang w:val="es-ES_tradnl" w:eastAsia="en-GB"/>
        </w:rPr>
      </w:pPr>
      <w:r>
        <w:rPr>
          <w:rFonts w:ascii="Arial" w:eastAsia="Calibri" w:hAnsi="Arial" w:cs="Arial"/>
          <w:color w:val="000000"/>
          <w:sz w:val="22"/>
          <w:lang w:val="es-ES_tradnl" w:eastAsia="en-GB"/>
        </w:rPr>
        <w:t>Como se observa, el artículo citado prescribe que las entidades estatales deben revisar «</w:t>
      </w:r>
      <w:r w:rsidRPr="00C62BBB">
        <w:rPr>
          <w:rFonts w:ascii="Arial" w:eastAsia="Calibri" w:hAnsi="Arial" w:cs="Arial"/>
          <w:color w:val="000000"/>
          <w:sz w:val="22"/>
          <w:lang w:val="es-ES_tradnl" w:eastAsia="en-GB"/>
        </w:rPr>
        <w:t xml:space="preserve">[…] las </w:t>
      </w:r>
      <w:r w:rsidRPr="00414246">
        <w:rPr>
          <w:rFonts w:ascii="Arial" w:eastAsia="Calibri" w:hAnsi="Arial" w:cs="Arial"/>
          <w:color w:val="000000"/>
          <w:sz w:val="22"/>
          <w:lang w:val="es-ES_tradnl" w:eastAsia="en-GB"/>
        </w:rPr>
        <w:t>anotaciones vigentes en el Registro Nacional de Obras Civiles Inconclusas al momento de evaluar los factores de ponderación de calidad, establecidos en el literal a) del artículo 5o de la Ley 1150 de 2007 o la norma que la modifique</w:t>
      </w:r>
      <w:r>
        <w:rPr>
          <w:rFonts w:ascii="Arial" w:eastAsia="Calibri" w:hAnsi="Arial" w:cs="Arial"/>
          <w:color w:val="000000"/>
          <w:sz w:val="22"/>
          <w:lang w:val="es-ES_tradnl" w:eastAsia="en-GB"/>
        </w:rPr>
        <w:t>»</w:t>
      </w:r>
      <w:r w:rsidRPr="00414246">
        <w:rPr>
          <w:rFonts w:ascii="Arial" w:eastAsia="Calibri" w:hAnsi="Arial" w:cs="Arial"/>
          <w:color w:val="000000"/>
          <w:sz w:val="22"/>
          <w:lang w:val="es-ES_tradnl" w:eastAsia="en-GB"/>
        </w:rPr>
        <w:t>.</w:t>
      </w:r>
      <w:r>
        <w:rPr>
          <w:rFonts w:ascii="Arial" w:eastAsia="Calibri" w:hAnsi="Arial" w:cs="Arial"/>
          <w:color w:val="000000"/>
          <w:sz w:val="22"/>
          <w:lang w:val="es-ES_tradnl" w:eastAsia="en-GB"/>
        </w:rPr>
        <w:t xml:space="preserve"> Teniendo en cuenta que el artículo 6 de la Ley 2020 de 2020 se remite al literal a) del artículo 5 de la Ley 1150 de 2007, conviene recordar lo señalado en dicho enunciado normativo. Este consagra los criterios para garantizar la </w:t>
      </w:r>
      <w:r w:rsidRPr="00B1741D">
        <w:rPr>
          <w:rFonts w:ascii="Arial" w:eastAsia="Calibri" w:hAnsi="Arial" w:cs="Arial"/>
          <w:i/>
          <w:iCs/>
          <w:color w:val="000000"/>
          <w:sz w:val="22"/>
          <w:lang w:val="es-ES_tradnl" w:eastAsia="en-GB"/>
        </w:rPr>
        <w:t>selección objetiva</w:t>
      </w:r>
      <w:r>
        <w:rPr>
          <w:rFonts w:ascii="Arial" w:eastAsia="Calibri" w:hAnsi="Arial" w:cs="Arial"/>
          <w:color w:val="000000"/>
          <w:sz w:val="22"/>
          <w:lang w:val="es-ES_tradnl" w:eastAsia="en-GB"/>
        </w:rPr>
        <w:t xml:space="preserve"> en los procedimientos contractuales, precisando la metodología con la cual pueden establecerse tanto los requisitos habilitantes como los criterios de evaluación. En lo pertinente, la norma dispone que:</w:t>
      </w:r>
    </w:p>
    <w:p w14:paraId="36C497EE" w14:textId="77777777" w:rsidR="00466861" w:rsidRPr="00B92751" w:rsidRDefault="00466861" w:rsidP="00466861">
      <w:pPr>
        <w:tabs>
          <w:tab w:val="left" w:pos="0"/>
        </w:tabs>
        <w:ind w:right="709"/>
        <w:jc w:val="both"/>
        <w:rPr>
          <w:rFonts w:ascii="Arial" w:eastAsia="Calibri" w:hAnsi="Arial" w:cs="Arial"/>
          <w:color w:val="000000"/>
          <w:sz w:val="21"/>
          <w:szCs w:val="21"/>
          <w:lang w:val="es-ES_tradnl" w:eastAsia="en-GB"/>
        </w:rPr>
      </w:pPr>
    </w:p>
    <w:p w14:paraId="2F05453A" w14:textId="77777777" w:rsidR="00466861" w:rsidRPr="00B92751" w:rsidRDefault="00466861" w:rsidP="00466861">
      <w:pPr>
        <w:tabs>
          <w:tab w:val="left" w:pos="0"/>
        </w:tabs>
        <w:spacing w:after="120"/>
        <w:ind w:left="709" w:right="709"/>
        <w:jc w:val="both"/>
        <w:rPr>
          <w:rFonts w:ascii="Arial" w:eastAsia="Calibri" w:hAnsi="Arial" w:cs="Arial"/>
          <w:color w:val="000000"/>
          <w:sz w:val="21"/>
          <w:szCs w:val="21"/>
          <w:lang w:val="es-ES_tradnl" w:eastAsia="en-GB"/>
        </w:rPr>
      </w:pPr>
      <w:r>
        <w:rPr>
          <w:rFonts w:ascii="Arial" w:eastAsia="Calibri" w:hAnsi="Arial" w:cs="Arial"/>
          <w:color w:val="000000"/>
          <w:sz w:val="21"/>
          <w:szCs w:val="21"/>
          <w:lang w:val="es-ES_tradnl" w:eastAsia="en-GB"/>
        </w:rPr>
        <w:t xml:space="preserve">[…] </w:t>
      </w:r>
      <w:r w:rsidRPr="00B92751">
        <w:rPr>
          <w:rFonts w:ascii="Arial" w:eastAsia="Calibri" w:hAnsi="Arial" w:cs="Arial"/>
          <w:color w:val="000000"/>
          <w:sz w:val="21"/>
          <w:szCs w:val="21"/>
          <w:lang w:val="es-ES_tradnl" w:eastAsia="en-GB"/>
        </w:rPr>
        <w:t xml:space="preserve">La oferta más favorable será aquella que, teniendo en cuenta los factores técnicos y económicos de escogencia y la ponderación precisa y detallada de los mismos contenida en los pliegos de condiciones o sus equivalentes, resulte ser la más ventajosa para la entidad, sin que la favorabilidad la constituyan </w:t>
      </w:r>
      <w:r w:rsidRPr="00B92751">
        <w:rPr>
          <w:rFonts w:ascii="Arial" w:eastAsia="Calibri" w:hAnsi="Arial" w:cs="Arial"/>
          <w:color w:val="000000"/>
          <w:sz w:val="21"/>
          <w:szCs w:val="21"/>
          <w:lang w:val="es-ES_tradnl" w:eastAsia="en-GB"/>
        </w:rPr>
        <w:lastRenderedPageBreak/>
        <w:t>factores diferentes a los contenidos en dichos documentos. En los contratos de obra pública, el menor plazo ofrecido no será objeto de evaluación. La entidad efectuará las comparaciones del caso mediante el cotejo de los ofrecimientos recibidos y la consulta de precios o condiciones del mercado y los estudios y deducciones de la entidad o de los organismos consultores o asesores designados para ello.</w:t>
      </w:r>
    </w:p>
    <w:p w14:paraId="783D8BA6" w14:textId="77777777" w:rsidR="00466861" w:rsidRPr="00B92751" w:rsidRDefault="00466861" w:rsidP="00466861">
      <w:pPr>
        <w:tabs>
          <w:tab w:val="left" w:pos="0"/>
        </w:tabs>
        <w:spacing w:after="120"/>
        <w:ind w:left="709" w:right="709"/>
        <w:jc w:val="both"/>
        <w:rPr>
          <w:rFonts w:ascii="Arial" w:eastAsia="Calibri" w:hAnsi="Arial" w:cs="Arial"/>
          <w:color w:val="000000"/>
          <w:sz w:val="21"/>
          <w:szCs w:val="21"/>
          <w:lang w:val="es-ES_tradnl" w:eastAsia="en-GB"/>
        </w:rPr>
      </w:pPr>
      <w:r w:rsidRPr="00B92751">
        <w:rPr>
          <w:rFonts w:ascii="Arial" w:eastAsia="Calibri" w:hAnsi="Arial" w:cs="Arial"/>
          <w:color w:val="000000"/>
          <w:sz w:val="21"/>
          <w:szCs w:val="21"/>
          <w:lang w:val="es-ES_tradnl" w:eastAsia="en-GB"/>
        </w:rPr>
        <w:t>En los procesos de selección en los que se tenga en cuenta los factores técnicos y económicos, la oferta más ventajosa será la que resulte de aplicar alguna de las siguientes alternativas:</w:t>
      </w:r>
    </w:p>
    <w:p w14:paraId="6C234761" w14:textId="77777777" w:rsidR="00466861" w:rsidRPr="00B92751" w:rsidRDefault="00466861" w:rsidP="00466861">
      <w:pPr>
        <w:tabs>
          <w:tab w:val="left" w:pos="0"/>
        </w:tabs>
        <w:spacing w:after="120"/>
        <w:ind w:left="709" w:right="709"/>
        <w:jc w:val="both"/>
        <w:rPr>
          <w:rFonts w:ascii="Arial" w:eastAsia="Calibri" w:hAnsi="Arial" w:cs="Arial"/>
          <w:color w:val="000000"/>
          <w:sz w:val="21"/>
          <w:szCs w:val="21"/>
          <w:lang w:val="es-ES_tradnl" w:eastAsia="en-GB"/>
        </w:rPr>
      </w:pPr>
      <w:r w:rsidRPr="0078286B">
        <w:rPr>
          <w:rFonts w:ascii="Arial" w:eastAsia="Calibri" w:hAnsi="Arial" w:cs="Arial"/>
          <w:i/>
          <w:iCs/>
          <w:color w:val="000000"/>
          <w:sz w:val="21"/>
          <w:szCs w:val="21"/>
          <w:lang w:val="es-ES_tradnl" w:eastAsia="en-GB"/>
        </w:rPr>
        <w:t>a) La ponderación de los elementos de calidad y precio soportados en puntajes o fórmulas señaladas en el pliego de condiciones; o</w:t>
      </w:r>
    </w:p>
    <w:p w14:paraId="2076399E" w14:textId="77777777" w:rsidR="00466861" w:rsidRPr="00B92751" w:rsidRDefault="00466861" w:rsidP="00466861">
      <w:pPr>
        <w:tabs>
          <w:tab w:val="left" w:pos="0"/>
        </w:tabs>
        <w:ind w:left="709" w:right="709"/>
        <w:jc w:val="both"/>
        <w:rPr>
          <w:rFonts w:ascii="Arial" w:eastAsia="Calibri" w:hAnsi="Arial" w:cs="Arial"/>
          <w:color w:val="000000"/>
          <w:sz w:val="21"/>
          <w:szCs w:val="21"/>
          <w:lang w:val="es-ES_tradnl" w:eastAsia="en-GB"/>
        </w:rPr>
      </w:pPr>
      <w:r w:rsidRPr="00B92751">
        <w:rPr>
          <w:rFonts w:ascii="Arial" w:eastAsia="Calibri" w:hAnsi="Arial" w:cs="Arial"/>
          <w:color w:val="000000"/>
          <w:sz w:val="21"/>
          <w:szCs w:val="21"/>
          <w:lang w:val="es-ES_tradnl" w:eastAsia="en-GB"/>
        </w:rPr>
        <w:t>b) La ponderación de los elementos de calidad y precio que representen la mejor relación de costo-beneficio para la entidad</w:t>
      </w:r>
      <w:r>
        <w:rPr>
          <w:rFonts w:ascii="Arial" w:eastAsia="Calibri" w:hAnsi="Arial" w:cs="Arial"/>
          <w:color w:val="000000"/>
          <w:sz w:val="21"/>
          <w:szCs w:val="21"/>
          <w:lang w:val="es-ES_tradnl" w:eastAsia="en-GB"/>
        </w:rPr>
        <w:t>. (Énfasis fuera de texto)</w:t>
      </w:r>
    </w:p>
    <w:p w14:paraId="728D3318" w14:textId="77777777" w:rsidR="00466861" w:rsidRDefault="00466861" w:rsidP="00466861">
      <w:pPr>
        <w:tabs>
          <w:tab w:val="left" w:pos="0"/>
        </w:tabs>
        <w:ind w:left="709" w:right="709"/>
        <w:jc w:val="both"/>
        <w:rPr>
          <w:rFonts w:ascii="Arial" w:eastAsia="Calibri" w:hAnsi="Arial" w:cs="Arial"/>
          <w:color w:val="000000"/>
          <w:sz w:val="21"/>
          <w:szCs w:val="21"/>
          <w:lang w:val="es-ES_tradnl" w:eastAsia="en-GB"/>
        </w:rPr>
      </w:pPr>
    </w:p>
    <w:p w14:paraId="2DEE119C" w14:textId="77777777" w:rsidR="00466861" w:rsidRDefault="00466861" w:rsidP="00466861">
      <w:pPr>
        <w:tabs>
          <w:tab w:val="left" w:pos="0"/>
        </w:tabs>
        <w:spacing w:before="120" w:line="276" w:lineRule="auto"/>
        <w:ind w:firstLine="709"/>
        <w:jc w:val="both"/>
        <w:rPr>
          <w:rFonts w:ascii="Arial" w:eastAsia="Calibri" w:hAnsi="Arial" w:cs="Arial"/>
          <w:color w:val="000000"/>
          <w:sz w:val="22"/>
          <w:lang w:val="es-ES_tradnl" w:eastAsia="en-GB"/>
        </w:rPr>
      </w:pPr>
      <w:r>
        <w:rPr>
          <w:rFonts w:ascii="Arial" w:eastAsia="Calibri" w:hAnsi="Arial" w:cs="Arial"/>
          <w:color w:val="000000"/>
          <w:sz w:val="22"/>
          <w:lang w:val="es-ES_tradnl" w:eastAsia="en-GB"/>
        </w:rPr>
        <w:t xml:space="preserve">Así las cosas, para interpretar el apartado del artículo 6 de la Ley 2020 de 2020 –referido a la evaluación de los factores de ponderación de calidad, previo análisis de las anotaciones del Registro Nacional de Obras Civiles Inconclusas–, debe resaltarse que el artículo 5 de la Ley 1150 de 2007 </w:t>
      </w:r>
      <w:r w:rsidRPr="004B76D3">
        <w:rPr>
          <w:rFonts w:ascii="Arial" w:eastAsia="Calibri" w:hAnsi="Arial" w:cs="Arial"/>
          <w:iCs/>
          <w:color w:val="000000"/>
          <w:sz w:val="22"/>
          <w:lang w:val="es-ES_tradnl" w:eastAsia="en-GB"/>
        </w:rPr>
        <w:t>no</w:t>
      </w:r>
      <w:r w:rsidRPr="004B76D3">
        <w:rPr>
          <w:rFonts w:ascii="Arial" w:eastAsia="Calibri" w:hAnsi="Arial" w:cs="Arial"/>
          <w:color w:val="000000"/>
          <w:sz w:val="22"/>
          <w:lang w:val="es-ES_tradnl" w:eastAsia="en-GB"/>
        </w:rPr>
        <w:t xml:space="preserve"> los define,</w:t>
      </w:r>
      <w:r>
        <w:rPr>
          <w:rFonts w:ascii="Arial" w:eastAsia="Calibri" w:hAnsi="Arial" w:cs="Arial"/>
          <w:color w:val="000000"/>
          <w:sz w:val="22"/>
          <w:lang w:val="es-ES_tradnl" w:eastAsia="en-GB"/>
        </w:rPr>
        <w:t xml:space="preserve"> sino que se limita a mencionarlos de manera genérica. En efecto, el literal a) de dicho artículo está precedido por un inciso que establece: «</w:t>
      </w:r>
      <w:r w:rsidRPr="00F93E41">
        <w:rPr>
          <w:rFonts w:ascii="Arial" w:eastAsia="Calibri" w:hAnsi="Arial" w:cs="Arial"/>
          <w:color w:val="000000"/>
          <w:sz w:val="22"/>
          <w:lang w:val="es-ES_tradnl" w:eastAsia="en-GB"/>
        </w:rPr>
        <w:t>En los procesos de selección en los que se tenga en cuenta los factores técnicos y económicos, la oferta más ventajosa será la que resulte de aplicar alguna de las siguientes alternativas</w:t>
      </w:r>
      <w:r>
        <w:rPr>
          <w:rFonts w:ascii="Arial" w:eastAsia="Calibri" w:hAnsi="Arial" w:cs="Arial"/>
          <w:color w:val="000000"/>
          <w:sz w:val="22"/>
          <w:lang w:val="es-ES_tradnl" w:eastAsia="en-GB"/>
        </w:rPr>
        <w:t>»; y, a renglón seguido, dentro de las «alternativas», el legislador incorpora la siguiente: «</w:t>
      </w:r>
      <w:r w:rsidRPr="006959A5">
        <w:rPr>
          <w:rFonts w:ascii="Arial" w:eastAsia="Calibri" w:hAnsi="Arial" w:cs="Arial"/>
          <w:color w:val="000000"/>
          <w:sz w:val="22"/>
          <w:lang w:val="es-ES_tradnl" w:eastAsia="en-GB"/>
        </w:rPr>
        <w:t>a) La ponderación de los elementos de calidad y precio soportados en puntajes o fórmulas señaladas en el pliego de condiciones</w:t>
      </w:r>
      <w:r>
        <w:rPr>
          <w:rFonts w:ascii="Arial" w:eastAsia="Calibri" w:hAnsi="Arial" w:cs="Arial"/>
          <w:color w:val="000000"/>
          <w:sz w:val="22"/>
          <w:lang w:val="es-ES_tradnl" w:eastAsia="en-GB"/>
        </w:rPr>
        <w:t>».</w:t>
      </w:r>
    </w:p>
    <w:p w14:paraId="21266B1C" w14:textId="77777777" w:rsidR="00466861" w:rsidRDefault="00466861" w:rsidP="00466861">
      <w:pPr>
        <w:tabs>
          <w:tab w:val="left" w:pos="0"/>
        </w:tabs>
        <w:spacing w:before="120" w:line="276" w:lineRule="auto"/>
        <w:ind w:firstLine="709"/>
        <w:jc w:val="both"/>
        <w:rPr>
          <w:rFonts w:ascii="Arial" w:eastAsia="Calibri" w:hAnsi="Arial" w:cs="Arial"/>
          <w:color w:val="000000"/>
          <w:sz w:val="22"/>
          <w:lang w:val="es-ES_tradnl" w:eastAsia="en-GB"/>
        </w:rPr>
      </w:pPr>
      <w:r>
        <w:rPr>
          <w:rFonts w:ascii="Arial" w:eastAsia="Calibri" w:hAnsi="Arial" w:cs="Arial"/>
          <w:color w:val="000000"/>
          <w:sz w:val="22"/>
          <w:lang w:val="es-ES_tradnl" w:eastAsia="en-GB"/>
        </w:rPr>
        <w:t>Como puede apreciarse, el Congreso de la República optó por conceder a las entidades estatales un margen de discrecionalidad administrativa para determinar en los procedimientos de selección que realicen cuáles serán los elementos de calidad y precio que tendrán en cuenta en la calificación o ponderación</w:t>
      </w:r>
      <w:r w:rsidRPr="00241618">
        <w:rPr>
          <w:rFonts w:ascii="Arial" w:eastAsia="Calibri" w:hAnsi="Arial" w:cs="Arial"/>
          <w:color w:val="FF0000"/>
          <w:sz w:val="22"/>
          <w:lang w:val="es-ES_tradnl" w:eastAsia="en-GB"/>
        </w:rPr>
        <w:t xml:space="preserve">. </w:t>
      </w:r>
      <w:r>
        <w:rPr>
          <w:rFonts w:ascii="Arial" w:eastAsia="Calibri" w:hAnsi="Arial" w:cs="Arial"/>
          <w:color w:val="000000"/>
          <w:sz w:val="22"/>
          <w:lang w:val="es-ES_tradnl" w:eastAsia="en-GB"/>
        </w:rPr>
        <w:t>De igual forma, el legislador no estableció una fórmula o metodología específica para realizar esta ponderación, sino que también lo dejó esto librado a la apreciación de las entidades públicas interesadas en contratar.</w:t>
      </w:r>
    </w:p>
    <w:p w14:paraId="59E7D80E" w14:textId="77777777" w:rsidR="00466861" w:rsidRDefault="00466861" w:rsidP="00466861">
      <w:pPr>
        <w:tabs>
          <w:tab w:val="left" w:pos="0"/>
        </w:tabs>
        <w:spacing w:before="120" w:line="276" w:lineRule="auto"/>
        <w:ind w:firstLine="709"/>
        <w:jc w:val="both"/>
        <w:rPr>
          <w:rFonts w:ascii="Arial" w:hAnsi="Arial" w:cs="Arial"/>
          <w:color w:val="000000" w:themeColor="text1"/>
          <w:sz w:val="22"/>
        </w:rPr>
      </w:pPr>
      <w:r>
        <w:rPr>
          <w:rFonts w:ascii="Arial" w:eastAsia="Calibri" w:hAnsi="Arial" w:cs="Arial"/>
          <w:color w:val="000000"/>
          <w:sz w:val="22"/>
          <w:lang w:val="es-ES_tradnl" w:eastAsia="en-GB"/>
        </w:rPr>
        <w:t xml:space="preserve">Esta Subdirección se ha pronunciado sobre el reconocimiento de la discrecionalidad administrativa como modelo de asignación de potestades en la contratación estatal. Por ejemplo, en el Concepto C-120 del 3 de marzo de 2020 recordó que si bien la discrecionalidad implica un espacio de libertad para las entidades estales, en todo caso, al hacer uso de ella, deben observar el artículo 44 de la Ley 1437 de 2011, según el cual </w:t>
      </w:r>
      <w:r>
        <w:rPr>
          <w:rFonts w:ascii="Arial" w:hAnsi="Arial" w:cs="Arial"/>
          <w:color w:val="000000" w:themeColor="text1"/>
          <w:sz w:val="22"/>
        </w:rPr>
        <w:t xml:space="preserve">la decisión debe ser </w:t>
      </w:r>
      <w:r w:rsidRPr="00ED3C26">
        <w:rPr>
          <w:rFonts w:ascii="Arial" w:hAnsi="Arial" w:cs="Arial"/>
          <w:color w:val="000000" w:themeColor="text1"/>
          <w:sz w:val="22"/>
        </w:rPr>
        <w:t>adecuada y proporcional al trámite y a los hechos que lo motivaron</w:t>
      </w:r>
      <w:r>
        <w:rPr>
          <w:rStyle w:val="Refdenotaalpie"/>
          <w:rFonts w:ascii="Arial" w:hAnsi="Arial" w:cs="Arial"/>
          <w:color w:val="000000" w:themeColor="text1"/>
          <w:sz w:val="22"/>
        </w:rPr>
        <w:footnoteReference w:id="8"/>
      </w:r>
      <w:r>
        <w:rPr>
          <w:rFonts w:ascii="Arial" w:hAnsi="Arial" w:cs="Arial"/>
          <w:color w:val="000000" w:themeColor="text1"/>
          <w:sz w:val="22"/>
        </w:rPr>
        <w:t xml:space="preserve">. Este </w:t>
      </w:r>
      <w:r>
        <w:rPr>
          <w:rFonts w:ascii="Arial" w:hAnsi="Arial" w:cs="Arial"/>
          <w:color w:val="000000" w:themeColor="text1"/>
          <w:sz w:val="22"/>
        </w:rPr>
        <w:lastRenderedPageBreak/>
        <w:t xml:space="preserve">también ha sido el entendimiento de la doctrina, que ha considerado que el ejercicio de la discrecionalidad administrativa debe respetar </w:t>
      </w:r>
      <w:r w:rsidRPr="00ED3C26">
        <w:rPr>
          <w:rFonts w:ascii="Arial" w:hAnsi="Arial" w:cs="Arial"/>
          <w:color w:val="000000" w:themeColor="text1"/>
          <w:sz w:val="22"/>
        </w:rPr>
        <w:t>el principio de proporcionalidad</w:t>
      </w:r>
      <w:r w:rsidRPr="00ED3C26">
        <w:rPr>
          <w:rStyle w:val="Refdenotaalpie"/>
          <w:rFonts w:ascii="Arial" w:hAnsi="Arial" w:cs="Arial"/>
          <w:color w:val="000000" w:themeColor="text1"/>
          <w:sz w:val="22"/>
        </w:rPr>
        <w:footnoteReference w:id="9"/>
      </w:r>
      <w:r>
        <w:rPr>
          <w:rFonts w:ascii="Arial" w:hAnsi="Arial" w:cs="Arial"/>
          <w:color w:val="000000" w:themeColor="text1"/>
          <w:sz w:val="22"/>
        </w:rPr>
        <w:t>.</w:t>
      </w:r>
    </w:p>
    <w:p w14:paraId="2E58647C" w14:textId="77777777" w:rsidR="00466861" w:rsidRDefault="00466861" w:rsidP="00466861">
      <w:pPr>
        <w:tabs>
          <w:tab w:val="left" w:pos="0"/>
        </w:tabs>
        <w:spacing w:before="120" w:line="276" w:lineRule="auto"/>
        <w:ind w:firstLine="709"/>
        <w:jc w:val="both"/>
        <w:rPr>
          <w:rFonts w:ascii="Arial" w:hAnsi="Arial" w:cs="Arial"/>
          <w:color w:val="000000" w:themeColor="text1"/>
          <w:sz w:val="22"/>
        </w:rPr>
      </w:pPr>
      <w:r>
        <w:rPr>
          <w:rFonts w:ascii="Arial" w:hAnsi="Arial" w:cs="Arial"/>
          <w:color w:val="000000" w:themeColor="text1"/>
          <w:sz w:val="22"/>
        </w:rPr>
        <w:t xml:space="preserve">Esta discrecionalidad también se encuentra presente al momento de elaborar el pliego de condiciones y específicamente, al definir los criterios de calificación con puntos. Dentro de estos criterios se encuentran los elementos de calidad y precio indicados en el artículo 5, numeral 2, literal a), de la Ley 1150 de 2007. Por ello la Sección Tercera del Consejo de Estado considera que: </w:t>
      </w:r>
    </w:p>
    <w:p w14:paraId="1013A2E5" w14:textId="77777777" w:rsidR="00466861" w:rsidRPr="0081325C" w:rsidRDefault="00466861" w:rsidP="00466861">
      <w:pPr>
        <w:tabs>
          <w:tab w:val="left" w:pos="0"/>
        </w:tabs>
        <w:spacing w:line="276" w:lineRule="auto"/>
        <w:ind w:left="709" w:right="709"/>
        <w:jc w:val="both"/>
        <w:rPr>
          <w:rFonts w:ascii="Arial" w:eastAsia="Calibri" w:hAnsi="Arial" w:cs="Arial"/>
          <w:color w:val="000000"/>
          <w:sz w:val="22"/>
          <w:szCs w:val="22"/>
          <w:lang w:val="es-ES_tradnl" w:eastAsia="en-GB"/>
        </w:rPr>
      </w:pPr>
    </w:p>
    <w:p w14:paraId="5C5CE75C" w14:textId="77777777" w:rsidR="00466861" w:rsidRPr="00DB02D7" w:rsidRDefault="00466861" w:rsidP="00466861">
      <w:pPr>
        <w:tabs>
          <w:tab w:val="left" w:pos="0"/>
        </w:tabs>
        <w:ind w:left="709" w:right="709"/>
        <w:jc w:val="both"/>
        <w:rPr>
          <w:rFonts w:ascii="Arial" w:eastAsia="Calibri" w:hAnsi="Arial" w:cs="Arial"/>
          <w:color w:val="000000"/>
          <w:sz w:val="21"/>
          <w:szCs w:val="21"/>
          <w:lang w:val="es-ES_tradnl" w:eastAsia="en-GB"/>
        </w:rPr>
      </w:pPr>
      <w:r w:rsidRPr="00A63DF7">
        <w:rPr>
          <w:rFonts w:ascii="Arial" w:eastAsia="Calibri" w:hAnsi="Arial" w:cs="Arial"/>
          <w:color w:val="000000"/>
          <w:sz w:val="21"/>
          <w:szCs w:val="21"/>
          <w:lang w:val="es-ES_tradnl" w:eastAsia="en-GB"/>
        </w:rPr>
        <w:t>Bajo esta premisa debe entenderse el deber de selección objetiva consagrado en el artículo 5 de la Ley 1150 de 2007, disposición que otorga discrecionalidad a las diversas entidades estatales para que establezcan en los pliegos de condiciones los diferentes factores de escogencia y calificación. Por ende, es cierto, como se desprende del libelo de la demanda, que el legislador otorgó a la Administración una libertad de elección de los distintos criterios de ponderación para asegurar que se contratará con la mejor oferta, esto es, aquella que se ajuste mejor a las finalidades de interés general</w:t>
      </w:r>
      <w:r>
        <w:rPr>
          <w:rStyle w:val="Refdenotaalpie"/>
          <w:rFonts w:ascii="Arial" w:eastAsia="Calibri" w:hAnsi="Arial" w:cs="Arial"/>
          <w:color w:val="000000"/>
          <w:sz w:val="21"/>
          <w:szCs w:val="21"/>
          <w:lang w:val="es-ES_tradnl" w:eastAsia="en-GB"/>
        </w:rPr>
        <w:footnoteReference w:id="10"/>
      </w:r>
      <w:r w:rsidRPr="00A63DF7">
        <w:rPr>
          <w:rFonts w:ascii="Arial" w:eastAsia="Calibri" w:hAnsi="Arial" w:cs="Arial"/>
          <w:color w:val="000000"/>
          <w:sz w:val="21"/>
          <w:szCs w:val="21"/>
          <w:lang w:val="es-ES_tradnl" w:eastAsia="en-GB"/>
        </w:rPr>
        <w:t>.</w:t>
      </w:r>
    </w:p>
    <w:p w14:paraId="732488CA" w14:textId="77777777" w:rsidR="00466861" w:rsidRDefault="00466861" w:rsidP="00466861">
      <w:pPr>
        <w:tabs>
          <w:tab w:val="left" w:pos="0"/>
        </w:tabs>
        <w:spacing w:line="276" w:lineRule="auto"/>
        <w:ind w:firstLine="709"/>
        <w:jc w:val="both"/>
        <w:rPr>
          <w:rFonts w:ascii="Arial" w:hAnsi="Arial" w:cs="Arial"/>
          <w:color w:val="000000" w:themeColor="text1"/>
          <w:sz w:val="22"/>
        </w:rPr>
      </w:pPr>
    </w:p>
    <w:p w14:paraId="5BA09B73" w14:textId="77777777" w:rsidR="00466861" w:rsidRDefault="00466861" w:rsidP="00466861">
      <w:pPr>
        <w:spacing w:line="276" w:lineRule="auto"/>
        <w:ind w:firstLine="709"/>
        <w:jc w:val="both"/>
        <w:rPr>
          <w:rFonts w:ascii="Arial" w:hAnsi="Arial" w:cs="Arial"/>
          <w:color w:val="000000" w:themeColor="text1"/>
          <w:sz w:val="22"/>
        </w:rPr>
      </w:pPr>
      <w:r>
        <w:rPr>
          <w:rFonts w:ascii="Arial" w:hAnsi="Arial" w:cs="Arial"/>
          <w:color w:val="000000" w:themeColor="text1"/>
          <w:sz w:val="22"/>
        </w:rPr>
        <w:t>Por lo tanto, cuando el artículo 6 de la Ley 2020 de 2020 establece que «</w:t>
      </w:r>
      <w:r w:rsidRPr="00DB3165">
        <w:rPr>
          <w:rFonts w:ascii="Arial" w:hAnsi="Arial" w:cs="Arial"/>
          <w:color w:val="000000" w:themeColor="text1"/>
          <w:sz w:val="22"/>
        </w:rPr>
        <w:t>Durante los procesos de selección objetiva para contratistas de obra o interventores, se tendrán en cuenta las anotaciones vigentes en el Registro Nacional de Obras Civiles Inconclusas al momento de evaluar los factores de ponderación de calidad, establecidos en el literal a) del artículo 5o de la Ley 1150 de 2007 o la norma que la modifique</w:t>
      </w:r>
      <w:r>
        <w:rPr>
          <w:rFonts w:ascii="Arial" w:hAnsi="Arial" w:cs="Arial"/>
          <w:color w:val="000000" w:themeColor="text1"/>
          <w:sz w:val="22"/>
        </w:rPr>
        <w:t xml:space="preserve">», significa que al aplicar dichos criterios de calificación con puntos dentro del procedimiento contractual, las entidades estatales deben servirse de la información contenida en el Registro. </w:t>
      </w:r>
    </w:p>
    <w:p w14:paraId="3B788489" w14:textId="77777777" w:rsidR="00466861" w:rsidRDefault="00466861" w:rsidP="00466861">
      <w:pPr>
        <w:spacing w:before="120" w:line="276" w:lineRule="auto"/>
        <w:ind w:firstLine="709"/>
        <w:jc w:val="both"/>
        <w:rPr>
          <w:rFonts w:ascii="Arial" w:hAnsi="Arial" w:cs="Arial"/>
          <w:color w:val="000000" w:themeColor="text1"/>
          <w:sz w:val="22"/>
        </w:rPr>
      </w:pPr>
      <w:r>
        <w:rPr>
          <w:rFonts w:ascii="Arial" w:hAnsi="Arial" w:cs="Arial"/>
          <w:color w:val="000000" w:themeColor="text1"/>
          <w:sz w:val="22"/>
        </w:rPr>
        <w:t xml:space="preserve">No obstante, como las entidades estatales cuentan con discrecionalidad para determinar los criterios de calificación, corresponde a las entidades contratantes definir un listado de factores de ponderación de calidad en este concepto. Situación distinta se </w:t>
      </w:r>
      <w:r>
        <w:rPr>
          <w:rFonts w:ascii="Arial" w:hAnsi="Arial" w:cs="Arial"/>
          <w:color w:val="000000" w:themeColor="text1"/>
          <w:sz w:val="22"/>
        </w:rPr>
        <w:lastRenderedPageBreak/>
        <w:t xml:space="preserve">presenta en el ejercicio de la competencia de la Agencia Nacional de Contratación Pública – Colombia Compra Eficiente para la elaboración de los pliegos de condiciones tipo, pues el artículo 1 de la Ley 2022 de 2020 le permite establecer dentro de tales documentos «[…] </w:t>
      </w:r>
      <w:r w:rsidRPr="007A5947">
        <w:rPr>
          <w:rFonts w:ascii="Arial" w:hAnsi="Arial" w:cs="Arial"/>
          <w:color w:val="000000" w:themeColor="text1"/>
          <w:sz w:val="22"/>
        </w:rPr>
        <w:t>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r>
        <w:rPr>
          <w:rFonts w:ascii="Arial" w:hAnsi="Arial" w:cs="Arial"/>
          <w:color w:val="000000" w:themeColor="text1"/>
          <w:sz w:val="22"/>
        </w:rPr>
        <w:t>»</w:t>
      </w:r>
      <w:r>
        <w:rPr>
          <w:rStyle w:val="Refdenotaalpie"/>
          <w:rFonts w:ascii="Arial" w:hAnsi="Arial" w:cs="Arial"/>
          <w:color w:val="000000" w:themeColor="text1"/>
          <w:sz w:val="22"/>
        </w:rPr>
        <w:footnoteReference w:id="11"/>
      </w:r>
      <w:r>
        <w:rPr>
          <w:rFonts w:ascii="Arial" w:hAnsi="Arial" w:cs="Arial"/>
          <w:color w:val="000000" w:themeColor="text1"/>
          <w:sz w:val="22"/>
        </w:rPr>
        <w:t xml:space="preserve">. </w:t>
      </w:r>
    </w:p>
    <w:p w14:paraId="495C4DC1" w14:textId="77777777" w:rsidR="00EA53D3" w:rsidRDefault="00EA53D3" w:rsidP="000F3D39">
      <w:pPr>
        <w:spacing w:line="276" w:lineRule="auto"/>
        <w:jc w:val="both"/>
        <w:rPr>
          <w:rFonts w:ascii="Arial" w:hAnsi="Arial" w:cs="Arial"/>
          <w:color w:val="000000" w:themeColor="text1"/>
          <w:sz w:val="22"/>
        </w:rPr>
      </w:pPr>
    </w:p>
    <w:p w14:paraId="3557038E" w14:textId="522D1B42" w:rsidR="00276373" w:rsidRDefault="000F3D39" w:rsidP="00276373">
      <w:pPr>
        <w:spacing w:before="120" w:line="276" w:lineRule="auto"/>
        <w:jc w:val="both"/>
        <w:rPr>
          <w:rFonts w:ascii="Arial" w:hAnsi="Arial" w:cs="Arial"/>
          <w:b/>
          <w:color w:val="000000" w:themeColor="text1"/>
          <w:sz w:val="22"/>
        </w:rPr>
      </w:pPr>
      <w:r>
        <w:rPr>
          <w:rFonts w:ascii="Arial" w:hAnsi="Arial" w:cs="Arial"/>
          <w:b/>
          <w:color w:val="000000" w:themeColor="text1"/>
          <w:sz w:val="22"/>
        </w:rPr>
        <w:t>2.3</w:t>
      </w:r>
      <w:r w:rsidR="00E11CF0" w:rsidRPr="00E11CF0">
        <w:rPr>
          <w:rFonts w:ascii="Arial" w:hAnsi="Arial" w:cs="Arial"/>
          <w:b/>
          <w:color w:val="000000" w:themeColor="text1"/>
          <w:sz w:val="22"/>
        </w:rPr>
        <w:t>.</w:t>
      </w:r>
      <w:r w:rsidR="00EA53D3">
        <w:rPr>
          <w:rFonts w:ascii="Arial" w:hAnsi="Arial" w:cs="Arial"/>
          <w:b/>
          <w:color w:val="000000" w:themeColor="text1"/>
          <w:sz w:val="22"/>
        </w:rPr>
        <w:t xml:space="preserve"> </w:t>
      </w:r>
      <w:r w:rsidR="00466861">
        <w:rPr>
          <w:rFonts w:ascii="Arial" w:hAnsi="Arial" w:cs="Arial"/>
          <w:b/>
          <w:color w:val="000000" w:themeColor="text1"/>
          <w:sz w:val="22"/>
        </w:rPr>
        <w:t>Análisis de las anotaciones del Registro Nacional de Obras Civiles Inconclusas en los documentos tipo</w:t>
      </w:r>
    </w:p>
    <w:p w14:paraId="17F05E34" w14:textId="77777777" w:rsidR="00FD2CA6" w:rsidRDefault="00FD2CA6" w:rsidP="00D40F8B">
      <w:pPr>
        <w:spacing w:line="276" w:lineRule="auto"/>
        <w:jc w:val="both"/>
        <w:rPr>
          <w:rFonts w:ascii="Arial" w:hAnsi="Arial" w:cs="Arial"/>
          <w:b/>
          <w:color w:val="000000" w:themeColor="text1"/>
          <w:sz w:val="22"/>
        </w:rPr>
      </w:pPr>
    </w:p>
    <w:p w14:paraId="6B05E2A9" w14:textId="77777777" w:rsidR="00466861" w:rsidRPr="00D35C93" w:rsidRDefault="00466861" w:rsidP="00466861">
      <w:pPr>
        <w:spacing w:line="276" w:lineRule="auto"/>
        <w:jc w:val="both"/>
        <w:rPr>
          <w:rFonts w:ascii="Arial" w:eastAsiaTheme="minorHAnsi" w:hAnsi="Arial" w:cs="Arial"/>
          <w:sz w:val="22"/>
          <w:szCs w:val="22"/>
          <w:lang w:val="es-MX" w:eastAsia="en-US"/>
        </w:rPr>
      </w:pPr>
      <w:r w:rsidRPr="00B437F8">
        <w:rPr>
          <w:rFonts w:ascii="Arial" w:eastAsiaTheme="minorHAnsi" w:hAnsi="Arial" w:cs="Arial"/>
          <w:sz w:val="22"/>
          <w:szCs w:val="22"/>
          <w:lang w:val="es-MX" w:eastAsia="en-US"/>
        </w:rPr>
        <w:t>El artículo 4 de la Ley 1882 de 2018, modificado por la</w:t>
      </w:r>
      <w:r>
        <w:rPr>
          <w:rFonts w:ascii="Arial" w:eastAsiaTheme="minorHAnsi" w:hAnsi="Arial" w:cs="Arial"/>
          <w:sz w:val="22"/>
          <w:szCs w:val="22"/>
          <w:lang w:val="es-MX" w:eastAsia="en-US"/>
        </w:rPr>
        <w:t xml:space="preserve"> Ley 2022 de 2020, dispone que</w:t>
      </w:r>
      <w:r w:rsidRPr="00B437F8">
        <w:rPr>
          <w:rFonts w:ascii="Arial" w:eastAsiaTheme="minorHAnsi" w:hAnsi="Arial" w:cs="Arial"/>
          <w:sz w:val="22"/>
          <w:szCs w:val="22"/>
          <w:lang w:val="es-MX" w:eastAsia="en-US"/>
        </w:rPr>
        <w:t xml:space="preserve"> la Agencia Nacional de Contratación Pública le corresponde adoptar los «</w:t>
      </w:r>
      <w:bookmarkStart w:id="3" w:name="ver_30223091"/>
      <w:r w:rsidRPr="00B437F8">
        <w:rPr>
          <w:rFonts w:ascii="Arial" w:eastAsiaTheme="minorHAnsi" w:hAnsi="Arial" w:cs="Arial"/>
          <w:sz w:val="22"/>
          <w:szCs w:val="22"/>
          <w:lang w:val="es-MX" w:eastAsia="en-US"/>
        </w:rPr>
        <w:t>documentos tipo que serán de obligatorio cumplimiento en la actividad contractual de todas las entidades sometidas al Estatuto General de Contratación de la Administración Pública».</w:t>
      </w:r>
      <w:r w:rsidRPr="00066821">
        <w:rPr>
          <w:rFonts w:ascii="Arial" w:hAnsi="Arial" w:cs="Arial"/>
          <w:sz w:val="22"/>
          <w:szCs w:val="22"/>
        </w:rPr>
        <w:t>Adicionalmente señala, frente a su contenido, que «Dentro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p>
    <w:p w14:paraId="5BD5656E" w14:textId="77777777" w:rsidR="00466861" w:rsidRDefault="00466861" w:rsidP="00466861">
      <w:pPr>
        <w:spacing w:before="120" w:line="276" w:lineRule="auto"/>
        <w:ind w:firstLine="709"/>
        <w:jc w:val="both"/>
        <w:rPr>
          <w:rFonts w:ascii="Arial" w:hAnsi="Arial" w:cs="Arial"/>
          <w:sz w:val="22"/>
        </w:rPr>
      </w:pPr>
      <w:r>
        <w:rPr>
          <w:rFonts w:ascii="Arial" w:eastAsiaTheme="minorHAnsi" w:hAnsi="Arial" w:cs="Arial"/>
          <w:sz w:val="22"/>
          <w:szCs w:val="22"/>
          <w:lang w:val="es-MX" w:eastAsia="en-US"/>
        </w:rPr>
        <w:lastRenderedPageBreak/>
        <w:t>De conformidad con las competencias funcionales asignadas,</w:t>
      </w:r>
      <w:r w:rsidRPr="004A4E65">
        <w:rPr>
          <w:rFonts w:ascii="Arial" w:hAnsi="Arial" w:cs="Arial"/>
          <w:sz w:val="22"/>
          <w:shd w:val="clear" w:color="auto" w:fill="FFFFFF"/>
        </w:rPr>
        <w:t xml:space="preserve"> </w:t>
      </w:r>
      <w:r w:rsidRPr="00066821">
        <w:rPr>
          <w:rFonts w:ascii="Arial" w:hAnsi="Arial" w:cs="Arial"/>
          <w:sz w:val="22"/>
          <w:shd w:val="clear" w:color="auto" w:fill="FFFFFF"/>
        </w:rPr>
        <w:t xml:space="preserve">la Agencia Nacional de Contratación Pública – Colombia Compra Eficiente </w:t>
      </w:r>
      <w:r>
        <w:rPr>
          <w:rFonts w:ascii="Arial" w:hAnsi="Arial" w:cs="Arial"/>
          <w:sz w:val="22"/>
          <w:shd w:val="clear" w:color="auto" w:fill="FFFFFF"/>
        </w:rPr>
        <w:t xml:space="preserve">ha expedido </w:t>
      </w:r>
      <w:r w:rsidRPr="00066821">
        <w:rPr>
          <w:rFonts w:ascii="Arial" w:hAnsi="Arial" w:cs="Arial"/>
          <w:sz w:val="22"/>
          <w:shd w:val="clear" w:color="auto" w:fill="FFFFFF"/>
        </w:rPr>
        <w:t>la</w:t>
      </w:r>
      <w:r>
        <w:rPr>
          <w:rFonts w:ascii="Arial" w:hAnsi="Arial" w:cs="Arial"/>
          <w:sz w:val="22"/>
          <w:shd w:val="clear" w:color="auto" w:fill="FFFFFF"/>
        </w:rPr>
        <w:t>s</w:t>
      </w:r>
      <w:r w:rsidRPr="00066821">
        <w:rPr>
          <w:rFonts w:ascii="Arial" w:hAnsi="Arial" w:cs="Arial"/>
          <w:sz w:val="22"/>
        </w:rPr>
        <w:t xml:space="preserve"> Resoluci</w:t>
      </w:r>
      <w:r>
        <w:rPr>
          <w:rFonts w:ascii="Arial" w:hAnsi="Arial" w:cs="Arial"/>
          <w:sz w:val="22"/>
        </w:rPr>
        <w:t>o</w:t>
      </w:r>
      <w:r w:rsidRPr="00066821">
        <w:rPr>
          <w:rFonts w:ascii="Arial" w:hAnsi="Arial" w:cs="Arial"/>
          <w:sz w:val="22"/>
        </w:rPr>
        <w:t>n</w:t>
      </w:r>
      <w:r>
        <w:rPr>
          <w:rFonts w:ascii="Arial" w:hAnsi="Arial" w:cs="Arial"/>
          <w:sz w:val="22"/>
        </w:rPr>
        <w:t xml:space="preserve">es respectivas, </w:t>
      </w:r>
      <w:r w:rsidRPr="00066821">
        <w:rPr>
          <w:rFonts w:ascii="Arial" w:hAnsi="Arial" w:cs="Arial"/>
          <w:sz w:val="22"/>
        </w:rPr>
        <w:t xml:space="preserve"> mediante la</w:t>
      </w:r>
      <w:r>
        <w:rPr>
          <w:rFonts w:ascii="Arial" w:hAnsi="Arial" w:cs="Arial"/>
          <w:sz w:val="22"/>
        </w:rPr>
        <w:t>s</w:t>
      </w:r>
      <w:r w:rsidRPr="00066821">
        <w:rPr>
          <w:rFonts w:ascii="Arial" w:hAnsi="Arial" w:cs="Arial"/>
          <w:sz w:val="22"/>
        </w:rPr>
        <w:t xml:space="preserve"> cual</w:t>
      </w:r>
      <w:r>
        <w:rPr>
          <w:rFonts w:ascii="Arial" w:hAnsi="Arial" w:cs="Arial"/>
          <w:sz w:val="22"/>
        </w:rPr>
        <w:t>es</w:t>
      </w:r>
      <w:r w:rsidRPr="00066821">
        <w:rPr>
          <w:rFonts w:ascii="Arial" w:hAnsi="Arial" w:cs="Arial"/>
          <w:sz w:val="22"/>
        </w:rPr>
        <w:t xml:space="preserve"> </w:t>
      </w:r>
      <w:r>
        <w:rPr>
          <w:rFonts w:ascii="Arial" w:hAnsi="Arial" w:cs="Arial"/>
          <w:sz w:val="22"/>
        </w:rPr>
        <w:t>implementa y desarrolla</w:t>
      </w:r>
      <w:r w:rsidRPr="00066821">
        <w:rPr>
          <w:rFonts w:ascii="Arial" w:hAnsi="Arial" w:cs="Arial"/>
          <w:sz w:val="22"/>
        </w:rPr>
        <w:t xml:space="preserve"> los Documentos Tipo aplicables a los procesos </w:t>
      </w:r>
      <w:r>
        <w:rPr>
          <w:rFonts w:ascii="Arial" w:hAnsi="Arial" w:cs="Arial"/>
          <w:sz w:val="22"/>
        </w:rPr>
        <w:t xml:space="preserve">de </w:t>
      </w:r>
      <w:r w:rsidRPr="00066821">
        <w:rPr>
          <w:rFonts w:ascii="Arial" w:hAnsi="Arial" w:cs="Arial"/>
          <w:sz w:val="22"/>
        </w:rPr>
        <w:t>obra pública de infraestructura de transporte,</w:t>
      </w:r>
      <w:r>
        <w:rPr>
          <w:rFonts w:ascii="Arial" w:hAnsi="Arial" w:cs="Arial"/>
          <w:sz w:val="22"/>
        </w:rPr>
        <w:t xml:space="preserve"> en las modalidades de licitación pública, selección abreviada de menor cuantía, mínima cuantía e interventoría, así como</w:t>
      </w:r>
      <w:r w:rsidRPr="004A4E65">
        <w:rPr>
          <w:rFonts w:ascii="Arial" w:hAnsi="Arial" w:cs="Arial"/>
          <w:sz w:val="22"/>
        </w:rPr>
        <w:t xml:space="preserve"> </w:t>
      </w:r>
      <w:r w:rsidRPr="00066821">
        <w:rPr>
          <w:rFonts w:ascii="Arial" w:hAnsi="Arial" w:cs="Arial"/>
          <w:sz w:val="22"/>
        </w:rPr>
        <w:t xml:space="preserve">los </w:t>
      </w:r>
      <w:r>
        <w:rPr>
          <w:rFonts w:ascii="Arial" w:hAnsi="Arial" w:cs="Arial"/>
          <w:sz w:val="22"/>
        </w:rPr>
        <w:t xml:space="preserve">Documentos tipo para los procesos de licitación de </w:t>
      </w:r>
      <w:r w:rsidRPr="00066821">
        <w:rPr>
          <w:rFonts w:ascii="Arial" w:hAnsi="Arial" w:cs="Arial"/>
          <w:sz w:val="22"/>
        </w:rPr>
        <w:t>obra pública de</w:t>
      </w:r>
      <w:r>
        <w:rPr>
          <w:rFonts w:ascii="Arial" w:hAnsi="Arial" w:cs="Arial"/>
          <w:sz w:val="22"/>
        </w:rPr>
        <w:t xml:space="preserve"> infraestructura de agua potable y saneamiento básico</w:t>
      </w:r>
      <w:r>
        <w:rPr>
          <w:rStyle w:val="Refdenotaalpie"/>
          <w:rFonts w:ascii="Arial" w:hAnsi="Arial" w:cs="Arial"/>
          <w:sz w:val="22"/>
        </w:rPr>
        <w:footnoteReference w:id="12"/>
      </w:r>
      <w:r>
        <w:rPr>
          <w:rFonts w:ascii="Arial" w:hAnsi="Arial" w:cs="Arial"/>
          <w:sz w:val="22"/>
        </w:rPr>
        <w:t xml:space="preserve">. </w:t>
      </w:r>
      <w:r w:rsidRPr="00066821">
        <w:rPr>
          <w:rFonts w:ascii="Arial" w:hAnsi="Arial" w:cs="Arial"/>
          <w:sz w:val="22"/>
        </w:rPr>
        <w:t>De acuerdo</w:t>
      </w:r>
      <w:r>
        <w:rPr>
          <w:rFonts w:ascii="Arial" w:hAnsi="Arial" w:cs="Arial"/>
          <w:sz w:val="22"/>
        </w:rPr>
        <w:t xml:space="preserve"> con</w:t>
      </w:r>
      <w:r w:rsidRPr="00066821">
        <w:rPr>
          <w:rFonts w:ascii="Arial" w:hAnsi="Arial" w:cs="Arial"/>
          <w:sz w:val="22"/>
        </w:rPr>
        <w:t xml:space="preserve"> </w:t>
      </w:r>
      <w:r>
        <w:rPr>
          <w:rFonts w:ascii="Arial" w:hAnsi="Arial" w:cs="Arial"/>
          <w:sz w:val="22"/>
        </w:rPr>
        <w:t>el</w:t>
      </w:r>
      <w:r w:rsidRPr="00066821">
        <w:rPr>
          <w:rFonts w:ascii="Arial" w:hAnsi="Arial" w:cs="Arial"/>
          <w:sz w:val="22"/>
        </w:rPr>
        <w:t xml:space="preserve"> «Documento Base»</w:t>
      </w:r>
      <w:r>
        <w:rPr>
          <w:rFonts w:ascii="Arial" w:hAnsi="Arial" w:cs="Arial"/>
          <w:sz w:val="22"/>
        </w:rPr>
        <w:t xml:space="preserve"> de dichos procesos, con excepción de la mínima cuantía, en el </w:t>
      </w:r>
      <w:r w:rsidRPr="00734414">
        <w:rPr>
          <w:rFonts w:ascii="Arial" w:hAnsi="Arial" w:cs="Arial"/>
          <w:sz w:val="22"/>
        </w:rPr>
        <w:t>Capítulo IV</w:t>
      </w:r>
      <w:r>
        <w:rPr>
          <w:rFonts w:ascii="Arial" w:hAnsi="Arial" w:cs="Arial"/>
          <w:sz w:val="22"/>
        </w:rPr>
        <w:t xml:space="preserve"> </w:t>
      </w:r>
      <w:r w:rsidRPr="00066821">
        <w:rPr>
          <w:rFonts w:ascii="Arial" w:hAnsi="Arial" w:cs="Arial"/>
          <w:sz w:val="22"/>
        </w:rPr>
        <w:t>«</w:t>
      </w:r>
      <w:r>
        <w:rPr>
          <w:rFonts w:ascii="Arial" w:hAnsi="Arial" w:cs="Arial"/>
          <w:sz w:val="22"/>
        </w:rPr>
        <w:t>Criterios de Evaluación, Asignación de Puntaje y Criterios d</w:t>
      </w:r>
      <w:r w:rsidRPr="00734414">
        <w:rPr>
          <w:rFonts w:ascii="Arial" w:hAnsi="Arial" w:cs="Arial"/>
          <w:sz w:val="22"/>
        </w:rPr>
        <w:t>e Desempate</w:t>
      </w:r>
      <w:r w:rsidRPr="00066821">
        <w:rPr>
          <w:rFonts w:ascii="Arial" w:hAnsi="Arial" w:cs="Arial"/>
          <w:sz w:val="22"/>
        </w:rPr>
        <w:t>»</w:t>
      </w:r>
      <w:r>
        <w:rPr>
          <w:rFonts w:ascii="Arial" w:hAnsi="Arial" w:cs="Arial"/>
          <w:sz w:val="22"/>
        </w:rPr>
        <w:t xml:space="preserve">, numeral 4.2 </w:t>
      </w:r>
      <w:r w:rsidRPr="00066821">
        <w:rPr>
          <w:rFonts w:ascii="Arial" w:hAnsi="Arial" w:cs="Arial"/>
          <w:sz w:val="22"/>
        </w:rPr>
        <w:t>«</w:t>
      </w:r>
      <w:r>
        <w:rPr>
          <w:rFonts w:ascii="Arial" w:hAnsi="Arial" w:cs="Arial"/>
          <w:sz w:val="22"/>
        </w:rPr>
        <w:t>Factor de Calidad</w:t>
      </w:r>
      <w:r w:rsidRPr="00066821">
        <w:rPr>
          <w:rFonts w:ascii="Arial" w:hAnsi="Arial" w:cs="Arial"/>
          <w:sz w:val="22"/>
        </w:rPr>
        <w:t>»</w:t>
      </w:r>
      <w:r>
        <w:rPr>
          <w:rFonts w:ascii="Arial" w:hAnsi="Arial" w:cs="Arial"/>
          <w:sz w:val="22"/>
        </w:rPr>
        <w:t xml:space="preserve">, se contempló que: </w:t>
      </w:r>
    </w:p>
    <w:p w14:paraId="24A10681" w14:textId="77777777" w:rsidR="00466861" w:rsidRDefault="00466861" w:rsidP="00466861">
      <w:pPr>
        <w:spacing w:line="276" w:lineRule="auto"/>
        <w:ind w:firstLine="709"/>
        <w:jc w:val="both"/>
        <w:rPr>
          <w:rFonts w:ascii="Arial" w:eastAsiaTheme="minorHAnsi" w:hAnsi="Arial" w:cs="Arial"/>
          <w:sz w:val="22"/>
          <w:szCs w:val="22"/>
          <w:lang w:val="es-MX" w:eastAsia="en-US"/>
        </w:rPr>
      </w:pPr>
    </w:p>
    <w:p w14:paraId="508338A9" w14:textId="77777777" w:rsidR="00466861" w:rsidRPr="0081325C" w:rsidRDefault="00466861" w:rsidP="00466861">
      <w:pPr>
        <w:tabs>
          <w:tab w:val="left" w:pos="0"/>
        </w:tabs>
        <w:ind w:left="709" w:right="709"/>
        <w:jc w:val="both"/>
        <w:rPr>
          <w:rFonts w:ascii="Arial" w:eastAsia="Calibri" w:hAnsi="Arial" w:cs="Arial"/>
          <w:i/>
          <w:iCs/>
          <w:color w:val="000000"/>
          <w:sz w:val="21"/>
          <w:szCs w:val="21"/>
          <w:lang w:val="es-ES_tradnl" w:eastAsia="en-GB"/>
        </w:rPr>
      </w:pPr>
      <w:r w:rsidRPr="00433ACB">
        <w:rPr>
          <w:rFonts w:ascii="Arial" w:eastAsia="Calibri" w:hAnsi="Arial" w:cs="Arial"/>
          <w:color w:val="000000"/>
          <w:sz w:val="21"/>
          <w:szCs w:val="21"/>
          <w:lang w:val="es-ES_tradnl" w:eastAsia="en-GB"/>
        </w:rPr>
        <w:t xml:space="preserve">Las entidades estatales deben </w:t>
      </w:r>
      <w:r w:rsidRPr="0081325C">
        <w:rPr>
          <w:rFonts w:ascii="Arial" w:eastAsia="Calibri" w:hAnsi="Arial" w:cs="Arial"/>
          <w:bCs/>
          <w:i/>
          <w:iCs/>
          <w:color w:val="000000"/>
          <w:sz w:val="21"/>
          <w:szCs w:val="21"/>
          <w:lang w:val="es-ES_tradnl" w:eastAsia="en-GB"/>
        </w:rPr>
        <w:t>consultar</w:t>
      </w:r>
      <w:r w:rsidRPr="0081325C">
        <w:rPr>
          <w:rFonts w:ascii="Arial" w:eastAsia="Calibri" w:hAnsi="Arial" w:cs="Arial"/>
          <w:bCs/>
          <w:color w:val="000000"/>
          <w:sz w:val="21"/>
          <w:szCs w:val="21"/>
          <w:lang w:val="es-ES_tradnl" w:eastAsia="en-GB"/>
        </w:rPr>
        <w:t xml:space="preserve"> y </w:t>
      </w:r>
      <w:r w:rsidRPr="0081325C">
        <w:rPr>
          <w:rFonts w:ascii="Arial" w:eastAsia="Calibri" w:hAnsi="Arial" w:cs="Arial"/>
          <w:bCs/>
          <w:i/>
          <w:iCs/>
          <w:color w:val="000000"/>
          <w:sz w:val="21"/>
          <w:szCs w:val="21"/>
          <w:lang w:val="es-ES_tradnl" w:eastAsia="en-GB"/>
        </w:rPr>
        <w:t>analizar</w:t>
      </w:r>
      <w:r w:rsidRPr="00CA2E65">
        <w:rPr>
          <w:rFonts w:ascii="Arial" w:eastAsia="Calibri" w:hAnsi="Arial" w:cs="Arial"/>
          <w:b/>
          <w:color w:val="000000"/>
          <w:sz w:val="21"/>
          <w:szCs w:val="21"/>
          <w:lang w:val="es-ES_tradnl" w:eastAsia="en-GB"/>
        </w:rPr>
        <w:t xml:space="preserve"> </w:t>
      </w:r>
      <w:r w:rsidRPr="00433ACB">
        <w:rPr>
          <w:rFonts w:ascii="Arial" w:eastAsia="Calibri" w:hAnsi="Arial" w:cs="Arial"/>
          <w:color w:val="000000"/>
          <w:sz w:val="21"/>
          <w:szCs w:val="21"/>
          <w:lang w:val="es-ES_tradnl" w:eastAsia="en-GB"/>
        </w:rPr>
        <w:t xml:space="preserve">las anotaciones vigentes que reposen en el Registro Nacional de Obras Civiles Inconclusas, de que trata la Ley 2020 de 2020. En el evento que las personas naturales o jurídicas, nacionales o extranjeras domiciliadas o con sucursal en Colombia, o integrantes de proponentes plurales, cuenten con alguna anotación vigente de obra civil inconclusa, en el mencionado registro, se descontará un (1) punto de la sumatoria obtenida en relación con el factor de calidad. </w:t>
      </w:r>
      <w:r w:rsidRPr="000F622C">
        <w:rPr>
          <w:rFonts w:ascii="Arial" w:eastAsia="Calibri" w:hAnsi="Arial" w:cs="Arial"/>
          <w:color w:val="000000"/>
          <w:sz w:val="21"/>
          <w:szCs w:val="21"/>
          <w:lang w:val="es-ES_tradnl" w:eastAsia="en-GB"/>
        </w:rPr>
        <w:t>(</w:t>
      </w:r>
      <w:r>
        <w:rPr>
          <w:rFonts w:ascii="Arial" w:eastAsia="Calibri" w:hAnsi="Arial" w:cs="Arial"/>
          <w:color w:val="000000"/>
          <w:sz w:val="21"/>
          <w:szCs w:val="21"/>
          <w:lang w:val="es-ES_tradnl" w:eastAsia="en-GB"/>
        </w:rPr>
        <w:t>Énfasis fuera de texto)</w:t>
      </w:r>
    </w:p>
    <w:p w14:paraId="55219544" w14:textId="77777777" w:rsidR="00466861" w:rsidRPr="00F4518D" w:rsidRDefault="00466861" w:rsidP="00466861">
      <w:pPr>
        <w:spacing w:line="276" w:lineRule="auto"/>
        <w:jc w:val="both"/>
        <w:rPr>
          <w:rFonts w:ascii="Arial" w:eastAsiaTheme="minorHAnsi" w:hAnsi="Arial" w:cs="Arial"/>
          <w:sz w:val="22"/>
          <w:szCs w:val="22"/>
          <w:lang w:val="es-MX" w:eastAsia="en-US"/>
        </w:rPr>
      </w:pPr>
    </w:p>
    <w:p w14:paraId="046844CC" w14:textId="77777777" w:rsidR="00466861" w:rsidRDefault="00466861" w:rsidP="00466861">
      <w:pPr>
        <w:spacing w:before="120" w:line="276" w:lineRule="auto"/>
        <w:ind w:firstLine="709"/>
        <w:jc w:val="both"/>
        <w:rPr>
          <w:rFonts w:ascii="Arial" w:eastAsiaTheme="minorHAnsi" w:hAnsi="Arial" w:cs="Arial"/>
          <w:sz w:val="22"/>
          <w:szCs w:val="22"/>
          <w:lang w:val="es-MX" w:eastAsia="en-US"/>
        </w:rPr>
      </w:pPr>
      <w:r w:rsidRPr="00F4518D">
        <w:rPr>
          <w:rFonts w:ascii="Arial" w:eastAsiaTheme="minorHAnsi" w:hAnsi="Arial" w:cs="Arial"/>
          <w:sz w:val="22"/>
          <w:szCs w:val="22"/>
          <w:lang w:val="es-MX" w:eastAsia="en-US"/>
        </w:rPr>
        <w:t>Para comprender íntegramente la forma de aplicación de</w:t>
      </w:r>
      <w:r>
        <w:rPr>
          <w:rFonts w:ascii="Arial" w:eastAsiaTheme="minorHAnsi" w:hAnsi="Arial" w:cs="Arial"/>
          <w:sz w:val="22"/>
          <w:szCs w:val="22"/>
          <w:lang w:val="es-MX" w:eastAsia="en-US"/>
        </w:rPr>
        <w:t>l numeral citado</w:t>
      </w:r>
      <w:r w:rsidRPr="00F4518D">
        <w:rPr>
          <w:rFonts w:ascii="Arial" w:eastAsiaTheme="minorHAnsi" w:hAnsi="Arial" w:cs="Arial"/>
          <w:sz w:val="22"/>
          <w:szCs w:val="22"/>
          <w:lang w:val="es-MX" w:eastAsia="en-US"/>
        </w:rPr>
        <w:t xml:space="preserve">, se revisarán dos temas que a nuestro juicio son esenciales i) el alcance de los vocablos </w:t>
      </w:r>
      <w:r w:rsidRPr="00066821">
        <w:rPr>
          <w:rFonts w:ascii="Arial" w:hAnsi="Arial" w:cs="Arial"/>
          <w:sz w:val="22"/>
        </w:rPr>
        <w:t>«</w:t>
      </w:r>
      <w:r w:rsidRPr="00F4518D">
        <w:rPr>
          <w:rFonts w:ascii="Arial" w:eastAsia="Calibri" w:hAnsi="Arial" w:cs="Arial"/>
          <w:color w:val="000000"/>
          <w:sz w:val="22"/>
          <w:szCs w:val="22"/>
          <w:lang w:val="es-ES_tradnl" w:eastAsia="en-GB"/>
        </w:rPr>
        <w:t>consultar y analizar</w:t>
      </w:r>
      <w:r w:rsidRPr="00066821">
        <w:rPr>
          <w:rFonts w:ascii="Arial" w:hAnsi="Arial" w:cs="Arial"/>
          <w:sz w:val="22"/>
        </w:rPr>
        <w:t>»</w:t>
      </w:r>
      <w:r w:rsidRPr="00F4518D">
        <w:rPr>
          <w:rFonts w:ascii="Arial" w:eastAsia="Calibri" w:hAnsi="Arial" w:cs="Arial"/>
          <w:color w:val="000000"/>
          <w:sz w:val="22"/>
          <w:szCs w:val="22"/>
          <w:lang w:val="es-ES_tradnl" w:eastAsia="en-GB"/>
        </w:rPr>
        <w:t xml:space="preserve"> y </w:t>
      </w:r>
      <w:proofErr w:type="spellStart"/>
      <w:r w:rsidRPr="00F4518D">
        <w:rPr>
          <w:rFonts w:ascii="Arial" w:eastAsia="Calibri" w:hAnsi="Arial" w:cs="Arial"/>
          <w:color w:val="000000"/>
          <w:sz w:val="22"/>
          <w:szCs w:val="22"/>
          <w:lang w:val="es-ES_tradnl" w:eastAsia="en-GB"/>
        </w:rPr>
        <w:t>ii</w:t>
      </w:r>
      <w:proofErr w:type="spellEnd"/>
      <w:r w:rsidRPr="00F4518D">
        <w:rPr>
          <w:rFonts w:ascii="Arial" w:eastAsia="Calibri" w:hAnsi="Arial" w:cs="Arial"/>
          <w:color w:val="000000"/>
          <w:sz w:val="22"/>
          <w:szCs w:val="22"/>
          <w:lang w:val="es-ES_tradnl" w:eastAsia="en-GB"/>
        </w:rPr>
        <w:t xml:space="preserve">) </w:t>
      </w:r>
      <w:r>
        <w:rPr>
          <w:rFonts w:ascii="Arial" w:eastAsia="Calibri" w:hAnsi="Arial" w:cs="Arial"/>
          <w:color w:val="000000"/>
          <w:sz w:val="22"/>
          <w:szCs w:val="22"/>
          <w:lang w:val="es-ES_tradnl" w:eastAsia="en-GB"/>
        </w:rPr>
        <w:t xml:space="preserve">las anotaciones en el Registro Nacional de Obras Civiles Inconclusas. </w:t>
      </w:r>
    </w:p>
    <w:p w14:paraId="2F23F996" w14:textId="77777777" w:rsidR="00466861" w:rsidRDefault="00466861" w:rsidP="00466861">
      <w:pPr>
        <w:spacing w:before="120" w:line="276" w:lineRule="auto"/>
        <w:ind w:firstLine="709"/>
        <w:jc w:val="both"/>
        <w:rPr>
          <w:rFonts w:ascii="Arial" w:eastAsiaTheme="minorHAnsi" w:hAnsi="Arial" w:cs="Arial"/>
          <w:sz w:val="22"/>
          <w:szCs w:val="22"/>
          <w:lang w:val="es-MX" w:eastAsia="en-US"/>
        </w:rPr>
      </w:pPr>
      <w:r>
        <w:rPr>
          <w:rFonts w:ascii="Arial" w:eastAsiaTheme="minorHAnsi" w:hAnsi="Arial" w:cs="Arial"/>
          <w:sz w:val="22"/>
          <w:szCs w:val="22"/>
          <w:lang w:val="es-MX" w:eastAsia="en-US"/>
        </w:rPr>
        <w:t xml:space="preserve">Como punto de partida, es preciso señalar que el inicio del párrafo del documento base, prescribe el deber de las entidades estatales de consultar y analizar las anotaciones vigentes que reposan en el Registro Nacional de Obras Civiles Inconclusas. Lo anterior guarda coherencia con el artículo 6 de la Ley 2020 de 2020. En efecto, este primer aparte del párrafo de los </w:t>
      </w:r>
      <w:r w:rsidRPr="00066821">
        <w:rPr>
          <w:rFonts w:ascii="Arial" w:hAnsi="Arial" w:cs="Arial"/>
          <w:sz w:val="22"/>
        </w:rPr>
        <w:t>«</w:t>
      </w:r>
      <w:r>
        <w:rPr>
          <w:rFonts w:ascii="Arial" w:eastAsiaTheme="minorHAnsi" w:hAnsi="Arial" w:cs="Arial"/>
          <w:sz w:val="22"/>
          <w:szCs w:val="22"/>
          <w:lang w:val="es-MX" w:eastAsia="en-US"/>
        </w:rPr>
        <w:t>Documentos Base</w:t>
      </w:r>
      <w:r w:rsidRPr="00066821">
        <w:rPr>
          <w:rFonts w:ascii="Arial" w:hAnsi="Arial" w:cs="Arial"/>
          <w:sz w:val="22"/>
        </w:rPr>
        <w:t>»</w:t>
      </w:r>
      <w:r>
        <w:rPr>
          <w:rFonts w:ascii="Arial" w:eastAsiaTheme="minorHAnsi" w:hAnsi="Arial" w:cs="Arial"/>
          <w:sz w:val="22"/>
          <w:szCs w:val="22"/>
          <w:lang w:val="es-MX" w:eastAsia="en-US"/>
        </w:rPr>
        <w:t xml:space="preserve"> es esencialmente una transcripción del inciso primero del artículo 6, el cual dispone que </w:t>
      </w:r>
      <w:r w:rsidRPr="00066821">
        <w:rPr>
          <w:rFonts w:ascii="Arial" w:hAnsi="Arial" w:cs="Arial"/>
          <w:sz w:val="22"/>
        </w:rPr>
        <w:t>«</w:t>
      </w:r>
      <w:r w:rsidRPr="004F034D">
        <w:rPr>
          <w:rFonts w:ascii="Arial" w:eastAsiaTheme="minorHAnsi" w:hAnsi="Arial" w:cs="Arial"/>
          <w:sz w:val="22"/>
          <w:szCs w:val="22"/>
          <w:lang w:val="es-MX" w:eastAsia="en-US"/>
        </w:rPr>
        <w:t>En los procesos de contratación de obras públicas que adelanten las entidades estatales contratantes, sin importar la cuantía, deberán</w:t>
      </w:r>
      <w:r w:rsidRPr="007F665F">
        <w:rPr>
          <w:rFonts w:ascii="Arial" w:eastAsiaTheme="minorHAnsi" w:hAnsi="Arial" w:cs="Arial"/>
          <w:b/>
          <w:sz w:val="22"/>
          <w:szCs w:val="22"/>
          <w:lang w:val="es-MX" w:eastAsia="en-US"/>
        </w:rPr>
        <w:t xml:space="preserve"> </w:t>
      </w:r>
      <w:r w:rsidRPr="00A413AD">
        <w:rPr>
          <w:rFonts w:ascii="Arial" w:eastAsiaTheme="minorHAnsi" w:hAnsi="Arial" w:cs="Arial"/>
          <w:sz w:val="22"/>
          <w:szCs w:val="22"/>
          <w:lang w:val="es-MX" w:eastAsia="en-US"/>
        </w:rPr>
        <w:t>consultar y analizar</w:t>
      </w:r>
      <w:r w:rsidRPr="004F034D">
        <w:rPr>
          <w:rFonts w:ascii="Arial" w:eastAsiaTheme="minorHAnsi" w:hAnsi="Arial" w:cs="Arial"/>
          <w:sz w:val="22"/>
          <w:szCs w:val="22"/>
          <w:lang w:val="es-MX" w:eastAsia="en-US"/>
        </w:rPr>
        <w:t xml:space="preserve"> las anotaciones vigentes que presenten las personas naturales o jurídicas, nacionales o extranjeras domiciliadas o con sucursal en Colombia, en el Registro Nacional de Obras Civiles Inconclusas</w:t>
      </w:r>
      <w:r w:rsidRPr="00066821">
        <w:rPr>
          <w:rFonts w:ascii="Arial" w:hAnsi="Arial" w:cs="Arial"/>
          <w:sz w:val="22"/>
        </w:rPr>
        <w:t>»</w:t>
      </w:r>
      <w:r>
        <w:rPr>
          <w:rFonts w:ascii="Arial" w:eastAsiaTheme="minorHAnsi" w:hAnsi="Arial" w:cs="Arial"/>
          <w:sz w:val="22"/>
          <w:szCs w:val="22"/>
          <w:lang w:val="es-MX" w:eastAsia="en-US"/>
        </w:rPr>
        <w:t xml:space="preserve">. Nótese que los términos de </w:t>
      </w:r>
      <w:r w:rsidRPr="00066821">
        <w:rPr>
          <w:rFonts w:ascii="Arial" w:hAnsi="Arial" w:cs="Arial"/>
          <w:sz w:val="22"/>
        </w:rPr>
        <w:t>«</w:t>
      </w:r>
      <w:r>
        <w:rPr>
          <w:rFonts w:ascii="Arial" w:eastAsiaTheme="minorHAnsi" w:hAnsi="Arial" w:cs="Arial"/>
          <w:sz w:val="22"/>
          <w:szCs w:val="22"/>
          <w:lang w:val="es-MX" w:eastAsia="en-US"/>
        </w:rPr>
        <w:t>consultar y analizar</w:t>
      </w:r>
      <w:r w:rsidRPr="00066821">
        <w:rPr>
          <w:rFonts w:ascii="Arial" w:hAnsi="Arial" w:cs="Arial"/>
          <w:sz w:val="22"/>
        </w:rPr>
        <w:t>»</w:t>
      </w:r>
      <w:r>
        <w:rPr>
          <w:rFonts w:ascii="Arial" w:eastAsiaTheme="minorHAnsi" w:hAnsi="Arial" w:cs="Arial"/>
          <w:sz w:val="22"/>
          <w:szCs w:val="22"/>
          <w:lang w:val="es-MX" w:eastAsia="en-US"/>
        </w:rPr>
        <w:t xml:space="preserve">, son empleados tanto en los Documento Base, como en la disposición señalada. </w:t>
      </w:r>
    </w:p>
    <w:p w14:paraId="122AC12B" w14:textId="77777777" w:rsidR="00466861" w:rsidRDefault="00466861" w:rsidP="00466861">
      <w:pPr>
        <w:spacing w:before="120" w:line="276" w:lineRule="auto"/>
        <w:ind w:firstLine="709"/>
        <w:jc w:val="both"/>
        <w:rPr>
          <w:rFonts w:ascii="Arial" w:eastAsiaTheme="minorHAnsi" w:hAnsi="Arial" w:cs="Arial"/>
          <w:sz w:val="22"/>
          <w:szCs w:val="22"/>
          <w:lang w:val="es-MX" w:eastAsia="en-US"/>
        </w:rPr>
      </w:pPr>
      <w:r>
        <w:rPr>
          <w:rFonts w:ascii="Arial" w:eastAsiaTheme="minorHAnsi" w:hAnsi="Arial" w:cs="Arial"/>
          <w:sz w:val="22"/>
          <w:szCs w:val="22"/>
          <w:lang w:val="es-MX" w:eastAsia="en-US"/>
        </w:rPr>
        <w:lastRenderedPageBreak/>
        <w:t xml:space="preserve">Según su significado literal, consultar es </w:t>
      </w:r>
      <w:r w:rsidRPr="00066821">
        <w:rPr>
          <w:rFonts w:ascii="Arial" w:hAnsi="Arial" w:cs="Arial"/>
          <w:sz w:val="22"/>
        </w:rPr>
        <w:t>«</w:t>
      </w:r>
      <w:r>
        <w:rPr>
          <w:rFonts w:ascii="Arial" w:eastAsiaTheme="minorHAnsi" w:hAnsi="Arial" w:cs="Arial"/>
          <w:sz w:val="22"/>
          <w:szCs w:val="22"/>
          <w:lang w:val="es-MX" w:eastAsia="en-US"/>
        </w:rPr>
        <w:t>b</w:t>
      </w:r>
      <w:r w:rsidRPr="00D65DFE">
        <w:rPr>
          <w:rFonts w:ascii="Arial" w:eastAsiaTheme="minorHAnsi" w:hAnsi="Arial" w:cs="Arial"/>
          <w:sz w:val="22"/>
          <w:szCs w:val="22"/>
          <w:lang w:val="es-MX" w:eastAsia="en-US"/>
        </w:rPr>
        <w:t xml:space="preserve">uscar documentación o datos sobre algún asunto o </w:t>
      </w:r>
      <w:r>
        <w:rPr>
          <w:rFonts w:ascii="Arial" w:eastAsiaTheme="minorHAnsi" w:hAnsi="Arial" w:cs="Arial"/>
          <w:sz w:val="22"/>
          <w:szCs w:val="22"/>
          <w:lang w:val="es-MX" w:eastAsia="en-US"/>
        </w:rPr>
        <w:t>materia</w:t>
      </w:r>
      <w:r w:rsidRPr="00066821">
        <w:rPr>
          <w:rFonts w:ascii="Arial" w:hAnsi="Arial" w:cs="Arial"/>
          <w:sz w:val="22"/>
        </w:rPr>
        <w:t>»</w:t>
      </w:r>
      <w:r>
        <w:rPr>
          <w:rStyle w:val="Refdenotaalpie"/>
          <w:rFonts w:ascii="Arial" w:eastAsiaTheme="minorHAnsi" w:hAnsi="Arial" w:cs="Arial"/>
          <w:sz w:val="22"/>
          <w:szCs w:val="22"/>
          <w:lang w:val="es-MX" w:eastAsia="en-US"/>
        </w:rPr>
        <w:footnoteReference w:id="13"/>
      </w:r>
      <w:r>
        <w:rPr>
          <w:rFonts w:ascii="Arial" w:hAnsi="Arial" w:cs="Arial"/>
          <w:sz w:val="22"/>
        </w:rPr>
        <w:t xml:space="preserve"> y analizar </w:t>
      </w:r>
      <w:r>
        <w:rPr>
          <w:rFonts w:ascii="Arial" w:eastAsiaTheme="minorHAnsi" w:hAnsi="Arial" w:cs="Arial"/>
          <w:sz w:val="22"/>
          <w:szCs w:val="22"/>
          <w:lang w:val="es-MX" w:eastAsia="en-US"/>
        </w:rPr>
        <w:t xml:space="preserve">se refiere al </w:t>
      </w:r>
      <w:r w:rsidRPr="00066821">
        <w:rPr>
          <w:rFonts w:ascii="Arial" w:hAnsi="Arial" w:cs="Arial"/>
          <w:sz w:val="22"/>
        </w:rPr>
        <w:t>«</w:t>
      </w:r>
      <w:r>
        <w:rPr>
          <w:rFonts w:ascii="Arial" w:eastAsiaTheme="minorHAnsi" w:hAnsi="Arial" w:cs="Arial"/>
          <w:sz w:val="22"/>
          <w:szCs w:val="22"/>
          <w:lang w:val="es-MX" w:eastAsia="en-US"/>
        </w:rPr>
        <w:t>e</w:t>
      </w:r>
      <w:r w:rsidRPr="00D65DFE">
        <w:rPr>
          <w:rFonts w:ascii="Arial" w:eastAsiaTheme="minorHAnsi" w:hAnsi="Arial" w:cs="Arial"/>
          <w:sz w:val="22"/>
          <w:szCs w:val="22"/>
          <w:lang w:val="es-MX" w:eastAsia="en-US"/>
        </w:rPr>
        <w:t>xamen que se hace de una obra, de un escrito o de cualquier realidad susceptible de estudio intelectual</w:t>
      </w:r>
      <w:r w:rsidRPr="00066821">
        <w:rPr>
          <w:rFonts w:ascii="Arial" w:hAnsi="Arial" w:cs="Arial"/>
          <w:sz w:val="22"/>
        </w:rPr>
        <w:t>»</w:t>
      </w:r>
      <w:r>
        <w:rPr>
          <w:rStyle w:val="Refdenotaalpie"/>
          <w:rFonts w:ascii="Arial" w:eastAsiaTheme="minorHAnsi" w:hAnsi="Arial" w:cs="Arial"/>
          <w:sz w:val="22"/>
          <w:szCs w:val="22"/>
          <w:lang w:val="es-MX" w:eastAsia="en-US"/>
        </w:rPr>
        <w:footnoteReference w:id="14"/>
      </w:r>
      <w:r w:rsidRPr="00D65DFE">
        <w:rPr>
          <w:rFonts w:ascii="Arial" w:eastAsiaTheme="minorHAnsi" w:hAnsi="Arial" w:cs="Arial"/>
          <w:sz w:val="22"/>
          <w:szCs w:val="22"/>
          <w:lang w:val="es-MX" w:eastAsia="en-US"/>
        </w:rPr>
        <w:t>.</w:t>
      </w:r>
      <w:r>
        <w:rPr>
          <w:rFonts w:ascii="Arial" w:eastAsiaTheme="minorHAnsi" w:hAnsi="Arial" w:cs="Arial"/>
          <w:sz w:val="22"/>
          <w:szCs w:val="22"/>
          <w:lang w:val="es-MX" w:eastAsia="en-US"/>
        </w:rPr>
        <w:t xml:space="preserve"> El propósito de estas expresiones, entonces, es el de realizar un examen minucioso de un asunto, para conocer sus características, factores, naturaleza y demás condiciones necesarias para entender el sentido del objeto de estudio. </w:t>
      </w:r>
    </w:p>
    <w:p w14:paraId="0D4141A7" w14:textId="77777777" w:rsidR="00466861" w:rsidRDefault="00466861" w:rsidP="00466861">
      <w:pPr>
        <w:spacing w:before="120" w:line="276" w:lineRule="auto"/>
        <w:ind w:firstLine="709"/>
        <w:jc w:val="both"/>
        <w:rPr>
          <w:rFonts w:ascii="Arial" w:eastAsiaTheme="minorHAnsi" w:hAnsi="Arial" w:cs="Arial"/>
          <w:sz w:val="22"/>
          <w:szCs w:val="22"/>
          <w:lang w:val="es-MX" w:eastAsia="en-US"/>
        </w:rPr>
      </w:pPr>
      <w:r>
        <w:rPr>
          <w:rFonts w:ascii="Arial" w:eastAsiaTheme="minorHAnsi" w:hAnsi="Arial" w:cs="Arial"/>
          <w:sz w:val="22"/>
          <w:szCs w:val="22"/>
          <w:lang w:val="es-MX" w:eastAsia="en-US"/>
        </w:rPr>
        <w:t xml:space="preserve">Estos vocablos, revisten especial importancia en este estudio, </w:t>
      </w:r>
      <w:proofErr w:type="gramStart"/>
      <w:r>
        <w:rPr>
          <w:rFonts w:ascii="Arial" w:eastAsiaTheme="minorHAnsi" w:hAnsi="Arial" w:cs="Arial"/>
          <w:sz w:val="22"/>
          <w:szCs w:val="22"/>
          <w:lang w:val="es-MX" w:eastAsia="en-US"/>
        </w:rPr>
        <w:t>puesto que</w:t>
      </w:r>
      <w:proofErr w:type="gramEnd"/>
      <w:r>
        <w:rPr>
          <w:rFonts w:ascii="Arial" w:eastAsiaTheme="minorHAnsi" w:hAnsi="Arial" w:cs="Arial"/>
          <w:sz w:val="22"/>
          <w:szCs w:val="22"/>
          <w:lang w:val="es-MX" w:eastAsia="en-US"/>
        </w:rPr>
        <w:t xml:space="preserve"> con base en ese análisis, la entidad estatal descontará un punto de la sumatoria obtenida en relación con el factor calidad. En otras palabras, en el evento en que </w:t>
      </w:r>
      <w:r w:rsidRPr="009246C4">
        <w:rPr>
          <w:rFonts w:ascii="Arial" w:eastAsiaTheme="minorHAnsi" w:hAnsi="Arial" w:cs="Arial"/>
          <w:sz w:val="22"/>
          <w:szCs w:val="22"/>
          <w:lang w:val="es-MX" w:eastAsia="en-US"/>
        </w:rPr>
        <w:t>las personas naturales o jurídicas, nacionales o extranjeras domiciliadas o con sucursal en Colombia, o integrantes de proponentes plurales</w:t>
      </w:r>
      <w:r>
        <w:rPr>
          <w:rFonts w:ascii="Arial" w:eastAsiaTheme="minorHAnsi" w:hAnsi="Arial" w:cs="Arial"/>
          <w:sz w:val="22"/>
          <w:szCs w:val="22"/>
          <w:lang w:val="es-MX" w:eastAsia="en-US"/>
        </w:rPr>
        <w:t xml:space="preserve">, cuenten con una anotación en dicho registro, le corresponde a la entidad examinar la particularidad de la anotación y determinar si la misma es suficiente para descontar el punto de la sumatoria total </w:t>
      </w:r>
      <w:r w:rsidRPr="005D749F">
        <w:rPr>
          <w:rFonts w:ascii="Arial" w:eastAsiaTheme="minorHAnsi" w:hAnsi="Arial" w:cs="Arial"/>
          <w:sz w:val="22"/>
          <w:szCs w:val="22"/>
          <w:lang w:val="es-MX" w:eastAsia="en-US"/>
        </w:rPr>
        <w:t>en relación con el factor de calidad.</w:t>
      </w:r>
      <w:r>
        <w:rPr>
          <w:rFonts w:ascii="Arial" w:eastAsiaTheme="minorHAnsi" w:hAnsi="Arial" w:cs="Arial"/>
          <w:sz w:val="22"/>
          <w:szCs w:val="22"/>
          <w:lang w:val="es-MX" w:eastAsia="en-US"/>
        </w:rPr>
        <w:t xml:space="preserve"> Ello encuentra sustento, a su vez, en desarrollo del trámite legislativo que se surtió en el Congreso de la República, en el cual se incorporó en el artículo 6 de la Ley 2020 de 2020 los vocablos </w:t>
      </w:r>
      <w:r w:rsidRPr="00066821">
        <w:rPr>
          <w:rFonts w:ascii="Arial" w:hAnsi="Arial" w:cs="Arial"/>
          <w:sz w:val="22"/>
        </w:rPr>
        <w:t>«</w:t>
      </w:r>
      <w:r>
        <w:rPr>
          <w:rFonts w:ascii="Arial" w:hAnsi="Arial" w:cs="Arial"/>
          <w:sz w:val="22"/>
        </w:rPr>
        <w:t xml:space="preserve">consultar y </w:t>
      </w:r>
      <w:r>
        <w:rPr>
          <w:rFonts w:ascii="Arial" w:eastAsiaTheme="minorHAnsi" w:hAnsi="Arial" w:cs="Arial"/>
          <w:sz w:val="22"/>
          <w:szCs w:val="22"/>
          <w:lang w:val="es-MX" w:eastAsia="en-US"/>
        </w:rPr>
        <w:t>analizar</w:t>
      </w:r>
      <w:r w:rsidRPr="00066821">
        <w:rPr>
          <w:rFonts w:ascii="Arial" w:hAnsi="Arial" w:cs="Arial"/>
          <w:sz w:val="22"/>
        </w:rPr>
        <w:t>»</w:t>
      </w:r>
      <w:r>
        <w:rPr>
          <w:rFonts w:ascii="Arial" w:hAnsi="Arial" w:cs="Arial"/>
          <w:sz w:val="22"/>
        </w:rPr>
        <w:t xml:space="preserve">, en el entendido que </w:t>
      </w:r>
      <w:r w:rsidRPr="00066821">
        <w:rPr>
          <w:rFonts w:ascii="Arial" w:hAnsi="Arial" w:cs="Arial"/>
          <w:sz w:val="22"/>
        </w:rPr>
        <w:t>«</w:t>
      </w:r>
      <w:r>
        <w:rPr>
          <w:rFonts w:ascii="Arial" w:hAnsi="Arial" w:cs="Arial"/>
          <w:sz w:val="22"/>
        </w:rPr>
        <w:t>no toda inclusión en el registro es imputable al contratista</w:t>
      </w:r>
      <w:r w:rsidRPr="00066821">
        <w:rPr>
          <w:rFonts w:ascii="Arial" w:hAnsi="Arial" w:cs="Arial"/>
          <w:sz w:val="22"/>
        </w:rPr>
        <w:t>»</w:t>
      </w:r>
      <w:r>
        <w:rPr>
          <w:rStyle w:val="Refdenotaalpie"/>
          <w:rFonts w:ascii="Arial" w:hAnsi="Arial" w:cs="Arial"/>
          <w:sz w:val="22"/>
        </w:rPr>
        <w:footnoteReference w:id="15"/>
      </w:r>
      <w:r>
        <w:rPr>
          <w:rFonts w:ascii="Arial" w:hAnsi="Arial" w:cs="Arial"/>
          <w:sz w:val="22"/>
        </w:rPr>
        <w:t xml:space="preserve">. </w:t>
      </w:r>
    </w:p>
    <w:p w14:paraId="1B804B88" w14:textId="77777777" w:rsidR="00466861" w:rsidRDefault="00466861" w:rsidP="00466861">
      <w:pPr>
        <w:spacing w:before="120" w:line="276" w:lineRule="auto"/>
        <w:ind w:firstLine="709"/>
        <w:jc w:val="both"/>
        <w:rPr>
          <w:rFonts w:ascii="Arial" w:eastAsiaTheme="minorHAnsi" w:hAnsi="Arial" w:cs="Arial"/>
          <w:sz w:val="22"/>
          <w:szCs w:val="22"/>
          <w:lang w:val="es-MX" w:eastAsia="en-US"/>
        </w:rPr>
      </w:pPr>
      <w:r>
        <w:rPr>
          <w:rFonts w:ascii="Arial" w:eastAsiaTheme="minorHAnsi" w:hAnsi="Arial" w:cs="Arial"/>
          <w:sz w:val="22"/>
          <w:szCs w:val="22"/>
          <w:lang w:val="es-MX" w:eastAsia="en-US"/>
        </w:rPr>
        <w:t xml:space="preserve">De esta manera, la connotación de las palabras </w:t>
      </w:r>
      <w:r w:rsidRPr="00066821">
        <w:rPr>
          <w:rFonts w:ascii="Arial" w:hAnsi="Arial" w:cs="Arial"/>
          <w:sz w:val="22"/>
        </w:rPr>
        <w:t>«</w:t>
      </w:r>
      <w:r>
        <w:rPr>
          <w:rFonts w:ascii="Arial" w:hAnsi="Arial" w:cs="Arial"/>
          <w:sz w:val="22"/>
        </w:rPr>
        <w:t xml:space="preserve">consultar y </w:t>
      </w:r>
      <w:r>
        <w:rPr>
          <w:rFonts w:ascii="Arial" w:eastAsiaTheme="minorHAnsi" w:hAnsi="Arial" w:cs="Arial"/>
          <w:sz w:val="22"/>
          <w:szCs w:val="22"/>
          <w:lang w:val="es-MX" w:eastAsia="en-US"/>
        </w:rPr>
        <w:t>analizar</w:t>
      </w:r>
      <w:r w:rsidRPr="00066821">
        <w:rPr>
          <w:rFonts w:ascii="Arial" w:hAnsi="Arial" w:cs="Arial"/>
          <w:sz w:val="22"/>
        </w:rPr>
        <w:t>»</w:t>
      </w:r>
      <w:r>
        <w:rPr>
          <w:rFonts w:ascii="Arial" w:hAnsi="Arial" w:cs="Arial"/>
          <w:sz w:val="22"/>
        </w:rPr>
        <w:t xml:space="preserve"> </w:t>
      </w:r>
      <w:r>
        <w:rPr>
          <w:rFonts w:ascii="Arial" w:eastAsiaTheme="minorHAnsi" w:hAnsi="Arial" w:cs="Arial"/>
          <w:sz w:val="22"/>
          <w:szCs w:val="22"/>
          <w:lang w:val="es-MX" w:eastAsia="en-US"/>
        </w:rPr>
        <w:t xml:space="preserve">constituyen el marco respecto del cual se circunscribe el deber de la entidad de tener en cuenta las anotaciones en el Registro Nacional de Obras Civiles Inconclusas, para efectos de la evaluación de los factores de ponderación de calidad. En otras palabras, las expresiones </w:t>
      </w:r>
      <w:r w:rsidRPr="00066821">
        <w:rPr>
          <w:rFonts w:ascii="Arial" w:hAnsi="Arial" w:cs="Arial"/>
          <w:sz w:val="22"/>
        </w:rPr>
        <w:t>«</w:t>
      </w:r>
      <w:r>
        <w:rPr>
          <w:rFonts w:ascii="Arial" w:hAnsi="Arial" w:cs="Arial"/>
          <w:sz w:val="22"/>
        </w:rPr>
        <w:t xml:space="preserve">consultar y </w:t>
      </w:r>
      <w:r>
        <w:rPr>
          <w:rFonts w:ascii="Arial" w:eastAsiaTheme="minorHAnsi" w:hAnsi="Arial" w:cs="Arial"/>
          <w:sz w:val="22"/>
          <w:szCs w:val="22"/>
          <w:lang w:val="es-MX" w:eastAsia="en-US"/>
        </w:rPr>
        <w:t>analizar</w:t>
      </w:r>
      <w:r w:rsidRPr="00066821">
        <w:rPr>
          <w:rFonts w:ascii="Arial" w:hAnsi="Arial" w:cs="Arial"/>
          <w:sz w:val="22"/>
        </w:rPr>
        <w:t>»</w:t>
      </w:r>
      <w:r>
        <w:rPr>
          <w:rFonts w:ascii="Arial" w:eastAsiaTheme="minorHAnsi" w:hAnsi="Arial" w:cs="Arial"/>
          <w:sz w:val="22"/>
          <w:szCs w:val="22"/>
          <w:lang w:val="es-MX" w:eastAsia="en-US"/>
        </w:rPr>
        <w:t xml:space="preserve">, determinan el alcance de </w:t>
      </w:r>
      <w:proofErr w:type="gramStart"/>
      <w:r>
        <w:rPr>
          <w:rFonts w:ascii="Arial" w:eastAsiaTheme="minorHAnsi" w:hAnsi="Arial" w:cs="Arial"/>
          <w:sz w:val="22"/>
          <w:szCs w:val="22"/>
          <w:lang w:val="es-MX" w:eastAsia="en-US"/>
        </w:rPr>
        <w:t>la  interpretación</w:t>
      </w:r>
      <w:proofErr w:type="gramEnd"/>
      <w:r>
        <w:rPr>
          <w:rFonts w:ascii="Arial" w:eastAsiaTheme="minorHAnsi" w:hAnsi="Arial" w:cs="Arial"/>
          <w:sz w:val="22"/>
          <w:szCs w:val="22"/>
          <w:lang w:val="es-MX" w:eastAsia="en-US"/>
        </w:rPr>
        <w:t xml:space="preserve"> tanto del contenido del artículo 6 de la Ley 2020 de 2020, como en el texto establecido en los Documentos Base, sobre el Registro Nacional de Obras Civiles Inconclusas. En consecuencia, el primer aparte del párrafo del Documento Base determina el alcance que debe darse al texto, mientras que el segundo fragmento dispone la consecuencia jurídica. Así, este último no puede desligarse del otro y su interpretación debe realizarse en contexto. </w:t>
      </w:r>
    </w:p>
    <w:p w14:paraId="23DE6C29" w14:textId="77777777" w:rsidR="00466861" w:rsidRDefault="00466861" w:rsidP="00466861">
      <w:pPr>
        <w:spacing w:before="120" w:line="276" w:lineRule="auto"/>
        <w:ind w:firstLine="709"/>
        <w:jc w:val="both"/>
        <w:rPr>
          <w:rFonts w:ascii="Arial" w:eastAsiaTheme="minorHAnsi" w:hAnsi="Arial" w:cs="Arial"/>
          <w:sz w:val="22"/>
          <w:szCs w:val="22"/>
          <w:lang w:val="es-MX" w:eastAsia="en-US"/>
        </w:rPr>
      </w:pPr>
      <w:r>
        <w:rPr>
          <w:rFonts w:ascii="Arial" w:eastAsiaTheme="minorHAnsi" w:hAnsi="Arial" w:cs="Arial"/>
          <w:sz w:val="22"/>
          <w:szCs w:val="22"/>
          <w:lang w:val="es-MX" w:eastAsia="en-US"/>
        </w:rPr>
        <w:t xml:space="preserve">Bajo estas consideraciones, la interpretación adecuada para lo dispuesto en el Documento </w:t>
      </w:r>
      <w:proofErr w:type="gramStart"/>
      <w:r>
        <w:rPr>
          <w:rFonts w:ascii="Arial" w:eastAsiaTheme="minorHAnsi" w:hAnsi="Arial" w:cs="Arial"/>
          <w:sz w:val="22"/>
          <w:szCs w:val="22"/>
          <w:lang w:val="es-MX" w:eastAsia="en-US"/>
        </w:rPr>
        <w:t>Base,</w:t>
      </w:r>
      <w:proofErr w:type="gramEnd"/>
      <w:r>
        <w:rPr>
          <w:rFonts w:ascii="Arial" w:eastAsiaTheme="minorHAnsi" w:hAnsi="Arial" w:cs="Arial"/>
          <w:sz w:val="22"/>
          <w:szCs w:val="22"/>
          <w:lang w:val="es-MX" w:eastAsia="en-US"/>
        </w:rPr>
        <w:t xml:space="preserve"> es que para descontar el punto de la sumatoria obtenida en relación con el factor de calidad la entidad deberá consultar y analizar las anotaciones vigentes en el Registro Nacional de Obras Civiles Inconclusas. Con este panorama, la pregunta que surge a continuación es ¿cómo analizar las anotaciones para descontar el punto del factor de calidad? Consideramos adecuado, por ejemplo, que en este análisis la entidad verifique si </w:t>
      </w:r>
      <w:r>
        <w:rPr>
          <w:rFonts w:ascii="Arial" w:eastAsiaTheme="minorHAnsi" w:hAnsi="Arial" w:cs="Arial"/>
          <w:sz w:val="22"/>
          <w:szCs w:val="22"/>
          <w:lang w:val="es-MX" w:eastAsia="en-US"/>
        </w:rPr>
        <w:lastRenderedPageBreak/>
        <w:t xml:space="preserve">existen anotaciones relacionadas con el incumplimiento del contratista, que permita determinar que la obra no concluyó como consecuencia de este, en cuyo caso, descontará el punto. </w:t>
      </w:r>
    </w:p>
    <w:p w14:paraId="26E82CE0" w14:textId="77777777" w:rsidR="00466861" w:rsidRDefault="00466861" w:rsidP="00466861">
      <w:pPr>
        <w:spacing w:before="120" w:line="276" w:lineRule="auto"/>
        <w:ind w:firstLine="709"/>
        <w:jc w:val="both"/>
        <w:rPr>
          <w:rFonts w:ascii="Arial" w:eastAsiaTheme="minorHAnsi" w:hAnsi="Arial" w:cs="Arial"/>
          <w:sz w:val="22"/>
          <w:szCs w:val="22"/>
          <w:lang w:val="es-MX" w:eastAsia="en-US"/>
        </w:rPr>
      </w:pPr>
      <w:r>
        <w:rPr>
          <w:rFonts w:ascii="Arial" w:eastAsiaTheme="minorHAnsi" w:hAnsi="Arial" w:cs="Arial"/>
          <w:sz w:val="22"/>
          <w:szCs w:val="22"/>
          <w:lang w:val="es-MX" w:eastAsia="en-US"/>
        </w:rPr>
        <w:t xml:space="preserve">Para clarificar el argumento anterior, es pertinente considerar las transformaciones que sufrió el artículo 6 de la Ley 2020 de 2020 durante el trámite legislativo en el Congreso de la República, desde la radicación del proyecto hasta su versión final. Esto con el objetivo de evidenciar que el alcance del análisis de las anotaciones en el </w:t>
      </w:r>
      <w:proofErr w:type="gramStart"/>
      <w:r>
        <w:rPr>
          <w:rFonts w:ascii="Arial" w:eastAsiaTheme="minorHAnsi" w:hAnsi="Arial" w:cs="Arial"/>
          <w:sz w:val="22"/>
          <w:szCs w:val="22"/>
          <w:lang w:val="es-MX" w:eastAsia="en-US"/>
        </w:rPr>
        <w:t>registro,</w:t>
      </w:r>
      <w:proofErr w:type="gramEnd"/>
      <w:r>
        <w:rPr>
          <w:rFonts w:ascii="Arial" w:eastAsiaTheme="minorHAnsi" w:hAnsi="Arial" w:cs="Arial"/>
          <w:sz w:val="22"/>
          <w:szCs w:val="22"/>
          <w:lang w:val="es-MX" w:eastAsia="en-US"/>
        </w:rPr>
        <w:t xml:space="preserve"> incluye válidamente la verificación de los incumplimientos del contratista respecto de las obras civiles inconclusas. </w:t>
      </w:r>
    </w:p>
    <w:p w14:paraId="340E47E5" w14:textId="77777777" w:rsidR="00466861" w:rsidRDefault="00466861" w:rsidP="00466861">
      <w:pPr>
        <w:spacing w:before="120" w:line="276" w:lineRule="auto"/>
        <w:ind w:firstLine="709"/>
        <w:jc w:val="both"/>
        <w:rPr>
          <w:rFonts w:ascii="Arial" w:eastAsiaTheme="minorHAnsi" w:hAnsi="Arial" w:cs="Arial"/>
          <w:sz w:val="22"/>
          <w:szCs w:val="22"/>
          <w:lang w:val="es-MX" w:eastAsia="en-US"/>
        </w:rPr>
      </w:pPr>
      <w:r>
        <w:rPr>
          <w:rFonts w:ascii="Arial" w:eastAsiaTheme="minorHAnsi" w:hAnsi="Arial" w:cs="Arial"/>
          <w:sz w:val="22"/>
          <w:szCs w:val="22"/>
          <w:lang w:val="es-MX" w:eastAsia="en-US"/>
        </w:rPr>
        <w:t xml:space="preserve">En la presentación inicial del proyecto de Ley No. 025 de 2018, </w:t>
      </w:r>
      <w:r w:rsidRPr="00066821">
        <w:rPr>
          <w:rFonts w:ascii="Arial" w:hAnsi="Arial" w:cs="Arial"/>
          <w:sz w:val="22"/>
        </w:rPr>
        <w:t>«</w:t>
      </w:r>
      <w:r w:rsidRPr="00C820AD">
        <w:rPr>
          <w:rFonts w:ascii="Arial" w:eastAsiaTheme="minorHAnsi" w:hAnsi="Arial" w:cs="Arial"/>
          <w:sz w:val="22"/>
          <w:szCs w:val="22"/>
          <w:lang w:val="es-MX" w:eastAsia="en-US"/>
        </w:rPr>
        <w:t xml:space="preserve">por medio de la cual </w:t>
      </w:r>
      <w:r>
        <w:rPr>
          <w:rFonts w:ascii="Arial" w:eastAsiaTheme="minorHAnsi" w:hAnsi="Arial" w:cs="Arial"/>
          <w:sz w:val="22"/>
          <w:szCs w:val="22"/>
          <w:lang w:val="es-MX" w:eastAsia="en-US"/>
        </w:rPr>
        <w:t xml:space="preserve">se crea el registro nacional de </w:t>
      </w:r>
      <w:r w:rsidRPr="00C820AD">
        <w:rPr>
          <w:rFonts w:ascii="Arial" w:eastAsiaTheme="minorHAnsi" w:hAnsi="Arial" w:cs="Arial"/>
          <w:sz w:val="22"/>
          <w:szCs w:val="22"/>
          <w:lang w:val="es-MX" w:eastAsia="en-US"/>
        </w:rPr>
        <w:t>obras civiles inconcl</w:t>
      </w:r>
      <w:r>
        <w:rPr>
          <w:rFonts w:ascii="Arial" w:eastAsiaTheme="minorHAnsi" w:hAnsi="Arial" w:cs="Arial"/>
          <w:sz w:val="22"/>
          <w:szCs w:val="22"/>
          <w:lang w:val="es-MX" w:eastAsia="en-US"/>
        </w:rPr>
        <w:t xml:space="preserve">usas de las entidades estatales </w:t>
      </w:r>
      <w:r w:rsidRPr="00C820AD">
        <w:rPr>
          <w:rFonts w:ascii="Arial" w:eastAsiaTheme="minorHAnsi" w:hAnsi="Arial" w:cs="Arial"/>
          <w:sz w:val="22"/>
          <w:szCs w:val="22"/>
          <w:lang w:val="es-MX" w:eastAsia="en-US"/>
        </w:rPr>
        <w:t>y se dictan otras disposiciones</w:t>
      </w:r>
      <w:r w:rsidRPr="00066821">
        <w:rPr>
          <w:rFonts w:ascii="Arial" w:hAnsi="Arial" w:cs="Arial"/>
          <w:sz w:val="22"/>
        </w:rPr>
        <w:t>»</w:t>
      </w:r>
      <w:r>
        <w:rPr>
          <w:rFonts w:ascii="Arial" w:eastAsiaTheme="minorHAnsi" w:hAnsi="Arial" w:cs="Arial"/>
          <w:sz w:val="22"/>
          <w:szCs w:val="22"/>
          <w:lang w:val="es-MX" w:eastAsia="en-US"/>
        </w:rPr>
        <w:t>, la redacción del artículo 6 distaba mucho de la versión final</w:t>
      </w:r>
      <w:r w:rsidRPr="00BE45DF">
        <w:rPr>
          <w:rFonts w:ascii="Arial" w:eastAsiaTheme="minorHAnsi" w:hAnsi="Arial" w:cs="Arial"/>
          <w:sz w:val="22"/>
          <w:szCs w:val="22"/>
          <w:lang w:val="es-MX" w:eastAsia="en-US"/>
        </w:rPr>
        <w:t xml:space="preserve"> </w:t>
      </w:r>
      <w:r>
        <w:rPr>
          <w:rFonts w:ascii="Arial" w:eastAsiaTheme="minorHAnsi" w:hAnsi="Arial" w:cs="Arial"/>
          <w:sz w:val="22"/>
          <w:szCs w:val="22"/>
          <w:lang w:val="es-MX" w:eastAsia="en-US"/>
        </w:rPr>
        <w:t xml:space="preserve">de la Ley 2020 de 2020. El texto original no involucraba asuntos relacionados con la contratación pública. La disposición establecía lo siguiente: </w:t>
      </w:r>
    </w:p>
    <w:p w14:paraId="22E8F0B6" w14:textId="77777777" w:rsidR="00466861" w:rsidRDefault="00466861" w:rsidP="00466861">
      <w:pPr>
        <w:spacing w:line="276" w:lineRule="auto"/>
        <w:ind w:firstLine="709"/>
        <w:jc w:val="both"/>
        <w:rPr>
          <w:rFonts w:ascii="Arial" w:eastAsiaTheme="minorHAnsi" w:hAnsi="Arial" w:cs="Arial"/>
          <w:sz w:val="22"/>
          <w:szCs w:val="22"/>
          <w:lang w:val="es-MX" w:eastAsia="en-US"/>
        </w:rPr>
      </w:pPr>
    </w:p>
    <w:p w14:paraId="5D674BC2" w14:textId="77777777" w:rsidR="00466861" w:rsidRPr="00BE45DF" w:rsidRDefault="00466861" w:rsidP="00466861">
      <w:pPr>
        <w:tabs>
          <w:tab w:val="left" w:pos="0"/>
        </w:tabs>
        <w:spacing w:after="120"/>
        <w:ind w:left="709" w:right="709"/>
        <w:jc w:val="both"/>
        <w:rPr>
          <w:rFonts w:ascii="Arial" w:eastAsia="Calibri" w:hAnsi="Arial" w:cs="Arial"/>
          <w:color w:val="000000"/>
          <w:sz w:val="21"/>
          <w:szCs w:val="21"/>
          <w:lang w:val="es-ES_tradnl" w:eastAsia="en-GB"/>
        </w:rPr>
      </w:pPr>
      <w:r w:rsidRPr="00BE45DF">
        <w:rPr>
          <w:rFonts w:ascii="Arial" w:eastAsia="Calibri" w:hAnsi="Arial" w:cs="Arial"/>
          <w:color w:val="000000"/>
          <w:sz w:val="21"/>
          <w:szCs w:val="21"/>
          <w:lang w:val="es-ES_tradnl" w:eastAsia="en-GB"/>
        </w:rPr>
        <w:t>Artículo 6°. Actuaciones. En todas las entidades estatales, a instancia de la Secretaría, Departamento u Oficina de Planeación, según el caso, funcionará el Registro Departamental, Municipal, Distrital o institucional de Obras Civiles Inconclusas, que progresivamente se incorporarán al Registro Nacional de Obras Civiles Inconclusas.</w:t>
      </w:r>
    </w:p>
    <w:p w14:paraId="5ED242EB" w14:textId="77777777" w:rsidR="00466861" w:rsidRPr="00BE45DF" w:rsidRDefault="00466861" w:rsidP="00466861">
      <w:pPr>
        <w:tabs>
          <w:tab w:val="left" w:pos="0"/>
        </w:tabs>
        <w:spacing w:after="120"/>
        <w:ind w:left="709" w:right="709"/>
        <w:jc w:val="both"/>
        <w:rPr>
          <w:rFonts w:ascii="Arial" w:eastAsia="Calibri" w:hAnsi="Arial" w:cs="Arial"/>
          <w:color w:val="000000"/>
          <w:sz w:val="21"/>
          <w:szCs w:val="21"/>
          <w:lang w:val="es-ES_tradnl" w:eastAsia="en-GB"/>
        </w:rPr>
      </w:pPr>
      <w:r w:rsidRPr="00BE45DF">
        <w:rPr>
          <w:rFonts w:ascii="Arial" w:eastAsia="Calibri" w:hAnsi="Arial" w:cs="Arial"/>
          <w:color w:val="000000"/>
          <w:sz w:val="21"/>
          <w:szCs w:val="21"/>
          <w:lang w:val="es-ES_tradnl" w:eastAsia="en-GB"/>
        </w:rPr>
        <w:t xml:space="preserve">Parágrafo 1°. La administración del Registro Nacional de Obras Civiles Inconclusas estará a cargo del Departamento Nacional de Planeación, el cual consolidará la información suministrada por las Entidades Estatales y deberá emitir informe cada seis (6) meses sobre las medidas desarrolladas durante dicho periodo y el seguimiento que se ha realizado. En el informe se deberá relacionar con claridad el nombre de los contratistas y sociedades que presenten un mayor número de obras inconclusas. </w:t>
      </w:r>
    </w:p>
    <w:p w14:paraId="435E0B5C" w14:textId="77777777" w:rsidR="00466861" w:rsidRPr="00BE45DF" w:rsidRDefault="00466861" w:rsidP="00466861">
      <w:pPr>
        <w:tabs>
          <w:tab w:val="left" w:pos="0"/>
        </w:tabs>
        <w:ind w:left="709" w:right="709"/>
        <w:jc w:val="both"/>
        <w:rPr>
          <w:rFonts w:ascii="Arial" w:eastAsia="Calibri" w:hAnsi="Arial" w:cs="Arial"/>
          <w:color w:val="000000"/>
          <w:sz w:val="21"/>
          <w:szCs w:val="21"/>
          <w:lang w:val="es-ES_tradnl" w:eastAsia="en-GB"/>
        </w:rPr>
      </w:pPr>
      <w:r w:rsidRPr="00BE45DF">
        <w:rPr>
          <w:rFonts w:ascii="Arial" w:eastAsia="Calibri" w:hAnsi="Arial" w:cs="Arial"/>
          <w:color w:val="000000"/>
          <w:sz w:val="21"/>
          <w:szCs w:val="21"/>
          <w:lang w:val="es-ES_tradnl" w:eastAsia="en-GB"/>
        </w:rPr>
        <w:t>Parágrafo 2°. Las entidades estatales deberán enviar copia al Registro Departamental, Municipal, Distrital o institucional de Obras Civiles Inconclusas a la Contraloría General de Nación o Contralorías Territoriales según el caso</w:t>
      </w:r>
      <w:r>
        <w:rPr>
          <w:rFonts w:ascii="Arial" w:eastAsia="Calibri" w:hAnsi="Arial" w:cs="Arial"/>
          <w:color w:val="000000"/>
          <w:sz w:val="21"/>
          <w:szCs w:val="21"/>
          <w:lang w:val="es-ES_tradnl" w:eastAsia="en-GB"/>
        </w:rPr>
        <w:t>.</w:t>
      </w:r>
      <w:r>
        <w:rPr>
          <w:rStyle w:val="Refdenotaalpie"/>
          <w:rFonts w:ascii="Arial" w:eastAsiaTheme="minorHAnsi" w:hAnsi="Arial" w:cs="Arial"/>
          <w:sz w:val="22"/>
          <w:szCs w:val="22"/>
          <w:lang w:val="es-MX" w:eastAsia="en-US"/>
        </w:rPr>
        <w:footnoteReference w:id="16"/>
      </w:r>
    </w:p>
    <w:p w14:paraId="09E6A809" w14:textId="77777777" w:rsidR="00466861" w:rsidRPr="00472D8E" w:rsidRDefault="00466861" w:rsidP="00466861">
      <w:pPr>
        <w:spacing w:line="276" w:lineRule="auto"/>
        <w:ind w:firstLine="709"/>
        <w:jc w:val="both"/>
        <w:rPr>
          <w:rFonts w:ascii="Arial" w:eastAsiaTheme="minorHAnsi" w:hAnsi="Arial" w:cs="Arial"/>
          <w:sz w:val="22"/>
          <w:szCs w:val="22"/>
          <w:lang w:val="es-MX" w:eastAsia="en-US"/>
        </w:rPr>
      </w:pPr>
    </w:p>
    <w:p w14:paraId="70C90C0D" w14:textId="77777777" w:rsidR="00466861" w:rsidRPr="00472D8E" w:rsidRDefault="00466861" w:rsidP="00466861">
      <w:pPr>
        <w:spacing w:line="276" w:lineRule="auto"/>
        <w:ind w:firstLine="709"/>
        <w:jc w:val="both"/>
        <w:rPr>
          <w:rFonts w:ascii="Arial" w:eastAsia="Calibri" w:hAnsi="Arial" w:cs="Arial"/>
          <w:color w:val="000000"/>
          <w:sz w:val="22"/>
          <w:szCs w:val="22"/>
          <w:lang w:val="es-ES_tradnl" w:eastAsia="en-GB"/>
        </w:rPr>
      </w:pPr>
      <w:r w:rsidRPr="00472D8E">
        <w:rPr>
          <w:rFonts w:ascii="Arial" w:eastAsiaTheme="minorHAnsi" w:hAnsi="Arial" w:cs="Arial"/>
          <w:sz w:val="22"/>
          <w:szCs w:val="22"/>
          <w:lang w:val="es-MX" w:eastAsia="en-US"/>
        </w:rPr>
        <w:t xml:space="preserve">Como se </w:t>
      </w:r>
      <w:r>
        <w:rPr>
          <w:rFonts w:ascii="Arial" w:eastAsiaTheme="minorHAnsi" w:hAnsi="Arial" w:cs="Arial"/>
          <w:sz w:val="22"/>
          <w:szCs w:val="22"/>
          <w:lang w:val="es-MX" w:eastAsia="en-US"/>
        </w:rPr>
        <w:t>observa</w:t>
      </w:r>
      <w:r w:rsidRPr="00472D8E">
        <w:rPr>
          <w:rFonts w:ascii="Arial" w:eastAsiaTheme="minorHAnsi" w:hAnsi="Arial" w:cs="Arial"/>
          <w:sz w:val="22"/>
          <w:szCs w:val="22"/>
          <w:lang w:val="es-MX" w:eastAsia="en-US"/>
        </w:rPr>
        <w:t xml:space="preserve">, el enfoque de esta redacción se caracterizó por determinar un Registro a nivel territorial de obras civiles inconclusas que se incorporaran en al Registro Nacional de Obras Inconclusas. Así mismo, establecía al </w:t>
      </w:r>
      <w:r w:rsidRPr="00472D8E">
        <w:rPr>
          <w:rFonts w:ascii="Arial" w:eastAsia="Calibri" w:hAnsi="Arial" w:cs="Arial"/>
          <w:color w:val="000000"/>
          <w:sz w:val="22"/>
          <w:szCs w:val="22"/>
          <w:lang w:val="es-ES_tradnl" w:eastAsia="en-GB"/>
        </w:rPr>
        <w:t xml:space="preserve">Departamento Nacional de Planeación, como la entidad encargada de consolidar la información suministrada por las entidades estatales. </w:t>
      </w:r>
    </w:p>
    <w:p w14:paraId="6BE0440F" w14:textId="77777777" w:rsidR="00466861" w:rsidRDefault="00466861" w:rsidP="00466861">
      <w:pPr>
        <w:spacing w:before="120" w:line="276" w:lineRule="auto"/>
        <w:ind w:firstLine="709"/>
        <w:jc w:val="both"/>
        <w:rPr>
          <w:rFonts w:ascii="Arial" w:eastAsia="Calibri" w:hAnsi="Arial" w:cs="Arial"/>
          <w:color w:val="000000"/>
          <w:sz w:val="22"/>
          <w:szCs w:val="22"/>
          <w:lang w:val="es-ES_tradnl" w:eastAsia="en-GB"/>
        </w:rPr>
      </w:pPr>
      <w:r w:rsidRPr="00472D8E">
        <w:rPr>
          <w:rFonts w:ascii="Arial" w:eastAsia="Calibri" w:hAnsi="Arial" w:cs="Arial"/>
          <w:color w:val="000000"/>
          <w:sz w:val="22"/>
          <w:szCs w:val="22"/>
          <w:lang w:val="es-ES_tradnl" w:eastAsia="en-GB"/>
        </w:rPr>
        <w:lastRenderedPageBreak/>
        <w:t>Posteriormente, la modificación del artículo supuso la inclusión de una obligación a cargo de las entidades estatales</w:t>
      </w:r>
      <w:r>
        <w:rPr>
          <w:rFonts w:ascii="Arial" w:eastAsia="Calibri" w:hAnsi="Arial" w:cs="Arial"/>
          <w:color w:val="000000"/>
          <w:sz w:val="22"/>
          <w:szCs w:val="22"/>
          <w:lang w:val="es-ES_tradnl" w:eastAsia="en-GB"/>
        </w:rPr>
        <w:t xml:space="preserve"> en su parágrafo segundo. Según esta versión, </w:t>
      </w:r>
      <w:r w:rsidRPr="00066821">
        <w:rPr>
          <w:rFonts w:ascii="Arial" w:hAnsi="Arial" w:cs="Arial"/>
          <w:sz w:val="22"/>
        </w:rPr>
        <w:t>«</w:t>
      </w:r>
      <w:r w:rsidRPr="001F512D">
        <w:rPr>
          <w:rFonts w:ascii="Arial" w:eastAsia="Calibri" w:hAnsi="Arial" w:cs="Arial"/>
          <w:color w:val="000000"/>
          <w:sz w:val="22"/>
          <w:szCs w:val="22"/>
          <w:lang w:val="es-ES_tradnl" w:eastAsia="en-GB"/>
        </w:rPr>
        <w:t>Las entidades de las que trata la presente ley, tendrán la obligación de consultar el registro de obras inconclusas antes de contratar obras públicas, con el fin de observar si los contratistas licitantes tienen antecedentes de incumplimiento</w:t>
      </w:r>
      <w:r w:rsidRPr="00066821">
        <w:rPr>
          <w:rFonts w:ascii="Arial" w:hAnsi="Arial" w:cs="Arial"/>
          <w:sz w:val="22"/>
        </w:rPr>
        <w:t>»</w:t>
      </w:r>
      <w:r>
        <w:rPr>
          <w:rStyle w:val="Refdenotaalpie"/>
          <w:rFonts w:ascii="Arial" w:eastAsia="Calibri" w:hAnsi="Arial" w:cs="Arial"/>
          <w:color w:val="000000"/>
          <w:sz w:val="22"/>
          <w:szCs w:val="22"/>
          <w:lang w:val="es-ES_tradnl" w:eastAsia="en-GB"/>
        </w:rPr>
        <w:footnoteReference w:id="17"/>
      </w:r>
      <w:r w:rsidRPr="001F512D">
        <w:rPr>
          <w:rFonts w:ascii="Arial" w:eastAsia="Calibri" w:hAnsi="Arial" w:cs="Arial"/>
          <w:color w:val="000000"/>
          <w:sz w:val="22"/>
          <w:szCs w:val="22"/>
          <w:lang w:val="es-ES_tradnl" w:eastAsia="en-GB"/>
        </w:rPr>
        <w:t>.</w:t>
      </w:r>
      <w:r>
        <w:rPr>
          <w:rFonts w:ascii="Arial" w:eastAsia="Calibri" w:hAnsi="Arial" w:cs="Arial"/>
          <w:color w:val="000000"/>
          <w:sz w:val="22"/>
          <w:szCs w:val="22"/>
          <w:lang w:val="es-ES_tradnl" w:eastAsia="en-GB"/>
        </w:rPr>
        <w:t xml:space="preserve"> Obsérvese que esta glosa comprende dos términos claves, </w:t>
      </w:r>
      <w:r w:rsidRPr="00066821">
        <w:rPr>
          <w:rFonts w:ascii="Arial" w:hAnsi="Arial" w:cs="Arial"/>
          <w:sz w:val="22"/>
        </w:rPr>
        <w:t>«</w:t>
      </w:r>
      <w:r>
        <w:rPr>
          <w:rFonts w:ascii="Arial" w:eastAsia="Calibri" w:hAnsi="Arial" w:cs="Arial"/>
          <w:color w:val="000000"/>
          <w:sz w:val="22"/>
          <w:szCs w:val="22"/>
          <w:lang w:val="es-ES_tradnl" w:eastAsia="en-GB"/>
        </w:rPr>
        <w:t>consultar</w:t>
      </w:r>
      <w:r w:rsidRPr="00066821">
        <w:rPr>
          <w:rFonts w:ascii="Arial" w:hAnsi="Arial" w:cs="Arial"/>
          <w:sz w:val="22"/>
        </w:rPr>
        <w:t>»</w:t>
      </w:r>
      <w:r>
        <w:rPr>
          <w:rFonts w:ascii="Arial" w:eastAsia="Calibri" w:hAnsi="Arial" w:cs="Arial"/>
          <w:color w:val="000000"/>
          <w:sz w:val="22"/>
          <w:szCs w:val="22"/>
          <w:lang w:val="es-ES_tradnl" w:eastAsia="en-GB"/>
        </w:rPr>
        <w:t xml:space="preserve"> e </w:t>
      </w:r>
      <w:r w:rsidRPr="00066821">
        <w:rPr>
          <w:rFonts w:ascii="Arial" w:hAnsi="Arial" w:cs="Arial"/>
          <w:sz w:val="22"/>
        </w:rPr>
        <w:t>«</w:t>
      </w:r>
      <w:r>
        <w:rPr>
          <w:rFonts w:ascii="Arial" w:eastAsia="Calibri" w:hAnsi="Arial" w:cs="Arial"/>
          <w:color w:val="000000"/>
          <w:sz w:val="22"/>
          <w:szCs w:val="22"/>
          <w:lang w:val="es-ES_tradnl" w:eastAsia="en-GB"/>
        </w:rPr>
        <w:t>incumplimiento</w:t>
      </w:r>
      <w:r w:rsidRPr="00066821">
        <w:rPr>
          <w:rFonts w:ascii="Arial" w:hAnsi="Arial" w:cs="Arial"/>
          <w:sz w:val="22"/>
        </w:rPr>
        <w:t>»</w:t>
      </w:r>
      <w:r>
        <w:rPr>
          <w:rFonts w:ascii="Arial" w:eastAsia="Calibri" w:hAnsi="Arial" w:cs="Arial"/>
          <w:color w:val="000000"/>
          <w:sz w:val="22"/>
          <w:szCs w:val="22"/>
          <w:lang w:val="es-ES_tradnl" w:eastAsia="en-GB"/>
        </w:rPr>
        <w:t>. Así, las entidades</w:t>
      </w:r>
      <w:r w:rsidRPr="00A467C4">
        <w:rPr>
          <w:rFonts w:ascii="Arial" w:eastAsia="Calibri" w:hAnsi="Arial" w:cs="Arial"/>
          <w:color w:val="000000"/>
          <w:sz w:val="22"/>
          <w:szCs w:val="22"/>
          <w:lang w:val="es-ES_tradnl" w:eastAsia="en-GB"/>
        </w:rPr>
        <w:t xml:space="preserve"> </w:t>
      </w:r>
      <w:r>
        <w:rPr>
          <w:rFonts w:ascii="Arial" w:eastAsia="Calibri" w:hAnsi="Arial" w:cs="Arial"/>
          <w:color w:val="000000"/>
          <w:sz w:val="22"/>
          <w:szCs w:val="22"/>
          <w:lang w:val="es-ES_tradnl" w:eastAsia="en-GB"/>
        </w:rPr>
        <w:t xml:space="preserve">antes de contratar obras </w:t>
      </w:r>
      <w:proofErr w:type="gramStart"/>
      <w:r>
        <w:rPr>
          <w:rFonts w:ascii="Arial" w:eastAsia="Calibri" w:hAnsi="Arial" w:cs="Arial"/>
          <w:color w:val="000000"/>
          <w:sz w:val="22"/>
          <w:szCs w:val="22"/>
          <w:lang w:val="es-ES_tradnl" w:eastAsia="en-GB"/>
        </w:rPr>
        <w:t>públicas,</w:t>
      </w:r>
      <w:proofErr w:type="gramEnd"/>
      <w:r>
        <w:rPr>
          <w:rFonts w:ascii="Arial" w:eastAsia="Calibri" w:hAnsi="Arial" w:cs="Arial"/>
          <w:color w:val="000000"/>
          <w:sz w:val="22"/>
          <w:szCs w:val="22"/>
          <w:lang w:val="es-ES_tradnl" w:eastAsia="en-GB"/>
        </w:rPr>
        <w:t xml:space="preserve"> debían consultar los incumplimientos de los contratistas en dicho registro, Sin embargo, no se estableció ninguna consecuencia jurídica. En ponencias siguientes, el parágrafo segundo del artículo 6 cambio radicalmente. Este aparte dispuso</w:t>
      </w:r>
      <w:r>
        <w:rPr>
          <w:rStyle w:val="Refdenotaalpie"/>
          <w:rFonts w:ascii="Arial" w:eastAsia="Calibri" w:hAnsi="Arial" w:cs="Arial"/>
          <w:color w:val="000000"/>
          <w:sz w:val="22"/>
          <w:szCs w:val="22"/>
          <w:lang w:val="es-ES_tradnl" w:eastAsia="en-GB"/>
        </w:rPr>
        <w:footnoteReference w:id="18"/>
      </w:r>
      <w:r>
        <w:rPr>
          <w:rFonts w:ascii="Arial" w:eastAsia="Calibri" w:hAnsi="Arial" w:cs="Arial"/>
          <w:color w:val="000000"/>
          <w:sz w:val="22"/>
          <w:szCs w:val="22"/>
          <w:lang w:val="es-ES_tradnl" w:eastAsia="en-GB"/>
        </w:rPr>
        <w:t>:</w:t>
      </w:r>
    </w:p>
    <w:p w14:paraId="159FDEAD" w14:textId="77777777" w:rsidR="00466861" w:rsidRPr="00EE6A1A" w:rsidRDefault="00466861" w:rsidP="00466861">
      <w:pPr>
        <w:spacing w:line="276" w:lineRule="auto"/>
        <w:ind w:firstLine="709"/>
        <w:jc w:val="both"/>
        <w:rPr>
          <w:rFonts w:ascii="Arial" w:eastAsia="Calibri" w:hAnsi="Arial" w:cs="Arial"/>
          <w:color w:val="000000"/>
          <w:sz w:val="22"/>
          <w:szCs w:val="22"/>
          <w:lang w:val="es-ES_tradnl" w:eastAsia="en-GB"/>
        </w:rPr>
      </w:pPr>
    </w:p>
    <w:p w14:paraId="312E43A1" w14:textId="77777777" w:rsidR="00466861" w:rsidRPr="00576233" w:rsidRDefault="00466861" w:rsidP="00466861">
      <w:pPr>
        <w:tabs>
          <w:tab w:val="left" w:pos="0"/>
        </w:tabs>
        <w:spacing w:after="120"/>
        <w:ind w:left="709" w:right="709"/>
        <w:jc w:val="both"/>
        <w:rPr>
          <w:rFonts w:ascii="Arial" w:eastAsia="Calibri" w:hAnsi="Arial" w:cs="Arial"/>
          <w:color w:val="000000"/>
          <w:sz w:val="21"/>
          <w:szCs w:val="21"/>
          <w:lang w:val="es-ES_tradnl" w:eastAsia="en-GB"/>
        </w:rPr>
      </w:pPr>
      <w:r w:rsidRPr="00576233">
        <w:rPr>
          <w:rFonts w:ascii="Arial" w:eastAsia="Calibri" w:hAnsi="Arial" w:cs="Arial"/>
          <w:color w:val="000000"/>
          <w:sz w:val="21"/>
          <w:szCs w:val="21"/>
          <w:lang w:val="es-ES_tradnl" w:eastAsia="en-GB"/>
        </w:rPr>
        <w:t xml:space="preserve">Parágrafo 2°. En los procesos de contratación de obras públicas que adelanten las entidades estatales, sin importar la cuantía, los contratistas e interventores deberán allegar la certificación virtual sobre las anotaciones que presenten en el Registro Nacional de Obras Civiles Inconclusas. </w:t>
      </w:r>
    </w:p>
    <w:p w14:paraId="56E5347B" w14:textId="77777777" w:rsidR="00466861" w:rsidRPr="00576233" w:rsidRDefault="00466861" w:rsidP="00466861">
      <w:pPr>
        <w:tabs>
          <w:tab w:val="left" w:pos="0"/>
        </w:tabs>
        <w:spacing w:after="120"/>
        <w:ind w:left="709" w:right="709"/>
        <w:jc w:val="both"/>
        <w:rPr>
          <w:rFonts w:ascii="Arial" w:eastAsia="Calibri" w:hAnsi="Arial" w:cs="Arial"/>
          <w:color w:val="000000"/>
          <w:sz w:val="21"/>
          <w:szCs w:val="21"/>
          <w:lang w:val="es-ES_tradnl" w:eastAsia="en-GB"/>
        </w:rPr>
      </w:pPr>
      <w:r w:rsidRPr="00576233">
        <w:rPr>
          <w:rFonts w:ascii="Arial" w:eastAsia="Calibri" w:hAnsi="Arial" w:cs="Arial"/>
          <w:color w:val="000000"/>
          <w:sz w:val="21"/>
          <w:szCs w:val="21"/>
          <w:lang w:val="es-ES_tradnl" w:eastAsia="en-GB"/>
        </w:rPr>
        <w:t>La entidad contratante tendrá en cuenta el</w:t>
      </w:r>
      <w:r w:rsidRPr="00576233">
        <w:rPr>
          <w:rFonts w:ascii="Arial" w:eastAsia="Calibri" w:hAnsi="Arial" w:cs="Arial"/>
          <w:b/>
          <w:color w:val="000000"/>
          <w:sz w:val="21"/>
          <w:szCs w:val="21"/>
          <w:lang w:val="es-ES_tradnl" w:eastAsia="en-GB"/>
        </w:rPr>
        <w:t xml:space="preserve"> </w:t>
      </w:r>
      <w:r w:rsidRPr="0081325C">
        <w:rPr>
          <w:rFonts w:ascii="Arial" w:eastAsia="Calibri" w:hAnsi="Arial" w:cs="Arial"/>
          <w:bCs/>
          <w:i/>
          <w:iCs/>
          <w:color w:val="000000"/>
          <w:sz w:val="21"/>
          <w:szCs w:val="21"/>
          <w:lang w:val="es-ES_tradnl" w:eastAsia="en-GB"/>
        </w:rPr>
        <w:t>cumplimiento</w:t>
      </w:r>
      <w:r w:rsidRPr="00576233">
        <w:rPr>
          <w:rFonts w:ascii="Arial" w:eastAsia="Calibri" w:hAnsi="Arial" w:cs="Arial"/>
          <w:color w:val="000000"/>
          <w:sz w:val="21"/>
          <w:szCs w:val="21"/>
          <w:lang w:val="es-ES_tradnl" w:eastAsia="en-GB"/>
        </w:rPr>
        <w:t xml:space="preserve"> de los contratistas licitantes, reflejado en el certificado allegado por los mismos y </w:t>
      </w:r>
      <w:r w:rsidRPr="0081325C">
        <w:rPr>
          <w:rFonts w:ascii="Arial" w:eastAsia="Calibri" w:hAnsi="Arial" w:cs="Arial"/>
          <w:bCs/>
          <w:i/>
          <w:iCs/>
          <w:color w:val="000000"/>
          <w:sz w:val="21"/>
          <w:szCs w:val="21"/>
          <w:lang w:val="es-ES_tradnl" w:eastAsia="en-GB"/>
        </w:rPr>
        <w:t>evaluarán</w:t>
      </w:r>
      <w:r w:rsidRPr="00576233">
        <w:rPr>
          <w:rFonts w:ascii="Arial" w:eastAsia="Calibri" w:hAnsi="Arial" w:cs="Arial"/>
          <w:color w:val="000000"/>
          <w:sz w:val="21"/>
          <w:szCs w:val="21"/>
          <w:lang w:val="es-ES_tradnl" w:eastAsia="en-GB"/>
        </w:rPr>
        <w:t xml:space="preserve"> sus antecedentes </w:t>
      </w:r>
      <w:proofErr w:type="gramStart"/>
      <w:r w:rsidRPr="00576233">
        <w:rPr>
          <w:rFonts w:ascii="Arial" w:eastAsia="Calibri" w:hAnsi="Arial" w:cs="Arial"/>
          <w:color w:val="000000"/>
          <w:sz w:val="21"/>
          <w:szCs w:val="21"/>
          <w:lang w:val="es-ES_tradnl" w:eastAsia="en-GB"/>
        </w:rPr>
        <w:t>de acuerdo a</w:t>
      </w:r>
      <w:proofErr w:type="gramEnd"/>
      <w:r w:rsidRPr="00576233">
        <w:rPr>
          <w:rFonts w:ascii="Arial" w:eastAsia="Calibri" w:hAnsi="Arial" w:cs="Arial"/>
          <w:color w:val="000000"/>
          <w:sz w:val="21"/>
          <w:szCs w:val="21"/>
          <w:lang w:val="es-ES_tradnl" w:eastAsia="en-GB"/>
        </w:rPr>
        <w:t xml:space="preserve"> la puntación que para ellos determine la Agencia Nacional de Contratación Pública Colombia Compra Eficiente esta última pondrá a disposición el recurso tecnológico para descargar el certificado del que habla el presente artículo y establecerá la vigencia del mismo. </w:t>
      </w:r>
    </w:p>
    <w:p w14:paraId="321B26FB" w14:textId="77777777" w:rsidR="00466861" w:rsidRPr="00576233" w:rsidRDefault="00466861" w:rsidP="00466861">
      <w:pPr>
        <w:tabs>
          <w:tab w:val="left" w:pos="0"/>
        </w:tabs>
        <w:ind w:left="709" w:right="709"/>
        <w:jc w:val="both"/>
        <w:rPr>
          <w:rFonts w:ascii="Arial" w:eastAsia="Calibri" w:hAnsi="Arial" w:cs="Arial"/>
          <w:color w:val="000000"/>
          <w:sz w:val="21"/>
          <w:szCs w:val="21"/>
          <w:lang w:val="es-ES_tradnl" w:eastAsia="en-GB"/>
        </w:rPr>
      </w:pPr>
      <w:r w:rsidRPr="00576233">
        <w:rPr>
          <w:rFonts w:ascii="Arial" w:eastAsia="Calibri" w:hAnsi="Arial" w:cs="Arial"/>
          <w:color w:val="000000"/>
          <w:sz w:val="21"/>
          <w:szCs w:val="21"/>
          <w:lang w:val="es-ES_tradnl" w:eastAsia="en-GB"/>
        </w:rPr>
        <w:t xml:space="preserve">El Ministerio de Hacienda y Crédito Público en un término de (6) meses contados a partir de la </w:t>
      </w:r>
      <w:proofErr w:type="gramStart"/>
      <w:r w:rsidRPr="00576233">
        <w:rPr>
          <w:rFonts w:ascii="Arial" w:eastAsia="Calibri" w:hAnsi="Arial" w:cs="Arial"/>
          <w:color w:val="000000"/>
          <w:sz w:val="21"/>
          <w:szCs w:val="21"/>
          <w:lang w:val="es-ES_tradnl" w:eastAsia="en-GB"/>
        </w:rPr>
        <w:t>entrada en vigencia</w:t>
      </w:r>
      <w:proofErr w:type="gramEnd"/>
      <w:r w:rsidRPr="00576233">
        <w:rPr>
          <w:rFonts w:ascii="Arial" w:eastAsia="Calibri" w:hAnsi="Arial" w:cs="Arial"/>
          <w:color w:val="000000"/>
          <w:sz w:val="21"/>
          <w:szCs w:val="21"/>
          <w:lang w:val="es-ES_tradnl" w:eastAsia="en-GB"/>
        </w:rPr>
        <w:t xml:space="preserve"> de la presente ley, reglamentará la tarifa a cobrar por el certificado.</w:t>
      </w:r>
      <w:r>
        <w:rPr>
          <w:rFonts w:ascii="Arial" w:eastAsia="Calibri" w:hAnsi="Arial" w:cs="Arial"/>
          <w:color w:val="000000"/>
          <w:sz w:val="21"/>
          <w:szCs w:val="21"/>
          <w:lang w:val="es-ES_tradnl" w:eastAsia="en-GB"/>
        </w:rPr>
        <w:t xml:space="preserve"> (Énfasis fuera de texto)</w:t>
      </w:r>
    </w:p>
    <w:p w14:paraId="56B32BEC" w14:textId="77777777" w:rsidR="00466861" w:rsidRDefault="00466861" w:rsidP="00466861">
      <w:pPr>
        <w:spacing w:line="276" w:lineRule="auto"/>
        <w:ind w:firstLine="709"/>
        <w:jc w:val="both"/>
        <w:rPr>
          <w:rFonts w:ascii="Arial" w:eastAsia="Calibri" w:hAnsi="Arial" w:cs="Arial"/>
          <w:color w:val="000000"/>
          <w:sz w:val="22"/>
          <w:szCs w:val="22"/>
          <w:lang w:val="es-ES_tradnl" w:eastAsia="en-GB"/>
        </w:rPr>
      </w:pPr>
    </w:p>
    <w:p w14:paraId="32A8D42D" w14:textId="77777777" w:rsidR="00466861" w:rsidRDefault="00466861" w:rsidP="00466861">
      <w:pPr>
        <w:spacing w:line="276" w:lineRule="auto"/>
        <w:ind w:firstLine="709"/>
        <w:jc w:val="both"/>
        <w:rPr>
          <w:rFonts w:ascii="Arial" w:eastAsia="Calibri" w:hAnsi="Arial" w:cs="Arial"/>
          <w:color w:val="000000"/>
          <w:sz w:val="22"/>
          <w:szCs w:val="22"/>
          <w:lang w:val="es-ES_tradnl" w:eastAsia="en-GB"/>
        </w:rPr>
      </w:pPr>
      <w:r>
        <w:rPr>
          <w:rFonts w:ascii="Arial" w:eastAsia="Calibri" w:hAnsi="Arial" w:cs="Arial"/>
          <w:color w:val="000000"/>
          <w:sz w:val="22"/>
          <w:szCs w:val="22"/>
          <w:lang w:val="es-ES_tradnl" w:eastAsia="en-GB"/>
        </w:rPr>
        <w:t xml:space="preserve">Tres (3) aspectos merecen la atención. Primero, establece un certificado virtual sobre anotaciones que los contratistas presenten en el registro; segundo, de dicho certificado se deberá tener en cuenta el cumplimiento de los contratistas; </w:t>
      </w:r>
      <w:proofErr w:type="gramStart"/>
      <w:r>
        <w:rPr>
          <w:rFonts w:ascii="Arial" w:eastAsia="Calibri" w:hAnsi="Arial" w:cs="Arial"/>
          <w:color w:val="000000"/>
          <w:sz w:val="22"/>
          <w:szCs w:val="22"/>
          <w:lang w:val="es-ES_tradnl" w:eastAsia="en-GB"/>
        </w:rPr>
        <w:t>y</w:t>
      </w:r>
      <w:proofErr w:type="gramEnd"/>
      <w:r>
        <w:rPr>
          <w:rFonts w:ascii="Arial" w:eastAsia="Calibri" w:hAnsi="Arial" w:cs="Arial"/>
          <w:color w:val="000000"/>
          <w:sz w:val="22"/>
          <w:szCs w:val="22"/>
          <w:lang w:val="es-ES_tradnl" w:eastAsia="en-GB"/>
        </w:rPr>
        <w:t xml:space="preserve"> por último, se evaluarán los antecedentes del contratista, de acuerdo a la puntuación que se determine. Según se evidencia, nuevamente el cumplimiento del contratista resulta relevante. En este caso, se le atribuye una consecuencia a tal cumplimiento, el cual se tendrá en cuenta para la puntuación en la evaluación de la oferta. </w:t>
      </w:r>
    </w:p>
    <w:p w14:paraId="11E09B37" w14:textId="77777777" w:rsidR="00466861" w:rsidRDefault="00466861" w:rsidP="00466861">
      <w:pPr>
        <w:spacing w:before="120" w:line="276" w:lineRule="auto"/>
        <w:ind w:firstLine="709"/>
        <w:jc w:val="both"/>
        <w:rPr>
          <w:rFonts w:ascii="Arial" w:eastAsia="Calibri" w:hAnsi="Arial" w:cs="Arial"/>
          <w:color w:val="000000"/>
          <w:sz w:val="22"/>
          <w:szCs w:val="22"/>
          <w:lang w:val="es-ES_tradnl" w:eastAsia="en-GB"/>
        </w:rPr>
      </w:pPr>
      <w:r>
        <w:rPr>
          <w:rFonts w:ascii="Arial" w:eastAsia="Calibri" w:hAnsi="Arial" w:cs="Arial"/>
          <w:color w:val="000000"/>
          <w:sz w:val="22"/>
          <w:szCs w:val="22"/>
          <w:lang w:val="es-ES_tradnl" w:eastAsia="en-GB"/>
        </w:rPr>
        <w:t xml:space="preserve">Así, el artículo 6 continúo en transformación y en particular, el parágrafo segundo. El texto siguiente eliminó la certificación virtual y en cambio determinó que </w:t>
      </w:r>
      <w:r w:rsidRPr="001D4141">
        <w:rPr>
          <w:rFonts w:ascii="Arial" w:eastAsia="Calibri" w:hAnsi="Arial" w:cs="Arial"/>
          <w:color w:val="000000"/>
          <w:sz w:val="22"/>
          <w:szCs w:val="22"/>
          <w:lang w:val="es-ES_tradnl" w:eastAsia="en-GB"/>
        </w:rPr>
        <w:t xml:space="preserve">las entidades contratantes en los pliegos de condiciones o sus equivalentes, </w:t>
      </w:r>
      <w:r w:rsidRPr="00066821">
        <w:rPr>
          <w:rFonts w:ascii="Arial" w:hAnsi="Arial" w:cs="Arial"/>
          <w:sz w:val="22"/>
        </w:rPr>
        <w:t>«</w:t>
      </w:r>
      <w:r w:rsidRPr="001D4141">
        <w:rPr>
          <w:rFonts w:ascii="Arial" w:eastAsia="Calibri" w:hAnsi="Arial" w:cs="Arial"/>
          <w:color w:val="000000"/>
          <w:sz w:val="22"/>
          <w:szCs w:val="22"/>
          <w:lang w:val="es-ES_tradnl" w:eastAsia="en-GB"/>
        </w:rPr>
        <w:t xml:space="preserve">deberán tener en cuenta y </w:t>
      </w:r>
      <w:r w:rsidRPr="001D4141">
        <w:rPr>
          <w:rFonts w:ascii="Arial" w:eastAsia="Calibri" w:hAnsi="Arial" w:cs="Arial"/>
          <w:color w:val="000000"/>
          <w:sz w:val="22"/>
          <w:szCs w:val="22"/>
          <w:lang w:val="es-ES_tradnl" w:eastAsia="en-GB"/>
        </w:rPr>
        <w:lastRenderedPageBreak/>
        <w:t>evaluar las anotaciones vigentes que presenten las personas naturales o jurídicas, nacionales o extranjeras domiciliadas o con sucursal en Colombia en el Registro Nacional de Obras Civiles Inconclusas, reseñadas en el Registro Único de Proponentes (RUP</w:t>
      </w:r>
      <w:proofErr w:type="gramStart"/>
      <w:r w:rsidRPr="001D4141">
        <w:rPr>
          <w:rFonts w:ascii="Arial" w:eastAsia="Calibri" w:hAnsi="Arial" w:cs="Arial"/>
          <w:color w:val="000000"/>
          <w:sz w:val="22"/>
          <w:szCs w:val="22"/>
          <w:lang w:val="es-ES_tradnl" w:eastAsia="en-GB"/>
        </w:rPr>
        <w:t>)</w:t>
      </w:r>
      <w:r w:rsidRPr="00066821">
        <w:rPr>
          <w:rFonts w:ascii="Arial" w:hAnsi="Arial" w:cs="Arial"/>
          <w:sz w:val="22"/>
        </w:rPr>
        <w:t xml:space="preserve"> »</w:t>
      </w:r>
      <w:proofErr w:type="gramEnd"/>
      <w:r w:rsidRPr="001D4141">
        <w:rPr>
          <w:rFonts w:ascii="Arial" w:eastAsia="Calibri" w:hAnsi="Arial" w:cs="Arial"/>
          <w:color w:val="000000"/>
          <w:sz w:val="22"/>
          <w:szCs w:val="22"/>
          <w:lang w:val="es-ES_tradnl" w:eastAsia="en-GB"/>
        </w:rPr>
        <w:t>.</w:t>
      </w:r>
      <w:r>
        <w:rPr>
          <w:rFonts w:ascii="Arial" w:eastAsia="Calibri" w:hAnsi="Arial" w:cs="Arial"/>
          <w:color w:val="000000"/>
          <w:sz w:val="22"/>
          <w:szCs w:val="22"/>
          <w:lang w:val="es-ES_tradnl" w:eastAsia="en-GB"/>
        </w:rPr>
        <w:t xml:space="preserve"> De igual manera, señaló que </w:t>
      </w:r>
      <w:r w:rsidRPr="00066821">
        <w:rPr>
          <w:rFonts w:ascii="Arial" w:hAnsi="Arial" w:cs="Arial"/>
          <w:sz w:val="22"/>
        </w:rPr>
        <w:t>«</w:t>
      </w:r>
      <w:r w:rsidRPr="001D4141">
        <w:rPr>
          <w:rFonts w:ascii="Arial" w:eastAsia="Calibri" w:hAnsi="Arial" w:cs="Arial"/>
          <w:color w:val="000000"/>
          <w:sz w:val="22"/>
          <w:szCs w:val="22"/>
          <w:lang w:val="es-ES_tradnl" w:eastAsia="en-GB"/>
        </w:rPr>
        <w:t>Durante los procesos de selección objetiva para contratistas de obra o interventores, se descontará hasta tres (3) por ciento de los puntos por cada anotación en los factores de ponderación de calidad, establecido en el literal a) del artículo 5° de la Ley 1150 de 2007 o la norma que la modifique</w:t>
      </w:r>
      <w:r w:rsidRPr="00066821">
        <w:rPr>
          <w:rFonts w:ascii="Arial" w:hAnsi="Arial" w:cs="Arial"/>
          <w:sz w:val="22"/>
        </w:rPr>
        <w:t>»</w:t>
      </w:r>
      <w:r>
        <w:rPr>
          <w:rStyle w:val="Refdenotaalpie"/>
          <w:rFonts w:ascii="Arial" w:eastAsia="Calibri" w:hAnsi="Arial" w:cs="Arial"/>
          <w:color w:val="000000"/>
          <w:sz w:val="22"/>
          <w:szCs w:val="22"/>
          <w:lang w:val="es-ES_tradnl" w:eastAsia="en-GB"/>
        </w:rPr>
        <w:footnoteReference w:id="19"/>
      </w:r>
      <w:r w:rsidRPr="001D4141">
        <w:rPr>
          <w:rFonts w:ascii="Arial" w:eastAsia="Calibri" w:hAnsi="Arial" w:cs="Arial"/>
          <w:color w:val="000000"/>
          <w:sz w:val="22"/>
          <w:szCs w:val="22"/>
          <w:lang w:val="es-ES_tradnl" w:eastAsia="en-GB"/>
        </w:rPr>
        <w:t>.</w:t>
      </w:r>
    </w:p>
    <w:p w14:paraId="70AF50CA" w14:textId="77777777" w:rsidR="00466861" w:rsidRDefault="00466861" w:rsidP="00466861">
      <w:pPr>
        <w:spacing w:before="120" w:line="276" w:lineRule="auto"/>
        <w:ind w:firstLine="709"/>
        <w:jc w:val="both"/>
        <w:rPr>
          <w:rFonts w:ascii="Arial" w:eastAsia="Calibri" w:hAnsi="Arial" w:cs="Arial"/>
          <w:color w:val="000000"/>
          <w:sz w:val="22"/>
          <w:szCs w:val="22"/>
          <w:lang w:val="es-ES_tradnl" w:eastAsia="en-GB"/>
        </w:rPr>
      </w:pPr>
      <w:r>
        <w:rPr>
          <w:rFonts w:ascii="Arial" w:eastAsia="Calibri" w:hAnsi="Arial" w:cs="Arial"/>
          <w:color w:val="000000"/>
          <w:sz w:val="22"/>
          <w:szCs w:val="22"/>
          <w:lang w:val="es-ES_tradnl" w:eastAsia="en-GB"/>
        </w:rPr>
        <w:t xml:space="preserve">Como se evidencia, la versión en este punto se centró en las anotaciones que presenten </w:t>
      </w:r>
      <w:r w:rsidRPr="001D4141">
        <w:rPr>
          <w:rFonts w:ascii="Arial" w:eastAsia="Calibri" w:hAnsi="Arial" w:cs="Arial"/>
          <w:color w:val="000000"/>
          <w:sz w:val="22"/>
          <w:szCs w:val="22"/>
          <w:lang w:val="es-ES_tradnl" w:eastAsia="en-GB"/>
        </w:rPr>
        <w:t>las personas naturales o jurídicas, nacionales o extranjeras domiciliadas o con sucursal en Colombia en el Registro Nacional de Obras Civiles Inconclusas</w:t>
      </w:r>
      <w:r>
        <w:rPr>
          <w:rFonts w:ascii="Arial" w:eastAsia="Calibri" w:hAnsi="Arial" w:cs="Arial"/>
          <w:color w:val="000000"/>
          <w:sz w:val="22"/>
          <w:szCs w:val="22"/>
          <w:lang w:val="es-ES_tradnl" w:eastAsia="en-GB"/>
        </w:rPr>
        <w:t>.</w:t>
      </w:r>
      <w:r w:rsidRPr="009153F6">
        <w:rPr>
          <w:rFonts w:ascii="Arial" w:eastAsia="Calibri" w:hAnsi="Arial" w:cs="Arial"/>
          <w:color w:val="000000"/>
          <w:sz w:val="22"/>
          <w:szCs w:val="22"/>
          <w:lang w:val="es-ES_tradnl" w:eastAsia="en-GB"/>
        </w:rPr>
        <w:t xml:space="preserve"> </w:t>
      </w:r>
      <w:r>
        <w:rPr>
          <w:rFonts w:ascii="Arial" w:eastAsia="Calibri" w:hAnsi="Arial" w:cs="Arial"/>
          <w:color w:val="000000"/>
          <w:sz w:val="22"/>
          <w:szCs w:val="22"/>
          <w:lang w:val="es-ES_tradnl" w:eastAsia="en-GB"/>
        </w:rPr>
        <w:t xml:space="preserve">La consecuencia jurídica era aparentemente clara, por cada anotación se descontaría 3% de los puntos </w:t>
      </w:r>
      <w:r w:rsidRPr="001D4141">
        <w:rPr>
          <w:rFonts w:ascii="Arial" w:eastAsia="Calibri" w:hAnsi="Arial" w:cs="Arial"/>
          <w:color w:val="000000"/>
          <w:sz w:val="22"/>
          <w:szCs w:val="22"/>
          <w:lang w:val="es-ES_tradnl" w:eastAsia="en-GB"/>
        </w:rPr>
        <w:t>en los fac</w:t>
      </w:r>
      <w:r>
        <w:rPr>
          <w:rFonts w:ascii="Arial" w:eastAsia="Calibri" w:hAnsi="Arial" w:cs="Arial"/>
          <w:color w:val="000000"/>
          <w:sz w:val="22"/>
          <w:szCs w:val="22"/>
          <w:lang w:val="es-ES_tradnl" w:eastAsia="en-GB"/>
        </w:rPr>
        <w:t xml:space="preserve">tores de ponderación de calidad. No obstante, lo expuesto no se consideró suficiente. Por tanto, en ponencias siguientes el artículo fue modificado completamente. Se eliminaron los parágrafos y el artículo quedó compuesto por dos párrafos, de la siguiente manera: </w:t>
      </w:r>
    </w:p>
    <w:p w14:paraId="10BB3DFC" w14:textId="77777777" w:rsidR="00466861" w:rsidRDefault="00466861" w:rsidP="00466861">
      <w:pPr>
        <w:spacing w:line="276" w:lineRule="auto"/>
        <w:ind w:firstLine="709"/>
        <w:jc w:val="both"/>
        <w:rPr>
          <w:rFonts w:ascii="Arial" w:eastAsia="Calibri" w:hAnsi="Arial" w:cs="Arial"/>
          <w:color w:val="000000"/>
          <w:sz w:val="22"/>
          <w:szCs w:val="22"/>
          <w:lang w:val="es-ES_tradnl" w:eastAsia="en-GB"/>
        </w:rPr>
      </w:pPr>
    </w:p>
    <w:p w14:paraId="7A45B5E6" w14:textId="77777777" w:rsidR="00466861" w:rsidRPr="00380576" w:rsidRDefault="00466861" w:rsidP="00466861">
      <w:pPr>
        <w:tabs>
          <w:tab w:val="left" w:pos="0"/>
        </w:tabs>
        <w:spacing w:after="120"/>
        <w:ind w:left="709" w:right="709"/>
        <w:jc w:val="both"/>
        <w:rPr>
          <w:rFonts w:ascii="Arial" w:eastAsia="Calibri" w:hAnsi="Arial" w:cs="Arial"/>
          <w:color w:val="000000"/>
          <w:sz w:val="21"/>
          <w:szCs w:val="21"/>
          <w:lang w:val="es-ES_tradnl" w:eastAsia="en-GB"/>
        </w:rPr>
      </w:pPr>
      <w:r w:rsidRPr="00380576">
        <w:rPr>
          <w:rFonts w:ascii="Arial" w:eastAsia="Calibri" w:hAnsi="Arial" w:cs="Arial"/>
          <w:color w:val="000000"/>
          <w:sz w:val="21"/>
          <w:szCs w:val="21"/>
          <w:lang w:val="es-ES_tradnl" w:eastAsia="en-GB"/>
        </w:rPr>
        <w:t xml:space="preserve">Artículo 6°. Actuaciones. En los procesos de contratación de obras públicas que adelanten las entidades estatales contratantes, sin importar la cuantía, deberán consultar y analizar las anotaciones vigentes que presenten las personas naturales o jurídicas, nacionales o extranjeras domiciliadas o con sucursal en Colombia, en el Registro Nacional de Obras Civiles Inconclusas. </w:t>
      </w:r>
    </w:p>
    <w:p w14:paraId="5F603216" w14:textId="77777777" w:rsidR="00466861" w:rsidRDefault="00466861" w:rsidP="00466861">
      <w:pPr>
        <w:tabs>
          <w:tab w:val="left" w:pos="0"/>
        </w:tabs>
        <w:ind w:left="709" w:right="709"/>
        <w:jc w:val="both"/>
        <w:rPr>
          <w:rFonts w:ascii="Arial" w:eastAsia="Calibri" w:hAnsi="Arial" w:cs="Arial"/>
          <w:color w:val="000000"/>
          <w:sz w:val="21"/>
          <w:szCs w:val="21"/>
          <w:lang w:val="es-ES_tradnl" w:eastAsia="en-GB"/>
        </w:rPr>
      </w:pPr>
      <w:r w:rsidRPr="00380576">
        <w:rPr>
          <w:rFonts w:ascii="Arial" w:eastAsia="Calibri" w:hAnsi="Arial" w:cs="Arial"/>
          <w:color w:val="000000"/>
          <w:sz w:val="21"/>
          <w:szCs w:val="21"/>
          <w:lang w:val="es-ES_tradnl" w:eastAsia="en-GB"/>
        </w:rPr>
        <w:t>Durante los procesos de selección objetiva para contratistas de obra o interventores, se descontará hasta tres (3) por ciento de los puntos por cada anotación en el Registro Nacional de Obras Civiles Inconclusas, por causas imputables a ellos, en los factores de ponderación de calidad, establecido en el literal a) del artículo 5° de la Ley 1150 de 2007 o la norma que la modifique</w:t>
      </w:r>
      <w:r>
        <w:rPr>
          <w:rStyle w:val="Refdenotaalpie"/>
          <w:rFonts w:ascii="Arial" w:eastAsia="Calibri" w:hAnsi="Arial" w:cs="Arial"/>
          <w:color w:val="000000"/>
          <w:sz w:val="22"/>
          <w:szCs w:val="22"/>
          <w:lang w:val="es-ES_tradnl" w:eastAsia="en-GB"/>
        </w:rPr>
        <w:footnoteReference w:id="20"/>
      </w:r>
      <w:r w:rsidRPr="00380576">
        <w:rPr>
          <w:rFonts w:ascii="Arial" w:eastAsia="Calibri" w:hAnsi="Arial" w:cs="Arial"/>
          <w:color w:val="000000"/>
          <w:sz w:val="21"/>
          <w:szCs w:val="21"/>
          <w:lang w:val="es-ES_tradnl" w:eastAsia="en-GB"/>
        </w:rPr>
        <w:t>.</w:t>
      </w:r>
    </w:p>
    <w:p w14:paraId="086E67D0" w14:textId="77777777" w:rsidR="00466861" w:rsidRDefault="00466861" w:rsidP="00466861">
      <w:pPr>
        <w:tabs>
          <w:tab w:val="left" w:pos="0"/>
        </w:tabs>
        <w:spacing w:line="276" w:lineRule="auto"/>
        <w:ind w:left="709" w:right="709"/>
        <w:jc w:val="both"/>
        <w:rPr>
          <w:rFonts w:ascii="Arial" w:eastAsia="Calibri" w:hAnsi="Arial" w:cs="Arial"/>
          <w:color w:val="000000"/>
          <w:sz w:val="21"/>
          <w:szCs w:val="21"/>
          <w:lang w:val="es-ES_tradnl" w:eastAsia="en-GB"/>
        </w:rPr>
      </w:pPr>
    </w:p>
    <w:p w14:paraId="0E9146AB" w14:textId="77777777" w:rsidR="00466861" w:rsidRDefault="00466861" w:rsidP="00466861">
      <w:pPr>
        <w:spacing w:line="276" w:lineRule="auto"/>
        <w:ind w:firstLine="709"/>
        <w:jc w:val="both"/>
        <w:rPr>
          <w:rFonts w:ascii="Arial" w:eastAsia="Calibri" w:hAnsi="Arial" w:cs="Arial"/>
          <w:color w:val="000000"/>
          <w:sz w:val="22"/>
          <w:szCs w:val="22"/>
          <w:lang w:val="es-ES_tradnl" w:eastAsia="en-GB"/>
        </w:rPr>
      </w:pPr>
      <w:r w:rsidRPr="00266CB5">
        <w:rPr>
          <w:rFonts w:ascii="Arial" w:eastAsia="Calibri" w:hAnsi="Arial" w:cs="Arial"/>
          <w:color w:val="000000"/>
          <w:sz w:val="22"/>
          <w:szCs w:val="22"/>
          <w:lang w:val="es-ES_tradnl" w:eastAsia="en-GB"/>
        </w:rPr>
        <w:t>En esta versión se incluye</w:t>
      </w:r>
      <w:r>
        <w:rPr>
          <w:rFonts w:ascii="Arial" w:eastAsia="Calibri" w:hAnsi="Arial" w:cs="Arial"/>
          <w:color w:val="000000"/>
          <w:sz w:val="22"/>
          <w:szCs w:val="22"/>
          <w:lang w:val="es-ES_tradnl" w:eastAsia="en-GB"/>
        </w:rPr>
        <w:t>ro</w:t>
      </w:r>
      <w:r w:rsidRPr="00266CB5">
        <w:rPr>
          <w:rFonts w:ascii="Arial" w:eastAsia="Calibri" w:hAnsi="Arial" w:cs="Arial"/>
          <w:color w:val="000000"/>
          <w:sz w:val="22"/>
          <w:szCs w:val="22"/>
          <w:lang w:val="es-ES_tradnl" w:eastAsia="en-GB"/>
        </w:rPr>
        <w:t xml:space="preserve">n los vocablos </w:t>
      </w:r>
      <w:r w:rsidRPr="00266CB5">
        <w:rPr>
          <w:rFonts w:ascii="Arial" w:hAnsi="Arial" w:cs="Arial"/>
          <w:sz w:val="22"/>
          <w:szCs w:val="22"/>
        </w:rPr>
        <w:t>«</w:t>
      </w:r>
      <w:r w:rsidRPr="00266CB5">
        <w:rPr>
          <w:rFonts w:ascii="Arial" w:eastAsia="Calibri" w:hAnsi="Arial" w:cs="Arial"/>
          <w:color w:val="000000"/>
          <w:sz w:val="22"/>
          <w:szCs w:val="22"/>
          <w:lang w:val="es-ES_tradnl" w:eastAsia="en-GB"/>
        </w:rPr>
        <w:t>consultar y analizar</w:t>
      </w:r>
      <w:r w:rsidRPr="00266CB5">
        <w:rPr>
          <w:rFonts w:ascii="Arial" w:hAnsi="Arial" w:cs="Arial"/>
          <w:sz w:val="22"/>
          <w:szCs w:val="22"/>
        </w:rPr>
        <w:t xml:space="preserve">» para efectos de las anotaciones </w:t>
      </w:r>
      <w:r w:rsidRPr="00266CB5">
        <w:rPr>
          <w:rFonts w:ascii="Arial" w:eastAsia="Calibri" w:hAnsi="Arial" w:cs="Arial"/>
          <w:color w:val="000000"/>
          <w:sz w:val="22"/>
          <w:szCs w:val="22"/>
          <w:lang w:val="es-ES_tradnl" w:eastAsia="en-GB"/>
        </w:rPr>
        <w:t xml:space="preserve">vigentes que presenten las personas naturales o jurídicas, nacionales o extranjeras domiciliadas o con sucursal en Colombia, en el Registro Nacional de Obras Civiles Inconclusas. </w:t>
      </w:r>
      <w:r>
        <w:rPr>
          <w:rFonts w:ascii="Arial" w:eastAsia="Calibri" w:hAnsi="Arial" w:cs="Arial"/>
          <w:color w:val="000000"/>
          <w:sz w:val="22"/>
          <w:szCs w:val="22"/>
          <w:lang w:val="es-ES_tradnl" w:eastAsia="en-GB"/>
        </w:rPr>
        <w:t>Se resalta</w:t>
      </w:r>
      <w:r w:rsidRPr="00266CB5">
        <w:rPr>
          <w:rFonts w:ascii="Arial" w:eastAsia="Calibri" w:hAnsi="Arial" w:cs="Arial"/>
          <w:color w:val="000000"/>
          <w:sz w:val="22"/>
          <w:szCs w:val="22"/>
          <w:lang w:val="es-ES_tradnl" w:eastAsia="en-GB"/>
        </w:rPr>
        <w:t xml:space="preserve"> la consecuencia</w:t>
      </w:r>
      <w:r>
        <w:rPr>
          <w:rFonts w:ascii="Arial" w:eastAsia="Calibri" w:hAnsi="Arial" w:cs="Arial"/>
          <w:color w:val="000000"/>
          <w:sz w:val="22"/>
          <w:szCs w:val="22"/>
          <w:lang w:val="es-ES_tradnl" w:eastAsia="en-GB"/>
        </w:rPr>
        <w:t xml:space="preserve"> que le atribuye el artículo a las anotaciones en el Registro. De esta manera, el descuento de hasta 3% de los puntos en los factores de ponderación se realiza si la anotación es por causas imputables a ellos. </w:t>
      </w:r>
    </w:p>
    <w:p w14:paraId="7650D91F" w14:textId="77777777" w:rsidR="00466861" w:rsidRDefault="00466861" w:rsidP="00466861">
      <w:pPr>
        <w:spacing w:before="120" w:line="276" w:lineRule="auto"/>
        <w:ind w:firstLine="709"/>
        <w:jc w:val="both"/>
        <w:rPr>
          <w:rFonts w:ascii="Arial" w:eastAsia="Calibri" w:hAnsi="Arial" w:cs="Arial"/>
          <w:color w:val="000000"/>
          <w:sz w:val="22"/>
          <w:szCs w:val="22"/>
          <w:lang w:eastAsia="en-GB"/>
        </w:rPr>
      </w:pPr>
      <w:r>
        <w:rPr>
          <w:rFonts w:ascii="Arial" w:eastAsia="Calibri" w:hAnsi="Arial" w:cs="Arial"/>
          <w:color w:val="000000"/>
          <w:sz w:val="22"/>
          <w:szCs w:val="22"/>
          <w:lang w:val="es-ES_tradnl" w:eastAsia="en-GB"/>
        </w:rPr>
        <w:t xml:space="preserve">Vale la pena destacar, los comentarios que se realizaron en esta ponencia, en relación con la modificación efectuada. Según se indicó </w:t>
      </w:r>
      <w:r w:rsidRPr="00066821">
        <w:rPr>
          <w:rFonts w:ascii="Arial" w:hAnsi="Arial" w:cs="Arial"/>
          <w:sz w:val="22"/>
        </w:rPr>
        <w:t>«</w:t>
      </w:r>
      <w:r w:rsidRPr="005F730E">
        <w:rPr>
          <w:rFonts w:ascii="Arial" w:eastAsia="Calibri" w:hAnsi="Arial" w:cs="Arial"/>
          <w:color w:val="000000"/>
          <w:sz w:val="22"/>
          <w:szCs w:val="22"/>
          <w:lang w:eastAsia="en-GB"/>
        </w:rPr>
        <w:t xml:space="preserve">Se revisa la viabilidad jurídica de </w:t>
      </w:r>
      <w:r w:rsidRPr="005F730E">
        <w:rPr>
          <w:rFonts w:ascii="Arial" w:eastAsia="Calibri" w:hAnsi="Arial" w:cs="Arial"/>
          <w:color w:val="000000"/>
          <w:sz w:val="22"/>
          <w:szCs w:val="22"/>
          <w:lang w:eastAsia="en-GB"/>
        </w:rPr>
        <w:lastRenderedPageBreak/>
        <w:t>incluir la anotación en el registro como factor a evaluar de conformidad con las previsiones del estatuto contractual y teniendo en cuenta que no toda inclusión en el registro es imputable al contratista y se puede incurrir en vicio de constitucionalidad</w:t>
      </w:r>
      <w:r w:rsidRPr="00066821">
        <w:rPr>
          <w:rFonts w:ascii="Arial" w:hAnsi="Arial" w:cs="Arial"/>
          <w:sz w:val="22"/>
        </w:rPr>
        <w:t>»</w:t>
      </w:r>
      <w:r w:rsidRPr="005F730E">
        <w:rPr>
          <w:rFonts w:ascii="Arial" w:eastAsia="Calibri" w:hAnsi="Arial" w:cs="Arial"/>
          <w:color w:val="000000"/>
          <w:sz w:val="22"/>
          <w:szCs w:val="22"/>
          <w:lang w:eastAsia="en-GB"/>
        </w:rPr>
        <w:t>.</w:t>
      </w:r>
    </w:p>
    <w:p w14:paraId="16A673A6" w14:textId="77777777" w:rsidR="00466861" w:rsidRPr="00AD46A2" w:rsidRDefault="00466861" w:rsidP="00466861">
      <w:pPr>
        <w:spacing w:before="120" w:line="276" w:lineRule="auto"/>
        <w:ind w:firstLine="709"/>
        <w:jc w:val="both"/>
        <w:rPr>
          <w:rFonts w:ascii="Arial" w:eastAsia="Calibri" w:hAnsi="Arial" w:cs="Arial"/>
          <w:color w:val="000000"/>
          <w:sz w:val="22"/>
          <w:szCs w:val="22"/>
          <w:lang w:eastAsia="en-GB"/>
        </w:rPr>
      </w:pPr>
      <w:r>
        <w:rPr>
          <w:rFonts w:ascii="Arial" w:eastAsia="Calibri" w:hAnsi="Arial" w:cs="Arial"/>
          <w:color w:val="000000"/>
          <w:sz w:val="22"/>
          <w:szCs w:val="22"/>
          <w:lang w:eastAsia="en-GB"/>
        </w:rPr>
        <w:t xml:space="preserve">De lo expuesto se puede concluir lo siguiente: i) para el legislador es claro que  no toda anotación en el Registro Nacional de Obras Civiles Inconclusa corresponde a una causa atribuible al contratista; </w:t>
      </w:r>
      <w:proofErr w:type="spellStart"/>
      <w:r>
        <w:rPr>
          <w:rFonts w:ascii="Arial" w:eastAsia="Calibri" w:hAnsi="Arial" w:cs="Arial"/>
          <w:color w:val="000000"/>
          <w:sz w:val="22"/>
          <w:szCs w:val="22"/>
          <w:lang w:eastAsia="en-GB"/>
        </w:rPr>
        <w:t>ii</w:t>
      </w:r>
      <w:proofErr w:type="spellEnd"/>
      <w:r>
        <w:rPr>
          <w:rFonts w:ascii="Arial" w:eastAsia="Calibri" w:hAnsi="Arial" w:cs="Arial"/>
          <w:color w:val="000000"/>
          <w:sz w:val="22"/>
          <w:szCs w:val="22"/>
          <w:lang w:eastAsia="en-GB"/>
        </w:rPr>
        <w:t>) e</w:t>
      </w:r>
      <w:r w:rsidRPr="00AD46A2">
        <w:rPr>
          <w:rFonts w:ascii="Arial" w:eastAsia="Calibri" w:hAnsi="Arial" w:cs="Arial"/>
          <w:color w:val="000000"/>
          <w:sz w:val="22"/>
          <w:szCs w:val="22"/>
          <w:lang w:eastAsia="en-GB"/>
        </w:rPr>
        <w:t>n los procesos de contratación de obras públicas que adelanten las entidades estatales contratantes</w:t>
      </w:r>
      <w:r>
        <w:rPr>
          <w:rFonts w:ascii="Arial" w:eastAsia="Calibri" w:hAnsi="Arial" w:cs="Arial"/>
          <w:color w:val="000000"/>
          <w:sz w:val="22"/>
          <w:szCs w:val="22"/>
          <w:lang w:eastAsia="en-GB"/>
        </w:rPr>
        <w:t xml:space="preserve">, las anotaciones en el registro deberán consultarse y analizarse; y </w:t>
      </w:r>
      <w:proofErr w:type="spellStart"/>
      <w:r>
        <w:rPr>
          <w:rFonts w:ascii="Arial" w:eastAsia="Calibri" w:hAnsi="Arial" w:cs="Arial"/>
          <w:color w:val="000000"/>
          <w:sz w:val="22"/>
          <w:szCs w:val="22"/>
          <w:lang w:eastAsia="en-GB"/>
        </w:rPr>
        <w:t>iii</w:t>
      </w:r>
      <w:proofErr w:type="spellEnd"/>
      <w:r>
        <w:rPr>
          <w:rFonts w:ascii="Arial" w:eastAsia="Calibri" w:hAnsi="Arial" w:cs="Arial"/>
          <w:color w:val="000000"/>
          <w:sz w:val="22"/>
          <w:szCs w:val="22"/>
          <w:lang w:eastAsia="en-GB"/>
        </w:rPr>
        <w:t xml:space="preserve">) cuando en la anotación se evidencie una causa atribuible al contratista se descontará un porcentaje de los puntos en los factores de ponderación de calidad. Este punto guarda coherencia con las diferentes redacciones del artículo 6, de las cuales se acentúa el especial énfasis al incumplimiento del contratista. </w:t>
      </w:r>
    </w:p>
    <w:p w14:paraId="0AAF64AD" w14:textId="77777777" w:rsidR="00466861" w:rsidRDefault="00466861" w:rsidP="00466861">
      <w:pPr>
        <w:spacing w:before="120" w:line="276" w:lineRule="auto"/>
        <w:ind w:firstLine="709"/>
        <w:jc w:val="both"/>
        <w:rPr>
          <w:rFonts w:ascii="Arial" w:eastAsia="Calibri" w:hAnsi="Arial" w:cs="Arial"/>
          <w:color w:val="000000"/>
          <w:sz w:val="22"/>
          <w:szCs w:val="22"/>
          <w:lang w:val="es-ES_tradnl" w:eastAsia="en-GB"/>
        </w:rPr>
      </w:pPr>
      <w:r>
        <w:rPr>
          <w:rFonts w:ascii="Arial" w:eastAsia="Calibri" w:hAnsi="Arial" w:cs="Arial"/>
          <w:color w:val="000000"/>
          <w:sz w:val="22"/>
          <w:szCs w:val="22"/>
          <w:lang w:val="es-ES_tradnl" w:eastAsia="en-GB"/>
        </w:rPr>
        <w:t xml:space="preserve">Finalmente, la versión actual del artículo 6 de la Ley 2020 de 2020 conserva el párrafo primero de manera idéntica a la redacción anterior. Modifica el párrafo segundo, dejando abierta el método o la forma en la cual se tendrá en cuenta las anotaciones en el registro al momento de evaluar los factores de ponderación de calidad. Además, agrega un párrafo relacionado con las controversias que surjan respecto de los reportes de la información que suministre la entidad contratante. </w:t>
      </w:r>
    </w:p>
    <w:p w14:paraId="05B5EB43" w14:textId="77777777" w:rsidR="00466861" w:rsidRDefault="00466861" w:rsidP="00466861">
      <w:pPr>
        <w:spacing w:before="120" w:line="276" w:lineRule="auto"/>
        <w:ind w:firstLine="709"/>
        <w:jc w:val="both"/>
        <w:rPr>
          <w:rFonts w:ascii="Arial" w:eastAsiaTheme="minorHAnsi" w:hAnsi="Arial" w:cs="Arial"/>
          <w:sz w:val="22"/>
          <w:szCs w:val="22"/>
          <w:lang w:val="es-MX" w:eastAsia="en-US"/>
        </w:rPr>
      </w:pPr>
      <w:r>
        <w:rPr>
          <w:rFonts w:ascii="Arial" w:eastAsia="Calibri" w:hAnsi="Arial" w:cs="Arial"/>
          <w:color w:val="000000"/>
          <w:sz w:val="22"/>
          <w:szCs w:val="22"/>
          <w:lang w:val="es-ES_tradnl" w:eastAsia="en-GB"/>
        </w:rPr>
        <w:t xml:space="preserve">En este orden de ideas, atendiendo los antecedentes legislativos del artículo 6 de la Ley 2020 de 2020 anteriormente expuestos, se precisa que el descuento del punto </w:t>
      </w:r>
      <w:r w:rsidRPr="001C6407">
        <w:rPr>
          <w:rFonts w:ascii="Arial" w:eastAsia="Calibri" w:hAnsi="Arial" w:cs="Arial"/>
          <w:color w:val="000000"/>
          <w:sz w:val="22"/>
          <w:szCs w:val="22"/>
          <w:lang w:val="es-ES_tradnl" w:eastAsia="en-GB"/>
        </w:rPr>
        <w:t>de la sumatoria obtenida en re</w:t>
      </w:r>
      <w:r>
        <w:rPr>
          <w:rFonts w:ascii="Arial" w:eastAsia="Calibri" w:hAnsi="Arial" w:cs="Arial"/>
          <w:color w:val="000000"/>
          <w:sz w:val="22"/>
          <w:szCs w:val="22"/>
          <w:lang w:val="es-ES_tradnl" w:eastAsia="en-GB"/>
        </w:rPr>
        <w:t xml:space="preserve">lación con el factor de calidad, del que trata el texto de los documentos base adoptados por la Agencia Nacional de Contratación Pública – Colombia Compra Eficiente, deberá efectuarse una vez la entidad realice la consulta y el análisis de las anotaciones en el Registro Nacional de Obras Civiles Inconclusas y determine </w:t>
      </w:r>
      <w:r>
        <w:rPr>
          <w:rFonts w:ascii="Arial" w:eastAsiaTheme="minorHAnsi" w:hAnsi="Arial" w:cs="Arial"/>
          <w:sz w:val="22"/>
          <w:szCs w:val="22"/>
          <w:lang w:val="es-MX" w:eastAsia="en-US"/>
        </w:rPr>
        <w:t xml:space="preserve">si esa anotación se dio por un incumplimiento del contratista. De esta manera, dependiendo del supuesto la entidad descontará el punto. </w:t>
      </w:r>
    </w:p>
    <w:p w14:paraId="2F0F1579" w14:textId="77777777" w:rsidR="00466861" w:rsidRDefault="00466861" w:rsidP="00466861">
      <w:pPr>
        <w:spacing w:before="120" w:line="276" w:lineRule="auto"/>
        <w:ind w:firstLine="709"/>
        <w:jc w:val="both"/>
        <w:rPr>
          <w:rFonts w:ascii="Arial" w:eastAsiaTheme="minorHAnsi" w:hAnsi="Arial" w:cs="Arial"/>
          <w:sz w:val="22"/>
          <w:szCs w:val="22"/>
          <w:lang w:val="es-MX" w:eastAsia="en-US"/>
        </w:rPr>
      </w:pPr>
      <w:r>
        <w:rPr>
          <w:rFonts w:ascii="Arial" w:eastAsiaTheme="minorHAnsi" w:hAnsi="Arial" w:cs="Arial"/>
          <w:sz w:val="22"/>
          <w:szCs w:val="22"/>
          <w:lang w:val="es-MX" w:eastAsia="en-US"/>
        </w:rPr>
        <w:t xml:space="preserve">En este escenario, es pertinente aclarar que el simple hecho de encontrarse incluido en el Registro Nacional de Obras Civiles Inconclusas no da lugar a descontar el punto señalado. En otras palabras, la anotación en el registro no genera automáticamente el descuento del punto. Ello es así, por cuanto los efectos de encontrarse en dicho registro no pueden ser considerados objetivos. </w:t>
      </w:r>
    </w:p>
    <w:p w14:paraId="70B79C45" w14:textId="77777777" w:rsidR="00466861" w:rsidRDefault="00466861" w:rsidP="00466861">
      <w:pPr>
        <w:spacing w:before="120" w:line="276" w:lineRule="auto"/>
        <w:ind w:firstLine="709"/>
        <w:jc w:val="both"/>
        <w:rPr>
          <w:rFonts w:ascii="Arial" w:eastAsia="Calibri" w:hAnsi="Arial" w:cs="Arial"/>
          <w:color w:val="000000"/>
          <w:sz w:val="22"/>
          <w:lang w:val="es-ES_tradnl" w:eastAsia="en-GB"/>
        </w:rPr>
      </w:pPr>
      <w:r>
        <w:rPr>
          <w:rFonts w:ascii="Arial" w:eastAsiaTheme="minorHAnsi" w:hAnsi="Arial" w:cs="Arial"/>
          <w:sz w:val="22"/>
          <w:szCs w:val="22"/>
          <w:lang w:val="es-MX" w:eastAsia="en-US"/>
        </w:rPr>
        <w:t xml:space="preserve">Como se explicó, las anotaciones incluidas en el Registro Nacional de Obras Civiles inconclusas deben ser consultadas y analizadas, pues no toda anotación necesariamente genera un incumplimiento del contratista. Conforme se expuso en el acápite 2.1 de este concepto, la información que reposa en dicho Registro contiene las obras que </w:t>
      </w:r>
      <w:r>
        <w:rPr>
          <w:rFonts w:ascii="Arial" w:eastAsia="Calibri" w:hAnsi="Arial" w:cs="Arial"/>
          <w:color w:val="000000"/>
          <w:sz w:val="22"/>
          <w:lang w:val="es-ES_tradnl" w:eastAsia="en-GB"/>
        </w:rPr>
        <w:t xml:space="preserve">no hayan </w:t>
      </w:r>
      <w:r w:rsidRPr="00E23980">
        <w:rPr>
          <w:rFonts w:ascii="Arial" w:eastAsia="Calibri" w:hAnsi="Arial" w:cs="Arial"/>
          <w:color w:val="000000"/>
          <w:sz w:val="22"/>
          <w:lang w:val="es-ES_tradnl" w:eastAsia="en-GB"/>
        </w:rPr>
        <w:t xml:space="preserve">concluido de manera satisfactoria para el interés general o el definido por la entidad estatal contratante, </w:t>
      </w:r>
      <w:r>
        <w:rPr>
          <w:rFonts w:ascii="Arial" w:eastAsia="Calibri" w:hAnsi="Arial" w:cs="Arial"/>
          <w:color w:val="000000"/>
          <w:sz w:val="22"/>
          <w:lang w:val="es-ES_tradnl" w:eastAsia="en-GB"/>
        </w:rPr>
        <w:t>así como aquellas que</w:t>
      </w:r>
      <w:r w:rsidRPr="00E23980">
        <w:rPr>
          <w:rFonts w:ascii="Arial" w:eastAsia="Calibri" w:hAnsi="Arial" w:cs="Arial"/>
          <w:color w:val="000000"/>
          <w:sz w:val="22"/>
          <w:lang w:val="es-ES_tradnl" w:eastAsia="en-GB"/>
        </w:rPr>
        <w:t xml:space="preserve"> no est</w:t>
      </w:r>
      <w:r>
        <w:rPr>
          <w:rFonts w:ascii="Arial" w:eastAsia="Calibri" w:hAnsi="Arial" w:cs="Arial"/>
          <w:color w:val="000000"/>
          <w:sz w:val="22"/>
          <w:lang w:val="es-ES_tradnl" w:eastAsia="en-GB"/>
        </w:rPr>
        <w:t xml:space="preserve">én prestando el servicio para la </w:t>
      </w:r>
      <w:r w:rsidRPr="00E23980">
        <w:rPr>
          <w:rFonts w:ascii="Arial" w:eastAsia="Calibri" w:hAnsi="Arial" w:cs="Arial"/>
          <w:color w:val="000000"/>
          <w:sz w:val="22"/>
          <w:lang w:val="es-ES_tradnl" w:eastAsia="en-GB"/>
        </w:rPr>
        <w:t>cual fue contratada</w:t>
      </w:r>
      <w:r>
        <w:rPr>
          <w:rFonts w:ascii="Arial" w:eastAsia="Calibri" w:hAnsi="Arial" w:cs="Arial"/>
          <w:color w:val="000000"/>
          <w:sz w:val="22"/>
          <w:lang w:val="es-ES_tradnl" w:eastAsia="en-GB"/>
        </w:rPr>
        <w:t xml:space="preserve">. Este evento, en principio, no implica </w:t>
      </w:r>
      <w:r w:rsidRPr="008234E0">
        <w:rPr>
          <w:rFonts w:ascii="Arial" w:eastAsia="Calibri" w:hAnsi="Arial" w:cs="Arial"/>
          <w:i/>
          <w:color w:val="000000"/>
          <w:sz w:val="22"/>
          <w:lang w:val="es-ES_tradnl" w:eastAsia="en-GB"/>
        </w:rPr>
        <w:t>per se</w:t>
      </w:r>
      <w:r>
        <w:rPr>
          <w:rFonts w:ascii="Arial" w:eastAsia="Calibri" w:hAnsi="Arial" w:cs="Arial"/>
          <w:i/>
          <w:color w:val="000000"/>
          <w:sz w:val="22"/>
          <w:lang w:val="es-ES_tradnl" w:eastAsia="en-GB"/>
        </w:rPr>
        <w:t xml:space="preserve"> </w:t>
      </w:r>
      <w:r>
        <w:rPr>
          <w:rFonts w:ascii="Arial" w:eastAsia="Calibri" w:hAnsi="Arial" w:cs="Arial"/>
          <w:color w:val="000000"/>
          <w:sz w:val="22"/>
          <w:lang w:val="es-ES_tradnl" w:eastAsia="en-GB"/>
        </w:rPr>
        <w:t xml:space="preserve">un incumplimiento del contratista. Las razones por las cuales la obra no esté prestando el servicio pueden ir desde defectos </w:t>
      </w:r>
      <w:r>
        <w:rPr>
          <w:rFonts w:ascii="Arial" w:eastAsia="Calibri" w:hAnsi="Arial" w:cs="Arial"/>
          <w:color w:val="000000"/>
          <w:sz w:val="22"/>
          <w:lang w:val="es-ES_tradnl" w:eastAsia="en-GB"/>
        </w:rPr>
        <w:lastRenderedPageBreak/>
        <w:t xml:space="preserve">en el diseño, calidad de la obra, hasta falta de presupuesto para funcionamiento, razón por la cual es importante analizar los datos consignados en el registro. </w:t>
      </w:r>
    </w:p>
    <w:p w14:paraId="4EF2F0B0" w14:textId="77777777" w:rsidR="00466861" w:rsidRDefault="00466861" w:rsidP="00466861">
      <w:pPr>
        <w:spacing w:before="120" w:line="276" w:lineRule="auto"/>
        <w:ind w:firstLine="709"/>
        <w:jc w:val="both"/>
        <w:rPr>
          <w:rFonts w:ascii="Arial" w:eastAsia="Calibri" w:hAnsi="Arial" w:cs="Arial"/>
          <w:color w:val="000000"/>
          <w:sz w:val="22"/>
          <w:lang w:val="es-ES_tradnl" w:eastAsia="en-GB"/>
        </w:rPr>
      </w:pPr>
      <w:r>
        <w:rPr>
          <w:rFonts w:ascii="Arial" w:eastAsia="Calibri" w:hAnsi="Arial" w:cs="Arial"/>
          <w:color w:val="000000"/>
          <w:sz w:val="22"/>
          <w:lang w:val="es-ES_tradnl" w:eastAsia="en-GB"/>
        </w:rPr>
        <w:t xml:space="preserve">Además, debe agregarse que la entidad reportará en el Registro solo la información que posea en relación con la Obra Civil Inconclusa. En efecto, aunque el artículo 4 de la Ley 2020 de 2020 establece el contenido mínimo de información que se debe incorporar en el Registro Nacional de Obras Civiles Inconclusas, puede suceder que la entidad no cuente con toda la información requerida </w:t>
      </w:r>
      <w:proofErr w:type="gramStart"/>
      <w:r>
        <w:rPr>
          <w:rFonts w:ascii="Arial" w:eastAsia="Calibri" w:hAnsi="Arial" w:cs="Arial"/>
          <w:color w:val="000000"/>
          <w:sz w:val="22"/>
          <w:lang w:val="es-ES_tradnl" w:eastAsia="en-GB"/>
        </w:rPr>
        <w:t>y</w:t>
      </w:r>
      <w:proofErr w:type="gramEnd"/>
      <w:r>
        <w:rPr>
          <w:rFonts w:ascii="Arial" w:eastAsia="Calibri" w:hAnsi="Arial" w:cs="Arial"/>
          <w:color w:val="000000"/>
          <w:sz w:val="22"/>
          <w:lang w:val="es-ES_tradnl" w:eastAsia="en-GB"/>
        </w:rPr>
        <w:t xml:space="preserve"> por ende, no podría efectuar el registro de la información señalada en dicho artículo. Para esta situación, la Dirección de Información, Análisis y Reacción Inmediata de la Contraloría General de la República, en las capacitaciones impartidas, ha indicado que </w:t>
      </w:r>
      <w:r w:rsidRPr="00066821">
        <w:rPr>
          <w:rFonts w:ascii="Arial" w:hAnsi="Arial" w:cs="Arial"/>
          <w:sz w:val="22"/>
        </w:rPr>
        <w:t>«</w:t>
      </w:r>
      <w:r>
        <w:rPr>
          <w:rFonts w:ascii="Arial" w:eastAsia="Calibri" w:hAnsi="Arial" w:cs="Arial"/>
          <w:color w:val="000000"/>
          <w:sz w:val="22"/>
          <w:lang w:val="es-ES_tradnl" w:eastAsia="en-GB"/>
        </w:rPr>
        <w:t>si se trata de un campo numérico y no se tenga información que reportar se coloca 0 y cuando sea un campo alfanumérico se coloca no aplica</w:t>
      </w:r>
      <w:r w:rsidRPr="00066821">
        <w:rPr>
          <w:rFonts w:ascii="Arial" w:hAnsi="Arial" w:cs="Arial"/>
          <w:sz w:val="22"/>
        </w:rPr>
        <w:t>»</w:t>
      </w:r>
      <w:r>
        <w:rPr>
          <w:rStyle w:val="Refdenotaalpie"/>
          <w:rFonts w:ascii="Arial" w:eastAsia="Calibri" w:hAnsi="Arial" w:cs="Arial"/>
          <w:color w:val="000000"/>
          <w:sz w:val="22"/>
          <w:lang w:val="es-ES_tradnl" w:eastAsia="en-GB"/>
        </w:rPr>
        <w:footnoteReference w:id="21"/>
      </w:r>
      <w:r>
        <w:rPr>
          <w:rFonts w:ascii="Arial" w:eastAsia="Calibri" w:hAnsi="Arial" w:cs="Arial"/>
          <w:color w:val="000000"/>
          <w:sz w:val="22"/>
          <w:lang w:val="es-ES_tradnl" w:eastAsia="en-GB"/>
        </w:rPr>
        <w:t xml:space="preserve">. Esta ilustración nos muestra que en el Registro Nacional de Obras Civiles Inconclusas no necesariamente se encontrará toda la información que dé cuenta del cumplimiento o el incumplimiento del contratista. </w:t>
      </w:r>
    </w:p>
    <w:p w14:paraId="59085FE3" w14:textId="77777777" w:rsidR="00466861" w:rsidRPr="003D3707" w:rsidRDefault="00466861" w:rsidP="00466861">
      <w:pPr>
        <w:spacing w:before="120" w:line="276" w:lineRule="auto"/>
        <w:ind w:firstLine="709"/>
        <w:jc w:val="both"/>
        <w:rPr>
          <w:rFonts w:ascii="Arial" w:eastAsiaTheme="minorHAnsi" w:hAnsi="Arial" w:cs="Arial"/>
          <w:sz w:val="22"/>
          <w:szCs w:val="22"/>
          <w:lang w:val="es-MX" w:eastAsia="en-US"/>
        </w:rPr>
      </w:pPr>
      <w:r>
        <w:rPr>
          <w:rFonts w:ascii="Arial" w:eastAsia="Calibri" w:hAnsi="Arial" w:cs="Arial"/>
          <w:color w:val="000000"/>
          <w:sz w:val="22"/>
          <w:lang w:val="es-ES_tradnl" w:eastAsia="en-GB"/>
        </w:rPr>
        <w:t xml:space="preserve">Por tanto, la sola inclusión en el Registro Nacional de Obras Civiles Inconclusas no puede entenderse suficiente para descontar el punto de la sumatoria obtenida de los factores de calidad. </w:t>
      </w:r>
      <w:r>
        <w:rPr>
          <w:rFonts w:ascii="Arial" w:eastAsiaTheme="minorHAnsi" w:hAnsi="Arial" w:cs="Arial"/>
          <w:sz w:val="22"/>
          <w:szCs w:val="22"/>
          <w:lang w:val="es-MX" w:eastAsia="en-US"/>
        </w:rPr>
        <w:t xml:space="preserve">De todas formas, si en el informe de evaluación que realiza la entidad se produce la reducción del punto del factor de calidad bajo el único argumento de encontrarse en dicho Registro, sin efectuar un análisis previo de las anotaciones, el proponente, con fundamento en la interpretación de las normas, podrá formular la observación respectiva. En caso de que se presente alguna inconformidad en relación con la información reportada en el Registro por la entidad contratante, el artículo 6 de la Ley 2020 de 2020 dispuso que tal controversia o solicitud será resuelta por la entidad contratante que suministró dicha información. </w:t>
      </w:r>
      <w:bookmarkEnd w:id="3"/>
    </w:p>
    <w:p w14:paraId="3B4B5DF5" w14:textId="77777777" w:rsidR="00747529" w:rsidRPr="00DB3165" w:rsidRDefault="00747529" w:rsidP="007B18FD">
      <w:pPr>
        <w:spacing w:line="276" w:lineRule="auto"/>
        <w:ind w:firstLine="709"/>
        <w:jc w:val="both"/>
        <w:rPr>
          <w:rFonts w:ascii="Arial" w:hAnsi="Arial" w:cs="Arial"/>
          <w:color w:val="000000" w:themeColor="text1"/>
          <w:sz w:val="22"/>
        </w:rPr>
      </w:pPr>
    </w:p>
    <w:p w14:paraId="37CA9805" w14:textId="0F621D86" w:rsidR="00DD5B04" w:rsidRDefault="004177A6" w:rsidP="00510DE9">
      <w:pPr>
        <w:tabs>
          <w:tab w:val="left" w:pos="0"/>
        </w:tabs>
        <w:jc w:val="both"/>
        <w:rPr>
          <w:rFonts w:ascii="Arial" w:eastAsia="Calibri" w:hAnsi="Arial" w:cs="Arial"/>
          <w:b/>
          <w:color w:val="000000" w:themeColor="text1"/>
          <w:sz w:val="22"/>
          <w:lang w:val="es-ES_tradnl"/>
        </w:rPr>
      </w:pPr>
      <w:r w:rsidRPr="00E23980">
        <w:rPr>
          <w:rFonts w:ascii="Arial" w:eastAsia="Calibri" w:hAnsi="Arial" w:cs="Arial"/>
          <w:b/>
          <w:color w:val="000000" w:themeColor="text1"/>
          <w:sz w:val="22"/>
          <w:lang w:val="es-ES_tradnl"/>
        </w:rPr>
        <w:t>3</w:t>
      </w:r>
      <w:r w:rsidR="00B011A9" w:rsidRPr="00E23980">
        <w:rPr>
          <w:rFonts w:ascii="Arial" w:eastAsia="Calibri" w:hAnsi="Arial" w:cs="Arial"/>
          <w:b/>
          <w:color w:val="000000" w:themeColor="text1"/>
          <w:sz w:val="22"/>
          <w:lang w:val="es-ES_tradnl"/>
        </w:rPr>
        <w:t xml:space="preserve">. </w:t>
      </w:r>
      <w:r w:rsidR="00DD5B04" w:rsidRPr="00E23980">
        <w:rPr>
          <w:rFonts w:ascii="Arial" w:eastAsia="Calibri" w:hAnsi="Arial" w:cs="Arial"/>
          <w:b/>
          <w:color w:val="000000" w:themeColor="text1"/>
          <w:sz w:val="22"/>
          <w:lang w:val="es-ES_tradnl"/>
        </w:rPr>
        <w:t>Respuesta</w:t>
      </w:r>
    </w:p>
    <w:p w14:paraId="3C2B20C9" w14:textId="77777777" w:rsidR="007B18FD" w:rsidRDefault="007B18FD" w:rsidP="00861F0F">
      <w:pPr>
        <w:tabs>
          <w:tab w:val="left" w:pos="0"/>
        </w:tabs>
        <w:spacing w:line="276" w:lineRule="auto"/>
        <w:jc w:val="both"/>
        <w:rPr>
          <w:rFonts w:ascii="Arial" w:eastAsia="Calibri" w:hAnsi="Arial" w:cs="Arial"/>
          <w:b/>
          <w:color w:val="000000" w:themeColor="text1"/>
          <w:sz w:val="22"/>
          <w:lang w:val="es-ES_tradnl"/>
        </w:rPr>
      </w:pPr>
    </w:p>
    <w:p w14:paraId="573AD063" w14:textId="6FD3D162" w:rsidR="0063167C" w:rsidRDefault="001369F5" w:rsidP="00466861">
      <w:pPr>
        <w:spacing w:after="120"/>
        <w:ind w:left="709" w:right="709"/>
        <w:jc w:val="both"/>
        <w:rPr>
          <w:rFonts w:ascii="Arial" w:hAnsi="Arial" w:cs="Arial"/>
          <w:color w:val="000000" w:themeColor="text1"/>
          <w:sz w:val="21"/>
          <w:szCs w:val="21"/>
          <w:lang w:val="es-ES_tradnl"/>
        </w:rPr>
      </w:pPr>
      <w:r>
        <w:rPr>
          <w:rFonts w:ascii="Arial" w:hAnsi="Arial" w:cs="Arial"/>
          <w:color w:val="000000" w:themeColor="text1"/>
          <w:sz w:val="21"/>
          <w:szCs w:val="21"/>
          <w:lang w:val="es-ES_tradnl"/>
        </w:rPr>
        <w:t xml:space="preserve">i) </w:t>
      </w:r>
      <w:r w:rsidR="0063167C" w:rsidRPr="00E23980">
        <w:rPr>
          <w:rFonts w:ascii="Arial" w:hAnsi="Arial" w:cs="Arial"/>
          <w:color w:val="000000" w:themeColor="text1"/>
          <w:sz w:val="21"/>
          <w:szCs w:val="21"/>
          <w:lang w:val="es-ES_tradnl"/>
        </w:rPr>
        <w:t>«</w:t>
      </w:r>
      <w:r w:rsidR="0063167C" w:rsidRPr="00864CD5">
        <w:rPr>
          <w:rFonts w:ascii="Arial" w:hAnsi="Arial" w:cs="Arial"/>
          <w:color w:val="000000" w:themeColor="text1"/>
          <w:sz w:val="21"/>
          <w:szCs w:val="21"/>
          <w:lang w:val="es-ES_tradnl"/>
        </w:rPr>
        <w:t>En un proceso de Licitación pública al realizar la b</w:t>
      </w:r>
      <w:r w:rsidR="0063167C">
        <w:rPr>
          <w:rFonts w:ascii="Arial" w:hAnsi="Arial" w:cs="Arial"/>
          <w:color w:val="000000" w:themeColor="text1"/>
          <w:sz w:val="21"/>
          <w:szCs w:val="21"/>
          <w:lang w:val="es-ES_tradnl"/>
        </w:rPr>
        <w:t xml:space="preserve">úsqueda de los proponentes sean </w:t>
      </w:r>
      <w:r w:rsidR="0063167C" w:rsidRPr="00864CD5">
        <w:rPr>
          <w:rFonts w:ascii="Arial" w:hAnsi="Arial" w:cs="Arial"/>
          <w:color w:val="000000" w:themeColor="text1"/>
          <w:sz w:val="21"/>
          <w:szCs w:val="21"/>
          <w:lang w:val="es-ES_tradnl"/>
        </w:rPr>
        <w:t>persona natural o jurídica en el registro de Obras Inconclusas (DIARI) de la Contraloría</w:t>
      </w:r>
      <w:r w:rsidR="0063167C">
        <w:rPr>
          <w:rFonts w:ascii="Arial" w:hAnsi="Arial" w:cs="Arial"/>
          <w:color w:val="000000" w:themeColor="text1"/>
          <w:sz w:val="21"/>
          <w:szCs w:val="21"/>
          <w:lang w:val="es-ES_tradnl"/>
        </w:rPr>
        <w:t xml:space="preserve"> </w:t>
      </w:r>
      <w:r w:rsidR="0063167C" w:rsidRPr="00864CD5">
        <w:rPr>
          <w:rFonts w:ascii="Arial" w:hAnsi="Arial" w:cs="Arial"/>
          <w:color w:val="000000" w:themeColor="text1"/>
          <w:sz w:val="21"/>
          <w:szCs w:val="21"/>
          <w:lang w:val="es-ES_tradnl"/>
        </w:rPr>
        <w:t>General de la Republica y esta aparece en dicho registr</w:t>
      </w:r>
      <w:r w:rsidR="0063167C">
        <w:rPr>
          <w:rFonts w:ascii="Arial" w:hAnsi="Arial" w:cs="Arial"/>
          <w:color w:val="000000" w:themeColor="text1"/>
          <w:sz w:val="21"/>
          <w:szCs w:val="21"/>
          <w:lang w:val="es-ES_tradnl"/>
        </w:rPr>
        <w:t xml:space="preserve">o se le descontara un (1) (sic) de la </w:t>
      </w:r>
      <w:r w:rsidR="0063167C" w:rsidRPr="00864CD5">
        <w:rPr>
          <w:rFonts w:ascii="Arial" w:hAnsi="Arial" w:cs="Arial"/>
          <w:color w:val="000000" w:themeColor="text1"/>
          <w:sz w:val="21"/>
          <w:szCs w:val="21"/>
          <w:lang w:val="es-ES_tradnl"/>
        </w:rPr>
        <w:t xml:space="preserve">sumatoria </w:t>
      </w:r>
      <w:r w:rsidR="0063167C">
        <w:rPr>
          <w:rFonts w:ascii="Arial" w:hAnsi="Arial" w:cs="Arial"/>
          <w:color w:val="000000" w:themeColor="text1"/>
          <w:sz w:val="21"/>
          <w:szCs w:val="21"/>
          <w:lang w:val="es-ES_tradnl"/>
        </w:rPr>
        <w:t>obtenida en el Factor calidad</w:t>
      </w:r>
      <w:r>
        <w:rPr>
          <w:rFonts w:ascii="Arial" w:hAnsi="Arial" w:cs="Arial"/>
          <w:color w:val="000000" w:themeColor="text1"/>
          <w:sz w:val="21"/>
          <w:szCs w:val="21"/>
          <w:lang w:val="es-ES_tradnl"/>
        </w:rPr>
        <w:t>»</w:t>
      </w:r>
      <w:r w:rsidR="0063167C">
        <w:rPr>
          <w:rFonts w:ascii="Arial" w:hAnsi="Arial" w:cs="Arial"/>
          <w:color w:val="000000" w:themeColor="text1"/>
          <w:sz w:val="21"/>
          <w:szCs w:val="21"/>
          <w:lang w:val="es-ES_tradnl"/>
        </w:rPr>
        <w:t>.</w:t>
      </w:r>
    </w:p>
    <w:p w14:paraId="2C025034" w14:textId="72F88949" w:rsidR="0063167C" w:rsidRDefault="001369F5" w:rsidP="00466861">
      <w:pPr>
        <w:spacing w:after="120"/>
        <w:ind w:left="709" w:right="709"/>
        <w:jc w:val="both"/>
        <w:rPr>
          <w:rFonts w:ascii="Arial" w:hAnsi="Arial" w:cs="Arial"/>
          <w:color w:val="000000" w:themeColor="text1"/>
          <w:sz w:val="21"/>
          <w:szCs w:val="21"/>
          <w:lang w:val="es-ES_tradnl"/>
        </w:rPr>
      </w:pPr>
      <w:proofErr w:type="spellStart"/>
      <w:r>
        <w:rPr>
          <w:rFonts w:ascii="Arial" w:hAnsi="Arial" w:cs="Arial"/>
          <w:color w:val="000000" w:themeColor="text1"/>
          <w:sz w:val="21"/>
          <w:szCs w:val="21"/>
          <w:lang w:val="es-ES_tradnl"/>
        </w:rPr>
        <w:t>ii</w:t>
      </w:r>
      <w:proofErr w:type="spellEnd"/>
      <w:r>
        <w:rPr>
          <w:rFonts w:ascii="Arial" w:hAnsi="Arial" w:cs="Arial"/>
          <w:color w:val="000000" w:themeColor="text1"/>
          <w:sz w:val="21"/>
          <w:szCs w:val="21"/>
          <w:lang w:val="es-ES_tradnl"/>
        </w:rPr>
        <w:t>)</w:t>
      </w:r>
      <w:r w:rsidR="0063167C" w:rsidRPr="00864CD5">
        <w:rPr>
          <w:rFonts w:ascii="Arial" w:hAnsi="Arial" w:cs="Arial"/>
          <w:color w:val="000000" w:themeColor="text1"/>
          <w:sz w:val="21"/>
          <w:szCs w:val="21"/>
          <w:lang w:val="es-ES_tradnl"/>
        </w:rPr>
        <w:t xml:space="preserve"> </w:t>
      </w:r>
      <w:r>
        <w:rPr>
          <w:rFonts w:ascii="Arial" w:hAnsi="Arial" w:cs="Arial"/>
          <w:color w:val="000000" w:themeColor="text1"/>
          <w:sz w:val="21"/>
          <w:szCs w:val="21"/>
          <w:lang w:val="es-ES_tradnl"/>
        </w:rPr>
        <w:t>«</w:t>
      </w:r>
      <w:r w:rsidR="0063167C" w:rsidRPr="00864CD5">
        <w:rPr>
          <w:rFonts w:ascii="Arial" w:hAnsi="Arial" w:cs="Arial"/>
          <w:color w:val="000000" w:themeColor="text1"/>
          <w:sz w:val="21"/>
          <w:szCs w:val="21"/>
          <w:lang w:val="es-ES_tradnl"/>
        </w:rPr>
        <w:t>Con el solo resultado de aparecer en el registro de O</w:t>
      </w:r>
      <w:r w:rsidR="0063167C">
        <w:rPr>
          <w:rFonts w:ascii="Arial" w:hAnsi="Arial" w:cs="Arial"/>
          <w:color w:val="000000" w:themeColor="text1"/>
          <w:sz w:val="21"/>
          <w:szCs w:val="21"/>
          <w:lang w:val="es-ES_tradnl"/>
        </w:rPr>
        <w:t xml:space="preserve">bras inconclusas (DIARI) la </w:t>
      </w:r>
      <w:r w:rsidR="0063167C" w:rsidRPr="00864CD5">
        <w:rPr>
          <w:rFonts w:ascii="Arial" w:hAnsi="Arial" w:cs="Arial"/>
          <w:color w:val="000000" w:themeColor="text1"/>
          <w:sz w:val="21"/>
          <w:szCs w:val="21"/>
          <w:lang w:val="es-ES_tradnl"/>
        </w:rPr>
        <w:t>empresa sea persona natural o jurídica se le descontaría</w:t>
      </w:r>
      <w:r w:rsidR="0063167C">
        <w:rPr>
          <w:rFonts w:ascii="Arial" w:hAnsi="Arial" w:cs="Arial"/>
          <w:color w:val="000000" w:themeColor="text1"/>
          <w:sz w:val="21"/>
          <w:szCs w:val="21"/>
          <w:lang w:val="es-ES_tradnl"/>
        </w:rPr>
        <w:t xml:space="preserve"> un (1) punto o requiere que la </w:t>
      </w:r>
      <w:r w:rsidR="0063167C" w:rsidRPr="00864CD5">
        <w:rPr>
          <w:rFonts w:ascii="Arial" w:hAnsi="Arial" w:cs="Arial"/>
          <w:color w:val="000000" w:themeColor="text1"/>
          <w:sz w:val="21"/>
          <w:szCs w:val="21"/>
          <w:lang w:val="es-ES_tradnl"/>
        </w:rPr>
        <w:t>entidad que realiza el proceso de licitación solicite o a</w:t>
      </w:r>
      <w:r w:rsidR="0063167C">
        <w:rPr>
          <w:rFonts w:ascii="Arial" w:hAnsi="Arial" w:cs="Arial"/>
          <w:color w:val="000000" w:themeColor="text1"/>
          <w:sz w:val="21"/>
          <w:szCs w:val="21"/>
          <w:lang w:val="es-ES_tradnl"/>
        </w:rPr>
        <w:t xml:space="preserve">nalice las anotaciones vigentes </w:t>
      </w:r>
      <w:r w:rsidR="0063167C" w:rsidRPr="00864CD5">
        <w:rPr>
          <w:rFonts w:ascii="Arial" w:hAnsi="Arial" w:cs="Arial"/>
          <w:color w:val="000000" w:themeColor="text1"/>
          <w:sz w:val="21"/>
          <w:szCs w:val="21"/>
          <w:lang w:val="es-ES_tradnl"/>
        </w:rPr>
        <w:t>para descont</w:t>
      </w:r>
      <w:r w:rsidR="0063167C">
        <w:rPr>
          <w:rFonts w:ascii="Arial" w:hAnsi="Arial" w:cs="Arial"/>
          <w:color w:val="000000" w:themeColor="text1"/>
          <w:sz w:val="21"/>
          <w:szCs w:val="21"/>
          <w:lang w:val="es-ES_tradnl"/>
        </w:rPr>
        <w:t>ar el punto del factor calidad</w:t>
      </w:r>
      <w:r>
        <w:rPr>
          <w:rFonts w:ascii="Arial" w:hAnsi="Arial" w:cs="Arial"/>
          <w:color w:val="000000" w:themeColor="text1"/>
          <w:sz w:val="21"/>
          <w:szCs w:val="21"/>
          <w:lang w:val="es-ES_tradnl"/>
        </w:rPr>
        <w:t>»</w:t>
      </w:r>
      <w:r w:rsidR="0063167C">
        <w:rPr>
          <w:rFonts w:ascii="Arial" w:hAnsi="Arial" w:cs="Arial"/>
          <w:color w:val="000000" w:themeColor="text1"/>
          <w:sz w:val="21"/>
          <w:szCs w:val="21"/>
          <w:lang w:val="es-ES_tradnl"/>
        </w:rPr>
        <w:t>.</w:t>
      </w:r>
    </w:p>
    <w:p w14:paraId="6FCBA7C4" w14:textId="43B7A8AF" w:rsidR="0063167C" w:rsidRDefault="001369F5" w:rsidP="0063167C">
      <w:pPr>
        <w:ind w:left="709" w:right="709"/>
        <w:jc w:val="both"/>
        <w:rPr>
          <w:rFonts w:ascii="Arial" w:hAnsi="Arial" w:cs="Arial"/>
          <w:color w:val="000000" w:themeColor="text1"/>
          <w:sz w:val="21"/>
          <w:szCs w:val="21"/>
          <w:lang w:val="es-ES_tradnl"/>
        </w:rPr>
      </w:pPr>
      <w:proofErr w:type="spellStart"/>
      <w:r>
        <w:rPr>
          <w:rFonts w:ascii="Arial" w:hAnsi="Arial" w:cs="Arial"/>
          <w:color w:val="000000" w:themeColor="text1"/>
          <w:sz w:val="21"/>
          <w:szCs w:val="21"/>
          <w:lang w:val="es-ES_tradnl"/>
        </w:rPr>
        <w:t>iii</w:t>
      </w:r>
      <w:proofErr w:type="spellEnd"/>
      <w:r>
        <w:rPr>
          <w:rFonts w:ascii="Arial" w:hAnsi="Arial" w:cs="Arial"/>
          <w:color w:val="000000" w:themeColor="text1"/>
          <w:sz w:val="21"/>
          <w:szCs w:val="21"/>
          <w:lang w:val="es-ES_tradnl"/>
        </w:rPr>
        <w:t>) «</w:t>
      </w:r>
      <w:r w:rsidR="0063167C" w:rsidRPr="00864CD5">
        <w:rPr>
          <w:rFonts w:ascii="Arial" w:hAnsi="Arial" w:cs="Arial"/>
          <w:color w:val="000000" w:themeColor="text1"/>
          <w:sz w:val="21"/>
          <w:szCs w:val="21"/>
          <w:lang w:val="es-ES_tradnl"/>
        </w:rPr>
        <w:t xml:space="preserve">Cualquier empresa sea persona natural o jurídica que </w:t>
      </w:r>
      <w:r w:rsidR="0063167C">
        <w:rPr>
          <w:rFonts w:ascii="Arial" w:hAnsi="Arial" w:cs="Arial"/>
          <w:color w:val="000000" w:themeColor="text1"/>
          <w:sz w:val="21"/>
          <w:szCs w:val="21"/>
          <w:lang w:val="es-ES_tradnl"/>
        </w:rPr>
        <w:t xml:space="preserve">esté incluida en el registro de </w:t>
      </w:r>
      <w:r w:rsidR="0063167C" w:rsidRPr="00864CD5">
        <w:rPr>
          <w:rFonts w:ascii="Arial" w:hAnsi="Arial" w:cs="Arial"/>
          <w:color w:val="000000" w:themeColor="text1"/>
          <w:sz w:val="21"/>
          <w:szCs w:val="21"/>
          <w:lang w:val="es-ES_tradnl"/>
        </w:rPr>
        <w:t>Obras inconclusas se puede afirmar que tendría u</w:t>
      </w:r>
      <w:r w:rsidR="0063167C">
        <w:rPr>
          <w:rFonts w:ascii="Arial" w:hAnsi="Arial" w:cs="Arial"/>
          <w:color w:val="000000" w:themeColor="text1"/>
          <w:sz w:val="21"/>
          <w:szCs w:val="21"/>
          <w:lang w:val="es-ES_tradnl"/>
        </w:rPr>
        <w:t xml:space="preserve">n (1) punto menos al momento de </w:t>
      </w:r>
      <w:r w:rsidR="0063167C" w:rsidRPr="00864CD5">
        <w:rPr>
          <w:rFonts w:ascii="Arial" w:hAnsi="Arial" w:cs="Arial"/>
          <w:color w:val="000000" w:themeColor="text1"/>
          <w:sz w:val="21"/>
          <w:szCs w:val="21"/>
          <w:lang w:val="es-ES_tradnl"/>
        </w:rPr>
        <w:t>participar en un proceso de licitación</w:t>
      </w:r>
      <w:r w:rsidR="0063167C" w:rsidRPr="00684434">
        <w:rPr>
          <w:rFonts w:ascii="Arial" w:hAnsi="Arial" w:cs="Arial"/>
          <w:color w:val="000000" w:themeColor="text1"/>
          <w:sz w:val="21"/>
          <w:szCs w:val="21"/>
          <w:lang w:val="es-ES_tradnl"/>
        </w:rPr>
        <w:t>».</w:t>
      </w:r>
    </w:p>
    <w:p w14:paraId="00C262D2" w14:textId="713B31EB" w:rsidR="006837B2" w:rsidRDefault="006837B2" w:rsidP="00861F0F">
      <w:pPr>
        <w:spacing w:line="276" w:lineRule="auto"/>
        <w:jc w:val="both"/>
        <w:rPr>
          <w:rFonts w:ascii="Arial" w:hAnsi="Arial" w:cs="Arial"/>
          <w:color w:val="000000" w:themeColor="text1"/>
          <w:sz w:val="22"/>
          <w:lang w:val="es-ES_tradnl"/>
        </w:rPr>
      </w:pPr>
    </w:p>
    <w:p w14:paraId="40984AD0" w14:textId="7CC3D1C1" w:rsidR="00371CA6" w:rsidRDefault="00E70850">
      <w:pPr>
        <w:spacing w:line="276" w:lineRule="auto"/>
        <w:jc w:val="both"/>
        <w:rPr>
          <w:rFonts w:ascii="Arial" w:hAnsi="Arial" w:cs="Arial"/>
          <w:color w:val="000000" w:themeColor="text1"/>
          <w:sz w:val="22"/>
        </w:rPr>
      </w:pPr>
      <w:r>
        <w:rPr>
          <w:rFonts w:ascii="Arial" w:hAnsi="Arial" w:cs="Arial"/>
          <w:color w:val="000000" w:themeColor="text1"/>
          <w:sz w:val="22"/>
        </w:rPr>
        <w:t>C</w:t>
      </w:r>
      <w:r w:rsidRPr="00E70850">
        <w:rPr>
          <w:rFonts w:ascii="Arial" w:hAnsi="Arial" w:cs="Arial"/>
          <w:color w:val="000000" w:themeColor="text1"/>
          <w:sz w:val="22"/>
        </w:rPr>
        <w:t>onforme al numeral 4.2 «Factor de Calidad»</w:t>
      </w:r>
      <w:r>
        <w:rPr>
          <w:rFonts w:ascii="Arial" w:hAnsi="Arial" w:cs="Arial"/>
          <w:color w:val="000000" w:themeColor="text1"/>
          <w:sz w:val="22"/>
        </w:rPr>
        <w:t xml:space="preserve"> del documento base</w:t>
      </w:r>
      <w:r w:rsidRPr="00E70850">
        <w:rPr>
          <w:rFonts w:ascii="Arial" w:hAnsi="Arial" w:cs="Arial"/>
          <w:color w:val="000000" w:themeColor="text1"/>
          <w:sz w:val="22"/>
        </w:rPr>
        <w:t>, las entidades estatales deben consultar y analizar las anotaciones vigentes que reposen en el registro de que trata la Ley 2020 de 2020. Lo anterior significa, que en el evento en que las personas naturales o jurídicas, nacionales o extranjeras domiciliadas o con sucursal en Colombia, o integrantes de proponentes plurales, cuenten con una anotación en dicho registro, le corresponde a la entidad examinar la anotación y determinar si esta se refiere a un incumplimiento del contratista. En tal sentido, dependiendo del supuesto la entidad descontará el punto.</w:t>
      </w:r>
    </w:p>
    <w:p w14:paraId="6DF459BF" w14:textId="27E44F52" w:rsidR="009C3D2C" w:rsidRDefault="00E70850" w:rsidP="00861F0F">
      <w:pPr>
        <w:spacing w:before="120" w:line="276" w:lineRule="auto"/>
        <w:ind w:firstLine="709"/>
        <w:jc w:val="both"/>
        <w:rPr>
          <w:rFonts w:ascii="Arial" w:eastAsiaTheme="minorHAnsi" w:hAnsi="Arial" w:cs="Arial"/>
          <w:sz w:val="22"/>
          <w:szCs w:val="22"/>
          <w:lang w:val="es-MX" w:eastAsia="en-US"/>
        </w:rPr>
      </w:pPr>
      <w:r w:rsidRPr="00E70850">
        <w:rPr>
          <w:rFonts w:ascii="Arial" w:hAnsi="Arial" w:cs="Arial"/>
          <w:color w:val="000000" w:themeColor="text1"/>
          <w:sz w:val="22"/>
        </w:rPr>
        <w:t xml:space="preserve">Así, la sola inclusión en el Registro Nacional de Obras Civiles Inconclusas no puede entenderse suficiente para descontar el punto de la sumatoria obtenida de los factores de calidad. En otras palabras, la anotación en el registro no genera automáticamente el descuento del punto, por cuanto la entidad está en la obligación de consultar y analizar la anotación. De todas formas, si en el informe de evaluación que realiza la entidad se produce la reducción del punto del factor de calidad bajo el único argumento de encontrarse en dicho </w:t>
      </w:r>
      <w:r>
        <w:rPr>
          <w:rFonts w:ascii="Arial" w:hAnsi="Arial" w:cs="Arial"/>
          <w:color w:val="000000" w:themeColor="text1"/>
          <w:sz w:val="22"/>
        </w:rPr>
        <w:t>r</w:t>
      </w:r>
      <w:r w:rsidRPr="00E70850">
        <w:rPr>
          <w:rFonts w:ascii="Arial" w:hAnsi="Arial" w:cs="Arial"/>
          <w:color w:val="000000" w:themeColor="text1"/>
          <w:sz w:val="22"/>
        </w:rPr>
        <w:t>egistro, sin efectuar un análisis previo de las anotaciones, el proponente, con fundamento en la interpretación de las normas, podrá formular la observación respectiva</w:t>
      </w:r>
      <w:r w:rsidR="00861F0F">
        <w:rPr>
          <w:rFonts w:ascii="Arial" w:eastAsiaTheme="minorHAnsi" w:hAnsi="Arial" w:cs="Arial"/>
          <w:sz w:val="22"/>
          <w:szCs w:val="22"/>
          <w:lang w:val="es-MX" w:eastAsia="en-US"/>
        </w:rPr>
        <w:t xml:space="preserve">. </w:t>
      </w:r>
    </w:p>
    <w:p w14:paraId="15AE83C1" w14:textId="77777777" w:rsidR="001369F5" w:rsidRPr="00861F0F" w:rsidRDefault="001369F5" w:rsidP="00466861">
      <w:pPr>
        <w:spacing w:line="276" w:lineRule="auto"/>
        <w:ind w:firstLine="709"/>
        <w:jc w:val="both"/>
        <w:rPr>
          <w:rFonts w:ascii="Arial" w:eastAsiaTheme="minorHAnsi" w:hAnsi="Arial" w:cs="Arial"/>
          <w:sz w:val="22"/>
          <w:szCs w:val="22"/>
          <w:lang w:val="es-MX" w:eastAsia="en-US"/>
        </w:rPr>
      </w:pPr>
    </w:p>
    <w:p w14:paraId="77EE5912" w14:textId="59329AC3" w:rsidR="00DD5B04" w:rsidRDefault="00DD5B04" w:rsidP="00D40F8B">
      <w:pPr>
        <w:spacing w:before="120" w:line="276" w:lineRule="auto"/>
        <w:jc w:val="both"/>
        <w:rPr>
          <w:rFonts w:ascii="Arial" w:hAnsi="Arial" w:cs="Arial"/>
          <w:color w:val="000000" w:themeColor="text1"/>
          <w:sz w:val="22"/>
          <w:lang w:val="es-ES_tradnl"/>
        </w:rPr>
      </w:pPr>
      <w:r w:rsidRPr="00E23980">
        <w:rPr>
          <w:rFonts w:ascii="Arial" w:hAnsi="Arial" w:cs="Arial"/>
          <w:color w:val="000000" w:themeColor="text1"/>
          <w:sz w:val="22"/>
          <w:lang w:val="es-ES_tradnl"/>
        </w:rPr>
        <w:t>Este concepto tiene el alcance previsto en el artículo 28 del Código de Procedimiento Administrativo y de</w:t>
      </w:r>
      <w:r w:rsidR="00D40F8B">
        <w:rPr>
          <w:rFonts w:ascii="Arial" w:hAnsi="Arial" w:cs="Arial"/>
          <w:color w:val="000000" w:themeColor="text1"/>
          <w:sz w:val="22"/>
          <w:lang w:val="es-ES_tradnl"/>
        </w:rPr>
        <w:t xml:space="preserve"> lo Contencioso Administrativo.</w:t>
      </w:r>
    </w:p>
    <w:p w14:paraId="056816F7" w14:textId="77777777" w:rsidR="00D40F8B" w:rsidRPr="00D40F8B" w:rsidRDefault="00D40F8B" w:rsidP="00D40F8B">
      <w:pPr>
        <w:spacing w:before="120" w:line="276" w:lineRule="auto"/>
        <w:jc w:val="both"/>
        <w:rPr>
          <w:rFonts w:ascii="Arial" w:hAnsi="Arial" w:cs="Arial"/>
          <w:color w:val="000000" w:themeColor="text1"/>
          <w:sz w:val="22"/>
          <w:lang w:val="es-ES_tradnl"/>
        </w:rPr>
      </w:pPr>
    </w:p>
    <w:p w14:paraId="692FC307" w14:textId="317B51E8" w:rsidR="00921304" w:rsidRDefault="00861F0F"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r>
        <w:rPr>
          <w:rFonts w:ascii="Arial" w:hAnsi="Arial" w:cs="Arial"/>
          <w:color w:val="000000" w:themeColor="text1"/>
          <w:sz w:val="22"/>
          <w:szCs w:val="22"/>
          <w:lang w:val="es-ES_tradnl"/>
        </w:rPr>
        <w:t>Atentamente,</w:t>
      </w:r>
    </w:p>
    <w:p w14:paraId="349855C9" w14:textId="77777777" w:rsidR="00D40F8B" w:rsidRPr="00E23980" w:rsidRDefault="00D40F8B"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49730030" w14:textId="07D723D6" w:rsidR="00DD5B04" w:rsidRDefault="00EC22CC" w:rsidP="00D40F8B">
      <w:pPr>
        <w:pStyle w:val="NormalWeb"/>
        <w:spacing w:before="0" w:beforeAutospacing="0" w:after="0" w:afterAutospacing="0" w:line="276" w:lineRule="auto"/>
        <w:jc w:val="center"/>
        <w:rPr>
          <w:rFonts w:ascii="Arial" w:hAnsi="Arial" w:cs="Arial"/>
          <w:color w:val="000000" w:themeColor="text1"/>
          <w:sz w:val="22"/>
          <w:szCs w:val="22"/>
          <w:lang w:val="es-ES_tradnl"/>
        </w:rPr>
      </w:pPr>
      <w:r w:rsidRPr="00570FD2">
        <w:rPr>
          <w:rFonts w:ascii="Arial" w:hAnsi="Arial" w:cs="Arial"/>
          <w:noProof/>
          <w:color w:val="000000" w:themeColor="text1"/>
          <w:sz w:val="22"/>
        </w:rPr>
        <w:drawing>
          <wp:inline distT="0" distB="0" distL="0" distR="0" wp14:anchorId="6386873B" wp14:editId="49AB44D0">
            <wp:extent cx="2428875" cy="923925"/>
            <wp:effectExtent l="0" t="0" r="9525" b="9525"/>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2">
                      <a:extLst>
                        <a:ext uri="{28A0092B-C50C-407E-A947-70E740481C1C}">
                          <a14:useLocalDpi xmlns:a14="http://schemas.microsoft.com/office/drawing/2010/main" val="0"/>
                        </a:ext>
                      </a:extLst>
                    </a:blip>
                    <a:stretch>
                      <a:fillRect/>
                    </a:stretch>
                  </pic:blipFill>
                  <pic:spPr>
                    <a:xfrm>
                      <a:off x="0" y="0"/>
                      <a:ext cx="2450700" cy="932227"/>
                    </a:xfrm>
                    <a:prstGeom prst="rect">
                      <a:avLst/>
                    </a:prstGeom>
                  </pic:spPr>
                </pic:pic>
              </a:graphicData>
            </a:graphic>
          </wp:inline>
        </w:drawing>
      </w:r>
    </w:p>
    <w:p w14:paraId="0545B955" w14:textId="77777777" w:rsidR="00D40F8B" w:rsidRDefault="00D40F8B" w:rsidP="00D40F8B">
      <w:pPr>
        <w:pStyle w:val="NormalWeb"/>
        <w:spacing w:before="0" w:beforeAutospacing="0" w:after="0" w:afterAutospacing="0" w:line="276" w:lineRule="auto"/>
        <w:jc w:val="center"/>
        <w:rPr>
          <w:rFonts w:ascii="Arial" w:hAnsi="Arial" w:cs="Arial"/>
          <w:color w:val="000000" w:themeColor="text1"/>
          <w:sz w:val="22"/>
          <w:szCs w:val="22"/>
          <w:lang w:val="es-ES_tradnl"/>
        </w:rPr>
      </w:pPr>
    </w:p>
    <w:p w14:paraId="10A1E411" w14:textId="77777777" w:rsidR="00D40F8B" w:rsidRPr="00D40F8B" w:rsidRDefault="00D40F8B" w:rsidP="00EC22CC">
      <w:pPr>
        <w:pStyle w:val="NormalWeb"/>
        <w:spacing w:before="0" w:beforeAutospacing="0" w:after="0" w:afterAutospacing="0" w:line="276" w:lineRule="auto"/>
        <w:rPr>
          <w:rFonts w:ascii="Arial" w:hAnsi="Arial" w:cs="Arial"/>
          <w:color w:val="000000" w:themeColor="text1"/>
          <w:sz w:val="22"/>
          <w:szCs w:val="22"/>
          <w:lang w:val="es-ES_tradn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DD5B04" w:rsidRPr="00D40F8B" w14:paraId="0C7DC5F7" w14:textId="77777777" w:rsidTr="00D40F8B">
        <w:trPr>
          <w:trHeight w:val="160"/>
        </w:trPr>
        <w:tc>
          <w:tcPr>
            <w:tcW w:w="812" w:type="dxa"/>
            <w:vAlign w:val="center"/>
            <w:hideMark/>
          </w:tcPr>
          <w:p w14:paraId="5BDB1AC9" w14:textId="77777777" w:rsidR="00DD5B04" w:rsidRPr="00D40F8B" w:rsidRDefault="00DD5B04" w:rsidP="00DF76A2">
            <w:pPr>
              <w:jc w:val="both"/>
              <w:rPr>
                <w:rFonts w:ascii="Arial" w:hAnsi="Arial" w:cs="Arial"/>
                <w:color w:val="000000" w:themeColor="text1"/>
                <w:sz w:val="16"/>
                <w:szCs w:val="16"/>
                <w:lang w:val="es-ES_tradnl" w:eastAsia="es-ES"/>
              </w:rPr>
            </w:pPr>
            <w:r w:rsidRPr="00D40F8B">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7F9F79B1" w14:textId="6E181913" w:rsidR="00DD5B04" w:rsidRPr="00D40F8B" w:rsidRDefault="00F412DF" w:rsidP="00DF76A2">
            <w:pPr>
              <w:jc w:val="both"/>
              <w:rPr>
                <w:rFonts w:ascii="Arial" w:hAnsi="Arial" w:cs="Arial"/>
                <w:color w:val="000000" w:themeColor="text1"/>
                <w:sz w:val="16"/>
                <w:szCs w:val="16"/>
                <w:lang w:val="es-ES_tradnl" w:eastAsia="es-ES"/>
              </w:rPr>
            </w:pPr>
            <w:r w:rsidRPr="00D40F8B">
              <w:rPr>
                <w:rFonts w:ascii="Arial" w:hAnsi="Arial" w:cs="Arial"/>
                <w:color w:val="000000" w:themeColor="text1"/>
                <w:sz w:val="16"/>
                <w:szCs w:val="16"/>
                <w:lang w:val="es-ES_tradnl" w:eastAsia="es-ES"/>
              </w:rPr>
              <w:t>Tatiana Baquero Iguarán</w:t>
            </w:r>
          </w:p>
          <w:p w14:paraId="240C71FD" w14:textId="31312C95" w:rsidR="00DD5B04" w:rsidRPr="00D40F8B" w:rsidRDefault="00DD5B04" w:rsidP="00DF76A2">
            <w:pPr>
              <w:jc w:val="both"/>
              <w:rPr>
                <w:rFonts w:ascii="Arial" w:hAnsi="Arial" w:cs="Arial"/>
                <w:color w:val="000000" w:themeColor="text1"/>
                <w:sz w:val="16"/>
                <w:szCs w:val="16"/>
                <w:lang w:val="es-ES_tradnl" w:eastAsia="es-ES"/>
              </w:rPr>
            </w:pPr>
            <w:r w:rsidRPr="00D40F8B">
              <w:rPr>
                <w:rFonts w:ascii="Arial" w:hAnsi="Arial" w:cs="Arial"/>
                <w:color w:val="000000" w:themeColor="text1"/>
                <w:sz w:val="16"/>
                <w:szCs w:val="16"/>
                <w:lang w:val="es-ES_tradnl" w:eastAsia="es-ES"/>
              </w:rPr>
              <w:t>Contratista</w:t>
            </w:r>
            <w:r w:rsidR="00FF0050" w:rsidRPr="00D40F8B">
              <w:rPr>
                <w:rFonts w:ascii="Arial" w:hAnsi="Arial" w:cs="Arial"/>
                <w:color w:val="000000" w:themeColor="text1"/>
                <w:sz w:val="16"/>
                <w:szCs w:val="16"/>
                <w:lang w:val="es-ES_tradnl" w:eastAsia="es-ES"/>
              </w:rPr>
              <w:t xml:space="preserve"> de la </w:t>
            </w:r>
            <w:r w:rsidRPr="00D40F8B">
              <w:rPr>
                <w:rFonts w:ascii="Arial" w:hAnsi="Arial" w:cs="Arial"/>
                <w:color w:val="000000" w:themeColor="text1"/>
                <w:sz w:val="16"/>
                <w:szCs w:val="16"/>
                <w:lang w:val="es-ES_tradnl" w:eastAsia="es-ES"/>
              </w:rPr>
              <w:t>Subdirección de Gestión Contractual</w:t>
            </w:r>
          </w:p>
        </w:tc>
      </w:tr>
      <w:tr w:rsidR="00DD5B04" w:rsidRPr="00D40F8B" w14:paraId="2F8FD650" w14:textId="77777777" w:rsidTr="00D15356">
        <w:trPr>
          <w:trHeight w:val="330"/>
        </w:trPr>
        <w:tc>
          <w:tcPr>
            <w:tcW w:w="812" w:type="dxa"/>
            <w:vAlign w:val="center"/>
            <w:hideMark/>
          </w:tcPr>
          <w:p w14:paraId="50203A0B" w14:textId="77777777" w:rsidR="00DD5B04" w:rsidRPr="00D40F8B" w:rsidRDefault="00DD5B04" w:rsidP="00DF76A2">
            <w:pPr>
              <w:jc w:val="both"/>
              <w:rPr>
                <w:rFonts w:ascii="Arial" w:hAnsi="Arial" w:cs="Arial"/>
                <w:color w:val="000000" w:themeColor="text1"/>
                <w:sz w:val="16"/>
                <w:szCs w:val="16"/>
                <w:lang w:val="es-ES_tradnl" w:eastAsia="es-ES"/>
              </w:rPr>
            </w:pPr>
            <w:r w:rsidRPr="00D40F8B">
              <w:rPr>
                <w:rFonts w:ascii="Arial"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1EFE0803" w14:textId="77777777" w:rsidR="00F412DF" w:rsidRPr="00D40F8B" w:rsidRDefault="00F412DF" w:rsidP="00F412DF">
            <w:pPr>
              <w:rPr>
                <w:rFonts w:ascii="Arial" w:hAnsi="Arial" w:cs="Arial"/>
                <w:color w:val="000000" w:themeColor="text1"/>
                <w:sz w:val="16"/>
                <w:szCs w:val="16"/>
                <w:lang w:val="es-ES" w:eastAsia="es-ES"/>
              </w:rPr>
            </w:pPr>
            <w:r w:rsidRPr="00D40F8B">
              <w:rPr>
                <w:rFonts w:ascii="Arial" w:hAnsi="Arial" w:cs="Arial"/>
                <w:color w:val="000000" w:themeColor="text1"/>
                <w:sz w:val="16"/>
                <w:szCs w:val="16"/>
                <w:lang w:val="es-ES" w:eastAsia="es-ES"/>
              </w:rPr>
              <w:t>Juan David Montoya Penagos</w:t>
            </w:r>
          </w:p>
          <w:p w14:paraId="130B3228" w14:textId="128627BF" w:rsidR="00DD5B04" w:rsidRPr="00D40F8B" w:rsidRDefault="00F412DF" w:rsidP="00F412DF">
            <w:pPr>
              <w:jc w:val="both"/>
              <w:rPr>
                <w:rFonts w:ascii="Arial" w:hAnsi="Arial" w:cs="Arial"/>
                <w:color w:val="000000" w:themeColor="text1"/>
                <w:sz w:val="16"/>
                <w:szCs w:val="16"/>
                <w:lang w:val="es-ES_tradnl" w:eastAsia="es-ES"/>
              </w:rPr>
            </w:pPr>
            <w:r w:rsidRPr="00D40F8B">
              <w:rPr>
                <w:rFonts w:ascii="Arial" w:hAnsi="Arial" w:cs="Arial"/>
                <w:color w:val="000000"/>
                <w:sz w:val="16"/>
                <w:szCs w:val="16"/>
                <w:shd w:val="clear" w:color="auto" w:fill="FFFFFF"/>
              </w:rPr>
              <w:t>Gestor T1-15 de la </w:t>
            </w:r>
            <w:r w:rsidRPr="00D40F8B">
              <w:rPr>
                <w:rFonts w:ascii="Arial" w:hAnsi="Arial" w:cs="Arial"/>
                <w:color w:val="000000" w:themeColor="text1"/>
                <w:sz w:val="16"/>
                <w:szCs w:val="16"/>
                <w:lang w:val="es-ES" w:eastAsia="es-ES"/>
              </w:rPr>
              <w:t>Subdirección de Gestión Contractual</w:t>
            </w:r>
          </w:p>
        </w:tc>
      </w:tr>
      <w:tr w:rsidR="00DD5B04" w:rsidRPr="00D40F8B" w14:paraId="0FCBCA4A" w14:textId="77777777" w:rsidTr="00D15356">
        <w:trPr>
          <w:trHeight w:val="300"/>
        </w:trPr>
        <w:tc>
          <w:tcPr>
            <w:tcW w:w="812" w:type="dxa"/>
            <w:vAlign w:val="center"/>
            <w:hideMark/>
          </w:tcPr>
          <w:p w14:paraId="3C1D943A" w14:textId="77777777" w:rsidR="00DD5B04" w:rsidRPr="00D40F8B" w:rsidRDefault="00DD5B04" w:rsidP="00DF76A2">
            <w:pPr>
              <w:jc w:val="both"/>
              <w:rPr>
                <w:rFonts w:ascii="Arial" w:hAnsi="Arial" w:cs="Arial"/>
                <w:color w:val="000000" w:themeColor="text1"/>
                <w:sz w:val="16"/>
                <w:szCs w:val="16"/>
                <w:lang w:val="es-ES_tradnl" w:eastAsia="es-ES"/>
              </w:rPr>
            </w:pPr>
            <w:r w:rsidRPr="00D40F8B">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180A172" w14:textId="7E7E6045" w:rsidR="006A55EE" w:rsidRPr="00D40F8B" w:rsidRDefault="00C05A61" w:rsidP="00DF76A2">
            <w:pPr>
              <w:jc w:val="both"/>
              <w:rPr>
                <w:rFonts w:ascii="Arial" w:hAnsi="Arial" w:cs="Arial"/>
                <w:color w:val="000000" w:themeColor="text1"/>
                <w:sz w:val="16"/>
                <w:szCs w:val="16"/>
                <w:lang w:val="es-ES_tradnl" w:eastAsia="es-ES"/>
              </w:rPr>
            </w:pPr>
            <w:r w:rsidRPr="00D40F8B">
              <w:rPr>
                <w:rFonts w:ascii="Arial" w:hAnsi="Arial" w:cs="Arial"/>
                <w:color w:val="000000" w:themeColor="text1"/>
                <w:sz w:val="16"/>
                <w:szCs w:val="16"/>
                <w:lang w:val="es-ES_tradnl" w:eastAsia="es-ES"/>
              </w:rPr>
              <w:t xml:space="preserve">Jorge </w:t>
            </w:r>
            <w:r w:rsidR="00647A36" w:rsidRPr="00D40F8B">
              <w:rPr>
                <w:rFonts w:ascii="Arial" w:hAnsi="Arial" w:cs="Arial"/>
                <w:color w:val="000000" w:themeColor="text1"/>
                <w:sz w:val="16"/>
                <w:szCs w:val="16"/>
                <w:lang w:val="es-ES_tradnl" w:eastAsia="es-ES"/>
              </w:rPr>
              <w:t xml:space="preserve">Augusto </w:t>
            </w:r>
            <w:r w:rsidRPr="00D40F8B">
              <w:rPr>
                <w:rFonts w:ascii="Arial" w:hAnsi="Arial" w:cs="Arial"/>
                <w:color w:val="000000" w:themeColor="text1"/>
                <w:sz w:val="16"/>
                <w:szCs w:val="16"/>
                <w:lang w:val="es-ES_tradnl" w:eastAsia="es-ES"/>
              </w:rPr>
              <w:t>Tirado Navarro</w:t>
            </w:r>
          </w:p>
          <w:p w14:paraId="1ADC483B" w14:textId="2EC8CC51" w:rsidR="00DD5B04" w:rsidRPr="00D40F8B" w:rsidRDefault="00DD5B04" w:rsidP="00DF76A2">
            <w:pPr>
              <w:jc w:val="both"/>
              <w:rPr>
                <w:rFonts w:ascii="Arial" w:hAnsi="Arial" w:cs="Arial"/>
                <w:color w:val="000000" w:themeColor="text1"/>
                <w:sz w:val="16"/>
                <w:szCs w:val="16"/>
                <w:lang w:val="es-ES_tradnl" w:eastAsia="es-ES"/>
              </w:rPr>
            </w:pPr>
            <w:r w:rsidRPr="00D40F8B">
              <w:rPr>
                <w:rFonts w:ascii="Arial" w:hAnsi="Arial" w:cs="Arial"/>
                <w:color w:val="000000" w:themeColor="text1"/>
                <w:sz w:val="16"/>
                <w:szCs w:val="16"/>
                <w:lang w:val="es-ES_tradnl" w:eastAsia="es-ES"/>
              </w:rPr>
              <w:t>Subdirector de Gestión Contractual</w:t>
            </w:r>
            <w:r w:rsidR="00973AA2">
              <w:rPr>
                <w:rFonts w:ascii="Arial" w:hAnsi="Arial" w:cs="Arial"/>
                <w:color w:val="000000" w:themeColor="text1"/>
                <w:sz w:val="16"/>
                <w:szCs w:val="16"/>
                <w:lang w:val="es-ES_tradnl" w:eastAsia="es-ES"/>
              </w:rPr>
              <w:t xml:space="preserve"> </w:t>
            </w:r>
            <w:r w:rsidR="00973AA2" w:rsidRPr="00CD169B">
              <w:rPr>
                <w:rFonts w:ascii="Arial" w:hAnsi="Arial" w:cs="Arial"/>
                <w:color w:val="000000" w:themeColor="text1"/>
                <w:sz w:val="16"/>
                <w:szCs w:val="16"/>
                <w:lang w:eastAsia="es-ES"/>
              </w:rPr>
              <w:t>ANCP – CCE</w:t>
            </w:r>
          </w:p>
        </w:tc>
      </w:tr>
    </w:tbl>
    <w:p w14:paraId="35B56F46" w14:textId="77777777" w:rsidR="00746E08" w:rsidRPr="00E23980" w:rsidRDefault="00746E08" w:rsidP="00215B8E">
      <w:pPr>
        <w:jc w:val="both"/>
        <w:rPr>
          <w:rFonts w:ascii="Arial" w:hAnsi="Arial" w:cs="Arial"/>
          <w:lang w:val="es-ES_tradnl"/>
        </w:rPr>
      </w:pPr>
    </w:p>
    <w:sectPr w:rsidR="00746E08" w:rsidRPr="00E23980"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F8C4002" w14:textId="77777777" w:rsidR="003745AD" w:rsidRDefault="003745AD">
      <w:r>
        <w:separator/>
      </w:r>
    </w:p>
  </w:endnote>
  <w:endnote w:type="continuationSeparator" w:id="0">
    <w:p w14:paraId="48AE3801" w14:textId="77777777" w:rsidR="003745AD" w:rsidRDefault="003745AD">
      <w:r>
        <w:continuationSeparator/>
      </w:r>
    </w:p>
  </w:endnote>
  <w:endnote w:type="continuationNotice" w:id="1">
    <w:p w14:paraId="54431C52" w14:textId="77777777" w:rsidR="003745AD" w:rsidRDefault="003745A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3785F3" w14:textId="2EF28465" w:rsidR="00EC36B1" w:rsidRPr="008217B7" w:rsidRDefault="00EC36B1"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4A41BA">
      <w:rPr>
        <w:rFonts w:ascii="Arial" w:hAnsi="Arial" w:cs="Arial"/>
        <w:b/>
        <w:bCs/>
        <w:noProof/>
        <w:color w:val="7F7F7F" w:themeColor="text1" w:themeTint="80"/>
        <w:sz w:val="16"/>
        <w:szCs w:val="16"/>
      </w:rPr>
      <w:t>20</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4A41BA">
      <w:rPr>
        <w:rFonts w:ascii="Arial" w:hAnsi="Arial" w:cs="Arial"/>
        <w:b/>
        <w:bCs/>
        <w:noProof/>
        <w:color w:val="7F7F7F" w:themeColor="text1" w:themeTint="80"/>
        <w:sz w:val="16"/>
        <w:szCs w:val="16"/>
      </w:rPr>
      <w:t>20</w:t>
    </w:r>
    <w:r w:rsidRPr="00084B97">
      <w:rPr>
        <w:rFonts w:ascii="Arial" w:hAnsi="Arial" w:cs="Arial"/>
        <w:b/>
        <w:bCs/>
        <w:color w:val="7F7F7F" w:themeColor="text1" w:themeTint="80"/>
        <w:sz w:val="16"/>
        <w:szCs w:val="16"/>
      </w:rPr>
      <w:fldChar w:fldCharType="end"/>
    </w:r>
  </w:p>
  <w:p w14:paraId="48FC6A04" w14:textId="5FD1A7C9" w:rsidR="00EC36B1" w:rsidRDefault="00EC36B1" w:rsidP="00322937">
    <w:pPr>
      <w:pStyle w:val="Piedepgina"/>
      <w:jc w:val="center"/>
      <w:rPr>
        <w:lang w:val="es-ES"/>
      </w:rPr>
    </w:pPr>
    <w:r>
      <w:rPr>
        <w:noProof/>
        <w:lang w:val="es-CO" w:eastAsia="es-CO"/>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EC36B1" w:rsidRDefault="00EC36B1" w:rsidP="007B0854">
    <w:pPr>
      <w:pStyle w:val="Piedepgina"/>
      <w:jc w:val="center"/>
      <w:rPr>
        <w:lang w:val="es-ES"/>
      </w:rPr>
    </w:pPr>
  </w:p>
  <w:p w14:paraId="6C0EFC49" w14:textId="77777777" w:rsidR="00EC36B1" w:rsidRPr="007B0854" w:rsidRDefault="00EC36B1"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323421A" w14:textId="77777777" w:rsidR="003745AD" w:rsidRDefault="003745AD">
      <w:r>
        <w:separator/>
      </w:r>
    </w:p>
  </w:footnote>
  <w:footnote w:type="continuationSeparator" w:id="0">
    <w:p w14:paraId="565DB4CE" w14:textId="77777777" w:rsidR="003745AD" w:rsidRDefault="003745AD">
      <w:r>
        <w:continuationSeparator/>
      </w:r>
    </w:p>
  </w:footnote>
  <w:footnote w:type="continuationNotice" w:id="1">
    <w:p w14:paraId="44302398" w14:textId="77777777" w:rsidR="003745AD" w:rsidRDefault="003745AD"/>
  </w:footnote>
  <w:footnote w:id="2">
    <w:p w14:paraId="545F922D" w14:textId="77777777" w:rsidR="003F63EE" w:rsidRDefault="003F63EE" w:rsidP="003F63EE">
      <w:pPr>
        <w:pStyle w:val="Textonotapie"/>
        <w:ind w:firstLine="709"/>
        <w:jc w:val="both"/>
      </w:pPr>
      <w:r>
        <w:rPr>
          <w:rStyle w:val="Refdenotaalpie"/>
        </w:rPr>
        <w:footnoteRef/>
      </w:r>
      <w:r>
        <w:t xml:space="preserve"> </w:t>
      </w:r>
      <w:r>
        <w:rPr>
          <w:rFonts w:ascii="Arial" w:hAnsi="Arial" w:cs="Arial"/>
          <w:sz w:val="19"/>
          <w:szCs w:val="19"/>
          <w:lang w:val="es-ES"/>
        </w:rPr>
        <w:t>Sobre el particular</w:t>
      </w:r>
      <w:r w:rsidRPr="00C44E61">
        <w:rPr>
          <w:rFonts w:ascii="Arial" w:hAnsi="Arial" w:cs="Arial"/>
          <w:sz w:val="19"/>
          <w:szCs w:val="19"/>
          <w:lang w:val="es-ES"/>
        </w:rPr>
        <w:t>, se puede consultar la Gaceta 158 del cuarto deba</w:t>
      </w:r>
      <w:r>
        <w:rPr>
          <w:rFonts w:ascii="Arial" w:hAnsi="Arial" w:cs="Arial"/>
          <w:sz w:val="19"/>
          <w:szCs w:val="19"/>
          <w:lang w:val="es-ES"/>
        </w:rPr>
        <w:t xml:space="preserve">te en el Senado. Disponible en: </w:t>
      </w:r>
      <w:hyperlink r:id="rId1" w:history="1">
        <w:r w:rsidRPr="00C44E61">
          <w:rPr>
            <w:rFonts w:ascii="Arial" w:hAnsi="Arial" w:cs="Arial"/>
            <w:sz w:val="19"/>
            <w:szCs w:val="19"/>
            <w:lang w:val="es-ES"/>
          </w:rPr>
          <w:t>http://svrpubindc.imprenta.gov.co/senado/index.xhtml;jsessionid=b3ba7213a248bacd37376ffcedca</w:t>
        </w:r>
      </w:hyperlink>
      <w:r w:rsidRPr="00C44E61">
        <w:t xml:space="preserve"> </w:t>
      </w:r>
    </w:p>
    <w:p w14:paraId="7177A302" w14:textId="77777777" w:rsidR="003F63EE" w:rsidRPr="00C44E61" w:rsidRDefault="003F63EE" w:rsidP="003F63EE">
      <w:pPr>
        <w:pStyle w:val="Textonotapie"/>
        <w:ind w:firstLine="709"/>
        <w:rPr>
          <w:lang w:val="es-CO"/>
        </w:rPr>
      </w:pPr>
    </w:p>
  </w:footnote>
  <w:footnote w:id="3">
    <w:p w14:paraId="15B57BB1" w14:textId="77777777" w:rsidR="003F63EE" w:rsidRPr="00AB3BAD" w:rsidRDefault="003F63EE" w:rsidP="003F63EE">
      <w:pPr>
        <w:pStyle w:val="Textonotapie"/>
        <w:ind w:firstLine="709"/>
        <w:jc w:val="both"/>
        <w:rPr>
          <w:rFonts w:ascii="Arial" w:hAnsi="Arial" w:cs="Arial"/>
          <w:sz w:val="19"/>
          <w:szCs w:val="19"/>
          <w:lang w:val="es-ES"/>
        </w:rPr>
      </w:pPr>
      <w:r>
        <w:rPr>
          <w:rStyle w:val="Refdenotaalpie"/>
        </w:rPr>
        <w:footnoteRef/>
      </w:r>
      <w:r>
        <w:t xml:space="preserve"> </w:t>
      </w:r>
      <w:r w:rsidRPr="00AB3BAD">
        <w:rPr>
          <w:rFonts w:ascii="Arial" w:hAnsi="Arial" w:cs="Arial"/>
          <w:sz w:val="19"/>
          <w:szCs w:val="19"/>
          <w:lang w:val="es-ES"/>
        </w:rPr>
        <w:t>Dicho artículo establece: «Créese el Registro Nacional de Obras Civiles Inconclusas, bajo la dirección y coordinación de la Dirección de Información, Análisis y Reacción Inmediata de la Contraloría General de la República, el cual contendrá el inventario actualizado de obras civiles inconclusas y estará compuesto por la información reportada por las entidades estatales del orden nacional, departamental, municipal, distrital y demás órdenes institucionales, sobre las obras civiles inconclusas de su jurisdicción, o la información obtenida por la Contraloría General de la República sobre el particular.</w:t>
      </w:r>
    </w:p>
    <w:p w14:paraId="6E56E16E" w14:textId="77777777" w:rsidR="003F63EE" w:rsidRPr="0031232F" w:rsidRDefault="003F63EE" w:rsidP="003F63EE">
      <w:pPr>
        <w:pStyle w:val="Textonotapie"/>
        <w:ind w:firstLine="709"/>
        <w:jc w:val="both"/>
        <w:rPr>
          <w:rFonts w:ascii="Arial" w:hAnsi="Arial" w:cs="Arial"/>
          <w:sz w:val="19"/>
          <w:szCs w:val="19"/>
          <w:lang w:val="es-ES"/>
        </w:rPr>
      </w:pPr>
      <w:proofErr w:type="gramStart"/>
      <w:r w:rsidRPr="00AB3BAD">
        <w:rPr>
          <w:rFonts w:ascii="Arial" w:hAnsi="Arial" w:cs="Arial"/>
          <w:sz w:val="19"/>
          <w:szCs w:val="19"/>
          <w:lang w:val="es-ES"/>
        </w:rPr>
        <w:t>»La</w:t>
      </w:r>
      <w:proofErr w:type="gramEnd"/>
      <w:r w:rsidRPr="00AB3BAD">
        <w:rPr>
          <w:rFonts w:ascii="Arial" w:hAnsi="Arial" w:cs="Arial"/>
          <w:sz w:val="19"/>
          <w:szCs w:val="19"/>
          <w:lang w:val="es-ES"/>
        </w:rPr>
        <w:t xml:space="preserve"> Contraloría General de la República y las entidades estatales deberán realizar el seguimiento y actualización del Registro Nacional de Obras Civiles Inconclusas con el fin de establecer la realidad respecto de la condición técnica, física y financiera de aquellas. </w:t>
      </w:r>
      <w:r>
        <w:rPr>
          <w:rFonts w:ascii="Arial" w:hAnsi="Arial" w:cs="Arial"/>
          <w:sz w:val="19"/>
          <w:szCs w:val="19"/>
          <w:lang w:val="es-ES"/>
        </w:rPr>
        <w:t>[…]</w:t>
      </w:r>
      <w:r w:rsidRPr="00AB3BAD">
        <w:rPr>
          <w:rFonts w:ascii="Arial" w:hAnsi="Arial" w:cs="Arial"/>
          <w:sz w:val="19"/>
          <w:szCs w:val="19"/>
          <w:lang w:val="es-ES"/>
        </w:rPr>
        <w:t>».</w:t>
      </w:r>
    </w:p>
  </w:footnote>
  <w:footnote w:id="4">
    <w:p w14:paraId="161338A4" w14:textId="77777777" w:rsidR="003F63EE" w:rsidRPr="00AB3BAD" w:rsidRDefault="003F63EE" w:rsidP="003F63EE">
      <w:pPr>
        <w:pStyle w:val="Textonotapie"/>
        <w:ind w:firstLine="709"/>
        <w:jc w:val="both"/>
        <w:rPr>
          <w:rFonts w:ascii="Arial" w:hAnsi="Arial" w:cs="Arial"/>
          <w:sz w:val="19"/>
          <w:szCs w:val="19"/>
        </w:rPr>
      </w:pPr>
    </w:p>
    <w:p w14:paraId="7A70B2D5" w14:textId="77777777" w:rsidR="003F63EE" w:rsidRPr="00AB3BAD" w:rsidRDefault="003F63EE" w:rsidP="003F63EE">
      <w:pPr>
        <w:pStyle w:val="Textonotapie"/>
        <w:ind w:firstLine="709"/>
        <w:jc w:val="both"/>
        <w:rPr>
          <w:rFonts w:ascii="Arial" w:hAnsi="Arial" w:cs="Arial"/>
          <w:sz w:val="19"/>
          <w:szCs w:val="19"/>
          <w:lang w:val="es-ES"/>
        </w:rPr>
      </w:pPr>
      <w:r w:rsidRPr="00AB3BAD">
        <w:rPr>
          <w:rStyle w:val="Refdenotaalpie"/>
          <w:rFonts w:ascii="Arial" w:hAnsi="Arial" w:cs="Arial"/>
          <w:sz w:val="19"/>
          <w:szCs w:val="19"/>
        </w:rPr>
        <w:footnoteRef/>
      </w:r>
      <w:r w:rsidRPr="00AB3BAD">
        <w:rPr>
          <w:rFonts w:ascii="Arial" w:hAnsi="Arial" w:cs="Arial"/>
          <w:sz w:val="19"/>
          <w:szCs w:val="19"/>
        </w:rPr>
        <w:t xml:space="preserve"> </w:t>
      </w:r>
      <w:r w:rsidRPr="00AB3BAD">
        <w:rPr>
          <w:rFonts w:ascii="Arial" w:hAnsi="Arial" w:cs="Arial"/>
          <w:sz w:val="19"/>
          <w:szCs w:val="19"/>
          <w:lang w:val="es-ES"/>
        </w:rPr>
        <w:t>Sobre la competencia de la Contraloría General de la República respecto de la administración del Registro Nacional de Obras Civiles Inconclusas, puede consultarse la circular con radicado No. 2020EE0096013 del 28 de agosto de 2020, en el siguiente enlace: https://www.contraloria.gov.co/documents/20181/1776254/CIRCULAR_2020EE0096013_REGISTRO</w:t>
      </w:r>
      <w:r w:rsidRPr="004C683D">
        <w:rPr>
          <w:rFonts w:ascii="Arial" w:hAnsi="Arial" w:cs="Arial"/>
          <w:sz w:val="19"/>
          <w:szCs w:val="19"/>
          <w:lang w:val="es-ES"/>
        </w:rPr>
        <w:t>_</w:t>
      </w:r>
      <w:r w:rsidRPr="00AB3BAD">
        <w:rPr>
          <w:rFonts w:ascii="Arial" w:hAnsi="Arial" w:cs="Arial"/>
          <w:sz w:val="19"/>
          <w:szCs w:val="19"/>
          <w:lang w:val="es-ES"/>
        </w:rPr>
        <w:t>NACIONAL_OBRAS_INCONCLUSAS.PDF/785952d4-4b41-48cb-916b-4881c3b4a095</w:t>
      </w:r>
    </w:p>
  </w:footnote>
  <w:footnote w:id="5">
    <w:p w14:paraId="50898B9D" w14:textId="77777777" w:rsidR="003F63EE" w:rsidRDefault="003F63EE" w:rsidP="003F63EE">
      <w:pPr>
        <w:pStyle w:val="Textonotapie"/>
        <w:jc w:val="both"/>
        <w:rPr>
          <w:rFonts w:ascii="Arial" w:hAnsi="Arial" w:cs="Arial"/>
          <w:sz w:val="19"/>
          <w:szCs w:val="19"/>
        </w:rPr>
      </w:pPr>
    </w:p>
    <w:p w14:paraId="47BDF827" w14:textId="77777777" w:rsidR="003F63EE" w:rsidRDefault="003F63EE" w:rsidP="003F63EE">
      <w:pPr>
        <w:pStyle w:val="Textonotapie"/>
        <w:ind w:firstLine="709"/>
        <w:jc w:val="both"/>
        <w:rPr>
          <w:rFonts w:ascii="Arial" w:hAnsi="Arial" w:cs="Arial"/>
          <w:sz w:val="19"/>
          <w:szCs w:val="19"/>
          <w:lang w:val="es-ES"/>
        </w:rPr>
      </w:pPr>
      <w:r w:rsidRPr="00AB3BAD">
        <w:rPr>
          <w:rStyle w:val="Refdenotaalpie"/>
          <w:rFonts w:ascii="Arial" w:hAnsi="Arial" w:cs="Arial"/>
          <w:sz w:val="19"/>
          <w:szCs w:val="19"/>
        </w:rPr>
        <w:footnoteRef/>
      </w:r>
      <w:r w:rsidRPr="00AB3BAD">
        <w:rPr>
          <w:rFonts w:ascii="Arial" w:hAnsi="Arial" w:cs="Arial"/>
          <w:sz w:val="19"/>
          <w:szCs w:val="19"/>
        </w:rPr>
        <w:t xml:space="preserve"> </w:t>
      </w:r>
      <w:r w:rsidRPr="00AB3BAD">
        <w:rPr>
          <w:rFonts w:ascii="Arial" w:hAnsi="Arial" w:cs="Arial"/>
          <w:sz w:val="19"/>
          <w:szCs w:val="19"/>
          <w:lang w:val="es-ES"/>
        </w:rPr>
        <w:t>Exposición de motivos del Proyecto de Ley No. 025 de 2018 Cámara. Disponible en: http://leyes.senado.gov.co/proyectos/images/documentos/Textos%20Radicados/Ponencias/2018/gaceta_563.pdf</w:t>
      </w:r>
    </w:p>
    <w:p w14:paraId="5DE5BC25" w14:textId="77777777" w:rsidR="003F63EE" w:rsidRPr="00AB3BAD" w:rsidRDefault="003F63EE" w:rsidP="003F63EE">
      <w:pPr>
        <w:pStyle w:val="Textonotapie"/>
        <w:ind w:firstLine="709"/>
        <w:jc w:val="both"/>
        <w:rPr>
          <w:rFonts w:ascii="Arial" w:hAnsi="Arial" w:cs="Arial"/>
          <w:sz w:val="19"/>
          <w:szCs w:val="19"/>
          <w:lang w:val="es-ES"/>
        </w:rPr>
      </w:pPr>
    </w:p>
  </w:footnote>
  <w:footnote w:id="6">
    <w:p w14:paraId="516FB853" w14:textId="77777777" w:rsidR="003F63EE" w:rsidRDefault="003F63EE" w:rsidP="003F63EE">
      <w:pPr>
        <w:pStyle w:val="Textonotapie"/>
        <w:ind w:firstLine="709"/>
        <w:jc w:val="both"/>
        <w:rPr>
          <w:rFonts w:ascii="Arial" w:hAnsi="Arial" w:cs="Arial"/>
          <w:sz w:val="19"/>
          <w:szCs w:val="19"/>
          <w:lang w:val="es-ES"/>
        </w:rPr>
      </w:pPr>
      <w:r>
        <w:rPr>
          <w:rStyle w:val="Refdenotaalpie"/>
        </w:rPr>
        <w:footnoteRef/>
      </w:r>
      <w:r>
        <w:t xml:space="preserve"> </w:t>
      </w:r>
      <w:r w:rsidRPr="00AB3BAD">
        <w:rPr>
          <w:rFonts w:ascii="Arial" w:hAnsi="Arial" w:cs="Arial"/>
          <w:sz w:val="19"/>
          <w:szCs w:val="19"/>
          <w:lang w:val="es-ES"/>
        </w:rPr>
        <w:t>«</w:t>
      </w:r>
      <w:r w:rsidRPr="00F8415D">
        <w:rPr>
          <w:rFonts w:ascii="Arial" w:hAnsi="Arial" w:cs="Arial"/>
          <w:sz w:val="19"/>
          <w:szCs w:val="19"/>
          <w:lang w:val="es-ES"/>
        </w:rPr>
        <w:t xml:space="preserve">Artículo 11. Planeación. La secretaría, departamento u oficina de planeación o quien haga sus veces podrá presentar en el plan nacional, departamental, distrital o municipal de desarrollo, según sea el caso, una estrategia o medida de atención para determinar la intervención física de terminación o demolición de aquellas obras que figuren en el Registro Nacional de Obras Civiles Inconclusas durante la vigencia del plan, dando énfasis a las obras que más tiempo llevan en el informe sin ser intervenidas, de acuerdo a la disponibilidad de recursos </w:t>
      </w:r>
      <w:r>
        <w:rPr>
          <w:rFonts w:ascii="Arial" w:hAnsi="Arial" w:cs="Arial"/>
          <w:sz w:val="19"/>
          <w:szCs w:val="19"/>
          <w:lang w:val="es-ES"/>
        </w:rPr>
        <w:t>con que cuente en cada vigencia</w:t>
      </w:r>
      <w:r w:rsidRPr="00AB3BAD">
        <w:rPr>
          <w:rFonts w:ascii="Arial" w:hAnsi="Arial" w:cs="Arial"/>
          <w:sz w:val="19"/>
          <w:szCs w:val="19"/>
          <w:lang w:val="es-ES"/>
        </w:rPr>
        <w:t>»</w:t>
      </w:r>
      <w:r>
        <w:rPr>
          <w:rFonts w:ascii="Arial" w:hAnsi="Arial" w:cs="Arial"/>
          <w:sz w:val="19"/>
          <w:szCs w:val="19"/>
          <w:lang w:val="es-ES"/>
        </w:rPr>
        <w:t>.</w:t>
      </w:r>
    </w:p>
    <w:p w14:paraId="45FF1CAC" w14:textId="77777777" w:rsidR="003F63EE" w:rsidRPr="00F8415D" w:rsidRDefault="003F63EE" w:rsidP="003F63EE">
      <w:pPr>
        <w:pStyle w:val="Textonotapie"/>
        <w:ind w:firstLine="709"/>
        <w:jc w:val="both"/>
        <w:rPr>
          <w:lang w:val="es-CO"/>
        </w:rPr>
      </w:pPr>
    </w:p>
  </w:footnote>
  <w:footnote w:id="7">
    <w:p w14:paraId="66FBC820" w14:textId="77777777" w:rsidR="003F63EE" w:rsidRPr="004347DA" w:rsidRDefault="003F63EE" w:rsidP="003F63EE">
      <w:pPr>
        <w:pStyle w:val="Textonotapie"/>
        <w:ind w:firstLine="709"/>
        <w:jc w:val="both"/>
        <w:rPr>
          <w:lang w:val="es-CO"/>
        </w:rPr>
      </w:pPr>
      <w:r>
        <w:rPr>
          <w:rStyle w:val="Refdenotaalpie"/>
        </w:rPr>
        <w:footnoteRef/>
      </w:r>
      <w:r>
        <w:t xml:space="preserve"> </w:t>
      </w:r>
      <w:r w:rsidRPr="00AB3BAD">
        <w:rPr>
          <w:rFonts w:ascii="Arial" w:hAnsi="Arial" w:cs="Arial"/>
          <w:sz w:val="19"/>
          <w:szCs w:val="19"/>
          <w:lang w:val="es-ES"/>
        </w:rPr>
        <w:t>«</w:t>
      </w:r>
      <w:r>
        <w:rPr>
          <w:rFonts w:ascii="Arial" w:hAnsi="Arial" w:cs="Arial"/>
          <w:sz w:val="19"/>
          <w:szCs w:val="19"/>
          <w:lang w:val="es-ES"/>
        </w:rPr>
        <w:t>Artículo 9. Responsables.</w:t>
      </w:r>
      <w:r w:rsidRPr="000F2739">
        <w:rPr>
          <w:rFonts w:ascii="Arial" w:hAnsi="Arial" w:cs="Arial"/>
          <w:sz w:val="19"/>
          <w:szCs w:val="19"/>
          <w:lang w:val="es-ES"/>
        </w:rPr>
        <w:t xml:space="preserve"> Los responsables de hacer el inventario de obras </w:t>
      </w:r>
      <w:proofErr w:type="gramStart"/>
      <w:r w:rsidRPr="000F2739">
        <w:rPr>
          <w:rFonts w:ascii="Arial" w:hAnsi="Arial" w:cs="Arial"/>
          <w:sz w:val="19"/>
          <w:szCs w:val="19"/>
          <w:lang w:val="es-ES"/>
        </w:rPr>
        <w:t>inconclusas,</w:t>
      </w:r>
      <w:proofErr w:type="gramEnd"/>
      <w:r w:rsidRPr="000F2739">
        <w:rPr>
          <w:rFonts w:ascii="Arial" w:hAnsi="Arial" w:cs="Arial"/>
          <w:sz w:val="19"/>
          <w:szCs w:val="19"/>
          <w:lang w:val="es-ES"/>
        </w:rPr>
        <w:t xml:space="preserve"> serán los ministros, gerentes, presidentes, directores, superintendentes, gobernadores, alcaldes, y demás representantes legales de entidades estatales, en cualquiera de sus esferas nacionales o territoriales, y los demás ordenadores del gasto de quien dependa la toma</w:t>
      </w:r>
      <w:r>
        <w:rPr>
          <w:rFonts w:ascii="Arial" w:hAnsi="Arial" w:cs="Arial"/>
          <w:sz w:val="19"/>
          <w:szCs w:val="19"/>
          <w:lang w:val="es-ES"/>
        </w:rPr>
        <w:t xml:space="preserve"> de decisiones sobre la materia</w:t>
      </w:r>
      <w:r w:rsidRPr="00AB3BAD">
        <w:rPr>
          <w:rFonts w:ascii="Arial" w:hAnsi="Arial" w:cs="Arial"/>
          <w:sz w:val="19"/>
          <w:szCs w:val="19"/>
          <w:lang w:val="es-ES"/>
        </w:rPr>
        <w:t>»</w:t>
      </w:r>
      <w:r>
        <w:rPr>
          <w:rFonts w:ascii="Arial" w:hAnsi="Arial" w:cs="Arial"/>
          <w:sz w:val="19"/>
          <w:szCs w:val="19"/>
          <w:lang w:val="es-ES"/>
        </w:rPr>
        <w:t>.</w:t>
      </w:r>
    </w:p>
  </w:footnote>
  <w:footnote w:id="8">
    <w:p w14:paraId="19815BFB" w14:textId="77777777" w:rsidR="00466861" w:rsidRDefault="00466861" w:rsidP="00466861">
      <w:pPr>
        <w:pStyle w:val="Textonotapie"/>
        <w:ind w:firstLine="709"/>
        <w:jc w:val="both"/>
        <w:rPr>
          <w:rFonts w:ascii="Arial" w:hAnsi="Arial" w:cs="Arial"/>
          <w:color w:val="000000" w:themeColor="text1"/>
          <w:sz w:val="19"/>
          <w:szCs w:val="19"/>
        </w:rPr>
      </w:pPr>
      <w:r w:rsidRPr="00AB3BAD">
        <w:rPr>
          <w:rStyle w:val="Refdenotaalpie"/>
          <w:rFonts w:ascii="Arial" w:hAnsi="Arial" w:cs="Arial"/>
          <w:sz w:val="19"/>
          <w:szCs w:val="19"/>
        </w:rPr>
        <w:footnoteRef/>
      </w:r>
      <w:r w:rsidRPr="00AB3BAD">
        <w:rPr>
          <w:rFonts w:ascii="Arial" w:hAnsi="Arial" w:cs="Arial"/>
          <w:sz w:val="19"/>
          <w:szCs w:val="19"/>
        </w:rPr>
        <w:t xml:space="preserve"> </w:t>
      </w:r>
      <w:r w:rsidRPr="00AB3BAD">
        <w:rPr>
          <w:rFonts w:ascii="Arial" w:hAnsi="Arial" w:cs="Arial"/>
          <w:color w:val="000000" w:themeColor="text1"/>
          <w:sz w:val="19"/>
          <w:szCs w:val="19"/>
          <w:lang w:eastAsia="es-CO"/>
        </w:rPr>
        <w:t>Ley 1437 de 2011:</w:t>
      </w:r>
      <w:r w:rsidRPr="00AB3BAD">
        <w:rPr>
          <w:rFonts w:ascii="Arial" w:hAnsi="Arial" w:cs="Arial"/>
          <w:color w:val="000000" w:themeColor="text1"/>
          <w:sz w:val="19"/>
          <w:szCs w:val="19"/>
        </w:rPr>
        <w:t xml:space="preserve"> «Artículo 44. Decisiones discrecionales. En la medida en que el contenido de una decisión de carácter general o particular sea discrecional, debe ser adecuada a los fines de la norma que la autoriza, y proporcional a los hechos que le sirven de causa</w:t>
      </w:r>
      <w:r w:rsidRPr="00AB3BAD">
        <w:rPr>
          <w:rFonts w:ascii="Arial" w:hAnsi="Arial" w:cs="Arial"/>
          <w:color w:val="000000" w:themeColor="text1"/>
          <w:sz w:val="19"/>
          <w:szCs w:val="19"/>
          <w:lang w:eastAsia="es-CO"/>
        </w:rPr>
        <w:t>»</w:t>
      </w:r>
      <w:r w:rsidRPr="00AB3BAD">
        <w:rPr>
          <w:rFonts w:ascii="Arial" w:hAnsi="Arial" w:cs="Arial"/>
          <w:color w:val="000000" w:themeColor="text1"/>
          <w:sz w:val="19"/>
          <w:szCs w:val="19"/>
        </w:rPr>
        <w:t>.</w:t>
      </w:r>
    </w:p>
    <w:p w14:paraId="12B2685B" w14:textId="77777777" w:rsidR="00466861" w:rsidRPr="00AB3BAD" w:rsidRDefault="00466861" w:rsidP="00466861">
      <w:pPr>
        <w:pStyle w:val="Textonotapie"/>
        <w:ind w:firstLine="709"/>
        <w:jc w:val="both"/>
        <w:rPr>
          <w:rFonts w:ascii="Arial" w:hAnsi="Arial" w:cs="Arial"/>
          <w:sz w:val="19"/>
          <w:szCs w:val="19"/>
          <w:lang w:val="es-ES"/>
        </w:rPr>
      </w:pPr>
    </w:p>
  </w:footnote>
  <w:footnote w:id="9">
    <w:p w14:paraId="615A1910" w14:textId="77777777" w:rsidR="00466861" w:rsidRPr="00AB3BAD" w:rsidRDefault="00466861" w:rsidP="00466861">
      <w:pPr>
        <w:pStyle w:val="Textonotapie"/>
        <w:ind w:firstLine="709"/>
        <w:jc w:val="both"/>
        <w:rPr>
          <w:rFonts w:ascii="Arial" w:hAnsi="Arial" w:cs="Arial"/>
          <w:color w:val="000000" w:themeColor="text1"/>
          <w:sz w:val="19"/>
          <w:szCs w:val="19"/>
          <w:lang w:val="es-ES"/>
        </w:rPr>
      </w:pPr>
      <w:r w:rsidRPr="00AB3BAD">
        <w:rPr>
          <w:rStyle w:val="Refdenotaalpie"/>
          <w:rFonts w:ascii="Arial" w:hAnsi="Arial" w:cs="Arial"/>
          <w:color w:val="000000" w:themeColor="text1"/>
          <w:sz w:val="19"/>
          <w:szCs w:val="19"/>
        </w:rPr>
        <w:footnoteRef/>
      </w:r>
      <w:r w:rsidRPr="00AB3BAD">
        <w:rPr>
          <w:rFonts w:ascii="Arial" w:hAnsi="Arial" w:cs="Arial"/>
          <w:color w:val="000000" w:themeColor="text1"/>
          <w:sz w:val="19"/>
          <w:szCs w:val="19"/>
        </w:rPr>
        <w:t xml:space="preserve"> </w:t>
      </w:r>
      <w:r w:rsidRPr="00AB3BAD">
        <w:rPr>
          <w:rFonts w:ascii="Arial" w:hAnsi="Arial" w:cs="Arial"/>
          <w:color w:val="000000" w:themeColor="text1"/>
          <w:sz w:val="19"/>
          <w:szCs w:val="19"/>
          <w:lang w:val="es-ES"/>
        </w:rPr>
        <w:t xml:space="preserve">Principio que se compone a su vez de «tres subprincipios, etapas o mandatos parciales: el </w:t>
      </w:r>
      <w:r w:rsidRPr="00AB3BAD">
        <w:rPr>
          <w:rFonts w:ascii="Arial" w:hAnsi="Arial" w:cs="Arial"/>
          <w:i/>
          <w:iCs/>
          <w:color w:val="000000" w:themeColor="text1"/>
          <w:sz w:val="19"/>
          <w:szCs w:val="19"/>
          <w:lang w:val="es-ES"/>
        </w:rPr>
        <w:t>subprincipio o mandato de adecuación, de idoneidad o de congruencia</w:t>
      </w:r>
      <w:r w:rsidRPr="00AB3BAD">
        <w:rPr>
          <w:rFonts w:ascii="Arial" w:hAnsi="Arial" w:cs="Arial"/>
          <w:color w:val="000000" w:themeColor="text1"/>
          <w:sz w:val="19"/>
          <w:szCs w:val="19"/>
          <w:lang w:val="es-ES"/>
        </w:rPr>
        <w:t xml:space="preserve">, por virtud del cual la medida limitadora de los derechos o intereses del administrado debe ser útil, apropiada o idónea para obtener el fin buscado, esto es, que el abanico de posibles medidas que ha de adoptar la Administración se limita a las que resulten congruentes con el entramado fáctico del caso y aptas para la consecución del cometido fijado por el ordenamiento jurídico al atribuir la potestad correspondiente a la Administración; el </w:t>
      </w:r>
      <w:r w:rsidRPr="00AB3BAD">
        <w:rPr>
          <w:rFonts w:ascii="Arial" w:hAnsi="Arial" w:cs="Arial"/>
          <w:i/>
          <w:iCs/>
          <w:color w:val="000000" w:themeColor="text1"/>
          <w:sz w:val="19"/>
          <w:szCs w:val="19"/>
          <w:lang w:val="es-ES"/>
        </w:rPr>
        <w:t>subprincipio o mandato de necesidad, intervención mínima o menor lesividad</w:t>
      </w:r>
      <w:r w:rsidRPr="00AB3BAD">
        <w:rPr>
          <w:rFonts w:ascii="Arial" w:hAnsi="Arial" w:cs="Arial"/>
          <w:color w:val="000000" w:themeColor="text1"/>
          <w:sz w:val="19"/>
          <w:szCs w:val="19"/>
          <w:lang w:val="es-ES"/>
        </w:rPr>
        <w:t xml:space="preserve">, de acuerdo con el cual la adopción de la medida elegida debe ser indispensable, dada la inexistencia de una alternativa distinta que sea tan eficaz para satisfacer el fin de interés público al cual apunta, pero menos limitativa del otro u otros principios, derechos o intereses en tensión; y en tercer lugar, </w:t>
      </w:r>
      <w:r w:rsidRPr="00AB3BAD">
        <w:rPr>
          <w:rFonts w:ascii="Arial" w:hAnsi="Arial" w:cs="Arial"/>
          <w:i/>
          <w:iCs/>
          <w:color w:val="000000" w:themeColor="text1"/>
          <w:sz w:val="19"/>
          <w:szCs w:val="19"/>
          <w:lang w:val="es-ES"/>
        </w:rPr>
        <w:t>el subprincipio o mandato de proporcionalidad en sentido estricto</w:t>
      </w:r>
      <w:r w:rsidRPr="00AB3BAD">
        <w:rPr>
          <w:rFonts w:ascii="Arial" w:hAnsi="Arial" w:cs="Arial"/>
          <w:color w:val="000000" w:themeColor="text1"/>
          <w:sz w:val="19"/>
          <w:szCs w:val="19"/>
          <w:lang w:val="es-ES"/>
        </w:rPr>
        <w:t>, de acuerdo con el cual debe producirse un equilibrio entre el perjuicio irrogado al derecho o interés que se limita y el beneficio que de ello se deriva para el bien jurídico que la medida prohíja» (MARÍN HERNÁNDEZ, Hugo Alberto. El principio de proporcionalidad en el derecho administrativo colombiano. Bogotá: Universidad Externado de Colombia, 2018. p. 34).</w:t>
      </w:r>
    </w:p>
    <w:p w14:paraId="588068E2" w14:textId="77777777" w:rsidR="00466861" w:rsidRPr="00AB3BAD" w:rsidRDefault="00466861" w:rsidP="00466861">
      <w:pPr>
        <w:pStyle w:val="Textonotapie"/>
        <w:ind w:firstLine="709"/>
        <w:jc w:val="both"/>
        <w:rPr>
          <w:rFonts w:ascii="Arial" w:hAnsi="Arial" w:cs="Arial"/>
          <w:color w:val="000000" w:themeColor="text1"/>
          <w:sz w:val="19"/>
          <w:szCs w:val="19"/>
          <w:lang w:val="es-ES"/>
        </w:rPr>
      </w:pPr>
    </w:p>
  </w:footnote>
  <w:footnote w:id="10">
    <w:p w14:paraId="5144796C" w14:textId="77777777" w:rsidR="00466861" w:rsidRPr="00AB3BAD" w:rsidRDefault="00466861" w:rsidP="00466861">
      <w:pPr>
        <w:ind w:firstLine="709"/>
        <w:jc w:val="both"/>
        <w:rPr>
          <w:rFonts w:ascii="Arial" w:eastAsiaTheme="minorHAnsi" w:hAnsi="Arial" w:cs="Arial"/>
          <w:sz w:val="19"/>
          <w:szCs w:val="19"/>
          <w:lang w:val="es-ES" w:eastAsia="en-US"/>
        </w:rPr>
      </w:pPr>
      <w:r w:rsidRPr="00AB3BAD">
        <w:rPr>
          <w:rStyle w:val="Refdenotaalpie"/>
          <w:rFonts w:ascii="Arial" w:hAnsi="Arial" w:cs="Arial"/>
          <w:sz w:val="19"/>
          <w:szCs w:val="19"/>
        </w:rPr>
        <w:footnoteRef/>
      </w:r>
      <w:r w:rsidRPr="00AB3BAD">
        <w:rPr>
          <w:rFonts w:ascii="Arial" w:hAnsi="Arial" w:cs="Arial"/>
          <w:sz w:val="19"/>
          <w:szCs w:val="19"/>
        </w:rPr>
        <w:t xml:space="preserve"> </w:t>
      </w:r>
      <w:r w:rsidRPr="00AB3BAD">
        <w:rPr>
          <w:rFonts w:ascii="Arial" w:hAnsi="Arial" w:cs="Arial"/>
          <w:sz w:val="19"/>
          <w:szCs w:val="19"/>
          <w:lang w:val="es-ES"/>
        </w:rPr>
        <w:t xml:space="preserve">Consejo de Estado. Sección Tercera. Sentencia del 14 de abril de 2010. Consejero Ponente: Enrique Gil Botero. </w:t>
      </w:r>
      <w:r w:rsidRPr="00AB3BAD">
        <w:rPr>
          <w:rFonts w:ascii="Arial" w:eastAsiaTheme="minorHAnsi" w:hAnsi="Arial" w:cs="Arial"/>
          <w:sz w:val="19"/>
          <w:szCs w:val="19"/>
          <w:lang w:val="es-ES" w:eastAsia="en-US"/>
        </w:rPr>
        <w:t>Radicación número: 11001-03-26-000-2008-00101-00(</w:t>
      </w:r>
      <w:proofErr w:type="gramStart"/>
      <w:r w:rsidRPr="00AB3BAD">
        <w:rPr>
          <w:rFonts w:ascii="Arial" w:eastAsiaTheme="minorHAnsi" w:hAnsi="Arial" w:cs="Arial"/>
          <w:sz w:val="19"/>
          <w:szCs w:val="19"/>
          <w:lang w:val="es-ES" w:eastAsia="en-US"/>
        </w:rPr>
        <w:t>36054)B.</w:t>
      </w:r>
      <w:proofErr w:type="gramEnd"/>
    </w:p>
    <w:p w14:paraId="4AF2FD79" w14:textId="77777777" w:rsidR="00466861" w:rsidRPr="00AB3BAD" w:rsidRDefault="00466861" w:rsidP="00466861">
      <w:pPr>
        <w:pStyle w:val="Textonotapie"/>
        <w:ind w:firstLine="709"/>
        <w:jc w:val="both"/>
        <w:rPr>
          <w:rFonts w:ascii="Arial" w:hAnsi="Arial" w:cs="Arial"/>
          <w:sz w:val="19"/>
          <w:szCs w:val="19"/>
          <w:lang w:val="es-ES"/>
        </w:rPr>
      </w:pPr>
    </w:p>
  </w:footnote>
  <w:footnote w:id="11">
    <w:p w14:paraId="66F2F19B" w14:textId="77777777" w:rsidR="00466861" w:rsidRPr="00AB3BAD" w:rsidRDefault="00466861" w:rsidP="00466861">
      <w:pPr>
        <w:pStyle w:val="Textonotapie"/>
        <w:ind w:firstLine="709"/>
        <w:jc w:val="both"/>
        <w:rPr>
          <w:rFonts w:ascii="Arial" w:hAnsi="Arial" w:cs="Arial"/>
          <w:sz w:val="19"/>
          <w:szCs w:val="19"/>
        </w:rPr>
      </w:pPr>
      <w:r w:rsidRPr="00AB3BAD">
        <w:rPr>
          <w:rStyle w:val="Refdenotaalpie"/>
          <w:rFonts w:ascii="Arial" w:hAnsi="Arial" w:cs="Arial"/>
          <w:sz w:val="19"/>
          <w:szCs w:val="19"/>
        </w:rPr>
        <w:footnoteRef/>
      </w:r>
      <w:r w:rsidRPr="00AB3BAD">
        <w:rPr>
          <w:rFonts w:ascii="Arial" w:hAnsi="Arial" w:cs="Arial"/>
          <w:sz w:val="19"/>
          <w:szCs w:val="19"/>
        </w:rPr>
        <w:t xml:space="preserve"> «ARTÍCULO 1o. Modifíquese el artículo 4o de la Ley 1882 de 2018, el cual quedará así:</w:t>
      </w:r>
    </w:p>
    <w:p w14:paraId="112BC1AB" w14:textId="77777777" w:rsidR="00466861" w:rsidRPr="00AB3BAD" w:rsidRDefault="00466861" w:rsidP="00466861">
      <w:pPr>
        <w:pStyle w:val="Textonotapie"/>
        <w:ind w:firstLine="709"/>
        <w:jc w:val="both"/>
        <w:rPr>
          <w:rFonts w:ascii="Arial" w:hAnsi="Arial" w:cs="Arial"/>
          <w:sz w:val="19"/>
          <w:szCs w:val="19"/>
        </w:rPr>
      </w:pPr>
      <w:proofErr w:type="gramStart"/>
      <w:r w:rsidRPr="00AB3BAD">
        <w:rPr>
          <w:rFonts w:ascii="Arial" w:hAnsi="Arial" w:cs="Arial"/>
          <w:sz w:val="19"/>
          <w:szCs w:val="19"/>
        </w:rPr>
        <w:t>»Artículo</w:t>
      </w:r>
      <w:proofErr w:type="gramEnd"/>
      <w:r w:rsidRPr="00AB3BAD">
        <w:rPr>
          <w:rFonts w:ascii="Arial" w:hAnsi="Arial" w:cs="Arial"/>
          <w:sz w:val="19"/>
          <w:szCs w:val="19"/>
        </w:rPr>
        <w:t xml:space="preserve"> 4o. Adiciónese el siguiente parágrafo al artículo 2o de la Ley 1150 de 2007.</w:t>
      </w:r>
    </w:p>
    <w:p w14:paraId="56B18859" w14:textId="16BB05F3" w:rsidR="00466861" w:rsidRPr="00AB3BAD" w:rsidRDefault="00466861" w:rsidP="00466861">
      <w:pPr>
        <w:pStyle w:val="Textonotapie"/>
        <w:ind w:firstLine="709"/>
        <w:jc w:val="both"/>
        <w:rPr>
          <w:rFonts w:ascii="Arial" w:hAnsi="Arial" w:cs="Arial"/>
          <w:sz w:val="19"/>
          <w:szCs w:val="19"/>
        </w:rPr>
      </w:pPr>
      <w:proofErr w:type="gramStart"/>
      <w:r w:rsidRPr="00AB3BAD">
        <w:rPr>
          <w:rFonts w:ascii="Arial" w:hAnsi="Arial" w:cs="Arial"/>
          <w:sz w:val="19"/>
          <w:szCs w:val="19"/>
        </w:rPr>
        <w:t>»PARÁGRAFO</w:t>
      </w:r>
      <w:proofErr w:type="gramEnd"/>
      <w:r w:rsidRPr="00AB3BAD">
        <w:rPr>
          <w:rFonts w:ascii="Arial" w:hAnsi="Arial" w:cs="Arial"/>
          <w:sz w:val="19"/>
          <w:szCs w:val="19"/>
        </w:rPr>
        <w:t xml:space="preserve"> 7o. 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w:t>
      </w:r>
    </w:p>
    <w:p w14:paraId="73C8A641" w14:textId="77777777" w:rsidR="00466861" w:rsidRPr="00AB3BAD" w:rsidRDefault="00466861" w:rsidP="00466861">
      <w:pPr>
        <w:pStyle w:val="Textonotapie"/>
        <w:ind w:firstLine="709"/>
        <w:jc w:val="both"/>
        <w:rPr>
          <w:rFonts w:ascii="Arial" w:hAnsi="Arial" w:cs="Arial"/>
          <w:sz w:val="19"/>
          <w:szCs w:val="19"/>
        </w:rPr>
      </w:pPr>
      <w:proofErr w:type="gramStart"/>
      <w:r w:rsidRPr="00AB3BAD">
        <w:rPr>
          <w:rFonts w:ascii="Arial" w:hAnsi="Arial" w:cs="Arial"/>
          <w:sz w:val="19"/>
          <w:szCs w:val="19"/>
        </w:rPr>
        <w:t>»Dentro</w:t>
      </w:r>
      <w:proofErr w:type="gramEnd"/>
      <w:r w:rsidRPr="00AB3BAD">
        <w:rPr>
          <w:rFonts w:ascii="Arial" w:hAnsi="Arial" w:cs="Arial"/>
          <w:sz w:val="19"/>
          <w:szCs w:val="19"/>
        </w:rPr>
        <w:t xml:space="preserve">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p>
    <w:p w14:paraId="739F0957" w14:textId="77777777" w:rsidR="00466861" w:rsidRPr="00AB3BAD" w:rsidRDefault="00466861" w:rsidP="00466861">
      <w:pPr>
        <w:pStyle w:val="Textonotapie"/>
        <w:ind w:firstLine="709"/>
        <w:jc w:val="both"/>
        <w:rPr>
          <w:rFonts w:ascii="Arial" w:hAnsi="Arial" w:cs="Arial"/>
          <w:sz w:val="19"/>
          <w:szCs w:val="19"/>
        </w:rPr>
      </w:pPr>
      <w:proofErr w:type="gramStart"/>
      <w:r w:rsidRPr="00AB3BAD">
        <w:rPr>
          <w:rFonts w:ascii="Arial" w:hAnsi="Arial" w:cs="Arial"/>
          <w:sz w:val="19"/>
          <w:szCs w:val="19"/>
        </w:rPr>
        <w:t>»Con</w:t>
      </w:r>
      <w:proofErr w:type="gramEnd"/>
      <w:r w:rsidRPr="00AB3BAD">
        <w:rPr>
          <w:rFonts w:ascii="Arial" w:hAnsi="Arial" w:cs="Arial"/>
          <w:sz w:val="19"/>
          <w:szCs w:val="19"/>
        </w:rPr>
        <w:t xml:space="preserve">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w:t>
      </w:r>
    </w:p>
    <w:p w14:paraId="37364704" w14:textId="77777777" w:rsidR="00466861" w:rsidRPr="00AB3BAD" w:rsidRDefault="00466861" w:rsidP="00466861">
      <w:pPr>
        <w:pStyle w:val="Textonotapie"/>
        <w:ind w:firstLine="709"/>
        <w:jc w:val="both"/>
        <w:rPr>
          <w:rFonts w:ascii="Arial" w:hAnsi="Arial" w:cs="Arial"/>
          <w:sz w:val="19"/>
          <w:szCs w:val="19"/>
        </w:rPr>
      </w:pPr>
      <w:r w:rsidRPr="00AB3BAD">
        <w:rPr>
          <w:rFonts w:ascii="Arial" w:hAnsi="Arial" w:cs="Arial"/>
          <w:sz w:val="19"/>
          <w:szCs w:val="19"/>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w:t>
      </w:r>
    </w:p>
    <w:p w14:paraId="384F3A66" w14:textId="77777777" w:rsidR="00466861" w:rsidRPr="00AB3BAD" w:rsidRDefault="00466861" w:rsidP="00466861">
      <w:pPr>
        <w:pStyle w:val="Textonotapie"/>
        <w:ind w:firstLine="709"/>
        <w:jc w:val="both"/>
        <w:rPr>
          <w:rFonts w:ascii="Arial" w:hAnsi="Arial" w:cs="Arial"/>
          <w:sz w:val="19"/>
          <w:szCs w:val="19"/>
          <w:lang w:val="es-CO"/>
        </w:rPr>
      </w:pPr>
      <w:proofErr w:type="gramStart"/>
      <w:r w:rsidRPr="00AB3BAD">
        <w:rPr>
          <w:rFonts w:ascii="Arial" w:hAnsi="Arial" w:cs="Arial"/>
          <w:sz w:val="19"/>
          <w:szCs w:val="19"/>
        </w:rPr>
        <w:t>»En</w:t>
      </w:r>
      <w:proofErr w:type="gramEnd"/>
      <w:r w:rsidRPr="00AB3BAD">
        <w:rPr>
          <w:rFonts w:ascii="Arial" w:hAnsi="Arial" w:cs="Arial"/>
          <w:sz w:val="19"/>
          <w:szCs w:val="19"/>
        </w:rPr>
        <w:t xml:space="preserve">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w:t>
      </w:r>
    </w:p>
  </w:footnote>
  <w:footnote w:id="12">
    <w:p w14:paraId="31535A09" w14:textId="77777777" w:rsidR="00466861" w:rsidRDefault="00466861" w:rsidP="00466861">
      <w:pPr>
        <w:pStyle w:val="Textonotapie"/>
        <w:ind w:firstLine="709"/>
        <w:jc w:val="both"/>
        <w:rPr>
          <w:color w:val="000000" w:themeColor="text1"/>
          <w:lang w:val="es-CO"/>
        </w:rPr>
      </w:pPr>
      <w:r>
        <w:rPr>
          <w:rStyle w:val="Refdenotaalpie"/>
        </w:rPr>
        <w:footnoteRef/>
      </w:r>
      <w:r>
        <w:t xml:space="preserve"> </w:t>
      </w:r>
      <w:r w:rsidRPr="00B40B47">
        <w:rPr>
          <w:rFonts w:ascii="Arial" w:hAnsi="Arial" w:cs="Arial"/>
          <w:sz w:val="19"/>
          <w:szCs w:val="19"/>
        </w:rPr>
        <w:t xml:space="preserve">Para el efecto, se puede consultar el siguiente enlace en el cual </w:t>
      </w:r>
      <w:r>
        <w:rPr>
          <w:rFonts w:ascii="Arial" w:hAnsi="Arial" w:cs="Arial"/>
          <w:sz w:val="19"/>
          <w:szCs w:val="19"/>
        </w:rPr>
        <w:t>se encuentran</w:t>
      </w:r>
      <w:r w:rsidRPr="00B40B47">
        <w:rPr>
          <w:rFonts w:ascii="Arial" w:hAnsi="Arial" w:cs="Arial"/>
          <w:sz w:val="19"/>
          <w:szCs w:val="19"/>
        </w:rPr>
        <w:t xml:space="preserve"> todos los documentos</w:t>
      </w:r>
      <w:r>
        <w:rPr>
          <w:rFonts w:ascii="Arial" w:hAnsi="Arial" w:cs="Arial"/>
          <w:sz w:val="19"/>
          <w:szCs w:val="19"/>
        </w:rPr>
        <w:t xml:space="preserve"> tipo actualmente implementados por Colombia Compra Eficiente </w:t>
      </w:r>
      <w:hyperlink r:id="rId2" w:history="1">
        <w:r w:rsidRPr="00B40B47">
          <w:rPr>
            <w:rFonts w:ascii="Arial" w:hAnsi="Arial" w:cs="Arial"/>
            <w:sz w:val="19"/>
            <w:szCs w:val="19"/>
          </w:rPr>
          <w:t>https://www.colombiacompra.gov.co/documentos-tipo/documentos-tipo</w:t>
        </w:r>
      </w:hyperlink>
      <w:r>
        <w:rPr>
          <w:rFonts w:ascii="Arial" w:hAnsi="Arial" w:cs="Arial"/>
          <w:sz w:val="19"/>
          <w:szCs w:val="19"/>
        </w:rPr>
        <w:t xml:space="preserve"> </w:t>
      </w:r>
      <w:r>
        <w:rPr>
          <w:color w:val="000000" w:themeColor="text1"/>
          <w:lang w:val="es-CO"/>
        </w:rPr>
        <w:t xml:space="preserve"> </w:t>
      </w:r>
      <w:r w:rsidRPr="00B40B47">
        <w:rPr>
          <w:color w:val="000000" w:themeColor="text1"/>
          <w:lang w:val="es-CO"/>
        </w:rPr>
        <w:t xml:space="preserve"> </w:t>
      </w:r>
    </w:p>
    <w:p w14:paraId="65B1EB8D" w14:textId="77777777" w:rsidR="00466861" w:rsidRPr="00B40B47" w:rsidRDefault="00466861" w:rsidP="00466861">
      <w:pPr>
        <w:pStyle w:val="Textonotapie"/>
        <w:ind w:firstLine="709"/>
        <w:jc w:val="both"/>
        <w:rPr>
          <w:lang w:val="es-CO"/>
        </w:rPr>
      </w:pPr>
    </w:p>
  </w:footnote>
  <w:footnote w:id="13">
    <w:p w14:paraId="75A669B8" w14:textId="77777777" w:rsidR="00466861" w:rsidRDefault="00466861" w:rsidP="00466861">
      <w:pPr>
        <w:pStyle w:val="Textonotapie"/>
        <w:ind w:firstLine="709"/>
        <w:rPr>
          <w:rFonts w:ascii="Arial" w:hAnsi="Arial" w:cs="Arial"/>
          <w:sz w:val="19"/>
          <w:szCs w:val="19"/>
          <w:lang w:val="es-CO"/>
        </w:rPr>
      </w:pPr>
      <w:r w:rsidRPr="00D65DFE">
        <w:rPr>
          <w:rStyle w:val="Refdenotaalpie"/>
          <w:rFonts w:ascii="Arial" w:hAnsi="Arial" w:cs="Arial"/>
          <w:sz w:val="19"/>
          <w:szCs w:val="19"/>
        </w:rPr>
        <w:footnoteRef/>
      </w:r>
      <w:r w:rsidRPr="00D65DFE">
        <w:rPr>
          <w:rFonts w:ascii="Arial" w:hAnsi="Arial" w:cs="Arial"/>
          <w:sz w:val="19"/>
          <w:szCs w:val="19"/>
        </w:rPr>
        <w:t xml:space="preserve"> </w:t>
      </w:r>
      <w:r w:rsidRPr="00D65DFE">
        <w:rPr>
          <w:rFonts w:ascii="Arial" w:hAnsi="Arial" w:cs="Arial"/>
          <w:sz w:val="19"/>
          <w:szCs w:val="19"/>
          <w:lang w:val="es-CO"/>
        </w:rPr>
        <w:t>Definición Rae</w:t>
      </w:r>
      <w:r>
        <w:rPr>
          <w:rFonts w:ascii="Arial" w:hAnsi="Arial" w:cs="Arial"/>
          <w:sz w:val="19"/>
          <w:szCs w:val="19"/>
          <w:lang w:val="es-CO"/>
        </w:rPr>
        <w:t>. Disponible en</w:t>
      </w:r>
      <w:r w:rsidRPr="00873863">
        <w:rPr>
          <w:rFonts w:ascii="Arial" w:hAnsi="Arial" w:cs="Arial"/>
          <w:color w:val="000000" w:themeColor="text1"/>
          <w:sz w:val="19"/>
          <w:szCs w:val="19"/>
          <w:lang w:val="es-CO"/>
        </w:rPr>
        <w:t xml:space="preserve"> </w:t>
      </w:r>
      <w:hyperlink r:id="rId3" w:history="1">
        <w:r w:rsidRPr="00873863">
          <w:rPr>
            <w:rStyle w:val="Hipervnculo"/>
            <w:rFonts w:ascii="Arial" w:hAnsi="Arial" w:cs="Arial"/>
            <w:color w:val="000000" w:themeColor="text1"/>
            <w:sz w:val="19"/>
            <w:szCs w:val="19"/>
            <w:u w:val="none"/>
            <w:lang w:val="es-CO"/>
          </w:rPr>
          <w:t>https://dle.rae.es/consultar</w:t>
        </w:r>
      </w:hyperlink>
      <w:r>
        <w:rPr>
          <w:rStyle w:val="Hipervnculo"/>
          <w:rFonts w:ascii="Arial" w:hAnsi="Arial" w:cs="Arial"/>
          <w:color w:val="000000" w:themeColor="text1"/>
          <w:sz w:val="19"/>
          <w:szCs w:val="19"/>
          <w:u w:val="none"/>
          <w:lang w:val="es-CO"/>
        </w:rPr>
        <w:t xml:space="preserve"> </w:t>
      </w:r>
    </w:p>
    <w:p w14:paraId="0C32AE75" w14:textId="77777777" w:rsidR="00466861" w:rsidRPr="00D65DFE" w:rsidRDefault="00466861" w:rsidP="00466861">
      <w:pPr>
        <w:pStyle w:val="Textonotapie"/>
        <w:ind w:firstLine="709"/>
        <w:rPr>
          <w:rFonts w:ascii="Arial" w:hAnsi="Arial" w:cs="Arial"/>
          <w:sz w:val="19"/>
          <w:szCs w:val="19"/>
          <w:lang w:val="es-CO"/>
        </w:rPr>
      </w:pPr>
    </w:p>
  </w:footnote>
  <w:footnote w:id="14">
    <w:p w14:paraId="0F5B86AA" w14:textId="77777777" w:rsidR="00466861" w:rsidRPr="00D65DFE" w:rsidRDefault="00466861" w:rsidP="00466861">
      <w:pPr>
        <w:pStyle w:val="Textonotapie"/>
        <w:ind w:firstLine="709"/>
        <w:rPr>
          <w:lang w:val="es-CO"/>
        </w:rPr>
      </w:pPr>
      <w:r>
        <w:rPr>
          <w:rStyle w:val="Refdenotaalpie"/>
        </w:rPr>
        <w:footnoteRef/>
      </w:r>
      <w:r>
        <w:t xml:space="preserve"> </w:t>
      </w:r>
      <w:proofErr w:type="spellStart"/>
      <w:r w:rsidRPr="00D65DFE">
        <w:rPr>
          <w:rFonts w:ascii="Arial" w:hAnsi="Arial" w:cs="Arial"/>
          <w:sz w:val="19"/>
          <w:szCs w:val="19"/>
          <w:lang w:val="es-CO"/>
        </w:rPr>
        <w:t>Ibídem</w:t>
      </w:r>
      <w:proofErr w:type="spellEnd"/>
      <w:r w:rsidRPr="00D65DFE">
        <w:rPr>
          <w:rFonts w:ascii="Arial" w:hAnsi="Arial" w:cs="Arial"/>
          <w:sz w:val="19"/>
          <w:szCs w:val="19"/>
          <w:lang w:val="es-CO"/>
        </w:rPr>
        <w:t>. Disponible en</w:t>
      </w:r>
      <w:r>
        <w:rPr>
          <w:rFonts w:ascii="Arial" w:hAnsi="Arial" w:cs="Arial"/>
          <w:sz w:val="19"/>
          <w:szCs w:val="19"/>
          <w:lang w:val="es-CO"/>
        </w:rPr>
        <w:t>:</w:t>
      </w:r>
      <w:r w:rsidRPr="00D65DFE">
        <w:rPr>
          <w:rFonts w:ascii="Arial" w:hAnsi="Arial" w:cs="Arial"/>
          <w:sz w:val="19"/>
          <w:szCs w:val="19"/>
          <w:lang w:val="es-CO"/>
        </w:rPr>
        <w:t xml:space="preserve"> https://www.rae.es/drae2001/an%C3%A1lisis</w:t>
      </w:r>
    </w:p>
  </w:footnote>
  <w:footnote w:id="15">
    <w:p w14:paraId="4549D829" w14:textId="77777777" w:rsidR="00466861" w:rsidRPr="00360E6D" w:rsidRDefault="00466861" w:rsidP="00466861">
      <w:pPr>
        <w:pStyle w:val="Textonotapie"/>
        <w:ind w:firstLine="709"/>
        <w:jc w:val="both"/>
        <w:rPr>
          <w:rFonts w:ascii="Arial" w:hAnsi="Arial" w:cs="Arial"/>
          <w:sz w:val="19"/>
          <w:szCs w:val="19"/>
        </w:rPr>
      </w:pPr>
      <w:r>
        <w:rPr>
          <w:rStyle w:val="Refdenotaalpie"/>
        </w:rPr>
        <w:footnoteRef/>
      </w:r>
      <w:r>
        <w:t xml:space="preserve"> </w:t>
      </w:r>
      <w:r w:rsidRPr="007128E3">
        <w:rPr>
          <w:rFonts w:ascii="Arial" w:hAnsi="Arial" w:cs="Arial"/>
          <w:sz w:val="19"/>
          <w:szCs w:val="19"/>
        </w:rPr>
        <w:t>Gaceta del Congreso de la República No.</w:t>
      </w:r>
      <w:r>
        <w:rPr>
          <w:rFonts w:ascii="Arial" w:hAnsi="Arial" w:cs="Arial"/>
          <w:sz w:val="19"/>
          <w:szCs w:val="19"/>
        </w:rPr>
        <w:t xml:space="preserve">1187/19. </w:t>
      </w:r>
      <w:r w:rsidRPr="007128E3">
        <w:rPr>
          <w:rFonts w:ascii="Arial" w:hAnsi="Arial" w:cs="Arial"/>
          <w:sz w:val="19"/>
          <w:szCs w:val="19"/>
        </w:rPr>
        <w:t>Disponible en:</w:t>
      </w:r>
      <w:r>
        <w:t xml:space="preserve"> </w:t>
      </w:r>
      <w:hyperlink r:id="rId4" w:history="1">
        <w:r w:rsidRPr="00360E6D">
          <w:rPr>
            <w:rStyle w:val="Hipervnculo"/>
            <w:rFonts w:ascii="Arial" w:hAnsi="Arial" w:cs="Arial"/>
            <w:color w:val="auto"/>
            <w:sz w:val="19"/>
            <w:szCs w:val="19"/>
            <w:u w:val="none"/>
          </w:rPr>
          <w:t>http://leyes.senado.gov.co/proyectos/images/documentos/Textos%20Radicados/Ponencias/2019/gaceta_1187.pdf</w:t>
        </w:r>
      </w:hyperlink>
      <w:r w:rsidRPr="00360E6D">
        <w:rPr>
          <w:rFonts w:ascii="Arial" w:hAnsi="Arial" w:cs="Arial"/>
          <w:sz w:val="19"/>
          <w:szCs w:val="19"/>
        </w:rPr>
        <w:t xml:space="preserve"> </w:t>
      </w:r>
    </w:p>
    <w:p w14:paraId="3CF683C6" w14:textId="77777777" w:rsidR="00466861" w:rsidRPr="0026608D" w:rsidRDefault="00466861" w:rsidP="00466861">
      <w:pPr>
        <w:pStyle w:val="Textonotapie"/>
        <w:ind w:firstLine="709"/>
        <w:rPr>
          <w:lang w:val="es-CO"/>
        </w:rPr>
      </w:pPr>
    </w:p>
  </w:footnote>
  <w:footnote w:id="16">
    <w:p w14:paraId="582A0577" w14:textId="77777777" w:rsidR="00466861" w:rsidRDefault="00466861" w:rsidP="00466861">
      <w:pPr>
        <w:pStyle w:val="Textonotapie"/>
        <w:ind w:firstLine="709"/>
        <w:jc w:val="both"/>
        <w:rPr>
          <w:rFonts w:ascii="Arial" w:hAnsi="Arial" w:cs="Arial"/>
          <w:sz w:val="19"/>
          <w:szCs w:val="19"/>
          <w:lang w:val="es-ES"/>
        </w:rPr>
      </w:pPr>
      <w:r w:rsidRPr="007128E3">
        <w:rPr>
          <w:rStyle w:val="Refdenotaalpie"/>
          <w:rFonts w:ascii="Arial" w:hAnsi="Arial" w:cs="Arial"/>
          <w:sz w:val="19"/>
          <w:szCs w:val="19"/>
        </w:rPr>
        <w:footnoteRef/>
      </w:r>
      <w:r w:rsidRPr="007128E3">
        <w:rPr>
          <w:rFonts w:ascii="Arial" w:hAnsi="Arial" w:cs="Arial"/>
          <w:sz w:val="19"/>
          <w:szCs w:val="19"/>
        </w:rPr>
        <w:t xml:space="preserve">Gaceta del Congreso de la República No. 563/18. Disponible en: </w:t>
      </w:r>
      <w:hyperlink r:id="rId5" w:history="1">
        <w:r w:rsidRPr="00360E6D">
          <w:rPr>
            <w:rStyle w:val="Hipervnculo"/>
            <w:rFonts w:ascii="Arial" w:hAnsi="Arial" w:cs="Arial"/>
            <w:color w:val="auto"/>
            <w:sz w:val="19"/>
            <w:szCs w:val="19"/>
            <w:u w:val="none"/>
            <w:lang w:val="es-ES"/>
          </w:rPr>
          <w:t>http://leyes.senado.gov.co/proyectos/images/documentos/Textos%20Radicados/Ponencias/2018/gaceta_563.pdf</w:t>
        </w:r>
      </w:hyperlink>
      <w:r w:rsidRPr="00472D8E">
        <w:rPr>
          <w:rFonts w:ascii="Arial" w:hAnsi="Arial" w:cs="Arial"/>
          <w:sz w:val="19"/>
          <w:szCs w:val="19"/>
          <w:lang w:val="es-ES"/>
        </w:rPr>
        <w:t xml:space="preserve"> </w:t>
      </w:r>
    </w:p>
    <w:p w14:paraId="5F208B75" w14:textId="77777777" w:rsidR="00466861" w:rsidRPr="007128E3" w:rsidRDefault="00466861" w:rsidP="00466861">
      <w:pPr>
        <w:pStyle w:val="Textonotapie"/>
        <w:ind w:firstLine="709"/>
        <w:jc w:val="both"/>
        <w:rPr>
          <w:rFonts w:ascii="Arial" w:hAnsi="Arial" w:cs="Arial"/>
          <w:sz w:val="19"/>
          <w:szCs w:val="19"/>
          <w:lang w:val="es-CO"/>
        </w:rPr>
      </w:pPr>
    </w:p>
  </w:footnote>
  <w:footnote w:id="17">
    <w:p w14:paraId="7E92F08D" w14:textId="77777777" w:rsidR="00466861" w:rsidRDefault="00466861" w:rsidP="00466861">
      <w:pPr>
        <w:pStyle w:val="Textonotapie"/>
        <w:ind w:firstLine="709"/>
        <w:jc w:val="both"/>
        <w:rPr>
          <w:rFonts w:ascii="Arial" w:hAnsi="Arial" w:cs="Arial"/>
          <w:sz w:val="19"/>
          <w:szCs w:val="19"/>
        </w:rPr>
      </w:pPr>
      <w:r>
        <w:rPr>
          <w:rStyle w:val="Refdenotaalpie"/>
        </w:rPr>
        <w:footnoteRef/>
      </w:r>
      <w:r w:rsidRPr="009609F0">
        <w:rPr>
          <w:rFonts w:ascii="Arial" w:hAnsi="Arial" w:cs="Arial"/>
          <w:sz w:val="19"/>
          <w:szCs w:val="19"/>
        </w:rPr>
        <w:t xml:space="preserve">Gaceta </w:t>
      </w:r>
      <w:r w:rsidRPr="007128E3">
        <w:rPr>
          <w:rFonts w:ascii="Arial" w:hAnsi="Arial" w:cs="Arial"/>
          <w:sz w:val="19"/>
          <w:szCs w:val="19"/>
        </w:rPr>
        <w:t>del Congreso de la República No.</w:t>
      </w:r>
      <w:r w:rsidRPr="009609F0">
        <w:rPr>
          <w:rFonts w:ascii="Arial" w:hAnsi="Arial" w:cs="Arial"/>
          <w:sz w:val="19"/>
          <w:szCs w:val="19"/>
        </w:rPr>
        <w:t xml:space="preserve"> 1154/18 </w:t>
      </w:r>
      <w:r w:rsidRPr="007128E3">
        <w:rPr>
          <w:rFonts w:ascii="Arial" w:hAnsi="Arial" w:cs="Arial"/>
          <w:sz w:val="19"/>
          <w:szCs w:val="19"/>
        </w:rPr>
        <w:t>Disponible en:</w:t>
      </w:r>
      <w:r>
        <w:rPr>
          <w:rFonts w:ascii="Arial" w:hAnsi="Arial" w:cs="Arial"/>
          <w:sz w:val="19"/>
          <w:szCs w:val="19"/>
        </w:rPr>
        <w:t xml:space="preserve"> </w:t>
      </w:r>
      <w:hyperlink r:id="rId6" w:history="1">
        <w:r w:rsidRPr="00360E6D">
          <w:rPr>
            <w:rStyle w:val="Hipervnculo"/>
            <w:rFonts w:ascii="Arial" w:hAnsi="Arial" w:cs="Arial"/>
            <w:color w:val="auto"/>
            <w:sz w:val="19"/>
            <w:szCs w:val="19"/>
            <w:u w:val="none"/>
          </w:rPr>
          <w:t>http://leyes.senado.gov.co/proyectos/images/documentos/Textos%20Radicados/Ponencias/2018/gaceta_1154.pdf</w:t>
        </w:r>
      </w:hyperlink>
      <w:r w:rsidRPr="009609F0">
        <w:rPr>
          <w:rFonts w:ascii="Arial" w:hAnsi="Arial" w:cs="Arial"/>
          <w:sz w:val="19"/>
          <w:szCs w:val="19"/>
        </w:rPr>
        <w:t xml:space="preserve"> </w:t>
      </w:r>
    </w:p>
    <w:p w14:paraId="66234463" w14:textId="77777777" w:rsidR="00466861" w:rsidRPr="009609F0" w:rsidRDefault="00466861" w:rsidP="00466861">
      <w:pPr>
        <w:pStyle w:val="Textonotapie"/>
        <w:ind w:firstLine="709"/>
        <w:jc w:val="both"/>
        <w:rPr>
          <w:lang w:val="es-CO"/>
        </w:rPr>
      </w:pPr>
    </w:p>
  </w:footnote>
  <w:footnote w:id="18">
    <w:p w14:paraId="72036AD8" w14:textId="77777777" w:rsidR="00466861" w:rsidRDefault="00466861" w:rsidP="00466861">
      <w:pPr>
        <w:pStyle w:val="Textonotapie"/>
        <w:ind w:firstLine="709"/>
        <w:jc w:val="both"/>
        <w:rPr>
          <w:rFonts w:ascii="Arial" w:hAnsi="Arial" w:cs="Arial"/>
          <w:sz w:val="19"/>
          <w:szCs w:val="19"/>
        </w:rPr>
      </w:pPr>
      <w:r>
        <w:rPr>
          <w:rStyle w:val="Refdenotaalpie"/>
        </w:rPr>
        <w:footnoteRef/>
      </w:r>
      <w:r w:rsidRPr="009609F0">
        <w:rPr>
          <w:rFonts w:ascii="Arial" w:hAnsi="Arial" w:cs="Arial"/>
          <w:sz w:val="19"/>
          <w:szCs w:val="19"/>
        </w:rPr>
        <w:t xml:space="preserve">Gaceta </w:t>
      </w:r>
      <w:r w:rsidRPr="007128E3">
        <w:rPr>
          <w:rFonts w:ascii="Arial" w:hAnsi="Arial" w:cs="Arial"/>
          <w:sz w:val="19"/>
          <w:szCs w:val="19"/>
        </w:rPr>
        <w:t>del Congreso de la República No.</w:t>
      </w:r>
      <w:r>
        <w:rPr>
          <w:rFonts w:ascii="Arial" w:hAnsi="Arial" w:cs="Arial"/>
          <w:sz w:val="19"/>
          <w:szCs w:val="19"/>
        </w:rPr>
        <w:t xml:space="preserve"> 423/19. </w:t>
      </w:r>
      <w:r w:rsidRPr="007128E3">
        <w:rPr>
          <w:rFonts w:ascii="Arial" w:hAnsi="Arial" w:cs="Arial"/>
          <w:sz w:val="19"/>
          <w:szCs w:val="19"/>
        </w:rPr>
        <w:t>Disponible e</w:t>
      </w:r>
      <w:r>
        <w:rPr>
          <w:rFonts w:ascii="Arial" w:hAnsi="Arial" w:cs="Arial"/>
          <w:sz w:val="19"/>
          <w:szCs w:val="19"/>
        </w:rPr>
        <w:t xml:space="preserve">n: </w:t>
      </w:r>
      <w:hyperlink r:id="rId7" w:history="1">
        <w:r w:rsidRPr="00360E6D">
          <w:rPr>
            <w:rStyle w:val="Hipervnculo"/>
            <w:rFonts w:ascii="Arial" w:hAnsi="Arial" w:cs="Arial"/>
            <w:color w:val="auto"/>
            <w:sz w:val="19"/>
            <w:szCs w:val="19"/>
            <w:u w:val="none"/>
          </w:rPr>
          <w:t>http://leyes.senado.gov.co/proyectos/images/documentos/Textos%20Radicados/Ponencias/2019/gaceta_423.pdf</w:t>
        </w:r>
      </w:hyperlink>
      <w:r w:rsidRPr="006F458D">
        <w:rPr>
          <w:rFonts w:ascii="Arial" w:hAnsi="Arial" w:cs="Arial"/>
          <w:sz w:val="19"/>
          <w:szCs w:val="19"/>
        </w:rPr>
        <w:t xml:space="preserve"> </w:t>
      </w:r>
    </w:p>
    <w:p w14:paraId="0826DB5B" w14:textId="77777777" w:rsidR="00466861" w:rsidRPr="006F458D" w:rsidRDefault="00466861" w:rsidP="00466861">
      <w:pPr>
        <w:pStyle w:val="Textonotapie"/>
        <w:ind w:firstLine="709"/>
        <w:jc w:val="both"/>
        <w:rPr>
          <w:lang w:val="es-CO"/>
        </w:rPr>
      </w:pPr>
    </w:p>
  </w:footnote>
  <w:footnote w:id="19">
    <w:p w14:paraId="55B9E156" w14:textId="77777777" w:rsidR="00466861" w:rsidRPr="00466861" w:rsidRDefault="00466861" w:rsidP="00466861">
      <w:pPr>
        <w:pStyle w:val="Textonotapie"/>
        <w:ind w:firstLine="709"/>
        <w:jc w:val="both"/>
        <w:rPr>
          <w:rFonts w:ascii="Arial" w:hAnsi="Arial" w:cs="Arial"/>
          <w:sz w:val="19"/>
          <w:szCs w:val="19"/>
        </w:rPr>
      </w:pPr>
      <w:r>
        <w:rPr>
          <w:rStyle w:val="Refdenotaalpie"/>
        </w:rPr>
        <w:footnoteRef/>
      </w:r>
      <w:r w:rsidRPr="009609F0">
        <w:rPr>
          <w:rFonts w:ascii="Arial" w:hAnsi="Arial" w:cs="Arial"/>
          <w:sz w:val="19"/>
          <w:szCs w:val="19"/>
        </w:rPr>
        <w:t xml:space="preserve">Gaceta </w:t>
      </w:r>
      <w:r w:rsidRPr="007128E3">
        <w:rPr>
          <w:rFonts w:ascii="Arial" w:hAnsi="Arial" w:cs="Arial"/>
          <w:sz w:val="19"/>
          <w:szCs w:val="19"/>
        </w:rPr>
        <w:t>del Congreso de la República No.</w:t>
      </w:r>
      <w:r>
        <w:rPr>
          <w:rFonts w:ascii="Arial" w:hAnsi="Arial" w:cs="Arial"/>
          <w:sz w:val="19"/>
          <w:szCs w:val="19"/>
        </w:rPr>
        <w:t xml:space="preserve"> 963/19</w:t>
      </w:r>
      <w:r w:rsidRPr="001D4141">
        <w:t xml:space="preserve"> </w:t>
      </w:r>
      <w:r w:rsidRPr="007128E3">
        <w:rPr>
          <w:rFonts w:ascii="Arial" w:hAnsi="Arial" w:cs="Arial"/>
          <w:sz w:val="19"/>
          <w:szCs w:val="19"/>
        </w:rPr>
        <w:t>Disponible e</w:t>
      </w:r>
      <w:r>
        <w:rPr>
          <w:rFonts w:ascii="Arial" w:hAnsi="Arial" w:cs="Arial"/>
          <w:sz w:val="19"/>
          <w:szCs w:val="19"/>
        </w:rPr>
        <w:t xml:space="preserve">n: </w:t>
      </w:r>
      <w:hyperlink r:id="rId8" w:history="1">
        <w:r w:rsidRPr="00466861">
          <w:rPr>
            <w:rStyle w:val="Hipervnculo"/>
            <w:rFonts w:ascii="Arial" w:hAnsi="Arial" w:cs="Arial"/>
            <w:color w:val="auto"/>
            <w:sz w:val="19"/>
            <w:szCs w:val="19"/>
            <w:u w:val="none"/>
          </w:rPr>
          <w:t>http://leyes.senado.gov.co/proyectos/images/documentos/Textos%20Radicados/Ponencias/2019/gaceta_963.pdf</w:t>
        </w:r>
      </w:hyperlink>
    </w:p>
    <w:p w14:paraId="570691AF" w14:textId="77777777" w:rsidR="00466861" w:rsidRPr="009153F6" w:rsidRDefault="00466861" w:rsidP="00466861">
      <w:pPr>
        <w:pStyle w:val="Textonotapie"/>
        <w:ind w:firstLine="709"/>
        <w:jc w:val="both"/>
        <w:rPr>
          <w:lang w:val="es-CO"/>
        </w:rPr>
      </w:pPr>
    </w:p>
  </w:footnote>
  <w:footnote w:id="20">
    <w:p w14:paraId="320FC090" w14:textId="77777777" w:rsidR="00466861" w:rsidRPr="00266CB5" w:rsidRDefault="00466861" w:rsidP="00466861">
      <w:pPr>
        <w:pStyle w:val="Textonotapie"/>
        <w:ind w:firstLine="709"/>
        <w:jc w:val="both"/>
        <w:rPr>
          <w:lang w:val="es-CO"/>
        </w:rPr>
      </w:pPr>
      <w:r w:rsidRPr="00266CB5">
        <w:rPr>
          <w:rStyle w:val="Refdenotaalpie"/>
        </w:rPr>
        <w:footnoteRef/>
      </w:r>
      <w:r w:rsidRPr="00266CB5">
        <w:rPr>
          <w:rFonts w:ascii="Arial" w:hAnsi="Arial" w:cs="Arial"/>
          <w:sz w:val="19"/>
          <w:szCs w:val="19"/>
        </w:rPr>
        <w:t>Gaceta del Congreso de la República No. 1187/19</w:t>
      </w:r>
      <w:r w:rsidRPr="00266CB5">
        <w:t xml:space="preserve"> </w:t>
      </w:r>
      <w:r w:rsidRPr="00266CB5">
        <w:rPr>
          <w:rFonts w:ascii="Arial" w:hAnsi="Arial" w:cs="Arial"/>
          <w:sz w:val="19"/>
          <w:szCs w:val="19"/>
        </w:rPr>
        <w:t xml:space="preserve">Disponible en: </w:t>
      </w:r>
      <w:hyperlink r:id="rId9" w:history="1">
        <w:r w:rsidRPr="00466861">
          <w:rPr>
            <w:rStyle w:val="Hipervnculo"/>
            <w:rFonts w:ascii="Arial" w:hAnsi="Arial" w:cs="Arial"/>
            <w:color w:val="auto"/>
            <w:sz w:val="19"/>
            <w:szCs w:val="19"/>
            <w:u w:val="none"/>
          </w:rPr>
          <w:t>http://leyes.senado.gov.co/proyectos/images/documentos/Textos%20Radicados/Ponencias/2019/gaceta_1187.pdf</w:t>
        </w:r>
      </w:hyperlink>
      <w:r w:rsidRPr="00266CB5">
        <w:rPr>
          <w:rFonts w:ascii="Arial" w:hAnsi="Arial" w:cs="Arial"/>
          <w:sz w:val="19"/>
          <w:szCs w:val="19"/>
        </w:rPr>
        <w:t xml:space="preserve"> </w:t>
      </w:r>
    </w:p>
  </w:footnote>
  <w:footnote w:id="21">
    <w:p w14:paraId="215B33EC" w14:textId="77777777" w:rsidR="00466861" w:rsidRPr="00AC6886" w:rsidRDefault="00466861" w:rsidP="00466861">
      <w:pPr>
        <w:pStyle w:val="Textonotapie"/>
        <w:ind w:firstLine="709"/>
        <w:rPr>
          <w:rFonts w:ascii="Arial" w:hAnsi="Arial" w:cs="Arial"/>
          <w:lang w:val="es-CO"/>
        </w:rPr>
      </w:pPr>
      <w:r w:rsidRPr="00AC6886">
        <w:rPr>
          <w:rStyle w:val="Refdenotaalpie"/>
          <w:rFonts w:ascii="Arial" w:hAnsi="Arial" w:cs="Arial"/>
        </w:rPr>
        <w:footnoteRef/>
      </w:r>
      <w:r w:rsidRPr="00AC6886">
        <w:rPr>
          <w:rFonts w:ascii="Arial" w:hAnsi="Arial" w:cs="Arial"/>
        </w:rPr>
        <w:t xml:space="preserve"> </w:t>
      </w:r>
      <w:r w:rsidRPr="00AC6886">
        <w:rPr>
          <w:rFonts w:ascii="Arial" w:hAnsi="Arial" w:cs="Arial"/>
          <w:sz w:val="19"/>
          <w:szCs w:val="19"/>
          <w:lang w:val="es-CO"/>
        </w:rPr>
        <w:t>Disponible en https://www.contraloria.gov.co/web/registro-de-obras-inconclusas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0770B" w14:textId="1A2BB94C" w:rsidR="00EC36B1" w:rsidRDefault="00EC36B1">
    <w:pPr>
      <w:pStyle w:val="Encabezado"/>
    </w:pPr>
    <w:r>
      <w:rPr>
        <w:noProof/>
        <w:lang w:val="es-CO" w:eastAsia="es-CO"/>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3"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6"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37876856"/>
    <w:multiLevelType w:val="hybridMultilevel"/>
    <w:tmpl w:val="5C1C2D84"/>
    <w:lvl w:ilvl="0" w:tplc="83561260">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1"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2"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7"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8" w15:restartNumberingAfterBreak="0">
    <w:nsid w:val="5B6D321F"/>
    <w:multiLevelType w:val="hybridMultilevel"/>
    <w:tmpl w:val="CA3C115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9"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0"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1" w15:restartNumberingAfterBreak="0">
    <w:nsid w:val="6E521755"/>
    <w:multiLevelType w:val="hybridMultilevel"/>
    <w:tmpl w:val="4DCE2F3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3"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4"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abstractNumId w:val="9"/>
  </w:num>
  <w:num w:numId="2">
    <w:abstractNumId w:val="7"/>
  </w:num>
  <w:num w:numId="3">
    <w:abstractNumId w:val="13"/>
  </w:num>
  <w:num w:numId="4">
    <w:abstractNumId w:val="16"/>
  </w:num>
  <w:num w:numId="5">
    <w:abstractNumId w:val="20"/>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7"/>
  </w:num>
  <w:num w:numId="8">
    <w:abstractNumId w:val="0"/>
  </w:num>
  <w:num w:numId="9">
    <w:abstractNumId w:val="3"/>
  </w:num>
  <w:num w:numId="1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num>
  <w:num w:numId="13">
    <w:abstractNumId w:val="12"/>
  </w:num>
  <w:num w:numId="14">
    <w:abstractNumId w:val="6"/>
  </w:num>
  <w:num w:numId="15">
    <w:abstractNumId w:val="1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2"/>
  </w:num>
  <w:num w:numId="18">
    <w:abstractNumId w:val="14"/>
  </w:num>
  <w:num w:numId="19">
    <w:abstractNumId w:val="2"/>
  </w:num>
  <w:num w:numId="20">
    <w:abstractNumId w:val="23"/>
  </w:num>
  <w:num w:numId="21">
    <w:abstractNumId w:val="15"/>
  </w:num>
  <w:num w:numId="22">
    <w:abstractNumId w:val="5"/>
  </w:num>
  <w:num w:numId="23">
    <w:abstractNumId w:val="4"/>
  </w:num>
  <w:num w:numId="24">
    <w:abstractNumId w:val="18"/>
  </w:num>
  <w:num w:numId="25">
    <w:abstractNumId w:val="10"/>
  </w:num>
  <w:num w:numId="2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ctiveWritingStyle w:appName="MSWord" w:lang="pt-BR" w:vendorID="64" w:dllVersion="6" w:nlCheck="1" w:checkStyle="0"/>
  <w:activeWritingStyle w:appName="MSWord" w:lang="es-ES_tradnl" w:vendorID="64" w:dllVersion="6" w:nlCheck="1" w:checkStyle="1"/>
  <w:activeWritingStyle w:appName="MSWord" w:lang="es-CO" w:vendorID="64" w:dllVersion="6" w:nlCheck="1" w:checkStyle="1"/>
  <w:activeWritingStyle w:appName="MSWord" w:lang="es-MX" w:vendorID="64" w:dllVersion="6" w:nlCheck="1" w:checkStyle="1"/>
  <w:activeWritingStyle w:appName="MSWord" w:lang="es-ES" w:vendorID="64" w:dllVersion="6" w:nlCheck="1" w:checkStyle="1"/>
  <w:activeWritingStyle w:appName="MSWord" w:lang="es-ES_tradnl" w:vendorID="64" w:dllVersion="4096" w:nlCheck="1" w:checkStyle="0"/>
  <w:activeWritingStyle w:appName="MSWord" w:lang="es-ES" w:vendorID="64" w:dllVersion="4096" w:nlCheck="1" w:checkStyle="0"/>
  <w:activeWritingStyle w:appName="MSWord" w:lang="es-MX" w:vendorID="64" w:dllVersion="4096" w:nlCheck="1" w:checkStyle="0"/>
  <w:activeWritingStyle w:appName="MSWord" w:lang="es-CO" w:vendorID="64" w:dllVersion="4096" w:nlCheck="1" w:checkStyle="0"/>
  <w:activeWritingStyle w:appName="MSWord" w:lang="pt-BR" w:vendorID="64" w:dllVersion="4096" w:nlCheck="1" w:checkStyle="0"/>
  <w:activeWritingStyle w:appName="MSWord" w:lang="es-ES" w:vendorID="64" w:dllVersion="0" w:nlCheck="1" w:checkStyle="0"/>
  <w:activeWritingStyle w:appName="MSWord" w:lang="es-ES_tradnl" w:vendorID="64" w:dllVersion="0" w:nlCheck="1" w:checkStyle="0"/>
  <w:activeWritingStyle w:appName="MSWord" w:lang="es-CO" w:vendorID="64" w:dllVersion="0" w:nlCheck="1" w:checkStyle="0"/>
  <w:activeWritingStyle w:appName="MSWord" w:lang="pt-BR" w:vendorID="64" w:dllVersion="0" w:nlCheck="1" w:checkStyle="0"/>
  <w:activeWritingStyle w:appName="MSWord" w:lang="es-MX" w:vendorID="64" w:dllVersion="0" w:nlCheck="1" w:checkStyle="0"/>
  <w:proofState w:spelling="clean" w:grammar="clean"/>
  <w:attachedTemplate r:id="rId1"/>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559"/>
    <w:rsid w:val="0000162E"/>
    <w:rsid w:val="00001A1C"/>
    <w:rsid w:val="00001FFD"/>
    <w:rsid w:val="00002027"/>
    <w:rsid w:val="000020FE"/>
    <w:rsid w:val="000031A8"/>
    <w:rsid w:val="00003C5C"/>
    <w:rsid w:val="000040D7"/>
    <w:rsid w:val="00004556"/>
    <w:rsid w:val="000051AF"/>
    <w:rsid w:val="00005958"/>
    <w:rsid w:val="000059D3"/>
    <w:rsid w:val="0000600A"/>
    <w:rsid w:val="00006081"/>
    <w:rsid w:val="000060D0"/>
    <w:rsid w:val="000075EA"/>
    <w:rsid w:val="00007750"/>
    <w:rsid w:val="000077FD"/>
    <w:rsid w:val="00007E37"/>
    <w:rsid w:val="00010C40"/>
    <w:rsid w:val="000112B4"/>
    <w:rsid w:val="00011DCC"/>
    <w:rsid w:val="00012532"/>
    <w:rsid w:val="00012B9E"/>
    <w:rsid w:val="00012FBA"/>
    <w:rsid w:val="00013C6B"/>
    <w:rsid w:val="0001406B"/>
    <w:rsid w:val="000143F8"/>
    <w:rsid w:val="00014624"/>
    <w:rsid w:val="000147ED"/>
    <w:rsid w:val="00015B44"/>
    <w:rsid w:val="00016081"/>
    <w:rsid w:val="000165AC"/>
    <w:rsid w:val="00016651"/>
    <w:rsid w:val="000171A2"/>
    <w:rsid w:val="00017B65"/>
    <w:rsid w:val="00020158"/>
    <w:rsid w:val="000207E0"/>
    <w:rsid w:val="00020F8F"/>
    <w:rsid w:val="00021A95"/>
    <w:rsid w:val="0002256F"/>
    <w:rsid w:val="00023DAE"/>
    <w:rsid w:val="00024592"/>
    <w:rsid w:val="00024896"/>
    <w:rsid w:val="00026092"/>
    <w:rsid w:val="000263F0"/>
    <w:rsid w:val="00026407"/>
    <w:rsid w:val="000264F6"/>
    <w:rsid w:val="00026608"/>
    <w:rsid w:val="00027787"/>
    <w:rsid w:val="000278D2"/>
    <w:rsid w:val="00031384"/>
    <w:rsid w:val="000315E1"/>
    <w:rsid w:val="0003236E"/>
    <w:rsid w:val="0003339A"/>
    <w:rsid w:val="000341F2"/>
    <w:rsid w:val="00034651"/>
    <w:rsid w:val="000351F2"/>
    <w:rsid w:val="00036E03"/>
    <w:rsid w:val="000406DB"/>
    <w:rsid w:val="0004094D"/>
    <w:rsid w:val="00041029"/>
    <w:rsid w:val="0004149B"/>
    <w:rsid w:val="00041CA0"/>
    <w:rsid w:val="00042961"/>
    <w:rsid w:val="00042C25"/>
    <w:rsid w:val="00042D03"/>
    <w:rsid w:val="00043086"/>
    <w:rsid w:val="000430A0"/>
    <w:rsid w:val="00043A33"/>
    <w:rsid w:val="00043D3B"/>
    <w:rsid w:val="0004418C"/>
    <w:rsid w:val="00044204"/>
    <w:rsid w:val="000449D4"/>
    <w:rsid w:val="00046717"/>
    <w:rsid w:val="00046A63"/>
    <w:rsid w:val="00046C09"/>
    <w:rsid w:val="0004716A"/>
    <w:rsid w:val="00047385"/>
    <w:rsid w:val="000473E8"/>
    <w:rsid w:val="000504DE"/>
    <w:rsid w:val="00051074"/>
    <w:rsid w:val="00052B79"/>
    <w:rsid w:val="00052EA0"/>
    <w:rsid w:val="000536E3"/>
    <w:rsid w:val="00054252"/>
    <w:rsid w:val="0005474D"/>
    <w:rsid w:val="00055CB9"/>
    <w:rsid w:val="00056F66"/>
    <w:rsid w:val="0005702F"/>
    <w:rsid w:val="0005779C"/>
    <w:rsid w:val="00061D06"/>
    <w:rsid w:val="0006294B"/>
    <w:rsid w:val="00062CDD"/>
    <w:rsid w:val="00063FA5"/>
    <w:rsid w:val="000640AF"/>
    <w:rsid w:val="00064940"/>
    <w:rsid w:val="00064CAE"/>
    <w:rsid w:val="00064DB7"/>
    <w:rsid w:val="00064FA7"/>
    <w:rsid w:val="00065195"/>
    <w:rsid w:val="00070AF1"/>
    <w:rsid w:val="000714DE"/>
    <w:rsid w:val="0007254F"/>
    <w:rsid w:val="00073C30"/>
    <w:rsid w:val="00074305"/>
    <w:rsid w:val="00074B2A"/>
    <w:rsid w:val="00075B3E"/>
    <w:rsid w:val="00076456"/>
    <w:rsid w:val="0007779B"/>
    <w:rsid w:val="000777E7"/>
    <w:rsid w:val="0007790A"/>
    <w:rsid w:val="0008017B"/>
    <w:rsid w:val="00080ACD"/>
    <w:rsid w:val="000811ED"/>
    <w:rsid w:val="00081284"/>
    <w:rsid w:val="00081D62"/>
    <w:rsid w:val="00082B74"/>
    <w:rsid w:val="00083099"/>
    <w:rsid w:val="00083EDC"/>
    <w:rsid w:val="00084B97"/>
    <w:rsid w:val="0008510E"/>
    <w:rsid w:val="000856DE"/>
    <w:rsid w:val="00085F17"/>
    <w:rsid w:val="00085FB3"/>
    <w:rsid w:val="0008686B"/>
    <w:rsid w:val="00086B2A"/>
    <w:rsid w:val="00086ED2"/>
    <w:rsid w:val="000914D6"/>
    <w:rsid w:val="00091569"/>
    <w:rsid w:val="00092DCA"/>
    <w:rsid w:val="000942EB"/>
    <w:rsid w:val="00095B70"/>
    <w:rsid w:val="0009617E"/>
    <w:rsid w:val="000979CF"/>
    <w:rsid w:val="000A03C8"/>
    <w:rsid w:val="000A05F2"/>
    <w:rsid w:val="000A06C4"/>
    <w:rsid w:val="000A0861"/>
    <w:rsid w:val="000A0ED1"/>
    <w:rsid w:val="000A12DB"/>
    <w:rsid w:val="000A17C8"/>
    <w:rsid w:val="000A20D7"/>
    <w:rsid w:val="000A2128"/>
    <w:rsid w:val="000A362F"/>
    <w:rsid w:val="000A3B49"/>
    <w:rsid w:val="000A5AAF"/>
    <w:rsid w:val="000A5F97"/>
    <w:rsid w:val="000A648E"/>
    <w:rsid w:val="000A73BB"/>
    <w:rsid w:val="000A7EF4"/>
    <w:rsid w:val="000B0A15"/>
    <w:rsid w:val="000B103F"/>
    <w:rsid w:val="000B1437"/>
    <w:rsid w:val="000B1470"/>
    <w:rsid w:val="000B2B86"/>
    <w:rsid w:val="000B3051"/>
    <w:rsid w:val="000B419B"/>
    <w:rsid w:val="000B5781"/>
    <w:rsid w:val="000C0185"/>
    <w:rsid w:val="000C0F81"/>
    <w:rsid w:val="000C128D"/>
    <w:rsid w:val="000C17A3"/>
    <w:rsid w:val="000C1D4B"/>
    <w:rsid w:val="000C3260"/>
    <w:rsid w:val="000C3803"/>
    <w:rsid w:val="000C3B77"/>
    <w:rsid w:val="000C4F49"/>
    <w:rsid w:val="000C5861"/>
    <w:rsid w:val="000C639D"/>
    <w:rsid w:val="000C6C31"/>
    <w:rsid w:val="000C6DBC"/>
    <w:rsid w:val="000C6F79"/>
    <w:rsid w:val="000C7476"/>
    <w:rsid w:val="000C7711"/>
    <w:rsid w:val="000C7AA2"/>
    <w:rsid w:val="000D0462"/>
    <w:rsid w:val="000D053D"/>
    <w:rsid w:val="000D0AA7"/>
    <w:rsid w:val="000D0ED2"/>
    <w:rsid w:val="000D1CEB"/>
    <w:rsid w:val="000D2563"/>
    <w:rsid w:val="000D25BF"/>
    <w:rsid w:val="000D3FDC"/>
    <w:rsid w:val="000D4E38"/>
    <w:rsid w:val="000D50DB"/>
    <w:rsid w:val="000D6288"/>
    <w:rsid w:val="000D6CAF"/>
    <w:rsid w:val="000D7541"/>
    <w:rsid w:val="000D75E1"/>
    <w:rsid w:val="000E22CF"/>
    <w:rsid w:val="000E2977"/>
    <w:rsid w:val="000E30AC"/>
    <w:rsid w:val="000E3B46"/>
    <w:rsid w:val="000E3E11"/>
    <w:rsid w:val="000E4596"/>
    <w:rsid w:val="000E5768"/>
    <w:rsid w:val="000E5843"/>
    <w:rsid w:val="000E6139"/>
    <w:rsid w:val="000E6BE1"/>
    <w:rsid w:val="000E7E0B"/>
    <w:rsid w:val="000F078A"/>
    <w:rsid w:val="000F122D"/>
    <w:rsid w:val="000F1450"/>
    <w:rsid w:val="000F14E8"/>
    <w:rsid w:val="000F1BBD"/>
    <w:rsid w:val="000F2739"/>
    <w:rsid w:val="000F3138"/>
    <w:rsid w:val="000F3D39"/>
    <w:rsid w:val="000F4403"/>
    <w:rsid w:val="000F4E17"/>
    <w:rsid w:val="000F6578"/>
    <w:rsid w:val="000F70CD"/>
    <w:rsid w:val="000F7ABD"/>
    <w:rsid w:val="000F7E8F"/>
    <w:rsid w:val="000F7FBB"/>
    <w:rsid w:val="001000FB"/>
    <w:rsid w:val="00102605"/>
    <w:rsid w:val="00102686"/>
    <w:rsid w:val="00102745"/>
    <w:rsid w:val="00103361"/>
    <w:rsid w:val="00103855"/>
    <w:rsid w:val="00103915"/>
    <w:rsid w:val="00103EA0"/>
    <w:rsid w:val="00104F1C"/>
    <w:rsid w:val="001051E5"/>
    <w:rsid w:val="00105A74"/>
    <w:rsid w:val="00105ACB"/>
    <w:rsid w:val="00105AEF"/>
    <w:rsid w:val="00106259"/>
    <w:rsid w:val="001068EB"/>
    <w:rsid w:val="001078CE"/>
    <w:rsid w:val="00110CEB"/>
    <w:rsid w:val="00110F61"/>
    <w:rsid w:val="001111BD"/>
    <w:rsid w:val="0011165A"/>
    <w:rsid w:val="00111B2B"/>
    <w:rsid w:val="00112774"/>
    <w:rsid w:val="00112B2E"/>
    <w:rsid w:val="00113003"/>
    <w:rsid w:val="00113062"/>
    <w:rsid w:val="00113705"/>
    <w:rsid w:val="00113975"/>
    <w:rsid w:val="00113CFC"/>
    <w:rsid w:val="00113FEA"/>
    <w:rsid w:val="00114A22"/>
    <w:rsid w:val="00114E9D"/>
    <w:rsid w:val="0011507B"/>
    <w:rsid w:val="00116328"/>
    <w:rsid w:val="001174C9"/>
    <w:rsid w:val="00117E69"/>
    <w:rsid w:val="00121103"/>
    <w:rsid w:val="0012156A"/>
    <w:rsid w:val="00121BAB"/>
    <w:rsid w:val="00121E3C"/>
    <w:rsid w:val="00122B23"/>
    <w:rsid w:val="00122B7E"/>
    <w:rsid w:val="00123FB5"/>
    <w:rsid w:val="0012400F"/>
    <w:rsid w:val="001249DC"/>
    <w:rsid w:val="0012572D"/>
    <w:rsid w:val="00125BED"/>
    <w:rsid w:val="00125C59"/>
    <w:rsid w:val="00125D4F"/>
    <w:rsid w:val="00127004"/>
    <w:rsid w:val="00127AF2"/>
    <w:rsid w:val="00127EDC"/>
    <w:rsid w:val="00127F6D"/>
    <w:rsid w:val="00130355"/>
    <w:rsid w:val="00131B5A"/>
    <w:rsid w:val="00132C30"/>
    <w:rsid w:val="00132EFD"/>
    <w:rsid w:val="00133AED"/>
    <w:rsid w:val="00134FF9"/>
    <w:rsid w:val="00135E88"/>
    <w:rsid w:val="0013695C"/>
    <w:rsid w:val="001369F5"/>
    <w:rsid w:val="00136BF7"/>
    <w:rsid w:val="001378B9"/>
    <w:rsid w:val="00137FFA"/>
    <w:rsid w:val="00140109"/>
    <w:rsid w:val="0014029B"/>
    <w:rsid w:val="00140A4F"/>
    <w:rsid w:val="001413AB"/>
    <w:rsid w:val="00144335"/>
    <w:rsid w:val="0014502F"/>
    <w:rsid w:val="00145282"/>
    <w:rsid w:val="001453B0"/>
    <w:rsid w:val="001454D9"/>
    <w:rsid w:val="00145D8E"/>
    <w:rsid w:val="00146083"/>
    <w:rsid w:val="001462F7"/>
    <w:rsid w:val="001466F0"/>
    <w:rsid w:val="00147798"/>
    <w:rsid w:val="00150005"/>
    <w:rsid w:val="00151B99"/>
    <w:rsid w:val="001521B2"/>
    <w:rsid w:val="00152288"/>
    <w:rsid w:val="00152EDD"/>
    <w:rsid w:val="00153491"/>
    <w:rsid w:val="0015361C"/>
    <w:rsid w:val="0015372F"/>
    <w:rsid w:val="00153BFB"/>
    <w:rsid w:val="0015407E"/>
    <w:rsid w:val="0015448E"/>
    <w:rsid w:val="00154A6F"/>
    <w:rsid w:val="00155D08"/>
    <w:rsid w:val="00156BE5"/>
    <w:rsid w:val="00157232"/>
    <w:rsid w:val="00160401"/>
    <w:rsid w:val="00160D4E"/>
    <w:rsid w:val="00161E62"/>
    <w:rsid w:val="00161F1C"/>
    <w:rsid w:val="0016200B"/>
    <w:rsid w:val="00163D7A"/>
    <w:rsid w:val="00164281"/>
    <w:rsid w:val="00167503"/>
    <w:rsid w:val="001676A9"/>
    <w:rsid w:val="00167A15"/>
    <w:rsid w:val="00167A50"/>
    <w:rsid w:val="00167DF5"/>
    <w:rsid w:val="00170001"/>
    <w:rsid w:val="00172198"/>
    <w:rsid w:val="00172612"/>
    <w:rsid w:val="00172817"/>
    <w:rsid w:val="001734E3"/>
    <w:rsid w:val="001742BF"/>
    <w:rsid w:val="00175E49"/>
    <w:rsid w:val="00177076"/>
    <w:rsid w:val="001805C1"/>
    <w:rsid w:val="00180A2E"/>
    <w:rsid w:val="001813AF"/>
    <w:rsid w:val="001829CD"/>
    <w:rsid w:val="00182F01"/>
    <w:rsid w:val="00184F27"/>
    <w:rsid w:val="0018519B"/>
    <w:rsid w:val="00185AFE"/>
    <w:rsid w:val="00185E78"/>
    <w:rsid w:val="00187177"/>
    <w:rsid w:val="00187443"/>
    <w:rsid w:val="00187ABD"/>
    <w:rsid w:val="001904E3"/>
    <w:rsid w:val="0019087A"/>
    <w:rsid w:val="00191C5A"/>
    <w:rsid w:val="00191CEB"/>
    <w:rsid w:val="00191E63"/>
    <w:rsid w:val="00192D68"/>
    <w:rsid w:val="0019388B"/>
    <w:rsid w:val="00193B9A"/>
    <w:rsid w:val="001946AE"/>
    <w:rsid w:val="001946D5"/>
    <w:rsid w:val="00194E8C"/>
    <w:rsid w:val="001962EC"/>
    <w:rsid w:val="001963DD"/>
    <w:rsid w:val="001965DB"/>
    <w:rsid w:val="00196DC9"/>
    <w:rsid w:val="001A0236"/>
    <w:rsid w:val="001A0AF8"/>
    <w:rsid w:val="001A18D5"/>
    <w:rsid w:val="001A1D4A"/>
    <w:rsid w:val="001A3011"/>
    <w:rsid w:val="001A4DAF"/>
    <w:rsid w:val="001A66DF"/>
    <w:rsid w:val="001A67D0"/>
    <w:rsid w:val="001A7591"/>
    <w:rsid w:val="001A75B1"/>
    <w:rsid w:val="001B0366"/>
    <w:rsid w:val="001B0444"/>
    <w:rsid w:val="001B096B"/>
    <w:rsid w:val="001B0F9F"/>
    <w:rsid w:val="001B123C"/>
    <w:rsid w:val="001B1A0D"/>
    <w:rsid w:val="001B1BF1"/>
    <w:rsid w:val="001B2456"/>
    <w:rsid w:val="001B449C"/>
    <w:rsid w:val="001B4AA2"/>
    <w:rsid w:val="001B4ADE"/>
    <w:rsid w:val="001B5EF8"/>
    <w:rsid w:val="001C07C6"/>
    <w:rsid w:val="001C19CD"/>
    <w:rsid w:val="001C22D5"/>
    <w:rsid w:val="001C2515"/>
    <w:rsid w:val="001C2550"/>
    <w:rsid w:val="001C26FB"/>
    <w:rsid w:val="001C33C1"/>
    <w:rsid w:val="001C3E30"/>
    <w:rsid w:val="001C3E5C"/>
    <w:rsid w:val="001C5072"/>
    <w:rsid w:val="001C5B2A"/>
    <w:rsid w:val="001C600B"/>
    <w:rsid w:val="001C6407"/>
    <w:rsid w:val="001C6898"/>
    <w:rsid w:val="001C6DD8"/>
    <w:rsid w:val="001C7C7B"/>
    <w:rsid w:val="001D068D"/>
    <w:rsid w:val="001D0A71"/>
    <w:rsid w:val="001D12D1"/>
    <w:rsid w:val="001D15DF"/>
    <w:rsid w:val="001D2970"/>
    <w:rsid w:val="001D30F3"/>
    <w:rsid w:val="001D31A0"/>
    <w:rsid w:val="001D338E"/>
    <w:rsid w:val="001D4141"/>
    <w:rsid w:val="001D56E9"/>
    <w:rsid w:val="001D7923"/>
    <w:rsid w:val="001D796A"/>
    <w:rsid w:val="001D7A84"/>
    <w:rsid w:val="001D7C79"/>
    <w:rsid w:val="001E15F0"/>
    <w:rsid w:val="001E1CC4"/>
    <w:rsid w:val="001E1D38"/>
    <w:rsid w:val="001E4258"/>
    <w:rsid w:val="001E56FF"/>
    <w:rsid w:val="001E5D6A"/>
    <w:rsid w:val="001E70FB"/>
    <w:rsid w:val="001E780A"/>
    <w:rsid w:val="001F07D6"/>
    <w:rsid w:val="001F0FA0"/>
    <w:rsid w:val="001F1349"/>
    <w:rsid w:val="001F1863"/>
    <w:rsid w:val="001F232D"/>
    <w:rsid w:val="001F2356"/>
    <w:rsid w:val="001F2A68"/>
    <w:rsid w:val="001F39EA"/>
    <w:rsid w:val="001F4773"/>
    <w:rsid w:val="001F5008"/>
    <w:rsid w:val="001F512D"/>
    <w:rsid w:val="001F56AA"/>
    <w:rsid w:val="001F58AA"/>
    <w:rsid w:val="001F5EF6"/>
    <w:rsid w:val="001F657F"/>
    <w:rsid w:val="001F6FB6"/>
    <w:rsid w:val="001F7978"/>
    <w:rsid w:val="001F7A0E"/>
    <w:rsid w:val="0020022E"/>
    <w:rsid w:val="0020054E"/>
    <w:rsid w:val="00200B51"/>
    <w:rsid w:val="00201F1E"/>
    <w:rsid w:val="0020299B"/>
    <w:rsid w:val="00202E44"/>
    <w:rsid w:val="002037AA"/>
    <w:rsid w:val="00203FE3"/>
    <w:rsid w:val="002042D8"/>
    <w:rsid w:val="00204515"/>
    <w:rsid w:val="00204BF5"/>
    <w:rsid w:val="00204E6B"/>
    <w:rsid w:val="002058D4"/>
    <w:rsid w:val="00205BAA"/>
    <w:rsid w:val="0020632A"/>
    <w:rsid w:val="0020697F"/>
    <w:rsid w:val="002110EB"/>
    <w:rsid w:val="00211338"/>
    <w:rsid w:val="00211388"/>
    <w:rsid w:val="0021148C"/>
    <w:rsid w:val="00211694"/>
    <w:rsid w:val="0021201A"/>
    <w:rsid w:val="00213A1F"/>
    <w:rsid w:val="00213C63"/>
    <w:rsid w:val="00214502"/>
    <w:rsid w:val="00214741"/>
    <w:rsid w:val="0021539A"/>
    <w:rsid w:val="00215852"/>
    <w:rsid w:val="00215B8E"/>
    <w:rsid w:val="00216264"/>
    <w:rsid w:val="002176B6"/>
    <w:rsid w:val="0021792D"/>
    <w:rsid w:val="00217DB8"/>
    <w:rsid w:val="0022032A"/>
    <w:rsid w:val="002221CE"/>
    <w:rsid w:val="00222BE8"/>
    <w:rsid w:val="00223102"/>
    <w:rsid w:val="002232CB"/>
    <w:rsid w:val="00224022"/>
    <w:rsid w:val="00226055"/>
    <w:rsid w:val="0022613F"/>
    <w:rsid w:val="00226236"/>
    <w:rsid w:val="002270C9"/>
    <w:rsid w:val="00227A8B"/>
    <w:rsid w:val="0023146B"/>
    <w:rsid w:val="002315A0"/>
    <w:rsid w:val="00231EC7"/>
    <w:rsid w:val="00232E15"/>
    <w:rsid w:val="00233079"/>
    <w:rsid w:val="0023382C"/>
    <w:rsid w:val="00233977"/>
    <w:rsid w:val="00233C58"/>
    <w:rsid w:val="00233C71"/>
    <w:rsid w:val="002345B6"/>
    <w:rsid w:val="00234B84"/>
    <w:rsid w:val="00236016"/>
    <w:rsid w:val="00237065"/>
    <w:rsid w:val="00237589"/>
    <w:rsid w:val="0023758D"/>
    <w:rsid w:val="002375A7"/>
    <w:rsid w:val="0024019A"/>
    <w:rsid w:val="002411DE"/>
    <w:rsid w:val="0024131D"/>
    <w:rsid w:val="002415B8"/>
    <w:rsid w:val="00241618"/>
    <w:rsid w:val="00242D62"/>
    <w:rsid w:val="002431D7"/>
    <w:rsid w:val="00244058"/>
    <w:rsid w:val="00245718"/>
    <w:rsid w:val="00245E07"/>
    <w:rsid w:val="00247712"/>
    <w:rsid w:val="00250EC6"/>
    <w:rsid w:val="00251866"/>
    <w:rsid w:val="00251A9F"/>
    <w:rsid w:val="00252492"/>
    <w:rsid w:val="00252B35"/>
    <w:rsid w:val="0025316D"/>
    <w:rsid w:val="002532F4"/>
    <w:rsid w:val="00253A02"/>
    <w:rsid w:val="00253B81"/>
    <w:rsid w:val="002554DE"/>
    <w:rsid w:val="00255E11"/>
    <w:rsid w:val="00256835"/>
    <w:rsid w:val="002569F0"/>
    <w:rsid w:val="00256ECF"/>
    <w:rsid w:val="00257730"/>
    <w:rsid w:val="00257999"/>
    <w:rsid w:val="002604AA"/>
    <w:rsid w:val="0026129B"/>
    <w:rsid w:val="00261560"/>
    <w:rsid w:val="00261715"/>
    <w:rsid w:val="00261CF9"/>
    <w:rsid w:val="00261EC0"/>
    <w:rsid w:val="0026231B"/>
    <w:rsid w:val="00263101"/>
    <w:rsid w:val="00263201"/>
    <w:rsid w:val="00263A37"/>
    <w:rsid w:val="002653A6"/>
    <w:rsid w:val="0026608D"/>
    <w:rsid w:val="002661F1"/>
    <w:rsid w:val="002663BA"/>
    <w:rsid w:val="00266CB5"/>
    <w:rsid w:val="002711A4"/>
    <w:rsid w:val="00271F13"/>
    <w:rsid w:val="00274DB5"/>
    <w:rsid w:val="00275BB1"/>
    <w:rsid w:val="00275FBF"/>
    <w:rsid w:val="00276373"/>
    <w:rsid w:val="00277933"/>
    <w:rsid w:val="00277F8D"/>
    <w:rsid w:val="00277FA7"/>
    <w:rsid w:val="00280F3D"/>
    <w:rsid w:val="0028106A"/>
    <w:rsid w:val="0028187B"/>
    <w:rsid w:val="00281EB4"/>
    <w:rsid w:val="0028308E"/>
    <w:rsid w:val="002834E9"/>
    <w:rsid w:val="00283A52"/>
    <w:rsid w:val="00283C5E"/>
    <w:rsid w:val="00283E26"/>
    <w:rsid w:val="0028428F"/>
    <w:rsid w:val="00284CFC"/>
    <w:rsid w:val="00285832"/>
    <w:rsid w:val="00285969"/>
    <w:rsid w:val="0028663B"/>
    <w:rsid w:val="00286CEC"/>
    <w:rsid w:val="002871A9"/>
    <w:rsid w:val="00290781"/>
    <w:rsid w:val="00291784"/>
    <w:rsid w:val="002929BB"/>
    <w:rsid w:val="00294368"/>
    <w:rsid w:val="00294B78"/>
    <w:rsid w:val="00295949"/>
    <w:rsid w:val="0029624A"/>
    <w:rsid w:val="00296922"/>
    <w:rsid w:val="00297098"/>
    <w:rsid w:val="002A05D4"/>
    <w:rsid w:val="002A09FF"/>
    <w:rsid w:val="002A0E60"/>
    <w:rsid w:val="002A1A58"/>
    <w:rsid w:val="002A1B02"/>
    <w:rsid w:val="002A1C53"/>
    <w:rsid w:val="002A28FC"/>
    <w:rsid w:val="002A2B44"/>
    <w:rsid w:val="002A2EA5"/>
    <w:rsid w:val="002A3D94"/>
    <w:rsid w:val="002A4736"/>
    <w:rsid w:val="002A4B1C"/>
    <w:rsid w:val="002A4CC8"/>
    <w:rsid w:val="002A6AFB"/>
    <w:rsid w:val="002A733D"/>
    <w:rsid w:val="002A774A"/>
    <w:rsid w:val="002A7E5C"/>
    <w:rsid w:val="002A7F6D"/>
    <w:rsid w:val="002B1342"/>
    <w:rsid w:val="002B27C8"/>
    <w:rsid w:val="002B2A7F"/>
    <w:rsid w:val="002B330B"/>
    <w:rsid w:val="002B39BE"/>
    <w:rsid w:val="002B438C"/>
    <w:rsid w:val="002B48DB"/>
    <w:rsid w:val="002B4B34"/>
    <w:rsid w:val="002B541A"/>
    <w:rsid w:val="002B6407"/>
    <w:rsid w:val="002B6416"/>
    <w:rsid w:val="002B6459"/>
    <w:rsid w:val="002B73B0"/>
    <w:rsid w:val="002C1143"/>
    <w:rsid w:val="002C24B4"/>
    <w:rsid w:val="002C2B3A"/>
    <w:rsid w:val="002C2B87"/>
    <w:rsid w:val="002C3CF4"/>
    <w:rsid w:val="002C441A"/>
    <w:rsid w:val="002C4A73"/>
    <w:rsid w:val="002C4B84"/>
    <w:rsid w:val="002C4C0C"/>
    <w:rsid w:val="002C5016"/>
    <w:rsid w:val="002C5C2F"/>
    <w:rsid w:val="002C5D0F"/>
    <w:rsid w:val="002C5E87"/>
    <w:rsid w:val="002C60B9"/>
    <w:rsid w:val="002C6F77"/>
    <w:rsid w:val="002C704D"/>
    <w:rsid w:val="002D0845"/>
    <w:rsid w:val="002D0933"/>
    <w:rsid w:val="002D19BB"/>
    <w:rsid w:val="002D1A9B"/>
    <w:rsid w:val="002D22C5"/>
    <w:rsid w:val="002D301F"/>
    <w:rsid w:val="002D302A"/>
    <w:rsid w:val="002D36C6"/>
    <w:rsid w:val="002D37C1"/>
    <w:rsid w:val="002D444B"/>
    <w:rsid w:val="002D4A45"/>
    <w:rsid w:val="002D4A73"/>
    <w:rsid w:val="002D4B42"/>
    <w:rsid w:val="002D4DBA"/>
    <w:rsid w:val="002D5A1B"/>
    <w:rsid w:val="002D65BC"/>
    <w:rsid w:val="002D6D7E"/>
    <w:rsid w:val="002E055C"/>
    <w:rsid w:val="002E1050"/>
    <w:rsid w:val="002E18E5"/>
    <w:rsid w:val="002E1953"/>
    <w:rsid w:val="002E2D7D"/>
    <w:rsid w:val="002E3AB5"/>
    <w:rsid w:val="002E3D76"/>
    <w:rsid w:val="002E40A1"/>
    <w:rsid w:val="002E48EC"/>
    <w:rsid w:val="002E4B44"/>
    <w:rsid w:val="002E4ECB"/>
    <w:rsid w:val="002E4F23"/>
    <w:rsid w:val="002E7847"/>
    <w:rsid w:val="002F0073"/>
    <w:rsid w:val="002F0618"/>
    <w:rsid w:val="002F240B"/>
    <w:rsid w:val="002F2F50"/>
    <w:rsid w:val="002F3601"/>
    <w:rsid w:val="002F45F6"/>
    <w:rsid w:val="002F692F"/>
    <w:rsid w:val="002F7B66"/>
    <w:rsid w:val="00300CB4"/>
    <w:rsid w:val="00300E24"/>
    <w:rsid w:val="003033BA"/>
    <w:rsid w:val="003043A3"/>
    <w:rsid w:val="00304BD4"/>
    <w:rsid w:val="0030500A"/>
    <w:rsid w:val="0030517B"/>
    <w:rsid w:val="003052EB"/>
    <w:rsid w:val="00305FCB"/>
    <w:rsid w:val="003063C3"/>
    <w:rsid w:val="00306B44"/>
    <w:rsid w:val="00307C44"/>
    <w:rsid w:val="0031088E"/>
    <w:rsid w:val="00310D01"/>
    <w:rsid w:val="00311376"/>
    <w:rsid w:val="00311A1F"/>
    <w:rsid w:val="00311B47"/>
    <w:rsid w:val="00311D52"/>
    <w:rsid w:val="00312190"/>
    <w:rsid w:val="003125E0"/>
    <w:rsid w:val="0031271D"/>
    <w:rsid w:val="00313447"/>
    <w:rsid w:val="00313748"/>
    <w:rsid w:val="00313EA3"/>
    <w:rsid w:val="00315457"/>
    <w:rsid w:val="003161A4"/>
    <w:rsid w:val="00316955"/>
    <w:rsid w:val="0031720A"/>
    <w:rsid w:val="0031749B"/>
    <w:rsid w:val="003174E5"/>
    <w:rsid w:val="00317C9D"/>
    <w:rsid w:val="00317CD2"/>
    <w:rsid w:val="00317D99"/>
    <w:rsid w:val="0032078D"/>
    <w:rsid w:val="0032137B"/>
    <w:rsid w:val="00321BD6"/>
    <w:rsid w:val="00321FA3"/>
    <w:rsid w:val="003227D3"/>
    <w:rsid w:val="00322937"/>
    <w:rsid w:val="00322A46"/>
    <w:rsid w:val="00322A84"/>
    <w:rsid w:val="00323881"/>
    <w:rsid w:val="00323B73"/>
    <w:rsid w:val="00325D98"/>
    <w:rsid w:val="0032682A"/>
    <w:rsid w:val="00327A5C"/>
    <w:rsid w:val="0033092C"/>
    <w:rsid w:val="0033122A"/>
    <w:rsid w:val="003315AC"/>
    <w:rsid w:val="00331932"/>
    <w:rsid w:val="00333A88"/>
    <w:rsid w:val="00335B15"/>
    <w:rsid w:val="00335B21"/>
    <w:rsid w:val="00335D3F"/>
    <w:rsid w:val="00336104"/>
    <w:rsid w:val="00336729"/>
    <w:rsid w:val="0033726D"/>
    <w:rsid w:val="00337362"/>
    <w:rsid w:val="00337CA8"/>
    <w:rsid w:val="0034177C"/>
    <w:rsid w:val="00342345"/>
    <w:rsid w:val="00342C27"/>
    <w:rsid w:val="003430C8"/>
    <w:rsid w:val="003432C8"/>
    <w:rsid w:val="003434B3"/>
    <w:rsid w:val="00343536"/>
    <w:rsid w:val="00343EFB"/>
    <w:rsid w:val="00344760"/>
    <w:rsid w:val="0034680A"/>
    <w:rsid w:val="00346C62"/>
    <w:rsid w:val="0034778E"/>
    <w:rsid w:val="003501E2"/>
    <w:rsid w:val="00351E10"/>
    <w:rsid w:val="0035273A"/>
    <w:rsid w:val="003533F4"/>
    <w:rsid w:val="003536F6"/>
    <w:rsid w:val="00353DD5"/>
    <w:rsid w:val="00355131"/>
    <w:rsid w:val="00356438"/>
    <w:rsid w:val="00360E6D"/>
    <w:rsid w:val="00361A59"/>
    <w:rsid w:val="00363348"/>
    <w:rsid w:val="00363857"/>
    <w:rsid w:val="00363D59"/>
    <w:rsid w:val="003640F7"/>
    <w:rsid w:val="00364300"/>
    <w:rsid w:val="00365D3A"/>
    <w:rsid w:val="003664FF"/>
    <w:rsid w:val="00366BD2"/>
    <w:rsid w:val="003670B8"/>
    <w:rsid w:val="003704A3"/>
    <w:rsid w:val="003706F2"/>
    <w:rsid w:val="0037124F"/>
    <w:rsid w:val="00371CA6"/>
    <w:rsid w:val="00373827"/>
    <w:rsid w:val="0037401C"/>
    <w:rsid w:val="003745AD"/>
    <w:rsid w:val="00374A1E"/>
    <w:rsid w:val="0037507B"/>
    <w:rsid w:val="00375C7C"/>
    <w:rsid w:val="00377027"/>
    <w:rsid w:val="00377135"/>
    <w:rsid w:val="00380272"/>
    <w:rsid w:val="00380576"/>
    <w:rsid w:val="003805DB"/>
    <w:rsid w:val="003813F4"/>
    <w:rsid w:val="0038152A"/>
    <w:rsid w:val="00382BAD"/>
    <w:rsid w:val="00384DF1"/>
    <w:rsid w:val="00384FF3"/>
    <w:rsid w:val="00386456"/>
    <w:rsid w:val="003865A9"/>
    <w:rsid w:val="00387642"/>
    <w:rsid w:val="00390F32"/>
    <w:rsid w:val="0039135E"/>
    <w:rsid w:val="0039319C"/>
    <w:rsid w:val="00393CAE"/>
    <w:rsid w:val="003945DC"/>
    <w:rsid w:val="003945F4"/>
    <w:rsid w:val="00394EB5"/>
    <w:rsid w:val="003953B4"/>
    <w:rsid w:val="0039615F"/>
    <w:rsid w:val="00396A29"/>
    <w:rsid w:val="00397FF0"/>
    <w:rsid w:val="003A0878"/>
    <w:rsid w:val="003A1561"/>
    <w:rsid w:val="003A1D25"/>
    <w:rsid w:val="003A22A2"/>
    <w:rsid w:val="003A2447"/>
    <w:rsid w:val="003A2AA1"/>
    <w:rsid w:val="003A31A5"/>
    <w:rsid w:val="003A3851"/>
    <w:rsid w:val="003A39DD"/>
    <w:rsid w:val="003A4A8E"/>
    <w:rsid w:val="003A563C"/>
    <w:rsid w:val="003A581E"/>
    <w:rsid w:val="003A6160"/>
    <w:rsid w:val="003A65A5"/>
    <w:rsid w:val="003A72F5"/>
    <w:rsid w:val="003A78E5"/>
    <w:rsid w:val="003B0341"/>
    <w:rsid w:val="003B120F"/>
    <w:rsid w:val="003B1E57"/>
    <w:rsid w:val="003B2EF3"/>
    <w:rsid w:val="003B4B1C"/>
    <w:rsid w:val="003B4CB2"/>
    <w:rsid w:val="003B534F"/>
    <w:rsid w:val="003B5391"/>
    <w:rsid w:val="003B65D7"/>
    <w:rsid w:val="003B65E0"/>
    <w:rsid w:val="003B6BD4"/>
    <w:rsid w:val="003B6F4D"/>
    <w:rsid w:val="003B6FE7"/>
    <w:rsid w:val="003C0D1F"/>
    <w:rsid w:val="003C116A"/>
    <w:rsid w:val="003C1AF4"/>
    <w:rsid w:val="003C1B63"/>
    <w:rsid w:val="003C1CB8"/>
    <w:rsid w:val="003C2550"/>
    <w:rsid w:val="003C287F"/>
    <w:rsid w:val="003C3339"/>
    <w:rsid w:val="003C375A"/>
    <w:rsid w:val="003C4D9F"/>
    <w:rsid w:val="003C622C"/>
    <w:rsid w:val="003C73C7"/>
    <w:rsid w:val="003D050B"/>
    <w:rsid w:val="003D0B98"/>
    <w:rsid w:val="003D0C3C"/>
    <w:rsid w:val="003D0DE5"/>
    <w:rsid w:val="003D1351"/>
    <w:rsid w:val="003D21C1"/>
    <w:rsid w:val="003D3707"/>
    <w:rsid w:val="003D3B15"/>
    <w:rsid w:val="003D3B2E"/>
    <w:rsid w:val="003D484D"/>
    <w:rsid w:val="003D49CB"/>
    <w:rsid w:val="003D4BD6"/>
    <w:rsid w:val="003D6B8F"/>
    <w:rsid w:val="003D7566"/>
    <w:rsid w:val="003E09BB"/>
    <w:rsid w:val="003E159D"/>
    <w:rsid w:val="003E20EA"/>
    <w:rsid w:val="003E210C"/>
    <w:rsid w:val="003E2F55"/>
    <w:rsid w:val="003E34DB"/>
    <w:rsid w:val="003E3833"/>
    <w:rsid w:val="003E3AF9"/>
    <w:rsid w:val="003E4A70"/>
    <w:rsid w:val="003E4C48"/>
    <w:rsid w:val="003E4CD9"/>
    <w:rsid w:val="003E54B3"/>
    <w:rsid w:val="003E5780"/>
    <w:rsid w:val="003E5B9F"/>
    <w:rsid w:val="003E6072"/>
    <w:rsid w:val="003E6AB6"/>
    <w:rsid w:val="003E6E0B"/>
    <w:rsid w:val="003E71CD"/>
    <w:rsid w:val="003E78DA"/>
    <w:rsid w:val="003E7A8B"/>
    <w:rsid w:val="003F0F7F"/>
    <w:rsid w:val="003F300D"/>
    <w:rsid w:val="003F391F"/>
    <w:rsid w:val="003F4599"/>
    <w:rsid w:val="003F45E1"/>
    <w:rsid w:val="003F4F6C"/>
    <w:rsid w:val="003F516A"/>
    <w:rsid w:val="003F559E"/>
    <w:rsid w:val="003F6181"/>
    <w:rsid w:val="003F63EE"/>
    <w:rsid w:val="003F7343"/>
    <w:rsid w:val="00400002"/>
    <w:rsid w:val="00400054"/>
    <w:rsid w:val="004016A3"/>
    <w:rsid w:val="00401B31"/>
    <w:rsid w:val="0040202B"/>
    <w:rsid w:val="00402DE1"/>
    <w:rsid w:val="00402EEB"/>
    <w:rsid w:val="004037C2"/>
    <w:rsid w:val="00404041"/>
    <w:rsid w:val="00404B43"/>
    <w:rsid w:val="00404C61"/>
    <w:rsid w:val="00405487"/>
    <w:rsid w:val="0040602B"/>
    <w:rsid w:val="00407A7A"/>
    <w:rsid w:val="00407ABC"/>
    <w:rsid w:val="00407F1E"/>
    <w:rsid w:val="00410A88"/>
    <w:rsid w:val="00411317"/>
    <w:rsid w:val="00411A9E"/>
    <w:rsid w:val="0041259F"/>
    <w:rsid w:val="00412B4D"/>
    <w:rsid w:val="00412C51"/>
    <w:rsid w:val="00413262"/>
    <w:rsid w:val="0041329C"/>
    <w:rsid w:val="004139F4"/>
    <w:rsid w:val="00413FFA"/>
    <w:rsid w:val="00414246"/>
    <w:rsid w:val="0041475B"/>
    <w:rsid w:val="00414D9A"/>
    <w:rsid w:val="00415194"/>
    <w:rsid w:val="00415816"/>
    <w:rsid w:val="00415B88"/>
    <w:rsid w:val="00415D32"/>
    <w:rsid w:val="004160A2"/>
    <w:rsid w:val="004170D7"/>
    <w:rsid w:val="004177A6"/>
    <w:rsid w:val="00417EFD"/>
    <w:rsid w:val="004200EE"/>
    <w:rsid w:val="004209D2"/>
    <w:rsid w:val="00420D6E"/>
    <w:rsid w:val="00421BD2"/>
    <w:rsid w:val="00421E00"/>
    <w:rsid w:val="00421FCB"/>
    <w:rsid w:val="00422DCA"/>
    <w:rsid w:val="00423F9F"/>
    <w:rsid w:val="00425C43"/>
    <w:rsid w:val="00426C69"/>
    <w:rsid w:val="004273FA"/>
    <w:rsid w:val="00430186"/>
    <w:rsid w:val="0043269A"/>
    <w:rsid w:val="004333C2"/>
    <w:rsid w:val="00433ACB"/>
    <w:rsid w:val="00434787"/>
    <w:rsid w:val="004347DA"/>
    <w:rsid w:val="00434C13"/>
    <w:rsid w:val="00436323"/>
    <w:rsid w:val="0043683F"/>
    <w:rsid w:val="00436F40"/>
    <w:rsid w:val="004370FA"/>
    <w:rsid w:val="00440096"/>
    <w:rsid w:val="004403DD"/>
    <w:rsid w:val="00440DB0"/>
    <w:rsid w:val="00440FAD"/>
    <w:rsid w:val="00441291"/>
    <w:rsid w:val="004420AB"/>
    <w:rsid w:val="004422D6"/>
    <w:rsid w:val="004427AC"/>
    <w:rsid w:val="00442D4D"/>
    <w:rsid w:val="00443613"/>
    <w:rsid w:val="0044374D"/>
    <w:rsid w:val="00443865"/>
    <w:rsid w:val="00443B55"/>
    <w:rsid w:val="00443D27"/>
    <w:rsid w:val="00445AC2"/>
    <w:rsid w:val="00446037"/>
    <w:rsid w:val="0044642F"/>
    <w:rsid w:val="0044772C"/>
    <w:rsid w:val="00450846"/>
    <w:rsid w:val="00451A52"/>
    <w:rsid w:val="00451FC8"/>
    <w:rsid w:val="0045271D"/>
    <w:rsid w:val="00452755"/>
    <w:rsid w:val="00452803"/>
    <w:rsid w:val="004529C6"/>
    <w:rsid w:val="00452EAD"/>
    <w:rsid w:val="004533D1"/>
    <w:rsid w:val="004534D1"/>
    <w:rsid w:val="00454548"/>
    <w:rsid w:val="00454717"/>
    <w:rsid w:val="00455047"/>
    <w:rsid w:val="00455354"/>
    <w:rsid w:val="0045558D"/>
    <w:rsid w:val="00456970"/>
    <w:rsid w:val="00456BB1"/>
    <w:rsid w:val="00456DDB"/>
    <w:rsid w:val="00460915"/>
    <w:rsid w:val="00460946"/>
    <w:rsid w:val="004613D2"/>
    <w:rsid w:val="004614A9"/>
    <w:rsid w:val="00461E97"/>
    <w:rsid w:val="0046268F"/>
    <w:rsid w:val="0046284F"/>
    <w:rsid w:val="00462B10"/>
    <w:rsid w:val="00462C04"/>
    <w:rsid w:val="0046320A"/>
    <w:rsid w:val="0046361D"/>
    <w:rsid w:val="004638E2"/>
    <w:rsid w:val="00464030"/>
    <w:rsid w:val="004647F8"/>
    <w:rsid w:val="004647FB"/>
    <w:rsid w:val="00464EF5"/>
    <w:rsid w:val="00465677"/>
    <w:rsid w:val="00465AC3"/>
    <w:rsid w:val="00466616"/>
    <w:rsid w:val="00466861"/>
    <w:rsid w:val="00466A0C"/>
    <w:rsid w:val="00470A6A"/>
    <w:rsid w:val="00470D92"/>
    <w:rsid w:val="004712D1"/>
    <w:rsid w:val="00471DF7"/>
    <w:rsid w:val="00471F6B"/>
    <w:rsid w:val="0047295C"/>
    <w:rsid w:val="00472D8E"/>
    <w:rsid w:val="004734CF"/>
    <w:rsid w:val="00475C5A"/>
    <w:rsid w:val="00475C9C"/>
    <w:rsid w:val="0047676B"/>
    <w:rsid w:val="0047773C"/>
    <w:rsid w:val="00477C5F"/>
    <w:rsid w:val="00480050"/>
    <w:rsid w:val="004808DE"/>
    <w:rsid w:val="00481AC4"/>
    <w:rsid w:val="00481DC1"/>
    <w:rsid w:val="00482507"/>
    <w:rsid w:val="0048268A"/>
    <w:rsid w:val="00483356"/>
    <w:rsid w:val="004835CA"/>
    <w:rsid w:val="004836F8"/>
    <w:rsid w:val="004836FE"/>
    <w:rsid w:val="004843F9"/>
    <w:rsid w:val="00484F0F"/>
    <w:rsid w:val="00484F40"/>
    <w:rsid w:val="0048540C"/>
    <w:rsid w:val="0048592F"/>
    <w:rsid w:val="004861B4"/>
    <w:rsid w:val="00486BD0"/>
    <w:rsid w:val="00486D00"/>
    <w:rsid w:val="00487263"/>
    <w:rsid w:val="0048734F"/>
    <w:rsid w:val="0049029D"/>
    <w:rsid w:val="0049030C"/>
    <w:rsid w:val="004903C0"/>
    <w:rsid w:val="0049114B"/>
    <w:rsid w:val="004912A8"/>
    <w:rsid w:val="00491577"/>
    <w:rsid w:val="0049196E"/>
    <w:rsid w:val="0049241A"/>
    <w:rsid w:val="00492C1F"/>
    <w:rsid w:val="00492E4C"/>
    <w:rsid w:val="00493E04"/>
    <w:rsid w:val="004940E3"/>
    <w:rsid w:val="0049530F"/>
    <w:rsid w:val="00496664"/>
    <w:rsid w:val="00496786"/>
    <w:rsid w:val="0049695B"/>
    <w:rsid w:val="00496D8F"/>
    <w:rsid w:val="00497463"/>
    <w:rsid w:val="00497B15"/>
    <w:rsid w:val="004A054C"/>
    <w:rsid w:val="004A08D1"/>
    <w:rsid w:val="004A16C1"/>
    <w:rsid w:val="004A1CE2"/>
    <w:rsid w:val="004A2800"/>
    <w:rsid w:val="004A34D2"/>
    <w:rsid w:val="004A41BA"/>
    <w:rsid w:val="004A4301"/>
    <w:rsid w:val="004A4E65"/>
    <w:rsid w:val="004A58EE"/>
    <w:rsid w:val="004A59B7"/>
    <w:rsid w:val="004A623B"/>
    <w:rsid w:val="004A6A04"/>
    <w:rsid w:val="004A6A52"/>
    <w:rsid w:val="004B0F0B"/>
    <w:rsid w:val="004B2197"/>
    <w:rsid w:val="004B298A"/>
    <w:rsid w:val="004B578D"/>
    <w:rsid w:val="004B5BE7"/>
    <w:rsid w:val="004B5E2D"/>
    <w:rsid w:val="004B6C07"/>
    <w:rsid w:val="004B74D3"/>
    <w:rsid w:val="004B76D3"/>
    <w:rsid w:val="004B788E"/>
    <w:rsid w:val="004B7E5D"/>
    <w:rsid w:val="004C0DD8"/>
    <w:rsid w:val="004C22F7"/>
    <w:rsid w:val="004C2B27"/>
    <w:rsid w:val="004C3929"/>
    <w:rsid w:val="004C4DCB"/>
    <w:rsid w:val="004C5212"/>
    <w:rsid w:val="004C5EF0"/>
    <w:rsid w:val="004C683D"/>
    <w:rsid w:val="004C7226"/>
    <w:rsid w:val="004C74C9"/>
    <w:rsid w:val="004C7D70"/>
    <w:rsid w:val="004D02F9"/>
    <w:rsid w:val="004D03FE"/>
    <w:rsid w:val="004D0446"/>
    <w:rsid w:val="004D0F95"/>
    <w:rsid w:val="004D106A"/>
    <w:rsid w:val="004D31EE"/>
    <w:rsid w:val="004D36AF"/>
    <w:rsid w:val="004D3BD1"/>
    <w:rsid w:val="004D4BA1"/>
    <w:rsid w:val="004D584D"/>
    <w:rsid w:val="004D6826"/>
    <w:rsid w:val="004E023F"/>
    <w:rsid w:val="004E0742"/>
    <w:rsid w:val="004E0C64"/>
    <w:rsid w:val="004E0F6B"/>
    <w:rsid w:val="004E1545"/>
    <w:rsid w:val="004E1F1C"/>
    <w:rsid w:val="004E2A35"/>
    <w:rsid w:val="004E40CE"/>
    <w:rsid w:val="004E518D"/>
    <w:rsid w:val="004E5736"/>
    <w:rsid w:val="004E5B36"/>
    <w:rsid w:val="004E6045"/>
    <w:rsid w:val="004E6F43"/>
    <w:rsid w:val="004E7200"/>
    <w:rsid w:val="004F034D"/>
    <w:rsid w:val="004F091D"/>
    <w:rsid w:val="004F0960"/>
    <w:rsid w:val="004F0A5C"/>
    <w:rsid w:val="004F163F"/>
    <w:rsid w:val="004F18A0"/>
    <w:rsid w:val="004F1A08"/>
    <w:rsid w:val="004F2B64"/>
    <w:rsid w:val="004F3764"/>
    <w:rsid w:val="004F3EEF"/>
    <w:rsid w:val="004F5930"/>
    <w:rsid w:val="004F5970"/>
    <w:rsid w:val="004F5F0C"/>
    <w:rsid w:val="004F6121"/>
    <w:rsid w:val="004F6161"/>
    <w:rsid w:val="004F66BC"/>
    <w:rsid w:val="004F6C26"/>
    <w:rsid w:val="004F7AC9"/>
    <w:rsid w:val="0050062F"/>
    <w:rsid w:val="005012E2"/>
    <w:rsid w:val="0050160F"/>
    <w:rsid w:val="0050284E"/>
    <w:rsid w:val="00505DCB"/>
    <w:rsid w:val="005075CA"/>
    <w:rsid w:val="0051074C"/>
    <w:rsid w:val="00510DE9"/>
    <w:rsid w:val="005111E2"/>
    <w:rsid w:val="00511231"/>
    <w:rsid w:val="00512779"/>
    <w:rsid w:val="00512C4F"/>
    <w:rsid w:val="00513042"/>
    <w:rsid w:val="0051334F"/>
    <w:rsid w:val="00513399"/>
    <w:rsid w:val="00513AA0"/>
    <w:rsid w:val="00513AF2"/>
    <w:rsid w:val="00514575"/>
    <w:rsid w:val="00514C03"/>
    <w:rsid w:val="00514D67"/>
    <w:rsid w:val="00515515"/>
    <w:rsid w:val="0051635C"/>
    <w:rsid w:val="00516C5B"/>
    <w:rsid w:val="00517612"/>
    <w:rsid w:val="00517CFB"/>
    <w:rsid w:val="00517F85"/>
    <w:rsid w:val="00520899"/>
    <w:rsid w:val="00520922"/>
    <w:rsid w:val="005209FC"/>
    <w:rsid w:val="005224E5"/>
    <w:rsid w:val="005226BE"/>
    <w:rsid w:val="00523903"/>
    <w:rsid w:val="005239B6"/>
    <w:rsid w:val="00523C45"/>
    <w:rsid w:val="00524165"/>
    <w:rsid w:val="005246E7"/>
    <w:rsid w:val="00524FD2"/>
    <w:rsid w:val="00525621"/>
    <w:rsid w:val="00526431"/>
    <w:rsid w:val="005265D8"/>
    <w:rsid w:val="00527E57"/>
    <w:rsid w:val="00530405"/>
    <w:rsid w:val="00530522"/>
    <w:rsid w:val="005305E5"/>
    <w:rsid w:val="00530F38"/>
    <w:rsid w:val="00531F26"/>
    <w:rsid w:val="0053277C"/>
    <w:rsid w:val="005327C0"/>
    <w:rsid w:val="00533101"/>
    <w:rsid w:val="00533CA9"/>
    <w:rsid w:val="005346AD"/>
    <w:rsid w:val="00534EFB"/>
    <w:rsid w:val="00534F60"/>
    <w:rsid w:val="005357F1"/>
    <w:rsid w:val="00536053"/>
    <w:rsid w:val="005369E6"/>
    <w:rsid w:val="005371AC"/>
    <w:rsid w:val="00537672"/>
    <w:rsid w:val="0053772F"/>
    <w:rsid w:val="00537B77"/>
    <w:rsid w:val="00540C4C"/>
    <w:rsid w:val="00541571"/>
    <w:rsid w:val="0054275A"/>
    <w:rsid w:val="005428B8"/>
    <w:rsid w:val="00542BD7"/>
    <w:rsid w:val="00543084"/>
    <w:rsid w:val="0054413A"/>
    <w:rsid w:val="00544288"/>
    <w:rsid w:val="005446BB"/>
    <w:rsid w:val="00545E30"/>
    <w:rsid w:val="00545EA3"/>
    <w:rsid w:val="00546293"/>
    <w:rsid w:val="00546C9B"/>
    <w:rsid w:val="00547BF6"/>
    <w:rsid w:val="00551098"/>
    <w:rsid w:val="00551598"/>
    <w:rsid w:val="0055162B"/>
    <w:rsid w:val="00551BFF"/>
    <w:rsid w:val="00551D68"/>
    <w:rsid w:val="00552B3E"/>
    <w:rsid w:val="005551AA"/>
    <w:rsid w:val="005564CA"/>
    <w:rsid w:val="005568EA"/>
    <w:rsid w:val="00557140"/>
    <w:rsid w:val="00560C87"/>
    <w:rsid w:val="00560EF9"/>
    <w:rsid w:val="00560F51"/>
    <w:rsid w:val="00561249"/>
    <w:rsid w:val="0056182B"/>
    <w:rsid w:val="00561AF3"/>
    <w:rsid w:val="00561E0B"/>
    <w:rsid w:val="00562141"/>
    <w:rsid w:val="00562D86"/>
    <w:rsid w:val="005642EC"/>
    <w:rsid w:val="00564704"/>
    <w:rsid w:val="00564712"/>
    <w:rsid w:val="005657A8"/>
    <w:rsid w:val="00565952"/>
    <w:rsid w:val="00566866"/>
    <w:rsid w:val="005670A5"/>
    <w:rsid w:val="00567723"/>
    <w:rsid w:val="00567AB8"/>
    <w:rsid w:val="00570A26"/>
    <w:rsid w:val="0057221F"/>
    <w:rsid w:val="00572539"/>
    <w:rsid w:val="0057337D"/>
    <w:rsid w:val="00573504"/>
    <w:rsid w:val="00574708"/>
    <w:rsid w:val="00574D81"/>
    <w:rsid w:val="005756AA"/>
    <w:rsid w:val="00576233"/>
    <w:rsid w:val="0057696F"/>
    <w:rsid w:val="005774FE"/>
    <w:rsid w:val="0058040C"/>
    <w:rsid w:val="00580D6D"/>
    <w:rsid w:val="005813DE"/>
    <w:rsid w:val="00581796"/>
    <w:rsid w:val="00581B45"/>
    <w:rsid w:val="00582480"/>
    <w:rsid w:val="0058290E"/>
    <w:rsid w:val="00582CAB"/>
    <w:rsid w:val="0058375E"/>
    <w:rsid w:val="00584233"/>
    <w:rsid w:val="005842D0"/>
    <w:rsid w:val="005855AE"/>
    <w:rsid w:val="00585829"/>
    <w:rsid w:val="00585CA8"/>
    <w:rsid w:val="00586412"/>
    <w:rsid w:val="005864B9"/>
    <w:rsid w:val="005866C4"/>
    <w:rsid w:val="00590F1A"/>
    <w:rsid w:val="00591C03"/>
    <w:rsid w:val="00591E2A"/>
    <w:rsid w:val="005923C4"/>
    <w:rsid w:val="00593F75"/>
    <w:rsid w:val="005940A0"/>
    <w:rsid w:val="0059429A"/>
    <w:rsid w:val="00596AF7"/>
    <w:rsid w:val="00596CCE"/>
    <w:rsid w:val="00597E38"/>
    <w:rsid w:val="005A1976"/>
    <w:rsid w:val="005A2120"/>
    <w:rsid w:val="005A2501"/>
    <w:rsid w:val="005A2C80"/>
    <w:rsid w:val="005A3066"/>
    <w:rsid w:val="005A3B35"/>
    <w:rsid w:val="005A3C4B"/>
    <w:rsid w:val="005A3E5A"/>
    <w:rsid w:val="005A43F3"/>
    <w:rsid w:val="005A496F"/>
    <w:rsid w:val="005A4A56"/>
    <w:rsid w:val="005A5A3D"/>
    <w:rsid w:val="005A6035"/>
    <w:rsid w:val="005A6B75"/>
    <w:rsid w:val="005A6E00"/>
    <w:rsid w:val="005A718A"/>
    <w:rsid w:val="005B09BE"/>
    <w:rsid w:val="005B12B2"/>
    <w:rsid w:val="005B143B"/>
    <w:rsid w:val="005B1E45"/>
    <w:rsid w:val="005B21C4"/>
    <w:rsid w:val="005B2A28"/>
    <w:rsid w:val="005B3621"/>
    <w:rsid w:val="005B4948"/>
    <w:rsid w:val="005B501D"/>
    <w:rsid w:val="005B54CC"/>
    <w:rsid w:val="005B74AD"/>
    <w:rsid w:val="005B7E96"/>
    <w:rsid w:val="005C0429"/>
    <w:rsid w:val="005C084F"/>
    <w:rsid w:val="005C0EE9"/>
    <w:rsid w:val="005C1716"/>
    <w:rsid w:val="005C1954"/>
    <w:rsid w:val="005C1C0B"/>
    <w:rsid w:val="005C2011"/>
    <w:rsid w:val="005C3EA3"/>
    <w:rsid w:val="005C5011"/>
    <w:rsid w:val="005C529E"/>
    <w:rsid w:val="005C57BA"/>
    <w:rsid w:val="005C5C52"/>
    <w:rsid w:val="005C5D3D"/>
    <w:rsid w:val="005C5F05"/>
    <w:rsid w:val="005C7F3E"/>
    <w:rsid w:val="005D1051"/>
    <w:rsid w:val="005D2044"/>
    <w:rsid w:val="005D2917"/>
    <w:rsid w:val="005D2EB2"/>
    <w:rsid w:val="005D2F48"/>
    <w:rsid w:val="005D464B"/>
    <w:rsid w:val="005D466F"/>
    <w:rsid w:val="005D49F0"/>
    <w:rsid w:val="005D51FA"/>
    <w:rsid w:val="005D53E8"/>
    <w:rsid w:val="005D5A9D"/>
    <w:rsid w:val="005D6651"/>
    <w:rsid w:val="005D691D"/>
    <w:rsid w:val="005D6A72"/>
    <w:rsid w:val="005D749F"/>
    <w:rsid w:val="005D791B"/>
    <w:rsid w:val="005D7CF2"/>
    <w:rsid w:val="005D7F92"/>
    <w:rsid w:val="005E0D7B"/>
    <w:rsid w:val="005E1595"/>
    <w:rsid w:val="005E1F1D"/>
    <w:rsid w:val="005E273D"/>
    <w:rsid w:val="005E3278"/>
    <w:rsid w:val="005E363B"/>
    <w:rsid w:val="005E3B0D"/>
    <w:rsid w:val="005F1D89"/>
    <w:rsid w:val="005F305B"/>
    <w:rsid w:val="005F3361"/>
    <w:rsid w:val="005F3B47"/>
    <w:rsid w:val="005F4481"/>
    <w:rsid w:val="005F49AF"/>
    <w:rsid w:val="005F4A58"/>
    <w:rsid w:val="005F54DF"/>
    <w:rsid w:val="005F5888"/>
    <w:rsid w:val="005F5984"/>
    <w:rsid w:val="005F6CE2"/>
    <w:rsid w:val="005F72E9"/>
    <w:rsid w:val="005F730E"/>
    <w:rsid w:val="005F780B"/>
    <w:rsid w:val="00600195"/>
    <w:rsid w:val="00600473"/>
    <w:rsid w:val="006013C9"/>
    <w:rsid w:val="006016EA"/>
    <w:rsid w:val="00602B45"/>
    <w:rsid w:val="00603499"/>
    <w:rsid w:val="006035F5"/>
    <w:rsid w:val="00603CC2"/>
    <w:rsid w:val="006047D1"/>
    <w:rsid w:val="00604A55"/>
    <w:rsid w:val="00605AC3"/>
    <w:rsid w:val="00606908"/>
    <w:rsid w:val="00607996"/>
    <w:rsid w:val="00607A37"/>
    <w:rsid w:val="00607E9F"/>
    <w:rsid w:val="0061085E"/>
    <w:rsid w:val="00611398"/>
    <w:rsid w:val="00612322"/>
    <w:rsid w:val="006123C0"/>
    <w:rsid w:val="00613191"/>
    <w:rsid w:val="006133F9"/>
    <w:rsid w:val="006134B3"/>
    <w:rsid w:val="00613DE1"/>
    <w:rsid w:val="0061401F"/>
    <w:rsid w:val="00614166"/>
    <w:rsid w:val="00614817"/>
    <w:rsid w:val="006149CC"/>
    <w:rsid w:val="006157A9"/>
    <w:rsid w:val="0061591D"/>
    <w:rsid w:val="00615ED0"/>
    <w:rsid w:val="0061604C"/>
    <w:rsid w:val="00616C2B"/>
    <w:rsid w:val="006174FA"/>
    <w:rsid w:val="006178D1"/>
    <w:rsid w:val="00620719"/>
    <w:rsid w:val="006212C9"/>
    <w:rsid w:val="00621D0C"/>
    <w:rsid w:val="00622470"/>
    <w:rsid w:val="00622725"/>
    <w:rsid w:val="006231AA"/>
    <w:rsid w:val="00623482"/>
    <w:rsid w:val="00623AC2"/>
    <w:rsid w:val="00625F38"/>
    <w:rsid w:val="006266D7"/>
    <w:rsid w:val="00626D42"/>
    <w:rsid w:val="00626EE3"/>
    <w:rsid w:val="006274AD"/>
    <w:rsid w:val="00627532"/>
    <w:rsid w:val="006302AA"/>
    <w:rsid w:val="006310C3"/>
    <w:rsid w:val="0063161E"/>
    <w:rsid w:val="0063167C"/>
    <w:rsid w:val="00631BB5"/>
    <w:rsid w:val="00631DD0"/>
    <w:rsid w:val="00633DBF"/>
    <w:rsid w:val="00634122"/>
    <w:rsid w:val="006355B6"/>
    <w:rsid w:val="00635E32"/>
    <w:rsid w:val="006365DE"/>
    <w:rsid w:val="00636BE4"/>
    <w:rsid w:val="00637802"/>
    <w:rsid w:val="00637836"/>
    <w:rsid w:val="00637C26"/>
    <w:rsid w:val="00637F44"/>
    <w:rsid w:val="00640659"/>
    <w:rsid w:val="00641078"/>
    <w:rsid w:val="00641242"/>
    <w:rsid w:val="00642A32"/>
    <w:rsid w:val="006433D5"/>
    <w:rsid w:val="00646B20"/>
    <w:rsid w:val="00646D0F"/>
    <w:rsid w:val="0064708F"/>
    <w:rsid w:val="00647A36"/>
    <w:rsid w:val="00647DCC"/>
    <w:rsid w:val="00647EFA"/>
    <w:rsid w:val="00647F14"/>
    <w:rsid w:val="00650027"/>
    <w:rsid w:val="0065043E"/>
    <w:rsid w:val="00651B9C"/>
    <w:rsid w:val="00651C47"/>
    <w:rsid w:val="00652854"/>
    <w:rsid w:val="00652E70"/>
    <w:rsid w:val="0065339A"/>
    <w:rsid w:val="00653469"/>
    <w:rsid w:val="00654A38"/>
    <w:rsid w:val="00655301"/>
    <w:rsid w:val="00655371"/>
    <w:rsid w:val="00655876"/>
    <w:rsid w:val="00656C4B"/>
    <w:rsid w:val="006573EA"/>
    <w:rsid w:val="00661029"/>
    <w:rsid w:val="00661042"/>
    <w:rsid w:val="0066135A"/>
    <w:rsid w:val="0066272D"/>
    <w:rsid w:val="00662E58"/>
    <w:rsid w:val="00662F39"/>
    <w:rsid w:val="006635A0"/>
    <w:rsid w:val="00664351"/>
    <w:rsid w:val="00665968"/>
    <w:rsid w:val="00665BF7"/>
    <w:rsid w:val="00666178"/>
    <w:rsid w:val="0066639E"/>
    <w:rsid w:val="00666473"/>
    <w:rsid w:val="00666C72"/>
    <w:rsid w:val="00666E6C"/>
    <w:rsid w:val="0066707F"/>
    <w:rsid w:val="00667ED8"/>
    <w:rsid w:val="0067064C"/>
    <w:rsid w:val="00670B20"/>
    <w:rsid w:val="00670E12"/>
    <w:rsid w:val="00672E80"/>
    <w:rsid w:val="006739E4"/>
    <w:rsid w:val="00673ECF"/>
    <w:rsid w:val="0067426B"/>
    <w:rsid w:val="00674A1B"/>
    <w:rsid w:val="006754F8"/>
    <w:rsid w:val="00676127"/>
    <w:rsid w:val="00676AED"/>
    <w:rsid w:val="00677F26"/>
    <w:rsid w:val="006802A7"/>
    <w:rsid w:val="006811C9"/>
    <w:rsid w:val="006812CE"/>
    <w:rsid w:val="006823DC"/>
    <w:rsid w:val="00682791"/>
    <w:rsid w:val="00682C89"/>
    <w:rsid w:val="006832B8"/>
    <w:rsid w:val="006837B2"/>
    <w:rsid w:val="00683800"/>
    <w:rsid w:val="00684411"/>
    <w:rsid w:val="00684434"/>
    <w:rsid w:val="00684C8A"/>
    <w:rsid w:val="00684CF5"/>
    <w:rsid w:val="0068553E"/>
    <w:rsid w:val="00685E7B"/>
    <w:rsid w:val="00686551"/>
    <w:rsid w:val="0068730C"/>
    <w:rsid w:val="00687504"/>
    <w:rsid w:val="00687A14"/>
    <w:rsid w:val="00687A8C"/>
    <w:rsid w:val="00690839"/>
    <w:rsid w:val="006908DB"/>
    <w:rsid w:val="00690DE9"/>
    <w:rsid w:val="00691DE9"/>
    <w:rsid w:val="00691EAA"/>
    <w:rsid w:val="00692245"/>
    <w:rsid w:val="00692FFA"/>
    <w:rsid w:val="00693772"/>
    <w:rsid w:val="00694160"/>
    <w:rsid w:val="006959A5"/>
    <w:rsid w:val="00695C0C"/>
    <w:rsid w:val="00696A05"/>
    <w:rsid w:val="00697665"/>
    <w:rsid w:val="00697C9A"/>
    <w:rsid w:val="00697E68"/>
    <w:rsid w:val="006A0274"/>
    <w:rsid w:val="006A2A43"/>
    <w:rsid w:val="006A2BF1"/>
    <w:rsid w:val="006A2F9A"/>
    <w:rsid w:val="006A34E4"/>
    <w:rsid w:val="006A3A5A"/>
    <w:rsid w:val="006A44CF"/>
    <w:rsid w:val="006A457D"/>
    <w:rsid w:val="006A55EE"/>
    <w:rsid w:val="006A575B"/>
    <w:rsid w:val="006A59DE"/>
    <w:rsid w:val="006A6655"/>
    <w:rsid w:val="006A6BF9"/>
    <w:rsid w:val="006A7CB5"/>
    <w:rsid w:val="006A7FD0"/>
    <w:rsid w:val="006B025C"/>
    <w:rsid w:val="006B2534"/>
    <w:rsid w:val="006B2CB2"/>
    <w:rsid w:val="006B347D"/>
    <w:rsid w:val="006B3E19"/>
    <w:rsid w:val="006B4488"/>
    <w:rsid w:val="006B67AC"/>
    <w:rsid w:val="006B786A"/>
    <w:rsid w:val="006B7E4E"/>
    <w:rsid w:val="006C003A"/>
    <w:rsid w:val="006C2454"/>
    <w:rsid w:val="006C2551"/>
    <w:rsid w:val="006C37CA"/>
    <w:rsid w:val="006C40D2"/>
    <w:rsid w:val="006C5B15"/>
    <w:rsid w:val="006C5D32"/>
    <w:rsid w:val="006C5DCB"/>
    <w:rsid w:val="006C70C4"/>
    <w:rsid w:val="006D04DA"/>
    <w:rsid w:val="006D10F6"/>
    <w:rsid w:val="006D1544"/>
    <w:rsid w:val="006D1688"/>
    <w:rsid w:val="006D1FF3"/>
    <w:rsid w:val="006D2C65"/>
    <w:rsid w:val="006D32C6"/>
    <w:rsid w:val="006D360E"/>
    <w:rsid w:val="006D3697"/>
    <w:rsid w:val="006D39D2"/>
    <w:rsid w:val="006D3F2A"/>
    <w:rsid w:val="006D4370"/>
    <w:rsid w:val="006D46A3"/>
    <w:rsid w:val="006D658F"/>
    <w:rsid w:val="006D69FA"/>
    <w:rsid w:val="006D6A12"/>
    <w:rsid w:val="006D712D"/>
    <w:rsid w:val="006D7687"/>
    <w:rsid w:val="006D7D1F"/>
    <w:rsid w:val="006D7D8A"/>
    <w:rsid w:val="006E0572"/>
    <w:rsid w:val="006E05D8"/>
    <w:rsid w:val="006E08EE"/>
    <w:rsid w:val="006E155A"/>
    <w:rsid w:val="006E3452"/>
    <w:rsid w:val="006E39D1"/>
    <w:rsid w:val="006E437F"/>
    <w:rsid w:val="006E4D5B"/>
    <w:rsid w:val="006E602F"/>
    <w:rsid w:val="006E6720"/>
    <w:rsid w:val="006E68FA"/>
    <w:rsid w:val="006E7275"/>
    <w:rsid w:val="006E77B8"/>
    <w:rsid w:val="006F15CC"/>
    <w:rsid w:val="006F4147"/>
    <w:rsid w:val="006F4315"/>
    <w:rsid w:val="006F458D"/>
    <w:rsid w:val="006F4A6D"/>
    <w:rsid w:val="006F4CB0"/>
    <w:rsid w:val="006F4F78"/>
    <w:rsid w:val="006F547E"/>
    <w:rsid w:val="006F5CA8"/>
    <w:rsid w:val="006F5CCF"/>
    <w:rsid w:val="006F772B"/>
    <w:rsid w:val="0070138A"/>
    <w:rsid w:val="0070157E"/>
    <w:rsid w:val="007030D4"/>
    <w:rsid w:val="0070317C"/>
    <w:rsid w:val="00703279"/>
    <w:rsid w:val="00703B61"/>
    <w:rsid w:val="00703E11"/>
    <w:rsid w:val="00704102"/>
    <w:rsid w:val="0070461C"/>
    <w:rsid w:val="00705631"/>
    <w:rsid w:val="00705818"/>
    <w:rsid w:val="00705F62"/>
    <w:rsid w:val="0070773F"/>
    <w:rsid w:val="00707ED3"/>
    <w:rsid w:val="007101B7"/>
    <w:rsid w:val="00710668"/>
    <w:rsid w:val="007110F4"/>
    <w:rsid w:val="007112B1"/>
    <w:rsid w:val="0071130F"/>
    <w:rsid w:val="00712714"/>
    <w:rsid w:val="007128E3"/>
    <w:rsid w:val="007129AB"/>
    <w:rsid w:val="00712B63"/>
    <w:rsid w:val="00713526"/>
    <w:rsid w:val="00713FC5"/>
    <w:rsid w:val="00715BBF"/>
    <w:rsid w:val="00715C29"/>
    <w:rsid w:val="00715CBD"/>
    <w:rsid w:val="00715EAA"/>
    <w:rsid w:val="00716CAD"/>
    <w:rsid w:val="00716F18"/>
    <w:rsid w:val="00717363"/>
    <w:rsid w:val="00717786"/>
    <w:rsid w:val="00717ACB"/>
    <w:rsid w:val="00721BFF"/>
    <w:rsid w:val="00722FD8"/>
    <w:rsid w:val="007236C4"/>
    <w:rsid w:val="00724635"/>
    <w:rsid w:val="0072554B"/>
    <w:rsid w:val="00725AFD"/>
    <w:rsid w:val="00726603"/>
    <w:rsid w:val="00727DDC"/>
    <w:rsid w:val="00730CD6"/>
    <w:rsid w:val="00730F74"/>
    <w:rsid w:val="0073114B"/>
    <w:rsid w:val="00734414"/>
    <w:rsid w:val="00734952"/>
    <w:rsid w:val="00734990"/>
    <w:rsid w:val="00734FF5"/>
    <w:rsid w:val="00735B78"/>
    <w:rsid w:val="00735DA7"/>
    <w:rsid w:val="007368B4"/>
    <w:rsid w:val="007378E0"/>
    <w:rsid w:val="00737C5C"/>
    <w:rsid w:val="00740529"/>
    <w:rsid w:val="00741358"/>
    <w:rsid w:val="00741626"/>
    <w:rsid w:val="00742332"/>
    <w:rsid w:val="00742886"/>
    <w:rsid w:val="00742DD2"/>
    <w:rsid w:val="00742E00"/>
    <w:rsid w:val="007437C6"/>
    <w:rsid w:val="007439EE"/>
    <w:rsid w:val="007441A2"/>
    <w:rsid w:val="00744E80"/>
    <w:rsid w:val="00745035"/>
    <w:rsid w:val="0074531C"/>
    <w:rsid w:val="00745547"/>
    <w:rsid w:val="007459D0"/>
    <w:rsid w:val="0074623A"/>
    <w:rsid w:val="00746420"/>
    <w:rsid w:val="00746E04"/>
    <w:rsid w:val="00746E08"/>
    <w:rsid w:val="00746E3D"/>
    <w:rsid w:val="007473B9"/>
    <w:rsid w:val="00747529"/>
    <w:rsid w:val="00747C96"/>
    <w:rsid w:val="00750075"/>
    <w:rsid w:val="007502EC"/>
    <w:rsid w:val="00750382"/>
    <w:rsid w:val="0075094E"/>
    <w:rsid w:val="00750FA8"/>
    <w:rsid w:val="00750FB5"/>
    <w:rsid w:val="007522E8"/>
    <w:rsid w:val="00753BAC"/>
    <w:rsid w:val="00754A0B"/>
    <w:rsid w:val="007552DB"/>
    <w:rsid w:val="00755B08"/>
    <w:rsid w:val="00755DD0"/>
    <w:rsid w:val="0075647A"/>
    <w:rsid w:val="007566BE"/>
    <w:rsid w:val="00756A2F"/>
    <w:rsid w:val="007573E1"/>
    <w:rsid w:val="0075749E"/>
    <w:rsid w:val="00757B2D"/>
    <w:rsid w:val="00757BAD"/>
    <w:rsid w:val="00757D62"/>
    <w:rsid w:val="00760844"/>
    <w:rsid w:val="00760867"/>
    <w:rsid w:val="00760EB6"/>
    <w:rsid w:val="007616DB"/>
    <w:rsid w:val="0076228A"/>
    <w:rsid w:val="00762440"/>
    <w:rsid w:val="007629B7"/>
    <w:rsid w:val="00762E60"/>
    <w:rsid w:val="007634AD"/>
    <w:rsid w:val="00766ECC"/>
    <w:rsid w:val="007672F3"/>
    <w:rsid w:val="007677B5"/>
    <w:rsid w:val="007678B1"/>
    <w:rsid w:val="007708A8"/>
    <w:rsid w:val="00772275"/>
    <w:rsid w:val="007734E4"/>
    <w:rsid w:val="0077380D"/>
    <w:rsid w:val="00773BC8"/>
    <w:rsid w:val="0077466F"/>
    <w:rsid w:val="007752B7"/>
    <w:rsid w:val="007759A8"/>
    <w:rsid w:val="00775D98"/>
    <w:rsid w:val="00776FE5"/>
    <w:rsid w:val="00777101"/>
    <w:rsid w:val="007774E7"/>
    <w:rsid w:val="0077768C"/>
    <w:rsid w:val="00777696"/>
    <w:rsid w:val="00777FF4"/>
    <w:rsid w:val="00780251"/>
    <w:rsid w:val="007804FE"/>
    <w:rsid w:val="00780F32"/>
    <w:rsid w:val="0078122E"/>
    <w:rsid w:val="00781939"/>
    <w:rsid w:val="00781D29"/>
    <w:rsid w:val="007825EF"/>
    <w:rsid w:val="0078286B"/>
    <w:rsid w:val="00782D2C"/>
    <w:rsid w:val="00782FC2"/>
    <w:rsid w:val="00784181"/>
    <w:rsid w:val="00784FC4"/>
    <w:rsid w:val="00785BBB"/>
    <w:rsid w:val="00786FAD"/>
    <w:rsid w:val="007873C9"/>
    <w:rsid w:val="00787D90"/>
    <w:rsid w:val="00787F5E"/>
    <w:rsid w:val="00790164"/>
    <w:rsid w:val="007906E2"/>
    <w:rsid w:val="00790A24"/>
    <w:rsid w:val="00790A37"/>
    <w:rsid w:val="00790A60"/>
    <w:rsid w:val="0079146D"/>
    <w:rsid w:val="00791C32"/>
    <w:rsid w:val="00791FF0"/>
    <w:rsid w:val="007923D0"/>
    <w:rsid w:val="0079302C"/>
    <w:rsid w:val="007930D3"/>
    <w:rsid w:val="0079381F"/>
    <w:rsid w:val="00793B2E"/>
    <w:rsid w:val="007948F5"/>
    <w:rsid w:val="00795647"/>
    <w:rsid w:val="007963F6"/>
    <w:rsid w:val="00796418"/>
    <w:rsid w:val="00796E80"/>
    <w:rsid w:val="007979AD"/>
    <w:rsid w:val="00797A9C"/>
    <w:rsid w:val="007A0EAB"/>
    <w:rsid w:val="007A2341"/>
    <w:rsid w:val="007A38A1"/>
    <w:rsid w:val="007A3967"/>
    <w:rsid w:val="007A3BBE"/>
    <w:rsid w:val="007A4766"/>
    <w:rsid w:val="007A5816"/>
    <w:rsid w:val="007A5947"/>
    <w:rsid w:val="007B0313"/>
    <w:rsid w:val="007B0854"/>
    <w:rsid w:val="007B0E48"/>
    <w:rsid w:val="007B18FD"/>
    <w:rsid w:val="007B1D1B"/>
    <w:rsid w:val="007B303E"/>
    <w:rsid w:val="007B32C0"/>
    <w:rsid w:val="007B32F7"/>
    <w:rsid w:val="007B3659"/>
    <w:rsid w:val="007B4558"/>
    <w:rsid w:val="007B4632"/>
    <w:rsid w:val="007B46A2"/>
    <w:rsid w:val="007B4828"/>
    <w:rsid w:val="007B4B2D"/>
    <w:rsid w:val="007B4D4A"/>
    <w:rsid w:val="007B5428"/>
    <w:rsid w:val="007B57A5"/>
    <w:rsid w:val="007B6C64"/>
    <w:rsid w:val="007B6EC8"/>
    <w:rsid w:val="007B6F81"/>
    <w:rsid w:val="007B7EA2"/>
    <w:rsid w:val="007C097D"/>
    <w:rsid w:val="007C13FA"/>
    <w:rsid w:val="007C1672"/>
    <w:rsid w:val="007C312A"/>
    <w:rsid w:val="007C3570"/>
    <w:rsid w:val="007C3F3B"/>
    <w:rsid w:val="007C4241"/>
    <w:rsid w:val="007C55FF"/>
    <w:rsid w:val="007C6339"/>
    <w:rsid w:val="007C7C43"/>
    <w:rsid w:val="007C7F0D"/>
    <w:rsid w:val="007D1134"/>
    <w:rsid w:val="007D23F7"/>
    <w:rsid w:val="007D2566"/>
    <w:rsid w:val="007D2C18"/>
    <w:rsid w:val="007D2D74"/>
    <w:rsid w:val="007D3395"/>
    <w:rsid w:val="007D3693"/>
    <w:rsid w:val="007D3C6D"/>
    <w:rsid w:val="007D481A"/>
    <w:rsid w:val="007D5648"/>
    <w:rsid w:val="007D58C5"/>
    <w:rsid w:val="007D5DE8"/>
    <w:rsid w:val="007D7CFC"/>
    <w:rsid w:val="007E0812"/>
    <w:rsid w:val="007E18DF"/>
    <w:rsid w:val="007E2A04"/>
    <w:rsid w:val="007E2C36"/>
    <w:rsid w:val="007E350D"/>
    <w:rsid w:val="007E5C4A"/>
    <w:rsid w:val="007E64D4"/>
    <w:rsid w:val="007E66E9"/>
    <w:rsid w:val="007E69F2"/>
    <w:rsid w:val="007E7432"/>
    <w:rsid w:val="007E74BF"/>
    <w:rsid w:val="007F14D3"/>
    <w:rsid w:val="007F1D9D"/>
    <w:rsid w:val="007F1E28"/>
    <w:rsid w:val="007F1F63"/>
    <w:rsid w:val="007F22A0"/>
    <w:rsid w:val="007F2F90"/>
    <w:rsid w:val="007F3320"/>
    <w:rsid w:val="007F392A"/>
    <w:rsid w:val="007F3AC1"/>
    <w:rsid w:val="007F4976"/>
    <w:rsid w:val="007F5A56"/>
    <w:rsid w:val="007F616E"/>
    <w:rsid w:val="007F665F"/>
    <w:rsid w:val="007F6B46"/>
    <w:rsid w:val="007F72CB"/>
    <w:rsid w:val="007F736A"/>
    <w:rsid w:val="007F7635"/>
    <w:rsid w:val="007F785F"/>
    <w:rsid w:val="007F7AF6"/>
    <w:rsid w:val="007F7E36"/>
    <w:rsid w:val="00800681"/>
    <w:rsid w:val="00800E6D"/>
    <w:rsid w:val="008014D9"/>
    <w:rsid w:val="0080150F"/>
    <w:rsid w:val="0080153A"/>
    <w:rsid w:val="00801A2A"/>
    <w:rsid w:val="00802041"/>
    <w:rsid w:val="008022C9"/>
    <w:rsid w:val="00802F9E"/>
    <w:rsid w:val="00803700"/>
    <w:rsid w:val="00803D9D"/>
    <w:rsid w:val="008059C6"/>
    <w:rsid w:val="00805AD7"/>
    <w:rsid w:val="00805BD6"/>
    <w:rsid w:val="00805DE3"/>
    <w:rsid w:val="00807C35"/>
    <w:rsid w:val="00807F69"/>
    <w:rsid w:val="008100F7"/>
    <w:rsid w:val="00810206"/>
    <w:rsid w:val="00811898"/>
    <w:rsid w:val="008124D8"/>
    <w:rsid w:val="00813A7B"/>
    <w:rsid w:val="00813F04"/>
    <w:rsid w:val="00814B72"/>
    <w:rsid w:val="00815DA5"/>
    <w:rsid w:val="00816221"/>
    <w:rsid w:val="0081766B"/>
    <w:rsid w:val="00820705"/>
    <w:rsid w:val="00820CBF"/>
    <w:rsid w:val="00820FA8"/>
    <w:rsid w:val="008212FD"/>
    <w:rsid w:val="00821489"/>
    <w:rsid w:val="008217B7"/>
    <w:rsid w:val="0082239B"/>
    <w:rsid w:val="0082292E"/>
    <w:rsid w:val="00822D06"/>
    <w:rsid w:val="0082348D"/>
    <w:rsid w:val="008234E0"/>
    <w:rsid w:val="008236BE"/>
    <w:rsid w:val="008241CE"/>
    <w:rsid w:val="00825240"/>
    <w:rsid w:val="00825B43"/>
    <w:rsid w:val="00827203"/>
    <w:rsid w:val="00827CC0"/>
    <w:rsid w:val="00831026"/>
    <w:rsid w:val="0083119B"/>
    <w:rsid w:val="00831BAE"/>
    <w:rsid w:val="00832216"/>
    <w:rsid w:val="00832CD0"/>
    <w:rsid w:val="00833430"/>
    <w:rsid w:val="00834128"/>
    <w:rsid w:val="0083417F"/>
    <w:rsid w:val="00835143"/>
    <w:rsid w:val="00835741"/>
    <w:rsid w:val="00836E74"/>
    <w:rsid w:val="00836EAB"/>
    <w:rsid w:val="00837673"/>
    <w:rsid w:val="00837937"/>
    <w:rsid w:val="00837D82"/>
    <w:rsid w:val="00840893"/>
    <w:rsid w:val="00840E88"/>
    <w:rsid w:val="008423EC"/>
    <w:rsid w:val="0084332E"/>
    <w:rsid w:val="00843615"/>
    <w:rsid w:val="00843698"/>
    <w:rsid w:val="00843A4B"/>
    <w:rsid w:val="00843B57"/>
    <w:rsid w:val="00843B60"/>
    <w:rsid w:val="00843D33"/>
    <w:rsid w:val="00844D4F"/>
    <w:rsid w:val="00845AE3"/>
    <w:rsid w:val="008466A0"/>
    <w:rsid w:val="00847535"/>
    <w:rsid w:val="00847B6D"/>
    <w:rsid w:val="0085092D"/>
    <w:rsid w:val="00850D82"/>
    <w:rsid w:val="00850F79"/>
    <w:rsid w:val="0085100B"/>
    <w:rsid w:val="0085304C"/>
    <w:rsid w:val="008548CA"/>
    <w:rsid w:val="00856C06"/>
    <w:rsid w:val="0085790B"/>
    <w:rsid w:val="00857C95"/>
    <w:rsid w:val="00857E78"/>
    <w:rsid w:val="00860AEF"/>
    <w:rsid w:val="0086122C"/>
    <w:rsid w:val="00861310"/>
    <w:rsid w:val="00861F0F"/>
    <w:rsid w:val="00861F53"/>
    <w:rsid w:val="0086289E"/>
    <w:rsid w:val="0086394E"/>
    <w:rsid w:val="00863F8A"/>
    <w:rsid w:val="00863FE3"/>
    <w:rsid w:val="00864241"/>
    <w:rsid w:val="0086468A"/>
    <w:rsid w:val="00864CD5"/>
    <w:rsid w:val="008650BE"/>
    <w:rsid w:val="0086633B"/>
    <w:rsid w:val="00866495"/>
    <w:rsid w:val="00866931"/>
    <w:rsid w:val="00867512"/>
    <w:rsid w:val="0087033C"/>
    <w:rsid w:val="00870B44"/>
    <w:rsid w:val="008715ED"/>
    <w:rsid w:val="008717D8"/>
    <w:rsid w:val="00871E3C"/>
    <w:rsid w:val="00872F97"/>
    <w:rsid w:val="00873863"/>
    <w:rsid w:val="00874607"/>
    <w:rsid w:val="00874915"/>
    <w:rsid w:val="00874B89"/>
    <w:rsid w:val="00875403"/>
    <w:rsid w:val="00875434"/>
    <w:rsid w:val="00876215"/>
    <w:rsid w:val="0087646C"/>
    <w:rsid w:val="00876815"/>
    <w:rsid w:val="00877932"/>
    <w:rsid w:val="008808C7"/>
    <w:rsid w:val="0088106B"/>
    <w:rsid w:val="0088107D"/>
    <w:rsid w:val="0088168A"/>
    <w:rsid w:val="00881E64"/>
    <w:rsid w:val="00882E39"/>
    <w:rsid w:val="008850E3"/>
    <w:rsid w:val="008850EB"/>
    <w:rsid w:val="00886DF2"/>
    <w:rsid w:val="00886FB9"/>
    <w:rsid w:val="00887080"/>
    <w:rsid w:val="00887C79"/>
    <w:rsid w:val="0089107B"/>
    <w:rsid w:val="008913CC"/>
    <w:rsid w:val="00891411"/>
    <w:rsid w:val="008914AE"/>
    <w:rsid w:val="00891838"/>
    <w:rsid w:val="008919CF"/>
    <w:rsid w:val="00891F84"/>
    <w:rsid w:val="008928EC"/>
    <w:rsid w:val="00892E5D"/>
    <w:rsid w:val="008935CF"/>
    <w:rsid w:val="00894436"/>
    <w:rsid w:val="00894BB1"/>
    <w:rsid w:val="008950CB"/>
    <w:rsid w:val="008951D0"/>
    <w:rsid w:val="0089582D"/>
    <w:rsid w:val="008959C6"/>
    <w:rsid w:val="0089606D"/>
    <w:rsid w:val="00896129"/>
    <w:rsid w:val="008965DF"/>
    <w:rsid w:val="0089774F"/>
    <w:rsid w:val="00897875"/>
    <w:rsid w:val="00897B8F"/>
    <w:rsid w:val="008A00D8"/>
    <w:rsid w:val="008A00D9"/>
    <w:rsid w:val="008A07D5"/>
    <w:rsid w:val="008A2A23"/>
    <w:rsid w:val="008A2AF5"/>
    <w:rsid w:val="008A2B5A"/>
    <w:rsid w:val="008A3F9D"/>
    <w:rsid w:val="008A5474"/>
    <w:rsid w:val="008A5C9A"/>
    <w:rsid w:val="008A6A55"/>
    <w:rsid w:val="008A6DF0"/>
    <w:rsid w:val="008A6F6E"/>
    <w:rsid w:val="008A7888"/>
    <w:rsid w:val="008A796E"/>
    <w:rsid w:val="008B0862"/>
    <w:rsid w:val="008B088C"/>
    <w:rsid w:val="008B1BF5"/>
    <w:rsid w:val="008B263F"/>
    <w:rsid w:val="008B47A6"/>
    <w:rsid w:val="008B489B"/>
    <w:rsid w:val="008B672C"/>
    <w:rsid w:val="008C036D"/>
    <w:rsid w:val="008C0743"/>
    <w:rsid w:val="008C0B4C"/>
    <w:rsid w:val="008C11F0"/>
    <w:rsid w:val="008C1DBA"/>
    <w:rsid w:val="008C24E7"/>
    <w:rsid w:val="008C2500"/>
    <w:rsid w:val="008C2CAC"/>
    <w:rsid w:val="008C3E2A"/>
    <w:rsid w:val="008C45BD"/>
    <w:rsid w:val="008C4B19"/>
    <w:rsid w:val="008C568F"/>
    <w:rsid w:val="008C62D4"/>
    <w:rsid w:val="008C6B89"/>
    <w:rsid w:val="008D18AA"/>
    <w:rsid w:val="008D1A2A"/>
    <w:rsid w:val="008D29B1"/>
    <w:rsid w:val="008D35D9"/>
    <w:rsid w:val="008D3B85"/>
    <w:rsid w:val="008D462D"/>
    <w:rsid w:val="008D66CA"/>
    <w:rsid w:val="008D69B1"/>
    <w:rsid w:val="008D7338"/>
    <w:rsid w:val="008E0012"/>
    <w:rsid w:val="008E0DF7"/>
    <w:rsid w:val="008E0FAD"/>
    <w:rsid w:val="008E1347"/>
    <w:rsid w:val="008E16E0"/>
    <w:rsid w:val="008E1C15"/>
    <w:rsid w:val="008E1C9A"/>
    <w:rsid w:val="008E28BD"/>
    <w:rsid w:val="008E38B4"/>
    <w:rsid w:val="008E3BA4"/>
    <w:rsid w:val="008E44AB"/>
    <w:rsid w:val="008E5179"/>
    <w:rsid w:val="008E6598"/>
    <w:rsid w:val="008E7214"/>
    <w:rsid w:val="008E7348"/>
    <w:rsid w:val="008E7884"/>
    <w:rsid w:val="008E7D6E"/>
    <w:rsid w:val="008F1056"/>
    <w:rsid w:val="008F2E8D"/>
    <w:rsid w:val="008F387B"/>
    <w:rsid w:val="008F3DD9"/>
    <w:rsid w:val="008F4814"/>
    <w:rsid w:val="008F4DA6"/>
    <w:rsid w:val="008F538E"/>
    <w:rsid w:val="008F5A20"/>
    <w:rsid w:val="008F5ABA"/>
    <w:rsid w:val="008F7905"/>
    <w:rsid w:val="008F7989"/>
    <w:rsid w:val="009026AF"/>
    <w:rsid w:val="009028E8"/>
    <w:rsid w:val="00902E5C"/>
    <w:rsid w:val="0090350D"/>
    <w:rsid w:val="009046E5"/>
    <w:rsid w:val="009047C5"/>
    <w:rsid w:val="00904C33"/>
    <w:rsid w:val="00910683"/>
    <w:rsid w:val="00910E00"/>
    <w:rsid w:val="009116CE"/>
    <w:rsid w:val="00911714"/>
    <w:rsid w:val="00911A5B"/>
    <w:rsid w:val="009136D4"/>
    <w:rsid w:val="00914B9A"/>
    <w:rsid w:val="00914C3F"/>
    <w:rsid w:val="00914F33"/>
    <w:rsid w:val="009153F6"/>
    <w:rsid w:val="00915FCE"/>
    <w:rsid w:val="00916AFE"/>
    <w:rsid w:val="00916FC8"/>
    <w:rsid w:val="009170D3"/>
    <w:rsid w:val="0091759C"/>
    <w:rsid w:val="00920026"/>
    <w:rsid w:val="009203E2"/>
    <w:rsid w:val="00921304"/>
    <w:rsid w:val="00921805"/>
    <w:rsid w:val="00921BA7"/>
    <w:rsid w:val="00923396"/>
    <w:rsid w:val="00923F56"/>
    <w:rsid w:val="009246C4"/>
    <w:rsid w:val="00925743"/>
    <w:rsid w:val="0092579F"/>
    <w:rsid w:val="00927E8D"/>
    <w:rsid w:val="00927F23"/>
    <w:rsid w:val="00930698"/>
    <w:rsid w:val="009307CD"/>
    <w:rsid w:val="00931451"/>
    <w:rsid w:val="009314FA"/>
    <w:rsid w:val="0093194F"/>
    <w:rsid w:val="00931BF3"/>
    <w:rsid w:val="00931C55"/>
    <w:rsid w:val="00933333"/>
    <w:rsid w:val="0093349A"/>
    <w:rsid w:val="009337B2"/>
    <w:rsid w:val="00933FCB"/>
    <w:rsid w:val="00934E69"/>
    <w:rsid w:val="009367D5"/>
    <w:rsid w:val="00937401"/>
    <w:rsid w:val="009376FB"/>
    <w:rsid w:val="00937D6B"/>
    <w:rsid w:val="00940477"/>
    <w:rsid w:val="00940876"/>
    <w:rsid w:val="00940A53"/>
    <w:rsid w:val="00940F3C"/>
    <w:rsid w:val="009410E0"/>
    <w:rsid w:val="009444B4"/>
    <w:rsid w:val="00944644"/>
    <w:rsid w:val="009460F9"/>
    <w:rsid w:val="00946A24"/>
    <w:rsid w:val="009470D4"/>
    <w:rsid w:val="00947337"/>
    <w:rsid w:val="009512FA"/>
    <w:rsid w:val="00951E57"/>
    <w:rsid w:val="00953018"/>
    <w:rsid w:val="009533E2"/>
    <w:rsid w:val="00953554"/>
    <w:rsid w:val="0095385A"/>
    <w:rsid w:val="00953928"/>
    <w:rsid w:val="0095780A"/>
    <w:rsid w:val="009579E4"/>
    <w:rsid w:val="00957AA4"/>
    <w:rsid w:val="00957ACB"/>
    <w:rsid w:val="00957F27"/>
    <w:rsid w:val="009609F0"/>
    <w:rsid w:val="00960BDB"/>
    <w:rsid w:val="0096147D"/>
    <w:rsid w:val="00961E5F"/>
    <w:rsid w:val="009625C6"/>
    <w:rsid w:val="009629B5"/>
    <w:rsid w:val="00962A50"/>
    <w:rsid w:val="009631BD"/>
    <w:rsid w:val="00964138"/>
    <w:rsid w:val="00964B3F"/>
    <w:rsid w:val="00964C98"/>
    <w:rsid w:val="00966214"/>
    <w:rsid w:val="00971441"/>
    <w:rsid w:val="009715D4"/>
    <w:rsid w:val="009739A9"/>
    <w:rsid w:val="00973AA2"/>
    <w:rsid w:val="0097494E"/>
    <w:rsid w:val="00974B58"/>
    <w:rsid w:val="009761ED"/>
    <w:rsid w:val="009801E7"/>
    <w:rsid w:val="0098022F"/>
    <w:rsid w:val="009810DE"/>
    <w:rsid w:val="009822D7"/>
    <w:rsid w:val="009827E6"/>
    <w:rsid w:val="00982F84"/>
    <w:rsid w:val="0098427D"/>
    <w:rsid w:val="00984567"/>
    <w:rsid w:val="00985102"/>
    <w:rsid w:val="009865D5"/>
    <w:rsid w:val="009876F2"/>
    <w:rsid w:val="00987C77"/>
    <w:rsid w:val="00990345"/>
    <w:rsid w:val="00990701"/>
    <w:rsid w:val="0099119C"/>
    <w:rsid w:val="0099137A"/>
    <w:rsid w:val="0099211C"/>
    <w:rsid w:val="00993B78"/>
    <w:rsid w:val="0099483A"/>
    <w:rsid w:val="00995119"/>
    <w:rsid w:val="009953AD"/>
    <w:rsid w:val="0099583D"/>
    <w:rsid w:val="00996992"/>
    <w:rsid w:val="00996E1E"/>
    <w:rsid w:val="00997392"/>
    <w:rsid w:val="0099747C"/>
    <w:rsid w:val="0099771C"/>
    <w:rsid w:val="009A01E4"/>
    <w:rsid w:val="009A0917"/>
    <w:rsid w:val="009A0A33"/>
    <w:rsid w:val="009A1351"/>
    <w:rsid w:val="009A2435"/>
    <w:rsid w:val="009A35DC"/>
    <w:rsid w:val="009A38AB"/>
    <w:rsid w:val="009A3CFB"/>
    <w:rsid w:val="009A3D47"/>
    <w:rsid w:val="009A4D63"/>
    <w:rsid w:val="009A5356"/>
    <w:rsid w:val="009A5468"/>
    <w:rsid w:val="009A5D99"/>
    <w:rsid w:val="009A608C"/>
    <w:rsid w:val="009A6CA7"/>
    <w:rsid w:val="009A6FDF"/>
    <w:rsid w:val="009A76D6"/>
    <w:rsid w:val="009B199E"/>
    <w:rsid w:val="009B2E29"/>
    <w:rsid w:val="009B3163"/>
    <w:rsid w:val="009B422F"/>
    <w:rsid w:val="009B46BC"/>
    <w:rsid w:val="009B4D1A"/>
    <w:rsid w:val="009B558B"/>
    <w:rsid w:val="009B6801"/>
    <w:rsid w:val="009B6D21"/>
    <w:rsid w:val="009B78ED"/>
    <w:rsid w:val="009C181C"/>
    <w:rsid w:val="009C1C7F"/>
    <w:rsid w:val="009C28A2"/>
    <w:rsid w:val="009C3239"/>
    <w:rsid w:val="009C3828"/>
    <w:rsid w:val="009C3D2C"/>
    <w:rsid w:val="009C4987"/>
    <w:rsid w:val="009C523F"/>
    <w:rsid w:val="009C59BF"/>
    <w:rsid w:val="009C5E4F"/>
    <w:rsid w:val="009C5F64"/>
    <w:rsid w:val="009C5F82"/>
    <w:rsid w:val="009C70F8"/>
    <w:rsid w:val="009C78A3"/>
    <w:rsid w:val="009D0156"/>
    <w:rsid w:val="009D05DA"/>
    <w:rsid w:val="009D11F6"/>
    <w:rsid w:val="009D13B9"/>
    <w:rsid w:val="009D1A14"/>
    <w:rsid w:val="009D1E2A"/>
    <w:rsid w:val="009D1FA0"/>
    <w:rsid w:val="009D2BDF"/>
    <w:rsid w:val="009D3736"/>
    <w:rsid w:val="009D4529"/>
    <w:rsid w:val="009D4B03"/>
    <w:rsid w:val="009D604F"/>
    <w:rsid w:val="009D61BB"/>
    <w:rsid w:val="009D6410"/>
    <w:rsid w:val="009D65FF"/>
    <w:rsid w:val="009D68BB"/>
    <w:rsid w:val="009D70C2"/>
    <w:rsid w:val="009D7ADB"/>
    <w:rsid w:val="009D7B33"/>
    <w:rsid w:val="009E0703"/>
    <w:rsid w:val="009E16DA"/>
    <w:rsid w:val="009E1CD4"/>
    <w:rsid w:val="009E2391"/>
    <w:rsid w:val="009E476A"/>
    <w:rsid w:val="009E4E05"/>
    <w:rsid w:val="009E56FF"/>
    <w:rsid w:val="009E5CB1"/>
    <w:rsid w:val="009E5E56"/>
    <w:rsid w:val="009E61EA"/>
    <w:rsid w:val="009E6990"/>
    <w:rsid w:val="009E6FEE"/>
    <w:rsid w:val="009F060F"/>
    <w:rsid w:val="009F0781"/>
    <w:rsid w:val="009F0850"/>
    <w:rsid w:val="009F1BDF"/>
    <w:rsid w:val="009F1EAE"/>
    <w:rsid w:val="009F369D"/>
    <w:rsid w:val="009F36FE"/>
    <w:rsid w:val="009F4F25"/>
    <w:rsid w:val="009F59C2"/>
    <w:rsid w:val="009F7263"/>
    <w:rsid w:val="009F76EA"/>
    <w:rsid w:val="009F78EB"/>
    <w:rsid w:val="009F7F32"/>
    <w:rsid w:val="009F7FEB"/>
    <w:rsid w:val="00A01852"/>
    <w:rsid w:val="00A0188B"/>
    <w:rsid w:val="00A01E73"/>
    <w:rsid w:val="00A023E7"/>
    <w:rsid w:val="00A02B88"/>
    <w:rsid w:val="00A03160"/>
    <w:rsid w:val="00A036AC"/>
    <w:rsid w:val="00A03C54"/>
    <w:rsid w:val="00A041BC"/>
    <w:rsid w:val="00A0447F"/>
    <w:rsid w:val="00A046D2"/>
    <w:rsid w:val="00A04A54"/>
    <w:rsid w:val="00A05B4B"/>
    <w:rsid w:val="00A066C3"/>
    <w:rsid w:val="00A06754"/>
    <w:rsid w:val="00A06942"/>
    <w:rsid w:val="00A069E0"/>
    <w:rsid w:val="00A06E4A"/>
    <w:rsid w:val="00A078FB"/>
    <w:rsid w:val="00A1036D"/>
    <w:rsid w:val="00A1069F"/>
    <w:rsid w:val="00A10919"/>
    <w:rsid w:val="00A10ACA"/>
    <w:rsid w:val="00A10D08"/>
    <w:rsid w:val="00A12355"/>
    <w:rsid w:val="00A12384"/>
    <w:rsid w:val="00A127D2"/>
    <w:rsid w:val="00A12ADA"/>
    <w:rsid w:val="00A143EC"/>
    <w:rsid w:val="00A14A60"/>
    <w:rsid w:val="00A1500F"/>
    <w:rsid w:val="00A15621"/>
    <w:rsid w:val="00A15670"/>
    <w:rsid w:val="00A157A0"/>
    <w:rsid w:val="00A1585B"/>
    <w:rsid w:val="00A15C19"/>
    <w:rsid w:val="00A16809"/>
    <w:rsid w:val="00A17769"/>
    <w:rsid w:val="00A17EA2"/>
    <w:rsid w:val="00A20264"/>
    <w:rsid w:val="00A20997"/>
    <w:rsid w:val="00A21454"/>
    <w:rsid w:val="00A22025"/>
    <w:rsid w:val="00A22498"/>
    <w:rsid w:val="00A22571"/>
    <w:rsid w:val="00A24560"/>
    <w:rsid w:val="00A25B0F"/>
    <w:rsid w:val="00A25BBB"/>
    <w:rsid w:val="00A25F8E"/>
    <w:rsid w:val="00A27F18"/>
    <w:rsid w:val="00A27FB6"/>
    <w:rsid w:val="00A30121"/>
    <w:rsid w:val="00A30368"/>
    <w:rsid w:val="00A3043A"/>
    <w:rsid w:val="00A30E02"/>
    <w:rsid w:val="00A30F6A"/>
    <w:rsid w:val="00A31BA2"/>
    <w:rsid w:val="00A31C3E"/>
    <w:rsid w:val="00A34538"/>
    <w:rsid w:val="00A34677"/>
    <w:rsid w:val="00A3540F"/>
    <w:rsid w:val="00A35630"/>
    <w:rsid w:val="00A35914"/>
    <w:rsid w:val="00A36189"/>
    <w:rsid w:val="00A37E73"/>
    <w:rsid w:val="00A37FB6"/>
    <w:rsid w:val="00A4104A"/>
    <w:rsid w:val="00A41081"/>
    <w:rsid w:val="00A411CA"/>
    <w:rsid w:val="00A413AD"/>
    <w:rsid w:val="00A42096"/>
    <w:rsid w:val="00A426F3"/>
    <w:rsid w:val="00A42FDF"/>
    <w:rsid w:val="00A430A9"/>
    <w:rsid w:val="00A431FE"/>
    <w:rsid w:val="00A439E5"/>
    <w:rsid w:val="00A4497A"/>
    <w:rsid w:val="00A44BE8"/>
    <w:rsid w:val="00A44C96"/>
    <w:rsid w:val="00A44F54"/>
    <w:rsid w:val="00A45F9B"/>
    <w:rsid w:val="00A46574"/>
    <w:rsid w:val="00A467C4"/>
    <w:rsid w:val="00A500B1"/>
    <w:rsid w:val="00A52D3F"/>
    <w:rsid w:val="00A52EE5"/>
    <w:rsid w:val="00A53037"/>
    <w:rsid w:val="00A532B9"/>
    <w:rsid w:val="00A5351D"/>
    <w:rsid w:val="00A53E79"/>
    <w:rsid w:val="00A54031"/>
    <w:rsid w:val="00A5426D"/>
    <w:rsid w:val="00A54FC2"/>
    <w:rsid w:val="00A55122"/>
    <w:rsid w:val="00A56DE7"/>
    <w:rsid w:val="00A57EB2"/>
    <w:rsid w:val="00A6009E"/>
    <w:rsid w:val="00A60B1F"/>
    <w:rsid w:val="00A61C60"/>
    <w:rsid w:val="00A62589"/>
    <w:rsid w:val="00A62C3A"/>
    <w:rsid w:val="00A63812"/>
    <w:rsid w:val="00A63DF7"/>
    <w:rsid w:val="00A64505"/>
    <w:rsid w:val="00A668BA"/>
    <w:rsid w:val="00A66FA7"/>
    <w:rsid w:val="00A67E16"/>
    <w:rsid w:val="00A703CC"/>
    <w:rsid w:val="00A70C5C"/>
    <w:rsid w:val="00A71EA7"/>
    <w:rsid w:val="00A730AD"/>
    <w:rsid w:val="00A73855"/>
    <w:rsid w:val="00A73D64"/>
    <w:rsid w:val="00A74216"/>
    <w:rsid w:val="00A744B4"/>
    <w:rsid w:val="00A751E3"/>
    <w:rsid w:val="00A75504"/>
    <w:rsid w:val="00A75CD9"/>
    <w:rsid w:val="00A76438"/>
    <w:rsid w:val="00A77168"/>
    <w:rsid w:val="00A7723B"/>
    <w:rsid w:val="00A7793C"/>
    <w:rsid w:val="00A77D21"/>
    <w:rsid w:val="00A80085"/>
    <w:rsid w:val="00A8043B"/>
    <w:rsid w:val="00A81323"/>
    <w:rsid w:val="00A820CB"/>
    <w:rsid w:val="00A82342"/>
    <w:rsid w:val="00A83BEF"/>
    <w:rsid w:val="00A84443"/>
    <w:rsid w:val="00A8487F"/>
    <w:rsid w:val="00A849A3"/>
    <w:rsid w:val="00A84A0E"/>
    <w:rsid w:val="00A86E0B"/>
    <w:rsid w:val="00A90F12"/>
    <w:rsid w:val="00A93101"/>
    <w:rsid w:val="00A94293"/>
    <w:rsid w:val="00A9496E"/>
    <w:rsid w:val="00A949F0"/>
    <w:rsid w:val="00A94BDE"/>
    <w:rsid w:val="00A94D26"/>
    <w:rsid w:val="00A94FCA"/>
    <w:rsid w:val="00A95E4C"/>
    <w:rsid w:val="00A96C60"/>
    <w:rsid w:val="00A9740B"/>
    <w:rsid w:val="00A9766C"/>
    <w:rsid w:val="00A977F8"/>
    <w:rsid w:val="00A97C93"/>
    <w:rsid w:val="00AA08E7"/>
    <w:rsid w:val="00AA0A06"/>
    <w:rsid w:val="00AA1351"/>
    <w:rsid w:val="00AA1859"/>
    <w:rsid w:val="00AA1C84"/>
    <w:rsid w:val="00AA3D7B"/>
    <w:rsid w:val="00AA42A0"/>
    <w:rsid w:val="00AA442B"/>
    <w:rsid w:val="00AA46A4"/>
    <w:rsid w:val="00AA5779"/>
    <w:rsid w:val="00AA58A1"/>
    <w:rsid w:val="00AA61C7"/>
    <w:rsid w:val="00AA669D"/>
    <w:rsid w:val="00AA66ED"/>
    <w:rsid w:val="00AA6BE1"/>
    <w:rsid w:val="00AA7416"/>
    <w:rsid w:val="00AA7A60"/>
    <w:rsid w:val="00AA7B42"/>
    <w:rsid w:val="00AB041C"/>
    <w:rsid w:val="00AB14E8"/>
    <w:rsid w:val="00AB1B1D"/>
    <w:rsid w:val="00AB2216"/>
    <w:rsid w:val="00AB358D"/>
    <w:rsid w:val="00AB37A1"/>
    <w:rsid w:val="00AB3BAD"/>
    <w:rsid w:val="00AB3CFD"/>
    <w:rsid w:val="00AB49BC"/>
    <w:rsid w:val="00AB4DEE"/>
    <w:rsid w:val="00AB4E32"/>
    <w:rsid w:val="00AB579A"/>
    <w:rsid w:val="00AB724B"/>
    <w:rsid w:val="00AB726C"/>
    <w:rsid w:val="00AB72B4"/>
    <w:rsid w:val="00AC02AA"/>
    <w:rsid w:val="00AC0537"/>
    <w:rsid w:val="00AC0A84"/>
    <w:rsid w:val="00AC2A0B"/>
    <w:rsid w:val="00AC2BEE"/>
    <w:rsid w:val="00AC2E53"/>
    <w:rsid w:val="00AC484F"/>
    <w:rsid w:val="00AC4B20"/>
    <w:rsid w:val="00AC56F2"/>
    <w:rsid w:val="00AC6886"/>
    <w:rsid w:val="00AC71C3"/>
    <w:rsid w:val="00AD1EFA"/>
    <w:rsid w:val="00AD2072"/>
    <w:rsid w:val="00AD2DBD"/>
    <w:rsid w:val="00AD2FBF"/>
    <w:rsid w:val="00AD455D"/>
    <w:rsid w:val="00AD463C"/>
    <w:rsid w:val="00AD46A2"/>
    <w:rsid w:val="00AD4F60"/>
    <w:rsid w:val="00AD5044"/>
    <w:rsid w:val="00AD5114"/>
    <w:rsid w:val="00AD6236"/>
    <w:rsid w:val="00AD7619"/>
    <w:rsid w:val="00AD7770"/>
    <w:rsid w:val="00AE1772"/>
    <w:rsid w:val="00AE1990"/>
    <w:rsid w:val="00AE25E8"/>
    <w:rsid w:val="00AE2AD4"/>
    <w:rsid w:val="00AE2CA7"/>
    <w:rsid w:val="00AE2F1D"/>
    <w:rsid w:val="00AE586F"/>
    <w:rsid w:val="00AE6582"/>
    <w:rsid w:val="00AE6DC5"/>
    <w:rsid w:val="00AE7686"/>
    <w:rsid w:val="00AE799A"/>
    <w:rsid w:val="00AF0E81"/>
    <w:rsid w:val="00AF117A"/>
    <w:rsid w:val="00AF186E"/>
    <w:rsid w:val="00AF19DF"/>
    <w:rsid w:val="00AF26CF"/>
    <w:rsid w:val="00AF4E92"/>
    <w:rsid w:val="00AF554B"/>
    <w:rsid w:val="00AF5C9B"/>
    <w:rsid w:val="00AF5D53"/>
    <w:rsid w:val="00AF5E2D"/>
    <w:rsid w:val="00AF644B"/>
    <w:rsid w:val="00AF6CA6"/>
    <w:rsid w:val="00AF6EB6"/>
    <w:rsid w:val="00AF7796"/>
    <w:rsid w:val="00B011A9"/>
    <w:rsid w:val="00B024ED"/>
    <w:rsid w:val="00B02EB3"/>
    <w:rsid w:val="00B02FCB"/>
    <w:rsid w:val="00B033F8"/>
    <w:rsid w:val="00B03C1E"/>
    <w:rsid w:val="00B04400"/>
    <w:rsid w:val="00B04835"/>
    <w:rsid w:val="00B05A55"/>
    <w:rsid w:val="00B05DE1"/>
    <w:rsid w:val="00B06595"/>
    <w:rsid w:val="00B10109"/>
    <w:rsid w:val="00B1085E"/>
    <w:rsid w:val="00B10FD1"/>
    <w:rsid w:val="00B12735"/>
    <w:rsid w:val="00B129C6"/>
    <w:rsid w:val="00B13386"/>
    <w:rsid w:val="00B13533"/>
    <w:rsid w:val="00B13C48"/>
    <w:rsid w:val="00B13E35"/>
    <w:rsid w:val="00B13EC0"/>
    <w:rsid w:val="00B14102"/>
    <w:rsid w:val="00B14D32"/>
    <w:rsid w:val="00B1557C"/>
    <w:rsid w:val="00B155DC"/>
    <w:rsid w:val="00B15766"/>
    <w:rsid w:val="00B1666A"/>
    <w:rsid w:val="00B1686D"/>
    <w:rsid w:val="00B1741D"/>
    <w:rsid w:val="00B17447"/>
    <w:rsid w:val="00B1771D"/>
    <w:rsid w:val="00B17B91"/>
    <w:rsid w:val="00B20209"/>
    <w:rsid w:val="00B203AF"/>
    <w:rsid w:val="00B203C9"/>
    <w:rsid w:val="00B2088D"/>
    <w:rsid w:val="00B208FF"/>
    <w:rsid w:val="00B22C58"/>
    <w:rsid w:val="00B22E22"/>
    <w:rsid w:val="00B22F5F"/>
    <w:rsid w:val="00B23813"/>
    <w:rsid w:val="00B23FD9"/>
    <w:rsid w:val="00B24591"/>
    <w:rsid w:val="00B245D5"/>
    <w:rsid w:val="00B24C36"/>
    <w:rsid w:val="00B24F94"/>
    <w:rsid w:val="00B25126"/>
    <w:rsid w:val="00B25A52"/>
    <w:rsid w:val="00B25B0A"/>
    <w:rsid w:val="00B25FC3"/>
    <w:rsid w:val="00B27026"/>
    <w:rsid w:val="00B27875"/>
    <w:rsid w:val="00B3008D"/>
    <w:rsid w:val="00B30E11"/>
    <w:rsid w:val="00B30EEB"/>
    <w:rsid w:val="00B31423"/>
    <w:rsid w:val="00B31710"/>
    <w:rsid w:val="00B323E0"/>
    <w:rsid w:val="00B32DC0"/>
    <w:rsid w:val="00B3346C"/>
    <w:rsid w:val="00B335E4"/>
    <w:rsid w:val="00B33C23"/>
    <w:rsid w:val="00B345B4"/>
    <w:rsid w:val="00B348B1"/>
    <w:rsid w:val="00B34A28"/>
    <w:rsid w:val="00B35046"/>
    <w:rsid w:val="00B35B6A"/>
    <w:rsid w:val="00B37657"/>
    <w:rsid w:val="00B37AFD"/>
    <w:rsid w:val="00B37B07"/>
    <w:rsid w:val="00B4046F"/>
    <w:rsid w:val="00B40B47"/>
    <w:rsid w:val="00B41D39"/>
    <w:rsid w:val="00B422C0"/>
    <w:rsid w:val="00B426CA"/>
    <w:rsid w:val="00B426E1"/>
    <w:rsid w:val="00B437F8"/>
    <w:rsid w:val="00B4387A"/>
    <w:rsid w:val="00B44260"/>
    <w:rsid w:val="00B44746"/>
    <w:rsid w:val="00B44854"/>
    <w:rsid w:val="00B458D0"/>
    <w:rsid w:val="00B4792C"/>
    <w:rsid w:val="00B50CAE"/>
    <w:rsid w:val="00B512AD"/>
    <w:rsid w:val="00B5196C"/>
    <w:rsid w:val="00B525CB"/>
    <w:rsid w:val="00B52697"/>
    <w:rsid w:val="00B54D8F"/>
    <w:rsid w:val="00B55857"/>
    <w:rsid w:val="00B55C69"/>
    <w:rsid w:val="00B56851"/>
    <w:rsid w:val="00B56D6E"/>
    <w:rsid w:val="00B572F7"/>
    <w:rsid w:val="00B57B9D"/>
    <w:rsid w:val="00B57DAF"/>
    <w:rsid w:val="00B60094"/>
    <w:rsid w:val="00B6022C"/>
    <w:rsid w:val="00B614F8"/>
    <w:rsid w:val="00B61994"/>
    <w:rsid w:val="00B61FD4"/>
    <w:rsid w:val="00B62880"/>
    <w:rsid w:val="00B63872"/>
    <w:rsid w:val="00B63CB2"/>
    <w:rsid w:val="00B6416D"/>
    <w:rsid w:val="00B64246"/>
    <w:rsid w:val="00B64EDB"/>
    <w:rsid w:val="00B65938"/>
    <w:rsid w:val="00B65C8A"/>
    <w:rsid w:val="00B65CE2"/>
    <w:rsid w:val="00B660AD"/>
    <w:rsid w:val="00B66109"/>
    <w:rsid w:val="00B66349"/>
    <w:rsid w:val="00B67630"/>
    <w:rsid w:val="00B67FBF"/>
    <w:rsid w:val="00B71FA7"/>
    <w:rsid w:val="00B72110"/>
    <w:rsid w:val="00B72B91"/>
    <w:rsid w:val="00B73019"/>
    <w:rsid w:val="00B7315F"/>
    <w:rsid w:val="00B7323A"/>
    <w:rsid w:val="00B73356"/>
    <w:rsid w:val="00B7353B"/>
    <w:rsid w:val="00B7358A"/>
    <w:rsid w:val="00B737FB"/>
    <w:rsid w:val="00B7423D"/>
    <w:rsid w:val="00B74D05"/>
    <w:rsid w:val="00B777FA"/>
    <w:rsid w:val="00B77850"/>
    <w:rsid w:val="00B7796B"/>
    <w:rsid w:val="00B80C72"/>
    <w:rsid w:val="00B81964"/>
    <w:rsid w:val="00B81E6F"/>
    <w:rsid w:val="00B82123"/>
    <w:rsid w:val="00B8225B"/>
    <w:rsid w:val="00B82BB5"/>
    <w:rsid w:val="00B83182"/>
    <w:rsid w:val="00B851E4"/>
    <w:rsid w:val="00B854CE"/>
    <w:rsid w:val="00B85681"/>
    <w:rsid w:val="00B857EB"/>
    <w:rsid w:val="00B86162"/>
    <w:rsid w:val="00B86877"/>
    <w:rsid w:val="00B8695D"/>
    <w:rsid w:val="00B86E66"/>
    <w:rsid w:val="00B873BA"/>
    <w:rsid w:val="00B8746F"/>
    <w:rsid w:val="00B8760D"/>
    <w:rsid w:val="00B87706"/>
    <w:rsid w:val="00B87F98"/>
    <w:rsid w:val="00B90A49"/>
    <w:rsid w:val="00B90C2B"/>
    <w:rsid w:val="00B910A5"/>
    <w:rsid w:val="00B91B8E"/>
    <w:rsid w:val="00B92531"/>
    <w:rsid w:val="00B92618"/>
    <w:rsid w:val="00B92751"/>
    <w:rsid w:val="00B92B69"/>
    <w:rsid w:val="00B92CC6"/>
    <w:rsid w:val="00B935C9"/>
    <w:rsid w:val="00B93E3D"/>
    <w:rsid w:val="00B95464"/>
    <w:rsid w:val="00B95C30"/>
    <w:rsid w:val="00B95E3D"/>
    <w:rsid w:val="00B9691F"/>
    <w:rsid w:val="00B96EEC"/>
    <w:rsid w:val="00B97392"/>
    <w:rsid w:val="00B976C7"/>
    <w:rsid w:val="00BA0C54"/>
    <w:rsid w:val="00BA1382"/>
    <w:rsid w:val="00BA20D8"/>
    <w:rsid w:val="00BA22FC"/>
    <w:rsid w:val="00BA2F30"/>
    <w:rsid w:val="00BA4771"/>
    <w:rsid w:val="00BA5027"/>
    <w:rsid w:val="00BA665B"/>
    <w:rsid w:val="00BA7370"/>
    <w:rsid w:val="00BA778B"/>
    <w:rsid w:val="00BB0888"/>
    <w:rsid w:val="00BB0DF1"/>
    <w:rsid w:val="00BB0E9B"/>
    <w:rsid w:val="00BB2841"/>
    <w:rsid w:val="00BB300F"/>
    <w:rsid w:val="00BB32C9"/>
    <w:rsid w:val="00BB35C5"/>
    <w:rsid w:val="00BB4C8E"/>
    <w:rsid w:val="00BB57ED"/>
    <w:rsid w:val="00BB65C3"/>
    <w:rsid w:val="00BB662E"/>
    <w:rsid w:val="00BB67A9"/>
    <w:rsid w:val="00BB6C01"/>
    <w:rsid w:val="00BB7942"/>
    <w:rsid w:val="00BB7CD1"/>
    <w:rsid w:val="00BC0F33"/>
    <w:rsid w:val="00BC14A7"/>
    <w:rsid w:val="00BC17CC"/>
    <w:rsid w:val="00BC229E"/>
    <w:rsid w:val="00BC2898"/>
    <w:rsid w:val="00BC2928"/>
    <w:rsid w:val="00BC2BB1"/>
    <w:rsid w:val="00BC34A3"/>
    <w:rsid w:val="00BC3FF9"/>
    <w:rsid w:val="00BC4834"/>
    <w:rsid w:val="00BC4A97"/>
    <w:rsid w:val="00BC5A25"/>
    <w:rsid w:val="00BC5FDD"/>
    <w:rsid w:val="00BC68B4"/>
    <w:rsid w:val="00BD0140"/>
    <w:rsid w:val="00BD02CC"/>
    <w:rsid w:val="00BD1675"/>
    <w:rsid w:val="00BD2063"/>
    <w:rsid w:val="00BD33D9"/>
    <w:rsid w:val="00BD38C5"/>
    <w:rsid w:val="00BD3CF1"/>
    <w:rsid w:val="00BD3DEA"/>
    <w:rsid w:val="00BD3E97"/>
    <w:rsid w:val="00BD40E4"/>
    <w:rsid w:val="00BD52FE"/>
    <w:rsid w:val="00BD62CF"/>
    <w:rsid w:val="00BD67B2"/>
    <w:rsid w:val="00BD78AB"/>
    <w:rsid w:val="00BD78FE"/>
    <w:rsid w:val="00BE0149"/>
    <w:rsid w:val="00BE0767"/>
    <w:rsid w:val="00BE12D7"/>
    <w:rsid w:val="00BE1372"/>
    <w:rsid w:val="00BE1775"/>
    <w:rsid w:val="00BE18DA"/>
    <w:rsid w:val="00BE26C0"/>
    <w:rsid w:val="00BE3442"/>
    <w:rsid w:val="00BE45DF"/>
    <w:rsid w:val="00BE47B2"/>
    <w:rsid w:val="00BE48C7"/>
    <w:rsid w:val="00BE4F66"/>
    <w:rsid w:val="00BE5238"/>
    <w:rsid w:val="00BE6074"/>
    <w:rsid w:val="00BE7257"/>
    <w:rsid w:val="00BF020D"/>
    <w:rsid w:val="00BF1DD2"/>
    <w:rsid w:val="00BF23A3"/>
    <w:rsid w:val="00BF2A7E"/>
    <w:rsid w:val="00BF3331"/>
    <w:rsid w:val="00BF3A45"/>
    <w:rsid w:val="00BF436F"/>
    <w:rsid w:val="00BF5723"/>
    <w:rsid w:val="00BF5C05"/>
    <w:rsid w:val="00BF6FC6"/>
    <w:rsid w:val="00BF7C52"/>
    <w:rsid w:val="00BF7F99"/>
    <w:rsid w:val="00C00713"/>
    <w:rsid w:val="00C009A0"/>
    <w:rsid w:val="00C01F74"/>
    <w:rsid w:val="00C02558"/>
    <w:rsid w:val="00C0285F"/>
    <w:rsid w:val="00C02DBF"/>
    <w:rsid w:val="00C02F35"/>
    <w:rsid w:val="00C03305"/>
    <w:rsid w:val="00C03515"/>
    <w:rsid w:val="00C03738"/>
    <w:rsid w:val="00C037A6"/>
    <w:rsid w:val="00C043F5"/>
    <w:rsid w:val="00C044E3"/>
    <w:rsid w:val="00C04BDB"/>
    <w:rsid w:val="00C052C6"/>
    <w:rsid w:val="00C05A61"/>
    <w:rsid w:val="00C06CCF"/>
    <w:rsid w:val="00C108B8"/>
    <w:rsid w:val="00C11503"/>
    <w:rsid w:val="00C1159D"/>
    <w:rsid w:val="00C11683"/>
    <w:rsid w:val="00C118DB"/>
    <w:rsid w:val="00C1233E"/>
    <w:rsid w:val="00C125C1"/>
    <w:rsid w:val="00C12FB3"/>
    <w:rsid w:val="00C138BC"/>
    <w:rsid w:val="00C13D85"/>
    <w:rsid w:val="00C14639"/>
    <w:rsid w:val="00C14E82"/>
    <w:rsid w:val="00C14FF6"/>
    <w:rsid w:val="00C15A85"/>
    <w:rsid w:val="00C1641B"/>
    <w:rsid w:val="00C165FC"/>
    <w:rsid w:val="00C176D5"/>
    <w:rsid w:val="00C2082C"/>
    <w:rsid w:val="00C20EB0"/>
    <w:rsid w:val="00C21005"/>
    <w:rsid w:val="00C220B6"/>
    <w:rsid w:val="00C22D7C"/>
    <w:rsid w:val="00C22DDE"/>
    <w:rsid w:val="00C2338B"/>
    <w:rsid w:val="00C233CE"/>
    <w:rsid w:val="00C23661"/>
    <w:rsid w:val="00C237DD"/>
    <w:rsid w:val="00C238F4"/>
    <w:rsid w:val="00C23A99"/>
    <w:rsid w:val="00C245EE"/>
    <w:rsid w:val="00C24AE1"/>
    <w:rsid w:val="00C24B8D"/>
    <w:rsid w:val="00C24BD7"/>
    <w:rsid w:val="00C25813"/>
    <w:rsid w:val="00C27143"/>
    <w:rsid w:val="00C27490"/>
    <w:rsid w:val="00C27A55"/>
    <w:rsid w:val="00C27D37"/>
    <w:rsid w:val="00C302E5"/>
    <w:rsid w:val="00C309E8"/>
    <w:rsid w:val="00C32017"/>
    <w:rsid w:val="00C325CD"/>
    <w:rsid w:val="00C3322E"/>
    <w:rsid w:val="00C337F5"/>
    <w:rsid w:val="00C33B90"/>
    <w:rsid w:val="00C34B5F"/>
    <w:rsid w:val="00C358D4"/>
    <w:rsid w:val="00C36785"/>
    <w:rsid w:val="00C36845"/>
    <w:rsid w:val="00C3711C"/>
    <w:rsid w:val="00C37256"/>
    <w:rsid w:val="00C37A7B"/>
    <w:rsid w:val="00C37FFE"/>
    <w:rsid w:val="00C40B50"/>
    <w:rsid w:val="00C41858"/>
    <w:rsid w:val="00C419E3"/>
    <w:rsid w:val="00C419F4"/>
    <w:rsid w:val="00C41E6A"/>
    <w:rsid w:val="00C42247"/>
    <w:rsid w:val="00C439BE"/>
    <w:rsid w:val="00C44E61"/>
    <w:rsid w:val="00C4539B"/>
    <w:rsid w:val="00C45466"/>
    <w:rsid w:val="00C455C1"/>
    <w:rsid w:val="00C4581D"/>
    <w:rsid w:val="00C47472"/>
    <w:rsid w:val="00C500F0"/>
    <w:rsid w:val="00C504A7"/>
    <w:rsid w:val="00C506C9"/>
    <w:rsid w:val="00C50A16"/>
    <w:rsid w:val="00C5122B"/>
    <w:rsid w:val="00C51C9A"/>
    <w:rsid w:val="00C52C68"/>
    <w:rsid w:val="00C52D98"/>
    <w:rsid w:val="00C53D24"/>
    <w:rsid w:val="00C54640"/>
    <w:rsid w:val="00C547A6"/>
    <w:rsid w:val="00C54A3A"/>
    <w:rsid w:val="00C5503F"/>
    <w:rsid w:val="00C55C32"/>
    <w:rsid w:val="00C56A67"/>
    <w:rsid w:val="00C56CC2"/>
    <w:rsid w:val="00C57498"/>
    <w:rsid w:val="00C5763C"/>
    <w:rsid w:val="00C5780C"/>
    <w:rsid w:val="00C5796B"/>
    <w:rsid w:val="00C619A1"/>
    <w:rsid w:val="00C62370"/>
    <w:rsid w:val="00C62545"/>
    <w:rsid w:val="00C62BBB"/>
    <w:rsid w:val="00C6305F"/>
    <w:rsid w:val="00C6325B"/>
    <w:rsid w:val="00C63E99"/>
    <w:rsid w:val="00C64161"/>
    <w:rsid w:val="00C641BD"/>
    <w:rsid w:val="00C649B8"/>
    <w:rsid w:val="00C64A64"/>
    <w:rsid w:val="00C65151"/>
    <w:rsid w:val="00C657F4"/>
    <w:rsid w:val="00C66119"/>
    <w:rsid w:val="00C66292"/>
    <w:rsid w:val="00C672A3"/>
    <w:rsid w:val="00C672F1"/>
    <w:rsid w:val="00C673D0"/>
    <w:rsid w:val="00C6742E"/>
    <w:rsid w:val="00C70012"/>
    <w:rsid w:val="00C71E2A"/>
    <w:rsid w:val="00C733BA"/>
    <w:rsid w:val="00C760DC"/>
    <w:rsid w:val="00C8082B"/>
    <w:rsid w:val="00C81A88"/>
    <w:rsid w:val="00C81AEC"/>
    <w:rsid w:val="00C81D46"/>
    <w:rsid w:val="00C820AD"/>
    <w:rsid w:val="00C82298"/>
    <w:rsid w:val="00C833B4"/>
    <w:rsid w:val="00C84284"/>
    <w:rsid w:val="00C84E33"/>
    <w:rsid w:val="00C85FFC"/>
    <w:rsid w:val="00C861FC"/>
    <w:rsid w:val="00C86C87"/>
    <w:rsid w:val="00C9005E"/>
    <w:rsid w:val="00C90111"/>
    <w:rsid w:val="00C90CA9"/>
    <w:rsid w:val="00C915F2"/>
    <w:rsid w:val="00C917B1"/>
    <w:rsid w:val="00C9193C"/>
    <w:rsid w:val="00C91B77"/>
    <w:rsid w:val="00C920E2"/>
    <w:rsid w:val="00C93765"/>
    <w:rsid w:val="00C93877"/>
    <w:rsid w:val="00C93D8C"/>
    <w:rsid w:val="00C946CC"/>
    <w:rsid w:val="00C959BD"/>
    <w:rsid w:val="00C95F44"/>
    <w:rsid w:val="00C96D1B"/>
    <w:rsid w:val="00C97106"/>
    <w:rsid w:val="00C97684"/>
    <w:rsid w:val="00CA0031"/>
    <w:rsid w:val="00CA0413"/>
    <w:rsid w:val="00CA043A"/>
    <w:rsid w:val="00CA04F8"/>
    <w:rsid w:val="00CA1691"/>
    <w:rsid w:val="00CA2E65"/>
    <w:rsid w:val="00CA41E7"/>
    <w:rsid w:val="00CA4B2B"/>
    <w:rsid w:val="00CA5520"/>
    <w:rsid w:val="00CA5812"/>
    <w:rsid w:val="00CA5BD4"/>
    <w:rsid w:val="00CA5C14"/>
    <w:rsid w:val="00CA76FC"/>
    <w:rsid w:val="00CA7E7B"/>
    <w:rsid w:val="00CB0236"/>
    <w:rsid w:val="00CB19E3"/>
    <w:rsid w:val="00CB2C3A"/>
    <w:rsid w:val="00CB2D38"/>
    <w:rsid w:val="00CB4137"/>
    <w:rsid w:val="00CB52D0"/>
    <w:rsid w:val="00CB5578"/>
    <w:rsid w:val="00CB5671"/>
    <w:rsid w:val="00CB591C"/>
    <w:rsid w:val="00CB5943"/>
    <w:rsid w:val="00CB61B3"/>
    <w:rsid w:val="00CB6F83"/>
    <w:rsid w:val="00CB72AE"/>
    <w:rsid w:val="00CB78AD"/>
    <w:rsid w:val="00CC00CD"/>
    <w:rsid w:val="00CC0579"/>
    <w:rsid w:val="00CC0AF3"/>
    <w:rsid w:val="00CC0BC6"/>
    <w:rsid w:val="00CC0E68"/>
    <w:rsid w:val="00CC21AC"/>
    <w:rsid w:val="00CC2514"/>
    <w:rsid w:val="00CC2756"/>
    <w:rsid w:val="00CC2F69"/>
    <w:rsid w:val="00CC315F"/>
    <w:rsid w:val="00CC3D38"/>
    <w:rsid w:val="00CC404B"/>
    <w:rsid w:val="00CC40C3"/>
    <w:rsid w:val="00CC4E5D"/>
    <w:rsid w:val="00CC50AE"/>
    <w:rsid w:val="00CC61B7"/>
    <w:rsid w:val="00CC61CA"/>
    <w:rsid w:val="00CC69EC"/>
    <w:rsid w:val="00CC71D3"/>
    <w:rsid w:val="00CC743D"/>
    <w:rsid w:val="00CD050A"/>
    <w:rsid w:val="00CD205D"/>
    <w:rsid w:val="00CD2A22"/>
    <w:rsid w:val="00CD2B50"/>
    <w:rsid w:val="00CD4506"/>
    <w:rsid w:val="00CD520B"/>
    <w:rsid w:val="00CD592E"/>
    <w:rsid w:val="00CD5982"/>
    <w:rsid w:val="00CD5A1A"/>
    <w:rsid w:val="00CD7EFA"/>
    <w:rsid w:val="00CE020E"/>
    <w:rsid w:val="00CE0566"/>
    <w:rsid w:val="00CE1CD4"/>
    <w:rsid w:val="00CE23FE"/>
    <w:rsid w:val="00CE2761"/>
    <w:rsid w:val="00CE314E"/>
    <w:rsid w:val="00CE3D5C"/>
    <w:rsid w:val="00CE3E14"/>
    <w:rsid w:val="00CE44C7"/>
    <w:rsid w:val="00CE53CC"/>
    <w:rsid w:val="00CE65A7"/>
    <w:rsid w:val="00CE68FE"/>
    <w:rsid w:val="00CE69CC"/>
    <w:rsid w:val="00CE6EC4"/>
    <w:rsid w:val="00CE7F26"/>
    <w:rsid w:val="00CF1226"/>
    <w:rsid w:val="00CF1ABB"/>
    <w:rsid w:val="00CF1E1D"/>
    <w:rsid w:val="00CF24FE"/>
    <w:rsid w:val="00CF35D0"/>
    <w:rsid w:val="00CF3DD5"/>
    <w:rsid w:val="00CF4AF7"/>
    <w:rsid w:val="00CF4D20"/>
    <w:rsid w:val="00CF73F8"/>
    <w:rsid w:val="00CF7928"/>
    <w:rsid w:val="00CF7CA2"/>
    <w:rsid w:val="00D00A8E"/>
    <w:rsid w:val="00D00DE0"/>
    <w:rsid w:val="00D00F79"/>
    <w:rsid w:val="00D012BF"/>
    <w:rsid w:val="00D01760"/>
    <w:rsid w:val="00D0368E"/>
    <w:rsid w:val="00D03D2D"/>
    <w:rsid w:val="00D03E7B"/>
    <w:rsid w:val="00D0401A"/>
    <w:rsid w:val="00D047E0"/>
    <w:rsid w:val="00D04B9F"/>
    <w:rsid w:val="00D04FFB"/>
    <w:rsid w:val="00D058E9"/>
    <w:rsid w:val="00D0612A"/>
    <w:rsid w:val="00D1060D"/>
    <w:rsid w:val="00D10E7C"/>
    <w:rsid w:val="00D11182"/>
    <w:rsid w:val="00D1137B"/>
    <w:rsid w:val="00D11807"/>
    <w:rsid w:val="00D11DB3"/>
    <w:rsid w:val="00D12D82"/>
    <w:rsid w:val="00D1306E"/>
    <w:rsid w:val="00D134CD"/>
    <w:rsid w:val="00D14B5F"/>
    <w:rsid w:val="00D14E13"/>
    <w:rsid w:val="00D14F23"/>
    <w:rsid w:val="00D15356"/>
    <w:rsid w:val="00D16740"/>
    <w:rsid w:val="00D16A8B"/>
    <w:rsid w:val="00D16E39"/>
    <w:rsid w:val="00D17951"/>
    <w:rsid w:val="00D17AD8"/>
    <w:rsid w:val="00D2104A"/>
    <w:rsid w:val="00D21BB5"/>
    <w:rsid w:val="00D21FFC"/>
    <w:rsid w:val="00D223B6"/>
    <w:rsid w:val="00D223E8"/>
    <w:rsid w:val="00D22DC8"/>
    <w:rsid w:val="00D2522A"/>
    <w:rsid w:val="00D2531C"/>
    <w:rsid w:val="00D2742F"/>
    <w:rsid w:val="00D2754F"/>
    <w:rsid w:val="00D279D9"/>
    <w:rsid w:val="00D312DC"/>
    <w:rsid w:val="00D31B84"/>
    <w:rsid w:val="00D31C6A"/>
    <w:rsid w:val="00D31EDF"/>
    <w:rsid w:val="00D31FF9"/>
    <w:rsid w:val="00D32149"/>
    <w:rsid w:val="00D32256"/>
    <w:rsid w:val="00D32A27"/>
    <w:rsid w:val="00D32ABC"/>
    <w:rsid w:val="00D34B25"/>
    <w:rsid w:val="00D34F4E"/>
    <w:rsid w:val="00D357F3"/>
    <w:rsid w:val="00D35C0E"/>
    <w:rsid w:val="00D373A8"/>
    <w:rsid w:val="00D379A5"/>
    <w:rsid w:val="00D401BE"/>
    <w:rsid w:val="00D4043A"/>
    <w:rsid w:val="00D40A8E"/>
    <w:rsid w:val="00D40DB0"/>
    <w:rsid w:val="00D40F8B"/>
    <w:rsid w:val="00D41858"/>
    <w:rsid w:val="00D422DB"/>
    <w:rsid w:val="00D42AC2"/>
    <w:rsid w:val="00D44866"/>
    <w:rsid w:val="00D4498E"/>
    <w:rsid w:val="00D4515F"/>
    <w:rsid w:val="00D451E8"/>
    <w:rsid w:val="00D4636B"/>
    <w:rsid w:val="00D466C9"/>
    <w:rsid w:val="00D467D8"/>
    <w:rsid w:val="00D47275"/>
    <w:rsid w:val="00D50C39"/>
    <w:rsid w:val="00D51E15"/>
    <w:rsid w:val="00D52B7E"/>
    <w:rsid w:val="00D52E2F"/>
    <w:rsid w:val="00D52F59"/>
    <w:rsid w:val="00D53E3E"/>
    <w:rsid w:val="00D55904"/>
    <w:rsid w:val="00D5616F"/>
    <w:rsid w:val="00D57940"/>
    <w:rsid w:val="00D60327"/>
    <w:rsid w:val="00D61526"/>
    <w:rsid w:val="00D61F81"/>
    <w:rsid w:val="00D62BE6"/>
    <w:rsid w:val="00D63766"/>
    <w:rsid w:val="00D63912"/>
    <w:rsid w:val="00D63923"/>
    <w:rsid w:val="00D6451B"/>
    <w:rsid w:val="00D64B57"/>
    <w:rsid w:val="00D65DEA"/>
    <w:rsid w:val="00D65DFE"/>
    <w:rsid w:val="00D67BC7"/>
    <w:rsid w:val="00D701F1"/>
    <w:rsid w:val="00D705D3"/>
    <w:rsid w:val="00D70E00"/>
    <w:rsid w:val="00D715AC"/>
    <w:rsid w:val="00D71851"/>
    <w:rsid w:val="00D718CF"/>
    <w:rsid w:val="00D728F5"/>
    <w:rsid w:val="00D72E9D"/>
    <w:rsid w:val="00D73249"/>
    <w:rsid w:val="00D73419"/>
    <w:rsid w:val="00D73CA9"/>
    <w:rsid w:val="00D7481A"/>
    <w:rsid w:val="00D751B7"/>
    <w:rsid w:val="00D7524B"/>
    <w:rsid w:val="00D75396"/>
    <w:rsid w:val="00D759C0"/>
    <w:rsid w:val="00D75E99"/>
    <w:rsid w:val="00D766C7"/>
    <w:rsid w:val="00D7692B"/>
    <w:rsid w:val="00D7734F"/>
    <w:rsid w:val="00D8044C"/>
    <w:rsid w:val="00D805D6"/>
    <w:rsid w:val="00D8075E"/>
    <w:rsid w:val="00D80860"/>
    <w:rsid w:val="00D80D4C"/>
    <w:rsid w:val="00D8184D"/>
    <w:rsid w:val="00D81A7B"/>
    <w:rsid w:val="00D8223C"/>
    <w:rsid w:val="00D82B57"/>
    <w:rsid w:val="00D82CE5"/>
    <w:rsid w:val="00D8342C"/>
    <w:rsid w:val="00D85494"/>
    <w:rsid w:val="00D8582C"/>
    <w:rsid w:val="00D85D61"/>
    <w:rsid w:val="00D8616D"/>
    <w:rsid w:val="00D8711B"/>
    <w:rsid w:val="00D87384"/>
    <w:rsid w:val="00D90683"/>
    <w:rsid w:val="00D915C8"/>
    <w:rsid w:val="00D9261C"/>
    <w:rsid w:val="00D9310B"/>
    <w:rsid w:val="00D93726"/>
    <w:rsid w:val="00D93DD3"/>
    <w:rsid w:val="00D93F3E"/>
    <w:rsid w:val="00D9405B"/>
    <w:rsid w:val="00D94942"/>
    <w:rsid w:val="00D95145"/>
    <w:rsid w:val="00D967CB"/>
    <w:rsid w:val="00D96EE0"/>
    <w:rsid w:val="00D97BD1"/>
    <w:rsid w:val="00DA06B8"/>
    <w:rsid w:val="00DA286D"/>
    <w:rsid w:val="00DA2969"/>
    <w:rsid w:val="00DA29B7"/>
    <w:rsid w:val="00DA4842"/>
    <w:rsid w:val="00DA5989"/>
    <w:rsid w:val="00DA5AB1"/>
    <w:rsid w:val="00DA5F9D"/>
    <w:rsid w:val="00DA69B2"/>
    <w:rsid w:val="00DA7462"/>
    <w:rsid w:val="00DA7AD0"/>
    <w:rsid w:val="00DB02D7"/>
    <w:rsid w:val="00DB03CC"/>
    <w:rsid w:val="00DB12D4"/>
    <w:rsid w:val="00DB14F0"/>
    <w:rsid w:val="00DB1745"/>
    <w:rsid w:val="00DB1AFF"/>
    <w:rsid w:val="00DB219A"/>
    <w:rsid w:val="00DB3165"/>
    <w:rsid w:val="00DB4292"/>
    <w:rsid w:val="00DB6E46"/>
    <w:rsid w:val="00DB7117"/>
    <w:rsid w:val="00DB7760"/>
    <w:rsid w:val="00DB7DD4"/>
    <w:rsid w:val="00DC00B4"/>
    <w:rsid w:val="00DC0954"/>
    <w:rsid w:val="00DC15BA"/>
    <w:rsid w:val="00DC18CD"/>
    <w:rsid w:val="00DC1A68"/>
    <w:rsid w:val="00DC30B8"/>
    <w:rsid w:val="00DC32C6"/>
    <w:rsid w:val="00DC478F"/>
    <w:rsid w:val="00DC62E5"/>
    <w:rsid w:val="00DC6F33"/>
    <w:rsid w:val="00DC7349"/>
    <w:rsid w:val="00DD14D8"/>
    <w:rsid w:val="00DD1599"/>
    <w:rsid w:val="00DD1B03"/>
    <w:rsid w:val="00DD2A62"/>
    <w:rsid w:val="00DD2F2F"/>
    <w:rsid w:val="00DD2F7A"/>
    <w:rsid w:val="00DD3885"/>
    <w:rsid w:val="00DD5056"/>
    <w:rsid w:val="00DD5808"/>
    <w:rsid w:val="00DD5946"/>
    <w:rsid w:val="00DD5B04"/>
    <w:rsid w:val="00DD5DAE"/>
    <w:rsid w:val="00DD5EC6"/>
    <w:rsid w:val="00DD605F"/>
    <w:rsid w:val="00DD72A0"/>
    <w:rsid w:val="00DD735D"/>
    <w:rsid w:val="00DE0159"/>
    <w:rsid w:val="00DE064A"/>
    <w:rsid w:val="00DE082D"/>
    <w:rsid w:val="00DE1410"/>
    <w:rsid w:val="00DE3119"/>
    <w:rsid w:val="00DE3FF0"/>
    <w:rsid w:val="00DE4105"/>
    <w:rsid w:val="00DE5189"/>
    <w:rsid w:val="00DE6230"/>
    <w:rsid w:val="00DE7108"/>
    <w:rsid w:val="00DE78D1"/>
    <w:rsid w:val="00DF0263"/>
    <w:rsid w:val="00DF0EB4"/>
    <w:rsid w:val="00DF1E36"/>
    <w:rsid w:val="00DF1FDB"/>
    <w:rsid w:val="00DF236B"/>
    <w:rsid w:val="00DF2A91"/>
    <w:rsid w:val="00DF3889"/>
    <w:rsid w:val="00DF3CC9"/>
    <w:rsid w:val="00DF4451"/>
    <w:rsid w:val="00DF49FF"/>
    <w:rsid w:val="00DF4FFB"/>
    <w:rsid w:val="00DF5236"/>
    <w:rsid w:val="00DF651F"/>
    <w:rsid w:val="00DF6E10"/>
    <w:rsid w:val="00DF6F43"/>
    <w:rsid w:val="00DF752F"/>
    <w:rsid w:val="00DF76A2"/>
    <w:rsid w:val="00DF7B33"/>
    <w:rsid w:val="00DF7DF9"/>
    <w:rsid w:val="00E00B7A"/>
    <w:rsid w:val="00E02186"/>
    <w:rsid w:val="00E026BB"/>
    <w:rsid w:val="00E027C5"/>
    <w:rsid w:val="00E03124"/>
    <w:rsid w:val="00E03951"/>
    <w:rsid w:val="00E03DB8"/>
    <w:rsid w:val="00E05E70"/>
    <w:rsid w:val="00E064BC"/>
    <w:rsid w:val="00E07225"/>
    <w:rsid w:val="00E07AAA"/>
    <w:rsid w:val="00E109DD"/>
    <w:rsid w:val="00E11229"/>
    <w:rsid w:val="00E114CA"/>
    <w:rsid w:val="00E11CF0"/>
    <w:rsid w:val="00E1397F"/>
    <w:rsid w:val="00E13AB8"/>
    <w:rsid w:val="00E1482E"/>
    <w:rsid w:val="00E16382"/>
    <w:rsid w:val="00E1699C"/>
    <w:rsid w:val="00E16E75"/>
    <w:rsid w:val="00E1746D"/>
    <w:rsid w:val="00E2012A"/>
    <w:rsid w:val="00E205A2"/>
    <w:rsid w:val="00E20BA4"/>
    <w:rsid w:val="00E23137"/>
    <w:rsid w:val="00E23980"/>
    <w:rsid w:val="00E241E9"/>
    <w:rsid w:val="00E257C3"/>
    <w:rsid w:val="00E25CB3"/>
    <w:rsid w:val="00E25DA4"/>
    <w:rsid w:val="00E26CB8"/>
    <w:rsid w:val="00E26FCF"/>
    <w:rsid w:val="00E27165"/>
    <w:rsid w:val="00E27226"/>
    <w:rsid w:val="00E3044A"/>
    <w:rsid w:val="00E31A4A"/>
    <w:rsid w:val="00E3344A"/>
    <w:rsid w:val="00E33B29"/>
    <w:rsid w:val="00E33B62"/>
    <w:rsid w:val="00E3403D"/>
    <w:rsid w:val="00E34E6C"/>
    <w:rsid w:val="00E350D8"/>
    <w:rsid w:val="00E353E2"/>
    <w:rsid w:val="00E36345"/>
    <w:rsid w:val="00E36C86"/>
    <w:rsid w:val="00E36CEB"/>
    <w:rsid w:val="00E37A28"/>
    <w:rsid w:val="00E40430"/>
    <w:rsid w:val="00E40690"/>
    <w:rsid w:val="00E40AEB"/>
    <w:rsid w:val="00E4143A"/>
    <w:rsid w:val="00E424C8"/>
    <w:rsid w:val="00E4251D"/>
    <w:rsid w:val="00E43D00"/>
    <w:rsid w:val="00E445E4"/>
    <w:rsid w:val="00E457CB"/>
    <w:rsid w:val="00E45D47"/>
    <w:rsid w:val="00E45DE4"/>
    <w:rsid w:val="00E45E63"/>
    <w:rsid w:val="00E50A7B"/>
    <w:rsid w:val="00E50B0B"/>
    <w:rsid w:val="00E510FE"/>
    <w:rsid w:val="00E51E25"/>
    <w:rsid w:val="00E5205B"/>
    <w:rsid w:val="00E521AE"/>
    <w:rsid w:val="00E53BCA"/>
    <w:rsid w:val="00E53F02"/>
    <w:rsid w:val="00E54534"/>
    <w:rsid w:val="00E548C3"/>
    <w:rsid w:val="00E54F27"/>
    <w:rsid w:val="00E55FF1"/>
    <w:rsid w:val="00E56090"/>
    <w:rsid w:val="00E565B9"/>
    <w:rsid w:val="00E5733B"/>
    <w:rsid w:val="00E5756C"/>
    <w:rsid w:val="00E601BE"/>
    <w:rsid w:val="00E60670"/>
    <w:rsid w:val="00E60B5F"/>
    <w:rsid w:val="00E613AE"/>
    <w:rsid w:val="00E61429"/>
    <w:rsid w:val="00E61ABB"/>
    <w:rsid w:val="00E61FD7"/>
    <w:rsid w:val="00E623E6"/>
    <w:rsid w:val="00E630C0"/>
    <w:rsid w:val="00E63107"/>
    <w:rsid w:val="00E634E6"/>
    <w:rsid w:val="00E63DCE"/>
    <w:rsid w:val="00E64700"/>
    <w:rsid w:val="00E65074"/>
    <w:rsid w:val="00E65E70"/>
    <w:rsid w:val="00E66087"/>
    <w:rsid w:val="00E66D79"/>
    <w:rsid w:val="00E66FF9"/>
    <w:rsid w:val="00E67856"/>
    <w:rsid w:val="00E679C8"/>
    <w:rsid w:val="00E70314"/>
    <w:rsid w:val="00E70850"/>
    <w:rsid w:val="00E724E7"/>
    <w:rsid w:val="00E72B41"/>
    <w:rsid w:val="00E7347B"/>
    <w:rsid w:val="00E73D03"/>
    <w:rsid w:val="00E7471C"/>
    <w:rsid w:val="00E7498A"/>
    <w:rsid w:val="00E7514E"/>
    <w:rsid w:val="00E75B34"/>
    <w:rsid w:val="00E77AF5"/>
    <w:rsid w:val="00E8029A"/>
    <w:rsid w:val="00E823F9"/>
    <w:rsid w:val="00E82C1F"/>
    <w:rsid w:val="00E83671"/>
    <w:rsid w:val="00E84A71"/>
    <w:rsid w:val="00E86556"/>
    <w:rsid w:val="00E86798"/>
    <w:rsid w:val="00E86D35"/>
    <w:rsid w:val="00E86DC2"/>
    <w:rsid w:val="00E86E32"/>
    <w:rsid w:val="00E8732E"/>
    <w:rsid w:val="00E9011F"/>
    <w:rsid w:val="00E906EB"/>
    <w:rsid w:val="00E9241E"/>
    <w:rsid w:val="00E92460"/>
    <w:rsid w:val="00E92E62"/>
    <w:rsid w:val="00E93804"/>
    <w:rsid w:val="00E93A86"/>
    <w:rsid w:val="00E95434"/>
    <w:rsid w:val="00E96467"/>
    <w:rsid w:val="00E966DA"/>
    <w:rsid w:val="00E96948"/>
    <w:rsid w:val="00E9737B"/>
    <w:rsid w:val="00E97A3F"/>
    <w:rsid w:val="00E97F0A"/>
    <w:rsid w:val="00EA0100"/>
    <w:rsid w:val="00EA04DC"/>
    <w:rsid w:val="00EA0886"/>
    <w:rsid w:val="00EA0BCE"/>
    <w:rsid w:val="00EA0D62"/>
    <w:rsid w:val="00EA2726"/>
    <w:rsid w:val="00EA2744"/>
    <w:rsid w:val="00EA37B9"/>
    <w:rsid w:val="00EA39F7"/>
    <w:rsid w:val="00EA3B27"/>
    <w:rsid w:val="00EA3DC2"/>
    <w:rsid w:val="00EA434E"/>
    <w:rsid w:val="00EA4757"/>
    <w:rsid w:val="00EA53D3"/>
    <w:rsid w:val="00EA560B"/>
    <w:rsid w:val="00EA5669"/>
    <w:rsid w:val="00EA5C05"/>
    <w:rsid w:val="00EA63EF"/>
    <w:rsid w:val="00EA6750"/>
    <w:rsid w:val="00EB0A89"/>
    <w:rsid w:val="00EB1573"/>
    <w:rsid w:val="00EB1650"/>
    <w:rsid w:val="00EB1910"/>
    <w:rsid w:val="00EB1D24"/>
    <w:rsid w:val="00EB2E97"/>
    <w:rsid w:val="00EB3416"/>
    <w:rsid w:val="00EB4AE1"/>
    <w:rsid w:val="00EB52F4"/>
    <w:rsid w:val="00EB5694"/>
    <w:rsid w:val="00EB5779"/>
    <w:rsid w:val="00EB6098"/>
    <w:rsid w:val="00EB65ED"/>
    <w:rsid w:val="00EB67F1"/>
    <w:rsid w:val="00EB72CD"/>
    <w:rsid w:val="00EB749A"/>
    <w:rsid w:val="00EB76B6"/>
    <w:rsid w:val="00EB7D8A"/>
    <w:rsid w:val="00EC05E2"/>
    <w:rsid w:val="00EC08AF"/>
    <w:rsid w:val="00EC0B29"/>
    <w:rsid w:val="00EC0E84"/>
    <w:rsid w:val="00EC16E2"/>
    <w:rsid w:val="00EC1CE7"/>
    <w:rsid w:val="00EC22CC"/>
    <w:rsid w:val="00EC26F1"/>
    <w:rsid w:val="00EC36B1"/>
    <w:rsid w:val="00EC3C94"/>
    <w:rsid w:val="00EC44DF"/>
    <w:rsid w:val="00EC4AB1"/>
    <w:rsid w:val="00EC4FB9"/>
    <w:rsid w:val="00EC5393"/>
    <w:rsid w:val="00EC5741"/>
    <w:rsid w:val="00EC5ACE"/>
    <w:rsid w:val="00EC5DA3"/>
    <w:rsid w:val="00EC6014"/>
    <w:rsid w:val="00EC6B3E"/>
    <w:rsid w:val="00EC73DE"/>
    <w:rsid w:val="00EC7637"/>
    <w:rsid w:val="00EC7CF2"/>
    <w:rsid w:val="00ED046B"/>
    <w:rsid w:val="00ED046C"/>
    <w:rsid w:val="00ED053A"/>
    <w:rsid w:val="00ED1F03"/>
    <w:rsid w:val="00ED2D27"/>
    <w:rsid w:val="00ED3347"/>
    <w:rsid w:val="00ED3954"/>
    <w:rsid w:val="00ED43A2"/>
    <w:rsid w:val="00ED4967"/>
    <w:rsid w:val="00ED4EC8"/>
    <w:rsid w:val="00ED5140"/>
    <w:rsid w:val="00ED538C"/>
    <w:rsid w:val="00ED5771"/>
    <w:rsid w:val="00ED587F"/>
    <w:rsid w:val="00ED5964"/>
    <w:rsid w:val="00ED623F"/>
    <w:rsid w:val="00ED69BA"/>
    <w:rsid w:val="00ED72E9"/>
    <w:rsid w:val="00ED732E"/>
    <w:rsid w:val="00ED77F0"/>
    <w:rsid w:val="00ED7FBC"/>
    <w:rsid w:val="00EE0253"/>
    <w:rsid w:val="00EE0297"/>
    <w:rsid w:val="00EE1258"/>
    <w:rsid w:val="00EE13DA"/>
    <w:rsid w:val="00EE162F"/>
    <w:rsid w:val="00EE1668"/>
    <w:rsid w:val="00EE366D"/>
    <w:rsid w:val="00EE5454"/>
    <w:rsid w:val="00EE58B8"/>
    <w:rsid w:val="00EE59B5"/>
    <w:rsid w:val="00EE5D1D"/>
    <w:rsid w:val="00EE5FB7"/>
    <w:rsid w:val="00EE6A1A"/>
    <w:rsid w:val="00EE7B54"/>
    <w:rsid w:val="00EE7C88"/>
    <w:rsid w:val="00EE7C8B"/>
    <w:rsid w:val="00EF0209"/>
    <w:rsid w:val="00EF0EA4"/>
    <w:rsid w:val="00EF1E97"/>
    <w:rsid w:val="00EF2436"/>
    <w:rsid w:val="00EF2547"/>
    <w:rsid w:val="00EF2B2B"/>
    <w:rsid w:val="00EF2E1C"/>
    <w:rsid w:val="00EF2FD6"/>
    <w:rsid w:val="00EF326A"/>
    <w:rsid w:val="00EF427A"/>
    <w:rsid w:val="00EF45DF"/>
    <w:rsid w:val="00EF4952"/>
    <w:rsid w:val="00EF498F"/>
    <w:rsid w:val="00EF4A42"/>
    <w:rsid w:val="00EF510C"/>
    <w:rsid w:val="00EF55C4"/>
    <w:rsid w:val="00EF57BC"/>
    <w:rsid w:val="00EF6784"/>
    <w:rsid w:val="00EF688A"/>
    <w:rsid w:val="00EF6A03"/>
    <w:rsid w:val="00EF6DC2"/>
    <w:rsid w:val="00EF7BF4"/>
    <w:rsid w:val="00F0030F"/>
    <w:rsid w:val="00F00674"/>
    <w:rsid w:val="00F01657"/>
    <w:rsid w:val="00F01E67"/>
    <w:rsid w:val="00F02744"/>
    <w:rsid w:val="00F02BFD"/>
    <w:rsid w:val="00F02D25"/>
    <w:rsid w:val="00F0435D"/>
    <w:rsid w:val="00F04580"/>
    <w:rsid w:val="00F04ECA"/>
    <w:rsid w:val="00F06E19"/>
    <w:rsid w:val="00F06F84"/>
    <w:rsid w:val="00F076E7"/>
    <w:rsid w:val="00F07AA1"/>
    <w:rsid w:val="00F105AE"/>
    <w:rsid w:val="00F10618"/>
    <w:rsid w:val="00F1108B"/>
    <w:rsid w:val="00F11768"/>
    <w:rsid w:val="00F11951"/>
    <w:rsid w:val="00F12262"/>
    <w:rsid w:val="00F12AF8"/>
    <w:rsid w:val="00F12C52"/>
    <w:rsid w:val="00F148B7"/>
    <w:rsid w:val="00F14EA9"/>
    <w:rsid w:val="00F15505"/>
    <w:rsid w:val="00F15BFF"/>
    <w:rsid w:val="00F213A0"/>
    <w:rsid w:val="00F21A51"/>
    <w:rsid w:val="00F21D54"/>
    <w:rsid w:val="00F21EF4"/>
    <w:rsid w:val="00F23113"/>
    <w:rsid w:val="00F23255"/>
    <w:rsid w:val="00F23393"/>
    <w:rsid w:val="00F23759"/>
    <w:rsid w:val="00F24644"/>
    <w:rsid w:val="00F256FD"/>
    <w:rsid w:val="00F26F33"/>
    <w:rsid w:val="00F26F4F"/>
    <w:rsid w:val="00F300A8"/>
    <w:rsid w:val="00F30400"/>
    <w:rsid w:val="00F3079E"/>
    <w:rsid w:val="00F33980"/>
    <w:rsid w:val="00F3399B"/>
    <w:rsid w:val="00F33C1A"/>
    <w:rsid w:val="00F3461B"/>
    <w:rsid w:val="00F346ED"/>
    <w:rsid w:val="00F34945"/>
    <w:rsid w:val="00F34E1E"/>
    <w:rsid w:val="00F3570C"/>
    <w:rsid w:val="00F368FF"/>
    <w:rsid w:val="00F37068"/>
    <w:rsid w:val="00F37F3F"/>
    <w:rsid w:val="00F40992"/>
    <w:rsid w:val="00F412DF"/>
    <w:rsid w:val="00F41596"/>
    <w:rsid w:val="00F41D8B"/>
    <w:rsid w:val="00F42121"/>
    <w:rsid w:val="00F424B3"/>
    <w:rsid w:val="00F428B1"/>
    <w:rsid w:val="00F428B4"/>
    <w:rsid w:val="00F4345D"/>
    <w:rsid w:val="00F4387B"/>
    <w:rsid w:val="00F4518D"/>
    <w:rsid w:val="00F45B91"/>
    <w:rsid w:val="00F46639"/>
    <w:rsid w:val="00F46692"/>
    <w:rsid w:val="00F47AAA"/>
    <w:rsid w:val="00F50183"/>
    <w:rsid w:val="00F50D92"/>
    <w:rsid w:val="00F51765"/>
    <w:rsid w:val="00F51A51"/>
    <w:rsid w:val="00F51CB4"/>
    <w:rsid w:val="00F52324"/>
    <w:rsid w:val="00F52950"/>
    <w:rsid w:val="00F52C9D"/>
    <w:rsid w:val="00F533F1"/>
    <w:rsid w:val="00F55679"/>
    <w:rsid w:val="00F561E3"/>
    <w:rsid w:val="00F565E6"/>
    <w:rsid w:val="00F56AFA"/>
    <w:rsid w:val="00F575E2"/>
    <w:rsid w:val="00F579FF"/>
    <w:rsid w:val="00F600E0"/>
    <w:rsid w:val="00F600FD"/>
    <w:rsid w:val="00F605EC"/>
    <w:rsid w:val="00F6091B"/>
    <w:rsid w:val="00F60F60"/>
    <w:rsid w:val="00F612CE"/>
    <w:rsid w:val="00F624A7"/>
    <w:rsid w:val="00F62AB6"/>
    <w:rsid w:val="00F65A3C"/>
    <w:rsid w:val="00F66282"/>
    <w:rsid w:val="00F666AB"/>
    <w:rsid w:val="00F67D8B"/>
    <w:rsid w:val="00F70961"/>
    <w:rsid w:val="00F70A8F"/>
    <w:rsid w:val="00F71397"/>
    <w:rsid w:val="00F72389"/>
    <w:rsid w:val="00F72516"/>
    <w:rsid w:val="00F72FB4"/>
    <w:rsid w:val="00F735E5"/>
    <w:rsid w:val="00F73E80"/>
    <w:rsid w:val="00F7469C"/>
    <w:rsid w:val="00F7492E"/>
    <w:rsid w:val="00F74945"/>
    <w:rsid w:val="00F749A3"/>
    <w:rsid w:val="00F74A04"/>
    <w:rsid w:val="00F74AE8"/>
    <w:rsid w:val="00F76C11"/>
    <w:rsid w:val="00F77021"/>
    <w:rsid w:val="00F77E61"/>
    <w:rsid w:val="00F815AC"/>
    <w:rsid w:val="00F83B33"/>
    <w:rsid w:val="00F83CAE"/>
    <w:rsid w:val="00F840BF"/>
    <w:rsid w:val="00F8415D"/>
    <w:rsid w:val="00F8427A"/>
    <w:rsid w:val="00F843DF"/>
    <w:rsid w:val="00F84899"/>
    <w:rsid w:val="00F85585"/>
    <w:rsid w:val="00F859F0"/>
    <w:rsid w:val="00F85CC1"/>
    <w:rsid w:val="00F86B5D"/>
    <w:rsid w:val="00F87464"/>
    <w:rsid w:val="00F87634"/>
    <w:rsid w:val="00F87C13"/>
    <w:rsid w:val="00F87C5A"/>
    <w:rsid w:val="00F87E29"/>
    <w:rsid w:val="00F87F18"/>
    <w:rsid w:val="00F87F68"/>
    <w:rsid w:val="00F90C4D"/>
    <w:rsid w:val="00F9167D"/>
    <w:rsid w:val="00F91CB2"/>
    <w:rsid w:val="00F9289C"/>
    <w:rsid w:val="00F93DBC"/>
    <w:rsid w:val="00F93E41"/>
    <w:rsid w:val="00F94644"/>
    <w:rsid w:val="00F9537B"/>
    <w:rsid w:val="00F963FC"/>
    <w:rsid w:val="00FA015F"/>
    <w:rsid w:val="00FA0FAC"/>
    <w:rsid w:val="00FA1DA2"/>
    <w:rsid w:val="00FA3414"/>
    <w:rsid w:val="00FA347A"/>
    <w:rsid w:val="00FA3CDE"/>
    <w:rsid w:val="00FA49B7"/>
    <w:rsid w:val="00FA5043"/>
    <w:rsid w:val="00FA6F8B"/>
    <w:rsid w:val="00FA7A30"/>
    <w:rsid w:val="00FB033F"/>
    <w:rsid w:val="00FB12E3"/>
    <w:rsid w:val="00FB1570"/>
    <w:rsid w:val="00FB193B"/>
    <w:rsid w:val="00FB1FBC"/>
    <w:rsid w:val="00FB27B7"/>
    <w:rsid w:val="00FB3483"/>
    <w:rsid w:val="00FB35E3"/>
    <w:rsid w:val="00FB583C"/>
    <w:rsid w:val="00FB630E"/>
    <w:rsid w:val="00FB6738"/>
    <w:rsid w:val="00FB691B"/>
    <w:rsid w:val="00FB731C"/>
    <w:rsid w:val="00FC05A0"/>
    <w:rsid w:val="00FC0811"/>
    <w:rsid w:val="00FC1196"/>
    <w:rsid w:val="00FC15EB"/>
    <w:rsid w:val="00FC18DC"/>
    <w:rsid w:val="00FC2AC4"/>
    <w:rsid w:val="00FC2F73"/>
    <w:rsid w:val="00FC3A9B"/>
    <w:rsid w:val="00FC3AE1"/>
    <w:rsid w:val="00FC3DFC"/>
    <w:rsid w:val="00FC3EF4"/>
    <w:rsid w:val="00FC431B"/>
    <w:rsid w:val="00FC434C"/>
    <w:rsid w:val="00FC4FDF"/>
    <w:rsid w:val="00FC5CF4"/>
    <w:rsid w:val="00FC6A39"/>
    <w:rsid w:val="00FC79AB"/>
    <w:rsid w:val="00FC7BE7"/>
    <w:rsid w:val="00FC7DAC"/>
    <w:rsid w:val="00FD04AE"/>
    <w:rsid w:val="00FD1890"/>
    <w:rsid w:val="00FD1994"/>
    <w:rsid w:val="00FD2CA6"/>
    <w:rsid w:val="00FD3508"/>
    <w:rsid w:val="00FD393C"/>
    <w:rsid w:val="00FD43BB"/>
    <w:rsid w:val="00FD4AF3"/>
    <w:rsid w:val="00FD798D"/>
    <w:rsid w:val="00FD7FB9"/>
    <w:rsid w:val="00FE141E"/>
    <w:rsid w:val="00FE144E"/>
    <w:rsid w:val="00FE1768"/>
    <w:rsid w:val="00FE24F4"/>
    <w:rsid w:val="00FE2560"/>
    <w:rsid w:val="00FE35D0"/>
    <w:rsid w:val="00FE41AC"/>
    <w:rsid w:val="00FE42ED"/>
    <w:rsid w:val="00FE55A7"/>
    <w:rsid w:val="00FE55E6"/>
    <w:rsid w:val="00FE56D5"/>
    <w:rsid w:val="00FE5C5A"/>
    <w:rsid w:val="00FE6432"/>
    <w:rsid w:val="00FE72A0"/>
    <w:rsid w:val="00FF0050"/>
    <w:rsid w:val="00FF045F"/>
    <w:rsid w:val="00FF13D4"/>
    <w:rsid w:val="00FF2053"/>
    <w:rsid w:val="00FF3B37"/>
    <w:rsid w:val="00FF3D6F"/>
    <w:rsid w:val="00FF4BD8"/>
    <w:rsid w:val="00FF4D11"/>
    <w:rsid w:val="00FF5214"/>
    <w:rsid w:val="00FF596E"/>
    <w:rsid w:val="00FF5B59"/>
    <w:rsid w:val="00FF5BFD"/>
    <w:rsid w:val="00FF6095"/>
    <w:rsid w:val="00FF62FE"/>
    <w:rsid w:val="00FF6553"/>
    <w:rsid w:val="00FF7A39"/>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4FC2"/>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customStyle="1" w:styleId="Mencinsinresolver3">
    <w:name w:val="Mención sin resolver3"/>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paragraph" w:customStyle="1" w:styleId="InviasNormal">
    <w:name w:val="Invias Normal"/>
    <w:basedOn w:val="Normal"/>
    <w:link w:val="InviasNormalCar"/>
    <w:qFormat/>
    <w:rsid w:val="00433ACB"/>
    <w:pPr>
      <w:tabs>
        <w:tab w:val="left" w:pos="-142"/>
      </w:tabs>
      <w:autoSpaceDE w:val="0"/>
      <w:autoSpaceDN w:val="0"/>
      <w:adjustRightInd w:val="0"/>
      <w:spacing w:before="120" w:after="240"/>
      <w:jc w:val="both"/>
    </w:pPr>
    <w:rPr>
      <w:rFonts w:ascii="Arial Narrow" w:hAnsi="Arial Narrow"/>
      <w:color w:val="3C3C3C" w:themeColor="background2" w:themeShade="40"/>
      <w:lang w:val="x-none" w:eastAsia="es-ES"/>
    </w:rPr>
  </w:style>
  <w:style w:type="character" w:customStyle="1" w:styleId="InviasNormalCar">
    <w:name w:val="Invias Normal Car"/>
    <w:link w:val="InviasNormal"/>
    <w:locked/>
    <w:rsid w:val="00433ACB"/>
    <w:rPr>
      <w:rFonts w:ascii="Arial Narrow" w:eastAsia="Times New Roman" w:hAnsi="Arial Narrow" w:cs="Times New Roman"/>
      <w:color w:val="3C3C3C" w:themeColor="background2" w:themeShade="40"/>
      <w:sz w:val="24"/>
      <w:szCs w:val="24"/>
      <w:lang w:val="x-none"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8" Type="http://schemas.openxmlformats.org/officeDocument/2006/relationships/hyperlink" Target="http://leyes.senado.gov.co/proyectos/images/documentos/Textos%20Radicados/Ponencias/2019/gaceta_963.pdf" TargetMode="External"/><Relationship Id="rId3" Type="http://schemas.openxmlformats.org/officeDocument/2006/relationships/hyperlink" Target="https://dle.rae.es/consultar" TargetMode="External"/><Relationship Id="rId7" Type="http://schemas.openxmlformats.org/officeDocument/2006/relationships/hyperlink" Target="http://leyes.senado.gov.co/proyectos/images/documentos/Textos%20Radicados/Ponencias/2019/gaceta_423.pdf" TargetMode="External"/><Relationship Id="rId2" Type="http://schemas.openxmlformats.org/officeDocument/2006/relationships/hyperlink" Target="https://www.colombiacompra.gov.co/documentos-tipo/documentos-tipo" TargetMode="External"/><Relationship Id="rId1" Type="http://schemas.openxmlformats.org/officeDocument/2006/relationships/hyperlink" Target="http://svrpubindc.imprenta.gov.co/senado/index.xhtml;jsessionid=b3ba7213a248bacd37376ffcedca" TargetMode="External"/><Relationship Id="rId6" Type="http://schemas.openxmlformats.org/officeDocument/2006/relationships/hyperlink" Target="http://leyes.senado.gov.co/proyectos/images/documentos/Textos%20Radicados/Ponencias/2018/gaceta_1154.pdf" TargetMode="External"/><Relationship Id="rId5" Type="http://schemas.openxmlformats.org/officeDocument/2006/relationships/hyperlink" Target="http://leyes.senado.gov.co/proyectos/images/documentos/Textos%20Radicados/Ponencias/2018/gaceta_563.pdf" TargetMode="External"/><Relationship Id="rId4" Type="http://schemas.openxmlformats.org/officeDocument/2006/relationships/hyperlink" Target="http://leyes.senado.gov.co/proyectos/images/documentos/Textos%20Radicados/Ponencias/2019/gaceta_1187.pdf" TargetMode="External"/><Relationship Id="rId9" Type="http://schemas.openxmlformats.org/officeDocument/2006/relationships/hyperlink" Target="http://leyes.senado.gov.co/proyectos/images/documentos/Textos%20Radicados/Ponencias/2019/gaceta_1187.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8F4A4FA1-0EE5-42C4-8F7E-C4FC32C637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FB403457-0D1F-4CEC-BE31-277489902569}">
  <ds:schemaRefs>
    <ds:schemaRef ds:uri="http://schemas.openxmlformats.org/officeDocument/2006/bibliography"/>
  </ds:schemaRefs>
</ds:datastoreItem>
</file>

<file path=customXml/itemProps4.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5</TotalTime>
  <Pages>19</Pages>
  <Words>7288</Words>
  <Characters>40084</Characters>
  <Application>Microsoft Office Word</Application>
  <DocSecurity>0</DocSecurity>
  <Lines>334</Lines>
  <Paragraphs>94</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47278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Tatiana Baquero Iguaran</cp:lastModifiedBy>
  <cp:revision>5</cp:revision>
  <cp:lastPrinted>2020-01-30T15:05:00Z</cp:lastPrinted>
  <dcterms:created xsi:type="dcterms:W3CDTF">2021-03-29T19:10:00Z</dcterms:created>
  <dcterms:modified xsi:type="dcterms:W3CDTF">2021-03-29T19:25:00Z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