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A2E8F" w14:textId="77777777" w:rsidR="00FE4C26" w:rsidRPr="00AB628F" w:rsidRDefault="00FE4C26" w:rsidP="00FE4C26">
      <w:pPr>
        <w:spacing w:line="276" w:lineRule="auto"/>
        <w:jc w:val="right"/>
        <w:rPr>
          <w:rFonts w:ascii="Arial" w:eastAsia="Calibri" w:hAnsi="Arial" w:cs="Arial"/>
          <w:b/>
          <w:bCs/>
          <w:sz w:val="22"/>
        </w:rPr>
      </w:pPr>
      <w:bookmarkStart w:id="0" w:name="_Hlk47949675"/>
      <w:r w:rsidRPr="009A758C">
        <w:rPr>
          <w:rFonts w:ascii="Arial" w:hAnsi="Arial" w:cs="Arial"/>
          <w:b/>
          <w:bCs/>
          <w:sz w:val="16"/>
          <w:szCs w:val="16"/>
          <w:lang w:eastAsia="es-ES"/>
        </w:rPr>
        <w:t>CCE-DES-FM-17</w:t>
      </w:r>
    </w:p>
    <w:p w14:paraId="0E5EA32E" w14:textId="77777777" w:rsidR="003F18DE" w:rsidRPr="00AB628F" w:rsidRDefault="003F18DE" w:rsidP="00886E97">
      <w:pPr>
        <w:jc w:val="both"/>
        <w:rPr>
          <w:rFonts w:ascii="Arial" w:eastAsia="Calibri" w:hAnsi="Arial" w:cs="Arial"/>
          <w:b/>
          <w:sz w:val="16"/>
          <w:szCs w:val="16"/>
          <w:lang w:eastAsia="en-US"/>
        </w:rPr>
      </w:pPr>
      <w:bookmarkStart w:id="1" w:name="_Hlk52928496"/>
      <w:bookmarkEnd w:id="0"/>
    </w:p>
    <w:bookmarkEnd w:id="1"/>
    <w:p w14:paraId="2C046E26" w14:textId="77777777" w:rsidR="00284AD0" w:rsidRPr="0083419E" w:rsidRDefault="00284AD0" w:rsidP="00284AD0">
      <w:pPr>
        <w:jc w:val="both"/>
        <w:rPr>
          <w:rFonts w:ascii="Arial" w:hAnsi="Arial" w:cs="Arial"/>
          <w:b/>
          <w:bCs/>
          <w:color w:val="000000" w:themeColor="text1"/>
          <w:sz w:val="22"/>
          <w:lang w:val="es-ES_tradnl"/>
        </w:rPr>
      </w:pPr>
      <w:r w:rsidRPr="0083419E">
        <w:rPr>
          <w:rFonts w:ascii="Arial" w:hAnsi="Arial" w:cs="Arial"/>
          <w:b/>
          <w:bCs/>
          <w:color w:val="000000" w:themeColor="text1"/>
          <w:sz w:val="22"/>
          <w:lang w:val="es-ES_tradnl"/>
        </w:rPr>
        <w:t xml:space="preserve">DOCUMENTOS TIPO – Fundamento normativo </w:t>
      </w:r>
    </w:p>
    <w:p w14:paraId="41026AB7" w14:textId="77777777" w:rsidR="00284AD0" w:rsidRDefault="00284AD0" w:rsidP="00284AD0">
      <w:pPr>
        <w:jc w:val="both"/>
        <w:rPr>
          <w:rFonts w:ascii="Arial" w:hAnsi="Arial" w:cs="Arial"/>
          <w:bCs/>
          <w:color w:val="000000" w:themeColor="text1"/>
          <w:sz w:val="20"/>
          <w:szCs w:val="20"/>
          <w:lang w:val="es-ES_tradnl"/>
        </w:rPr>
      </w:pPr>
    </w:p>
    <w:p w14:paraId="46531218" w14:textId="77777777" w:rsidR="00284AD0" w:rsidRDefault="00284AD0" w:rsidP="002E7F83">
      <w:pPr>
        <w:jc w:val="both"/>
        <w:rPr>
          <w:rFonts w:ascii="Arial" w:eastAsia="Calibri" w:hAnsi="Arial" w:cs="Arial"/>
          <w:color w:val="000000"/>
          <w:sz w:val="20"/>
          <w:szCs w:val="20"/>
          <w:lang w:val="es-ES_tradnl"/>
        </w:rPr>
      </w:pPr>
    </w:p>
    <w:p w14:paraId="410E476A" w14:textId="38F81AAB" w:rsidR="00C71594" w:rsidRDefault="00C71594" w:rsidP="00C71594">
      <w:pPr>
        <w:jc w:val="both"/>
        <w:rPr>
          <w:rFonts w:ascii="Arial" w:eastAsia="Calibri" w:hAnsi="Arial" w:cs="Arial"/>
          <w:color w:val="000000"/>
          <w:sz w:val="20"/>
          <w:szCs w:val="20"/>
          <w:lang w:val="es-ES_tradnl"/>
        </w:rPr>
      </w:pPr>
      <w:r>
        <w:rPr>
          <w:rFonts w:ascii="Arial" w:eastAsia="Calibri" w:hAnsi="Arial" w:cs="Arial"/>
          <w:color w:val="000000"/>
          <w:sz w:val="20"/>
          <w:szCs w:val="20"/>
          <w:lang w:val="es-ES_tradnl"/>
        </w:rPr>
        <w:t>E</w:t>
      </w:r>
      <w:r w:rsidRPr="00C71594">
        <w:rPr>
          <w:rFonts w:ascii="Arial" w:eastAsia="Calibri" w:hAnsi="Arial" w:cs="Arial"/>
          <w:color w:val="000000"/>
          <w:sz w:val="20"/>
          <w:szCs w:val="20"/>
          <w:lang w:val="es-ES_tradnl"/>
        </w:rPr>
        <w:t xml:space="preserv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w:t>
      </w:r>
    </w:p>
    <w:p w14:paraId="5F21BAB4" w14:textId="77777777" w:rsidR="00284AD0" w:rsidRDefault="00284AD0" w:rsidP="00CB2C0F">
      <w:pPr>
        <w:jc w:val="both"/>
        <w:rPr>
          <w:rFonts w:ascii="Arial" w:eastAsia="Calibri" w:hAnsi="Arial" w:cs="Arial"/>
          <w:b/>
          <w:sz w:val="22"/>
          <w:lang w:val="es-ES_tradnl"/>
        </w:rPr>
      </w:pPr>
    </w:p>
    <w:p w14:paraId="66E72859" w14:textId="4F82ECBA" w:rsidR="00C71594" w:rsidRPr="00C71594" w:rsidRDefault="00C71594" w:rsidP="00C71594">
      <w:pPr>
        <w:jc w:val="both"/>
        <w:rPr>
          <w:rFonts w:ascii="Arial" w:eastAsia="Calibri" w:hAnsi="Arial" w:cs="Arial"/>
          <w:color w:val="000000"/>
          <w:sz w:val="20"/>
          <w:szCs w:val="20"/>
          <w:lang w:val="es-ES_tradnl"/>
        </w:rPr>
      </w:pPr>
      <w:r w:rsidRPr="002E7F83">
        <w:rPr>
          <w:rFonts w:ascii="Arial" w:hAnsi="Arial" w:cs="Arial"/>
          <w:sz w:val="22"/>
          <w:szCs w:val="22"/>
        </w:rPr>
        <w:t>[…]</w:t>
      </w:r>
      <w:r>
        <w:rPr>
          <w:rFonts w:ascii="Arial" w:hAnsi="Arial" w:cs="Arial"/>
          <w:sz w:val="22"/>
          <w:szCs w:val="22"/>
        </w:rPr>
        <w:t xml:space="preserve"> </w:t>
      </w:r>
      <w:r w:rsidRPr="00C71594">
        <w:rPr>
          <w:rFonts w:ascii="Arial" w:eastAsia="Calibri" w:hAnsi="Arial" w:cs="Arial"/>
          <w:color w:val="000000"/>
          <w:sz w:val="20"/>
          <w:szCs w:val="20"/>
          <w:lang w:val="es-ES_tradnl"/>
        </w:rPr>
        <w:t xml:space="preserve">Por otra parte, debe tenerse en cuenta que la Ley 2022 fue sancionada por el </w:t>
      </w:r>
      <w:proofErr w:type="gramStart"/>
      <w:r w:rsidRPr="00C71594">
        <w:rPr>
          <w:rFonts w:ascii="Arial" w:eastAsia="Calibri" w:hAnsi="Arial" w:cs="Arial"/>
          <w:color w:val="000000"/>
          <w:sz w:val="20"/>
          <w:szCs w:val="20"/>
          <w:lang w:val="es-ES_tradnl"/>
        </w:rPr>
        <w:t>Presidente</w:t>
      </w:r>
      <w:proofErr w:type="gramEnd"/>
      <w:r w:rsidRPr="00C71594">
        <w:rPr>
          <w:rFonts w:ascii="Arial" w:eastAsia="Calibri" w:hAnsi="Arial" w:cs="Arial"/>
          <w:color w:val="000000"/>
          <w:sz w:val="20"/>
          <w:szCs w:val="20"/>
          <w:lang w:val="es-ES_tradnl"/>
        </w:rPr>
        <w:t xml:space="preserve"> de la República el 22 de julio de 2020.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w:t>
      </w:r>
    </w:p>
    <w:p w14:paraId="269A152C" w14:textId="77777777" w:rsidR="00C71594" w:rsidRDefault="00C71594" w:rsidP="00CB2C0F">
      <w:pPr>
        <w:jc w:val="both"/>
        <w:rPr>
          <w:rFonts w:ascii="Arial" w:eastAsia="Calibri" w:hAnsi="Arial" w:cs="Arial"/>
          <w:b/>
          <w:sz w:val="22"/>
          <w:lang w:val="es-ES_tradnl"/>
        </w:rPr>
      </w:pPr>
    </w:p>
    <w:p w14:paraId="04BCB0B0" w14:textId="6EE41C1F" w:rsidR="00CB2C0F" w:rsidRPr="00D40A8F" w:rsidRDefault="00CB2C0F" w:rsidP="00CB2C0F">
      <w:pPr>
        <w:jc w:val="both"/>
        <w:rPr>
          <w:rFonts w:ascii="Arial" w:eastAsia="Calibri" w:hAnsi="Arial" w:cs="Arial"/>
          <w:b/>
          <w:sz w:val="22"/>
          <w:lang w:val="es-ES_tradnl"/>
        </w:rPr>
      </w:pPr>
      <w:r w:rsidRPr="00D40A8F">
        <w:rPr>
          <w:rFonts w:ascii="Arial" w:eastAsia="Calibri" w:hAnsi="Arial" w:cs="Arial"/>
          <w:b/>
          <w:sz w:val="22"/>
          <w:lang w:val="es-ES_tradnl"/>
        </w:rPr>
        <w:t>DOCUMENTOS TIPO –</w:t>
      </w:r>
      <w:r w:rsidR="009A710A">
        <w:rPr>
          <w:rFonts w:ascii="Arial" w:eastAsia="Calibri" w:hAnsi="Arial" w:cs="Arial"/>
          <w:b/>
          <w:sz w:val="22"/>
          <w:lang w:val="es-ES_tradnl"/>
        </w:rPr>
        <w:t xml:space="preserve"> </w:t>
      </w:r>
      <w:r w:rsidRPr="00D40A8F">
        <w:rPr>
          <w:rFonts w:ascii="Arial" w:eastAsia="Calibri" w:hAnsi="Arial" w:cs="Arial"/>
          <w:b/>
          <w:sz w:val="22"/>
          <w:lang w:val="es-ES_tradnl"/>
        </w:rPr>
        <w:t>Inalterabilidad</w:t>
      </w:r>
    </w:p>
    <w:p w14:paraId="55D30C7B" w14:textId="77777777" w:rsidR="00CB2C0F" w:rsidRPr="00D40A8F" w:rsidRDefault="00CB2C0F" w:rsidP="00CB2C0F">
      <w:pPr>
        <w:jc w:val="both"/>
        <w:rPr>
          <w:rFonts w:ascii="Arial" w:eastAsia="Calibri" w:hAnsi="Arial" w:cs="Arial"/>
          <w:sz w:val="20"/>
          <w:szCs w:val="20"/>
          <w:lang w:val="es-ES_tradnl"/>
        </w:rPr>
      </w:pPr>
    </w:p>
    <w:p w14:paraId="1E28EE51" w14:textId="349DE565" w:rsidR="000F2E9E" w:rsidRDefault="009A710A" w:rsidP="000F2E9E">
      <w:pPr>
        <w:tabs>
          <w:tab w:val="left" w:pos="0"/>
        </w:tabs>
        <w:jc w:val="both"/>
        <w:rPr>
          <w:rFonts w:ascii="Arial" w:eastAsia="Calibri" w:hAnsi="Arial" w:cs="Arial"/>
          <w:color w:val="000000"/>
          <w:sz w:val="20"/>
          <w:szCs w:val="20"/>
          <w:lang w:val="es-ES_tradnl"/>
        </w:rPr>
      </w:pPr>
      <w:r w:rsidRPr="009A710A">
        <w:rPr>
          <w:rFonts w:ascii="Arial" w:eastAsia="Calibri" w:hAnsi="Arial" w:cs="Arial"/>
          <w:color w:val="000000"/>
          <w:sz w:val="20"/>
          <w:szCs w:val="20"/>
          <w:lang w:val="es-ES_tradnl"/>
        </w:rPr>
        <w:t>Todas las resoluciones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por lo que no pueden variarse los requisitos fijados en ellos. Por lo tanto, las entidades estatales, al realizar sus procedimientos de selección, solo podrán modificarlos en los aspectos en que los documentos tipo lo permitan.</w:t>
      </w:r>
      <w:r w:rsidR="000F2E9E" w:rsidRPr="009A710A">
        <w:rPr>
          <w:rFonts w:ascii="Arial" w:eastAsia="Calibri" w:hAnsi="Arial" w:cs="Arial"/>
          <w:color w:val="000000"/>
          <w:sz w:val="20"/>
          <w:szCs w:val="20"/>
          <w:lang w:val="es-ES_tradnl"/>
        </w:rPr>
        <w:t xml:space="preserve"> </w:t>
      </w:r>
    </w:p>
    <w:p w14:paraId="4CB910C7" w14:textId="77777777" w:rsidR="00F34C65" w:rsidRDefault="00F34C65" w:rsidP="000F2E9E">
      <w:pPr>
        <w:tabs>
          <w:tab w:val="left" w:pos="0"/>
        </w:tabs>
        <w:jc w:val="both"/>
        <w:rPr>
          <w:rFonts w:ascii="Arial" w:eastAsia="Calibri" w:hAnsi="Arial" w:cs="Arial"/>
          <w:color w:val="000000"/>
          <w:sz w:val="20"/>
          <w:szCs w:val="20"/>
          <w:lang w:val="es-ES_tradnl"/>
        </w:rPr>
      </w:pPr>
    </w:p>
    <w:p w14:paraId="72C57E14" w14:textId="1D82B2AA" w:rsidR="00F34C65" w:rsidRPr="009A710A" w:rsidRDefault="00F34C65" w:rsidP="000F2E9E">
      <w:pPr>
        <w:tabs>
          <w:tab w:val="left" w:pos="0"/>
        </w:tabs>
        <w:jc w:val="both"/>
        <w:rPr>
          <w:rFonts w:ascii="Arial" w:eastAsia="Calibri" w:hAnsi="Arial" w:cs="Arial"/>
          <w:color w:val="000000"/>
          <w:sz w:val="20"/>
          <w:szCs w:val="20"/>
          <w:lang w:val="es-ES_tradnl"/>
        </w:rPr>
      </w:pPr>
      <w:r w:rsidRPr="00F34C65">
        <w:rPr>
          <w:rFonts w:ascii="Arial" w:eastAsia="Calibri" w:hAnsi="Arial" w:cs="Arial"/>
          <w:color w:val="000000"/>
          <w:sz w:val="20"/>
          <w:szCs w:val="20"/>
          <w:lang w:val="es-ES_tradnl"/>
        </w:rPr>
        <w:t>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No obstante, ello no significa que antes no rigiera, pues así también lo disponía el artículo 4 de la Ley 1882 de 2018. Por vía reglamentaria, también quedó consignado en su momento el carácter inmodificable de los documentos tipo en el artículo 1 de los Decretos 342 de 2019, Decreto 2096 de 2019 y 594 de 2020, que adicionaron, respectivamente, los artículos 2.2.1.2.6.1.4, 2.2.1.2.6.2.3 y 2.2.1.2.6.3.4 al Decreto 1082 de 2015</w:t>
      </w:r>
      <w:r w:rsidRPr="002E7F83">
        <w:rPr>
          <w:rFonts w:ascii="Arial" w:eastAsia="Calibri" w:hAnsi="Arial" w:cs="Arial"/>
          <w:color w:val="000000"/>
          <w:sz w:val="22"/>
          <w:szCs w:val="22"/>
          <w:lang w:val="es-ES_tradnl"/>
        </w:rPr>
        <w:t>.</w:t>
      </w:r>
    </w:p>
    <w:p w14:paraId="230F547C" w14:textId="77777777" w:rsidR="000F2E9E" w:rsidRDefault="000F2E9E" w:rsidP="00652BAA">
      <w:pPr>
        <w:jc w:val="both"/>
        <w:rPr>
          <w:rFonts w:ascii="Arial" w:eastAsia="Calibri" w:hAnsi="Arial" w:cs="Arial"/>
          <w:b/>
          <w:sz w:val="22"/>
          <w:szCs w:val="22"/>
          <w:lang w:eastAsia="en-US"/>
        </w:rPr>
      </w:pPr>
    </w:p>
    <w:p w14:paraId="065C6DE8" w14:textId="2D468ACC" w:rsidR="001B0BE3" w:rsidRPr="001B0BE3" w:rsidRDefault="001B0BE3" w:rsidP="001B0BE3">
      <w:pPr>
        <w:jc w:val="both"/>
        <w:rPr>
          <w:rFonts w:ascii="Arial" w:eastAsia="Calibri" w:hAnsi="Arial" w:cs="Arial"/>
          <w:b/>
          <w:sz w:val="22"/>
          <w:lang w:val="es-ES_tradnl"/>
        </w:rPr>
      </w:pPr>
      <w:bookmarkStart w:id="2" w:name="_Hlk95323774"/>
      <w:bookmarkStart w:id="3" w:name="_Hlk95405798"/>
      <w:r w:rsidRPr="001B0BE3">
        <w:rPr>
          <w:rFonts w:ascii="Arial" w:eastAsia="Calibri" w:hAnsi="Arial" w:cs="Arial"/>
          <w:b/>
          <w:sz w:val="22"/>
          <w:lang w:val="es-ES_tradnl"/>
        </w:rPr>
        <w:t xml:space="preserve">DOCUMENTOS TIPO – </w:t>
      </w:r>
      <w:r w:rsidR="00780D19">
        <w:rPr>
          <w:rFonts w:ascii="Arial" w:eastAsia="Calibri" w:hAnsi="Arial" w:cs="Arial"/>
          <w:b/>
          <w:sz w:val="22"/>
          <w:lang w:val="es-ES_tradnl"/>
        </w:rPr>
        <w:t xml:space="preserve">Aplicación </w:t>
      </w:r>
      <w:r w:rsidR="00B826BC">
        <w:rPr>
          <w:rFonts w:ascii="Arial" w:eastAsia="Calibri" w:hAnsi="Arial" w:cs="Arial"/>
          <w:b/>
          <w:sz w:val="22"/>
          <w:lang w:val="es-ES_tradnl"/>
        </w:rPr>
        <w:t>- Matriz</w:t>
      </w:r>
    </w:p>
    <w:p w14:paraId="22F11B66" w14:textId="77777777" w:rsidR="001B0BE3" w:rsidRPr="00E47159" w:rsidRDefault="001B0BE3" w:rsidP="001B0BE3">
      <w:pPr>
        <w:jc w:val="both"/>
        <w:rPr>
          <w:rFonts w:ascii="Arial" w:eastAsia="Calibri" w:hAnsi="Arial" w:cs="Arial"/>
          <w:b/>
          <w:sz w:val="22"/>
        </w:rPr>
      </w:pPr>
    </w:p>
    <w:p w14:paraId="7F1837BC" w14:textId="1765D9EE" w:rsidR="00B826BC" w:rsidRPr="00B826BC" w:rsidRDefault="00B826BC" w:rsidP="00B826BC">
      <w:pPr>
        <w:jc w:val="both"/>
        <w:rPr>
          <w:rFonts w:ascii="Arial" w:eastAsia="Calibri" w:hAnsi="Arial" w:cs="Arial"/>
          <w:color w:val="000000"/>
          <w:sz w:val="20"/>
          <w:szCs w:val="20"/>
          <w:lang w:val="es-ES_tradnl"/>
        </w:rPr>
      </w:pPr>
      <w:r w:rsidRPr="002E7F83">
        <w:rPr>
          <w:rFonts w:ascii="Arial" w:hAnsi="Arial" w:cs="Arial"/>
          <w:sz w:val="22"/>
          <w:szCs w:val="22"/>
        </w:rPr>
        <w:t>[…]</w:t>
      </w:r>
      <w:r>
        <w:rPr>
          <w:rFonts w:ascii="Arial" w:hAnsi="Arial" w:cs="Arial"/>
          <w:sz w:val="22"/>
          <w:szCs w:val="22"/>
        </w:rPr>
        <w:t xml:space="preserve"> </w:t>
      </w:r>
      <w:r w:rsidRPr="00B826BC">
        <w:rPr>
          <w:rFonts w:ascii="Arial" w:eastAsia="Calibri" w:hAnsi="Arial" w:cs="Arial"/>
          <w:color w:val="000000"/>
          <w:sz w:val="20"/>
          <w:szCs w:val="20"/>
          <w:lang w:val="es-ES_tradnl"/>
        </w:rPr>
        <w:t xml:space="preserve">los documentos tipo establecen las condiciones habilitantes, los factores técnicos y económicos de escogencia y los sistemas de ponderación de carácter obligatorio para las entidades estatales sometidas al Estatuto General de la Contratación Pública que adelanten procesos de contratación mediante la modalidad que establecen los documentos tipo para cada sector. Estos consisten en un grupo de documentos, conformados por un documento base, anexos, matrices, </w:t>
      </w:r>
      <w:r w:rsidRPr="00B826BC">
        <w:rPr>
          <w:rFonts w:ascii="Arial" w:eastAsia="Calibri" w:hAnsi="Arial" w:cs="Arial"/>
          <w:color w:val="000000"/>
          <w:sz w:val="20"/>
          <w:szCs w:val="20"/>
          <w:lang w:val="es-ES_tradnl"/>
        </w:rPr>
        <w:lastRenderedPageBreak/>
        <w:t>formatos y formularios, que sirven tanto a las entidades para elaborar los documentos del proceso, como a los proponentes para conformar y presentar sus ofertas.</w:t>
      </w:r>
    </w:p>
    <w:p w14:paraId="093790DE" w14:textId="77777777" w:rsidR="00B826BC" w:rsidRDefault="00B826BC" w:rsidP="00B826BC">
      <w:pPr>
        <w:jc w:val="both"/>
        <w:rPr>
          <w:rFonts w:ascii="Arial" w:hAnsi="Arial" w:cs="Arial"/>
          <w:sz w:val="22"/>
          <w:szCs w:val="22"/>
        </w:rPr>
      </w:pPr>
    </w:p>
    <w:p w14:paraId="489192CD" w14:textId="66448DEB" w:rsidR="00B826BC" w:rsidRDefault="00B826BC" w:rsidP="00B826BC">
      <w:pPr>
        <w:jc w:val="both"/>
        <w:rPr>
          <w:rFonts w:ascii="Arial" w:eastAsia="Calibri" w:hAnsi="Arial" w:cs="Arial"/>
          <w:color w:val="000000"/>
          <w:sz w:val="20"/>
          <w:szCs w:val="20"/>
          <w:lang w:val="es-ES_tradnl"/>
        </w:rPr>
      </w:pPr>
      <w:r w:rsidRPr="002E7F83">
        <w:rPr>
          <w:rFonts w:ascii="Arial" w:hAnsi="Arial" w:cs="Arial"/>
          <w:sz w:val="22"/>
          <w:szCs w:val="22"/>
        </w:rPr>
        <w:t>[…]</w:t>
      </w:r>
      <w:r>
        <w:rPr>
          <w:rFonts w:ascii="Arial" w:hAnsi="Arial" w:cs="Arial"/>
          <w:sz w:val="22"/>
          <w:szCs w:val="22"/>
        </w:rPr>
        <w:t xml:space="preserve"> </w:t>
      </w:r>
      <w:r w:rsidRPr="00B826BC">
        <w:rPr>
          <w:rFonts w:ascii="Arial" w:eastAsia="Calibri" w:hAnsi="Arial" w:cs="Arial"/>
          <w:color w:val="000000"/>
          <w:sz w:val="20"/>
          <w:szCs w:val="20"/>
          <w:lang w:val="es-ES_tradnl"/>
        </w:rPr>
        <w:t>la Matriz 1,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5003B3CB" w14:textId="77777777" w:rsidR="00B826BC" w:rsidRPr="00B826BC" w:rsidRDefault="00B826BC" w:rsidP="00B826BC">
      <w:pPr>
        <w:jc w:val="both"/>
        <w:rPr>
          <w:rFonts w:ascii="Arial" w:eastAsia="Calibri" w:hAnsi="Arial" w:cs="Arial"/>
          <w:color w:val="000000"/>
          <w:sz w:val="20"/>
          <w:szCs w:val="20"/>
          <w:lang w:val="es-ES_tradnl"/>
        </w:rPr>
      </w:pPr>
    </w:p>
    <w:p w14:paraId="7F170F20" w14:textId="13B9A8D4" w:rsidR="005C388C" w:rsidRPr="00B826BC" w:rsidRDefault="00B826BC" w:rsidP="00B826BC">
      <w:pPr>
        <w:jc w:val="both"/>
        <w:rPr>
          <w:rFonts w:ascii="Arial" w:eastAsia="Calibri" w:hAnsi="Arial" w:cs="Arial"/>
          <w:color w:val="000000"/>
          <w:sz w:val="20"/>
          <w:szCs w:val="20"/>
          <w:lang w:val="es-ES_tradnl"/>
        </w:rPr>
      </w:pPr>
      <w:r w:rsidRPr="00B826BC">
        <w:rPr>
          <w:rFonts w:ascii="Arial" w:eastAsia="Calibri" w:hAnsi="Arial" w:cs="Arial"/>
          <w:color w:val="000000"/>
          <w:sz w:val="20"/>
          <w:szCs w:val="20"/>
          <w:lang w:val="es-ES_tradnl"/>
        </w:rPr>
        <w:t>De esta manera, para saber a qué actividades se deben aplicar los documentos tipo expedidos por esta Agencia, la entidad debe verificar los que se hayan expedido para la modalidad de selección en la que debe celebrarse el proceso, subsumiendo el objeto a contratar en los tipos de proyectos de infraestructura a contratarse. De esta manera, si el objeto contractual a ejecutar se encuadra materialmente dentro de alguno de los tipos actividades concretas señaladas en cada una de las matrices de experiencia, se tendrán que aplicar los documentos tipo, mientras que en el caso contrario no será forzosa su aplicación. En este sentido, en los documentos base de los documentos tipo, se indica que la entidad establecerá las condiciones de experiencia, tanto general como específica en las actividades que van a contratar. En este contexto, la entidad no podrá incluir condiciones distintas a las previstas en la matriz de experiencia y, por tanto, deberá transcribir textualmente lo indicado en ésta.</w:t>
      </w:r>
    </w:p>
    <w:p w14:paraId="7C5E39DA" w14:textId="77777777" w:rsidR="00711205" w:rsidRPr="00B826BC" w:rsidRDefault="00711205" w:rsidP="00B826BC">
      <w:pPr>
        <w:jc w:val="both"/>
        <w:rPr>
          <w:rFonts w:ascii="Arial" w:eastAsia="Calibri" w:hAnsi="Arial" w:cs="Arial"/>
          <w:color w:val="000000"/>
          <w:sz w:val="20"/>
          <w:szCs w:val="20"/>
          <w:lang w:val="es-ES_tradnl"/>
        </w:rPr>
      </w:pPr>
    </w:p>
    <w:bookmarkEnd w:id="2"/>
    <w:bookmarkEnd w:id="3"/>
    <w:p w14:paraId="655A8070" w14:textId="3B9AB0EA" w:rsidR="00EF5FF6" w:rsidRPr="00EF5FF6" w:rsidRDefault="00EF5FF6" w:rsidP="00EF5FF6">
      <w:pPr>
        <w:jc w:val="both"/>
        <w:rPr>
          <w:rFonts w:ascii="Arial" w:eastAsia="Calibri" w:hAnsi="Arial" w:cs="Arial"/>
          <w:b/>
          <w:sz w:val="22"/>
          <w:lang w:val="es-ES_tradnl"/>
        </w:rPr>
      </w:pPr>
      <w:r w:rsidRPr="005264A0">
        <w:rPr>
          <w:rFonts w:ascii="Arial" w:eastAsia="Calibri" w:hAnsi="Arial" w:cs="Arial"/>
          <w:b/>
          <w:sz w:val="22"/>
          <w:lang w:val="es-ES_tradnl"/>
        </w:rPr>
        <w:t xml:space="preserve">LEY 2195 DE 2022 </w:t>
      </w:r>
      <w:r>
        <w:rPr>
          <w:rFonts w:ascii="Arial" w:eastAsia="Calibri" w:hAnsi="Arial" w:cs="Arial"/>
          <w:b/>
          <w:sz w:val="22"/>
          <w:lang w:val="es-ES_tradnl"/>
        </w:rPr>
        <w:t>- A</w:t>
      </w:r>
      <w:r w:rsidRPr="005264A0">
        <w:rPr>
          <w:rFonts w:ascii="Arial" w:eastAsia="Calibri" w:hAnsi="Arial" w:cs="Arial"/>
          <w:b/>
          <w:sz w:val="22"/>
          <w:lang w:val="es-ES_tradnl"/>
        </w:rPr>
        <w:t xml:space="preserve">plicación </w:t>
      </w:r>
    </w:p>
    <w:p w14:paraId="5BFE48AA" w14:textId="77777777" w:rsidR="00EF5FF6" w:rsidRPr="00D059DA" w:rsidRDefault="00EF5FF6" w:rsidP="00EF5FF6">
      <w:pPr>
        <w:spacing w:line="276" w:lineRule="auto"/>
        <w:jc w:val="both"/>
        <w:rPr>
          <w:rFonts w:ascii="Arial" w:eastAsia="Calibri" w:hAnsi="Arial" w:cs="Arial"/>
          <w:b/>
          <w:sz w:val="22"/>
        </w:rPr>
      </w:pPr>
    </w:p>
    <w:p w14:paraId="453684E3" w14:textId="77777777" w:rsidR="00EF5FF6" w:rsidRPr="00EF5FF6" w:rsidRDefault="00EF5FF6" w:rsidP="00EF5FF6">
      <w:pPr>
        <w:tabs>
          <w:tab w:val="left" w:pos="0"/>
        </w:tabs>
        <w:jc w:val="both"/>
        <w:rPr>
          <w:rFonts w:ascii="Arial" w:eastAsia="Calibri" w:hAnsi="Arial" w:cs="Arial"/>
          <w:color w:val="000000"/>
          <w:sz w:val="20"/>
          <w:szCs w:val="20"/>
          <w:lang w:val="es-ES_tradnl"/>
        </w:rPr>
      </w:pPr>
      <w:r w:rsidRPr="00EF5FF6">
        <w:rPr>
          <w:rFonts w:ascii="Arial" w:eastAsia="Calibri" w:hAnsi="Arial" w:cs="Arial"/>
          <w:color w:val="000000"/>
          <w:sz w:val="20"/>
          <w:szCs w:val="20"/>
          <w:lang w:val="es-ES_tradnl"/>
        </w:rPr>
        <w:t xml:space="preserve">Conforme se explicó en el numeral 2.1, en virtud de la Ley 2022 de 2020, los documentos tipo expedidos por la Agencia Nacional de Contratación Pública son de aplicación obligatoria para las entidades estatales sometidas al Estatuto General de Contratación de la Administración Pública. En ese sentido, el contenido normativo de la Ley 2022 de 2020, y en su momento también la Ley 1882 de 2018, en principio, excluyen del ámbito de aplicación de los documentos tipo la contratación de entidades estatales de régimen exceptuado, por lo general, sujetas al derecho privado. </w:t>
      </w:r>
    </w:p>
    <w:p w14:paraId="05095D82" w14:textId="77777777" w:rsidR="00EF5FF6" w:rsidRDefault="00EF5FF6" w:rsidP="00EF5FF6">
      <w:pPr>
        <w:tabs>
          <w:tab w:val="left" w:pos="0"/>
        </w:tabs>
        <w:jc w:val="both"/>
        <w:rPr>
          <w:rFonts w:ascii="Arial" w:eastAsia="Calibri" w:hAnsi="Arial" w:cs="Arial"/>
          <w:color w:val="000000"/>
          <w:sz w:val="20"/>
          <w:szCs w:val="20"/>
          <w:lang w:val="es-ES_tradnl"/>
        </w:rPr>
      </w:pPr>
    </w:p>
    <w:p w14:paraId="36055FD1" w14:textId="1491434D" w:rsidR="00EF5FF6" w:rsidRPr="00EF5FF6" w:rsidRDefault="00EF5FF6" w:rsidP="00EF5FF6">
      <w:pPr>
        <w:tabs>
          <w:tab w:val="left" w:pos="0"/>
        </w:tabs>
        <w:jc w:val="both"/>
        <w:rPr>
          <w:rFonts w:ascii="Arial" w:eastAsia="Calibri" w:hAnsi="Arial" w:cs="Arial"/>
          <w:color w:val="000000"/>
          <w:sz w:val="20"/>
          <w:szCs w:val="20"/>
          <w:lang w:val="es-ES_tradnl"/>
        </w:rPr>
      </w:pPr>
      <w:r w:rsidRPr="002E7F83">
        <w:rPr>
          <w:rFonts w:ascii="Arial" w:hAnsi="Arial" w:cs="Arial"/>
          <w:sz w:val="22"/>
          <w:szCs w:val="22"/>
        </w:rPr>
        <w:t>[…]</w:t>
      </w:r>
      <w:r>
        <w:rPr>
          <w:rFonts w:ascii="Arial" w:hAnsi="Arial" w:cs="Arial"/>
          <w:sz w:val="22"/>
          <w:szCs w:val="22"/>
        </w:rPr>
        <w:t xml:space="preserve"> </w:t>
      </w:r>
      <w:r w:rsidRPr="00EF5FF6">
        <w:rPr>
          <w:rFonts w:ascii="Arial" w:eastAsia="Calibri" w:hAnsi="Arial" w:cs="Arial"/>
          <w:color w:val="000000"/>
          <w:sz w:val="20"/>
          <w:szCs w:val="20"/>
          <w:lang w:val="es-ES_tradnl"/>
        </w:rPr>
        <w:t xml:space="preserve">No obstante, este panorama ha variado de manera sustancial con la reciente expedición de la Ley 2195 de 2022, «Por medio de la cual se adoptan medidas en materia de transparencia, prevención y lucha contra la corrupción y se dictan otras disposiciones»; entre las medidas adoptadas por la referida ley se destaca el artículo 56 que se refiere de manera expresa a los documentos tipo y a su aplicabilidad por parte de sujetos diferentes de las entidades estatales sometidas a Estatuto General de Contratación de la Administración Pública. </w:t>
      </w:r>
    </w:p>
    <w:p w14:paraId="3D6C962A" w14:textId="77777777" w:rsidR="00EF5FF6" w:rsidRPr="00EF5FF6" w:rsidRDefault="00EF5FF6" w:rsidP="00EF5FF6">
      <w:pPr>
        <w:tabs>
          <w:tab w:val="left" w:pos="0"/>
        </w:tabs>
        <w:jc w:val="both"/>
        <w:rPr>
          <w:rFonts w:ascii="Arial" w:eastAsia="Calibri" w:hAnsi="Arial" w:cs="Arial"/>
          <w:color w:val="000000"/>
          <w:sz w:val="20"/>
          <w:szCs w:val="20"/>
          <w:lang w:val="es-ES_tradnl"/>
        </w:rPr>
      </w:pPr>
    </w:p>
    <w:p w14:paraId="0739AB06" w14:textId="2D1DFD7C" w:rsidR="00EF5FF6" w:rsidRPr="00EF5FF6" w:rsidRDefault="00EF5FF6" w:rsidP="00EF5FF6">
      <w:pPr>
        <w:tabs>
          <w:tab w:val="left" w:pos="0"/>
        </w:tabs>
        <w:jc w:val="both"/>
        <w:rPr>
          <w:rFonts w:ascii="Arial" w:eastAsia="Calibri" w:hAnsi="Arial" w:cs="Arial"/>
          <w:color w:val="000000"/>
          <w:sz w:val="20"/>
          <w:szCs w:val="20"/>
          <w:lang w:val="es-ES_tradnl"/>
        </w:rPr>
      </w:pPr>
      <w:r w:rsidRPr="002E7F83">
        <w:rPr>
          <w:rFonts w:ascii="Arial" w:hAnsi="Arial" w:cs="Arial"/>
          <w:sz w:val="22"/>
          <w:szCs w:val="22"/>
        </w:rPr>
        <w:t>[…]</w:t>
      </w:r>
      <w:r>
        <w:rPr>
          <w:rFonts w:ascii="Arial" w:hAnsi="Arial" w:cs="Arial"/>
          <w:sz w:val="22"/>
          <w:szCs w:val="22"/>
        </w:rPr>
        <w:t xml:space="preserve"> </w:t>
      </w:r>
      <w:r w:rsidRPr="00EF5FF6">
        <w:rPr>
          <w:rFonts w:ascii="Arial" w:eastAsia="Calibri" w:hAnsi="Arial" w:cs="Arial"/>
          <w:color w:val="000000"/>
          <w:sz w:val="20"/>
          <w:szCs w:val="20"/>
          <w:lang w:val="es-ES_tradnl"/>
        </w:rPr>
        <w:t xml:space="preserve">el cambio normativo que supone el artículo en comento no se agota con el mandato de aplicación obligatoria de los documentos tipo por parte de entidades exceptuadas o particulares, sino que, además, varía el régimen contractual al que estarían sometidos los contratos derivados, bajo unas circunstancias concretas. Esto por cuanto, el segundo inciso del artículo 56 </w:t>
      </w:r>
      <w:proofErr w:type="spellStart"/>
      <w:r w:rsidRPr="00EF5FF6">
        <w:rPr>
          <w:rFonts w:ascii="Arial" w:eastAsia="Calibri" w:hAnsi="Arial" w:cs="Arial"/>
          <w:color w:val="000000"/>
          <w:sz w:val="20"/>
          <w:szCs w:val="20"/>
          <w:lang w:val="es-ES_tradnl"/>
        </w:rPr>
        <w:t>ibídem</w:t>
      </w:r>
      <w:proofErr w:type="spellEnd"/>
      <w:r w:rsidRPr="00EF5FF6">
        <w:rPr>
          <w:rFonts w:ascii="Arial" w:eastAsia="Calibri" w:hAnsi="Arial" w:cs="Arial"/>
          <w:color w:val="000000"/>
          <w:sz w:val="20"/>
          <w:szCs w:val="20"/>
          <w:lang w:val="es-ES_tradnl"/>
        </w:rPr>
        <w:t xml:space="preserve">, establece que, tanto los procedimientos de selección como los contratos a los que se refieren el primer inciso, en los que apliquen documentos tipo, además se regirán por el EGCAP. </w:t>
      </w:r>
    </w:p>
    <w:p w14:paraId="7544BB7D" w14:textId="4F23093A" w:rsidR="00A2084E" w:rsidRPr="00EF5FF6" w:rsidRDefault="00EF5FF6" w:rsidP="00EF5FF6">
      <w:pPr>
        <w:tabs>
          <w:tab w:val="left" w:pos="0"/>
        </w:tabs>
        <w:spacing w:after="120"/>
        <w:jc w:val="both"/>
        <w:rPr>
          <w:rFonts w:ascii="Arial" w:eastAsia="Calibri" w:hAnsi="Arial" w:cs="Arial"/>
          <w:color w:val="000000"/>
          <w:sz w:val="20"/>
          <w:szCs w:val="20"/>
          <w:lang w:val="es-ES_tradnl"/>
        </w:rPr>
      </w:pPr>
      <w:r w:rsidRPr="00EF5FF6">
        <w:rPr>
          <w:rFonts w:ascii="Arial" w:eastAsia="Calibri" w:hAnsi="Arial" w:cs="Arial"/>
          <w:color w:val="000000"/>
          <w:sz w:val="20"/>
          <w:szCs w:val="20"/>
          <w:lang w:val="es-ES_tradnl"/>
        </w:rPr>
        <w:tab/>
      </w:r>
    </w:p>
    <w:p w14:paraId="7FEC90B2" w14:textId="3177F0F4" w:rsidR="00A944C2" w:rsidRPr="00EF5FF6" w:rsidRDefault="00A944C2" w:rsidP="00EF5FF6">
      <w:pPr>
        <w:jc w:val="both"/>
        <w:rPr>
          <w:rFonts w:ascii="Arial" w:eastAsia="Calibri" w:hAnsi="Arial" w:cs="Arial"/>
          <w:color w:val="000000"/>
          <w:sz w:val="20"/>
          <w:szCs w:val="20"/>
          <w:lang w:val="es-ES_tradnl"/>
        </w:rPr>
      </w:pPr>
    </w:p>
    <w:p w14:paraId="5EBD955C" w14:textId="77777777" w:rsidR="00A10053" w:rsidRPr="00EF5FF6" w:rsidRDefault="00A10053" w:rsidP="00EF5FF6">
      <w:pPr>
        <w:jc w:val="both"/>
        <w:rPr>
          <w:rFonts w:ascii="Arial" w:eastAsia="Calibri" w:hAnsi="Arial" w:cs="Arial"/>
          <w:color w:val="000000"/>
          <w:sz w:val="20"/>
          <w:szCs w:val="20"/>
          <w:lang w:val="es-ES_tradnl"/>
        </w:rPr>
      </w:pPr>
    </w:p>
    <w:p w14:paraId="7046682D" w14:textId="22D35D43" w:rsidR="00B012D7" w:rsidRPr="00EF5FF6" w:rsidRDefault="00B012D7" w:rsidP="00EF5FF6">
      <w:pPr>
        <w:spacing w:before="120" w:after="120"/>
        <w:jc w:val="both"/>
        <w:rPr>
          <w:rFonts w:ascii="Arial" w:eastAsia="Calibri" w:hAnsi="Arial" w:cs="Arial"/>
          <w:color w:val="000000"/>
          <w:sz w:val="20"/>
          <w:szCs w:val="20"/>
          <w:lang w:val="es-ES_tradnl"/>
        </w:rPr>
      </w:pPr>
      <w:r w:rsidRPr="00EF5FF6">
        <w:rPr>
          <w:rFonts w:ascii="Arial" w:eastAsia="Calibri" w:hAnsi="Arial" w:cs="Arial"/>
          <w:color w:val="000000"/>
          <w:sz w:val="20"/>
          <w:szCs w:val="20"/>
          <w:lang w:val="es-ES_tradnl"/>
        </w:rPr>
        <w:br w:type="page"/>
      </w:r>
    </w:p>
    <w:p w14:paraId="3AB2E33C" w14:textId="44EA07E7" w:rsidR="00E0736A" w:rsidRDefault="00E0736A" w:rsidP="00E0736A">
      <w:pPr>
        <w:jc w:val="right"/>
        <w:rPr>
          <w:rFonts w:ascii="Arial" w:hAnsi="Arial" w:cs="Arial"/>
          <w:bCs/>
          <w:color w:val="000000" w:themeColor="text1"/>
          <w:sz w:val="22"/>
          <w:lang w:val="es-ES_tradnl"/>
        </w:rPr>
      </w:pPr>
      <w:r>
        <w:rPr>
          <w:noProof/>
        </w:rPr>
        <w:lastRenderedPageBreak/>
        <w:drawing>
          <wp:inline distT="0" distB="0" distL="0" distR="0" wp14:anchorId="613E1377" wp14:editId="1D739858">
            <wp:extent cx="2540485" cy="648586"/>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1095" t="52229" r="23023" b="26937"/>
                    <a:stretch/>
                  </pic:blipFill>
                  <pic:spPr bwMode="auto">
                    <a:xfrm>
                      <a:off x="0" y="0"/>
                      <a:ext cx="2541722" cy="648902"/>
                    </a:xfrm>
                    <a:prstGeom prst="rect">
                      <a:avLst/>
                    </a:prstGeom>
                    <a:ln>
                      <a:noFill/>
                    </a:ln>
                    <a:extLst>
                      <a:ext uri="{53640926-AAD7-44D8-BBD7-CCE9431645EC}">
                        <a14:shadowObscured xmlns:a14="http://schemas.microsoft.com/office/drawing/2010/main"/>
                      </a:ext>
                    </a:extLst>
                  </pic:spPr>
                </pic:pic>
              </a:graphicData>
            </a:graphic>
          </wp:inline>
        </w:drawing>
      </w:r>
    </w:p>
    <w:p w14:paraId="083624A3" w14:textId="77777777" w:rsidR="00E0736A" w:rsidRDefault="00E0736A" w:rsidP="00A10053">
      <w:pPr>
        <w:jc w:val="both"/>
        <w:rPr>
          <w:rFonts w:ascii="Arial" w:hAnsi="Arial" w:cs="Arial"/>
          <w:sz w:val="22"/>
          <w:szCs w:val="22"/>
        </w:rPr>
      </w:pPr>
    </w:p>
    <w:p w14:paraId="2A14E832" w14:textId="1785EF33" w:rsidR="00A10053" w:rsidRPr="00E0736A" w:rsidRDefault="00E0736A" w:rsidP="00A10053">
      <w:pPr>
        <w:jc w:val="both"/>
        <w:rPr>
          <w:rFonts w:ascii="Arial" w:hAnsi="Arial" w:cs="Arial"/>
          <w:sz w:val="22"/>
          <w:szCs w:val="22"/>
        </w:rPr>
      </w:pPr>
      <w:r w:rsidRPr="00E0736A">
        <w:rPr>
          <w:rFonts w:ascii="Arial" w:hAnsi="Arial" w:cs="Arial"/>
          <w:sz w:val="22"/>
          <w:szCs w:val="22"/>
        </w:rPr>
        <w:t>Bogotá, 23 de marzo de 2022</w:t>
      </w:r>
    </w:p>
    <w:p w14:paraId="65E8EC2C" w14:textId="3ADF01FF" w:rsidR="00065F69" w:rsidRDefault="00065F69" w:rsidP="00A10053">
      <w:pPr>
        <w:jc w:val="both"/>
        <w:rPr>
          <w:rFonts w:ascii="Arial" w:hAnsi="Arial" w:cs="Arial"/>
          <w:bCs/>
          <w:color w:val="000000" w:themeColor="text1"/>
          <w:sz w:val="22"/>
          <w:lang w:val="es-ES_tradnl"/>
        </w:rPr>
      </w:pPr>
    </w:p>
    <w:p w14:paraId="554095D5" w14:textId="77777777" w:rsidR="00E0736A" w:rsidRPr="00AB628F" w:rsidRDefault="00E0736A" w:rsidP="00A10053">
      <w:pPr>
        <w:jc w:val="both"/>
        <w:rPr>
          <w:rFonts w:ascii="Arial" w:hAnsi="Arial" w:cs="Arial"/>
          <w:bCs/>
          <w:color w:val="000000" w:themeColor="text1"/>
          <w:sz w:val="22"/>
          <w:lang w:val="es-ES_tradnl"/>
        </w:rPr>
      </w:pPr>
    </w:p>
    <w:p w14:paraId="6E444D61" w14:textId="5235E70B" w:rsidR="00E54365" w:rsidRPr="00E06FB8" w:rsidRDefault="00E54365" w:rsidP="006C2B00">
      <w:pPr>
        <w:rPr>
          <w:rFonts w:ascii="Arial" w:hAnsi="Arial" w:cs="Arial"/>
          <w:sz w:val="22"/>
          <w:szCs w:val="22"/>
        </w:rPr>
      </w:pPr>
      <w:bookmarkStart w:id="4" w:name="_Hlk70510939"/>
      <w:r w:rsidRPr="00E06FB8">
        <w:rPr>
          <w:rFonts w:ascii="Arial" w:hAnsi="Arial" w:cs="Arial"/>
          <w:sz w:val="22"/>
          <w:szCs w:val="22"/>
        </w:rPr>
        <w:t>Señor</w:t>
      </w:r>
      <w:r w:rsidR="00C64E43" w:rsidRPr="00E06FB8">
        <w:rPr>
          <w:rFonts w:ascii="Arial" w:hAnsi="Arial" w:cs="Arial"/>
          <w:sz w:val="22"/>
          <w:szCs w:val="22"/>
        </w:rPr>
        <w:t>a</w:t>
      </w:r>
    </w:p>
    <w:p w14:paraId="1CB0E71B" w14:textId="4F1A5B0A" w:rsidR="00C64E43" w:rsidRPr="00E06FB8" w:rsidRDefault="009D0B98" w:rsidP="006C2B00">
      <w:pPr>
        <w:rPr>
          <w:rFonts w:ascii="Arial" w:hAnsi="Arial" w:cs="Arial"/>
          <w:b/>
          <w:sz w:val="22"/>
          <w:szCs w:val="22"/>
        </w:rPr>
      </w:pPr>
      <w:r w:rsidRPr="00E06FB8">
        <w:rPr>
          <w:rFonts w:ascii="Arial" w:hAnsi="Arial" w:cs="Arial"/>
          <w:b/>
          <w:sz w:val="22"/>
          <w:szCs w:val="22"/>
        </w:rPr>
        <w:t xml:space="preserve">Ruth Aparicio Chacón </w:t>
      </w:r>
    </w:p>
    <w:p w14:paraId="190AC816" w14:textId="71E440E5" w:rsidR="00C64E43" w:rsidRPr="00E06FB8" w:rsidRDefault="00817898" w:rsidP="006C2B00">
      <w:pPr>
        <w:rPr>
          <w:rFonts w:ascii="Arial" w:hAnsi="Arial" w:cs="Arial"/>
          <w:sz w:val="22"/>
          <w:szCs w:val="22"/>
        </w:rPr>
      </w:pPr>
      <w:r w:rsidRPr="00E06FB8">
        <w:rPr>
          <w:rFonts w:ascii="Arial" w:hAnsi="Arial" w:cs="Arial"/>
          <w:sz w:val="22"/>
          <w:szCs w:val="22"/>
        </w:rPr>
        <w:t>Tauramena</w:t>
      </w:r>
      <w:r w:rsidR="00065F69" w:rsidRPr="00E06FB8">
        <w:rPr>
          <w:rFonts w:ascii="Arial" w:hAnsi="Arial" w:cs="Arial"/>
          <w:sz w:val="22"/>
          <w:szCs w:val="22"/>
        </w:rPr>
        <w:t xml:space="preserve">, </w:t>
      </w:r>
      <w:r w:rsidR="002F36E6" w:rsidRPr="00E06FB8">
        <w:rPr>
          <w:rFonts w:ascii="Arial" w:hAnsi="Arial" w:cs="Arial"/>
          <w:sz w:val="22"/>
          <w:szCs w:val="22"/>
        </w:rPr>
        <w:t>Casanare</w:t>
      </w:r>
    </w:p>
    <w:p w14:paraId="207B3DB4" w14:textId="77777777" w:rsidR="00C64E43" w:rsidRPr="00E06FB8" w:rsidRDefault="00C64E43" w:rsidP="006C2B00">
      <w:pPr>
        <w:rPr>
          <w:rFonts w:ascii="Arial" w:hAnsi="Arial" w:cs="Arial"/>
          <w:sz w:val="22"/>
          <w:szCs w:val="22"/>
        </w:rPr>
      </w:pPr>
    </w:p>
    <w:p w14:paraId="462F7397" w14:textId="77777777" w:rsidR="0076432E" w:rsidRPr="00E06FB8" w:rsidRDefault="0076432E" w:rsidP="006C2B00">
      <w:pPr>
        <w:ind w:left="2124" w:firstLine="708"/>
        <w:rPr>
          <w:rFonts w:ascii="Arial" w:hAnsi="Arial" w:cs="Arial"/>
          <w:b/>
          <w:bCs/>
          <w:sz w:val="22"/>
          <w:szCs w:val="22"/>
        </w:rPr>
      </w:pPr>
    </w:p>
    <w:p w14:paraId="17BA6817" w14:textId="61746CDC" w:rsidR="00E54365" w:rsidRPr="00E06FB8" w:rsidRDefault="00E54365" w:rsidP="006C2B00">
      <w:pPr>
        <w:ind w:left="2124" w:firstLine="708"/>
        <w:rPr>
          <w:rFonts w:ascii="Arial" w:hAnsi="Arial" w:cs="Arial"/>
          <w:b/>
          <w:bCs/>
          <w:sz w:val="22"/>
          <w:szCs w:val="22"/>
        </w:rPr>
      </w:pPr>
      <w:r w:rsidRPr="00E06FB8">
        <w:rPr>
          <w:rFonts w:ascii="Arial" w:hAnsi="Arial" w:cs="Arial"/>
          <w:b/>
          <w:bCs/>
          <w:sz w:val="22"/>
          <w:szCs w:val="22"/>
        </w:rPr>
        <w:t>Concepto</w:t>
      </w:r>
      <w:r w:rsidR="006559E3" w:rsidRPr="00E06FB8">
        <w:rPr>
          <w:rFonts w:ascii="Arial" w:hAnsi="Arial" w:cs="Arial"/>
          <w:b/>
          <w:bCs/>
          <w:sz w:val="22"/>
          <w:szCs w:val="22"/>
        </w:rPr>
        <w:t xml:space="preserve"> </w:t>
      </w:r>
      <w:r w:rsidRPr="00E06FB8">
        <w:rPr>
          <w:rFonts w:ascii="Arial" w:hAnsi="Arial" w:cs="Arial"/>
          <w:b/>
          <w:bCs/>
          <w:sz w:val="22"/>
          <w:szCs w:val="22"/>
        </w:rPr>
        <w:t>C</w:t>
      </w:r>
      <w:r w:rsidR="00766A70" w:rsidRPr="00E06FB8">
        <w:rPr>
          <w:rFonts w:ascii="Arial" w:hAnsi="Arial" w:cs="Arial"/>
          <w:b/>
          <w:bCs/>
          <w:sz w:val="22"/>
          <w:szCs w:val="22"/>
        </w:rPr>
        <w:t xml:space="preserve"> </w:t>
      </w:r>
      <w:r w:rsidR="00F301AD" w:rsidRPr="00E06FB8">
        <w:rPr>
          <w:rFonts w:ascii="Arial" w:hAnsi="Arial" w:cs="Arial"/>
          <w:b/>
          <w:bCs/>
          <w:sz w:val="22"/>
          <w:szCs w:val="22"/>
        </w:rPr>
        <w:t>–</w:t>
      </w:r>
      <w:r w:rsidR="00766A70" w:rsidRPr="00E06FB8">
        <w:rPr>
          <w:rFonts w:ascii="Arial" w:hAnsi="Arial" w:cs="Arial"/>
          <w:b/>
          <w:bCs/>
          <w:sz w:val="22"/>
          <w:szCs w:val="22"/>
        </w:rPr>
        <w:t xml:space="preserve"> </w:t>
      </w:r>
      <w:r w:rsidR="00692F57" w:rsidRPr="00E06FB8">
        <w:rPr>
          <w:rFonts w:ascii="Arial" w:hAnsi="Arial" w:cs="Arial"/>
          <w:b/>
          <w:bCs/>
          <w:sz w:val="22"/>
          <w:szCs w:val="22"/>
        </w:rPr>
        <w:t>1</w:t>
      </w:r>
      <w:r w:rsidR="002F36E6" w:rsidRPr="00E06FB8">
        <w:rPr>
          <w:rFonts w:ascii="Arial" w:hAnsi="Arial" w:cs="Arial"/>
          <w:b/>
          <w:bCs/>
          <w:sz w:val="22"/>
          <w:szCs w:val="22"/>
        </w:rPr>
        <w:t>1</w:t>
      </w:r>
      <w:r w:rsidR="00692F57" w:rsidRPr="00E06FB8">
        <w:rPr>
          <w:rFonts w:ascii="Arial" w:hAnsi="Arial" w:cs="Arial"/>
          <w:b/>
          <w:bCs/>
          <w:sz w:val="22"/>
          <w:szCs w:val="22"/>
        </w:rPr>
        <w:t>0</w:t>
      </w:r>
      <w:r w:rsidRPr="00E06FB8">
        <w:rPr>
          <w:rFonts w:ascii="Arial" w:hAnsi="Arial" w:cs="Arial"/>
          <w:b/>
          <w:bCs/>
          <w:sz w:val="22"/>
          <w:szCs w:val="22"/>
        </w:rPr>
        <w:t xml:space="preserve"> de 202</w:t>
      </w:r>
      <w:r w:rsidR="00DC02B2" w:rsidRPr="00E06FB8">
        <w:rPr>
          <w:rFonts w:ascii="Arial" w:hAnsi="Arial" w:cs="Arial"/>
          <w:b/>
          <w:bCs/>
          <w:sz w:val="22"/>
          <w:szCs w:val="22"/>
        </w:rPr>
        <w:t>2</w:t>
      </w:r>
    </w:p>
    <w:p w14:paraId="3C57C781" w14:textId="77777777" w:rsidR="00FE4C26" w:rsidRPr="00E06FB8" w:rsidRDefault="00FE4C26" w:rsidP="00416308">
      <w:pPr>
        <w:spacing w:after="120"/>
        <w:ind w:left="2824" w:hanging="2818"/>
        <w:jc w:val="both"/>
        <w:rPr>
          <w:rFonts w:ascii="Arial" w:eastAsia="Calibri" w:hAnsi="Arial" w:cs="Arial"/>
          <w:b/>
          <w:noProof/>
          <w:sz w:val="22"/>
          <w:szCs w:val="22"/>
          <w:lang w:eastAsia="en-US"/>
        </w:rPr>
      </w:pPr>
    </w:p>
    <w:p w14:paraId="18EF2AD1" w14:textId="410AED73" w:rsidR="0076432E" w:rsidRPr="00E06FB8" w:rsidRDefault="00E54365" w:rsidP="00416308">
      <w:pPr>
        <w:spacing w:after="120"/>
        <w:ind w:left="2824" w:hanging="2818"/>
        <w:jc w:val="both"/>
        <w:rPr>
          <w:rFonts w:ascii="Arial" w:eastAsia="Calibri" w:hAnsi="Arial" w:cs="Arial"/>
          <w:bCs/>
          <w:noProof/>
          <w:sz w:val="22"/>
          <w:szCs w:val="22"/>
          <w:lang w:eastAsia="en-US"/>
        </w:rPr>
      </w:pPr>
      <w:r w:rsidRPr="00E06FB8">
        <w:rPr>
          <w:rFonts w:ascii="Arial" w:eastAsia="Calibri" w:hAnsi="Arial" w:cs="Arial"/>
          <w:b/>
          <w:noProof/>
          <w:sz w:val="22"/>
          <w:szCs w:val="22"/>
          <w:lang w:eastAsia="en-US"/>
        </w:rPr>
        <w:t>Temas</w:t>
      </w:r>
      <w:r w:rsidRPr="00E06FB8">
        <w:rPr>
          <w:rFonts w:ascii="Arial" w:eastAsia="Calibri" w:hAnsi="Arial" w:cs="Arial"/>
          <w:bCs/>
          <w:noProof/>
          <w:sz w:val="22"/>
          <w:szCs w:val="22"/>
          <w:lang w:eastAsia="en-US"/>
        </w:rPr>
        <w:t xml:space="preserve">: </w:t>
      </w:r>
      <w:r w:rsidRPr="00E06FB8">
        <w:rPr>
          <w:rFonts w:ascii="Arial" w:eastAsia="Calibri" w:hAnsi="Arial" w:cs="Arial"/>
          <w:bCs/>
          <w:noProof/>
          <w:sz w:val="22"/>
          <w:szCs w:val="22"/>
          <w:lang w:eastAsia="en-US"/>
        </w:rPr>
        <w:tab/>
      </w:r>
      <w:r w:rsidR="00170FFA" w:rsidRPr="00E06FB8">
        <w:rPr>
          <w:rFonts w:ascii="Arial" w:hAnsi="Arial" w:cs="Arial"/>
          <w:color w:val="000000" w:themeColor="text1"/>
          <w:sz w:val="22"/>
          <w:szCs w:val="22"/>
          <w:lang w:val="es-ES_tradnl"/>
        </w:rPr>
        <w:t>DOCUMENTOS TIPO – Fundamento normativo /</w:t>
      </w:r>
      <w:r w:rsidR="00793E57" w:rsidRPr="00E06FB8">
        <w:rPr>
          <w:rFonts w:ascii="Arial" w:eastAsia="Calibri" w:hAnsi="Arial" w:cs="Arial"/>
          <w:b/>
          <w:noProof/>
          <w:sz w:val="22"/>
          <w:szCs w:val="22"/>
          <w:lang w:eastAsia="en-US"/>
        </w:rPr>
        <w:tab/>
      </w:r>
      <w:r w:rsidR="00793E57" w:rsidRPr="00E06FB8">
        <w:rPr>
          <w:rFonts w:ascii="Arial" w:eastAsia="Calibri" w:hAnsi="Arial" w:cs="Arial"/>
          <w:bCs/>
          <w:sz w:val="22"/>
          <w:szCs w:val="22"/>
          <w:lang w:val="es-ES_tradnl"/>
        </w:rPr>
        <w:t>DOCUMENTOS TIPO –</w:t>
      </w:r>
      <w:r w:rsidR="009A710A">
        <w:rPr>
          <w:rFonts w:ascii="Arial" w:eastAsia="Calibri" w:hAnsi="Arial" w:cs="Arial"/>
          <w:bCs/>
          <w:sz w:val="22"/>
          <w:szCs w:val="22"/>
          <w:lang w:val="es-ES_tradnl"/>
        </w:rPr>
        <w:t xml:space="preserve"> </w:t>
      </w:r>
      <w:r w:rsidR="00793E57" w:rsidRPr="00E06FB8">
        <w:rPr>
          <w:rFonts w:ascii="Arial" w:eastAsia="Calibri" w:hAnsi="Arial" w:cs="Arial"/>
          <w:bCs/>
          <w:sz w:val="22"/>
          <w:szCs w:val="22"/>
          <w:lang w:val="es-ES_tradnl"/>
        </w:rPr>
        <w:t xml:space="preserve">Inalterabilidad / DOCUMENTOS TIPO – </w:t>
      </w:r>
      <w:r w:rsidR="00D1135E" w:rsidRPr="00E06FB8">
        <w:rPr>
          <w:rFonts w:ascii="Arial" w:eastAsia="Calibri" w:hAnsi="Arial" w:cs="Arial"/>
          <w:bCs/>
          <w:sz w:val="22"/>
          <w:szCs w:val="22"/>
          <w:lang w:val="es-ES_tradnl"/>
        </w:rPr>
        <w:t xml:space="preserve">Aplicación </w:t>
      </w:r>
    </w:p>
    <w:p w14:paraId="30A873A7" w14:textId="406B1CE0" w:rsidR="00E54365" w:rsidRPr="00E06FB8" w:rsidRDefault="00E54365" w:rsidP="007D01F0">
      <w:pPr>
        <w:ind w:left="2835" w:hanging="2835"/>
        <w:jc w:val="both"/>
        <w:rPr>
          <w:rFonts w:ascii="Arial" w:eastAsia="Calibri" w:hAnsi="Arial" w:cs="Arial"/>
          <w:bCs/>
          <w:noProof/>
          <w:sz w:val="22"/>
          <w:szCs w:val="22"/>
          <w:lang w:eastAsia="en-US"/>
        </w:rPr>
      </w:pPr>
      <w:r w:rsidRPr="00E06FB8">
        <w:rPr>
          <w:rFonts w:ascii="Arial" w:eastAsia="Calibri" w:hAnsi="Arial" w:cs="Arial"/>
          <w:b/>
          <w:noProof/>
          <w:sz w:val="22"/>
          <w:szCs w:val="22"/>
          <w:lang w:eastAsia="en-US"/>
        </w:rPr>
        <w:t>Radicación</w:t>
      </w:r>
      <w:r w:rsidRPr="00E06FB8">
        <w:rPr>
          <w:rFonts w:ascii="Arial" w:eastAsia="Calibri" w:hAnsi="Arial" w:cs="Arial"/>
          <w:bCs/>
          <w:noProof/>
          <w:sz w:val="22"/>
          <w:szCs w:val="22"/>
          <w:lang w:eastAsia="en-US"/>
        </w:rPr>
        <w:t>:</w:t>
      </w:r>
      <w:r w:rsidRPr="00E06FB8">
        <w:rPr>
          <w:rFonts w:ascii="Arial" w:eastAsia="Calibri" w:hAnsi="Arial" w:cs="Arial"/>
          <w:bCs/>
          <w:noProof/>
          <w:sz w:val="22"/>
          <w:szCs w:val="22"/>
          <w:lang w:eastAsia="en-US"/>
        </w:rPr>
        <w:tab/>
        <w:t>Respuesta a consulta</w:t>
      </w:r>
      <w:r w:rsidR="00FB5E3B" w:rsidRPr="00E06FB8">
        <w:rPr>
          <w:rFonts w:ascii="Arial" w:eastAsia="Calibri" w:hAnsi="Arial" w:cs="Arial"/>
          <w:bCs/>
          <w:noProof/>
          <w:sz w:val="22"/>
          <w:szCs w:val="22"/>
          <w:lang w:eastAsia="en-US"/>
        </w:rPr>
        <w:t xml:space="preserve"> </w:t>
      </w:r>
      <w:r w:rsidR="00B21045" w:rsidRPr="00E06FB8">
        <w:rPr>
          <w:rFonts w:ascii="Arial" w:eastAsia="Calibri" w:hAnsi="Arial" w:cs="Arial"/>
          <w:bCs/>
          <w:noProof/>
          <w:sz w:val="22"/>
          <w:szCs w:val="22"/>
          <w:lang w:eastAsia="en-US"/>
        </w:rPr>
        <w:t>P20220208001233</w:t>
      </w:r>
    </w:p>
    <w:p w14:paraId="49699107" w14:textId="77777777" w:rsidR="00E54365" w:rsidRPr="00E06FB8" w:rsidRDefault="00E54365" w:rsidP="006C2B00">
      <w:pPr>
        <w:rPr>
          <w:rFonts w:ascii="Arial" w:hAnsi="Arial" w:cs="Arial"/>
          <w:sz w:val="22"/>
          <w:szCs w:val="22"/>
        </w:rPr>
      </w:pPr>
    </w:p>
    <w:p w14:paraId="6502F989" w14:textId="77777777" w:rsidR="00C366C4" w:rsidRPr="00E06FB8" w:rsidRDefault="00C366C4" w:rsidP="006C2B00">
      <w:pPr>
        <w:rPr>
          <w:rFonts w:ascii="Arial" w:hAnsi="Arial" w:cs="Arial"/>
          <w:sz w:val="22"/>
          <w:szCs w:val="22"/>
        </w:rPr>
      </w:pPr>
    </w:p>
    <w:p w14:paraId="71ED9EB2" w14:textId="682B7AD8" w:rsidR="00E54365" w:rsidRPr="00E06FB8" w:rsidRDefault="00E54365" w:rsidP="006F56C4">
      <w:pPr>
        <w:spacing w:line="276" w:lineRule="auto"/>
        <w:rPr>
          <w:rFonts w:ascii="Arial" w:hAnsi="Arial" w:cs="Arial"/>
          <w:sz w:val="22"/>
          <w:szCs w:val="22"/>
        </w:rPr>
      </w:pPr>
      <w:r w:rsidRPr="00E06FB8">
        <w:rPr>
          <w:rFonts w:ascii="Arial" w:hAnsi="Arial" w:cs="Arial"/>
          <w:sz w:val="22"/>
          <w:szCs w:val="22"/>
        </w:rPr>
        <w:t>Estimad</w:t>
      </w:r>
      <w:r w:rsidR="007D01F0" w:rsidRPr="00E06FB8">
        <w:rPr>
          <w:rFonts w:ascii="Arial" w:hAnsi="Arial" w:cs="Arial"/>
          <w:sz w:val="22"/>
          <w:szCs w:val="22"/>
        </w:rPr>
        <w:t>a</w:t>
      </w:r>
      <w:r w:rsidRPr="00E06FB8">
        <w:rPr>
          <w:rFonts w:ascii="Arial" w:hAnsi="Arial" w:cs="Arial"/>
          <w:sz w:val="22"/>
          <w:szCs w:val="22"/>
        </w:rPr>
        <w:t xml:space="preserve"> señor</w:t>
      </w:r>
      <w:r w:rsidR="007D01F0" w:rsidRPr="00E06FB8">
        <w:rPr>
          <w:rFonts w:ascii="Arial" w:hAnsi="Arial" w:cs="Arial"/>
          <w:sz w:val="22"/>
          <w:szCs w:val="22"/>
        </w:rPr>
        <w:t>a</w:t>
      </w:r>
      <w:r w:rsidR="00880D11" w:rsidRPr="00E06FB8">
        <w:rPr>
          <w:rFonts w:ascii="Arial" w:hAnsi="Arial" w:cs="Arial"/>
          <w:sz w:val="22"/>
          <w:szCs w:val="22"/>
        </w:rPr>
        <w:t xml:space="preserve"> </w:t>
      </w:r>
      <w:r w:rsidR="00310DB9" w:rsidRPr="00E06FB8">
        <w:rPr>
          <w:rFonts w:ascii="Arial" w:hAnsi="Arial" w:cs="Arial"/>
          <w:sz w:val="22"/>
          <w:szCs w:val="22"/>
        </w:rPr>
        <w:t>Aparicio</w:t>
      </w:r>
      <w:r w:rsidRPr="00E06FB8">
        <w:rPr>
          <w:rFonts w:ascii="Arial" w:hAnsi="Arial" w:cs="Arial"/>
          <w:bCs/>
          <w:sz w:val="22"/>
          <w:szCs w:val="22"/>
        </w:rPr>
        <w:t>,</w:t>
      </w:r>
      <w:r w:rsidRPr="00E06FB8">
        <w:rPr>
          <w:rFonts w:ascii="Arial" w:hAnsi="Arial" w:cs="Arial"/>
          <w:sz w:val="22"/>
          <w:szCs w:val="22"/>
        </w:rPr>
        <w:t xml:space="preserve"> </w:t>
      </w:r>
    </w:p>
    <w:p w14:paraId="60D2C28E" w14:textId="77777777" w:rsidR="006F56C4" w:rsidRPr="00E06FB8" w:rsidRDefault="006F56C4" w:rsidP="006F56C4">
      <w:pPr>
        <w:spacing w:line="276" w:lineRule="auto"/>
        <w:rPr>
          <w:rFonts w:ascii="Arial" w:hAnsi="Arial" w:cs="Arial"/>
          <w:sz w:val="22"/>
          <w:szCs w:val="22"/>
        </w:rPr>
      </w:pPr>
    </w:p>
    <w:p w14:paraId="43EDF4BF" w14:textId="1EF6FFCA" w:rsidR="00E54365" w:rsidRPr="00E06FB8" w:rsidRDefault="00E54365" w:rsidP="006B39D4">
      <w:pPr>
        <w:spacing w:line="276" w:lineRule="auto"/>
        <w:jc w:val="both"/>
        <w:rPr>
          <w:rFonts w:ascii="Arial" w:hAnsi="Arial" w:cs="Arial"/>
          <w:sz w:val="22"/>
          <w:szCs w:val="22"/>
        </w:rPr>
      </w:pPr>
      <w:r w:rsidRPr="00E06FB8">
        <w:rPr>
          <w:rFonts w:ascii="Arial" w:hAnsi="Arial" w:cs="Arial"/>
          <w:sz w:val="22"/>
          <w:szCs w:val="22"/>
        </w:rPr>
        <w:t xml:space="preserve">En ejercicio de la competencia otorgada por el numeral 8 del artículo 11 y el numeral 5 del artículo 3 del Decreto Ley 4170 de 2011, la Agencia Nacional de Contratación Pública − Colombia Compra Eficiente responde su consulta del </w:t>
      </w:r>
      <w:r w:rsidR="00AC2B27" w:rsidRPr="00E06FB8">
        <w:rPr>
          <w:rFonts w:ascii="Arial" w:hAnsi="Arial" w:cs="Arial"/>
          <w:sz w:val="22"/>
          <w:szCs w:val="22"/>
        </w:rPr>
        <w:t>8</w:t>
      </w:r>
      <w:r w:rsidRPr="00E06FB8">
        <w:rPr>
          <w:rFonts w:ascii="Arial" w:hAnsi="Arial" w:cs="Arial"/>
          <w:sz w:val="22"/>
          <w:szCs w:val="22"/>
        </w:rPr>
        <w:t xml:space="preserve"> de </w:t>
      </w:r>
      <w:r w:rsidR="0076432E" w:rsidRPr="00E06FB8">
        <w:rPr>
          <w:rFonts w:ascii="Arial" w:hAnsi="Arial" w:cs="Arial"/>
          <w:sz w:val="22"/>
          <w:szCs w:val="22"/>
        </w:rPr>
        <w:t>febrero</w:t>
      </w:r>
      <w:r w:rsidRPr="00E06FB8">
        <w:rPr>
          <w:rFonts w:ascii="Arial" w:hAnsi="Arial" w:cs="Arial"/>
          <w:sz w:val="22"/>
          <w:szCs w:val="22"/>
        </w:rPr>
        <w:t xml:space="preserve"> de 202</w:t>
      </w:r>
      <w:r w:rsidR="0076432E" w:rsidRPr="00E06FB8">
        <w:rPr>
          <w:rFonts w:ascii="Arial" w:hAnsi="Arial" w:cs="Arial"/>
          <w:sz w:val="22"/>
          <w:szCs w:val="22"/>
        </w:rPr>
        <w:t>2</w:t>
      </w:r>
      <w:r w:rsidRPr="00E06FB8">
        <w:rPr>
          <w:rFonts w:ascii="Arial" w:hAnsi="Arial" w:cs="Arial"/>
          <w:sz w:val="22"/>
          <w:szCs w:val="22"/>
        </w:rPr>
        <w:t>.</w:t>
      </w:r>
    </w:p>
    <w:p w14:paraId="1A96B817" w14:textId="77777777" w:rsidR="008F3844" w:rsidRPr="00E06FB8" w:rsidRDefault="008F3844" w:rsidP="00416308">
      <w:pPr>
        <w:rPr>
          <w:rFonts w:ascii="Arial" w:hAnsi="Arial" w:cs="Arial"/>
          <w:b/>
          <w:sz w:val="22"/>
          <w:szCs w:val="22"/>
        </w:rPr>
      </w:pPr>
    </w:p>
    <w:p w14:paraId="4CDB27A1" w14:textId="479E2FA5" w:rsidR="00FB5E3B" w:rsidRPr="00E06FB8" w:rsidRDefault="00E54365" w:rsidP="00416308">
      <w:pPr>
        <w:rPr>
          <w:rFonts w:ascii="Arial" w:hAnsi="Arial" w:cs="Arial"/>
          <w:b/>
          <w:sz w:val="22"/>
          <w:szCs w:val="22"/>
        </w:rPr>
      </w:pPr>
      <w:r w:rsidRPr="00E06FB8">
        <w:rPr>
          <w:rFonts w:ascii="Arial" w:hAnsi="Arial" w:cs="Arial"/>
          <w:b/>
          <w:sz w:val="22"/>
          <w:szCs w:val="22"/>
        </w:rPr>
        <w:t xml:space="preserve">1. Problema planteado </w:t>
      </w:r>
    </w:p>
    <w:p w14:paraId="5834083C" w14:textId="5B5F17F3" w:rsidR="00695B70" w:rsidRPr="00E06FB8" w:rsidRDefault="00695B70" w:rsidP="00416308">
      <w:pPr>
        <w:rPr>
          <w:rFonts w:ascii="Arial" w:hAnsi="Arial" w:cs="Arial"/>
          <w:b/>
          <w:sz w:val="22"/>
          <w:szCs w:val="22"/>
        </w:rPr>
      </w:pPr>
    </w:p>
    <w:p w14:paraId="6AC05C3C" w14:textId="5C9A7B5D" w:rsidR="00234C1A" w:rsidRPr="002E7F83" w:rsidRDefault="00FB5E3B" w:rsidP="002E7F83">
      <w:pPr>
        <w:spacing w:line="276" w:lineRule="auto"/>
        <w:jc w:val="both"/>
        <w:rPr>
          <w:rFonts w:ascii="Arial" w:hAnsi="Arial" w:cs="Arial"/>
          <w:sz w:val="22"/>
          <w:szCs w:val="22"/>
        </w:rPr>
      </w:pPr>
      <w:r w:rsidRPr="00E06FB8">
        <w:rPr>
          <w:rFonts w:ascii="Arial" w:hAnsi="Arial" w:cs="Arial"/>
          <w:sz w:val="22"/>
          <w:szCs w:val="22"/>
        </w:rPr>
        <w:t xml:space="preserve">Usted </w:t>
      </w:r>
      <w:r w:rsidR="00EF64D8" w:rsidRPr="00E06FB8">
        <w:rPr>
          <w:rFonts w:ascii="Arial" w:hAnsi="Arial" w:cs="Arial"/>
          <w:sz w:val="22"/>
          <w:szCs w:val="22"/>
        </w:rPr>
        <w:t>formula</w:t>
      </w:r>
      <w:r w:rsidRPr="00E06FB8">
        <w:rPr>
          <w:rFonts w:ascii="Arial" w:hAnsi="Arial" w:cs="Arial"/>
          <w:sz w:val="22"/>
          <w:szCs w:val="22"/>
        </w:rPr>
        <w:t xml:space="preserve"> la siguiente consulta</w:t>
      </w:r>
      <w:r w:rsidR="00A74544" w:rsidRPr="00E06FB8">
        <w:rPr>
          <w:rFonts w:ascii="Arial" w:hAnsi="Arial" w:cs="Arial"/>
          <w:sz w:val="22"/>
          <w:szCs w:val="22"/>
        </w:rPr>
        <w:t>:</w:t>
      </w:r>
      <w:r w:rsidR="00880D11" w:rsidRPr="00E06FB8">
        <w:rPr>
          <w:rFonts w:ascii="Arial" w:hAnsi="Arial" w:cs="Arial"/>
          <w:sz w:val="22"/>
          <w:szCs w:val="22"/>
        </w:rPr>
        <w:t xml:space="preserve"> </w:t>
      </w:r>
      <w:r w:rsidR="00B94548" w:rsidRPr="002E7F83">
        <w:rPr>
          <w:rFonts w:ascii="Arial" w:hAnsi="Arial" w:cs="Arial"/>
          <w:sz w:val="22"/>
          <w:szCs w:val="22"/>
        </w:rPr>
        <w:t>«</w:t>
      </w:r>
      <w:r w:rsidR="004B7D5F" w:rsidRPr="002E7F83">
        <w:rPr>
          <w:rFonts w:ascii="Arial" w:hAnsi="Arial" w:cs="Arial"/>
          <w:sz w:val="22"/>
          <w:szCs w:val="22"/>
        </w:rPr>
        <w:t xml:space="preserve">[…] </w:t>
      </w:r>
      <w:bookmarkStart w:id="5" w:name="_Hlk95313578"/>
      <w:r w:rsidR="00310DB9" w:rsidRPr="002E7F83">
        <w:rPr>
          <w:rFonts w:ascii="Arial" w:hAnsi="Arial" w:cs="Arial"/>
          <w:sz w:val="22"/>
          <w:szCs w:val="22"/>
        </w:rPr>
        <w:t>quisiera conocer al detalle cuales procesos de contratación que deben realizarse con pliegos tipo.</w:t>
      </w:r>
      <w:r w:rsidR="00234C1A" w:rsidRPr="002E7F83">
        <w:rPr>
          <w:rFonts w:ascii="Arial" w:hAnsi="Arial" w:cs="Arial"/>
          <w:sz w:val="22"/>
          <w:szCs w:val="22"/>
        </w:rPr>
        <w:t>»</w:t>
      </w:r>
      <w:bookmarkEnd w:id="5"/>
    </w:p>
    <w:p w14:paraId="66B97D20" w14:textId="2C6D0275" w:rsidR="006559E3" w:rsidRPr="00AB628F" w:rsidRDefault="006559E3">
      <w:pPr>
        <w:rPr>
          <w:rFonts w:ascii="Arial" w:hAnsi="Arial" w:cs="Arial"/>
          <w:sz w:val="22"/>
        </w:rPr>
      </w:pPr>
    </w:p>
    <w:p w14:paraId="22C81704" w14:textId="02C30143" w:rsidR="00FB5E3B" w:rsidRPr="00E06FB8" w:rsidRDefault="00E54365" w:rsidP="00416308">
      <w:pPr>
        <w:rPr>
          <w:rFonts w:ascii="Arial" w:hAnsi="Arial" w:cs="Arial"/>
          <w:b/>
          <w:sz w:val="22"/>
          <w:szCs w:val="22"/>
        </w:rPr>
      </w:pPr>
      <w:r w:rsidRPr="00E06FB8">
        <w:rPr>
          <w:rFonts w:ascii="Arial" w:hAnsi="Arial" w:cs="Arial"/>
          <w:b/>
          <w:sz w:val="22"/>
          <w:szCs w:val="22"/>
        </w:rPr>
        <w:t xml:space="preserve">2. Consideraciones </w:t>
      </w:r>
    </w:p>
    <w:p w14:paraId="783FA24B" w14:textId="6901E3BB" w:rsidR="0051759B" w:rsidRDefault="0051759B" w:rsidP="008B2C6A">
      <w:pPr>
        <w:spacing w:line="276" w:lineRule="auto"/>
        <w:ind w:firstLine="708"/>
        <w:jc w:val="both"/>
        <w:rPr>
          <w:rFonts w:ascii="Arial" w:hAnsi="Arial" w:cs="Arial"/>
          <w:sz w:val="22"/>
          <w:szCs w:val="22"/>
        </w:rPr>
      </w:pPr>
    </w:p>
    <w:p w14:paraId="088A7067" w14:textId="08F1DE8D" w:rsidR="00133D0C" w:rsidRDefault="00133D0C" w:rsidP="002E7F83">
      <w:pPr>
        <w:spacing w:after="120" w:line="276" w:lineRule="auto"/>
        <w:jc w:val="both"/>
        <w:rPr>
          <w:rFonts w:ascii="Arial" w:hAnsi="Arial" w:cs="Arial"/>
          <w:sz w:val="22"/>
          <w:szCs w:val="22"/>
        </w:rPr>
      </w:pPr>
      <w:r>
        <w:rPr>
          <w:rFonts w:ascii="Arial" w:hAnsi="Arial" w:cs="Arial"/>
          <w:sz w:val="22"/>
          <w:szCs w:val="22"/>
        </w:rPr>
        <w:t>Para resolver su consulta se desarrollarán los siguientes temas: i) f</w:t>
      </w:r>
      <w:r w:rsidRPr="00133D0C">
        <w:rPr>
          <w:rFonts w:ascii="Arial" w:hAnsi="Arial" w:cs="Arial"/>
          <w:sz w:val="22"/>
          <w:szCs w:val="22"/>
        </w:rPr>
        <w:t>undamento normativo de los documentos tipo</w:t>
      </w:r>
      <w:r>
        <w:rPr>
          <w:rFonts w:ascii="Arial" w:hAnsi="Arial" w:cs="Arial"/>
          <w:sz w:val="22"/>
          <w:szCs w:val="22"/>
        </w:rPr>
        <w:t xml:space="preserve">; </w:t>
      </w:r>
      <w:proofErr w:type="spellStart"/>
      <w:r>
        <w:rPr>
          <w:rFonts w:ascii="Arial" w:hAnsi="Arial" w:cs="Arial"/>
          <w:sz w:val="22"/>
          <w:szCs w:val="22"/>
        </w:rPr>
        <w:t>ii</w:t>
      </w:r>
      <w:proofErr w:type="spellEnd"/>
      <w:r>
        <w:rPr>
          <w:rFonts w:ascii="Arial" w:hAnsi="Arial" w:cs="Arial"/>
          <w:sz w:val="22"/>
          <w:szCs w:val="22"/>
        </w:rPr>
        <w:t>) i</w:t>
      </w:r>
      <w:r w:rsidRPr="00133D0C">
        <w:rPr>
          <w:rFonts w:ascii="Arial" w:hAnsi="Arial" w:cs="Arial"/>
          <w:sz w:val="22"/>
          <w:szCs w:val="22"/>
        </w:rPr>
        <w:t>nalterabilidad de los documentos tipo</w:t>
      </w:r>
      <w:r>
        <w:rPr>
          <w:rFonts w:ascii="Arial" w:hAnsi="Arial" w:cs="Arial"/>
          <w:sz w:val="22"/>
          <w:szCs w:val="22"/>
        </w:rPr>
        <w:t xml:space="preserve">; </w:t>
      </w:r>
      <w:proofErr w:type="spellStart"/>
      <w:r>
        <w:rPr>
          <w:rFonts w:ascii="Arial" w:hAnsi="Arial" w:cs="Arial"/>
          <w:sz w:val="22"/>
          <w:szCs w:val="22"/>
        </w:rPr>
        <w:t>iii</w:t>
      </w:r>
      <w:proofErr w:type="spellEnd"/>
      <w:r>
        <w:rPr>
          <w:rFonts w:ascii="Arial" w:hAnsi="Arial" w:cs="Arial"/>
          <w:sz w:val="22"/>
          <w:szCs w:val="22"/>
        </w:rPr>
        <w:t>)</w:t>
      </w:r>
      <w:r w:rsidRPr="00133D0C">
        <w:t xml:space="preserve"> </w:t>
      </w:r>
      <w:r>
        <w:rPr>
          <w:rFonts w:ascii="Arial" w:hAnsi="Arial" w:cs="Arial"/>
          <w:sz w:val="22"/>
          <w:szCs w:val="22"/>
        </w:rPr>
        <w:t>a</w:t>
      </w:r>
      <w:r w:rsidRPr="00133D0C">
        <w:rPr>
          <w:rFonts w:ascii="Arial" w:hAnsi="Arial" w:cs="Arial"/>
          <w:sz w:val="22"/>
          <w:szCs w:val="22"/>
        </w:rPr>
        <w:t>plicación de la «Matriz 1 – Experiencia» en los documentos tipo</w:t>
      </w:r>
      <w:r>
        <w:rPr>
          <w:rFonts w:ascii="Arial" w:hAnsi="Arial" w:cs="Arial"/>
          <w:sz w:val="22"/>
          <w:szCs w:val="22"/>
        </w:rPr>
        <w:t xml:space="preserve">; y </w:t>
      </w:r>
      <w:proofErr w:type="spellStart"/>
      <w:r>
        <w:rPr>
          <w:rFonts w:ascii="Arial" w:hAnsi="Arial" w:cs="Arial"/>
          <w:sz w:val="22"/>
          <w:szCs w:val="22"/>
        </w:rPr>
        <w:t>iv</w:t>
      </w:r>
      <w:proofErr w:type="spellEnd"/>
      <w:r>
        <w:rPr>
          <w:rFonts w:ascii="Arial" w:hAnsi="Arial" w:cs="Arial"/>
          <w:sz w:val="22"/>
          <w:szCs w:val="22"/>
        </w:rPr>
        <w:t>) e</w:t>
      </w:r>
      <w:r w:rsidRPr="00133D0C">
        <w:rPr>
          <w:rFonts w:ascii="Arial" w:hAnsi="Arial" w:cs="Arial"/>
          <w:sz w:val="22"/>
          <w:szCs w:val="22"/>
        </w:rPr>
        <w:t>l artículo 56 de la Ley 2195 de 2022 y la aplicación obligatoria del Estatuto General de Contratación de la Administración Pública y los documentos tipo en la contratación de las entidades estatales exceptuadas y particulares</w:t>
      </w:r>
      <w:r>
        <w:rPr>
          <w:rFonts w:ascii="Arial" w:hAnsi="Arial" w:cs="Arial"/>
          <w:sz w:val="22"/>
          <w:szCs w:val="22"/>
        </w:rPr>
        <w:t>.</w:t>
      </w:r>
    </w:p>
    <w:p w14:paraId="1CC65E92" w14:textId="77777777" w:rsidR="003C499B" w:rsidRPr="002E7F83" w:rsidRDefault="003C499B" w:rsidP="002E7F83">
      <w:pPr>
        <w:spacing w:after="120" w:line="276" w:lineRule="auto"/>
        <w:ind w:firstLine="708"/>
        <w:jc w:val="both"/>
        <w:rPr>
          <w:rFonts w:ascii="Arial" w:eastAsia="Calibri" w:hAnsi="Arial" w:cs="Arial"/>
          <w:color w:val="000000"/>
          <w:sz w:val="22"/>
          <w:szCs w:val="22"/>
          <w:lang w:val="es-ES_tradnl"/>
        </w:rPr>
      </w:pPr>
      <w:r w:rsidRPr="002E7F83">
        <w:rPr>
          <w:rFonts w:ascii="Arial" w:eastAsia="Calibri" w:hAnsi="Arial" w:cs="Arial"/>
          <w:color w:val="000000"/>
          <w:sz w:val="22"/>
          <w:szCs w:val="22"/>
          <w:lang w:val="es-ES_tradnl"/>
        </w:rPr>
        <w:lastRenderedPageBreak/>
        <w:t xml:space="preserve">La Agencia Nacional de Contratación Pública – Colombia Compra Eficiente ha estudiado del ámbito de aplicación de los documentos tipo en los conceptos C-645 del 6 de noviembre de 2020, C-673 del 11 de noviembre de 2020, C-692 del 27 de noviembre de 2020, C-778 del 18 de enero de 2021, C-021 del 22 de febrero de 2021, C-091 del 23 de marzo de 2021, C-200 del 14 de mayo de 2021, C-231 del 24 de mayo de 2021, C-267 de 2 de junio de 2021, C-370 del 28 de julio de 2021, C-380 del 29 de julio de 2021 y C-643 del 17 de noviembre de 2021, entre otros. </w:t>
      </w:r>
    </w:p>
    <w:p w14:paraId="0126B8B8" w14:textId="7A5C13F0" w:rsidR="003C499B" w:rsidRPr="002E7F83" w:rsidRDefault="003C499B" w:rsidP="003C499B">
      <w:pPr>
        <w:spacing w:line="276" w:lineRule="auto"/>
        <w:ind w:firstLine="708"/>
        <w:jc w:val="both"/>
        <w:rPr>
          <w:rFonts w:ascii="Arial" w:eastAsia="Calibri" w:hAnsi="Arial" w:cs="Arial"/>
          <w:color w:val="000000"/>
          <w:sz w:val="22"/>
          <w:szCs w:val="22"/>
          <w:lang w:val="es-ES_tradnl"/>
        </w:rPr>
      </w:pPr>
      <w:r w:rsidRPr="002E7F83">
        <w:rPr>
          <w:rFonts w:ascii="Arial" w:hAnsi="Arial" w:cs="Arial"/>
          <w:color w:val="000000" w:themeColor="text1"/>
          <w:sz w:val="22"/>
          <w:szCs w:val="22"/>
        </w:rPr>
        <w:t xml:space="preserve">Así mismo, </w:t>
      </w:r>
      <w:r w:rsidRPr="002E7F83">
        <w:rPr>
          <w:rFonts w:ascii="Arial" w:eastAsia="Calibri" w:hAnsi="Arial" w:cs="Arial"/>
          <w:color w:val="000000" w:themeColor="text1"/>
          <w:sz w:val="22"/>
          <w:szCs w:val="22"/>
        </w:rPr>
        <w:t xml:space="preserve">la Agencia Nacional de Contratación Pública − Colombia Compra Eficiente se pronunció sobre los pliegos de condiciones en la contratación estatal, así como su inalterabilidad y sus excepciones, entre otros, </w:t>
      </w:r>
      <w:r w:rsidRPr="002E7F83">
        <w:rPr>
          <w:rFonts w:ascii="Arial" w:eastAsia="Calibri" w:hAnsi="Arial" w:cs="Arial"/>
          <w:sz w:val="22"/>
          <w:szCs w:val="22"/>
        </w:rPr>
        <w:t>e</w:t>
      </w:r>
      <w:r w:rsidRPr="002E7F83">
        <w:rPr>
          <w:rFonts w:ascii="Arial" w:hAnsi="Arial" w:cs="Arial"/>
          <w:sz w:val="22"/>
          <w:szCs w:val="22"/>
        </w:rPr>
        <w:t>n los conceptos C–144 de 2 de marzo de 2020, C-174 del 16 de marzo de 2020, C-129 del 24 de marzo de 2020, C-193 del 6 de abril de 2020, C–189 del 8 de abril de 2020, C-009 del 27 de abril de 2020, C-289 del 26 de mayo de 2020, C-384 del 4 de junio de 2020, C-328 del 30 de junio de 2020, C-397 del 30 de junio de 2020, C-327 del 10 de julio de 2020, C-332 del 26 de mayo de 2020, C-354 del 4 de junio de 2020, C-387 del 23 de junio de 2020, C-379 del 30 de junio de 2020, C-411 del 30 de junio de 2020, C-415 del 7 de julio de 2020, C-443 del 7 de julio de 2020, C-427 del 9 de julio de 2020, C-395 del 9 de julio de 2020, C-327 del 10 de julio de 2020, C-444 del 13 de julio de 2020, C-429 del 24 de julio de 2020, C-466 del 24 de julio de 2020, C-420 del 28 de julio de 2020, C-485 del 29 de julio de 2020, C-501 del 29 de julio de 2020, C-478 del 30 de julio de 2020, C-450 del 3 de agosto de 2020, C-497 del 6 de agosto de 2020, C-528 del 18 de agosto de 2020, C-531 del 21 agosto de 2020, C-546 del 26 de agosto 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2020, C-716 del 30 de noviembre de 2020, C-775 de 2020 del 11 de diciembre de 2020</w:t>
      </w:r>
      <w:bookmarkStart w:id="6" w:name="_Hlk75872808"/>
      <w:r w:rsidRPr="002E7F83">
        <w:rPr>
          <w:rFonts w:ascii="Arial" w:hAnsi="Arial" w:cs="Arial"/>
          <w:sz w:val="22"/>
          <w:szCs w:val="22"/>
        </w:rPr>
        <w:t xml:space="preserve">, </w:t>
      </w:r>
      <w:r w:rsidRPr="002E7F83">
        <w:rPr>
          <w:rFonts w:ascii="Arial" w:eastAsia="Arial" w:hAnsi="Arial" w:cs="Arial"/>
          <w:sz w:val="22"/>
          <w:szCs w:val="22"/>
          <w:lang w:val="es-ES_tradnl"/>
        </w:rPr>
        <w:t>C-031 del 1 de febrero de 2021,</w:t>
      </w:r>
      <w:r w:rsidRPr="002E7F83">
        <w:rPr>
          <w:rFonts w:ascii="Arial" w:hAnsi="Arial" w:cs="Arial"/>
          <w:sz w:val="22"/>
          <w:szCs w:val="22"/>
        </w:rPr>
        <w:t xml:space="preserve"> C-027 del 1 de marzo de 2021, C-064 del 8 de marzo 2021, C-157 del 13 de abril de 2021, C-204 del 6 de mayo de 2021</w:t>
      </w:r>
      <w:bookmarkEnd w:id="6"/>
      <w:r w:rsidRPr="002E7F83">
        <w:rPr>
          <w:rFonts w:ascii="Arial" w:hAnsi="Arial" w:cs="Arial"/>
          <w:sz w:val="22"/>
          <w:szCs w:val="22"/>
        </w:rPr>
        <w:t xml:space="preserve">, C-215 del 12 de mayo de 2021, C-263, C-268 del 3 de junio de 2021, C-287, C-304 del 28 de junio de 2021, C-361 del 2 de agosto de 2021, C-425 del 19 de agosto, C-471 del 30 de agosto de 2021, C-511 del 22 de septiembre de 2021, C-531 del 27 de septiembre de 2021, C-624 del 8 de noviembre de 2021, C-643 del 17 de noviembre de 2021 y C-647 del 22 de noviembre de 2021. </w:t>
      </w:r>
      <w:r w:rsidRPr="002E7F83">
        <w:rPr>
          <w:rFonts w:ascii="Arial" w:eastAsia="Calibri" w:hAnsi="Arial" w:cs="Arial"/>
          <w:color w:val="000000"/>
          <w:sz w:val="22"/>
          <w:szCs w:val="22"/>
          <w:lang w:val="es-ES_tradnl"/>
        </w:rPr>
        <w:t>En lo pertinente, las tesis expuestas en los conceptos mencionados se reiteran a continuación:</w:t>
      </w:r>
    </w:p>
    <w:p w14:paraId="45892EBB" w14:textId="5D2A1710" w:rsidR="003C499B" w:rsidRDefault="003C499B" w:rsidP="003C499B">
      <w:pPr>
        <w:spacing w:line="276" w:lineRule="auto"/>
        <w:jc w:val="both"/>
        <w:rPr>
          <w:rFonts w:ascii="Arial" w:eastAsia="Arial" w:hAnsi="Arial" w:cs="Arial"/>
          <w:b/>
          <w:bCs/>
          <w:color w:val="000000"/>
          <w:lang w:val="es-ES_tradnl"/>
        </w:rPr>
      </w:pPr>
    </w:p>
    <w:p w14:paraId="32C3A9B7" w14:textId="0761B19F" w:rsidR="002362B7" w:rsidRDefault="002362B7" w:rsidP="003C499B">
      <w:pPr>
        <w:spacing w:line="276" w:lineRule="auto"/>
        <w:jc w:val="both"/>
        <w:rPr>
          <w:rFonts w:ascii="Arial" w:eastAsia="Arial" w:hAnsi="Arial" w:cs="Arial"/>
          <w:b/>
          <w:bCs/>
          <w:color w:val="000000"/>
          <w:lang w:val="es-ES_tradnl"/>
        </w:rPr>
      </w:pPr>
    </w:p>
    <w:p w14:paraId="49E7DB35" w14:textId="5ED14DCE" w:rsidR="002362B7" w:rsidRDefault="002362B7" w:rsidP="003C499B">
      <w:pPr>
        <w:spacing w:line="276" w:lineRule="auto"/>
        <w:jc w:val="both"/>
        <w:rPr>
          <w:rFonts w:ascii="Arial" w:eastAsia="Arial" w:hAnsi="Arial" w:cs="Arial"/>
          <w:b/>
          <w:bCs/>
          <w:color w:val="000000"/>
          <w:lang w:val="es-ES_tradnl"/>
        </w:rPr>
      </w:pPr>
    </w:p>
    <w:p w14:paraId="1EA2B19A" w14:textId="62842BA6" w:rsidR="002362B7" w:rsidRDefault="002362B7" w:rsidP="003C499B">
      <w:pPr>
        <w:spacing w:line="276" w:lineRule="auto"/>
        <w:jc w:val="both"/>
        <w:rPr>
          <w:rFonts w:ascii="Arial" w:eastAsia="Arial" w:hAnsi="Arial" w:cs="Arial"/>
          <w:b/>
          <w:bCs/>
          <w:color w:val="000000"/>
          <w:lang w:val="es-ES_tradnl"/>
        </w:rPr>
      </w:pPr>
    </w:p>
    <w:p w14:paraId="3AD28524" w14:textId="77777777" w:rsidR="003C499B" w:rsidRPr="002E7F83" w:rsidRDefault="003C499B" w:rsidP="003C499B">
      <w:pPr>
        <w:spacing w:line="276" w:lineRule="auto"/>
        <w:jc w:val="both"/>
        <w:rPr>
          <w:rFonts w:ascii="Arial" w:eastAsia="Arial" w:hAnsi="Arial" w:cs="Arial"/>
          <w:b/>
          <w:bCs/>
          <w:color w:val="000000"/>
          <w:sz w:val="22"/>
          <w:szCs w:val="22"/>
          <w:lang w:val="es-ES_tradnl"/>
        </w:rPr>
      </w:pPr>
      <w:r w:rsidRPr="002E7F83">
        <w:rPr>
          <w:rFonts w:ascii="Arial" w:eastAsia="Arial" w:hAnsi="Arial" w:cs="Arial"/>
          <w:b/>
          <w:bCs/>
          <w:color w:val="000000"/>
          <w:sz w:val="22"/>
          <w:szCs w:val="22"/>
          <w:lang w:val="es-ES_tradnl"/>
        </w:rPr>
        <w:t xml:space="preserve">2.1. Fundamento normativo de los documentos tipo </w:t>
      </w:r>
    </w:p>
    <w:p w14:paraId="394A86C7" w14:textId="77777777" w:rsidR="003C499B" w:rsidRPr="002E7F83" w:rsidRDefault="003C499B" w:rsidP="003C499B">
      <w:pPr>
        <w:jc w:val="both"/>
        <w:rPr>
          <w:rFonts w:ascii="Arial" w:eastAsia="Calibri" w:hAnsi="Arial" w:cs="Arial"/>
          <w:color w:val="000000"/>
          <w:sz w:val="22"/>
          <w:szCs w:val="22"/>
          <w:lang w:val="es-ES_tradnl"/>
        </w:rPr>
      </w:pPr>
    </w:p>
    <w:p w14:paraId="7B214BD1" w14:textId="77777777" w:rsidR="003C499B" w:rsidRPr="002E7F83" w:rsidRDefault="003C499B" w:rsidP="003C499B">
      <w:pPr>
        <w:spacing w:after="120" w:line="276" w:lineRule="auto"/>
        <w:jc w:val="both"/>
        <w:rPr>
          <w:rFonts w:ascii="Arial" w:eastAsia="Calibri" w:hAnsi="Arial" w:cs="Arial"/>
          <w:color w:val="000000"/>
          <w:sz w:val="22"/>
          <w:szCs w:val="22"/>
          <w:lang w:val="es-ES" w:eastAsia="es-ES_tradnl"/>
        </w:rPr>
      </w:pPr>
      <w:r w:rsidRPr="002E7F83">
        <w:rPr>
          <w:rFonts w:ascii="Arial" w:eastAsia="Calibri" w:hAnsi="Arial" w:cs="Arial"/>
          <w:color w:val="000000"/>
          <w:sz w:val="22"/>
          <w:szCs w:val="22"/>
          <w:lang w:val="es-ES" w:eastAsia="es-ES_tradnl"/>
        </w:rPr>
        <w:t>La adopción de los documentos tipo obligatorios en el ordenamiento jurídico colombiano se incluyó por primera vez en el parágrafo 3 del artículo 2 de la Ley 1150 de 2007</w:t>
      </w:r>
      <w:r w:rsidRPr="002E7F83">
        <w:rPr>
          <w:rFonts w:ascii="Arial" w:eastAsia="Calibri" w:hAnsi="Arial" w:cs="Arial"/>
          <w:color w:val="000000"/>
          <w:sz w:val="22"/>
          <w:szCs w:val="22"/>
          <w:vertAlign w:val="superscript"/>
          <w:lang w:val="es-ES" w:eastAsia="es-ES_tradnl"/>
        </w:rPr>
        <w:footnoteReference w:id="1"/>
      </w:r>
      <w:r w:rsidRPr="002E7F83">
        <w:rPr>
          <w:rFonts w:ascii="Arial" w:eastAsia="Calibri" w:hAnsi="Arial" w:cs="Arial"/>
          <w:color w:val="000000"/>
          <w:sz w:val="22"/>
          <w:szCs w:val="22"/>
          <w:lang w:val="es-ES" w:eastAsia="es-ES_tradnl"/>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476694B9" w14:textId="77777777" w:rsidR="003C499B" w:rsidRPr="002E7F83" w:rsidRDefault="003C499B" w:rsidP="003C499B">
      <w:pPr>
        <w:spacing w:line="276" w:lineRule="auto"/>
        <w:ind w:firstLine="708"/>
        <w:jc w:val="both"/>
        <w:rPr>
          <w:rFonts w:ascii="Arial" w:eastAsia="Calibri" w:hAnsi="Arial" w:cs="Arial"/>
          <w:color w:val="000000"/>
          <w:sz w:val="22"/>
          <w:szCs w:val="22"/>
          <w:lang w:val="es-ES" w:eastAsia="es-ES_tradnl"/>
        </w:rPr>
      </w:pPr>
      <w:r w:rsidRPr="002E7F83">
        <w:rPr>
          <w:rFonts w:ascii="Arial" w:eastAsia="Calibri" w:hAnsi="Arial" w:cs="Arial"/>
          <w:color w:val="000000"/>
          <w:sz w:val="22"/>
          <w:szCs w:val="22"/>
          <w:lang w:val="es-ES" w:eastAsia="es-ES_tradnl"/>
        </w:rPr>
        <w:t xml:space="preserve">Debido a lo anterior, 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w:t>
      </w:r>
    </w:p>
    <w:p w14:paraId="45646A87" w14:textId="77777777" w:rsidR="003C499B" w:rsidRPr="002E7F83" w:rsidRDefault="003C499B" w:rsidP="003C499B">
      <w:pPr>
        <w:spacing w:before="120" w:after="120" w:line="276" w:lineRule="auto"/>
        <w:ind w:firstLine="708"/>
        <w:jc w:val="both"/>
        <w:rPr>
          <w:rFonts w:ascii="Arial" w:eastAsia="Calibri" w:hAnsi="Arial" w:cs="Arial"/>
          <w:color w:val="000000"/>
          <w:sz w:val="22"/>
          <w:szCs w:val="22"/>
          <w:lang w:val="es-ES" w:eastAsia="es-ES_tradnl"/>
        </w:rPr>
      </w:pPr>
      <w:r w:rsidRPr="002E7F83">
        <w:rPr>
          <w:rFonts w:ascii="Arial" w:eastAsia="Calibri" w:hAnsi="Arial" w:cs="Arial"/>
          <w:color w:val="000000"/>
          <w:sz w:val="22"/>
          <w:szCs w:val="22"/>
          <w:lang w:val="es-ES" w:eastAsia="es-ES_tradnl"/>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2E7F83">
        <w:rPr>
          <w:rFonts w:ascii="Arial" w:eastAsia="Calibri" w:hAnsi="Arial" w:cs="Arial"/>
          <w:color w:val="000000"/>
          <w:sz w:val="22"/>
          <w:szCs w:val="22"/>
          <w:vertAlign w:val="superscript"/>
          <w:lang w:val="es-ES" w:eastAsia="es-ES_tradnl"/>
        </w:rPr>
        <w:footnoteReference w:id="2"/>
      </w:r>
      <w:r w:rsidRPr="002E7F83">
        <w:rPr>
          <w:rFonts w:ascii="Arial" w:eastAsia="Calibri" w:hAnsi="Arial" w:cs="Arial"/>
          <w:color w:val="000000"/>
          <w:sz w:val="22"/>
          <w:szCs w:val="22"/>
          <w:lang w:val="es-ES" w:eastAsia="es-ES_tradnl"/>
        </w:rPr>
        <w:t>.</w:t>
      </w:r>
    </w:p>
    <w:p w14:paraId="38579768" w14:textId="698AFF98" w:rsidR="003C499B" w:rsidRPr="002E7F83" w:rsidRDefault="003C499B" w:rsidP="003C499B">
      <w:pPr>
        <w:spacing w:before="120" w:after="120" w:line="276" w:lineRule="auto"/>
        <w:jc w:val="both"/>
        <w:rPr>
          <w:rFonts w:ascii="Arial" w:eastAsia="Calibri" w:hAnsi="Arial" w:cs="Arial"/>
          <w:color w:val="000000"/>
          <w:sz w:val="22"/>
          <w:szCs w:val="22"/>
          <w:lang w:val="es-ES" w:eastAsia="es-ES_tradnl"/>
        </w:rPr>
      </w:pPr>
      <w:r w:rsidRPr="002E7F83">
        <w:rPr>
          <w:rFonts w:ascii="Arial" w:eastAsia="Calibri" w:hAnsi="Arial" w:cs="Arial"/>
          <w:color w:val="000000"/>
          <w:sz w:val="22"/>
          <w:szCs w:val="22"/>
          <w:lang w:val="es-ES" w:eastAsia="es-ES_tradnl"/>
        </w:rPr>
        <w:lastRenderedPageBreak/>
        <w:tab/>
        <w:t>As</w:t>
      </w:r>
      <w:r w:rsidR="00C71594">
        <w:rPr>
          <w:rFonts w:ascii="Arial" w:eastAsia="Calibri" w:hAnsi="Arial" w:cs="Arial"/>
          <w:color w:val="000000"/>
          <w:sz w:val="22"/>
          <w:szCs w:val="22"/>
          <w:lang w:val="es-ES" w:eastAsia="es-ES_tradnl"/>
        </w:rPr>
        <w:t xml:space="preserve">í </w:t>
      </w:r>
      <w:r w:rsidRPr="002E7F83">
        <w:rPr>
          <w:rFonts w:ascii="Arial" w:eastAsia="Calibri" w:hAnsi="Arial" w:cs="Arial"/>
          <w:color w:val="000000"/>
          <w:sz w:val="22"/>
          <w:szCs w:val="22"/>
          <w:lang w:val="es-ES" w:eastAsia="es-ES_tradnl"/>
        </w:rPr>
        <w:t xml:space="preserve">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13584CDF" w14:textId="77777777" w:rsidR="003C499B" w:rsidRPr="002E7F83" w:rsidRDefault="003C499B" w:rsidP="003C499B">
      <w:pPr>
        <w:spacing w:before="120" w:after="120" w:line="276" w:lineRule="auto"/>
        <w:jc w:val="both"/>
        <w:rPr>
          <w:rFonts w:ascii="Arial" w:eastAsia="Calibri" w:hAnsi="Arial" w:cs="Arial"/>
          <w:color w:val="000000"/>
          <w:sz w:val="22"/>
          <w:szCs w:val="22"/>
          <w:lang w:val="es-ES" w:eastAsia="es-ES_tradnl"/>
        </w:rPr>
      </w:pPr>
      <w:r w:rsidRPr="002E7F83">
        <w:rPr>
          <w:rFonts w:ascii="Arial" w:eastAsia="Calibri" w:hAnsi="Arial" w:cs="Arial"/>
          <w:color w:val="000000"/>
          <w:sz w:val="22"/>
          <w:szCs w:val="22"/>
          <w:lang w:val="es-ES" w:eastAsia="es-ES_tradnl"/>
        </w:rPr>
        <w:tab/>
        <w:t xml:space="preserve">De la norma descrita se concluía lo siguiente: i) la adopción de los documentos tipo estaba en cabeza del gobierno nacional; </w:t>
      </w:r>
      <w:proofErr w:type="spellStart"/>
      <w:r w:rsidRPr="002E7F83">
        <w:rPr>
          <w:rFonts w:ascii="Arial" w:eastAsia="Calibri" w:hAnsi="Arial" w:cs="Arial"/>
          <w:color w:val="000000"/>
          <w:sz w:val="22"/>
          <w:szCs w:val="22"/>
          <w:lang w:val="es-ES" w:eastAsia="es-ES_tradnl"/>
        </w:rPr>
        <w:t>ii</w:t>
      </w:r>
      <w:proofErr w:type="spellEnd"/>
      <w:r w:rsidRPr="002E7F83">
        <w:rPr>
          <w:rFonts w:ascii="Arial" w:eastAsia="Calibri" w:hAnsi="Arial" w:cs="Arial"/>
          <w:color w:val="000000"/>
          <w:sz w:val="22"/>
          <w:szCs w:val="22"/>
          <w:lang w:val="es-ES" w:eastAsia="es-ES_tradnl"/>
        </w:rPr>
        <w:t xml:space="preserve">) estos debían relacionarse con procesos de obra públicas, interventoría para las obras públicas, interventoría para consultoría de estudios y diseños y, finalmente, consultoría en ingeniería para obras; </w:t>
      </w:r>
      <w:proofErr w:type="spellStart"/>
      <w:r w:rsidRPr="002E7F83">
        <w:rPr>
          <w:rFonts w:ascii="Arial" w:eastAsia="Calibri" w:hAnsi="Arial" w:cs="Arial"/>
          <w:color w:val="000000"/>
          <w:sz w:val="22"/>
          <w:szCs w:val="22"/>
          <w:lang w:val="es-ES" w:eastAsia="es-ES_tradnl"/>
        </w:rPr>
        <w:t>iii</w:t>
      </w:r>
      <w:proofErr w:type="spellEnd"/>
      <w:r w:rsidRPr="002E7F83">
        <w:rPr>
          <w:rFonts w:ascii="Arial" w:eastAsia="Calibri" w:hAnsi="Arial" w:cs="Arial"/>
          <w:color w:val="000000"/>
          <w:sz w:val="22"/>
          <w:szCs w:val="22"/>
          <w:lang w:val="es-ES" w:eastAsia="es-ES_tradnl"/>
        </w:rPr>
        <w:t xml:space="preserve">) eran de obligatorio cumplimiento por parte de todas las entidades sometidas al Estatuto General de Contratación de la Administración Pública; </w:t>
      </w:r>
      <w:proofErr w:type="spellStart"/>
      <w:r w:rsidRPr="002E7F83">
        <w:rPr>
          <w:rFonts w:ascii="Arial" w:eastAsia="Calibri" w:hAnsi="Arial" w:cs="Arial"/>
          <w:color w:val="000000"/>
          <w:sz w:val="22"/>
          <w:szCs w:val="22"/>
          <w:lang w:val="es-ES" w:eastAsia="es-ES_tradnl"/>
        </w:rPr>
        <w:t>iv</w:t>
      </w:r>
      <w:proofErr w:type="spellEnd"/>
      <w:r w:rsidRPr="002E7F83">
        <w:rPr>
          <w:rFonts w:ascii="Arial" w:eastAsia="Calibri" w:hAnsi="Arial" w:cs="Arial"/>
          <w:color w:val="000000"/>
          <w:sz w:val="22"/>
          <w:szCs w:val="22"/>
          <w:lang w:val="es-ES" w:eastAsia="es-ES_tradnl"/>
        </w:rPr>
        <w:t xml:space="preserve">)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y por último, vi) los documentos tipo serían adoptados por categorías de acuerdo con la cuantía de la contratación. </w:t>
      </w:r>
    </w:p>
    <w:p w14:paraId="3D89C38E" w14:textId="77777777" w:rsidR="003C499B" w:rsidRPr="002E7F83" w:rsidRDefault="003C499B" w:rsidP="003C499B">
      <w:pPr>
        <w:spacing w:before="120" w:after="120" w:line="276" w:lineRule="auto"/>
        <w:jc w:val="both"/>
        <w:rPr>
          <w:rFonts w:ascii="Arial" w:eastAsia="Calibri" w:hAnsi="Arial" w:cs="Arial"/>
          <w:color w:val="000000"/>
          <w:sz w:val="22"/>
          <w:szCs w:val="22"/>
          <w:lang w:val="es-ES" w:eastAsia="es-ES_tradnl"/>
        </w:rPr>
      </w:pPr>
      <w:r w:rsidRPr="002E7F83">
        <w:rPr>
          <w:rFonts w:ascii="Arial" w:eastAsia="Calibri" w:hAnsi="Arial" w:cs="Arial"/>
          <w:color w:val="000000"/>
          <w:sz w:val="22"/>
          <w:szCs w:val="22"/>
          <w:lang w:val="es-ES" w:eastAsia="es-ES_tradnl"/>
        </w:rPr>
        <w:tab/>
        <w:t>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y los criterios de escogencia, elementos propios del procedimiento de selección del contratista, materia en la que existe reserva de ley y que no se encuentra atribuida a la regulación de las entidades territoriales. De igual manera, se establece que esta autonomía se garantiza con la identificación autónoma de sus necesidades y la configuración de los elementos del contrato</w:t>
      </w:r>
      <w:r w:rsidRPr="002E7F83">
        <w:rPr>
          <w:rFonts w:ascii="Arial" w:eastAsia="Calibri" w:hAnsi="Arial" w:cs="Arial"/>
          <w:color w:val="000000"/>
          <w:sz w:val="22"/>
          <w:szCs w:val="22"/>
          <w:vertAlign w:val="superscript"/>
          <w:lang w:val="es-ES" w:eastAsia="es-ES_tradnl"/>
        </w:rPr>
        <w:footnoteReference w:id="3"/>
      </w:r>
      <w:r w:rsidRPr="002E7F83">
        <w:rPr>
          <w:rFonts w:ascii="Arial" w:eastAsia="Calibri" w:hAnsi="Arial" w:cs="Arial"/>
          <w:color w:val="000000"/>
          <w:sz w:val="22"/>
          <w:szCs w:val="22"/>
          <w:lang w:val="es-ES" w:eastAsia="es-ES_tradnl"/>
        </w:rPr>
        <w:t>.</w:t>
      </w:r>
    </w:p>
    <w:p w14:paraId="691FEF6E" w14:textId="77777777" w:rsidR="003C499B" w:rsidRPr="002E7F83" w:rsidRDefault="003C499B" w:rsidP="003C499B">
      <w:pPr>
        <w:spacing w:before="120" w:after="120" w:line="276" w:lineRule="auto"/>
        <w:jc w:val="both"/>
        <w:rPr>
          <w:rFonts w:ascii="Arial" w:eastAsia="Calibri" w:hAnsi="Arial" w:cs="Arial"/>
          <w:color w:val="000000"/>
          <w:sz w:val="22"/>
          <w:szCs w:val="22"/>
          <w:lang w:val="es-ES" w:eastAsia="es-ES_tradnl"/>
        </w:rPr>
      </w:pPr>
      <w:r w:rsidRPr="002E7F83">
        <w:rPr>
          <w:rFonts w:ascii="Arial" w:eastAsia="Calibri" w:hAnsi="Arial" w:cs="Arial"/>
          <w:color w:val="000000"/>
          <w:sz w:val="22"/>
          <w:szCs w:val="22"/>
          <w:lang w:val="es-ES" w:eastAsia="es-ES_tradnl"/>
        </w:rPr>
        <w:lastRenderedPageBreak/>
        <w:tab/>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09314ECB" w14:textId="77777777" w:rsidR="003C499B" w:rsidRPr="002E7F83" w:rsidRDefault="003C499B" w:rsidP="003C499B">
      <w:pPr>
        <w:spacing w:before="120" w:after="120" w:line="276" w:lineRule="auto"/>
        <w:jc w:val="both"/>
        <w:rPr>
          <w:rFonts w:ascii="Arial" w:eastAsia="Calibri" w:hAnsi="Arial" w:cs="Arial"/>
          <w:sz w:val="22"/>
          <w:szCs w:val="22"/>
          <w:lang w:val="es-ES"/>
        </w:rPr>
      </w:pPr>
      <w:r w:rsidRPr="002E7F83">
        <w:rPr>
          <w:rFonts w:ascii="Arial" w:eastAsia="Calibri" w:hAnsi="Arial" w:cs="Arial"/>
          <w:color w:val="000000"/>
          <w:sz w:val="22"/>
          <w:szCs w:val="22"/>
          <w:lang w:val="es-ES" w:eastAsia="es-ES_tradnl"/>
        </w:rPr>
        <w:tab/>
        <w:t xml:space="preserve">Explicado el proceso para adoptar los documentos tipo en virtud de la Ley 1882 de 2018 y estudiada su constitucionalidad, de acuerdo con el pronunciamiento de la Corte Constitucional, a continuación, se identificarán los documentos tipo adoptados por el gobierno nacional en virtud de esta ley. </w:t>
      </w:r>
      <w:r w:rsidRPr="002E7F83">
        <w:rPr>
          <w:rFonts w:ascii="Arial" w:eastAsia="Calibri" w:hAnsi="Arial" w:cs="Arial"/>
          <w:sz w:val="22"/>
          <w:szCs w:val="22"/>
          <w:lang w:val="es-ES"/>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w:t>
      </w:r>
    </w:p>
    <w:p w14:paraId="43A87094" w14:textId="77777777" w:rsidR="003C499B" w:rsidRPr="002E7F83" w:rsidRDefault="003C499B" w:rsidP="003C499B">
      <w:pPr>
        <w:spacing w:before="120" w:after="120" w:line="276" w:lineRule="auto"/>
        <w:jc w:val="both"/>
        <w:rPr>
          <w:rFonts w:ascii="Arial" w:eastAsia="Calibri" w:hAnsi="Arial" w:cs="Arial"/>
          <w:color w:val="000000"/>
          <w:sz w:val="22"/>
          <w:szCs w:val="22"/>
          <w:lang w:val="es-ES" w:eastAsia="es-ES_tradnl"/>
        </w:rPr>
      </w:pPr>
      <w:r w:rsidRPr="002E7F83">
        <w:rPr>
          <w:rFonts w:ascii="Arial" w:eastAsia="Calibri" w:hAnsi="Arial" w:cs="Arial"/>
          <w:sz w:val="22"/>
          <w:szCs w:val="22"/>
          <w:lang w:val="es-ES"/>
        </w:rPr>
        <w:tab/>
        <w:t>Posteriormente,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2E7F83" w:rsidDel="00A434AB">
        <w:rPr>
          <w:rFonts w:ascii="Arial" w:eastAsia="Calibri" w:hAnsi="Arial" w:cs="Arial"/>
          <w:sz w:val="22"/>
          <w:szCs w:val="22"/>
          <w:lang w:val="es-ES"/>
        </w:rPr>
        <w:t xml:space="preserve"> </w:t>
      </w:r>
      <w:r w:rsidRPr="002E7F83">
        <w:rPr>
          <w:rFonts w:ascii="Arial" w:eastAsia="Calibri" w:hAnsi="Arial" w:cs="Arial"/>
          <w:sz w:val="22"/>
          <w:szCs w:val="22"/>
          <w:lang w:val="es-ES"/>
        </w:rPr>
        <w:t>de infraestructura de transporte que se surtieran por la modalidad de mínima cuantía. Estos documentos fueron implementados y desarrollados por la Agencia Nacional de Contratación Pública – Colombia Compra Eficiente, por medio de la Resolución 1798 de 1 de abril de 2019 –derogada por la Resolución 045 del 14 de febrero de 2020–, la Resolución 044 del 14 de febrero de 2020 y la Resolución 094 del 21 de mayo de 2020.</w:t>
      </w:r>
    </w:p>
    <w:p w14:paraId="2FF3A566" w14:textId="77777777" w:rsidR="003C499B" w:rsidRPr="002E7F83" w:rsidRDefault="003C499B" w:rsidP="003C499B">
      <w:pPr>
        <w:spacing w:before="120" w:line="276" w:lineRule="auto"/>
        <w:ind w:firstLine="709"/>
        <w:jc w:val="both"/>
        <w:rPr>
          <w:rFonts w:ascii="Arial" w:eastAsia="Calibri" w:hAnsi="Arial" w:cs="Arial"/>
          <w:color w:val="000000"/>
          <w:sz w:val="22"/>
          <w:szCs w:val="22"/>
          <w:lang w:val="es-ES" w:eastAsia="es-ES"/>
        </w:rPr>
      </w:pPr>
      <w:r w:rsidRPr="002E7F83">
        <w:rPr>
          <w:rFonts w:ascii="Arial" w:eastAsia="Calibri" w:hAnsi="Arial" w:cs="Arial"/>
          <w:color w:val="000000"/>
          <w:sz w:val="22"/>
          <w:szCs w:val="22"/>
          <w:lang w:val="es-ES" w:eastAsia="es-ES"/>
        </w:rPr>
        <w:t>Por otra parte</w:t>
      </w:r>
      <w:r w:rsidRPr="002E7F83">
        <w:rPr>
          <w:rFonts w:ascii="Arial" w:eastAsia="Calibri" w:hAnsi="Arial" w:cs="Arial"/>
          <w:i/>
          <w:iCs/>
          <w:color w:val="000000"/>
          <w:sz w:val="22"/>
          <w:szCs w:val="22"/>
          <w:lang w:val="es-ES" w:eastAsia="es-ES"/>
        </w:rPr>
        <w:t>,</w:t>
      </w:r>
      <w:r w:rsidRPr="002E7F83">
        <w:rPr>
          <w:rFonts w:ascii="Arial" w:eastAsia="Calibri" w:hAnsi="Arial" w:cs="Arial"/>
          <w:color w:val="000000"/>
          <w:sz w:val="22"/>
          <w:szCs w:val="22"/>
          <w:lang w:val="es-ES" w:eastAsia="es-ES"/>
        </w:rPr>
        <w:t xml:space="preserve"> debe tenerse en cuenta que la Ley 2022 fue sancionada por el </w:t>
      </w:r>
      <w:proofErr w:type="gramStart"/>
      <w:r w:rsidRPr="002E7F83">
        <w:rPr>
          <w:rFonts w:ascii="Arial" w:eastAsia="Calibri" w:hAnsi="Arial" w:cs="Arial"/>
          <w:color w:val="000000"/>
          <w:sz w:val="22"/>
          <w:szCs w:val="22"/>
          <w:lang w:val="es-ES" w:eastAsia="es-ES"/>
        </w:rPr>
        <w:t>Presidente</w:t>
      </w:r>
      <w:proofErr w:type="gramEnd"/>
      <w:r w:rsidRPr="002E7F83">
        <w:rPr>
          <w:rFonts w:ascii="Arial" w:eastAsia="Calibri" w:hAnsi="Arial" w:cs="Arial"/>
          <w:color w:val="000000"/>
          <w:sz w:val="22"/>
          <w:szCs w:val="22"/>
          <w:lang w:val="es-ES" w:eastAsia="es-ES"/>
        </w:rPr>
        <w:t xml:space="preserve"> de la República el 22 de julio de 2020. Su artículo 1 modificó el artículo 4 de la Ley 1882 de 2018 y, por tanto, modificó el parágrafo 7 del artículo 2 de la Ley 1150 de </w:t>
      </w:r>
      <w:r w:rsidRPr="002E7F83">
        <w:rPr>
          <w:rFonts w:ascii="Arial" w:eastAsia="Calibri" w:hAnsi="Arial" w:cs="Arial"/>
          <w:color w:val="000000"/>
          <w:sz w:val="22"/>
          <w:szCs w:val="22"/>
          <w:lang w:val="es-ES" w:eastAsia="es-ES"/>
        </w:rPr>
        <w:lastRenderedPageBreak/>
        <w:t>2007, asignando directamente a la Agencia Nacional de Contratación Pública – Colombia Compra Eficiente la facultad para adoptar los documentos tipo</w:t>
      </w:r>
      <w:r w:rsidRPr="002E7F83">
        <w:rPr>
          <w:rFonts w:ascii="Arial" w:eastAsia="Calibri" w:hAnsi="Arial" w:cs="Arial"/>
          <w:color w:val="000000"/>
          <w:sz w:val="22"/>
          <w:szCs w:val="22"/>
          <w:vertAlign w:val="superscript"/>
          <w:lang w:val="es-ES" w:eastAsia="es-ES"/>
        </w:rPr>
        <w:footnoteReference w:id="4"/>
      </w:r>
      <w:r w:rsidRPr="002E7F83">
        <w:rPr>
          <w:rFonts w:ascii="Arial" w:eastAsia="Calibri" w:hAnsi="Arial" w:cs="Arial"/>
          <w:color w:val="000000"/>
          <w:sz w:val="22"/>
          <w:szCs w:val="22"/>
          <w:lang w:val="es-ES" w:eastAsia="es-ES"/>
        </w:rPr>
        <w:t xml:space="preserve">.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profirió la Resolución 240 del 27 de noviembre de 2020, «Por la cual se actualizan los Documentos Tipo para los procesos de selección de licitación de obra pública de infraestructura de transporte y se deroga la Resolución 0045 de 2020». </w:t>
      </w:r>
    </w:p>
    <w:p w14:paraId="311D0668" w14:textId="77777777" w:rsidR="003C499B" w:rsidRPr="002E7F83" w:rsidRDefault="003C499B" w:rsidP="002E7F83">
      <w:pPr>
        <w:spacing w:before="120" w:after="120" w:line="276" w:lineRule="auto"/>
        <w:ind w:firstLine="709"/>
        <w:jc w:val="both"/>
        <w:rPr>
          <w:rFonts w:ascii="Arial" w:eastAsia="Calibri" w:hAnsi="Arial" w:cs="Arial"/>
          <w:color w:val="000000"/>
          <w:sz w:val="22"/>
          <w:szCs w:val="22"/>
          <w:lang w:val="es-ES" w:eastAsia="es-ES"/>
        </w:rPr>
      </w:pPr>
      <w:r w:rsidRPr="002E7F83">
        <w:rPr>
          <w:rFonts w:ascii="Arial" w:eastAsia="Calibri" w:hAnsi="Arial" w:cs="Arial"/>
          <w:color w:val="000000"/>
          <w:sz w:val="22"/>
          <w:szCs w:val="22"/>
          <w:lang w:val="es-ES" w:eastAsia="es-ES"/>
        </w:rPr>
        <w:t xml:space="preserve">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entró en vigencia la Resolución 256 de 2020, «Por la cual se adoptan los documentos tipo para los procesos de selección de concursos de méritos, para contratar la interventoría de obras públicas de infraestructura de transporte». Por otra </w:t>
      </w:r>
      <w:r w:rsidRPr="002E7F83">
        <w:rPr>
          <w:rFonts w:ascii="Arial" w:eastAsia="Calibri" w:hAnsi="Arial" w:cs="Arial"/>
          <w:color w:val="000000"/>
          <w:sz w:val="22"/>
          <w:szCs w:val="22"/>
          <w:lang w:val="es-ES" w:eastAsia="es-ES"/>
        </w:rPr>
        <w:lastRenderedPageBreak/>
        <w:t>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y la Resolución 269 de 2020, «Por la cual se adopta el documento tipo para los procesos de gestión catastral con enfoque multipropósito que se celebren a través de contratos interadministrativos».</w:t>
      </w:r>
    </w:p>
    <w:p w14:paraId="418BA124" w14:textId="77777777" w:rsidR="003C499B" w:rsidRPr="002E7F83" w:rsidRDefault="003C499B" w:rsidP="003C499B">
      <w:pPr>
        <w:autoSpaceDE w:val="0"/>
        <w:autoSpaceDN w:val="0"/>
        <w:adjustRightInd w:val="0"/>
        <w:spacing w:line="276" w:lineRule="auto"/>
        <w:ind w:firstLine="708"/>
        <w:jc w:val="both"/>
        <w:rPr>
          <w:rFonts w:ascii="Arial" w:eastAsia="Calibri" w:hAnsi="Arial" w:cs="Arial"/>
          <w:color w:val="0D0D0D"/>
          <w:sz w:val="22"/>
          <w:szCs w:val="22"/>
          <w:bdr w:val="none" w:sz="0" w:space="0" w:color="auto" w:frame="1"/>
          <w:lang w:val="es-MX" w:eastAsia="es-CO"/>
        </w:rPr>
      </w:pPr>
      <w:r w:rsidRPr="002E7F83">
        <w:rPr>
          <w:rFonts w:ascii="Arial" w:eastAsia="Calibri" w:hAnsi="Arial" w:cs="Arial"/>
          <w:color w:val="0D0D0D"/>
          <w:sz w:val="22"/>
          <w:szCs w:val="22"/>
          <w:bdr w:val="none" w:sz="0" w:space="0" w:color="auto" w:frame="1"/>
          <w:lang w:val="es-MX" w:eastAsia="es-CO"/>
        </w:rPr>
        <w:t>Ahora bien, con la expedición de la Ley de Emprendimiento, estos documentos tipo, se ajustaron mediante la Resolución No. 161 del 17 de junio de 2021, «Por la cual se modifican los documentos tipo adoptados por la Agencia Nacional de Contratación Pública – Colombia Compra Eficiente», la cual rige para los procedimientos de selección cuya invitación o aviso de convocatoria se publique a partir del 28 de junio de 2021. Así mismo, mediante la Resolución 173 del 8 de junio de 2021, «</w:t>
      </w:r>
      <w:r w:rsidRPr="002E7F83">
        <w:rPr>
          <w:rFonts w:ascii="Arial" w:hAnsi="Arial" w:cs="Arial"/>
          <w:sz w:val="22"/>
          <w:szCs w:val="22"/>
        </w:rPr>
        <w:t>Por la cual se modifican los documentos tipo para los procesos de licitación pública para obras de infraestructura de agua potable y saneamiento básico adoptados por la Agencia Nacional de Contratación Pública - Colombia Compra Eficiente mediante las Resoluciones 248 y 249 del 1 de diciembre de 2020», se modificó la «Matriz 1 – Experiencia» de los documentos tipo para los procesos de licitación pública para obras de infraestructura de agua potable y saneamiento básico y agua potable y saneamiento básico en la modalidad de llave en mano, la cual aplica para los procesos de selección cuyo aviso de convocatoria se publique a partir del 12 de julio de 2021.</w:t>
      </w:r>
    </w:p>
    <w:p w14:paraId="24B1C85B" w14:textId="77777777" w:rsidR="003C499B" w:rsidRPr="002E7F83" w:rsidRDefault="003C499B" w:rsidP="003C499B">
      <w:pPr>
        <w:spacing w:before="120" w:line="276" w:lineRule="auto"/>
        <w:ind w:firstLine="709"/>
        <w:jc w:val="both"/>
        <w:rPr>
          <w:rFonts w:ascii="Arial" w:eastAsia="Calibri" w:hAnsi="Arial" w:cs="Arial"/>
          <w:color w:val="000000"/>
          <w:sz w:val="22"/>
          <w:szCs w:val="22"/>
          <w:lang w:val="es-ES" w:eastAsia="es-ES"/>
        </w:rPr>
      </w:pPr>
      <w:r w:rsidRPr="002E7F83">
        <w:rPr>
          <w:rFonts w:ascii="Arial" w:eastAsia="Calibri" w:hAnsi="Arial" w:cs="Arial"/>
          <w:color w:val="000000"/>
          <w:sz w:val="22"/>
          <w:szCs w:val="22"/>
          <w:lang w:val="es-ES" w:eastAsia="es-ES"/>
        </w:rPr>
        <w:t>En el transcurso del año 2021, esta Agencia expidió la Resolución 193 del 14 de julio de 2021 «Por la cual se adoptan los documentos tipo para los procesos de selección de concurso de méritos, para contratar la consultoría de estudios de ingeniería de infraestructura de transporte». De igual forma, el 6 de agosto de 2021, se adoptaron las Resoluciones 219 del 6 de agosto 2021 «Por la cual se adoptan los documentos tipo para los procesos de licitación de obra pública de infraestructura social», 220 del 6 de agosto 2021 «Por la cual se adoptan los documentos tipo complementarios para los procesos de licitación de obra pública de infraestructura social relacionados con el sector educativo».</w:t>
      </w:r>
    </w:p>
    <w:p w14:paraId="53602293" w14:textId="77777777" w:rsidR="003C499B" w:rsidRPr="002E7F83" w:rsidRDefault="003C499B" w:rsidP="003C499B">
      <w:pPr>
        <w:spacing w:before="120" w:line="276" w:lineRule="auto"/>
        <w:ind w:firstLine="709"/>
        <w:jc w:val="both"/>
        <w:rPr>
          <w:rFonts w:ascii="Arial" w:eastAsia="Arial" w:hAnsi="Arial" w:cs="Arial"/>
          <w:bCs/>
          <w:sz w:val="22"/>
          <w:szCs w:val="22"/>
          <w:lang w:eastAsia="es-ES" w:bidi="es-ES"/>
        </w:rPr>
      </w:pPr>
      <w:r w:rsidRPr="002E7F83">
        <w:rPr>
          <w:rFonts w:ascii="Arial" w:eastAsia="Arial" w:hAnsi="Arial" w:cs="Arial"/>
          <w:bCs/>
          <w:sz w:val="22"/>
          <w:szCs w:val="22"/>
          <w:lang w:val="es-ES_tradnl" w:eastAsia="es-ES" w:bidi="es-ES"/>
        </w:rPr>
        <w:t>Es preciso señalar que el pasado 13 de octubre esta Agencia expidió la Resolución 304 del 2021</w:t>
      </w:r>
      <w:r w:rsidRPr="002E7F83">
        <w:rPr>
          <w:rFonts w:ascii="Arial" w:eastAsia="Arial" w:hAnsi="Arial" w:cs="Arial"/>
          <w:sz w:val="22"/>
          <w:szCs w:val="22"/>
          <w:lang w:eastAsia="es-ES" w:bidi="es-ES"/>
        </w:rPr>
        <w:t xml:space="preserve"> </w:t>
      </w:r>
      <w:r w:rsidRPr="002E7F83">
        <w:rPr>
          <w:rFonts w:ascii="Arial" w:eastAsia="Arial" w:hAnsi="Arial" w:cs="Arial"/>
          <w:bCs/>
          <w:sz w:val="22"/>
          <w:szCs w:val="22"/>
          <w:lang w:val="es-ES_tradnl" w:eastAsia="es-ES" w:bidi="es-ES"/>
        </w:rPr>
        <w:t>«</w:t>
      </w:r>
      <w:r w:rsidRPr="002E7F83">
        <w:rPr>
          <w:rFonts w:ascii="Arial" w:eastAsia="Arial" w:hAnsi="Arial" w:cs="Arial"/>
          <w:bCs/>
          <w:sz w:val="22"/>
          <w:szCs w:val="22"/>
          <w:lang w:eastAsia="es-ES" w:bidi="es-ES"/>
        </w:rPr>
        <w:t>Por la cual se modifican los Documentos Tipo adoptados por la Agencia Nacional de Contratación Pública – Colombia Compra Eficiente</w:t>
      </w:r>
      <w:r w:rsidRPr="002E7F83">
        <w:rPr>
          <w:rFonts w:ascii="Arial" w:eastAsia="Arial" w:hAnsi="Arial" w:cs="Arial"/>
          <w:bCs/>
          <w:sz w:val="22"/>
          <w:szCs w:val="22"/>
          <w:lang w:val="es-ES_tradnl" w:eastAsia="es-ES" w:bidi="es-ES"/>
        </w:rPr>
        <w:t>», mediante la cual se ajustan los documentos tipo de acuerdo con las disposiciones del Decreto 680 de 2021 y se modifican otros aspectos de estos documentos</w:t>
      </w:r>
      <w:r w:rsidRPr="002E7F83">
        <w:rPr>
          <w:rFonts w:ascii="Arial" w:eastAsia="Arial" w:hAnsi="Arial" w:cs="Arial"/>
          <w:bCs/>
          <w:sz w:val="22"/>
          <w:szCs w:val="22"/>
          <w:lang w:eastAsia="es-ES" w:bidi="es-ES"/>
        </w:rPr>
        <w:t>.</w:t>
      </w:r>
    </w:p>
    <w:p w14:paraId="2A1B413D" w14:textId="77777777" w:rsidR="003C499B" w:rsidRPr="002E7F83" w:rsidRDefault="003C499B" w:rsidP="003C499B">
      <w:pPr>
        <w:spacing w:before="120" w:line="276" w:lineRule="auto"/>
        <w:ind w:firstLine="709"/>
        <w:jc w:val="both"/>
        <w:rPr>
          <w:rFonts w:ascii="Arial" w:eastAsia="Calibri" w:hAnsi="Arial" w:cs="Arial"/>
          <w:color w:val="000000"/>
          <w:sz w:val="22"/>
          <w:szCs w:val="22"/>
          <w:lang w:val="es-ES" w:eastAsia="es-ES"/>
        </w:rPr>
      </w:pPr>
      <w:r w:rsidRPr="002E7F83">
        <w:rPr>
          <w:rFonts w:ascii="Arial" w:eastAsia="Calibri" w:hAnsi="Arial" w:cs="Arial"/>
          <w:color w:val="000000"/>
          <w:sz w:val="22"/>
          <w:szCs w:val="22"/>
          <w:lang w:val="es-ES" w:eastAsia="es-ES"/>
        </w:rPr>
        <w:t>Finalmente, esta Agencia expidió la Resolución 392 del 18 de noviembre de 2021, «</w:t>
      </w:r>
      <w:r w:rsidRPr="002E7F83">
        <w:rPr>
          <w:rFonts w:ascii="Arial" w:hAnsi="Arial" w:cs="Arial"/>
          <w:sz w:val="22"/>
          <w:szCs w:val="22"/>
        </w:rPr>
        <w:t xml:space="preserve">Por la cual se adoptan los documentos tipo complementarios para los procesos de licitación de obra pública de infraestructura social relacionados con el sector salud», y la </w:t>
      </w:r>
      <w:r w:rsidRPr="002E7F83">
        <w:rPr>
          <w:rFonts w:ascii="Arial" w:hAnsi="Arial" w:cs="Arial"/>
          <w:sz w:val="22"/>
          <w:szCs w:val="22"/>
        </w:rPr>
        <w:lastRenderedPageBreak/>
        <w:t xml:space="preserve">Resolución 454 del 16 de diciembre de 2021, «Por la cual se adoptan los documentos tipo complementarios para los procesos de licitación de obra pública de infraestructura social relacionados con el sector cultura, recreación y deporte». </w:t>
      </w:r>
      <w:r w:rsidRPr="002E7F83">
        <w:rPr>
          <w:rFonts w:ascii="Arial" w:eastAsia="Calibri" w:hAnsi="Arial" w:cs="Arial"/>
          <w:color w:val="000000"/>
          <w:sz w:val="22"/>
          <w:szCs w:val="22"/>
          <w:lang w:val="es-ES" w:eastAsia="es-ES"/>
        </w:rPr>
        <w:t>Estos últimos tienen la particularidad de que los documentos adoptados por la Resolución de 219 de 2021 serán utilizados en forma transversal en los sectores de educación, salud y recreación, cultura y deporte.</w:t>
      </w:r>
    </w:p>
    <w:p w14:paraId="72A280D9" w14:textId="77777777" w:rsidR="003C499B" w:rsidRPr="00E06FB8" w:rsidRDefault="003C499B" w:rsidP="003C499B">
      <w:pPr>
        <w:pStyle w:val="xmsonospacing"/>
        <w:spacing w:before="120" w:beforeAutospacing="0" w:after="0" w:afterAutospacing="0" w:line="276" w:lineRule="auto"/>
        <w:ind w:firstLine="708"/>
        <w:jc w:val="both"/>
        <w:rPr>
          <w:rFonts w:ascii="Arial" w:eastAsia="Calibri" w:hAnsi="Arial" w:cs="Arial"/>
          <w:color w:val="000000"/>
          <w:sz w:val="22"/>
          <w:szCs w:val="22"/>
          <w:lang w:val="es-ES_tradnl" w:eastAsia="es-ES"/>
        </w:rPr>
      </w:pPr>
      <w:r w:rsidRPr="00E06FB8">
        <w:rPr>
          <w:rFonts w:ascii="Arial" w:eastAsia="Calibri" w:hAnsi="Arial" w:cs="Arial"/>
          <w:color w:val="000000"/>
          <w:sz w:val="22"/>
          <w:szCs w:val="22"/>
          <w:lang w:val="es-ES" w:eastAsia="es-ES"/>
        </w:rPr>
        <w:t xml:space="preserve"> </w:t>
      </w:r>
      <w:r w:rsidRPr="00E06FB8">
        <w:rPr>
          <w:rFonts w:ascii="Arial" w:eastAsia="Calibri" w:hAnsi="Arial" w:cs="Arial"/>
          <w:color w:val="000000"/>
          <w:sz w:val="22"/>
          <w:szCs w:val="22"/>
          <w:lang w:val="es-ES_tradnl" w:eastAsia="es-ES"/>
        </w:rPr>
        <w:t xml:space="preserve">Las resoluciones señaladas </w:t>
      </w:r>
      <w:r w:rsidRPr="00E06FB8">
        <w:rPr>
          <w:rFonts w:ascii="Arial" w:hAnsi="Arial" w:cs="Arial"/>
          <w:color w:val="000000"/>
          <w:sz w:val="22"/>
          <w:szCs w:val="22"/>
          <w:bdr w:val="none" w:sz="0" w:space="0" w:color="auto" w:frame="1"/>
        </w:rPr>
        <w:t>reiteran el alcance de la obligatoriedad de los documentos tipo en la materia</w:t>
      </w:r>
      <w:r w:rsidRPr="00E06FB8">
        <w:rPr>
          <w:rFonts w:ascii="Arial" w:eastAsia="Calibri" w:hAnsi="Arial" w:cs="Arial"/>
          <w:color w:val="000000"/>
          <w:sz w:val="22"/>
          <w:szCs w:val="22"/>
          <w:lang w:val="es-ES_tradnl" w:eastAsia="es-ES"/>
        </w:rPr>
        <w:t xml:space="preserve"> y establecen parámetros obligatorios para las entidades estatales cuya contratación se rija por el Estatuto General de Contratación de la Administración Pública, siempre que las actividades que se contraten estén incluidas en la «Matriz 1 – Experiencia», de acuerdo con el documento tipo a aplicar. </w:t>
      </w:r>
      <w:r w:rsidRPr="00E06FB8">
        <w:rPr>
          <w:rFonts w:ascii="Arial" w:eastAsia="Calibri" w:hAnsi="Arial" w:cs="Arial"/>
          <w:color w:val="000000" w:themeColor="text1"/>
          <w:sz w:val="22"/>
          <w:szCs w:val="22"/>
          <w:lang w:val="es-ES_tradnl" w:eastAsia="es-ES"/>
        </w:rPr>
        <w:t>Así, para determinar el ámbito de aplicación de los documentos tipo debe acudirse a la «Matriz 1 – Experiencia», en la que se contemplan las clases de obra aplicables al sector, sean de infraestructura de transporte, agua potable y saneamiento básico o infraestructura social.</w:t>
      </w:r>
    </w:p>
    <w:p w14:paraId="5F35EDCE" w14:textId="77777777" w:rsidR="003C499B" w:rsidRPr="002E7F83" w:rsidRDefault="003C499B" w:rsidP="003C499B">
      <w:pPr>
        <w:spacing w:before="120" w:line="276" w:lineRule="auto"/>
        <w:ind w:firstLine="709"/>
        <w:jc w:val="both"/>
        <w:rPr>
          <w:rFonts w:ascii="Arial" w:eastAsia="Calibri" w:hAnsi="Arial" w:cs="Arial"/>
          <w:color w:val="000000"/>
          <w:sz w:val="22"/>
          <w:szCs w:val="22"/>
          <w:lang w:val="es-ES" w:eastAsia="es-ES"/>
        </w:rPr>
      </w:pPr>
      <w:r w:rsidRPr="002E7F83">
        <w:rPr>
          <w:rFonts w:ascii="Arial" w:eastAsia="Calibri" w:hAnsi="Arial" w:cs="Arial"/>
          <w:color w:val="000000"/>
          <w:sz w:val="22"/>
          <w:szCs w:val="22"/>
          <w:lang w:val="es-ES" w:eastAsia="es-ES"/>
        </w:rPr>
        <w:t xml:space="preserve">En síntesis, hasta el momento se han expedido los siguientes documentos tipo que son obligatorios para todas las entidades sometidas al Estatuto General de Contratación de la Administración Pública: </w:t>
      </w:r>
    </w:p>
    <w:p w14:paraId="32F0E41C" w14:textId="77777777" w:rsidR="003C499B" w:rsidRPr="002E7F83" w:rsidRDefault="003C499B" w:rsidP="003C499B">
      <w:pPr>
        <w:spacing w:before="120" w:line="276" w:lineRule="auto"/>
        <w:ind w:firstLine="709"/>
        <w:jc w:val="both"/>
        <w:rPr>
          <w:rFonts w:ascii="Arial" w:eastAsia="Calibri" w:hAnsi="Arial" w:cs="Arial"/>
          <w:color w:val="000000"/>
          <w:sz w:val="22"/>
          <w:szCs w:val="22"/>
          <w:lang w:val="es-ES" w:eastAsia="es-ES"/>
        </w:rPr>
      </w:pPr>
      <w:r w:rsidRPr="002E7F83">
        <w:rPr>
          <w:rFonts w:ascii="Arial" w:eastAsia="Calibri" w:hAnsi="Arial" w:cs="Arial"/>
          <w:color w:val="000000"/>
          <w:sz w:val="22"/>
          <w:szCs w:val="22"/>
          <w:lang w:val="es-ES" w:eastAsia="es-ES"/>
        </w:rPr>
        <w:t xml:space="preserve">i) Documentos tipo para licitación de obra pública de infraestructura de transporte –versión 1–, obligatorios para los procesos cuyo aviso de convocatoria se haya publicado desde el 1 de abril de 2019. </w:t>
      </w:r>
    </w:p>
    <w:p w14:paraId="5E6BCBB4" w14:textId="77777777" w:rsidR="003C499B" w:rsidRPr="002E7F83" w:rsidRDefault="003C499B" w:rsidP="003C499B">
      <w:pPr>
        <w:spacing w:before="120" w:line="276" w:lineRule="auto"/>
        <w:ind w:firstLine="709"/>
        <w:jc w:val="both"/>
        <w:rPr>
          <w:rFonts w:ascii="Arial" w:eastAsia="Calibri" w:hAnsi="Arial" w:cs="Arial"/>
          <w:color w:val="000000"/>
          <w:sz w:val="22"/>
          <w:szCs w:val="22"/>
          <w:lang w:val="es-ES" w:eastAsia="es-ES"/>
        </w:rPr>
      </w:pPr>
      <w:proofErr w:type="spellStart"/>
      <w:r w:rsidRPr="002E7F83">
        <w:rPr>
          <w:rFonts w:ascii="Arial" w:eastAsia="Calibri" w:hAnsi="Arial" w:cs="Arial"/>
          <w:color w:val="000000"/>
          <w:sz w:val="22"/>
          <w:szCs w:val="22"/>
          <w:lang w:val="es-ES" w:eastAsia="es-ES"/>
        </w:rPr>
        <w:t>ii</w:t>
      </w:r>
      <w:proofErr w:type="spellEnd"/>
      <w:r w:rsidRPr="002E7F83">
        <w:rPr>
          <w:rFonts w:ascii="Arial" w:eastAsia="Calibri" w:hAnsi="Arial" w:cs="Arial"/>
          <w:color w:val="000000"/>
          <w:sz w:val="22"/>
          <w:szCs w:val="22"/>
          <w:lang w:val="es-ES" w:eastAsia="es-ES"/>
        </w:rPr>
        <w:t>) Documentos tipo para licitación de obra pública de infraestructura de transporte –versión 2–, obligatorios para los procesos cuyo aviso de convocatoria se haya publicado desde el 10 de marzo de 2020.</w:t>
      </w:r>
    </w:p>
    <w:p w14:paraId="6872A7CF" w14:textId="77777777" w:rsidR="003C499B" w:rsidRPr="002E7F83" w:rsidRDefault="003C499B" w:rsidP="003C499B">
      <w:pPr>
        <w:spacing w:before="120" w:line="276" w:lineRule="auto"/>
        <w:ind w:firstLine="709"/>
        <w:jc w:val="both"/>
        <w:rPr>
          <w:rFonts w:ascii="Arial" w:eastAsia="Calibri" w:hAnsi="Arial" w:cs="Arial"/>
          <w:color w:val="000000"/>
          <w:sz w:val="22"/>
          <w:szCs w:val="22"/>
          <w:lang w:val="es-ES" w:eastAsia="es-ES"/>
        </w:rPr>
      </w:pPr>
      <w:proofErr w:type="spellStart"/>
      <w:r w:rsidRPr="002E7F83">
        <w:rPr>
          <w:rFonts w:ascii="Arial" w:eastAsia="Calibri" w:hAnsi="Arial" w:cs="Arial"/>
          <w:color w:val="000000"/>
          <w:sz w:val="22"/>
          <w:szCs w:val="22"/>
          <w:lang w:val="es-ES" w:eastAsia="es-ES"/>
        </w:rPr>
        <w:t>iii</w:t>
      </w:r>
      <w:proofErr w:type="spellEnd"/>
      <w:r w:rsidRPr="002E7F83">
        <w:rPr>
          <w:rFonts w:ascii="Arial" w:eastAsia="Calibri" w:hAnsi="Arial" w:cs="Arial"/>
          <w:color w:val="000000"/>
          <w:sz w:val="22"/>
          <w:szCs w:val="22"/>
          <w:lang w:val="es-ES" w:eastAsia="es-ES"/>
        </w:rPr>
        <w:t>) Documentos tipo para licitación de obra pública de infraestructura de transporte –versión 3–, obligatorios para los procesos cuyo aviso de convocatoria se haya publicado desde el 1 de enero de 2021.</w:t>
      </w:r>
    </w:p>
    <w:p w14:paraId="119C8DDD" w14:textId="77777777" w:rsidR="003C499B" w:rsidRPr="002E7F83" w:rsidRDefault="003C499B" w:rsidP="003C499B">
      <w:pPr>
        <w:spacing w:before="120" w:line="276" w:lineRule="auto"/>
        <w:ind w:firstLine="709"/>
        <w:jc w:val="both"/>
        <w:rPr>
          <w:rFonts w:ascii="Arial" w:eastAsia="Calibri" w:hAnsi="Arial" w:cs="Arial"/>
          <w:color w:val="000000"/>
          <w:sz w:val="22"/>
          <w:szCs w:val="22"/>
          <w:lang w:val="es-ES" w:eastAsia="es-ES"/>
        </w:rPr>
      </w:pPr>
      <w:proofErr w:type="spellStart"/>
      <w:r w:rsidRPr="002E7F83">
        <w:rPr>
          <w:rFonts w:ascii="Arial" w:eastAsia="Calibri" w:hAnsi="Arial" w:cs="Arial"/>
          <w:color w:val="000000"/>
          <w:sz w:val="22"/>
          <w:szCs w:val="22"/>
          <w:lang w:val="es-ES" w:eastAsia="es-ES"/>
        </w:rPr>
        <w:t>iv</w:t>
      </w:r>
      <w:proofErr w:type="spellEnd"/>
      <w:r w:rsidRPr="002E7F83">
        <w:rPr>
          <w:rFonts w:ascii="Arial" w:eastAsia="Calibri" w:hAnsi="Arial" w:cs="Arial"/>
          <w:color w:val="000000"/>
          <w:sz w:val="22"/>
          <w:szCs w:val="22"/>
          <w:lang w:val="es-ES" w:eastAsia="es-ES"/>
        </w:rPr>
        <w:t>) Documentos tipo para procesos de selección abreviada de menor cuantía de infraestructura de transporte –versión 1–, obligatorios para los procesos cuyo aviso de convocatoria se haya publicado desde el 17 de febrero de 2020.</w:t>
      </w:r>
    </w:p>
    <w:p w14:paraId="3DFB0CB6" w14:textId="77777777" w:rsidR="003C499B" w:rsidRPr="002E7F83" w:rsidRDefault="003C499B" w:rsidP="003C499B">
      <w:pPr>
        <w:spacing w:before="120" w:line="276" w:lineRule="auto"/>
        <w:ind w:firstLine="709"/>
        <w:jc w:val="both"/>
        <w:rPr>
          <w:rFonts w:ascii="Arial" w:eastAsia="Calibri" w:hAnsi="Arial" w:cs="Arial"/>
          <w:color w:val="000000"/>
          <w:sz w:val="22"/>
          <w:szCs w:val="22"/>
          <w:lang w:val="es-ES" w:eastAsia="es-ES"/>
        </w:rPr>
      </w:pPr>
      <w:r w:rsidRPr="002E7F83">
        <w:rPr>
          <w:rFonts w:ascii="Arial" w:eastAsia="Calibri" w:hAnsi="Arial" w:cs="Arial"/>
          <w:color w:val="000000"/>
          <w:sz w:val="22"/>
          <w:szCs w:val="22"/>
          <w:lang w:val="es-ES" w:eastAsia="es-ES"/>
        </w:rPr>
        <w:t xml:space="preserve">v) Documentos tipo para procesos de selección abreviada de menor cuantía de infraestructura de transporte –versión 2–, obligatorios para los procesos cuyo aviso de convocatoria se haya publicado desde el 1 de enero de 2021. </w:t>
      </w:r>
    </w:p>
    <w:p w14:paraId="63236926" w14:textId="77777777" w:rsidR="003C499B" w:rsidRPr="002E7F83" w:rsidRDefault="003C499B" w:rsidP="003C499B">
      <w:pPr>
        <w:spacing w:before="120" w:line="276" w:lineRule="auto"/>
        <w:ind w:firstLine="709"/>
        <w:jc w:val="both"/>
        <w:rPr>
          <w:rFonts w:ascii="Arial" w:eastAsia="Calibri" w:hAnsi="Arial" w:cs="Arial"/>
          <w:color w:val="000000"/>
          <w:sz w:val="22"/>
          <w:szCs w:val="22"/>
          <w:lang w:val="es-ES" w:eastAsia="es-ES"/>
        </w:rPr>
      </w:pPr>
      <w:r w:rsidRPr="002E7F83">
        <w:rPr>
          <w:rFonts w:ascii="Arial" w:eastAsia="Calibri" w:hAnsi="Arial" w:cs="Arial"/>
          <w:color w:val="000000"/>
          <w:sz w:val="22"/>
          <w:szCs w:val="22"/>
          <w:lang w:val="es-ES" w:eastAsia="es-ES"/>
        </w:rPr>
        <w:t>vi) Documentos tipo para procesos de mínima cuantía de infraestructura de transporte, obligatorios para los procesos cuya invitación pública se haya publicado a partir del 10 de junio de 2020.</w:t>
      </w:r>
    </w:p>
    <w:p w14:paraId="6085B823" w14:textId="77777777" w:rsidR="003C499B" w:rsidRPr="002E7F83" w:rsidRDefault="003C499B" w:rsidP="003C499B">
      <w:pPr>
        <w:spacing w:before="120" w:line="276" w:lineRule="auto"/>
        <w:ind w:firstLine="709"/>
        <w:jc w:val="both"/>
        <w:rPr>
          <w:rFonts w:ascii="Arial" w:eastAsia="Calibri" w:hAnsi="Arial" w:cs="Arial"/>
          <w:color w:val="000000"/>
          <w:sz w:val="22"/>
          <w:szCs w:val="22"/>
          <w:lang w:val="es-ES" w:eastAsia="es-ES"/>
        </w:rPr>
      </w:pPr>
      <w:proofErr w:type="spellStart"/>
      <w:r w:rsidRPr="002E7F83">
        <w:rPr>
          <w:rFonts w:ascii="Arial" w:eastAsia="Calibri" w:hAnsi="Arial" w:cs="Arial"/>
          <w:color w:val="000000"/>
          <w:sz w:val="22"/>
          <w:szCs w:val="22"/>
          <w:lang w:val="es-ES" w:eastAsia="es-ES"/>
        </w:rPr>
        <w:lastRenderedPageBreak/>
        <w:t>vii</w:t>
      </w:r>
      <w:proofErr w:type="spellEnd"/>
      <w:r w:rsidRPr="002E7F83">
        <w:rPr>
          <w:rFonts w:ascii="Arial" w:eastAsia="Calibri" w:hAnsi="Arial" w:cs="Arial"/>
          <w:color w:val="000000"/>
          <w:sz w:val="22"/>
          <w:szCs w:val="22"/>
          <w:lang w:val="es-ES" w:eastAsia="es-ES"/>
        </w:rPr>
        <w:t>) Documentos tipo para procesos de concurso de méritos para contratar la interventoría de obras públicas de infraestructura de transporte, obligatorios para los procesos cuyo aviso de convocatoria se haya publicado desde el 1 de enero de 2021.</w:t>
      </w:r>
    </w:p>
    <w:p w14:paraId="04F5EEAF" w14:textId="77777777" w:rsidR="003C499B" w:rsidRPr="002E7F83" w:rsidRDefault="003C499B" w:rsidP="003C499B">
      <w:pPr>
        <w:spacing w:before="120" w:line="276" w:lineRule="auto"/>
        <w:ind w:firstLine="709"/>
        <w:jc w:val="both"/>
        <w:rPr>
          <w:rFonts w:ascii="Arial" w:eastAsia="Calibri" w:hAnsi="Arial" w:cs="Arial"/>
          <w:color w:val="000000"/>
          <w:sz w:val="22"/>
          <w:szCs w:val="22"/>
          <w:lang w:val="es-ES" w:eastAsia="es-ES"/>
        </w:rPr>
      </w:pPr>
      <w:proofErr w:type="spellStart"/>
      <w:r w:rsidRPr="002E7F83">
        <w:rPr>
          <w:rFonts w:ascii="Arial" w:eastAsia="Calibri" w:hAnsi="Arial" w:cs="Arial"/>
          <w:color w:val="000000"/>
          <w:sz w:val="22"/>
          <w:szCs w:val="22"/>
          <w:lang w:val="es-ES" w:eastAsia="es-ES"/>
        </w:rPr>
        <w:t>viii</w:t>
      </w:r>
      <w:proofErr w:type="spellEnd"/>
      <w:r w:rsidRPr="002E7F83">
        <w:rPr>
          <w:rFonts w:ascii="Arial" w:eastAsia="Calibri" w:hAnsi="Arial" w:cs="Arial"/>
          <w:color w:val="000000"/>
          <w:sz w:val="22"/>
          <w:szCs w:val="22"/>
          <w:lang w:val="es-ES" w:eastAsia="es-ES"/>
        </w:rPr>
        <w:t>) Documentos tipo para procesos de licitación pública para obras de infraestructura de agua potable y saneamiento básico, obligatorios para los procesos cuyo aviso de convocatoria se haya publicado desde el 11 de diciembre de 2020.</w:t>
      </w:r>
    </w:p>
    <w:p w14:paraId="69D26C7D" w14:textId="77777777" w:rsidR="003C499B" w:rsidRPr="002E7F83" w:rsidRDefault="003C499B" w:rsidP="003C499B">
      <w:pPr>
        <w:spacing w:before="120" w:line="276" w:lineRule="auto"/>
        <w:ind w:firstLine="709"/>
        <w:jc w:val="both"/>
        <w:rPr>
          <w:rFonts w:ascii="Arial" w:eastAsia="Calibri" w:hAnsi="Arial" w:cs="Arial"/>
          <w:color w:val="000000"/>
          <w:sz w:val="22"/>
          <w:szCs w:val="22"/>
          <w:lang w:val="es-ES" w:eastAsia="es-ES"/>
        </w:rPr>
      </w:pPr>
      <w:proofErr w:type="spellStart"/>
      <w:r w:rsidRPr="002E7F83">
        <w:rPr>
          <w:rFonts w:ascii="Arial" w:eastAsia="Calibri" w:hAnsi="Arial" w:cs="Arial"/>
          <w:color w:val="000000"/>
          <w:sz w:val="22"/>
          <w:szCs w:val="22"/>
          <w:lang w:val="es-ES" w:eastAsia="es-ES"/>
        </w:rPr>
        <w:t>ix</w:t>
      </w:r>
      <w:proofErr w:type="spellEnd"/>
      <w:r w:rsidRPr="002E7F83">
        <w:rPr>
          <w:rFonts w:ascii="Arial" w:eastAsia="Calibri" w:hAnsi="Arial" w:cs="Arial"/>
          <w:color w:val="000000"/>
          <w:sz w:val="22"/>
          <w:szCs w:val="22"/>
          <w:lang w:val="es-ES" w:eastAsia="es-ES"/>
        </w:rPr>
        <w:t>)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4898EB19" w14:textId="77777777" w:rsidR="003C499B" w:rsidRPr="002E7F83" w:rsidRDefault="003C499B" w:rsidP="003C499B">
      <w:pPr>
        <w:spacing w:before="120" w:line="276" w:lineRule="auto"/>
        <w:ind w:firstLine="709"/>
        <w:jc w:val="both"/>
        <w:rPr>
          <w:rFonts w:ascii="Arial" w:eastAsia="Calibri" w:hAnsi="Arial" w:cs="Arial"/>
          <w:color w:val="000000"/>
          <w:sz w:val="22"/>
          <w:szCs w:val="22"/>
          <w:lang w:val="es-ES" w:eastAsia="es-ES"/>
        </w:rPr>
      </w:pPr>
      <w:r w:rsidRPr="002E7F83">
        <w:rPr>
          <w:rFonts w:ascii="Arial" w:eastAsia="Calibri" w:hAnsi="Arial" w:cs="Arial"/>
          <w:color w:val="000000"/>
          <w:sz w:val="22"/>
          <w:szCs w:val="22"/>
          <w:lang w:val="es-ES" w:eastAsia="es-ES"/>
        </w:rPr>
        <w:t>x) Documentos tipo para procesos de gestión catastral con enfoque multipropósito que se celebren a través de contratos interadministrativos, a partir del 1 de febrero de 2021.</w:t>
      </w:r>
    </w:p>
    <w:p w14:paraId="2D80094E" w14:textId="77777777" w:rsidR="003C499B" w:rsidRPr="002E7F83" w:rsidRDefault="003C499B" w:rsidP="003C499B">
      <w:pPr>
        <w:spacing w:before="120" w:line="276" w:lineRule="auto"/>
        <w:ind w:firstLine="709"/>
        <w:jc w:val="both"/>
        <w:rPr>
          <w:rFonts w:ascii="Arial" w:eastAsia="Calibri" w:hAnsi="Arial" w:cs="Arial"/>
          <w:color w:val="000000"/>
          <w:sz w:val="22"/>
          <w:szCs w:val="22"/>
          <w:lang w:val="es-ES" w:eastAsia="es-ES"/>
        </w:rPr>
      </w:pPr>
      <w:r w:rsidRPr="002E7F83">
        <w:rPr>
          <w:rFonts w:ascii="Arial" w:eastAsia="Calibri" w:hAnsi="Arial" w:cs="Arial"/>
          <w:color w:val="000000"/>
          <w:sz w:val="22"/>
          <w:szCs w:val="22"/>
          <w:lang w:val="es-ES" w:eastAsia="es-ES"/>
        </w:rPr>
        <w:t>xi) Documentos tipo para procesos de selección de concurso de méritos, para contratar la consultoría de estudios de ingeniería de infraestructura de transporte, para los procesos cuyo aviso de convocatoria se haya publicado desde 9 de agosto de 2021</w:t>
      </w:r>
    </w:p>
    <w:p w14:paraId="23F1CC68" w14:textId="77777777" w:rsidR="003C499B" w:rsidRPr="002E7F83" w:rsidRDefault="003C499B" w:rsidP="003C499B">
      <w:pPr>
        <w:spacing w:after="120" w:line="276" w:lineRule="auto"/>
        <w:ind w:firstLine="708"/>
        <w:jc w:val="both"/>
        <w:rPr>
          <w:rFonts w:ascii="Arial" w:eastAsia="Calibri" w:hAnsi="Arial" w:cs="Arial"/>
          <w:sz w:val="22"/>
          <w:szCs w:val="22"/>
          <w:lang w:val="es-ES_tradnl"/>
        </w:rPr>
      </w:pPr>
      <w:proofErr w:type="spellStart"/>
      <w:r w:rsidRPr="002E7F83">
        <w:rPr>
          <w:rFonts w:ascii="Arial" w:eastAsia="Calibri" w:hAnsi="Arial" w:cs="Arial"/>
          <w:color w:val="000000"/>
          <w:sz w:val="22"/>
          <w:szCs w:val="22"/>
          <w:lang w:val="es-ES" w:eastAsia="es-ES"/>
        </w:rPr>
        <w:t>xii</w:t>
      </w:r>
      <w:proofErr w:type="spellEnd"/>
      <w:r w:rsidRPr="002E7F83">
        <w:rPr>
          <w:rFonts w:ascii="Arial" w:eastAsia="Calibri" w:hAnsi="Arial" w:cs="Arial"/>
          <w:color w:val="000000"/>
          <w:sz w:val="22"/>
          <w:szCs w:val="22"/>
          <w:lang w:val="es-ES" w:eastAsia="es-ES"/>
        </w:rPr>
        <w:t xml:space="preserve">) Documentos tipo para procesos de licitación de obra pública de infraestructura social, que </w:t>
      </w:r>
      <w:r w:rsidRPr="002E7F83">
        <w:rPr>
          <w:rFonts w:ascii="Arial" w:hAnsi="Arial" w:cs="Arial"/>
          <w:sz w:val="22"/>
          <w:szCs w:val="22"/>
          <w:lang w:val="es-ES_tradnl"/>
        </w:rPr>
        <w:t>entrarán a regir de acuerdo con los términos establecidos en el artículo 6 de la Resolución 219 de 2021 −modificado por el artículo 1 de la Resolución 336 del 2 de noviembre de 2021−</w:t>
      </w:r>
      <w:r w:rsidRPr="002E7F83">
        <w:rPr>
          <w:rFonts w:ascii="Arial" w:eastAsia="Calibri" w:hAnsi="Arial" w:cs="Arial"/>
          <w:sz w:val="22"/>
          <w:szCs w:val="22"/>
          <w:lang w:val="es-ES_tradnl"/>
        </w:rPr>
        <w:t>.</w:t>
      </w:r>
    </w:p>
    <w:p w14:paraId="0E3B67CF" w14:textId="77777777" w:rsidR="003C499B" w:rsidRPr="002E7F83" w:rsidRDefault="003C499B" w:rsidP="003C499B">
      <w:pPr>
        <w:spacing w:after="120" w:line="276" w:lineRule="auto"/>
        <w:ind w:firstLine="708"/>
        <w:jc w:val="both"/>
        <w:rPr>
          <w:rFonts w:ascii="Arial" w:eastAsia="Calibri" w:hAnsi="Arial" w:cs="Arial"/>
          <w:sz w:val="22"/>
          <w:szCs w:val="22"/>
          <w:lang w:val="es-ES_tradnl"/>
        </w:rPr>
      </w:pPr>
      <w:proofErr w:type="spellStart"/>
      <w:r w:rsidRPr="002E7F83">
        <w:rPr>
          <w:rFonts w:ascii="Arial" w:eastAsia="Calibri" w:hAnsi="Arial" w:cs="Arial"/>
          <w:color w:val="000000"/>
          <w:sz w:val="22"/>
          <w:szCs w:val="22"/>
          <w:lang w:val="es-ES" w:eastAsia="es-ES"/>
        </w:rPr>
        <w:t>xiii</w:t>
      </w:r>
      <w:proofErr w:type="spellEnd"/>
      <w:r w:rsidRPr="002E7F83">
        <w:rPr>
          <w:rFonts w:ascii="Arial" w:eastAsia="Calibri" w:hAnsi="Arial" w:cs="Arial"/>
          <w:color w:val="000000"/>
          <w:sz w:val="22"/>
          <w:szCs w:val="22"/>
          <w:lang w:val="es-ES" w:eastAsia="es-ES"/>
        </w:rPr>
        <w:t xml:space="preserve">) Documentos tipo complementarios para los procesos de licitación de obra pública de infraestructura social relacionados con el sector educativo, que </w:t>
      </w:r>
      <w:r w:rsidRPr="002E7F83">
        <w:rPr>
          <w:rFonts w:ascii="Arial" w:hAnsi="Arial" w:cs="Arial"/>
          <w:sz w:val="22"/>
          <w:szCs w:val="22"/>
          <w:lang w:val="es-ES_tradnl"/>
        </w:rPr>
        <w:t>entrarán a regir de acuerdo con los términos establecidos en el artículo 6 de la Resolución 219 de 2021 −modificado por el artículo 1 de la Resolución 336 del 2 de noviembre de 2021−.</w:t>
      </w:r>
    </w:p>
    <w:p w14:paraId="180A2241" w14:textId="77777777" w:rsidR="003C499B" w:rsidRPr="002E7F83" w:rsidRDefault="003C499B" w:rsidP="003C499B">
      <w:pPr>
        <w:spacing w:after="120" w:line="276" w:lineRule="auto"/>
        <w:ind w:firstLine="708"/>
        <w:jc w:val="both"/>
        <w:rPr>
          <w:rFonts w:ascii="Arial" w:eastAsia="Calibri" w:hAnsi="Arial" w:cs="Arial"/>
          <w:sz w:val="22"/>
          <w:szCs w:val="22"/>
          <w:lang w:val="es-ES_tradnl"/>
        </w:rPr>
      </w:pPr>
      <w:proofErr w:type="spellStart"/>
      <w:r w:rsidRPr="002E7F83">
        <w:rPr>
          <w:rFonts w:ascii="Arial" w:eastAsia="Calibri" w:hAnsi="Arial" w:cs="Arial"/>
          <w:color w:val="000000"/>
          <w:sz w:val="22"/>
          <w:szCs w:val="22"/>
          <w:lang w:val="es-ES" w:eastAsia="es-ES"/>
        </w:rPr>
        <w:t>xiv</w:t>
      </w:r>
      <w:proofErr w:type="spellEnd"/>
      <w:r w:rsidRPr="002E7F83">
        <w:rPr>
          <w:rFonts w:ascii="Arial" w:eastAsia="Calibri" w:hAnsi="Arial" w:cs="Arial"/>
          <w:color w:val="000000"/>
          <w:sz w:val="22"/>
          <w:szCs w:val="22"/>
          <w:lang w:val="es-ES" w:eastAsia="es-ES"/>
        </w:rPr>
        <w:t xml:space="preserve">) Documentos tipo complementarios para los procesos de licitación de obra pública de infraestructura social relacionados con el sector salud, que entrarán a regir </w:t>
      </w:r>
      <w:r w:rsidRPr="002E7F83">
        <w:rPr>
          <w:rFonts w:ascii="Arial" w:hAnsi="Arial" w:cs="Arial"/>
          <w:sz w:val="22"/>
          <w:szCs w:val="22"/>
          <w:lang w:val="es-ES_tradnl"/>
        </w:rPr>
        <w:t>de acuerdo con los términos establecidos en el artículo 6 de la Resolución 219 de 2021 −modificado por el artículo 1 de la Resolución 336 del 2 de noviembre de 2021− y en el artículo 4 de la Resolución 392 de 18 de noviembre de 2021</w:t>
      </w:r>
      <w:r w:rsidRPr="002E7F83">
        <w:rPr>
          <w:rFonts w:ascii="Arial" w:eastAsia="Calibri" w:hAnsi="Arial" w:cs="Arial"/>
          <w:sz w:val="22"/>
          <w:szCs w:val="22"/>
          <w:lang w:val="es-ES_tradnl"/>
        </w:rPr>
        <w:t>.</w:t>
      </w:r>
    </w:p>
    <w:p w14:paraId="57D0D7FA" w14:textId="77777777" w:rsidR="003C499B" w:rsidRPr="002E7F83" w:rsidRDefault="003C499B" w:rsidP="003C499B">
      <w:pPr>
        <w:spacing w:after="120" w:line="276" w:lineRule="auto"/>
        <w:ind w:firstLine="708"/>
        <w:jc w:val="both"/>
        <w:rPr>
          <w:rFonts w:ascii="Arial" w:eastAsia="Calibri" w:hAnsi="Arial" w:cs="Arial"/>
          <w:sz w:val="22"/>
          <w:szCs w:val="22"/>
          <w:lang w:val="es-ES_tradnl"/>
        </w:rPr>
      </w:pPr>
      <w:proofErr w:type="spellStart"/>
      <w:r w:rsidRPr="002E7F83">
        <w:rPr>
          <w:rFonts w:ascii="Arial" w:eastAsia="Calibri" w:hAnsi="Arial" w:cs="Arial"/>
          <w:sz w:val="22"/>
          <w:szCs w:val="22"/>
          <w:lang w:val="es-ES_tradnl"/>
        </w:rPr>
        <w:t>xv</w:t>
      </w:r>
      <w:proofErr w:type="spellEnd"/>
      <w:r w:rsidRPr="002E7F83">
        <w:rPr>
          <w:rFonts w:ascii="Arial" w:eastAsia="Calibri" w:hAnsi="Arial" w:cs="Arial"/>
          <w:sz w:val="22"/>
          <w:szCs w:val="22"/>
          <w:lang w:val="es-ES_tradnl"/>
        </w:rPr>
        <w:t xml:space="preserve">) </w:t>
      </w:r>
      <w:r w:rsidRPr="002E7F83">
        <w:rPr>
          <w:rFonts w:ascii="Arial" w:eastAsia="Calibri" w:hAnsi="Arial" w:cs="Arial"/>
          <w:color w:val="000000"/>
          <w:sz w:val="22"/>
          <w:szCs w:val="22"/>
          <w:lang w:val="es-ES" w:eastAsia="es-ES"/>
        </w:rPr>
        <w:t>Documentos tipo complementarios para los procesos de licitación de obra pública de infraestructura social relacionados con el sector cultura, recreación y deporte</w:t>
      </w:r>
      <w:r w:rsidRPr="002E7F83">
        <w:rPr>
          <w:rFonts w:ascii="Arial" w:eastAsia="Calibri" w:hAnsi="Arial" w:cs="Arial"/>
          <w:sz w:val="22"/>
          <w:szCs w:val="22"/>
          <w:lang w:val="es-ES_tradnl"/>
        </w:rPr>
        <w:t xml:space="preserve">, </w:t>
      </w:r>
      <w:r w:rsidRPr="002E7F83">
        <w:rPr>
          <w:rFonts w:ascii="Arial" w:eastAsia="Calibri" w:hAnsi="Arial" w:cs="Arial"/>
          <w:color w:val="000000"/>
          <w:sz w:val="22"/>
          <w:szCs w:val="22"/>
          <w:lang w:val="es-ES" w:eastAsia="es-ES"/>
        </w:rPr>
        <w:t xml:space="preserve">que entrarán a regir </w:t>
      </w:r>
      <w:r w:rsidRPr="002E7F83">
        <w:rPr>
          <w:rFonts w:ascii="Arial" w:hAnsi="Arial" w:cs="Arial"/>
          <w:sz w:val="22"/>
          <w:szCs w:val="22"/>
          <w:lang w:val="es-ES_tradnl"/>
        </w:rPr>
        <w:t>de acuerdo con los términos establecidos en el artículo 4 de la Resolución 454 de 2021</w:t>
      </w:r>
    </w:p>
    <w:p w14:paraId="01FA6CCA" w14:textId="77777777" w:rsidR="003C499B" w:rsidRPr="002E7F83" w:rsidRDefault="003C499B" w:rsidP="003C499B">
      <w:pPr>
        <w:shd w:val="clear" w:color="auto" w:fill="FFFFFF"/>
        <w:spacing w:line="276" w:lineRule="auto"/>
        <w:ind w:firstLine="709"/>
        <w:jc w:val="both"/>
        <w:textAlignment w:val="baseline"/>
        <w:rPr>
          <w:rFonts w:ascii="Arial" w:eastAsia="Calibri" w:hAnsi="Arial" w:cs="Arial"/>
          <w:color w:val="000000"/>
          <w:sz w:val="22"/>
          <w:szCs w:val="22"/>
          <w:bdr w:val="none" w:sz="0" w:space="0" w:color="auto" w:frame="1"/>
        </w:rPr>
      </w:pPr>
      <w:r w:rsidRPr="002E7F83">
        <w:rPr>
          <w:rFonts w:ascii="Arial" w:eastAsia="Calibri" w:hAnsi="Arial" w:cs="Arial"/>
          <w:sz w:val="22"/>
          <w:szCs w:val="22"/>
        </w:rPr>
        <w:t xml:space="preserve">De acuerdo con lo expuesto, </w:t>
      </w:r>
      <w:r w:rsidRPr="002E7F83">
        <w:rPr>
          <w:rFonts w:ascii="Arial" w:eastAsia="Calibri" w:hAnsi="Arial" w:cs="Arial"/>
          <w:color w:val="000000"/>
          <w:sz w:val="22"/>
          <w:szCs w:val="22"/>
          <w:bdr w:val="none" w:sz="0" w:space="0" w:color="auto" w:frame="1"/>
        </w:rPr>
        <w:t xml:space="preserve">los documentos tipo adoptados son obligatorios para las entidades estatales cuyos contratos se rijan por el Estatuto General de la Contratación </w:t>
      </w:r>
      <w:r w:rsidRPr="002E7F83">
        <w:rPr>
          <w:rFonts w:ascii="Arial" w:eastAsia="Calibri" w:hAnsi="Arial" w:cs="Arial"/>
          <w:color w:val="000000"/>
          <w:sz w:val="22"/>
          <w:szCs w:val="22"/>
          <w:bdr w:val="none" w:sz="0" w:space="0" w:color="auto" w:frame="1"/>
        </w:rPr>
        <w:lastRenderedPageBreak/>
        <w:t xml:space="preserve">de la Administración Pública, que adelanten procesos de contratación mediante la modalidad que establecen los documentos tipo para cada sector y teniendo en cuenta el ámbito de aplicación determinado en la Matriz de Experiencia de cada documento tipo. </w:t>
      </w:r>
      <w:r w:rsidRPr="002E7F83">
        <w:rPr>
          <w:rFonts w:ascii="Arial" w:hAnsi="Arial" w:cs="Arial"/>
          <w:color w:val="000000"/>
          <w:sz w:val="22"/>
          <w:szCs w:val="22"/>
          <w:bdr w:val="none" w:sz="0" w:space="0" w:color="auto" w:frame="1"/>
          <w:lang w:eastAsia="es-ES_tradnl"/>
        </w:rPr>
        <w:t>Por tanto, estos documentos no serían obligatorios para los contratos de entidades públicas que no se rijan por la Ley 80 de 1993. Sin embargo, estas pueden observar los documentos tipo de forma facultativa, como una forma de adoptar e incorporar políticas de buenas prácticas contractuales.</w:t>
      </w:r>
    </w:p>
    <w:p w14:paraId="7F2C221F" w14:textId="77777777" w:rsidR="003C499B" w:rsidRPr="002E7F83" w:rsidRDefault="003C499B" w:rsidP="002E7F83">
      <w:pPr>
        <w:shd w:val="clear" w:color="auto" w:fill="FFFFFF"/>
        <w:ind w:firstLine="709"/>
        <w:jc w:val="both"/>
        <w:textAlignment w:val="baseline"/>
        <w:rPr>
          <w:rFonts w:ascii="Arial" w:eastAsia="Calibri" w:hAnsi="Arial" w:cs="Arial"/>
          <w:color w:val="000000"/>
          <w:sz w:val="22"/>
          <w:szCs w:val="22"/>
          <w:bdr w:val="none" w:sz="0" w:space="0" w:color="auto" w:frame="1"/>
        </w:rPr>
      </w:pPr>
    </w:p>
    <w:p w14:paraId="5B260DED" w14:textId="77777777" w:rsidR="003C499B" w:rsidRPr="002E7F83" w:rsidRDefault="003C499B" w:rsidP="003C499B">
      <w:pPr>
        <w:spacing w:line="276" w:lineRule="auto"/>
        <w:jc w:val="both"/>
        <w:rPr>
          <w:rFonts w:ascii="Arial" w:eastAsia="Calibri" w:hAnsi="Arial" w:cs="Arial"/>
          <w:b/>
          <w:bCs/>
          <w:color w:val="000000"/>
          <w:sz w:val="22"/>
          <w:szCs w:val="22"/>
        </w:rPr>
      </w:pPr>
      <w:r w:rsidRPr="002E7F83">
        <w:rPr>
          <w:rFonts w:ascii="Arial" w:eastAsia="Calibri" w:hAnsi="Arial" w:cs="Arial"/>
          <w:b/>
          <w:bCs/>
          <w:color w:val="000000"/>
          <w:sz w:val="22"/>
          <w:szCs w:val="22"/>
        </w:rPr>
        <w:t>2.2. Inalterabilidad de los documentos tipo</w:t>
      </w:r>
    </w:p>
    <w:p w14:paraId="5DF12805" w14:textId="77777777" w:rsidR="003C499B" w:rsidRPr="002E7F83" w:rsidRDefault="003C499B" w:rsidP="002E7F83">
      <w:pPr>
        <w:jc w:val="both"/>
        <w:rPr>
          <w:rFonts w:ascii="Arial" w:eastAsia="Calibri" w:hAnsi="Arial" w:cs="Arial"/>
          <w:b/>
          <w:bCs/>
          <w:color w:val="000000"/>
          <w:sz w:val="22"/>
          <w:szCs w:val="22"/>
        </w:rPr>
      </w:pPr>
    </w:p>
    <w:p w14:paraId="07992960" w14:textId="77777777" w:rsidR="003C499B" w:rsidRPr="002E7F83" w:rsidRDefault="003C499B" w:rsidP="003C499B">
      <w:pPr>
        <w:spacing w:line="276" w:lineRule="auto"/>
        <w:jc w:val="both"/>
        <w:rPr>
          <w:rFonts w:ascii="Arial" w:eastAsia="Calibri" w:hAnsi="Arial" w:cs="Arial"/>
          <w:color w:val="000000"/>
          <w:sz w:val="22"/>
          <w:szCs w:val="22"/>
          <w:lang w:val="es-ES_tradnl"/>
        </w:rPr>
      </w:pPr>
      <w:r w:rsidRPr="002E7F83">
        <w:rPr>
          <w:rFonts w:ascii="Arial" w:eastAsia="Calibri" w:hAnsi="Arial" w:cs="Arial"/>
          <w:color w:val="000000"/>
          <w:sz w:val="22"/>
          <w:szCs w:val="22"/>
          <w:lang w:val="es-ES_tradnl"/>
        </w:rPr>
        <w:t>Todas las resoluciones expedidas por la Agencia Nacional de Contratación Pública – Colombia Compra Eficiente, mediante las cuales se han adoptado los documentos tipo, consagran la regla de la inalterabilidad</w:t>
      </w:r>
      <w:r w:rsidRPr="002E7F83">
        <w:rPr>
          <w:rFonts w:ascii="Arial" w:eastAsia="Calibri" w:hAnsi="Arial" w:cs="Arial"/>
          <w:color w:val="000000"/>
          <w:sz w:val="22"/>
          <w:szCs w:val="22"/>
          <w:vertAlign w:val="superscript"/>
          <w:lang w:val="es-ES_tradnl"/>
        </w:rPr>
        <w:footnoteReference w:id="5"/>
      </w:r>
      <w:r w:rsidRPr="002E7F83">
        <w:rPr>
          <w:rFonts w:ascii="Arial" w:eastAsia="Calibri" w:hAnsi="Arial" w:cs="Arial"/>
          <w:color w:val="000000"/>
          <w:sz w:val="22"/>
          <w:szCs w:val="22"/>
          <w:lang w:val="es-ES_tradnl"/>
        </w:rPr>
        <w:t xml:space="preserve">. Esta prohibición consiste en que </w:t>
      </w:r>
      <w:bookmarkStart w:id="7" w:name="_Hlk79403115"/>
      <w:r w:rsidRPr="002E7F83">
        <w:rPr>
          <w:rFonts w:ascii="Arial" w:eastAsia="Calibri" w:hAnsi="Arial" w:cs="Arial"/>
          <w:color w:val="000000"/>
          <w:sz w:val="22"/>
          <w:szCs w:val="22"/>
          <w:lang w:val="es-ES_tradnl"/>
        </w:rPr>
        <w:t xml:space="preserve">las entidades estatales no pueden incluir o modificar en los </w:t>
      </w:r>
      <w:r w:rsidRPr="002E7F83">
        <w:rPr>
          <w:rFonts w:ascii="Arial" w:eastAsia="Calibri" w:hAnsi="Arial" w:cs="Arial"/>
          <w:i/>
          <w:iCs/>
          <w:color w:val="000000"/>
          <w:sz w:val="22"/>
          <w:szCs w:val="22"/>
          <w:lang w:val="es-ES_tradnl"/>
        </w:rPr>
        <w:t>Documentos del Proceso</w:t>
      </w:r>
      <w:r w:rsidRPr="002E7F83">
        <w:rPr>
          <w:rFonts w:ascii="Arial" w:eastAsia="Calibri" w:hAnsi="Arial" w:cs="Arial"/>
          <w:color w:val="000000"/>
          <w:sz w:val="22"/>
          <w:szCs w:val="22"/>
          <w:lang w:val="es-ES_tradnl"/>
        </w:rPr>
        <w:t xml:space="preserve"> las condiciones habilitantes, los factores técnicos y económicos de escogencia y los sistemas de ponderación distintos a los señalados en los documentos tipo</w:t>
      </w:r>
      <w:bookmarkEnd w:id="7"/>
      <w:r w:rsidRPr="002E7F83">
        <w:rPr>
          <w:rFonts w:ascii="Arial" w:eastAsia="Calibri" w:hAnsi="Arial" w:cs="Arial"/>
          <w:color w:val="000000"/>
          <w:sz w:val="22"/>
          <w:szCs w:val="22"/>
          <w:lang w:val="es-ES_tradnl"/>
        </w:rPr>
        <w:t>. En consecuencia, las condiciones establecidas en los documentos tipo son de obligatorio cumplimiento para las entidades sometidas al Estatuto General de Contratación de la Administración Pública que adelanten procesos que deban regirse por su contenido, por lo que no pueden variarse los requisitos fijados en ellos. Por lo tanto, las entidades estatales, al realizar sus procedimientos de selección, solo podrán modificarlos en los aspectos en que los documentos tipo lo permitan.</w:t>
      </w:r>
    </w:p>
    <w:p w14:paraId="19D50E63" w14:textId="77777777" w:rsidR="003C499B" w:rsidRPr="002E7F83" w:rsidRDefault="003C499B" w:rsidP="003C499B">
      <w:pPr>
        <w:spacing w:before="120" w:line="276" w:lineRule="auto"/>
        <w:ind w:firstLine="709"/>
        <w:jc w:val="both"/>
        <w:rPr>
          <w:rFonts w:ascii="Arial" w:eastAsia="Calibri" w:hAnsi="Arial" w:cs="Arial"/>
          <w:color w:val="000000"/>
          <w:sz w:val="22"/>
          <w:szCs w:val="22"/>
          <w:lang w:val="es-ES_tradnl"/>
        </w:rPr>
      </w:pPr>
      <w:r w:rsidRPr="002E7F83">
        <w:rPr>
          <w:rFonts w:ascii="Arial" w:eastAsia="Calibri" w:hAnsi="Arial" w:cs="Arial"/>
          <w:color w:val="000000"/>
          <w:sz w:val="22"/>
          <w:szCs w:val="22"/>
          <w:lang w:val="es-ES_tradnl"/>
        </w:rPr>
        <w:t xml:space="preserve">El fundamento legal vigente de la regla de la inalterabilidad está en </w:t>
      </w:r>
      <w:bookmarkStart w:id="8" w:name="_Hlk79402315"/>
      <w:r w:rsidRPr="002E7F83">
        <w:rPr>
          <w:rFonts w:ascii="Arial" w:eastAsia="Calibri" w:hAnsi="Arial" w:cs="Arial"/>
          <w:color w:val="000000"/>
          <w:sz w:val="22"/>
          <w:szCs w:val="22"/>
          <w:lang w:val="es-ES_tradnl"/>
        </w:rPr>
        <w:t xml:space="preserve">el artículo 1 de la </w:t>
      </w:r>
      <w:bookmarkEnd w:id="8"/>
      <w:r w:rsidRPr="002E7F83">
        <w:rPr>
          <w:rFonts w:ascii="Arial" w:eastAsia="Calibri" w:hAnsi="Arial" w:cs="Arial"/>
          <w:color w:val="000000"/>
          <w:sz w:val="22"/>
          <w:szCs w:val="22"/>
          <w:lang w:val="es-ES_tradnl"/>
        </w:rPr>
        <w:t>Ley 2022 de 2020, según el cual «[…] serán de obligatorio cumplimiento en la actividad contractual de todas las entidades sometidas al Estatuto General de Contratación de la Administración Pública». No obstante, ello no significa que antes no rigiera, pues así también lo disponía el artículo 4 de la Ley 1882 de 2018. Por vía reglamentaria, también quedó consignado en su momento el carácter inmodificable de los documentos tipo en el artículo 1 de los Decretos 342 de 2019, Decreto 2096 de 2019 y 594 de 2020, que adicionaron, respectivamente, los artículos 2.2.1.2.6.1.4, 2.2.1.2.6.2.3 y 2.2.1.2.6.3.4 al Decreto 1082 de 2015.</w:t>
      </w:r>
    </w:p>
    <w:p w14:paraId="1D959C85" w14:textId="77777777" w:rsidR="003C499B" w:rsidRPr="002E7F83" w:rsidRDefault="003C499B" w:rsidP="003C499B">
      <w:pPr>
        <w:spacing w:before="120" w:line="276" w:lineRule="auto"/>
        <w:ind w:firstLine="709"/>
        <w:jc w:val="both"/>
        <w:rPr>
          <w:rFonts w:ascii="Arial" w:eastAsia="Calibri" w:hAnsi="Arial" w:cs="Arial"/>
          <w:bCs/>
          <w:color w:val="000000"/>
          <w:sz w:val="22"/>
          <w:szCs w:val="22"/>
          <w:lang w:val="es-ES_tradnl"/>
        </w:rPr>
      </w:pPr>
      <w:r w:rsidRPr="002E7F83">
        <w:rPr>
          <w:rFonts w:ascii="Arial" w:eastAsia="Calibri" w:hAnsi="Arial" w:cs="Arial"/>
          <w:bCs/>
          <w:color w:val="000000"/>
          <w:sz w:val="22"/>
          <w:szCs w:val="22"/>
          <w:lang w:val="es-ES_tradnl"/>
        </w:rPr>
        <w:t xml:space="preserve">Además, las entidades estatales deben garantizar el </w:t>
      </w:r>
      <w:r w:rsidRPr="002E7F83">
        <w:rPr>
          <w:rFonts w:ascii="Arial" w:eastAsia="Calibri" w:hAnsi="Arial" w:cs="Arial"/>
          <w:bCs/>
          <w:i/>
          <w:iCs/>
          <w:color w:val="000000"/>
          <w:sz w:val="22"/>
          <w:szCs w:val="22"/>
          <w:lang w:val="es-ES_tradnl"/>
        </w:rPr>
        <w:t>principio de economía</w:t>
      </w:r>
      <w:r w:rsidRPr="002E7F83">
        <w:rPr>
          <w:rFonts w:ascii="Arial" w:eastAsia="Calibri" w:hAnsi="Arial" w:cs="Arial"/>
          <w:bCs/>
          <w:color w:val="000000"/>
          <w:sz w:val="22"/>
          <w:szCs w:val="22"/>
          <w:lang w:val="es-ES_tradnl"/>
        </w:rPr>
        <w:t xml:space="preserve">, del cual se desprende que no pueden exigir documentos o requisitos más allá de los que </w:t>
      </w:r>
      <w:r w:rsidRPr="002E7F83">
        <w:rPr>
          <w:rFonts w:ascii="Arial" w:eastAsia="Calibri" w:hAnsi="Arial" w:cs="Arial"/>
          <w:bCs/>
          <w:color w:val="000000"/>
          <w:sz w:val="22"/>
          <w:szCs w:val="22"/>
          <w:lang w:val="es-ES_tradnl"/>
        </w:rPr>
        <w:lastRenderedPageBreak/>
        <w:t>permitan la Constitución, la ley y los reglamentos. Este postulado ha sido recogido no solo en la contratación estatal</w:t>
      </w:r>
      <w:r w:rsidRPr="002E7F83">
        <w:rPr>
          <w:rFonts w:ascii="Arial" w:eastAsia="Calibri" w:hAnsi="Arial" w:cs="Arial"/>
          <w:bCs/>
          <w:color w:val="000000"/>
          <w:sz w:val="22"/>
          <w:szCs w:val="22"/>
          <w:vertAlign w:val="superscript"/>
          <w:lang w:val="es-ES_tradnl"/>
        </w:rPr>
        <w:footnoteReference w:id="6"/>
      </w:r>
      <w:r w:rsidRPr="002E7F83">
        <w:rPr>
          <w:rFonts w:ascii="Arial" w:eastAsia="Calibri" w:hAnsi="Arial" w:cs="Arial"/>
          <w:bCs/>
          <w:color w:val="000000"/>
          <w:sz w:val="22"/>
          <w:szCs w:val="22"/>
          <w:lang w:val="es-ES_tradnl"/>
        </w:rPr>
        <w:t xml:space="preserve"> sino además en la normativa </w:t>
      </w:r>
      <w:proofErr w:type="spellStart"/>
      <w:r w:rsidRPr="002E7F83">
        <w:rPr>
          <w:rFonts w:ascii="Arial" w:eastAsia="Calibri" w:hAnsi="Arial" w:cs="Arial"/>
          <w:bCs/>
          <w:color w:val="000000"/>
          <w:sz w:val="22"/>
          <w:szCs w:val="22"/>
          <w:lang w:val="es-ES_tradnl"/>
        </w:rPr>
        <w:t>antitrámites</w:t>
      </w:r>
      <w:proofErr w:type="spellEnd"/>
      <w:r w:rsidRPr="002E7F83">
        <w:rPr>
          <w:rFonts w:ascii="Arial" w:eastAsia="Calibri" w:hAnsi="Arial" w:cs="Arial"/>
          <w:bCs/>
          <w:color w:val="000000"/>
          <w:sz w:val="22"/>
          <w:szCs w:val="22"/>
          <w:vertAlign w:val="superscript"/>
          <w:lang w:val="es-ES_tradnl"/>
        </w:rPr>
        <w:footnoteReference w:id="7"/>
      </w:r>
      <w:r w:rsidRPr="002E7F83">
        <w:rPr>
          <w:rFonts w:ascii="Arial" w:eastAsia="Calibri" w:hAnsi="Arial" w:cs="Arial"/>
          <w:bCs/>
          <w:color w:val="000000"/>
          <w:sz w:val="22"/>
          <w:szCs w:val="22"/>
          <w:lang w:val="es-ES_tradnl"/>
        </w:rPr>
        <w:t>, pues se inscribe dentro de la tendencia de simplificación y racionalización de los procedimientos administrativos. De ahí que cuando las autoridades solicitan la entrega de documentación innecesaria, desconocen el principio de economía.</w:t>
      </w:r>
    </w:p>
    <w:p w14:paraId="0FA268C5" w14:textId="77777777" w:rsidR="003C499B" w:rsidRPr="002E7F83" w:rsidRDefault="003C499B" w:rsidP="003C499B">
      <w:pPr>
        <w:spacing w:before="120" w:line="276" w:lineRule="auto"/>
        <w:ind w:firstLine="709"/>
        <w:jc w:val="both"/>
        <w:rPr>
          <w:rFonts w:ascii="Arial" w:eastAsia="Calibri" w:hAnsi="Arial" w:cs="Arial"/>
          <w:color w:val="000000"/>
          <w:sz w:val="22"/>
          <w:szCs w:val="22"/>
          <w:lang w:val="es-MX"/>
        </w:rPr>
      </w:pPr>
      <w:r w:rsidRPr="002E7F83">
        <w:rPr>
          <w:rFonts w:ascii="Arial" w:eastAsia="Calibri" w:hAnsi="Arial" w:cs="Arial"/>
          <w:color w:val="000000"/>
          <w:sz w:val="22"/>
          <w:szCs w:val="22"/>
          <w:lang w:val="es-MX"/>
        </w:rPr>
        <w:t xml:space="preserve">Adicionalmente, la parte introductoria de los documentos tipo dispone que los aspectos incluidos en corchetes y resaltado gris 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del pliego de condiciones. </w:t>
      </w:r>
    </w:p>
    <w:p w14:paraId="649A07DC" w14:textId="77777777" w:rsidR="003C499B" w:rsidRPr="002E7F83" w:rsidRDefault="003C499B" w:rsidP="003C499B">
      <w:pPr>
        <w:spacing w:before="120" w:line="276" w:lineRule="auto"/>
        <w:ind w:firstLine="709"/>
        <w:jc w:val="both"/>
        <w:rPr>
          <w:rFonts w:ascii="Arial" w:eastAsia="Calibri" w:hAnsi="Arial" w:cs="Arial"/>
          <w:sz w:val="22"/>
          <w:szCs w:val="22"/>
          <w:lang w:val="es-MX"/>
        </w:rPr>
      </w:pPr>
      <w:r w:rsidRPr="002E7F83">
        <w:rPr>
          <w:rFonts w:ascii="Arial" w:eastAsia="Calibri" w:hAnsi="Arial" w:cs="Arial"/>
          <w:sz w:val="22"/>
          <w:szCs w:val="22"/>
          <w:lang w:val="es-MX"/>
        </w:rPr>
        <w:t xml:space="preserve">Asimismo, en los documentos tipo se prevé los eventos en los que el objeto contractual incluye bienes o servicios adicionales. En este caso, de acuerdo con las condiciones que disponga la resolución, la entidad estatal puede complementar experiencia adicional para evaluar la idoneidad respecto de los bienes o servicios ajenos al objeto del documento tipo. Por ejemplo, respecto a los bienes o servicios adicionales a la obra pública de infraestructura de transporte, deberán seguir los siguientes parámetros: i) demostrar en los estudios previos que ha verificado las condiciones de mercado para la adquisición de los bienes o servicios adicionales al componente de obra pública, de tal </w:t>
      </w:r>
      <w:r w:rsidRPr="002E7F83">
        <w:rPr>
          <w:rFonts w:ascii="Arial" w:eastAsia="Calibri" w:hAnsi="Arial" w:cs="Arial"/>
          <w:sz w:val="22"/>
          <w:szCs w:val="22"/>
          <w:lang w:val="es-MX"/>
        </w:rPr>
        <w:lastRenderedPageBreak/>
        <w:t xml:space="preserve">forma que la experiencia adicional garantiza la pluralidad de oferentes, </w:t>
      </w:r>
      <w:proofErr w:type="spellStart"/>
      <w:r w:rsidRPr="002E7F83">
        <w:rPr>
          <w:rFonts w:ascii="Arial" w:eastAsia="Calibri" w:hAnsi="Arial" w:cs="Arial"/>
          <w:sz w:val="22"/>
          <w:szCs w:val="22"/>
          <w:lang w:val="es-MX"/>
        </w:rPr>
        <w:t>ii</w:t>
      </w:r>
      <w:proofErr w:type="spellEnd"/>
      <w:r w:rsidRPr="002E7F83">
        <w:rPr>
          <w:rFonts w:ascii="Arial" w:eastAsia="Calibri" w:hAnsi="Arial" w:cs="Arial"/>
          <w:sz w:val="22"/>
          <w:szCs w:val="22"/>
          <w:lang w:val="es-MX"/>
        </w:rPr>
        <w:t xml:space="preserve">) conservar los requisitos exigidos en los Documentos Tipo, </w:t>
      </w:r>
      <w:proofErr w:type="spellStart"/>
      <w:r w:rsidRPr="002E7F83">
        <w:rPr>
          <w:rFonts w:ascii="Arial" w:eastAsia="Calibri" w:hAnsi="Arial" w:cs="Arial"/>
          <w:sz w:val="22"/>
          <w:szCs w:val="22"/>
          <w:lang w:val="es-MX"/>
        </w:rPr>
        <w:t>iii</w:t>
      </w:r>
      <w:proofErr w:type="spellEnd"/>
      <w:r w:rsidRPr="002E7F83">
        <w:rPr>
          <w:rFonts w:ascii="Arial" w:eastAsia="Calibri" w:hAnsi="Arial" w:cs="Arial"/>
          <w:sz w:val="22"/>
          <w:szCs w:val="22"/>
          <w:lang w:val="es-MX"/>
        </w:rPr>
        <w:t xml:space="preserve">) abstenerse de pedir experiencia exclusiva con entidades estatales, experiencia previa en un territorio específico, limitada en el tiempo o que incluya volúmenes o cantidades de obra específica, y </w:t>
      </w:r>
      <w:proofErr w:type="spellStart"/>
      <w:r w:rsidRPr="002E7F83">
        <w:rPr>
          <w:rFonts w:ascii="Arial" w:eastAsia="Calibri" w:hAnsi="Arial" w:cs="Arial"/>
          <w:sz w:val="22"/>
          <w:szCs w:val="22"/>
          <w:lang w:val="es-MX"/>
        </w:rPr>
        <w:t>iv</w:t>
      </w:r>
      <w:proofErr w:type="spellEnd"/>
      <w:r w:rsidRPr="002E7F83">
        <w:rPr>
          <w:rFonts w:ascii="Arial" w:eastAsia="Calibri" w:hAnsi="Arial" w:cs="Arial"/>
          <w:sz w:val="22"/>
          <w:szCs w:val="22"/>
          <w:lang w:val="es-MX"/>
        </w:rPr>
        <w:t xml:space="preserve">) clasificar la experiencia requerida solo hasta el tercer nivel del Clasificador de Bienes y Servicios e incluir exclusivamente los códigos que estén relacionados directamente con el objeto a contratar. </w:t>
      </w:r>
    </w:p>
    <w:p w14:paraId="042C68E7" w14:textId="77777777" w:rsidR="003C499B" w:rsidRPr="002E7F83" w:rsidRDefault="003C499B" w:rsidP="003C499B">
      <w:pPr>
        <w:spacing w:before="120" w:line="276" w:lineRule="auto"/>
        <w:ind w:firstLine="709"/>
        <w:jc w:val="both"/>
        <w:rPr>
          <w:rFonts w:ascii="Arial" w:eastAsia="Calibri" w:hAnsi="Arial" w:cs="Arial"/>
          <w:bCs/>
          <w:sz w:val="22"/>
          <w:szCs w:val="22"/>
          <w:lang w:val="es-MX"/>
        </w:rPr>
      </w:pPr>
      <w:r w:rsidRPr="002E7F83">
        <w:rPr>
          <w:rFonts w:ascii="Arial" w:eastAsia="Calibri" w:hAnsi="Arial" w:cs="Arial"/>
          <w:bCs/>
          <w:sz w:val="22"/>
          <w:szCs w:val="22"/>
          <w:lang w:val="es-MX"/>
        </w:rPr>
        <w:t>En suma, la regla general frente la aplicación del «Documento Base» y en general de los documentos tipo es su inalterabilidad, y no se podrán incluir o modificar en los documentos del proceso las condiciones habilitantes, los factores técnicos y económicos de escogencia y los sistemas de ponderación distintos a los señalados en los documentos tipo. Lo anterior salvo que el objeto contractual incluya bienes o servicios ajenos a la obra pública, caso en el que se podrá incluir experiencia adicional; y, además, cuando el pliego tipo de forma expresa lo incluya, es decir, en los aspectos incluidos en corchetes y resaltados en gris.</w:t>
      </w:r>
    </w:p>
    <w:p w14:paraId="36C12190" w14:textId="77777777" w:rsidR="003C499B" w:rsidRPr="002E7F83" w:rsidRDefault="003C499B" w:rsidP="003C499B">
      <w:pPr>
        <w:spacing w:before="120" w:line="276" w:lineRule="auto"/>
        <w:ind w:firstLine="709"/>
        <w:jc w:val="both"/>
        <w:rPr>
          <w:rFonts w:ascii="Arial" w:eastAsia="Calibri" w:hAnsi="Arial" w:cs="Arial"/>
          <w:bCs/>
          <w:sz w:val="22"/>
          <w:szCs w:val="22"/>
          <w:lang w:val="es-MX"/>
        </w:rPr>
      </w:pPr>
      <w:r w:rsidRPr="002E7F83">
        <w:rPr>
          <w:rFonts w:ascii="Arial" w:eastAsia="Calibri" w:hAnsi="Arial" w:cs="Arial"/>
          <w:bCs/>
          <w:sz w:val="22"/>
          <w:szCs w:val="22"/>
          <w:lang w:val="es-MX"/>
        </w:rPr>
        <w:t xml:space="preserve">Esta regla de inalterabilidad también aplica a los formatos y anexos implementados junto con el «Documento Base», los cuales 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2A315B45" w14:textId="77777777" w:rsidR="003C499B" w:rsidRPr="002E7F83" w:rsidRDefault="003C499B" w:rsidP="003C499B">
      <w:pPr>
        <w:spacing w:before="120" w:line="276" w:lineRule="auto"/>
        <w:ind w:firstLine="709"/>
        <w:jc w:val="both"/>
        <w:rPr>
          <w:rFonts w:ascii="Arial" w:eastAsia="Calibri" w:hAnsi="Arial" w:cs="Arial"/>
          <w:sz w:val="22"/>
          <w:szCs w:val="22"/>
        </w:rPr>
      </w:pPr>
      <w:r w:rsidRPr="002E7F83">
        <w:rPr>
          <w:rFonts w:ascii="Arial" w:eastAsia="Calibri" w:hAnsi="Arial" w:cs="Arial"/>
          <w:sz w:val="22"/>
          <w:szCs w:val="22"/>
          <w:lang w:val="es-MX"/>
        </w:rPr>
        <w:t>Con todo, la regla de inalterabilidad de los documentos tipo debe armonizase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el deber que le asiste es el de tener en cuenta y aplicar los aspectos sustanciales de los documentos tipo, sin distingo de la formalidad de la que se sirva para ello los actores de la contratación pública</w:t>
      </w:r>
      <w:r w:rsidRPr="002E7F83">
        <w:rPr>
          <w:rFonts w:ascii="Arial" w:eastAsia="Calibri" w:hAnsi="Arial" w:cs="Arial"/>
          <w:sz w:val="22"/>
          <w:szCs w:val="22"/>
          <w:vertAlign w:val="superscript"/>
        </w:rPr>
        <w:footnoteReference w:id="8"/>
      </w:r>
      <w:r w:rsidRPr="002E7F83">
        <w:rPr>
          <w:rFonts w:ascii="Arial" w:eastAsia="Calibri" w:hAnsi="Arial" w:cs="Arial"/>
          <w:sz w:val="22"/>
          <w:szCs w:val="22"/>
        </w:rPr>
        <w:t xml:space="preserve">. </w:t>
      </w:r>
    </w:p>
    <w:p w14:paraId="42872442" w14:textId="77777777" w:rsidR="003C499B" w:rsidRPr="002E7F83" w:rsidRDefault="003C499B" w:rsidP="003C499B">
      <w:pPr>
        <w:spacing w:before="120" w:line="276" w:lineRule="auto"/>
        <w:ind w:firstLine="709"/>
        <w:jc w:val="both"/>
        <w:rPr>
          <w:rFonts w:ascii="Arial" w:eastAsia="Calibri" w:hAnsi="Arial" w:cs="Arial"/>
          <w:sz w:val="22"/>
          <w:szCs w:val="22"/>
          <w:lang w:val="es-MX"/>
        </w:rPr>
      </w:pPr>
      <w:r w:rsidRPr="002E7F83">
        <w:rPr>
          <w:rFonts w:ascii="Arial" w:eastAsia="Calibri" w:hAnsi="Arial" w:cs="Arial"/>
          <w:sz w:val="22"/>
          <w:szCs w:val="22"/>
          <w:lang w:val="es-MX"/>
        </w:rPr>
        <w:t xml:space="preserve">El carácter inalterable de los documentos tipo no puede, entonces, hacerse extensivo a los aspectos eminentemente formales de tales documentos, esto es, el tamaño </w:t>
      </w:r>
      <w:r w:rsidRPr="002E7F83">
        <w:rPr>
          <w:rFonts w:ascii="Arial" w:eastAsia="Calibri" w:hAnsi="Arial" w:cs="Arial"/>
          <w:sz w:val="22"/>
          <w:szCs w:val="22"/>
          <w:lang w:val="es-MX"/>
        </w:rPr>
        <w:lastRenderedPageBreak/>
        <w:t>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documentos tipos, por lo que no afectan su contenido esencial y, mucho menos, las obligaciones, deberes y derechos que se derivan para los partícipes del proceso contractual.</w:t>
      </w:r>
    </w:p>
    <w:p w14:paraId="5586C8AC" w14:textId="77777777" w:rsidR="003C499B" w:rsidRPr="002E7F83" w:rsidRDefault="003C499B" w:rsidP="003C499B">
      <w:pPr>
        <w:shd w:val="clear" w:color="auto" w:fill="FFFFFF"/>
        <w:spacing w:line="276" w:lineRule="auto"/>
        <w:jc w:val="both"/>
        <w:textAlignment w:val="baseline"/>
        <w:rPr>
          <w:rFonts w:ascii="Arial" w:eastAsia="Calibri" w:hAnsi="Arial" w:cs="Arial"/>
          <w:sz w:val="22"/>
          <w:szCs w:val="22"/>
        </w:rPr>
      </w:pPr>
    </w:p>
    <w:p w14:paraId="2ECD6060" w14:textId="77777777" w:rsidR="003C499B" w:rsidRPr="002E7F83" w:rsidRDefault="003C499B" w:rsidP="003C499B">
      <w:pPr>
        <w:shd w:val="clear" w:color="auto" w:fill="FFFFFF"/>
        <w:spacing w:line="276" w:lineRule="auto"/>
        <w:jc w:val="both"/>
        <w:rPr>
          <w:rFonts w:ascii="Arial" w:eastAsia="Calibri" w:hAnsi="Arial" w:cs="Arial"/>
          <w:b/>
          <w:color w:val="000000"/>
          <w:sz w:val="22"/>
          <w:szCs w:val="22"/>
          <w:lang w:eastAsia="es-ES_tradnl"/>
        </w:rPr>
      </w:pPr>
      <w:r w:rsidRPr="002E7F83">
        <w:rPr>
          <w:rFonts w:ascii="Arial" w:eastAsia="Calibri" w:hAnsi="Arial" w:cs="Arial"/>
          <w:b/>
          <w:color w:val="000000"/>
          <w:sz w:val="22"/>
          <w:szCs w:val="22"/>
          <w:lang w:eastAsia="es-ES_tradnl"/>
        </w:rPr>
        <w:t>2.3. Aplicación de la «Matriz 1 – Experiencia» en los documentos tipo</w:t>
      </w:r>
    </w:p>
    <w:p w14:paraId="17F72050" w14:textId="77777777" w:rsidR="003C499B" w:rsidRPr="002E7F83" w:rsidRDefault="003C499B" w:rsidP="003C499B">
      <w:pPr>
        <w:spacing w:line="276" w:lineRule="auto"/>
        <w:ind w:right="51"/>
        <w:jc w:val="both"/>
        <w:rPr>
          <w:rFonts w:ascii="Arial" w:eastAsia="Calibri" w:hAnsi="Arial" w:cs="Arial"/>
          <w:sz w:val="22"/>
          <w:szCs w:val="22"/>
          <w:lang w:val="es-MX"/>
        </w:rPr>
      </w:pPr>
    </w:p>
    <w:p w14:paraId="7E9F63F1" w14:textId="77777777" w:rsidR="003C499B" w:rsidRPr="002E7F83" w:rsidRDefault="003C499B" w:rsidP="003C499B">
      <w:pPr>
        <w:spacing w:line="276" w:lineRule="auto"/>
        <w:jc w:val="both"/>
        <w:rPr>
          <w:rFonts w:ascii="Arial" w:eastAsia="Calibri" w:hAnsi="Arial" w:cs="Arial"/>
          <w:color w:val="0D0D0D"/>
          <w:sz w:val="22"/>
          <w:szCs w:val="22"/>
          <w:lang w:val="es-MX"/>
        </w:rPr>
      </w:pPr>
      <w:r w:rsidRPr="002E7F83">
        <w:rPr>
          <w:rFonts w:ascii="Arial" w:eastAsia="Calibri" w:hAnsi="Arial" w:cs="Arial"/>
          <w:color w:val="0D0D0D"/>
          <w:sz w:val="22"/>
          <w:szCs w:val="22"/>
          <w:lang w:val="es-MX"/>
        </w:rPr>
        <w:t>De acuerdo con lo expuesto, los documentos tipo establecen las condiciones habilitantes, los factores técnicos y económicos de escogencia y los sistemas de ponderación de carácter obligatorio para las entidades estatales sometidas al Estatuto General de la Contratación Pública que</w:t>
      </w:r>
      <w:r w:rsidRPr="002E7F83">
        <w:rPr>
          <w:rFonts w:ascii="Arial" w:eastAsia="Calibri" w:hAnsi="Arial" w:cs="Arial"/>
          <w:color w:val="000000"/>
          <w:sz w:val="22"/>
          <w:szCs w:val="22"/>
          <w:bdr w:val="none" w:sz="0" w:space="0" w:color="auto" w:frame="1"/>
        </w:rPr>
        <w:t xml:space="preserve"> adelanten procesos de contratación mediante la modalidad que establecen los documentos tipo para cada sector</w:t>
      </w:r>
      <w:r w:rsidRPr="002E7F83">
        <w:rPr>
          <w:rFonts w:ascii="Arial" w:eastAsia="Calibri" w:hAnsi="Arial" w:cs="Arial"/>
          <w:color w:val="0D0D0D"/>
          <w:sz w:val="22"/>
          <w:szCs w:val="22"/>
          <w:lang w:val="es-MX"/>
        </w:rPr>
        <w:t>. Estos consisten en un grupo de documentos, conformados por un documento base, anexos, matrices, formatos y formularios, que sirven tanto a las entidades para elaborar los documentos del proceso, como a los proponentes para conformar y presentar sus ofertas.</w:t>
      </w:r>
    </w:p>
    <w:p w14:paraId="43CA0E4F" w14:textId="77777777" w:rsidR="003C499B" w:rsidRPr="002E7F83" w:rsidRDefault="003C499B" w:rsidP="003C499B">
      <w:pPr>
        <w:spacing w:before="120" w:line="276" w:lineRule="auto"/>
        <w:ind w:firstLine="709"/>
        <w:jc w:val="both"/>
        <w:rPr>
          <w:rFonts w:ascii="Arial" w:eastAsia="Calibri" w:hAnsi="Arial" w:cs="Arial"/>
          <w:color w:val="0D0D0D"/>
          <w:sz w:val="22"/>
          <w:szCs w:val="22"/>
          <w:lang w:val="es-MX"/>
        </w:rPr>
      </w:pPr>
      <w:r w:rsidRPr="002E7F83">
        <w:rPr>
          <w:rFonts w:ascii="Arial" w:eastAsia="Calibri" w:hAnsi="Arial" w:cs="Arial"/>
          <w:color w:val="0D0D0D"/>
          <w:sz w:val="22"/>
          <w:szCs w:val="22"/>
          <w:lang w:val="es-MX"/>
        </w:rPr>
        <w:t>Ahora bien, uno de los elementos comunes a los diferentes documentos tipo es la «Matriz 1 – Experiencia» –en adelante Matriz 1–. Esta consta de unas celdas en las que se describe la experiencia requerida en relación con el objeto a contratar, definiendo además qué tipo de actividades relacionadas con cada sector deben acogerse a los pliegos tipo. Por otro lado, encontramos el «Anexo 3 – Glosario», el cual contiene las definiciones de los términos usados en los documentos del proceso. Utilizando estos dos documentos, la entidad estatal puede definir si el objeto a contratarse debe emplear los documentos tipo adoptados por esta Agencia.</w:t>
      </w:r>
    </w:p>
    <w:p w14:paraId="3993CCFC" w14:textId="77777777" w:rsidR="003C499B" w:rsidRPr="002E7F83" w:rsidRDefault="003C499B" w:rsidP="003C499B">
      <w:pPr>
        <w:spacing w:before="120" w:after="120" w:line="276" w:lineRule="auto"/>
        <w:ind w:firstLine="709"/>
        <w:jc w:val="both"/>
        <w:rPr>
          <w:rFonts w:ascii="Arial" w:eastAsia="Calibri" w:hAnsi="Arial" w:cs="Arial"/>
          <w:color w:val="0D0D0D"/>
          <w:sz w:val="22"/>
          <w:szCs w:val="22"/>
          <w:lang w:val="es-MX"/>
        </w:rPr>
      </w:pPr>
      <w:r w:rsidRPr="002E7F83">
        <w:rPr>
          <w:rFonts w:ascii="Arial" w:eastAsia="Calibri" w:hAnsi="Arial" w:cs="Arial"/>
          <w:color w:val="0D0D0D"/>
          <w:sz w:val="22"/>
          <w:szCs w:val="22"/>
          <w:lang w:val="es-MX"/>
        </w:rPr>
        <w:t>Conforme a lo anterior, la Matriz 1,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762BA2AE" w14:textId="77777777" w:rsidR="003C499B" w:rsidRPr="002E7F83" w:rsidRDefault="003C499B" w:rsidP="003C499B">
      <w:pPr>
        <w:spacing w:before="120" w:after="120" w:line="276" w:lineRule="auto"/>
        <w:ind w:firstLine="709"/>
        <w:jc w:val="both"/>
        <w:rPr>
          <w:rFonts w:ascii="Arial" w:eastAsia="Calibri" w:hAnsi="Arial" w:cs="Arial"/>
          <w:color w:val="0D0D0D"/>
          <w:sz w:val="22"/>
          <w:szCs w:val="22"/>
          <w:lang w:val="es-MX"/>
        </w:rPr>
      </w:pPr>
      <w:r w:rsidRPr="002E7F83">
        <w:rPr>
          <w:rFonts w:ascii="Arial" w:eastAsia="Calibri" w:hAnsi="Arial" w:cs="Arial"/>
          <w:color w:val="0D0D0D"/>
          <w:sz w:val="22"/>
          <w:szCs w:val="22"/>
          <w:lang w:val="es-MX"/>
        </w:rPr>
        <w:t xml:space="preserve">De esta manera, para saber a qué actividades se deben aplicar los documentos tipo expedidos por esta Agencia, la entidad debe verificar los que se hayan expedido para la modalidad de selección en la que debe celebrarse el proceso, subsumiendo el objeto a contratar en los tipos de proyectos de infraestructura a contratarse. De esta manera, si el objeto contractual a ejecutar se encuadra materialmente dentro de alguno de los tipos actividades concretas señaladas en cada una de las matrices de experiencia, se tendrán </w:t>
      </w:r>
      <w:r w:rsidRPr="002E7F83">
        <w:rPr>
          <w:rFonts w:ascii="Arial" w:eastAsia="Calibri" w:hAnsi="Arial" w:cs="Arial"/>
          <w:color w:val="0D0D0D"/>
          <w:sz w:val="22"/>
          <w:szCs w:val="22"/>
          <w:lang w:val="es-MX"/>
        </w:rPr>
        <w:lastRenderedPageBreak/>
        <w:t>que aplicar los documentos tipo, mientras que en el caso contrario no será forzosa su aplicación. En este sentido, en los documentos base de los documentos tipo</w:t>
      </w:r>
      <w:r w:rsidRPr="002E7F83">
        <w:rPr>
          <w:rFonts w:ascii="Arial" w:eastAsia="Calibri" w:hAnsi="Arial" w:cs="Arial"/>
          <w:sz w:val="22"/>
          <w:szCs w:val="22"/>
          <w:lang w:val="es-MX"/>
        </w:rPr>
        <w:t>, se indica que la entidad establecerá las condiciones de experiencia, tanto general como específica en las actividades que van a contratar. En este contexto, la entidad no podrá incluir condiciones distintas a las previstas en la matriz de experiencia y, por tanto, deberá transcribir textualmente lo indicado en ésta.</w:t>
      </w:r>
    </w:p>
    <w:p w14:paraId="030CE3D4" w14:textId="77777777" w:rsidR="003C499B" w:rsidRPr="002E7F83" w:rsidRDefault="003C499B" w:rsidP="003C499B">
      <w:pPr>
        <w:spacing w:line="276" w:lineRule="auto"/>
        <w:ind w:firstLine="708"/>
        <w:jc w:val="both"/>
        <w:rPr>
          <w:rFonts w:ascii="Arial" w:hAnsi="Arial" w:cs="Arial"/>
          <w:color w:val="0D0D0D"/>
          <w:sz w:val="22"/>
          <w:szCs w:val="22"/>
          <w:bdr w:val="none" w:sz="0" w:space="0" w:color="auto" w:frame="1"/>
          <w:lang w:eastAsia="es-CO"/>
        </w:rPr>
      </w:pPr>
      <w:r w:rsidRPr="002E7F83">
        <w:rPr>
          <w:rFonts w:ascii="Arial" w:eastAsia="Calibri" w:hAnsi="Arial" w:cs="Arial"/>
          <w:color w:val="000000"/>
          <w:sz w:val="22"/>
          <w:szCs w:val="22"/>
          <w:lang w:eastAsia="es-ES_tradnl"/>
        </w:rPr>
        <w:t>Sin perjuicio de las aclaraciones anteriores</w:t>
      </w:r>
      <w:r w:rsidRPr="002E7F83">
        <w:rPr>
          <w:rFonts w:ascii="Arial" w:hAnsi="Arial" w:cs="Arial"/>
          <w:sz w:val="22"/>
          <w:szCs w:val="22"/>
          <w:lang w:eastAsia="es-ES_tradnl"/>
        </w:rPr>
        <w:t xml:space="preserve">, debe advertirse que es la entidad contratante, al momento de adelantar sus actividades de planeación de cada proceso contractual, quien debe determinar si de acuerdo con las particularidades del contrato a ejecutar, este encaja o no dentro de alguna de las actividades de la matriz 1 de cada documento tipo, y si en consecuencia deben aplicarse o no determinados documentos tipo, conforme a los parámetros indicados en este concepto. Lo anterior sin que pueda apartarse de su aplicación cuando materialmente el objeto a contratar corresponde con alguna actividad de contemplada en dicha matriz. </w:t>
      </w:r>
    </w:p>
    <w:p w14:paraId="710D5CD6" w14:textId="77777777" w:rsidR="00D44077" w:rsidRPr="00E06FB8" w:rsidRDefault="00D44077" w:rsidP="008C39AD">
      <w:pPr>
        <w:pStyle w:val="NormalWeb"/>
        <w:shd w:val="clear" w:color="auto" w:fill="FFFFFF"/>
        <w:spacing w:before="0" w:beforeAutospacing="0" w:after="0" w:afterAutospacing="0"/>
        <w:ind w:left="1429"/>
        <w:rPr>
          <w:rFonts w:ascii="Arial" w:hAnsi="Arial" w:cs="Arial"/>
          <w:color w:val="000000"/>
          <w:sz w:val="22"/>
          <w:szCs w:val="22"/>
          <w:bdr w:val="none" w:sz="0" w:space="0" w:color="auto" w:frame="1"/>
        </w:rPr>
      </w:pPr>
    </w:p>
    <w:p w14:paraId="67C84B06" w14:textId="5D9633DF" w:rsidR="00113157" w:rsidRPr="00E06FB8" w:rsidRDefault="00B701BF" w:rsidP="002E7F83">
      <w:pPr>
        <w:spacing w:line="276" w:lineRule="auto"/>
        <w:jc w:val="both"/>
        <w:rPr>
          <w:rFonts w:ascii="Arial" w:eastAsia="Calibri" w:hAnsi="Arial" w:cs="Arial"/>
          <w:b/>
          <w:sz w:val="22"/>
          <w:szCs w:val="22"/>
        </w:rPr>
      </w:pPr>
      <w:r w:rsidRPr="00E06FB8">
        <w:rPr>
          <w:rFonts w:ascii="Arial" w:eastAsia="Calibri" w:hAnsi="Arial" w:cs="Arial"/>
          <w:b/>
          <w:sz w:val="22"/>
          <w:szCs w:val="22"/>
        </w:rPr>
        <w:t>2.</w:t>
      </w:r>
      <w:r w:rsidR="00E06FB8" w:rsidRPr="00E06FB8">
        <w:rPr>
          <w:rFonts w:ascii="Arial" w:eastAsia="Calibri" w:hAnsi="Arial" w:cs="Arial"/>
          <w:b/>
          <w:sz w:val="22"/>
          <w:szCs w:val="22"/>
        </w:rPr>
        <w:t>4</w:t>
      </w:r>
      <w:r w:rsidRPr="00E06FB8">
        <w:rPr>
          <w:rFonts w:ascii="Arial" w:eastAsia="Calibri" w:hAnsi="Arial" w:cs="Arial"/>
          <w:b/>
          <w:sz w:val="22"/>
          <w:szCs w:val="22"/>
        </w:rPr>
        <w:t xml:space="preserve">. </w:t>
      </w:r>
      <w:r w:rsidR="00133D0C" w:rsidRPr="005264A0">
        <w:rPr>
          <w:rFonts w:ascii="Arial" w:eastAsia="Calibri" w:hAnsi="Arial" w:cs="Arial"/>
          <w:b/>
          <w:sz w:val="22"/>
          <w:lang w:val="es-ES_tradnl"/>
        </w:rPr>
        <w:t xml:space="preserve">El artículo 56 de la Ley 2195 de 2022 y la aplicación obligatoria del Estatuto General de Contratación de la Administración Pública y los documentos tipo en la contratación de las entidades estatales exceptuadas y particulares </w:t>
      </w:r>
    </w:p>
    <w:p w14:paraId="17ED3F7E" w14:textId="77777777" w:rsidR="00FC20D2" w:rsidRPr="00D059DA" w:rsidRDefault="00FC20D2" w:rsidP="002E7F83">
      <w:pPr>
        <w:spacing w:line="276" w:lineRule="auto"/>
        <w:jc w:val="both"/>
        <w:rPr>
          <w:rFonts w:ascii="Arial" w:eastAsia="Calibri" w:hAnsi="Arial" w:cs="Arial"/>
          <w:b/>
          <w:sz w:val="22"/>
        </w:rPr>
      </w:pPr>
    </w:p>
    <w:p w14:paraId="0DD1FBD2" w14:textId="0AF7142C" w:rsidR="00AC1DA5" w:rsidRPr="005264A0" w:rsidRDefault="00AC1DA5" w:rsidP="00D24C74">
      <w:pPr>
        <w:tabs>
          <w:tab w:val="left" w:pos="0"/>
        </w:tabs>
        <w:spacing w:after="120" w:line="276" w:lineRule="auto"/>
        <w:jc w:val="both"/>
        <w:rPr>
          <w:rFonts w:ascii="Arial" w:eastAsia="Calibri" w:hAnsi="Arial" w:cs="Arial"/>
          <w:bCs/>
          <w:sz w:val="22"/>
          <w:lang w:val="es-ES_tradnl"/>
        </w:rPr>
      </w:pPr>
      <w:r w:rsidRPr="005264A0">
        <w:rPr>
          <w:rFonts w:ascii="Arial" w:eastAsia="Calibri" w:hAnsi="Arial" w:cs="Arial"/>
          <w:bCs/>
          <w:sz w:val="22"/>
          <w:lang w:val="es-ES_tradnl"/>
        </w:rPr>
        <w:t xml:space="preserve">Conforme se explicó en el </w:t>
      </w:r>
      <w:r w:rsidR="00D24C74">
        <w:rPr>
          <w:rFonts w:ascii="Arial" w:eastAsia="Calibri" w:hAnsi="Arial" w:cs="Arial"/>
          <w:bCs/>
          <w:sz w:val="22"/>
          <w:lang w:val="es-ES_tradnl"/>
        </w:rPr>
        <w:t>numeral 2.1</w:t>
      </w:r>
      <w:r w:rsidRPr="005264A0">
        <w:rPr>
          <w:rFonts w:ascii="Arial" w:eastAsia="Calibri" w:hAnsi="Arial" w:cs="Arial"/>
          <w:bCs/>
          <w:sz w:val="22"/>
          <w:lang w:val="es-ES_tradnl"/>
        </w:rPr>
        <w:t xml:space="preserve">, en virtud de la Ley 2022 de 2020, los documentos tipo expedidos por la Agencia Nacional de Contratación Pública son de aplicación obligatoria para las entidades estatales sometidas al Estatuto General de Contratación de la Administración Pública. En ese sentido, </w:t>
      </w:r>
      <w:r>
        <w:rPr>
          <w:rFonts w:ascii="Arial" w:eastAsia="Calibri" w:hAnsi="Arial" w:cs="Arial"/>
          <w:bCs/>
          <w:sz w:val="22"/>
          <w:lang w:val="es-ES_tradnl"/>
        </w:rPr>
        <w:t>el contenido normativo</w:t>
      </w:r>
      <w:r w:rsidRPr="005264A0">
        <w:rPr>
          <w:rFonts w:ascii="Arial" w:eastAsia="Calibri" w:hAnsi="Arial" w:cs="Arial"/>
          <w:bCs/>
          <w:sz w:val="22"/>
          <w:lang w:val="es-ES_tradnl"/>
        </w:rPr>
        <w:t xml:space="preserve"> de la Ley 2022 de 2020, y en su momento también la Ley 1882 de 2018, en principio, excluyen del ámbito de aplicación de los documentos tipo la contratación de entidades estatales de régimen exceptuado, por lo general, sujetas al derecho privado. </w:t>
      </w:r>
    </w:p>
    <w:p w14:paraId="4BB66E78" w14:textId="77777777" w:rsidR="00AC1DA5" w:rsidRPr="005264A0" w:rsidRDefault="00AC1DA5" w:rsidP="00D24C74">
      <w:pPr>
        <w:tabs>
          <w:tab w:val="left" w:pos="0"/>
        </w:tabs>
        <w:spacing w:after="120" w:line="276" w:lineRule="auto"/>
        <w:jc w:val="both"/>
        <w:rPr>
          <w:rFonts w:ascii="Arial" w:eastAsia="Calibri" w:hAnsi="Arial" w:cs="Arial"/>
          <w:bCs/>
          <w:sz w:val="22"/>
          <w:lang w:val="es-ES_tradnl"/>
        </w:rPr>
      </w:pPr>
      <w:r w:rsidRPr="005264A0">
        <w:rPr>
          <w:rFonts w:ascii="Arial" w:eastAsia="Calibri" w:hAnsi="Arial" w:cs="Arial"/>
          <w:b/>
          <w:sz w:val="22"/>
          <w:lang w:val="es-ES_tradnl"/>
        </w:rPr>
        <w:tab/>
      </w:r>
      <w:r w:rsidRPr="005264A0">
        <w:rPr>
          <w:rFonts w:ascii="Arial" w:eastAsia="Calibri" w:hAnsi="Arial" w:cs="Arial"/>
          <w:bCs/>
          <w:sz w:val="22"/>
          <w:lang w:val="es-ES_tradnl"/>
        </w:rPr>
        <w:t>No obstante, este panorama ha variado de manera sustancial con la reciente expedición de la Ley 2195 de 2022</w:t>
      </w:r>
      <w:r>
        <w:rPr>
          <w:rFonts w:ascii="Arial" w:eastAsia="Calibri" w:hAnsi="Arial" w:cs="Arial"/>
          <w:bCs/>
          <w:sz w:val="22"/>
          <w:lang w:val="es-ES_tradnl"/>
        </w:rPr>
        <w:t>,</w:t>
      </w:r>
      <w:r w:rsidRPr="005264A0">
        <w:rPr>
          <w:rFonts w:ascii="Arial" w:eastAsia="Calibri" w:hAnsi="Arial" w:cs="Arial"/>
          <w:bCs/>
          <w:sz w:val="22"/>
          <w:lang w:val="es-ES_tradnl"/>
        </w:rPr>
        <w:t xml:space="preserve"> «</w:t>
      </w:r>
      <w:r>
        <w:rPr>
          <w:rFonts w:ascii="Arial" w:eastAsia="Calibri" w:hAnsi="Arial" w:cs="Arial"/>
          <w:bCs/>
          <w:sz w:val="22"/>
          <w:lang w:val="es-ES_tradnl"/>
        </w:rPr>
        <w:t>P</w:t>
      </w:r>
      <w:r w:rsidRPr="005264A0">
        <w:rPr>
          <w:rFonts w:ascii="Arial" w:eastAsia="Calibri" w:hAnsi="Arial" w:cs="Arial"/>
          <w:bCs/>
          <w:sz w:val="22"/>
          <w:lang w:val="es-ES_tradnl"/>
        </w:rPr>
        <w:t xml:space="preserve">or medio de la cual se adoptan medidas en materia de transparencia, prevención y lucha contra la corrupción y se dictan otras disposiciones». De conformidad con su artículo 1, esta norma tiene por objeto la adopción de diferentes medidas tendientes a prevenir los actos de corrupción, reforzar la articulación de las entidades del Estado y a recuperar los daños ocasionados por la corrupción, promoviendo la cultura de la legalidad e integridad. </w:t>
      </w:r>
    </w:p>
    <w:p w14:paraId="75649890" w14:textId="05442EB9" w:rsidR="00525FE3" w:rsidRPr="005264A0" w:rsidRDefault="00D24C74" w:rsidP="00D24C74">
      <w:pPr>
        <w:tabs>
          <w:tab w:val="left" w:pos="0"/>
        </w:tabs>
        <w:spacing w:line="276" w:lineRule="auto"/>
        <w:jc w:val="both"/>
        <w:rPr>
          <w:rFonts w:ascii="Arial" w:eastAsia="Calibri" w:hAnsi="Arial" w:cs="Arial"/>
          <w:bCs/>
          <w:sz w:val="22"/>
          <w:lang w:val="es-ES_tradnl"/>
        </w:rPr>
      </w:pPr>
      <w:r>
        <w:rPr>
          <w:rFonts w:ascii="Arial" w:hAnsi="Arial" w:cs="Arial"/>
          <w:color w:val="0D0D0D"/>
          <w:sz w:val="22"/>
          <w:bdr w:val="none" w:sz="0" w:space="0" w:color="auto" w:frame="1"/>
          <w:lang w:eastAsia="es-CO"/>
        </w:rPr>
        <w:tab/>
      </w:r>
      <w:r w:rsidR="00525FE3" w:rsidRPr="005264A0">
        <w:rPr>
          <w:rFonts w:ascii="Arial" w:eastAsia="Calibri" w:hAnsi="Arial" w:cs="Arial"/>
          <w:bCs/>
          <w:sz w:val="22"/>
          <w:lang w:val="es-ES_tradnl"/>
        </w:rPr>
        <w:t xml:space="preserve">Entre las medidas adoptadas por la referida ley destaca el artículo 56, </w:t>
      </w:r>
      <w:r w:rsidR="00525FE3">
        <w:rPr>
          <w:rFonts w:ascii="Arial" w:eastAsia="Calibri" w:hAnsi="Arial" w:cs="Arial"/>
          <w:bCs/>
          <w:sz w:val="22"/>
          <w:lang w:val="es-ES_tradnl"/>
        </w:rPr>
        <w:t xml:space="preserve">norma </w:t>
      </w:r>
      <w:r w:rsidR="00525FE3" w:rsidRPr="005264A0">
        <w:rPr>
          <w:rFonts w:ascii="Arial" w:eastAsia="Calibri" w:hAnsi="Arial" w:cs="Arial"/>
          <w:bCs/>
          <w:sz w:val="22"/>
          <w:lang w:val="es-ES_tradnl"/>
        </w:rPr>
        <w:t xml:space="preserve">sobre </w:t>
      </w:r>
      <w:r w:rsidR="00525FE3">
        <w:rPr>
          <w:rFonts w:ascii="Arial" w:eastAsia="Calibri" w:hAnsi="Arial" w:cs="Arial"/>
          <w:bCs/>
          <w:sz w:val="22"/>
          <w:lang w:val="es-ES_tradnl"/>
        </w:rPr>
        <w:t>la</w:t>
      </w:r>
      <w:r w:rsidR="00525FE3" w:rsidRPr="005264A0">
        <w:rPr>
          <w:rFonts w:ascii="Arial" w:eastAsia="Calibri" w:hAnsi="Arial" w:cs="Arial"/>
          <w:bCs/>
          <w:sz w:val="22"/>
          <w:lang w:val="es-ES_tradnl"/>
        </w:rPr>
        <w:t xml:space="preserve"> que versa la</w:t>
      </w:r>
      <w:r w:rsidR="00525FE3">
        <w:rPr>
          <w:rFonts w:ascii="Arial" w:eastAsia="Calibri" w:hAnsi="Arial" w:cs="Arial"/>
          <w:bCs/>
          <w:sz w:val="22"/>
          <w:lang w:val="es-ES_tradnl"/>
        </w:rPr>
        <w:t xml:space="preserve"> presente</w:t>
      </w:r>
      <w:r w:rsidR="00525FE3" w:rsidRPr="005264A0">
        <w:rPr>
          <w:rFonts w:ascii="Arial" w:eastAsia="Calibri" w:hAnsi="Arial" w:cs="Arial"/>
          <w:bCs/>
          <w:sz w:val="22"/>
          <w:lang w:val="es-ES_tradnl"/>
        </w:rPr>
        <w:t xml:space="preserve"> consulta. Esta </w:t>
      </w:r>
      <w:r w:rsidR="00525FE3">
        <w:rPr>
          <w:rFonts w:ascii="Arial" w:eastAsia="Calibri" w:hAnsi="Arial" w:cs="Arial"/>
          <w:bCs/>
          <w:sz w:val="22"/>
          <w:lang w:val="es-ES_tradnl"/>
        </w:rPr>
        <w:t>disposición</w:t>
      </w:r>
      <w:r w:rsidR="00525FE3" w:rsidRPr="005264A0">
        <w:rPr>
          <w:rFonts w:ascii="Arial" w:eastAsia="Calibri" w:hAnsi="Arial" w:cs="Arial"/>
          <w:bCs/>
          <w:sz w:val="22"/>
          <w:lang w:val="es-ES_tradnl"/>
        </w:rPr>
        <w:t xml:space="preserve"> se refiere de manera expresa a los documentos tipo y a su aplicabilidad por parte de sujetos diferentes de las entidades </w:t>
      </w:r>
      <w:r w:rsidR="00525FE3" w:rsidRPr="005264A0">
        <w:rPr>
          <w:rFonts w:ascii="Arial" w:eastAsia="Calibri" w:hAnsi="Arial" w:cs="Arial"/>
          <w:bCs/>
          <w:sz w:val="22"/>
          <w:lang w:val="es-ES_tradnl"/>
        </w:rPr>
        <w:lastRenderedPageBreak/>
        <w:t xml:space="preserve">estatales sometidas a Estatuto General de Contratación de la Administración Pública. El tenor literal de este precepto </w:t>
      </w:r>
      <w:r w:rsidR="00525FE3">
        <w:rPr>
          <w:rFonts w:ascii="Arial" w:eastAsia="Calibri" w:hAnsi="Arial" w:cs="Arial"/>
          <w:bCs/>
          <w:sz w:val="22"/>
          <w:lang w:val="es-ES_tradnl"/>
        </w:rPr>
        <w:t>prescribe</w:t>
      </w:r>
      <w:r w:rsidR="00525FE3" w:rsidRPr="005264A0">
        <w:rPr>
          <w:rFonts w:ascii="Arial" w:eastAsia="Calibri" w:hAnsi="Arial" w:cs="Arial"/>
          <w:bCs/>
          <w:sz w:val="22"/>
          <w:lang w:val="es-ES_tradnl"/>
        </w:rPr>
        <w:t xml:space="preserve"> lo siguiente:</w:t>
      </w:r>
    </w:p>
    <w:p w14:paraId="2F3DB151" w14:textId="77777777" w:rsidR="00525FE3" w:rsidRPr="005264A0" w:rsidRDefault="00525FE3" w:rsidP="00525FE3">
      <w:pPr>
        <w:tabs>
          <w:tab w:val="left" w:pos="0"/>
        </w:tabs>
        <w:spacing w:line="276" w:lineRule="auto"/>
        <w:jc w:val="both"/>
        <w:rPr>
          <w:rFonts w:ascii="Arial" w:eastAsia="Calibri" w:hAnsi="Arial" w:cs="Arial"/>
          <w:bCs/>
          <w:sz w:val="22"/>
          <w:lang w:val="es-ES_tradnl"/>
        </w:rPr>
      </w:pPr>
    </w:p>
    <w:p w14:paraId="6CC84491" w14:textId="77777777" w:rsidR="00525FE3" w:rsidRPr="005264A0" w:rsidRDefault="00525FE3" w:rsidP="00525FE3">
      <w:pPr>
        <w:tabs>
          <w:tab w:val="left" w:pos="0"/>
        </w:tabs>
        <w:ind w:left="709" w:right="709"/>
        <w:jc w:val="both"/>
        <w:rPr>
          <w:rFonts w:ascii="Arial" w:hAnsi="Arial" w:cs="Arial"/>
          <w:sz w:val="21"/>
          <w:szCs w:val="21"/>
        </w:rPr>
      </w:pPr>
      <w:r w:rsidRPr="005264A0">
        <w:rPr>
          <w:rFonts w:ascii="Arial" w:hAnsi="Arial" w:cs="Arial"/>
          <w:sz w:val="21"/>
          <w:szCs w:val="21"/>
        </w:rPr>
        <w:t>Artículo 56. Aplicación DE LOS DOCUMENTOS TIPO A ENTIDADES DE RÉGIMEN ESPECIAL. Para la adquisición de bienes, obras o servicios</w:t>
      </w:r>
      <w:r w:rsidRPr="006634B2">
        <w:rPr>
          <w:rFonts w:ascii="Arial" w:hAnsi="Arial" w:cs="Arial"/>
          <w:sz w:val="21"/>
          <w:szCs w:val="21"/>
        </w:rPr>
        <w:t xml:space="preserve">, </w:t>
      </w:r>
      <w:r w:rsidRPr="006634B2">
        <w:rPr>
          <w:rFonts w:ascii="Arial" w:hAnsi="Arial" w:cs="Arial"/>
          <w:i/>
          <w:iCs/>
          <w:sz w:val="21"/>
          <w:szCs w:val="21"/>
        </w:rPr>
        <w:t xml:space="preserve">las entidades estatales sometidas al Estatuto General de Contratación de la Administración Pública que celebren contratos o convenios interadministrativos o de cualquier otra índole, con otra entidad estatal o con patrimonios autónomos o con </w:t>
      </w:r>
      <w:r w:rsidRPr="006634B2">
        <w:rPr>
          <w:rFonts w:ascii="Arial" w:hAnsi="Arial" w:cs="Arial"/>
          <w:b/>
          <w:bCs/>
          <w:i/>
          <w:iCs/>
          <w:sz w:val="21"/>
          <w:szCs w:val="21"/>
        </w:rPr>
        <w:t>personas naturales o jurídicas de derecho privado</w:t>
      </w:r>
      <w:r w:rsidRPr="006634B2">
        <w:rPr>
          <w:rFonts w:ascii="Arial" w:hAnsi="Arial" w:cs="Arial"/>
          <w:i/>
          <w:iCs/>
          <w:sz w:val="21"/>
          <w:szCs w:val="21"/>
        </w:rPr>
        <w:t>, cuyo régimen de contratación sea especial o de derecho privado, deberán aplicar los documentos tipo adoptados por la Agencia Nacional de Contratación Pública - Colombia Compra Eficiente</w:t>
      </w:r>
      <w:r w:rsidRPr="005264A0">
        <w:rPr>
          <w:rFonts w:ascii="Arial" w:hAnsi="Arial" w:cs="Arial"/>
          <w:sz w:val="21"/>
          <w:szCs w:val="21"/>
        </w:rPr>
        <w:t xml:space="preserve"> o quien haga sus veces, conforme al parágrafo 7 del artículo 2 de la Ley 1150 de 2007 o las normas que lo modifiquen o sustituyan. </w:t>
      </w:r>
    </w:p>
    <w:p w14:paraId="59FB6E34" w14:textId="77777777" w:rsidR="00525FE3" w:rsidRPr="005264A0" w:rsidRDefault="00525FE3" w:rsidP="00525FE3">
      <w:pPr>
        <w:tabs>
          <w:tab w:val="left" w:pos="0"/>
        </w:tabs>
        <w:ind w:left="709" w:right="709"/>
        <w:jc w:val="both"/>
        <w:rPr>
          <w:rFonts w:ascii="Arial" w:hAnsi="Arial" w:cs="Arial"/>
          <w:sz w:val="21"/>
          <w:szCs w:val="21"/>
        </w:rPr>
      </w:pPr>
    </w:p>
    <w:p w14:paraId="1DBFA0BA" w14:textId="77777777" w:rsidR="00525FE3" w:rsidRPr="005264A0" w:rsidRDefault="00525FE3" w:rsidP="00525FE3">
      <w:pPr>
        <w:tabs>
          <w:tab w:val="left" w:pos="0"/>
        </w:tabs>
        <w:ind w:left="709" w:right="709"/>
        <w:jc w:val="both"/>
        <w:rPr>
          <w:rFonts w:ascii="Arial" w:hAnsi="Arial" w:cs="Arial"/>
          <w:sz w:val="21"/>
          <w:szCs w:val="21"/>
        </w:rPr>
      </w:pPr>
      <w:r w:rsidRPr="005264A0">
        <w:rPr>
          <w:rFonts w:ascii="Arial" w:hAnsi="Arial" w:cs="Arial"/>
          <w:sz w:val="21"/>
          <w:szCs w:val="21"/>
        </w:rPr>
        <w:t xml:space="preserve">Los procedimientos de selección y los contratos que realicen en desarrollo de los anteriores negocios jurídicos, donde apliquen los documentos tipo </w:t>
      </w:r>
      <w:r w:rsidRPr="006634B2">
        <w:rPr>
          <w:rFonts w:ascii="Arial" w:hAnsi="Arial" w:cs="Arial"/>
          <w:i/>
          <w:iCs/>
          <w:sz w:val="21"/>
          <w:szCs w:val="21"/>
        </w:rPr>
        <w:t>se regirán por el Estatuto General de Contratación de la Administración Pública</w:t>
      </w:r>
      <w:r w:rsidRPr="006634B2">
        <w:rPr>
          <w:rFonts w:ascii="Arial" w:hAnsi="Arial" w:cs="Arial"/>
          <w:sz w:val="21"/>
          <w:szCs w:val="21"/>
        </w:rPr>
        <w:t>.</w:t>
      </w:r>
      <w:r w:rsidRPr="005264A0">
        <w:rPr>
          <w:rFonts w:ascii="Arial" w:hAnsi="Arial" w:cs="Arial"/>
          <w:sz w:val="21"/>
          <w:szCs w:val="21"/>
        </w:rPr>
        <w:t xml:space="preserve"> </w:t>
      </w:r>
    </w:p>
    <w:p w14:paraId="5B85BF42" w14:textId="77777777" w:rsidR="00525FE3" w:rsidRPr="005264A0" w:rsidRDefault="00525FE3" w:rsidP="00525FE3">
      <w:pPr>
        <w:tabs>
          <w:tab w:val="left" w:pos="0"/>
        </w:tabs>
        <w:ind w:left="709" w:right="709"/>
        <w:jc w:val="both"/>
        <w:rPr>
          <w:rFonts w:ascii="Arial" w:hAnsi="Arial" w:cs="Arial"/>
          <w:sz w:val="21"/>
          <w:szCs w:val="21"/>
        </w:rPr>
      </w:pPr>
    </w:p>
    <w:p w14:paraId="35072FF4" w14:textId="77777777" w:rsidR="00525FE3" w:rsidRPr="005264A0" w:rsidRDefault="00525FE3" w:rsidP="00525FE3">
      <w:pPr>
        <w:tabs>
          <w:tab w:val="left" w:pos="0"/>
        </w:tabs>
        <w:ind w:left="709" w:right="709"/>
        <w:jc w:val="both"/>
        <w:rPr>
          <w:rFonts w:ascii="Arial" w:eastAsia="Calibri" w:hAnsi="Arial" w:cs="Arial"/>
          <w:bCs/>
          <w:sz w:val="21"/>
          <w:szCs w:val="21"/>
          <w:lang w:val="es-ES_tradnl"/>
        </w:rPr>
      </w:pPr>
      <w:r w:rsidRPr="005264A0">
        <w:rPr>
          <w:rFonts w:ascii="Arial" w:hAnsi="Arial" w:cs="Arial"/>
          <w:sz w:val="21"/>
          <w:szCs w:val="21"/>
        </w:rPr>
        <w:t xml:space="preserve">Parágrafo. Se exceptúan del presente artículo las Instituciones de Educación Superior públicas, las empresas sociales del Estado, las sociedades de economía mixta y las empresas industriales y comerciales del Estado, únicamente en cuanto a la contratación de su giro ordinario. En estos casos, en los manuales de contratación de estas entidades, se fomentará como buena práctica la aplicación de los pliegos tipo. </w:t>
      </w:r>
      <w:r>
        <w:rPr>
          <w:rFonts w:ascii="Arial" w:hAnsi="Arial" w:cs="Arial"/>
          <w:sz w:val="21"/>
          <w:szCs w:val="21"/>
        </w:rPr>
        <w:t>(</w:t>
      </w:r>
      <w:r w:rsidRPr="005264A0">
        <w:rPr>
          <w:rFonts w:ascii="Arial" w:hAnsi="Arial" w:cs="Arial"/>
          <w:sz w:val="21"/>
          <w:szCs w:val="21"/>
        </w:rPr>
        <w:t>Énfasis fuera de texto</w:t>
      </w:r>
      <w:r>
        <w:rPr>
          <w:rFonts w:ascii="Arial" w:hAnsi="Arial" w:cs="Arial"/>
          <w:sz w:val="21"/>
          <w:szCs w:val="21"/>
        </w:rPr>
        <w:t>)</w:t>
      </w:r>
    </w:p>
    <w:p w14:paraId="6FC76979" w14:textId="77777777" w:rsidR="00525FE3" w:rsidRPr="005264A0" w:rsidRDefault="00525FE3" w:rsidP="00525FE3">
      <w:pPr>
        <w:tabs>
          <w:tab w:val="left" w:pos="0"/>
        </w:tabs>
        <w:spacing w:line="276" w:lineRule="auto"/>
        <w:jc w:val="both"/>
        <w:rPr>
          <w:rFonts w:ascii="Arial" w:eastAsia="Calibri" w:hAnsi="Arial" w:cs="Arial"/>
          <w:b/>
          <w:sz w:val="22"/>
          <w:lang w:val="es-ES_tradnl"/>
        </w:rPr>
      </w:pPr>
    </w:p>
    <w:p w14:paraId="50262BE3" w14:textId="49812F04" w:rsidR="00525FE3" w:rsidRPr="00A204B5" w:rsidRDefault="00525FE3" w:rsidP="00A204B5">
      <w:pPr>
        <w:tabs>
          <w:tab w:val="left" w:pos="0"/>
        </w:tabs>
        <w:spacing w:after="120" w:line="276" w:lineRule="auto"/>
        <w:jc w:val="both"/>
        <w:rPr>
          <w:rFonts w:ascii="Arial" w:eastAsia="Calibri" w:hAnsi="Arial" w:cs="Arial"/>
          <w:bCs/>
          <w:sz w:val="22"/>
          <w:szCs w:val="22"/>
          <w:lang w:val="es-ES_tradnl"/>
        </w:rPr>
      </w:pPr>
      <w:r w:rsidRPr="005264A0">
        <w:rPr>
          <w:rFonts w:ascii="Arial" w:eastAsia="Calibri" w:hAnsi="Arial" w:cs="Arial"/>
          <w:b/>
          <w:sz w:val="22"/>
          <w:lang w:val="es-ES_tradnl"/>
        </w:rPr>
        <w:tab/>
      </w:r>
      <w:r w:rsidRPr="00A204B5">
        <w:rPr>
          <w:rFonts w:ascii="Arial" w:eastAsia="Calibri" w:hAnsi="Arial" w:cs="Arial"/>
          <w:bCs/>
          <w:sz w:val="22"/>
          <w:szCs w:val="22"/>
          <w:lang w:val="es-ES_tradnl"/>
        </w:rPr>
        <w:t xml:space="preserve">Como se desprende del primer inciso, la norma citada se refiere a los contratos, convenios interadministrativos o de cualquier otra índole, celebrados entre entidades estatales sometidas al EGCAP con entidades estatales exceptuadas, patrimonios autónomos, personas naturales o jurídicas de derecho privado. En ese sentido, este primer inciso señala que la adquisición de bienes, obras o servicios que deba realizarse con ocasión de los compromisos pactados en contratos o convenios suscritos entre entidades sometidas al EGCAP y entidades exceptuadas, debe adelantarse, de manera obligatoria, aplicando los documentos tipo expedidos por esta Agencia. </w:t>
      </w:r>
    </w:p>
    <w:p w14:paraId="636E70B7" w14:textId="77777777" w:rsidR="00525FE3" w:rsidRPr="00A204B5" w:rsidRDefault="00525FE3" w:rsidP="00A204B5">
      <w:pPr>
        <w:tabs>
          <w:tab w:val="left" w:pos="0"/>
        </w:tabs>
        <w:spacing w:after="120" w:line="276" w:lineRule="auto"/>
        <w:jc w:val="both"/>
        <w:rPr>
          <w:rFonts w:ascii="Arial" w:eastAsia="Calibri" w:hAnsi="Arial" w:cs="Arial"/>
          <w:bCs/>
          <w:sz w:val="22"/>
          <w:szCs w:val="22"/>
          <w:lang w:val="es-ES_tradnl"/>
        </w:rPr>
      </w:pPr>
      <w:r w:rsidRPr="00A204B5">
        <w:rPr>
          <w:rFonts w:ascii="Arial" w:eastAsia="Calibri" w:hAnsi="Arial" w:cs="Arial"/>
          <w:bCs/>
          <w:sz w:val="22"/>
          <w:szCs w:val="22"/>
          <w:lang w:val="es-ES_tradnl"/>
        </w:rPr>
        <w:tab/>
        <w:t xml:space="preserve">No obstante, el cambio normativo que supone el artículo en comento no se agota con el mandato de aplicación obligatoria de los documentos tipo por parte de entidades exceptuadas o particulares, sino que, además, varia el régimen contractual al que estarían sometidos los contratos derivados, bajo unas circunstancias concretas.  Esto por cuanto, el segundo inciso del artículo 56 </w:t>
      </w:r>
      <w:proofErr w:type="spellStart"/>
      <w:r w:rsidRPr="00A204B5">
        <w:rPr>
          <w:rFonts w:ascii="Arial" w:eastAsia="Calibri" w:hAnsi="Arial" w:cs="Arial"/>
          <w:bCs/>
          <w:i/>
          <w:iCs/>
          <w:sz w:val="22"/>
          <w:szCs w:val="22"/>
          <w:lang w:val="es-ES_tradnl"/>
        </w:rPr>
        <w:t>ibídem</w:t>
      </w:r>
      <w:proofErr w:type="spellEnd"/>
      <w:r w:rsidRPr="00A204B5">
        <w:rPr>
          <w:rFonts w:ascii="Arial" w:eastAsia="Calibri" w:hAnsi="Arial" w:cs="Arial"/>
          <w:bCs/>
          <w:i/>
          <w:iCs/>
          <w:sz w:val="22"/>
          <w:szCs w:val="22"/>
          <w:lang w:val="es-ES_tradnl"/>
        </w:rPr>
        <w:t xml:space="preserve">, </w:t>
      </w:r>
      <w:r w:rsidRPr="00A204B5">
        <w:rPr>
          <w:rFonts w:ascii="Arial" w:eastAsia="Calibri" w:hAnsi="Arial" w:cs="Arial"/>
          <w:bCs/>
          <w:sz w:val="22"/>
          <w:szCs w:val="22"/>
          <w:lang w:val="es-ES_tradnl"/>
        </w:rPr>
        <w:t xml:space="preserve">establece que, tanto los procedimientos de selección como los contratos a los que se refiere el primer inciso, en los que apliquen documentos tipo, además se regirán por el EGCAP. </w:t>
      </w:r>
    </w:p>
    <w:p w14:paraId="1EE700BD" w14:textId="77777777" w:rsidR="00525FE3" w:rsidRPr="00A204B5" w:rsidRDefault="00525FE3" w:rsidP="00A204B5">
      <w:pPr>
        <w:tabs>
          <w:tab w:val="left" w:pos="0"/>
        </w:tabs>
        <w:spacing w:after="120" w:line="276" w:lineRule="auto"/>
        <w:jc w:val="both"/>
        <w:rPr>
          <w:rFonts w:ascii="Arial" w:eastAsia="Calibri" w:hAnsi="Arial" w:cs="Arial"/>
          <w:bCs/>
          <w:sz w:val="22"/>
          <w:szCs w:val="22"/>
          <w:lang w:val="es-ES_tradnl"/>
        </w:rPr>
      </w:pPr>
      <w:r w:rsidRPr="00A204B5">
        <w:rPr>
          <w:rFonts w:ascii="Arial" w:eastAsia="Calibri" w:hAnsi="Arial" w:cs="Arial"/>
          <w:bCs/>
          <w:sz w:val="22"/>
          <w:szCs w:val="22"/>
          <w:lang w:val="es-ES_tradnl"/>
        </w:rPr>
        <w:lastRenderedPageBreak/>
        <w:tab/>
        <w:t xml:space="preserve">De conformidad con lo anterior, el efecto de la norma bajo estudio es ampliar el ámbito de aplicación de los documentos tipo, haciendo obligatoria su aplicación a unos sujetos que, en principio, de acuerdo con la Ley 2022 de 2020, no estarían obligados a aplicarlos. De igual forma, la norma hace extensiva la aplicación del EGCAP a sujetos que en virtud de su naturaleza jurídica tienen como regla general un régimen de contratación diferente, como, por ejemplo, las entidades exceptuadas, los patrimonios autónomos, personas naturales y jurídicas de derecho privado, a los que expresamente hace alusión el artículo 56.    </w:t>
      </w:r>
    </w:p>
    <w:p w14:paraId="1F14077D" w14:textId="77777777" w:rsidR="00525FE3" w:rsidRPr="00A204B5" w:rsidRDefault="00525FE3" w:rsidP="00A204B5">
      <w:pPr>
        <w:tabs>
          <w:tab w:val="left" w:pos="0"/>
        </w:tabs>
        <w:spacing w:after="120" w:line="276" w:lineRule="auto"/>
        <w:jc w:val="both"/>
        <w:rPr>
          <w:rFonts w:ascii="Arial" w:eastAsia="Calibri" w:hAnsi="Arial" w:cs="Arial"/>
          <w:bCs/>
          <w:sz w:val="22"/>
          <w:szCs w:val="22"/>
          <w:lang w:val="es-ES_tradnl"/>
        </w:rPr>
      </w:pPr>
      <w:r w:rsidRPr="00A204B5">
        <w:rPr>
          <w:rFonts w:ascii="Arial" w:eastAsia="Calibri" w:hAnsi="Arial" w:cs="Arial"/>
          <w:b/>
          <w:sz w:val="22"/>
          <w:szCs w:val="22"/>
          <w:lang w:val="es-ES_tradnl"/>
        </w:rPr>
        <w:tab/>
      </w:r>
      <w:r w:rsidRPr="00A204B5">
        <w:rPr>
          <w:rFonts w:ascii="Arial" w:eastAsia="Calibri" w:hAnsi="Arial" w:cs="Arial"/>
          <w:bCs/>
          <w:sz w:val="22"/>
          <w:szCs w:val="22"/>
          <w:lang w:val="es-ES_tradnl"/>
        </w:rPr>
        <w:t xml:space="preserve">En ese sentido, la principal implicación de esta norma es que las entidades estatales que tienen como régimen principal el EGCAP no podrían eludir su aplicación, ni la de los documentos tipo que resulten obligatorios, celebrando convenios o contratos con entidades exceptuadas o particulares sometidos al derecho privado, para que sean estos últimos quienes, en el marco de sus regímenes especiales o de derecho privado, realicen la contratación de los bienes, obras o servicios que demanda la entidad estatal, en una suerte de tercerización de la contratación. Lo anterior teniendo en cuenta que, a la luz de lo dispuesto en el artículo 56 de la Ley 2195 de 2022, tales entidades exceptuadas, patrimonios autónomos o particulares, que han suscrito convenios o contratos de cualquier índole con entidades sometidas al EGCAP, estarán obligadas a aplicar dicho estatuto para la contratación derivada de obras, bienes, </w:t>
      </w:r>
      <w:proofErr w:type="gramStart"/>
      <w:r w:rsidRPr="00A204B5">
        <w:rPr>
          <w:rFonts w:ascii="Arial" w:eastAsia="Calibri" w:hAnsi="Arial" w:cs="Arial"/>
          <w:bCs/>
          <w:sz w:val="22"/>
          <w:szCs w:val="22"/>
          <w:lang w:val="es-ES_tradnl"/>
        </w:rPr>
        <w:t>obras  o</w:t>
      </w:r>
      <w:proofErr w:type="gramEnd"/>
      <w:r w:rsidRPr="00A204B5">
        <w:rPr>
          <w:rFonts w:ascii="Arial" w:eastAsia="Calibri" w:hAnsi="Arial" w:cs="Arial"/>
          <w:bCs/>
          <w:sz w:val="22"/>
          <w:szCs w:val="22"/>
          <w:lang w:val="es-ES_tradnl"/>
        </w:rPr>
        <w:t xml:space="preserve"> servicios siempre que exista documento tipo en el sector en el que se contrata. </w:t>
      </w:r>
    </w:p>
    <w:p w14:paraId="5E6FFC0F" w14:textId="77777777" w:rsidR="00525FE3" w:rsidRPr="00A204B5" w:rsidRDefault="00525FE3" w:rsidP="00A204B5">
      <w:pPr>
        <w:tabs>
          <w:tab w:val="left" w:pos="0"/>
        </w:tabs>
        <w:spacing w:after="120" w:line="276" w:lineRule="auto"/>
        <w:jc w:val="both"/>
        <w:rPr>
          <w:rFonts w:ascii="Arial" w:eastAsia="Calibri" w:hAnsi="Arial" w:cs="Arial"/>
          <w:bCs/>
          <w:sz w:val="22"/>
          <w:szCs w:val="22"/>
          <w:lang w:val="es-ES_tradnl"/>
        </w:rPr>
      </w:pPr>
      <w:r w:rsidRPr="00A204B5">
        <w:rPr>
          <w:rFonts w:ascii="Arial" w:eastAsia="Calibri" w:hAnsi="Arial" w:cs="Arial"/>
          <w:bCs/>
          <w:sz w:val="22"/>
          <w:szCs w:val="22"/>
          <w:lang w:val="es-ES_tradnl"/>
        </w:rPr>
        <w:tab/>
        <w:t xml:space="preserve">En este punto conviene precisar que, de conformidad con el artículo 56, el hecho de que una entidad exceptuada, un patrimonio autónomo, una persona natural o una persona jurídica, tenga suscrito un contrato o convenio con una entidad sometida al EGCAP, no significa que se mute su régimen jurídico de manera permanente. Al respecto, de una lectura conjunta de los incisos primero y segundo se desprende que estos introducen el mandato de aplicación obligatoria del EGCAP por parte de los mencionados sujetos de régimen de derecho privado, en lo referido a la contratación de bienes, obras y servicios relacionados con un contrato o convenio suscrito con una entidad sometida al EGCAP, siempre que exista documento tipo en el sector en el que se planea contratar. Esto significa que los contratos no relacionados con los compromisos adquiridos con la entidad sometida al EGCAP, no tendrían que aplicar el régimen contractual público ni los documentos tipo. </w:t>
      </w:r>
    </w:p>
    <w:p w14:paraId="0925A764" w14:textId="77777777" w:rsidR="00525FE3" w:rsidRPr="00A204B5" w:rsidRDefault="00525FE3" w:rsidP="00A204B5">
      <w:pPr>
        <w:tabs>
          <w:tab w:val="left" w:pos="0"/>
        </w:tabs>
        <w:spacing w:after="120" w:line="276" w:lineRule="auto"/>
        <w:jc w:val="both"/>
        <w:rPr>
          <w:rFonts w:ascii="Arial" w:eastAsia="Calibri" w:hAnsi="Arial" w:cs="Arial"/>
          <w:bCs/>
          <w:sz w:val="22"/>
          <w:szCs w:val="22"/>
          <w:lang w:val="es-ES_tradnl"/>
        </w:rPr>
      </w:pPr>
      <w:r w:rsidRPr="00A204B5">
        <w:rPr>
          <w:rFonts w:ascii="Arial" w:eastAsia="Calibri" w:hAnsi="Arial" w:cs="Arial"/>
          <w:bCs/>
          <w:sz w:val="22"/>
          <w:szCs w:val="22"/>
          <w:lang w:val="es-ES_tradnl"/>
        </w:rPr>
        <w:tab/>
        <w:t xml:space="preserve">De acuerdo con esto, respecto de la aplicación del EGCAP por parte de entidades exceptuadas y particulares, es necesario recalcar que, conforme se interpreta de la redacción de la norma, esta solo resulta obligatoria en los casos en los que el objeto contractual derivado que se pretende contratar esté cobijado por el ámbito de aplicación de algún documento tipo. Esto significa que la aplicación del EGCAP solo resulta forzosa </w:t>
      </w:r>
      <w:r w:rsidRPr="00A204B5">
        <w:rPr>
          <w:rFonts w:ascii="Arial" w:eastAsia="Calibri" w:hAnsi="Arial" w:cs="Arial"/>
          <w:bCs/>
          <w:sz w:val="22"/>
          <w:szCs w:val="22"/>
          <w:lang w:val="es-ES_tradnl"/>
        </w:rPr>
        <w:lastRenderedPageBreak/>
        <w:t xml:space="preserve">cuando existe un documento tipo que contempla bienes, obras y servicios dentro de las que subsume la actividad a contratar por parte de la entidad de régimen especial, patrimonio autónomo o particular. Por ejemplo, si en cumplimiento de un convenio con una entidad sometida al EGCAP, un particular debe contratar el desarrollo de un software o la compra de unos buses, no estará obligado aplicar el EGCAP, al no ser estos objetos cobijados por los documentos tipo expedidos hasta el momento, mientras que si se requiere contratar el mantenimiento o la rehabilitación de una vía secundaría, debe aplicarse el EGCAP, al estar tales actividades incluidas dentro de los documentos tipo de infraestructura de transporte. </w:t>
      </w:r>
    </w:p>
    <w:p w14:paraId="049355F0" w14:textId="77777777" w:rsidR="00525FE3" w:rsidRPr="00A204B5" w:rsidRDefault="00525FE3" w:rsidP="002E7F83">
      <w:pPr>
        <w:tabs>
          <w:tab w:val="left" w:pos="0"/>
        </w:tabs>
        <w:spacing w:line="276" w:lineRule="auto"/>
        <w:jc w:val="both"/>
        <w:rPr>
          <w:rFonts w:ascii="Arial" w:eastAsia="Calibri" w:hAnsi="Arial" w:cs="Arial"/>
          <w:bCs/>
          <w:sz w:val="22"/>
          <w:szCs w:val="22"/>
          <w:lang w:val="es-ES_tradnl"/>
        </w:rPr>
      </w:pPr>
      <w:r w:rsidRPr="00A204B5">
        <w:rPr>
          <w:rFonts w:ascii="Arial" w:eastAsia="Calibri" w:hAnsi="Arial" w:cs="Arial"/>
          <w:bCs/>
          <w:sz w:val="22"/>
          <w:szCs w:val="22"/>
          <w:lang w:val="es-ES_tradnl"/>
        </w:rPr>
        <w:tab/>
        <w:t xml:space="preserve">Sin perjuicio de lo anterior, es importante tener en cuenta que, el parágrafo del artículo en comento, exceptúa de la aplicación de lo señalado en los dos primeros incisos a las Instituciones de Educación Superior públicas, las empresas sociales del Estado, las sociedades de economía mixta y las empresas industriales y comerciales del Estado, únicamente, en la contratación relacionada con el giro ordinario de sus asuntos, por lo que no tendrían que aplicar de manera obligatoria documentos tipo ni el EGCAP. No obstante, la norma dispone el deber de fomentar en los manuales de contratación la aplicación de los pliegos tipo, a modo de buena práctica contractual. </w:t>
      </w:r>
    </w:p>
    <w:p w14:paraId="200F8F77" w14:textId="433AE345" w:rsidR="006A6D72" w:rsidRDefault="006A6D72" w:rsidP="00343C90">
      <w:pPr>
        <w:spacing w:before="120" w:line="276" w:lineRule="auto"/>
        <w:ind w:firstLine="708"/>
        <w:jc w:val="both"/>
        <w:rPr>
          <w:rFonts w:ascii="Arial" w:eastAsia="Calibri" w:hAnsi="Arial" w:cs="Arial"/>
          <w:color w:val="000000"/>
          <w:sz w:val="22"/>
          <w:lang w:val="es-ES_tradnl"/>
        </w:rPr>
      </w:pPr>
    </w:p>
    <w:p w14:paraId="3EA1DB63" w14:textId="0BC6F35B" w:rsidR="00E54365" w:rsidRPr="00DE308A" w:rsidRDefault="00E54365" w:rsidP="002E7F83">
      <w:pPr>
        <w:tabs>
          <w:tab w:val="left" w:pos="5387"/>
        </w:tabs>
        <w:rPr>
          <w:rFonts w:ascii="Arial" w:eastAsia="Calibri" w:hAnsi="Arial" w:cs="Arial"/>
          <w:b/>
          <w:noProof/>
          <w:sz w:val="22"/>
        </w:rPr>
      </w:pPr>
      <w:r w:rsidRPr="00165347">
        <w:rPr>
          <w:rFonts w:ascii="Arial" w:eastAsia="Calibri" w:hAnsi="Arial" w:cs="Arial"/>
          <w:b/>
          <w:noProof/>
          <w:sz w:val="22"/>
        </w:rPr>
        <w:t xml:space="preserve">3. Respuesta </w:t>
      </w:r>
    </w:p>
    <w:p w14:paraId="3A415E19" w14:textId="2AD3AB43" w:rsidR="00853AE0" w:rsidRPr="00AB628F" w:rsidRDefault="00853AE0" w:rsidP="00D350DE">
      <w:pPr>
        <w:ind w:right="760"/>
        <w:rPr>
          <w:rFonts w:ascii="Arial" w:hAnsi="Arial" w:cs="Arial"/>
          <w:color w:val="000000" w:themeColor="text1"/>
          <w:sz w:val="22"/>
        </w:rPr>
      </w:pPr>
    </w:p>
    <w:p w14:paraId="529177C2" w14:textId="4D0D6BF5" w:rsidR="00C96C1B" w:rsidRPr="00AB628F" w:rsidRDefault="00C6300B" w:rsidP="00C96C1B">
      <w:pPr>
        <w:ind w:left="709" w:right="786"/>
        <w:jc w:val="both"/>
        <w:rPr>
          <w:rFonts w:ascii="Arial" w:hAnsi="Arial" w:cs="Arial"/>
          <w:sz w:val="21"/>
          <w:szCs w:val="21"/>
        </w:rPr>
      </w:pPr>
      <w:r w:rsidRPr="009065BE">
        <w:rPr>
          <w:rFonts w:ascii="Arial" w:hAnsi="Arial" w:cs="Arial"/>
          <w:sz w:val="21"/>
          <w:szCs w:val="21"/>
        </w:rPr>
        <w:t xml:space="preserve">«[…] </w:t>
      </w:r>
      <w:r w:rsidRPr="00310DB9">
        <w:rPr>
          <w:rFonts w:ascii="Arial" w:hAnsi="Arial" w:cs="Arial"/>
          <w:sz w:val="21"/>
          <w:szCs w:val="21"/>
        </w:rPr>
        <w:t>quisiera conocer al detalle cuales procesos de contratación que deben realizarse con pliegos tipo</w:t>
      </w:r>
      <w:r>
        <w:rPr>
          <w:rFonts w:ascii="Arial" w:hAnsi="Arial" w:cs="Arial"/>
          <w:sz w:val="21"/>
          <w:szCs w:val="21"/>
        </w:rPr>
        <w:t>.</w:t>
      </w:r>
      <w:r w:rsidRPr="009065BE">
        <w:rPr>
          <w:rFonts w:ascii="Arial" w:hAnsi="Arial" w:cs="Arial"/>
          <w:sz w:val="21"/>
          <w:szCs w:val="21"/>
        </w:rPr>
        <w:t>»</w:t>
      </w:r>
    </w:p>
    <w:p w14:paraId="3893929B" w14:textId="77777777" w:rsidR="00C24D7E" w:rsidRPr="00AB628F" w:rsidRDefault="00C24D7E" w:rsidP="005F788C">
      <w:pPr>
        <w:spacing w:after="120" w:line="276" w:lineRule="auto"/>
        <w:jc w:val="both"/>
        <w:rPr>
          <w:rFonts w:ascii="Arial" w:eastAsia="Calibri" w:hAnsi="Arial" w:cs="Arial"/>
          <w:sz w:val="22"/>
        </w:rPr>
      </w:pPr>
    </w:p>
    <w:p w14:paraId="10E66B70" w14:textId="77777777" w:rsidR="00C14C33" w:rsidRPr="002E7F83" w:rsidRDefault="00C14C33" w:rsidP="00A204B5">
      <w:pPr>
        <w:spacing w:line="276" w:lineRule="auto"/>
        <w:jc w:val="both"/>
        <w:rPr>
          <w:rFonts w:ascii="Arial" w:eastAsia="Calibri" w:hAnsi="Arial" w:cs="Arial"/>
          <w:sz w:val="22"/>
          <w:szCs w:val="22"/>
          <w:lang w:val="es-MX"/>
        </w:rPr>
      </w:pPr>
      <w:r w:rsidRPr="002E7F83">
        <w:rPr>
          <w:rFonts w:ascii="Arial" w:eastAsia="Calibri" w:hAnsi="Arial" w:cs="Arial"/>
          <w:sz w:val="22"/>
          <w:szCs w:val="22"/>
          <w:lang w:val="es-ES" w:eastAsia="es-ES" w:bidi="es-ES"/>
        </w:rPr>
        <w:t xml:space="preserve">De conformidad con las consideraciones desarrolladas con anterioridad, se precisa que los diferentes documentos tipo expedidos por esta Agencia y de obligatorio cumplimiento para las entidades sometidas al Estatuto General de Contratación de la Administración Pública, se deberán adoptar </w:t>
      </w:r>
      <w:r w:rsidRPr="002E7F83">
        <w:rPr>
          <w:rFonts w:ascii="Arial" w:eastAsia="Calibri" w:hAnsi="Arial" w:cs="Arial"/>
          <w:color w:val="000000"/>
          <w:sz w:val="22"/>
          <w:szCs w:val="22"/>
          <w:shd w:val="clear" w:color="auto" w:fill="FFFFFF"/>
          <w:lang w:val="es-MX"/>
        </w:rPr>
        <w:t xml:space="preserve">siempre que el objeto esté relacionado con alguna de las actividades mencionadas en la «Matriz 1 – Experiencia». Por tanto, </w:t>
      </w:r>
      <w:r w:rsidRPr="002E7F83">
        <w:rPr>
          <w:rFonts w:ascii="Arial" w:eastAsia="Arial" w:hAnsi="Arial" w:cs="Arial"/>
          <w:color w:val="000000"/>
          <w:sz w:val="22"/>
          <w:szCs w:val="22"/>
          <w:lang w:val="es-ES" w:eastAsia="es-ES" w:bidi="es-ES"/>
        </w:rPr>
        <w:t xml:space="preserve">le corresponde a la entidad identificar de manera preliminar, el tipo de infraestructura sobre la cual recae el objeto a contratar, acorde con lo señalado en la </w:t>
      </w:r>
      <w:r w:rsidRPr="002E7F83">
        <w:rPr>
          <w:rFonts w:ascii="Arial" w:eastAsia="Calibri" w:hAnsi="Arial" w:cs="Arial"/>
          <w:sz w:val="22"/>
          <w:szCs w:val="22"/>
          <w:lang w:val="es-MX"/>
        </w:rPr>
        <w:t>«Matriz 1 – Experiencia», en la que se contemplan las clases de obra aplicables al sector, sean de infraestructura de transporte, agua potable y saneamiento básico o infraestructura social</w:t>
      </w:r>
      <w:r w:rsidRPr="002E7F83">
        <w:rPr>
          <w:rFonts w:ascii="Arial" w:eastAsia="Calibri" w:hAnsi="Arial" w:cs="Arial"/>
          <w:color w:val="000000" w:themeColor="text1"/>
          <w:sz w:val="22"/>
          <w:szCs w:val="22"/>
          <w:lang w:val="es-ES_tradnl" w:eastAsia="es-ES"/>
        </w:rPr>
        <w:t>.</w:t>
      </w:r>
    </w:p>
    <w:p w14:paraId="72B45E9B" w14:textId="77777777" w:rsidR="00C14C33" w:rsidRPr="002E7F83" w:rsidRDefault="00C14C33" w:rsidP="00A204B5">
      <w:pPr>
        <w:spacing w:before="120" w:after="120" w:line="276" w:lineRule="auto"/>
        <w:ind w:firstLine="709"/>
        <w:jc w:val="both"/>
        <w:rPr>
          <w:rFonts w:ascii="Arial" w:hAnsi="Arial" w:cs="Arial"/>
          <w:sz w:val="22"/>
          <w:szCs w:val="22"/>
          <w:lang w:eastAsia="es-ES_tradnl"/>
        </w:rPr>
      </w:pPr>
      <w:r w:rsidRPr="002E7F83">
        <w:rPr>
          <w:rFonts w:ascii="Arial" w:eastAsia="Calibri" w:hAnsi="Arial" w:cs="Arial"/>
          <w:sz w:val="22"/>
          <w:szCs w:val="22"/>
          <w:lang w:val="es-MX"/>
        </w:rPr>
        <w:t>E</w:t>
      </w:r>
      <w:r w:rsidRPr="002E7F83">
        <w:rPr>
          <w:rFonts w:ascii="Arial" w:eastAsia="Calibri" w:hAnsi="Arial" w:cs="Arial"/>
          <w:color w:val="000000"/>
          <w:sz w:val="22"/>
          <w:szCs w:val="22"/>
          <w:lang w:eastAsia="es-ES_tradnl"/>
        </w:rPr>
        <w:t>n todo caso</w:t>
      </w:r>
      <w:r w:rsidRPr="002E7F83">
        <w:rPr>
          <w:rFonts w:ascii="Arial" w:hAnsi="Arial" w:cs="Arial"/>
          <w:sz w:val="22"/>
          <w:szCs w:val="22"/>
          <w:lang w:eastAsia="es-ES_tradnl"/>
        </w:rPr>
        <w:t xml:space="preserve">, debe advertirse que es la entidad contratante, al momento de adelantar sus actividades de planeación de cada proceso contractual, quien debe determinar si de acuerdo con las particularidades del contrato a ejecutar, este se encuadra o no dentro de alguna de las actividades de la matriz 1 de cada documento tipo, y si en consecuencia deben aplicarse o no determinados documentos tipo de los adoptados por </w:t>
      </w:r>
      <w:r w:rsidRPr="002E7F83">
        <w:rPr>
          <w:rFonts w:ascii="Arial" w:hAnsi="Arial" w:cs="Arial"/>
          <w:sz w:val="22"/>
          <w:szCs w:val="22"/>
          <w:lang w:eastAsia="es-ES_tradnl"/>
        </w:rPr>
        <w:lastRenderedPageBreak/>
        <w:t>esta Agencia. Lo anterior sin que pueda apartarse de su aplicación cuando materialmente el objeto a contratar corresponde con alguna actividad de contemplada en dicha matriz.</w:t>
      </w:r>
    </w:p>
    <w:p w14:paraId="0C9E65FC" w14:textId="77777777" w:rsidR="00C14C33" w:rsidRPr="002E7F83" w:rsidRDefault="00C14C33" w:rsidP="00A204B5">
      <w:pPr>
        <w:spacing w:before="120" w:after="120" w:line="276" w:lineRule="auto"/>
        <w:ind w:firstLine="709"/>
        <w:jc w:val="both"/>
        <w:rPr>
          <w:rFonts w:ascii="Arial" w:hAnsi="Arial" w:cs="Arial"/>
          <w:sz w:val="22"/>
          <w:szCs w:val="22"/>
          <w:lang w:eastAsia="es-ES_tradnl"/>
        </w:rPr>
      </w:pPr>
      <w:r w:rsidRPr="002E7F83">
        <w:rPr>
          <w:rFonts w:ascii="Arial" w:hAnsi="Arial" w:cs="Arial"/>
          <w:sz w:val="22"/>
          <w:szCs w:val="22"/>
          <w:lang w:eastAsia="es-ES_tradnl"/>
        </w:rPr>
        <w:t xml:space="preserve">A continuación, y para efectos de responder a la pregunta formulada, se indican los documentos tipo implementados y desarrollados por esta Agencia y su aplicabilidad de acuerdo con su vigencia: </w:t>
      </w:r>
    </w:p>
    <w:p w14:paraId="33BB29D2" w14:textId="77777777" w:rsidR="00C14C33" w:rsidRPr="002E7F83" w:rsidRDefault="00C14C33" w:rsidP="00A204B5">
      <w:pPr>
        <w:spacing w:before="120" w:line="276" w:lineRule="auto"/>
        <w:ind w:firstLine="709"/>
        <w:jc w:val="both"/>
        <w:rPr>
          <w:rFonts w:ascii="Arial" w:eastAsia="Calibri" w:hAnsi="Arial" w:cs="Arial"/>
          <w:color w:val="000000"/>
          <w:sz w:val="22"/>
          <w:szCs w:val="22"/>
          <w:lang w:val="es-ES" w:eastAsia="es-ES"/>
        </w:rPr>
      </w:pPr>
      <w:r w:rsidRPr="002E7F83">
        <w:rPr>
          <w:rFonts w:ascii="Arial" w:eastAsia="Calibri" w:hAnsi="Arial" w:cs="Arial"/>
          <w:color w:val="000000"/>
          <w:sz w:val="22"/>
          <w:szCs w:val="22"/>
          <w:lang w:val="es-ES" w:eastAsia="es-ES"/>
        </w:rPr>
        <w:t xml:space="preserve">i) Documentos tipo para licitación de obra pública de infraestructura de transporte –versión 1–, obligatorios para los procesos cuyo aviso de convocatoria se haya publicado desde el 1 de abril de 2019. </w:t>
      </w:r>
    </w:p>
    <w:p w14:paraId="2E403CC0" w14:textId="77777777" w:rsidR="00C14C33" w:rsidRPr="002E7F83" w:rsidRDefault="00C14C33" w:rsidP="00A204B5">
      <w:pPr>
        <w:spacing w:before="120" w:line="276" w:lineRule="auto"/>
        <w:ind w:firstLine="709"/>
        <w:jc w:val="both"/>
        <w:rPr>
          <w:rFonts w:ascii="Arial" w:eastAsia="Calibri" w:hAnsi="Arial" w:cs="Arial"/>
          <w:color w:val="000000"/>
          <w:sz w:val="22"/>
          <w:szCs w:val="22"/>
          <w:lang w:val="es-ES" w:eastAsia="es-ES"/>
        </w:rPr>
      </w:pPr>
      <w:proofErr w:type="spellStart"/>
      <w:r w:rsidRPr="002E7F83">
        <w:rPr>
          <w:rFonts w:ascii="Arial" w:eastAsia="Calibri" w:hAnsi="Arial" w:cs="Arial"/>
          <w:color w:val="000000"/>
          <w:sz w:val="22"/>
          <w:szCs w:val="22"/>
          <w:lang w:val="es-ES" w:eastAsia="es-ES"/>
        </w:rPr>
        <w:t>ii</w:t>
      </w:r>
      <w:proofErr w:type="spellEnd"/>
      <w:r w:rsidRPr="002E7F83">
        <w:rPr>
          <w:rFonts w:ascii="Arial" w:eastAsia="Calibri" w:hAnsi="Arial" w:cs="Arial"/>
          <w:color w:val="000000"/>
          <w:sz w:val="22"/>
          <w:szCs w:val="22"/>
          <w:lang w:val="es-ES" w:eastAsia="es-ES"/>
        </w:rPr>
        <w:t>) Documentos tipo para licitación de obra pública de infraestructura de transporte –versión 2–, obligatorios para los procesos cuyo aviso de convocatoria se haya publicado desde el 10 de marzo de 2020.</w:t>
      </w:r>
    </w:p>
    <w:p w14:paraId="716754F5" w14:textId="77777777" w:rsidR="00C14C33" w:rsidRPr="002E7F83" w:rsidRDefault="00C14C33" w:rsidP="00A204B5">
      <w:pPr>
        <w:spacing w:before="120" w:line="276" w:lineRule="auto"/>
        <w:ind w:firstLine="709"/>
        <w:jc w:val="both"/>
        <w:rPr>
          <w:rFonts w:ascii="Arial" w:eastAsia="Calibri" w:hAnsi="Arial" w:cs="Arial"/>
          <w:color w:val="000000"/>
          <w:sz w:val="22"/>
          <w:szCs w:val="22"/>
          <w:lang w:val="es-ES" w:eastAsia="es-ES"/>
        </w:rPr>
      </w:pPr>
      <w:proofErr w:type="spellStart"/>
      <w:r w:rsidRPr="002E7F83">
        <w:rPr>
          <w:rFonts w:ascii="Arial" w:eastAsia="Calibri" w:hAnsi="Arial" w:cs="Arial"/>
          <w:color w:val="000000"/>
          <w:sz w:val="22"/>
          <w:szCs w:val="22"/>
          <w:lang w:val="es-ES" w:eastAsia="es-ES"/>
        </w:rPr>
        <w:t>iii</w:t>
      </w:r>
      <w:proofErr w:type="spellEnd"/>
      <w:r w:rsidRPr="002E7F83">
        <w:rPr>
          <w:rFonts w:ascii="Arial" w:eastAsia="Calibri" w:hAnsi="Arial" w:cs="Arial"/>
          <w:color w:val="000000"/>
          <w:sz w:val="22"/>
          <w:szCs w:val="22"/>
          <w:lang w:val="es-ES" w:eastAsia="es-ES"/>
        </w:rPr>
        <w:t>) Documentos tipo para licitación de obra pública de infraestructura de transporte –versión 3–, obligatorios para los procesos cuyo aviso de convocatoria se haya publicado desde el 1 de enero de 2021.</w:t>
      </w:r>
    </w:p>
    <w:p w14:paraId="24333896" w14:textId="77777777" w:rsidR="00C14C33" w:rsidRPr="002E7F83" w:rsidRDefault="00C14C33" w:rsidP="00A204B5">
      <w:pPr>
        <w:spacing w:before="120" w:line="276" w:lineRule="auto"/>
        <w:ind w:firstLine="709"/>
        <w:jc w:val="both"/>
        <w:rPr>
          <w:rFonts w:ascii="Arial" w:eastAsia="Calibri" w:hAnsi="Arial" w:cs="Arial"/>
          <w:color w:val="000000"/>
          <w:sz w:val="22"/>
          <w:szCs w:val="22"/>
          <w:lang w:val="es-ES" w:eastAsia="es-ES"/>
        </w:rPr>
      </w:pPr>
      <w:proofErr w:type="spellStart"/>
      <w:r w:rsidRPr="002E7F83">
        <w:rPr>
          <w:rFonts w:ascii="Arial" w:eastAsia="Calibri" w:hAnsi="Arial" w:cs="Arial"/>
          <w:color w:val="000000"/>
          <w:sz w:val="22"/>
          <w:szCs w:val="22"/>
          <w:lang w:val="es-ES" w:eastAsia="es-ES"/>
        </w:rPr>
        <w:t>iv</w:t>
      </w:r>
      <w:proofErr w:type="spellEnd"/>
      <w:r w:rsidRPr="002E7F83">
        <w:rPr>
          <w:rFonts w:ascii="Arial" w:eastAsia="Calibri" w:hAnsi="Arial" w:cs="Arial"/>
          <w:color w:val="000000"/>
          <w:sz w:val="22"/>
          <w:szCs w:val="22"/>
          <w:lang w:val="es-ES" w:eastAsia="es-ES"/>
        </w:rPr>
        <w:t>) Documentos tipo para procesos de selección abreviada de menor cuantía de infraestructura de transporte –versión 1–, obligatorios para los procesos cuyo aviso de convocatoria se haya publicado desde el 17 de febrero de 2020.</w:t>
      </w:r>
    </w:p>
    <w:p w14:paraId="5C0E9673" w14:textId="77777777" w:rsidR="00C14C33" w:rsidRPr="002E7F83" w:rsidRDefault="00C14C33" w:rsidP="00A204B5">
      <w:pPr>
        <w:spacing w:before="120" w:line="276" w:lineRule="auto"/>
        <w:ind w:firstLine="709"/>
        <w:jc w:val="both"/>
        <w:rPr>
          <w:rFonts w:ascii="Arial" w:eastAsia="Calibri" w:hAnsi="Arial" w:cs="Arial"/>
          <w:color w:val="000000"/>
          <w:sz w:val="22"/>
          <w:szCs w:val="22"/>
          <w:lang w:val="es-ES" w:eastAsia="es-ES"/>
        </w:rPr>
      </w:pPr>
      <w:r w:rsidRPr="002E7F83">
        <w:rPr>
          <w:rFonts w:ascii="Arial" w:eastAsia="Calibri" w:hAnsi="Arial" w:cs="Arial"/>
          <w:color w:val="000000"/>
          <w:sz w:val="22"/>
          <w:szCs w:val="22"/>
          <w:lang w:val="es-ES" w:eastAsia="es-ES"/>
        </w:rPr>
        <w:t xml:space="preserve">v) Documentos tipo para procesos de selección abreviada de menor cuantía de infraestructura de transporte –versión 2–, obligatorios para los procesos cuyo aviso de convocatoria se haya publicado desde el 1 de enero de 2021. </w:t>
      </w:r>
    </w:p>
    <w:p w14:paraId="36AEB051" w14:textId="77777777" w:rsidR="00C14C33" w:rsidRPr="002E7F83" w:rsidRDefault="00C14C33" w:rsidP="00A204B5">
      <w:pPr>
        <w:spacing w:before="120" w:line="276" w:lineRule="auto"/>
        <w:ind w:firstLine="709"/>
        <w:jc w:val="both"/>
        <w:rPr>
          <w:rFonts w:ascii="Arial" w:eastAsia="Calibri" w:hAnsi="Arial" w:cs="Arial"/>
          <w:color w:val="000000"/>
          <w:sz w:val="22"/>
          <w:szCs w:val="22"/>
          <w:lang w:val="es-ES" w:eastAsia="es-ES"/>
        </w:rPr>
      </w:pPr>
      <w:r w:rsidRPr="002E7F83">
        <w:rPr>
          <w:rFonts w:ascii="Arial" w:eastAsia="Calibri" w:hAnsi="Arial" w:cs="Arial"/>
          <w:color w:val="000000"/>
          <w:sz w:val="22"/>
          <w:szCs w:val="22"/>
          <w:lang w:val="es-ES" w:eastAsia="es-ES"/>
        </w:rPr>
        <w:t>vi) Documentos tipo para procesos de mínima cuantía de infraestructura de transporte, obligatorios para los procesos cuya invitación pública se haya publicado a partir del 10 de junio de 2020.</w:t>
      </w:r>
    </w:p>
    <w:p w14:paraId="66AED489" w14:textId="77777777" w:rsidR="00C14C33" w:rsidRPr="002E7F83" w:rsidRDefault="00C14C33" w:rsidP="00A204B5">
      <w:pPr>
        <w:spacing w:before="120" w:line="276" w:lineRule="auto"/>
        <w:ind w:firstLine="709"/>
        <w:jc w:val="both"/>
        <w:rPr>
          <w:rFonts w:ascii="Arial" w:eastAsia="Calibri" w:hAnsi="Arial" w:cs="Arial"/>
          <w:color w:val="000000"/>
          <w:sz w:val="22"/>
          <w:szCs w:val="22"/>
          <w:lang w:val="es-ES" w:eastAsia="es-ES"/>
        </w:rPr>
      </w:pPr>
      <w:proofErr w:type="spellStart"/>
      <w:r w:rsidRPr="002E7F83">
        <w:rPr>
          <w:rFonts w:ascii="Arial" w:eastAsia="Calibri" w:hAnsi="Arial" w:cs="Arial"/>
          <w:color w:val="000000"/>
          <w:sz w:val="22"/>
          <w:szCs w:val="22"/>
          <w:lang w:val="es-ES" w:eastAsia="es-ES"/>
        </w:rPr>
        <w:t>vii</w:t>
      </w:r>
      <w:proofErr w:type="spellEnd"/>
      <w:r w:rsidRPr="002E7F83">
        <w:rPr>
          <w:rFonts w:ascii="Arial" w:eastAsia="Calibri" w:hAnsi="Arial" w:cs="Arial"/>
          <w:color w:val="000000"/>
          <w:sz w:val="22"/>
          <w:szCs w:val="22"/>
          <w:lang w:val="es-ES" w:eastAsia="es-ES"/>
        </w:rPr>
        <w:t>) Documentos tipo para procesos de concurso de méritos para contratar la interventoría de obras públicas de infraestructura de transporte, obligatorios para los procesos cuyo aviso de convocatoria se haya publicado desde el 1 de enero de 2021.</w:t>
      </w:r>
    </w:p>
    <w:p w14:paraId="5C1C860D" w14:textId="77777777" w:rsidR="00C14C33" w:rsidRPr="002E7F83" w:rsidRDefault="00C14C33" w:rsidP="00A204B5">
      <w:pPr>
        <w:spacing w:before="120" w:line="276" w:lineRule="auto"/>
        <w:ind w:firstLine="709"/>
        <w:jc w:val="both"/>
        <w:rPr>
          <w:rFonts w:ascii="Arial" w:eastAsia="Calibri" w:hAnsi="Arial" w:cs="Arial"/>
          <w:color w:val="000000"/>
          <w:sz w:val="22"/>
          <w:szCs w:val="22"/>
          <w:lang w:val="es-ES" w:eastAsia="es-ES"/>
        </w:rPr>
      </w:pPr>
      <w:proofErr w:type="spellStart"/>
      <w:r w:rsidRPr="002E7F83">
        <w:rPr>
          <w:rFonts w:ascii="Arial" w:eastAsia="Calibri" w:hAnsi="Arial" w:cs="Arial"/>
          <w:color w:val="000000"/>
          <w:sz w:val="22"/>
          <w:szCs w:val="22"/>
          <w:lang w:val="es-ES" w:eastAsia="es-ES"/>
        </w:rPr>
        <w:t>viii</w:t>
      </w:r>
      <w:proofErr w:type="spellEnd"/>
      <w:r w:rsidRPr="002E7F83">
        <w:rPr>
          <w:rFonts w:ascii="Arial" w:eastAsia="Calibri" w:hAnsi="Arial" w:cs="Arial"/>
          <w:color w:val="000000"/>
          <w:sz w:val="22"/>
          <w:szCs w:val="22"/>
          <w:lang w:val="es-ES" w:eastAsia="es-ES"/>
        </w:rPr>
        <w:t>) Documentos tipo para procesos de licitación pública para obras de infraestructura de agua potable y saneamiento básico, obligatorios para los procesos cuyo aviso de convocatoria se haya publicado desde el 11 de diciembre de 2020.</w:t>
      </w:r>
    </w:p>
    <w:p w14:paraId="4D4F8B58" w14:textId="77777777" w:rsidR="00C14C33" w:rsidRPr="002E7F83" w:rsidRDefault="00C14C33" w:rsidP="00A204B5">
      <w:pPr>
        <w:spacing w:before="120" w:line="276" w:lineRule="auto"/>
        <w:ind w:firstLine="709"/>
        <w:jc w:val="both"/>
        <w:rPr>
          <w:rFonts w:ascii="Arial" w:eastAsia="Calibri" w:hAnsi="Arial" w:cs="Arial"/>
          <w:color w:val="000000"/>
          <w:sz w:val="22"/>
          <w:szCs w:val="22"/>
          <w:lang w:val="es-ES" w:eastAsia="es-ES"/>
        </w:rPr>
      </w:pPr>
      <w:proofErr w:type="spellStart"/>
      <w:r w:rsidRPr="002E7F83">
        <w:rPr>
          <w:rFonts w:ascii="Arial" w:eastAsia="Calibri" w:hAnsi="Arial" w:cs="Arial"/>
          <w:color w:val="000000"/>
          <w:sz w:val="22"/>
          <w:szCs w:val="22"/>
          <w:lang w:val="es-ES" w:eastAsia="es-ES"/>
        </w:rPr>
        <w:t>ix</w:t>
      </w:r>
      <w:proofErr w:type="spellEnd"/>
      <w:r w:rsidRPr="002E7F83">
        <w:rPr>
          <w:rFonts w:ascii="Arial" w:eastAsia="Calibri" w:hAnsi="Arial" w:cs="Arial"/>
          <w:color w:val="000000"/>
          <w:sz w:val="22"/>
          <w:szCs w:val="22"/>
          <w:lang w:val="es-ES" w:eastAsia="es-ES"/>
        </w:rPr>
        <w:t>)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7FA19B03" w14:textId="77777777" w:rsidR="00C14C33" w:rsidRPr="002E7F83" w:rsidRDefault="00C14C33" w:rsidP="00A204B5">
      <w:pPr>
        <w:spacing w:before="120" w:line="276" w:lineRule="auto"/>
        <w:ind w:firstLine="709"/>
        <w:jc w:val="both"/>
        <w:rPr>
          <w:rFonts w:ascii="Arial" w:eastAsia="Calibri" w:hAnsi="Arial" w:cs="Arial"/>
          <w:color w:val="000000"/>
          <w:sz w:val="22"/>
          <w:szCs w:val="22"/>
          <w:lang w:val="es-ES" w:eastAsia="es-ES"/>
        </w:rPr>
      </w:pPr>
      <w:r w:rsidRPr="002E7F83">
        <w:rPr>
          <w:rFonts w:ascii="Arial" w:eastAsia="Calibri" w:hAnsi="Arial" w:cs="Arial"/>
          <w:color w:val="000000"/>
          <w:sz w:val="22"/>
          <w:szCs w:val="22"/>
          <w:lang w:val="es-ES" w:eastAsia="es-ES"/>
        </w:rPr>
        <w:lastRenderedPageBreak/>
        <w:t>x) Documentos tipo para procesos de gestión catastral con enfoque multipropósito que se celebren a través de contratos interadministrativos, a partir del 1 de febrero de 2021.</w:t>
      </w:r>
    </w:p>
    <w:p w14:paraId="75C4BF71" w14:textId="77777777" w:rsidR="00C14C33" w:rsidRPr="002E7F83" w:rsidRDefault="00C14C33" w:rsidP="00A204B5">
      <w:pPr>
        <w:spacing w:before="120" w:line="276" w:lineRule="auto"/>
        <w:ind w:firstLine="709"/>
        <w:jc w:val="both"/>
        <w:rPr>
          <w:rFonts w:ascii="Arial" w:eastAsia="Calibri" w:hAnsi="Arial" w:cs="Arial"/>
          <w:color w:val="000000"/>
          <w:sz w:val="22"/>
          <w:szCs w:val="22"/>
          <w:lang w:val="es-ES" w:eastAsia="es-ES"/>
        </w:rPr>
      </w:pPr>
      <w:r w:rsidRPr="002E7F83">
        <w:rPr>
          <w:rFonts w:ascii="Arial" w:eastAsia="Calibri" w:hAnsi="Arial" w:cs="Arial"/>
          <w:color w:val="000000"/>
          <w:sz w:val="22"/>
          <w:szCs w:val="22"/>
          <w:lang w:val="es-ES" w:eastAsia="es-ES"/>
        </w:rPr>
        <w:t>xi) Documentos tipo para procesos de selección de concurso de méritos, para contratar la consultoría de estudios de ingeniería de infraestructura de transporte, para los procesos cuyo aviso de convocatoria se haya publicado desde 9 de agosto de 2021</w:t>
      </w:r>
    </w:p>
    <w:p w14:paraId="17F14DE9" w14:textId="77777777" w:rsidR="00C14C33" w:rsidRPr="002E7F83" w:rsidRDefault="00C14C33" w:rsidP="00A204B5">
      <w:pPr>
        <w:spacing w:after="120" w:line="276" w:lineRule="auto"/>
        <w:ind w:firstLine="708"/>
        <w:jc w:val="both"/>
        <w:rPr>
          <w:rFonts w:ascii="Arial" w:eastAsia="Calibri" w:hAnsi="Arial" w:cs="Arial"/>
          <w:sz w:val="22"/>
          <w:szCs w:val="22"/>
          <w:lang w:val="es-ES_tradnl"/>
        </w:rPr>
      </w:pPr>
      <w:proofErr w:type="spellStart"/>
      <w:r w:rsidRPr="002E7F83">
        <w:rPr>
          <w:rFonts w:ascii="Arial" w:eastAsia="Calibri" w:hAnsi="Arial" w:cs="Arial"/>
          <w:color w:val="000000"/>
          <w:sz w:val="22"/>
          <w:szCs w:val="22"/>
          <w:lang w:val="es-ES" w:eastAsia="es-ES"/>
        </w:rPr>
        <w:t>xii</w:t>
      </w:r>
      <w:proofErr w:type="spellEnd"/>
      <w:r w:rsidRPr="002E7F83">
        <w:rPr>
          <w:rFonts w:ascii="Arial" w:eastAsia="Calibri" w:hAnsi="Arial" w:cs="Arial"/>
          <w:color w:val="000000"/>
          <w:sz w:val="22"/>
          <w:szCs w:val="22"/>
          <w:lang w:val="es-ES" w:eastAsia="es-ES"/>
        </w:rPr>
        <w:t xml:space="preserve">) Documentos tipo para procesos de licitación de obra pública de infraestructura social, que </w:t>
      </w:r>
      <w:r w:rsidRPr="002E7F83">
        <w:rPr>
          <w:rFonts w:ascii="Arial" w:hAnsi="Arial" w:cs="Arial"/>
          <w:sz w:val="22"/>
          <w:szCs w:val="22"/>
          <w:lang w:val="es-ES_tradnl"/>
        </w:rPr>
        <w:t>entrarán a regir de acuerdo con los términos establecidos en el artículo 6 de la Resolución 219 de 2021 −modificado por el artículo 1 de la Resolución 336 del 2 de noviembre de 2021−</w:t>
      </w:r>
      <w:r w:rsidRPr="002E7F83">
        <w:rPr>
          <w:rFonts w:ascii="Arial" w:eastAsia="Calibri" w:hAnsi="Arial" w:cs="Arial"/>
          <w:sz w:val="22"/>
          <w:szCs w:val="22"/>
          <w:lang w:val="es-ES_tradnl"/>
        </w:rPr>
        <w:t>.</w:t>
      </w:r>
    </w:p>
    <w:p w14:paraId="1F46A0DD" w14:textId="77777777" w:rsidR="00C14C33" w:rsidRPr="002E7F83" w:rsidRDefault="00C14C33" w:rsidP="00A204B5">
      <w:pPr>
        <w:spacing w:after="120" w:line="276" w:lineRule="auto"/>
        <w:ind w:firstLine="708"/>
        <w:jc w:val="both"/>
        <w:rPr>
          <w:rFonts w:ascii="Arial" w:eastAsia="Calibri" w:hAnsi="Arial" w:cs="Arial"/>
          <w:sz w:val="22"/>
          <w:szCs w:val="22"/>
          <w:lang w:val="es-ES_tradnl"/>
        </w:rPr>
      </w:pPr>
      <w:proofErr w:type="spellStart"/>
      <w:r w:rsidRPr="002E7F83">
        <w:rPr>
          <w:rFonts w:ascii="Arial" w:eastAsia="Calibri" w:hAnsi="Arial" w:cs="Arial"/>
          <w:color w:val="000000"/>
          <w:sz w:val="22"/>
          <w:szCs w:val="22"/>
          <w:lang w:val="es-ES" w:eastAsia="es-ES"/>
        </w:rPr>
        <w:t>xiii</w:t>
      </w:r>
      <w:proofErr w:type="spellEnd"/>
      <w:r w:rsidRPr="002E7F83">
        <w:rPr>
          <w:rFonts w:ascii="Arial" w:eastAsia="Calibri" w:hAnsi="Arial" w:cs="Arial"/>
          <w:color w:val="000000"/>
          <w:sz w:val="22"/>
          <w:szCs w:val="22"/>
          <w:lang w:val="es-ES" w:eastAsia="es-ES"/>
        </w:rPr>
        <w:t xml:space="preserve">) Documentos tipo complementarios para los procesos de licitación de obra pública de infraestructura social relacionados con el sector educativo, que </w:t>
      </w:r>
      <w:r w:rsidRPr="002E7F83">
        <w:rPr>
          <w:rFonts w:ascii="Arial" w:hAnsi="Arial" w:cs="Arial"/>
          <w:sz w:val="22"/>
          <w:szCs w:val="22"/>
          <w:lang w:val="es-ES_tradnl"/>
        </w:rPr>
        <w:t>entrarán a regir de acuerdo con los términos establecidos en el artículo 6 de la Resolución 219 de 2021 −modificado por el artículo 1 de la Resolución 336 del 2 de noviembre de 2021−.</w:t>
      </w:r>
    </w:p>
    <w:p w14:paraId="7396011E" w14:textId="77777777" w:rsidR="00C14C33" w:rsidRPr="002E7F83" w:rsidRDefault="00C14C33" w:rsidP="00A204B5">
      <w:pPr>
        <w:spacing w:after="120" w:line="276" w:lineRule="auto"/>
        <w:ind w:firstLine="708"/>
        <w:jc w:val="both"/>
        <w:rPr>
          <w:rFonts w:ascii="Arial" w:eastAsia="Calibri" w:hAnsi="Arial" w:cs="Arial"/>
          <w:sz w:val="22"/>
          <w:szCs w:val="22"/>
          <w:lang w:val="es-ES_tradnl"/>
        </w:rPr>
      </w:pPr>
      <w:proofErr w:type="spellStart"/>
      <w:r w:rsidRPr="002E7F83">
        <w:rPr>
          <w:rFonts w:ascii="Arial" w:eastAsia="Calibri" w:hAnsi="Arial" w:cs="Arial"/>
          <w:color w:val="000000"/>
          <w:sz w:val="22"/>
          <w:szCs w:val="22"/>
          <w:lang w:val="es-ES" w:eastAsia="es-ES"/>
        </w:rPr>
        <w:t>xiv</w:t>
      </w:r>
      <w:proofErr w:type="spellEnd"/>
      <w:r w:rsidRPr="002E7F83">
        <w:rPr>
          <w:rFonts w:ascii="Arial" w:eastAsia="Calibri" w:hAnsi="Arial" w:cs="Arial"/>
          <w:color w:val="000000"/>
          <w:sz w:val="22"/>
          <w:szCs w:val="22"/>
          <w:lang w:val="es-ES" w:eastAsia="es-ES"/>
        </w:rPr>
        <w:t xml:space="preserve">) Documentos tipo complementarios para los procesos de licitación de obra pública de infraestructura social relacionados con el sector salud, que entrarán a regir </w:t>
      </w:r>
      <w:r w:rsidRPr="002E7F83">
        <w:rPr>
          <w:rFonts w:ascii="Arial" w:hAnsi="Arial" w:cs="Arial"/>
          <w:sz w:val="22"/>
          <w:szCs w:val="22"/>
          <w:lang w:val="es-ES_tradnl"/>
        </w:rPr>
        <w:t>de acuerdo con los términos establecidos en el artículo 6 de la Resolución 219 de 2021 −modificado por el artículo 1 de la Resolución 336 del 2 de noviembre de 2021− y en el artículo 4 de la Resolución 392 de 18 de noviembre de 2021</w:t>
      </w:r>
      <w:r w:rsidRPr="002E7F83">
        <w:rPr>
          <w:rFonts w:ascii="Arial" w:eastAsia="Calibri" w:hAnsi="Arial" w:cs="Arial"/>
          <w:sz w:val="22"/>
          <w:szCs w:val="22"/>
          <w:lang w:val="es-ES_tradnl"/>
        </w:rPr>
        <w:t>.</w:t>
      </w:r>
    </w:p>
    <w:p w14:paraId="5CB5DD00" w14:textId="77777777" w:rsidR="00C14C33" w:rsidRPr="002E7F83" w:rsidRDefault="00C14C33" w:rsidP="00A204B5">
      <w:pPr>
        <w:spacing w:after="120" w:line="276" w:lineRule="auto"/>
        <w:ind w:firstLine="708"/>
        <w:jc w:val="both"/>
        <w:rPr>
          <w:rFonts w:ascii="Arial" w:eastAsia="Calibri" w:hAnsi="Arial" w:cs="Arial"/>
          <w:sz w:val="22"/>
          <w:szCs w:val="22"/>
          <w:lang w:val="es-ES_tradnl"/>
        </w:rPr>
      </w:pPr>
      <w:proofErr w:type="spellStart"/>
      <w:r w:rsidRPr="002E7F83">
        <w:rPr>
          <w:rFonts w:ascii="Arial" w:eastAsia="Calibri" w:hAnsi="Arial" w:cs="Arial"/>
          <w:sz w:val="22"/>
          <w:szCs w:val="22"/>
          <w:lang w:val="es-ES_tradnl"/>
        </w:rPr>
        <w:t>xv</w:t>
      </w:r>
      <w:proofErr w:type="spellEnd"/>
      <w:r w:rsidRPr="002E7F83">
        <w:rPr>
          <w:rFonts w:ascii="Arial" w:eastAsia="Calibri" w:hAnsi="Arial" w:cs="Arial"/>
          <w:sz w:val="22"/>
          <w:szCs w:val="22"/>
          <w:lang w:val="es-ES_tradnl"/>
        </w:rPr>
        <w:t xml:space="preserve">) </w:t>
      </w:r>
      <w:r w:rsidRPr="002E7F83">
        <w:rPr>
          <w:rFonts w:ascii="Arial" w:eastAsia="Calibri" w:hAnsi="Arial" w:cs="Arial"/>
          <w:color w:val="000000"/>
          <w:sz w:val="22"/>
          <w:szCs w:val="22"/>
          <w:lang w:val="es-ES" w:eastAsia="es-ES"/>
        </w:rPr>
        <w:t>Documentos tipo complementarios para los procesos de licitación de obra pública de infraestructura social relacionados con el sector cultura, recreación y deporte</w:t>
      </w:r>
      <w:r w:rsidRPr="002E7F83">
        <w:rPr>
          <w:rFonts w:ascii="Arial" w:eastAsia="Calibri" w:hAnsi="Arial" w:cs="Arial"/>
          <w:sz w:val="22"/>
          <w:szCs w:val="22"/>
          <w:lang w:val="es-ES_tradnl"/>
        </w:rPr>
        <w:t xml:space="preserve">, </w:t>
      </w:r>
      <w:r w:rsidRPr="002E7F83">
        <w:rPr>
          <w:rFonts w:ascii="Arial" w:eastAsia="Calibri" w:hAnsi="Arial" w:cs="Arial"/>
          <w:color w:val="000000"/>
          <w:sz w:val="22"/>
          <w:szCs w:val="22"/>
          <w:lang w:val="es-ES" w:eastAsia="es-ES"/>
        </w:rPr>
        <w:t xml:space="preserve">que entrarán a regir </w:t>
      </w:r>
      <w:r w:rsidRPr="002E7F83">
        <w:rPr>
          <w:rFonts w:ascii="Arial" w:hAnsi="Arial" w:cs="Arial"/>
          <w:sz w:val="22"/>
          <w:szCs w:val="22"/>
          <w:lang w:val="es-ES_tradnl"/>
        </w:rPr>
        <w:t>de acuerdo con los términos establecidos en el artículo 4 de la Resolución 454 de 2021.</w:t>
      </w:r>
    </w:p>
    <w:p w14:paraId="76EAADBF" w14:textId="37551F9A" w:rsidR="00A6289E" w:rsidRPr="00A204B5" w:rsidRDefault="00F9150D" w:rsidP="00A204B5">
      <w:pPr>
        <w:spacing w:line="276" w:lineRule="auto"/>
        <w:jc w:val="both"/>
        <w:rPr>
          <w:rFonts w:ascii="Arial" w:hAnsi="Arial" w:cs="Arial"/>
          <w:sz w:val="22"/>
          <w:szCs w:val="22"/>
          <w:lang w:val="es-ES"/>
        </w:rPr>
      </w:pPr>
      <w:r w:rsidRPr="00A204B5">
        <w:rPr>
          <w:rFonts w:ascii="Arial" w:hAnsi="Arial" w:cs="Arial"/>
          <w:sz w:val="22"/>
          <w:szCs w:val="22"/>
          <w:lang w:val="es-ES"/>
        </w:rPr>
        <w:tab/>
        <w:t>De otra parte, es preciso advertir que, el artículo 56 de la Ley 2195 de 2022</w:t>
      </w:r>
      <w:r w:rsidR="00043E5F" w:rsidRPr="00A204B5">
        <w:rPr>
          <w:rFonts w:ascii="Arial" w:hAnsi="Arial" w:cs="Arial"/>
          <w:sz w:val="22"/>
          <w:szCs w:val="22"/>
          <w:lang w:val="es-ES"/>
        </w:rPr>
        <w:t xml:space="preserve"> amplió el ámbito de aplicación de los documentos tipo, disponiendo su aplicación obligatoria por parte de entidades estatales de régimen especial, </w:t>
      </w:r>
      <w:r w:rsidR="00A4348C" w:rsidRPr="00A204B5">
        <w:rPr>
          <w:rFonts w:ascii="Arial" w:hAnsi="Arial" w:cs="Arial"/>
          <w:sz w:val="22"/>
          <w:szCs w:val="22"/>
          <w:lang w:val="es-ES"/>
        </w:rPr>
        <w:t>patrimonios autónomos, personas naturales y jurídicas de derecho privado</w:t>
      </w:r>
      <w:r w:rsidR="00995515" w:rsidRPr="00A204B5">
        <w:rPr>
          <w:rFonts w:ascii="Arial" w:hAnsi="Arial" w:cs="Arial"/>
          <w:sz w:val="22"/>
          <w:szCs w:val="22"/>
          <w:lang w:val="es-ES"/>
        </w:rPr>
        <w:t>,</w:t>
      </w:r>
      <w:r w:rsidR="00A4348C" w:rsidRPr="00A204B5">
        <w:rPr>
          <w:rFonts w:ascii="Arial" w:hAnsi="Arial" w:cs="Arial"/>
          <w:sz w:val="22"/>
          <w:szCs w:val="22"/>
          <w:lang w:val="es-ES"/>
        </w:rPr>
        <w:t xml:space="preserve"> </w:t>
      </w:r>
      <w:r w:rsidR="00236145" w:rsidRPr="00A204B5">
        <w:rPr>
          <w:rFonts w:ascii="Arial" w:hAnsi="Arial" w:cs="Arial"/>
          <w:sz w:val="22"/>
          <w:szCs w:val="22"/>
          <w:lang w:val="es-ES"/>
        </w:rPr>
        <w:t>en los casos en los que</w:t>
      </w:r>
      <w:r w:rsidR="00A4348C" w:rsidRPr="00A204B5">
        <w:rPr>
          <w:rFonts w:ascii="Arial" w:hAnsi="Arial" w:cs="Arial"/>
          <w:sz w:val="22"/>
          <w:szCs w:val="22"/>
          <w:lang w:val="es-ES"/>
        </w:rPr>
        <w:t xml:space="preserve"> deban contrat</w:t>
      </w:r>
      <w:r w:rsidR="00A6289E" w:rsidRPr="00A204B5">
        <w:rPr>
          <w:rFonts w:ascii="Arial" w:hAnsi="Arial" w:cs="Arial"/>
          <w:sz w:val="22"/>
          <w:szCs w:val="22"/>
          <w:lang w:val="es-ES"/>
        </w:rPr>
        <w:t>ar objetos contractuales cobijados por los documentos tipo vigentes</w:t>
      </w:r>
      <w:r w:rsidR="00995515" w:rsidRPr="00A204B5">
        <w:rPr>
          <w:rFonts w:ascii="Arial" w:hAnsi="Arial" w:cs="Arial"/>
          <w:sz w:val="22"/>
          <w:szCs w:val="22"/>
          <w:lang w:val="es-ES"/>
        </w:rPr>
        <w:t>,</w:t>
      </w:r>
      <w:r w:rsidR="00A204B5" w:rsidRPr="00A204B5">
        <w:rPr>
          <w:rFonts w:ascii="Arial" w:hAnsi="Arial" w:cs="Arial"/>
          <w:sz w:val="22"/>
          <w:szCs w:val="22"/>
          <w:lang w:val="es-ES"/>
        </w:rPr>
        <w:t xml:space="preserve"> en cumplimiento de compromisos derivados</w:t>
      </w:r>
      <w:r w:rsidR="00995515" w:rsidRPr="00A204B5">
        <w:rPr>
          <w:rFonts w:ascii="Arial" w:hAnsi="Arial" w:cs="Arial"/>
          <w:sz w:val="22"/>
          <w:szCs w:val="22"/>
          <w:lang w:val="es-ES"/>
        </w:rPr>
        <w:t xml:space="preserve"> de convenios o contratos con entidades sometidas a</w:t>
      </w:r>
      <w:r w:rsidR="00CF6653" w:rsidRPr="00A204B5">
        <w:rPr>
          <w:rFonts w:ascii="Arial" w:hAnsi="Arial" w:cs="Arial"/>
          <w:sz w:val="22"/>
          <w:szCs w:val="22"/>
          <w:lang w:val="es-ES"/>
        </w:rPr>
        <w:t xml:space="preserve"> la Ley 80 de 1993</w:t>
      </w:r>
      <w:r w:rsidR="00995515" w:rsidRPr="00A204B5">
        <w:rPr>
          <w:rFonts w:ascii="Arial" w:hAnsi="Arial" w:cs="Arial"/>
          <w:sz w:val="22"/>
          <w:szCs w:val="22"/>
          <w:lang w:val="es-ES"/>
        </w:rPr>
        <w:t xml:space="preserve">. </w:t>
      </w:r>
      <w:r w:rsidR="00C25F36" w:rsidRPr="00A204B5">
        <w:rPr>
          <w:rFonts w:ascii="Arial" w:hAnsi="Arial" w:cs="Arial"/>
          <w:sz w:val="22"/>
          <w:szCs w:val="22"/>
          <w:lang w:val="es-ES"/>
        </w:rPr>
        <w:t>Conforme a la norma indicada, en estos procesos, además deberán aplicarse el Estatuto Gener</w:t>
      </w:r>
      <w:r w:rsidR="00CF6653" w:rsidRPr="00A204B5">
        <w:rPr>
          <w:rFonts w:ascii="Arial" w:hAnsi="Arial" w:cs="Arial"/>
          <w:sz w:val="22"/>
          <w:szCs w:val="22"/>
          <w:lang w:val="es-ES"/>
        </w:rPr>
        <w:t>al de Contratación de la Administración Pública.</w:t>
      </w:r>
    </w:p>
    <w:p w14:paraId="5800E59F" w14:textId="77777777" w:rsidR="00A204B5" w:rsidRPr="00A204B5" w:rsidRDefault="00A204B5" w:rsidP="00A204B5">
      <w:pPr>
        <w:spacing w:line="276" w:lineRule="auto"/>
        <w:jc w:val="both"/>
        <w:rPr>
          <w:rFonts w:ascii="Arial" w:eastAsia="Calibri" w:hAnsi="Arial" w:cs="Arial"/>
          <w:sz w:val="22"/>
          <w:szCs w:val="22"/>
        </w:rPr>
      </w:pPr>
    </w:p>
    <w:p w14:paraId="64BE30C1" w14:textId="7FBB1D89" w:rsidR="00695B70" w:rsidRDefault="00695B70" w:rsidP="00A204B5">
      <w:pPr>
        <w:spacing w:line="276" w:lineRule="auto"/>
        <w:jc w:val="both"/>
        <w:rPr>
          <w:rFonts w:ascii="Arial" w:eastAsia="Calibri" w:hAnsi="Arial" w:cs="Arial"/>
          <w:sz w:val="22"/>
          <w:szCs w:val="22"/>
        </w:rPr>
      </w:pPr>
      <w:r w:rsidRPr="00A204B5">
        <w:rPr>
          <w:rFonts w:ascii="Arial" w:eastAsia="Calibri" w:hAnsi="Arial" w:cs="Arial"/>
          <w:sz w:val="22"/>
          <w:szCs w:val="22"/>
        </w:rPr>
        <w:t>Este concepto tiene el alcance previsto en el artículo 28 del Código de Procedimiento Administrativo y de lo Contencioso Administrativo.</w:t>
      </w:r>
    </w:p>
    <w:p w14:paraId="48690FEC" w14:textId="0194B405" w:rsidR="00BC3B76" w:rsidRDefault="00BC3B76" w:rsidP="00A204B5">
      <w:pPr>
        <w:spacing w:line="276" w:lineRule="auto"/>
        <w:jc w:val="both"/>
        <w:rPr>
          <w:rFonts w:ascii="Arial" w:eastAsia="Calibri" w:hAnsi="Arial" w:cs="Arial"/>
          <w:sz w:val="22"/>
          <w:szCs w:val="22"/>
        </w:rPr>
      </w:pPr>
    </w:p>
    <w:p w14:paraId="40CACAC8" w14:textId="3ED21F84" w:rsidR="00BC3B76" w:rsidRPr="00A204B5" w:rsidRDefault="00BC3B76" w:rsidP="00A204B5">
      <w:pPr>
        <w:spacing w:line="276" w:lineRule="auto"/>
        <w:jc w:val="both"/>
        <w:rPr>
          <w:rFonts w:ascii="Arial" w:eastAsia="Calibri" w:hAnsi="Arial" w:cs="Arial"/>
          <w:sz w:val="22"/>
          <w:szCs w:val="22"/>
        </w:rPr>
      </w:pPr>
      <w:r w:rsidRPr="00A204B5">
        <w:rPr>
          <w:rFonts w:ascii="Arial" w:hAnsi="Arial" w:cs="Arial"/>
          <w:sz w:val="22"/>
          <w:szCs w:val="22"/>
          <w:lang w:eastAsia="es-CO"/>
        </w:rPr>
        <w:t>Atentamente,</w:t>
      </w:r>
    </w:p>
    <w:p w14:paraId="32F6587C" w14:textId="77777777" w:rsidR="00ED0181" w:rsidRPr="00A204B5" w:rsidRDefault="00ED0181" w:rsidP="00A204B5">
      <w:pPr>
        <w:spacing w:line="276" w:lineRule="auto"/>
        <w:jc w:val="both"/>
        <w:rPr>
          <w:rFonts w:ascii="Arial" w:eastAsia="Calibri" w:hAnsi="Arial" w:cs="Arial"/>
          <w:sz w:val="22"/>
          <w:szCs w:val="22"/>
        </w:rPr>
      </w:pPr>
    </w:p>
    <w:p w14:paraId="73353508" w14:textId="1E0FED7C" w:rsidR="00EE6A82" w:rsidRDefault="00EE6A82" w:rsidP="002E7F83">
      <w:pPr>
        <w:spacing w:line="276" w:lineRule="auto"/>
        <w:rPr>
          <w:rFonts w:ascii="Arial" w:hAnsi="Arial" w:cs="Arial"/>
          <w:sz w:val="22"/>
          <w:szCs w:val="22"/>
          <w:lang w:eastAsia="es-CO"/>
        </w:rPr>
      </w:pPr>
      <w:bookmarkStart w:id="9" w:name="_Hlk50986665"/>
      <w:bookmarkStart w:id="10" w:name="_Hlk52766744"/>
    </w:p>
    <w:p w14:paraId="6416826A" w14:textId="239F3B12" w:rsidR="00BC3B76" w:rsidRDefault="00BC3B76" w:rsidP="002E7F83">
      <w:pPr>
        <w:spacing w:line="276" w:lineRule="auto"/>
        <w:rPr>
          <w:rFonts w:ascii="Arial" w:hAnsi="Arial" w:cs="Arial"/>
          <w:sz w:val="22"/>
          <w:szCs w:val="22"/>
          <w:lang w:eastAsia="es-CO"/>
        </w:rPr>
      </w:pPr>
    </w:p>
    <w:p w14:paraId="2EA9DA1C" w14:textId="5E26D6C8" w:rsidR="00BC3B76" w:rsidRDefault="00BC3B76" w:rsidP="002E7F83">
      <w:pPr>
        <w:spacing w:line="276" w:lineRule="auto"/>
        <w:rPr>
          <w:rFonts w:ascii="Arial" w:hAnsi="Arial" w:cs="Arial"/>
          <w:sz w:val="22"/>
          <w:szCs w:val="22"/>
          <w:lang w:eastAsia="es-CO"/>
        </w:rPr>
      </w:pPr>
    </w:p>
    <w:p w14:paraId="130AA255" w14:textId="737184A4" w:rsidR="00BC3B76" w:rsidRDefault="00BC3B76" w:rsidP="002E7F83">
      <w:pPr>
        <w:spacing w:line="276" w:lineRule="auto"/>
        <w:rPr>
          <w:rFonts w:ascii="Arial" w:hAnsi="Arial" w:cs="Arial"/>
          <w:sz w:val="22"/>
          <w:szCs w:val="22"/>
          <w:lang w:eastAsia="es-CO"/>
        </w:rPr>
      </w:pPr>
    </w:p>
    <w:p w14:paraId="64FA8502" w14:textId="0258D364" w:rsidR="00BC3B76" w:rsidRDefault="00BC3B76" w:rsidP="002E7F83">
      <w:pPr>
        <w:spacing w:line="276" w:lineRule="auto"/>
        <w:rPr>
          <w:rFonts w:ascii="Arial" w:hAnsi="Arial" w:cs="Arial"/>
          <w:sz w:val="22"/>
          <w:szCs w:val="22"/>
          <w:lang w:eastAsia="es-CO"/>
        </w:rPr>
      </w:pPr>
      <w:r w:rsidRPr="00570FD2">
        <w:rPr>
          <w:rFonts w:ascii="Arial" w:hAnsi="Arial" w:cs="Arial"/>
          <w:noProof/>
          <w:color w:val="000000" w:themeColor="text1"/>
          <w:sz w:val="22"/>
        </w:rPr>
        <w:drawing>
          <wp:anchor distT="0" distB="0" distL="114300" distR="114300" simplePos="0" relativeHeight="251659264" behindDoc="0" locked="0" layoutInCell="1" allowOverlap="1" wp14:anchorId="72E1560F" wp14:editId="24B24293">
            <wp:simplePos x="0" y="0"/>
            <wp:positionH relativeFrom="margin">
              <wp:align>center</wp:align>
            </wp:positionH>
            <wp:positionV relativeFrom="paragraph">
              <wp:posOffset>43062</wp:posOffset>
            </wp:positionV>
            <wp:extent cx="2200275" cy="934085"/>
            <wp:effectExtent l="0" t="0" r="9525" b="0"/>
            <wp:wrapSquare wrapText="bothSides"/>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200275" cy="934085"/>
                    </a:xfrm>
                    <a:prstGeom prst="rect">
                      <a:avLst/>
                    </a:prstGeom>
                  </pic:spPr>
                </pic:pic>
              </a:graphicData>
            </a:graphic>
            <wp14:sizeRelH relativeFrom="page">
              <wp14:pctWidth>0</wp14:pctWidth>
            </wp14:sizeRelH>
            <wp14:sizeRelV relativeFrom="page">
              <wp14:pctHeight>0</wp14:pctHeight>
            </wp14:sizeRelV>
          </wp:anchor>
        </w:drawing>
      </w:r>
    </w:p>
    <w:p w14:paraId="3BD65210" w14:textId="69A08A19" w:rsidR="00BC3B76" w:rsidRDefault="00BC3B76" w:rsidP="002E7F83">
      <w:pPr>
        <w:spacing w:line="276" w:lineRule="auto"/>
        <w:rPr>
          <w:rFonts w:ascii="Arial" w:hAnsi="Arial" w:cs="Arial"/>
          <w:sz w:val="22"/>
          <w:szCs w:val="22"/>
          <w:lang w:eastAsia="es-CO"/>
        </w:rPr>
      </w:pPr>
    </w:p>
    <w:p w14:paraId="4EDEDCDD" w14:textId="77777777" w:rsidR="00BC3B76" w:rsidRPr="00A204B5" w:rsidRDefault="00BC3B76" w:rsidP="002E7F83">
      <w:pPr>
        <w:spacing w:line="276" w:lineRule="auto"/>
        <w:rPr>
          <w:rFonts w:ascii="Arial" w:hAnsi="Arial" w:cs="Arial"/>
          <w:sz w:val="22"/>
          <w:szCs w:val="22"/>
          <w:lang w:eastAsia="es-CO"/>
        </w:rPr>
      </w:pPr>
    </w:p>
    <w:bookmarkEnd w:id="4"/>
    <w:bookmarkEnd w:id="9"/>
    <w:bookmarkEnd w:id="10"/>
    <w:p w14:paraId="35B56F46" w14:textId="198FB83A" w:rsidR="00746E08" w:rsidRDefault="00746E08" w:rsidP="00123BE2">
      <w:pPr>
        <w:jc w:val="center"/>
        <w:rPr>
          <w:rFonts w:ascii="Arial" w:hAnsi="Arial" w:cs="Arial"/>
          <w:noProof/>
          <w:lang w:eastAsia="es-CO"/>
        </w:rPr>
      </w:pPr>
    </w:p>
    <w:p w14:paraId="399B4E14" w14:textId="38A819C8" w:rsidR="00BC3B76" w:rsidRDefault="00BC3B76" w:rsidP="00123BE2">
      <w:pPr>
        <w:jc w:val="center"/>
        <w:rPr>
          <w:rFonts w:ascii="Arial" w:hAnsi="Arial" w:cs="Arial"/>
          <w:noProof/>
          <w:lang w:eastAsia="es-CO"/>
        </w:rPr>
      </w:pPr>
    </w:p>
    <w:p w14:paraId="23F1ED57" w14:textId="0CCF28B1" w:rsidR="00BC3B76" w:rsidRPr="00123BE2" w:rsidRDefault="00BC3B76" w:rsidP="00123BE2">
      <w:pPr>
        <w:jc w:val="center"/>
        <w:rPr>
          <w:rFonts w:ascii="Arial" w:hAnsi="Arial" w:cs="Arial"/>
          <w:sz w:val="18"/>
          <w:szCs w:val="20"/>
          <w:lang w:eastAsia="es-CO"/>
        </w:rPr>
      </w:pPr>
    </w:p>
    <w:tbl>
      <w:tblPr>
        <w:tblStyle w:val="Tablaconcuadrcula1"/>
        <w:tblpPr w:leftFromText="141" w:rightFromText="141" w:vertAnchor="text" w:horzAnchor="margin" w:tblpY="26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123BE2" w:rsidRPr="006328BD" w14:paraId="62043797" w14:textId="77777777" w:rsidTr="00DE36CB">
        <w:trPr>
          <w:trHeight w:val="286"/>
        </w:trPr>
        <w:tc>
          <w:tcPr>
            <w:tcW w:w="817" w:type="dxa"/>
            <w:vAlign w:val="center"/>
          </w:tcPr>
          <w:p w14:paraId="7016AE9D" w14:textId="77777777" w:rsidR="00123BE2" w:rsidRPr="006328BD" w:rsidRDefault="00123BE2" w:rsidP="00DE36CB">
            <w:pPr>
              <w:rPr>
                <w:rFonts w:ascii="Arial" w:hAnsi="Arial" w:cs="Arial"/>
                <w:sz w:val="14"/>
                <w:szCs w:val="14"/>
                <w:lang w:eastAsia="es-ES"/>
              </w:rPr>
            </w:pPr>
            <w:r w:rsidRPr="006328BD">
              <w:rPr>
                <w:rFonts w:ascii="Arial" w:hAnsi="Arial" w:cs="Arial"/>
                <w:sz w:val="14"/>
                <w:szCs w:val="14"/>
                <w:lang w:eastAsia="es-ES"/>
              </w:rPr>
              <w:t>Elaboró:</w:t>
            </w:r>
          </w:p>
        </w:tc>
        <w:tc>
          <w:tcPr>
            <w:tcW w:w="4445" w:type="dxa"/>
            <w:tcBorders>
              <w:bottom w:val="dotted" w:sz="4" w:space="0" w:color="7F7F7F"/>
            </w:tcBorders>
            <w:vAlign w:val="center"/>
          </w:tcPr>
          <w:p w14:paraId="3135B5D2" w14:textId="2D011484" w:rsidR="00123BE2" w:rsidRPr="006328BD" w:rsidRDefault="00123BE2" w:rsidP="00DE36CB">
            <w:pPr>
              <w:rPr>
                <w:rFonts w:ascii="Arial" w:hAnsi="Arial" w:cs="Arial"/>
                <w:sz w:val="14"/>
                <w:szCs w:val="14"/>
                <w:lang w:eastAsia="es-ES"/>
              </w:rPr>
            </w:pPr>
            <w:r>
              <w:rPr>
                <w:rFonts w:ascii="Arial" w:hAnsi="Arial" w:cs="Arial"/>
                <w:sz w:val="14"/>
                <w:szCs w:val="14"/>
                <w:lang w:eastAsia="es-ES"/>
              </w:rPr>
              <w:t>Diana Fabiola Herrera Hernández</w:t>
            </w:r>
            <w:r w:rsidRPr="006328BD">
              <w:rPr>
                <w:rFonts w:ascii="Arial" w:hAnsi="Arial" w:cs="Arial"/>
                <w:sz w:val="14"/>
                <w:szCs w:val="14"/>
                <w:lang w:eastAsia="es-ES"/>
              </w:rPr>
              <w:t xml:space="preserve"> </w:t>
            </w:r>
          </w:p>
          <w:p w14:paraId="748D0BA2" w14:textId="77777777" w:rsidR="00123BE2" w:rsidRPr="006328BD" w:rsidRDefault="00123BE2" w:rsidP="00DE36CB">
            <w:pPr>
              <w:rPr>
                <w:rFonts w:ascii="Arial" w:hAnsi="Arial" w:cs="Arial"/>
                <w:sz w:val="14"/>
                <w:szCs w:val="14"/>
                <w:lang w:eastAsia="es-ES"/>
              </w:rPr>
            </w:pPr>
            <w:r w:rsidRPr="006328BD">
              <w:rPr>
                <w:rFonts w:ascii="Arial" w:hAnsi="Arial" w:cs="Arial"/>
                <w:sz w:val="14"/>
                <w:szCs w:val="14"/>
                <w:lang w:eastAsia="es-ES"/>
              </w:rPr>
              <w:t>Contratista de la Subdirección de Gestión Contractual</w:t>
            </w:r>
          </w:p>
        </w:tc>
      </w:tr>
      <w:tr w:rsidR="00123BE2" w:rsidRPr="006328BD" w14:paraId="7E176450" w14:textId="77777777" w:rsidTr="00DE36CB">
        <w:trPr>
          <w:trHeight w:val="299"/>
        </w:trPr>
        <w:tc>
          <w:tcPr>
            <w:tcW w:w="817" w:type="dxa"/>
            <w:vAlign w:val="center"/>
          </w:tcPr>
          <w:p w14:paraId="56D591DE" w14:textId="77777777" w:rsidR="00123BE2" w:rsidRPr="006328BD" w:rsidRDefault="00123BE2" w:rsidP="00DE36CB">
            <w:pPr>
              <w:rPr>
                <w:rFonts w:ascii="Arial" w:hAnsi="Arial" w:cs="Arial"/>
                <w:sz w:val="14"/>
                <w:szCs w:val="14"/>
                <w:lang w:eastAsia="es-ES"/>
              </w:rPr>
            </w:pPr>
            <w:r w:rsidRPr="006328BD">
              <w:rPr>
                <w:rFonts w:ascii="Arial" w:hAnsi="Arial" w:cs="Arial"/>
                <w:sz w:val="14"/>
                <w:szCs w:val="14"/>
                <w:lang w:eastAsia="es-ES"/>
              </w:rPr>
              <w:t>Revisó:</w:t>
            </w:r>
          </w:p>
        </w:tc>
        <w:tc>
          <w:tcPr>
            <w:tcW w:w="4445" w:type="dxa"/>
            <w:tcBorders>
              <w:top w:val="dotted" w:sz="4" w:space="0" w:color="7F7F7F"/>
              <w:bottom w:val="dotted" w:sz="4" w:space="0" w:color="7F7F7F"/>
            </w:tcBorders>
            <w:vAlign w:val="center"/>
          </w:tcPr>
          <w:p w14:paraId="5A49CEB5" w14:textId="47C10813" w:rsidR="00123BE2" w:rsidRPr="006328BD" w:rsidRDefault="00330722" w:rsidP="00DE36CB">
            <w:pPr>
              <w:rPr>
                <w:rFonts w:ascii="Arial" w:hAnsi="Arial" w:cs="Arial"/>
                <w:sz w:val="14"/>
                <w:szCs w:val="14"/>
                <w:lang w:eastAsia="es-ES"/>
              </w:rPr>
            </w:pPr>
            <w:r>
              <w:rPr>
                <w:rFonts w:ascii="Arial" w:hAnsi="Arial" w:cs="Arial"/>
                <w:sz w:val="14"/>
                <w:szCs w:val="14"/>
                <w:lang w:eastAsia="es-ES"/>
              </w:rPr>
              <w:t>Alejandro Sarmiento</w:t>
            </w:r>
            <w:r w:rsidR="00123BE2" w:rsidRPr="006328BD">
              <w:rPr>
                <w:rFonts w:ascii="Arial" w:hAnsi="Arial" w:cs="Arial"/>
                <w:sz w:val="14"/>
                <w:szCs w:val="14"/>
                <w:lang w:eastAsia="es-ES"/>
              </w:rPr>
              <w:t> </w:t>
            </w:r>
            <w:r w:rsidR="00A204B5">
              <w:rPr>
                <w:rFonts w:ascii="Arial" w:hAnsi="Arial" w:cs="Arial"/>
                <w:sz w:val="14"/>
                <w:szCs w:val="14"/>
                <w:lang w:eastAsia="es-ES"/>
              </w:rPr>
              <w:t>Cantillo</w:t>
            </w:r>
          </w:p>
          <w:p w14:paraId="5C8BE685" w14:textId="4B5BA43E" w:rsidR="00123BE2" w:rsidRPr="006328BD" w:rsidRDefault="00A204B5" w:rsidP="00DE36CB">
            <w:pPr>
              <w:rPr>
                <w:rFonts w:ascii="Arial" w:hAnsi="Arial" w:cs="Arial"/>
                <w:sz w:val="14"/>
                <w:szCs w:val="14"/>
                <w:lang w:eastAsia="es-ES"/>
              </w:rPr>
            </w:pPr>
            <w:r>
              <w:rPr>
                <w:rFonts w:ascii="Arial" w:hAnsi="Arial" w:cs="Arial"/>
                <w:sz w:val="14"/>
                <w:szCs w:val="14"/>
                <w:lang w:eastAsia="es-ES"/>
              </w:rPr>
              <w:t>Gestor T1-15</w:t>
            </w:r>
            <w:r w:rsidRPr="006328BD">
              <w:rPr>
                <w:rFonts w:ascii="Arial" w:hAnsi="Arial" w:cs="Arial"/>
                <w:sz w:val="14"/>
                <w:szCs w:val="14"/>
                <w:lang w:eastAsia="es-ES"/>
              </w:rPr>
              <w:t xml:space="preserve"> </w:t>
            </w:r>
            <w:r w:rsidR="00330722" w:rsidRPr="006328BD">
              <w:rPr>
                <w:rFonts w:ascii="Arial" w:hAnsi="Arial" w:cs="Arial"/>
                <w:sz w:val="14"/>
                <w:szCs w:val="14"/>
                <w:lang w:eastAsia="es-ES"/>
              </w:rPr>
              <w:t>de la Subdirección de Gestión Contractual</w:t>
            </w:r>
          </w:p>
        </w:tc>
      </w:tr>
      <w:tr w:rsidR="00123BE2" w:rsidRPr="006328BD" w14:paraId="611127FC" w14:textId="77777777" w:rsidTr="00DE36CB">
        <w:trPr>
          <w:trHeight w:val="272"/>
        </w:trPr>
        <w:tc>
          <w:tcPr>
            <w:tcW w:w="817" w:type="dxa"/>
            <w:vAlign w:val="center"/>
          </w:tcPr>
          <w:p w14:paraId="627055C2" w14:textId="77777777" w:rsidR="00123BE2" w:rsidRPr="006328BD" w:rsidRDefault="00123BE2" w:rsidP="00DE36CB">
            <w:pPr>
              <w:rPr>
                <w:rFonts w:ascii="Arial" w:hAnsi="Arial" w:cs="Arial"/>
                <w:sz w:val="14"/>
                <w:szCs w:val="14"/>
                <w:lang w:eastAsia="es-ES"/>
              </w:rPr>
            </w:pPr>
            <w:r w:rsidRPr="006328BD">
              <w:rPr>
                <w:rFonts w:ascii="Arial" w:hAnsi="Arial" w:cs="Arial"/>
                <w:sz w:val="14"/>
                <w:szCs w:val="14"/>
                <w:lang w:eastAsia="es-ES"/>
              </w:rPr>
              <w:t>Aprobó:</w:t>
            </w:r>
          </w:p>
        </w:tc>
        <w:tc>
          <w:tcPr>
            <w:tcW w:w="4445" w:type="dxa"/>
            <w:tcBorders>
              <w:top w:val="dotted" w:sz="4" w:space="0" w:color="7F7F7F"/>
              <w:bottom w:val="dotted" w:sz="4" w:space="0" w:color="7F7F7F"/>
            </w:tcBorders>
            <w:vAlign w:val="center"/>
          </w:tcPr>
          <w:p w14:paraId="0A96E7B2" w14:textId="77777777" w:rsidR="00123BE2" w:rsidRPr="006328BD" w:rsidRDefault="00123BE2" w:rsidP="00DE36CB">
            <w:pPr>
              <w:rPr>
                <w:rFonts w:ascii="Arial" w:hAnsi="Arial" w:cs="Arial"/>
                <w:sz w:val="14"/>
                <w:szCs w:val="14"/>
                <w:lang w:eastAsia="es-ES"/>
              </w:rPr>
            </w:pPr>
            <w:r w:rsidRPr="006328BD">
              <w:rPr>
                <w:rFonts w:ascii="Arial" w:hAnsi="Arial" w:cs="Arial"/>
                <w:sz w:val="14"/>
                <w:szCs w:val="14"/>
                <w:lang w:eastAsia="es-ES"/>
              </w:rPr>
              <w:t>Jorge Augusto Tirado Navarro</w:t>
            </w:r>
          </w:p>
          <w:p w14:paraId="5A434093" w14:textId="77777777" w:rsidR="00123BE2" w:rsidRPr="006328BD" w:rsidRDefault="00123BE2" w:rsidP="00DE36CB">
            <w:pPr>
              <w:rPr>
                <w:rFonts w:ascii="Arial" w:hAnsi="Arial" w:cs="Arial"/>
                <w:sz w:val="14"/>
                <w:szCs w:val="14"/>
                <w:lang w:eastAsia="es-ES"/>
              </w:rPr>
            </w:pPr>
            <w:r w:rsidRPr="006328BD">
              <w:rPr>
                <w:rFonts w:ascii="Arial" w:hAnsi="Arial" w:cs="Arial"/>
                <w:sz w:val="14"/>
                <w:szCs w:val="14"/>
                <w:lang w:eastAsia="es-ES"/>
              </w:rPr>
              <w:t>Subdirector de Gestión Contractual ANCP – CCE</w:t>
            </w:r>
          </w:p>
        </w:tc>
      </w:tr>
    </w:tbl>
    <w:p w14:paraId="46A2D6C9" w14:textId="77777777" w:rsidR="00123BE2" w:rsidRPr="009A758C" w:rsidRDefault="00123BE2" w:rsidP="009A758C">
      <w:pPr>
        <w:rPr>
          <w:rFonts w:ascii="Arial" w:hAnsi="Arial" w:cs="Arial"/>
        </w:rPr>
      </w:pPr>
    </w:p>
    <w:sectPr w:rsidR="00123BE2" w:rsidRPr="009A758C" w:rsidSect="00D650B5">
      <w:headerReference w:type="default" r:id="rId13"/>
      <w:footerReference w:type="default" r:id="rId14"/>
      <w:pgSz w:w="12240" w:h="15840"/>
      <w:pgMar w:top="2041" w:right="1758" w:bottom="1474" w:left="1758"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3F6D9E" w14:textId="77777777" w:rsidR="008C180E" w:rsidRDefault="008C180E">
      <w:r>
        <w:separator/>
      </w:r>
    </w:p>
  </w:endnote>
  <w:endnote w:type="continuationSeparator" w:id="0">
    <w:p w14:paraId="2279E38B" w14:textId="77777777" w:rsidR="008C180E" w:rsidRDefault="008C18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5F905D24" w:rsidR="00EF64D8" w:rsidRPr="008217B7" w:rsidRDefault="00EF64D8"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EF5FF6">
      <w:rPr>
        <w:rFonts w:ascii="Arial" w:hAnsi="Arial" w:cs="Arial"/>
        <w:b/>
        <w:bCs/>
        <w:noProof/>
        <w:color w:val="7F7F7F" w:themeColor="text1" w:themeTint="80"/>
        <w:sz w:val="16"/>
        <w:szCs w:val="16"/>
      </w:rPr>
      <w:t>20</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EF5FF6">
      <w:rPr>
        <w:rFonts w:ascii="Arial" w:hAnsi="Arial" w:cs="Arial"/>
        <w:b/>
        <w:bCs/>
        <w:noProof/>
        <w:color w:val="7F7F7F" w:themeColor="text1" w:themeTint="80"/>
        <w:sz w:val="16"/>
        <w:szCs w:val="16"/>
      </w:rPr>
      <w:t>22</w:t>
    </w:r>
    <w:r w:rsidRPr="00084B97">
      <w:rPr>
        <w:rFonts w:ascii="Arial" w:hAnsi="Arial" w:cs="Arial"/>
        <w:b/>
        <w:bCs/>
        <w:color w:val="7F7F7F" w:themeColor="text1" w:themeTint="80"/>
        <w:sz w:val="16"/>
        <w:szCs w:val="16"/>
      </w:rPr>
      <w:fldChar w:fldCharType="end"/>
    </w:r>
  </w:p>
  <w:p w14:paraId="48FC6A04" w14:textId="5FD1A7C9" w:rsidR="00EF64D8" w:rsidRDefault="434D2F1C" w:rsidP="00322937">
    <w:pPr>
      <w:pStyle w:val="Piedepgina"/>
      <w:jc w:val="center"/>
      <w:rPr>
        <w:lang w:val="es-ES"/>
      </w:rPr>
    </w:pPr>
    <w:r>
      <w:rPr>
        <w:noProof/>
        <w:lang w:val="es-CO" w:eastAsia="es-CO"/>
      </w:rPr>
      <w:drawing>
        <wp:inline distT="0" distB="0" distL="0" distR="0" wp14:anchorId="608B196D" wp14:editId="40ED6A14">
          <wp:extent cx="3700130" cy="519139"/>
          <wp:effectExtent l="0" t="0" r="0" b="0"/>
          <wp:docPr id="35860387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EF64D8" w:rsidRDefault="00EF64D8" w:rsidP="007B0854">
    <w:pPr>
      <w:pStyle w:val="Piedepgina"/>
      <w:jc w:val="center"/>
      <w:rPr>
        <w:lang w:val="es-ES"/>
      </w:rPr>
    </w:pPr>
  </w:p>
  <w:p w14:paraId="6C0EFC49" w14:textId="77777777" w:rsidR="00EF64D8" w:rsidRPr="007B0854" w:rsidRDefault="00EF64D8"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6101AD" w14:textId="77777777" w:rsidR="008C180E" w:rsidRDefault="008C180E">
      <w:r>
        <w:separator/>
      </w:r>
    </w:p>
  </w:footnote>
  <w:footnote w:type="continuationSeparator" w:id="0">
    <w:p w14:paraId="707FF709" w14:textId="77777777" w:rsidR="008C180E" w:rsidRDefault="008C180E">
      <w:r>
        <w:continuationSeparator/>
      </w:r>
    </w:p>
  </w:footnote>
  <w:footnote w:id="1">
    <w:p w14:paraId="208CDDCF" w14:textId="77777777" w:rsidR="003C499B" w:rsidRPr="00503226" w:rsidRDefault="003C499B" w:rsidP="002E7F83">
      <w:pPr>
        <w:pStyle w:val="Textonotapie"/>
        <w:spacing w:after="0" w:line="240" w:lineRule="auto"/>
        <w:ind w:firstLine="709"/>
        <w:rPr>
          <w:rFonts w:ascii="Arial" w:hAnsi="Arial" w:cs="Arial"/>
          <w:color w:val="000000"/>
          <w:sz w:val="19"/>
          <w:szCs w:val="19"/>
          <w:lang w:val="es-CO"/>
        </w:rPr>
      </w:pPr>
      <w:r w:rsidRPr="00503226">
        <w:rPr>
          <w:rStyle w:val="Refdenotaalpie"/>
          <w:rFonts w:ascii="Arial" w:hAnsi="Arial" w:cs="Arial"/>
          <w:color w:val="000000"/>
          <w:sz w:val="19"/>
          <w:szCs w:val="19"/>
        </w:rPr>
        <w:footnoteRef/>
      </w:r>
      <w:r w:rsidRPr="00503226">
        <w:rPr>
          <w:rFonts w:ascii="Arial" w:hAnsi="Arial" w:cs="Arial"/>
          <w:color w:val="000000"/>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footnote>
  <w:footnote w:id="2">
    <w:p w14:paraId="572624F8" w14:textId="77777777" w:rsidR="003C499B" w:rsidRPr="00503226" w:rsidRDefault="003C499B" w:rsidP="002E7F83">
      <w:pPr>
        <w:pStyle w:val="Textonotapie"/>
        <w:spacing w:after="0" w:line="240" w:lineRule="auto"/>
        <w:ind w:firstLine="709"/>
        <w:rPr>
          <w:rFonts w:ascii="Arial" w:hAnsi="Arial" w:cs="Arial"/>
          <w:color w:val="000000"/>
          <w:sz w:val="19"/>
          <w:szCs w:val="19"/>
        </w:rPr>
      </w:pPr>
      <w:r w:rsidRPr="00503226">
        <w:rPr>
          <w:rStyle w:val="Refdenotaalpie"/>
          <w:rFonts w:ascii="Arial" w:hAnsi="Arial" w:cs="Arial"/>
          <w:color w:val="000000"/>
          <w:sz w:val="19"/>
          <w:szCs w:val="19"/>
        </w:rPr>
        <w:footnoteRef/>
      </w:r>
      <w:r w:rsidRPr="00503226">
        <w:rPr>
          <w:rFonts w:ascii="Arial" w:hAnsi="Arial" w:cs="Arial"/>
          <w:color w:val="000000"/>
          <w:sz w:val="19"/>
          <w:szCs w:val="19"/>
        </w:rPr>
        <w:t xml:space="preserve"> </w:t>
      </w:r>
      <w:r w:rsidRPr="00503226">
        <w:rPr>
          <w:rFonts w:ascii="Arial" w:hAnsi="Arial" w:cs="Arial"/>
          <w:color w:val="000000"/>
          <w:sz w:val="19"/>
          <w:szCs w:val="19"/>
          <w:lang w:val="es-CO"/>
        </w:rPr>
        <w:t xml:space="preserve">Ley 1882 de 2018: «Artículo 4. </w:t>
      </w:r>
      <w:r w:rsidRPr="00503226">
        <w:rPr>
          <w:rFonts w:ascii="Arial" w:hAnsi="Arial" w:cs="Arial"/>
          <w:color w:val="000000"/>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6D65159C" w14:textId="77777777" w:rsidR="003C499B" w:rsidRPr="00503226" w:rsidRDefault="003C499B" w:rsidP="002E7F83">
      <w:pPr>
        <w:pStyle w:val="Textonotapie"/>
        <w:spacing w:after="0" w:line="240" w:lineRule="auto"/>
        <w:ind w:firstLine="709"/>
        <w:rPr>
          <w:rFonts w:ascii="Arial" w:hAnsi="Arial" w:cs="Arial"/>
          <w:color w:val="000000"/>
          <w:sz w:val="19"/>
          <w:szCs w:val="19"/>
          <w:lang w:val="es-CO"/>
        </w:rPr>
      </w:pPr>
      <w:proofErr w:type="gramStart"/>
      <w:r w:rsidRPr="00503226">
        <w:rPr>
          <w:rFonts w:ascii="Arial" w:hAnsi="Arial" w:cs="Arial"/>
          <w:color w:val="000000"/>
          <w:sz w:val="19"/>
          <w:szCs w:val="19"/>
          <w:lang w:val="es-CO"/>
        </w:rPr>
        <w:t>»La</w:t>
      </w:r>
      <w:proofErr w:type="gramEnd"/>
      <w:r w:rsidRPr="00503226">
        <w:rPr>
          <w:rFonts w:ascii="Arial" w:hAnsi="Arial" w:cs="Arial"/>
          <w:color w:val="000000"/>
          <w:sz w:val="19"/>
          <w:szCs w:val="19"/>
          <w:lang w:val="es-CO"/>
        </w:rPr>
        <w:t xml:space="preserve"> facultad de adoptar documentos tipo la tendrá el Gobierno nacional, cuando lo considere necesario, en relación con otros contratos o procesos de selección.</w:t>
      </w:r>
    </w:p>
    <w:p w14:paraId="59FAE181" w14:textId="77777777" w:rsidR="003C499B" w:rsidRPr="00503226" w:rsidRDefault="003C499B" w:rsidP="002E7F83">
      <w:pPr>
        <w:pStyle w:val="Textonotapie"/>
        <w:spacing w:after="0" w:line="240" w:lineRule="auto"/>
        <w:ind w:firstLine="709"/>
        <w:rPr>
          <w:rFonts w:ascii="Arial" w:hAnsi="Arial" w:cs="Arial"/>
          <w:color w:val="000000"/>
          <w:sz w:val="19"/>
          <w:szCs w:val="19"/>
          <w:lang w:val="es-CO"/>
        </w:rPr>
      </w:pPr>
      <w:proofErr w:type="gramStart"/>
      <w:r w:rsidRPr="00503226">
        <w:rPr>
          <w:rFonts w:ascii="Arial" w:hAnsi="Arial" w:cs="Arial"/>
          <w:color w:val="000000"/>
          <w:sz w:val="19"/>
          <w:szCs w:val="19"/>
          <w:lang w:val="es-CO"/>
        </w:rPr>
        <w:t>»Los</w:t>
      </w:r>
      <w:proofErr w:type="gramEnd"/>
      <w:r w:rsidRPr="00503226">
        <w:rPr>
          <w:rFonts w:ascii="Arial" w:hAnsi="Arial" w:cs="Arial"/>
          <w:color w:val="000000"/>
          <w:sz w:val="19"/>
          <w:szCs w:val="19"/>
          <w:lang w:val="es-CO"/>
        </w:rPr>
        <w:t xml:space="preserve"> pliegos tipo se adoptarán por categorías de acuerdo con la cuantía de la contratación, según la reglamentación que expida el Gobierno nacional».</w:t>
      </w:r>
    </w:p>
    <w:p w14:paraId="08A9F7FF" w14:textId="77777777" w:rsidR="003C499B" w:rsidRPr="00503226" w:rsidRDefault="003C499B" w:rsidP="002E7F83">
      <w:pPr>
        <w:pStyle w:val="Textonotapie"/>
        <w:spacing w:after="0" w:line="240" w:lineRule="auto"/>
        <w:ind w:firstLine="709"/>
        <w:rPr>
          <w:rFonts w:ascii="Arial" w:hAnsi="Arial" w:cs="Arial"/>
          <w:color w:val="000000"/>
          <w:sz w:val="19"/>
          <w:szCs w:val="19"/>
          <w:lang w:val="es-CO"/>
        </w:rPr>
      </w:pPr>
    </w:p>
  </w:footnote>
  <w:footnote w:id="3">
    <w:p w14:paraId="7B9B94DA" w14:textId="77777777" w:rsidR="003C499B" w:rsidRPr="00503226" w:rsidRDefault="003C499B" w:rsidP="002E7F83">
      <w:pPr>
        <w:pStyle w:val="Textonotapie"/>
        <w:spacing w:after="0" w:line="240" w:lineRule="auto"/>
        <w:ind w:firstLine="709"/>
        <w:rPr>
          <w:rFonts w:ascii="Arial" w:hAnsi="Arial" w:cs="Arial"/>
          <w:color w:val="000000"/>
          <w:sz w:val="19"/>
          <w:szCs w:val="19"/>
        </w:rPr>
      </w:pPr>
      <w:r w:rsidRPr="00503226">
        <w:rPr>
          <w:rStyle w:val="Refdenotaalpie"/>
          <w:rFonts w:ascii="Arial" w:hAnsi="Arial" w:cs="Arial"/>
          <w:color w:val="000000"/>
          <w:sz w:val="19"/>
          <w:szCs w:val="19"/>
        </w:rPr>
        <w:footnoteRef/>
      </w:r>
      <w:r w:rsidRPr="00503226">
        <w:rPr>
          <w:rFonts w:ascii="Arial" w:hAnsi="Arial" w:cs="Arial"/>
          <w:color w:val="000000"/>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1AAA5746" w14:textId="77777777" w:rsidR="003C499B" w:rsidRPr="00503226" w:rsidRDefault="003C499B" w:rsidP="002E7F83">
      <w:pPr>
        <w:pStyle w:val="Textonotapie"/>
        <w:spacing w:after="0" w:line="240" w:lineRule="auto"/>
        <w:ind w:firstLine="709"/>
        <w:rPr>
          <w:rFonts w:ascii="Arial" w:hAnsi="Arial" w:cs="Arial"/>
          <w:color w:val="000000"/>
          <w:sz w:val="19"/>
          <w:szCs w:val="19"/>
        </w:rPr>
      </w:pPr>
    </w:p>
  </w:footnote>
  <w:footnote w:id="4">
    <w:p w14:paraId="13E2D773" w14:textId="77777777" w:rsidR="003C499B" w:rsidRPr="00503226" w:rsidRDefault="003C499B" w:rsidP="002E7F83">
      <w:pPr>
        <w:pStyle w:val="Textonotapie"/>
        <w:spacing w:after="0" w:line="240" w:lineRule="auto"/>
        <w:ind w:firstLine="708"/>
        <w:rPr>
          <w:rFonts w:ascii="Arial" w:hAnsi="Arial" w:cs="Arial"/>
          <w:color w:val="000000"/>
          <w:sz w:val="19"/>
          <w:szCs w:val="19"/>
        </w:rPr>
      </w:pPr>
      <w:r w:rsidRPr="00503226">
        <w:rPr>
          <w:rStyle w:val="Refdenotaalpie"/>
          <w:rFonts w:ascii="Arial" w:hAnsi="Arial" w:cs="Arial"/>
          <w:color w:val="000000"/>
          <w:sz w:val="19"/>
          <w:szCs w:val="19"/>
        </w:rPr>
        <w:footnoteRef/>
      </w:r>
      <w:r w:rsidRPr="00503226">
        <w:rPr>
          <w:rFonts w:ascii="Arial" w:hAnsi="Arial" w:cs="Arial"/>
          <w:color w:val="000000"/>
          <w:sz w:val="19"/>
          <w:szCs w:val="19"/>
        </w:rPr>
        <w:t xml:space="preserve"> «ARTÍCULO 1o. Modifíquese el artículo 4o de la Ley 1882 de 2018, el cual quedará así:</w:t>
      </w:r>
    </w:p>
    <w:p w14:paraId="0070010B" w14:textId="77777777" w:rsidR="003C499B" w:rsidRPr="00503226" w:rsidRDefault="003C499B" w:rsidP="002E7F83">
      <w:pPr>
        <w:pStyle w:val="Textonotapie"/>
        <w:spacing w:after="0" w:line="240" w:lineRule="auto"/>
        <w:ind w:firstLine="708"/>
        <w:rPr>
          <w:rFonts w:ascii="Arial" w:hAnsi="Arial" w:cs="Arial"/>
          <w:color w:val="000000"/>
          <w:sz w:val="19"/>
          <w:szCs w:val="19"/>
        </w:rPr>
      </w:pPr>
      <w:proofErr w:type="gramStart"/>
      <w:r w:rsidRPr="00503226">
        <w:rPr>
          <w:rFonts w:ascii="Arial" w:hAnsi="Arial" w:cs="Arial"/>
          <w:color w:val="000000"/>
          <w:sz w:val="19"/>
          <w:szCs w:val="19"/>
        </w:rPr>
        <w:t>»Artículo</w:t>
      </w:r>
      <w:proofErr w:type="gramEnd"/>
      <w:r w:rsidRPr="00503226">
        <w:rPr>
          <w:rFonts w:ascii="Arial" w:hAnsi="Arial" w:cs="Arial"/>
          <w:color w:val="000000"/>
          <w:sz w:val="19"/>
          <w:szCs w:val="19"/>
        </w:rPr>
        <w:t xml:space="preserve"> 4o. Adiciónese el siguiente parágrafo al artículo 2o de la Ley 1150 de 2007.</w:t>
      </w:r>
    </w:p>
    <w:p w14:paraId="63E4A131" w14:textId="77777777" w:rsidR="003C499B" w:rsidRPr="00503226" w:rsidRDefault="003C499B" w:rsidP="002E7F83">
      <w:pPr>
        <w:pStyle w:val="Textonotapie"/>
        <w:spacing w:after="0" w:line="240" w:lineRule="auto"/>
        <w:ind w:firstLine="708"/>
        <w:rPr>
          <w:rFonts w:ascii="Arial" w:hAnsi="Arial" w:cs="Arial"/>
          <w:color w:val="000000"/>
          <w:sz w:val="19"/>
          <w:szCs w:val="19"/>
        </w:rPr>
      </w:pPr>
      <w:proofErr w:type="gramStart"/>
      <w:r w:rsidRPr="00503226">
        <w:rPr>
          <w:rFonts w:ascii="Arial" w:hAnsi="Arial" w:cs="Arial"/>
          <w:color w:val="000000"/>
          <w:sz w:val="19"/>
          <w:szCs w:val="19"/>
        </w:rPr>
        <w:t>»PARÁGRAFO</w:t>
      </w:r>
      <w:proofErr w:type="gramEnd"/>
      <w:r w:rsidRPr="00503226">
        <w:rPr>
          <w:rFonts w:ascii="Arial" w:hAnsi="Arial" w:cs="Arial"/>
          <w:color w:val="000000"/>
          <w:sz w:val="19"/>
          <w:szCs w:val="19"/>
        </w:rPr>
        <w:t xml:space="preserve">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5508B65C" w14:textId="77777777" w:rsidR="003C499B" w:rsidRPr="00503226" w:rsidRDefault="003C499B" w:rsidP="002E7F83">
      <w:pPr>
        <w:pStyle w:val="Textonotapie"/>
        <w:spacing w:after="0" w:line="240" w:lineRule="auto"/>
        <w:ind w:firstLine="708"/>
        <w:rPr>
          <w:rFonts w:ascii="Arial" w:hAnsi="Arial" w:cs="Arial"/>
          <w:color w:val="000000"/>
          <w:sz w:val="19"/>
          <w:szCs w:val="19"/>
        </w:rPr>
      </w:pPr>
      <w:proofErr w:type="gramStart"/>
      <w:r w:rsidRPr="00503226">
        <w:rPr>
          <w:rFonts w:ascii="Arial" w:hAnsi="Arial" w:cs="Arial"/>
          <w:color w:val="000000"/>
          <w:sz w:val="19"/>
          <w:szCs w:val="19"/>
        </w:rPr>
        <w:t>»Dentro</w:t>
      </w:r>
      <w:proofErr w:type="gramEnd"/>
      <w:r w:rsidRPr="00503226">
        <w:rPr>
          <w:rFonts w:ascii="Arial" w:hAnsi="Arial" w:cs="Arial"/>
          <w:color w:val="000000"/>
          <w:sz w:val="19"/>
          <w:szCs w:val="19"/>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4A48B965" w14:textId="77777777" w:rsidR="003C499B" w:rsidRPr="00503226" w:rsidRDefault="003C499B" w:rsidP="002E7F83">
      <w:pPr>
        <w:pStyle w:val="Textonotapie"/>
        <w:spacing w:after="0" w:line="240" w:lineRule="auto"/>
        <w:ind w:firstLine="708"/>
        <w:rPr>
          <w:rFonts w:ascii="Arial" w:hAnsi="Arial" w:cs="Arial"/>
          <w:color w:val="000000"/>
          <w:sz w:val="19"/>
          <w:szCs w:val="19"/>
        </w:rPr>
      </w:pPr>
      <w:proofErr w:type="gramStart"/>
      <w:r w:rsidRPr="00503226">
        <w:rPr>
          <w:rFonts w:ascii="Arial" w:hAnsi="Arial" w:cs="Arial"/>
          <w:color w:val="000000"/>
          <w:sz w:val="19"/>
          <w:szCs w:val="19"/>
        </w:rPr>
        <w:t>»Con</w:t>
      </w:r>
      <w:proofErr w:type="gramEnd"/>
      <w:r w:rsidRPr="00503226">
        <w:rPr>
          <w:rFonts w:ascii="Arial" w:hAnsi="Arial" w:cs="Arial"/>
          <w:color w:val="000000"/>
          <w:sz w:val="19"/>
          <w:szCs w:val="19"/>
        </w:rPr>
        <w:t xml:space="preserve">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62FD2697" w14:textId="77777777" w:rsidR="003C499B" w:rsidRPr="00503226" w:rsidRDefault="003C499B" w:rsidP="002E7F83">
      <w:pPr>
        <w:pStyle w:val="Textonotapie"/>
        <w:spacing w:after="0" w:line="240" w:lineRule="auto"/>
        <w:ind w:firstLine="708"/>
        <w:rPr>
          <w:rFonts w:ascii="Arial" w:hAnsi="Arial" w:cs="Arial"/>
          <w:color w:val="000000"/>
          <w:sz w:val="19"/>
          <w:szCs w:val="19"/>
        </w:rPr>
      </w:pPr>
      <w:r w:rsidRPr="00503226">
        <w:rPr>
          <w:rFonts w:ascii="Arial" w:hAnsi="Arial" w:cs="Arial"/>
          <w:color w:val="000000"/>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24BE52F6" w14:textId="77777777" w:rsidR="003C499B" w:rsidRPr="00503226" w:rsidRDefault="003C499B" w:rsidP="002E7F83">
      <w:pPr>
        <w:pStyle w:val="Textonotapie"/>
        <w:spacing w:after="0" w:line="240" w:lineRule="auto"/>
        <w:ind w:firstLine="708"/>
        <w:rPr>
          <w:rFonts w:ascii="Arial" w:hAnsi="Arial" w:cs="Arial"/>
          <w:color w:val="000000"/>
          <w:sz w:val="19"/>
          <w:szCs w:val="19"/>
          <w:lang w:val="es-CO"/>
        </w:rPr>
      </w:pPr>
      <w:proofErr w:type="gramStart"/>
      <w:r w:rsidRPr="00503226">
        <w:rPr>
          <w:rFonts w:ascii="Arial" w:hAnsi="Arial" w:cs="Arial"/>
          <w:color w:val="000000"/>
          <w:sz w:val="19"/>
          <w:szCs w:val="19"/>
        </w:rPr>
        <w:t>»En</w:t>
      </w:r>
      <w:proofErr w:type="gramEnd"/>
      <w:r w:rsidRPr="00503226">
        <w:rPr>
          <w:rFonts w:ascii="Arial" w:hAnsi="Arial" w:cs="Arial"/>
          <w:color w:val="000000"/>
          <w:sz w:val="19"/>
          <w:szCs w:val="19"/>
        </w:rPr>
        <w:t xml:space="preserve">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5">
    <w:p w14:paraId="3481749F" w14:textId="77777777" w:rsidR="003C499B" w:rsidRDefault="003C499B" w:rsidP="002E7F83">
      <w:pPr>
        <w:pStyle w:val="Textonotapie"/>
        <w:spacing w:after="0" w:line="240" w:lineRule="auto"/>
        <w:ind w:firstLine="709"/>
        <w:rPr>
          <w:rFonts w:ascii="Arial" w:hAnsi="Arial" w:cs="Arial"/>
          <w:sz w:val="19"/>
          <w:szCs w:val="19"/>
          <w:lang w:val="es-ES"/>
        </w:rPr>
      </w:pPr>
      <w:r w:rsidRPr="00E1079C">
        <w:rPr>
          <w:rStyle w:val="Refdenotaalpie"/>
          <w:rFonts w:ascii="Arial" w:hAnsi="Arial" w:cs="Arial"/>
          <w:sz w:val="19"/>
          <w:szCs w:val="19"/>
        </w:rPr>
        <w:footnoteRef/>
      </w:r>
      <w:r w:rsidRPr="00E1079C">
        <w:rPr>
          <w:rFonts w:ascii="Arial" w:hAnsi="Arial" w:cs="Arial"/>
          <w:sz w:val="19"/>
          <w:szCs w:val="19"/>
        </w:rPr>
        <w:t xml:space="preserve"> </w:t>
      </w:r>
      <w:r w:rsidRPr="00E1079C">
        <w:rPr>
          <w:rFonts w:ascii="Arial" w:hAnsi="Arial" w:cs="Arial"/>
          <w:sz w:val="19"/>
          <w:szCs w:val="19"/>
          <w:lang w:val="es-ES"/>
        </w:rPr>
        <w:t xml:space="preserve">En cuanto a las resoluciones </w:t>
      </w:r>
      <w:r w:rsidRPr="002912D3">
        <w:rPr>
          <w:rFonts w:ascii="Arial" w:hAnsi="Arial" w:cs="Arial"/>
          <w:sz w:val="19"/>
          <w:szCs w:val="19"/>
          <w:lang w:val="es-ES"/>
        </w:rPr>
        <w:t>vigentes, dicha regla se observa en el artículo 3 de las Resoluciones 240, 241, 248, 249, 256, 269 de 2020 y 193, 219</w:t>
      </w:r>
      <w:r>
        <w:rPr>
          <w:rFonts w:ascii="Arial" w:hAnsi="Arial" w:cs="Arial"/>
          <w:sz w:val="19"/>
          <w:szCs w:val="19"/>
          <w:lang w:val="es-ES"/>
        </w:rPr>
        <w:t xml:space="preserve">, </w:t>
      </w:r>
      <w:r w:rsidRPr="002912D3">
        <w:rPr>
          <w:rFonts w:ascii="Arial" w:hAnsi="Arial" w:cs="Arial"/>
          <w:sz w:val="19"/>
          <w:szCs w:val="19"/>
          <w:lang w:val="es-ES"/>
        </w:rPr>
        <w:t>220</w:t>
      </w:r>
      <w:r>
        <w:rPr>
          <w:rFonts w:ascii="Arial" w:hAnsi="Arial" w:cs="Arial"/>
          <w:sz w:val="19"/>
          <w:szCs w:val="19"/>
          <w:lang w:val="es-ES"/>
        </w:rPr>
        <w:t xml:space="preserve">, 392 y </w:t>
      </w:r>
      <w:r w:rsidRPr="00F41B7F">
        <w:rPr>
          <w:rFonts w:ascii="Arial" w:hAnsi="Arial" w:cs="Arial"/>
          <w:sz w:val="19"/>
          <w:szCs w:val="19"/>
          <w:lang w:val="es-ES"/>
        </w:rPr>
        <w:t>454</w:t>
      </w:r>
      <w:r w:rsidRPr="002912D3">
        <w:rPr>
          <w:rFonts w:ascii="Arial" w:hAnsi="Arial" w:cs="Arial"/>
          <w:sz w:val="19"/>
          <w:szCs w:val="19"/>
          <w:lang w:val="es-ES"/>
        </w:rPr>
        <w:t xml:space="preserve"> del 2021, así como en el artículo 2 de la Resolución 094 de 2020.</w:t>
      </w:r>
    </w:p>
    <w:p w14:paraId="6563B5A7" w14:textId="77777777" w:rsidR="003C499B" w:rsidRPr="00E1079C" w:rsidRDefault="003C499B" w:rsidP="002E7F83">
      <w:pPr>
        <w:pStyle w:val="Textonotapie"/>
        <w:spacing w:after="0" w:line="240" w:lineRule="auto"/>
        <w:ind w:firstLine="709"/>
        <w:rPr>
          <w:rFonts w:ascii="Arial" w:hAnsi="Arial" w:cs="Arial"/>
          <w:sz w:val="19"/>
          <w:szCs w:val="19"/>
          <w:lang w:val="es-ES"/>
        </w:rPr>
      </w:pPr>
    </w:p>
  </w:footnote>
  <w:footnote w:id="6">
    <w:p w14:paraId="3D3CA2DB" w14:textId="77777777" w:rsidR="003C499B" w:rsidRPr="00882484" w:rsidRDefault="003C499B" w:rsidP="002E7F83">
      <w:pPr>
        <w:pStyle w:val="Textonotapie"/>
        <w:spacing w:after="0" w:line="240" w:lineRule="auto"/>
        <w:ind w:firstLine="709"/>
        <w:rPr>
          <w:rFonts w:ascii="Arial" w:hAnsi="Arial" w:cs="Arial"/>
          <w:color w:val="000000"/>
          <w:sz w:val="19"/>
          <w:szCs w:val="19"/>
        </w:rPr>
      </w:pPr>
      <w:r w:rsidRPr="00882484">
        <w:rPr>
          <w:rStyle w:val="Refdenotaalpie"/>
          <w:rFonts w:ascii="Arial" w:hAnsi="Arial" w:cs="Arial"/>
          <w:color w:val="000000"/>
          <w:sz w:val="19"/>
          <w:szCs w:val="19"/>
        </w:rPr>
        <w:footnoteRef/>
      </w:r>
      <w:r w:rsidRPr="00882484">
        <w:rPr>
          <w:rFonts w:ascii="Arial" w:hAnsi="Arial" w:cs="Arial"/>
          <w:color w:val="000000"/>
          <w:sz w:val="19"/>
          <w:szCs w:val="19"/>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789DC7F9" w14:textId="44C36F34" w:rsidR="003C499B" w:rsidRDefault="003C499B" w:rsidP="00C07F8E">
      <w:pPr>
        <w:pStyle w:val="Textonotapie"/>
        <w:spacing w:after="0" w:line="240" w:lineRule="auto"/>
        <w:ind w:firstLine="709"/>
        <w:rPr>
          <w:rFonts w:ascii="Arial" w:hAnsi="Arial" w:cs="Arial"/>
          <w:color w:val="000000"/>
          <w:sz w:val="19"/>
          <w:szCs w:val="19"/>
        </w:rPr>
      </w:pPr>
      <w:r w:rsidRPr="00882484">
        <w:rPr>
          <w:rFonts w:ascii="Arial" w:hAnsi="Arial" w:cs="Arial"/>
          <w:color w:val="000000"/>
          <w:sz w:val="19"/>
          <w:szCs w:val="19"/>
        </w:rPr>
        <w:t>En línea con lo anterior, el numeral 15 del mismo artículo prescribe: «15. Las autoridades no exigirán sellos, autenticaciones, documentos originales o autenticados, reconocimientos de firmas, traducciones oficiales, ni cualquier otra clase de formalidades o exigencias rituales, salvo cuando en forma perentoria y expresa lo exijan leyes especiales».</w:t>
      </w:r>
    </w:p>
    <w:p w14:paraId="188DF170" w14:textId="77777777" w:rsidR="00D24C74" w:rsidRPr="00882484" w:rsidRDefault="00D24C74" w:rsidP="002E7F83">
      <w:pPr>
        <w:pStyle w:val="Textonotapie"/>
        <w:spacing w:after="0" w:line="240" w:lineRule="auto"/>
        <w:ind w:firstLine="709"/>
        <w:rPr>
          <w:rFonts w:ascii="Arial" w:hAnsi="Arial" w:cs="Arial"/>
          <w:color w:val="000000"/>
          <w:sz w:val="19"/>
          <w:szCs w:val="19"/>
        </w:rPr>
      </w:pPr>
    </w:p>
  </w:footnote>
  <w:footnote w:id="7">
    <w:p w14:paraId="1C5E9CA0" w14:textId="08259EDE" w:rsidR="003C499B" w:rsidRPr="00882484" w:rsidRDefault="003C499B" w:rsidP="00C07F8E">
      <w:pPr>
        <w:ind w:firstLine="709"/>
        <w:jc w:val="both"/>
        <w:rPr>
          <w:rFonts w:ascii="Arial" w:hAnsi="Arial" w:cs="Arial"/>
          <w:color w:val="000000"/>
          <w:sz w:val="19"/>
          <w:szCs w:val="19"/>
          <w:lang w:val="es-ES"/>
        </w:rPr>
      </w:pPr>
      <w:r w:rsidRPr="00882484">
        <w:rPr>
          <w:rStyle w:val="Refdenotaalpie"/>
          <w:rFonts w:ascii="Arial" w:hAnsi="Arial" w:cs="Arial"/>
          <w:color w:val="000000"/>
          <w:sz w:val="19"/>
          <w:szCs w:val="19"/>
        </w:rPr>
        <w:footnoteRef/>
      </w:r>
      <w:r w:rsidRPr="00882484">
        <w:rPr>
          <w:rFonts w:ascii="Arial" w:hAnsi="Arial" w:cs="Arial"/>
          <w:color w:val="000000"/>
          <w:sz w:val="19"/>
          <w:szCs w:val="19"/>
        </w:rPr>
        <w:t xml:space="preserve"> </w:t>
      </w:r>
      <w:r w:rsidRPr="00882484">
        <w:rPr>
          <w:rFonts w:ascii="Arial" w:hAnsi="Arial" w:cs="Arial"/>
          <w:color w:val="000000"/>
          <w:sz w:val="19"/>
          <w:szCs w:val="19"/>
          <w:lang w:val="es-ES"/>
        </w:rPr>
        <w:t>En efecto, el artículo 5 del Decreto-Ley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footnote>
  <w:footnote w:id="8">
    <w:p w14:paraId="6E84C480" w14:textId="68DCA940" w:rsidR="003C499B" w:rsidRPr="00882484" w:rsidRDefault="003C499B" w:rsidP="00C07F8E">
      <w:pPr>
        <w:ind w:firstLine="708"/>
        <w:jc w:val="both"/>
        <w:rPr>
          <w:rFonts w:ascii="Arial" w:hAnsi="Arial" w:cs="Arial"/>
          <w:color w:val="000000"/>
          <w:sz w:val="19"/>
          <w:szCs w:val="19"/>
        </w:rPr>
      </w:pPr>
      <w:r w:rsidRPr="00882484">
        <w:rPr>
          <w:rStyle w:val="Refdenotaalpie"/>
          <w:rFonts w:ascii="Arial" w:hAnsi="Arial" w:cs="Arial"/>
          <w:color w:val="000000"/>
          <w:sz w:val="19"/>
          <w:szCs w:val="19"/>
        </w:rPr>
        <w:footnoteRef/>
      </w:r>
      <w:r w:rsidRPr="00882484">
        <w:rPr>
          <w:rFonts w:ascii="Arial" w:hAnsi="Arial" w:cs="Arial"/>
          <w:color w:val="000000"/>
          <w:sz w:val="19"/>
          <w:szCs w:val="19"/>
        </w:rPr>
        <w:t xml:space="preserve"> </w:t>
      </w:r>
      <w:r w:rsidRPr="00611396">
        <w:rPr>
          <w:rFonts w:ascii="Arial" w:hAnsi="Arial" w:cs="Arial"/>
          <w:color w:val="000000"/>
          <w:sz w:val="19"/>
          <w:szCs w:val="19"/>
        </w:rPr>
        <w:t>En relación con el principio constitucional sub examine, la Corte Constitucional explica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Pr>
          <w:rFonts w:ascii="Arial" w:hAnsi="Arial" w:cs="Arial"/>
          <w:color w:val="000000"/>
          <w:sz w:val="19"/>
          <w:szCs w:val="19"/>
        </w:rPr>
        <w:t xml:space="preserve"> (</w:t>
      </w:r>
      <w:r w:rsidRPr="00882484">
        <w:rPr>
          <w:rFonts w:ascii="Arial" w:hAnsi="Arial" w:cs="Arial"/>
          <w:color w:val="000000"/>
          <w:sz w:val="19"/>
          <w:szCs w:val="19"/>
        </w:rPr>
        <w:t>Cita tomada de la providencia del 20 de febrero de 2020, dictada por el Consejo de Estado. Sección Tercera. Subsección A, dentro del expediente 47001-23-33-000-2018-00035-01 (63.854), cuya ponente fue Marta Nubia Velásquez Rico</w:t>
      </w:r>
      <w:r>
        <w:rPr>
          <w:rFonts w:ascii="Arial" w:hAnsi="Arial" w:cs="Arial"/>
          <w:color w:val="000000"/>
          <w:sz w:val="19"/>
          <w:szCs w:val="19"/>
        </w:rPr>
        <w:t>)</w:t>
      </w:r>
      <w:r w:rsidRPr="00882484">
        <w:rPr>
          <w:rFonts w:ascii="Arial" w:hAnsi="Arial" w:cs="Arial"/>
          <w:color w:val="000000"/>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EF64D8" w:rsidRDefault="00EF64D8">
    <w:pPr>
      <w:pStyle w:val="Encabezado"/>
    </w:pPr>
    <w:r>
      <w:rPr>
        <w:noProof/>
        <w:lang w:val="es-CO" w:eastAsia="es-CO"/>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C625574"/>
    <w:multiLevelType w:val="hybridMultilevel"/>
    <w:tmpl w:val="7EA03D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CF3319"/>
    <w:multiLevelType w:val="hybridMultilevel"/>
    <w:tmpl w:val="D42C505A"/>
    <w:lvl w:ilvl="0" w:tplc="FC5637A6">
      <w:start w:val="1"/>
      <w:numFmt w:val="decimal"/>
      <w:lvlText w:val="%1."/>
      <w:lvlJc w:val="left"/>
      <w:pPr>
        <w:ind w:left="720" w:hanging="360"/>
      </w:pPr>
      <w:rPr>
        <w:rFonts w:ascii="Calibri" w:hAnsi="Calibri" w:cs="Calibri" w:hint="default"/>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69D402F"/>
    <w:multiLevelType w:val="hybridMultilevel"/>
    <w:tmpl w:val="F54E4804"/>
    <w:lvl w:ilvl="0" w:tplc="240A000D">
      <w:start w:val="1"/>
      <w:numFmt w:val="bullet"/>
      <w:lvlText w:val=""/>
      <w:lvlJc w:val="left"/>
      <w:pPr>
        <w:ind w:left="1429" w:hanging="360"/>
      </w:pPr>
      <w:rPr>
        <w:rFonts w:ascii="Wingdings" w:hAnsi="Wingdings"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5"/>
  </w:num>
  <w:num w:numId="2">
    <w:abstractNumId w:val="4"/>
  </w:num>
  <w:num w:numId="3">
    <w:abstractNumId w:val="7"/>
  </w:num>
  <w:num w:numId="4">
    <w:abstractNumId w:val="8"/>
  </w:num>
  <w:num w:numId="5">
    <w:abstractNumId w:val="1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2"/>
  </w:num>
  <w:num w:numId="9">
    <w:abstractNumId w:val="1"/>
  </w:num>
  <w:num w:numId="10">
    <w:abstractNumId w:val="3"/>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416"/>
    <w:rsid w:val="0000126D"/>
    <w:rsid w:val="000019A6"/>
    <w:rsid w:val="000025E0"/>
    <w:rsid w:val="000034EE"/>
    <w:rsid w:val="000070A8"/>
    <w:rsid w:val="000135A1"/>
    <w:rsid w:val="00013F7C"/>
    <w:rsid w:val="00015E80"/>
    <w:rsid w:val="00015F78"/>
    <w:rsid w:val="000169A0"/>
    <w:rsid w:val="00016D26"/>
    <w:rsid w:val="00016D2E"/>
    <w:rsid w:val="00017253"/>
    <w:rsid w:val="000205F1"/>
    <w:rsid w:val="000210DF"/>
    <w:rsid w:val="0002271C"/>
    <w:rsid w:val="000229A9"/>
    <w:rsid w:val="00023CD9"/>
    <w:rsid w:val="00024653"/>
    <w:rsid w:val="000268E2"/>
    <w:rsid w:val="000300C6"/>
    <w:rsid w:val="00032989"/>
    <w:rsid w:val="00032A51"/>
    <w:rsid w:val="00033C14"/>
    <w:rsid w:val="00033D8C"/>
    <w:rsid w:val="00034398"/>
    <w:rsid w:val="00034663"/>
    <w:rsid w:val="00040044"/>
    <w:rsid w:val="000414BE"/>
    <w:rsid w:val="000432DF"/>
    <w:rsid w:val="00043E5F"/>
    <w:rsid w:val="00044D8C"/>
    <w:rsid w:val="00046297"/>
    <w:rsid w:val="00050C64"/>
    <w:rsid w:val="0005181E"/>
    <w:rsid w:val="00053136"/>
    <w:rsid w:val="000540E1"/>
    <w:rsid w:val="00054817"/>
    <w:rsid w:val="00054A65"/>
    <w:rsid w:val="000641A8"/>
    <w:rsid w:val="0006467C"/>
    <w:rsid w:val="0006474E"/>
    <w:rsid w:val="00065205"/>
    <w:rsid w:val="00065F69"/>
    <w:rsid w:val="00071132"/>
    <w:rsid w:val="00071351"/>
    <w:rsid w:val="000716B2"/>
    <w:rsid w:val="0007405A"/>
    <w:rsid w:val="00074BEE"/>
    <w:rsid w:val="00075F0D"/>
    <w:rsid w:val="00076B31"/>
    <w:rsid w:val="000770DB"/>
    <w:rsid w:val="00084B97"/>
    <w:rsid w:val="00086D8D"/>
    <w:rsid w:val="000877B5"/>
    <w:rsid w:val="000902BC"/>
    <w:rsid w:val="00091AC6"/>
    <w:rsid w:val="00092617"/>
    <w:rsid w:val="00092B6A"/>
    <w:rsid w:val="000942EB"/>
    <w:rsid w:val="000943FC"/>
    <w:rsid w:val="0009763D"/>
    <w:rsid w:val="000A4DD7"/>
    <w:rsid w:val="000A5915"/>
    <w:rsid w:val="000B076C"/>
    <w:rsid w:val="000B0E61"/>
    <w:rsid w:val="000B103F"/>
    <w:rsid w:val="000B2D9A"/>
    <w:rsid w:val="000B568A"/>
    <w:rsid w:val="000B5C13"/>
    <w:rsid w:val="000C1515"/>
    <w:rsid w:val="000C3232"/>
    <w:rsid w:val="000C394F"/>
    <w:rsid w:val="000C3F9B"/>
    <w:rsid w:val="000C4E3E"/>
    <w:rsid w:val="000C5D99"/>
    <w:rsid w:val="000D1837"/>
    <w:rsid w:val="000D186A"/>
    <w:rsid w:val="000D25BC"/>
    <w:rsid w:val="000D7953"/>
    <w:rsid w:val="000D7A0F"/>
    <w:rsid w:val="000E0DED"/>
    <w:rsid w:val="000E3909"/>
    <w:rsid w:val="000E6563"/>
    <w:rsid w:val="000E739D"/>
    <w:rsid w:val="000F091C"/>
    <w:rsid w:val="000F14E8"/>
    <w:rsid w:val="000F2AA2"/>
    <w:rsid w:val="000F2E9E"/>
    <w:rsid w:val="000F4695"/>
    <w:rsid w:val="000F620E"/>
    <w:rsid w:val="000F7FC3"/>
    <w:rsid w:val="00100D69"/>
    <w:rsid w:val="00101018"/>
    <w:rsid w:val="00103915"/>
    <w:rsid w:val="001072DB"/>
    <w:rsid w:val="001078AA"/>
    <w:rsid w:val="00110CE1"/>
    <w:rsid w:val="001112FD"/>
    <w:rsid w:val="0011178C"/>
    <w:rsid w:val="00111CDF"/>
    <w:rsid w:val="001124EB"/>
    <w:rsid w:val="00113157"/>
    <w:rsid w:val="00114327"/>
    <w:rsid w:val="00114900"/>
    <w:rsid w:val="0011520A"/>
    <w:rsid w:val="001155B8"/>
    <w:rsid w:val="00116C84"/>
    <w:rsid w:val="0011766B"/>
    <w:rsid w:val="00120D67"/>
    <w:rsid w:val="001214BC"/>
    <w:rsid w:val="00122B23"/>
    <w:rsid w:val="00122B9A"/>
    <w:rsid w:val="00123BE2"/>
    <w:rsid w:val="00124A82"/>
    <w:rsid w:val="00130457"/>
    <w:rsid w:val="00133D0C"/>
    <w:rsid w:val="00133F8F"/>
    <w:rsid w:val="00134D65"/>
    <w:rsid w:val="0013770F"/>
    <w:rsid w:val="001377EC"/>
    <w:rsid w:val="00137E66"/>
    <w:rsid w:val="00137FFA"/>
    <w:rsid w:val="0014071F"/>
    <w:rsid w:val="00141B41"/>
    <w:rsid w:val="00141CCA"/>
    <w:rsid w:val="0014214B"/>
    <w:rsid w:val="00142560"/>
    <w:rsid w:val="001429C2"/>
    <w:rsid w:val="00143D03"/>
    <w:rsid w:val="001453E0"/>
    <w:rsid w:val="00150CB3"/>
    <w:rsid w:val="00151129"/>
    <w:rsid w:val="00151936"/>
    <w:rsid w:val="00152FDA"/>
    <w:rsid w:val="00155B3D"/>
    <w:rsid w:val="00155C13"/>
    <w:rsid w:val="00161A37"/>
    <w:rsid w:val="001643A4"/>
    <w:rsid w:val="00165347"/>
    <w:rsid w:val="00165995"/>
    <w:rsid w:val="00166FAA"/>
    <w:rsid w:val="00170FFA"/>
    <w:rsid w:val="00171685"/>
    <w:rsid w:val="00180188"/>
    <w:rsid w:val="001824DD"/>
    <w:rsid w:val="00182A86"/>
    <w:rsid w:val="00182EEE"/>
    <w:rsid w:val="00190961"/>
    <w:rsid w:val="00191C4D"/>
    <w:rsid w:val="00192CDC"/>
    <w:rsid w:val="00192CE0"/>
    <w:rsid w:val="001961C8"/>
    <w:rsid w:val="00197BB3"/>
    <w:rsid w:val="001A0A19"/>
    <w:rsid w:val="001A0E7A"/>
    <w:rsid w:val="001A1753"/>
    <w:rsid w:val="001A78DE"/>
    <w:rsid w:val="001A7FD7"/>
    <w:rsid w:val="001B0444"/>
    <w:rsid w:val="001B0BE3"/>
    <w:rsid w:val="001B2F08"/>
    <w:rsid w:val="001B39FA"/>
    <w:rsid w:val="001B5217"/>
    <w:rsid w:val="001C01AF"/>
    <w:rsid w:val="001C24BF"/>
    <w:rsid w:val="001C47C8"/>
    <w:rsid w:val="001C6F95"/>
    <w:rsid w:val="001C763E"/>
    <w:rsid w:val="001D17C2"/>
    <w:rsid w:val="001D2F93"/>
    <w:rsid w:val="001D2FC9"/>
    <w:rsid w:val="001D30D8"/>
    <w:rsid w:val="001D4EA4"/>
    <w:rsid w:val="001D567B"/>
    <w:rsid w:val="001D5EEB"/>
    <w:rsid w:val="001D612F"/>
    <w:rsid w:val="001E01F9"/>
    <w:rsid w:val="001E074F"/>
    <w:rsid w:val="001E1959"/>
    <w:rsid w:val="001E1EEE"/>
    <w:rsid w:val="001E2866"/>
    <w:rsid w:val="001E2A7A"/>
    <w:rsid w:val="001E7D79"/>
    <w:rsid w:val="001F4D43"/>
    <w:rsid w:val="001F4F5C"/>
    <w:rsid w:val="001F5388"/>
    <w:rsid w:val="001F5745"/>
    <w:rsid w:val="001F6290"/>
    <w:rsid w:val="001F6378"/>
    <w:rsid w:val="001F7341"/>
    <w:rsid w:val="0020001F"/>
    <w:rsid w:val="00200651"/>
    <w:rsid w:val="002025CC"/>
    <w:rsid w:val="00203E16"/>
    <w:rsid w:val="00204675"/>
    <w:rsid w:val="00205185"/>
    <w:rsid w:val="00205753"/>
    <w:rsid w:val="00205CAE"/>
    <w:rsid w:val="0020632A"/>
    <w:rsid w:val="002076CC"/>
    <w:rsid w:val="00210A2D"/>
    <w:rsid w:val="00210DF2"/>
    <w:rsid w:val="002110EB"/>
    <w:rsid w:val="00211338"/>
    <w:rsid w:val="00213541"/>
    <w:rsid w:val="0021518A"/>
    <w:rsid w:val="00215B97"/>
    <w:rsid w:val="00216AEE"/>
    <w:rsid w:val="00216E64"/>
    <w:rsid w:val="002177D9"/>
    <w:rsid w:val="00217988"/>
    <w:rsid w:val="00217C5E"/>
    <w:rsid w:val="00217C7F"/>
    <w:rsid w:val="00220120"/>
    <w:rsid w:val="00220E20"/>
    <w:rsid w:val="0022559F"/>
    <w:rsid w:val="002270C0"/>
    <w:rsid w:val="002309D1"/>
    <w:rsid w:val="00230F89"/>
    <w:rsid w:val="00233909"/>
    <w:rsid w:val="002339D3"/>
    <w:rsid w:val="00234113"/>
    <w:rsid w:val="00234B84"/>
    <w:rsid w:val="00234C1A"/>
    <w:rsid w:val="00236145"/>
    <w:rsid w:val="002362B7"/>
    <w:rsid w:val="002364D4"/>
    <w:rsid w:val="0023691B"/>
    <w:rsid w:val="002379B1"/>
    <w:rsid w:val="002409B6"/>
    <w:rsid w:val="002456DB"/>
    <w:rsid w:val="00246944"/>
    <w:rsid w:val="0025069C"/>
    <w:rsid w:val="0025151A"/>
    <w:rsid w:val="00252C27"/>
    <w:rsid w:val="002534F1"/>
    <w:rsid w:val="002538B5"/>
    <w:rsid w:val="00254711"/>
    <w:rsid w:val="00255215"/>
    <w:rsid w:val="00255D2C"/>
    <w:rsid w:val="002576FD"/>
    <w:rsid w:val="002627A8"/>
    <w:rsid w:val="0026362F"/>
    <w:rsid w:val="00263755"/>
    <w:rsid w:val="0026403D"/>
    <w:rsid w:val="002647F7"/>
    <w:rsid w:val="00264E94"/>
    <w:rsid w:val="002654C1"/>
    <w:rsid w:val="0026616C"/>
    <w:rsid w:val="00267A47"/>
    <w:rsid w:val="00267DDA"/>
    <w:rsid w:val="002708A2"/>
    <w:rsid w:val="00271043"/>
    <w:rsid w:val="002737FD"/>
    <w:rsid w:val="00273E83"/>
    <w:rsid w:val="00275E86"/>
    <w:rsid w:val="00283042"/>
    <w:rsid w:val="00284AD0"/>
    <w:rsid w:val="00285503"/>
    <w:rsid w:val="00285AC8"/>
    <w:rsid w:val="00285AC9"/>
    <w:rsid w:val="00286089"/>
    <w:rsid w:val="00287343"/>
    <w:rsid w:val="00287741"/>
    <w:rsid w:val="00290E9F"/>
    <w:rsid w:val="002914E1"/>
    <w:rsid w:val="00291C4F"/>
    <w:rsid w:val="00292346"/>
    <w:rsid w:val="002938BD"/>
    <w:rsid w:val="00293BBD"/>
    <w:rsid w:val="002941C6"/>
    <w:rsid w:val="002A3C35"/>
    <w:rsid w:val="002A4F9E"/>
    <w:rsid w:val="002A5498"/>
    <w:rsid w:val="002A5F87"/>
    <w:rsid w:val="002A695B"/>
    <w:rsid w:val="002B3433"/>
    <w:rsid w:val="002B41FB"/>
    <w:rsid w:val="002B4390"/>
    <w:rsid w:val="002B55C7"/>
    <w:rsid w:val="002C216A"/>
    <w:rsid w:val="002C28E1"/>
    <w:rsid w:val="002C2D1E"/>
    <w:rsid w:val="002C32E1"/>
    <w:rsid w:val="002C40FB"/>
    <w:rsid w:val="002C4C0C"/>
    <w:rsid w:val="002C57C8"/>
    <w:rsid w:val="002C64AD"/>
    <w:rsid w:val="002C6821"/>
    <w:rsid w:val="002D00F2"/>
    <w:rsid w:val="002D155C"/>
    <w:rsid w:val="002D2CD0"/>
    <w:rsid w:val="002D481A"/>
    <w:rsid w:val="002D65E2"/>
    <w:rsid w:val="002D7275"/>
    <w:rsid w:val="002E06A1"/>
    <w:rsid w:val="002E5D3E"/>
    <w:rsid w:val="002E7979"/>
    <w:rsid w:val="002E7F83"/>
    <w:rsid w:val="002F334B"/>
    <w:rsid w:val="002F36E6"/>
    <w:rsid w:val="002F4470"/>
    <w:rsid w:val="002F7BD7"/>
    <w:rsid w:val="003033BA"/>
    <w:rsid w:val="00304580"/>
    <w:rsid w:val="0030589C"/>
    <w:rsid w:val="00306C30"/>
    <w:rsid w:val="00307067"/>
    <w:rsid w:val="003073C0"/>
    <w:rsid w:val="003078D7"/>
    <w:rsid w:val="003108EF"/>
    <w:rsid w:val="00310DB9"/>
    <w:rsid w:val="0031206F"/>
    <w:rsid w:val="00312204"/>
    <w:rsid w:val="00312D89"/>
    <w:rsid w:val="00316214"/>
    <w:rsid w:val="003162C8"/>
    <w:rsid w:val="00321018"/>
    <w:rsid w:val="00322937"/>
    <w:rsid w:val="0032350A"/>
    <w:rsid w:val="003238A9"/>
    <w:rsid w:val="00326ED1"/>
    <w:rsid w:val="00327549"/>
    <w:rsid w:val="00327CEB"/>
    <w:rsid w:val="00330722"/>
    <w:rsid w:val="00334638"/>
    <w:rsid w:val="003404C6"/>
    <w:rsid w:val="0034177C"/>
    <w:rsid w:val="003429F6"/>
    <w:rsid w:val="00343C90"/>
    <w:rsid w:val="00344B03"/>
    <w:rsid w:val="00345705"/>
    <w:rsid w:val="0034680A"/>
    <w:rsid w:val="00347024"/>
    <w:rsid w:val="00350DA7"/>
    <w:rsid w:val="00351CDC"/>
    <w:rsid w:val="00353653"/>
    <w:rsid w:val="00353DD5"/>
    <w:rsid w:val="00353EE8"/>
    <w:rsid w:val="00355084"/>
    <w:rsid w:val="00355E8C"/>
    <w:rsid w:val="00357167"/>
    <w:rsid w:val="00361495"/>
    <w:rsid w:val="003627A2"/>
    <w:rsid w:val="0036347A"/>
    <w:rsid w:val="00364EF6"/>
    <w:rsid w:val="003652E7"/>
    <w:rsid w:val="00366283"/>
    <w:rsid w:val="00366693"/>
    <w:rsid w:val="00371F43"/>
    <w:rsid w:val="00372E26"/>
    <w:rsid w:val="003754D2"/>
    <w:rsid w:val="00376930"/>
    <w:rsid w:val="00381C32"/>
    <w:rsid w:val="0038427F"/>
    <w:rsid w:val="00384C43"/>
    <w:rsid w:val="00385CF3"/>
    <w:rsid w:val="00386456"/>
    <w:rsid w:val="003901B3"/>
    <w:rsid w:val="003903B0"/>
    <w:rsid w:val="00390C02"/>
    <w:rsid w:val="003912A3"/>
    <w:rsid w:val="0039143D"/>
    <w:rsid w:val="003949EE"/>
    <w:rsid w:val="003964D5"/>
    <w:rsid w:val="003A0878"/>
    <w:rsid w:val="003A581E"/>
    <w:rsid w:val="003A5E90"/>
    <w:rsid w:val="003A6751"/>
    <w:rsid w:val="003A7F89"/>
    <w:rsid w:val="003B027A"/>
    <w:rsid w:val="003B2341"/>
    <w:rsid w:val="003B267F"/>
    <w:rsid w:val="003B43DB"/>
    <w:rsid w:val="003B49DA"/>
    <w:rsid w:val="003B73DE"/>
    <w:rsid w:val="003C01B1"/>
    <w:rsid w:val="003C499B"/>
    <w:rsid w:val="003C75FC"/>
    <w:rsid w:val="003D1BE9"/>
    <w:rsid w:val="003D33FF"/>
    <w:rsid w:val="003D3D29"/>
    <w:rsid w:val="003D3D9D"/>
    <w:rsid w:val="003D43B0"/>
    <w:rsid w:val="003D45AC"/>
    <w:rsid w:val="003D527E"/>
    <w:rsid w:val="003D7E29"/>
    <w:rsid w:val="003E0D9E"/>
    <w:rsid w:val="003E1992"/>
    <w:rsid w:val="003E4A30"/>
    <w:rsid w:val="003E6423"/>
    <w:rsid w:val="003E6884"/>
    <w:rsid w:val="003E7AA5"/>
    <w:rsid w:val="003F00C3"/>
    <w:rsid w:val="003F0161"/>
    <w:rsid w:val="003F18DE"/>
    <w:rsid w:val="0040246E"/>
    <w:rsid w:val="004030F2"/>
    <w:rsid w:val="00403F4F"/>
    <w:rsid w:val="00405913"/>
    <w:rsid w:val="00406251"/>
    <w:rsid w:val="00406A1A"/>
    <w:rsid w:val="0040799E"/>
    <w:rsid w:val="00413C8D"/>
    <w:rsid w:val="00413E61"/>
    <w:rsid w:val="00414152"/>
    <w:rsid w:val="00415DDE"/>
    <w:rsid w:val="00416308"/>
    <w:rsid w:val="00416996"/>
    <w:rsid w:val="00421624"/>
    <w:rsid w:val="00421DF6"/>
    <w:rsid w:val="004228D3"/>
    <w:rsid w:val="00423F66"/>
    <w:rsid w:val="00423F9F"/>
    <w:rsid w:val="00425FD7"/>
    <w:rsid w:val="00427F2F"/>
    <w:rsid w:val="00430D86"/>
    <w:rsid w:val="00432AD1"/>
    <w:rsid w:val="00432B52"/>
    <w:rsid w:val="00433494"/>
    <w:rsid w:val="00434140"/>
    <w:rsid w:val="00435826"/>
    <w:rsid w:val="0043612C"/>
    <w:rsid w:val="004376B9"/>
    <w:rsid w:val="00437BA7"/>
    <w:rsid w:val="00440848"/>
    <w:rsid w:val="004422D6"/>
    <w:rsid w:val="00442430"/>
    <w:rsid w:val="0044490E"/>
    <w:rsid w:val="00446E21"/>
    <w:rsid w:val="00447165"/>
    <w:rsid w:val="00447729"/>
    <w:rsid w:val="00452F9A"/>
    <w:rsid w:val="00457110"/>
    <w:rsid w:val="00460D1C"/>
    <w:rsid w:val="00464311"/>
    <w:rsid w:val="00466026"/>
    <w:rsid w:val="0046603E"/>
    <w:rsid w:val="00466082"/>
    <w:rsid w:val="0046653B"/>
    <w:rsid w:val="0046694E"/>
    <w:rsid w:val="0047380F"/>
    <w:rsid w:val="0047426F"/>
    <w:rsid w:val="0047453E"/>
    <w:rsid w:val="004746AD"/>
    <w:rsid w:val="00475F18"/>
    <w:rsid w:val="00477514"/>
    <w:rsid w:val="004779F8"/>
    <w:rsid w:val="004806AE"/>
    <w:rsid w:val="00480824"/>
    <w:rsid w:val="00480D03"/>
    <w:rsid w:val="00480ECA"/>
    <w:rsid w:val="004861E4"/>
    <w:rsid w:val="0048674D"/>
    <w:rsid w:val="004870BB"/>
    <w:rsid w:val="004872D8"/>
    <w:rsid w:val="0048754A"/>
    <w:rsid w:val="00487C10"/>
    <w:rsid w:val="00490A62"/>
    <w:rsid w:val="0049241A"/>
    <w:rsid w:val="004974CD"/>
    <w:rsid w:val="004A0106"/>
    <w:rsid w:val="004A0F49"/>
    <w:rsid w:val="004A34D2"/>
    <w:rsid w:val="004A4F76"/>
    <w:rsid w:val="004A7B59"/>
    <w:rsid w:val="004B353C"/>
    <w:rsid w:val="004B6500"/>
    <w:rsid w:val="004B6E7D"/>
    <w:rsid w:val="004B7D5F"/>
    <w:rsid w:val="004C246A"/>
    <w:rsid w:val="004C31AF"/>
    <w:rsid w:val="004C3ADF"/>
    <w:rsid w:val="004C59F7"/>
    <w:rsid w:val="004C755C"/>
    <w:rsid w:val="004C7603"/>
    <w:rsid w:val="004D087D"/>
    <w:rsid w:val="004D22DE"/>
    <w:rsid w:val="004D4A87"/>
    <w:rsid w:val="004D52FA"/>
    <w:rsid w:val="004D53FA"/>
    <w:rsid w:val="004D5756"/>
    <w:rsid w:val="004D65AC"/>
    <w:rsid w:val="004D702B"/>
    <w:rsid w:val="004D7944"/>
    <w:rsid w:val="004D7D21"/>
    <w:rsid w:val="004D7FB4"/>
    <w:rsid w:val="004E07A4"/>
    <w:rsid w:val="004E4C6D"/>
    <w:rsid w:val="004E5463"/>
    <w:rsid w:val="004F1425"/>
    <w:rsid w:val="004F16DB"/>
    <w:rsid w:val="004F30F8"/>
    <w:rsid w:val="004F3492"/>
    <w:rsid w:val="004F6048"/>
    <w:rsid w:val="00501473"/>
    <w:rsid w:val="005051F8"/>
    <w:rsid w:val="0051074C"/>
    <w:rsid w:val="00510CF8"/>
    <w:rsid w:val="00511922"/>
    <w:rsid w:val="00513AF2"/>
    <w:rsid w:val="00514439"/>
    <w:rsid w:val="00514D99"/>
    <w:rsid w:val="00514E3C"/>
    <w:rsid w:val="0051759B"/>
    <w:rsid w:val="005216C1"/>
    <w:rsid w:val="00523703"/>
    <w:rsid w:val="00525997"/>
    <w:rsid w:val="00525FE3"/>
    <w:rsid w:val="00525FE7"/>
    <w:rsid w:val="005265E4"/>
    <w:rsid w:val="00526943"/>
    <w:rsid w:val="00526CB7"/>
    <w:rsid w:val="00527E3C"/>
    <w:rsid w:val="0053038B"/>
    <w:rsid w:val="0053170C"/>
    <w:rsid w:val="00531D5C"/>
    <w:rsid w:val="00533D2E"/>
    <w:rsid w:val="00535106"/>
    <w:rsid w:val="005355D8"/>
    <w:rsid w:val="00535A34"/>
    <w:rsid w:val="0054155D"/>
    <w:rsid w:val="00542B62"/>
    <w:rsid w:val="00542BA7"/>
    <w:rsid w:val="0054413A"/>
    <w:rsid w:val="00550567"/>
    <w:rsid w:val="00550D93"/>
    <w:rsid w:val="005514ED"/>
    <w:rsid w:val="005564CA"/>
    <w:rsid w:val="00561506"/>
    <w:rsid w:val="0056182B"/>
    <w:rsid w:val="005622EB"/>
    <w:rsid w:val="00567F3B"/>
    <w:rsid w:val="005721B3"/>
    <w:rsid w:val="005756AA"/>
    <w:rsid w:val="00575A1C"/>
    <w:rsid w:val="0057646F"/>
    <w:rsid w:val="00577148"/>
    <w:rsid w:val="00582AE3"/>
    <w:rsid w:val="0058679D"/>
    <w:rsid w:val="005930B1"/>
    <w:rsid w:val="00596896"/>
    <w:rsid w:val="005970D9"/>
    <w:rsid w:val="00597412"/>
    <w:rsid w:val="005A0414"/>
    <w:rsid w:val="005A1645"/>
    <w:rsid w:val="005A2935"/>
    <w:rsid w:val="005A4FC5"/>
    <w:rsid w:val="005A6AB9"/>
    <w:rsid w:val="005B1144"/>
    <w:rsid w:val="005B4267"/>
    <w:rsid w:val="005B5BE2"/>
    <w:rsid w:val="005B753A"/>
    <w:rsid w:val="005C00FA"/>
    <w:rsid w:val="005C343C"/>
    <w:rsid w:val="005C388C"/>
    <w:rsid w:val="005C6A48"/>
    <w:rsid w:val="005C6C85"/>
    <w:rsid w:val="005D3155"/>
    <w:rsid w:val="005D35B6"/>
    <w:rsid w:val="005D36B1"/>
    <w:rsid w:val="005D4AEF"/>
    <w:rsid w:val="005D4E8A"/>
    <w:rsid w:val="005D50CE"/>
    <w:rsid w:val="005D51FA"/>
    <w:rsid w:val="005D5B90"/>
    <w:rsid w:val="005D791B"/>
    <w:rsid w:val="005E01CE"/>
    <w:rsid w:val="005E139E"/>
    <w:rsid w:val="005E1974"/>
    <w:rsid w:val="005E4765"/>
    <w:rsid w:val="005F03BE"/>
    <w:rsid w:val="005F055F"/>
    <w:rsid w:val="005F1244"/>
    <w:rsid w:val="005F1B0F"/>
    <w:rsid w:val="005F317C"/>
    <w:rsid w:val="005F37CD"/>
    <w:rsid w:val="005F3CD0"/>
    <w:rsid w:val="005F51FB"/>
    <w:rsid w:val="005F599B"/>
    <w:rsid w:val="005F788C"/>
    <w:rsid w:val="0060070B"/>
    <w:rsid w:val="00602708"/>
    <w:rsid w:val="00603E4D"/>
    <w:rsid w:val="00603FBE"/>
    <w:rsid w:val="00604B04"/>
    <w:rsid w:val="00611ED9"/>
    <w:rsid w:val="00612C51"/>
    <w:rsid w:val="00613FDA"/>
    <w:rsid w:val="006146F1"/>
    <w:rsid w:val="00614817"/>
    <w:rsid w:val="00620FE8"/>
    <w:rsid w:val="00621A1E"/>
    <w:rsid w:val="00623D2C"/>
    <w:rsid w:val="0062724E"/>
    <w:rsid w:val="00630D7C"/>
    <w:rsid w:val="006318E7"/>
    <w:rsid w:val="0063224F"/>
    <w:rsid w:val="00633DBF"/>
    <w:rsid w:val="006341BB"/>
    <w:rsid w:val="0063667E"/>
    <w:rsid w:val="00643B51"/>
    <w:rsid w:val="006441CE"/>
    <w:rsid w:val="006446A6"/>
    <w:rsid w:val="00644D7F"/>
    <w:rsid w:val="0064514E"/>
    <w:rsid w:val="00650FE8"/>
    <w:rsid w:val="00652BAA"/>
    <w:rsid w:val="00653CA3"/>
    <w:rsid w:val="00654069"/>
    <w:rsid w:val="00655371"/>
    <w:rsid w:val="006559E3"/>
    <w:rsid w:val="00657259"/>
    <w:rsid w:val="00657446"/>
    <w:rsid w:val="00660D51"/>
    <w:rsid w:val="00662C7E"/>
    <w:rsid w:val="0066325D"/>
    <w:rsid w:val="006678A3"/>
    <w:rsid w:val="00667E0E"/>
    <w:rsid w:val="0067157B"/>
    <w:rsid w:val="00672272"/>
    <w:rsid w:val="006728A0"/>
    <w:rsid w:val="006734E6"/>
    <w:rsid w:val="00674F99"/>
    <w:rsid w:val="00680B58"/>
    <w:rsid w:val="00681EED"/>
    <w:rsid w:val="00682E7B"/>
    <w:rsid w:val="006852F3"/>
    <w:rsid w:val="006906D4"/>
    <w:rsid w:val="006919EA"/>
    <w:rsid w:val="00692992"/>
    <w:rsid w:val="00692F57"/>
    <w:rsid w:val="006954E4"/>
    <w:rsid w:val="00695B70"/>
    <w:rsid w:val="00697665"/>
    <w:rsid w:val="00697742"/>
    <w:rsid w:val="00697C55"/>
    <w:rsid w:val="00697DD0"/>
    <w:rsid w:val="006A0EB7"/>
    <w:rsid w:val="006A6D72"/>
    <w:rsid w:val="006A7CB5"/>
    <w:rsid w:val="006A7FD0"/>
    <w:rsid w:val="006B064B"/>
    <w:rsid w:val="006B08EC"/>
    <w:rsid w:val="006B0C4E"/>
    <w:rsid w:val="006B2398"/>
    <w:rsid w:val="006B24DE"/>
    <w:rsid w:val="006B318A"/>
    <w:rsid w:val="006B39D4"/>
    <w:rsid w:val="006B5051"/>
    <w:rsid w:val="006B5FA9"/>
    <w:rsid w:val="006C06E6"/>
    <w:rsid w:val="006C116D"/>
    <w:rsid w:val="006C1463"/>
    <w:rsid w:val="006C1A72"/>
    <w:rsid w:val="006C2A51"/>
    <w:rsid w:val="006C2B00"/>
    <w:rsid w:val="006C3B52"/>
    <w:rsid w:val="006C6EE9"/>
    <w:rsid w:val="006C771B"/>
    <w:rsid w:val="006C7F3D"/>
    <w:rsid w:val="006D050D"/>
    <w:rsid w:val="006D0BAE"/>
    <w:rsid w:val="006D5552"/>
    <w:rsid w:val="006D5B2B"/>
    <w:rsid w:val="006D7687"/>
    <w:rsid w:val="006D7CF6"/>
    <w:rsid w:val="006E0572"/>
    <w:rsid w:val="006E131E"/>
    <w:rsid w:val="006E170C"/>
    <w:rsid w:val="006E1E98"/>
    <w:rsid w:val="006F3617"/>
    <w:rsid w:val="006F4EB3"/>
    <w:rsid w:val="006F56C4"/>
    <w:rsid w:val="006F7679"/>
    <w:rsid w:val="00700B57"/>
    <w:rsid w:val="007014F8"/>
    <w:rsid w:val="00705403"/>
    <w:rsid w:val="00705631"/>
    <w:rsid w:val="00707531"/>
    <w:rsid w:val="00707EBE"/>
    <w:rsid w:val="00710134"/>
    <w:rsid w:val="00711205"/>
    <w:rsid w:val="007136AC"/>
    <w:rsid w:val="00715437"/>
    <w:rsid w:val="00715EAA"/>
    <w:rsid w:val="00716CC3"/>
    <w:rsid w:val="00720050"/>
    <w:rsid w:val="007213F0"/>
    <w:rsid w:val="00722293"/>
    <w:rsid w:val="00723B38"/>
    <w:rsid w:val="00724D11"/>
    <w:rsid w:val="00726820"/>
    <w:rsid w:val="00726F60"/>
    <w:rsid w:val="00733BCA"/>
    <w:rsid w:val="0073441F"/>
    <w:rsid w:val="007412B8"/>
    <w:rsid w:val="00741A9E"/>
    <w:rsid w:val="00742281"/>
    <w:rsid w:val="00742DD2"/>
    <w:rsid w:val="00746E08"/>
    <w:rsid w:val="00747C96"/>
    <w:rsid w:val="0075094E"/>
    <w:rsid w:val="007522E8"/>
    <w:rsid w:val="00755CC4"/>
    <w:rsid w:val="0075647A"/>
    <w:rsid w:val="007572F9"/>
    <w:rsid w:val="007634AD"/>
    <w:rsid w:val="00764011"/>
    <w:rsid w:val="0076432E"/>
    <w:rsid w:val="00766A70"/>
    <w:rsid w:val="00767247"/>
    <w:rsid w:val="0077057C"/>
    <w:rsid w:val="007707A7"/>
    <w:rsid w:val="0077170B"/>
    <w:rsid w:val="00771DF3"/>
    <w:rsid w:val="00773CB2"/>
    <w:rsid w:val="00775563"/>
    <w:rsid w:val="00776689"/>
    <w:rsid w:val="00780D19"/>
    <w:rsid w:val="0078122E"/>
    <w:rsid w:val="00783A83"/>
    <w:rsid w:val="00791587"/>
    <w:rsid w:val="00792E66"/>
    <w:rsid w:val="00792F13"/>
    <w:rsid w:val="007930A5"/>
    <w:rsid w:val="00793E57"/>
    <w:rsid w:val="00795647"/>
    <w:rsid w:val="007973B1"/>
    <w:rsid w:val="007A174B"/>
    <w:rsid w:val="007A3611"/>
    <w:rsid w:val="007A4987"/>
    <w:rsid w:val="007A5737"/>
    <w:rsid w:val="007A6125"/>
    <w:rsid w:val="007B0854"/>
    <w:rsid w:val="007B1ACE"/>
    <w:rsid w:val="007B27D7"/>
    <w:rsid w:val="007B4F45"/>
    <w:rsid w:val="007B4F4C"/>
    <w:rsid w:val="007B660A"/>
    <w:rsid w:val="007C209F"/>
    <w:rsid w:val="007C22B6"/>
    <w:rsid w:val="007C2357"/>
    <w:rsid w:val="007C33A6"/>
    <w:rsid w:val="007C58BD"/>
    <w:rsid w:val="007C5C1C"/>
    <w:rsid w:val="007D00BD"/>
    <w:rsid w:val="007D01F0"/>
    <w:rsid w:val="007D0B72"/>
    <w:rsid w:val="007D3671"/>
    <w:rsid w:val="007D4DBE"/>
    <w:rsid w:val="007D5C3E"/>
    <w:rsid w:val="007D6C71"/>
    <w:rsid w:val="007D7901"/>
    <w:rsid w:val="007D7DD8"/>
    <w:rsid w:val="007E0C58"/>
    <w:rsid w:val="007E1312"/>
    <w:rsid w:val="007E25A3"/>
    <w:rsid w:val="007E3ACA"/>
    <w:rsid w:val="007E676C"/>
    <w:rsid w:val="007F15AE"/>
    <w:rsid w:val="007F1C69"/>
    <w:rsid w:val="007F51B0"/>
    <w:rsid w:val="007F54FB"/>
    <w:rsid w:val="007F573F"/>
    <w:rsid w:val="007F6B46"/>
    <w:rsid w:val="007F6D80"/>
    <w:rsid w:val="007F72CB"/>
    <w:rsid w:val="00800C47"/>
    <w:rsid w:val="0080224B"/>
    <w:rsid w:val="0080514C"/>
    <w:rsid w:val="008061E5"/>
    <w:rsid w:val="00806AD5"/>
    <w:rsid w:val="008132FA"/>
    <w:rsid w:val="00813988"/>
    <w:rsid w:val="00814E0D"/>
    <w:rsid w:val="0081553B"/>
    <w:rsid w:val="00815BCC"/>
    <w:rsid w:val="008160B2"/>
    <w:rsid w:val="00817744"/>
    <w:rsid w:val="00817898"/>
    <w:rsid w:val="0082065D"/>
    <w:rsid w:val="00820A37"/>
    <w:rsid w:val="008217B7"/>
    <w:rsid w:val="008226BC"/>
    <w:rsid w:val="00824BF9"/>
    <w:rsid w:val="00830018"/>
    <w:rsid w:val="00830303"/>
    <w:rsid w:val="0083119B"/>
    <w:rsid w:val="00833039"/>
    <w:rsid w:val="00836EAB"/>
    <w:rsid w:val="0083782B"/>
    <w:rsid w:val="00840960"/>
    <w:rsid w:val="00841961"/>
    <w:rsid w:val="008420C6"/>
    <w:rsid w:val="00843746"/>
    <w:rsid w:val="00844864"/>
    <w:rsid w:val="00845623"/>
    <w:rsid w:val="0085092D"/>
    <w:rsid w:val="00850F79"/>
    <w:rsid w:val="00851723"/>
    <w:rsid w:val="00851D62"/>
    <w:rsid w:val="00853074"/>
    <w:rsid w:val="00853AE0"/>
    <w:rsid w:val="00853AF8"/>
    <w:rsid w:val="00854D44"/>
    <w:rsid w:val="00854DB7"/>
    <w:rsid w:val="00857EEA"/>
    <w:rsid w:val="00861F54"/>
    <w:rsid w:val="008632AF"/>
    <w:rsid w:val="00864821"/>
    <w:rsid w:val="00870AF9"/>
    <w:rsid w:val="00871990"/>
    <w:rsid w:val="00872A2E"/>
    <w:rsid w:val="008749A9"/>
    <w:rsid w:val="00875D68"/>
    <w:rsid w:val="00876146"/>
    <w:rsid w:val="0087668B"/>
    <w:rsid w:val="00876868"/>
    <w:rsid w:val="008770F7"/>
    <w:rsid w:val="00880378"/>
    <w:rsid w:val="00880D11"/>
    <w:rsid w:val="00881812"/>
    <w:rsid w:val="00881A23"/>
    <w:rsid w:val="00882C43"/>
    <w:rsid w:val="00882F5E"/>
    <w:rsid w:val="0088409B"/>
    <w:rsid w:val="0088434E"/>
    <w:rsid w:val="0088605D"/>
    <w:rsid w:val="00886E97"/>
    <w:rsid w:val="00887C57"/>
    <w:rsid w:val="00890D42"/>
    <w:rsid w:val="00891FB0"/>
    <w:rsid w:val="008927F9"/>
    <w:rsid w:val="00894211"/>
    <w:rsid w:val="00896A15"/>
    <w:rsid w:val="0089774F"/>
    <w:rsid w:val="008A18EE"/>
    <w:rsid w:val="008A1C99"/>
    <w:rsid w:val="008A1E91"/>
    <w:rsid w:val="008A2550"/>
    <w:rsid w:val="008A2823"/>
    <w:rsid w:val="008A383B"/>
    <w:rsid w:val="008A4934"/>
    <w:rsid w:val="008A519B"/>
    <w:rsid w:val="008B1829"/>
    <w:rsid w:val="008B2C6A"/>
    <w:rsid w:val="008B3AED"/>
    <w:rsid w:val="008B4756"/>
    <w:rsid w:val="008B6265"/>
    <w:rsid w:val="008C180E"/>
    <w:rsid w:val="008C30C7"/>
    <w:rsid w:val="008C3736"/>
    <w:rsid w:val="008C39AD"/>
    <w:rsid w:val="008C4741"/>
    <w:rsid w:val="008C6F87"/>
    <w:rsid w:val="008C7C2E"/>
    <w:rsid w:val="008C7DE5"/>
    <w:rsid w:val="008D1EFE"/>
    <w:rsid w:val="008D46D3"/>
    <w:rsid w:val="008D572E"/>
    <w:rsid w:val="008D79F4"/>
    <w:rsid w:val="008D7EE7"/>
    <w:rsid w:val="008E1C15"/>
    <w:rsid w:val="008E3C08"/>
    <w:rsid w:val="008E4E6A"/>
    <w:rsid w:val="008E5687"/>
    <w:rsid w:val="008E7DBB"/>
    <w:rsid w:val="008F2D5F"/>
    <w:rsid w:val="008F3844"/>
    <w:rsid w:val="008F538E"/>
    <w:rsid w:val="008F5551"/>
    <w:rsid w:val="008F6CB0"/>
    <w:rsid w:val="008F7712"/>
    <w:rsid w:val="00900304"/>
    <w:rsid w:val="009008CF"/>
    <w:rsid w:val="00900F40"/>
    <w:rsid w:val="009037EE"/>
    <w:rsid w:val="00904534"/>
    <w:rsid w:val="009047C5"/>
    <w:rsid w:val="009065BE"/>
    <w:rsid w:val="00906A56"/>
    <w:rsid w:val="009139FF"/>
    <w:rsid w:val="00913DEE"/>
    <w:rsid w:val="00915799"/>
    <w:rsid w:val="00915B66"/>
    <w:rsid w:val="00916D58"/>
    <w:rsid w:val="009173EE"/>
    <w:rsid w:val="0091758D"/>
    <w:rsid w:val="00917D8E"/>
    <w:rsid w:val="00920A32"/>
    <w:rsid w:val="00921674"/>
    <w:rsid w:val="009224E5"/>
    <w:rsid w:val="00922597"/>
    <w:rsid w:val="00922786"/>
    <w:rsid w:val="009234B9"/>
    <w:rsid w:val="00923802"/>
    <w:rsid w:val="009246D0"/>
    <w:rsid w:val="00924C63"/>
    <w:rsid w:val="00927D00"/>
    <w:rsid w:val="009350C1"/>
    <w:rsid w:val="009368B9"/>
    <w:rsid w:val="00937020"/>
    <w:rsid w:val="00940DB9"/>
    <w:rsid w:val="009471A0"/>
    <w:rsid w:val="00947622"/>
    <w:rsid w:val="00951621"/>
    <w:rsid w:val="00952E98"/>
    <w:rsid w:val="0095385A"/>
    <w:rsid w:val="00955202"/>
    <w:rsid w:val="00955B44"/>
    <w:rsid w:val="00956821"/>
    <w:rsid w:val="00964425"/>
    <w:rsid w:val="00967268"/>
    <w:rsid w:val="00967CD8"/>
    <w:rsid w:val="00970437"/>
    <w:rsid w:val="00971FAB"/>
    <w:rsid w:val="009726BB"/>
    <w:rsid w:val="0097606C"/>
    <w:rsid w:val="00976295"/>
    <w:rsid w:val="00981216"/>
    <w:rsid w:val="00982027"/>
    <w:rsid w:val="009820DB"/>
    <w:rsid w:val="0098238F"/>
    <w:rsid w:val="00983BDA"/>
    <w:rsid w:val="0098489D"/>
    <w:rsid w:val="00984AB9"/>
    <w:rsid w:val="009916A7"/>
    <w:rsid w:val="00992127"/>
    <w:rsid w:val="0099237F"/>
    <w:rsid w:val="0099262B"/>
    <w:rsid w:val="00994DF5"/>
    <w:rsid w:val="00994E2D"/>
    <w:rsid w:val="00995515"/>
    <w:rsid w:val="009976EE"/>
    <w:rsid w:val="009A2B57"/>
    <w:rsid w:val="009A3569"/>
    <w:rsid w:val="009A60FC"/>
    <w:rsid w:val="009A710A"/>
    <w:rsid w:val="009A758C"/>
    <w:rsid w:val="009B4776"/>
    <w:rsid w:val="009B512E"/>
    <w:rsid w:val="009B5190"/>
    <w:rsid w:val="009B61A4"/>
    <w:rsid w:val="009B79F4"/>
    <w:rsid w:val="009C31BE"/>
    <w:rsid w:val="009C325D"/>
    <w:rsid w:val="009C37DC"/>
    <w:rsid w:val="009C6959"/>
    <w:rsid w:val="009C713B"/>
    <w:rsid w:val="009D0B98"/>
    <w:rsid w:val="009D3CF6"/>
    <w:rsid w:val="009D4945"/>
    <w:rsid w:val="009D4B2F"/>
    <w:rsid w:val="009D64CD"/>
    <w:rsid w:val="009D6E69"/>
    <w:rsid w:val="009E05FC"/>
    <w:rsid w:val="009E30D4"/>
    <w:rsid w:val="009E54F2"/>
    <w:rsid w:val="009E5853"/>
    <w:rsid w:val="009E64D5"/>
    <w:rsid w:val="009F261D"/>
    <w:rsid w:val="009F3602"/>
    <w:rsid w:val="009F47EE"/>
    <w:rsid w:val="009F5087"/>
    <w:rsid w:val="009F5096"/>
    <w:rsid w:val="009F59C2"/>
    <w:rsid w:val="009F78A0"/>
    <w:rsid w:val="00A0103E"/>
    <w:rsid w:val="00A010FC"/>
    <w:rsid w:val="00A02213"/>
    <w:rsid w:val="00A03425"/>
    <w:rsid w:val="00A04B5C"/>
    <w:rsid w:val="00A05140"/>
    <w:rsid w:val="00A0528D"/>
    <w:rsid w:val="00A066BD"/>
    <w:rsid w:val="00A06A0E"/>
    <w:rsid w:val="00A06F64"/>
    <w:rsid w:val="00A10053"/>
    <w:rsid w:val="00A13886"/>
    <w:rsid w:val="00A14415"/>
    <w:rsid w:val="00A146B7"/>
    <w:rsid w:val="00A157AC"/>
    <w:rsid w:val="00A16FAB"/>
    <w:rsid w:val="00A1798B"/>
    <w:rsid w:val="00A204B5"/>
    <w:rsid w:val="00A2084E"/>
    <w:rsid w:val="00A23693"/>
    <w:rsid w:val="00A23CE5"/>
    <w:rsid w:val="00A2433B"/>
    <w:rsid w:val="00A2439B"/>
    <w:rsid w:val="00A24560"/>
    <w:rsid w:val="00A24834"/>
    <w:rsid w:val="00A31CBC"/>
    <w:rsid w:val="00A3420B"/>
    <w:rsid w:val="00A34538"/>
    <w:rsid w:val="00A350AF"/>
    <w:rsid w:val="00A35AD8"/>
    <w:rsid w:val="00A37C18"/>
    <w:rsid w:val="00A37FB6"/>
    <w:rsid w:val="00A40A28"/>
    <w:rsid w:val="00A42365"/>
    <w:rsid w:val="00A426EC"/>
    <w:rsid w:val="00A4348C"/>
    <w:rsid w:val="00A462AB"/>
    <w:rsid w:val="00A500EF"/>
    <w:rsid w:val="00A51659"/>
    <w:rsid w:val="00A5350E"/>
    <w:rsid w:val="00A5539A"/>
    <w:rsid w:val="00A568F6"/>
    <w:rsid w:val="00A57160"/>
    <w:rsid w:val="00A61297"/>
    <w:rsid w:val="00A612F6"/>
    <w:rsid w:val="00A62322"/>
    <w:rsid w:val="00A6289E"/>
    <w:rsid w:val="00A62B19"/>
    <w:rsid w:val="00A64502"/>
    <w:rsid w:val="00A65AD5"/>
    <w:rsid w:val="00A7090A"/>
    <w:rsid w:val="00A74544"/>
    <w:rsid w:val="00A757E2"/>
    <w:rsid w:val="00A771A5"/>
    <w:rsid w:val="00A82473"/>
    <w:rsid w:val="00A83087"/>
    <w:rsid w:val="00A83E55"/>
    <w:rsid w:val="00A83F78"/>
    <w:rsid w:val="00A8570E"/>
    <w:rsid w:val="00A87ECD"/>
    <w:rsid w:val="00A944C2"/>
    <w:rsid w:val="00A95095"/>
    <w:rsid w:val="00A957B9"/>
    <w:rsid w:val="00A9641E"/>
    <w:rsid w:val="00A97234"/>
    <w:rsid w:val="00AA08E7"/>
    <w:rsid w:val="00AA0BE1"/>
    <w:rsid w:val="00AA2094"/>
    <w:rsid w:val="00AA442B"/>
    <w:rsid w:val="00AA669D"/>
    <w:rsid w:val="00AA7403"/>
    <w:rsid w:val="00AA7503"/>
    <w:rsid w:val="00AB3212"/>
    <w:rsid w:val="00AB5852"/>
    <w:rsid w:val="00AB5969"/>
    <w:rsid w:val="00AB5C7F"/>
    <w:rsid w:val="00AB628F"/>
    <w:rsid w:val="00AB6591"/>
    <w:rsid w:val="00AC146A"/>
    <w:rsid w:val="00AC1DA5"/>
    <w:rsid w:val="00AC27E8"/>
    <w:rsid w:val="00AC2B27"/>
    <w:rsid w:val="00AC4829"/>
    <w:rsid w:val="00AC514C"/>
    <w:rsid w:val="00AC5690"/>
    <w:rsid w:val="00AC5F3A"/>
    <w:rsid w:val="00AC7FB3"/>
    <w:rsid w:val="00AD1A73"/>
    <w:rsid w:val="00AD45E3"/>
    <w:rsid w:val="00AE08F9"/>
    <w:rsid w:val="00AE1539"/>
    <w:rsid w:val="00AE2D2E"/>
    <w:rsid w:val="00AE32F2"/>
    <w:rsid w:val="00AE4B35"/>
    <w:rsid w:val="00AE4C20"/>
    <w:rsid w:val="00AE5ABF"/>
    <w:rsid w:val="00AE61E1"/>
    <w:rsid w:val="00AE6434"/>
    <w:rsid w:val="00AE69A5"/>
    <w:rsid w:val="00AE6C09"/>
    <w:rsid w:val="00AE7779"/>
    <w:rsid w:val="00AF0BEC"/>
    <w:rsid w:val="00AF373E"/>
    <w:rsid w:val="00AF3A0D"/>
    <w:rsid w:val="00AF561D"/>
    <w:rsid w:val="00B000D8"/>
    <w:rsid w:val="00B012D7"/>
    <w:rsid w:val="00B02774"/>
    <w:rsid w:val="00B04012"/>
    <w:rsid w:val="00B050B8"/>
    <w:rsid w:val="00B05411"/>
    <w:rsid w:val="00B0753B"/>
    <w:rsid w:val="00B12F06"/>
    <w:rsid w:val="00B13EC0"/>
    <w:rsid w:val="00B179C1"/>
    <w:rsid w:val="00B20525"/>
    <w:rsid w:val="00B21045"/>
    <w:rsid w:val="00B21442"/>
    <w:rsid w:val="00B22E22"/>
    <w:rsid w:val="00B2548B"/>
    <w:rsid w:val="00B25E66"/>
    <w:rsid w:val="00B27AD4"/>
    <w:rsid w:val="00B30086"/>
    <w:rsid w:val="00B31F22"/>
    <w:rsid w:val="00B32BCD"/>
    <w:rsid w:val="00B35625"/>
    <w:rsid w:val="00B359ED"/>
    <w:rsid w:val="00B36260"/>
    <w:rsid w:val="00B37C00"/>
    <w:rsid w:val="00B44270"/>
    <w:rsid w:val="00B44AD6"/>
    <w:rsid w:val="00B44E8E"/>
    <w:rsid w:val="00B46C42"/>
    <w:rsid w:val="00B51003"/>
    <w:rsid w:val="00B512FD"/>
    <w:rsid w:val="00B525CB"/>
    <w:rsid w:val="00B5546E"/>
    <w:rsid w:val="00B5566E"/>
    <w:rsid w:val="00B55851"/>
    <w:rsid w:val="00B56972"/>
    <w:rsid w:val="00B60461"/>
    <w:rsid w:val="00B62A61"/>
    <w:rsid w:val="00B633F9"/>
    <w:rsid w:val="00B63856"/>
    <w:rsid w:val="00B63872"/>
    <w:rsid w:val="00B63CB2"/>
    <w:rsid w:val="00B641D9"/>
    <w:rsid w:val="00B64EDB"/>
    <w:rsid w:val="00B654E7"/>
    <w:rsid w:val="00B66578"/>
    <w:rsid w:val="00B66ADA"/>
    <w:rsid w:val="00B701BF"/>
    <w:rsid w:val="00B712F6"/>
    <w:rsid w:val="00B71C79"/>
    <w:rsid w:val="00B7315F"/>
    <w:rsid w:val="00B750D9"/>
    <w:rsid w:val="00B76967"/>
    <w:rsid w:val="00B77F95"/>
    <w:rsid w:val="00B81F6E"/>
    <w:rsid w:val="00B826BC"/>
    <w:rsid w:val="00B84BA7"/>
    <w:rsid w:val="00B85186"/>
    <w:rsid w:val="00B91AF0"/>
    <w:rsid w:val="00B91B8E"/>
    <w:rsid w:val="00B9384C"/>
    <w:rsid w:val="00B93C9A"/>
    <w:rsid w:val="00B94548"/>
    <w:rsid w:val="00B955AB"/>
    <w:rsid w:val="00B95AC8"/>
    <w:rsid w:val="00B9618B"/>
    <w:rsid w:val="00BA3286"/>
    <w:rsid w:val="00BA3871"/>
    <w:rsid w:val="00BA4D28"/>
    <w:rsid w:val="00BA4E77"/>
    <w:rsid w:val="00BB3B04"/>
    <w:rsid w:val="00BB584D"/>
    <w:rsid w:val="00BB7084"/>
    <w:rsid w:val="00BC2704"/>
    <w:rsid w:val="00BC3B76"/>
    <w:rsid w:val="00BC6B83"/>
    <w:rsid w:val="00BC7280"/>
    <w:rsid w:val="00BD2036"/>
    <w:rsid w:val="00BD2700"/>
    <w:rsid w:val="00BD3A7D"/>
    <w:rsid w:val="00BD78FE"/>
    <w:rsid w:val="00BE0AD3"/>
    <w:rsid w:val="00BE15DA"/>
    <w:rsid w:val="00BE16E8"/>
    <w:rsid w:val="00BE1CEA"/>
    <w:rsid w:val="00BE642B"/>
    <w:rsid w:val="00BE67A9"/>
    <w:rsid w:val="00BE72D6"/>
    <w:rsid w:val="00BF31BA"/>
    <w:rsid w:val="00BF5E9C"/>
    <w:rsid w:val="00BF6D9D"/>
    <w:rsid w:val="00BF7724"/>
    <w:rsid w:val="00C014AB"/>
    <w:rsid w:val="00C0241E"/>
    <w:rsid w:val="00C02CA7"/>
    <w:rsid w:val="00C03773"/>
    <w:rsid w:val="00C0469E"/>
    <w:rsid w:val="00C055D5"/>
    <w:rsid w:val="00C06A57"/>
    <w:rsid w:val="00C06B30"/>
    <w:rsid w:val="00C07B9B"/>
    <w:rsid w:val="00C07F8E"/>
    <w:rsid w:val="00C13A5C"/>
    <w:rsid w:val="00C1486D"/>
    <w:rsid w:val="00C14C33"/>
    <w:rsid w:val="00C17E35"/>
    <w:rsid w:val="00C20738"/>
    <w:rsid w:val="00C20AB9"/>
    <w:rsid w:val="00C220CE"/>
    <w:rsid w:val="00C22BB6"/>
    <w:rsid w:val="00C24150"/>
    <w:rsid w:val="00C245B6"/>
    <w:rsid w:val="00C24D7E"/>
    <w:rsid w:val="00C25F36"/>
    <w:rsid w:val="00C269AB"/>
    <w:rsid w:val="00C27711"/>
    <w:rsid w:val="00C3033B"/>
    <w:rsid w:val="00C309CE"/>
    <w:rsid w:val="00C32119"/>
    <w:rsid w:val="00C3259E"/>
    <w:rsid w:val="00C33557"/>
    <w:rsid w:val="00C34208"/>
    <w:rsid w:val="00C366C4"/>
    <w:rsid w:val="00C374F0"/>
    <w:rsid w:val="00C404E4"/>
    <w:rsid w:val="00C42508"/>
    <w:rsid w:val="00C42C10"/>
    <w:rsid w:val="00C4437C"/>
    <w:rsid w:val="00C44442"/>
    <w:rsid w:val="00C50A4B"/>
    <w:rsid w:val="00C5372F"/>
    <w:rsid w:val="00C54BAF"/>
    <w:rsid w:val="00C6300B"/>
    <w:rsid w:val="00C6304F"/>
    <w:rsid w:val="00C6465E"/>
    <w:rsid w:val="00C64A86"/>
    <w:rsid w:val="00C64E43"/>
    <w:rsid w:val="00C6552A"/>
    <w:rsid w:val="00C65533"/>
    <w:rsid w:val="00C7056B"/>
    <w:rsid w:val="00C70B9D"/>
    <w:rsid w:val="00C71594"/>
    <w:rsid w:val="00C75629"/>
    <w:rsid w:val="00C758C6"/>
    <w:rsid w:val="00C76212"/>
    <w:rsid w:val="00C818AF"/>
    <w:rsid w:val="00C81ADC"/>
    <w:rsid w:val="00C81F3D"/>
    <w:rsid w:val="00C821C8"/>
    <w:rsid w:val="00C822C2"/>
    <w:rsid w:val="00C8458D"/>
    <w:rsid w:val="00C8725E"/>
    <w:rsid w:val="00C9106A"/>
    <w:rsid w:val="00C91242"/>
    <w:rsid w:val="00C96C1B"/>
    <w:rsid w:val="00C97AAA"/>
    <w:rsid w:val="00CA059D"/>
    <w:rsid w:val="00CA2C72"/>
    <w:rsid w:val="00CA7385"/>
    <w:rsid w:val="00CB0765"/>
    <w:rsid w:val="00CB2B36"/>
    <w:rsid w:val="00CB2C0F"/>
    <w:rsid w:val="00CB42FC"/>
    <w:rsid w:val="00CB5943"/>
    <w:rsid w:val="00CC00CD"/>
    <w:rsid w:val="00CC0339"/>
    <w:rsid w:val="00CC0B3D"/>
    <w:rsid w:val="00CC4DF1"/>
    <w:rsid w:val="00CC748E"/>
    <w:rsid w:val="00CD2B8C"/>
    <w:rsid w:val="00CD4A86"/>
    <w:rsid w:val="00CD5576"/>
    <w:rsid w:val="00CD7E27"/>
    <w:rsid w:val="00CE2805"/>
    <w:rsid w:val="00CE4E6E"/>
    <w:rsid w:val="00CE7A1A"/>
    <w:rsid w:val="00CF02E0"/>
    <w:rsid w:val="00CF0701"/>
    <w:rsid w:val="00CF600D"/>
    <w:rsid w:val="00CF6653"/>
    <w:rsid w:val="00CF7275"/>
    <w:rsid w:val="00D01760"/>
    <w:rsid w:val="00D01EBF"/>
    <w:rsid w:val="00D05211"/>
    <w:rsid w:val="00D06596"/>
    <w:rsid w:val="00D077EB"/>
    <w:rsid w:val="00D10800"/>
    <w:rsid w:val="00D1135E"/>
    <w:rsid w:val="00D12085"/>
    <w:rsid w:val="00D13D5F"/>
    <w:rsid w:val="00D15B95"/>
    <w:rsid w:val="00D1679C"/>
    <w:rsid w:val="00D16E39"/>
    <w:rsid w:val="00D170B9"/>
    <w:rsid w:val="00D17379"/>
    <w:rsid w:val="00D1798A"/>
    <w:rsid w:val="00D21C43"/>
    <w:rsid w:val="00D220D3"/>
    <w:rsid w:val="00D2214A"/>
    <w:rsid w:val="00D223B6"/>
    <w:rsid w:val="00D22BEB"/>
    <w:rsid w:val="00D23AD8"/>
    <w:rsid w:val="00D24C74"/>
    <w:rsid w:val="00D2686C"/>
    <w:rsid w:val="00D26B57"/>
    <w:rsid w:val="00D32A50"/>
    <w:rsid w:val="00D34802"/>
    <w:rsid w:val="00D350DE"/>
    <w:rsid w:val="00D35FC1"/>
    <w:rsid w:val="00D41655"/>
    <w:rsid w:val="00D41EE1"/>
    <w:rsid w:val="00D42298"/>
    <w:rsid w:val="00D4320D"/>
    <w:rsid w:val="00D44077"/>
    <w:rsid w:val="00D44E97"/>
    <w:rsid w:val="00D460D9"/>
    <w:rsid w:val="00D47709"/>
    <w:rsid w:val="00D506C0"/>
    <w:rsid w:val="00D53894"/>
    <w:rsid w:val="00D53C6C"/>
    <w:rsid w:val="00D54876"/>
    <w:rsid w:val="00D54C45"/>
    <w:rsid w:val="00D60327"/>
    <w:rsid w:val="00D61887"/>
    <w:rsid w:val="00D641C3"/>
    <w:rsid w:val="00D64981"/>
    <w:rsid w:val="00D650B5"/>
    <w:rsid w:val="00D66C4F"/>
    <w:rsid w:val="00D679D8"/>
    <w:rsid w:val="00D7075B"/>
    <w:rsid w:val="00D710B9"/>
    <w:rsid w:val="00D71D22"/>
    <w:rsid w:val="00D72126"/>
    <w:rsid w:val="00D72E9D"/>
    <w:rsid w:val="00D73FA7"/>
    <w:rsid w:val="00D74765"/>
    <w:rsid w:val="00D7568C"/>
    <w:rsid w:val="00D76082"/>
    <w:rsid w:val="00D7727A"/>
    <w:rsid w:val="00D81466"/>
    <w:rsid w:val="00D82CE5"/>
    <w:rsid w:val="00D833A5"/>
    <w:rsid w:val="00D84FE0"/>
    <w:rsid w:val="00D85C8F"/>
    <w:rsid w:val="00D87181"/>
    <w:rsid w:val="00D8736E"/>
    <w:rsid w:val="00D914DB"/>
    <w:rsid w:val="00D92770"/>
    <w:rsid w:val="00D93287"/>
    <w:rsid w:val="00D94D04"/>
    <w:rsid w:val="00D970D3"/>
    <w:rsid w:val="00D97DDD"/>
    <w:rsid w:val="00DA41EF"/>
    <w:rsid w:val="00DA583D"/>
    <w:rsid w:val="00DA5AB1"/>
    <w:rsid w:val="00DA7B6E"/>
    <w:rsid w:val="00DA7CCA"/>
    <w:rsid w:val="00DB0DFA"/>
    <w:rsid w:val="00DB28B8"/>
    <w:rsid w:val="00DB3D31"/>
    <w:rsid w:val="00DB6234"/>
    <w:rsid w:val="00DB68F9"/>
    <w:rsid w:val="00DC02B2"/>
    <w:rsid w:val="00DC1562"/>
    <w:rsid w:val="00DC2AFD"/>
    <w:rsid w:val="00DC3544"/>
    <w:rsid w:val="00DC3A87"/>
    <w:rsid w:val="00DC62E5"/>
    <w:rsid w:val="00DC743F"/>
    <w:rsid w:val="00DD0BB0"/>
    <w:rsid w:val="00DD1349"/>
    <w:rsid w:val="00DD32A0"/>
    <w:rsid w:val="00DD3E02"/>
    <w:rsid w:val="00DD3E55"/>
    <w:rsid w:val="00DD4177"/>
    <w:rsid w:val="00DD451F"/>
    <w:rsid w:val="00DD47A2"/>
    <w:rsid w:val="00DD652D"/>
    <w:rsid w:val="00DD6845"/>
    <w:rsid w:val="00DD6847"/>
    <w:rsid w:val="00DD735D"/>
    <w:rsid w:val="00DE247F"/>
    <w:rsid w:val="00DE2953"/>
    <w:rsid w:val="00DE308A"/>
    <w:rsid w:val="00DE3119"/>
    <w:rsid w:val="00DE3139"/>
    <w:rsid w:val="00DE5BCA"/>
    <w:rsid w:val="00DE6872"/>
    <w:rsid w:val="00DE72CE"/>
    <w:rsid w:val="00DE7309"/>
    <w:rsid w:val="00DF20FB"/>
    <w:rsid w:val="00DF2128"/>
    <w:rsid w:val="00DF236B"/>
    <w:rsid w:val="00DF2804"/>
    <w:rsid w:val="00DF28C7"/>
    <w:rsid w:val="00DF3553"/>
    <w:rsid w:val="00DF6AA5"/>
    <w:rsid w:val="00DF7086"/>
    <w:rsid w:val="00DF7F9E"/>
    <w:rsid w:val="00E00221"/>
    <w:rsid w:val="00E0048D"/>
    <w:rsid w:val="00E04A52"/>
    <w:rsid w:val="00E057C5"/>
    <w:rsid w:val="00E0612F"/>
    <w:rsid w:val="00E0677C"/>
    <w:rsid w:val="00E06A8D"/>
    <w:rsid w:val="00E06FB8"/>
    <w:rsid w:val="00E0736A"/>
    <w:rsid w:val="00E12349"/>
    <w:rsid w:val="00E13AB8"/>
    <w:rsid w:val="00E13D3F"/>
    <w:rsid w:val="00E1640E"/>
    <w:rsid w:val="00E16A54"/>
    <w:rsid w:val="00E234D7"/>
    <w:rsid w:val="00E25CB3"/>
    <w:rsid w:val="00E27E15"/>
    <w:rsid w:val="00E3074B"/>
    <w:rsid w:val="00E31A47"/>
    <w:rsid w:val="00E32A49"/>
    <w:rsid w:val="00E33B62"/>
    <w:rsid w:val="00E34106"/>
    <w:rsid w:val="00E356D7"/>
    <w:rsid w:val="00E36139"/>
    <w:rsid w:val="00E40D14"/>
    <w:rsid w:val="00E4143A"/>
    <w:rsid w:val="00E41823"/>
    <w:rsid w:val="00E41943"/>
    <w:rsid w:val="00E42461"/>
    <w:rsid w:val="00E42761"/>
    <w:rsid w:val="00E43624"/>
    <w:rsid w:val="00E46137"/>
    <w:rsid w:val="00E47A1C"/>
    <w:rsid w:val="00E50774"/>
    <w:rsid w:val="00E510C7"/>
    <w:rsid w:val="00E5199E"/>
    <w:rsid w:val="00E53B77"/>
    <w:rsid w:val="00E54365"/>
    <w:rsid w:val="00E5462E"/>
    <w:rsid w:val="00E56EC0"/>
    <w:rsid w:val="00E57652"/>
    <w:rsid w:val="00E57C18"/>
    <w:rsid w:val="00E62C10"/>
    <w:rsid w:val="00E631C7"/>
    <w:rsid w:val="00E65BDD"/>
    <w:rsid w:val="00E66455"/>
    <w:rsid w:val="00E70C4B"/>
    <w:rsid w:val="00E73728"/>
    <w:rsid w:val="00E73C2F"/>
    <w:rsid w:val="00E76013"/>
    <w:rsid w:val="00E76D64"/>
    <w:rsid w:val="00E76DD0"/>
    <w:rsid w:val="00E87FB5"/>
    <w:rsid w:val="00E912DA"/>
    <w:rsid w:val="00E91B88"/>
    <w:rsid w:val="00E9622C"/>
    <w:rsid w:val="00E96F1A"/>
    <w:rsid w:val="00EA0C86"/>
    <w:rsid w:val="00EA3761"/>
    <w:rsid w:val="00EA3B8E"/>
    <w:rsid w:val="00EA4951"/>
    <w:rsid w:val="00EB0D38"/>
    <w:rsid w:val="00EB2CBD"/>
    <w:rsid w:val="00EB5263"/>
    <w:rsid w:val="00EB5408"/>
    <w:rsid w:val="00EB55EE"/>
    <w:rsid w:val="00EB5A79"/>
    <w:rsid w:val="00EC085F"/>
    <w:rsid w:val="00EC5B1B"/>
    <w:rsid w:val="00EC77E0"/>
    <w:rsid w:val="00ED0181"/>
    <w:rsid w:val="00ED05A8"/>
    <w:rsid w:val="00ED18C9"/>
    <w:rsid w:val="00ED1921"/>
    <w:rsid w:val="00ED1A5E"/>
    <w:rsid w:val="00ED21E1"/>
    <w:rsid w:val="00ED2C7A"/>
    <w:rsid w:val="00ED5E7E"/>
    <w:rsid w:val="00ED6D48"/>
    <w:rsid w:val="00EE2C9C"/>
    <w:rsid w:val="00EE336A"/>
    <w:rsid w:val="00EE4DB1"/>
    <w:rsid w:val="00EE59B5"/>
    <w:rsid w:val="00EE6A82"/>
    <w:rsid w:val="00EE75CC"/>
    <w:rsid w:val="00EE7C1A"/>
    <w:rsid w:val="00EF0420"/>
    <w:rsid w:val="00EF169E"/>
    <w:rsid w:val="00EF1F7B"/>
    <w:rsid w:val="00EF28A9"/>
    <w:rsid w:val="00EF3258"/>
    <w:rsid w:val="00EF3F42"/>
    <w:rsid w:val="00EF4E3B"/>
    <w:rsid w:val="00EF5E27"/>
    <w:rsid w:val="00EF5FF6"/>
    <w:rsid w:val="00EF64D8"/>
    <w:rsid w:val="00EF6FEA"/>
    <w:rsid w:val="00F0076F"/>
    <w:rsid w:val="00F01990"/>
    <w:rsid w:val="00F04156"/>
    <w:rsid w:val="00F04D40"/>
    <w:rsid w:val="00F0608C"/>
    <w:rsid w:val="00F06296"/>
    <w:rsid w:val="00F074DD"/>
    <w:rsid w:val="00F0774D"/>
    <w:rsid w:val="00F077AE"/>
    <w:rsid w:val="00F10954"/>
    <w:rsid w:val="00F11955"/>
    <w:rsid w:val="00F128BC"/>
    <w:rsid w:val="00F16AE2"/>
    <w:rsid w:val="00F172E0"/>
    <w:rsid w:val="00F2035B"/>
    <w:rsid w:val="00F2107D"/>
    <w:rsid w:val="00F21B2C"/>
    <w:rsid w:val="00F21BA2"/>
    <w:rsid w:val="00F21D09"/>
    <w:rsid w:val="00F24230"/>
    <w:rsid w:val="00F26F4E"/>
    <w:rsid w:val="00F301AD"/>
    <w:rsid w:val="00F33364"/>
    <w:rsid w:val="00F34C65"/>
    <w:rsid w:val="00F34C8E"/>
    <w:rsid w:val="00F34CBA"/>
    <w:rsid w:val="00F3533F"/>
    <w:rsid w:val="00F3791E"/>
    <w:rsid w:val="00F41C0B"/>
    <w:rsid w:val="00F42CA4"/>
    <w:rsid w:val="00F43A17"/>
    <w:rsid w:val="00F43A68"/>
    <w:rsid w:val="00F476A9"/>
    <w:rsid w:val="00F5101F"/>
    <w:rsid w:val="00F520D5"/>
    <w:rsid w:val="00F536CD"/>
    <w:rsid w:val="00F53EA9"/>
    <w:rsid w:val="00F55F3A"/>
    <w:rsid w:val="00F574CC"/>
    <w:rsid w:val="00F6029C"/>
    <w:rsid w:val="00F61B1D"/>
    <w:rsid w:val="00F61F32"/>
    <w:rsid w:val="00F73D70"/>
    <w:rsid w:val="00F764CE"/>
    <w:rsid w:val="00F84899"/>
    <w:rsid w:val="00F859F0"/>
    <w:rsid w:val="00F90DB0"/>
    <w:rsid w:val="00F91287"/>
    <w:rsid w:val="00F9150D"/>
    <w:rsid w:val="00F91CA1"/>
    <w:rsid w:val="00F92D53"/>
    <w:rsid w:val="00F93250"/>
    <w:rsid w:val="00F946C6"/>
    <w:rsid w:val="00F94805"/>
    <w:rsid w:val="00F94B44"/>
    <w:rsid w:val="00F95598"/>
    <w:rsid w:val="00F95FAB"/>
    <w:rsid w:val="00FA0BE5"/>
    <w:rsid w:val="00FA1420"/>
    <w:rsid w:val="00FA15DA"/>
    <w:rsid w:val="00FA1947"/>
    <w:rsid w:val="00FA3221"/>
    <w:rsid w:val="00FA63A7"/>
    <w:rsid w:val="00FA6867"/>
    <w:rsid w:val="00FA6B54"/>
    <w:rsid w:val="00FB48C5"/>
    <w:rsid w:val="00FB5E3B"/>
    <w:rsid w:val="00FC16AE"/>
    <w:rsid w:val="00FC20D2"/>
    <w:rsid w:val="00FC5F8E"/>
    <w:rsid w:val="00FD2829"/>
    <w:rsid w:val="00FD2EA3"/>
    <w:rsid w:val="00FD3DDB"/>
    <w:rsid w:val="00FD3F65"/>
    <w:rsid w:val="00FD461D"/>
    <w:rsid w:val="00FD46B4"/>
    <w:rsid w:val="00FD4AA4"/>
    <w:rsid w:val="00FD7D17"/>
    <w:rsid w:val="00FE094E"/>
    <w:rsid w:val="00FE141E"/>
    <w:rsid w:val="00FE1C75"/>
    <w:rsid w:val="00FE1E34"/>
    <w:rsid w:val="00FE38FF"/>
    <w:rsid w:val="00FE42ED"/>
    <w:rsid w:val="00FE4C26"/>
    <w:rsid w:val="00FE4EF2"/>
    <w:rsid w:val="00FE63C7"/>
    <w:rsid w:val="00FE759E"/>
    <w:rsid w:val="00FE7664"/>
    <w:rsid w:val="00FF1C68"/>
    <w:rsid w:val="00FF4164"/>
    <w:rsid w:val="00FF485B"/>
    <w:rsid w:val="00FF4CB9"/>
    <w:rsid w:val="19D94649"/>
    <w:rsid w:val="3B1BF6E6"/>
    <w:rsid w:val="434D2F1C"/>
    <w:rsid w:val="489DAED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before="120"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2B62"/>
    <w:pPr>
      <w:spacing w:before="0" w:after="0" w:line="240" w:lineRule="auto"/>
      <w:jc w:val="left"/>
    </w:pPr>
    <w:rPr>
      <w:rFonts w:ascii="Times New Roman" w:eastAsia="Times New Roman" w:hAnsi="Times New Roman" w:cs="Times New Roman"/>
      <w:sz w:val="24"/>
      <w:szCs w:val="24"/>
      <w:lang w:eastAsia="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spacing w:before="120" w:after="120" w:line="276" w:lineRule="auto"/>
      <w:jc w:val="both"/>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pPr>
      <w:spacing w:before="120" w:after="120" w:line="276" w:lineRule="auto"/>
      <w:jc w:val="both"/>
    </w:pPr>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spacing w:before="120" w:after="120" w:line="276" w:lineRule="auto"/>
      <w:jc w:val="both"/>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spacing w:before="120" w:after="120" w:line="276" w:lineRule="auto"/>
      <w:ind w:left="720"/>
      <w:contextualSpacing/>
      <w:jc w:val="both"/>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pPr>
      <w:spacing w:before="120" w:after="120" w:line="276" w:lineRule="auto"/>
      <w:jc w:val="both"/>
    </w:pPr>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line="276" w:lineRule="auto"/>
      <w:jc w:val="both"/>
    </w:pPr>
    <w:rPr>
      <w:lang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pPr>
      <w:spacing w:before="120" w:after="120" w:line="276" w:lineRule="auto"/>
      <w:jc w:val="both"/>
    </w:pPr>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jc w:val="both"/>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984AB9"/>
  </w:style>
  <w:style w:type="character" w:styleId="Textoennegrita">
    <w:name w:val="Strong"/>
    <w:basedOn w:val="Fuentedeprrafopredeter"/>
    <w:uiPriority w:val="22"/>
    <w:qFormat/>
    <w:rsid w:val="00792E66"/>
    <w:rPr>
      <w:b/>
      <w:bCs/>
    </w:rPr>
  </w:style>
  <w:style w:type="character" w:styleId="nfasis">
    <w:name w:val="Emphasis"/>
    <w:basedOn w:val="Fuentedeprrafopredeter"/>
    <w:uiPriority w:val="20"/>
    <w:qFormat/>
    <w:rsid w:val="00792E66"/>
    <w:rPr>
      <w:i/>
      <w:iCs/>
    </w:rPr>
  </w:style>
  <w:style w:type="paragraph" w:customStyle="1" w:styleId="Appelnotedebasde">
    <w:name w:val="Appel note de bas de..."/>
    <w:basedOn w:val="Normal"/>
    <w:link w:val="Refdenotaalpie"/>
    <w:uiPriority w:val="99"/>
    <w:rsid w:val="00E54365"/>
    <w:pPr>
      <w:spacing w:after="160" w:line="240" w:lineRule="exact"/>
    </w:pPr>
    <w:rPr>
      <w:rFonts w:asciiTheme="minorHAnsi" w:eastAsiaTheme="minorHAnsi" w:hAnsiTheme="minorHAnsi" w:cstheme="minorBidi"/>
      <w:sz w:val="22"/>
      <w:szCs w:val="22"/>
      <w:vertAlign w:val="superscript"/>
      <w:lang w:eastAsia="en-US"/>
    </w:rPr>
  </w:style>
  <w:style w:type="character" w:customStyle="1" w:styleId="NormalWebCar">
    <w:name w:val="Normal (Web) Car"/>
    <w:link w:val="NormalWeb"/>
    <w:uiPriority w:val="99"/>
    <w:rsid w:val="00A957B9"/>
    <w:rPr>
      <w:rFonts w:ascii="Times New Roman" w:eastAsia="Times New Roman" w:hAnsi="Times New Roman" w:cs="Times New Roman"/>
      <w:sz w:val="24"/>
      <w:szCs w:val="24"/>
      <w:lang w:eastAsia="es-CO"/>
    </w:rPr>
  </w:style>
  <w:style w:type="character" w:customStyle="1" w:styleId="Mencinsinresolver1">
    <w:name w:val="Mención sin resolver1"/>
    <w:basedOn w:val="Fuentedeprrafopredeter"/>
    <w:uiPriority w:val="99"/>
    <w:semiHidden/>
    <w:unhideWhenUsed/>
    <w:rsid w:val="00AE4C20"/>
    <w:rPr>
      <w:color w:val="605E5C"/>
      <w:shd w:val="clear" w:color="auto" w:fill="E1DFDD"/>
    </w:rPr>
  </w:style>
  <w:style w:type="paragraph" w:styleId="Textoindependiente">
    <w:name w:val="Body Text"/>
    <w:basedOn w:val="Normal"/>
    <w:link w:val="TextoindependienteCar"/>
    <w:uiPriority w:val="99"/>
    <w:semiHidden/>
    <w:unhideWhenUsed/>
    <w:rsid w:val="00A16FAB"/>
    <w:pPr>
      <w:spacing w:before="100" w:beforeAutospacing="1" w:after="100" w:afterAutospacing="1"/>
    </w:pPr>
    <w:rPr>
      <w:lang w:eastAsia="es-CO"/>
    </w:rPr>
  </w:style>
  <w:style w:type="character" w:customStyle="1" w:styleId="TextoindependienteCar">
    <w:name w:val="Texto independiente Car"/>
    <w:basedOn w:val="Fuentedeprrafopredeter"/>
    <w:link w:val="Textoindependiente"/>
    <w:uiPriority w:val="99"/>
    <w:semiHidden/>
    <w:rsid w:val="00A16FAB"/>
    <w:rPr>
      <w:rFonts w:ascii="Times New Roman" w:eastAsia="Times New Roman" w:hAnsi="Times New Roman" w:cs="Times New Roman"/>
      <w:sz w:val="24"/>
      <w:szCs w:val="24"/>
      <w:lang w:eastAsia="es-CO"/>
    </w:rPr>
  </w:style>
  <w:style w:type="character" w:customStyle="1" w:styleId="Mencinsinresolver2">
    <w:name w:val="Mención sin resolver2"/>
    <w:basedOn w:val="Fuentedeprrafopredeter"/>
    <w:uiPriority w:val="99"/>
    <w:semiHidden/>
    <w:unhideWhenUsed/>
    <w:rsid w:val="0076432E"/>
    <w:rPr>
      <w:color w:val="605E5C"/>
      <w:shd w:val="clear" w:color="auto" w:fill="E1DFDD"/>
    </w:rPr>
  </w:style>
  <w:style w:type="character" w:styleId="Refdenotaalfinal">
    <w:name w:val="endnote reference"/>
    <w:basedOn w:val="Fuentedeprrafopredeter"/>
    <w:uiPriority w:val="99"/>
    <w:semiHidden/>
    <w:unhideWhenUsed/>
    <w:rsid w:val="00FE1E34"/>
    <w:rPr>
      <w:vertAlign w:val="superscript"/>
    </w:rPr>
  </w:style>
  <w:style w:type="paragraph" w:styleId="Revisin">
    <w:name w:val="Revision"/>
    <w:hidden/>
    <w:uiPriority w:val="99"/>
    <w:semiHidden/>
    <w:rsid w:val="009246D0"/>
    <w:pPr>
      <w:spacing w:before="0" w:after="0" w:line="240" w:lineRule="auto"/>
      <w:jc w:val="left"/>
    </w:pPr>
    <w:rPr>
      <w:rFonts w:ascii="Times New Roman" w:eastAsia="Times New Roman" w:hAnsi="Times New Roman" w:cs="Times New Roman"/>
      <w:sz w:val="24"/>
      <w:szCs w:val="24"/>
      <w:lang w:eastAsia="en-GB"/>
    </w:rPr>
  </w:style>
  <w:style w:type="paragraph" w:customStyle="1" w:styleId="xmsonospacing">
    <w:name w:val="x_msonospacing"/>
    <w:basedOn w:val="Normal"/>
    <w:rsid w:val="00283042"/>
    <w:pPr>
      <w:spacing w:before="100" w:beforeAutospacing="1" w:after="100" w:afterAutospacing="1"/>
    </w:pPr>
    <w:rPr>
      <w:lang w:eastAsia="es-MX"/>
    </w:rPr>
  </w:style>
  <w:style w:type="paragraph" w:customStyle="1" w:styleId="Normal11pt">
    <w:name w:val="Normal + 11 pt"/>
    <w:aliases w:val="Negro,Justificado,Izquierda:  -0,95 cm,Derecha:  0,04 cm"/>
    <w:basedOn w:val="Normal"/>
    <w:uiPriority w:val="99"/>
    <w:rsid w:val="00283042"/>
    <w:pPr>
      <w:ind w:left="-540"/>
      <w:jc w:val="both"/>
    </w:pPr>
    <w:rPr>
      <w:rFonts w:ascii="Arial" w:hAnsi="Arial" w:cs="Arial"/>
      <w:color w:val="000000"/>
      <w:sz w:val="22"/>
      <w:szCs w:val="22"/>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76757">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85808315">
      <w:bodyDiv w:val="1"/>
      <w:marLeft w:val="0"/>
      <w:marRight w:val="0"/>
      <w:marTop w:val="0"/>
      <w:marBottom w:val="0"/>
      <w:divBdr>
        <w:top w:val="none" w:sz="0" w:space="0" w:color="auto"/>
        <w:left w:val="none" w:sz="0" w:space="0" w:color="auto"/>
        <w:bottom w:val="none" w:sz="0" w:space="0" w:color="auto"/>
        <w:right w:val="none" w:sz="0" w:space="0" w:color="auto"/>
      </w:divBdr>
    </w:div>
    <w:div w:id="10873975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9442121">
      <w:bodyDiv w:val="1"/>
      <w:marLeft w:val="0"/>
      <w:marRight w:val="0"/>
      <w:marTop w:val="0"/>
      <w:marBottom w:val="0"/>
      <w:divBdr>
        <w:top w:val="none" w:sz="0" w:space="0" w:color="auto"/>
        <w:left w:val="none" w:sz="0" w:space="0" w:color="auto"/>
        <w:bottom w:val="none" w:sz="0" w:space="0" w:color="auto"/>
        <w:right w:val="none" w:sz="0" w:space="0" w:color="auto"/>
      </w:divBdr>
    </w:div>
    <w:div w:id="179929087">
      <w:bodyDiv w:val="1"/>
      <w:marLeft w:val="0"/>
      <w:marRight w:val="0"/>
      <w:marTop w:val="0"/>
      <w:marBottom w:val="0"/>
      <w:divBdr>
        <w:top w:val="none" w:sz="0" w:space="0" w:color="auto"/>
        <w:left w:val="none" w:sz="0" w:space="0" w:color="auto"/>
        <w:bottom w:val="none" w:sz="0" w:space="0" w:color="auto"/>
        <w:right w:val="none" w:sz="0" w:space="0" w:color="auto"/>
      </w:divBdr>
      <w:divsChild>
        <w:div w:id="404572909">
          <w:marLeft w:val="0"/>
          <w:marRight w:val="0"/>
          <w:marTop w:val="0"/>
          <w:marBottom w:val="0"/>
          <w:divBdr>
            <w:top w:val="none" w:sz="0" w:space="0" w:color="auto"/>
            <w:left w:val="none" w:sz="0" w:space="0" w:color="auto"/>
            <w:bottom w:val="none" w:sz="0" w:space="0" w:color="auto"/>
            <w:right w:val="none" w:sz="0" w:space="0" w:color="auto"/>
          </w:divBdr>
        </w:div>
        <w:div w:id="2088721344">
          <w:marLeft w:val="0"/>
          <w:marRight w:val="0"/>
          <w:marTop w:val="0"/>
          <w:marBottom w:val="0"/>
          <w:divBdr>
            <w:top w:val="none" w:sz="0" w:space="0" w:color="auto"/>
            <w:left w:val="none" w:sz="0" w:space="0" w:color="auto"/>
            <w:bottom w:val="none" w:sz="0" w:space="0" w:color="auto"/>
            <w:right w:val="none" w:sz="0" w:space="0" w:color="auto"/>
          </w:divBdr>
        </w:div>
        <w:div w:id="1807044410">
          <w:marLeft w:val="0"/>
          <w:marRight w:val="0"/>
          <w:marTop w:val="0"/>
          <w:marBottom w:val="0"/>
          <w:divBdr>
            <w:top w:val="none" w:sz="0" w:space="0" w:color="auto"/>
            <w:left w:val="none" w:sz="0" w:space="0" w:color="auto"/>
            <w:bottom w:val="none" w:sz="0" w:space="0" w:color="auto"/>
            <w:right w:val="none" w:sz="0" w:space="0" w:color="auto"/>
          </w:divBdr>
        </w:div>
      </w:divsChild>
    </w:div>
    <w:div w:id="2162033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7952074">
      <w:bodyDiv w:val="1"/>
      <w:marLeft w:val="0"/>
      <w:marRight w:val="0"/>
      <w:marTop w:val="0"/>
      <w:marBottom w:val="0"/>
      <w:divBdr>
        <w:top w:val="none" w:sz="0" w:space="0" w:color="auto"/>
        <w:left w:val="none" w:sz="0" w:space="0" w:color="auto"/>
        <w:bottom w:val="none" w:sz="0" w:space="0" w:color="auto"/>
        <w:right w:val="none" w:sz="0" w:space="0" w:color="auto"/>
      </w:divBdr>
    </w:div>
    <w:div w:id="362751634">
      <w:bodyDiv w:val="1"/>
      <w:marLeft w:val="0"/>
      <w:marRight w:val="0"/>
      <w:marTop w:val="0"/>
      <w:marBottom w:val="0"/>
      <w:divBdr>
        <w:top w:val="none" w:sz="0" w:space="0" w:color="auto"/>
        <w:left w:val="none" w:sz="0" w:space="0" w:color="auto"/>
        <w:bottom w:val="none" w:sz="0" w:space="0" w:color="auto"/>
        <w:right w:val="none" w:sz="0" w:space="0" w:color="auto"/>
      </w:divBdr>
    </w:div>
    <w:div w:id="388193450">
      <w:bodyDiv w:val="1"/>
      <w:marLeft w:val="0"/>
      <w:marRight w:val="0"/>
      <w:marTop w:val="0"/>
      <w:marBottom w:val="0"/>
      <w:divBdr>
        <w:top w:val="none" w:sz="0" w:space="0" w:color="auto"/>
        <w:left w:val="none" w:sz="0" w:space="0" w:color="auto"/>
        <w:bottom w:val="none" w:sz="0" w:space="0" w:color="auto"/>
        <w:right w:val="none" w:sz="0" w:space="0" w:color="auto"/>
      </w:divBdr>
    </w:div>
    <w:div w:id="394553061">
      <w:bodyDiv w:val="1"/>
      <w:marLeft w:val="0"/>
      <w:marRight w:val="0"/>
      <w:marTop w:val="0"/>
      <w:marBottom w:val="0"/>
      <w:divBdr>
        <w:top w:val="none" w:sz="0" w:space="0" w:color="auto"/>
        <w:left w:val="none" w:sz="0" w:space="0" w:color="auto"/>
        <w:bottom w:val="none" w:sz="0" w:space="0" w:color="auto"/>
        <w:right w:val="none" w:sz="0" w:space="0" w:color="auto"/>
      </w:divBdr>
    </w:div>
    <w:div w:id="410006999">
      <w:bodyDiv w:val="1"/>
      <w:marLeft w:val="0"/>
      <w:marRight w:val="0"/>
      <w:marTop w:val="0"/>
      <w:marBottom w:val="0"/>
      <w:divBdr>
        <w:top w:val="none" w:sz="0" w:space="0" w:color="auto"/>
        <w:left w:val="none" w:sz="0" w:space="0" w:color="auto"/>
        <w:bottom w:val="none" w:sz="0" w:space="0" w:color="auto"/>
        <w:right w:val="none" w:sz="0" w:space="0" w:color="auto"/>
      </w:divBdr>
      <w:divsChild>
        <w:div w:id="1549413466">
          <w:marLeft w:val="0"/>
          <w:marRight w:val="0"/>
          <w:marTop w:val="0"/>
          <w:marBottom w:val="0"/>
          <w:divBdr>
            <w:top w:val="none" w:sz="0" w:space="0" w:color="auto"/>
            <w:left w:val="none" w:sz="0" w:space="0" w:color="auto"/>
            <w:bottom w:val="none" w:sz="0" w:space="0" w:color="auto"/>
            <w:right w:val="none" w:sz="0" w:space="0" w:color="auto"/>
          </w:divBdr>
          <w:divsChild>
            <w:div w:id="1668316938">
              <w:marLeft w:val="0"/>
              <w:marRight w:val="0"/>
              <w:marTop w:val="0"/>
              <w:marBottom w:val="0"/>
              <w:divBdr>
                <w:top w:val="none" w:sz="0" w:space="0" w:color="auto"/>
                <w:left w:val="none" w:sz="0" w:space="0" w:color="auto"/>
                <w:bottom w:val="none" w:sz="0" w:space="0" w:color="auto"/>
                <w:right w:val="none" w:sz="0" w:space="0" w:color="auto"/>
              </w:divBdr>
              <w:divsChild>
                <w:div w:id="97205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503571">
      <w:bodyDiv w:val="1"/>
      <w:marLeft w:val="0"/>
      <w:marRight w:val="0"/>
      <w:marTop w:val="0"/>
      <w:marBottom w:val="0"/>
      <w:divBdr>
        <w:top w:val="none" w:sz="0" w:space="0" w:color="auto"/>
        <w:left w:val="none" w:sz="0" w:space="0" w:color="auto"/>
        <w:bottom w:val="none" w:sz="0" w:space="0" w:color="auto"/>
        <w:right w:val="none" w:sz="0" w:space="0" w:color="auto"/>
      </w:divBdr>
    </w:div>
    <w:div w:id="531654358">
      <w:bodyDiv w:val="1"/>
      <w:marLeft w:val="0"/>
      <w:marRight w:val="0"/>
      <w:marTop w:val="0"/>
      <w:marBottom w:val="0"/>
      <w:divBdr>
        <w:top w:val="none" w:sz="0" w:space="0" w:color="auto"/>
        <w:left w:val="none" w:sz="0" w:space="0" w:color="auto"/>
        <w:bottom w:val="none" w:sz="0" w:space="0" w:color="auto"/>
        <w:right w:val="none" w:sz="0" w:space="0" w:color="auto"/>
      </w:divBdr>
      <w:divsChild>
        <w:div w:id="1821338746">
          <w:marLeft w:val="0"/>
          <w:marRight w:val="0"/>
          <w:marTop w:val="0"/>
          <w:marBottom w:val="0"/>
          <w:divBdr>
            <w:top w:val="none" w:sz="0" w:space="0" w:color="auto"/>
            <w:left w:val="none" w:sz="0" w:space="0" w:color="auto"/>
            <w:bottom w:val="none" w:sz="0" w:space="0" w:color="auto"/>
            <w:right w:val="none" w:sz="0" w:space="0" w:color="auto"/>
          </w:divBdr>
          <w:divsChild>
            <w:div w:id="1848402016">
              <w:marLeft w:val="0"/>
              <w:marRight w:val="0"/>
              <w:marTop w:val="0"/>
              <w:marBottom w:val="0"/>
              <w:divBdr>
                <w:top w:val="none" w:sz="0" w:space="0" w:color="auto"/>
                <w:left w:val="none" w:sz="0" w:space="0" w:color="auto"/>
                <w:bottom w:val="none" w:sz="0" w:space="0" w:color="auto"/>
                <w:right w:val="none" w:sz="0" w:space="0" w:color="auto"/>
              </w:divBdr>
              <w:divsChild>
                <w:div w:id="175127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352670">
      <w:bodyDiv w:val="1"/>
      <w:marLeft w:val="0"/>
      <w:marRight w:val="0"/>
      <w:marTop w:val="0"/>
      <w:marBottom w:val="0"/>
      <w:divBdr>
        <w:top w:val="none" w:sz="0" w:space="0" w:color="auto"/>
        <w:left w:val="none" w:sz="0" w:space="0" w:color="auto"/>
        <w:bottom w:val="none" w:sz="0" w:space="0" w:color="auto"/>
        <w:right w:val="none" w:sz="0" w:space="0" w:color="auto"/>
      </w:divBdr>
    </w:div>
    <w:div w:id="610358860">
      <w:bodyDiv w:val="1"/>
      <w:marLeft w:val="0"/>
      <w:marRight w:val="0"/>
      <w:marTop w:val="0"/>
      <w:marBottom w:val="0"/>
      <w:divBdr>
        <w:top w:val="none" w:sz="0" w:space="0" w:color="auto"/>
        <w:left w:val="none" w:sz="0" w:space="0" w:color="auto"/>
        <w:bottom w:val="none" w:sz="0" w:space="0" w:color="auto"/>
        <w:right w:val="none" w:sz="0" w:space="0" w:color="auto"/>
      </w:divBdr>
    </w:div>
    <w:div w:id="614942659">
      <w:bodyDiv w:val="1"/>
      <w:marLeft w:val="0"/>
      <w:marRight w:val="0"/>
      <w:marTop w:val="0"/>
      <w:marBottom w:val="0"/>
      <w:divBdr>
        <w:top w:val="none" w:sz="0" w:space="0" w:color="auto"/>
        <w:left w:val="none" w:sz="0" w:space="0" w:color="auto"/>
        <w:bottom w:val="none" w:sz="0" w:space="0" w:color="auto"/>
        <w:right w:val="none" w:sz="0" w:space="0" w:color="auto"/>
      </w:divBdr>
    </w:div>
    <w:div w:id="616374217">
      <w:bodyDiv w:val="1"/>
      <w:marLeft w:val="0"/>
      <w:marRight w:val="0"/>
      <w:marTop w:val="0"/>
      <w:marBottom w:val="0"/>
      <w:divBdr>
        <w:top w:val="none" w:sz="0" w:space="0" w:color="auto"/>
        <w:left w:val="none" w:sz="0" w:space="0" w:color="auto"/>
        <w:bottom w:val="none" w:sz="0" w:space="0" w:color="auto"/>
        <w:right w:val="none" w:sz="0" w:space="0" w:color="auto"/>
      </w:divBdr>
    </w:div>
    <w:div w:id="636760311">
      <w:bodyDiv w:val="1"/>
      <w:marLeft w:val="0"/>
      <w:marRight w:val="0"/>
      <w:marTop w:val="0"/>
      <w:marBottom w:val="0"/>
      <w:divBdr>
        <w:top w:val="none" w:sz="0" w:space="0" w:color="auto"/>
        <w:left w:val="none" w:sz="0" w:space="0" w:color="auto"/>
        <w:bottom w:val="none" w:sz="0" w:space="0" w:color="auto"/>
        <w:right w:val="none" w:sz="0" w:space="0" w:color="auto"/>
      </w:divBdr>
    </w:div>
    <w:div w:id="660500369">
      <w:bodyDiv w:val="1"/>
      <w:marLeft w:val="0"/>
      <w:marRight w:val="0"/>
      <w:marTop w:val="0"/>
      <w:marBottom w:val="0"/>
      <w:divBdr>
        <w:top w:val="none" w:sz="0" w:space="0" w:color="auto"/>
        <w:left w:val="none" w:sz="0" w:space="0" w:color="auto"/>
        <w:bottom w:val="none" w:sz="0" w:space="0" w:color="auto"/>
        <w:right w:val="none" w:sz="0" w:space="0" w:color="auto"/>
      </w:divBdr>
    </w:div>
    <w:div w:id="674454366">
      <w:bodyDiv w:val="1"/>
      <w:marLeft w:val="0"/>
      <w:marRight w:val="0"/>
      <w:marTop w:val="0"/>
      <w:marBottom w:val="0"/>
      <w:divBdr>
        <w:top w:val="none" w:sz="0" w:space="0" w:color="auto"/>
        <w:left w:val="none" w:sz="0" w:space="0" w:color="auto"/>
        <w:bottom w:val="none" w:sz="0" w:space="0" w:color="auto"/>
        <w:right w:val="none" w:sz="0" w:space="0" w:color="auto"/>
      </w:divBdr>
    </w:div>
    <w:div w:id="695346960">
      <w:bodyDiv w:val="1"/>
      <w:marLeft w:val="0"/>
      <w:marRight w:val="0"/>
      <w:marTop w:val="0"/>
      <w:marBottom w:val="0"/>
      <w:divBdr>
        <w:top w:val="none" w:sz="0" w:space="0" w:color="auto"/>
        <w:left w:val="none" w:sz="0" w:space="0" w:color="auto"/>
        <w:bottom w:val="none" w:sz="0" w:space="0" w:color="auto"/>
        <w:right w:val="none" w:sz="0" w:space="0" w:color="auto"/>
      </w:divBdr>
      <w:divsChild>
        <w:div w:id="1337732821">
          <w:marLeft w:val="0"/>
          <w:marRight w:val="0"/>
          <w:marTop w:val="0"/>
          <w:marBottom w:val="0"/>
          <w:divBdr>
            <w:top w:val="none" w:sz="0" w:space="0" w:color="auto"/>
            <w:left w:val="none" w:sz="0" w:space="0" w:color="auto"/>
            <w:bottom w:val="none" w:sz="0" w:space="0" w:color="auto"/>
            <w:right w:val="none" w:sz="0" w:space="0" w:color="auto"/>
          </w:divBdr>
          <w:divsChild>
            <w:div w:id="1048838927">
              <w:marLeft w:val="0"/>
              <w:marRight w:val="0"/>
              <w:marTop w:val="0"/>
              <w:marBottom w:val="0"/>
              <w:divBdr>
                <w:top w:val="none" w:sz="0" w:space="0" w:color="auto"/>
                <w:left w:val="none" w:sz="0" w:space="0" w:color="auto"/>
                <w:bottom w:val="none" w:sz="0" w:space="0" w:color="auto"/>
                <w:right w:val="none" w:sz="0" w:space="0" w:color="auto"/>
              </w:divBdr>
              <w:divsChild>
                <w:div w:id="128700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253688">
      <w:bodyDiv w:val="1"/>
      <w:marLeft w:val="0"/>
      <w:marRight w:val="0"/>
      <w:marTop w:val="0"/>
      <w:marBottom w:val="0"/>
      <w:divBdr>
        <w:top w:val="none" w:sz="0" w:space="0" w:color="auto"/>
        <w:left w:val="none" w:sz="0" w:space="0" w:color="auto"/>
        <w:bottom w:val="none" w:sz="0" w:space="0" w:color="auto"/>
        <w:right w:val="none" w:sz="0" w:space="0" w:color="auto"/>
      </w:divBdr>
    </w:div>
    <w:div w:id="780993557">
      <w:bodyDiv w:val="1"/>
      <w:marLeft w:val="0"/>
      <w:marRight w:val="0"/>
      <w:marTop w:val="0"/>
      <w:marBottom w:val="0"/>
      <w:divBdr>
        <w:top w:val="none" w:sz="0" w:space="0" w:color="auto"/>
        <w:left w:val="none" w:sz="0" w:space="0" w:color="auto"/>
        <w:bottom w:val="none" w:sz="0" w:space="0" w:color="auto"/>
        <w:right w:val="none" w:sz="0" w:space="0" w:color="auto"/>
      </w:divBdr>
    </w:div>
    <w:div w:id="783965500">
      <w:bodyDiv w:val="1"/>
      <w:marLeft w:val="0"/>
      <w:marRight w:val="0"/>
      <w:marTop w:val="0"/>
      <w:marBottom w:val="0"/>
      <w:divBdr>
        <w:top w:val="none" w:sz="0" w:space="0" w:color="auto"/>
        <w:left w:val="none" w:sz="0" w:space="0" w:color="auto"/>
        <w:bottom w:val="none" w:sz="0" w:space="0" w:color="auto"/>
        <w:right w:val="none" w:sz="0" w:space="0" w:color="auto"/>
      </w:divBdr>
    </w:div>
    <w:div w:id="816410699">
      <w:bodyDiv w:val="1"/>
      <w:marLeft w:val="0"/>
      <w:marRight w:val="0"/>
      <w:marTop w:val="0"/>
      <w:marBottom w:val="0"/>
      <w:divBdr>
        <w:top w:val="none" w:sz="0" w:space="0" w:color="auto"/>
        <w:left w:val="none" w:sz="0" w:space="0" w:color="auto"/>
        <w:bottom w:val="none" w:sz="0" w:space="0" w:color="auto"/>
        <w:right w:val="none" w:sz="0" w:space="0" w:color="auto"/>
      </w:divBdr>
      <w:divsChild>
        <w:div w:id="232158434">
          <w:marLeft w:val="0"/>
          <w:marRight w:val="0"/>
          <w:marTop w:val="0"/>
          <w:marBottom w:val="0"/>
          <w:divBdr>
            <w:top w:val="none" w:sz="0" w:space="0" w:color="auto"/>
            <w:left w:val="none" w:sz="0" w:space="0" w:color="auto"/>
            <w:bottom w:val="none" w:sz="0" w:space="0" w:color="auto"/>
            <w:right w:val="none" w:sz="0" w:space="0" w:color="auto"/>
          </w:divBdr>
          <w:divsChild>
            <w:div w:id="1337803968">
              <w:marLeft w:val="0"/>
              <w:marRight w:val="0"/>
              <w:marTop w:val="0"/>
              <w:marBottom w:val="0"/>
              <w:divBdr>
                <w:top w:val="none" w:sz="0" w:space="0" w:color="auto"/>
                <w:left w:val="none" w:sz="0" w:space="0" w:color="auto"/>
                <w:bottom w:val="none" w:sz="0" w:space="0" w:color="auto"/>
                <w:right w:val="none" w:sz="0" w:space="0" w:color="auto"/>
              </w:divBdr>
              <w:divsChild>
                <w:div w:id="141158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007151">
      <w:bodyDiv w:val="1"/>
      <w:marLeft w:val="0"/>
      <w:marRight w:val="0"/>
      <w:marTop w:val="0"/>
      <w:marBottom w:val="0"/>
      <w:divBdr>
        <w:top w:val="none" w:sz="0" w:space="0" w:color="auto"/>
        <w:left w:val="none" w:sz="0" w:space="0" w:color="auto"/>
        <w:bottom w:val="none" w:sz="0" w:space="0" w:color="auto"/>
        <w:right w:val="none" w:sz="0" w:space="0" w:color="auto"/>
      </w:divBdr>
    </w:div>
    <w:div w:id="932467858">
      <w:bodyDiv w:val="1"/>
      <w:marLeft w:val="0"/>
      <w:marRight w:val="0"/>
      <w:marTop w:val="0"/>
      <w:marBottom w:val="0"/>
      <w:divBdr>
        <w:top w:val="none" w:sz="0" w:space="0" w:color="auto"/>
        <w:left w:val="none" w:sz="0" w:space="0" w:color="auto"/>
        <w:bottom w:val="none" w:sz="0" w:space="0" w:color="auto"/>
        <w:right w:val="none" w:sz="0" w:space="0" w:color="auto"/>
      </w:divBdr>
    </w:div>
    <w:div w:id="933126585">
      <w:bodyDiv w:val="1"/>
      <w:marLeft w:val="0"/>
      <w:marRight w:val="0"/>
      <w:marTop w:val="0"/>
      <w:marBottom w:val="0"/>
      <w:divBdr>
        <w:top w:val="none" w:sz="0" w:space="0" w:color="auto"/>
        <w:left w:val="none" w:sz="0" w:space="0" w:color="auto"/>
        <w:bottom w:val="none" w:sz="0" w:space="0" w:color="auto"/>
        <w:right w:val="none" w:sz="0" w:space="0" w:color="auto"/>
      </w:divBdr>
    </w:div>
    <w:div w:id="937715469">
      <w:bodyDiv w:val="1"/>
      <w:marLeft w:val="0"/>
      <w:marRight w:val="0"/>
      <w:marTop w:val="0"/>
      <w:marBottom w:val="0"/>
      <w:divBdr>
        <w:top w:val="none" w:sz="0" w:space="0" w:color="auto"/>
        <w:left w:val="none" w:sz="0" w:space="0" w:color="auto"/>
        <w:bottom w:val="none" w:sz="0" w:space="0" w:color="auto"/>
        <w:right w:val="none" w:sz="0" w:space="0" w:color="auto"/>
      </w:divBdr>
    </w:div>
    <w:div w:id="941376504">
      <w:bodyDiv w:val="1"/>
      <w:marLeft w:val="0"/>
      <w:marRight w:val="0"/>
      <w:marTop w:val="0"/>
      <w:marBottom w:val="0"/>
      <w:divBdr>
        <w:top w:val="none" w:sz="0" w:space="0" w:color="auto"/>
        <w:left w:val="none" w:sz="0" w:space="0" w:color="auto"/>
        <w:bottom w:val="none" w:sz="0" w:space="0" w:color="auto"/>
        <w:right w:val="none" w:sz="0" w:space="0" w:color="auto"/>
      </w:divBdr>
    </w:div>
    <w:div w:id="998535819">
      <w:bodyDiv w:val="1"/>
      <w:marLeft w:val="0"/>
      <w:marRight w:val="0"/>
      <w:marTop w:val="0"/>
      <w:marBottom w:val="0"/>
      <w:divBdr>
        <w:top w:val="none" w:sz="0" w:space="0" w:color="auto"/>
        <w:left w:val="none" w:sz="0" w:space="0" w:color="auto"/>
        <w:bottom w:val="none" w:sz="0" w:space="0" w:color="auto"/>
        <w:right w:val="none" w:sz="0" w:space="0" w:color="auto"/>
      </w:divBdr>
      <w:divsChild>
        <w:div w:id="1582371669">
          <w:marLeft w:val="0"/>
          <w:marRight w:val="0"/>
          <w:marTop w:val="120"/>
          <w:marBottom w:val="120"/>
          <w:divBdr>
            <w:top w:val="none" w:sz="0" w:space="0" w:color="auto"/>
            <w:left w:val="none" w:sz="0" w:space="0" w:color="auto"/>
            <w:bottom w:val="none" w:sz="0" w:space="0" w:color="auto"/>
            <w:right w:val="none" w:sz="0" w:space="0" w:color="auto"/>
          </w:divBdr>
          <w:divsChild>
            <w:div w:id="1431854296">
              <w:marLeft w:val="0"/>
              <w:marRight w:val="0"/>
              <w:marTop w:val="0"/>
              <w:marBottom w:val="0"/>
              <w:divBdr>
                <w:top w:val="none" w:sz="0" w:space="0" w:color="auto"/>
                <w:left w:val="none" w:sz="0" w:space="0" w:color="auto"/>
                <w:bottom w:val="none" w:sz="0" w:space="0" w:color="auto"/>
                <w:right w:val="none" w:sz="0" w:space="0" w:color="auto"/>
              </w:divBdr>
            </w:div>
          </w:divsChild>
        </w:div>
        <w:div w:id="190846579">
          <w:marLeft w:val="0"/>
          <w:marRight w:val="0"/>
          <w:marTop w:val="0"/>
          <w:marBottom w:val="120"/>
          <w:divBdr>
            <w:top w:val="none" w:sz="0" w:space="0" w:color="auto"/>
            <w:left w:val="none" w:sz="0" w:space="0" w:color="auto"/>
            <w:bottom w:val="none" w:sz="0" w:space="0" w:color="auto"/>
            <w:right w:val="none" w:sz="0" w:space="0" w:color="auto"/>
          </w:divBdr>
          <w:divsChild>
            <w:div w:id="64724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4996">
      <w:bodyDiv w:val="1"/>
      <w:marLeft w:val="0"/>
      <w:marRight w:val="0"/>
      <w:marTop w:val="0"/>
      <w:marBottom w:val="0"/>
      <w:divBdr>
        <w:top w:val="none" w:sz="0" w:space="0" w:color="auto"/>
        <w:left w:val="none" w:sz="0" w:space="0" w:color="auto"/>
        <w:bottom w:val="none" w:sz="0" w:space="0" w:color="auto"/>
        <w:right w:val="none" w:sz="0" w:space="0" w:color="auto"/>
      </w:divBdr>
    </w:div>
    <w:div w:id="1046875568">
      <w:bodyDiv w:val="1"/>
      <w:marLeft w:val="0"/>
      <w:marRight w:val="0"/>
      <w:marTop w:val="0"/>
      <w:marBottom w:val="0"/>
      <w:divBdr>
        <w:top w:val="none" w:sz="0" w:space="0" w:color="auto"/>
        <w:left w:val="none" w:sz="0" w:space="0" w:color="auto"/>
        <w:bottom w:val="none" w:sz="0" w:space="0" w:color="auto"/>
        <w:right w:val="none" w:sz="0" w:space="0" w:color="auto"/>
      </w:divBdr>
      <w:divsChild>
        <w:div w:id="1765883146">
          <w:marLeft w:val="0"/>
          <w:marRight w:val="0"/>
          <w:marTop w:val="0"/>
          <w:marBottom w:val="0"/>
          <w:divBdr>
            <w:top w:val="none" w:sz="0" w:space="0" w:color="auto"/>
            <w:left w:val="none" w:sz="0" w:space="0" w:color="auto"/>
            <w:bottom w:val="none" w:sz="0" w:space="0" w:color="auto"/>
            <w:right w:val="none" w:sz="0" w:space="0" w:color="auto"/>
          </w:divBdr>
          <w:divsChild>
            <w:div w:id="1214732987">
              <w:marLeft w:val="0"/>
              <w:marRight w:val="0"/>
              <w:marTop w:val="0"/>
              <w:marBottom w:val="0"/>
              <w:divBdr>
                <w:top w:val="none" w:sz="0" w:space="0" w:color="auto"/>
                <w:left w:val="none" w:sz="0" w:space="0" w:color="auto"/>
                <w:bottom w:val="none" w:sz="0" w:space="0" w:color="auto"/>
                <w:right w:val="none" w:sz="0" w:space="0" w:color="auto"/>
              </w:divBdr>
              <w:divsChild>
                <w:div w:id="589043789">
                  <w:marLeft w:val="0"/>
                  <w:marRight w:val="0"/>
                  <w:marTop w:val="0"/>
                  <w:marBottom w:val="0"/>
                  <w:divBdr>
                    <w:top w:val="none" w:sz="0" w:space="0" w:color="auto"/>
                    <w:left w:val="none" w:sz="0" w:space="0" w:color="auto"/>
                    <w:bottom w:val="none" w:sz="0" w:space="0" w:color="auto"/>
                    <w:right w:val="none" w:sz="0" w:space="0" w:color="auto"/>
                  </w:divBdr>
                  <w:divsChild>
                    <w:div w:id="79174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0254862">
      <w:bodyDiv w:val="1"/>
      <w:marLeft w:val="0"/>
      <w:marRight w:val="0"/>
      <w:marTop w:val="0"/>
      <w:marBottom w:val="0"/>
      <w:divBdr>
        <w:top w:val="none" w:sz="0" w:space="0" w:color="auto"/>
        <w:left w:val="none" w:sz="0" w:space="0" w:color="auto"/>
        <w:bottom w:val="none" w:sz="0" w:space="0" w:color="auto"/>
        <w:right w:val="none" w:sz="0" w:space="0" w:color="auto"/>
      </w:divBdr>
    </w:div>
    <w:div w:id="1089816314">
      <w:bodyDiv w:val="1"/>
      <w:marLeft w:val="0"/>
      <w:marRight w:val="0"/>
      <w:marTop w:val="0"/>
      <w:marBottom w:val="0"/>
      <w:divBdr>
        <w:top w:val="none" w:sz="0" w:space="0" w:color="auto"/>
        <w:left w:val="none" w:sz="0" w:space="0" w:color="auto"/>
        <w:bottom w:val="none" w:sz="0" w:space="0" w:color="auto"/>
        <w:right w:val="none" w:sz="0" w:space="0" w:color="auto"/>
      </w:divBdr>
    </w:div>
    <w:div w:id="1099907042">
      <w:bodyDiv w:val="1"/>
      <w:marLeft w:val="0"/>
      <w:marRight w:val="0"/>
      <w:marTop w:val="0"/>
      <w:marBottom w:val="0"/>
      <w:divBdr>
        <w:top w:val="none" w:sz="0" w:space="0" w:color="auto"/>
        <w:left w:val="none" w:sz="0" w:space="0" w:color="auto"/>
        <w:bottom w:val="none" w:sz="0" w:space="0" w:color="auto"/>
        <w:right w:val="none" w:sz="0" w:space="0" w:color="auto"/>
      </w:divBdr>
      <w:divsChild>
        <w:div w:id="2032756475">
          <w:marLeft w:val="0"/>
          <w:marRight w:val="0"/>
          <w:marTop w:val="0"/>
          <w:marBottom w:val="0"/>
          <w:divBdr>
            <w:top w:val="none" w:sz="0" w:space="0" w:color="auto"/>
            <w:left w:val="none" w:sz="0" w:space="0" w:color="auto"/>
            <w:bottom w:val="none" w:sz="0" w:space="0" w:color="auto"/>
            <w:right w:val="none" w:sz="0" w:space="0" w:color="auto"/>
          </w:divBdr>
          <w:divsChild>
            <w:div w:id="242109588">
              <w:marLeft w:val="0"/>
              <w:marRight w:val="0"/>
              <w:marTop w:val="0"/>
              <w:marBottom w:val="0"/>
              <w:divBdr>
                <w:top w:val="none" w:sz="0" w:space="0" w:color="auto"/>
                <w:left w:val="none" w:sz="0" w:space="0" w:color="auto"/>
                <w:bottom w:val="none" w:sz="0" w:space="0" w:color="auto"/>
                <w:right w:val="none" w:sz="0" w:space="0" w:color="auto"/>
              </w:divBdr>
              <w:divsChild>
                <w:div w:id="55162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750964">
      <w:bodyDiv w:val="1"/>
      <w:marLeft w:val="0"/>
      <w:marRight w:val="0"/>
      <w:marTop w:val="0"/>
      <w:marBottom w:val="0"/>
      <w:divBdr>
        <w:top w:val="none" w:sz="0" w:space="0" w:color="auto"/>
        <w:left w:val="none" w:sz="0" w:space="0" w:color="auto"/>
        <w:bottom w:val="none" w:sz="0" w:space="0" w:color="auto"/>
        <w:right w:val="none" w:sz="0" w:space="0" w:color="auto"/>
      </w:divBdr>
    </w:div>
    <w:div w:id="1129082876">
      <w:bodyDiv w:val="1"/>
      <w:marLeft w:val="0"/>
      <w:marRight w:val="0"/>
      <w:marTop w:val="0"/>
      <w:marBottom w:val="0"/>
      <w:divBdr>
        <w:top w:val="none" w:sz="0" w:space="0" w:color="auto"/>
        <w:left w:val="none" w:sz="0" w:space="0" w:color="auto"/>
        <w:bottom w:val="none" w:sz="0" w:space="0" w:color="auto"/>
        <w:right w:val="none" w:sz="0" w:space="0" w:color="auto"/>
      </w:divBdr>
    </w:div>
    <w:div w:id="1142768902">
      <w:bodyDiv w:val="1"/>
      <w:marLeft w:val="0"/>
      <w:marRight w:val="0"/>
      <w:marTop w:val="0"/>
      <w:marBottom w:val="0"/>
      <w:divBdr>
        <w:top w:val="none" w:sz="0" w:space="0" w:color="auto"/>
        <w:left w:val="none" w:sz="0" w:space="0" w:color="auto"/>
        <w:bottom w:val="none" w:sz="0" w:space="0" w:color="auto"/>
        <w:right w:val="none" w:sz="0" w:space="0" w:color="auto"/>
      </w:divBdr>
      <w:divsChild>
        <w:div w:id="206242">
          <w:marLeft w:val="0"/>
          <w:marRight w:val="0"/>
          <w:marTop w:val="0"/>
          <w:marBottom w:val="0"/>
          <w:divBdr>
            <w:top w:val="none" w:sz="0" w:space="0" w:color="auto"/>
            <w:left w:val="none" w:sz="0" w:space="0" w:color="auto"/>
            <w:bottom w:val="none" w:sz="0" w:space="0" w:color="auto"/>
            <w:right w:val="none" w:sz="0" w:space="0" w:color="auto"/>
          </w:divBdr>
          <w:divsChild>
            <w:div w:id="1143624910">
              <w:marLeft w:val="0"/>
              <w:marRight w:val="0"/>
              <w:marTop w:val="0"/>
              <w:marBottom w:val="0"/>
              <w:divBdr>
                <w:top w:val="none" w:sz="0" w:space="0" w:color="auto"/>
                <w:left w:val="none" w:sz="0" w:space="0" w:color="auto"/>
                <w:bottom w:val="none" w:sz="0" w:space="0" w:color="auto"/>
                <w:right w:val="none" w:sz="0" w:space="0" w:color="auto"/>
              </w:divBdr>
              <w:divsChild>
                <w:div w:id="267198057">
                  <w:marLeft w:val="0"/>
                  <w:marRight w:val="0"/>
                  <w:marTop w:val="0"/>
                  <w:marBottom w:val="0"/>
                  <w:divBdr>
                    <w:top w:val="none" w:sz="0" w:space="0" w:color="auto"/>
                    <w:left w:val="none" w:sz="0" w:space="0" w:color="auto"/>
                    <w:bottom w:val="none" w:sz="0" w:space="0" w:color="auto"/>
                    <w:right w:val="none" w:sz="0" w:space="0" w:color="auto"/>
                  </w:divBdr>
                  <w:divsChild>
                    <w:div w:id="148269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106961">
      <w:bodyDiv w:val="1"/>
      <w:marLeft w:val="0"/>
      <w:marRight w:val="0"/>
      <w:marTop w:val="0"/>
      <w:marBottom w:val="0"/>
      <w:divBdr>
        <w:top w:val="none" w:sz="0" w:space="0" w:color="auto"/>
        <w:left w:val="none" w:sz="0" w:space="0" w:color="auto"/>
        <w:bottom w:val="none" w:sz="0" w:space="0" w:color="auto"/>
        <w:right w:val="none" w:sz="0" w:space="0" w:color="auto"/>
      </w:divBdr>
    </w:div>
    <w:div w:id="1205874501">
      <w:bodyDiv w:val="1"/>
      <w:marLeft w:val="0"/>
      <w:marRight w:val="0"/>
      <w:marTop w:val="0"/>
      <w:marBottom w:val="0"/>
      <w:divBdr>
        <w:top w:val="none" w:sz="0" w:space="0" w:color="auto"/>
        <w:left w:val="none" w:sz="0" w:space="0" w:color="auto"/>
        <w:bottom w:val="none" w:sz="0" w:space="0" w:color="auto"/>
        <w:right w:val="none" w:sz="0" w:space="0" w:color="auto"/>
      </w:divBdr>
    </w:div>
    <w:div w:id="1261793452">
      <w:bodyDiv w:val="1"/>
      <w:marLeft w:val="0"/>
      <w:marRight w:val="0"/>
      <w:marTop w:val="0"/>
      <w:marBottom w:val="0"/>
      <w:divBdr>
        <w:top w:val="none" w:sz="0" w:space="0" w:color="auto"/>
        <w:left w:val="none" w:sz="0" w:space="0" w:color="auto"/>
        <w:bottom w:val="none" w:sz="0" w:space="0" w:color="auto"/>
        <w:right w:val="none" w:sz="0" w:space="0" w:color="auto"/>
      </w:divBdr>
    </w:div>
    <w:div w:id="1267542854">
      <w:bodyDiv w:val="1"/>
      <w:marLeft w:val="0"/>
      <w:marRight w:val="0"/>
      <w:marTop w:val="0"/>
      <w:marBottom w:val="0"/>
      <w:divBdr>
        <w:top w:val="none" w:sz="0" w:space="0" w:color="auto"/>
        <w:left w:val="none" w:sz="0" w:space="0" w:color="auto"/>
        <w:bottom w:val="none" w:sz="0" w:space="0" w:color="auto"/>
        <w:right w:val="none" w:sz="0" w:space="0" w:color="auto"/>
      </w:divBdr>
    </w:div>
    <w:div w:id="1279216317">
      <w:bodyDiv w:val="1"/>
      <w:marLeft w:val="0"/>
      <w:marRight w:val="0"/>
      <w:marTop w:val="0"/>
      <w:marBottom w:val="0"/>
      <w:divBdr>
        <w:top w:val="none" w:sz="0" w:space="0" w:color="auto"/>
        <w:left w:val="none" w:sz="0" w:space="0" w:color="auto"/>
        <w:bottom w:val="none" w:sz="0" w:space="0" w:color="auto"/>
        <w:right w:val="none" w:sz="0" w:space="0" w:color="auto"/>
      </w:divBdr>
      <w:divsChild>
        <w:div w:id="259125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695894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58236228">
      <w:bodyDiv w:val="1"/>
      <w:marLeft w:val="0"/>
      <w:marRight w:val="0"/>
      <w:marTop w:val="0"/>
      <w:marBottom w:val="0"/>
      <w:divBdr>
        <w:top w:val="none" w:sz="0" w:space="0" w:color="auto"/>
        <w:left w:val="none" w:sz="0" w:space="0" w:color="auto"/>
        <w:bottom w:val="none" w:sz="0" w:space="0" w:color="auto"/>
        <w:right w:val="none" w:sz="0" w:space="0" w:color="auto"/>
      </w:divBdr>
    </w:div>
    <w:div w:id="1386833543">
      <w:bodyDiv w:val="1"/>
      <w:marLeft w:val="0"/>
      <w:marRight w:val="0"/>
      <w:marTop w:val="0"/>
      <w:marBottom w:val="0"/>
      <w:divBdr>
        <w:top w:val="none" w:sz="0" w:space="0" w:color="auto"/>
        <w:left w:val="none" w:sz="0" w:space="0" w:color="auto"/>
        <w:bottom w:val="none" w:sz="0" w:space="0" w:color="auto"/>
        <w:right w:val="none" w:sz="0" w:space="0" w:color="auto"/>
      </w:divBdr>
    </w:div>
    <w:div w:id="1432697115">
      <w:bodyDiv w:val="1"/>
      <w:marLeft w:val="0"/>
      <w:marRight w:val="0"/>
      <w:marTop w:val="0"/>
      <w:marBottom w:val="0"/>
      <w:divBdr>
        <w:top w:val="none" w:sz="0" w:space="0" w:color="auto"/>
        <w:left w:val="none" w:sz="0" w:space="0" w:color="auto"/>
        <w:bottom w:val="none" w:sz="0" w:space="0" w:color="auto"/>
        <w:right w:val="none" w:sz="0" w:space="0" w:color="auto"/>
      </w:divBdr>
    </w:div>
    <w:div w:id="1460761140">
      <w:bodyDiv w:val="1"/>
      <w:marLeft w:val="0"/>
      <w:marRight w:val="0"/>
      <w:marTop w:val="0"/>
      <w:marBottom w:val="0"/>
      <w:divBdr>
        <w:top w:val="none" w:sz="0" w:space="0" w:color="auto"/>
        <w:left w:val="none" w:sz="0" w:space="0" w:color="auto"/>
        <w:bottom w:val="none" w:sz="0" w:space="0" w:color="auto"/>
        <w:right w:val="none" w:sz="0" w:space="0" w:color="auto"/>
      </w:divBdr>
    </w:div>
    <w:div w:id="1502820155">
      <w:bodyDiv w:val="1"/>
      <w:marLeft w:val="0"/>
      <w:marRight w:val="0"/>
      <w:marTop w:val="0"/>
      <w:marBottom w:val="0"/>
      <w:divBdr>
        <w:top w:val="none" w:sz="0" w:space="0" w:color="auto"/>
        <w:left w:val="none" w:sz="0" w:space="0" w:color="auto"/>
        <w:bottom w:val="none" w:sz="0" w:space="0" w:color="auto"/>
        <w:right w:val="none" w:sz="0" w:space="0" w:color="auto"/>
      </w:divBdr>
      <w:divsChild>
        <w:div w:id="1332176088">
          <w:marLeft w:val="0"/>
          <w:marRight w:val="0"/>
          <w:marTop w:val="0"/>
          <w:marBottom w:val="0"/>
          <w:divBdr>
            <w:top w:val="none" w:sz="0" w:space="0" w:color="auto"/>
            <w:left w:val="none" w:sz="0" w:space="0" w:color="auto"/>
            <w:bottom w:val="none" w:sz="0" w:space="0" w:color="auto"/>
            <w:right w:val="none" w:sz="0" w:space="0" w:color="auto"/>
          </w:divBdr>
          <w:divsChild>
            <w:div w:id="2085176547">
              <w:marLeft w:val="0"/>
              <w:marRight w:val="0"/>
              <w:marTop w:val="0"/>
              <w:marBottom w:val="0"/>
              <w:divBdr>
                <w:top w:val="none" w:sz="0" w:space="0" w:color="auto"/>
                <w:left w:val="none" w:sz="0" w:space="0" w:color="auto"/>
                <w:bottom w:val="none" w:sz="0" w:space="0" w:color="auto"/>
                <w:right w:val="none" w:sz="0" w:space="0" w:color="auto"/>
              </w:divBdr>
              <w:divsChild>
                <w:div w:id="135981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0022868">
      <w:bodyDiv w:val="1"/>
      <w:marLeft w:val="0"/>
      <w:marRight w:val="0"/>
      <w:marTop w:val="0"/>
      <w:marBottom w:val="0"/>
      <w:divBdr>
        <w:top w:val="none" w:sz="0" w:space="0" w:color="auto"/>
        <w:left w:val="none" w:sz="0" w:space="0" w:color="auto"/>
        <w:bottom w:val="none" w:sz="0" w:space="0" w:color="auto"/>
        <w:right w:val="none" w:sz="0" w:space="0" w:color="auto"/>
      </w:divBdr>
    </w:div>
    <w:div w:id="1513495103">
      <w:bodyDiv w:val="1"/>
      <w:marLeft w:val="0"/>
      <w:marRight w:val="0"/>
      <w:marTop w:val="0"/>
      <w:marBottom w:val="0"/>
      <w:divBdr>
        <w:top w:val="none" w:sz="0" w:space="0" w:color="auto"/>
        <w:left w:val="none" w:sz="0" w:space="0" w:color="auto"/>
        <w:bottom w:val="none" w:sz="0" w:space="0" w:color="auto"/>
        <w:right w:val="none" w:sz="0" w:space="0" w:color="auto"/>
      </w:divBdr>
      <w:divsChild>
        <w:div w:id="651714656">
          <w:marLeft w:val="0"/>
          <w:marRight w:val="0"/>
          <w:marTop w:val="0"/>
          <w:marBottom w:val="0"/>
          <w:divBdr>
            <w:top w:val="none" w:sz="0" w:space="0" w:color="auto"/>
            <w:left w:val="none" w:sz="0" w:space="0" w:color="auto"/>
            <w:bottom w:val="none" w:sz="0" w:space="0" w:color="auto"/>
            <w:right w:val="none" w:sz="0" w:space="0" w:color="auto"/>
          </w:divBdr>
          <w:divsChild>
            <w:div w:id="691537461">
              <w:marLeft w:val="0"/>
              <w:marRight w:val="0"/>
              <w:marTop w:val="0"/>
              <w:marBottom w:val="0"/>
              <w:divBdr>
                <w:top w:val="none" w:sz="0" w:space="0" w:color="auto"/>
                <w:left w:val="none" w:sz="0" w:space="0" w:color="auto"/>
                <w:bottom w:val="none" w:sz="0" w:space="0" w:color="auto"/>
                <w:right w:val="none" w:sz="0" w:space="0" w:color="auto"/>
              </w:divBdr>
              <w:divsChild>
                <w:div w:id="51531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78415">
      <w:bodyDiv w:val="1"/>
      <w:marLeft w:val="0"/>
      <w:marRight w:val="0"/>
      <w:marTop w:val="0"/>
      <w:marBottom w:val="0"/>
      <w:divBdr>
        <w:top w:val="none" w:sz="0" w:space="0" w:color="auto"/>
        <w:left w:val="none" w:sz="0" w:space="0" w:color="auto"/>
        <w:bottom w:val="none" w:sz="0" w:space="0" w:color="auto"/>
        <w:right w:val="none" w:sz="0" w:space="0" w:color="auto"/>
      </w:divBdr>
    </w:div>
    <w:div w:id="1519924469">
      <w:bodyDiv w:val="1"/>
      <w:marLeft w:val="0"/>
      <w:marRight w:val="0"/>
      <w:marTop w:val="0"/>
      <w:marBottom w:val="0"/>
      <w:divBdr>
        <w:top w:val="none" w:sz="0" w:space="0" w:color="auto"/>
        <w:left w:val="none" w:sz="0" w:space="0" w:color="auto"/>
        <w:bottom w:val="none" w:sz="0" w:space="0" w:color="auto"/>
        <w:right w:val="none" w:sz="0" w:space="0" w:color="auto"/>
      </w:divBdr>
    </w:div>
    <w:div w:id="1522891932">
      <w:bodyDiv w:val="1"/>
      <w:marLeft w:val="0"/>
      <w:marRight w:val="0"/>
      <w:marTop w:val="0"/>
      <w:marBottom w:val="0"/>
      <w:divBdr>
        <w:top w:val="none" w:sz="0" w:space="0" w:color="auto"/>
        <w:left w:val="none" w:sz="0" w:space="0" w:color="auto"/>
        <w:bottom w:val="none" w:sz="0" w:space="0" w:color="auto"/>
        <w:right w:val="none" w:sz="0" w:space="0" w:color="auto"/>
      </w:divBdr>
    </w:div>
    <w:div w:id="1553615896">
      <w:bodyDiv w:val="1"/>
      <w:marLeft w:val="0"/>
      <w:marRight w:val="0"/>
      <w:marTop w:val="0"/>
      <w:marBottom w:val="0"/>
      <w:divBdr>
        <w:top w:val="none" w:sz="0" w:space="0" w:color="auto"/>
        <w:left w:val="none" w:sz="0" w:space="0" w:color="auto"/>
        <w:bottom w:val="none" w:sz="0" w:space="0" w:color="auto"/>
        <w:right w:val="none" w:sz="0" w:space="0" w:color="auto"/>
      </w:divBdr>
    </w:div>
    <w:div w:id="1563558216">
      <w:bodyDiv w:val="1"/>
      <w:marLeft w:val="0"/>
      <w:marRight w:val="0"/>
      <w:marTop w:val="0"/>
      <w:marBottom w:val="0"/>
      <w:divBdr>
        <w:top w:val="none" w:sz="0" w:space="0" w:color="auto"/>
        <w:left w:val="none" w:sz="0" w:space="0" w:color="auto"/>
        <w:bottom w:val="none" w:sz="0" w:space="0" w:color="auto"/>
        <w:right w:val="none" w:sz="0" w:space="0" w:color="auto"/>
      </w:divBdr>
    </w:div>
    <w:div w:id="1567372477">
      <w:bodyDiv w:val="1"/>
      <w:marLeft w:val="0"/>
      <w:marRight w:val="0"/>
      <w:marTop w:val="0"/>
      <w:marBottom w:val="0"/>
      <w:divBdr>
        <w:top w:val="none" w:sz="0" w:space="0" w:color="auto"/>
        <w:left w:val="none" w:sz="0" w:space="0" w:color="auto"/>
        <w:bottom w:val="none" w:sz="0" w:space="0" w:color="auto"/>
        <w:right w:val="none" w:sz="0" w:space="0" w:color="auto"/>
      </w:divBdr>
    </w:div>
    <w:div w:id="1594165652">
      <w:bodyDiv w:val="1"/>
      <w:marLeft w:val="0"/>
      <w:marRight w:val="0"/>
      <w:marTop w:val="0"/>
      <w:marBottom w:val="0"/>
      <w:divBdr>
        <w:top w:val="none" w:sz="0" w:space="0" w:color="auto"/>
        <w:left w:val="none" w:sz="0" w:space="0" w:color="auto"/>
        <w:bottom w:val="none" w:sz="0" w:space="0" w:color="auto"/>
        <w:right w:val="none" w:sz="0" w:space="0" w:color="auto"/>
      </w:divBdr>
    </w:div>
    <w:div w:id="1609851624">
      <w:bodyDiv w:val="1"/>
      <w:marLeft w:val="0"/>
      <w:marRight w:val="0"/>
      <w:marTop w:val="0"/>
      <w:marBottom w:val="0"/>
      <w:divBdr>
        <w:top w:val="none" w:sz="0" w:space="0" w:color="auto"/>
        <w:left w:val="none" w:sz="0" w:space="0" w:color="auto"/>
        <w:bottom w:val="none" w:sz="0" w:space="0" w:color="auto"/>
        <w:right w:val="none" w:sz="0" w:space="0" w:color="auto"/>
      </w:divBdr>
    </w:div>
    <w:div w:id="1617979677">
      <w:bodyDiv w:val="1"/>
      <w:marLeft w:val="0"/>
      <w:marRight w:val="0"/>
      <w:marTop w:val="0"/>
      <w:marBottom w:val="0"/>
      <w:divBdr>
        <w:top w:val="none" w:sz="0" w:space="0" w:color="auto"/>
        <w:left w:val="none" w:sz="0" w:space="0" w:color="auto"/>
        <w:bottom w:val="none" w:sz="0" w:space="0" w:color="auto"/>
        <w:right w:val="none" w:sz="0" w:space="0" w:color="auto"/>
      </w:divBdr>
      <w:divsChild>
        <w:div w:id="1186483161">
          <w:marLeft w:val="0"/>
          <w:marRight w:val="0"/>
          <w:marTop w:val="0"/>
          <w:marBottom w:val="0"/>
          <w:divBdr>
            <w:top w:val="none" w:sz="0" w:space="0" w:color="auto"/>
            <w:left w:val="none" w:sz="0" w:space="0" w:color="auto"/>
            <w:bottom w:val="none" w:sz="0" w:space="0" w:color="auto"/>
            <w:right w:val="none" w:sz="0" w:space="0" w:color="auto"/>
          </w:divBdr>
          <w:divsChild>
            <w:div w:id="1722049108">
              <w:marLeft w:val="0"/>
              <w:marRight w:val="0"/>
              <w:marTop w:val="0"/>
              <w:marBottom w:val="0"/>
              <w:divBdr>
                <w:top w:val="none" w:sz="0" w:space="0" w:color="auto"/>
                <w:left w:val="none" w:sz="0" w:space="0" w:color="auto"/>
                <w:bottom w:val="none" w:sz="0" w:space="0" w:color="auto"/>
                <w:right w:val="none" w:sz="0" w:space="0" w:color="auto"/>
              </w:divBdr>
              <w:divsChild>
                <w:div w:id="1396734033">
                  <w:marLeft w:val="0"/>
                  <w:marRight w:val="0"/>
                  <w:marTop w:val="0"/>
                  <w:marBottom w:val="0"/>
                  <w:divBdr>
                    <w:top w:val="none" w:sz="0" w:space="0" w:color="auto"/>
                    <w:left w:val="none" w:sz="0" w:space="0" w:color="auto"/>
                    <w:bottom w:val="none" w:sz="0" w:space="0" w:color="auto"/>
                    <w:right w:val="none" w:sz="0" w:space="0" w:color="auto"/>
                  </w:divBdr>
                  <w:divsChild>
                    <w:div w:id="129756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971608">
      <w:bodyDiv w:val="1"/>
      <w:marLeft w:val="0"/>
      <w:marRight w:val="0"/>
      <w:marTop w:val="0"/>
      <w:marBottom w:val="0"/>
      <w:divBdr>
        <w:top w:val="none" w:sz="0" w:space="0" w:color="auto"/>
        <w:left w:val="none" w:sz="0" w:space="0" w:color="auto"/>
        <w:bottom w:val="none" w:sz="0" w:space="0" w:color="auto"/>
        <w:right w:val="none" w:sz="0" w:space="0" w:color="auto"/>
      </w:divBdr>
    </w:div>
    <w:div w:id="1682732533">
      <w:bodyDiv w:val="1"/>
      <w:marLeft w:val="0"/>
      <w:marRight w:val="0"/>
      <w:marTop w:val="0"/>
      <w:marBottom w:val="0"/>
      <w:divBdr>
        <w:top w:val="none" w:sz="0" w:space="0" w:color="auto"/>
        <w:left w:val="none" w:sz="0" w:space="0" w:color="auto"/>
        <w:bottom w:val="none" w:sz="0" w:space="0" w:color="auto"/>
        <w:right w:val="none" w:sz="0" w:space="0" w:color="auto"/>
      </w:divBdr>
    </w:div>
    <w:div w:id="1699315397">
      <w:bodyDiv w:val="1"/>
      <w:marLeft w:val="0"/>
      <w:marRight w:val="0"/>
      <w:marTop w:val="0"/>
      <w:marBottom w:val="0"/>
      <w:divBdr>
        <w:top w:val="none" w:sz="0" w:space="0" w:color="auto"/>
        <w:left w:val="none" w:sz="0" w:space="0" w:color="auto"/>
        <w:bottom w:val="none" w:sz="0" w:space="0" w:color="auto"/>
        <w:right w:val="none" w:sz="0" w:space="0" w:color="auto"/>
      </w:divBdr>
    </w:div>
    <w:div w:id="1701280684">
      <w:bodyDiv w:val="1"/>
      <w:marLeft w:val="0"/>
      <w:marRight w:val="0"/>
      <w:marTop w:val="0"/>
      <w:marBottom w:val="0"/>
      <w:divBdr>
        <w:top w:val="none" w:sz="0" w:space="0" w:color="auto"/>
        <w:left w:val="none" w:sz="0" w:space="0" w:color="auto"/>
        <w:bottom w:val="none" w:sz="0" w:space="0" w:color="auto"/>
        <w:right w:val="none" w:sz="0" w:space="0" w:color="auto"/>
      </w:divBdr>
    </w:div>
    <w:div w:id="1724064044">
      <w:bodyDiv w:val="1"/>
      <w:marLeft w:val="0"/>
      <w:marRight w:val="0"/>
      <w:marTop w:val="0"/>
      <w:marBottom w:val="0"/>
      <w:divBdr>
        <w:top w:val="none" w:sz="0" w:space="0" w:color="auto"/>
        <w:left w:val="none" w:sz="0" w:space="0" w:color="auto"/>
        <w:bottom w:val="none" w:sz="0" w:space="0" w:color="auto"/>
        <w:right w:val="none" w:sz="0" w:space="0" w:color="auto"/>
      </w:divBdr>
    </w:div>
    <w:div w:id="1744134616">
      <w:bodyDiv w:val="1"/>
      <w:marLeft w:val="0"/>
      <w:marRight w:val="0"/>
      <w:marTop w:val="0"/>
      <w:marBottom w:val="0"/>
      <w:divBdr>
        <w:top w:val="none" w:sz="0" w:space="0" w:color="auto"/>
        <w:left w:val="none" w:sz="0" w:space="0" w:color="auto"/>
        <w:bottom w:val="none" w:sz="0" w:space="0" w:color="auto"/>
        <w:right w:val="none" w:sz="0" w:space="0" w:color="auto"/>
      </w:divBdr>
    </w:div>
    <w:div w:id="1744721494">
      <w:bodyDiv w:val="1"/>
      <w:marLeft w:val="0"/>
      <w:marRight w:val="0"/>
      <w:marTop w:val="0"/>
      <w:marBottom w:val="0"/>
      <w:divBdr>
        <w:top w:val="none" w:sz="0" w:space="0" w:color="auto"/>
        <w:left w:val="none" w:sz="0" w:space="0" w:color="auto"/>
        <w:bottom w:val="none" w:sz="0" w:space="0" w:color="auto"/>
        <w:right w:val="none" w:sz="0" w:space="0" w:color="auto"/>
      </w:divBdr>
    </w:div>
    <w:div w:id="1757818829">
      <w:bodyDiv w:val="1"/>
      <w:marLeft w:val="0"/>
      <w:marRight w:val="0"/>
      <w:marTop w:val="0"/>
      <w:marBottom w:val="0"/>
      <w:divBdr>
        <w:top w:val="none" w:sz="0" w:space="0" w:color="auto"/>
        <w:left w:val="none" w:sz="0" w:space="0" w:color="auto"/>
        <w:bottom w:val="none" w:sz="0" w:space="0" w:color="auto"/>
        <w:right w:val="none" w:sz="0" w:space="0" w:color="auto"/>
      </w:divBdr>
    </w:div>
    <w:div w:id="1831631735">
      <w:bodyDiv w:val="1"/>
      <w:marLeft w:val="0"/>
      <w:marRight w:val="0"/>
      <w:marTop w:val="0"/>
      <w:marBottom w:val="0"/>
      <w:divBdr>
        <w:top w:val="none" w:sz="0" w:space="0" w:color="auto"/>
        <w:left w:val="none" w:sz="0" w:space="0" w:color="auto"/>
        <w:bottom w:val="none" w:sz="0" w:space="0" w:color="auto"/>
        <w:right w:val="none" w:sz="0" w:space="0" w:color="auto"/>
      </w:divBdr>
    </w:div>
    <w:div w:id="1869488785">
      <w:bodyDiv w:val="1"/>
      <w:marLeft w:val="0"/>
      <w:marRight w:val="0"/>
      <w:marTop w:val="0"/>
      <w:marBottom w:val="0"/>
      <w:divBdr>
        <w:top w:val="none" w:sz="0" w:space="0" w:color="auto"/>
        <w:left w:val="none" w:sz="0" w:space="0" w:color="auto"/>
        <w:bottom w:val="none" w:sz="0" w:space="0" w:color="auto"/>
        <w:right w:val="none" w:sz="0" w:space="0" w:color="auto"/>
      </w:divBdr>
    </w:div>
    <w:div w:id="1882009544">
      <w:bodyDiv w:val="1"/>
      <w:marLeft w:val="0"/>
      <w:marRight w:val="0"/>
      <w:marTop w:val="0"/>
      <w:marBottom w:val="0"/>
      <w:divBdr>
        <w:top w:val="none" w:sz="0" w:space="0" w:color="auto"/>
        <w:left w:val="none" w:sz="0" w:space="0" w:color="auto"/>
        <w:bottom w:val="none" w:sz="0" w:space="0" w:color="auto"/>
        <w:right w:val="none" w:sz="0" w:space="0" w:color="auto"/>
      </w:divBdr>
    </w:div>
    <w:div w:id="1889685721">
      <w:bodyDiv w:val="1"/>
      <w:marLeft w:val="0"/>
      <w:marRight w:val="0"/>
      <w:marTop w:val="0"/>
      <w:marBottom w:val="0"/>
      <w:divBdr>
        <w:top w:val="none" w:sz="0" w:space="0" w:color="auto"/>
        <w:left w:val="none" w:sz="0" w:space="0" w:color="auto"/>
        <w:bottom w:val="none" w:sz="0" w:space="0" w:color="auto"/>
        <w:right w:val="none" w:sz="0" w:space="0" w:color="auto"/>
      </w:divBdr>
    </w:div>
    <w:div w:id="2094011783">
      <w:bodyDiv w:val="1"/>
      <w:marLeft w:val="0"/>
      <w:marRight w:val="0"/>
      <w:marTop w:val="0"/>
      <w:marBottom w:val="0"/>
      <w:divBdr>
        <w:top w:val="none" w:sz="0" w:space="0" w:color="auto"/>
        <w:left w:val="none" w:sz="0" w:space="0" w:color="auto"/>
        <w:bottom w:val="none" w:sz="0" w:space="0" w:color="auto"/>
        <w:right w:val="none" w:sz="0" w:space="0" w:color="auto"/>
      </w:divBdr>
    </w:div>
    <w:div w:id="2097166973">
      <w:bodyDiv w:val="1"/>
      <w:marLeft w:val="0"/>
      <w:marRight w:val="0"/>
      <w:marTop w:val="0"/>
      <w:marBottom w:val="0"/>
      <w:divBdr>
        <w:top w:val="none" w:sz="0" w:space="0" w:color="auto"/>
        <w:left w:val="none" w:sz="0" w:space="0" w:color="auto"/>
        <w:bottom w:val="none" w:sz="0" w:space="0" w:color="auto"/>
        <w:right w:val="none" w:sz="0" w:space="0" w:color="auto"/>
      </w:divBdr>
      <w:divsChild>
        <w:div w:id="1772432827">
          <w:marLeft w:val="0"/>
          <w:marRight w:val="0"/>
          <w:marTop w:val="0"/>
          <w:marBottom w:val="0"/>
          <w:divBdr>
            <w:top w:val="none" w:sz="0" w:space="0" w:color="auto"/>
            <w:left w:val="none" w:sz="0" w:space="0" w:color="auto"/>
            <w:bottom w:val="none" w:sz="0" w:space="0" w:color="auto"/>
            <w:right w:val="none" w:sz="0" w:space="0" w:color="auto"/>
          </w:divBdr>
          <w:divsChild>
            <w:div w:id="835607488">
              <w:marLeft w:val="0"/>
              <w:marRight w:val="0"/>
              <w:marTop w:val="0"/>
              <w:marBottom w:val="0"/>
              <w:divBdr>
                <w:top w:val="none" w:sz="0" w:space="0" w:color="auto"/>
                <w:left w:val="none" w:sz="0" w:space="0" w:color="auto"/>
                <w:bottom w:val="none" w:sz="0" w:space="0" w:color="auto"/>
                <w:right w:val="none" w:sz="0" w:space="0" w:color="auto"/>
              </w:divBdr>
              <w:divsChild>
                <w:div w:id="91632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373238">
      <w:bodyDiv w:val="1"/>
      <w:marLeft w:val="0"/>
      <w:marRight w:val="0"/>
      <w:marTop w:val="0"/>
      <w:marBottom w:val="0"/>
      <w:divBdr>
        <w:top w:val="none" w:sz="0" w:space="0" w:color="auto"/>
        <w:left w:val="none" w:sz="0" w:space="0" w:color="auto"/>
        <w:bottom w:val="none" w:sz="0" w:space="0" w:color="auto"/>
        <w:right w:val="none" w:sz="0" w:space="0" w:color="auto"/>
      </w:divBdr>
    </w:div>
    <w:div w:id="2111855061">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4369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062111-3735-4270-BDA8-73571AC06740}">
  <ds:schemaRefs>
    <ds:schemaRef ds:uri="http://schemas.openxmlformats.org/officeDocument/2006/bibliography"/>
  </ds:schemaRefs>
</ds:datastoreItem>
</file>

<file path=customXml/itemProps2.xml><?xml version="1.0" encoding="utf-8"?>
<ds:datastoreItem xmlns:ds="http://schemas.openxmlformats.org/officeDocument/2006/customXml" ds:itemID="{8548DC97-9C79-414E-8FD5-948C0F3D0DC1}"/>
</file>

<file path=customXml/itemProps3.xml><?xml version="1.0" encoding="utf-8"?>
<ds:datastoreItem xmlns:ds="http://schemas.openxmlformats.org/officeDocument/2006/customXml" ds:itemID="{E4D51A68-FED2-4540-A566-D7B47EE01F53}">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7</TotalTime>
  <Pages>22</Pages>
  <Words>8060</Words>
  <Characters>44336</Characters>
  <Application>Microsoft Office Word</Application>
  <DocSecurity>0</DocSecurity>
  <Lines>369</Lines>
  <Paragraphs>104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Diana Fabiola Herrera Hernandez</cp:lastModifiedBy>
  <cp:revision>5</cp:revision>
  <cp:lastPrinted>2020-01-30T15:05:00Z</cp:lastPrinted>
  <dcterms:created xsi:type="dcterms:W3CDTF">2022-03-24T17:36:00Z</dcterms:created>
  <dcterms:modified xsi:type="dcterms:W3CDTF">2022-03-24T17:41:00Z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