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7E5B1" w14:textId="77777777" w:rsidR="00FB5C5C" w:rsidRPr="009143F1" w:rsidRDefault="00FB5C5C" w:rsidP="00FB5C5C">
      <w:pPr>
        <w:jc w:val="both"/>
        <w:rPr>
          <w:rFonts w:ascii="Verdana" w:hAnsi="Verdana" w:cs="Arial"/>
          <w:b/>
          <w:bCs/>
          <w:color w:val="000000" w:themeColor="text1"/>
          <w:lang w:val="es-ES_tradnl"/>
        </w:rPr>
      </w:pPr>
      <w:r w:rsidRPr="009143F1">
        <w:rPr>
          <w:rFonts w:ascii="Verdana" w:hAnsi="Verdana" w:cs="Arial"/>
          <w:b/>
          <w:bCs/>
          <w:color w:val="000000" w:themeColor="text1"/>
          <w:lang w:val="es-ES_tradnl"/>
        </w:rPr>
        <w:t xml:space="preserve">CONTRATO DE PRESTACIÓN DE SERVICIOS </w:t>
      </w:r>
      <w:bookmarkStart w:id="0" w:name="_Hlk39666823"/>
      <w:r w:rsidRPr="009143F1">
        <w:rPr>
          <w:rFonts w:ascii="Verdana" w:eastAsia="Calibri" w:hAnsi="Verdana" w:cs="Arial"/>
          <w:b/>
          <w:color w:val="000000" w:themeColor="text1"/>
        </w:rPr>
        <w:t>–</w:t>
      </w:r>
      <w:bookmarkEnd w:id="0"/>
      <w:r w:rsidRPr="009143F1">
        <w:rPr>
          <w:rFonts w:ascii="Verdana" w:hAnsi="Verdana" w:cs="Arial"/>
          <w:b/>
          <w:bCs/>
          <w:color w:val="000000" w:themeColor="text1"/>
          <w:lang w:val="es-ES_tradnl"/>
        </w:rPr>
        <w:t xml:space="preserve"> Concepto − Características generales</w:t>
      </w:r>
    </w:p>
    <w:p w14:paraId="1963A0A7" w14:textId="77777777" w:rsidR="00FB5C5C" w:rsidRPr="00EB30BA" w:rsidRDefault="00FB5C5C" w:rsidP="00FB5C5C">
      <w:pPr>
        <w:spacing w:after="0" w:line="240" w:lineRule="auto"/>
        <w:jc w:val="both"/>
        <w:rPr>
          <w:rFonts w:ascii="Verdana" w:hAnsi="Verdana" w:cs="Arial"/>
          <w:color w:val="000000" w:themeColor="text1"/>
          <w:sz w:val="20"/>
          <w:szCs w:val="20"/>
          <w:lang w:val="es-ES"/>
        </w:rPr>
      </w:pPr>
      <w:r w:rsidRPr="00EB30BA">
        <w:rPr>
          <w:rFonts w:ascii="Verdana" w:hAnsi="Verdana" w:cs="Arial"/>
          <w:color w:val="000000" w:themeColor="text1"/>
          <w:sz w:val="20"/>
          <w:szCs w:val="20"/>
          <w:lang w:val="es-ES"/>
        </w:rPr>
        <w:t xml:space="preserve">El contrato de prestación de servicios es un contrato estatal típico regulado en numeral 3 del artículo 32 de la Ley 80 de 1993. Es definido como aquel que </w:t>
      </w:r>
      <w:r>
        <w:rPr>
          <w:rFonts w:ascii="Verdana" w:hAnsi="Verdana" w:cs="Arial"/>
          <w:color w:val="000000" w:themeColor="text1"/>
          <w:sz w:val="20"/>
          <w:szCs w:val="20"/>
          <w:lang w:val="es-ES"/>
        </w:rPr>
        <w:t>“</w:t>
      </w:r>
      <w:r w:rsidRPr="00EB30BA">
        <w:rPr>
          <w:rFonts w:ascii="Verdana" w:hAnsi="Verdana" w:cs="Arial"/>
          <w:color w:val="000000" w:themeColor="text1"/>
          <w:sz w:val="20"/>
          <w:szCs w:val="20"/>
          <w:lang w:val="es-ES"/>
        </w:rPr>
        <w:t xml:space="preserve">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 es posible señalar las siguientes características del contrato de prestación de servicios: i) Solo puede celebrarse para realizar </w:t>
      </w:r>
      <w:r>
        <w:rPr>
          <w:rFonts w:ascii="Verdana" w:hAnsi="Verdana" w:cs="Arial"/>
          <w:color w:val="000000" w:themeColor="text1"/>
          <w:sz w:val="20"/>
          <w:szCs w:val="20"/>
          <w:lang w:val="es-ES"/>
        </w:rPr>
        <w:t>“</w:t>
      </w:r>
      <w:r w:rsidRPr="00EB30BA">
        <w:rPr>
          <w:rFonts w:ascii="Verdana" w:hAnsi="Verdana" w:cs="Arial"/>
          <w:color w:val="000000" w:themeColor="text1"/>
          <w:sz w:val="20"/>
          <w:szCs w:val="20"/>
          <w:lang w:val="es-ES"/>
        </w:rPr>
        <w:t>actividades relacionadas con la administración o funcionamiento de la entidad</w:t>
      </w:r>
      <w:r>
        <w:rPr>
          <w:rFonts w:ascii="Verdana" w:hAnsi="Verdana" w:cs="Arial"/>
          <w:color w:val="000000" w:themeColor="text1"/>
          <w:sz w:val="20"/>
          <w:szCs w:val="20"/>
          <w:lang w:val="es-ES"/>
        </w:rPr>
        <w:t>”</w:t>
      </w:r>
      <w:r w:rsidRPr="00EB30BA">
        <w:rPr>
          <w:rFonts w:ascii="Verdana" w:hAnsi="Verdana" w:cs="Arial"/>
          <w:color w:val="000000" w:themeColor="text1"/>
          <w:sz w:val="20"/>
          <w:szCs w:val="20"/>
          <w:lang w:val="es-ES"/>
        </w:rPr>
        <w:t xml:space="preserve">, es decir, que hagan parte de su giro ordinario o quehacer cotidiano. </w:t>
      </w:r>
      <w:proofErr w:type="spellStart"/>
      <w:r w:rsidRPr="00EB30BA">
        <w:rPr>
          <w:rFonts w:ascii="Verdana" w:hAnsi="Verdana" w:cs="Arial"/>
          <w:color w:val="000000" w:themeColor="text1"/>
          <w:sz w:val="20"/>
          <w:szCs w:val="20"/>
          <w:lang w:val="es-ES"/>
        </w:rPr>
        <w:t>ii</w:t>
      </w:r>
      <w:proofErr w:type="spellEnd"/>
      <w:r w:rsidRPr="00EB30BA">
        <w:rPr>
          <w:rFonts w:ascii="Verdana" w:hAnsi="Verdana" w:cs="Arial"/>
          <w:color w:val="000000" w:themeColor="text1"/>
          <w:sz w:val="20"/>
          <w:szCs w:val="20"/>
          <w:lang w:val="es-ES"/>
        </w:rPr>
        <w:t xml:space="preserve">) Respecto del tipo de personas que pueden ser contratadas, admite que se suscriba con personas naturales o jurídicas. […] </w:t>
      </w:r>
      <w:proofErr w:type="spellStart"/>
      <w:r w:rsidRPr="00EB30BA">
        <w:rPr>
          <w:rFonts w:ascii="Verdana" w:hAnsi="Verdana" w:cs="Arial"/>
          <w:color w:val="000000" w:themeColor="text1"/>
          <w:sz w:val="20"/>
          <w:szCs w:val="20"/>
          <w:lang w:val="es-ES"/>
        </w:rPr>
        <w:t>iii</w:t>
      </w:r>
      <w:proofErr w:type="spellEnd"/>
      <w:r w:rsidRPr="00EB30BA">
        <w:rPr>
          <w:rFonts w:ascii="Verdana" w:hAnsi="Verdana" w:cs="Arial"/>
          <w:color w:val="000000" w:themeColor="text1"/>
          <w:sz w:val="20"/>
          <w:szCs w:val="20"/>
          <w:lang w:val="es-ES"/>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laboral […] </w:t>
      </w:r>
      <w:proofErr w:type="spellStart"/>
      <w:r w:rsidRPr="00EB30BA">
        <w:rPr>
          <w:rFonts w:ascii="Verdana" w:hAnsi="Verdana" w:cs="Arial"/>
          <w:color w:val="000000" w:themeColor="text1"/>
          <w:sz w:val="20"/>
          <w:szCs w:val="20"/>
          <w:lang w:val="es-ES"/>
        </w:rPr>
        <w:t>iv</w:t>
      </w:r>
      <w:proofErr w:type="spellEnd"/>
      <w:r w:rsidRPr="00EB30BA">
        <w:rPr>
          <w:rFonts w:ascii="Verdana" w:hAnsi="Verdana" w:cs="Arial"/>
          <w:color w:val="000000" w:themeColor="text1"/>
          <w:sz w:val="20"/>
          <w:szCs w:val="20"/>
          <w:lang w:val="es-ES"/>
        </w:rPr>
        <w:t xml:space="preserve">) Deben ser temporales. […] v) Se celebran a través de la modalidad de contratación directa, independientemente de la cuantía y del tipo de servicio profesional, siempre que su objeto no sea la consultoría. […]. vi) Para su celebración no se requiere expedir un acto administrativo de justificación de la contratación directa. </w:t>
      </w:r>
      <w:proofErr w:type="spellStart"/>
      <w:r w:rsidRPr="00EB30BA">
        <w:rPr>
          <w:rFonts w:ascii="Verdana" w:hAnsi="Verdana" w:cs="Arial"/>
          <w:color w:val="000000" w:themeColor="text1"/>
          <w:sz w:val="20"/>
          <w:szCs w:val="20"/>
          <w:lang w:val="es-ES"/>
        </w:rPr>
        <w:t>vii</w:t>
      </w:r>
      <w:proofErr w:type="spellEnd"/>
      <w:r w:rsidRPr="00EB30BA">
        <w:rPr>
          <w:rFonts w:ascii="Verdana" w:hAnsi="Verdana" w:cs="Arial"/>
          <w:color w:val="000000" w:themeColor="text1"/>
          <w:sz w:val="20"/>
          <w:szCs w:val="20"/>
          <w:lang w:val="es-ES"/>
        </w:rPr>
        <w:t xml:space="preserve">) El contrato admite la inclusión de cláusulas excepcionales. </w:t>
      </w:r>
      <w:proofErr w:type="spellStart"/>
      <w:r w:rsidRPr="00EB30BA">
        <w:rPr>
          <w:rFonts w:ascii="Verdana" w:hAnsi="Verdana" w:cs="Arial"/>
          <w:color w:val="000000" w:themeColor="text1"/>
          <w:sz w:val="20"/>
          <w:szCs w:val="20"/>
          <w:lang w:val="es-ES"/>
        </w:rPr>
        <w:t>viii</w:t>
      </w:r>
      <w:proofErr w:type="spellEnd"/>
      <w:r w:rsidRPr="00EB30BA">
        <w:rPr>
          <w:rFonts w:ascii="Verdana" w:hAnsi="Verdana" w:cs="Arial"/>
          <w:color w:val="000000" w:themeColor="text1"/>
          <w:sz w:val="20"/>
          <w:szCs w:val="20"/>
          <w:lang w:val="es-ES"/>
        </w:rPr>
        <w:t xml:space="preserve">) No es obligatorio liquidar estos contratos […]. </w:t>
      </w:r>
      <w:proofErr w:type="spellStart"/>
      <w:r w:rsidRPr="00EB30BA">
        <w:rPr>
          <w:rFonts w:ascii="Verdana" w:hAnsi="Verdana" w:cs="Arial"/>
          <w:color w:val="000000" w:themeColor="text1"/>
          <w:sz w:val="20"/>
          <w:szCs w:val="20"/>
          <w:lang w:val="es-ES"/>
        </w:rPr>
        <w:t>ix</w:t>
      </w:r>
      <w:proofErr w:type="spellEnd"/>
      <w:r w:rsidRPr="00EB30BA">
        <w:rPr>
          <w:rFonts w:ascii="Verdana" w:hAnsi="Verdana" w:cs="Arial"/>
          <w:color w:val="000000" w:themeColor="text1"/>
          <w:sz w:val="20"/>
          <w:szCs w:val="20"/>
          <w:lang w:val="es-ES"/>
        </w:rPr>
        <w:t xml:space="preserve">) Para su celebración el contratista no requiere estar inscrito en el Registro Único de Proponentes –RUP– […]. x) No es obligatoria la exigencia de garantías; xi) Como los demás contratos estatales, se trata de un contrato solemne que debe constar por escrito y debe ser publicado en el SECOP; </w:t>
      </w:r>
      <w:proofErr w:type="spellStart"/>
      <w:r w:rsidRPr="00EB30BA">
        <w:rPr>
          <w:rFonts w:ascii="Verdana" w:hAnsi="Verdana" w:cs="Arial"/>
          <w:color w:val="000000" w:themeColor="text1"/>
          <w:sz w:val="20"/>
          <w:szCs w:val="20"/>
          <w:lang w:val="es-ES"/>
        </w:rPr>
        <w:t>xii</w:t>
      </w:r>
      <w:proofErr w:type="spellEnd"/>
      <w:r w:rsidRPr="00EB30BA">
        <w:rPr>
          <w:rFonts w:ascii="Verdana" w:hAnsi="Verdana" w:cs="Arial"/>
          <w:color w:val="000000" w:themeColor="text1"/>
          <w:sz w:val="20"/>
          <w:szCs w:val="20"/>
          <w:lang w:val="es-ES"/>
        </w:rPr>
        <w:t>)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w:t>
      </w:r>
    </w:p>
    <w:p w14:paraId="1E16E8FB" w14:textId="77777777" w:rsidR="00FB5C5C" w:rsidRDefault="00FB5C5C" w:rsidP="00FB5C5C">
      <w:pPr>
        <w:spacing w:after="0" w:line="240" w:lineRule="auto"/>
        <w:jc w:val="both"/>
        <w:rPr>
          <w:rFonts w:ascii="Verdana" w:eastAsia="Times New Roman" w:hAnsi="Verdana" w:cs="Arial"/>
          <w:noProof/>
          <w:lang w:val="es-ES" w:eastAsia="es-ES_tradnl"/>
        </w:rPr>
      </w:pPr>
    </w:p>
    <w:p w14:paraId="6FF4B581" w14:textId="77777777" w:rsidR="00FB5C5C" w:rsidRDefault="00FB5C5C" w:rsidP="00FB5C5C">
      <w:pPr>
        <w:spacing w:after="0" w:line="240" w:lineRule="auto"/>
        <w:jc w:val="both"/>
        <w:rPr>
          <w:rFonts w:ascii="Verdana" w:hAnsi="Verdana" w:cs="Arial"/>
          <w:b/>
          <w:bCs/>
          <w:color w:val="000000" w:themeColor="text1"/>
          <w:lang w:val="es-ES_tradnl"/>
        </w:rPr>
      </w:pPr>
      <w:r w:rsidRPr="002E4FC1">
        <w:rPr>
          <w:rFonts w:ascii="Verdana" w:hAnsi="Verdana" w:cs="Arial"/>
          <w:b/>
          <w:bCs/>
          <w:color w:val="000000" w:themeColor="text1"/>
          <w:lang w:val="es-ES_tradnl"/>
        </w:rPr>
        <w:t xml:space="preserve">CONTRATO DE PRESTACIÓN DE SERVICIOS PROFESIONALES – Modalidad de selección – Cuantía </w:t>
      </w:r>
    </w:p>
    <w:p w14:paraId="19E40B47" w14:textId="77777777" w:rsidR="00FB5C5C" w:rsidRDefault="00FB5C5C" w:rsidP="00FB5C5C">
      <w:pPr>
        <w:spacing w:after="0" w:line="240" w:lineRule="auto"/>
        <w:jc w:val="both"/>
        <w:rPr>
          <w:rFonts w:ascii="Verdana" w:hAnsi="Verdana" w:cs="Arial"/>
          <w:b/>
          <w:bCs/>
          <w:color w:val="000000" w:themeColor="text1"/>
          <w:lang w:val="es-ES_tradnl"/>
        </w:rPr>
      </w:pPr>
    </w:p>
    <w:p w14:paraId="5C916E8B" w14:textId="77777777" w:rsidR="00FB5C5C" w:rsidRDefault="00FB5C5C" w:rsidP="00FB5C5C">
      <w:pPr>
        <w:spacing w:after="0" w:line="240" w:lineRule="auto"/>
        <w:jc w:val="both"/>
        <w:rPr>
          <w:rFonts w:ascii="Verdana" w:hAnsi="Verdana" w:cs="Arial"/>
          <w:bCs/>
          <w:color w:val="000000" w:themeColor="text1"/>
          <w:sz w:val="20"/>
          <w:szCs w:val="20"/>
        </w:rPr>
      </w:pPr>
      <w:r w:rsidRPr="004A39AD">
        <w:rPr>
          <w:rFonts w:ascii="Verdana" w:hAnsi="Verdana" w:cs="Arial"/>
          <w:bCs/>
          <w:color w:val="000000" w:themeColor="text1"/>
          <w:sz w:val="20"/>
          <w:szCs w:val="20"/>
        </w:rPr>
        <w:t>El contrato de prestación de servicios es una tipología contractual regulada por el numeral 3 del artículo 32 de la Ley 80 de 1993. De acuerdo con la Ley 1150 de 2007, el contrato de prestación de servicios profesionales es una causal de contratación directa, lo cual no depende de la cuantía del contrato sino de la tipología contractual y la determinación de esta como causal de contratación directa por el legislador. En ese sentido, siempre que se trate de un contrato de prestación de servicios profesionales, independientemente de su cuantía, se puede recurrir a la contratación directa, puesto que el legislador consagró este tipo de contrato como causal de esta modalidad de selección.</w:t>
      </w:r>
    </w:p>
    <w:p w14:paraId="524ABCD6" w14:textId="77777777" w:rsidR="00FB5C5C" w:rsidRDefault="00FB5C5C" w:rsidP="00FB5C5C">
      <w:pPr>
        <w:spacing w:after="0" w:line="240" w:lineRule="auto"/>
        <w:jc w:val="both"/>
        <w:rPr>
          <w:rFonts w:ascii="Verdana" w:hAnsi="Verdana" w:cs="Arial"/>
          <w:bCs/>
          <w:color w:val="000000" w:themeColor="text1"/>
          <w:sz w:val="20"/>
          <w:szCs w:val="20"/>
        </w:rPr>
      </w:pPr>
    </w:p>
    <w:p w14:paraId="183B3EA1" w14:textId="77777777" w:rsidR="00FB5C5C" w:rsidRDefault="00FB5C5C" w:rsidP="00FB5C5C">
      <w:pPr>
        <w:spacing w:after="0" w:line="240" w:lineRule="auto"/>
        <w:jc w:val="both"/>
        <w:rPr>
          <w:rFonts w:ascii="Verdana" w:eastAsia="Times New Roman" w:hAnsi="Verdana" w:cs="Arial"/>
          <w:noProof/>
          <w:lang w:val="es-ES_tradnl" w:eastAsia="es-ES_tradnl"/>
        </w:rPr>
      </w:pPr>
    </w:p>
    <w:p w14:paraId="33DE54A5" w14:textId="77777777" w:rsidR="00FB5C5C" w:rsidRDefault="00FB5C5C" w:rsidP="00FB5C5C">
      <w:pPr>
        <w:spacing w:after="0" w:line="240" w:lineRule="auto"/>
        <w:jc w:val="both"/>
        <w:rPr>
          <w:rFonts w:ascii="Verdana" w:eastAsia="Times New Roman" w:hAnsi="Verdana" w:cs="Arial"/>
          <w:noProof/>
          <w:lang w:val="es-ES_tradnl" w:eastAsia="es-ES_tradnl"/>
        </w:rPr>
      </w:pPr>
    </w:p>
    <w:p w14:paraId="73621395" w14:textId="2F7FA7DF" w:rsidR="00FB5C5C" w:rsidRDefault="00FB5C5C" w:rsidP="00FB5C5C">
      <w:pPr>
        <w:spacing w:after="0" w:line="240" w:lineRule="auto"/>
        <w:jc w:val="both"/>
        <w:rPr>
          <w:rFonts w:ascii="Verdana" w:eastAsia="Geomanist Light" w:hAnsi="Verdana" w:cs="Arial"/>
          <w:color w:val="000000" w:themeColor="text1"/>
        </w:rPr>
      </w:pPr>
      <w:r w:rsidRPr="00ED5C5B">
        <w:rPr>
          <w:rFonts w:ascii="Verdana" w:eastAsia="Geomanist Light" w:hAnsi="Verdana" w:cs="Arial"/>
          <w:color w:val="000000" w:themeColor="text1"/>
        </w:rPr>
        <w:lastRenderedPageBreak/>
        <w:t>Bogotá D.C., </w:t>
      </w:r>
      <w:r w:rsidR="00717BCE">
        <w:rPr>
          <w:rFonts w:ascii="Verdana" w:eastAsia="Geomanist Light" w:hAnsi="Verdana" w:cs="Arial"/>
          <w:color w:val="000000" w:themeColor="text1"/>
        </w:rPr>
        <w:t>11 de septiembre de 2025</w:t>
      </w:r>
    </w:p>
    <w:p w14:paraId="6D1AE970" w14:textId="77777777" w:rsidR="00717BCE" w:rsidRDefault="00717BCE" w:rsidP="00FB5C5C">
      <w:pPr>
        <w:spacing w:after="0" w:line="240" w:lineRule="auto"/>
        <w:jc w:val="both"/>
        <w:rPr>
          <w:rFonts w:ascii="Verdana" w:eastAsia="Geomanist Light" w:hAnsi="Verdana" w:cs="Arial"/>
          <w:color w:val="000000" w:themeColor="text1"/>
        </w:rPr>
      </w:pPr>
    </w:p>
    <w:p w14:paraId="29DB7153" w14:textId="3C010857" w:rsidR="00717BCE" w:rsidRPr="00ED5C5B" w:rsidRDefault="00717BCE" w:rsidP="00717BCE">
      <w:pPr>
        <w:spacing w:after="0" w:line="240" w:lineRule="auto"/>
        <w:jc w:val="right"/>
        <w:rPr>
          <w:rFonts w:ascii="Verdana" w:eastAsia="Geomanist Light" w:hAnsi="Verdana" w:cs="Arial"/>
          <w:color w:val="000000" w:themeColor="text1"/>
        </w:rPr>
      </w:pPr>
    </w:p>
    <w:p w14:paraId="14962C93" w14:textId="5BF900FF" w:rsidR="00FB5C5C" w:rsidRPr="00ED5C5B" w:rsidRDefault="00F814F6" w:rsidP="00FB5C5C">
      <w:pPr>
        <w:spacing w:after="0" w:line="240" w:lineRule="auto"/>
        <w:jc w:val="both"/>
        <w:rPr>
          <w:rFonts w:ascii="Verdana" w:eastAsia="Geomanist Light" w:hAnsi="Verdana" w:cs="Arial"/>
          <w:color w:val="000000" w:themeColor="text1"/>
        </w:rPr>
      </w:pPr>
      <w:r w:rsidRPr="00717BCE">
        <w:rPr>
          <w:rFonts w:ascii="Verdana" w:eastAsia="Geomanist Light" w:hAnsi="Verdana" w:cs="Arial"/>
          <w:noProof/>
          <w:color w:val="000000" w:themeColor="text1"/>
        </w:rPr>
        <w:drawing>
          <wp:anchor distT="0" distB="0" distL="114300" distR="114300" simplePos="0" relativeHeight="251657216" behindDoc="0" locked="0" layoutInCell="1" allowOverlap="1" wp14:anchorId="7597D693" wp14:editId="36374F63">
            <wp:simplePos x="0" y="0"/>
            <wp:positionH relativeFrom="margin">
              <wp:align>right</wp:align>
            </wp:positionH>
            <wp:positionV relativeFrom="paragraph">
              <wp:posOffset>2595</wp:posOffset>
            </wp:positionV>
            <wp:extent cx="2367280" cy="832485"/>
            <wp:effectExtent l="0" t="0" r="0" b="5715"/>
            <wp:wrapSquare wrapText="bothSides"/>
            <wp:docPr id="205917215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72159"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367280" cy="832485"/>
                    </a:xfrm>
                    <a:prstGeom prst="rect">
                      <a:avLst/>
                    </a:prstGeom>
                  </pic:spPr>
                </pic:pic>
              </a:graphicData>
            </a:graphic>
            <wp14:sizeRelH relativeFrom="margin">
              <wp14:pctWidth>0</wp14:pctWidth>
            </wp14:sizeRelH>
            <wp14:sizeRelV relativeFrom="margin">
              <wp14:pctHeight>0</wp14:pctHeight>
            </wp14:sizeRelV>
          </wp:anchor>
        </w:drawing>
      </w:r>
    </w:p>
    <w:p w14:paraId="6038B72D" w14:textId="77777777" w:rsidR="00FB5C5C" w:rsidRPr="00CC5C68" w:rsidRDefault="00FB5C5C" w:rsidP="00FB5C5C">
      <w:pPr>
        <w:spacing w:after="0" w:line="240" w:lineRule="auto"/>
        <w:jc w:val="right"/>
        <w:rPr>
          <w:rFonts w:ascii="Verdana" w:eastAsia="Times New Roman" w:hAnsi="Verdana" w:cs="Arial"/>
          <w:noProof/>
          <w:lang w:val="es-ES_tradnl" w:eastAsia="es-ES_tradnl"/>
        </w:rPr>
      </w:pPr>
    </w:p>
    <w:p w14:paraId="7AD826E4" w14:textId="77777777" w:rsidR="00FB5C5C" w:rsidRPr="00CC5C68" w:rsidRDefault="00FB5C5C" w:rsidP="00FB5C5C">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p>
    <w:p w14:paraId="5158E819" w14:textId="77777777" w:rsidR="00FB5C5C" w:rsidRPr="00CC5C68" w:rsidRDefault="00FB5C5C" w:rsidP="00FB5C5C">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Anónimo</w:t>
      </w:r>
    </w:p>
    <w:p w14:paraId="5ACCD6E1" w14:textId="77777777" w:rsidR="00FB5C5C" w:rsidRPr="00CC5C68" w:rsidRDefault="00FB5C5C" w:rsidP="00FB5C5C">
      <w:pPr>
        <w:spacing w:after="0" w:line="240" w:lineRule="auto"/>
        <w:rPr>
          <w:rFonts w:ascii="Verdana" w:eastAsia="Calibri" w:hAnsi="Verdana" w:cs="Arial"/>
          <w:lang w:val="es-ES" w:eastAsia="es-ES"/>
        </w:rPr>
      </w:pPr>
      <w:r>
        <w:rPr>
          <w:rFonts w:ascii="Verdana" w:eastAsia="Calibri" w:hAnsi="Verdana" w:cs="Arial"/>
          <w:lang w:val="es-ES" w:eastAsia="es-ES"/>
        </w:rPr>
        <w:t>Ciudad</w:t>
      </w:r>
    </w:p>
    <w:p w14:paraId="7F5C60BB" w14:textId="77777777" w:rsidR="00FB5C5C" w:rsidRPr="00CC5C68" w:rsidRDefault="00FB5C5C" w:rsidP="00FB5C5C">
      <w:pPr>
        <w:spacing w:after="0" w:line="240" w:lineRule="auto"/>
        <w:rPr>
          <w:rFonts w:ascii="Verdana" w:eastAsia="Calibri" w:hAnsi="Verdana" w:cs="Arial"/>
          <w:lang w:val="es-ES_tradnl" w:eastAsia="es-ES_tradnl"/>
        </w:rPr>
      </w:pPr>
    </w:p>
    <w:p w14:paraId="15F7F4D3" w14:textId="77777777" w:rsidR="00FB5C5C" w:rsidRPr="00CC5C68" w:rsidRDefault="00FB5C5C" w:rsidP="00FB5C5C">
      <w:pPr>
        <w:spacing w:after="0" w:line="240" w:lineRule="auto"/>
        <w:rPr>
          <w:rFonts w:ascii="Verdana" w:eastAsia="Calibri" w:hAnsi="Verdana" w:cs="Arial"/>
          <w:lang w:val="es-ES_tradnl" w:eastAsia="es-ES_tradnl"/>
        </w:rPr>
      </w:pPr>
    </w:p>
    <w:p w14:paraId="6478051D" w14:textId="77777777" w:rsidR="00FB5C5C" w:rsidRPr="00CC5C68" w:rsidRDefault="00FB5C5C" w:rsidP="00FB5C5C">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Pr>
          <w:rFonts w:ascii="Verdana" w:eastAsia="Calibri" w:hAnsi="Verdana" w:cs="Arial"/>
          <w:b/>
          <w:bCs/>
          <w:lang w:val="es-ES" w:eastAsia="es-ES_tradnl"/>
        </w:rPr>
        <w:t>1100</w:t>
      </w:r>
      <w:r w:rsidRPr="00CC5C68">
        <w:rPr>
          <w:rFonts w:ascii="Verdana" w:eastAsia="Calibri" w:hAnsi="Verdana" w:cs="Arial"/>
          <w:b/>
          <w:bCs/>
          <w:lang w:val="es-ES" w:eastAsia="es-ES_tradnl"/>
        </w:rPr>
        <w:t xml:space="preserve"> de 202</w:t>
      </w:r>
      <w:r>
        <w:rPr>
          <w:rFonts w:ascii="Verdana" w:eastAsia="Calibri" w:hAnsi="Verdana" w:cs="Arial"/>
          <w:b/>
          <w:bCs/>
          <w:lang w:val="es-ES" w:eastAsia="es-ES_tradnl"/>
        </w:rPr>
        <w:t>5</w:t>
      </w:r>
    </w:p>
    <w:p w14:paraId="6B6907CB" w14:textId="77777777" w:rsidR="00FB5C5C" w:rsidRPr="00CC5C68" w:rsidRDefault="00FB5C5C" w:rsidP="00FB5C5C">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FB5C5C" w:rsidRPr="00CC5C68" w14:paraId="0496A850" w14:textId="77777777" w:rsidTr="000C57D5">
        <w:trPr>
          <w:jc w:val="right"/>
        </w:trPr>
        <w:tc>
          <w:tcPr>
            <w:tcW w:w="1838" w:type="dxa"/>
          </w:tcPr>
          <w:p w14:paraId="375CE3EB" w14:textId="77777777" w:rsidR="00FB5C5C" w:rsidRPr="00CC5C68" w:rsidRDefault="00FB5C5C" w:rsidP="000C57D5">
            <w:pPr>
              <w:jc w:val="cente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237" w:type="dxa"/>
          </w:tcPr>
          <w:p w14:paraId="01A07AE1" w14:textId="77777777" w:rsidR="00FB5C5C" w:rsidRPr="009E17FE" w:rsidRDefault="00FB5C5C" w:rsidP="000C57D5">
            <w:pPr>
              <w:jc w:val="both"/>
              <w:textAlignment w:val="baseline"/>
              <w:rPr>
                <w:rFonts w:ascii="Verdana" w:eastAsia="Times New Roman" w:hAnsi="Verdana" w:cs="Arial"/>
                <w:lang w:val="es-ES_tradnl" w:eastAsia="es-ES_tradnl"/>
              </w:rPr>
            </w:pPr>
            <w:r w:rsidRPr="009E17FE">
              <w:rPr>
                <w:rFonts w:ascii="Verdana" w:eastAsia="Times New Roman" w:hAnsi="Verdana" w:cs="Arial"/>
                <w:lang w:eastAsia="es-ES_tradnl"/>
              </w:rPr>
              <w:t>CONTRATO DE PRESTACIÓN DE SERVICIOS – Concepto − Características generales / CONTRATO DE PRESTACIÓN DE SERVICIOS PROFESIONALES</w:t>
            </w:r>
            <w:r>
              <w:rPr>
                <w:rFonts w:ascii="Verdana" w:eastAsia="Times New Roman" w:hAnsi="Verdana" w:cs="Arial"/>
                <w:lang w:eastAsia="es-ES_tradnl"/>
              </w:rPr>
              <w:t xml:space="preserve"> </w:t>
            </w:r>
            <w:r w:rsidRPr="009E17FE">
              <w:rPr>
                <w:rFonts w:ascii="Verdana" w:eastAsia="Times New Roman" w:hAnsi="Verdana" w:cs="Arial"/>
                <w:lang w:eastAsia="es-ES_tradnl"/>
              </w:rPr>
              <w:t xml:space="preserve">– </w:t>
            </w:r>
            <w:r>
              <w:rPr>
                <w:rFonts w:ascii="Verdana" w:eastAsia="Times New Roman" w:hAnsi="Verdana" w:cs="Arial"/>
                <w:lang w:eastAsia="es-ES_tradnl"/>
              </w:rPr>
              <w:t xml:space="preserve">Modalidad de selección </w:t>
            </w:r>
            <w:r w:rsidRPr="009E17FE">
              <w:rPr>
                <w:rFonts w:ascii="Verdana" w:eastAsia="Times New Roman" w:hAnsi="Verdana" w:cs="Arial"/>
                <w:lang w:eastAsia="es-ES_tradnl"/>
              </w:rPr>
              <w:t>–</w:t>
            </w:r>
            <w:r>
              <w:rPr>
                <w:rFonts w:ascii="Verdana" w:eastAsia="Times New Roman" w:hAnsi="Verdana" w:cs="Arial"/>
                <w:lang w:eastAsia="es-ES_tradnl"/>
              </w:rPr>
              <w:t xml:space="preserve"> Cuantía</w:t>
            </w:r>
          </w:p>
        </w:tc>
      </w:tr>
      <w:tr w:rsidR="00FB5C5C" w:rsidRPr="00CC5C68" w14:paraId="22D48B3F" w14:textId="77777777" w:rsidTr="000C57D5">
        <w:trPr>
          <w:jc w:val="right"/>
        </w:trPr>
        <w:tc>
          <w:tcPr>
            <w:tcW w:w="1838" w:type="dxa"/>
          </w:tcPr>
          <w:p w14:paraId="22C3BCBD" w14:textId="77777777" w:rsidR="00FB5C5C" w:rsidRPr="00CC5C68" w:rsidRDefault="00FB5C5C" w:rsidP="000C57D5">
            <w:pPr>
              <w:jc w:val="center"/>
              <w:rPr>
                <w:rFonts w:ascii="Verdana" w:eastAsia="Calibri" w:hAnsi="Verdana" w:cs="Arial"/>
                <w:b/>
                <w:lang w:val="es-ES_tradnl" w:eastAsia="es-ES_tradnl"/>
              </w:rPr>
            </w:pPr>
          </w:p>
        </w:tc>
        <w:tc>
          <w:tcPr>
            <w:tcW w:w="6237" w:type="dxa"/>
          </w:tcPr>
          <w:p w14:paraId="4A2C5C0F" w14:textId="77777777" w:rsidR="00FB5C5C" w:rsidRPr="009E17FE" w:rsidRDefault="00FB5C5C" w:rsidP="000C57D5">
            <w:pPr>
              <w:jc w:val="both"/>
              <w:textAlignment w:val="baseline"/>
              <w:rPr>
                <w:rFonts w:ascii="Verdana" w:eastAsia="Times New Roman" w:hAnsi="Verdana" w:cs="Arial"/>
                <w:lang w:eastAsia="es-ES_tradnl"/>
              </w:rPr>
            </w:pPr>
          </w:p>
        </w:tc>
      </w:tr>
      <w:tr w:rsidR="00FB5C5C" w:rsidRPr="00CC5C68" w14:paraId="5DC9C31C" w14:textId="77777777" w:rsidTr="000C57D5">
        <w:trPr>
          <w:jc w:val="right"/>
        </w:trPr>
        <w:tc>
          <w:tcPr>
            <w:tcW w:w="1838" w:type="dxa"/>
          </w:tcPr>
          <w:p w14:paraId="4EEEBF4F" w14:textId="77777777" w:rsidR="00FB5C5C" w:rsidRPr="00CC5C68" w:rsidRDefault="00FB5C5C" w:rsidP="000C57D5">
            <w:pPr>
              <w:jc w:val="cente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237" w:type="dxa"/>
          </w:tcPr>
          <w:p w14:paraId="382E2838" w14:textId="77777777" w:rsidR="00FB5C5C" w:rsidRPr="00CC5C68" w:rsidRDefault="00FB5C5C" w:rsidP="000C57D5">
            <w:pPr>
              <w:jc w:val="both"/>
              <w:rPr>
                <w:rFonts w:ascii="Verdana" w:eastAsia="Calibri" w:hAnsi="Verdana" w:cs="Arial"/>
                <w:lang w:val="es-ES" w:eastAsia="es-ES_tradnl"/>
              </w:rPr>
            </w:pPr>
            <w:r w:rsidRPr="00CC5C68">
              <w:rPr>
                <w:rFonts w:ascii="Verdana" w:eastAsia="Calibri" w:hAnsi="Verdana" w:cs="Arial"/>
                <w:lang w:val="es-ES" w:eastAsia="es-ES_tradnl"/>
              </w:rPr>
              <w:t>Respuesta a consulta</w:t>
            </w:r>
            <w:r>
              <w:rPr>
                <w:rFonts w:ascii="Verdana" w:eastAsia="Calibri" w:hAnsi="Verdana" w:cs="Arial"/>
                <w:lang w:val="es-ES" w:eastAsia="es-ES_tradnl"/>
              </w:rPr>
              <w:t xml:space="preserve"> </w:t>
            </w:r>
            <w:r w:rsidRPr="00CC5C68">
              <w:rPr>
                <w:rFonts w:ascii="Verdana" w:eastAsia="Calibri" w:hAnsi="Verdana" w:cs="Arial"/>
                <w:lang w:val="es-ES" w:eastAsia="es-ES_tradnl"/>
              </w:rPr>
              <w:t xml:space="preserve">No. </w:t>
            </w:r>
            <w:r w:rsidRPr="0016105E">
              <w:rPr>
                <w:rFonts w:ascii="Verdana" w:eastAsia="Times New Roman" w:hAnsi="Verdana" w:cs="Arial"/>
                <w:lang w:eastAsia="es-ES_tradnl"/>
              </w:rPr>
              <w:t>1_2025_08_06_008214</w:t>
            </w:r>
          </w:p>
        </w:tc>
      </w:tr>
    </w:tbl>
    <w:p w14:paraId="204EF00D" w14:textId="77777777" w:rsidR="00FB5C5C" w:rsidRPr="00CC5C68" w:rsidRDefault="00FB5C5C" w:rsidP="00FB5C5C">
      <w:pPr>
        <w:spacing w:after="0" w:line="240" w:lineRule="auto"/>
        <w:jc w:val="both"/>
        <w:rPr>
          <w:rFonts w:ascii="Verdana" w:eastAsia="Calibri" w:hAnsi="Verdana" w:cs="Arial"/>
          <w:lang w:val="es-ES_tradnl" w:eastAsia="es-ES_tradnl"/>
        </w:rPr>
      </w:pPr>
    </w:p>
    <w:p w14:paraId="0F5BE543" w14:textId="77777777" w:rsidR="00FB5C5C" w:rsidRPr="00CC5C68" w:rsidRDefault="00FB5C5C" w:rsidP="00FB5C5C">
      <w:pPr>
        <w:spacing w:after="0" w:line="240" w:lineRule="auto"/>
        <w:jc w:val="both"/>
        <w:rPr>
          <w:rFonts w:ascii="Verdana" w:eastAsia="Calibri" w:hAnsi="Verdana" w:cs="Arial"/>
          <w:lang w:val="es-ES_tradnl" w:eastAsia="es-ES_tradnl"/>
        </w:rPr>
      </w:pPr>
    </w:p>
    <w:p w14:paraId="5376FA34" w14:textId="77777777" w:rsidR="00FB5C5C" w:rsidRPr="00CC5C68" w:rsidRDefault="00FB5C5C" w:rsidP="00FB5C5C">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Estimad</w:t>
      </w:r>
      <w:r>
        <w:rPr>
          <w:rFonts w:ascii="Verdana" w:eastAsia="Calibri" w:hAnsi="Verdana" w:cs="Arial"/>
          <w:lang w:val="es-ES_tradnl" w:eastAsia="es-ES_tradnl"/>
        </w:rPr>
        <w:t>o señor</w:t>
      </w:r>
      <w:r w:rsidRPr="00CC5C68">
        <w:rPr>
          <w:rFonts w:ascii="Verdana" w:eastAsia="Calibri" w:hAnsi="Verdana" w:cs="Arial"/>
          <w:bCs/>
          <w:lang w:val="es-ES_tradnl" w:eastAsia="es-ES_tradnl"/>
        </w:rPr>
        <w:t>:</w:t>
      </w:r>
    </w:p>
    <w:p w14:paraId="166985F1" w14:textId="77777777" w:rsidR="00FB5C5C" w:rsidRPr="00CC5C68" w:rsidRDefault="00FB5C5C" w:rsidP="00FB5C5C">
      <w:pPr>
        <w:spacing w:after="0" w:line="276" w:lineRule="auto"/>
        <w:contextualSpacing/>
        <w:jc w:val="both"/>
        <w:rPr>
          <w:rFonts w:ascii="Verdana" w:eastAsia="Calibri" w:hAnsi="Verdana" w:cs="Arial"/>
          <w:lang w:val="es-ES_tradnl" w:eastAsia="es-ES_tradnl"/>
        </w:rPr>
      </w:pPr>
    </w:p>
    <w:p w14:paraId="69443B5A" w14:textId="77777777" w:rsidR="00FB5C5C" w:rsidRPr="00CC5C68" w:rsidRDefault="00FB5C5C" w:rsidP="00FB5C5C">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w:t>
      </w:r>
      <w:r>
        <w:rPr>
          <w:rFonts w:ascii="Verdana" w:eastAsia="Calibri" w:hAnsi="Verdana" w:cs="Arial"/>
          <w:lang w:val="es-ES" w:eastAsia="es-ES_tradnl"/>
        </w:rPr>
        <w:t xml:space="preserve"> 6</w:t>
      </w:r>
      <w:r w:rsidRPr="00CC5C68">
        <w:rPr>
          <w:rFonts w:ascii="Verdana" w:eastAsia="Calibri" w:hAnsi="Verdana" w:cs="Arial"/>
          <w:lang w:val="es-ES" w:eastAsia="es-ES_tradnl"/>
        </w:rPr>
        <w:t xml:space="preserve"> de </w:t>
      </w:r>
      <w:r>
        <w:rPr>
          <w:rFonts w:ascii="Verdana" w:eastAsia="Calibri" w:hAnsi="Verdana" w:cs="Arial"/>
          <w:lang w:val="es-ES" w:eastAsia="es-ES_tradnl"/>
        </w:rPr>
        <w:t>agosto</w:t>
      </w:r>
      <w:r w:rsidRPr="00CC5C68">
        <w:rPr>
          <w:rFonts w:ascii="Verdana" w:eastAsia="Calibri" w:hAnsi="Verdana" w:cs="Arial"/>
          <w:lang w:val="es-ES" w:eastAsia="es-ES_tradnl"/>
        </w:rPr>
        <w:t xml:space="preserve"> de 202</w:t>
      </w:r>
      <w:r>
        <w:rPr>
          <w:rFonts w:ascii="Verdana" w:eastAsia="Calibri" w:hAnsi="Verdana" w:cs="Arial"/>
          <w:lang w:val="es-ES" w:eastAsia="es-ES_tradnl"/>
        </w:rPr>
        <w:t xml:space="preserve">5, </w:t>
      </w:r>
      <w:r w:rsidRPr="00CC5C68">
        <w:rPr>
          <w:rFonts w:ascii="Verdana" w:eastAsia="Calibri" w:hAnsi="Verdana" w:cs="Arial"/>
          <w:lang w:val="es-ES" w:eastAsia="es-ES_tradnl"/>
        </w:rPr>
        <w:t>en la cual manifiesta lo siguiente:</w:t>
      </w:r>
    </w:p>
    <w:p w14:paraId="79A5CC80" w14:textId="77777777" w:rsidR="00FB5C5C" w:rsidRPr="00CC5C68" w:rsidRDefault="00FB5C5C" w:rsidP="00FB5C5C">
      <w:pPr>
        <w:spacing w:after="0" w:line="276" w:lineRule="auto"/>
        <w:contextualSpacing/>
        <w:jc w:val="both"/>
        <w:rPr>
          <w:rFonts w:ascii="Verdana" w:eastAsia="Calibri" w:hAnsi="Verdana" w:cs="Arial"/>
          <w:b/>
          <w:szCs w:val="24"/>
          <w:lang w:val="es-ES_tradnl" w:eastAsia="es-ES_tradnl"/>
        </w:rPr>
      </w:pPr>
    </w:p>
    <w:p w14:paraId="68A33E69" w14:textId="77777777" w:rsidR="00FB5C5C" w:rsidRPr="0042661A" w:rsidRDefault="00FB5C5C" w:rsidP="00FB5C5C">
      <w:pPr>
        <w:spacing w:after="0" w:line="240" w:lineRule="auto"/>
        <w:ind w:left="709" w:right="709"/>
        <w:contextualSpacing/>
        <w:jc w:val="both"/>
        <w:rPr>
          <w:rFonts w:ascii="Verdana" w:eastAsia="Times New Roman" w:hAnsi="Verdana" w:cs="Arial"/>
          <w:sz w:val="20"/>
          <w:szCs w:val="20"/>
          <w:lang w:eastAsia="es-ES_tradnl"/>
        </w:rPr>
      </w:pPr>
      <w:r w:rsidRPr="0042661A">
        <w:rPr>
          <w:rFonts w:ascii="Verdana" w:eastAsia="Times New Roman" w:hAnsi="Verdana" w:cs="Arial"/>
          <w:sz w:val="20"/>
          <w:szCs w:val="20"/>
          <w:lang w:eastAsia="es-ES_tradnl"/>
        </w:rPr>
        <w:t>“</w:t>
      </w:r>
      <w:r w:rsidRPr="00954710">
        <w:rPr>
          <w:rFonts w:ascii="Verdana" w:eastAsia="Times New Roman" w:hAnsi="Verdana" w:cs="Arial"/>
          <w:sz w:val="20"/>
          <w:szCs w:val="20"/>
          <w:lang w:eastAsia="es-ES_tradnl"/>
        </w:rPr>
        <w:t>Es correcto que un contrato de prestación de servicios profesionales suscrito con</w:t>
      </w:r>
      <w:r>
        <w:rPr>
          <w:rFonts w:ascii="Verdana" w:eastAsia="Times New Roman" w:hAnsi="Verdana" w:cs="Arial"/>
          <w:sz w:val="20"/>
          <w:szCs w:val="20"/>
          <w:lang w:eastAsia="es-ES_tradnl"/>
        </w:rPr>
        <w:t xml:space="preserve"> </w:t>
      </w:r>
      <w:r w:rsidRPr="00954710">
        <w:rPr>
          <w:rFonts w:ascii="Verdana" w:eastAsia="Times New Roman" w:hAnsi="Verdana" w:cs="Arial"/>
          <w:sz w:val="20"/>
          <w:szCs w:val="20"/>
          <w:lang w:eastAsia="es-ES_tradnl"/>
        </w:rPr>
        <w:t>una persona jurídica que supera la mínima cuantía se puede contratar bajo la</w:t>
      </w:r>
      <w:r>
        <w:rPr>
          <w:rFonts w:ascii="Verdana" w:eastAsia="Times New Roman" w:hAnsi="Verdana" w:cs="Arial"/>
          <w:sz w:val="20"/>
          <w:szCs w:val="20"/>
          <w:lang w:eastAsia="es-ES_tradnl"/>
        </w:rPr>
        <w:t xml:space="preserve"> </w:t>
      </w:r>
      <w:r w:rsidRPr="00954710">
        <w:rPr>
          <w:rFonts w:ascii="Verdana" w:eastAsia="Times New Roman" w:hAnsi="Verdana" w:cs="Arial"/>
          <w:sz w:val="20"/>
          <w:szCs w:val="20"/>
          <w:lang w:eastAsia="es-ES_tradnl"/>
        </w:rPr>
        <w:t>modalidad de contratación directa en una contraloría departamental en Colombia</w:t>
      </w:r>
      <w:r w:rsidRPr="0042661A">
        <w:rPr>
          <w:rFonts w:ascii="Verdana" w:eastAsia="Times New Roman" w:hAnsi="Verdana" w:cs="Arial"/>
          <w:sz w:val="20"/>
          <w:szCs w:val="20"/>
          <w:lang w:eastAsia="es-ES_tradnl"/>
        </w:rPr>
        <w:t>”.</w:t>
      </w:r>
    </w:p>
    <w:p w14:paraId="599E4258" w14:textId="77777777" w:rsidR="00FB5C5C" w:rsidRPr="0042661A" w:rsidRDefault="00FB5C5C" w:rsidP="00FB5C5C">
      <w:pPr>
        <w:spacing w:after="0" w:line="276" w:lineRule="auto"/>
        <w:ind w:left="709" w:right="709"/>
        <w:contextualSpacing/>
        <w:jc w:val="both"/>
        <w:rPr>
          <w:rFonts w:ascii="Verdana" w:eastAsia="Times New Roman" w:hAnsi="Verdana" w:cs="Arial"/>
          <w:lang w:eastAsia="es-ES_tradnl"/>
        </w:rPr>
      </w:pPr>
    </w:p>
    <w:p w14:paraId="27642201" w14:textId="77777777" w:rsidR="00FB5C5C" w:rsidRPr="00CC5C68" w:rsidRDefault="00FB5C5C" w:rsidP="00FB5C5C">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CC5C68">
        <w:rPr>
          <w:rFonts w:ascii="Verdana" w:eastAsia="Calibri" w:hAnsi="Verdana" w:cs="Arial"/>
          <w:color w:val="000000"/>
          <w:lang w:val="es-ES"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477959C1" w14:textId="77777777" w:rsidR="00FB5C5C" w:rsidRPr="00CC5C68" w:rsidRDefault="00FB5C5C" w:rsidP="00FB5C5C">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señalando</w:t>
      </w:r>
      <w:r w:rsidRPr="00CC5C68">
        <w:rPr>
          <w:rFonts w:ascii="Verdana" w:eastAsia="Calibri" w:hAnsi="Verdana" w:cs="Arial"/>
          <w:lang w:val="es-ES" w:eastAsia="es-ES"/>
        </w:rPr>
        <w:t xml:space="preserve"> </w:t>
      </w:r>
      <w:r>
        <w:rPr>
          <w:rFonts w:ascii="Verdana" w:eastAsia="Calibri" w:hAnsi="Verdana" w:cs="Arial"/>
          <w:lang w:val="es-ES" w:eastAsia="es-ES"/>
        </w:rPr>
        <w:t>alg</w:t>
      </w:r>
      <w:r w:rsidRPr="00CC5C68">
        <w:rPr>
          <w:rFonts w:ascii="Verdana" w:eastAsia="Calibri" w:hAnsi="Verdana" w:cs="Arial"/>
          <w:lang w:val="es-ES" w:eastAsia="es-ES"/>
        </w:rPr>
        <w:t xml:space="preserve">unas consideraciones sobre las normas generales relacionadas con </w:t>
      </w:r>
      <w:r>
        <w:rPr>
          <w:rFonts w:ascii="Verdana" w:eastAsia="Calibri" w:hAnsi="Verdana" w:cs="Arial"/>
          <w:lang w:val="es-ES" w:eastAsia="es-ES"/>
        </w:rPr>
        <w:t>el</w:t>
      </w:r>
      <w:r w:rsidRPr="00CC5C68">
        <w:rPr>
          <w:rFonts w:ascii="Verdana" w:eastAsia="Calibri" w:hAnsi="Verdana" w:cs="Arial"/>
          <w:lang w:val="es-ES" w:eastAsia="es-ES"/>
        </w:rPr>
        <w:t xml:space="preserve"> problema jurídico de su consulta. </w:t>
      </w:r>
    </w:p>
    <w:p w14:paraId="15750F57" w14:textId="77777777" w:rsidR="00FB5C5C" w:rsidRPr="00CC5C68" w:rsidRDefault="00FB5C5C" w:rsidP="00FB5C5C">
      <w:pPr>
        <w:spacing w:after="0" w:line="276" w:lineRule="auto"/>
        <w:jc w:val="both"/>
        <w:rPr>
          <w:rFonts w:ascii="Verdana" w:eastAsia="Times New Roman" w:hAnsi="Verdana" w:cs="Arial"/>
          <w:szCs w:val="24"/>
          <w:lang w:val="es-ES_tradnl" w:eastAsia="es-ES_tradnl"/>
        </w:rPr>
      </w:pPr>
    </w:p>
    <w:p w14:paraId="46DA485C" w14:textId="77777777" w:rsidR="00FB5C5C" w:rsidRPr="00CC5C68" w:rsidRDefault="00FB5C5C" w:rsidP="00FB5C5C">
      <w:pPr>
        <w:tabs>
          <w:tab w:val="left" w:pos="0"/>
          <w:tab w:val="left" w:pos="284"/>
        </w:tabs>
        <w:spacing w:after="0" w:line="276" w:lineRule="auto"/>
        <w:jc w:val="both"/>
        <w:rPr>
          <w:rFonts w:ascii="Verdana" w:eastAsia="Calibri" w:hAnsi="Verdana" w:cs="Arial"/>
          <w:b/>
          <w:lang w:val="es-ES_tradnl"/>
        </w:rPr>
      </w:pPr>
      <w:r w:rsidRPr="00CC5C68">
        <w:rPr>
          <w:rFonts w:ascii="Verdana" w:eastAsia="Calibri" w:hAnsi="Verdana" w:cs="Arial"/>
          <w:b/>
          <w:lang w:val="es-ES_tradnl"/>
        </w:rPr>
        <w:t>1. Problema planteado:</w:t>
      </w:r>
    </w:p>
    <w:p w14:paraId="3F16BD66" w14:textId="77777777" w:rsidR="00FB5C5C" w:rsidRPr="00CC5C68" w:rsidRDefault="00FB5C5C" w:rsidP="00FB5C5C">
      <w:pPr>
        <w:tabs>
          <w:tab w:val="left" w:pos="0"/>
          <w:tab w:val="left" w:pos="284"/>
        </w:tabs>
        <w:spacing w:after="0" w:line="276" w:lineRule="auto"/>
        <w:jc w:val="both"/>
        <w:rPr>
          <w:rFonts w:ascii="Verdana" w:eastAsia="Calibri" w:hAnsi="Verdana" w:cs="Arial"/>
          <w:b/>
          <w:lang w:val="es-ES_tradnl"/>
        </w:rPr>
      </w:pPr>
    </w:p>
    <w:p w14:paraId="666CD2EF" w14:textId="77777777" w:rsidR="00FB5C5C" w:rsidRPr="00CC5C68" w:rsidRDefault="00FB5C5C" w:rsidP="00FB5C5C">
      <w:pPr>
        <w:spacing w:after="0" w:line="276" w:lineRule="auto"/>
        <w:jc w:val="both"/>
        <w:rPr>
          <w:rFonts w:ascii="Verdana" w:eastAsia="Century Gothic" w:hAnsi="Verdana" w:cs="Century Gothic"/>
        </w:rPr>
      </w:pPr>
      <w:r w:rsidRPr="00CC5C68">
        <w:rPr>
          <w:rFonts w:ascii="Verdana" w:eastAsia="Century Gothic" w:hAnsi="Verdana" w:cs="Century Gothic"/>
        </w:rPr>
        <w:t>De acuerdo con el contenido de su solicitud, esta Agencia resolverá el siguiente problema jurídico: ¿</w:t>
      </w:r>
      <w:r>
        <w:rPr>
          <w:rFonts w:ascii="Verdana" w:eastAsia="Century Gothic" w:hAnsi="Verdana" w:cs="Century Gothic"/>
        </w:rPr>
        <w:t>Es posible celebrar un contrato de prestación de servicios profesionales que supera la mínima cuantía, a través de la modalidad de selección de contratación directa</w:t>
      </w:r>
      <w:r w:rsidRPr="00CC5C68">
        <w:rPr>
          <w:rFonts w:ascii="Verdana" w:eastAsia="Century Gothic" w:hAnsi="Verdana" w:cs="Century Gothic"/>
        </w:rPr>
        <w:t xml:space="preserve">? </w:t>
      </w:r>
    </w:p>
    <w:p w14:paraId="77E515B4" w14:textId="77777777" w:rsidR="00FB5C5C" w:rsidRPr="00CC5C68" w:rsidRDefault="00FB5C5C" w:rsidP="00FB5C5C">
      <w:pPr>
        <w:spacing w:after="0" w:line="276" w:lineRule="auto"/>
        <w:ind w:firstLine="709"/>
        <w:jc w:val="both"/>
        <w:rPr>
          <w:rFonts w:ascii="Verdana" w:eastAsia="Calibri" w:hAnsi="Verdana" w:cs="Arial"/>
          <w:lang w:val="es-ES" w:eastAsia="es-ES_tradnl"/>
        </w:rPr>
      </w:pPr>
    </w:p>
    <w:p w14:paraId="2A7E9666" w14:textId="77777777" w:rsidR="00FB5C5C" w:rsidRPr="00CC5C68" w:rsidRDefault="00FB5C5C" w:rsidP="00FB5C5C">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555C9235" w14:textId="77777777" w:rsidR="00FB5C5C" w:rsidRPr="00CC5C68" w:rsidRDefault="00FB5C5C" w:rsidP="00FB5C5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B5C5C" w:rsidRPr="00CC5C68" w14:paraId="3100E055" w14:textId="77777777" w:rsidTr="000C57D5">
        <w:tc>
          <w:tcPr>
            <w:tcW w:w="8828" w:type="dxa"/>
          </w:tcPr>
          <w:p w14:paraId="5B61DC36" w14:textId="3D19E2D3" w:rsidR="00FB5C5C" w:rsidRPr="005B28F3" w:rsidRDefault="00FB5C5C" w:rsidP="000C57D5">
            <w:pPr>
              <w:spacing w:after="120" w:line="276" w:lineRule="auto"/>
              <w:jc w:val="both"/>
              <w:rPr>
                <w:rFonts w:ascii="Verdana" w:hAnsi="Verdana" w:cs="Arial"/>
                <w:noProof/>
              </w:rPr>
            </w:pPr>
            <w:r>
              <w:rPr>
                <w:rFonts w:ascii="Verdana" w:eastAsia="Times New Roman" w:hAnsi="Verdana" w:cs="Arial"/>
                <w:lang w:eastAsia="es-ES_tradnl"/>
              </w:rPr>
              <w:t>E</w:t>
            </w:r>
            <w:r w:rsidRPr="00580292">
              <w:rPr>
                <w:rFonts w:ascii="Verdana" w:eastAsia="Times New Roman" w:hAnsi="Verdana" w:cs="Arial"/>
                <w:lang w:eastAsia="es-ES_tradnl"/>
              </w:rPr>
              <w:t>l contrato de prestación de servicios es una tipología contractual regulada por el numeral 3 del artículo 32 de la Ley 80 de 1993</w:t>
            </w:r>
            <w:r>
              <w:rPr>
                <w:rFonts w:ascii="Verdana" w:hAnsi="Verdana" w:cs="Arial"/>
                <w:noProof/>
                <w:lang w:val="es-ES_tradnl"/>
              </w:rPr>
              <w:t xml:space="preserve">. De acuerdo con </w:t>
            </w:r>
            <w:r w:rsidR="003A3DB6">
              <w:rPr>
                <w:rFonts w:ascii="Verdana" w:hAnsi="Verdana" w:cs="Arial"/>
                <w:noProof/>
                <w:lang w:val="es-ES_tradnl"/>
              </w:rPr>
              <w:t>el nuemeral 4 del artículo 2 de</w:t>
            </w:r>
            <w:r>
              <w:rPr>
                <w:rFonts w:ascii="Verdana" w:hAnsi="Verdana" w:cs="Arial"/>
                <w:noProof/>
                <w:lang w:val="es-ES_tradnl"/>
              </w:rPr>
              <w:t xml:space="preserve"> la Ley 1150 de 2007, el contrato de prestación de servicios profesionales </w:t>
            </w:r>
            <w:r w:rsidR="00805EBE">
              <w:rPr>
                <w:rFonts w:ascii="Verdana" w:hAnsi="Verdana" w:cs="Arial"/>
                <w:noProof/>
                <w:lang w:val="es-ES_tradnl"/>
              </w:rPr>
              <w:t xml:space="preserve">constituye </w:t>
            </w:r>
            <w:r>
              <w:rPr>
                <w:rFonts w:ascii="Verdana" w:hAnsi="Verdana" w:cs="Arial"/>
                <w:noProof/>
                <w:lang w:val="es-ES_tradnl"/>
              </w:rPr>
              <w:t xml:space="preserve">una causal de contratación directa, </w:t>
            </w:r>
            <w:r w:rsidR="00805EBE">
              <w:rPr>
                <w:rFonts w:ascii="Verdana" w:hAnsi="Verdana" w:cs="Arial"/>
                <w:noProof/>
                <w:lang w:val="es-ES_tradnl"/>
              </w:rPr>
              <w:t>cuya procedencia</w:t>
            </w:r>
            <w:r>
              <w:rPr>
                <w:rFonts w:ascii="Verdana" w:hAnsi="Verdana" w:cs="Arial"/>
                <w:noProof/>
                <w:lang w:val="es-ES_tradnl"/>
              </w:rPr>
              <w:t xml:space="preserve"> no depende de la cuantía del contrato sino de la tipología contractual y la determinación de esta como causal de contratación directa por el legislador. En ese sentido, siempre que se trate de un contrato de prestación de servicios profesionales, independientemente de su cuantía, se puede recurrir a la </w:t>
            </w:r>
            <w:r w:rsidR="00A36FC9">
              <w:rPr>
                <w:rFonts w:ascii="Verdana" w:hAnsi="Verdana" w:cs="Arial"/>
                <w:noProof/>
                <w:lang w:val="es-ES_tradnl"/>
              </w:rPr>
              <w:t>modalidad de</w:t>
            </w:r>
            <w:r>
              <w:rPr>
                <w:rFonts w:ascii="Verdana" w:hAnsi="Verdana" w:cs="Arial"/>
                <w:noProof/>
                <w:lang w:val="es-ES_tradnl"/>
              </w:rPr>
              <w:t xml:space="preserve"> contratación directa, puesto que el legislador consagró este tipo de contrato como causal de esta modalidad de selección.</w:t>
            </w:r>
          </w:p>
          <w:p w14:paraId="5449DF1B" w14:textId="77777777" w:rsidR="00FB5C5C" w:rsidRPr="00CC5C68" w:rsidRDefault="00FB5C5C" w:rsidP="000C57D5">
            <w:pPr>
              <w:spacing w:after="120" w:line="276" w:lineRule="auto"/>
              <w:ind w:firstLine="709"/>
              <w:jc w:val="both"/>
              <w:rPr>
                <w:rFonts w:ascii="Verdana" w:eastAsia="Calibri" w:hAnsi="Verdana" w:cs="Arial"/>
                <w:color w:val="7030A0"/>
              </w:rPr>
            </w:pPr>
            <w:r w:rsidRPr="00CC5C68">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Pr>
                <w:rFonts w:ascii="Verdana" w:eastAsia="Times New Roman" w:hAnsi="Verdana" w:cs="Arial"/>
                <w:lang w:eastAsia="es-ES_tradnl"/>
              </w:rPr>
              <w:t>a los contratos de prestación de servicios</w:t>
            </w:r>
            <w:r w:rsidRPr="00CC5C68">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tc>
      </w:tr>
    </w:tbl>
    <w:p w14:paraId="09AAE856" w14:textId="77777777" w:rsidR="00FB5C5C" w:rsidRPr="00CC5C68" w:rsidRDefault="00FB5C5C" w:rsidP="00FB5C5C">
      <w:pPr>
        <w:spacing w:after="0" w:line="276" w:lineRule="auto"/>
        <w:jc w:val="both"/>
        <w:rPr>
          <w:rFonts w:ascii="Verdana" w:eastAsia="Times New Roman" w:hAnsi="Verdana" w:cs="Arial"/>
          <w:lang w:eastAsia="es-ES_tradnl"/>
        </w:rPr>
      </w:pPr>
    </w:p>
    <w:p w14:paraId="7C9FDB58" w14:textId="77777777" w:rsidR="00FB5C5C" w:rsidRPr="00CC5C68" w:rsidRDefault="00FB5C5C" w:rsidP="00FB5C5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lastRenderedPageBreak/>
        <w:t>3. Razones de la respuesta:</w:t>
      </w:r>
    </w:p>
    <w:p w14:paraId="1BAEB056" w14:textId="77777777" w:rsidR="00FB5C5C" w:rsidRPr="00CC5C68" w:rsidRDefault="00FB5C5C" w:rsidP="00FB5C5C">
      <w:pPr>
        <w:spacing w:after="0" w:line="276" w:lineRule="auto"/>
        <w:jc w:val="both"/>
        <w:rPr>
          <w:rFonts w:ascii="Verdana" w:eastAsia="Calibri" w:hAnsi="Verdana" w:cs="Arial"/>
          <w:color w:val="7030A0"/>
          <w:lang w:val="es-ES"/>
        </w:rPr>
      </w:pPr>
    </w:p>
    <w:p w14:paraId="17AFA657" w14:textId="77777777" w:rsidR="00FB5C5C" w:rsidRPr="00CC5C68" w:rsidRDefault="00FB5C5C" w:rsidP="00FB5C5C">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488D1BF1" w14:textId="77777777" w:rsidR="00FB5C5C" w:rsidRPr="00CC5C68" w:rsidRDefault="00FB5C5C" w:rsidP="00FB5C5C">
      <w:pPr>
        <w:spacing w:after="0" w:line="276" w:lineRule="auto"/>
        <w:jc w:val="both"/>
        <w:rPr>
          <w:rFonts w:ascii="Verdana" w:eastAsia="Calibri" w:hAnsi="Verdana" w:cs="Arial"/>
          <w:lang w:val="es-ES"/>
        </w:rPr>
      </w:pPr>
    </w:p>
    <w:p w14:paraId="6875B933" w14:textId="77777777" w:rsidR="00FB5C5C" w:rsidRDefault="00FB5C5C" w:rsidP="00FB5C5C">
      <w:pPr>
        <w:tabs>
          <w:tab w:val="left" w:pos="0"/>
        </w:tabs>
        <w:spacing w:line="276" w:lineRule="auto"/>
        <w:jc w:val="both"/>
        <w:rPr>
          <w:rFonts w:ascii="Verdana" w:eastAsia="Calibri" w:hAnsi="Verdana" w:cs="Arial"/>
          <w:color w:val="000000" w:themeColor="text1"/>
          <w:lang w:val="es-ES_tradnl"/>
        </w:rPr>
      </w:pPr>
      <w:r>
        <w:rPr>
          <w:rFonts w:ascii="Verdana" w:hAnsi="Verdana" w:cs="Arial"/>
          <w:color w:val="000000" w:themeColor="text1"/>
        </w:rPr>
        <w:t>E</w:t>
      </w:r>
      <w:r w:rsidRPr="00376CD8">
        <w:rPr>
          <w:rFonts w:ascii="Verdana" w:hAnsi="Verdana" w:cs="Arial"/>
          <w:color w:val="000000" w:themeColor="text1"/>
        </w:rPr>
        <w:t xml:space="preserve">l contrato de prestación de servicios es un contrato estatal típico, regulado en el numeral 3 del artículo 32 de la Ley 80 de 1993. Es definido como aquel que </w:t>
      </w:r>
      <w:r>
        <w:rPr>
          <w:rFonts w:ascii="Verdana" w:hAnsi="Verdana" w:cs="Arial"/>
          <w:color w:val="000000" w:themeColor="text1"/>
        </w:rPr>
        <w:t>“</w:t>
      </w:r>
      <w:r w:rsidRPr="00376CD8">
        <w:rPr>
          <w:rFonts w:ascii="Verdana" w:hAnsi="Verdana" w:cs="Arial"/>
          <w:color w:val="000000" w:themeColor="text1"/>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Verdana" w:hAnsi="Verdana" w:cs="Arial"/>
          <w:color w:val="000000" w:themeColor="text1"/>
        </w:rPr>
        <w:t>”</w:t>
      </w:r>
      <w:r w:rsidRPr="00376CD8">
        <w:rPr>
          <w:rFonts w:ascii="Verdana" w:hAnsi="Verdana" w:cs="Arial"/>
          <w:color w:val="000000" w:themeColor="text1"/>
        </w:rPr>
        <w:t>.</w:t>
      </w:r>
      <w:r w:rsidRPr="00376CD8">
        <w:rPr>
          <w:rFonts w:ascii="Verdana" w:eastAsia="Calibri" w:hAnsi="Verdana" w:cs="Arial"/>
          <w:color w:val="000000" w:themeColor="text1"/>
          <w:lang w:val="es-ES_tradnl"/>
        </w:rPr>
        <w:t xml:space="preserve"> </w:t>
      </w:r>
    </w:p>
    <w:p w14:paraId="074ED2C4" w14:textId="77777777" w:rsidR="00FB5C5C" w:rsidRDefault="00FB5C5C" w:rsidP="352B894D">
      <w:pPr>
        <w:spacing w:after="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_tradnl"/>
        </w:rPr>
        <w:tab/>
      </w:r>
      <w:r w:rsidRPr="352B894D">
        <w:rPr>
          <w:rFonts w:ascii="Verdana" w:eastAsia="Calibri" w:hAnsi="Verdana" w:cs="Arial"/>
          <w:color w:val="000000" w:themeColor="text1"/>
          <w:lang w:val="es-ES"/>
        </w:rPr>
        <w:t>La celebración de dicho contrato debe efectuarse a través de la modalidad de contratación directa. Así lo dispone el artículo 2, numeral 4º, literal h), de la Ley 1150 de 2007:</w:t>
      </w:r>
    </w:p>
    <w:p w14:paraId="75F858A1" w14:textId="77777777" w:rsidR="00FB5C5C" w:rsidRPr="00376CD8" w:rsidRDefault="00FB5C5C" w:rsidP="00FB5C5C">
      <w:pPr>
        <w:tabs>
          <w:tab w:val="left" w:pos="0"/>
        </w:tabs>
        <w:spacing w:after="0" w:line="276" w:lineRule="auto"/>
        <w:jc w:val="both"/>
        <w:rPr>
          <w:rFonts w:ascii="Verdana" w:eastAsia="Calibri" w:hAnsi="Verdana" w:cs="Arial"/>
          <w:color w:val="000000" w:themeColor="text1"/>
          <w:lang w:val="es-ES_tradnl"/>
        </w:rPr>
      </w:pPr>
    </w:p>
    <w:p w14:paraId="536D17DE" w14:textId="77777777" w:rsidR="00FB5C5C" w:rsidRPr="00EB30BA" w:rsidRDefault="00FB5C5C" w:rsidP="00FB5C5C">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“La escogencia del contratista se efectuará con arreglo a las modalidades de selección de licitación pública, selección abreviada, concurso de méritos y contratación directa, con base en las siguientes reglas:</w:t>
      </w:r>
    </w:p>
    <w:p w14:paraId="1B397166" w14:textId="77777777" w:rsidR="00FB5C5C" w:rsidRPr="00EB30BA" w:rsidRDefault="00FB5C5C" w:rsidP="00FB5C5C">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w:t>
      </w:r>
    </w:p>
    <w:p w14:paraId="05C0100E" w14:textId="77777777" w:rsidR="00FB5C5C" w:rsidRPr="00EB30BA" w:rsidRDefault="00FB5C5C" w:rsidP="00FB5C5C">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 xml:space="preserve">4. Contratación directa. La modalidad de selección de contratación </w:t>
      </w:r>
      <w:proofErr w:type="gramStart"/>
      <w:r w:rsidRPr="00EB30BA">
        <w:rPr>
          <w:rFonts w:ascii="Verdana" w:eastAsia="Calibri" w:hAnsi="Verdana" w:cs="Arial"/>
          <w:color w:val="000000" w:themeColor="text1"/>
          <w:sz w:val="20"/>
          <w:szCs w:val="20"/>
        </w:rPr>
        <w:t>directa,</w:t>
      </w:r>
      <w:proofErr w:type="gramEnd"/>
      <w:r w:rsidRPr="00EB30BA">
        <w:rPr>
          <w:rFonts w:ascii="Verdana" w:eastAsia="Calibri" w:hAnsi="Verdana" w:cs="Arial"/>
          <w:color w:val="000000" w:themeColor="text1"/>
          <w:sz w:val="20"/>
          <w:szCs w:val="20"/>
        </w:rPr>
        <w:t xml:space="preserve"> solamente procederá en los siguientes casos:</w:t>
      </w:r>
    </w:p>
    <w:p w14:paraId="34348CD4" w14:textId="77777777" w:rsidR="00FB5C5C" w:rsidRPr="00EB30BA" w:rsidRDefault="00FB5C5C" w:rsidP="00FB5C5C">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w:t>
      </w:r>
    </w:p>
    <w:p w14:paraId="5F0B6D24" w14:textId="77777777" w:rsidR="00FB5C5C" w:rsidRPr="00EB30BA" w:rsidRDefault="00FB5C5C" w:rsidP="00FB5C5C">
      <w:pPr>
        <w:spacing w:after="0" w:line="240" w:lineRule="auto"/>
        <w:ind w:left="709" w:right="709"/>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5466ECE5" w14:textId="77777777" w:rsidR="00FB5C5C" w:rsidRDefault="00FB5C5C" w:rsidP="00FB5C5C">
      <w:pPr>
        <w:tabs>
          <w:tab w:val="left" w:pos="0"/>
        </w:tabs>
        <w:spacing w:after="0" w:line="276" w:lineRule="auto"/>
        <w:jc w:val="both"/>
        <w:rPr>
          <w:rFonts w:ascii="Verdana" w:hAnsi="Verdana" w:cs="Arial"/>
          <w:noProof/>
          <w:lang w:val="es-ES_tradnl"/>
        </w:rPr>
      </w:pPr>
      <w:r w:rsidRPr="00376CD8">
        <w:rPr>
          <w:rFonts w:ascii="Verdana" w:hAnsi="Verdana" w:cs="Arial"/>
          <w:noProof/>
          <w:lang w:val="es-ES_tradnl"/>
        </w:rPr>
        <w:tab/>
      </w:r>
    </w:p>
    <w:p w14:paraId="0B9AFFD6" w14:textId="77777777" w:rsidR="00FB5C5C" w:rsidRDefault="00FB5C5C" w:rsidP="00FB5C5C">
      <w:pPr>
        <w:tabs>
          <w:tab w:val="left" w:pos="0"/>
        </w:tabs>
        <w:spacing w:after="0" w:line="276" w:lineRule="auto"/>
        <w:ind w:firstLine="709"/>
        <w:jc w:val="both"/>
        <w:rPr>
          <w:rFonts w:ascii="Verdana" w:hAnsi="Verdana" w:cs="Arial"/>
          <w:noProof/>
          <w:lang w:val="es-ES_tradnl"/>
        </w:rPr>
      </w:pPr>
      <w:r w:rsidRPr="008677DE">
        <w:rPr>
          <w:rFonts w:ascii="Verdana" w:hAnsi="Verdana" w:cs="Arial"/>
          <w:noProof/>
          <w:lang w:val="es-ES_tradnl"/>
        </w:rPr>
        <w:t xml:space="preserve">En tal sentido, el Decreto 1082 de 2015 en el </w:t>
      </w:r>
      <w:r>
        <w:rPr>
          <w:rFonts w:ascii="Verdana" w:hAnsi="Verdana" w:cs="Arial"/>
          <w:noProof/>
          <w:lang w:val="es-ES_tradnl"/>
        </w:rPr>
        <w:t>a</w:t>
      </w:r>
      <w:r w:rsidRPr="008677DE">
        <w:rPr>
          <w:rFonts w:ascii="Verdana" w:hAnsi="Verdana" w:cs="Arial"/>
          <w:noProof/>
          <w:lang w:val="es-ES_tradnl"/>
        </w:rPr>
        <w:t>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545564C5" w14:textId="77777777" w:rsidR="00FB5C5C" w:rsidRPr="008677DE" w:rsidRDefault="00FB5C5C" w:rsidP="00FB5C5C">
      <w:pPr>
        <w:tabs>
          <w:tab w:val="left" w:pos="0"/>
        </w:tabs>
        <w:spacing w:after="0" w:line="276" w:lineRule="auto"/>
        <w:ind w:firstLine="709"/>
        <w:jc w:val="both"/>
        <w:rPr>
          <w:rFonts w:ascii="Verdana" w:hAnsi="Verdana" w:cs="Arial"/>
          <w:noProof/>
          <w:lang w:val="es-ES_tradnl"/>
        </w:rPr>
      </w:pPr>
    </w:p>
    <w:p w14:paraId="6B07C3F6" w14:textId="77777777" w:rsidR="00FB5C5C" w:rsidRDefault="00FB5C5C" w:rsidP="00FB5C5C">
      <w:pPr>
        <w:spacing w:after="0" w:line="240" w:lineRule="auto"/>
        <w:ind w:left="709" w:right="709"/>
        <w:jc w:val="both"/>
        <w:rPr>
          <w:rFonts w:ascii="Verdana" w:hAnsi="Verdana" w:cs="Arial"/>
          <w:sz w:val="20"/>
          <w:szCs w:val="20"/>
        </w:rPr>
      </w:pPr>
      <w:r w:rsidRPr="00EB30BA">
        <w:rPr>
          <w:rFonts w:ascii="Verdana" w:hAnsi="Verdana" w:cs="Arial"/>
          <w:sz w:val="20"/>
          <w:szCs w:val="20"/>
        </w:rPr>
        <w:t xml:space="preserve">“Las Entidades Estatales pueden contratar bajo la modalidad de contratación directa </w:t>
      </w:r>
      <w:r>
        <w:rPr>
          <w:rFonts w:ascii="Verdana" w:hAnsi="Verdana" w:cs="Arial"/>
          <w:sz w:val="20"/>
          <w:szCs w:val="20"/>
        </w:rPr>
        <w:t xml:space="preserve">f </w:t>
      </w:r>
      <w:r w:rsidRPr="00EB30BA">
        <w:rPr>
          <w:rFonts w:ascii="Verdana" w:hAnsi="Verdana" w:cs="Arial"/>
          <w:sz w:val="20"/>
          <w:szCs w:val="20"/>
        </w:rPr>
        <w:t xml:space="preserve">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w:t>
      </w:r>
      <w:r w:rsidRPr="00EB30BA">
        <w:rPr>
          <w:rFonts w:ascii="Verdana" w:hAnsi="Verdana" w:cs="Arial"/>
          <w:sz w:val="20"/>
          <w:szCs w:val="20"/>
        </w:rPr>
        <w:lastRenderedPageBreak/>
        <w:t>obtenido previamente varias ofertas, de lo cual el ordenador del gasto debe dejar constancia escrita.</w:t>
      </w:r>
    </w:p>
    <w:p w14:paraId="23F5B1E0" w14:textId="77777777" w:rsidR="00FB5C5C" w:rsidRPr="00EB30BA" w:rsidRDefault="00FB5C5C" w:rsidP="00FB5C5C">
      <w:pPr>
        <w:spacing w:after="0" w:line="240" w:lineRule="auto"/>
        <w:ind w:left="709" w:right="709"/>
        <w:jc w:val="both"/>
        <w:rPr>
          <w:rFonts w:ascii="Verdana" w:hAnsi="Verdana" w:cs="Arial"/>
          <w:sz w:val="20"/>
          <w:szCs w:val="20"/>
        </w:rPr>
      </w:pPr>
    </w:p>
    <w:p w14:paraId="23B59B72" w14:textId="77777777" w:rsidR="00FB5C5C" w:rsidRPr="00EB30BA" w:rsidRDefault="00FB5C5C" w:rsidP="00FB5C5C">
      <w:pPr>
        <w:spacing w:after="0" w:line="240" w:lineRule="auto"/>
        <w:ind w:left="709" w:right="709"/>
        <w:jc w:val="both"/>
        <w:rPr>
          <w:rFonts w:ascii="Verdana" w:hAnsi="Verdana" w:cs="Arial"/>
          <w:sz w:val="20"/>
          <w:szCs w:val="20"/>
        </w:rPr>
      </w:pPr>
      <w:r w:rsidRPr="00EB30BA">
        <w:rPr>
          <w:rFonts w:ascii="Verdana" w:hAnsi="Verdana" w:cs="Arial"/>
          <w:sz w:val="20"/>
          <w:szCs w:val="2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9191951" w14:textId="77777777" w:rsidR="00FB5C5C" w:rsidRDefault="00FB5C5C" w:rsidP="00FB5C5C">
      <w:pPr>
        <w:spacing w:after="0" w:line="240" w:lineRule="auto"/>
        <w:ind w:left="709" w:right="709"/>
        <w:jc w:val="both"/>
        <w:rPr>
          <w:rFonts w:ascii="Verdana" w:hAnsi="Verdana" w:cs="Arial"/>
          <w:sz w:val="20"/>
          <w:szCs w:val="20"/>
        </w:rPr>
      </w:pPr>
    </w:p>
    <w:p w14:paraId="22ECF50B" w14:textId="77777777" w:rsidR="00FB5C5C" w:rsidRPr="00EB30BA" w:rsidRDefault="00FB5C5C" w:rsidP="00FB5C5C">
      <w:pPr>
        <w:spacing w:after="0" w:line="240" w:lineRule="auto"/>
        <w:ind w:left="709" w:right="709"/>
        <w:jc w:val="both"/>
        <w:rPr>
          <w:rFonts w:ascii="Verdana" w:hAnsi="Verdana" w:cs="Arial"/>
          <w:sz w:val="20"/>
          <w:szCs w:val="20"/>
        </w:rPr>
      </w:pPr>
      <w:r w:rsidRPr="00EB30BA">
        <w:rPr>
          <w:rFonts w:ascii="Verdana" w:hAnsi="Verdana" w:cs="Arial"/>
          <w:sz w:val="20"/>
          <w:szCs w:val="20"/>
        </w:rPr>
        <w:t>La Entidad Estatal, para la contratación de trabajos artísticos que solamente puedan en</w:t>
      </w:r>
      <w:r w:rsidRPr="00EB30BA">
        <w:rPr>
          <w:rFonts w:ascii="Verdana" w:hAnsi="Verdana" w:cs="Arial"/>
          <w:sz w:val="20"/>
          <w:szCs w:val="20"/>
        </w:rPr>
        <w:softHyphen/>
        <w:t>comendarse a determinadas personas naturales, debe justificar esta situación en los estudios y documentos previos”.</w:t>
      </w:r>
    </w:p>
    <w:p w14:paraId="77817ECF" w14:textId="77777777" w:rsidR="00FB5C5C" w:rsidRDefault="00FB5C5C" w:rsidP="00FB5C5C">
      <w:pPr>
        <w:tabs>
          <w:tab w:val="left" w:pos="0"/>
        </w:tabs>
        <w:spacing w:after="0" w:line="276" w:lineRule="auto"/>
        <w:jc w:val="both"/>
        <w:rPr>
          <w:rFonts w:ascii="Verdana" w:hAnsi="Verdana" w:cs="Arial"/>
          <w:color w:val="000000" w:themeColor="text1"/>
          <w:lang w:val="es-ES_tradnl"/>
        </w:rPr>
      </w:pPr>
      <w:r w:rsidRPr="008677DE">
        <w:rPr>
          <w:rFonts w:ascii="Verdana" w:hAnsi="Verdana" w:cs="Arial"/>
          <w:color w:val="000000" w:themeColor="text1"/>
          <w:lang w:val="es-ES_tradnl"/>
        </w:rPr>
        <w:tab/>
      </w:r>
    </w:p>
    <w:p w14:paraId="3DEAC6E8" w14:textId="77777777" w:rsidR="00FB5C5C" w:rsidRPr="008677DE" w:rsidRDefault="00FB5C5C" w:rsidP="00FB5C5C">
      <w:pPr>
        <w:tabs>
          <w:tab w:val="left" w:pos="0"/>
        </w:tabs>
        <w:spacing w:after="120" w:line="276" w:lineRule="auto"/>
        <w:jc w:val="both"/>
        <w:rPr>
          <w:rFonts w:ascii="Verdana" w:hAnsi="Verdana" w:cs="Arial"/>
          <w:color w:val="000000" w:themeColor="text1"/>
          <w:lang w:val="es-ES_tradnl"/>
        </w:rPr>
      </w:pPr>
      <w:r>
        <w:rPr>
          <w:rFonts w:ascii="Verdana" w:hAnsi="Verdana" w:cs="Arial"/>
          <w:color w:val="000000" w:themeColor="text1"/>
          <w:lang w:val="es-ES_tradnl"/>
        </w:rPr>
        <w:tab/>
      </w:r>
      <w:r w:rsidRPr="008677DE">
        <w:rPr>
          <w:rFonts w:ascii="Verdana" w:hAnsi="Verdana" w:cs="Arial"/>
          <w:color w:val="000000" w:themeColor="text1"/>
          <w:lang w:val="es-ES_tradnl"/>
        </w:rPr>
        <w:t>A partir de las disposiciones citadas, así como de la Sentencia de Unificación de Jurisprudencial del 9 de septiembre de 2021, proferida por el Consejo de Estado</w:t>
      </w:r>
      <w:r w:rsidRPr="008677DE">
        <w:rPr>
          <w:rStyle w:val="Refdenotaalpie"/>
          <w:rFonts w:ascii="Verdana" w:hAnsi="Verdana" w:cs="Arial"/>
          <w:bCs/>
          <w:lang w:val="es-ES"/>
        </w:rPr>
        <w:footnoteReference w:id="1"/>
      </w:r>
      <w:r w:rsidRPr="008677DE">
        <w:rPr>
          <w:rFonts w:ascii="Verdana" w:hAnsi="Verdana" w:cs="Arial"/>
          <w:color w:val="000000" w:themeColor="text1"/>
          <w:lang w:val="es-ES_tradnl"/>
        </w:rPr>
        <w:t>, es posible señalar las siguientes características del contrato de prestación de servicios</w:t>
      </w:r>
      <w:r w:rsidRPr="008677DE">
        <w:rPr>
          <w:rFonts w:ascii="Verdana" w:hAnsi="Verdana" w:cs="Arial"/>
          <w:noProof/>
          <w:lang w:val="es-ES_tradnl"/>
        </w:rPr>
        <w:t>:</w:t>
      </w:r>
    </w:p>
    <w:p w14:paraId="72DD87EC" w14:textId="77777777" w:rsidR="00FB5C5C" w:rsidRPr="008677DE" w:rsidRDefault="00FB5C5C" w:rsidP="00FB5C5C">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 Solo puede celebrarse para realizar </w:t>
      </w:r>
      <w:r>
        <w:rPr>
          <w:rFonts w:ascii="Verdana" w:hAnsi="Verdana" w:cs="Arial"/>
          <w:noProof/>
          <w:lang w:val="es-ES_tradnl"/>
        </w:rPr>
        <w:t>“</w:t>
      </w:r>
      <w:r w:rsidRPr="008677DE">
        <w:rPr>
          <w:rFonts w:ascii="Verdana" w:hAnsi="Verdana" w:cs="Arial"/>
          <w:noProof/>
          <w:lang w:val="es-ES_tradnl"/>
        </w:rPr>
        <w:t>actividades relacionadas con la administración o funcionamiento de la entidad</w:t>
      </w:r>
      <w:r>
        <w:rPr>
          <w:rFonts w:ascii="Verdana" w:hAnsi="Verdana" w:cs="Arial"/>
          <w:noProof/>
          <w:lang w:val="es-ES_tradnl"/>
        </w:rPr>
        <w:t>”</w:t>
      </w:r>
      <w:r w:rsidRPr="008677DE">
        <w:rPr>
          <w:rFonts w:ascii="Verdana" w:hAnsi="Verdana" w:cs="Arial"/>
          <w:noProof/>
          <w:lang w:val="es-ES_tradnl"/>
        </w:rPr>
        <w:t>, es decir, que hagan parte de su giro ordinario o quehacer cotidiano</w:t>
      </w:r>
      <w:r w:rsidRPr="008677DE">
        <w:rPr>
          <w:rStyle w:val="Refdenotaalpie"/>
          <w:rFonts w:ascii="Verdana" w:hAnsi="Verdana" w:cs="Arial"/>
          <w:noProof/>
          <w:lang w:val="es-ES_tradnl"/>
        </w:rPr>
        <w:footnoteReference w:id="2"/>
      </w:r>
      <w:r w:rsidRPr="008677DE">
        <w:rPr>
          <w:rFonts w:ascii="Verdana" w:hAnsi="Verdana" w:cs="Arial"/>
          <w:noProof/>
          <w:lang w:val="es-ES_tradnl"/>
        </w:rPr>
        <w:t>.</w:t>
      </w:r>
    </w:p>
    <w:p w14:paraId="37B45A2D" w14:textId="77777777" w:rsidR="00FB5C5C" w:rsidRPr="008677DE" w:rsidRDefault="00FB5C5C" w:rsidP="00FB5C5C">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ii) Respecto del tipo de personas que pueden ser contratadas, admite que se suscriba con personas naturales o jurídicas. Sin embargo, cuando se celebre con aquellas, la Entidad Estatal debe justificar, en los estudios previos, que las actividades </w:t>
      </w:r>
      <w:r>
        <w:rPr>
          <w:rFonts w:ascii="Verdana" w:hAnsi="Verdana" w:cs="Arial"/>
          <w:noProof/>
          <w:lang w:val="es-ES_tradnl"/>
        </w:rPr>
        <w:t>“</w:t>
      </w:r>
      <w:r w:rsidRPr="008677DE">
        <w:rPr>
          <w:rFonts w:ascii="Verdana" w:hAnsi="Verdana" w:cs="Arial"/>
          <w:noProof/>
          <w:lang w:val="es-ES_tradnl"/>
        </w:rPr>
        <w:t>no puedan realizarse con personal de planta o requieran conocimientos especializados</w:t>
      </w:r>
      <w:r>
        <w:rPr>
          <w:rFonts w:ascii="Verdana" w:hAnsi="Verdana" w:cs="Arial"/>
          <w:noProof/>
          <w:lang w:val="es-ES_tradnl"/>
        </w:rPr>
        <w:t>”</w:t>
      </w:r>
      <w:r w:rsidRPr="008677DE">
        <w:rPr>
          <w:rFonts w:ascii="Verdana" w:hAnsi="Verdana" w:cs="Arial"/>
          <w:noProof/>
          <w:lang w:val="es-ES_tradnl"/>
        </w:rPr>
        <w:t>.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1CF44A7D" w14:textId="77777777" w:rsidR="00FB5C5C" w:rsidRDefault="00FB5C5C" w:rsidP="00FB5C5C">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8677DE">
        <w:rPr>
          <w:rFonts w:ascii="Verdana" w:hAnsi="Verdana" w:cs="Arial"/>
          <w:i/>
          <w:noProof/>
          <w:lang w:val="es-ES_tradnl"/>
        </w:rPr>
        <w:t xml:space="preserve">subordinación </w:t>
      </w:r>
      <w:r w:rsidRPr="008677DE">
        <w:rPr>
          <w:rFonts w:ascii="Verdana" w:hAnsi="Verdana" w:cs="Arial"/>
          <w:iCs/>
          <w:noProof/>
          <w:lang w:val="es-ES_tradnl"/>
        </w:rPr>
        <w:t>ni</w:t>
      </w:r>
      <w:r w:rsidRPr="008677DE">
        <w:rPr>
          <w:rFonts w:ascii="Verdana" w:hAnsi="Verdana" w:cs="Arial"/>
          <w:i/>
          <w:noProof/>
          <w:lang w:val="es-ES_tradnl"/>
        </w:rPr>
        <w:t xml:space="preserve"> </w:t>
      </w:r>
      <w:r w:rsidRPr="008677DE">
        <w:rPr>
          <w:rFonts w:ascii="Verdana" w:hAnsi="Verdana" w:cs="Arial"/>
          <w:i/>
          <w:noProof/>
          <w:lang w:val="es-ES_tradnl"/>
        </w:rPr>
        <w:lastRenderedPageBreak/>
        <w:t>dependencia</w:t>
      </w:r>
      <w:r w:rsidRPr="008677DE">
        <w:rPr>
          <w:rFonts w:ascii="Verdana" w:hAnsi="Verdana" w:cs="Arial"/>
          <w:iCs/>
          <w:noProof/>
          <w:lang w:val="es-ES_tradnl"/>
        </w:rPr>
        <w:t>,</w:t>
      </w:r>
      <w:r w:rsidRPr="008677DE">
        <w:rPr>
          <w:rFonts w:ascii="Verdana" w:hAnsi="Verdana" w:cs="Arial"/>
          <w:noProof/>
          <w:lang w:val="es-ES_tradnl"/>
        </w:rPr>
        <w:t xml:space="preserve"> que es uno de los elementos constitutivos del vínculo laboral</w:t>
      </w:r>
      <w:r w:rsidRPr="008677DE">
        <w:rPr>
          <w:rStyle w:val="Refdenotaalpie"/>
          <w:rFonts w:ascii="Verdana" w:hAnsi="Verdana" w:cs="Arial"/>
          <w:noProof/>
          <w:lang w:val="es-ES_tradnl"/>
        </w:rPr>
        <w:footnoteReference w:id="3"/>
      </w:r>
      <w:r w:rsidRPr="008677DE">
        <w:rPr>
          <w:rFonts w:ascii="Verdana" w:hAnsi="Verdana" w:cs="Arial"/>
          <w:noProof/>
          <w:lang w:val="es-ES_tradnl"/>
        </w:rPr>
        <w:t xml:space="preserve">. Por eso, el artículo 32, numeral 3º, de la Ley 80 de 1993 establece que </w:t>
      </w:r>
      <w:r>
        <w:rPr>
          <w:rFonts w:ascii="Verdana" w:hAnsi="Verdana" w:cs="Arial"/>
          <w:noProof/>
          <w:lang w:val="es-ES_tradnl"/>
        </w:rPr>
        <w:t>“</w:t>
      </w:r>
      <w:r w:rsidRPr="008677DE">
        <w:rPr>
          <w:rFonts w:ascii="Verdana" w:hAnsi="Verdana" w:cs="Arial"/>
          <w:noProof/>
          <w:lang w:val="es-ES_tradnl"/>
        </w:rPr>
        <w:t>En ningún caso estos contratos generan relación laboral ni prestaciones sociales</w:t>
      </w:r>
      <w:r>
        <w:rPr>
          <w:rFonts w:ascii="Verdana" w:hAnsi="Verdana" w:cs="Arial"/>
          <w:noProof/>
          <w:lang w:val="es-ES_tradnl"/>
        </w:rPr>
        <w:t>”</w:t>
      </w:r>
      <w:r w:rsidRPr="008677DE">
        <w:rPr>
          <w:rFonts w:ascii="Verdana" w:hAnsi="Verdana" w:cs="Arial"/>
          <w:noProof/>
          <w:lang w:val="es-ES_tradnl"/>
        </w:rPr>
        <w:t xml:space="preserve">. Este inciso, más que un enunciado que aluda al </w:t>
      </w:r>
      <w:r>
        <w:rPr>
          <w:rFonts w:ascii="Verdana" w:hAnsi="Verdana" w:cs="Arial"/>
          <w:noProof/>
          <w:lang w:val="es-ES_tradnl"/>
        </w:rPr>
        <w:t>“</w:t>
      </w:r>
      <w:r w:rsidRPr="008677DE">
        <w:rPr>
          <w:rFonts w:ascii="Verdana" w:hAnsi="Verdana" w:cs="Arial"/>
          <w:noProof/>
          <w:lang w:val="es-ES_tradnl"/>
        </w:rPr>
        <w:t>ser</w:t>
      </w:r>
      <w:r>
        <w:rPr>
          <w:rFonts w:ascii="Verdana" w:hAnsi="Verdana" w:cs="Arial"/>
          <w:noProof/>
          <w:lang w:val="es-ES_tradnl"/>
        </w:rPr>
        <w:t>”</w:t>
      </w:r>
      <w:r w:rsidRPr="008677DE">
        <w:rPr>
          <w:rFonts w:ascii="Verdana" w:hAnsi="Verdana" w:cs="Arial"/>
          <w:noProof/>
          <w:lang w:val="es-ES_tradnl"/>
        </w:rPr>
        <w:t xml:space="preserve">, se refiere al </w:t>
      </w:r>
      <w:r>
        <w:rPr>
          <w:rFonts w:ascii="Verdana" w:hAnsi="Verdana" w:cs="Arial"/>
          <w:noProof/>
          <w:lang w:val="es-ES_tradnl"/>
        </w:rPr>
        <w:t>“</w:t>
      </w:r>
      <w:r w:rsidRPr="008677DE">
        <w:rPr>
          <w:rFonts w:ascii="Verdana" w:hAnsi="Verdana" w:cs="Arial"/>
          <w:noProof/>
          <w:lang w:val="es-ES_tradnl"/>
        </w:rPr>
        <w:t>deber ser</w:t>
      </w:r>
      <w:r>
        <w:rPr>
          <w:rFonts w:ascii="Verdana" w:hAnsi="Verdana" w:cs="Arial"/>
          <w:noProof/>
          <w:lang w:val="es-ES_tradnl"/>
        </w:rPr>
        <w:t>”</w:t>
      </w:r>
      <w:r w:rsidRPr="008677DE">
        <w:rPr>
          <w:rFonts w:ascii="Verdana" w:hAnsi="Verdana" w:cs="Arial"/>
          <w:noProof/>
          <w:lang w:val="es-ES_tradnl"/>
        </w:rPr>
        <w:t xml:space="preserve">, pues debe interpretarse en el sentido de que los contratos de prestación de servicios profesionales </w:t>
      </w:r>
      <w:r w:rsidRPr="008677DE">
        <w:rPr>
          <w:rFonts w:ascii="Verdana" w:hAnsi="Verdana" w:cs="Arial"/>
          <w:i/>
          <w:noProof/>
          <w:lang w:val="es-ES_tradnl"/>
        </w:rPr>
        <w:t>no pueden</w:t>
      </w:r>
      <w:r w:rsidRPr="008677DE">
        <w:rPr>
          <w:rFonts w:ascii="Verdana" w:hAnsi="Verdana" w:cs="Arial"/>
          <w:noProof/>
          <w:lang w:val="es-ES_tradnl"/>
        </w:rPr>
        <w:t xml:space="preserve"> generar relación laboral, ni dar lugar a que las entidades estatales paguen por su cuenta los aportes al Sistema de Seguridad Social Integral del contratista. </w:t>
      </w:r>
    </w:p>
    <w:p w14:paraId="62DA6497" w14:textId="77777777" w:rsidR="00FB5C5C" w:rsidRDefault="00FB5C5C" w:rsidP="00FB5C5C">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Tal como se indicó, no puede existir subordinación y dependencia; entonces, la relación laboral está proscrita y el contratista es quien, como </w:t>
      </w:r>
      <w:r>
        <w:rPr>
          <w:rFonts w:ascii="Verdana" w:hAnsi="Verdana" w:cs="Arial"/>
          <w:noProof/>
          <w:lang w:val="es-ES_tradnl"/>
        </w:rPr>
        <w:t>“</w:t>
      </w:r>
      <w:r w:rsidRPr="008677DE">
        <w:rPr>
          <w:rFonts w:ascii="Verdana" w:hAnsi="Verdana" w:cs="Arial"/>
          <w:noProof/>
          <w:lang w:val="es-ES_tradnl"/>
        </w:rPr>
        <w:t>trabajador independiente</w:t>
      </w:r>
      <w:r>
        <w:rPr>
          <w:rFonts w:ascii="Verdana" w:hAnsi="Verdana" w:cs="Arial"/>
          <w:noProof/>
          <w:lang w:val="es-ES_tradnl"/>
        </w:rPr>
        <w:t>”</w:t>
      </w:r>
      <w:r w:rsidRPr="008677DE">
        <w:rPr>
          <w:rFonts w:ascii="Verdana" w:hAnsi="Verdana" w:cs="Arial"/>
          <w:noProof/>
          <w:lang w:val="es-ES_tradnl"/>
        </w:rPr>
        <w:t xml:space="preserve"> –como lo califican las normas de la seguridad social– debe cotizar por su cuenta y riesgo al Sistema de Seguridad Social Integral</w:t>
      </w:r>
      <w:r w:rsidRPr="008677DE">
        <w:rPr>
          <w:rStyle w:val="Refdenotaalpie"/>
          <w:rFonts w:ascii="Verdana" w:hAnsi="Verdana" w:cs="Arial"/>
          <w:noProof/>
          <w:lang w:val="es-ES_tradnl"/>
        </w:rPr>
        <w:footnoteReference w:id="4"/>
      </w:r>
      <w:r w:rsidRPr="008677DE">
        <w:rPr>
          <w:rFonts w:ascii="Verdana" w:hAnsi="Verdana" w:cs="Arial"/>
          <w:noProof/>
          <w:lang w:val="es-ES_tradnl"/>
        </w:rPr>
        <w:t xml:space="preserve">. A pesar de este mandato deontológico, es posible que en la práctica se configure una relación laboral, pues el contrato de trabajo es </w:t>
      </w:r>
      <w:r w:rsidRPr="008677DE">
        <w:rPr>
          <w:rFonts w:ascii="Verdana" w:hAnsi="Verdana" w:cs="Arial"/>
          <w:i/>
          <w:iCs/>
          <w:noProof/>
          <w:lang w:val="es-ES_tradnl"/>
        </w:rPr>
        <w:t xml:space="preserve">de </w:t>
      </w:r>
      <w:r w:rsidRPr="008677DE">
        <w:rPr>
          <w:rFonts w:ascii="Verdana" w:hAnsi="Verdana" w:cs="Arial"/>
          <w:i/>
          <w:noProof/>
          <w:lang w:val="es-ES_tradnl"/>
        </w:rPr>
        <w:t>realidad</w:t>
      </w:r>
      <w:r w:rsidRPr="008677DE">
        <w:rPr>
          <w:rFonts w:ascii="Verdana" w:hAnsi="Verdana" w:cs="Arial"/>
          <w:noProof/>
          <w:lang w:val="es-ES_tradnl"/>
        </w:rPr>
        <w:t xml:space="preserve">, y para perfeccionarlo rige el principio de prevalencia de la realidad sobre las formalidades. </w:t>
      </w:r>
    </w:p>
    <w:p w14:paraId="6F51E41F" w14:textId="77777777" w:rsidR="00FB5C5C" w:rsidRDefault="00FB5C5C" w:rsidP="00FB5C5C">
      <w:pPr>
        <w:spacing w:after="120" w:line="276" w:lineRule="auto"/>
        <w:ind w:firstLine="709"/>
        <w:jc w:val="both"/>
        <w:rPr>
          <w:rFonts w:ascii="Verdana" w:hAnsi="Verdana" w:cs="Arial"/>
          <w:noProof/>
          <w:lang w:val="es-ES_tradnl"/>
        </w:rPr>
      </w:pPr>
      <w:r w:rsidRPr="008677DE">
        <w:rPr>
          <w:rFonts w:ascii="Verdana" w:hAnsi="Verdana" w:cs="Arial"/>
          <w:noProof/>
          <w:lang w:val="es-ES_tradnl"/>
        </w:rPr>
        <w:t xml:space="preserve">En el sentido anterior, la Corte Constitucional declaró la exequibilidad condicionada del segundo inciso del numeral 3º del artículo 32, indicando que </w:t>
      </w:r>
      <w:r>
        <w:rPr>
          <w:rFonts w:ascii="Verdana" w:hAnsi="Verdana" w:cs="Arial"/>
          <w:noProof/>
          <w:lang w:val="es-ES_tradnl"/>
        </w:rPr>
        <w:t>“</w:t>
      </w:r>
      <w:r w:rsidRPr="008677DE">
        <w:rPr>
          <w:rFonts w:ascii="Verdana" w:hAnsi="Verdana" w:cs="Arial"/>
          <w:noProof/>
          <w:lang w:val="es-ES_tradnl"/>
        </w:rPr>
        <w:t xml:space="preserve">las expresiones acusadas del numeral 3º del artículo 32 de la Ley 80 de 1993, no vulneran los preceptos constitucionales, razón por la cual deberán ser </w:t>
      </w:r>
      <w:r w:rsidRPr="008677DE">
        <w:rPr>
          <w:rFonts w:ascii="Verdana" w:hAnsi="Verdana" w:cs="Arial"/>
          <w:noProof/>
          <w:lang w:val="es-ES_tradnl"/>
        </w:rPr>
        <w:lastRenderedPageBreak/>
        <w:t>declaradas exequibles, salvo que se acredite por parte del contratista la existencia de una relación laboral subordinada</w:t>
      </w:r>
      <w:r>
        <w:rPr>
          <w:rFonts w:ascii="Verdana" w:hAnsi="Verdana" w:cs="Arial"/>
          <w:noProof/>
          <w:lang w:val="es-ES_tradnl"/>
        </w:rPr>
        <w:t>”</w:t>
      </w:r>
      <w:r w:rsidRPr="008677DE">
        <w:rPr>
          <w:rStyle w:val="Refdenotaalpie"/>
          <w:rFonts w:ascii="Verdana" w:hAnsi="Verdana" w:cs="Arial"/>
          <w:noProof/>
          <w:lang w:val="es-ES_tradnl"/>
        </w:rPr>
        <w:footnoteReference w:id="5"/>
      </w:r>
      <w:r w:rsidRPr="008677DE">
        <w:rPr>
          <w:rFonts w:ascii="Verdana" w:hAnsi="Verdana" w:cs="Arial"/>
          <w:noProof/>
          <w:lang w:val="es-ES_tradnl"/>
        </w:rPr>
        <w:t xml:space="preserve">. </w:t>
      </w:r>
    </w:p>
    <w:p w14:paraId="33A96F5A" w14:textId="77777777" w:rsidR="00FB5C5C" w:rsidRPr="008677DE" w:rsidRDefault="00FB5C5C" w:rsidP="00FB5C5C">
      <w:pPr>
        <w:spacing w:after="120" w:line="276" w:lineRule="auto"/>
        <w:ind w:firstLine="709"/>
        <w:jc w:val="both"/>
        <w:rPr>
          <w:rFonts w:ascii="Verdana" w:hAnsi="Verdana" w:cs="Arial"/>
          <w:noProof/>
          <w:lang w:val="es-ES_tradnl"/>
        </w:rPr>
      </w:pPr>
      <w:r w:rsidRPr="008677DE">
        <w:rPr>
          <w:rFonts w:ascii="Verdana" w:hAnsi="Verdana" w:cs="Arial"/>
          <w:noProof/>
          <w:lang w:val="es-ES_tradnl"/>
        </w:rPr>
        <w:t>Por su parte, el Consejo de Estado</w:t>
      </w:r>
      <w:r>
        <w:rPr>
          <w:rFonts w:ascii="Verdana" w:hAnsi="Verdana" w:cs="Arial"/>
          <w:noProof/>
          <w:lang w:val="es-ES_tradnl"/>
        </w:rPr>
        <w:t>,</w:t>
      </w:r>
      <w:r w:rsidRPr="008677DE">
        <w:rPr>
          <w:rFonts w:ascii="Verdana" w:hAnsi="Verdana" w:cs="Arial"/>
          <w:noProof/>
          <w:lang w:val="es-ES_tradnl"/>
        </w:rPr>
        <w:t xml:space="preserve"> en sentencia de unificación jurisprudencial del 9 de septiembre de 2021</w:t>
      </w:r>
      <w:r>
        <w:rPr>
          <w:rFonts w:ascii="Verdana" w:hAnsi="Verdana" w:cs="Arial"/>
          <w:noProof/>
          <w:lang w:val="es-ES_tradnl"/>
        </w:rPr>
        <w:t>,</w:t>
      </w:r>
      <w:r w:rsidRPr="008677DE">
        <w:rPr>
          <w:rFonts w:ascii="Verdana" w:hAnsi="Verdana" w:cs="Arial"/>
          <w:noProof/>
          <w:lang w:val="es-ES_tradnl"/>
        </w:rPr>
        <w:t xml:space="preserve"> se pronunció respecto de los criterios para identificar la existencia de una relación laboral encubierta o subyacente por contratos de </w:t>
      </w:r>
      <w:r>
        <w:rPr>
          <w:rFonts w:ascii="Verdana" w:hAnsi="Verdana" w:cs="Arial"/>
          <w:noProof/>
          <w:lang w:val="es-ES_tradnl"/>
        </w:rPr>
        <w:t>p</w:t>
      </w:r>
      <w:r w:rsidRPr="008677DE">
        <w:rPr>
          <w:rFonts w:ascii="Verdana" w:hAnsi="Verdana" w:cs="Arial"/>
          <w:noProof/>
          <w:lang w:val="es-ES_tradnl"/>
        </w:rPr>
        <w:t>restación de servicios y definó tres reglas para el</w:t>
      </w:r>
      <w:r>
        <w:rPr>
          <w:rFonts w:ascii="Verdana" w:hAnsi="Verdana" w:cs="Arial"/>
          <w:noProof/>
          <w:lang w:val="es-ES_tradnl"/>
        </w:rPr>
        <w:t xml:space="preserve"> </w:t>
      </w:r>
      <w:r w:rsidRPr="008677DE">
        <w:rPr>
          <w:rFonts w:ascii="Verdana" w:hAnsi="Verdana" w:cs="Arial"/>
          <w:noProof/>
          <w:lang w:val="es-ES_tradnl"/>
        </w:rPr>
        <w:t>efecto</w:t>
      </w:r>
      <w:r w:rsidRPr="008677DE">
        <w:rPr>
          <w:rFonts w:ascii="Verdana" w:hAnsi="Verdana"/>
          <w:vertAlign w:val="superscript"/>
          <w:lang w:val="es-ES_tradnl"/>
        </w:rPr>
        <w:footnoteReference w:id="6"/>
      </w:r>
      <w:r w:rsidRPr="008677DE">
        <w:rPr>
          <w:rFonts w:ascii="Verdana" w:hAnsi="Verdana" w:cs="Arial"/>
          <w:noProof/>
          <w:lang w:val="es-ES_tradnl"/>
        </w:rPr>
        <w:t>, aspectos que fueron aclarados posteriormente por Auto del 11 de noviembre de 2021</w:t>
      </w:r>
      <w:r w:rsidRPr="008677DE">
        <w:rPr>
          <w:rStyle w:val="Refdenotaalpie"/>
          <w:rFonts w:ascii="Verdana" w:hAnsi="Verdana" w:cs="Arial"/>
          <w:noProof/>
          <w:lang w:val="es-ES_tradnl"/>
        </w:rPr>
        <w:footnoteReference w:id="7"/>
      </w:r>
      <w:r w:rsidRPr="008677DE">
        <w:rPr>
          <w:rFonts w:ascii="Verdana" w:hAnsi="Verdana" w:cs="Arial"/>
          <w:noProof/>
          <w:lang w:val="es-ES_tradnl"/>
        </w:rPr>
        <w:t>.</w:t>
      </w:r>
    </w:p>
    <w:p w14:paraId="06218D5D" w14:textId="77777777" w:rsidR="00FB5C5C" w:rsidRDefault="00FB5C5C" w:rsidP="00FB5C5C">
      <w:pPr>
        <w:spacing w:after="120" w:line="276" w:lineRule="auto"/>
        <w:ind w:firstLine="709"/>
        <w:jc w:val="both"/>
        <w:rPr>
          <w:rFonts w:ascii="Verdana" w:hAnsi="Verdana" w:cs="Arial"/>
        </w:rPr>
      </w:pPr>
      <w:r w:rsidRPr="008677DE">
        <w:rPr>
          <w:rFonts w:ascii="Verdana" w:hAnsi="Verdana" w:cs="Arial"/>
          <w:noProof/>
          <w:lang w:val="es-ES_tradnl"/>
        </w:rPr>
        <w:t xml:space="preserve">iv) Deben ser temporales. La sentencia de unificacion jurisprudencial del Consejo de Estado mencionada, frente a la duración del contrato de prestación de servicios señaló que solo puede celebrarse por un </w:t>
      </w:r>
      <w:r>
        <w:rPr>
          <w:rFonts w:ascii="Verdana" w:hAnsi="Verdana" w:cs="Arial"/>
          <w:noProof/>
          <w:lang w:val="es-ES_tradnl"/>
        </w:rPr>
        <w:t>“</w:t>
      </w:r>
      <w:r w:rsidRPr="008677DE">
        <w:rPr>
          <w:rFonts w:ascii="Verdana" w:hAnsi="Verdana" w:cs="Arial"/>
          <w:noProof/>
          <w:lang w:val="es-ES_tradnl"/>
        </w:rPr>
        <w:t>término estrictamente indispensable</w:t>
      </w:r>
      <w:r>
        <w:rPr>
          <w:rFonts w:ascii="Verdana" w:hAnsi="Verdana" w:cs="Arial"/>
          <w:noProof/>
          <w:lang w:val="es-ES_tradnl"/>
        </w:rPr>
        <w:t>”</w:t>
      </w:r>
      <w:r w:rsidRPr="008677DE">
        <w:rPr>
          <w:rFonts w:ascii="Verdana" w:hAnsi="Verdana" w:cs="Arial"/>
          <w:noProof/>
          <w:lang w:val="es-ES_tradnl"/>
        </w:rPr>
        <w:t xml:space="preserve">. En ese entendido, unificó el sentido y alcance del término estrictamente indispensable como </w:t>
      </w:r>
      <w:r>
        <w:rPr>
          <w:rFonts w:ascii="Verdana" w:hAnsi="Verdana" w:cs="Arial"/>
          <w:noProof/>
          <w:lang w:val="es-ES_tradnl"/>
        </w:rPr>
        <w:t>“</w:t>
      </w:r>
      <w:r w:rsidRPr="008677DE">
        <w:rPr>
          <w:rFonts w:ascii="Verdana" w:hAnsi="Verdana" w:cs="Arial"/>
          <w:noProof/>
          <w:lang w:val="es-ES_tradnl"/>
        </w:rPr>
        <w:t>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Pr>
          <w:rFonts w:ascii="Verdana" w:hAnsi="Verdana" w:cs="Arial"/>
          <w:noProof/>
          <w:lang w:val="es-ES_tradnl"/>
        </w:rPr>
        <w:t>”</w:t>
      </w:r>
      <w:r w:rsidRPr="008677DE">
        <w:rPr>
          <w:rFonts w:ascii="Verdana" w:hAnsi="Verdana" w:cs="Arial"/>
          <w:noProof/>
          <w:lang w:val="es-ES_tradnl"/>
        </w:rPr>
        <w:t>.</w:t>
      </w:r>
      <w:r w:rsidRPr="008677DE">
        <w:rPr>
          <w:rFonts w:ascii="Verdana" w:hAnsi="Verdana" w:cs="Arial"/>
        </w:rPr>
        <w:t xml:space="preserve"> </w:t>
      </w:r>
    </w:p>
    <w:p w14:paraId="5038EF11" w14:textId="77777777" w:rsidR="00FB5C5C" w:rsidRDefault="00FB5C5C" w:rsidP="00FB5C5C">
      <w:pPr>
        <w:spacing w:before="120" w:after="0" w:line="276" w:lineRule="auto"/>
        <w:ind w:firstLine="709"/>
        <w:jc w:val="both"/>
        <w:rPr>
          <w:rFonts w:ascii="Verdana" w:hAnsi="Verdana" w:cs="Arial"/>
          <w:noProof/>
          <w:lang w:val="es-ES_tradnl"/>
        </w:rPr>
      </w:pPr>
      <w:r w:rsidRPr="008677DE">
        <w:rPr>
          <w:rFonts w:ascii="Verdana" w:hAnsi="Verdana" w:cs="Arial"/>
        </w:rPr>
        <w:lastRenderedPageBreak/>
        <w:t xml:space="preserve">De igual manera, señaló que </w:t>
      </w:r>
      <w:r>
        <w:rPr>
          <w:rFonts w:ascii="Verdana" w:hAnsi="Verdana" w:cs="Arial"/>
        </w:rPr>
        <w:t>“</w:t>
      </w:r>
      <w:r w:rsidRPr="008677DE">
        <w:rPr>
          <w:rFonts w:ascii="Verdana" w:hAnsi="Verdana" w:cs="Arial"/>
        </w:rPr>
        <w:t>no cabe su empleo para la cobertura indefinida de necesidades permanentes o recurrentes</w:t>
      </w:r>
      <w:r>
        <w:rPr>
          <w:rFonts w:ascii="Verdana" w:hAnsi="Verdana" w:cs="Arial"/>
        </w:rPr>
        <w:t>”</w:t>
      </w:r>
      <w:r w:rsidRPr="008677DE">
        <w:rPr>
          <w:rFonts w:ascii="Verdana" w:hAnsi="Verdana" w:cs="Arial"/>
        </w:rPr>
        <w:t xml:space="preserve">. </w:t>
      </w:r>
      <w:r w:rsidRPr="008677DE">
        <w:rPr>
          <w:rFonts w:ascii="Verdana" w:hAnsi="Verdana" w:cs="Arial"/>
          <w:noProof/>
          <w:lang w:val="es-ES_tradnl"/>
        </w:rPr>
        <w:t xml:space="preserve">En sentido similar se manifestó la Corte </w:t>
      </w:r>
      <w:r w:rsidRPr="00AB49CF">
        <w:rPr>
          <w:rFonts w:ascii="Verdana" w:hAnsi="Verdana" w:cs="Arial"/>
          <w:noProof/>
          <w:lang w:val="es-ES_tradnl"/>
        </w:rPr>
        <w:t>Constitucional en la Sentencia C-154 de 1997, expresando que:</w:t>
      </w:r>
    </w:p>
    <w:p w14:paraId="3338478D" w14:textId="77777777" w:rsidR="00FB5C5C" w:rsidRPr="00AB49CF" w:rsidRDefault="00FB5C5C" w:rsidP="00FB5C5C">
      <w:pPr>
        <w:spacing w:after="0" w:line="276" w:lineRule="auto"/>
        <w:ind w:firstLine="709"/>
        <w:jc w:val="both"/>
        <w:rPr>
          <w:rFonts w:ascii="Verdana" w:hAnsi="Verdana" w:cs="Arial"/>
          <w:noProof/>
          <w:lang w:val="es-ES_tradnl"/>
        </w:rPr>
      </w:pPr>
    </w:p>
    <w:p w14:paraId="111DC70A" w14:textId="77777777" w:rsidR="00FB5C5C" w:rsidRPr="00EB30BA" w:rsidRDefault="00FB5C5C" w:rsidP="00FB5C5C">
      <w:pPr>
        <w:spacing w:after="0"/>
        <w:ind w:left="709" w:right="709"/>
        <w:jc w:val="both"/>
        <w:rPr>
          <w:rFonts w:ascii="Verdana" w:hAnsi="Verdana" w:cs="Arial"/>
          <w:noProof/>
          <w:sz w:val="20"/>
          <w:szCs w:val="20"/>
          <w:lang w:val="es-ES_tradnl"/>
        </w:rPr>
      </w:pPr>
      <w:r w:rsidRPr="00EB30BA">
        <w:rPr>
          <w:rFonts w:ascii="Verdana" w:hAnsi="Verdana" w:cs="Arial"/>
          <w:noProof/>
          <w:sz w:val="20"/>
          <w:szCs w:val="20"/>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EB30BA">
        <w:rPr>
          <w:rStyle w:val="Refdenotaalpie"/>
          <w:rFonts w:ascii="Verdana" w:hAnsi="Verdana" w:cs="Arial"/>
          <w:noProof/>
          <w:sz w:val="20"/>
          <w:szCs w:val="20"/>
          <w:lang w:val="es-ES_tradnl"/>
        </w:rPr>
        <w:footnoteReference w:id="8"/>
      </w:r>
      <w:r w:rsidRPr="00EB30BA">
        <w:rPr>
          <w:rFonts w:ascii="Verdana" w:hAnsi="Verdana" w:cs="Arial"/>
          <w:noProof/>
          <w:sz w:val="20"/>
          <w:szCs w:val="20"/>
          <w:lang w:val="es-ES_tradnl"/>
        </w:rPr>
        <w:t>.</w:t>
      </w:r>
    </w:p>
    <w:p w14:paraId="3E6983CE" w14:textId="77777777" w:rsidR="00FB5C5C" w:rsidRDefault="00FB5C5C" w:rsidP="00FB5C5C">
      <w:pPr>
        <w:spacing w:after="0" w:line="276" w:lineRule="auto"/>
        <w:ind w:firstLine="709"/>
        <w:jc w:val="both"/>
        <w:rPr>
          <w:rFonts w:ascii="Verdana" w:hAnsi="Verdana" w:cs="Arial"/>
          <w:noProof/>
          <w:lang w:val="es-ES_tradnl"/>
        </w:rPr>
      </w:pPr>
    </w:p>
    <w:p w14:paraId="70F24003" w14:textId="77777777" w:rsidR="00FB5C5C" w:rsidRPr="008677DE" w:rsidRDefault="00FB5C5C" w:rsidP="00FB5C5C">
      <w:pPr>
        <w:spacing w:after="120" w:line="276" w:lineRule="auto"/>
        <w:ind w:firstLine="709"/>
        <w:jc w:val="both"/>
        <w:rPr>
          <w:rFonts w:ascii="Verdana" w:hAnsi="Verdana" w:cs="Arial"/>
          <w:noProof/>
          <w:lang w:val="es-ES_tradnl"/>
        </w:rPr>
      </w:pPr>
      <w:r w:rsidRPr="008677DE">
        <w:rPr>
          <w:rFonts w:ascii="Verdana" w:hAnsi="Verdana"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8677DE">
        <w:rPr>
          <w:rStyle w:val="Refdenotaalpie"/>
          <w:rFonts w:ascii="Verdana" w:hAnsi="Verdana" w:cs="Arial"/>
          <w:noProof/>
          <w:lang w:val="es-ES_tradnl"/>
        </w:rPr>
        <w:footnoteReference w:id="9"/>
      </w:r>
      <w:r w:rsidRPr="008677DE">
        <w:rPr>
          <w:rFonts w:ascii="Verdana" w:hAnsi="Verdana" w:cs="Arial"/>
          <w:noProof/>
          <w:lang w:val="es-ES_tradnl"/>
        </w:rPr>
        <w:t>. Esto también se deriva d</w:t>
      </w:r>
      <w:r w:rsidRPr="008677DE">
        <w:rPr>
          <w:rFonts w:ascii="Verdana" w:eastAsia="Calibri" w:hAnsi="Verdana" w:cs="Arial"/>
          <w:color w:val="000000" w:themeColor="text1"/>
          <w:lang w:val="es-ES_tradnl"/>
        </w:rPr>
        <w:t xml:space="preserve">el artículo 2, numeral 4º, literal h) de la Ley 1150 de 2007, al señalar que procede la contratación directa para la prestación de servicios profesionales y de apoyo a la gestión, o para la ejecución de trabajos artísticos que solo pueden encomendarse a determinadas personas. </w:t>
      </w:r>
      <w:r w:rsidRPr="008677DE">
        <w:rPr>
          <w:rFonts w:ascii="Verdana" w:hAnsi="Verdana" w:cs="Arial"/>
          <w:noProof/>
          <w:lang w:val="es-ES_tradnl"/>
        </w:rPr>
        <w:t xml:space="preserve">Debe aclararse que no debe suscribirse un contrato de prestación de servicios profesionales para ejecutar actividades que se enmarcan en los otros </w:t>
      </w:r>
      <w:r w:rsidRPr="008677DE">
        <w:rPr>
          <w:rFonts w:ascii="Verdana" w:hAnsi="Verdana" w:cs="Arial"/>
          <w:noProof/>
          <w:lang w:val="es-ES_tradnl"/>
        </w:rPr>
        <w:lastRenderedPageBreak/>
        <w:t>contratos tipificados en el artículo 32 de la Ley 80 de 1993, como, por ejemplo, la construcción de una obra.</w:t>
      </w:r>
    </w:p>
    <w:p w14:paraId="188EAC8D" w14:textId="77777777" w:rsidR="00FB5C5C" w:rsidRPr="008677DE" w:rsidRDefault="00FB5C5C" w:rsidP="00FB5C5C">
      <w:pPr>
        <w:spacing w:after="120" w:line="276" w:lineRule="auto"/>
        <w:ind w:firstLine="709"/>
        <w:jc w:val="both"/>
        <w:rPr>
          <w:rFonts w:ascii="Verdana" w:hAnsi="Verdana" w:cs="Arial"/>
          <w:noProof/>
          <w:lang w:val="es-ES_tradnl"/>
        </w:rPr>
      </w:pPr>
      <w:r w:rsidRPr="008677DE">
        <w:rPr>
          <w:rFonts w:ascii="Verdana" w:hAnsi="Verdana" w:cs="Arial"/>
          <w:noProof/>
          <w:lang w:val="es-ES_tradnl"/>
        </w:rPr>
        <w:t>vi) Para su celebración no se requiere expedir un acto administrativo de justificación de la contratación directa</w:t>
      </w:r>
      <w:r w:rsidRPr="008677DE">
        <w:rPr>
          <w:rStyle w:val="Refdenotaalpie"/>
          <w:rFonts w:ascii="Verdana" w:hAnsi="Verdana" w:cs="Arial"/>
          <w:noProof/>
          <w:lang w:val="es-ES_tradnl"/>
        </w:rPr>
        <w:footnoteReference w:id="10"/>
      </w:r>
      <w:r w:rsidRPr="008677DE">
        <w:rPr>
          <w:rFonts w:ascii="Verdana" w:hAnsi="Verdana" w:cs="Arial"/>
          <w:noProof/>
          <w:lang w:val="es-ES_tradnl"/>
        </w:rPr>
        <w:t>.</w:t>
      </w:r>
    </w:p>
    <w:p w14:paraId="347E61A2" w14:textId="77777777" w:rsidR="00FB5C5C" w:rsidRPr="008677DE" w:rsidRDefault="00FB5C5C" w:rsidP="00FB5C5C">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8677DE">
        <w:rPr>
          <w:rStyle w:val="Refdenotaalpie"/>
          <w:rFonts w:ascii="Verdana" w:hAnsi="Verdana" w:cs="Arial"/>
          <w:noProof/>
          <w:lang w:val="es-ES_tradnl"/>
        </w:rPr>
        <w:footnoteReference w:id="11"/>
      </w:r>
      <w:r w:rsidRPr="008677DE">
        <w:rPr>
          <w:rFonts w:ascii="Verdana" w:hAnsi="Verdana" w:cs="Arial"/>
          <w:noProof/>
          <w:lang w:val="es-ES_tradnl"/>
        </w:rPr>
        <w:t>.</w:t>
      </w:r>
    </w:p>
    <w:p w14:paraId="6F745778" w14:textId="77777777" w:rsidR="00FB5C5C" w:rsidRPr="008677DE" w:rsidRDefault="00FB5C5C" w:rsidP="00FB5C5C">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viii) No es obligatoria la liquidación de estos contratos, como lo establece el artículo 217 del Decreto 019 de 2012, que modificó el artículo 60 de la Ley 80 de 1993</w:t>
      </w:r>
      <w:r w:rsidRPr="008677DE">
        <w:rPr>
          <w:rStyle w:val="Refdenotaalpie"/>
          <w:rFonts w:ascii="Verdana" w:hAnsi="Verdana" w:cs="Arial"/>
          <w:noProof/>
          <w:lang w:val="es-ES_tradnl"/>
        </w:rPr>
        <w:footnoteReference w:id="12"/>
      </w:r>
      <w:r w:rsidRPr="008677DE">
        <w:rPr>
          <w:rFonts w:ascii="Verdana" w:hAnsi="Verdana" w:cs="Arial"/>
          <w:noProof/>
          <w:lang w:val="es-ES_tradnl"/>
        </w:rPr>
        <w:t>.</w:t>
      </w:r>
    </w:p>
    <w:p w14:paraId="5D4C8BB5" w14:textId="77777777" w:rsidR="00FB5C5C" w:rsidRPr="008677DE" w:rsidRDefault="00FB5C5C" w:rsidP="00FB5C5C">
      <w:pPr>
        <w:spacing w:before="120" w:line="276" w:lineRule="auto"/>
        <w:ind w:firstLine="709"/>
        <w:jc w:val="both"/>
        <w:rPr>
          <w:rFonts w:ascii="Verdana" w:hAnsi="Verdana" w:cs="Arial"/>
          <w:noProof/>
          <w:lang w:val="es-ES_tradnl"/>
        </w:rPr>
      </w:pPr>
      <w:r w:rsidRPr="008677DE">
        <w:rPr>
          <w:rFonts w:ascii="Verdana" w:hAnsi="Verdana" w:cs="Arial"/>
          <w:noProof/>
          <w:lang w:val="es-ES_tradnl"/>
        </w:rPr>
        <w:lastRenderedPageBreak/>
        <w:t>ix) Para su celebración el contratista no requiere estar inscrito en el Registro Único de Proponentes –RUP–, como lo señala el artículo 6 de la Ley 1150 de 2007</w:t>
      </w:r>
      <w:r w:rsidRPr="008677DE">
        <w:rPr>
          <w:rStyle w:val="Refdenotaalpie"/>
          <w:rFonts w:ascii="Verdana" w:hAnsi="Verdana" w:cs="Arial"/>
          <w:noProof/>
          <w:lang w:val="es-ES_tradnl"/>
        </w:rPr>
        <w:footnoteReference w:id="13"/>
      </w:r>
      <w:r w:rsidRPr="008677DE">
        <w:rPr>
          <w:rFonts w:ascii="Verdana" w:hAnsi="Verdana" w:cs="Arial"/>
          <w:noProof/>
          <w:lang w:val="es-ES_tradnl"/>
        </w:rPr>
        <w:t>.</w:t>
      </w:r>
    </w:p>
    <w:p w14:paraId="5C9874FF" w14:textId="77777777" w:rsidR="00FB5C5C" w:rsidRPr="008677DE" w:rsidRDefault="00FB5C5C" w:rsidP="00FB5C5C">
      <w:pPr>
        <w:spacing w:before="120" w:line="276" w:lineRule="auto"/>
        <w:ind w:firstLine="708"/>
        <w:jc w:val="both"/>
        <w:rPr>
          <w:rFonts w:ascii="Verdana" w:hAnsi="Verdana" w:cs="Arial"/>
          <w:noProof/>
          <w:lang w:val="es-ES_tradnl"/>
        </w:rPr>
      </w:pPr>
      <w:r w:rsidRPr="008677DE">
        <w:rPr>
          <w:rFonts w:ascii="Verdana" w:hAnsi="Verdana" w:cs="Arial"/>
          <w:noProof/>
          <w:lang w:val="es-ES_tradnl"/>
        </w:rPr>
        <w:t>x) No es obligatoria la exigencia de garantías</w:t>
      </w:r>
      <w:r w:rsidRPr="008677DE">
        <w:rPr>
          <w:rStyle w:val="Refdenotaalpie"/>
          <w:rFonts w:ascii="Verdana" w:hAnsi="Verdana" w:cs="Arial"/>
          <w:noProof/>
          <w:lang w:val="es-ES_tradnl"/>
        </w:rPr>
        <w:footnoteReference w:id="14"/>
      </w:r>
      <w:r w:rsidRPr="008677DE">
        <w:rPr>
          <w:rFonts w:ascii="Verdana" w:hAnsi="Verdana" w:cs="Arial"/>
          <w:noProof/>
          <w:lang w:val="es-ES_tradnl"/>
        </w:rPr>
        <w:t>.</w:t>
      </w:r>
    </w:p>
    <w:p w14:paraId="5FCD3719" w14:textId="77777777" w:rsidR="00FB5C5C" w:rsidRPr="008677DE" w:rsidRDefault="00FB5C5C" w:rsidP="00FB5C5C">
      <w:pPr>
        <w:spacing w:before="120" w:line="276" w:lineRule="auto"/>
        <w:ind w:firstLine="708"/>
        <w:jc w:val="both"/>
        <w:rPr>
          <w:rFonts w:ascii="Verdana" w:hAnsi="Verdana" w:cs="Arial"/>
          <w:noProof/>
          <w:lang w:val="es-ES"/>
        </w:rPr>
      </w:pPr>
      <w:r w:rsidRPr="008677DE">
        <w:rPr>
          <w:rFonts w:ascii="Verdana" w:hAnsi="Verdana" w:cs="Arial"/>
          <w:noProof/>
          <w:lang w:val="es-ES_tradnl"/>
        </w:rPr>
        <w:t>xi) Como los demás contratos estatales, se trata de un contrato solemne que debe constar por escrito y debe ser publicado en el SECOP.</w:t>
      </w:r>
    </w:p>
    <w:p w14:paraId="5EC79977" w14:textId="77777777" w:rsidR="00FB5C5C" w:rsidRPr="008677DE" w:rsidRDefault="00FB5C5C" w:rsidP="00FB5C5C">
      <w:pPr>
        <w:tabs>
          <w:tab w:val="left" w:pos="0"/>
        </w:tabs>
        <w:spacing w:before="120" w:after="0" w:line="276" w:lineRule="auto"/>
        <w:ind w:firstLine="709"/>
        <w:jc w:val="both"/>
        <w:rPr>
          <w:rFonts w:ascii="Verdana" w:hAnsi="Verdana" w:cs="Arial"/>
          <w:color w:val="000000" w:themeColor="text1"/>
        </w:rPr>
      </w:pPr>
      <w:proofErr w:type="spellStart"/>
      <w:r w:rsidRPr="008677DE">
        <w:rPr>
          <w:rFonts w:ascii="Verdana" w:hAnsi="Verdana" w:cs="Arial"/>
          <w:color w:val="000000" w:themeColor="text1"/>
          <w:lang w:val="es-ES"/>
        </w:rPr>
        <w:t>xii</w:t>
      </w:r>
      <w:proofErr w:type="spellEnd"/>
      <w:r w:rsidRPr="008677DE">
        <w:rPr>
          <w:rFonts w:ascii="Verdana" w:hAnsi="Verdana" w:cs="Arial"/>
          <w:color w:val="000000" w:themeColor="text1"/>
          <w:lang w:val="es-ES"/>
        </w:rPr>
        <w:t>) C</w:t>
      </w:r>
      <w:proofErr w:type="spellStart"/>
      <w:r w:rsidRPr="008677DE">
        <w:rPr>
          <w:rFonts w:ascii="Verdana" w:hAnsi="Verdana" w:cs="Arial"/>
          <w:color w:val="000000" w:themeColor="text1"/>
        </w:rPr>
        <w:t>omo</w:t>
      </w:r>
      <w:proofErr w:type="spellEnd"/>
      <w:r w:rsidRPr="008677DE">
        <w:rPr>
          <w:rFonts w:ascii="Verdana" w:hAnsi="Verdana" w:cs="Arial"/>
          <w:color w:val="000000" w:themeColor="text1"/>
        </w:rPr>
        <w:t xml:space="preserve"> especies del género </w:t>
      </w:r>
      <w:r w:rsidRPr="008677DE">
        <w:rPr>
          <w:rFonts w:ascii="Verdana" w:hAnsi="Verdana" w:cs="Arial"/>
          <w:i/>
          <w:color w:val="000000" w:themeColor="text1"/>
        </w:rPr>
        <w:t>prestación de servicios,</w:t>
      </w:r>
      <w:r w:rsidRPr="008677DE">
        <w:rPr>
          <w:rFonts w:ascii="Verdana" w:hAnsi="Verdana" w:cs="Arial"/>
          <w:color w:val="000000" w:themeColor="text1"/>
        </w:rPr>
        <w:t xml:space="preserve"> se incluyen </w:t>
      </w:r>
      <w:r w:rsidRPr="008677DE">
        <w:rPr>
          <w:rFonts w:ascii="Verdana" w:hAnsi="Verdana" w:cs="Arial"/>
          <w:color w:val="000000" w:themeColor="text1"/>
          <w:lang w:val="es-ES_tradnl"/>
        </w:rPr>
        <w:t xml:space="preserve">los </w:t>
      </w:r>
      <w:r w:rsidRPr="008677DE">
        <w:rPr>
          <w:rFonts w:ascii="Verdana" w:hAnsi="Verdana" w:cs="Arial"/>
          <w:i/>
          <w:iCs/>
          <w:color w:val="000000" w:themeColor="text1"/>
          <w:lang w:val="es-ES_tradnl"/>
        </w:rPr>
        <w:t>contratos de prestación de servicios profesionales, los contratos de prestación de servicios de apoyo a la gestión</w:t>
      </w:r>
      <w:r w:rsidRPr="008677DE">
        <w:rPr>
          <w:rFonts w:ascii="Verdana" w:hAnsi="Verdana" w:cs="Arial"/>
          <w:color w:val="000000" w:themeColor="text1"/>
          <w:lang w:val="es-ES_tradnl"/>
        </w:rPr>
        <w:t xml:space="preserve"> y los </w:t>
      </w:r>
      <w:r w:rsidRPr="008677DE">
        <w:rPr>
          <w:rFonts w:ascii="Verdana" w:hAnsi="Verdana" w:cs="Arial"/>
          <w:i/>
          <w:iCs/>
          <w:color w:val="000000" w:themeColor="text1"/>
          <w:lang w:val="es-ES_tradnl"/>
        </w:rPr>
        <w:t>contratos de prestación de servicios artísticos que solo pueden encomendarse a determinadas personas naturales</w:t>
      </w:r>
      <w:r w:rsidRPr="008677DE">
        <w:rPr>
          <w:rFonts w:ascii="Verdana" w:hAnsi="Verdana" w:cs="Arial"/>
          <w:color w:val="000000" w:themeColor="text1"/>
          <w:vertAlign w:val="superscript"/>
          <w:lang w:val="es-ES_tradnl"/>
        </w:rPr>
        <w:footnoteReference w:id="15"/>
      </w:r>
      <w:r w:rsidRPr="008677DE">
        <w:rPr>
          <w:rFonts w:ascii="Verdana" w:hAnsi="Verdana" w:cs="Arial"/>
          <w:color w:val="000000" w:themeColor="text1"/>
        </w:rPr>
        <w:t xml:space="preserve">. </w:t>
      </w:r>
      <w:r w:rsidRPr="008677DE">
        <w:rPr>
          <w:rFonts w:ascii="Verdana" w:hAnsi="Verdana" w:cs="Arial"/>
          <w:color w:val="000000" w:themeColor="text1"/>
          <w:lang w:val="es-ES_tradnl"/>
        </w:rPr>
        <w:t xml:space="preserve">La diferencia entre el contrato de prestación de servicios </w:t>
      </w:r>
      <w:r w:rsidRPr="008677DE">
        <w:rPr>
          <w:rFonts w:ascii="Verdana" w:hAnsi="Verdana" w:cs="Arial"/>
          <w:i/>
          <w:color w:val="000000" w:themeColor="text1"/>
          <w:lang w:val="es-ES_tradnl"/>
        </w:rPr>
        <w:t>profesionales</w:t>
      </w:r>
      <w:r w:rsidRPr="008677DE">
        <w:rPr>
          <w:rFonts w:ascii="Verdana" w:hAnsi="Verdana"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w:t>
      </w:r>
      <w:r w:rsidRPr="008677DE">
        <w:rPr>
          <w:rFonts w:ascii="Verdana" w:hAnsi="Verdana" w:cs="Arial"/>
          <w:color w:val="000000" w:themeColor="text1"/>
          <w:lang w:val="es-ES_tradnl"/>
        </w:rPr>
        <w:lastRenderedPageBreak/>
        <w:t>Sentencia de Unificación jurisprudencial del 2 de diciembre de 2013, al explicar que:</w:t>
      </w:r>
    </w:p>
    <w:p w14:paraId="2A574CD6" w14:textId="77777777" w:rsidR="00FB5C5C" w:rsidRPr="00EB30BA" w:rsidRDefault="00FB5C5C" w:rsidP="00FB5C5C">
      <w:pPr>
        <w:spacing w:after="0"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EB30BA">
        <w:rPr>
          <w:rStyle w:val="Refdenotaalpie"/>
          <w:rFonts w:ascii="Verdana" w:hAnsi="Verdana" w:cs="Arial"/>
          <w:color w:val="000000" w:themeColor="text1"/>
          <w:sz w:val="20"/>
          <w:szCs w:val="20"/>
          <w:lang w:val="es-ES_tradnl"/>
        </w:rPr>
        <w:footnoteReference w:id="16"/>
      </w:r>
      <w:r w:rsidRPr="00EB30BA">
        <w:rPr>
          <w:rFonts w:ascii="Verdana" w:hAnsi="Verdana" w:cs="Arial"/>
          <w:color w:val="000000" w:themeColor="text1"/>
          <w:sz w:val="20"/>
          <w:szCs w:val="20"/>
          <w:lang w:val="es-ES_tradnl"/>
        </w:rPr>
        <w:t>.</w:t>
      </w:r>
    </w:p>
    <w:p w14:paraId="722B8914" w14:textId="77777777" w:rsidR="00FB5C5C" w:rsidRDefault="00FB5C5C" w:rsidP="00FB5C5C">
      <w:pPr>
        <w:spacing w:after="0" w:line="276" w:lineRule="auto"/>
        <w:ind w:firstLine="709"/>
        <w:jc w:val="both"/>
        <w:rPr>
          <w:rFonts w:ascii="Verdana" w:hAnsi="Verdana" w:cs="Arial"/>
          <w:color w:val="000000" w:themeColor="text1"/>
          <w:lang w:val="es-ES_tradnl"/>
        </w:rPr>
      </w:pPr>
    </w:p>
    <w:p w14:paraId="0B36AE38" w14:textId="77777777" w:rsidR="00FB5C5C" w:rsidRDefault="00FB5C5C" w:rsidP="00FB5C5C">
      <w:pPr>
        <w:spacing w:after="0" w:line="276" w:lineRule="auto"/>
        <w:ind w:firstLine="709"/>
        <w:jc w:val="both"/>
        <w:rPr>
          <w:rFonts w:ascii="Verdana" w:hAnsi="Verdana" w:cs="Arial"/>
          <w:color w:val="000000" w:themeColor="text1"/>
          <w:lang w:val="es-ES_tradnl"/>
        </w:rPr>
      </w:pPr>
      <w:r w:rsidRPr="008677DE">
        <w:rPr>
          <w:rFonts w:ascii="Verdana" w:hAnsi="Verdana" w:cs="Arial"/>
          <w:color w:val="000000" w:themeColor="text1"/>
          <w:lang w:val="es-ES_tradnl"/>
        </w:rPr>
        <w:t xml:space="preserve">Lo expuesto, según la jurisprudencia citada, se diferencia del objeto del </w:t>
      </w:r>
      <w:r w:rsidRPr="008677DE">
        <w:rPr>
          <w:rFonts w:ascii="Verdana" w:hAnsi="Verdana" w:cs="Arial"/>
          <w:i/>
          <w:iCs/>
          <w:color w:val="000000" w:themeColor="text1"/>
          <w:lang w:val="es-ES_tradnl"/>
        </w:rPr>
        <w:t>contrato de prestación de servicios de apoyo a la gestión</w:t>
      </w:r>
      <w:r w:rsidRPr="008677DE">
        <w:rPr>
          <w:rFonts w:ascii="Verdana" w:hAnsi="Verdana" w:cs="Arial"/>
          <w:color w:val="000000" w:themeColor="text1"/>
          <w:lang w:val="es-ES_tradnl"/>
        </w:rPr>
        <w:t>, en los siguientes aspectos:</w:t>
      </w:r>
    </w:p>
    <w:p w14:paraId="4BC647D3" w14:textId="77777777" w:rsidR="00FB5C5C" w:rsidRPr="008677DE" w:rsidRDefault="00FB5C5C" w:rsidP="00FB5C5C">
      <w:pPr>
        <w:spacing w:after="0" w:line="276" w:lineRule="auto"/>
        <w:ind w:firstLine="709"/>
        <w:jc w:val="both"/>
        <w:rPr>
          <w:rFonts w:ascii="Verdana" w:hAnsi="Verdana" w:cs="Arial"/>
          <w:color w:val="000000" w:themeColor="text1"/>
          <w:lang w:val="es-ES_tradnl"/>
        </w:rPr>
      </w:pPr>
    </w:p>
    <w:p w14:paraId="10BE4D4F" w14:textId="77777777" w:rsidR="00FB5C5C" w:rsidRDefault="00FB5C5C" w:rsidP="00FB5C5C">
      <w:pPr>
        <w:spacing w:after="0"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FA89980" w14:textId="77777777" w:rsidR="00FB5C5C" w:rsidRPr="00EB30BA" w:rsidRDefault="00FB5C5C" w:rsidP="00FB5C5C">
      <w:pPr>
        <w:spacing w:after="0" w:line="240" w:lineRule="auto"/>
        <w:ind w:left="709" w:right="709"/>
        <w:jc w:val="both"/>
        <w:rPr>
          <w:rFonts w:ascii="Verdana" w:hAnsi="Verdana" w:cs="Arial"/>
          <w:color w:val="000000" w:themeColor="text1"/>
          <w:sz w:val="20"/>
          <w:szCs w:val="20"/>
          <w:lang w:val="es-ES_tradnl"/>
        </w:rPr>
      </w:pPr>
    </w:p>
    <w:p w14:paraId="3215C07B" w14:textId="77777777" w:rsidR="00FB5C5C" w:rsidRPr="00EB30BA" w:rsidRDefault="00FB5C5C" w:rsidP="00FB5C5C">
      <w:pPr>
        <w:spacing w:after="0" w:line="240" w:lineRule="auto"/>
        <w:ind w:left="709" w:right="709"/>
        <w:jc w:val="both"/>
        <w:rPr>
          <w:rFonts w:ascii="Verdana" w:hAnsi="Verdana" w:cs="Arial"/>
          <w:color w:val="000000" w:themeColor="text1"/>
          <w:sz w:val="20"/>
          <w:szCs w:val="20"/>
          <w:lang w:val="es-ES"/>
        </w:rPr>
      </w:pPr>
      <w:r w:rsidRPr="00EB30BA">
        <w:rPr>
          <w:rFonts w:ascii="Verdana" w:hAnsi="Verdana" w:cs="Arial"/>
          <w:color w:val="000000" w:themeColor="text1"/>
          <w:sz w:val="20"/>
          <w:szCs w:val="20"/>
          <w:lang w:val="es-ES"/>
        </w:rPr>
        <w:t xml:space="preserve">Aunque también se caracteriza por el desempeño de actividad intelectiva, ésta </w:t>
      </w:r>
      <w:proofErr w:type="gramStart"/>
      <w:r w:rsidRPr="00EB30BA">
        <w:rPr>
          <w:rFonts w:ascii="Verdana" w:hAnsi="Verdana" w:cs="Arial"/>
          <w:color w:val="000000" w:themeColor="text1"/>
          <w:sz w:val="20"/>
          <w:szCs w:val="20"/>
          <w:lang w:val="es-ES"/>
        </w:rPr>
        <w:t>se enmarca dentro de</w:t>
      </w:r>
      <w:proofErr w:type="gramEnd"/>
      <w:r w:rsidRPr="00EB30BA">
        <w:rPr>
          <w:rFonts w:ascii="Verdana" w:hAnsi="Verdana" w:cs="Arial"/>
          <w:color w:val="000000" w:themeColor="text1"/>
          <w:sz w:val="20"/>
          <w:szCs w:val="20"/>
          <w:lang w:val="es-ES"/>
        </w:rPr>
        <w:t xml:space="preserve"> un saber propiamente técnico; igualmente involucra actividades en donde prima el esfuerzo físico o mecánico, en donde no se requiere de personal profesional.</w:t>
      </w:r>
    </w:p>
    <w:p w14:paraId="078607A1" w14:textId="77777777" w:rsidR="00FB5C5C" w:rsidRDefault="00FB5C5C" w:rsidP="00FB5C5C">
      <w:pPr>
        <w:spacing w:after="0" w:line="240" w:lineRule="auto"/>
        <w:ind w:left="709" w:right="709"/>
        <w:jc w:val="both"/>
        <w:rPr>
          <w:rFonts w:ascii="Verdana" w:hAnsi="Verdana" w:cs="Arial"/>
          <w:color w:val="000000" w:themeColor="text1"/>
          <w:sz w:val="20"/>
          <w:szCs w:val="20"/>
          <w:lang w:val="es-ES_tradnl"/>
        </w:rPr>
      </w:pPr>
    </w:p>
    <w:p w14:paraId="3BDF4FE7" w14:textId="77777777" w:rsidR="00FB5C5C" w:rsidRPr="00EB30BA" w:rsidRDefault="00FB5C5C" w:rsidP="00FB5C5C">
      <w:pPr>
        <w:spacing w:after="0"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EB30BA">
        <w:rPr>
          <w:rStyle w:val="Refdenotaalpie"/>
          <w:rFonts w:ascii="Verdana" w:hAnsi="Verdana" w:cs="Arial"/>
          <w:color w:val="000000" w:themeColor="text1"/>
          <w:sz w:val="20"/>
          <w:szCs w:val="20"/>
          <w:lang w:val="es-ES_tradnl"/>
        </w:rPr>
        <w:footnoteReference w:id="17"/>
      </w:r>
      <w:r w:rsidRPr="00EB30BA">
        <w:rPr>
          <w:rFonts w:ascii="Verdana" w:hAnsi="Verdana" w:cs="Arial"/>
          <w:color w:val="000000" w:themeColor="text1"/>
          <w:sz w:val="20"/>
          <w:szCs w:val="20"/>
          <w:lang w:val="es-ES_tradnl"/>
        </w:rPr>
        <w:t>.</w:t>
      </w:r>
    </w:p>
    <w:p w14:paraId="01093567" w14:textId="77777777" w:rsidR="00FB5C5C" w:rsidRDefault="00FB5C5C" w:rsidP="00FB5C5C">
      <w:pPr>
        <w:spacing w:after="0" w:line="276" w:lineRule="auto"/>
        <w:ind w:firstLine="709"/>
        <w:jc w:val="both"/>
        <w:rPr>
          <w:rFonts w:ascii="Verdana" w:hAnsi="Verdana" w:cs="Arial"/>
          <w:color w:val="000000" w:themeColor="text1"/>
          <w:lang w:val="es-ES_tradnl"/>
        </w:rPr>
      </w:pPr>
    </w:p>
    <w:p w14:paraId="595253C8" w14:textId="77777777" w:rsidR="00FB5C5C" w:rsidRDefault="00FB5C5C" w:rsidP="00FB5C5C">
      <w:pPr>
        <w:spacing w:after="0" w:line="276" w:lineRule="auto"/>
        <w:ind w:firstLine="709"/>
        <w:jc w:val="both"/>
        <w:rPr>
          <w:rFonts w:ascii="Verdana" w:hAnsi="Verdana" w:cs="Arial"/>
          <w:color w:val="000000" w:themeColor="text1"/>
          <w:lang w:val="es-ES_tradnl"/>
        </w:rPr>
      </w:pPr>
      <w:r w:rsidRPr="008677DE">
        <w:rPr>
          <w:rFonts w:ascii="Verdana" w:hAnsi="Verdana" w:cs="Arial"/>
          <w:color w:val="000000" w:themeColor="text1"/>
          <w:lang w:val="es-ES_tradnl"/>
        </w:rPr>
        <w:t xml:space="preserve">En relación con el </w:t>
      </w:r>
      <w:r w:rsidRPr="008677DE">
        <w:rPr>
          <w:rFonts w:ascii="Verdana" w:hAnsi="Verdana" w:cs="Arial"/>
          <w:i/>
          <w:iCs/>
          <w:color w:val="000000" w:themeColor="text1"/>
          <w:lang w:val="es-ES_tradnl"/>
        </w:rPr>
        <w:t>contrato de prestación de servicios artísticos que solo pueden encomendarse a determinadas personas naturales</w:t>
      </w:r>
      <w:r w:rsidRPr="008677DE">
        <w:rPr>
          <w:rFonts w:ascii="Verdana" w:hAnsi="Verdana" w:cs="Arial"/>
          <w:color w:val="000000" w:themeColor="text1"/>
          <w:lang w:val="es-ES_tradnl"/>
        </w:rPr>
        <w:t>, señala la mencionada decisión judicial lo siguiente:</w:t>
      </w:r>
    </w:p>
    <w:p w14:paraId="466515AB" w14:textId="77777777" w:rsidR="00FB5C5C" w:rsidRPr="008677DE" w:rsidRDefault="00FB5C5C" w:rsidP="00FB5C5C">
      <w:pPr>
        <w:spacing w:after="0" w:line="276" w:lineRule="auto"/>
        <w:ind w:firstLine="709"/>
        <w:jc w:val="both"/>
        <w:rPr>
          <w:rFonts w:ascii="Verdana" w:hAnsi="Verdana" w:cs="Arial"/>
          <w:color w:val="000000" w:themeColor="text1"/>
          <w:lang w:val="es-ES_tradnl"/>
        </w:rPr>
      </w:pPr>
    </w:p>
    <w:p w14:paraId="2EFD29A6" w14:textId="77777777" w:rsidR="00FB5C5C" w:rsidRPr="00EB30BA" w:rsidRDefault="00FB5C5C" w:rsidP="00FB5C5C">
      <w:pPr>
        <w:spacing w:after="0" w:line="240" w:lineRule="auto"/>
        <w:ind w:left="709" w:right="709"/>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w:t>
      </w:r>
      <w:r w:rsidRPr="00EB30BA">
        <w:rPr>
          <w:rFonts w:ascii="Verdana" w:hAnsi="Verdana" w:cs="Arial"/>
          <w:color w:val="000000" w:themeColor="text1"/>
          <w:sz w:val="20"/>
          <w:szCs w:val="20"/>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w:t>
      </w:r>
      <w:r w:rsidRPr="00EB30BA">
        <w:rPr>
          <w:rFonts w:ascii="Verdana" w:hAnsi="Verdana" w:cs="Arial"/>
          <w:color w:val="000000" w:themeColor="text1"/>
          <w:sz w:val="20"/>
          <w:szCs w:val="20"/>
          <w:lang w:val="es-ES_tradnl"/>
        </w:rPr>
        <w:lastRenderedPageBreak/>
        <w:t>sólo pueda celebrarse con determinadas personas naturales, lo que implica que el contratista debe ser un artista, esto es, una persona reconocida como realizador o productor de arte o trabajos artísticos</w:t>
      </w:r>
      <w:r>
        <w:rPr>
          <w:rFonts w:ascii="Verdana" w:hAnsi="Verdana" w:cs="Arial"/>
          <w:color w:val="000000" w:themeColor="text1"/>
          <w:sz w:val="20"/>
          <w:szCs w:val="20"/>
          <w:lang w:val="es-ES_tradnl"/>
        </w:rPr>
        <w:t>”</w:t>
      </w:r>
      <w:r w:rsidRPr="00EB30BA">
        <w:rPr>
          <w:rStyle w:val="Refdenotaalpie"/>
          <w:rFonts w:ascii="Verdana" w:hAnsi="Verdana" w:cs="Arial"/>
          <w:color w:val="000000" w:themeColor="text1"/>
          <w:sz w:val="20"/>
          <w:szCs w:val="20"/>
          <w:lang w:val="es-ES_tradnl"/>
        </w:rPr>
        <w:footnoteReference w:id="18"/>
      </w:r>
      <w:r w:rsidRPr="00EB30BA">
        <w:rPr>
          <w:rFonts w:ascii="Verdana" w:hAnsi="Verdana" w:cs="Arial"/>
          <w:color w:val="000000" w:themeColor="text1"/>
          <w:sz w:val="20"/>
          <w:szCs w:val="20"/>
          <w:lang w:val="es-ES_tradnl"/>
        </w:rPr>
        <w:t>.</w:t>
      </w:r>
    </w:p>
    <w:p w14:paraId="413387B1" w14:textId="77777777" w:rsidR="00FB5C5C" w:rsidRDefault="00FB5C5C" w:rsidP="00FB5C5C">
      <w:pPr>
        <w:spacing w:after="0" w:line="276" w:lineRule="auto"/>
        <w:ind w:firstLine="709"/>
        <w:jc w:val="both"/>
        <w:rPr>
          <w:rFonts w:ascii="Verdana" w:hAnsi="Verdana" w:cs="Arial"/>
          <w:color w:val="000000" w:themeColor="text1"/>
          <w:lang w:val="es-ES_tradnl"/>
        </w:rPr>
      </w:pPr>
    </w:p>
    <w:p w14:paraId="70E96897" w14:textId="77777777" w:rsidR="00FB5C5C" w:rsidRDefault="00FB5C5C" w:rsidP="00FB5C5C">
      <w:pPr>
        <w:spacing w:after="120" w:line="276" w:lineRule="auto"/>
        <w:ind w:firstLine="709"/>
        <w:jc w:val="both"/>
        <w:rPr>
          <w:rFonts w:ascii="Verdana" w:hAnsi="Verdana" w:cs="Arial"/>
          <w:color w:val="000000" w:themeColor="text1"/>
          <w:lang w:val="es-ES_tradnl"/>
        </w:rPr>
      </w:pPr>
      <w:r w:rsidRPr="008677DE">
        <w:rPr>
          <w:rFonts w:ascii="Verdana" w:hAnsi="Verdana" w:cs="Arial"/>
          <w:color w:val="000000" w:themeColor="text1"/>
          <w:lang w:val="es-ES_tradnl"/>
        </w:rPr>
        <w:t xml:space="preserve">En este sentido, el contrato de prestación de servicios </w:t>
      </w:r>
      <w:r w:rsidRPr="008677DE">
        <w:rPr>
          <w:rFonts w:ascii="Verdana" w:hAnsi="Verdana" w:cs="Arial"/>
          <w:i/>
          <w:iCs/>
          <w:color w:val="000000" w:themeColor="text1"/>
          <w:lang w:val="es-ES_tradnl"/>
        </w:rPr>
        <w:t>profesionales</w:t>
      </w:r>
      <w:r w:rsidRPr="008677DE">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8677DE">
        <w:rPr>
          <w:rFonts w:ascii="Verdana" w:hAnsi="Verdana" w:cs="Arial"/>
          <w:i/>
          <w:iCs/>
          <w:color w:val="000000" w:themeColor="text1"/>
          <w:lang w:val="es-ES_tradnl"/>
        </w:rPr>
        <w:t>saber intelectivo cualificado.</w:t>
      </w:r>
      <w:r w:rsidRPr="008677DE">
        <w:rPr>
          <w:rFonts w:ascii="Verdana" w:hAnsi="Verdana" w:cs="Arial"/>
          <w:color w:val="000000" w:themeColor="text1"/>
          <w:lang w:val="es-ES_tradnl"/>
        </w:rPr>
        <w:t xml:space="preserve"> En cambio, los contratos de prestación de servicios de </w:t>
      </w:r>
      <w:r w:rsidRPr="008677DE">
        <w:rPr>
          <w:rFonts w:ascii="Verdana" w:hAnsi="Verdana" w:cs="Arial"/>
          <w:i/>
          <w:iCs/>
          <w:color w:val="000000" w:themeColor="text1"/>
          <w:lang w:val="es-ES_tradnl"/>
        </w:rPr>
        <w:t>apoyo a la gestión</w:t>
      </w:r>
      <w:r w:rsidRPr="008677DE">
        <w:rPr>
          <w:rFonts w:ascii="Verdana" w:hAnsi="Verdana" w:cs="Arial"/>
          <w:color w:val="000000" w:themeColor="text1"/>
          <w:lang w:val="es-ES_tradnl"/>
        </w:rPr>
        <w:t xml:space="preserve"> y de </w:t>
      </w:r>
      <w:r w:rsidRPr="008677DE">
        <w:rPr>
          <w:rFonts w:ascii="Verdana" w:hAnsi="Verdana" w:cs="Arial"/>
          <w:i/>
          <w:iCs/>
          <w:color w:val="000000" w:themeColor="text1"/>
          <w:lang w:val="es-ES_tradnl"/>
        </w:rPr>
        <w:t>servicios artísticos</w:t>
      </w:r>
      <w:r w:rsidRPr="008677DE">
        <w:rPr>
          <w:rFonts w:ascii="Verdana" w:hAnsi="Verdana" w:cs="Arial"/>
          <w:color w:val="000000" w:themeColor="text1"/>
          <w:lang w:val="es-ES_tradnl"/>
        </w:rPr>
        <w:t xml:space="preserve"> no involucran ese conocimiento profesional </w:t>
      </w:r>
      <w:r w:rsidRPr="008677DE">
        <w:rPr>
          <w:rFonts w:ascii="Verdana" w:hAnsi="Verdana" w:cs="Arial"/>
          <w:color w:val="000000" w:themeColor="text1"/>
        </w:rPr>
        <w:t xml:space="preserve">o especializados para su ejecución. En los contratos de apoyo a la gestión </w:t>
      </w:r>
      <w:r w:rsidRPr="008677DE">
        <w:rPr>
          <w:rFonts w:ascii="Verdana" w:hAnsi="Verdana" w:cs="Arial"/>
          <w:color w:val="000000" w:themeColor="text1"/>
          <w:lang w:val="es-ES_tradnl"/>
        </w:rPr>
        <w:t xml:space="preserve">el contratista desempeña un esfuerzo o actividad de apoyo, acompañamiento, o soporte, </w:t>
      </w:r>
      <w:r w:rsidRPr="008677DE">
        <w:rPr>
          <w:rFonts w:ascii="Verdana" w:hAnsi="Verdana" w:cs="Arial"/>
          <w:color w:val="000000" w:themeColor="text1"/>
        </w:rPr>
        <w:t xml:space="preserve">donde </w:t>
      </w:r>
      <w:r>
        <w:rPr>
          <w:rFonts w:ascii="Verdana" w:hAnsi="Verdana" w:cs="Arial"/>
          <w:color w:val="000000" w:themeColor="text1"/>
          <w:lang w:val="es-ES_tradnl"/>
        </w:rPr>
        <w:t>“</w:t>
      </w:r>
      <w:r w:rsidRPr="008677DE">
        <w:rPr>
          <w:rFonts w:ascii="Verdana" w:hAnsi="Verdana"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8677DE">
        <w:rPr>
          <w:rFonts w:ascii="Verdana" w:hAnsi="Verdana" w:cs="Arial"/>
          <w:color w:val="000000" w:themeColor="text1"/>
          <w:lang w:val="es-ES_tradnl"/>
        </w:rPr>
        <w:t>la misma</w:t>
      </w:r>
      <w:proofErr w:type="gramEnd"/>
      <w:r w:rsidRPr="008677DE">
        <w:rPr>
          <w:rFonts w:ascii="Verdana" w:hAnsi="Verdana" w:cs="Arial"/>
          <w:color w:val="000000" w:themeColor="text1"/>
          <w:lang w:val="es-ES_tradnl"/>
        </w:rPr>
        <w:t>, por personas no profesionales y que no implican el ejercicio de funciones públicas administrativas</w:t>
      </w:r>
      <w:r>
        <w:rPr>
          <w:rFonts w:ascii="Verdana" w:hAnsi="Verdana" w:cs="Arial"/>
          <w:color w:val="000000" w:themeColor="text1"/>
          <w:lang w:val="es-ES_tradnl"/>
        </w:rPr>
        <w:t>”</w:t>
      </w:r>
      <w:r w:rsidRPr="008677DE">
        <w:rPr>
          <w:rFonts w:ascii="Verdana" w:hAnsi="Verdana" w:cs="Arial"/>
          <w:color w:val="000000" w:themeColor="text1"/>
          <w:lang w:val="es-ES_tradnl"/>
        </w:rPr>
        <w:t xml:space="preserve">. Igualmente, en el contrato de prestación de servicios artísticos lo prevalente es que la persona que lo ejecute se trate de un artista, es decir, </w:t>
      </w:r>
      <w:r>
        <w:rPr>
          <w:rFonts w:ascii="Verdana" w:hAnsi="Verdana" w:cs="Arial"/>
          <w:color w:val="000000" w:themeColor="text1"/>
          <w:lang w:val="es-ES_tradnl"/>
        </w:rPr>
        <w:t>“</w:t>
      </w:r>
      <w:r w:rsidRPr="008677DE">
        <w:rPr>
          <w:rFonts w:ascii="Verdana" w:hAnsi="Verdana" w:cs="Arial"/>
          <w:color w:val="000000" w:themeColor="text1"/>
          <w:lang w:val="es-ES_tradnl"/>
        </w:rPr>
        <w:t>una persona reconocida como realizador o productor de arte, de obras de arte, ejecutor de trabajos artísticos</w:t>
      </w:r>
      <w:r>
        <w:rPr>
          <w:rFonts w:ascii="Verdana" w:hAnsi="Verdana" w:cs="Arial"/>
          <w:color w:val="000000" w:themeColor="text1"/>
          <w:lang w:val="es-ES_tradnl"/>
        </w:rPr>
        <w:t>”</w:t>
      </w:r>
      <w:r w:rsidRPr="008677DE">
        <w:rPr>
          <w:rFonts w:ascii="Verdana" w:hAnsi="Verdana" w:cs="Arial"/>
          <w:color w:val="000000" w:themeColor="text1"/>
          <w:lang w:val="es-ES_tradnl"/>
        </w:rPr>
        <w:t>, para lo cual es indiferente el carácter de profesional.</w:t>
      </w:r>
    </w:p>
    <w:p w14:paraId="4B9DA9E7" w14:textId="6DD5153E" w:rsidR="00801D5B" w:rsidRPr="00801D5B" w:rsidRDefault="00801D5B" w:rsidP="00E75695">
      <w:pPr>
        <w:spacing w:after="0" w:line="276" w:lineRule="auto"/>
        <w:ind w:firstLine="709"/>
        <w:jc w:val="both"/>
        <w:rPr>
          <w:rFonts w:ascii="Verdana" w:hAnsi="Verdana" w:cs="Arial"/>
          <w:color w:val="000000" w:themeColor="text1"/>
        </w:rPr>
      </w:pPr>
      <w:r w:rsidRPr="00E75695">
        <w:rPr>
          <w:rFonts w:ascii="Verdana" w:hAnsi="Verdana" w:cs="Arial"/>
          <w:color w:val="000000" w:themeColor="text1"/>
        </w:rPr>
        <w:t xml:space="preserve">Finalmente, frente al problema </w:t>
      </w:r>
      <w:r>
        <w:rPr>
          <w:rFonts w:ascii="Verdana" w:hAnsi="Verdana" w:cs="Arial"/>
          <w:color w:val="000000" w:themeColor="text1"/>
        </w:rPr>
        <w:t xml:space="preserve">jurídico planteado, se concluye que </w:t>
      </w:r>
      <w:r w:rsidR="00A948E8">
        <w:rPr>
          <w:rFonts w:ascii="Verdana" w:hAnsi="Verdana" w:cs="Arial"/>
          <w:color w:val="000000" w:themeColor="text1"/>
        </w:rPr>
        <w:t>s</w:t>
      </w:r>
      <w:r w:rsidR="00A948E8" w:rsidRPr="00A948E8">
        <w:rPr>
          <w:rFonts w:ascii="Verdana" w:hAnsi="Verdana" w:cs="Arial"/>
          <w:color w:val="000000" w:themeColor="text1"/>
        </w:rPr>
        <w:t>egún lo establecido en</w:t>
      </w:r>
      <w:r w:rsidR="00A948E8">
        <w:rPr>
          <w:rFonts w:ascii="Verdana" w:hAnsi="Verdana" w:cs="Arial"/>
          <w:color w:val="000000" w:themeColor="text1"/>
        </w:rPr>
        <w:t xml:space="preserve"> el literal h) del numeral 4 del artículo 2 de</w:t>
      </w:r>
      <w:r w:rsidR="00A948E8" w:rsidRPr="00A948E8">
        <w:rPr>
          <w:rFonts w:ascii="Verdana" w:hAnsi="Verdana" w:cs="Arial"/>
          <w:color w:val="000000" w:themeColor="text1"/>
        </w:rPr>
        <w:t xml:space="preserve"> la Ley 1150 de 2007, el contrato de prestación de servicios profesionales constituye una causal de contratación directa</w:t>
      </w:r>
      <w:r w:rsidR="00A948E8">
        <w:rPr>
          <w:rFonts w:ascii="Verdana" w:hAnsi="Verdana" w:cs="Arial"/>
          <w:color w:val="000000" w:themeColor="text1"/>
        </w:rPr>
        <w:t xml:space="preserve">. La procedencia de esta causal </w:t>
      </w:r>
      <w:r w:rsidR="00A948E8" w:rsidRPr="00A948E8">
        <w:rPr>
          <w:rFonts w:ascii="Verdana" w:hAnsi="Verdana" w:cs="Arial"/>
          <w:color w:val="000000" w:themeColor="text1"/>
        </w:rPr>
        <w:t>no depende de la cuantía del contrato, sino de su tipología y de su reconocimiento legal como tal. En ese sentido, siempre que se trate de un contrato de prestación de servicios profesionales, independientemente de su valor, se puede acudir a la modalidad de contratación directa, dado que el legislador ha definido este tipo de contrato como una causal válida para dicha forma de selección.</w:t>
      </w:r>
    </w:p>
    <w:p w14:paraId="455E5A26" w14:textId="77777777" w:rsidR="00FB5C5C" w:rsidRPr="009D2624" w:rsidRDefault="00FB5C5C" w:rsidP="00FB5C5C">
      <w:pPr>
        <w:autoSpaceDE w:val="0"/>
        <w:autoSpaceDN w:val="0"/>
        <w:adjustRightInd w:val="0"/>
        <w:spacing w:after="0" w:line="276" w:lineRule="auto"/>
        <w:jc w:val="both"/>
        <w:rPr>
          <w:rFonts w:ascii="Verdana" w:eastAsia="Calibri" w:hAnsi="Verdana" w:cs="Arial"/>
          <w:szCs w:val="24"/>
          <w:lang w:eastAsia="es-ES_tradnl"/>
        </w:rPr>
      </w:pPr>
    </w:p>
    <w:p w14:paraId="4FB52FDB" w14:textId="77777777" w:rsidR="00FB5C5C" w:rsidRPr="00CC5C68" w:rsidRDefault="00FB5C5C" w:rsidP="00FB5C5C">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74F9CC68" w14:textId="77777777" w:rsidR="00FB5C5C" w:rsidRPr="00CC5C68" w:rsidRDefault="00FB5C5C" w:rsidP="00FB5C5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B5C5C" w:rsidRPr="00CC5C68" w14:paraId="715785DD" w14:textId="77777777" w:rsidTr="000C57D5">
        <w:trPr>
          <w:trHeight w:val="870"/>
        </w:trPr>
        <w:tc>
          <w:tcPr>
            <w:tcW w:w="8647" w:type="dxa"/>
          </w:tcPr>
          <w:p w14:paraId="2E23A88B" w14:textId="77777777" w:rsidR="00FB5C5C" w:rsidRDefault="00FB5C5C" w:rsidP="000C57D5">
            <w:pPr>
              <w:pStyle w:val="Prrafodelista"/>
              <w:widowControl w:val="0"/>
              <w:numPr>
                <w:ilvl w:val="0"/>
                <w:numId w:val="16"/>
              </w:numPr>
              <w:autoSpaceDE w:val="0"/>
              <w:autoSpaceDN w:val="0"/>
              <w:spacing w:after="120" w:line="276" w:lineRule="auto"/>
              <w:jc w:val="both"/>
              <w:rPr>
                <w:rFonts w:ascii="Verdana" w:hAnsi="Verdana" w:cs="Arial"/>
              </w:rPr>
            </w:pPr>
            <w:r>
              <w:rPr>
                <w:rFonts w:ascii="Verdana" w:hAnsi="Verdana" w:cs="Arial"/>
              </w:rPr>
              <w:lastRenderedPageBreak/>
              <w:t>Ley 80 de 1993, artículo 32 y 40.</w:t>
            </w:r>
          </w:p>
          <w:p w14:paraId="2905B297" w14:textId="77777777" w:rsidR="00FB5C5C" w:rsidRDefault="00FB5C5C" w:rsidP="000C57D5">
            <w:pPr>
              <w:pStyle w:val="Prrafodelista"/>
              <w:widowControl w:val="0"/>
              <w:numPr>
                <w:ilvl w:val="0"/>
                <w:numId w:val="16"/>
              </w:numPr>
              <w:autoSpaceDE w:val="0"/>
              <w:autoSpaceDN w:val="0"/>
              <w:spacing w:after="120" w:line="276" w:lineRule="auto"/>
              <w:jc w:val="both"/>
              <w:rPr>
                <w:rFonts w:ascii="Verdana" w:hAnsi="Verdana" w:cs="Arial"/>
              </w:rPr>
            </w:pPr>
            <w:r>
              <w:rPr>
                <w:rFonts w:ascii="Verdana" w:hAnsi="Verdana" w:cs="Arial"/>
              </w:rPr>
              <w:t>Ley 1150 de 2007, artículo 2, numeral 4.</w:t>
            </w:r>
          </w:p>
          <w:p w14:paraId="5AA11961" w14:textId="77777777" w:rsidR="00FB5C5C" w:rsidRPr="00E959DD" w:rsidRDefault="00FB5C5C" w:rsidP="000C57D5">
            <w:pPr>
              <w:pStyle w:val="Prrafodelista"/>
              <w:widowControl w:val="0"/>
              <w:numPr>
                <w:ilvl w:val="0"/>
                <w:numId w:val="16"/>
              </w:numPr>
              <w:autoSpaceDE w:val="0"/>
              <w:autoSpaceDN w:val="0"/>
              <w:spacing w:after="120" w:line="276" w:lineRule="auto"/>
              <w:jc w:val="both"/>
              <w:rPr>
                <w:rFonts w:ascii="Verdana" w:hAnsi="Verdana" w:cs="Arial"/>
              </w:rPr>
            </w:pPr>
            <w:r w:rsidRPr="00920255">
              <w:rPr>
                <w:rFonts w:ascii="Verdana" w:hAnsi="Verdana" w:cs="Arial"/>
              </w:rPr>
              <w:t xml:space="preserve">CONSEJO DE ESTADO. Sección Tercera. Subsección C. Sentencia de Unificación del 2 de diciembre de 2013. </w:t>
            </w:r>
            <w:proofErr w:type="spellStart"/>
            <w:r w:rsidRPr="00920255">
              <w:rPr>
                <w:rFonts w:ascii="Verdana" w:hAnsi="Verdana" w:cs="Arial"/>
              </w:rPr>
              <w:t>Exp</w:t>
            </w:r>
            <w:proofErr w:type="spellEnd"/>
            <w:r w:rsidRPr="00920255">
              <w:rPr>
                <w:rFonts w:ascii="Verdana" w:hAnsi="Verdana" w:cs="Arial"/>
              </w:rPr>
              <w:t>. 41.719. C.P. Jaime Orlando Santofimio Gamboa.</w:t>
            </w:r>
          </w:p>
        </w:tc>
      </w:tr>
    </w:tbl>
    <w:p w14:paraId="45B75124" w14:textId="77777777" w:rsidR="00FB5C5C" w:rsidRPr="003D40FB" w:rsidRDefault="00FB5C5C" w:rsidP="00FB5C5C">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24B0B49C" w14:textId="77777777" w:rsidR="00FB5C5C" w:rsidRPr="003D40FB" w:rsidRDefault="00FB5C5C" w:rsidP="00FB5C5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3D40FB">
        <w:rPr>
          <w:rFonts w:ascii="Verdana" w:eastAsia="Century Gothic" w:hAnsi="Verdana" w:cs="Century Gothic"/>
          <w:b/>
          <w:bCs/>
          <w:lang w:val="es-CO"/>
        </w:rPr>
        <w:t xml:space="preserve">5. </w:t>
      </w:r>
      <w:r w:rsidRPr="003D40FB">
        <w:rPr>
          <w:rFonts w:ascii="Verdana" w:eastAsia="Century Gothic" w:hAnsi="Verdana" w:cs="Century Gothic"/>
          <w:b/>
          <w:bCs/>
        </w:rPr>
        <w:t>Doctrina de la Agencia Nacional de Contratación Pública:</w:t>
      </w:r>
    </w:p>
    <w:p w14:paraId="2A0D990B" w14:textId="77777777" w:rsidR="00FB5C5C" w:rsidRPr="003D40FB" w:rsidRDefault="00FB5C5C" w:rsidP="00FB5C5C">
      <w:pPr>
        <w:spacing w:after="0" w:line="276" w:lineRule="auto"/>
        <w:ind w:firstLine="709"/>
        <w:jc w:val="both"/>
        <w:rPr>
          <w:rFonts w:ascii="Verdana" w:eastAsia="Times New Roman" w:hAnsi="Verdana" w:cs="Arial"/>
          <w:szCs w:val="24"/>
          <w:lang w:val="es-ES" w:eastAsia="es-ES_tradnl"/>
        </w:rPr>
      </w:pPr>
    </w:p>
    <w:p w14:paraId="66B502B3" w14:textId="77777777" w:rsidR="00FB5C5C" w:rsidRPr="003D40FB" w:rsidRDefault="00FB5C5C" w:rsidP="00FB5C5C">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3D40FB">
        <w:rPr>
          <w:rFonts w:ascii="Verdana" w:eastAsia="Calibri" w:hAnsi="Verdana" w:cs="Arial"/>
          <w:lang w:val="es-ES_tradnl" w:eastAsia="es-ES_tradnl"/>
        </w:rPr>
        <w:t xml:space="preserve">Sobre </w:t>
      </w:r>
      <w:r w:rsidRPr="003D40FB">
        <w:rPr>
          <w:rFonts w:ascii="Verdana" w:hAnsi="Verdana" w:cs="Arial"/>
          <w:shd w:val="clear" w:color="auto" w:fill="FFFFFF"/>
        </w:rPr>
        <w:t>el concepto y límites del contrato de prestación de servicios profesionales y de apoyo a la gestión</w:t>
      </w:r>
      <w:r w:rsidRPr="003D40FB">
        <w:rPr>
          <w:rFonts w:ascii="Verdana" w:eastAsia="Calibri" w:hAnsi="Verdana" w:cs="Arial"/>
          <w:lang w:val="es-ES_tradnl" w:eastAsia="es-ES_tradnl"/>
        </w:rPr>
        <w:t>, se pronunció esta Subdirección en los conceptos C-090 del 24 de febrero de 2020, C-105 del 12 de marzo 03 de 2020, C-156 del 3 de abril de 2020, C-188 del 13 de abril de 2020, C-208 del 24 de abril de 2020; C-138, C-005, C-006 y C-018 del 11 de mayo de 2020; C-175, C-320, C-053, C-255, C-282 y C-293 del 12 de mayo de 2020, C-288 del 27 de mayo de 2020, C-345 del 13 de mayo de 2020, C-414 del 30 de junio de 2020, C-484 del 6 de agosto de 2020, C-608 del 1 de octubre de 2020, C-739 del 16 de diciembre de 2020, C-106 de 07 de abril de 2021, C-145 de 8 de abril de 2021, C-491 del 14 de septiembre de 2021 y C- 517 del 30 de septiembre de 2021, C-707 de 17 de enero de 2022, C-019 de 21 de febrero de 2022, C-376 de 14 de junio de 2022, C-091 del 5 de junio de 2023</w:t>
      </w:r>
      <w:r>
        <w:rPr>
          <w:rFonts w:ascii="Verdana" w:eastAsia="Calibri" w:hAnsi="Verdana" w:cs="Arial"/>
          <w:lang w:val="es-ES_tradnl" w:eastAsia="es-ES_tradnl"/>
        </w:rPr>
        <w:t>,</w:t>
      </w:r>
      <w:r w:rsidRPr="003D40FB">
        <w:rPr>
          <w:rFonts w:ascii="Verdana" w:eastAsia="Calibri" w:hAnsi="Verdana" w:cs="Arial"/>
          <w:lang w:val="es-ES_tradnl" w:eastAsia="es-ES_tradnl"/>
        </w:rPr>
        <w:t xml:space="preserve"> C-984 del 2 de enero de 2025</w:t>
      </w:r>
      <w:r>
        <w:rPr>
          <w:rFonts w:ascii="Verdana" w:eastAsia="Calibri" w:hAnsi="Verdana" w:cs="Arial"/>
          <w:lang w:val="es-ES_tradnl" w:eastAsia="es-ES_tradnl"/>
        </w:rPr>
        <w:t xml:space="preserve"> y C-749 del 14 de agosto de 2025</w:t>
      </w:r>
      <w:r w:rsidRPr="003D40FB">
        <w:rPr>
          <w:rFonts w:ascii="Verdana" w:eastAsia="Calibri" w:hAnsi="Verdana" w:cs="Arial"/>
          <w:lang w:val="es-ES" w:eastAsia="es-ES_tradnl"/>
        </w:rPr>
        <w:t>. Estos</w:t>
      </w:r>
      <w:r w:rsidRPr="003D40FB">
        <w:rPr>
          <w:rFonts w:ascii="Verdana" w:hAnsi="Verdana"/>
        </w:rPr>
        <w:t xml:space="preserve"> y otros conceptos se encuentran disponibles para consulta en el Sistema de relatoría de la Agencia, al cual se puede acceder a través del siguiente enlace:</w:t>
      </w:r>
      <w:r w:rsidRPr="003D40FB">
        <w:rPr>
          <w:rStyle w:val="normaltextrun"/>
          <w:rFonts w:ascii="Verdana" w:hAnsi="Verdana" w:cs="Arial"/>
          <w:shd w:val="clear" w:color="auto" w:fill="FFFFFF"/>
          <w:lang w:val="es-ES"/>
        </w:rPr>
        <w:t xml:space="preserve"> </w:t>
      </w:r>
      <w:hyperlink r:id="rId11" w:history="1">
        <w:r w:rsidRPr="003D40FB">
          <w:rPr>
            <w:rStyle w:val="Hipervnculo"/>
            <w:rFonts w:ascii="Verdana" w:hAnsi="Verdana" w:cs="Arial"/>
            <w:shd w:val="clear" w:color="auto" w:fill="FFFFFF"/>
            <w:lang w:val="es-ES"/>
          </w:rPr>
          <w:t>https://relatoria.colombiacompra.gov.co/busqueda/conceptos</w:t>
        </w:r>
      </w:hyperlink>
    </w:p>
    <w:p w14:paraId="493586B6" w14:textId="77777777" w:rsidR="00FB5C5C" w:rsidRPr="003D40FB" w:rsidRDefault="00FB5C5C" w:rsidP="00FB5C5C">
      <w:pPr>
        <w:spacing w:after="0" w:line="276" w:lineRule="auto"/>
        <w:jc w:val="both"/>
        <w:rPr>
          <w:rFonts w:ascii="Verdana" w:hAnsi="Verdana"/>
        </w:rPr>
      </w:pPr>
    </w:p>
    <w:p w14:paraId="257DCD5C" w14:textId="77777777" w:rsidR="00FB5C5C" w:rsidRPr="003D40FB" w:rsidRDefault="00FB5C5C" w:rsidP="00FB5C5C">
      <w:pPr>
        <w:spacing w:after="0" w:line="276" w:lineRule="auto"/>
        <w:jc w:val="both"/>
        <w:rPr>
          <w:rFonts w:ascii="Verdana" w:hAnsi="Verdana"/>
        </w:rPr>
      </w:pPr>
      <w:r>
        <w:rPr>
          <w:rFonts w:ascii="Verdana" w:hAnsi="Verdana"/>
        </w:rPr>
        <w:t>L</w:t>
      </w:r>
      <w:r w:rsidRPr="003D40FB">
        <w:rPr>
          <w:rFonts w:ascii="Verdana" w:hAnsi="Verdana"/>
        </w:rPr>
        <w:t>e contamos que ya se encuentra disponible la </w:t>
      </w:r>
      <w:r w:rsidRPr="003D40FB">
        <w:rPr>
          <w:rFonts w:ascii="Verdana" w:hAnsi="Verdana"/>
          <w:b/>
          <w:bCs/>
        </w:rPr>
        <w:t>Guía de lineamientos de transparencia y selección objetiva para el departamento de La Guajira – Objetivo sexto constitucional de la Sentencia T-302 del 2017. </w:t>
      </w:r>
      <w:r w:rsidRPr="003D40FB">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3D40FB">
        <w:rPr>
          <w:rFonts w:ascii="Verdana" w:hAnsi="Verdana"/>
        </w:rPr>
        <w:t>Wayúu</w:t>
      </w:r>
      <w:proofErr w:type="spellEnd"/>
      <w:r w:rsidRPr="003D40FB">
        <w:rPr>
          <w:rFonts w:ascii="Verdana" w:hAnsi="Verdana"/>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3D40FB">
          <w:rPr>
            <w:rStyle w:val="Hipervnculo"/>
            <w:rFonts w:ascii="Verdana" w:hAnsi="Verdana"/>
          </w:rPr>
          <w:t>Guía de lineamientos de transparencia y selección objetiva para el departamento de La Guajira – Objetivo sexto constitucional de la Sentencia T-302 del 2017</w:t>
        </w:r>
      </w:hyperlink>
      <w:r w:rsidRPr="003D40FB">
        <w:rPr>
          <w:rFonts w:ascii="Verdana" w:hAnsi="Verdana"/>
          <w:u w:val="single"/>
        </w:rPr>
        <w:t>"</w:t>
      </w:r>
    </w:p>
    <w:p w14:paraId="663C02B5" w14:textId="77777777" w:rsidR="00FB5C5C" w:rsidRPr="003D40FB" w:rsidRDefault="00FB5C5C" w:rsidP="00FB5C5C">
      <w:pPr>
        <w:spacing w:after="0" w:line="276" w:lineRule="auto"/>
        <w:jc w:val="both"/>
        <w:rPr>
          <w:rFonts w:ascii="Verdana" w:hAnsi="Verdana"/>
        </w:rPr>
      </w:pPr>
    </w:p>
    <w:p w14:paraId="2740D41D" w14:textId="77777777" w:rsidR="00FB5C5C" w:rsidRPr="003D40FB" w:rsidRDefault="00FB5C5C" w:rsidP="00FB5C5C">
      <w:pPr>
        <w:spacing w:after="0" w:line="276" w:lineRule="auto"/>
        <w:jc w:val="both"/>
        <w:rPr>
          <w:rFonts w:ascii="Verdana" w:hAnsi="Verdana"/>
        </w:rPr>
      </w:pPr>
      <w:r w:rsidRPr="003D40FB">
        <w:rPr>
          <w:rFonts w:ascii="Verdana" w:hAnsi="Verdana"/>
        </w:rPr>
        <w:lastRenderedPageBreak/>
        <w:t xml:space="preserve">Por último, lo invitamos a seguirnos en las redes sociales en las cuales se difunde información institucional: </w:t>
      </w:r>
    </w:p>
    <w:p w14:paraId="7D1627C2" w14:textId="77777777" w:rsidR="00FB5C5C" w:rsidRPr="003D40FB" w:rsidRDefault="00FB5C5C" w:rsidP="00FB5C5C">
      <w:pPr>
        <w:spacing w:after="0" w:line="276" w:lineRule="auto"/>
        <w:jc w:val="both"/>
        <w:rPr>
          <w:rFonts w:ascii="Verdana" w:hAnsi="Verdana"/>
        </w:rPr>
      </w:pPr>
    </w:p>
    <w:p w14:paraId="56004BC4" w14:textId="77777777" w:rsidR="00FB5C5C" w:rsidRPr="003D40FB" w:rsidRDefault="00FB5C5C" w:rsidP="00FB5C5C">
      <w:pPr>
        <w:spacing w:after="0" w:line="276" w:lineRule="auto"/>
        <w:jc w:val="both"/>
        <w:rPr>
          <w:rFonts w:ascii="Verdana" w:hAnsi="Verdana"/>
        </w:rPr>
      </w:pPr>
      <w:r w:rsidRPr="003D40FB">
        <w:rPr>
          <w:rFonts w:ascii="Verdana" w:hAnsi="Verdana"/>
        </w:rPr>
        <w:t xml:space="preserve">Twitter: </w:t>
      </w:r>
      <w:r w:rsidRPr="003D40FB">
        <w:rPr>
          <w:rStyle w:val="Hipervnculo"/>
          <w:rFonts w:ascii="Verdana" w:hAnsi="Verdana"/>
          <w:color w:val="4472C4" w:themeColor="accent1"/>
        </w:rPr>
        <w:t>@colombiacompra</w:t>
      </w:r>
      <w:r w:rsidRPr="003D40FB">
        <w:rPr>
          <w:rFonts w:ascii="Verdana" w:hAnsi="Verdana"/>
          <w:color w:val="4472C4" w:themeColor="accent1"/>
        </w:rPr>
        <w:t xml:space="preserve"> </w:t>
      </w:r>
    </w:p>
    <w:p w14:paraId="646775A4" w14:textId="77777777" w:rsidR="00FB5C5C" w:rsidRPr="003D40FB" w:rsidRDefault="00FB5C5C" w:rsidP="00FB5C5C">
      <w:pPr>
        <w:spacing w:after="0" w:line="276" w:lineRule="auto"/>
        <w:jc w:val="both"/>
        <w:rPr>
          <w:rFonts w:ascii="Verdana" w:hAnsi="Verdana"/>
        </w:rPr>
      </w:pPr>
      <w:r w:rsidRPr="003D40FB">
        <w:rPr>
          <w:rFonts w:ascii="Verdana" w:hAnsi="Verdana"/>
        </w:rPr>
        <w:t xml:space="preserve">Facebook: </w:t>
      </w:r>
      <w:proofErr w:type="spellStart"/>
      <w:r w:rsidRPr="003D40FB">
        <w:rPr>
          <w:rStyle w:val="Hipervnculo"/>
          <w:rFonts w:ascii="Verdana" w:hAnsi="Verdana"/>
          <w:color w:val="4472C4" w:themeColor="accent1"/>
        </w:rPr>
        <w:t>ColombiaCompraEficiente</w:t>
      </w:r>
      <w:proofErr w:type="spellEnd"/>
    </w:p>
    <w:p w14:paraId="701913CE" w14:textId="77777777" w:rsidR="00FB5C5C" w:rsidRPr="003D40FB" w:rsidRDefault="00FB5C5C" w:rsidP="00FB5C5C">
      <w:pPr>
        <w:spacing w:after="0" w:line="276" w:lineRule="auto"/>
        <w:jc w:val="both"/>
        <w:rPr>
          <w:rFonts w:ascii="Verdana" w:hAnsi="Verdana"/>
        </w:rPr>
      </w:pPr>
      <w:r w:rsidRPr="003D40FB">
        <w:rPr>
          <w:rFonts w:ascii="Verdana" w:hAnsi="Verdana"/>
        </w:rPr>
        <w:t xml:space="preserve">LinkedIn: </w:t>
      </w:r>
      <w:r w:rsidRPr="003D40FB">
        <w:rPr>
          <w:rStyle w:val="Hipervnculo"/>
          <w:rFonts w:ascii="Verdana" w:hAnsi="Verdana"/>
          <w:color w:val="4472C4" w:themeColor="accent1"/>
        </w:rPr>
        <w:t>Agencia Nacional de Contratación Pública - Colombia Compra Eficiente</w:t>
      </w:r>
      <w:r w:rsidRPr="003D40FB">
        <w:rPr>
          <w:rFonts w:ascii="Verdana" w:hAnsi="Verdana"/>
          <w:color w:val="4472C4" w:themeColor="accent1"/>
        </w:rPr>
        <w:t xml:space="preserve"> </w:t>
      </w:r>
      <w:r w:rsidRPr="003D40FB">
        <w:rPr>
          <w:rFonts w:ascii="Verdana" w:hAnsi="Verdana"/>
        </w:rPr>
        <w:t xml:space="preserve">Instagram: </w:t>
      </w:r>
      <w:r w:rsidRPr="003D40FB">
        <w:rPr>
          <w:rStyle w:val="Hipervnculo"/>
          <w:rFonts w:ascii="Verdana" w:hAnsi="Verdana"/>
          <w:color w:val="4472C4" w:themeColor="accent1"/>
        </w:rPr>
        <w:t>@colombiacompraeficiente_cce</w:t>
      </w:r>
    </w:p>
    <w:p w14:paraId="0D19B003" w14:textId="77777777" w:rsidR="00FB5C5C" w:rsidRPr="003D40FB" w:rsidRDefault="00FB5C5C" w:rsidP="00FB5C5C">
      <w:pPr>
        <w:widowControl w:val="0"/>
        <w:autoSpaceDE w:val="0"/>
        <w:autoSpaceDN w:val="0"/>
        <w:spacing w:after="0" w:line="276" w:lineRule="auto"/>
        <w:jc w:val="both"/>
        <w:rPr>
          <w:rFonts w:ascii="Verdana" w:hAnsi="Verdana" w:cs="Arial"/>
        </w:rPr>
      </w:pPr>
    </w:p>
    <w:p w14:paraId="2D822567" w14:textId="77777777" w:rsidR="00FB5C5C" w:rsidRPr="003D40FB" w:rsidRDefault="00FB5C5C" w:rsidP="00FB5C5C">
      <w:pPr>
        <w:widowControl w:val="0"/>
        <w:autoSpaceDE w:val="0"/>
        <w:autoSpaceDN w:val="0"/>
        <w:spacing w:after="0" w:line="276" w:lineRule="auto"/>
        <w:jc w:val="both"/>
        <w:rPr>
          <w:rFonts w:ascii="Verdana" w:hAnsi="Verdana" w:cs="Arial"/>
          <w:lang w:val="es-ES_tradnl"/>
        </w:rPr>
      </w:pPr>
      <w:r w:rsidRPr="003D40FB">
        <w:rPr>
          <w:rFonts w:ascii="Verdana" w:hAnsi="Verdana" w:cs="Arial"/>
        </w:rPr>
        <w:t xml:space="preserve">Este concepto tiene el alcance previsto en el artículo 28 del Código de Procedimiento Administrativo y de lo Contencioso Administrativo </w:t>
      </w:r>
      <w:r w:rsidRPr="003D40FB">
        <w:rPr>
          <w:rFonts w:ascii="Verdana" w:hAnsi="Verdana" w:cs="Arial"/>
          <w:lang w:val="es-ES_tradnl"/>
        </w:rPr>
        <w:t>y las expresiones aquí utilizadas con mayúscula inicial deben ser entendidas con el significado que les otorga el artículo 2.2.1.1.1.3.1. del Decreto 1082 de 2015.</w:t>
      </w:r>
    </w:p>
    <w:p w14:paraId="74E1B0BD" w14:textId="77777777" w:rsidR="00FB5C5C" w:rsidRPr="003D40FB" w:rsidRDefault="00FB5C5C" w:rsidP="00FB5C5C">
      <w:pPr>
        <w:spacing w:after="0" w:line="276" w:lineRule="auto"/>
        <w:ind w:firstLine="709"/>
        <w:jc w:val="both"/>
        <w:rPr>
          <w:rFonts w:ascii="Verdana" w:eastAsia="Times New Roman" w:hAnsi="Verdana" w:cs="Arial"/>
          <w:szCs w:val="24"/>
          <w:lang w:val="es-ES_tradnl" w:eastAsia="es-ES_tradnl"/>
        </w:rPr>
      </w:pPr>
    </w:p>
    <w:p w14:paraId="11463813" w14:textId="77777777" w:rsidR="00FB5C5C" w:rsidRPr="003D40FB" w:rsidRDefault="00FB5C5C" w:rsidP="00FB5C5C">
      <w:pPr>
        <w:spacing w:after="0" w:line="276" w:lineRule="auto"/>
        <w:jc w:val="both"/>
        <w:rPr>
          <w:rFonts w:ascii="Verdana" w:eastAsia="Times New Roman" w:hAnsi="Verdana" w:cs="Arial"/>
          <w:lang w:val="es-ES_tradnl" w:eastAsia="es-CO"/>
        </w:rPr>
      </w:pPr>
      <w:bookmarkStart w:id="1" w:name="_Hlk117695077"/>
      <w:r w:rsidRPr="003D40FB">
        <w:rPr>
          <w:rFonts w:ascii="Verdana" w:eastAsia="Times New Roman" w:hAnsi="Verdana" w:cs="Arial"/>
          <w:lang w:val="es-ES_tradnl" w:eastAsia="es-CO"/>
        </w:rPr>
        <w:t>Atentamente,</w:t>
      </w:r>
    </w:p>
    <w:bookmarkEnd w:id="1"/>
    <w:p w14:paraId="4DE1FCA8" w14:textId="28E8C2EF" w:rsidR="00FB5C5C" w:rsidRPr="00CC5C68" w:rsidRDefault="00717BCE" w:rsidP="00FB5C5C">
      <w:pPr>
        <w:spacing w:after="18" w:line="240" w:lineRule="auto"/>
        <w:jc w:val="center"/>
        <w:rPr>
          <w:rFonts w:ascii="Verdana" w:eastAsia="Times New Roman" w:hAnsi="Verdana" w:cs="Arial"/>
          <w:sz w:val="24"/>
          <w:szCs w:val="24"/>
          <w:lang w:eastAsia="es-CO"/>
        </w:rPr>
      </w:pPr>
      <w:r>
        <w:rPr>
          <w:noProof/>
        </w:rPr>
        <w:drawing>
          <wp:inline distT="0" distB="0" distL="0" distR="0" wp14:anchorId="048B08F2" wp14:editId="64E2CF47">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p w14:paraId="71A68501" w14:textId="77777777" w:rsidR="00FB5C5C" w:rsidRPr="00CC5C68" w:rsidRDefault="00FB5C5C" w:rsidP="00FB5C5C">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337"/>
      </w:tblGrid>
      <w:tr w:rsidR="00FB5C5C" w:rsidRPr="00CC5C68" w14:paraId="45D4B662" w14:textId="77777777" w:rsidTr="000C57D5">
        <w:trPr>
          <w:trHeight w:val="286"/>
        </w:trPr>
        <w:tc>
          <w:tcPr>
            <w:tcW w:w="893" w:type="dxa"/>
            <w:vAlign w:val="center"/>
            <w:hideMark/>
          </w:tcPr>
          <w:p w14:paraId="1C497E9D" w14:textId="77777777" w:rsidR="00FB5C5C" w:rsidRPr="00CC5C68" w:rsidRDefault="00FB5C5C" w:rsidP="000C57D5">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6337" w:type="dxa"/>
            <w:tcBorders>
              <w:top w:val="nil"/>
              <w:left w:val="nil"/>
              <w:bottom w:val="dotted" w:sz="4" w:space="0" w:color="7F7F7F"/>
              <w:right w:val="nil"/>
            </w:tcBorders>
            <w:vAlign w:val="center"/>
            <w:hideMark/>
          </w:tcPr>
          <w:p w14:paraId="4A8AFB44" w14:textId="77777777" w:rsidR="00FB5C5C" w:rsidRDefault="00FB5C5C" w:rsidP="000C57D5">
            <w:pPr>
              <w:rPr>
                <w:rFonts w:ascii="Verdana" w:eastAsia="Times New Roman" w:hAnsi="Verdana" w:cs="Arial"/>
                <w:sz w:val="16"/>
                <w:szCs w:val="16"/>
                <w:lang w:val="es-ES_tradnl" w:eastAsia="es-ES"/>
              </w:rPr>
            </w:pPr>
            <w:r w:rsidRPr="009C4D9A">
              <w:rPr>
                <w:rFonts w:ascii="Verdana" w:eastAsia="Times New Roman" w:hAnsi="Verdana" w:cs="Arial"/>
                <w:sz w:val="16"/>
                <w:szCs w:val="16"/>
                <w:lang w:val="es-ES_tradnl" w:eastAsia="es-ES"/>
              </w:rPr>
              <w:t>Ximena Ríos López</w:t>
            </w:r>
          </w:p>
          <w:p w14:paraId="50D63C50" w14:textId="77777777" w:rsidR="00FB5C5C" w:rsidRPr="00CC5C68" w:rsidRDefault="00FB5C5C" w:rsidP="000C57D5">
            <w:pPr>
              <w:rPr>
                <w:rFonts w:ascii="Verdana" w:eastAsia="Times New Roman" w:hAnsi="Verdana" w:cs="Arial"/>
                <w:sz w:val="14"/>
                <w:szCs w:val="14"/>
                <w:lang w:eastAsia="es-ES"/>
              </w:rPr>
            </w:pPr>
            <w:r>
              <w:rPr>
                <w:rFonts w:ascii="Verdana" w:eastAsia="Times New Roman" w:hAnsi="Verdana" w:cs="Arial"/>
                <w:sz w:val="16"/>
                <w:szCs w:val="16"/>
                <w:lang w:val="es-ES_tradnl" w:eastAsia="es-ES"/>
              </w:rPr>
              <w:t>Gestor T1-11</w:t>
            </w:r>
            <w:r w:rsidRPr="00CC5C68">
              <w:rPr>
                <w:rFonts w:ascii="Verdana" w:eastAsia="Times New Roman" w:hAnsi="Verdana" w:cs="Arial"/>
                <w:sz w:val="16"/>
                <w:szCs w:val="16"/>
                <w:lang w:eastAsia="es-ES"/>
              </w:rPr>
              <w:t xml:space="preserve"> de la Subdirección de Gestión Contractual</w:t>
            </w:r>
          </w:p>
        </w:tc>
      </w:tr>
      <w:tr w:rsidR="00FB5C5C" w:rsidRPr="00CC5C68" w14:paraId="6432FA3A" w14:textId="77777777" w:rsidTr="000C57D5">
        <w:trPr>
          <w:trHeight w:val="299"/>
        </w:trPr>
        <w:tc>
          <w:tcPr>
            <w:tcW w:w="893" w:type="dxa"/>
            <w:vAlign w:val="center"/>
            <w:hideMark/>
          </w:tcPr>
          <w:p w14:paraId="0C65A7F8" w14:textId="77777777" w:rsidR="00FB5C5C" w:rsidRPr="00CC5C68" w:rsidRDefault="00FB5C5C" w:rsidP="000C57D5">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6337" w:type="dxa"/>
            <w:tcBorders>
              <w:top w:val="dotted" w:sz="4" w:space="0" w:color="7F7F7F"/>
              <w:left w:val="nil"/>
              <w:bottom w:val="dotted" w:sz="4" w:space="0" w:color="7F7F7F"/>
              <w:right w:val="nil"/>
            </w:tcBorders>
            <w:vAlign w:val="center"/>
            <w:hideMark/>
          </w:tcPr>
          <w:p w14:paraId="32E98AD2" w14:textId="77777777" w:rsidR="00FB5C5C" w:rsidRPr="00CC5C68" w:rsidRDefault="00FB5C5C" w:rsidP="000C57D5">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 xml:space="preserve">Diana Lucia Saavedra Castañeda </w:t>
            </w:r>
          </w:p>
          <w:p w14:paraId="447F56D5" w14:textId="77777777" w:rsidR="00FB5C5C" w:rsidRPr="00CC5C68" w:rsidRDefault="00FB5C5C" w:rsidP="000C57D5">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FB5C5C" w:rsidRPr="00CC5C68" w14:paraId="1BE08324" w14:textId="77777777" w:rsidTr="000C57D5">
        <w:trPr>
          <w:trHeight w:val="272"/>
        </w:trPr>
        <w:tc>
          <w:tcPr>
            <w:tcW w:w="893" w:type="dxa"/>
            <w:vAlign w:val="center"/>
            <w:hideMark/>
          </w:tcPr>
          <w:p w14:paraId="12B65C8A" w14:textId="77777777" w:rsidR="00FB5C5C" w:rsidRPr="00CC5C68" w:rsidRDefault="00FB5C5C" w:rsidP="000C57D5">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6337" w:type="dxa"/>
            <w:tcBorders>
              <w:top w:val="dotted" w:sz="4" w:space="0" w:color="7F7F7F"/>
              <w:left w:val="nil"/>
              <w:bottom w:val="dotted" w:sz="4" w:space="0" w:color="7F7F7F"/>
              <w:right w:val="nil"/>
            </w:tcBorders>
            <w:vAlign w:val="center"/>
            <w:hideMark/>
          </w:tcPr>
          <w:p w14:paraId="7908C8F6" w14:textId="77777777" w:rsidR="00FB5C5C" w:rsidRPr="00CC5C68" w:rsidRDefault="00FB5C5C" w:rsidP="000C57D5">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 xml:space="preserve">Carolina Quintero </w:t>
            </w:r>
            <w:proofErr w:type="spellStart"/>
            <w:r w:rsidRPr="00CC5C68">
              <w:rPr>
                <w:rFonts w:ascii="Verdana" w:eastAsia="Times New Roman" w:hAnsi="Verdana" w:cs="Arial"/>
                <w:sz w:val="16"/>
                <w:szCs w:val="16"/>
                <w:lang w:eastAsia="es-ES"/>
              </w:rPr>
              <w:t>Gacharná</w:t>
            </w:r>
            <w:proofErr w:type="spellEnd"/>
          </w:p>
          <w:p w14:paraId="6112735C" w14:textId="77777777" w:rsidR="00FB5C5C" w:rsidRPr="00CC5C68" w:rsidRDefault="00FB5C5C" w:rsidP="000C57D5">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0F13B314" w14:textId="77777777" w:rsidR="00FB5C5C" w:rsidRPr="00CC5C68" w:rsidRDefault="00FB5C5C" w:rsidP="00FB5C5C">
      <w:pPr>
        <w:spacing w:after="0" w:line="276" w:lineRule="auto"/>
        <w:jc w:val="both"/>
        <w:rPr>
          <w:rFonts w:ascii="Verdana" w:eastAsia="Times New Roman" w:hAnsi="Verdana" w:cs="Arial"/>
          <w:lang w:val="es-ES_tradnl"/>
        </w:rPr>
      </w:pPr>
    </w:p>
    <w:p w14:paraId="01C9C62F" w14:textId="77777777" w:rsidR="00FB5C5C" w:rsidRPr="00CC5C68" w:rsidRDefault="00FB5C5C" w:rsidP="00FB5C5C">
      <w:pPr>
        <w:spacing w:after="0" w:line="240" w:lineRule="auto"/>
        <w:rPr>
          <w:rFonts w:ascii="Verdana" w:eastAsia="Times New Roman" w:hAnsi="Verdana" w:cs="Arial"/>
          <w:sz w:val="24"/>
          <w:szCs w:val="24"/>
          <w:lang w:eastAsia="es-ES_tradnl"/>
        </w:rPr>
      </w:pPr>
    </w:p>
    <w:p w14:paraId="34C4AA3A" w14:textId="77777777" w:rsidR="00FB5C5C" w:rsidRPr="00823FE1" w:rsidRDefault="00FB5C5C" w:rsidP="00FB5C5C"/>
    <w:p w14:paraId="3900974D" w14:textId="77777777" w:rsidR="003D5B0D" w:rsidRPr="00FB5C5C" w:rsidRDefault="003D5B0D" w:rsidP="00FB5C5C"/>
    <w:sectPr w:rsidR="003D5B0D" w:rsidRPr="00FB5C5C"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456CA" w14:textId="77777777" w:rsidR="00F022A2" w:rsidRDefault="00F022A2" w:rsidP="004A1847">
      <w:pPr>
        <w:spacing w:after="0" w:line="240" w:lineRule="auto"/>
      </w:pPr>
      <w:r>
        <w:separator/>
      </w:r>
    </w:p>
  </w:endnote>
  <w:endnote w:type="continuationSeparator" w:id="0">
    <w:p w14:paraId="7AFF4ACF" w14:textId="77777777" w:rsidR="00F022A2" w:rsidRDefault="00F022A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4C0FB" w14:textId="77777777" w:rsidR="00F022A2" w:rsidRDefault="00F022A2" w:rsidP="004A1847">
      <w:pPr>
        <w:spacing w:after="0" w:line="240" w:lineRule="auto"/>
      </w:pPr>
      <w:r>
        <w:separator/>
      </w:r>
    </w:p>
  </w:footnote>
  <w:footnote w:type="continuationSeparator" w:id="0">
    <w:p w14:paraId="5750A355" w14:textId="77777777" w:rsidR="00F022A2" w:rsidRDefault="00F022A2" w:rsidP="004A1847">
      <w:pPr>
        <w:spacing w:after="0" w:line="240" w:lineRule="auto"/>
      </w:pPr>
      <w:r>
        <w:continuationSeparator/>
      </w:r>
    </w:p>
  </w:footnote>
  <w:footnote w:id="1">
    <w:p w14:paraId="763E8470" w14:textId="77777777" w:rsidR="00FB5C5C" w:rsidRPr="0042661A" w:rsidRDefault="00FB5C5C" w:rsidP="00FB5C5C">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Consejo de Estado. Sección Segunda. Sentencia del 9 de septiembre de 2021. Expediente No. 05001-23-33-000-2013-01143-01(1317-16). M.P. Dra. Sandra Lisset Ibarra Vélez.</w:t>
      </w:r>
    </w:p>
    <w:p w14:paraId="576BB0AD" w14:textId="77777777" w:rsidR="00FB5C5C" w:rsidRPr="0042661A" w:rsidRDefault="00FB5C5C" w:rsidP="00FB5C5C">
      <w:pPr>
        <w:pStyle w:val="Textonotapie"/>
        <w:ind w:firstLine="709"/>
        <w:jc w:val="both"/>
        <w:rPr>
          <w:rFonts w:ascii="Verdana" w:hAnsi="Verdana" w:cs="Arial"/>
          <w:sz w:val="16"/>
          <w:szCs w:val="16"/>
        </w:rPr>
      </w:pPr>
    </w:p>
  </w:footnote>
  <w:footnote w:id="2">
    <w:p w14:paraId="5965BD94" w14:textId="77777777" w:rsidR="00FB5C5C" w:rsidRDefault="00FB5C5C" w:rsidP="00FB5C5C">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2F26C3B6" w14:textId="77777777" w:rsidR="00FB5C5C" w:rsidRPr="0042661A" w:rsidRDefault="00FB5C5C" w:rsidP="00FB5C5C">
      <w:pPr>
        <w:pStyle w:val="Textonotapie"/>
        <w:ind w:firstLine="709"/>
        <w:jc w:val="both"/>
        <w:rPr>
          <w:rFonts w:ascii="Verdana" w:hAnsi="Verdana" w:cs="Arial"/>
          <w:sz w:val="16"/>
          <w:szCs w:val="16"/>
          <w:lang w:val="es-ES_tradnl"/>
        </w:rPr>
      </w:pPr>
    </w:p>
  </w:footnote>
  <w:footnote w:id="3">
    <w:p w14:paraId="7D2EFB00" w14:textId="77777777" w:rsidR="00FB5C5C" w:rsidRPr="0042661A" w:rsidRDefault="00FB5C5C" w:rsidP="00FB5C5C">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0E601FB2" w14:textId="77777777" w:rsidR="00FB5C5C" w:rsidRPr="0042661A" w:rsidRDefault="00FB5C5C" w:rsidP="00FB5C5C">
      <w:pPr>
        <w:pStyle w:val="Textonotapie"/>
        <w:ind w:firstLine="709"/>
        <w:jc w:val="both"/>
        <w:rPr>
          <w:rFonts w:ascii="Verdana" w:hAnsi="Verdana" w:cs="Arial"/>
          <w:sz w:val="16"/>
          <w:szCs w:val="16"/>
          <w:lang w:val="es-ES"/>
        </w:rPr>
      </w:pPr>
    </w:p>
  </w:footnote>
  <w:footnote w:id="4">
    <w:p w14:paraId="18ACAA56" w14:textId="77777777" w:rsidR="00FB5C5C" w:rsidRDefault="00FB5C5C" w:rsidP="00FB5C5C">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330F6156" w14:textId="77777777" w:rsidR="00FB5C5C"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7015EDA4"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El Gobierno nacional reglamentará el mecanismo para realizar la mensualización de que trata el presente artículo.</w:t>
      </w:r>
    </w:p>
    <w:p w14:paraId="144A9EC6" w14:textId="77777777" w:rsidR="00FB5C5C" w:rsidRDefault="00FB5C5C" w:rsidP="00FB5C5C">
      <w:pPr>
        <w:pStyle w:val="Textonotapie"/>
        <w:ind w:firstLine="709"/>
        <w:jc w:val="both"/>
        <w:rPr>
          <w:rFonts w:ascii="Verdana" w:hAnsi="Verdana" w:cs="Arial"/>
          <w:sz w:val="16"/>
          <w:szCs w:val="16"/>
          <w:lang w:val="pt-BR"/>
        </w:rPr>
      </w:pPr>
      <w:r w:rsidRPr="0042661A">
        <w:rPr>
          <w:rFonts w:ascii="Verdana" w:hAnsi="Verdana" w:cs="Arial"/>
          <w:sz w:val="16"/>
          <w:szCs w:val="16"/>
          <w:lang w:val="pt-BR"/>
        </w:rPr>
        <w:t>[…]”.</w:t>
      </w:r>
    </w:p>
    <w:p w14:paraId="0DB9BE84" w14:textId="77777777" w:rsidR="00FB5C5C" w:rsidRPr="0042661A" w:rsidRDefault="00FB5C5C" w:rsidP="00FB5C5C">
      <w:pPr>
        <w:pStyle w:val="Textonotapie"/>
        <w:ind w:firstLine="709"/>
        <w:jc w:val="both"/>
        <w:rPr>
          <w:rFonts w:ascii="Verdana" w:hAnsi="Verdana" w:cs="Arial"/>
          <w:sz w:val="16"/>
          <w:szCs w:val="16"/>
          <w:lang w:val="pt-BR"/>
        </w:rPr>
      </w:pPr>
    </w:p>
  </w:footnote>
  <w:footnote w:id="5">
    <w:p w14:paraId="29CE845A" w14:textId="77777777" w:rsidR="00FB5C5C" w:rsidRPr="0042661A" w:rsidRDefault="00FB5C5C" w:rsidP="00FB5C5C">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lang w:val="pt-BR"/>
        </w:rPr>
        <w:t xml:space="preserve"> Corte Constitucional. Sentencia C-154 de 1997. </w:t>
      </w:r>
      <w:r w:rsidRPr="0042661A">
        <w:rPr>
          <w:rFonts w:ascii="Verdana" w:hAnsi="Verdana" w:cs="Arial"/>
          <w:sz w:val="16"/>
          <w:szCs w:val="16"/>
          <w:lang w:val="es-ES"/>
        </w:rPr>
        <w:t>MP: Hernando Herrera Vergara.</w:t>
      </w:r>
    </w:p>
    <w:p w14:paraId="72B84596" w14:textId="77777777" w:rsidR="00FB5C5C" w:rsidRPr="0042661A" w:rsidRDefault="00FB5C5C" w:rsidP="00FB5C5C">
      <w:pPr>
        <w:pStyle w:val="Textonotapie"/>
        <w:ind w:firstLine="709"/>
        <w:jc w:val="both"/>
        <w:rPr>
          <w:rFonts w:ascii="Verdana" w:hAnsi="Verdana" w:cs="Arial"/>
          <w:sz w:val="16"/>
          <w:szCs w:val="16"/>
          <w:lang w:val="es-ES"/>
        </w:rPr>
      </w:pPr>
    </w:p>
  </w:footnote>
  <w:footnote w:id="6">
    <w:p w14:paraId="225283FB" w14:textId="77777777" w:rsidR="00FB5C5C" w:rsidRPr="0042661A" w:rsidRDefault="00FB5C5C" w:rsidP="00FB5C5C">
      <w:pPr>
        <w:pStyle w:val="Textonotapie"/>
        <w:ind w:firstLine="709"/>
        <w:jc w:val="both"/>
        <w:rPr>
          <w:rFonts w:ascii="Verdana" w:hAnsi="Verdana" w:cs="Arial"/>
          <w:color w:val="000000" w:themeColor="text1"/>
          <w:sz w:val="16"/>
          <w:szCs w:val="16"/>
          <w:lang w:val="es-CO"/>
        </w:rPr>
      </w:pPr>
      <w:r w:rsidRPr="0042661A">
        <w:rPr>
          <w:rStyle w:val="Refdenotaalpie"/>
          <w:rFonts w:ascii="Verdana" w:hAnsi="Verdana"/>
          <w:sz w:val="16"/>
          <w:szCs w:val="16"/>
        </w:rPr>
        <w:footnoteRef/>
      </w:r>
      <w:r w:rsidRPr="0042661A">
        <w:rPr>
          <w:rFonts w:ascii="Verdana" w:hAnsi="Verdana"/>
          <w:sz w:val="16"/>
          <w:szCs w:val="16"/>
        </w:rPr>
        <w:t xml:space="preserve"> </w:t>
      </w:r>
      <w:r w:rsidRPr="0042661A">
        <w:rPr>
          <w:rFonts w:ascii="Verdana" w:hAnsi="Verdana" w:cs="Arial"/>
          <w:color w:val="000000" w:themeColor="text1"/>
          <w:sz w:val="16"/>
          <w:szCs w:val="16"/>
          <w:lang w:val="es-ES"/>
        </w:rPr>
        <w:t xml:space="preserve">Consejo de Estado. Sección Segunda. Sentencia de Unificación Jurisprudencial </w:t>
      </w:r>
      <w:r w:rsidRPr="0042661A">
        <w:rPr>
          <w:rFonts w:ascii="Verdana" w:hAnsi="Verdana" w:cs="Arial"/>
          <w:color w:val="000000" w:themeColor="text1"/>
          <w:sz w:val="16"/>
          <w:szCs w:val="16"/>
          <w:lang w:val="es-CO"/>
        </w:rPr>
        <w:t>SUJ-025-CE-S2-2021.</w:t>
      </w:r>
      <w:r w:rsidRPr="0042661A">
        <w:rPr>
          <w:rFonts w:ascii="Verdana" w:hAnsi="Verdana" w:cs="Arial"/>
          <w:color w:val="000000" w:themeColor="text1"/>
          <w:sz w:val="16"/>
          <w:szCs w:val="16"/>
          <w:lang w:val="es-ES"/>
        </w:rPr>
        <w:t xml:space="preserve"> Radicado (1317-2016). El numeral primero de la parte resolutiva de la sentencia señala lo siguiente:</w:t>
      </w:r>
      <w:r w:rsidRPr="0042661A">
        <w:rPr>
          <w:rFonts w:ascii="Verdana" w:eastAsia="Times New Roman" w:hAnsi="Verdana" w:cs="Times New Roman"/>
          <w:sz w:val="16"/>
          <w:szCs w:val="16"/>
          <w:lang w:val="es-CO" w:eastAsia="es-ES_tradnl"/>
        </w:rPr>
        <w:t xml:space="preserve"> </w:t>
      </w:r>
      <w:r w:rsidRPr="0042661A">
        <w:rPr>
          <w:rFonts w:ascii="Verdana" w:hAnsi="Verdana" w:cs="Arial"/>
          <w:noProof/>
          <w:sz w:val="16"/>
          <w:szCs w:val="16"/>
          <w:lang w:val="es-ES_tradnl"/>
        </w:rPr>
        <w:t>“</w:t>
      </w:r>
      <w:r w:rsidRPr="0042661A">
        <w:rPr>
          <w:rFonts w:ascii="Verdana" w:hAnsi="Verdana" w:cs="Arial"/>
          <w:color w:val="000000" w:themeColor="text1"/>
          <w:sz w:val="16"/>
          <w:szCs w:val="16"/>
          <w:lang w:val="es-CO"/>
        </w:rPr>
        <w:t xml:space="preserve">Unificar la jurisprudencia de la Sección Segunda del Consejo de Estado, en el sentido de precisar las siguientes reglas en las relaciones laborales encubiertas o subyacentes: </w:t>
      </w:r>
    </w:p>
    <w:p w14:paraId="529DEAA8" w14:textId="77777777" w:rsidR="00FB5C5C" w:rsidRPr="0042661A" w:rsidRDefault="00FB5C5C" w:rsidP="00FB5C5C">
      <w:pPr>
        <w:pStyle w:val="Textonotapie"/>
        <w:ind w:firstLine="709"/>
        <w:jc w:val="both"/>
        <w:rPr>
          <w:rFonts w:ascii="Verdana" w:hAnsi="Verdana" w:cs="Arial"/>
          <w:color w:val="000000" w:themeColor="text1"/>
          <w:sz w:val="16"/>
          <w:szCs w:val="16"/>
          <w:lang w:val="es-CO"/>
        </w:rPr>
      </w:pPr>
      <w:r w:rsidRPr="0042661A">
        <w:rPr>
          <w:rFonts w:ascii="Verdana" w:hAnsi="Verdana" w:cs="Arial"/>
          <w:color w:val="000000" w:themeColor="text1"/>
          <w:sz w:val="16"/>
          <w:szCs w:val="16"/>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0F400AE6" w14:textId="77777777" w:rsidR="00FB5C5C" w:rsidRPr="0042661A" w:rsidRDefault="00FB5C5C" w:rsidP="00FB5C5C">
      <w:pPr>
        <w:pStyle w:val="Textonotapie"/>
        <w:ind w:firstLine="709"/>
        <w:jc w:val="both"/>
        <w:rPr>
          <w:rFonts w:ascii="Verdana" w:hAnsi="Verdana" w:cs="Arial"/>
          <w:color w:val="000000" w:themeColor="text1"/>
          <w:sz w:val="16"/>
          <w:szCs w:val="16"/>
          <w:lang w:val="es-CO"/>
        </w:rPr>
      </w:pPr>
      <w:r w:rsidRPr="0042661A">
        <w:rPr>
          <w:rFonts w:ascii="Verdana" w:hAnsi="Verdana" w:cs="Arial"/>
          <w:color w:val="000000" w:themeColor="text1"/>
          <w:sz w:val="16"/>
          <w:szCs w:val="16"/>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26EEC132" w14:textId="77777777" w:rsidR="00FB5C5C" w:rsidRPr="0042661A" w:rsidRDefault="00FB5C5C" w:rsidP="00FB5C5C">
      <w:pPr>
        <w:pStyle w:val="Textonotapie"/>
        <w:ind w:firstLine="709"/>
        <w:jc w:val="both"/>
        <w:rPr>
          <w:rFonts w:ascii="Verdana" w:hAnsi="Verdana" w:cs="Arial"/>
          <w:sz w:val="16"/>
          <w:szCs w:val="16"/>
          <w:lang w:val="pt-BR"/>
        </w:rPr>
      </w:pPr>
      <w:r w:rsidRPr="0042661A">
        <w:rPr>
          <w:rFonts w:ascii="Verdana" w:hAnsi="Verdana" w:cs="Arial"/>
          <w:color w:val="000000" w:themeColor="text1"/>
          <w:sz w:val="16"/>
          <w:szCs w:val="16"/>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42661A">
        <w:rPr>
          <w:rFonts w:ascii="Verdana" w:hAnsi="Verdana" w:cs="Arial"/>
          <w:sz w:val="16"/>
          <w:szCs w:val="16"/>
          <w:lang w:val="pt-BR"/>
        </w:rPr>
        <w:t>”.</w:t>
      </w:r>
    </w:p>
    <w:p w14:paraId="30765203" w14:textId="77777777" w:rsidR="00FB5C5C" w:rsidRPr="0042661A" w:rsidRDefault="00FB5C5C" w:rsidP="00FB5C5C">
      <w:pPr>
        <w:pStyle w:val="Textonotapie"/>
        <w:ind w:firstLine="709"/>
        <w:jc w:val="both"/>
        <w:rPr>
          <w:rFonts w:ascii="Verdana" w:hAnsi="Verdana"/>
          <w:sz w:val="16"/>
          <w:szCs w:val="16"/>
          <w:lang w:val="es-CO"/>
        </w:rPr>
      </w:pPr>
    </w:p>
  </w:footnote>
  <w:footnote w:id="7">
    <w:p w14:paraId="4635156E" w14:textId="77777777" w:rsidR="00FB5C5C" w:rsidRPr="0042661A" w:rsidRDefault="00FB5C5C" w:rsidP="00FB5C5C">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Particularmente, sobre la regla de unificación número 2, el Consejo de Estado explica que “[…]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42661A">
        <w:rPr>
          <w:rFonts w:ascii="Verdana" w:hAnsi="Verdana" w:cs="Arial"/>
          <w:b/>
          <w:bCs/>
          <w:sz w:val="16"/>
          <w:szCs w:val="16"/>
        </w:rPr>
        <w:t>solo para efectos de la prescripción de derechos laborales</w:t>
      </w:r>
      <w:r w:rsidRPr="0042661A">
        <w:rPr>
          <w:rFonts w:ascii="Verdana" w:hAnsi="Verdana" w:cs="Arial"/>
          <w:sz w:val="16"/>
          <w:szCs w:val="16"/>
        </w:rPr>
        <w:t>” (Énfasis dentro del texto).</w:t>
      </w:r>
    </w:p>
    <w:p w14:paraId="7D83FCB7" w14:textId="77777777" w:rsidR="00FB5C5C" w:rsidRPr="0042661A" w:rsidRDefault="00FB5C5C" w:rsidP="00FB5C5C">
      <w:pPr>
        <w:pStyle w:val="Textonotapie"/>
        <w:ind w:firstLine="709"/>
        <w:jc w:val="both"/>
        <w:rPr>
          <w:rFonts w:ascii="Verdana" w:hAnsi="Verdana"/>
          <w:sz w:val="16"/>
          <w:szCs w:val="16"/>
        </w:rPr>
      </w:pPr>
    </w:p>
  </w:footnote>
  <w:footnote w:id="8">
    <w:p w14:paraId="4B82FDED" w14:textId="77777777" w:rsidR="00FB5C5C" w:rsidRPr="0042661A" w:rsidRDefault="00FB5C5C" w:rsidP="00FB5C5C">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Ibíd.</w:t>
      </w:r>
    </w:p>
    <w:p w14:paraId="7B545A44" w14:textId="77777777" w:rsidR="00FB5C5C" w:rsidRPr="0042661A" w:rsidRDefault="00FB5C5C" w:rsidP="00FB5C5C">
      <w:pPr>
        <w:pStyle w:val="Textonotapie"/>
        <w:ind w:firstLine="709"/>
        <w:jc w:val="both"/>
        <w:rPr>
          <w:rFonts w:ascii="Verdana" w:hAnsi="Verdana" w:cs="Arial"/>
          <w:sz w:val="16"/>
          <w:szCs w:val="16"/>
          <w:lang w:val="es-ES"/>
        </w:rPr>
      </w:pPr>
    </w:p>
  </w:footnote>
  <w:footnote w:id="9">
    <w:p w14:paraId="6E17D57E" w14:textId="77777777" w:rsidR="00FB5C5C" w:rsidRPr="0042661A" w:rsidRDefault="00FB5C5C" w:rsidP="00FB5C5C">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r w:rsidRPr="0042661A">
        <w:rPr>
          <w:rFonts w:ascii="Verdana" w:hAnsi="Verdana" w:cs="Arial"/>
          <w:sz w:val="16"/>
          <w:szCs w:val="16"/>
        </w:rPr>
        <w:t xml:space="preserve"> </w:t>
      </w:r>
    </w:p>
    <w:p w14:paraId="2366271B"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0F6F2AE"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3CC8B5B5"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7AEFB8F1" w14:textId="77777777" w:rsidR="00FB5C5C" w:rsidRPr="0042661A" w:rsidRDefault="00FB5C5C" w:rsidP="00FB5C5C">
      <w:pPr>
        <w:pStyle w:val="Textonotapie"/>
        <w:ind w:firstLine="709"/>
        <w:jc w:val="both"/>
        <w:rPr>
          <w:rFonts w:ascii="Verdana" w:hAnsi="Verdana" w:cs="Arial"/>
          <w:sz w:val="16"/>
          <w:szCs w:val="16"/>
          <w:lang w:val="es-ES"/>
        </w:rPr>
      </w:pPr>
    </w:p>
  </w:footnote>
  <w:footnote w:id="10">
    <w:p w14:paraId="5996EDBC" w14:textId="77777777" w:rsidR="00FB5C5C" w:rsidRPr="0042661A" w:rsidRDefault="00FB5C5C" w:rsidP="00FB5C5C">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0E2B2CA0"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1. La causal que invoca para contratar directamente.</w:t>
      </w:r>
    </w:p>
    <w:p w14:paraId="295BBC1C"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2. El objeto del contrato.</w:t>
      </w:r>
    </w:p>
    <w:p w14:paraId="3F4C4AAD"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3. El presupuesto para la contratación y las condiciones que exigirá al contratista.</w:t>
      </w:r>
    </w:p>
    <w:p w14:paraId="6CD993C7"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4. El lugar en el cual los interesados pueden consultar los estudios y documentos previos.</w:t>
      </w:r>
    </w:p>
    <w:p w14:paraId="72073DB0"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1AD687A5" w14:textId="77777777" w:rsidR="00FB5C5C" w:rsidRPr="0042661A" w:rsidRDefault="00FB5C5C" w:rsidP="00FB5C5C">
      <w:pPr>
        <w:pStyle w:val="Textonotapie"/>
        <w:ind w:firstLine="709"/>
        <w:jc w:val="both"/>
        <w:rPr>
          <w:rFonts w:ascii="Verdana" w:hAnsi="Verdana" w:cs="Arial"/>
          <w:sz w:val="16"/>
          <w:szCs w:val="16"/>
        </w:rPr>
      </w:pPr>
    </w:p>
    <w:p w14:paraId="331E7E6A" w14:textId="77777777" w:rsidR="00FB5C5C" w:rsidRPr="0042661A" w:rsidRDefault="00FB5C5C" w:rsidP="00FB5C5C">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 xml:space="preserve">La norma expresa: “Art. 14. </w:t>
      </w:r>
      <w:r w:rsidRPr="0042661A">
        <w:rPr>
          <w:rFonts w:ascii="Verdana" w:hAnsi="Verdana" w:cs="Arial"/>
          <w:sz w:val="16"/>
          <w:szCs w:val="16"/>
        </w:rPr>
        <w:t>P</w:t>
      </w:r>
      <w:r w:rsidRPr="0042661A">
        <w:rPr>
          <w:rFonts w:ascii="Verdana" w:hAnsi="Verdana" w:cs="Arial"/>
          <w:sz w:val="16"/>
          <w:szCs w:val="16"/>
          <w:lang w:val="es-ES"/>
        </w:rPr>
        <w:t>ara el cumplimiento de los fines de la contratación, las entidades estatales al celebrar un contrato:</w:t>
      </w:r>
    </w:p>
    <w:p w14:paraId="33E46833"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w:t>
      </w:r>
    </w:p>
    <w:p w14:paraId="5C7E2F23"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6FE33DE9"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Las entidades estatales podrán pactar estas cláusulas en los contratos de suministro y de prestación de servicios.</w:t>
      </w:r>
    </w:p>
    <w:p w14:paraId="7BCAF892" w14:textId="77777777" w:rsidR="00FB5C5C" w:rsidRPr="0042661A" w:rsidRDefault="00FB5C5C" w:rsidP="00FB5C5C">
      <w:pPr>
        <w:pStyle w:val="Textonotapie"/>
        <w:ind w:firstLine="709"/>
        <w:jc w:val="both"/>
        <w:rPr>
          <w:rFonts w:ascii="Verdana" w:hAnsi="Verdana" w:cs="Arial"/>
          <w:sz w:val="16"/>
          <w:szCs w:val="16"/>
          <w:lang w:val="es-ES"/>
        </w:rPr>
      </w:pPr>
      <w:r w:rsidRPr="0042661A">
        <w:rPr>
          <w:rFonts w:ascii="Verdana" w:hAnsi="Verdana" w:cs="Arial"/>
          <w:sz w:val="16"/>
          <w:szCs w:val="16"/>
          <w:lang w:val="es-ES"/>
        </w:rPr>
        <w:t>[…]”.</w:t>
      </w:r>
    </w:p>
    <w:p w14:paraId="34AEECA8" w14:textId="77777777" w:rsidR="00FB5C5C" w:rsidRPr="0042661A" w:rsidRDefault="00FB5C5C" w:rsidP="00FB5C5C">
      <w:pPr>
        <w:pStyle w:val="Textonotapie"/>
        <w:ind w:firstLine="709"/>
        <w:jc w:val="both"/>
        <w:rPr>
          <w:rFonts w:ascii="Verdana" w:hAnsi="Verdana" w:cs="Arial"/>
          <w:sz w:val="16"/>
          <w:szCs w:val="16"/>
          <w:lang w:val="es-ES"/>
        </w:rPr>
      </w:pPr>
    </w:p>
  </w:footnote>
  <w:footnote w:id="12">
    <w:p w14:paraId="35B9A6FF" w14:textId="77777777" w:rsidR="00FB5C5C" w:rsidRPr="0042661A" w:rsidRDefault="00FB5C5C" w:rsidP="00FB5C5C">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2E4866CB" w14:textId="77777777" w:rsidR="00FB5C5C" w:rsidRPr="0042661A" w:rsidRDefault="00FB5C5C" w:rsidP="00FB5C5C">
      <w:pPr>
        <w:pStyle w:val="Textonotapie"/>
        <w:ind w:firstLine="709"/>
        <w:jc w:val="both"/>
        <w:rPr>
          <w:rFonts w:ascii="Verdana" w:hAnsi="Verdana" w:cs="Arial"/>
          <w:sz w:val="16"/>
          <w:szCs w:val="16"/>
          <w:lang w:val="es-ES"/>
        </w:rPr>
      </w:pPr>
    </w:p>
  </w:footnote>
  <w:footnote w:id="13">
    <w:p w14:paraId="2A9C51A3" w14:textId="77777777" w:rsidR="00FB5C5C" w:rsidRPr="0042661A" w:rsidRDefault="00FB5C5C" w:rsidP="00FB5C5C">
      <w:pPr>
        <w:pStyle w:val="Textonotapie"/>
        <w:ind w:firstLine="709"/>
        <w:jc w:val="both"/>
        <w:rPr>
          <w:rFonts w:ascii="Verdana" w:hAnsi="Verdana" w:cs="Arial"/>
          <w:sz w:val="16"/>
          <w:szCs w:val="16"/>
        </w:rPr>
      </w:pPr>
      <w:r w:rsidRPr="0042661A">
        <w:rPr>
          <w:rStyle w:val="Refdenotaalpie"/>
          <w:rFonts w:ascii="Verdana" w:hAnsi="Verdana" w:cs="Arial"/>
          <w:sz w:val="16"/>
          <w:szCs w:val="16"/>
        </w:rPr>
        <w:footnoteRef/>
      </w:r>
      <w:r w:rsidRPr="0042661A">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9F4B687" w14:textId="77777777" w:rsidR="00FB5C5C" w:rsidRPr="0042661A" w:rsidRDefault="00FB5C5C" w:rsidP="00FB5C5C">
      <w:pPr>
        <w:pStyle w:val="Textonotapie"/>
        <w:ind w:firstLine="709"/>
        <w:jc w:val="both"/>
        <w:rPr>
          <w:rFonts w:ascii="Verdana" w:hAnsi="Verdana" w:cs="Arial"/>
          <w:sz w:val="16"/>
          <w:szCs w:val="16"/>
        </w:rPr>
      </w:pPr>
      <w:r w:rsidRPr="0042661A">
        <w:rPr>
          <w:rFonts w:ascii="Verdana" w:hAnsi="Verdana"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C0B2A7D" w14:textId="77777777" w:rsidR="00FB5C5C" w:rsidRDefault="00FB5C5C" w:rsidP="00FB5C5C">
      <w:pPr>
        <w:pStyle w:val="Textonotapie"/>
        <w:ind w:firstLine="709"/>
        <w:jc w:val="both"/>
        <w:rPr>
          <w:rFonts w:ascii="Verdana" w:hAnsi="Verdana" w:cs="Arial"/>
          <w:sz w:val="16"/>
          <w:szCs w:val="16"/>
        </w:rPr>
      </w:pPr>
      <w:r w:rsidRPr="0042661A">
        <w:rPr>
          <w:rFonts w:ascii="Verdana" w:hAnsi="Verdana" w:cs="Arial"/>
          <w:sz w:val="16"/>
          <w:szCs w:val="16"/>
        </w:rPr>
        <w:t>[…]”.</w:t>
      </w:r>
    </w:p>
    <w:p w14:paraId="6369E842" w14:textId="77777777" w:rsidR="00FB5C5C" w:rsidRPr="0042661A" w:rsidRDefault="00FB5C5C" w:rsidP="00FB5C5C">
      <w:pPr>
        <w:pStyle w:val="Textonotapie"/>
        <w:ind w:firstLine="709"/>
        <w:jc w:val="both"/>
        <w:rPr>
          <w:rFonts w:ascii="Verdana" w:hAnsi="Verdana" w:cs="Arial"/>
          <w:sz w:val="16"/>
          <w:szCs w:val="16"/>
          <w:lang w:val="es-ES"/>
        </w:rPr>
      </w:pPr>
    </w:p>
  </w:footnote>
  <w:footnote w:id="14">
    <w:p w14:paraId="71000690" w14:textId="77777777" w:rsidR="00FB5C5C" w:rsidRPr="0042661A" w:rsidRDefault="00FB5C5C" w:rsidP="00FB5C5C">
      <w:pPr>
        <w:pStyle w:val="Textonotapie"/>
        <w:ind w:firstLine="709"/>
        <w:jc w:val="both"/>
        <w:rPr>
          <w:rFonts w:ascii="Verdana" w:hAnsi="Verdana" w:cs="Arial"/>
          <w:sz w:val="16"/>
          <w:szCs w:val="16"/>
          <w:lang w:val="es-ES"/>
        </w:rPr>
      </w:pPr>
      <w:r w:rsidRPr="0042661A">
        <w:rPr>
          <w:rStyle w:val="Refdenotaalpie"/>
          <w:rFonts w:ascii="Verdana" w:hAnsi="Verdana" w:cs="Arial"/>
          <w:sz w:val="16"/>
          <w:szCs w:val="16"/>
        </w:rPr>
        <w:footnoteRef/>
      </w:r>
      <w:r w:rsidRPr="0042661A">
        <w:rPr>
          <w:rFonts w:ascii="Verdana" w:hAnsi="Verdana" w:cs="Arial"/>
          <w:sz w:val="16"/>
          <w:szCs w:val="16"/>
        </w:rPr>
        <w:t xml:space="preserve"> </w:t>
      </w:r>
      <w:r w:rsidRPr="0042661A">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2908B34E" w14:textId="77777777" w:rsidR="00FB5C5C" w:rsidRPr="0042661A" w:rsidRDefault="00FB5C5C" w:rsidP="00FB5C5C">
      <w:pPr>
        <w:pStyle w:val="Textonotapie"/>
        <w:ind w:firstLine="709"/>
        <w:jc w:val="both"/>
        <w:rPr>
          <w:rFonts w:ascii="Verdana" w:hAnsi="Verdana" w:cs="Arial"/>
          <w:sz w:val="16"/>
          <w:szCs w:val="16"/>
          <w:lang w:val="es-ES"/>
        </w:rPr>
      </w:pPr>
    </w:p>
  </w:footnote>
  <w:footnote w:id="15">
    <w:p w14:paraId="4DD38DE1" w14:textId="77777777" w:rsidR="00FB5C5C" w:rsidRPr="0042661A" w:rsidRDefault="00FB5C5C" w:rsidP="00FB5C5C">
      <w:pPr>
        <w:pStyle w:val="Textonotapie"/>
        <w:ind w:firstLine="709"/>
        <w:jc w:val="both"/>
        <w:rPr>
          <w:rFonts w:ascii="Verdana" w:hAnsi="Verdana" w:cs="Arial"/>
          <w:color w:val="000000" w:themeColor="text1"/>
          <w:sz w:val="16"/>
          <w:szCs w:val="16"/>
          <w:lang w:val="es-ES"/>
        </w:rPr>
      </w:pPr>
      <w:r w:rsidRPr="0042661A">
        <w:rPr>
          <w:rStyle w:val="Refdenotaalpie"/>
          <w:rFonts w:ascii="Verdana" w:hAnsi="Verdana" w:cs="Arial"/>
          <w:color w:val="000000" w:themeColor="text1"/>
          <w:sz w:val="16"/>
          <w:szCs w:val="16"/>
        </w:rPr>
        <w:footnoteRef/>
      </w:r>
      <w:r w:rsidRPr="0042661A">
        <w:rPr>
          <w:rFonts w:ascii="Verdana" w:hAnsi="Verdana" w:cs="Arial"/>
          <w:color w:val="000000" w:themeColor="text1"/>
          <w:sz w:val="16"/>
          <w:szCs w:val="16"/>
        </w:rPr>
        <w:t xml:space="preserve"> </w:t>
      </w:r>
      <w:r w:rsidRPr="0042661A">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7F6C2B6" w14:textId="77777777" w:rsidR="00FB5C5C" w:rsidRPr="0042661A" w:rsidRDefault="00FB5C5C" w:rsidP="00FB5C5C">
      <w:pPr>
        <w:pStyle w:val="Textonotapie"/>
        <w:ind w:firstLine="709"/>
        <w:jc w:val="both"/>
        <w:rPr>
          <w:rFonts w:ascii="Verdana" w:hAnsi="Verdana" w:cs="Arial"/>
          <w:color w:val="000000" w:themeColor="text1"/>
          <w:sz w:val="16"/>
          <w:szCs w:val="16"/>
          <w:lang w:val="es-ES"/>
        </w:rPr>
      </w:pPr>
      <w:r w:rsidRPr="0042661A">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0988F04" w14:textId="77777777" w:rsidR="00FB5C5C" w:rsidRPr="0042661A" w:rsidRDefault="00FB5C5C" w:rsidP="00FB5C5C">
      <w:pPr>
        <w:pStyle w:val="Textonotapie"/>
        <w:ind w:firstLine="709"/>
        <w:jc w:val="both"/>
        <w:rPr>
          <w:rFonts w:ascii="Verdana" w:hAnsi="Verdana" w:cs="Arial"/>
          <w:color w:val="000000" w:themeColor="text1"/>
          <w:sz w:val="16"/>
          <w:szCs w:val="16"/>
          <w:lang w:val="es-ES"/>
        </w:rPr>
      </w:pPr>
      <w:r w:rsidRPr="0042661A">
        <w:rPr>
          <w:rFonts w:ascii="Verdana" w:hAnsi="Verdana" w:cs="Arial"/>
          <w:color w:val="000000" w:themeColor="text1"/>
          <w:sz w:val="16"/>
          <w:szCs w:val="16"/>
          <w:lang w:val="es-ES"/>
        </w:rPr>
        <w:t>La Entidad Estatal, para la contratación de trabajos artísticos que solamente puedan en</w:t>
      </w:r>
      <w:r w:rsidRPr="0042661A">
        <w:rPr>
          <w:rFonts w:ascii="Verdana" w:hAnsi="Verdana" w:cs="Arial"/>
          <w:color w:val="000000" w:themeColor="text1"/>
          <w:sz w:val="16"/>
          <w:szCs w:val="16"/>
          <w:lang w:val="es-ES"/>
        </w:rPr>
        <w:softHyphen/>
        <w:t>comendarse a determinadas personas naturales, debe justificar esta situación en los estudios y documentos previos”.</w:t>
      </w:r>
    </w:p>
    <w:p w14:paraId="57B3708E" w14:textId="77777777" w:rsidR="00FB5C5C" w:rsidRPr="0042661A" w:rsidRDefault="00FB5C5C" w:rsidP="00FB5C5C">
      <w:pPr>
        <w:pStyle w:val="Textonotapie"/>
        <w:ind w:firstLine="709"/>
        <w:jc w:val="both"/>
        <w:rPr>
          <w:rFonts w:ascii="Verdana" w:hAnsi="Verdana" w:cs="Arial"/>
          <w:color w:val="000000" w:themeColor="text1"/>
          <w:sz w:val="16"/>
          <w:szCs w:val="16"/>
          <w:lang w:val="es-ES"/>
        </w:rPr>
      </w:pPr>
    </w:p>
  </w:footnote>
  <w:footnote w:id="16">
    <w:p w14:paraId="19F1EB34" w14:textId="77777777" w:rsidR="00FB5C5C" w:rsidRDefault="00FB5C5C" w:rsidP="00FB5C5C">
      <w:pPr>
        <w:pStyle w:val="Textonotapie"/>
        <w:ind w:firstLine="709"/>
        <w:jc w:val="both"/>
        <w:rPr>
          <w:rFonts w:ascii="Verdana" w:hAnsi="Verdana" w:cs="Arial"/>
          <w:color w:val="000000" w:themeColor="text1"/>
          <w:sz w:val="16"/>
          <w:szCs w:val="16"/>
          <w:lang w:val="es-ES"/>
        </w:rPr>
      </w:pPr>
      <w:r w:rsidRPr="0042661A">
        <w:rPr>
          <w:rStyle w:val="Refdenotaalpie"/>
          <w:rFonts w:ascii="Verdana" w:hAnsi="Verdana" w:cs="Arial"/>
          <w:color w:val="000000" w:themeColor="text1"/>
          <w:sz w:val="16"/>
          <w:szCs w:val="16"/>
        </w:rPr>
        <w:footnoteRef/>
      </w:r>
      <w:r w:rsidRPr="0042661A">
        <w:rPr>
          <w:rFonts w:ascii="Verdana" w:hAnsi="Verdana" w:cs="Arial"/>
          <w:color w:val="000000" w:themeColor="text1"/>
          <w:sz w:val="16"/>
          <w:szCs w:val="16"/>
        </w:rPr>
        <w:t xml:space="preserve"> </w:t>
      </w:r>
      <w:r w:rsidRPr="0042661A">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p w14:paraId="70D8E7C7" w14:textId="77777777" w:rsidR="00FB5C5C" w:rsidRPr="0042661A" w:rsidRDefault="00FB5C5C" w:rsidP="00FB5C5C">
      <w:pPr>
        <w:pStyle w:val="Textonotapie"/>
        <w:ind w:firstLine="709"/>
        <w:jc w:val="both"/>
        <w:rPr>
          <w:rFonts w:ascii="Verdana" w:hAnsi="Verdana" w:cs="Arial"/>
          <w:color w:val="000000" w:themeColor="text1"/>
          <w:sz w:val="16"/>
          <w:szCs w:val="16"/>
          <w:lang w:val="es-ES"/>
        </w:rPr>
      </w:pPr>
    </w:p>
  </w:footnote>
  <w:footnote w:id="17">
    <w:p w14:paraId="4C40BED8" w14:textId="77777777" w:rsidR="00FB5C5C" w:rsidRPr="0042661A" w:rsidRDefault="00FB5C5C" w:rsidP="00FB5C5C">
      <w:pPr>
        <w:pStyle w:val="Textonotapie"/>
        <w:ind w:firstLine="709"/>
        <w:jc w:val="both"/>
        <w:rPr>
          <w:rFonts w:ascii="Verdana" w:hAnsi="Verdana" w:cs="Arial"/>
          <w:color w:val="000000" w:themeColor="text1"/>
          <w:sz w:val="16"/>
          <w:szCs w:val="16"/>
          <w:lang w:val="es-ES"/>
        </w:rPr>
      </w:pPr>
      <w:r w:rsidRPr="0042661A">
        <w:rPr>
          <w:rStyle w:val="Refdenotaalpie"/>
          <w:rFonts w:ascii="Verdana" w:hAnsi="Verdana" w:cs="Arial"/>
          <w:color w:val="000000" w:themeColor="text1"/>
          <w:sz w:val="16"/>
          <w:szCs w:val="16"/>
        </w:rPr>
        <w:footnoteRef/>
      </w:r>
      <w:r w:rsidRPr="0042661A">
        <w:rPr>
          <w:rFonts w:ascii="Verdana" w:hAnsi="Verdana" w:cs="Arial"/>
          <w:color w:val="000000" w:themeColor="text1"/>
          <w:sz w:val="16"/>
          <w:szCs w:val="16"/>
        </w:rPr>
        <w:t xml:space="preserve"> </w:t>
      </w:r>
      <w:r w:rsidRPr="0042661A">
        <w:rPr>
          <w:rFonts w:ascii="Verdana" w:hAnsi="Verdana" w:cs="Arial"/>
          <w:i/>
          <w:iCs/>
          <w:color w:val="000000" w:themeColor="text1"/>
          <w:sz w:val="16"/>
          <w:szCs w:val="16"/>
          <w:lang w:val="es-ES"/>
        </w:rPr>
        <w:t>Ibíd</w:t>
      </w:r>
      <w:r w:rsidRPr="0042661A">
        <w:rPr>
          <w:rFonts w:ascii="Verdana" w:hAnsi="Verdana" w:cs="Arial"/>
          <w:color w:val="000000" w:themeColor="text1"/>
          <w:sz w:val="16"/>
          <w:szCs w:val="16"/>
          <w:lang w:val="es-ES"/>
        </w:rPr>
        <w:t>.</w:t>
      </w:r>
    </w:p>
    <w:p w14:paraId="6AE6408E" w14:textId="77777777" w:rsidR="00FB5C5C" w:rsidRPr="0042661A" w:rsidRDefault="00FB5C5C" w:rsidP="00FB5C5C">
      <w:pPr>
        <w:pStyle w:val="Textonotapie"/>
        <w:ind w:firstLine="709"/>
        <w:jc w:val="both"/>
        <w:rPr>
          <w:rFonts w:ascii="Verdana" w:hAnsi="Verdana" w:cs="Arial"/>
          <w:color w:val="000000" w:themeColor="text1"/>
          <w:sz w:val="16"/>
          <w:szCs w:val="16"/>
          <w:lang w:val="es-ES"/>
        </w:rPr>
      </w:pPr>
    </w:p>
  </w:footnote>
  <w:footnote w:id="18">
    <w:p w14:paraId="1E476A7E" w14:textId="77777777" w:rsidR="00FB5C5C" w:rsidRPr="0042661A" w:rsidRDefault="00FB5C5C" w:rsidP="00FB5C5C">
      <w:pPr>
        <w:pStyle w:val="Textonotapie"/>
        <w:ind w:firstLine="709"/>
        <w:jc w:val="both"/>
        <w:rPr>
          <w:rFonts w:ascii="Verdana" w:hAnsi="Verdana" w:cs="Arial"/>
          <w:color w:val="000000" w:themeColor="text1"/>
          <w:sz w:val="16"/>
          <w:szCs w:val="16"/>
          <w:lang w:val="es-ES"/>
        </w:rPr>
      </w:pPr>
      <w:r w:rsidRPr="0042661A">
        <w:rPr>
          <w:rStyle w:val="Refdenotaalpie"/>
          <w:rFonts w:ascii="Verdana" w:hAnsi="Verdana" w:cs="Arial"/>
          <w:color w:val="000000" w:themeColor="text1"/>
          <w:sz w:val="16"/>
          <w:szCs w:val="16"/>
        </w:rPr>
        <w:footnoteRef/>
      </w:r>
      <w:r w:rsidRPr="0042661A">
        <w:rPr>
          <w:rFonts w:ascii="Verdana" w:hAnsi="Verdana" w:cs="Arial"/>
          <w:color w:val="000000" w:themeColor="text1"/>
          <w:sz w:val="16"/>
          <w:szCs w:val="16"/>
        </w:rPr>
        <w:t xml:space="preserve"> </w:t>
      </w:r>
      <w:r w:rsidRPr="0042661A">
        <w:rPr>
          <w:rFonts w:ascii="Verdana" w:hAnsi="Verdana" w:cs="Arial"/>
          <w:i/>
          <w:iCs/>
          <w:color w:val="000000" w:themeColor="text1"/>
          <w:sz w:val="16"/>
          <w:szCs w:val="16"/>
          <w:lang w:val="es-ES"/>
        </w:rPr>
        <w:t>Ibíd</w:t>
      </w:r>
      <w:r w:rsidRPr="0042661A">
        <w:rPr>
          <w:rFonts w:ascii="Verdana" w:hAnsi="Verdana" w:cs="Arial"/>
          <w:color w:val="000000" w:themeColor="text1"/>
          <w:sz w:val="16"/>
          <w:szCs w:val="16"/>
          <w:lang w:val="es-ES"/>
        </w:rPr>
        <w:t>.</w:t>
      </w:r>
    </w:p>
    <w:p w14:paraId="34CD349F" w14:textId="77777777" w:rsidR="00FB5C5C" w:rsidRPr="0042661A" w:rsidRDefault="00FB5C5C" w:rsidP="00FB5C5C">
      <w:pPr>
        <w:pStyle w:val="Textonotapie"/>
        <w:ind w:firstLine="709"/>
        <w:jc w:val="both"/>
        <w:rPr>
          <w:rFonts w:ascii="Verdana" w:hAnsi="Verdana" w:cs="Arial"/>
          <w:color w:val="000000" w:themeColor="text1"/>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56B"/>
    <w:rsid w:val="00027620"/>
    <w:rsid w:val="00046945"/>
    <w:rsid w:val="00061B2A"/>
    <w:rsid w:val="00082362"/>
    <w:rsid w:val="000A683E"/>
    <w:rsid w:val="000B19B9"/>
    <w:rsid w:val="000D0334"/>
    <w:rsid w:val="000F6486"/>
    <w:rsid w:val="00125105"/>
    <w:rsid w:val="00127233"/>
    <w:rsid w:val="001511A0"/>
    <w:rsid w:val="001D137F"/>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3DB6"/>
    <w:rsid w:val="003A779E"/>
    <w:rsid w:val="003D0F4D"/>
    <w:rsid w:val="003D5B0D"/>
    <w:rsid w:val="003E0499"/>
    <w:rsid w:val="003F3941"/>
    <w:rsid w:val="00406575"/>
    <w:rsid w:val="00414C74"/>
    <w:rsid w:val="0042722E"/>
    <w:rsid w:val="0044528D"/>
    <w:rsid w:val="004A1847"/>
    <w:rsid w:val="004A305D"/>
    <w:rsid w:val="004F21C4"/>
    <w:rsid w:val="004F685F"/>
    <w:rsid w:val="00503845"/>
    <w:rsid w:val="005566E8"/>
    <w:rsid w:val="00574867"/>
    <w:rsid w:val="00591460"/>
    <w:rsid w:val="005A21AC"/>
    <w:rsid w:val="005A36EB"/>
    <w:rsid w:val="005B3816"/>
    <w:rsid w:val="005C3777"/>
    <w:rsid w:val="005C5CDC"/>
    <w:rsid w:val="005D476C"/>
    <w:rsid w:val="00607E31"/>
    <w:rsid w:val="006219F8"/>
    <w:rsid w:val="00624C2F"/>
    <w:rsid w:val="00665D70"/>
    <w:rsid w:val="006900D9"/>
    <w:rsid w:val="00697AB0"/>
    <w:rsid w:val="00706C16"/>
    <w:rsid w:val="00712546"/>
    <w:rsid w:val="00717BCE"/>
    <w:rsid w:val="00756841"/>
    <w:rsid w:val="007649AB"/>
    <w:rsid w:val="00771D0C"/>
    <w:rsid w:val="00782668"/>
    <w:rsid w:val="007833AC"/>
    <w:rsid w:val="0079285B"/>
    <w:rsid w:val="007B268C"/>
    <w:rsid w:val="007B7171"/>
    <w:rsid w:val="007C0C0F"/>
    <w:rsid w:val="007C3DC2"/>
    <w:rsid w:val="007E5497"/>
    <w:rsid w:val="007F3AC8"/>
    <w:rsid w:val="00801D5B"/>
    <w:rsid w:val="00805EBE"/>
    <w:rsid w:val="00806F5F"/>
    <w:rsid w:val="00820278"/>
    <w:rsid w:val="00867F95"/>
    <w:rsid w:val="008843B6"/>
    <w:rsid w:val="00891928"/>
    <w:rsid w:val="008A446D"/>
    <w:rsid w:val="008D180B"/>
    <w:rsid w:val="008F0EA7"/>
    <w:rsid w:val="00923EEF"/>
    <w:rsid w:val="009419F9"/>
    <w:rsid w:val="0095111E"/>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36FC9"/>
    <w:rsid w:val="00A418B4"/>
    <w:rsid w:val="00A56C83"/>
    <w:rsid w:val="00A64D75"/>
    <w:rsid w:val="00A948E8"/>
    <w:rsid w:val="00AA0F1C"/>
    <w:rsid w:val="00AB0ADB"/>
    <w:rsid w:val="00AB6B22"/>
    <w:rsid w:val="00B01B1A"/>
    <w:rsid w:val="00B66319"/>
    <w:rsid w:val="00B72CD3"/>
    <w:rsid w:val="00B72FFF"/>
    <w:rsid w:val="00BC3D36"/>
    <w:rsid w:val="00BD7F72"/>
    <w:rsid w:val="00C04FB3"/>
    <w:rsid w:val="00C330EB"/>
    <w:rsid w:val="00C41061"/>
    <w:rsid w:val="00C754BE"/>
    <w:rsid w:val="00C76B1C"/>
    <w:rsid w:val="00CB6357"/>
    <w:rsid w:val="00CC1B26"/>
    <w:rsid w:val="00D32AB5"/>
    <w:rsid w:val="00D421F4"/>
    <w:rsid w:val="00D423A2"/>
    <w:rsid w:val="00D520D8"/>
    <w:rsid w:val="00D63AC2"/>
    <w:rsid w:val="00D7383B"/>
    <w:rsid w:val="00DA231B"/>
    <w:rsid w:val="00DC39FC"/>
    <w:rsid w:val="00DF5254"/>
    <w:rsid w:val="00DF7974"/>
    <w:rsid w:val="00E16408"/>
    <w:rsid w:val="00E20894"/>
    <w:rsid w:val="00E245AB"/>
    <w:rsid w:val="00E2764C"/>
    <w:rsid w:val="00E27F2E"/>
    <w:rsid w:val="00E50AFE"/>
    <w:rsid w:val="00E75695"/>
    <w:rsid w:val="00E75C92"/>
    <w:rsid w:val="00E771DC"/>
    <w:rsid w:val="00E8772A"/>
    <w:rsid w:val="00E90F6B"/>
    <w:rsid w:val="00E92C27"/>
    <w:rsid w:val="00EA0E3D"/>
    <w:rsid w:val="00EC38A7"/>
    <w:rsid w:val="00ED48C1"/>
    <w:rsid w:val="00ED7384"/>
    <w:rsid w:val="00EE1AA8"/>
    <w:rsid w:val="00F022A2"/>
    <w:rsid w:val="00F31EDC"/>
    <w:rsid w:val="00F462B3"/>
    <w:rsid w:val="00F555A7"/>
    <w:rsid w:val="00F5664F"/>
    <w:rsid w:val="00F666C4"/>
    <w:rsid w:val="00F76AFC"/>
    <w:rsid w:val="00F814F6"/>
    <w:rsid w:val="00FA47C0"/>
    <w:rsid w:val="00FB5C5C"/>
    <w:rsid w:val="00FB5DD1"/>
    <w:rsid w:val="00FC2B5D"/>
    <w:rsid w:val="00FC62F7"/>
    <w:rsid w:val="00FF1449"/>
    <w:rsid w:val="165E9519"/>
    <w:rsid w:val="352B894D"/>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FB5C5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B5C5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B5C5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842CCB91-51BF-4227-84CA-ACAD35861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3953</Words>
  <Characters>21743</Characters>
  <Application>Microsoft Office Word</Application>
  <DocSecurity>0</DocSecurity>
  <Lines>181</Lines>
  <Paragraphs>51</Paragraphs>
  <ScaleCrop>false</ScaleCrop>
  <Company/>
  <LinksUpToDate>false</LinksUpToDate>
  <CharactersWithSpaces>25645</CharactersWithSpaces>
  <SharedDoc>false</SharedDoc>
  <HLinks>
    <vt:vector size="12" baseType="variant">
      <vt:variant>
        <vt:i4>3276900</vt:i4>
      </vt:variant>
      <vt:variant>
        <vt:i4>3</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2</cp:revision>
  <cp:lastPrinted>2023-01-10T21:18:00Z</cp:lastPrinted>
  <dcterms:created xsi:type="dcterms:W3CDTF">2025-09-11T22:25:00Z</dcterms:created>
  <dcterms:modified xsi:type="dcterms:W3CDTF">2025-09-11T22:25:00Z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