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A12C" w14:textId="77777777" w:rsidR="00F72247" w:rsidRPr="00F8082B" w:rsidRDefault="00F72247" w:rsidP="00F72247">
      <w:pPr>
        <w:spacing w:after="0" w:line="240" w:lineRule="auto"/>
        <w:jc w:val="both"/>
        <w:rPr>
          <w:rFonts w:ascii="Verdana" w:eastAsia="Calibri" w:hAnsi="Verdana" w:cs="Arial"/>
          <w:b/>
          <w:bCs/>
          <w:lang w:val="es-ES" w:eastAsia="es-ES"/>
        </w:rPr>
      </w:pPr>
      <w:bookmarkStart w:id="0" w:name="_Hlk143780582"/>
      <w:r w:rsidRPr="00F8082B">
        <w:rPr>
          <w:rFonts w:ascii="Verdana" w:eastAsia="Calibri" w:hAnsi="Verdana" w:cs="Arial"/>
          <w:b/>
          <w:bCs/>
          <w:lang w:val="es-ES" w:eastAsia="es-ES"/>
        </w:rPr>
        <w:t>CONSTITUCIÓN DE GARANTÍAS – Obligación</w:t>
      </w:r>
    </w:p>
    <w:p w14:paraId="137DC684" w14:textId="77777777" w:rsidR="00F72247" w:rsidRPr="00F50B9E" w:rsidRDefault="00F72247" w:rsidP="00F72247">
      <w:pPr>
        <w:spacing w:after="0" w:line="240" w:lineRule="auto"/>
        <w:jc w:val="both"/>
        <w:rPr>
          <w:rFonts w:ascii="Verdana" w:eastAsia="Calibri" w:hAnsi="Verdana" w:cs="Arial"/>
          <w:lang w:val="es-ES" w:eastAsia="es-ES"/>
        </w:rPr>
      </w:pPr>
    </w:p>
    <w:p w14:paraId="5B356BE6" w14:textId="77777777" w:rsidR="00F72247" w:rsidRPr="00F8082B" w:rsidRDefault="00F72247" w:rsidP="00F72247">
      <w:pPr>
        <w:spacing w:after="0" w:line="240" w:lineRule="auto"/>
        <w:jc w:val="both"/>
        <w:rPr>
          <w:rFonts w:ascii="Verdana" w:eastAsia="Calibri" w:hAnsi="Verdana" w:cs="Arial"/>
          <w:sz w:val="20"/>
          <w:szCs w:val="20"/>
          <w:lang w:val="es-ES" w:eastAsia="es-ES"/>
        </w:rPr>
      </w:pPr>
      <w:r w:rsidRPr="00F8082B">
        <w:rPr>
          <w:rFonts w:ascii="Verdana" w:eastAsia="Calibri" w:hAnsi="Verdana" w:cs="Arial"/>
          <w:color w:val="000000"/>
          <w:sz w:val="20"/>
          <w:szCs w:val="20"/>
          <w:lang w:val="es-ES_tradnl"/>
        </w:rPr>
        <w:t>De acuerdo con el Estatuto General de Contratación de la Administración Pública, p</w:t>
      </w:r>
      <w:r w:rsidRPr="00F8082B">
        <w:rPr>
          <w:rFonts w:ascii="Verdana" w:eastAsia="Calibri" w:hAnsi="Verdana" w:cs="Arial"/>
          <w:color w:val="000000" w:themeColor="text1"/>
          <w:sz w:val="20"/>
          <w:szCs w:val="20"/>
          <w:lang w:val="es-ES_tradnl"/>
        </w:rPr>
        <w:t xml:space="preserve">or regla general, </w:t>
      </w:r>
      <w:r w:rsidRPr="00F8082B">
        <w:rPr>
          <w:rFonts w:ascii="Verdana" w:eastAsia="Calibri" w:hAnsi="Verdana" w:cs="Arial"/>
          <w:color w:val="000000" w:themeColor="text1"/>
          <w:sz w:val="20"/>
          <w:szCs w:val="20"/>
          <w:lang w:val="es-ES"/>
        </w:rPr>
        <w:t>para seleccionar los contratistas y para ejecutar los contratos se requiere la constitución de garantías</w:t>
      </w:r>
      <w:r w:rsidRPr="00F8082B">
        <w:rPr>
          <w:rFonts w:ascii="Verdana" w:eastAsia="Calibri" w:hAnsi="Verdana" w:cs="Arial"/>
          <w:color w:val="000000" w:themeColor="text1"/>
          <w:sz w:val="20"/>
          <w:szCs w:val="20"/>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2B794E5E" w14:textId="77777777" w:rsidR="00F72247" w:rsidRPr="00F50B9E" w:rsidRDefault="00F72247" w:rsidP="00F72247">
      <w:pPr>
        <w:spacing w:after="0" w:line="240" w:lineRule="auto"/>
        <w:jc w:val="both"/>
        <w:rPr>
          <w:rFonts w:ascii="Verdana" w:eastAsia="Calibri" w:hAnsi="Verdana" w:cs="Arial"/>
          <w:lang w:val="es-ES" w:eastAsia="es-ES"/>
        </w:rPr>
      </w:pPr>
    </w:p>
    <w:p w14:paraId="67C030A1" w14:textId="77777777" w:rsidR="00F72247" w:rsidRPr="002A7E55" w:rsidRDefault="00F72247" w:rsidP="00F72247">
      <w:pPr>
        <w:pStyle w:val="Textoindependiente"/>
        <w:tabs>
          <w:tab w:val="left" w:pos="2949"/>
          <w:tab w:val="left" w:pos="4967"/>
          <w:tab w:val="left" w:pos="5543"/>
          <w:tab w:val="left" w:pos="7128"/>
          <w:tab w:val="left" w:pos="7535"/>
          <w:tab w:val="left" w:pos="8950"/>
        </w:tabs>
        <w:spacing w:line="276" w:lineRule="auto"/>
        <w:ind w:right="49"/>
        <w:jc w:val="both"/>
        <w:rPr>
          <w:b/>
          <w:bCs/>
        </w:rPr>
      </w:pPr>
      <w:r w:rsidRPr="002A7E55">
        <w:rPr>
          <w:b/>
          <w:bCs/>
        </w:rPr>
        <w:t>EJECUCIÓN</w:t>
      </w:r>
      <w:r w:rsidRPr="002A7E55">
        <w:rPr>
          <w:b/>
          <w:bCs/>
          <w:spacing w:val="36"/>
        </w:rPr>
        <w:t xml:space="preserve"> </w:t>
      </w:r>
      <w:r w:rsidRPr="002A7E55">
        <w:rPr>
          <w:b/>
          <w:bCs/>
        </w:rPr>
        <w:t>DEL</w:t>
      </w:r>
      <w:r w:rsidRPr="002A7E55">
        <w:rPr>
          <w:b/>
          <w:bCs/>
          <w:spacing w:val="36"/>
        </w:rPr>
        <w:t xml:space="preserve"> </w:t>
      </w:r>
      <w:r w:rsidRPr="002A7E55">
        <w:rPr>
          <w:b/>
          <w:bCs/>
        </w:rPr>
        <w:t>CONTRATO</w:t>
      </w:r>
      <w:r w:rsidRPr="002A7E55">
        <w:rPr>
          <w:b/>
          <w:bCs/>
          <w:spacing w:val="36"/>
        </w:rPr>
        <w:t xml:space="preserve"> </w:t>
      </w:r>
      <w:r w:rsidRPr="002A7E55">
        <w:rPr>
          <w:b/>
          <w:bCs/>
        </w:rPr>
        <w:t>ESTATAL</w:t>
      </w:r>
      <w:r w:rsidRPr="002A7E55">
        <w:rPr>
          <w:b/>
          <w:bCs/>
          <w:spacing w:val="36"/>
        </w:rPr>
        <w:t xml:space="preserve"> </w:t>
      </w:r>
      <w:r w:rsidRPr="002A7E55">
        <w:rPr>
          <w:b/>
          <w:bCs/>
        </w:rPr>
        <w:t>–</w:t>
      </w:r>
      <w:r w:rsidRPr="002A7E55">
        <w:rPr>
          <w:b/>
          <w:bCs/>
          <w:spacing w:val="35"/>
        </w:rPr>
        <w:t xml:space="preserve"> </w:t>
      </w:r>
      <w:r w:rsidRPr="002A7E55">
        <w:rPr>
          <w:b/>
          <w:bCs/>
        </w:rPr>
        <w:t>Requisitos</w:t>
      </w:r>
      <w:r w:rsidRPr="002A7E55">
        <w:rPr>
          <w:b/>
          <w:bCs/>
          <w:spacing w:val="36"/>
        </w:rPr>
        <w:t xml:space="preserve"> </w:t>
      </w:r>
      <w:r w:rsidRPr="002A7E55">
        <w:rPr>
          <w:b/>
          <w:bCs/>
          <w:spacing w:val="-10"/>
        </w:rPr>
        <w:t>–</w:t>
      </w:r>
      <w:r w:rsidRPr="002A7E55">
        <w:rPr>
          <w:b/>
          <w:bCs/>
        </w:rPr>
        <w:t xml:space="preserve"> Artículo</w:t>
      </w:r>
      <w:r w:rsidRPr="002A7E55">
        <w:rPr>
          <w:b/>
          <w:bCs/>
          <w:spacing w:val="33"/>
        </w:rPr>
        <w:t xml:space="preserve"> </w:t>
      </w:r>
      <w:r w:rsidRPr="002A7E55">
        <w:rPr>
          <w:b/>
          <w:bCs/>
        </w:rPr>
        <w:t>41</w:t>
      </w:r>
      <w:r w:rsidRPr="002A7E55">
        <w:rPr>
          <w:b/>
          <w:bCs/>
          <w:spacing w:val="30"/>
        </w:rPr>
        <w:t xml:space="preserve"> </w:t>
      </w:r>
      <w:r w:rsidRPr="002A7E55">
        <w:rPr>
          <w:b/>
          <w:bCs/>
        </w:rPr>
        <w:t>de</w:t>
      </w:r>
      <w:r w:rsidRPr="002A7E55">
        <w:rPr>
          <w:b/>
          <w:bCs/>
          <w:spacing w:val="30"/>
        </w:rPr>
        <w:t xml:space="preserve"> </w:t>
      </w:r>
      <w:r w:rsidRPr="002A7E55">
        <w:rPr>
          <w:b/>
          <w:bCs/>
        </w:rPr>
        <w:t>la</w:t>
      </w:r>
      <w:r w:rsidRPr="002A7E55">
        <w:rPr>
          <w:b/>
          <w:bCs/>
          <w:spacing w:val="30"/>
        </w:rPr>
        <w:t xml:space="preserve"> </w:t>
      </w:r>
      <w:r w:rsidRPr="002A7E55">
        <w:rPr>
          <w:b/>
          <w:bCs/>
        </w:rPr>
        <w:t>Ley 80</w:t>
      </w:r>
      <w:r w:rsidRPr="002A7E55">
        <w:rPr>
          <w:b/>
          <w:bCs/>
          <w:spacing w:val="30"/>
        </w:rPr>
        <w:t xml:space="preserve"> </w:t>
      </w:r>
      <w:r w:rsidRPr="002A7E55">
        <w:rPr>
          <w:b/>
          <w:bCs/>
        </w:rPr>
        <w:t>de</w:t>
      </w:r>
      <w:r w:rsidRPr="002A7E55">
        <w:rPr>
          <w:b/>
          <w:bCs/>
          <w:spacing w:val="30"/>
        </w:rPr>
        <w:t xml:space="preserve"> </w:t>
      </w:r>
      <w:r w:rsidRPr="002A7E55">
        <w:rPr>
          <w:b/>
          <w:bCs/>
        </w:rPr>
        <w:t>1993</w:t>
      </w:r>
      <w:r w:rsidRPr="002A7E55">
        <w:rPr>
          <w:b/>
          <w:bCs/>
          <w:spacing w:val="31"/>
        </w:rPr>
        <w:t xml:space="preserve"> </w:t>
      </w:r>
    </w:p>
    <w:p w14:paraId="53169170" w14:textId="77777777" w:rsidR="00F72247" w:rsidRPr="001B7320" w:rsidRDefault="00F72247" w:rsidP="00F72247">
      <w:pPr>
        <w:pStyle w:val="Textoindependiente"/>
        <w:spacing w:before="160"/>
        <w:ind w:right="49"/>
        <w:jc w:val="both"/>
        <w:rPr>
          <w:rFonts w:eastAsia="Calibri" w:cs="Arial"/>
          <w:color w:val="000000" w:themeColor="text1"/>
          <w:sz w:val="20"/>
          <w:szCs w:val="20"/>
        </w:rPr>
      </w:pPr>
      <w:r w:rsidRPr="40A6738A">
        <w:rPr>
          <w:rFonts w:eastAsia="Calibri" w:cs="Arial"/>
          <w:color w:val="000000" w:themeColor="text1"/>
          <w:sz w:val="20"/>
          <w:szCs w:val="20"/>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p>
    <w:p w14:paraId="23D666AE" w14:textId="77777777" w:rsidR="00F72247" w:rsidRDefault="00F72247" w:rsidP="00F72247">
      <w:pPr>
        <w:spacing w:after="0" w:line="240" w:lineRule="auto"/>
        <w:contextualSpacing/>
        <w:jc w:val="both"/>
        <w:rPr>
          <w:rFonts w:ascii="Verdana" w:eastAsia="Times New Roman" w:hAnsi="Verdana" w:cs="Times New Roman"/>
          <w:b/>
          <w:bCs/>
          <w:lang w:eastAsia="es-ES_tradnl"/>
        </w:rPr>
      </w:pPr>
    </w:p>
    <w:p w14:paraId="732DF7C0" w14:textId="77777777" w:rsidR="00F72247" w:rsidRPr="00F50B9E" w:rsidRDefault="00F72247" w:rsidP="00F72247">
      <w:pPr>
        <w:spacing w:after="0" w:line="240" w:lineRule="auto"/>
        <w:contextualSpacing/>
        <w:jc w:val="both"/>
        <w:rPr>
          <w:rFonts w:ascii="Verdana" w:eastAsia="Times New Roman" w:hAnsi="Verdana" w:cs="Times New Roman"/>
          <w:b/>
          <w:bCs/>
          <w:lang w:eastAsia="es-ES_tradnl"/>
        </w:rPr>
      </w:pPr>
      <w:r w:rsidRPr="00F50B9E">
        <w:rPr>
          <w:rFonts w:ascii="Verdana" w:eastAsia="Times New Roman" w:hAnsi="Verdana" w:cs="Times New Roman"/>
          <w:b/>
          <w:bCs/>
          <w:lang w:eastAsia="es-ES_tradnl"/>
        </w:rPr>
        <w:t>PRINCIPIO DE INDIVISIBILIDAD DE LA GARANTÍA – Noción – Alcance</w:t>
      </w:r>
    </w:p>
    <w:p w14:paraId="45867916" w14:textId="77777777" w:rsidR="00F72247" w:rsidRPr="00F50B9E" w:rsidRDefault="00F72247" w:rsidP="00F72247">
      <w:pPr>
        <w:spacing w:after="0" w:line="240" w:lineRule="auto"/>
        <w:contextualSpacing/>
        <w:jc w:val="both"/>
        <w:rPr>
          <w:rFonts w:ascii="Verdana" w:eastAsia="Times New Roman" w:hAnsi="Verdana" w:cs="Times New Roman"/>
          <w:b/>
          <w:bCs/>
          <w:lang w:eastAsia="es-ES_tradnl"/>
        </w:rPr>
      </w:pPr>
    </w:p>
    <w:p w14:paraId="52E0100A" w14:textId="77777777" w:rsidR="00F72247" w:rsidRPr="00F50B9E" w:rsidRDefault="00F72247" w:rsidP="00F72247">
      <w:pPr>
        <w:spacing w:after="0" w:line="240" w:lineRule="auto"/>
        <w:contextualSpacing/>
        <w:jc w:val="both"/>
        <w:rPr>
          <w:rFonts w:ascii="Verdana" w:eastAsia="Times New Roman" w:hAnsi="Verdana" w:cs="Times New Roman"/>
          <w:sz w:val="20"/>
          <w:szCs w:val="20"/>
          <w:lang w:eastAsia="es-ES_tradnl"/>
        </w:rPr>
      </w:pPr>
      <w:r w:rsidRPr="00F50B9E">
        <w:rPr>
          <w:rFonts w:ascii="Verdana" w:eastAsia="Times New Roman" w:hAnsi="Verdana" w:cs="Times New Roman"/>
          <w:sz w:val="20"/>
          <w:szCs w:val="20"/>
          <w:lang w:eastAsia="es-ES_tradnl"/>
        </w:rPr>
        <w:t xml:space="preserve">[…] </w:t>
      </w:r>
      <w:r w:rsidRPr="00F50B9E">
        <w:rPr>
          <w:rFonts w:ascii="Verdana" w:eastAsia="Times New Roman" w:hAnsi="Verdana" w:cs="Arial"/>
          <w:sz w:val="20"/>
          <w:szCs w:val="20"/>
          <w:lang w:eastAsia="es-ES_tradnl"/>
        </w:rPr>
        <w:t>por regla general, un contrato estatal debe estar amparado mediante una sola garantía, sin perjuicio de algunas excepciones, como la que se deriva de la norma analizada. En efecto, en los contratos cuyo plazo de ejecución sea mayor a cinco (5) años se podrá dividir la garantía, tal como lo prevé el Decreto 1082 de 2015: “La garantía de cobertura del Riesgo es indivisible. Sin embargo, en los contratos con un plazo mayor a cinco (5) años las garantías pueden cubrir los Riesgos de la Etapa del Contrato o del Periodo Contractual, de acuerdo con lo previsto en el contrato”.</w:t>
      </w:r>
    </w:p>
    <w:p w14:paraId="78D441AC" w14:textId="77777777" w:rsidR="00F72247" w:rsidRPr="00F50B9E" w:rsidRDefault="00F72247" w:rsidP="00F72247">
      <w:pPr>
        <w:spacing w:after="0" w:line="240" w:lineRule="auto"/>
        <w:contextualSpacing/>
        <w:jc w:val="both"/>
        <w:rPr>
          <w:rFonts w:ascii="Verdana" w:eastAsia="Times New Roman" w:hAnsi="Verdana" w:cs="Times New Roman"/>
          <w:lang w:eastAsia="es-ES_tradnl"/>
        </w:rPr>
      </w:pPr>
    </w:p>
    <w:p w14:paraId="01E84EDC" w14:textId="77777777" w:rsidR="00F72247" w:rsidRPr="00F50B9E" w:rsidRDefault="00F72247" w:rsidP="00F72247">
      <w:pPr>
        <w:spacing w:after="0" w:line="240" w:lineRule="auto"/>
        <w:contextualSpacing/>
        <w:jc w:val="both"/>
        <w:rPr>
          <w:rFonts w:ascii="Verdana" w:eastAsia="Times New Roman" w:hAnsi="Verdana" w:cs="Times New Roman"/>
          <w:b/>
          <w:bCs/>
          <w:lang w:eastAsia="es-ES_tradnl"/>
        </w:rPr>
      </w:pPr>
      <w:r w:rsidRPr="00F50B9E">
        <w:rPr>
          <w:rFonts w:ascii="Verdana" w:eastAsia="Times New Roman" w:hAnsi="Verdana" w:cs="Times New Roman"/>
          <w:b/>
          <w:bCs/>
          <w:lang w:eastAsia="es-ES_tradnl"/>
        </w:rPr>
        <w:t xml:space="preserve">PRINCIPIO DE INDIVISIBILIDAD DE LA GARANTÍA – Requisitos – Pliego de condiciones </w:t>
      </w:r>
    </w:p>
    <w:p w14:paraId="48260CA3" w14:textId="77777777" w:rsidR="00F72247" w:rsidRPr="00F50B9E" w:rsidRDefault="00F72247" w:rsidP="00F72247">
      <w:pPr>
        <w:spacing w:after="0" w:line="240" w:lineRule="auto"/>
        <w:jc w:val="both"/>
        <w:rPr>
          <w:rFonts w:ascii="Verdana" w:eastAsia="Times New Roman" w:hAnsi="Verdana" w:cs="Arial"/>
          <w:lang w:eastAsia="es-ES_tradnl"/>
        </w:rPr>
      </w:pPr>
    </w:p>
    <w:p w14:paraId="76BFA454" w14:textId="77777777" w:rsidR="00F72247" w:rsidRPr="00F50B9E" w:rsidRDefault="00F72247" w:rsidP="00F72247">
      <w:pPr>
        <w:spacing w:after="0" w:line="240" w:lineRule="auto"/>
        <w:jc w:val="both"/>
        <w:rPr>
          <w:rFonts w:ascii="Verdana" w:eastAsia="Times New Roman" w:hAnsi="Verdana" w:cs="Arial"/>
          <w:sz w:val="20"/>
          <w:szCs w:val="20"/>
          <w:lang w:eastAsia="es-ES_tradnl"/>
        </w:rPr>
      </w:pPr>
      <w:r w:rsidRPr="00F50B9E">
        <w:rPr>
          <w:rFonts w:ascii="Verdana" w:eastAsia="Times New Roman" w:hAnsi="Verdana" w:cs="Arial"/>
          <w:sz w:val="20"/>
          <w:szCs w:val="20"/>
          <w:lang w:eastAsia="es-ES_tradnl"/>
        </w:rPr>
        <w:t xml:space="preserve">Conforme a lo anterior, si la Entidad Estatal celebra un contrato cuyo plazo de ejecución es mayor a cinco (5) años, puede pactar en el contrato que las garantías cubran los riegos de cada </w:t>
      </w:r>
      <w:r w:rsidRPr="00F50B9E">
        <w:rPr>
          <w:rFonts w:ascii="Verdana" w:eastAsia="Times New Roman" w:hAnsi="Verdana" w:cs="Arial"/>
          <w:i/>
          <w:iCs/>
          <w:sz w:val="20"/>
          <w:szCs w:val="20"/>
          <w:lang w:eastAsia="es-ES_tradnl"/>
        </w:rPr>
        <w:t>etapa del contrato</w:t>
      </w:r>
      <w:r w:rsidRPr="00F50B9E">
        <w:rPr>
          <w:rFonts w:ascii="Verdana" w:eastAsia="Times New Roman" w:hAnsi="Verdana" w:cs="Arial"/>
          <w:sz w:val="20"/>
          <w:szCs w:val="20"/>
          <w:lang w:eastAsia="es-ES_tradnl"/>
        </w:rPr>
        <w:t xml:space="preserve">, </w:t>
      </w:r>
      <w:r w:rsidRPr="00F50B9E">
        <w:rPr>
          <w:rFonts w:ascii="Verdana" w:eastAsia="Times New Roman" w:hAnsi="Verdana" w:cs="Arial"/>
          <w:i/>
          <w:iCs/>
          <w:sz w:val="20"/>
          <w:szCs w:val="20"/>
          <w:lang w:eastAsia="es-ES_tradnl"/>
        </w:rPr>
        <w:t xml:space="preserve">periodo contractual o unidad </w:t>
      </w:r>
      <w:r w:rsidRPr="00F50B9E">
        <w:rPr>
          <w:rFonts w:ascii="Verdana" w:eastAsia="Times New Roman" w:hAnsi="Verdana" w:cs="Arial"/>
          <w:sz w:val="20"/>
          <w:szCs w:val="20"/>
          <w:lang w:eastAsia="es-ES_tradnl"/>
        </w:rPr>
        <w:t xml:space="preserve">funcional, caso en el cual el pliego de condiciones regulará las garantías teniendo en cuenta lo siguiente: i) se identificará la garantía que ampara los riesgos para cada etapa del contrato o periodo contractual, pero, además, la vigencia que rige para cada uno –que en todo caso no puede ser menor al plazo de ejecución definido para cada etapa del contrato o periodo contractual–, y </w:t>
      </w:r>
      <w:proofErr w:type="spellStart"/>
      <w:r w:rsidRPr="00F50B9E">
        <w:rPr>
          <w:rFonts w:ascii="Verdana" w:eastAsia="Times New Roman" w:hAnsi="Verdana" w:cs="Arial"/>
          <w:sz w:val="20"/>
          <w:szCs w:val="20"/>
          <w:lang w:eastAsia="es-ES_tradnl"/>
        </w:rPr>
        <w:t>ii</w:t>
      </w:r>
      <w:proofErr w:type="spellEnd"/>
      <w:r w:rsidRPr="00F50B9E">
        <w:rPr>
          <w:rFonts w:ascii="Verdana" w:eastAsia="Times New Roman" w:hAnsi="Verdana" w:cs="Arial"/>
          <w:sz w:val="20"/>
          <w:szCs w:val="20"/>
          <w:lang w:eastAsia="es-ES_tradnl"/>
        </w:rPr>
        <w:t xml:space="preserve">) el monto de los amparos se calculará tomando el valor de las obligaciones del contratista para cada etapa del contrato o periodo contractual, y </w:t>
      </w:r>
      <w:r w:rsidRPr="00F50B9E">
        <w:rPr>
          <w:rFonts w:ascii="Verdana" w:eastAsia="Times New Roman" w:hAnsi="Verdana" w:cs="Arial"/>
          <w:sz w:val="20"/>
          <w:szCs w:val="20"/>
          <w:lang w:eastAsia="es-ES_tradnl"/>
        </w:rPr>
        <w:lastRenderedPageBreak/>
        <w:t xml:space="preserve">además, regirán las reglas de suficiencia definidas en los artículos 2.2.1.2.3.1.9. al 2.2.1.2.3.1.17. del Decreto 1082 de 2015. </w:t>
      </w:r>
    </w:p>
    <w:p w14:paraId="31101690" w14:textId="77777777" w:rsidR="00F72247" w:rsidRPr="00F50B9E" w:rsidRDefault="00F72247" w:rsidP="00F72247">
      <w:pPr>
        <w:spacing w:after="0" w:line="240" w:lineRule="auto"/>
        <w:contextualSpacing/>
        <w:jc w:val="both"/>
        <w:rPr>
          <w:rFonts w:ascii="Verdana" w:eastAsia="Times New Roman" w:hAnsi="Verdana" w:cs="Times New Roman"/>
          <w:lang w:eastAsia="es-ES_tradnl"/>
        </w:rPr>
      </w:pPr>
    </w:p>
    <w:p w14:paraId="513E6974" w14:textId="77777777" w:rsidR="00F72247" w:rsidRPr="00F50B9E" w:rsidRDefault="00F72247" w:rsidP="00F72247">
      <w:pPr>
        <w:spacing w:after="0" w:line="240" w:lineRule="auto"/>
        <w:contextualSpacing/>
        <w:jc w:val="both"/>
        <w:rPr>
          <w:rFonts w:ascii="Verdana" w:eastAsia="Times New Roman" w:hAnsi="Verdana" w:cs="Times New Roman"/>
          <w:b/>
          <w:bCs/>
          <w:lang w:val="es-ES_tradnl" w:eastAsia="es-ES_tradnl"/>
        </w:rPr>
      </w:pPr>
      <w:r w:rsidRPr="00F50B9E">
        <w:rPr>
          <w:rFonts w:ascii="Verdana" w:eastAsia="Times New Roman" w:hAnsi="Verdana" w:cs="Times New Roman"/>
          <w:b/>
          <w:bCs/>
          <w:lang w:eastAsia="es-ES_tradnl"/>
        </w:rPr>
        <w:t>PRINCIPIO DE INDIVISIBILIDAD DE LA GARANTÍA – Obligación del garante – Decisión de no continuar garantizando – Etapa del contrato subsiguiente</w:t>
      </w:r>
    </w:p>
    <w:p w14:paraId="62606A7E" w14:textId="77777777" w:rsidR="00F72247" w:rsidRPr="00F50B9E" w:rsidRDefault="00F72247" w:rsidP="00F72247">
      <w:pPr>
        <w:spacing w:after="0" w:line="240" w:lineRule="auto"/>
        <w:jc w:val="both"/>
        <w:rPr>
          <w:rFonts w:ascii="Verdana" w:eastAsia="Aptos" w:hAnsi="Verdana" w:cs="Times New Roman"/>
          <w:lang w:val="es-ES_tradnl"/>
        </w:rPr>
      </w:pPr>
    </w:p>
    <w:p w14:paraId="27E25E6F" w14:textId="77777777" w:rsidR="00F72247" w:rsidRPr="00F50B9E" w:rsidRDefault="00F72247" w:rsidP="00F72247">
      <w:pPr>
        <w:spacing w:after="0" w:line="240" w:lineRule="auto"/>
        <w:jc w:val="both"/>
        <w:rPr>
          <w:rFonts w:ascii="Verdana" w:eastAsia="Times New Roman" w:hAnsi="Verdana" w:cs="Arial"/>
          <w:sz w:val="20"/>
          <w:szCs w:val="20"/>
          <w:lang w:eastAsia="es-ES_tradnl"/>
        </w:rPr>
      </w:pPr>
      <w:r w:rsidRPr="00F50B9E">
        <w:rPr>
          <w:rFonts w:ascii="Verdana" w:eastAsia="Times New Roman" w:hAnsi="Verdana" w:cs="Arial"/>
          <w:sz w:val="20"/>
          <w:szCs w:val="20"/>
          <w:lang w:eastAsia="es-ES_tradnl"/>
        </w:rPr>
        <w:t>Ahora bien, definidas las reglas para solicitar las garantías en el pliego de condiciones, surge el siguiente interrogante: ¿cuáles obligaciones asume el contratista para amparar los riesgos de cada etapa del contrato o periodo contractual? Atendiendo el mandato previsto en el artículo 2.2.1.2.3.1.3. del Decreto 1082 de 2015, antes del vencimiento de cada etapa del contrato o cada periodo contractual, el contratista está obligado a obtener una nueva garantía que ampare el cumplimiento de sus obligaciones para la etapa del contrato o periodo contractual siguiente. Esto significa que antes del vencimiento de la etapa del contrato que se está ejecutando, el contratista debe contar con la nueva garantía para amparar los riesgos de la siguiente etapa.</w:t>
      </w:r>
    </w:p>
    <w:p w14:paraId="324D8910" w14:textId="77777777" w:rsidR="00F72247" w:rsidRPr="00F50B9E" w:rsidRDefault="00F72247" w:rsidP="00F72247">
      <w:pPr>
        <w:spacing w:after="0" w:line="240" w:lineRule="auto"/>
        <w:jc w:val="both"/>
        <w:rPr>
          <w:rFonts w:ascii="Verdana" w:eastAsia="Aptos" w:hAnsi="Verdana" w:cs="Times New Roman"/>
          <w:sz w:val="20"/>
          <w:szCs w:val="20"/>
        </w:rPr>
      </w:pPr>
    </w:p>
    <w:p w14:paraId="63900241" w14:textId="77777777" w:rsidR="00F72247" w:rsidRPr="00F50B9E" w:rsidRDefault="00F72247" w:rsidP="00F72247">
      <w:pPr>
        <w:spacing w:after="0" w:line="240" w:lineRule="auto"/>
        <w:jc w:val="both"/>
        <w:rPr>
          <w:rFonts w:ascii="Verdana" w:eastAsia="Aptos" w:hAnsi="Verdana" w:cs="Times New Roman"/>
          <w:sz w:val="20"/>
          <w:szCs w:val="20"/>
        </w:rPr>
      </w:pPr>
      <w:r w:rsidRPr="00F50B9E">
        <w:rPr>
          <w:rFonts w:ascii="Verdana" w:eastAsia="Aptos" w:hAnsi="Verdana" w:cs="Times New Roman"/>
          <w:sz w:val="20"/>
          <w:szCs w:val="20"/>
        </w:rPr>
        <w:t>[…]</w:t>
      </w:r>
    </w:p>
    <w:p w14:paraId="26B3507B" w14:textId="77777777" w:rsidR="00F72247" w:rsidRPr="00F50B9E" w:rsidRDefault="00F72247" w:rsidP="00F72247">
      <w:pPr>
        <w:spacing w:after="0" w:line="240" w:lineRule="auto"/>
        <w:jc w:val="both"/>
        <w:rPr>
          <w:rFonts w:ascii="Verdana" w:eastAsia="Times New Roman" w:hAnsi="Verdana" w:cs="Arial"/>
          <w:sz w:val="20"/>
          <w:szCs w:val="20"/>
          <w:lang w:eastAsia="es-ES_tradnl"/>
        </w:rPr>
      </w:pPr>
    </w:p>
    <w:p w14:paraId="3AF45F17" w14:textId="77777777" w:rsidR="00F72247" w:rsidRDefault="00F72247" w:rsidP="00F72247">
      <w:pPr>
        <w:spacing w:after="0"/>
        <w:jc w:val="both"/>
        <w:rPr>
          <w:rFonts w:ascii="Century Gothic" w:eastAsia="Times New Roman" w:hAnsi="Century Gothic" w:cs="Arial"/>
          <w:sz w:val="20"/>
          <w:szCs w:val="20"/>
          <w:lang w:eastAsia="es-ES"/>
        </w:rPr>
      </w:pPr>
      <w:r w:rsidRPr="3FE39249">
        <w:rPr>
          <w:rFonts w:ascii="Verdana" w:eastAsia="Times New Roman" w:hAnsi="Verdana" w:cs="Arial"/>
          <w:sz w:val="20"/>
          <w:szCs w:val="20"/>
          <w:lang w:eastAsia="es-ES"/>
        </w:rPr>
        <w:t>Al respecto, es importante destacar que el artículo 2.2.1.2.3.1.3 del Decreto 1082 de 2015 regula lo que ocurre cuando el garante de una etapa del contrato o periodo contractual decide no continuar garantizando la etapa del contrato o periodo contractual subsiguiente. En efecto, establece que el garante de la etapa del contrato o periodo contractual asume la obligación de informar su decisión por escrito a la Entidad Estatal garantizada seis (6) meses antes del vencimiento del plazo de la garantía. En todo caso, es importante aclarar que este aviso no afecta la garantía de la etapa del contrato o periodo contractual en ejecución. Ahora bien, si en estos casos el garante no da el aviso con la anticipación mencionada y el contratista no obtiene una nueva garantía, queda obligado a garantizar la etapa del contrato o periodo contractual subsiguiente.</w:t>
      </w:r>
      <w:r w:rsidRPr="3FE39249">
        <w:rPr>
          <w:rFonts w:ascii="Century Gothic" w:eastAsia="Times New Roman" w:hAnsi="Century Gothic" w:cs="Arial"/>
          <w:sz w:val="20"/>
          <w:szCs w:val="20"/>
          <w:lang w:eastAsia="es-ES"/>
        </w:rPr>
        <w:t xml:space="preserve"> </w:t>
      </w:r>
    </w:p>
    <w:p w14:paraId="6ED0F3C6" w14:textId="77777777" w:rsidR="00F72247" w:rsidRDefault="00F72247" w:rsidP="00F72247">
      <w:pPr>
        <w:spacing w:after="0"/>
        <w:rPr>
          <w:rFonts w:ascii="Century Gothic" w:eastAsia="Times New Roman" w:hAnsi="Century Gothic" w:cs="Arial"/>
          <w:sz w:val="20"/>
          <w:szCs w:val="20"/>
          <w:lang w:eastAsia="es-ES"/>
        </w:rPr>
      </w:pPr>
    </w:p>
    <w:p w14:paraId="61E94D2A" w14:textId="77777777" w:rsidR="00F72247" w:rsidRDefault="00F72247" w:rsidP="00F72247">
      <w:pPr>
        <w:spacing w:after="0"/>
        <w:rPr>
          <w:rFonts w:ascii="Century Gothic" w:eastAsia="Times New Roman" w:hAnsi="Century Gothic" w:cs="Arial"/>
          <w:sz w:val="20"/>
          <w:szCs w:val="20"/>
          <w:lang w:eastAsia="es-ES"/>
        </w:rPr>
      </w:pPr>
    </w:p>
    <w:p w14:paraId="59A91554" w14:textId="77777777" w:rsidR="00F72247" w:rsidRDefault="00F72247" w:rsidP="00F72247">
      <w:pPr>
        <w:spacing w:after="0"/>
        <w:rPr>
          <w:rFonts w:ascii="Century Gothic" w:eastAsia="Times New Roman" w:hAnsi="Century Gothic" w:cs="Arial"/>
          <w:sz w:val="20"/>
          <w:szCs w:val="20"/>
          <w:lang w:eastAsia="es-ES"/>
        </w:rPr>
      </w:pPr>
    </w:p>
    <w:p w14:paraId="23DDCC52" w14:textId="77777777" w:rsidR="00F72247" w:rsidRDefault="00F72247" w:rsidP="00F72247">
      <w:pPr>
        <w:spacing w:after="0"/>
        <w:rPr>
          <w:rFonts w:ascii="Century Gothic" w:eastAsia="Times New Roman" w:hAnsi="Century Gothic" w:cs="Arial"/>
          <w:sz w:val="20"/>
          <w:szCs w:val="20"/>
          <w:lang w:eastAsia="es-ES"/>
        </w:rPr>
      </w:pPr>
    </w:p>
    <w:p w14:paraId="490F0E1F" w14:textId="77777777" w:rsidR="00F72247" w:rsidRDefault="00F72247" w:rsidP="00F72247">
      <w:pPr>
        <w:spacing w:after="0"/>
        <w:rPr>
          <w:rFonts w:ascii="Century Gothic" w:eastAsia="Times New Roman" w:hAnsi="Century Gothic" w:cs="Arial"/>
          <w:sz w:val="20"/>
          <w:szCs w:val="20"/>
          <w:lang w:eastAsia="es-ES"/>
        </w:rPr>
      </w:pPr>
    </w:p>
    <w:p w14:paraId="73D2CA9C" w14:textId="77777777" w:rsidR="00F72247" w:rsidRDefault="00F72247" w:rsidP="00F72247">
      <w:pPr>
        <w:spacing w:after="0"/>
        <w:rPr>
          <w:rFonts w:ascii="Century Gothic" w:eastAsia="Times New Roman" w:hAnsi="Century Gothic" w:cs="Arial"/>
          <w:sz w:val="20"/>
          <w:szCs w:val="20"/>
          <w:lang w:eastAsia="es-ES"/>
        </w:rPr>
      </w:pPr>
    </w:p>
    <w:p w14:paraId="1F8AA844" w14:textId="77777777" w:rsidR="00F72247" w:rsidRDefault="00F72247" w:rsidP="00F72247">
      <w:pPr>
        <w:spacing w:after="0"/>
        <w:rPr>
          <w:rFonts w:ascii="Century Gothic" w:eastAsia="Times New Roman" w:hAnsi="Century Gothic" w:cs="Arial"/>
          <w:sz w:val="20"/>
          <w:szCs w:val="20"/>
          <w:lang w:eastAsia="es-ES"/>
        </w:rPr>
      </w:pPr>
    </w:p>
    <w:p w14:paraId="52DA6A1B" w14:textId="77777777" w:rsidR="00F72247" w:rsidRDefault="00F72247" w:rsidP="00F72247">
      <w:pPr>
        <w:spacing w:after="0"/>
        <w:rPr>
          <w:rFonts w:ascii="Century Gothic" w:eastAsia="Times New Roman" w:hAnsi="Century Gothic" w:cs="Arial"/>
          <w:sz w:val="20"/>
          <w:szCs w:val="20"/>
          <w:lang w:eastAsia="es-ES"/>
        </w:rPr>
      </w:pPr>
    </w:p>
    <w:p w14:paraId="56ACD579" w14:textId="77777777" w:rsidR="00F72247" w:rsidRDefault="00F72247" w:rsidP="00F72247">
      <w:pPr>
        <w:spacing w:after="0"/>
        <w:rPr>
          <w:rFonts w:ascii="Century Gothic" w:eastAsia="Times New Roman" w:hAnsi="Century Gothic" w:cs="Arial"/>
          <w:sz w:val="20"/>
          <w:szCs w:val="20"/>
          <w:lang w:eastAsia="es-ES"/>
        </w:rPr>
      </w:pPr>
    </w:p>
    <w:p w14:paraId="24FE1D9B" w14:textId="77777777" w:rsidR="00F72247" w:rsidRDefault="00F72247" w:rsidP="00F72247">
      <w:pPr>
        <w:spacing w:after="0"/>
        <w:rPr>
          <w:rFonts w:ascii="Century Gothic" w:eastAsia="Times New Roman" w:hAnsi="Century Gothic" w:cs="Arial"/>
          <w:sz w:val="20"/>
          <w:szCs w:val="20"/>
          <w:lang w:eastAsia="es-ES"/>
        </w:rPr>
      </w:pPr>
    </w:p>
    <w:p w14:paraId="49249719" w14:textId="77777777" w:rsidR="00B42B35" w:rsidRDefault="00B42B35" w:rsidP="00F72247">
      <w:pPr>
        <w:spacing w:after="0"/>
        <w:rPr>
          <w:rFonts w:ascii="Century Gothic" w:eastAsia="Times New Roman" w:hAnsi="Century Gothic" w:cs="Arial"/>
          <w:sz w:val="20"/>
          <w:szCs w:val="20"/>
          <w:lang w:eastAsia="es-ES"/>
        </w:rPr>
      </w:pPr>
    </w:p>
    <w:p w14:paraId="0047DE8F" w14:textId="77777777" w:rsidR="00B42B35" w:rsidRDefault="00B42B35" w:rsidP="00F72247">
      <w:pPr>
        <w:spacing w:after="0"/>
        <w:rPr>
          <w:rFonts w:ascii="Century Gothic" w:eastAsia="Times New Roman" w:hAnsi="Century Gothic" w:cs="Arial"/>
          <w:sz w:val="20"/>
          <w:szCs w:val="20"/>
          <w:lang w:eastAsia="es-ES"/>
        </w:rPr>
      </w:pPr>
    </w:p>
    <w:p w14:paraId="1819FA43" w14:textId="77777777" w:rsidR="00F72247" w:rsidRDefault="00F72247" w:rsidP="00F72247">
      <w:pPr>
        <w:spacing w:after="0"/>
        <w:rPr>
          <w:rFonts w:ascii="Century Gothic" w:eastAsia="Times New Roman" w:hAnsi="Century Gothic" w:cs="Arial"/>
          <w:sz w:val="20"/>
          <w:szCs w:val="20"/>
          <w:lang w:eastAsia="es-ES"/>
        </w:rPr>
      </w:pPr>
    </w:p>
    <w:p w14:paraId="728B158F" w14:textId="77777777" w:rsidR="00F72247" w:rsidRDefault="00F72247" w:rsidP="00F72247">
      <w:pPr>
        <w:spacing w:after="0"/>
        <w:rPr>
          <w:rFonts w:ascii="Century Gothic" w:eastAsia="Times New Roman" w:hAnsi="Century Gothic" w:cs="Arial"/>
          <w:sz w:val="20"/>
          <w:szCs w:val="20"/>
          <w:lang w:eastAsia="es-ES"/>
        </w:rPr>
      </w:pPr>
    </w:p>
    <w:p w14:paraId="5C5AD461" w14:textId="77777777" w:rsidR="00F72247" w:rsidRDefault="00F72247" w:rsidP="00F72247">
      <w:pPr>
        <w:spacing w:after="0"/>
        <w:rPr>
          <w:rFonts w:ascii="Century Gothic" w:eastAsia="Times New Roman" w:hAnsi="Century Gothic" w:cs="Arial"/>
          <w:sz w:val="20"/>
          <w:szCs w:val="20"/>
          <w:lang w:eastAsia="es-ES"/>
        </w:rPr>
      </w:pPr>
    </w:p>
    <w:p w14:paraId="3FE2184B" w14:textId="0970BB0B" w:rsidR="00E245AB" w:rsidRPr="0044528D" w:rsidRDefault="008801AD" w:rsidP="00F72247">
      <w:pPr>
        <w:spacing w:after="0"/>
        <w:rPr>
          <w:rFonts w:ascii="Verdana" w:hAnsi="Verdana"/>
        </w:rPr>
      </w:pPr>
      <w:r w:rsidRPr="008801AD">
        <w:rPr>
          <w:rFonts w:ascii="Verdana" w:hAnsi="Verdana"/>
        </w:rPr>
        <w:lastRenderedPageBreak/>
        <w:t xml:space="preserve">Bogotá D.C., 16 </w:t>
      </w:r>
      <w:r w:rsidR="0041020D" w:rsidRPr="008801AD">
        <w:rPr>
          <w:rFonts w:ascii="Verdana" w:hAnsi="Verdana"/>
        </w:rPr>
        <w:t>septiembre</w:t>
      </w:r>
      <w:r w:rsidRPr="008801AD">
        <w:rPr>
          <w:rFonts w:ascii="Verdana" w:hAnsi="Verdana"/>
        </w:rPr>
        <w:t xml:space="preserve"> 2025</w:t>
      </w:r>
      <w:r w:rsidR="00891928" w:rsidRPr="0044528D">
        <w:rPr>
          <w:rFonts w:ascii="Verdana" w:hAnsi="Verdana"/>
        </w:rPr>
        <w:tab/>
      </w:r>
    </w:p>
    <w:p w14:paraId="7FF8C496" w14:textId="6B074543" w:rsidR="00E06A34" w:rsidRPr="00DE3E3B" w:rsidRDefault="0041020D" w:rsidP="3FE39249">
      <w:pPr>
        <w:spacing w:after="0" w:line="240" w:lineRule="auto"/>
        <w:jc w:val="both"/>
        <w:rPr>
          <w:rFonts w:ascii="Century Gothic" w:eastAsia="Times New Roman" w:hAnsi="Century Gothic" w:cs="Arial"/>
          <w:sz w:val="20"/>
          <w:szCs w:val="20"/>
          <w:lang w:eastAsia="es-ES"/>
        </w:rPr>
      </w:pPr>
      <w:r w:rsidRPr="0080674B">
        <w:rPr>
          <w:rFonts w:ascii="Verdana" w:eastAsia="Calibri" w:hAnsi="Verdana" w:cs="Arial"/>
          <w:noProof/>
          <w:lang w:eastAsia="es-ES"/>
        </w:rPr>
        <w:drawing>
          <wp:anchor distT="0" distB="0" distL="114300" distR="114300" simplePos="0" relativeHeight="251660800" behindDoc="0" locked="0" layoutInCell="1" allowOverlap="1" wp14:anchorId="23ADD5EA" wp14:editId="48A25448">
            <wp:simplePos x="0" y="0"/>
            <wp:positionH relativeFrom="margin">
              <wp:posOffset>3069590</wp:posOffset>
            </wp:positionH>
            <wp:positionV relativeFrom="paragraph">
              <wp:posOffset>101600</wp:posOffset>
            </wp:positionV>
            <wp:extent cx="2537460" cy="675005"/>
            <wp:effectExtent l="0" t="0" r="0" b="0"/>
            <wp:wrapSquare wrapText="bothSides"/>
            <wp:docPr id="157653540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35408"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37460" cy="675005"/>
                    </a:xfrm>
                    <a:prstGeom prst="rect">
                      <a:avLst/>
                    </a:prstGeom>
                  </pic:spPr>
                </pic:pic>
              </a:graphicData>
            </a:graphic>
            <wp14:sizeRelH relativeFrom="margin">
              <wp14:pctWidth>0</wp14:pctWidth>
            </wp14:sizeRelH>
            <wp14:sizeRelV relativeFrom="margin">
              <wp14:pctHeight>0</wp14:pctHeight>
            </wp14:sizeRelV>
          </wp:anchor>
        </w:drawing>
      </w:r>
    </w:p>
    <w:p w14:paraId="059A9A65" w14:textId="099317DE" w:rsidR="00E06A34" w:rsidRPr="00C04104" w:rsidRDefault="00E06A34" w:rsidP="00E06A34">
      <w:pPr>
        <w:spacing w:after="0" w:line="240" w:lineRule="auto"/>
        <w:jc w:val="both"/>
        <w:rPr>
          <w:rFonts w:ascii="Verdana" w:eastAsia="Calibri" w:hAnsi="Verdana" w:cs="Arial"/>
          <w:lang w:eastAsia="es-ES"/>
        </w:rPr>
      </w:pPr>
      <w:bookmarkStart w:id="1" w:name="_Hlk180638295"/>
      <w:bookmarkStart w:id="2" w:name="_Hlk181166167"/>
      <w:r w:rsidRPr="00C04104">
        <w:rPr>
          <w:rFonts w:ascii="Verdana" w:eastAsia="Calibri" w:hAnsi="Verdana" w:cs="Arial"/>
          <w:lang w:eastAsia="es-ES"/>
        </w:rPr>
        <w:t>Señora</w:t>
      </w:r>
      <w:r w:rsidRPr="00C04104">
        <w:rPr>
          <w:rFonts w:ascii="Verdana" w:eastAsia="Calibri" w:hAnsi="Verdana" w:cs="Arial"/>
          <w:lang w:eastAsia="es-ES"/>
        </w:rPr>
        <w:tab/>
      </w:r>
    </w:p>
    <w:p w14:paraId="1721B763" w14:textId="77777777" w:rsidR="00E06A34" w:rsidRPr="00C04104" w:rsidRDefault="00E06A34" w:rsidP="00E06A34">
      <w:pPr>
        <w:spacing w:after="0" w:line="240" w:lineRule="auto"/>
        <w:rPr>
          <w:rFonts w:ascii="Verdana" w:eastAsia="Calibri" w:hAnsi="Verdana" w:cs="Arial"/>
          <w:b/>
          <w:bCs/>
          <w:color w:val="000000"/>
          <w:lang w:val="pt-PT" w:eastAsia="es-ES_tradnl"/>
        </w:rPr>
      </w:pPr>
      <w:r w:rsidRPr="00C04104">
        <w:rPr>
          <w:rFonts w:ascii="Verdana" w:eastAsia="Calibri" w:hAnsi="Verdana" w:cs="Arial"/>
          <w:b/>
          <w:bCs/>
          <w:color w:val="000000"/>
          <w:lang w:val="pt-PT" w:eastAsia="es-ES_tradnl"/>
        </w:rPr>
        <w:t>Sandra Milena Cortes Jimenez</w:t>
      </w:r>
    </w:p>
    <w:p w14:paraId="03850844" w14:textId="77777777" w:rsidR="00E06A34" w:rsidRPr="00C04104" w:rsidRDefault="00E06A34" w:rsidP="00E06A34">
      <w:pPr>
        <w:spacing w:after="0" w:line="240" w:lineRule="auto"/>
        <w:rPr>
          <w:rFonts w:ascii="Verdana" w:hAnsi="Verdana"/>
        </w:rPr>
      </w:pPr>
      <w:hyperlink r:id="rId11" w:history="1">
        <w:r w:rsidRPr="00C04104">
          <w:rPr>
            <w:rStyle w:val="Hipervnculo"/>
            <w:rFonts w:ascii="Verdana" w:hAnsi="Verdana"/>
          </w:rPr>
          <w:t>sandramilcortes@hotmail.com</w:t>
        </w:r>
      </w:hyperlink>
    </w:p>
    <w:p w14:paraId="219ACE21" w14:textId="77777777" w:rsidR="00E06A34" w:rsidRPr="00C04104" w:rsidRDefault="00E06A34" w:rsidP="00E06A34">
      <w:pPr>
        <w:spacing w:after="0" w:line="240" w:lineRule="auto"/>
        <w:rPr>
          <w:rFonts w:ascii="Verdana" w:hAnsi="Verdana"/>
        </w:rPr>
      </w:pPr>
      <w:r w:rsidRPr="00C04104">
        <w:rPr>
          <w:rFonts w:ascii="Verdana" w:hAnsi="Verdana"/>
        </w:rPr>
        <w:t>Bogotá, D.C.</w:t>
      </w:r>
    </w:p>
    <w:p w14:paraId="4AE28F05" w14:textId="77777777" w:rsidR="00E06A34" w:rsidRPr="00B6773F" w:rsidRDefault="00E06A34" w:rsidP="00E06A34">
      <w:pPr>
        <w:spacing w:after="0" w:line="240" w:lineRule="auto"/>
        <w:rPr>
          <w:rFonts w:ascii="Verdana" w:eastAsia="Calibri" w:hAnsi="Verdana" w:cs="Arial"/>
          <w:b/>
          <w:bCs/>
          <w:color w:val="000000"/>
          <w:lang w:val="pt-PT"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E06A34" w:rsidRPr="00593A5F" w14:paraId="70F161FE" w14:textId="77777777" w:rsidTr="0076554B">
        <w:trPr>
          <w:trHeight w:val="884"/>
        </w:trPr>
        <w:tc>
          <w:tcPr>
            <w:tcW w:w="2410" w:type="dxa"/>
          </w:tcPr>
          <w:p w14:paraId="70959425" w14:textId="77777777" w:rsidR="00E06A34" w:rsidRPr="00B6773F" w:rsidRDefault="00E06A34" w:rsidP="0076554B">
            <w:pPr>
              <w:jc w:val="both"/>
              <w:rPr>
                <w:rFonts w:ascii="Verdana" w:eastAsia="Calibri" w:hAnsi="Verdana" w:cs="Arial"/>
                <w:b/>
                <w:bCs/>
                <w:color w:val="7030A0"/>
                <w:lang w:val="pt-PT" w:eastAsia="es-ES_tradnl"/>
              </w:rPr>
            </w:pPr>
          </w:p>
        </w:tc>
        <w:tc>
          <w:tcPr>
            <w:tcW w:w="6804" w:type="dxa"/>
            <w:gridSpan w:val="2"/>
          </w:tcPr>
          <w:p w14:paraId="35614DC6" w14:textId="77777777" w:rsidR="00E06A34" w:rsidRPr="002B5057" w:rsidRDefault="00E06A34" w:rsidP="0076554B">
            <w:pPr>
              <w:jc w:val="both"/>
              <w:rPr>
                <w:rFonts w:ascii="Verdana" w:eastAsia="Calibri" w:hAnsi="Verdana" w:cs="Arial"/>
                <w:b/>
                <w:bCs/>
                <w:color w:val="7030A0"/>
                <w:lang w:val="es-ES" w:eastAsia="es-ES"/>
              </w:rPr>
            </w:pPr>
            <w:r w:rsidRPr="002B5057">
              <w:rPr>
                <w:rFonts w:ascii="Verdana" w:eastAsia="Calibri" w:hAnsi="Verdana" w:cs="Arial"/>
                <w:b/>
                <w:bCs/>
                <w:lang w:val="es-ES" w:eastAsia="es-ES"/>
              </w:rPr>
              <w:t xml:space="preserve">Concepto C- </w:t>
            </w:r>
            <w:r>
              <w:rPr>
                <w:rFonts w:ascii="Verdana" w:eastAsia="Calibri" w:hAnsi="Verdana" w:cs="Arial"/>
                <w:b/>
                <w:bCs/>
                <w:lang w:val="es-ES" w:eastAsia="es-ES"/>
              </w:rPr>
              <w:t>1104</w:t>
            </w:r>
            <w:r w:rsidRPr="002B5057">
              <w:rPr>
                <w:rFonts w:ascii="Verdana" w:eastAsia="Calibri" w:hAnsi="Verdana" w:cs="Arial"/>
                <w:b/>
                <w:bCs/>
                <w:lang w:val="es-ES" w:eastAsia="es-ES"/>
              </w:rPr>
              <w:t xml:space="preserve"> de 2025</w:t>
            </w:r>
          </w:p>
        </w:tc>
      </w:tr>
      <w:tr w:rsidR="00E06A34" w:rsidRPr="00593A5F" w14:paraId="1DEAB67D" w14:textId="77777777" w:rsidTr="0076554B">
        <w:trPr>
          <w:trHeight w:val="884"/>
        </w:trPr>
        <w:tc>
          <w:tcPr>
            <w:tcW w:w="2410" w:type="dxa"/>
          </w:tcPr>
          <w:p w14:paraId="77494EE5" w14:textId="77777777" w:rsidR="00E06A34" w:rsidRPr="00593A5F" w:rsidRDefault="00E06A34" w:rsidP="0076554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264B0AF" w14:textId="77777777" w:rsidR="00E06A34" w:rsidRPr="001E0BAE" w:rsidRDefault="00E06A34" w:rsidP="0076554B">
            <w:pPr>
              <w:pStyle w:val="Textoindependiente"/>
              <w:tabs>
                <w:tab w:val="left" w:pos="2949"/>
                <w:tab w:val="left" w:pos="4967"/>
                <w:tab w:val="left" w:pos="5543"/>
                <w:tab w:val="left" w:pos="7128"/>
                <w:tab w:val="left" w:pos="7535"/>
                <w:tab w:val="left" w:pos="8950"/>
              </w:tabs>
              <w:spacing w:line="276" w:lineRule="auto"/>
              <w:ind w:right="49"/>
              <w:jc w:val="both"/>
              <w:rPr>
                <w:b/>
                <w:bCs/>
              </w:rPr>
            </w:pPr>
            <w:r w:rsidRPr="007F5C7C">
              <w:rPr>
                <w:rFonts w:eastAsia="Calibri"/>
                <w:bCs/>
                <w:lang w:eastAsia="es-ES_tradnl"/>
              </w:rPr>
              <w:t xml:space="preserve">CONSTITUCIÓN DE GARANTÍAS – </w:t>
            </w:r>
            <w:r>
              <w:rPr>
                <w:rFonts w:eastAsia="Calibri"/>
                <w:bCs/>
                <w:lang w:eastAsia="es-ES_tradnl"/>
              </w:rPr>
              <w:t>Obligación</w:t>
            </w:r>
            <w:r w:rsidRPr="007F5C7C">
              <w:rPr>
                <w:rFonts w:eastAsia="Calibri"/>
                <w:bCs/>
                <w:lang w:eastAsia="es-ES_tradnl"/>
              </w:rPr>
              <w:t xml:space="preserve"> /</w:t>
            </w:r>
            <w:r w:rsidRPr="002A7E55">
              <w:rPr>
                <w:b/>
                <w:bCs/>
              </w:rPr>
              <w:t xml:space="preserve"> </w:t>
            </w:r>
            <w:r w:rsidRPr="001E0BAE">
              <w:t>EJECUCIÓN</w:t>
            </w:r>
            <w:r w:rsidRPr="001E0BAE">
              <w:rPr>
                <w:spacing w:val="36"/>
              </w:rPr>
              <w:t xml:space="preserve"> </w:t>
            </w:r>
            <w:r w:rsidRPr="001E0BAE">
              <w:t>DEL</w:t>
            </w:r>
            <w:r w:rsidRPr="001E0BAE">
              <w:rPr>
                <w:spacing w:val="36"/>
              </w:rPr>
              <w:t xml:space="preserve"> </w:t>
            </w:r>
            <w:r w:rsidRPr="001E0BAE">
              <w:t>CONTRATO</w:t>
            </w:r>
            <w:r w:rsidRPr="001E0BAE">
              <w:rPr>
                <w:spacing w:val="36"/>
              </w:rPr>
              <w:t xml:space="preserve"> </w:t>
            </w:r>
            <w:r w:rsidRPr="001E0BAE">
              <w:t>ESTATAL</w:t>
            </w:r>
            <w:r w:rsidRPr="001E0BAE">
              <w:rPr>
                <w:spacing w:val="36"/>
              </w:rPr>
              <w:t xml:space="preserve"> </w:t>
            </w:r>
            <w:r w:rsidRPr="001E0BAE">
              <w:t>–</w:t>
            </w:r>
            <w:r w:rsidRPr="001E0BAE">
              <w:rPr>
                <w:spacing w:val="35"/>
              </w:rPr>
              <w:t xml:space="preserve"> </w:t>
            </w:r>
            <w:r w:rsidRPr="001E0BAE">
              <w:t>Requisitos</w:t>
            </w:r>
            <w:r w:rsidRPr="001E0BAE">
              <w:rPr>
                <w:spacing w:val="36"/>
              </w:rPr>
              <w:t xml:space="preserve"> </w:t>
            </w:r>
            <w:r w:rsidRPr="001E0BAE">
              <w:rPr>
                <w:spacing w:val="-10"/>
              </w:rPr>
              <w:t>–</w:t>
            </w:r>
            <w:r w:rsidRPr="001E0BAE">
              <w:t xml:space="preserve"> Artículo</w:t>
            </w:r>
            <w:r w:rsidRPr="001E0BAE">
              <w:rPr>
                <w:spacing w:val="33"/>
              </w:rPr>
              <w:t xml:space="preserve"> </w:t>
            </w:r>
            <w:r w:rsidRPr="001E0BAE">
              <w:t>41</w:t>
            </w:r>
            <w:r w:rsidRPr="001E0BAE">
              <w:rPr>
                <w:spacing w:val="30"/>
              </w:rPr>
              <w:t xml:space="preserve"> </w:t>
            </w:r>
            <w:r w:rsidRPr="001E0BAE">
              <w:t>de</w:t>
            </w:r>
            <w:r w:rsidRPr="001E0BAE">
              <w:rPr>
                <w:spacing w:val="30"/>
              </w:rPr>
              <w:t xml:space="preserve"> </w:t>
            </w:r>
            <w:r w:rsidRPr="001E0BAE">
              <w:t>la</w:t>
            </w:r>
            <w:r w:rsidRPr="001E0BAE">
              <w:rPr>
                <w:spacing w:val="30"/>
              </w:rPr>
              <w:t xml:space="preserve"> </w:t>
            </w:r>
            <w:r w:rsidRPr="001E0BAE">
              <w:t>Ley 80</w:t>
            </w:r>
            <w:r w:rsidRPr="001E0BAE">
              <w:rPr>
                <w:spacing w:val="30"/>
              </w:rPr>
              <w:t xml:space="preserve"> </w:t>
            </w:r>
            <w:r w:rsidRPr="001E0BAE">
              <w:t>de</w:t>
            </w:r>
            <w:r w:rsidRPr="001E0BAE">
              <w:rPr>
                <w:spacing w:val="30"/>
              </w:rPr>
              <w:t xml:space="preserve"> </w:t>
            </w:r>
            <w:r w:rsidRPr="001E0BAE">
              <w:t>1993</w:t>
            </w:r>
            <w:r w:rsidRPr="002A7E55">
              <w:rPr>
                <w:b/>
                <w:bCs/>
                <w:spacing w:val="31"/>
              </w:rPr>
              <w:t xml:space="preserve"> </w:t>
            </w:r>
            <w:r>
              <w:rPr>
                <w:b/>
                <w:bCs/>
                <w:spacing w:val="31"/>
              </w:rPr>
              <w:t>/</w:t>
            </w:r>
            <w:r w:rsidRPr="007F5C7C">
              <w:rPr>
                <w:rFonts w:eastAsia="Calibri"/>
                <w:bCs/>
                <w:lang w:eastAsia="es-ES_tradnl"/>
              </w:rPr>
              <w:t xml:space="preserve"> </w:t>
            </w:r>
            <w:r w:rsidRPr="007F5C7C">
              <w:rPr>
                <w:rFonts w:eastAsia="Times New Roman"/>
                <w:lang w:eastAsia="es-ES_tradnl"/>
              </w:rPr>
              <w:t>PRINCIPIO DE INDIVISIBILIDAD DE LA GARANTÍA – Noción – Alcance / PRINCIPIO DE INDIVISIBILIDAD DE LA GARANTÍA – Requisitos – Pliego de condiciones / PRINCIPIO DE INDIVISIBILIDAD DE LA GARANTÍA – Obligación del garante – Decisión de no continuar garantizando – Etapa del contrato subsiguiente</w:t>
            </w:r>
          </w:p>
          <w:p w14:paraId="7BDB0F66" w14:textId="77777777" w:rsidR="00E06A34" w:rsidRPr="00B045F1" w:rsidRDefault="00E06A34" w:rsidP="0076554B">
            <w:pPr>
              <w:spacing w:line="276" w:lineRule="auto"/>
              <w:jc w:val="both"/>
              <w:rPr>
                <w:rFonts w:ascii="Verdana" w:eastAsia="Calibri" w:hAnsi="Verdana" w:cs="Arial"/>
                <w:b/>
                <w:bCs/>
                <w:highlight w:val="yellow"/>
                <w:lang w:val="es-ES_tradnl" w:eastAsia="es-ES"/>
              </w:rPr>
            </w:pPr>
          </w:p>
        </w:tc>
      </w:tr>
      <w:tr w:rsidR="00E06A34" w:rsidRPr="00593A5F" w14:paraId="6FD52D0E" w14:textId="77777777" w:rsidTr="0076554B">
        <w:tc>
          <w:tcPr>
            <w:tcW w:w="2410" w:type="dxa"/>
          </w:tcPr>
          <w:p w14:paraId="5067ABC1" w14:textId="77777777" w:rsidR="00E06A34" w:rsidRPr="006730E9" w:rsidRDefault="00E06A34" w:rsidP="0076554B">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3434FCDB" w14:textId="10F8FC3A" w:rsidR="00E06A34" w:rsidRPr="006730E9" w:rsidRDefault="00E06A34" w:rsidP="0076554B">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911067">
              <w:rPr>
                <w:rFonts w:ascii="Verdana" w:eastAsia="Calibri" w:hAnsi="Verdana" w:cs="Arial"/>
                <w:lang w:val="es-ES_tradnl" w:eastAsia="es-ES_tradnl"/>
              </w:rPr>
              <w:t>1_2025_08_06_008241</w:t>
            </w:r>
          </w:p>
        </w:tc>
      </w:tr>
      <w:tr w:rsidR="00E06A34" w:rsidRPr="00DB23D2" w14:paraId="6F48450C" w14:textId="77777777" w:rsidTr="0076554B">
        <w:trPr>
          <w:gridAfter w:val="1"/>
          <w:wAfter w:w="336" w:type="dxa"/>
          <w:trHeight w:val="233"/>
        </w:trPr>
        <w:tc>
          <w:tcPr>
            <w:tcW w:w="8878" w:type="dxa"/>
            <w:gridSpan w:val="2"/>
          </w:tcPr>
          <w:p w14:paraId="602E6792" w14:textId="77777777" w:rsidR="00E06A34" w:rsidRPr="00DB23D2" w:rsidRDefault="00E06A34" w:rsidP="0076554B">
            <w:pPr>
              <w:spacing w:after="120" w:line="276" w:lineRule="auto"/>
              <w:jc w:val="both"/>
              <w:rPr>
                <w:rFonts w:ascii="Verdana" w:eastAsia="Calibri" w:hAnsi="Verdana" w:cs="Arial"/>
                <w:lang w:val="es-ES_tradnl" w:eastAsia="es-ES"/>
              </w:rPr>
            </w:pPr>
          </w:p>
        </w:tc>
      </w:tr>
    </w:tbl>
    <w:p w14:paraId="428DC49C" w14:textId="77777777" w:rsidR="00E06A34" w:rsidRPr="006730E9" w:rsidRDefault="00E06A34" w:rsidP="00E06A3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a Cortes;</w:t>
      </w:r>
    </w:p>
    <w:p w14:paraId="53BC7A33" w14:textId="77777777" w:rsidR="00E06A34" w:rsidRDefault="00E06A34" w:rsidP="00E06A34">
      <w:pPr>
        <w:tabs>
          <w:tab w:val="left" w:pos="3768"/>
        </w:tabs>
        <w:spacing w:after="0" w:line="276" w:lineRule="auto"/>
        <w:jc w:val="both"/>
        <w:rPr>
          <w:rFonts w:ascii="Verdana" w:eastAsia="Calibri" w:hAnsi="Verdana" w:cs="Arial"/>
          <w:color w:val="000000" w:themeColor="text1"/>
          <w:lang w:val="es-ES" w:eastAsia="es-ES"/>
        </w:rPr>
      </w:pPr>
    </w:p>
    <w:p w14:paraId="00A8D517" w14:textId="77777777" w:rsidR="00E06A34" w:rsidRPr="006730E9" w:rsidRDefault="00E06A34" w:rsidP="00E06A3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a su</w:t>
      </w:r>
      <w:r w:rsidRPr="006730E9">
        <w:rPr>
          <w:rFonts w:ascii="Verdana" w:eastAsia="Calibri" w:hAnsi="Verdana" w:cs="Arial"/>
          <w:lang w:val="es-ES" w:eastAsia="es-ES"/>
        </w:rPr>
        <w:t xml:space="preserve">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6 </w:t>
      </w:r>
      <w:r w:rsidRPr="00E5644F">
        <w:rPr>
          <w:rFonts w:ascii="Verdana" w:eastAsia="Calibri" w:hAnsi="Verdana" w:cs="Arial"/>
          <w:lang w:val="es-ES" w:eastAsia="es-ES"/>
        </w:rPr>
        <w:t xml:space="preserve">de </w:t>
      </w:r>
      <w:r>
        <w:rPr>
          <w:rFonts w:ascii="Verdana" w:eastAsia="Calibri" w:hAnsi="Verdana" w:cs="Arial"/>
          <w:lang w:val="es-ES" w:eastAsia="es-ES"/>
        </w:rPr>
        <w:t>agosto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 xml:space="preserve">mediante </w:t>
      </w:r>
      <w:r w:rsidRPr="006730E9">
        <w:rPr>
          <w:rFonts w:ascii="Verdana" w:eastAsia="Calibri" w:hAnsi="Verdana" w:cs="Arial"/>
          <w:lang w:val="es-ES" w:eastAsia="es-ES"/>
        </w:rPr>
        <w:t>la</w:t>
      </w:r>
      <w:r>
        <w:rPr>
          <w:rFonts w:ascii="Verdana" w:eastAsia="Calibri" w:hAnsi="Verdana" w:cs="Arial"/>
          <w:lang w:val="es-ES" w:eastAsia="es-ES"/>
        </w:rPr>
        <w:t>s</w:t>
      </w:r>
      <w:r w:rsidRPr="006730E9">
        <w:rPr>
          <w:rFonts w:ascii="Verdana" w:eastAsia="Calibri" w:hAnsi="Verdana" w:cs="Arial"/>
          <w:lang w:val="es-ES" w:eastAsia="es-ES"/>
        </w:rPr>
        <w:t xml:space="preserve"> cual</w:t>
      </w:r>
      <w:r>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68038FAC" w14:textId="77777777" w:rsidR="00E06A34" w:rsidRPr="00326382" w:rsidRDefault="00E06A34" w:rsidP="00E06A34">
      <w:pPr>
        <w:spacing w:after="0" w:line="240" w:lineRule="auto"/>
        <w:ind w:left="709" w:right="474"/>
        <w:jc w:val="both"/>
        <w:rPr>
          <w:rFonts w:ascii="Verdana" w:hAnsi="Verdana" w:cs="Arial"/>
          <w:sz w:val="20"/>
          <w:szCs w:val="20"/>
          <w:shd w:val="clear" w:color="auto" w:fill="FFFFFF"/>
        </w:rPr>
      </w:pPr>
      <w:bookmarkStart w:id="3" w:name="_Hlk95313578"/>
    </w:p>
    <w:bookmarkEnd w:id="3"/>
    <w:p w14:paraId="677088FA" w14:textId="77777777" w:rsidR="00B86B52" w:rsidRDefault="00E06A34" w:rsidP="00B86B52">
      <w:pPr>
        <w:pStyle w:val="Prrafodelista"/>
        <w:tabs>
          <w:tab w:val="left" w:pos="142"/>
          <w:tab w:val="left" w:pos="284"/>
        </w:tabs>
        <w:ind w:left="709" w:right="709"/>
        <w:jc w:val="both"/>
        <w:rPr>
          <w:rFonts w:ascii="Verdana" w:hAnsi="Verdana"/>
          <w:sz w:val="20"/>
          <w:szCs w:val="20"/>
        </w:rPr>
      </w:pPr>
      <w:r w:rsidRPr="002D72ED">
        <w:rPr>
          <w:rFonts w:ascii="Verdana" w:eastAsia="Century Gothic" w:hAnsi="Verdana" w:cs="Century Gothic"/>
          <w:lang w:val="es-CO"/>
        </w:rPr>
        <w:t>“(…)</w:t>
      </w:r>
      <w:r w:rsidRPr="00901F2E">
        <w:rPr>
          <w:rFonts w:ascii="Verdana" w:hAnsi="Verdana"/>
          <w:sz w:val="20"/>
          <w:szCs w:val="20"/>
        </w:rPr>
        <w:t xml:space="preserve"> En materia de garantías, de acuerdo con el Decreto 1082 de 2015, el principio de indivisibilidad es la regla general. Sin embargo, para el caso de contratos cuyo plazo de ejecución supere los cinco años, la Entidad contratante puede exigir una garantía para cada periodo específico de la ejecución contractual. </w:t>
      </w:r>
    </w:p>
    <w:p w14:paraId="5128FA2E" w14:textId="7721D18A" w:rsidR="00E06A34" w:rsidRPr="00B86B52" w:rsidRDefault="00E06A34" w:rsidP="00B86B52">
      <w:pPr>
        <w:pStyle w:val="Prrafodelista"/>
        <w:tabs>
          <w:tab w:val="left" w:pos="142"/>
          <w:tab w:val="left" w:pos="284"/>
        </w:tabs>
        <w:ind w:left="709" w:right="709"/>
        <w:jc w:val="both"/>
        <w:rPr>
          <w:rFonts w:ascii="Verdana" w:hAnsi="Verdana"/>
          <w:sz w:val="20"/>
          <w:szCs w:val="20"/>
        </w:rPr>
      </w:pPr>
      <w:r w:rsidRPr="00B86B52">
        <w:rPr>
          <w:rFonts w:ascii="Verdana" w:hAnsi="Verdana"/>
          <w:sz w:val="20"/>
          <w:szCs w:val="20"/>
        </w:rPr>
        <w:t xml:space="preserve">Así las cosas, solicito a COLOMBIA COMPRA EFICIENTE, por favor explicar en qué consiste el principio de indivisibilidad de las garantías y cómo se aplica en la práctica. </w:t>
      </w:r>
    </w:p>
    <w:p w14:paraId="5EADA97D" w14:textId="77777777" w:rsidR="00E06A34" w:rsidRDefault="00E06A34" w:rsidP="00E06A34">
      <w:pPr>
        <w:pStyle w:val="Prrafodelista"/>
        <w:tabs>
          <w:tab w:val="left" w:pos="142"/>
          <w:tab w:val="left" w:pos="284"/>
        </w:tabs>
        <w:spacing w:line="240" w:lineRule="auto"/>
        <w:ind w:left="709" w:right="709"/>
        <w:jc w:val="both"/>
        <w:rPr>
          <w:rFonts w:ascii="Verdana" w:hAnsi="Verdana"/>
          <w:sz w:val="20"/>
          <w:szCs w:val="20"/>
        </w:rPr>
      </w:pPr>
      <w:r w:rsidRPr="00901F2E">
        <w:rPr>
          <w:rFonts w:ascii="Verdana" w:hAnsi="Verdana"/>
          <w:sz w:val="20"/>
          <w:szCs w:val="20"/>
        </w:rPr>
        <w:lastRenderedPageBreak/>
        <w:t xml:space="preserve">Adicionalmente, solicito su concepto sobre la siguiente situación hipotética: </w:t>
      </w:r>
    </w:p>
    <w:p w14:paraId="474C0C28" w14:textId="77777777" w:rsidR="00E06A34" w:rsidRPr="00901F2E" w:rsidRDefault="00E06A34" w:rsidP="00E06A34">
      <w:pPr>
        <w:pStyle w:val="Prrafodelista"/>
        <w:tabs>
          <w:tab w:val="left" w:pos="142"/>
          <w:tab w:val="left" w:pos="284"/>
        </w:tabs>
        <w:spacing w:line="240" w:lineRule="auto"/>
        <w:ind w:left="709" w:right="709"/>
        <w:jc w:val="both"/>
        <w:rPr>
          <w:rFonts w:ascii="Verdana" w:hAnsi="Verdana"/>
          <w:sz w:val="20"/>
          <w:szCs w:val="20"/>
        </w:rPr>
      </w:pPr>
    </w:p>
    <w:p w14:paraId="4B7B3C03" w14:textId="77777777" w:rsidR="00E06A34" w:rsidRPr="00901F2E" w:rsidRDefault="00E06A34" w:rsidP="00E06A34">
      <w:pPr>
        <w:pStyle w:val="Prrafodelista"/>
        <w:tabs>
          <w:tab w:val="left" w:pos="142"/>
          <w:tab w:val="left" w:pos="284"/>
        </w:tabs>
        <w:spacing w:line="240" w:lineRule="auto"/>
        <w:ind w:left="709" w:right="709"/>
        <w:jc w:val="both"/>
        <w:rPr>
          <w:rFonts w:ascii="Verdana" w:hAnsi="Verdana"/>
          <w:sz w:val="20"/>
          <w:szCs w:val="20"/>
        </w:rPr>
      </w:pPr>
      <w:r w:rsidRPr="00901F2E">
        <w:rPr>
          <w:rFonts w:ascii="Verdana" w:hAnsi="Verdana"/>
          <w:sz w:val="20"/>
          <w:szCs w:val="20"/>
        </w:rPr>
        <w:t xml:space="preserve">Supóngase que una entidad pública celebró un contrato de concesión, en el cual se indicó que la fase de </w:t>
      </w:r>
      <w:proofErr w:type="spellStart"/>
      <w:r w:rsidRPr="00901F2E">
        <w:rPr>
          <w:rFonts w:ascii="Verdana" w:hAnsi="Verdana"/>
          <w:sz w:val="20"/>
          <w:szCs w:val="20"/>
        </w:rPr>
        <w:t>Preconstrucción</w:t>
      </w:r>
      <w:proofErr w:type="spellEnd"/>
      <w:r w:rsidRPr="00901F2E">
        <w:rPr>
          <w:rFonts w:ascii="Verdana" w:hAnsi="Verdana"/>
          <w:sz w:val="20"/>
          <w:szCs w:val="20"/>
        </w:rPr>
        <w:t xml:space="preserve"> (cuyo plazo de ejecución es de tres años) podría ser amparada por una póliza de responsabilidad civil extracontractual con una vigencia anual, la cual debía ser en su momento prorrogada. </w:t>
      </w:r>
    </w:p>
    <w:p w14:paraId="51BA24FE" w14:textId="77777777" w:rsidR="00E06A34" w:rsidRPr="00901F2E" w:rsidRDefault="00E06A34" w:rsidP="00E06A34">
      <w:pPr>
        <w:pStyle w:val="Prrafodelista"/>
        <w:tabs>
          <w:tab w:val="left" w:pos="142"/>
          <w:tab w:val="left" w:pos="284"/>
        </w:tabs>
        <w:spacing w:line="240" w:lineRule="auto"/>
        <w:ind w:left="709" w:right="709"/>
        <w:jc w:val="both"/>
        <w:rPr>
          <w:rFonts w:ascii="Verdana" w:hAnsi="Verdana"/>
          <w:sz w:val="20"/>
          <w:szCs w:val="20"/>
        </w:rPr>
      </w:pPr>
      <w:r w:rsidRPr="00901F2E">
        <w:rPr>
          <w:rFonts w:ascii="Verdana" w:hAnsi="Verdana"/>
          <w:sz w:val="20"/>
          <w:szCs w:val="20"/>
        </w:rPr>
        <w:t xml:space="preserve">En tal virtud, para la fase de </w:t>
      </w:r>
      <w:proofErr w:type="spellStart"/>
      <w:r w:rsidRPr="00901F2E">
        <w:rPr>
          <w:rFonts w:ascii="Verdana" w:hAnsi="Verdana"/>
          <w:sz w:val="20"/>
          <w:szCs w:val="20"/>
        </w:rPr>
        <w:t>preconstrucción</w:t>
      </w:r>
      <w:proofErr w:type="spellEnd"/>
      <w:r w:rsidRPr="00901F2E">
        <w:rPr>
          <w:rFonts w:ascii="Verdana" w:hAnsi="Verdana"/>
          <w:sz w:val="20"/>
          <w:szCs w:val="20"/>
        </w:rPr>
        <w:t xml:space="preserve">, el concesionario constituyó una póliza de responsabilidad civil extracontractual. Sin embargo, el concesionario para amparar la tercera y última </w:t>
      </w:r>
      <w:proofErr w:type="gramStart"/>
      <w:r w:rsidRPr="00901F2E">
        <w:rPr>
          <w:rFonts w:ascii="Verdana" w:hAnsi="Verdana"/>
          <w:sz w:val="20"/>
          <w:szCs w:val="20"/>
        </w:rPr>
        <w:t>anualidad,</w:t>
      </w:r>
      <w:proofErr w:type="gramEnd"/>
      <w:r w:rsidRPr="00901F2E">
        <w:rPr>
          <w:rFonts w:ascii="Verdana" w:hAnsi="Verdana"/>
          <w:sz w:val="20"/>
          <w:szCs w:val="20"/>
        </w:rPr>
        <w:t xml:space="preserve"> constituyó una póliza distinta de la que originalmente fue constituida para amparar dicha fase de la ejecución contractual. </w:t>
      </w:r>
    </w:p>
    <w:p w14:paraId="6D29FF4F" w14:textId="77777777" w:rsidR="00E06A34" w:rsidRPr="00901F2E" w:rsidRDefault="00E06A34" w:rsidP="00E06A34">
      <w:pPr>
        <w:pStyle w:val="Prrafodelista"/>
        <w:tabs>
          <w:tab w:val="left" w:pos="142"/>
          <w:tab w:val="left" w:pos="284"/>
        </w:tabs>
        <w:spacing w:line="240" w:lineRule="auto"/>
        <w:ind w:left="709" w:right="709"/>
        <w:jc w:val="both"/>
        <w:rPr>
          <w:rFonts w:ascii="Verdana" w:hAnsi="Verdana"/>
          <w:sz w:val="20"/>
          <w:szCs w:val="20"/>
        </w:rPr>
      </w:pPr>
      <w:r w:rsidRPr="00901F2E">
        <w:rPr>
          <w:rFonts w:ascii="Verdana" w:hAnsi="Verdana"/>
          <w:sz w:val="20"/>
          <w:szCs w:val="20"/>
        </w:rPr>
        <w:t xml:space="preserve">Así las cosas, se consulta lo siguiente: </w:t>
      </w:r>
    </w:p>
    <w:p w14:paraId="7F346E22" w14:textId="77777777" w:rsidR="00E06A34" w:rsidRPr="00901F2E" w:rsidRDefault="00E06A34" w:rsidP="00E06A34">
      <w:pPr>
        <w:pStyle w:val="Prrafodelista"/>
        <w:numPr>
          <w:ilvl w:val="0"/>
          <w:numId w:val="18"/>
        </w:numPr>
        <w:tabs>
          <w:tab w:val="left" w:pos="142"/>
          <w:tab w:val="left" w:pos="284"/>
        </w:tabs>
        <w:spacing w:line="240" w:lineRule="auto"/>
        <w:ind w:right="709"/>
        <w:jc w:val="both"/>
        <w:rPr>
          <w:rFonts w:ascii="Verdana" w:hAnsi="Verdana"/>
          <w:sz w:val="20"/>
          <w:szCs w:val="20"/>
        </w:rPr>
      </w:pPr>
      <w:r w:rsidRPr="00901F2E">
        <w:rPr>
          <w:rFonts w:ascii="Verdana" w:hAnsi="Verdana"/>
          <w:sz w:val="20"/>
          <w:szCs w:val="20"/>
        </w:rPr>
        <w:t xml:space="preserve">¿Es procedente que la entidad considere admisible dicha póliza, de modo que la fase quede amparada por dos pólizas? </w:t>
      </w:r>
    </w:p>
    <w:p w14:paraId="1972190C" w14:textId="77777777" w:rsidR="00E06A34" w:rsidRPr="00901F2E" w:rsidRDefault="00E06A34" w:rsidP="00E06A34">
      <w:pPr>
        <w:pStyle w:val="Prrafodelista"/>
        <w:numPr>
          <w:ilvl w:val="0"/>
          <w:numId w:val="18"/>
        </w:numPr>
        <w:tabs>
          <w:tab w:val="left" w:pos="142"/>
          <w:tab w:val="left" w:pos="284"/>
        </w:tabs>
        <w:spacing w:line="240" w:lineRule="auto"/>
        <w:ind w:right="709"/>
        <w:jc w:val="both"/>
        <w:rPr>
          <w:rFonts w:ascii="Verdana" w:hAnsi="Verdana"/>
          <w:sz w:val="20"/>
          <w:szCs w:val="20"/>
        </w:rPr>
      </w:pPr>
      <w:r w:rsidRPr="00901F2E">
        <w:rPr>
          <w:rFonts w:ascii="Verdana" w:hAnsi="Verdana"/>
          <w:sz w:val="20"/>
          <w:szCs w:val="20"/>
        </w:rPr>
        <w:t xml:space="preserve">¿Es además procedente que las dos pólizas tengan vigencias coexistentes, es decir, que amparen los mismos periodos de tiempo? </w:t>
      </w:r>
    </w:p>
    <w:p w14:paraId="49379D3A" w14:textId="77777777" w:rsidR="00E06A34" w:rsidRPr="00017B0F" w:rsidRDefault="00E06A34" w:rsidP="00E06A34">
      <w:pPr>
        <w:pStyle w:val="Prrafodelista"/>
        <w:tabs>
          <w:tab w:val="left" w:pos="142"/>
          <w:tab w:val="left" w:pos="284"/>
        </w:tabs>
        <w:spacing w:line="240" w:lineRule="auto"/>
        <w:ind w:left="709" w:right="709"/>
        <w:jc w:val="both"/>
        <w:rPr>
          <w:rFonts w:ascii="Verdana" w:hAnsi="Verdana"/>
          <w:sz w:val="20"/>
          <w:szCs w:val="20"/>
        </w:rPr>
      </w:pPr>
    </w:p>
    <w:p w14:paraId="759798ED" w14:textId="77777777" w:rsidR="00E06A34" w:rsidRPr="002D72ED" w:rsidRDefault="00E06A34" w:rsidP="00E06A34">
      <w:pPr>
        <w:pStyle w:val="Prrafodelista"/>
        <w:tabs>
          <w:tab w:val="left" w:pos="142"/>
          <w:tab w:val="left" w:pos="284"/>
        </w:tabs>
        <w:ind w:left="709" w:right="709"/>
        <w:jc w:val="both"/>
        <w:rPr>
          <w:rFonts w:ascii="Verdana" w:hAnsi="Verdana"/>
        </w:rPr>
      </w:pPr>
      <w:r w:rsidRPr="002D72ED">
        <w:rPr>
          <w:rFonts w:ascii="Verdana" w:hAnsi="Verdana"/>
          <w:lang w:val="es-CO"/>
        </w:rPr>
        <w:t xml:space="preserve"> </w:t>
      </w:r>
      <w:r w:rsidRPr="002D72ED">
        <w:rPr>
          <w:rFonts w:ascii="Verdana" w:eastAsia="Century Gothic" w:hAnsi="Verdana" w:cs="Century Gothic"/>
          <w:lang w:val="es-CO"/>
        </w:rPr>
        <w:t>(…)</w:t>
      </w:r>
    </w:p>
    <w:p w14:paraId="53D2BAA7" w14:textId="34B91F0D" w:rsidR="00E06A34" w:rsidRPr="00AA3B9F" w:rsidRDefault="00E06A34" w:rsidP="3FE39249">
      <w:pPr>
        <w:spacing w:after="120" w:line="276" w:lineRule="auto"/>
        <w:ind w:firstLine="709"/>
        <w:jc w:val="both"/>
        <w:rPr>
          <w:rFonts w:ascii="Verdana" w:eastAsia="Calibri" w:hAnsi="Verdana" w:cs="Arial"/>
          <w:lang w:val="es-ES" w:eastAsia="es-ES"/>
        </w:rPr>
      </w:pPr>
      <w:r w:rsidRPr="2B7F4B3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Estatales o de los demás participantes de la contratación pública. Esta competencia de interpretación de normas generales, por definición, no puede extenderse a la resolución de controversias, ni a brindar asesorías sobre casos puntuales.</w:t>
      </w:r>
    </w:p>
    <w:p w14:paraId="564F6A90" w14:textId="77777777" w:rsidR="00E06A34" w:rsidRDefault="00E06A34" w:rsidP="00E06A34">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w:t>
      </w:r>
      <w:r>
        <w:rPr>
          <w:rFonts w:ascii="Verdana" w:eastAsia="Calibri" w:hAnsi="Verdana" w:cs="Arial"/>
          <w:lang w:val="es-ES" w:eastAsia="es-ES"/>
        </w:rPr>
        <w:t>s</w:t>
      </w:r>
      <w:r w:rsidRPr="00AA3B9F">
        <w:rPr>
          <w:rFonts w:ascii="Verdana" w:eastAsia="Calibri" w:hAnsi="Verdana" w:cs="Arial"/>
          <w:lang w:val="es-ES" w:eastAsia="es-ES"/>
        </w:rPr>
        <w:t xml:space="preserve"> peticion</w:t>
      </w:r>
      <w:r>
        <w:rPr>
          <w:rFonts w:ascii="Verdana" w:eastAsia="Calibri" w:hAnsi="Verdana" w:cs="Arial"/>
          <w:lang w:val="es-ES" w:eastAsia="es-ES"/>
        </w:rPr>
        <w:t>es</w:t>
      </w:r>
      <w:r w:rsidRPr="00AA3B9F">
        <w:rPr>
          <w:rFonts w:ascii="Verdana" w:eastAsia="Calibri" w:hAnsi="Verdana" w:cs="Arial"/>
          <w:lang w:val="es-ES" w:eastAsia="es-ES"/>
        </w:rPr>
        <w:t>, pero haciendo unas consideraciones sobre las normas generales relacionadas con los problemas jurídicos de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w:t>
      </w:r>
    </w:p>
    <w:p w14:paraId="3FB8049B" w14:textId="77777777" w:rsidR="00E06A34" w:rsidRPr="00AA3B9F" w:rsidRDefault="00E06A34" w:rsidP="00E06A34">
      <w:pPr>
        <w:spacing w:after="0" w:line="276" w:lineRule="auto"/>
        <w:ind w:firstLine="709"/>
        <w:jc w:val="both"/>
        <w:rPr>
          <w:rFonts w:ascii="Verdana" w:eastAsia="Calibri" w:hAnsi="Verdana" w:cs="Arial"/>
          <w:lang w:val="es-ES" w:eastAsia="es-ES"/>
        </w:rPr>
      </w:pPr>
    </w:p>
    <w:p w14:paraId="11959689" w14:textId="77777777" w:rsidR="00E06A34" w:rsidRPr="00593A5F" w:rsidRDefault="00E06A34" w:rsidP="00E06A3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 xml:space="preserve">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32BCD2A6" w14:textId="77777777" w:rsidR="00E06A34" w:rsidRPr="00593A5F" w:rsidRDefault="00E06A34" w:rsidP="00E06A34">
      <w:pPr>
        <w:tabs>
          <w:tab w:val="left" w:pos="426"/>
        </w:tabs>
        <w:spacing w:after="0" w:line="276" w:lineRule="auto"/>
        <w:jc w:val="both"/>
        <w:rPr>
          <w:rFonts w:ascii="Verdana" w:eastAsia="Century Gothic" w:hAnsi="Verdana" w:cs="Century Gothic"/>
          <w:lang w:val="es-ES"/>
        </w:rPr>
      </w:pPr>
    </w:p>
    <w:p w14:paraId="10E9EBB8" w14:textId="77777777" w:rsidR="00E06A34" w:rsidRPr="008A574A" w:rsidRDefault="00E06A34" w:rsidP="00E06A34">
      <w:pPr>
        <w:pStyle w:val="Prrafodelista"/>
        <w:ind w:left="0" w:right="49"/>
        <w:jc w:val="both"/>
        <w:rPr>
          <w:rFonts w:ascii="Verdana" w:eastAsia="Century Gothic" w:hAnsi="Verdana" w:cs="Century Gothic"/>
        </w:rPr>
      </w:pPr>
      <w:r w:rsidRPr="008A574A">
        <w:rPr>
          <w:rFonts w:ascii="Verdana" w:eastAsia="Century Gothic" w:hAnsi="Verdana" w:cs="Century Gothic"/>
        </w:rPr>
        <w:t xml:space="preserve">De acuerdo con el contenido de su solicitud, </w:t>
      </w:r>
      <w:r>
        <w:rPr>
          <w:rFonts w:ascii="Verdana" w:eastAsia="Century Gothic" w:hAnsi="Verdana" w:cs="Century Gothic"/>
        </w:rPr>
        <w:t>p</w:t>
      </w:r>
      <w:r w:rsidRPr="000A6A50">
        <w:rPr>
          <w:rFonts w:ascii="Verdana" w:hAnsi="Verdana"/>
        </w:rPr>
        <w:t xml:space="preserve">ara absolver </w:t>
      </w:r>
      <w:r>
        <w:rPr>
          <w:rFonts w:ascii="Verdana" w:hAnsi="Verdana"/>
        </w:rPr>
        <w:t>los</w:t>
      </w:r>
      <w:r w:rsidRPr="000A6A50">
        <w:rPr>
          <w:rFonts w:ascii="Verdana" w:hAnsi="Verdana"/>
        </w:rPr>
        <w:t xml:space="preserve"> interrogante</w:t>
      </w:r>
      <w:r>
        <w:rPr>
          <w:rFonts w:ascii="Verdana" w:hAnsi="Verdana"/>
        </w:rPr>
        <w:t>s</w:t>
      </w:r>
      <w:r w:rsidRPr="000A6A50">
        <w:rPr>
          <w:rFonts w:ascii="Verdana" w:hAnsi="Verdana"/>
        </w:rPr>
        <w:t xml:space="preserve"> formulado</w:t>
      </w:r>
      <w:r>
        <w:rPr>
          <w:rFonts w:ascii="Verdana" w:hAnsi="Verdana"/>
        </w:rPr>
        <w:t>s</w:t>
      </w:r>
      <w:r w:rsidRPr="000A6A50">
        <w:rPr>
          <w:rFonts w:ascii="Verdana" w:hAnsi="Verdana"/>
        </w:rPr>
        <w:t xml:space="preserve">, esta dependencia analizará los siguientes temas: i) las garantías en la contratación estatal y </w:t>
      </w:r>
      <w:proofErr w:type="spellStart"/>
      <w:r w:rsidRPr="000A6A50">
        <w:rPr>
          <w:rFonts w:ascii="Verdana" w:hAnsi="Verdana"/>
        </w:rPr>
        <w:t>ii</w:t>
      </w:r>
      <w:proofErr w:type="spellEnd"/>
      <w:r w:rsidRPr="000A6A50">
        <w:rPr>
          <w:rFonts w:ascii="Verdana" w:hAnsi="Verdana"/>
        </w:rPr>
        <w:t>) el principio de indivisibilidad de la garantía.</w:t>
      </w:r>
    </w:p>
    <w:p w14:paraId="7904BB45" w14:textId="77777777" w:rsidR="00E06A34" w:rsidRDefault="00E06A34" w:rsidP="00E06A34">
      <w:pPr>
        <w:pStyle w:val="Prrafodelista"/>
        <w:ind w:left="0" w:right="49"/>
        <w:jc w:val="both"/>
        <w:rPr>
          <w:rFonts w:ascii="Verdana" w:eastAsia="Century Gothic" w:hAnsi="Verdana" w:cs="Century Gothic"/>
          <w:lang w:val="es-CO"/>
        </w:rPr>
      </w:pPr>
    </w:p>
    <w:p w14:paraId="45914692" w14:textId="77777777" w:rsidR="00E06A34" w:rsidRPr="00593A5F" w:rsidRDefault="00E06A34" w:rsidP="2E977A0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2E977A0E">
        <w:rPr>
          <w:rFonts w:ascii="Verdana" w:eastAsia="Century Gothic" w:hAnsi="Verdana" w:cs="Century Gothic"/>
          <w:b/>
          <w:bCs/>
        </w:rPr>
        <w:t>Respuesta:</w:t>
      </w:r>
    </w:p>
    <w:p w14:paraId="714D164B" w14:textId="77777777" w:rsidR="00E06A34" w:rsidRPr="00593A5F" w:rsidRDefault="00E06A34" w:rsidP="00E06A3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6A34" w:rsidRPr="00593A5F" w14:paraId="3945D8EA" w14:textId="77777777" w:rsidTr="2B7F4B36">
        <w:tc>
          <w:tcPr>
            <w:tcW w:w="8828" w:type="dxa"/>
          </w:tcPr>
          <w:p w14:paraId="355D317C" w14:textId="286FEC3A" w:rsidR="00E06A34" w:rsidRPr="00C31767" w:rsidRDefault="00E06A34" w:rsidP="0076554B">
            <w:pPr>
              <w:spacing w:before="120" w:line="276" w:lineRule="auto"/>
              <w:ind w:firstLine="708"/>
              <w:jc w:val="both"/>
              <w:rPr>
                <w:rFonts w:ascii="Verdana" w:hAnsi="Verdana" w:cs="Arial"/>
                <w:color w:val="000000" w:themeColor="text1"/>
                <w:lang w:eastAsia="es-CO"/>
              </w:rPr>
            </w:pPr>
            <w:r w:rsidRPr="73179A01">
              <w:rPr>
                <w:rFonts w:ascii="Verdana" w:eastAsia="Calibri" w:hAnsi="Verdana" w:cs="Arial"/>
                <w:lang w:val="es-ES"/>
              </w:rPr>
              <w:t xml:space="preserve">I. </w:t>
            </w:r>
            <w:r w:rsidRPr="73179A01">
              <w:rPr>
                <w:rFonts w:ascii="Verdana" w:hAnsi="Verdana" w:cs="Arial"/>
                <w:color w:val="000000" w:themeColor="text1"/>
                <w:lang w:val="es-MX"/>
              </w:rPr>
              <w:t>El artículo 2.2.1.2.3.1.3</w:t>
            </w:r>
            <w:r w:rsidR="001F1DC6">
              <w:rPr>
                <w:rFonts w:ascii="Verdana" w:hAnsi="Verdana" w:cs="Arial"/>
                <w:color w:val="000000" w:themeColor="text1"/>
                <w:lang w:val="es-MX"/>
              </w:rPr>
              <w:t xml:space="preserve"> del Decreto 1082 de 2015 </w:t>
            </w:r>
            <w:r w:rsidR="00CF5AD7">
              <w:rPr>
                <w:rFonts w:ascii="Verdana" w:hAnsi="Verdana" w:cs="Arial"/>
                <w:color w:val="000000" w:themeColor="text1"/>
                <w:lang w:val="es-MX"/>
              </w:rPr>
              <w:t>que</w:t>
            </w:r>
            <w:r w:rsidR="00CF5AD7" w:rsidRPr="73179A01">
              <w:rPr>
                <w:rFonts w:ascii="Verdana" w:hAnsi="Verdana" w:cs="Arial"/>
                <w:color w:val="000000" w:themeColor="text1"/>
                <w:lang w:val="es-MX"/>
              </w:rPr>
              <w:t xml:space="preserve"> establece</w:t>
            </w:r>
            <w:r w:rsidRPr="73179A01">
              <w:rPr>
                <w:rFonts w:ascii="Verdana" w:hAnsi="Verdana" w:cs="Arial"/>
                <w:color w:val="000000" w:themeColor="text1"/>
                <w:lang w:val="es-MX"/>
              </w:rPr>
              <w:t xml:space="preserv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anticipo; </w:t>
            </w:r>
            <w:proofErr w:type="spellStart"/>
            <w:r w:rsidRPr="73179A01">
              <w:rPr>
                <w:rFonts w:ascii="Verdana" w:hAnsi="Verdana" w:cs="Arial"/>
                <w:color w:val="000000" w:themeColor="text1"/>
                <w:lang w:val="es-MX"/>
              </w:rPr>
              <w:t>ii</w:t>
            </w:r>
            <w:proofErr w:type="spellEnd"/>
            <w:r w:rsidRPr="73179A01">
              <w:rPr>
                <w:rFonts w:ascii="Verdana" w:hAnsi="Verdana" w:cs="Arial"/>
                <w:color w:val="000000" w:themeColor="text1"/>
                <w:lang w:val="es-MX"/>
              </w:rPr>
              <w:t xml:space="preserve">) la devolución del pago anticipado; </w:t>
            </w:r>
            <w:proofErr w:type="spellStart"/>
            <w:r w:rsidRPr="73179A01">
              <w:rPr>
                <w:rFonts w:ascii="Verdana" w:hAnsi="Verdana" w:cs="Arial"/>
                <w:color w:val="000000" w:themeColor="text1"/>
                <w:lang w:val="es-MX"/>
              </w:rPr>
              <w:t>iii</w:t>
            </w:r>
            <w:proofErr w:type="spellEnd"/>
            <w:r w:rsidRPr="73179A01">
              <w:rPr>
                <w:rFonts w:ascii="Verdana" w:hAnsi="Verdana" w:cs="Arial"/>
                <w:color w:val="000000" w:themeColor="text1"/>
                <w:lang w:val="es-MX"/>
              </w:rPr>
              <w:t xml:space="preserve">) cumplimiento del contrato; </w:t>
            </w:r>
            <w:proofErr w:type="spellStart"/>
            <w:r w:rsidRPr="73179A01">
              <w:rPr>
                <w:rFonts w:ascii="Verdana" w:hAnsi="Verdana" w:cs="Arial"/>
                <w:color w:val="000000" w:themeColor="text1"/>
                <w:lang w:val="es-MX"/>
              </w:rPr>
              <w:t>iv</w:t>
            </w:r>
            <w:proofErr w:type="spellEnd"/>
            <w:r w:rsidRPr="73179A01">
              <w:rPr>
                <w:rFonts w:ascii="Verdana" w:hAnsi="Verdana" w:cs="Arial"/>
                <w:color w:val="000000" w:themeColor="text1"/>
                <w:lang w:val="es-MX"/>
              </w:rPr>
              <w:t xml:space="preserve">) pago de salarios, prestaciones sociales legales e indemnizaciones laborales; v) estabilidad y calidad de la obra; vi) </w:t>
            </w:r>
            <w:r w:rsidRPr="73179A01">
              <w:rPr>
                <w:rFonts w:ascii="Verdana" w:hAnsi="Verdana" w:cs="Arial"/>
                <w:color w:val="000000" w:themeColor="text1"/>
                <w:lang w:eastAsia="es-CO"/>
              </w:rPr>
              <w:t xml:space="preserve">calidad del servicio; </w:t>
            </w:r>
            <w:proofErr w:type="spellStart"/>
            <w:r w:rsidRPr="73179A01">
              <w:rPr>
                <w:rFonts w:ascii="Verdana" w:hAnsi="Verdana" w:cs="Arial"/>
                <w:color w:val="000000" w:themeColor="text1"/>
                <w:lang w:eastAsia="es-CO"/>
              </w:rPr>
              <w:t>vii</w:t>
            </w:r>
            <w:proofErr w:type="spellEnd"/>
            <w:r w:rsidRPr="73179A01">
              <w:rPr>
                <w:rFonts w:ascii="Verdana" w:hAnsi="Verdana" w:cs="Arial"/>
                <w:color w:val="000000" w:themeColor="text1"/>
                <w:lang w:eastAsia="es-CO"/>
              </w:rPr>
              <w:t xml:space="preserve">) calidad y correcto funcionamiento de los bienes; y </w:t>
            </w:r>
            <w:proofErr w:type="spellStart"/>
            <w:r w:rsidRPr="73179A01">
              <w:rPr>
                <w:rFonts w:ascii="Verdana" w:hAnsi="Verdana" w:cs="Arial"/>
                <w:color w:val="000000" w:themeColor="text1"/>
                <w:lang w:eastAsia="es-CO"/>
              </w:rPr>
              <w:t>viii</w:t>
            </w:r>
            <w:proofErr w:type="spellEnd"/>
            <w:r w:rsidRPr="73179A01">
              <w:rPr>
                <w:rFonts w:ascii="Verdana" w:hAnsi="Verdana" w:cs="Arial"/>
                <w:color w:val="000000" w:themeColor="text1"/>
                <w:lang w:eastAsia="es-CO"/>
              </w:rPr>
              <w:t xml:space="preserve">)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 </w:t>
            </w:r>
            <w:r w:rsidR="007B3447" w:rsidRPr="007B3447">
              <w:rPr>
                <w:rFonts w:ascii="Verdana" w:hAnsi="Verdana" w:cs="Arial"/>
                <w:color w:val="000000" w:themeColor="text1"/>
                <w:lang w:eastAsia="es-CO"/>
              </w:rPr>
              <w:t xml:space="preserve">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anticipo; </w:t>
            </w:r>
            <w:proofErr w:type="spellStart"/>
            <w:r w:rsidR="007B3447" w:rsidRPr="007B3447">
              <w:rPr>
                <w:rFonts w:ascii="Verdana" w:hAnsi="Verdana" w:cs="Arial"/>
                <w:color w:val="000000" w:themeColor="text1"/>
                <w:lang w:eastAsia="es-CO"/>
              </w:rPr>
              <w:t>ii</w:t>
            </w:r>
            <w:proofErr w:type="spellEnd"/>
            <w:r w:rsidR="007B3447" w:rsidRPr="007B3447">
              <w:rPr>
                <w:rFonts w:ascii="Verdana" w:hAnsi="Verdana" w:cs="Arial"/>
                <w:color w:val="000000" w:themeColor="text1"/>
                <w:lang w:eastAsia="es-CO"/>
              </w:rPr>
              <w:t xml:space="preserve">) la devolución del pago anticipado; </w:t>
            </w:r>
            <w:proofErr w:type="spellStart"/>
            <w:r w:rsidR="007B3447" w:rsidRPr="007B3447">
              <w:rPr>
                <w:rFonts w:ascii="Verdana" w:hAnsi="Verdana" w:cs="Arial"/>
                <w:color w:val="000000" w:themeColor="text1"/>
                <w:lang w:eastAsia="es-CO"/>
              </w:rPr>
              <w:t>iii</w:t>
            </w:r>
            <w:proofErr w:type="spellEnd"/>
            <w:r w:rsidR="007B3447" w:rsidRPr="007B3447">
              <w:rPr>
                <w:rFonts w:ascii="Verdana" w:hAnsi="Verdana" w:cs="Arial"/>
                <w:color w:val="000000" w:themeColor="text1"/>
                <w:lang w:eastAsia="es-CO"/>
              </w:rPr>
              <w:t xml:space="preserve">) cumplimiento del contrato; </w:t>
            </w:r>
            <w:proofErr w:type="spellStart"/>
            <w:r w:rsidR="007B3447" w:rsidRPr="007B3447">
              <w:rPr>
                <w:rFonts w:ascii="Verdana" w:hAnsi="Verdana" w:cs="Arial"/>
                <w:color w:val="000000" w:themeColor="text1"/>
                <w:lang w:eastAsia="es-CO"/>
              </w:rPr>
              <w:t>iv</w:t>
            </w:r>
            <w:proofErr w:type="spellEnd"/>
            <w:r w:rsidR="007B3447" w:rsidRPr="007B3447">
              <w:rPr>
                <w:rFonts w:ascii="Verdana" w:hAnsi="Verdana" w:cs="Arial"/>
                <w:color w:val="000000" w:themeColor="text1"/>
                <w:lang w:eastAsia="es-CO"/>
              </w:rPr>
              <w:t xml:space="preserve">) pago de salarios, prestaciones sociales legales e indemnizaciones laborales; v) estabilidad y calidad de la obra; vi) calidad del servicio; </w:t>
            </w:r>
            <w:proofErr w:type="spellStart"/>
            <w:r w:rsidR="007B3447" w:rsidRPr="007B3447">
              <w:rPr>
                <w:rFonts w:ascii="Verdana" w:hAnsi="Verdana" w:cs="Arial"/>
                <w:color w:val="000000" w:themeColor="text1"/>
                <w:lang w:eastAsia="es-CO"/>
              </w:rPr>
              <w:t>vii</w:t>
            </w:r>
            <w:proofErr w:type="spellEnd"/>
            <w:r w:rsidR="007B3447" w:rsidRPr="007B3447">
              <w:rPr>
                <w:rFonts w:ascii="Verdana" w:hAnsi="Verdana" w:cs="Arial"/>
                <w:color w:val="000000" w:themeColor="text1"/>
                <w:lang w:eastAsia="es-CO"/>
              </w:rPr>
              <w:t xml:space="preserve">) calidad y correcto funcionamiento de los bienes; y </w:t>
            </w:r>
            <w:proofErr w:type="spellStart"/>
            <w:r w:rsidR="007B3447" w:rsidRPr="007B3447">
              <w:rPr>
                <w:rFonts w:ascii="Verdana" w:hAnsi="Verdana" w:cs="Arial"/>
                <w:color w:val="000000" w:themeColor="text1"/>
                <w:lang w:eastAsia="es-CO"/>
              </w:rPr>
              <w:t>viii</w:t>
            </w:r>
            <w:proofErr w:type="spellEnd"/>
            <w:r w:rsidR="007B3447" w:rsidRPr="007B3447">
              <w:rPr>
                <w:rFonts w:ascii="Verdana" w:hAnsi="Verdana" w:cs="Arial"/>
                <w:color w:val="000000" w:themeColor="text1"/>
                <w:lang w:eastAsia="es-CO"/>
              </w:rPr>
              <w:t>)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w:t>
            </w:r>
            <w:r w:rsidRPr="73179A01">
              <w:rPr>
                <w:rFonts w:ascii="Verdana" w:hAnsi="Verdana" w:cs="Arial"/>
                <w:color w:val="000000" w:themeColor="text1"/>
                <w:lang w:eastAsia="es-CO"/>
              </w:rPr>
              <w:t xml:space="preserve">  </w:t>
            </w:r>
          </w:p>
          <w:p w14:paraId="15761DF1" w14:textId="77777777" w:rsidR="008F6753" w:rsidRDefault="008F6753" w:rsidP="0076554B">
            <w:pPr>
              <w:spacing w:before="120" w:line="276" w:lineRule="auto"/>
              <w:ind w:firstLine="708"/>
              <w:jc w:val="both"/>
              <w:rPr>
                <w:rFonts w:ascii="Verdana" w:hAnsi="Verdana" w:cs="Arial"/>
                <w:color w:val="000000" w:themeColor="text1"/>
                <w:lang w:val="es-MX"/>
              </w:rPr>
            </w:pPr>
            <w:r w:rsidRPr="008F6753">
              <w:rPr>
                <w:rFonts w:ascii="Verdana" w:hAnsi="Verdana" w:cs="Arial"/>
                <w:color w:val="000000" w:themeColor="text1"/>
              </w:rPr>
              <w:lastRenderedPageBreak/>
              <w:t>(1.000.000) de S.M.M.L.V., estableciendo otros mínimos para el valor de las pólizas en contratos con montos superiores.</w:t>
            </w:r>
            <w:r w:rsidRPr="008F6753">
              <w:rPr>
                <w:rFonts w:ascii="Verdana" w:hAnsi="Verdana" w:cs="Arial"/>
                <w:color w:val="000000" w:themeColor="text1"/>
                <w:lang w:val="es-MX"/>
              </w:rPr>
              <w:t xml:space="preserve"> </w:t>
            </w:r>
          </w:p>
          <w:p w14:paraId="53402DCC" w14:textId="07F9CE90" w:rsidR="00E06A34" w:rsidRPr="00C31767" w:rsidRDefault="00E06A34" w:rsidP="0076554B">
            <w:pPr>
              <w:spacing w:before="120" w:line="276" w:lineRule="auto"/>
              <w:ind w:firstLine="708"/>
              <w:jc w:val="both"/>
              <w:rPr>
                <w:rFonts w:ascii="Verdana" w:hAnsi="Verdana" w:cs="Arial"/>
                <w:color w:val="000000" w:themeColor="text1"/>
              </w:rPr>
            </w:pPr>
            <w:r w:rsidRPr="00C31767">
              <w:rPr>
                <w:rFonts w:ascii="Verdana" w:hAnsi="Verdana" w:cs="Arial"/>
                <w:color w:val="000000" w:themeColor="text1"/>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C31767">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C31767">
              <w:rPr>
                <w:rFonts w:ascii="Verdana" w:eastAsia="Calibri" w:hAnsi="Verdana" w:cs="Arial"/>
              </w:rPr>
              <w:t xml:space="preserve">. </w:t>
            </w:r>
          </w:p>
          <w:p w14:paraId="6029DD73" w14:textId="77777777" w:rsidR="00E06A34" w:rsidRPr="00620CDA" w:rsidRDefault="00E06A34" w:rsidP="0076554B">
            <w:pPr>
              <w:spacing w:before="120" w:after="120" w:line="276" w:lineRule="auto"/>
              <w:ind w:firstLine="709"/>
              <w:jc w:val="both"/>
              <w:rPr>
                <w:rFonts w:ascii="Verdana" w:hAnsi="Verdana" w:cs="Arial"/>
                <w:color w:val="000000" w:themeColor="text1"/>
                <w:lang w:val="es-ES"/>
              </w:rPr>
            </w:pPr>
            <w:r w:rsidRPr="001C5A52">
              <w:rPr>
                <w:rFonts w:ascii="Verdana" w:eastAsia="Calibri" w:hAnsi="Verdana" w:cs="Arial"/>
                <w:color w:val="000000" w:themeColor="text1"/>
                <w:lang w:val="es-ES" w:eastAsia="en-GB"/>
              </w:rPr>
              <w:t>La aprobación de las garantías no es un trámite accesorio, sino una condición sine qua non para que el contrato pueda ejecutarse. En efecto, la garantía aprobada por la entidad estatal constituye el respaldo jurídico y financiero que permite proteger el interés público frente a los riesgos inherentes al cumplimiento contractual. Esta aprobación implica una revisión técnica y jurídica rigurosa, que debe verificar la suficiencia del amparo, la vigencia, la identificación clara del tomador y beneficiario, y la inclusión de las condiciones generales exigidas por el reglamento</w:t>
            </w:r>
            <w:r>
              <w:rPr>
                <w:rFonts w:ascii="Verdana" w:eastAsia="Calibri" w:hAnsi="Verdana" w:cs="Arial"/>
                <w:color w:val="000000" w:themeColor="text1"/>
                <w:lang w:val="es-ES" w:eastAsia="en-GB"/>
              </w:rPr>
              <w:t xml:space="preserve"> tal y como se explicó en párrafos precedentes</w:t>
            </w:r>
            <w:r w:rsidRPr="001C5A52">
              <w:rPr>
                <w:rFonts w:ascii="Verdana" w:eastAsia="Calibri" w:hAnsi="Verdana" w:cs="Arial"/>
                <w:color w:val="000000" w:themeColor="text1"/>
                <w:lang w:val="es-ES" w:eastAsia="en-GB"/>
              </w:rPr>
              <w:t>.</w:t>
            </w:r>
            <w:r>
              <w:rPr>
                <w:rFonts w:ascii="Verdana" w:eastAsia="Calibri" w:hAnsi="Verdana" w:cs="Arial"/>
                <w:color w:val="000000" w:themeColor="text1"/>
                <w:lang w:val="es-ES" w:eastAsia="en-GB"/>
              </w:rPr>
              <w:t xml:space="preserve"> </w:t>
            </w:r>
            <w:r w:rsidRPr="009D2BC8">
              <w:rPr>
                <w:rFonts w:ascii="Verdana" w:eastAsia="Calibri" w:hAnsi="Verdana" w:cs="Arial"/>
                <w:color w:val="000000" w:themeColor="text1"/>
                <w:lang w:val="es-ES" w:eastAsia="en-GB"/>
              </w:rPr>
              <w:t xml:space="preserve"> Por lo tanto, </w:t>
            </w:r>
            <w:r w:rsidRPr="009D2BC8">
              <w:rPr>
                <w:rFonts w:ascii="Verdana" w:hAnsi="Verdana" w:cs="Arial"/>
                <w:color w:val="000000" w:themeColor="text1"/>
                <w:lang w:val="es-ES"/>
              </w:rPr>
              <w:t>solo será válida aquella garantía que se encuentre debidamente aprobada por la entidad estatal.</w:t>
            </w:r>
            <w:r>
              <w:rPr>
                <w:rFonts w:ascii="Verdana" w:hAnsi="Verdana" w:cs="Arial"/>
                <w:color w:val="000000" w:themeColor="text1"/>
                <w:lang w:val="es-ES"/>
              </w:rPr>
              <w:t xml:space="preserve"> </w:t>
            </w:r>
          </w:p>
          <w:p w14:paraId="3D79C767" w14:textId="359C89DF" w:rsidR="00E06A34" w:rsidRDefault="00E06A34" w:rsidP="2B7F4B36">
            <w:pPr>
              <w:spacing w:after="120" w:line="276" w:lineRule="auto"/>
              <w:ind w:firstLine="709"/>
              <w:jc w:val="both"/>
              <w:rPr>
                <w:rFonts w:ascii="Verdana" w:eastAsia="Times New Roman" w:hAnsi="Verdana" w:cs="Arial"/>
                <w:lang w:eastAsia="es-ES"/>
              </w:rPr>
            </w:pPr>
            <w:r w:rsidRPr="2B7F4B36">
              <w:rPr>
                <w:rFonts w:ascii="Verdana" w:eastAsia="Calibri" w:hAnsi="Verdana" w:cs="Arial"/>
                <w:lang w:val="es-ES"/>
              </w:rPr>
              <w:t>II. D</w:t>
            </w:r>
            <w:r w:rsidRPr="2B7F4B36">
              <w:rPr>
                <w:rFonts w:ascii="Verdana" w:eastAsia="Century Gothic" w:hAnsi="Verdana" w:cs="Century Gothic"/>
                <w:lang w:val="es-ES" w:eastAsia="es-ES"/>
              </w:rPr>
              <w:t xml:space="preserve">e conformidad con las consideraciones expuestas en este concepto, </w:t>
            </w:r>
            <w:r w:rsidRPr="2B7F4B36">
              <w:rPr>
                <w:rFonts w:ascii="Verdana" w:eastAsia="Times New Roman" w:hAnsi="Verdana" w:cs="Arial"/>
                <w:lang w:eastAsia="es-ES"/>
              </w:rPr>
              <w:t xml:space="preserve">si la Entidad Estatal celebra un contrato cuyo plazo de ejecución es mayor a cinco (5) años, puede pactar en el contrato que las garantías cubran los riegos de cada </w:t>
            </w:r>
            <w:r w:rsidRPr="2B7F4B36">
              <w:rPr>
                <w:rFonts w:ascii="Verdana" w:eastAsia="Times New Roman" w:hAnsi="Verdana" w:cs="Arial"/>
                <w:i/>
                <w:iCs/>
                <w:lang w:eastAsia="es-ES"/>
              </w:rPr>
              <w:t>etapa del contrato</w:t>
            </w:r>
            <w:r w:rsidRPr="2B7F4B36">
              <w:rPr>
                <w:rFonts w:ascii="Verdana" w:eastAsia="Times New Roman" w:hAnsi="Verdana" w:cs="Arial"/>
                <w:lang w:eastAsia="es-ES"/>
              </w:rPr>
              <w:t xml:space="preserve">, </w:t>
            </w:r>
            <w:r w:rsidRPr="2B7F4B36">
              <w:rPr>
                <w:rFonts w:ascii="Verdana" w:eastAsia="Times New Roman" w:hAnsi="Verdana" w:cs="Arial"/>
                <w:i/>
                <w:iCs/>
                <w:lang w:eastAsia="es-ES"/>
              </w:rPr>
              <w:t xml:space="preserve">periodo contractual o unidad </w:t>
            </w:r>
            <w:r w:rsidRPr="2B7F4B36">
              <w:rPr>
                <w:rFonts w:ascii="Verdana" w:eastAsia="Times New Roman" w:hAnsi="Verdana" w:cs="Arial"/>
                <w:lang w:eastAsia="es-ES"/>
              </w:rPr>
              <w:t>funcional, caso en el cual el pliego de condiciones regulará las garantías teniendo en cuenta lo siguiente: i) se identificará la garantía que ampara los riesgos para cada etapa del contrato o periodo contractual</w:t>
            </w:r>
            <w:r w:rsidR="502E201A" w:rsidRPr="2B7F4B36">
              <w:rPr>
                <w:rFonts w:ascii="Verdana" w:eastAsia="Times New Roman" w:hAnsi="Verdana" w:cs="Arial"/>
                <w:lang w:eastAsia="es-ES"/>
              </w:rPr>
              <w:t xml:space="preserve"> o unidad funcional</w:t>
            </w:r>
            <w:r w:rsidRPr="2B7F4B36">
              <w:rPr>
                <w:rFonts w:ascii="Verdana" w:eastAsia="Times New Roman" w:hAnsi="Verdana" w:cs="Arial"/>
                <w:lang w:eastAsia="es-ES"/>
              </w:rPr>
              <w:t>, pero, además, la vigencia que rige para cada uno –que en todo caso no puede ser menor al plazo de ejecución definido para cada etapa del contrato o periodo contractual</w:t>
            </w:r>
            <w:r w:rsidR="2CAD10E0" w:rsidRPr="2B7F4B36">
              <w:rPr>
                <w:rFonts w:ascii="Verdana" w:eastAsia="Times New Roman" w:hAnsi="Verdana" w:cs="Arial"/>
                <w:lang w:eastAsia="es-ES"/>
              </w:rPr>
              <w:t xml:space="preserve"> o unidad funcional</w:t>
            </w:r>
            <w:r w:rsidRPr="2B7F4B36">
              <w:rPr>
                <w:rFonts w:ascii="Verdana" w:eastAsia="Times New Roman" w:hAnsi="Verdana" w:cs="Arial"/>
                <w:lang w:eastAsia="es-ES"/>
              </w:rPr>
              <w:t xml:space="preserve">–, y </w:t>
            </w:r>
            <w:proofErr w:type="spellStart"/>
            <w:r w:rsidRPr="2B7F4B36">
              <w:rPr>
                <w:rFonts w:ascii="Verdana" w:eastAsia="Times New Roman" w:hAnsi="Verdana" w:cs="Arial"/>
                <w:lang w:eastAsia="es-ES"/>
              </w:rPr>
              <w:t>ii</w:t>
            </w:r>
            <w:proofErr w:type="spellEnd"/>
            <w:r w:rsidRPr="2B7F4B36">
              <w:rPr>
                <w:rFonts w:ascii="Verdana" w:eastAsia="Times New Roman" w:hAnsi="Verdana" w:cs="Arial"/>
                <w:lang w:eastAsia="es-ES"/>
              </w:rPr>
              <w:t>) el monto de los amparos se calculará tomando el valor de las obligaciones del contratista para cada etapa del contrato o periodo contractual</w:t>
            </w:r>
            <w:r w:rsidR="25AE0598" w:rsidRPr="2B7F4B36">
              <w:rPr>
                <w:rFonts w:ascii="Verdana" w:eastAsia="Times New Roman" w:hAnsi="Verdana" w:cs="Arial"/>
                <w:lang w:eastAsia="es-ES"/>
              </w:rPr>
              <w:t xml:space="preserve"> o unidad funcional</w:t>
            </w:r>
            <w:r w:rsidRPr="2B7F4B36">
              <w:rPr>
                <w:rFonts w:ascii="Verdana" w:eastAsia="Times New Roman" w:hAnsi="Verdana" w:cs="Arial"/>
                <w:lang w:eastAsia="es-ES"/>
              </w:rPr>
              <w:t xml:space="preserve">, y además, regirán las reglas de suficiencia </w:t>
            </w:r>
            <w:r w:rsidRPr="2B7F4B36">
              <w:rPr>
                <w:rFonts w:ascii="Verdana" w:eastAsia="Times New Roman" w:hAnsi="Verdana" w:cs="Arial"/>
                <w:lang w:eastAsia="es-ES"/>
              </w:rPr>
              <w:lastRenderedPageBreak/>
              <w:t xml:space="preserve">definidas en los artículos 2.2.1.2.3.1.9. al 2.2.1.2.3.1.17. del Decreto 1082 de 2015. </w:t>
            </w:r>
          </w:p>
          <w:p w14:paraId="38181B98" w14:textId="1FEEEC3D" w:rsidR="00467EE7" w:rsidRDefault="00467EE7" w:rsidP="00467EE7">
            <w:pPr>
              <w:spacing w:after="120" w:line="276" w:lineRule="auto"/>
              <w:ind w:firstLine="709"/>
              <w:contextualSpacing/>
              <w:jc w:val="both"/>
              <w:rPr>
                <w:rFonts w:ascii="Verdana" w:hAnsi="Verdana" w:cs="Arial"/>
                <w:color w:val="000000" w:themeColor="text1"/>
                <w:lang w:val="es-ES"/>
              </w:rPr>
            </w:pPr>
            <w:r w:rsidRPr="2B7F4B36">
              <w:rPr>
                <w:rFonts w:ascii="Verdana" w:eastAsia="Calibri" w:hAnsi="Verdana" w:cs="Times New Roman"/>
              </w:rPr>
              <w:t>En ese sentido, cuando el contrato contempla etapas</w:t>
            </w:r>
            <w:r w:rsidR="3BBBF3AF" w:rsidRPr="2B7F4B36">
              <w:rPr>
                <w:rFonts w:ascii="Verdana" w:eastAsia="Calibri" w:hAnsi="Verdana" w:cs="Times New Roman"/>
              </w:rPr>
              <w:t>, períodos o unidades funcionales</w:t>
            </w:r>
            <w:r w:rsidRPr="2B7F4B36">
              <w:rPr>
                <w:rFonts w:ascii="Verdana" w:eastAsia="Calibri" w:hAnsi="Verdana" w:cs="Times New Roman"/>
              </w:rPr>
              <w:t xml:space="preserve"> claramente </w:t>
            </w:r>
            <w:r w:rsidR="3F9D28E7" w:rsidRPr="2B7F4B36">
              <w:rPr>
                <w:rFonts w:ascii="Verdana" w:eastAsia="Calibri" w:hAnsi="Verdana" w:cs="Times New Roman"/>
              </w:rPr>
              <w:t>diferenciadas</w:t>
            </w:r>
            <w:r w:rsidR="31EBE8DF" w:rsidRPr="2B7F4B36">
              <w:rPr>
                <w:rFonts w:ascii="Verdana" w:eastAsia="Calibri" w:hAnsi="Verdana" w:cs="Times New Roman"/>
              </w:rPr>
              <w:t xml:space="preserve"> (</w:t>
            </w:r>
            <w:r w:rsidR="7B802036" w:rsidRPr="2B7F4B36">
              <w:rPr>
                <w:rFonts w:ascii="Verdana" w:eastAsia="Calibri" w:hAnsi="Verdana" w:cs="Times New Roman"/>
              </w:rPr>
              <w:t xml:space="preserve">por ejemplo: </w:t>
            </w:r>
            <w:proofErr w:type="spellStart"/>
            <w:r w:rsidR="3F9D28E7" w:rsidRPr="2B7F4B36">
              <w:rPr>
                <w:rFonts w:ascii="Verdana" w:eastAsia="Calibri" w:hAnsi="Verdana" w:cs="Times New Roman"/>
              </w:rPr>
              <w:t>pre</w:t>
            </w:r>
            <w:r w:rsidRPr="2B7F4B36">
              <w:rPr>
                <w:rFonts w:ascii="Verdana" w:eastAsia="Calibri" w:hAnsi="Verdana" w:cs="Times New Roman"/>
              </w:rPr>
              <w:t>-construcción</w:t>
            </w:r>
            <w:proofErr w:type="spellEnd"/>
            <w:r w:rsidRPr="2B7F4B36">
              <w:rPr>
                <w:rFonts w:ascii="Verdana" w:eastAsia="Calibri" w:hAnsi="Verdana" w:cs="Times New Roman"/>
              </w:rPr>
              <w:t>, construcción</w:t>
            </w:r>
            <w:r w:rsidR="007C26C9" w:rsidRPr="2B7F4B36">
              <w:rPr>
                <w:rFonts w:ascii="Verdana" w:eastAsia="Calibri" w:hAnsi="Verdana" w:cs="Times New Roman"/>
              </w:rPr>
              <w:t>,</w:t>
            </w:r>
            <w:r w:rsidRPr="2B7F4B36">
              <w:rPr>
                <w:rFonts w:ascii="Verdana" w:eastAsia="Calibri" w:hAnsi="Verdana" w:cs="Times New Roman"/>
              </w:rPr>
              <w:t xml:space="preserve"> operación </w:t>
            </w:r>
            <w:r w:rsidR="007C26C9" w:rsidRPr="2B7F4B36">
              <w:rPr>
                <w:rFonts w:ascii="Verdana" w:eastAsia="Calibri" w:hAnsi="Verdana" w:cs="Times New Roman"/>
              </w:rPr>
              <w:t>y/</w:t>
            </w:r>
            <w:r w:rsidRPr="2B7F4B36">
              <w:rPr>
                <w:rFonts w:ascii="Verdana" w:eastAsia="Calibri" w:hAnsi="Verdana" w:cs="Times New Roman"/>
              </w:rPr>
              <w:t>o mantenimiento), si puede contemplarse una garantía de responsabilidad extracontractual por cada etapa,</w:t>
            </w:r>
            <w:r w:rsidR="515F532D" w:rsidRPr="2B7F4B36">
              <w:rPr>
                <w:rFonts w:ascii="Verdana" w:eastAsia="Calibri" w:hAnsi="Verdana" w:cs="Times New Roman"/>
              </w:rPr>
              <w:t xml:space="preserve"> período o unidad funcional,</w:t>
            </w:r>
            <w:r w:rsidRPr="2B7F4B36">
              <w:rPr>
                <w:rFonts w:ascii="Verdana" w:eastAsia="Calibri" w:hAnsi="Verdana" w:cs="Times New Roman"/>
              </w:rPr>
              <w:t xml:space="preserve"> pero no subdividirla dentro de </w:t>
            </w:r>
            <w:r w:rsidR="667E1287" w:rsidRPr="2B7F4B36">
              <w:rPr>
                <w:rFonts w:ascii="Verdana" w:eastAsia="Calibri" w:hAnsi="Verdana" w:cs="Times New Roman"/>
              </w:rPr>
              <w:t>cada una de éstas</w:t>
            </w:r>
            <w:r w:rsidRPr="2B7F4B36">
              <w:rPr>
                <w:rFonts w:ascii="Verdana" w:eastAsia="Calibri" w:hAnsi="Verdana" w:cs="Times New Roman"/>
              </w:rPr>
              <w:t xml:space="preserve">. Cada póliza debe cubrir la totalidad del riesgo en su respectiva etapa, sin fragmentación, ya que podría generar vacíos de cobertura que dejarían a la entidad y al contratista expuestos ante reclamaciones.  Por lo anterior, </w:t>
            </w:r>
            <w:r w:rsidRPr="2B7F4B36">
              <w:rPr>
                <w:rFonts w:ascii="Verdana" w:eastAsia="Calibri" w:hAnsi="Verdana" w:cs="Times New Roman"/>
                <w:lang w:val="es-ES"/>
              </w:rPr>
              <w:t>solo</w:t>
            </w:r>
            <w:r w:rsidRPr="2B7F4B36">
              <w:rPr>
                <w:rFonts w:ascii="Verdana" w:hAnsi="Verdana" w:cs="Arial"/>
                <w:color w:val="000000" w:themeColor="text1"/>
                <w:lang w:val="es-ES"/>
              </w:rPr>
              <w:t xml:space="preserve"> será válida aquella garantía que se encuentre debidamente aprobada por la entidad estatal.</w:t>
            </w:r>
          </w:p>
          <w:p w14:paraId="17B2EF1D" w14:textId="77777777" w:rsidR="00A7400D" w:rsidRDefault="00A7400D" w:rsidP="00467EE7">
            <w:pPr>
              <w:spacing w:after="120" w:line="276" w:lineRule="auto"/>
              <w:ind w:firstLine="709"/>
              <w:contextualSpacing/>
              <w:jc w:val="both"/>
              <w:rPr>
                <w:rFonts w:ascii="Verdana" w:hAnsi="Verdana" w:cs="Arial"/>
                <w:color w:val="000000" w:themeColor="text1"/>
                <w:lang w:val="es-ES"/>
              </w:rPr>
            </w:pPr>
          </w:p>
          <w:p w14:paraId="72B509C4" w14:textId="2BE9B116" w:rsidR="00A7400D" w:rsidRDefault="5B31B335" w:rsidP="00A7400D">
            <w:pPr>
              <w:spacing w:after="120" w:line="276" w:lineRule="auto"/>
              <w:ind w:firstLine="709"/>
              <w:contextualSpacing/>
              <w:jc w:val="both"/>
              <w:rPr>
                <w:rFonts w:ascii="Verdana" w:eastAsia="Calibri" w:hAnsi="Verdana" w:cs="Times New Roman"/>
              </w:rPr>
            </w:pPr>
            <w:r w:rsidRPr="2B7F4B36">
              <w:rPr>
                <w:rFonts w:ascii="Verdana" w:eastAsia="Calibri" w:hAnsi="Verdana" w:cs="Times New Roman"/>
                <w:lang w:val="es-ES"/>
              </w:rPr>
              <w:t xml:space="preserve">En conclusión, </w:t>
            </w:r>
            <w:r w:rsidRPr="2B7F4B36">
              <w:rPr>
                <w:rFonts w:ascii="Verdana" w:eastAsia="Calibri" w:hAnsi="Verdana" w:cs="Times New Roman"/>
              </w:rPr>
              <w:t>no es procedente dividir la garantía de responsabilidad</w:t>
            </w:r>
            <w:r w:rsidR="00C341FC" w:rsidRPr="2B7F4B36">
              <w:rPr>
                <w:rFonts w:ascii="Verdana" w:eastAsia="Calibri" w:hAnsi="Verdana" w:cs="Times New Roman"/>
              </w:rPr>
              <w:t xml:space="preserve"> civil </w:t>
            </w:r>
            <w:r w:rsidRPr="2B7F4B36">
              <w:rPr>
                <w:rFonts w:ascii="Verdana" w:eastAsia="Calibri" w:hAnsi="Verdana" w:cs="Times New Roman"/>
              </w:rPr>
              <w:t xml:space="preserve">extracontractual dentro de </w:t>
            </w:r>
            <w:r w:rsidRPr="2B7F4B36">
              <w:rPr>
                <w:rFonts w:ascii="Verdana" w:eastAsia="Times New Roman" w:hAnsi="Verdana" w:cs="Arial"/>
                <w:lang w:eastAsia="es-ES"/>
              </w:rPr>
              <w:t>una misma etapa del contrato o periodo contractual</w:t>
            </w:r>
            <w:r w:rsidR="1DF6A41B" w:rsidRPr="2B7F4B36">
              <w:rPr>
                <w:rFonts w:ascii="Verdana" w:eastAsia="Times New Roman" w:hAnsi="Verdana" w:cs="Arial"/>
                <w:lang w:eastAsia="es-ES"/>
              </w:rPr>
              <w:t xml:space="preserve"> o unidad funcional</w:t>
            </w:r>
            <w:r w:rsidRPr="2B7F4B36">
              <w:rPr>
                <w:rFonts w:ascii="Verdana" w:eastAsia="Calibri" w:hAnsi="Verdana" w:cs="Times New Roman"/>
              </w:rPr>
              <w:t xml:space="preserve"> dado que ello vulnera lo dispuesto en el artículo </w:t>
            </w:r>
            <w:r w:rsidRPr="2B7F4B36">
              <w:rPr>
                <w:rFonts w:ascii="Verdana" w:hAnsi="Verdana" w:cs="Arial"/>
                <w:color w:val="000000" w:themeColor="text1"/>
                <w:lang w:val="es-MX"/>
              </w:rPr>
              <w:t>2.2.1.2.3.1.3 del Decreto 1082 de 2015, el cual establece que la “garantía de cobertura del riesgo es indivisible”</w:t>
            </w:r>
            <w:r w:rsidRPr="2B7F4B36">
              <w:rPr>
                <w:rFonts w:ascii="Verdana" w:eastAsia="Calibri" w:hAnsi="Verdana" w:cs="Times New Roman"/>
              </w:rPr>
              <w:t xml:space="preserve">. </w:t>
            </w:r>
          </w:p>
          <w:p w14:paraId="43EAEE59" w14:textId="77777777" w:rsidR="0043729D" w:rsidRDefault="0043729D" w:rsidP="00A7400D">
            <w:pPr>
              <w:spacing w:after="120" w:line="276" w:lineRule="auto"/>
              <w:ind w:firstLine="709"/>
              <w:contextualSpacing/>
              <w:jc w:val="both"/>
              <w:rPr>
                <w:rFonts w:ascii="Verdana" w:eastAsia="Calibri" w:hAnsi="Verdana" w:cs="Times New Roman"/>
              </w:rPr>
            </w:pPr>
          </w:p>
          <w:p w14:paraId="6BD2E641" w14:textId="77777777" w:rsidR="00467EE7" w:rsidRDefault="0043729D" w:rsidP="00D66DB2">
            <w:pPr>
              <w:spacing w:line="276" w:lineRule="auto"/>
              <w:ind w:firstLine="360"/>
              <w:contextualSpacing/>
              <w:jc w:val="both"/>
              <w:rPr>
                <w:rFonts w:ascii="Verdana" w:eastAsia="Calibri" w:hAnsi="Verdana" w:cs="Times New Roman"/>
                <w:lang w:val="es-ES"/>
              </w:rPr>
            </w:pPr>
            <w:r w:rsidRPr="2B7F4B36">
              <w:rPr>
                <w:rFonts w:ascii="Verdana" w:eastAsia="Calibri" w:hAnsi="Verdana" w:cs="Times New Roman"/>
                <w:lang w:val="es-ES"/>
              </w:rPr>
              <w:t xml:space="preserve">     Por último, debe advertirse frente al caso particular expuesto en su solicitud, que </w:t>
            </w:r>
            <w:r w:rsidRPr="2B7F4B36">
              <w:rPr>
                <w:rFonts w:ascii="Verdana" w:eastAsia="Calibri" w:hAnsi="Verdana" w:cs="Times New Roman"/>
              </w:rPr>
              <w:t>corresponde a cada entidad pública, en ejercicio de su competencia y previa valoración de los elementos fácticos y jurídicos así como de las disposiciones legales anteriormente mencionadas, determinar si es pertinente la aprobación de una garantía adicional a la aprobada cuando dio inicio al contrat</w:t>
            </w:r>
            <w:r w:rsidR="00376D73">
              <w:rPr>
                <w:rFonts w:ascii="Verdana" w:eastAsia="Calibri" w:hAnsi="Verdana" w:cs="Times New Roman"/>
              </w:rPr>
              <w:t>o</w:t>
            </w:r>
            <w:r w:rsidR="6DB206B2" w:rsidRPr="2B7F4B36">
              <w:rPr>
                <w:rFonts w:ascii="Verdana" w:eastAsia="Calibri" w:hAnsi="Verdana" w:cs="Times New Roman"/>
              </w:rPr>
              <w:t xml:space="preserve"> para cada  </w:t>
            </w:r>
            <w:r w:rsidR="6DB206B2" w:rsidRPr="00437FE7">
              <w:rPr>
                <w:rFonts w:ascii="Verdana" w:eastAsia="Times New Roman" w:hAnsi="Verdana" w:cs="Arial"/>
                <w:lang w:eastAsia="es-ES"/>
              </w:rPr>
              <w:t>etapa del contrato</w:t>
            </w:r>
            <w:r w:rsidR="6DB206B2" w:rsidRPr="2B7F4B36">
              <w:rPr>
                <w:rFonts w:ascii="Verdana" w:eastAsia="Times New Roman" w:hAnsi="Verdana" w:cs="Arial"/>
                <w:lang w:eastAsia="es-ES"/>
              </w:rPr>
              <w:t xml:space="preserve">, </w:t>
            </w:r>
            <w:r w:rsidR="6DB206B2" w:rsidRPr="00437FE7">
              <w:rPr>
                <w:rFonts w:ascii="Verdana" w:eastAsia="Times New Roman" w:hAnsi="Verdana" w:cs="Arial"/>
                <w:lang w:eastAsia="es-ES"/>
              </w:rPr>
              <w:t xml:space="preserve">periodo contractual o unidad </w:t>
            </w:r>
            <w:r w:rsidR="6DB206B2" w:rsidRPr="2B7F4B36">
              <w:rPr>
                <w:rFonts w:ascii="Verdana" w:eastAsia="Times New Roman" w:hAnsi="Verdana" w:cs="Arial"/>
                <w:lang w:eastAsia="es-ES"/>
              </w:rPr>
              <w:t>funcional</w:t>
            </w:r>
            <w:r w:rsidRPr="2B7F4B36">
              <w:rPr>
                <w:rFonts w:ascii="Verdana" w:eastAsia="Calibri" w:hAnsi="Verdana" w:cs="Times New Roman"/>
              </w:rPr>
              <w:t>, ya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r w:rsidRPr="2B7F4B36">
              <w:rPr>
                <w:rFonts w:ascii="Verdana" w:eastAsia="Calibri" w:hAnsi="Verdana" w:cs="Times New Roman"/>
                <w:lang w:val="es-ES"/>
              </w:rPr>
              <w:t>.</w:t>
            </w:r>
          </w:p>
          <w:p w14:paraId="412165A9" w14:textId="3F3B5310" w:rsidR="008F6753" w:rsidRPr="002973E9" w:rsidRDefault="008F6753" w:rsidP="00D66DB2">
            <w:pPr>
              <w:spacing w:line="276" w:lineRule="auto"/>
              <w:ind w:firstLine="360"/>
              <w:contextualSpacing/>
              <w:jc w:val="both"/>
              <w:rPr>
                <w:rFonts w:ascii="Verdana" w:eastAsia="Calibri" w:hAnsi="Verdana" w:cs="Arial"/>
                <w:lang w:val="es-ES"/>
              </w:rPr>
            </w:pPr>
          </w:p>
        </w:tc>
      </w:tr>
    </w:tbl>
    <w:p w14:paraId="479F5EA7" w14:textId="77777777" w:rsidR="00E06A34" w:rsidRDefault="00E06A34" w:rsidP="00E06A34">
      <w:pPr>
        <w:tabs>
          <w:tab w:val="left" w:pos="142"/>
          <w:tab w:val="left" w:pos="284"/>
        </w:tabs>
        <w:spacing w:after="0" w:line="276" w:lineRule="auto"/>
        <w:jc w:val="both"/>
        <w:rPr>
          <w:rFonts w:ascii="Verdana" w:eastAsia="Century Gothic" w:hAnsi="Verdana" w:cs="Century Gothic"/>
          <w:b/>
          <w:bCs/>
          <w:lang w:val="es-ES"/>
        </w:rPr>
      </w:pPr>
    </w:p>
    <w:p w14:paraId="47FEF7BF" w14:textId="77777777" w:rsidR="00E06A34" w:rsidRPr="00593A5F" w:rsidRDefault="00E06A34" w:rsidP="00E06A3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1B733461" w14:textId="77777777" w:rsidR="00E06A34" w:rsidRPr="00593A5F" w:rsidRDefault="00E06A34" w:rsidP="00E06A34">
      <w:pPr>
        <w:spacing w:after="0" w:line="276" w:lineRule="auto"/>
        <w:jc w:val="both"/>
        <w:rPr>
          <w:rFonts w:ascii="Verdana" w:eastAsia="Calibri" w:hAnsi="Verdana" w:cs="Arial"/>
          <w:color w:val="7030A0"/>
          <w:lang w:val="es-ES"/>
        </w:rPr>
      </w:pPr>
    </w:p>
    <w:p w14:paraId="2DAD267C" w14:textId="77777777" w:rsidR="00E06A34" w:rsidRPr="00C31767" w:rsidRDefault="00E06A34" w:rsidP="00E06A34">
      <w:pPr>
        <w:spacing w:after="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lang w:val="es-ES_tradnl"/>
        </w:rPr>
        <w:t xml:space="preserve">i. </w:t>
      </w:r>
      <w:r w:rsidRPr="00C31767">
        <w:rPr>
          <w:rFonts w:ascii="Verdana" w:eastAsia="Calibri" w:hAnsi="Verdana" w:cs="Arial"/>
          <w:color w:val="000000"/>
          <w:lang w:val="es-ES_tradnl"/>
        </w:rPr>
        <w:t>De acuerdo con el Estatuto General de Contratación de la Administración Pública, p</w:t>
      </w:r>
      <w:r w:rsidRPr="00C31767">
        <w:rPr>
          <w:rFonts w:ascii="Verdana" w:eastAsia="Calibri" w:hAnsi="Verdana" w:cs="Arial"/>
          <w:color w:val="000000" w:themeColor="text1"/>
          <w:lang w:val="es-ES_tradnl"/>
        </w:rPr>
        <w:t xml:space="preserve">or regla general, </w:t>
      </w:r>
      <w:r w:rsidRPr="00C31767">
        <w:rPr>
          <w:rFonts w:ascii="Verdana" w:eastAsia="Calibri" w:hAnsi="Verdana" w:cs="Arial"/>
          <w:color w:val="000000" w:themeColor="text1"/>
          <w:lang w:val="es-ES"/>
        </w:rPr>
        <w:t>para seleccionar los contratistas y para ejecutar los contratos se requiere la constitución de garantías</w:t>
      </w:r>
      <w:r w:rsidRPr="00C31767">
        <w:rPr>
          <w:rFonts w:ascii="Verdana" w:eastAsia="Calibri" w:hAnsi="Verdana" w:cs="Arial"/>
          <w:color w:val="000000" w:themeColor="text1"/>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dispone lo siguiente:</w:t>
      </w:r>
    </w:p>
    <w:p w14:paraId="66AA3431" w14:textId="77777777" w:rsidR="00E06A34" w:rsidRPr="00C31767" w:rsidRDefault="00E06A34" w:rsidP="00E06A34">
      <w:pPr>
        <w:spacing w:after="0" w:line="276" w:lineRule="auto"/>
        <w:ind w:firstLine="708"/>
        <w:jc w:val="both"/>
        <w:rPr>
          <w:rFonts w:ascii="Verdana" w:hAnsi="Verdana" w:cs="Arial"/>
          <w:color w:val="000000" w:themeColor="text1"/>
          <w:lang w:eastAsia="es-CO"/>
        </w:rPr>
      </w:pPr>
    </w:p>
    <w:p w14:paraId="2AA13124" w14:textId="77777777" w:rsidR="00E06A34" w:rsidRPr="00C31767" w:rsidRDefault="00E06A34" w:rsidP="00E06A34">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“Artículo 7. Los contratistas prestarán garantía única para el cumplimiento de las obligaciones surgidas del contrato. Los proponentes prestarán garantía de seriedad de los ofrecimientos hechos. </w:t>
      </w:r>
    </w:p>
    <w:p w14:paraId="04E6F6CB" w14:textId="77777777" w:rsidR="00E06A34" w:rsidRPr="00C31767" w:rsidRDefault="00E06A34" w:rsidP="00E06A34">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2B966C84" w14:textId="77777777" w:rsidR="00E06A34" w:rsidRPr="00C31767" w:rsidRDefault="00E06A34" w:rsidP="00E06A34">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 xml:space="preserve">El Gobierno Nacional señalará los criterios que seguirán las entidades para la exigencia de garantías, las clases y niveles de amparo de los riesgos de los contratos, así como los casos en </w:t>
      </w:r>
      <w:proofErr w:type="gramStart"/>
      <w:r w:rsidRPr="00C31767">
        <w:rPr>
          <w:rFonts w:ascii="Verdana" w:hAnsi="Verdana" w:cs="Arial"/>
          <w:color w:val="000000" w:themeColor="text1"/>
          <w:sz w:val="21"/>
          <w:szCs w:val="21"/>
          <w:lang w:eastAsia="es-CO"/>
        </w:rPr>
        <w:t>que</w:t>
      </w:r>
      <w:proofErr w:type="gramEnd"/>
      <w:r w:rsidRPr="00C31767">
        <w:rPr>
          <w:rFonts w:ascii="Verdana" w:hAnsi="Verdana" w:cs="Arial"/>
          <w:color w:val="000000" w:themeColor="text1"/>
          <w:sz w:val="21"/>
          <w:szCs w:val="21"/>
          <w:lang w:eastAsia="es-CO"/>
        </w:rPr>
        <w:t xml:space="preserve"> por las características y complejidad del contrato a celebrar, la garantía pueda ser dividida teniendo en cuenta las etapas o riesgos relativos a la ejecución del respectivo contrato. </w:t>
      </w:r>
    </w:p>
    <w:p w14:paraId="44CDC238" w14:textId="77777777" w:rsidR="00E06A34" w:rsidRPr="00C31767" w:rsidRDefault="00E06A34" w:rsidP="00E06A34">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El acaecimiento del siniestro que amparan las garantías será comunicado por la entidad pública al respectivo asegurador mediante la notificación del acto administrativo que así lo declare. </w:t>
      </w:r>
    </w:p>
    <w:p w14:paraId="24A0B603" w14:textId="77777777" w:rsidR="00E06A34" w:rsidRPr="00C31767" w:rsidRDefault="00E06A34" w:rsidP="00E06A34">
      <w:pPr>
        <w:spacing w:after="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4473587F" w14:textId="77777777" w:rsidR="00E06A34" w:rsidRPr="00C31767" w:rsidRDefault="00E06A34" w:rsidP="00E06A34">
      <w:pPr>
        <w:spacing w:after="0" w:line="276" w:lineRule="auto"/>
        <w:ind w:left="709" w:right="709"/>
        <w:jc w:val="both"/>
        <w:rPr>
          <w:rFonts w:ascii="Verdana" w:hAnsi="Verdana" w:cs="Arial"/>
          <w:color w:val="000000" w:themeColor="text1"/>
          <w:lang w:eastAsia="es-CO"/>
        </w:rPr>
      </w:pPr>
    </w:p>
    <w:p w14:paraId="1816DDF3" w14:textId="77777777" w:rsidR="00E06A34" w:rsidRPr="00C31767" w:rsidRDefault="00E06A34" w:rsidP="00E06A34">
      <w:pPr>
        <w:spacing w:line="276" w:lineRule="auto"/>
        <w:ind w:firstLine="708"/>
        <w:jc w:val="both"/>
        <w:rPr>
          <w:rFonts w:ascii="Verdana" w:hAnsi="Verdana" w:cs="Arial"/>
          <w:color w:val="000000" w:themeColor="text1"/>
          <w:lang w:val="es-MX"/>
        </w:rPr>
      </w:pPr>
      <w:r w:rsidRPr="00C31767">
        <w:rPr>
          <w:rFonts w:ascii="Verdana" w:hAnsi="Verdana" w:cs="Arial"/>
          <w:color w:val="000000" w:themeColor="text1"/>
          <w:lang w:val="es-MX"/>
        </w:rPr>
        <w:lastRenderedPageBreak/>
        <w:t xml:space="preserve">Las condiciones en las que debe cumplirse esta obligación fueron reglamentadas por el Decreto 1082 de 2015, el cual entre sus artículos 2.2.1.2.3.1.1. y 2.2.1.2.3.1.19 se refiere a asuntos como las clases de garantías permitidas, su indivisibilidad,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404D76A3" w14:textId="5CF5770C" w:rsidR="00E06A34" w:rsidRPr="00C31767" w:rsidRDefault="00E06A34" w:rsidP="00E06A34">
      <w:pPr>
        <w:spacing w:before="120" w:line="276" w:lineRule="auto"/>
        <w:ind w:firstLine="708"/>
        <w:jc w:val="both"/>
        <w:rPr>
          <w:rFonts w:ascii="Verdana" w:hAnsi="Verdana" w:cs="Arial"/>
          <w:color w:val="000000" w:themeColor="text1"/>
          <w:lang w:eastAsia="es-CO"/>
        </w:rPr>
      </w:pPr>
      <w:r w:rsidRPr="00C31767">
        <w:rPr>
          <w:rFonts w:ascii="Verdana" w:hAnsi="Verdana" w:cs="Arial"/>
          <w:color w:val="000000" w:themeColor="text1"/>
          <w:lang w:val="es-MX"/>
        </w:rPr>
        <w:t>El artículo 2.2.1.2.3.1.3</w:t>
      </w:r>
      <w:r w:rsidR="002451EC">
        <w:rPr>
          <w:rFonts w:ascii="Verdana" w:hAnsi="Verdana" w:cs="Arial"/>
          <w:color w:val="000000" w:themeColor="text1"/>
          <w:lang w:val="es-MX"/>
        </w:rPr>
        <w:t xml:space="preserve"> del Decreto 1082 de 2015</w:t>
      </w:r>
      <w:r w:rsidRPr="00C31767">
        <w:rPr>
          <w:rFonts w:ascii="Verdana" w:hAnsi="Verdana" w:cs="Arial"/>
          <w:color w:val="000000" w:themeColor="text1"/>
          <w:lang w:val="es-MX"/>
        </w:rPr>
        <w:t xml:space="preserve">, por ejemplo, establece que la “garantía de cobertura del Riesgo es indivisible”, además de la obligación de los contratantes de establecer en los pliegos de condiciones las garantías exigidas para cada </w:t>
      </w:r>
      <w:r w:rsidR="00F42A85">
        <w:rPr>
          <w:rFonts w:ascii="Verdana" w:hAnsi="Verdana" w:cs="Arial"/>
          <w:color w:val="000000" w:themeColor="text1"/>
          <w:lang w:val="es-MX"/>
        </w:rPr>
        <w:t xml:space="preserve">etapa del contrato </w:t>
      </w:r>
      <w:r w:rsidR="006B6836">
        <w:rPr>
          <w:rFonts w:ascii="Verdana" w:hAnsi="Verdana" w:cs="Arial"/>
          <w:color w:val="000000" w:themeColor="text1"/>
          <w:lang w:val="es-MX"/>
        </w:rPr>
        <w:t xml:space="preserve">o </w:t>
      </w:r>
      <w:r w:rsidRPr="00C31767">
        <w:rPr>
          <w:rFonts w:ascii="Verdana" w:hAnsi="Verdana" w:cs="Arial"/>
          <w:color w:val="000000" w:themeColor="text1"/>
          <w:lang w:val="es-MX"/>
        </w:rPr>
        <w:t>periodo contractual</w:t>
      </w:r>
      <w:r w:rsidR="004D59BB">
        <w:rPr>
          <w:rFonts w:ascii="Verdana" w:hAnsi="Verdana" w:cs="Arial"/>
          <w:color w:val="000000" w:themeColor="text1"/>
          <w:lang w:val="es-MX"/>
        </w:rPr>
        <w:t xml:space="preserve"> o cada unidad funcional</w:t>
      </w:r>
      <w:r w:rsidR="00FE1CF0">
        <w:rPr>
          <w:rFonts w:ascii="Verdana" w:hAnsi="Verdana" w:cs="Arial"/>
          <w:color w:val="000000" w:themeColor="text1"/>
          <w:lang w:val="es-MX"/>
        </w:rPr>
        <w:t xml:space="preserve"> </w:t>
      </w:r>
      <w:r w:rsidR="00FE1CF0" w:rsidRPr="00FE1CF0">
        <w:rPr>
          <w:rFonts w:ascii="Verdana" w:hAnsi="Verdana" w:cs="Arial"/>
          <w:color w:val="000000" w:themeColor="text1"/>
        </w:rPr>
        <w:t xml:space="preserve">en el caso de las Asociaciones </w:t>
      </w:r>
      <w:proofErr w:type="gramStart"/>
      <w:r w:rsidR="00FE1CF0" w:rsidRPr="00FE1CF0">
        <w:rPr>
          <w:rFonts w:ascii="Verdana" w:hAnsi="Verdana" w:cs="Arial"/>
          <w:color w:val="000000" w:themeColor="text1"/>
        </w:rPr>
        <w:t>Público Privadas</w:t>
      </w:r>
      <w:proofErr w:type="gramEnd"/>
      <w:r w:rsidRPr="00C31767">
        <w:rPr>
          <w:rFonts w:ascii="Verdana" w:hAnsi="Verdana" w:cs="Arial"/>
          <w:color w:val="000000" w:themeColor="text1"/>
          <w:lang w:val="es-MX"/>
        </w:rPr>
        <w:t xml:space="preserve">. Seguidamente el artículo 2.2.1.3.1.7 prescribe que la garantía de cumplimiento debe cubrir: i) el buen manejo y correcta inversión del anticipo; </w:t>
      </w:r>
      <w:proofErr w:type="spellStart"/>
      <w:r w:rsidRPr="00C31767">
        <w:rPr>
          <w:rFonts w:ascii="Verdana" w:hAnsi="Verdana" w:cs="Arial"/>
          <w:color w:val="000000" w:themeColor="text1"/>
          <w:lang w:val="es-MX"/>
        </w:rPr>
        <w:t>ii</w:t>
      </w:r>
      <w:proofErr w:type="spellEnd"/>
      <w:r w:rsidRPr="00C31767">
        <w:rPr>
          <w:rFonts w:ascii="Verdana" w:hAnsi="Verdana" w:cs="Arial"/>
          <w:color w:val="000000" w:themeColor="text1"/>
          <w:lang w:val="es-MX"/>
        </w:rPr>
        <w:t xml:space="preserve">) la devolución del pago anticipado; </w:t>
      </w:r>
      <w:proofErr w:type="spellStart"/>
      <w:r w:rsidRPr="00C31767">
        <w:rPr>
          <w:rFonts w:ascii="Verdana" w:hAnsi="Verdana" w:cs="Arial"/>
          <w:color w:val="000000" w:themeColor="text1"/>
          <w:lang w:val="es-MX"/>
        </w:rPr>
        <w:t>iii</w:t>
      </w:r>
      <w:proofErr w:type="spellEnd"/>
      <w:r w:rsidRPr="00C31767">
        <w:rPr>
          <w:rFonts w:ascii="Verdana" w:hAnsi="Verdana" w:cs="Arial"/>
          <w:color w:val="000000" w:themeColor="text1"/>
          <w:lang w:val="es-MX"/>
        </w:rPr>
        <w:t xml:space="preserve">) cumplimiento del contrato; </w:t>
      </w:r>
      <w:proofErr w:type="spellStart"/>
      <w:r w:rsidRPr="00C31767">
        <w:rPr>
          <w:rFonts w:ascii="Verdana" w:hAnsi="Verdana" w:cs="Arial"/>
          <w:color w:val="000000" w:themeColor="text1"/>
          <w:lang w:val="es-MX"/>
        </w:rPr>
        <w:t>iv</w:t>
      </w:r>
      <w:proofErr w:type="spellEnd"/>
      <w:r w:rsidRPr="00C31767">
        <w:rPr>
          <w:rFonts w:ascii="Verdana" w:hAnsi="Verdana" w:cs="Arial"/>
          <w:color w:val="000000" w:themeColor="text1"/>
          <w:lang w:val="es-MX"/>
        </w:rPr>
        <w:t xml:space="preserve">) pago de salarios, prestaciones sociales legales e indemnizaciones laborales; v) estabilidad y calidad de la obra; vi) </w:t>
      </w:r>
      <w:r w:rsidRPr="00C31767">
        <w:rPr>
          <w:rFonts w:ascii="Verdana" w:hAnsi="Verdana" w:cs="Arial"/>
          <w:color w:val="000000" w:themeColor="text1"/>
          <w:lang w:eastAsia="es-CO"/>
        </w:rPr>
        <w:t xml:space="preserve">calidad del servicio; </w:t>
      </w:r>
      <w:proofErr w:type="spellStart"/>
      <w:r w:rsidRPr="00C31767">
        <w:rPr>
          <w:rFonts w:ascii="Verdana" w:hAnsi="Verdana" w:cs="Arial"/>
          <w:color w:val="000000" w:themeColor="text1"/>
          <w:lang w:eastAsia="es-CO"/>
        </w:rPr>
        <w:t>vii</w:t>
      </w:r>
      <w:proofErr w:type="spellEnd"/>
      <w:r w:rsidRPr="00C31767">
        <w:rPr>
          <w:rFonts w:ascii="Verdana" w:hAnsi="Verdana" w:cs="Arial"/>
          <w:color w:val="000000" w:themeColor="text1"/>
          <w:lang w:eastAsia="es-CO"/>
        </w:rPr>
        <w:t xml:space="preserve">) calidad y correcto funcionamiento de los bienes; y </w:t>
      </w:r>
      <w:proofErr w:type="spellStart"/>
      <w:r w:rsidRPr="00C31767">
        <w:rPr>
          <w:rFonts w:ascii="Verdana" w:hAnsi="Verdana" w:cs="Arial"/>
          <w:color w:val="000000" w:themeColor="text1"/>
          <w:lang w:eastAsia="es-CO"/>
        </w:rPr>
        <w:t>viii</w:t>
      </w:r>
      <w:proofErr w:type="spellEnd"/>
      <w:r w:rsidRPr="00C31767">
        <w:rPr>
          <w:rFonts w:ascii="Verdana" w:hAnsi="Verdana" w:cs="Arial"/>
          <w:color w:val="000000" w:themeColor="text1"/>
          <w:lang w:eastAsia="es-CO"/>
        </w:rPr>
        <w:t>)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w:t>
      </w:r>
      <w:r w:rsidRPr="00C31767">
        <w:rPr>
          <w:rFonts w:ascii="Verdana" w:hAnsi="Verdana" w:cs="Arial"/>
          <w:color w:val="000000" w:themeColor="text1"/>
          <w:vertAlign w:val="superscript"/>
          <w:lang w:eastAsia="es-CO"/>
        </w:rPr>
        <w:footnoteReference w:id="1"/>
      </w:r>
      <w:r w:rsidRPr="00C31767">
        <w:rPr>
          <w:rFonts w:ascii="Verdana" w:hAnsi="Verdana" w:cs="Arial"/>
          <w:color w:val="000000" w:themeColor="text1"/>
          <w:lang w:eastAsia="es-CO"/>
        </w:rPr>
        <w:t xml:space="preserve">.   </w:t>
      </w:r>
    </w:p>
    <w:p w14:paraId="76CD305D" w14:textId="77777777" w:rsidR="00E06A34" w:rsidRPr="00C31767" w:rsidRDefault="00E06A34" w:rsidP="00E06A34">
      <w:pPr>
        <w:spacing w:before="120" w:line="276" w:lineRule="auto"/>
        <w:ind w:firstLine="708"/>
        <w:jc w:val="both"/>
        <w:rPr>
          <w:rFonts w:ascii="Verdana" w:hAnsi="Verdana" w:cs="Arial"/>
          <w:color w:val="000000" w:themeColor="text1"/>
        </w:rPr>
      </w:pPr>
      <w:r w:rsidRPr="00C31767">
        <w:rPr>
          <w:rFonts w:ascii="Verdana" w:hAnsi="Verdana" w:cs="Arial"/>
          <w:color w:val="000000" w:themeColor="text1"/>
          <w:lang w:val="es-MX"/>
        </w:rPr>
        <w:lastRenderedPageBreak/>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C31767">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C31767">
        <w:rPr>
          <w:rFonts w:ascii="Verdana" w:eastAsia="Calibri" w:hAnsi="Verdana" w:cs="Arial"/>
        </w:rPr>
        <w:t xml:space="preserve">. </w:t>
      </w:r>
    </w:p>
    <w:p w14:paraId="38C5683B" w14:textId="77777777" w:rsidR="00E06A34" w:rsidRPr="00C31767" w:rsidRDefault="00E06A34" w:rsidP="00E06A34">
      <w:pPr>
        <w:spacing w:before="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w:t>
      </w:r>
      <w:bookmarkStart w:id="4" w:name="_Hlk173079147"/>
      <w:r w:rsidRPr="00C31767">
        <w:rPr>
          <w:rFonts w:ascii="Verdana" w:eastAsia="Calibri" w:hAnsi="Verdana" w:cs="Arial"/>
          <w:color w:val="000000"/>
          <w:lang w:eastAsia="en-GB"/>
        </w:rPr>
        <w:t xml:space="preserve">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2"/>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a aprobación de las garantías pactadas en el contrato, la entidad debe realizar la respectiva verificación de los amparos 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083C706F" w14:textId="77777777" w:rsidR="00E06A34" w:rsidRDefault="00E06A34" w:rsidP="00E06A34">
      <w:pPr>
        <w:spacing w:before="120" w:after="120" w:line="276" w:lineRule="auto"/>
        <w:ind w:firstLine="709"/>
        <w:jc w:val="both"/>
        <w:rPr>
          <w:rFonts w:ascii="Verdana" w:hAnsi="Verdana" w:cs="Arial"/>
          <w:color w:val="000000" w:themeColor="text1"/>
          <w:lang w:val="es-ES"/>
        </w:rPr>
      </w:pPr>
      <w:r w:rsidRPr="65AD1BB5">
        <w:rPr>
          <w:rFonts w:ascii="Verdana" w:hAnsi="Verdana" w:cs="Arial"/>
          <w:color w:val="000000" w:themeColor="text1"/>
          <w:lang w:val="es-ES"/>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3"/>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65AD1BB5">
        <w:rPr>
          <w:rFonts w:ascii="Verdana" w:hAnsi="Verdana" w:cs="Arial"/>
          <w:color w:val="000000" w:themeColor="text1"/>
          <w:lang w:val="es-ES"/>
        </w:rPr>
        <w:t xml:space="preserve">con la aprobación de las garantías la entidad estatal </w:t>
      </w:r>
      <w:r w:rsidRPr="00C31767">
        <w:rPr>
          <w:rFonts w:ascii="Verdana" w:hAnsi="Verdana" w:cs="Arial"/>
          <w:color w:val="000000" w:themeColor="text1"/>
          <w:lang w:eastAsia="es-CO"/>
        </w:rPr>
        <w:t xml:space="preserve">estará acreditando el cumplimiento de la obligación del artículo 7 de la Ley 1150 de 2007, </w:t>
      </w:r>
      <w:r w:rsidRPr="65AD1BB5">
        <w:rPr>
          <w:rFonts w:ascii="Verdana" w:hAnsi="Verdana" w:cs="Arial"/>
          <w:color w:val="000000" w:themeColor="text1"/>
          <w:lang w:val="es-ES"/>
        </w:rPr>
        <w:t xml:space="preserve">y entonces el contrato podrá ejecutarse, siempre que se cumplan los </w:t>
      </w:r>
      <w:r w:rsidRPr="65AD1BB5">
        <w:rPr>
          <w:rFonts w:ascii="Verdana" w:hAnsi="Verdana" w:cs="Arial"/>
          <w:color w:val="000000" w:themeColor="text1"/>
          <w:lang w:val="es-ES"/>
        </w:rPr>
        <w:lastRenderedPageBreak/>
        <w:t xml:space="preserve">demás requisitos establece el artículo 41 de la Ley 80 de 1993, para efectos de </w:t>
      </w:r>
      <w:r w:rsidRPr="00620CDA">
        <w:rPr>
          <w:rFonts w:ascii="Verdana" w:hAnsi="Verdana" w:cs="Arial"/>
          <w:color w:val="000000" w:themeColor="text1"/>
          <w:lang w:val="es-ES"/>
        </w:rPr>
        <w:t xml:space="preserve">su posterior liquidación. </w:t>
      </w:r>
    </w:p>
    <w:p w14:paraId="11B2135D" w14:textId="77777777" w:rsidR="00E06A34" w:rsidRPr="001C5A52" w:rsidRDefault="00E06A34" w:rsidP="00E06A34">
      <w:pPr>
        <w:spacing w:before="120" w:after="120" w:line="276" w:lineRule="auto"/>
        <w:ind w:firstLine="709"/>
        <w:jc w:val="both"/>
        <w:rPr>
          <w:rFonts w:ascii="Verdana" w:eastAsia="Calibri" w:hAnsi="Verdana" w:cs="Arial"/>
          <w:color w:val="000000" w:themeColor="text1"/>
          <w:lang w:val="es-ES" w:eastAsia="en-GB"/>
        </w:rPr>
      </w:pPr>
      <w:r w:rsidRPr="001C5A52">
        <w:rPr>
          <w:rFonts w:ascii="Verdana" w:eastAsia="Calibri" w:hAnsi="Verdana" w:cs="Arial"/>
          <w:color w:val="000000" w:themeColor="text1"/>
          <w:lang w:val="es-ES" w:eastAsia="en-GB"/>
        </w:rPr>
        <w:t xml:space="preserve">En este marco normativo, resulta fundamental distinguir entre las exigencias que configuran el perfeccionamiento del contrato y aquellas que habilitan su ejecución efectiva. </w:t>
      </w:r>
      <w:r>
        <w:rPr>
          <w:rFonts w:ascii="Verdana" w:eastAsia="Calibri" w:hAnsi="Verdana" w:cs="Arial"/>
          <w:color w:val="000000" w:themeColor="text1"/>
          <w:lang w:val="es-ES" w:eastAsia="en-GB"/>
        </w:rPr>
        <w:t>E</w:t>
      </w:r>
      <w:r w:rsidRPr="001722EB">
        <w:rPr>
          <w:rFonts w:ascii="Verdana" w:eastAsia="Calibri" w:hAnsi="Verdana" w:cs="Arial"/>
          <w:color w:val="000000"/>
          <w:lang w:val="es-ES" w:eastAsia="en-GB"/>
        </w:rPr>
        <w:t>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sobre la obligación principal del negocio –es decir, sobre el “objeto”– y sobre la contraprestación, sino que se debe plasmar por escrito.</w:t>
      </w:r>
      <w:r w:rsidRPr="001C5A52">
        <w:rPr>
          <w:rFonts w:ascii="Verdana" w:eastAsia="Calibri" w:hAnsi="Verdana" w:cs="Arial"/>
          <w:color w:val="000000" w:themeColor="text1"/>
          <w:lang w:val="es-ES" w:eastAsia="en-GB"/>
        </w:rPr>
        <w:t xml:space="preserve"> Sin embargo, este acto jurídico no habilita por sí solo el inicio de las obligaciones contractuales. Para ello, se requiere el cumplimiento de requisitos adicionales, entre los cuales la constitución y aprobación de las garantías ocupa un lugar central, como lo establece el artículo 41 de la misma ley.</w:t>
      </w:r>
    </w:p>
    <w:p w14:paraId="779DA3BC" w14:textId="77777777" w:rsidR="00E06A34" w:rsidRPr="00620CDA" w:rsidRDefault="00E06A34" w:rsidP="00E06A34">
      <w:pPr>
        <w:spacing w:before="120" w:after="120" w:line="276" w:lineRule="auto"/>
        <w:ind w:firstLine="709"/>
        <w:jc w:val="both"/>
        <w:rPr>
          <w:rFonts w:ascii="Verdana" w:hAnsi="Verdana" w:cs="Arial"/>
          <w:color w:val="000000" w:themeColor="text1"/>
          <w:lang w:val="es-ES"/>
        </w:rPr>
      </w:pPr>
      <w:r w:rsidRPr="001C5A52">
        <w:rPr>
          <w:rFonts w:ascii="Verdana" w:eastAsia="Calibri" w:hAnsi="Verdana" w:cs="Arial"/>
          <w:color w:val="000000" w:themeColor="text1"/>
          <w:lang w:val="es-ES" w:eastAsia="en-GB"/>
        </w:rPr>
        <w:t>La aprobación de las garantías no es un trámite accesorio, sino una condición sine qua non para que el contrato pueda ejecutarse. En efecto, la garantía aprobada por la entidad estatal constituye el respaldo jurídico y financiero que permite proteger el interés público frente a los riesgos inherentes al cumplimiento contractual. Esta aprobación implica una revisión técnica y jurídica rigurosa, que debe verificar la suficiencia del amparo, la vigencia, la identificación clara del tomador y beneficiario, y la inclusión de las condiciones generales exigidas por el reglamento</w:t>
      </w:r>
      <w:r>
        <w:rPr>
          <w:rFonts w:ascii="Verdana" w:eastAsia="Calibri" w:hAnsi="Verdana" w:cs="Arial"/>
          <w:color w:val="000000" w:themeColor="text1"/>
          <w:lang w:val="es-ES" w:eastAsia="en-GB"/>
        </w:rPr>
        <w:t xml:space="preserve"> tal y como se explicó en párrafos precedentes</w:t>
      </w:r>
      <w:r w:rsidRPr="001C5A52">
        <w:rPr>
          <w:rFonts w:ascii="Verdana" w:eastAsia="Calibri" w:hAnsi="Verdana" w:cs="Arial"/>
          <w:color w:val="000000" w:themeColor="text1"/>
          <w:lang w:val="es-ES" w:eastAsia="en-GB"/>
        </w:rPr>
        <w:t>.</w:t>
      </w:r>
      <w:r>
        <w:rPr>
          <w:rFonts w:ascii="Verdana" w:eastAsia="Calibri" w:hAnsi="Verdana" w:cs="Arial"/>
          <w:color w:val="000000" w:themeColor="text1"/>
          <w:lang w:val="es-ES" w:eastAsia="en-GB"/>
        </w:rPr>
        <w:t xml:space="preserve"> </w:t>
      </w:r>
      <w:r w:rsidRPr="009D2BC8">
        <w:rPr>
          <w:rFonts w:ascii="Verdana" w:eastAsia="Calibri" w:hAnsi="Verdana" w:cs="Arial"/>
          <w:color w:val="000000" w:themeColor="text1"/>
          <w:lang w:val="es-ES" w:eastAsia="en-GB"/>
        </w:rPr>
        <w:t xml:space="preserve"> Por lo tanto, </w:t>
      </w:r>
      <w:r w:rsidRPr="009D2BC8">
        <w:rPr>
          <w:rFonts w:ascii="Verdana" w:hAnsi="Verdana" w:cs="Arial"/>
          <w:color w:val="000000" w:themeColor="text1"/>
          <w:lang w:val="es-ES"/>
        </w:rPr>
        <w:t>solo será válida aquella garantía que se encuentre debidamente aprobada por la entidad estatal.</w:t>
      </w:r>
      <w:r>
        <w:rPr>
          <w:rFonts w:ascii="Verdana" w:hAnsi="Verdana" w:cs="Arial"/>
          <w:color w:val="000000" w:themeColor="text1"/>
          <w:lang w:val="es-ES"/>
        </w:rPr>
        <w:t xml:space="preserve"> </w:t>
      </w:r>
    </w:p>
    <w:bookmarkEnd w:id="4"/>
    <w:p w14:paraId="759F520A" w14:textId="77777777" w:rsidR="00E06A34" w:rsidRPr="00F50B9E" w:rsidRDefault="00E06A34" w:rsidP="00E06A34">
      <w:pPr>
        <w:spacing w:after="120" w:line="276" w:lineRule="auto"/>
        <w:ind w:firstLine="709"/>
        <w:jc w:val="both"/>
        <w:rPr>
          <w:rFonts w:ascii="Verdana" w:eastAsia="Times New Roman" w:hAnsi="Verdana" w:cs="Arial"/>
          <w:lang w:eastAsia="es-ES_tradnl"/>
        </w:rPr>
      </w:pPr>
      <w:proofErr w:type="spellStart"/>
      <w:r>
        <w:rPr>
          <w:rFonts w:ascii="Verdana" w:eastAsia="Times New Roman" w:hAnsi="Verdana" w:cs="Arial"/>
          <w:lang w:eastAsia="es-ES_tradnl"/>
        </w:rPr>
        <w:t>ii</w:t>
      </w:r>
      <w:proofErr w:type="spellEnd"/>
      <w:r>
        <w:rPr>
          <w:rFonts w:ascii="Verdana" w:eastAsia="Times New Roman" w:hAnsi="Verdana" w:cs="Arial"/>
          <w:lang w:eastAsia="es-ES_tradnl"/>
        </w:rPr>
        <w:t xml:space="preserve">. </w:t>
      </w:r>
      <w:r w:rsidRPr="00F50B9E">
        <w:rPr>
          <w:rFonts w:ascii="Verdana" w:eastAsia="Times New Roman" w:hAnsi="Verdana" w:cs="Arial"/>
          <w:lang w:eastAsia="es-ES_tradnl"/>
        </w:rPr>
        <w:t xml:space="preserve">Explicado el contexto general de las garantías en la contratación estatal, a continuación, se analizará lo previsto en el artículo 2.2.1.2.3.1.3 del Decreto 1082 de 2015, que regula la </w:t>
      </w:r>
      <w:r w:rsidRPr="00F50B9E">
        <w:rPr>
          <w:rFonts w:ascii="Verdana" w:eastAsia="Times New Roman" w:hAnsi="Verdana" w:cs="Arial"/>
          <w:i/>
          <w:iCs/>
          <w:lang w:eastAsia="es-ES_tradnl"/>
        </w:rPr>
        <w:t>indivisibilidad</w:t>
      </w:r>
      <w:r w:rsidRPr="00F50B9E">
        <w:rPr>
          <w:rFonts w:ascii="Verdana" w:eastAsia="Times New Roman" w:hAnsi="Verdana" w:cs="Arial"/>
          <w:lang w:eastAsia="es-ES_tradnl"/>
        </w:rPr>
        <w:t xml:space="preserve"> de la garantía. En relación con esta exigencia es importante mencionar que, por regla general, un contrato estatal debe estar amparado mediante una sola garantía, sin perjuicio de algunas excepciones, como la que se deriva de la norma analizada. En efecto, en los contratos cuyo plazo de ejecución sea mayor a cinco (5) años se podrá dividir la garantía, tal como lo prevé el Decreto 1082 de 2015: “La garantía de cobertura del Riesgo es indivisible. Sin embargo, en los contratos con un plazo mayor a cinco (5) años las garantías pueden cubrir los Riesgos de la Etapa del Contrato o del Periodo Contractual, de acuerdo con lo previsto en el contrato”. </w:t>
      </w:r>
    </w:p>
    <w:p w14:paraId="7C1B3574" w14:textId="77777777" w:rsidR="00E06A34" w:rsidRPr="005069C9" w:rsidRDefault="00E06A34" w:rsidP="00E06A34">
      <w:pPr>
        <w:spacing w:after="120" w:line="276" w:lineRule="auto"/>
        <w:ind w:firstLine="709"/>
        <w:jc w:val="both"/>
        <w:rPr>
          <w:rFonts w:ascii="Verdana" w:eastAsia="Times New Roman" w:hAnsi="Verdana" w:cs="Arial"/>
          <w:lang w:eastAsia="es-ES_tradnl"/>
        </w:rPr>
      </w:pPr>
      <w:r w:rsidRPr="005069C9">
        <w:rPr>
          <w:rFonts w:ascii="Verdana" w:eastAsia="Times New Roman" w:hAnsi="Verdana" w:cs="Arial"/>
          <w:lang w:eastAsia="es-ES_tradnl"/>
        </w:rPr>
        <w:lastRenderedPageBreak/>
        <w:t xml:space="preserve">Ahora bien, </w:t>
      </w:r>
      <w:r>
        <w:rPr>
          <w:rFonts w:ascii="Verdana" w:eastAsia="Times New Roman" w:hAnsi="Verdana" w:cs="Arial"/>
          <w:lang w:eastAsia="es-ES_tradnl"/>
        </w:rPr>
        <w:t xml:space="preserve">para aquellos contratos con un plazo mayor a cinco (5) años, </w:t>
      </w:r>
      <w:r w:rsidRPr="005069C9">
        <w:rPr>
          <w:rFonts w:ascii="Verdana" w:eastAsia="Times New Roman" w:hAnsi="Verdana" w:cs="Arial"/>
          <w:lang w:eastAsia="es-ES_tradnl"/>
        </w:rPr>
        <w:t>el artículo 2.2.1.2.3.1.3 del Decreto 1082 de 2015 establece que la Entidad Estatal en el pliego de condiciones debe indicar las garantías que exige en cada etapa del contrato o periodo contractual, de acuerdo con las siguientes reglas</w:t>
      </w:r>
      <w:r w:rsidRPr="005069C9">
        <w:rPr>
          <w:rFonts w:ascii="Verdana" w:eastAsia="Times New Roman" w:hAnsi="Verdana" w:cs="Arial"/>
          <w:vertAlign w:val="superscript"/>
          <w:lang w:eastAsia="es-ES_tradnl"/>
        </w:rPr>
        <w:footnoteReference w:id="4"/>
      </w:r>
      <w:r w:rsidRPr="005069C9">
        <w:rPr>
          <w:rFonts w:ascii="Verdana" w:eastAsia="Times New Roman" w:hAnsi="Verdana" w:cs="Arial"/>
          <w:lang w:eastAsia="es-ES_tradnl"/>
        </w:rPr>
        <w:t xml:space="preserve">: </w:t>
      </w:r>
    </w:p>
    <w:p w14:paraId="3ADE8BAB" w14:textId="77777777" w:rsidR="00E06A34" w:rsidRPr="005069C9" w:rsidRDefault="00E06A34" w:rsidP="00E06A34">
      <w:pPr>
        <w:spacing w:after="120" w:line="276" w:lineRule="auto"/>
        <w:ind w:firstLine="709"/>
        <w:jc w:val="both"/>
        <w:rPr>
          <w:rFonts w:ascii="Verdana" w:eastAsia="Times New Roman" w:hAnsi="Verdana" w:cs="Arial"/>
          <w:lang w:eastAsia="es-ES_tradnl"/>
        </w:rPr>
      </w:pPr>
      <w:r w:rsidRPr="005069C9">
        <w:rPr>
          <w:rFonts w:ascii="Verdana" w:eastAsia="Times New Roman" w:hAnsi="Verdana" w:cs="Arial"/>
          <w:lang w:eastAsia="es-ES_tradnl"/>
        </w:rPr>
        <w:t xml:space="preserve">i) La Entidad Estatal solicitará una garantía independiente para cada etapa del contrato o cada periodo contractual o cada unidad funcional en el caso de las Asociaciones Público-Privadas, cuya vigencia debe ser por lo menos la misma establecida para la etapa del contrato o periodo contractual respectivo. </w:t>
      </w:r>
    </w:p>
    <w:p w14:paraId="06A0E196" w14:textId="77777777" w:rsidR="00E06A34" w:rsidRPr="005069C9" w:rsidRDefault="00E06A34" w:rsidP="00E06A34">
      <w:pPr>
        <w:spacing w:after="120" w:line="276" w:lineRule="auto"/>
        <w:ind w:firstLine="709"/>
        <w:jc w:val="both"/>
        <w:rPr>
          <w:rFonts w:ascii="Verdana" w:eastAsia="Times New Roman" w:hAnsi="Verdana" w:cs="Arial"/>
          <w:lang w:eastAsia="es-ES_tradnl"/>
        </w:rPr>
      </w:pPr>
      <w:proofErr w:type="spellStart"/>
      <w:r w:rsidRPr="005069C9">
        <w:rPr>
          <w:rFonts w:ascii="Verdana" w:eastAsia="Times New Roman" w:hAnsi="Verdana" w:cs="Arial"/>
          <w:lang w:eastAsia="es-ES_tradnl"/>
        </w:rPr>
        <w:t>ii</w:t>
      </w:r>
      <w:proofErr w:type="spellEnd"/>
      <w:r w:rsidRPr="005069C9">
        <w:rPr>
          <w:rFonts w:ascii="Verdana" w:eastAsia="Times New Roman" w:hAnsi="Verdana" w:cs="Arial"/>
          <w:lang w:eastAsia="es-ES_tradnl"/>
        </w:rPr>
        <w:t xml:space="preserve">)  La entidad calculará el valor asegurado para cada etapa del contrato, periodo contractual o unidad funcional, tomando el valor de las obligaciones del contratista para cada etapa del contrato, periodo contractual o unidad funcional y de acuerdo con las reglas de suficiencia que establece el Decreto 1082 de 2015 frente a los diferentes amparos de las garantías. </w:t>
      </w:r>
    </w:p>
    <w:p w14:paraId="64FAEF63" w14:textId="77777777" w:rsidR="00E06A34" w:rsidRPr="00F166DB" w:rsidRDefault="00E06A34" w:rsidP="00E06A34">
      <w:pPr>
        <w:spacing w:after="120" w:line="276" w:lineRule="auto"/>
        <w:ind w:firstLine="709"/>
        <w:jc w:val="both"/>
        <w:rPr>
          <w:rFonts w:ascii="Verdana" w:eastAsia="Times New Roman" w:hAnsi="Verdana" w:cs="Arial"/>
          <w:lang w:eastAsia="es-ES_tradnl"/>
        </w:rPr>
      </w:pPr>
      <w:r w:rsidRPr="005069C9">
        <w:rPr>
          <w:rFonts w:ascii="Verdana" w:eastAsia="Times New Roman" w:hAnsi="Verdana" w:cs="Arial"/>
          <w:lang w:eastAsia="es-ES_tradnl"/>
        </w:rPr>
        <w:t xml:space="preserve">Conforme a lo anterior, si la Entidad Estatal celebra un contrato cuyo plazo de ejecución es mayor a cinco (5) años, puede pactar en el contrato que las garantías cubran los riegos de cada </w:t>
      </w:r>
      <w:r w:rsidRPr="005069C9">
        <w:rPr>
          <w:rFonts w:ascii="Verdana" w:eastAsia="Times New Roman" w:hAnsi="Verdana" w:cs="Arial"/>
          <w:i/>
          <w:iCs/>
          <w:lang w:eastAsia="es-ES_tradnl"/>
        </w:rPr>
        <w:t>etapa del contrato</w:t>
      </w:r>
      <w:r w:rsidRPr="005069C9">
        <w:rPr>
          <w:rFonts w:ascii="Verdana" w:eastAsia="Times New Roman" w:hAnsi="Verdana" w:cs="Arial"/>
          <w:lang w:eastAsia="es-ES_tradnl"/>
        </w:rPr>
        <w:t xml:space="preserve">, </w:t>
      </w:r>
      <w:r w:rsidRPr="005069C9">
        <w:rPr>
          <w:rFonts w:ascii="Verdana" w:eastAsia="Times New Roman" w:hAnsi="Verdana" w:cs="Arial"/>
          <w:i/>
          <w:iCs/>
          <w:lang w:eastAsia="es-ES_tradnl"/>
        </w:rPr>
        <w:t xml:space="preserve">periodo contractual o unidad </w:t>
      </w:r>
      <w:r w:rsidRPr="005069C9">
        <w:rPr>
          <w:rFonts w:ascii="Verdana" w:eastAsia="Times New Roman" w:hAnsi="Verdana" w:cs="Arial"/>
          <w:lang w:eastAsia="es-ES_tradnl"/>
        </w:rPr>
        <w:t xml:space="preserve">funcional, caso en el cual el pliego de condiciones regulará las garantías teniendo en cuenta lo siguiente: i) se identificará la garantía que ampara los riesgos para cada etapa del contrato o periodo contractual, pero, además, la vigencia que rige para cada uno –que en todo caso no puede ser menor al plazo de ejecución definido para cada etapa del contrato o periodo contractual–, y </w:t>
      </w:r>
      <w:proofErr w:type="spellStart"/>
      <w:r w:rsidRPr="005069C9">
        <w:rPr>
          <w:rFonts w:ascii="Verdana" w:eastAsia="Times New Roman" w:hAnsi="Verdana" w:cs="Arial"/>
          <w:lang w:eastAsia="es-ES_tradnl"/>
        </w:rPr>
        <w:t>ii</w:t>
      </w:r>
      <w:proofErr w:type="spellEnd"/>
      <w:r w:rsidRPr="005069C9">
        <w:rPr>
          <w:rFonts w:ascii="Verdana" w:eastAsia="Times New Roman" w:hAnsi="Verdana" w:cs="Arial"/>
          <w:lang w:eastAsia="es-ES_tradnl"/>
        </w:rPr>
        <w:t xml:space="preserve">) el monto </w:t>
      </w:r>
      <w:r w:rsidRPr="00F166DB">
        <w:rPr>
          <w:rFonts w:ascii="Verdana" w:eastAsia="Times New Roman" w:hAnsi="Verdana" w:cs="Arial"/>
          <w:lang w:eastAsia="es-ES_tradnl"/>
        </w:rPr>
        <w:t xml:space="preserve">de los amparos se calculará tomando el valor de las obligaciones del contratista para cada etapa del contrato o periodo contractual, y además, regirán </w:t>
      </w:r>
      <w:r w:rsidRPr="00F166DB">
        <w:rPr>
          <w:rFonts w:ascii="Verdana" w:eastAsia="Times New Roman" w:hAnsi="Verdana" w:cs="Arial"/>
          <w:lang w:eastAsia="es-ES_tradnl"/>
        </w:rPr>
        <w:lastRenderedPageBreak/>
        <w:t xml:space="preserve">las reglas de suficiencia definidas en los artículos 2.2.1.2.3.1.9. al 2.2.1.2.3.1.17. del Decreto 1082 de 2015. </w:t>
      </w:r>
    </w:p>
    <w:p w14:paraId="09BE9624" w14:textId="77777777" w:rsidR="00E06A34" w:rsidRPr="00F166DB" w:rsidRDefault="00E06A34" w:rsidP="00E06A34">
      <w:pPr>
        <w:spacing w:after="120" w:line="276" w:lineRule="auto"/>
        <w:ind w:firstLine="709"/>
        <w:contextualSpacing/>
        <w:jc w:val="both"/>
        <w:rPr>
          <w:rFonts w:ascii="Verdana" w:eastAsia="Calibri" w:hAnsi="Verdana" w:cs="Times New Roman"/>
        </w:rPr>
      </w:pPr>
      <w:r w:rsidRPr="00F166DB">
        <w:rPr>
          <w:rFonts w:ascii="Verdana" w:eastAsia="Calibri" w:hAnsi="Verdana" w:cs="Times New Roman"/>
        </w:rPr>
        <w:t>Ahora bien, definidas las reglas para solicitar las garantías en el pliego de condiciones, surge el siguiente interrogante: ¿cuáles obligaciones asume el contratista para amparar los riesgos de cada etapa del contrato o periodo contractual? Atendiendo el mandato previsto en el artículo 2.2.1.2.3.1.3. del Decreto 1082 de 2015, antes del vencimiento de cada etapa del contrato o cada periodo contractual, el contratista está obligado a obtener una nueva garantía que ampare el cumplimiento de sus obligaciones para la etapa del contrato o periodo contractual siguiente. Esto significa que antes del vencimiento de la etapa del contrato que se está ejecutando, el contratista debe contar con la nueva garantía para amparar los riesgos de la siguiente etapa.</w:t>
      </w:r>
    </w:p>
    <w:p w14:paraId="6F928924" w14:textId="77777777" w:rsidR="00E06A34" w:rsidRPr="00F166DB" w:rsidRDefault="00E06A34" w:rsidP="00E06A34">
      <w:pPr>
        <w:spacing w:after="120" w:line="276" w:lineRule="auto"/>
        <w:ind w:firstLine="709"/>
        <w:contextualSpacing/>
        <w:jc w:val="both"/>
        <w:rPr>
          <w:rFonts w:ascii="Verdana" w:eastAsia="Calibri" w:hAnsi="Verdana" w:cs="Times New Roman"/>
        </w:rPr>
      </w:pPr>
    </w:p>
    <w:p w14:paraId="63A40E68" w14:textId="77777777" w:rsidR="00E06A34" w:rsidRPr="00F50B9E" w:rsidRDefault="00E06A34" w:rsidP="00E06A34">
      <w:pPr>
        <w:spacing w:before="120" w:after="0" w:line="276" w:lineRule="auto"/>
        <w:ind w:firstLine="703"/>
        <w:jc w:val="both"/>
        <w:rPr>
          <w:rFonts w:ascii="Verdana" w:eastAsia="Times New Roman" w:hAnsi="Verdana" w:cs="Arial"/>
          <w:lang w:eastAsia="es-ES_tradnl"/>
        </w:rPr>
      </w:pPr>
      <w:r>
        <w:rPr>
          <w:rFonts w:ascii="Verdana" w:eastAsia="Times New Roman" w:hAnsi="Verdana" w:cs="Arial"/>
          <w:lang w:eastAsia="es-ES_tradnl"/>
        </w:rPr>
        <w:t>E</w:t>
      </w:r>
      <w:r w:rsidRPr="00F50B9E">
        <w:rPr>
          <w:rFonts w:ascii="Verdana" w:eastAsia="Times New Roman" w:hAnsi="Verdana" w:cs="Arial"/>
          <w:lang w:eastAsia="es-ES_tradnl"/>
        </w:rPr>
        <w:t xml:space="preserve">n caso de que el contratista no cuente con la nueva garantía antes del vencimiento de cada etapa o periodo contractual aplicarán las reglas de restablecimiento de la garantía definidas en el artículo 2.2.1.2.3.1.18. del Decreto 1082 de 2015, el cual señala: </w:t>
      </w:r>
    </w:p>
    <w:p w14:paraId="27C98E04" w14:textId="77777777" w:rsidR="00E06A34" w:rsidRPr="00F50B9E" w:rsidRDefault="00E06A34" w:rsidP="00E06A34">
      <w:pPr>
        <w:spacing w:after="0" w:line="276" w:lineRule="auto"/>
        <w:ind w:firstLine="703"/>
        <w:jc w:val="both"/>
        <w:rPr>
          <w:rFonts w:ascii="Verdana" w:eastAsia="Times New Roman" w:hAnsi="Verdana" w:cs="Arial"/>
          <w:lang w:eastAsia="es-ES_tradnl"/>
        </w:rPr>
      </w:pPr>
    </w:p>
    <w:p w14:paraId="7A59E7F2" w14:textId="77777777" w:rsidR="00E06A34" w:rsidRPr="00F50B9E" w:rsidRDefault="00E06A34" w:rsidP="00E06A34">
      <w:pPr>
        <w:spacing w:after="0" w:line="240" w:lineRule="auto"/>
        <w:ind w:left="709" w:right="709"/>
        <w:contextualSpacing/>
        <w:jc w:val="both"/>
        <w:rPr>
          <w:rFonts w:ascii="Verdana" w:hAnsi="Verdana" w:cs="Arial"/>
          <w:sz w:val="20"/>
          <w:szCs w:val="20"/>
        </w:rPr>
      </w:pPr>
      <w:r w:rsidRPr="00F50B9E">
        <w:rPr>
          <w:rFonts w:ascii="Verdana" w:hAnsi="Verdana" w:cs="Arial"/>
          <w:sz w:val="20"/>
          <w:szCs w:val="20"/>
          <w:lang w:val="es-MX"/>
        </w:rPr>
        <w:t xml:space="preserve">“ARTÍCULO 2.2.1.2.3.1.18. Restablecimiento o ampliación de la garantía. </w:t>
      </w:r>
      <w:r w:rsidRPr="00F50B9E">
        <w:rPr>
          <w:rFonts w:ascii="Verdana" w:hAnsi="Verdana" w:cs="Arial"/>
          <w:sz w:val="20"/>
          <w:szCs w:val="20"/>
        </w:rPr>
        <w:t>Cuando con ocasión de las reclamaciones efectuadas por la Entidad Estatal, el valor de la garantía se reduce, la Entidad Estatal debe solicitar al contratista restablecer el valor inicial de la garantía.</w:t>
      </w:r>
    </w:p>
    <w:p w14:paraId="66242D77" w14:textId="77777777" w:rsidR="00E06A34" w:rsidRPr="00F50B9E" w:rsidRDefault="00E06A34" w:rsidP="00E06A34">
      <w:pPr>
        <w:spacing w:after="0" w:line="240" w:lineRule="auto"/>
        <w:ind w:left="709" w:right="709" w:firstLine="709"/>
        <w:contextualSpacing/>
        <w:jc w:val="both"/>
        <w:rPr>
          <w:rFonts w:ascii="Verdana" w:hAnsi="Verdana" w:cs="Arial"/>
          <w:sz w:val="20"/>
          <w:szCs w:val="20"/>
        </w:rPr>
      </w:pPr>
    </w:p>
    <w:p w14:paraId="14F1267E" w14:textId="77777777" w:rsidR="00E06A34" w:rsidRPr="00F50B9E" w:rsidRDefault="00E06A34" w:rsidP="00E06A34">
      <w:pPr>
        <w:spacing w:after="0" w:line="240" w:lineRule="auto"/>
        <w:ind w:left="709" w:right="709"/>
        <w:contextualSpacing/>
        <w:jc w:val="both"/>
        <w:rPr>
          <w:rFonts w:ascii="Verdana" w:hAnsi="Verdana" w:cs="Arial"/>
          <w:sz w:val="20"/>
          <w:szCs w:val="20"/>
        </w:rPr>
      </w:pPr>
      <w:r w:rsidRPr="00F50B9E">
        <w:rPr>
          <w:rFonts w:ascii="Verdana" w:hAnsi="Verdana" w:cs="Arial"/>
          <w:sz w:val="20"/>
          <w:szCs w:val="20"/>
        </w:rPr>
        <w:t>Cuando el contrato es modificado para incrementar su valor o prorrogar su plazo, la Entidad Estatal debe exigir al contratista ampliar el valor de la garantía otorgada o ampliar su vigencia, según el caso.</w:t>
      </w:r>
    </w:p>
    <w:p w14:paraId="025E77B5" w14:textId="77777777" w:rsidR="00E06A34" w:rsidRPr="00F50B9E" w:rsidRDefault="00E06A34" w:rsidP="00E06A34">
      <w:pPr>
        <w:spacing w:after="0" w:line="240" w:lineRule="auto"/>
        <w:ind w:left="709" w:right="709"/>
        <w:contextualSpacing/>
        <w:jc w:val="both"/>
        <w:rPr>
          <w:rFonts w:ascii="Verdana" w:hAnsi="Verdana" w:cs="Arial"/>
          <w:i/>
          <w:iCs/>
          <w:sz w:val="20"/>
          <w:szCs w:val="20"/>
        </w:rPr>
      </w:pPr>
    </w:p>
    <w:p w14:paraId="7D231C9D" w14:textId="77777777" w:rsidR="00E06A34" w:rsidRPr="00F50B9E" w:rsidRDefault="00E06A34" w:rsidP="00E06A34">
      <w:pPr>
        <w:spacing w:after="0" w:line="240" w:lineRule="auto"/>
        <w:ind w:left="709" w:right="709"/>
        <w:contextualSpacing/>
        <w:jc w:val="both"/>
        <w:rPr>
          <w:rFonts w:ascii="Verdana" w:hAnsi="Verdana" w:cs="Arial"/>
          <w:sz w:val="20"/>
          <w:szCs w:val="20"/>
        </w:rPr>
      </w:pPr>
      <w:r w:rsidRPr="00F50B9E">
        <w:rPr>
          <w:rFonts w:ascii="Verdana" w:hAnsi="Verdana" w:cs="Arial"/>
          <w:i/>
          <w:iCs/>
          <w:sz w:val="20"/>
          <w:szCs w:val="20"/>
        </w:rPr>
        <w:t>La Entidad Estatal debe prever en los pliegos de condiciones para la Contratación, el mecanismo que proceda para restablecer la garantía, cuando el contratista incumpla su obligación de obtenerla, ampliarla o adicionarla</w:t>
      </w:r>
      <w:r w:rsidRPr="00F50B9E">
        <w:rPr>
          <w:rFonts w:ascii="Verdana" w:hAnsi="Verdana" w:cs="Arial"/>
          <w:sz w:val="20"/>
          <w:szCs w:val="20"/>
        </w:rPr>
        <w:t>”. (Cursivas fuera de texto).</w:t>
      </w:r>
    </w:p>
    <w:p w14:paraId="470DA647" w14:textId="77777777" w:rsidR="00E06A34" w:rsidRPr="00F50B9E" w:rsidRDefault="00E06A34" w:rsidP="00E06A34">
      <w:pPr>
        <w:spacing w:after="0" w:line="276" w:lineRule="auto"/>
        <w:ind w:firstLine="703"/>
        <w:jc w:val="both"/>
        <w:rPr>
          <w:rFonts w:ascii="Verdana" w:eastAsia="Times New Roman" w:hAnsi="Verdana" w:cs="Arial"/>
          <w:lang w:eastAsia="es-ES_tradnl"/>
        </w:rPr>
      </w:pPr>
    </w:p>
    <w:p w14:paraId="71B0CA48" w14:textId="77777777" w:rsidR="00E06A34" w:rsidRPr="00F50B9E" w:rsidRDefault="00E06A34" w:rsidP="00E06A34">
      <w:pPr>
        <w:spacing w:after="120" w:line="276" w:lineRule="auto"/>
        <w:ind w:firstLine="703"/>
        <w:jc w:val="both"/>
        <w:rPr>
          <w:rFonts w:ascii="Verdana" w:eastAsia="Times New Roman" w:hAnsi="Verdana" w:cs="Arial"/>
          <w:lang w:eastAsia="es-ES_tradnl"/>
        </w:rPr>
      </w:pPr>
      <w:r w:rsidRPr="00F50B9E">
        <w:rPr>
          <w:rFonts w:ascii="Verdana" w:eastAsia="Times New Roman" w:hAnsi="Verdana" w:cs="Arial"/>
          <w:lang w:eastAsia="es-ES_tradnl"/>
        </w:rPr>
        <w:t xml:space="preserve"> Es decir que la Entidad Estatal debe prever, en el pliego de condiciones, el mecanismo que proceda para restablecer la garantía cuando el contratista incumpla su obligación de obtenerla, ampliarla o adicionarla. </w:t>
      </w:r>
    </w:p>
    <w:p w14:paraId="264D19DA" w14:textId="77777777" w:rsidR="00E06A34" w:rsidRPr="00F50B9E" w:rsidRDefault="00E06A34" w:rsidP="00E06A34">
      <w:pPr>
        <w:spacing w:after="120" w:line="276" w:lineRule="auto"/>
        <w:ind w:firstLine="705"/>
        <w:jc w:val="both"/>
        <w:rPr>
          <w:rFonts w:ascii="Verdana" w:eastAsia="Times New Roman" w:hAnsi="Verdana" w:cs="Arial"/>
          <w:lang w:eastAsia="es-ES_tradnl"/>
        </w:rPr>
      </w:pPr>
      <w:r w:rsidRPr="00F50B9E">
        <w:rPr>
          <w:rFonts w:ascii="Verdana" w:eastAsia="Times New Roman" w:hAnsi="Verdana" w:cs="Arial"/>
          <w:lang w:eastAsia="es-ES_tradnl"/>
        </w:rPr>
        <w:t xml:space="preserve">Al respecto, es importante destacar que el artículo 2.2.1.2.3.1.3 del Decreto 1082 de 2015 regula lo que ocurre cuando el garante de una etapa del contrato o periodo contractual decide no continuar garantizando la etapa del contrato o periodo contractual subsiguiente. En efecto, establece que el garante </w:t>
      </w:r>
      <w:r w:rsidRPr="00F50B9E">
        <w:rPr>
          <w:rFonts w:ascii="Verdana" w:eastAsia="Times New Roman" w:hAnsi="Verdana" w:cs="Arial"/>
          <w:lang w:eastAsia="es-ES_tradnl"/>
        </w:rPr>
        <w:lastRenderedPageBreak/>
        <w:t xml:space="preserve">de la etapa del contrato o periodo contractual asume la obligación de informar su decisión por escrito a la Entidad Estatal garantizada seis (6) meses antes del vencimiento del plazo de la garantía. En todo caso, es importante aclarar que este aviso no afecta la garantía de la etapa del contrato o periodo contractual en ejecución. Ahora bien, si en estos casos el garante no da el aviso con la anticipación mencionada y el contratista no obtiene una nueva garantía, queda obligado a garantizar la etapa del contrato o periodo contractual subsiguiente. </w:t>
      </w:r>
    </w:p>
    <w:p w14:paraId="76E59709" w14:textId="77777777" w:rsidR="00E06A34" w:rsidRPr="00F50B9E" w:rsidRDefault="00E06A34" w:rsidP="00E06A34">
      <w:pPr>
        <w:spacing w:after="120" w:line="276" w:lineRule="auto"/>
        <w:ind w:firstLine="705"/>
        <w:jc w:val="both"/>
        <w:rPr>
          <w:rFonts w:ascii="Verdana" w:eastAsia="Times New Roman" w:hAnsi="Verdana" w:cs="Arial"/>
          <w:shd w:val="clear" w:color="auto" w:fill="FFFFFF"/>
          <w:lang w:val="es-ES_tradnl" w:eastAsia="es-ES_tradnl"/>
        </w:rPr>
      </w:pPr>
      <w:r w:rsidRPr="00F50B9E">
        <w:rPr>
          <w:rFonts w:ascii="Verdana" w:eastAsia="Times New Roman" w:hAnsi="Verdana" w:cs="Arial"/>
          <w:lang w:eastAsia="es-ES_tradnl"/>
        </w:rPr>
        <w:t xml:space="preserve">Ahora, en relación con la obligación que tiene a cargo el garante, </w:t>
      </w:r>
      <w:bookmarkStart w:id="5" w:name="_Hlk94774859"/>
      <w:r>
        <w:rPr>
          <w:rFonts w:ascii="Verdana" w:eastAsia="Times New Roman" w:hAnsi="Verdana" w:cs="Arial"/>
          <w:lang w:eastAsia="es-ES_tradnl"/>
        </w:rPr>
        <w:t>e</w:t>
      </w:r>
      <w:r w:rsidRPr="00F50B9E">
        <w:rPr>
          <w:rFonts w:ascii="Verdana" w:eastAsia="Times New Roman" w:hAnsi="Verdana" w:cs="Arial"/>
          <w:shd w:val="clear" w:color="auto" w:fill="FFFFFF"/>
          <w:lang w:val="es-ES_tradnl" w:eastAsia="es-ES_tradnl"/>
        </w:rPr>
        <w:t xml:space="preserve">n los términos del artículo 2.2.1.2.3.1.3. del Decreto 1082 de 2015, si el garante decide no continuar garantizando la etapa del contrato o periodo contractual subsiguiente, asume la obligación de informar su decisión por escrito a la Entidad Estatal garantizada seis (6) meses antes del vencimiento del plazo de la garantía. Esto quiere decir que son dos (2) requisitos los que establece la norma: i) avisar con un tiempo de antelación de seis (6) meses antes de la fecha de vencimiento del plazo de la garantía e </w:t>
      </w:r>
      <w:proofErr w:type="spellStart"/>
      <w:r w:rsidRPr="00F50B9E">
        <w:rPr>
          <w:rFonts w:ascii="Verdana" w:eastAsia="Times New Roman" w:hAnsi="Verdana" w:cs="Arial"/>
          <w:shd w:val="clear" w:color="auto" w:fill="FFFFFF"/>
          <w:lang w:val="es-ES_tradnl" w:eastAsia="es-ES_tradnl"/>
        </w:rPr>
        <w:t>ii</w:t>
      </w:r>
      <w:proofErr w:type="spellEnd"/>
      <w:r w:rsidRPr="00F50B9E">
        <w:rPr>
          <w:rFonts w:ascii="Verdana" w:eastAsia="Times New Roman" w:hAnsi="Verdana" w:cs="Arial"/>
          <w:shd w:val="clear" w:color="auto" w:fill="FFFFFF"/>
          <w:lang w:val="es-ES_tradnl" w:eastAsia="es-ES_tradnl"/>
        </w:rPr>
        <w:t xml:space="preserve">) informar por </w:t>
      </w:r>
      <w:r w:rsidRPr="00F50B9E">
        <w:rPr>
          <w:rFonts w:ascii="Verdana" w:eastAsia="Times New Roman" w:hAnsi="Verdana" w:cs="Arial"/>
          <w:i/>
          <w:iCs/>
          <w:shd w:val="clear" w:color="auto" w:fill="FFFFFF"/>
          <w:lang w:val="es-ES_tradnl" w:eastAsia="es-ES_tradnl"/>
        </w:rPr>
        <w:t>escrito</w:t>
      </w:r>
      <w:r w:rsidRPr="00F50B9E">
        <w:rPr>
          <w:rFonts w:ascii="Verdana" w:eastAsia="Times New Roman" w:hAnsi="Verdana" w:cs="Arial"/>
          <w:shd w:val="clear" w:color="auto" w:fill="FFFFFF"/>
          <w:lang w:val="es-ES_tradnl" w:eastAsia="es-ES_tradnl"/>
        </w:rPr>
        <w:t xml:space="preserve"> a la entidad; es decir, que no se tendrán en cuenta las manifestaciones verbales. Frente a la inquietud particular si el garante tiene el deber de justificar su decisión de no continuar garantizando la etapa del contrato o periodo contractual subsiguiente, esta Agencia resaltó en el concepto C-036 de 2022 que el artículo 2.2.1.2.3.1.3. del Decreto 1082 de 2015 no establece este requisito. En efecto, la exigencia de </w:t>
      </w:r>
      <w:r w:rsidRPr="00F50B9E">
        <w:rPr>
          <w:rFonts w:ascii="Verdana" w:eastAsia="Times New Roman" w:hAnsi="Verdana" w:cs="Arial"/>
          <w:i/>
          <w:iCs/>
          <w:shd w:val="clear" w:color="auto" w:fill="FFFFFF"/>
          <w:lang w:val="es-ES_tradnl" w:eastAsia="es-ES_tradnl"/>
        </w:rPr>
        <w:t>justificar</w:t>
      </w:r>
      <w:r w:rsidRPr="00F50B9E">
        <w:rPr>
          <w:rFonts w:ascii="Verdana" w:eastAsia="Times New Roman" w:hAnsi="Verdana" w:cs="Arial"/>
          <w:shd w:val="clear" w:color="auto" w:fill="FFFFFF"/>
          <w:lang w:val="es-ES_tradnl" w:eastAsia="es-ES_tradnl"/>
        </w:rPr>
        <w:t xml:space="preserve"> la decisión de no continuar garantizando el contrato no es un requisito que se derive del Decreto 1082 de 2015; por el contrario, la norma citada establece que cuando el garante decide no continuar garantizando la etapa o periodo contractual siguiente “debe informar su decisión por escrito”, esto es, que basta con comunicar dicha decisión, sin que se establezcan requisitos adicionales o que tal decisión se someta a una justificación o razón particular. En tal sentido, la exigencia de una justificación específica, al no originarse en el ordenamiento jurídico afectaría la libertad contractual del garante de decidir si desea celebrar un nuevo negocio jurídico para amparar los riesgos de la etapa del contrato subsiguiente. Lo anterior, sin perjuicio de la obligación que tiene el </w:t>
      </w:r>
      <w:r w:rsidRPr="00F50B9E">
        <w:rPr>
          <w:rFonts w:ascii="Verdana" w:eastAsia="Times New Roman" w:hAnsi="Verdana" w:cs="Arial"/>
          <w:i/>
          <w:iCs/>
          <w:shd w:val="clear" w:color="auto" w:fill="FFFFFF"/>
          <w:lang w:val="es-ES_tradnl" w:eastAsia="es-ES_tradnl"/>
        </w:rPr>
        <w:t>contratista</w:t>
      </w:r>
      <w:r w:rsidRPr="00F50B9E">
        <w:rPr>
          <w:rFonts w:ascii="Verdana" w:eastAsia="Times New Roman" w:hAnsi="Verdana" w:cs="Arial"/>
          <w:shd w:val="clear" w:color="auto" w:fill="FFFFFF"/>
          <w:lang w:val="es-ES_tradnl" w:eastAsia="es-ES_tradnl"/>
        </w:rPr>
        <w:t xml:space="preserve"> de contar con la nueva garantía que ampare la siguiente etapa o periodo contractual.</w:t>
      </w:r>
    </w:p>
    <w:p w14:paraId="60E0221D" w14:textId="77777777" w:rsidR="00E06A34" w:rsidRPr="00F50B9E" w:rsidRDefault="00E06A34" w:rsidP="00E06A34">
      <w:pPr>
        <w:spacing w:after="120" w:line="276" w:lineRule="auto"/>
        <w:ind w:firstLine="705"/>
        <w:jc w:val="both"/>
        <w:rPr>
          <w:rFonts w:ascii="Verdana" w:eastAsia="Times New Roman" w:hAnsi="Verdana" w:cs="Arial"/>
          <w:shd w:val="clear" w:color="auto" w:fill="FFFFFF"/>
          <w:lang w:val="es-ES" w:eastAsia="es-ES"/>
        </w:rPr>
      </w:pPr>
      <w:r w:rsidRPr="00F50B9E">
        <w:rPr>
          <w:rFonts w:ascii="Verdana" w:eastAsia="Times New Roman" w:hAnsi="Verdana" w:cs="Arial"/>
          <w:shd w:val="clear" w:color="auto" w:fill="FFFFFF"/>
          <w:lang w:val="es-ES" w:eastAsia="es-ES"/>
        </w:rPr>
        <w:t xml:space="preserve">Como se explicó antes, es importante tener en cuenta que el supuesto de dividir la garantía en diferentes etapas contractuales involucra que se cuente con una garantía independiente para cada etapa del contrato o periodo contractual. Esto implica que para cada etapa o periodo se contará con una </w:t>
      </w:r>
      <w:r w:rsidRPr="00F50B9E">
        <w:rPr>
          <w:rFonts w:ascii="Verdana" w:eastAsia="Times New Roman" w:hAnsi="Verdana" w:cs="Arial"/>
          <w:shd w:val="clear" w:color="auto" w:fill="FFFFFF"/>
          <w:lang w:val="es-ES" w:eastAsia="es-ES"/>
        </w:rPr>
        <w:lastRenderedPageBreak/>
        <w:t xml:space="preserve">garantía independiente que ampara riegos distintos, y que, además, el valor asegurado también tendrá modificaciones. Es decir, que el garante tiene la autonomía de decidir si asume o no la celebración de un nuevo negocio jurídico, sin necesidad de justificar por qué decide no continuar garantizando la etapa o periodo contractual subsiguiente. </w:t>
      </w:r>
    </w:p>
    <w:p w14:paraId="11899777" w14:textId="77777777" w:rsidR="00E06A34" w:rsidRPr="00F50B9E" w:rsidRDefault="00E06A34" w:rsidP="00E06A34">
      <w:pPr>
        <w:spacing w:after="120" w:line="276" w:lineRule="auto"/>
        <w:ind w:firstLine="705"/>
        <w:jc w:val="both"/>
        <w:rPr>
          <w:rFonts w:ascii="Verdana" w:eastAsia="Times New Roman" w:hAnsi="Verdana" w:cs="Arial"/>
          <w:shd w:val="clear" w:color="auto" w:fill="FFFFFF"/>
          <w:lang w:val="es-ES_tradnl" w:eastAsia="es-ES_tradnl"/>
        </w:rPr>
      </w:pPr>
      <w:r w:rsidRPr="00F50B9E">
        <w:rPr>
          <w:rFonts w:ascii="Verdana" w:eastAsia="Times New Roman" w:hAnsi="Verdana" w:cs="Arial"/>
          <w:shd w:val="clear" w:color="auto" w:fill="FFFFFF"/>
          <w:lang w:val="es-ES_tradnl" w:eastAsia="es-ES_tradnl"/>
        </w:rPr>
        <w:t xml:space="preserve">Conforme a lo anterior, el garante tiene la autonomía para decidir si quiere celebrar un nuevo negocio jurídico para amparar los riesgos de una siguiente etapa del contrato o periodo contractual, siempre que: i) el aviso de no continuar garantizando la etapa o periodo contractual siguiente la realice </w:t>
      </w:r>
      <w:r w:rsidRPr="00F50B9E">
        <w:rPr>
          <w:rFonts w:ascii="Verdana" w:eastAsia="Times New Roman" w:hAnsi="Verdana" w:cs="Arial"/>
          <w:shd w:val="clear" w:color="auto" w:fill="FFFFFF"/>
          <w:lang w:eastAsia="es-ES_tradnl"/>
        </w:rPr>
        <w:t xml:space="preserve">seis (6) meses antes del vencimiento del plazo de la garantía y </w:t>
      </w:r>
      <w:proofErr w:type="spellStart"/>
      <w:r w:rsidRPr="00F50B9E">
        <w:rPr>
          <w:rFonts w:ascii="Verdana" w:eastAsia="Times New Roman" w:hAnsi="Verdana" w:cs="Arial"/>
          <w:shd w:val="clear" w:color="auto" w:fill="FFFFFF"/>
          <w:lang w:eastAsia="es-ES_tradnl"/>
        </w:rPr>
        <w:t>ii</w:t>
      </w:r>
      <w:proofErr w:type="spellEnd"/>
      <w:r w:rsidRPr="00F50B9E">
        <w:rPr>
          <w:rFonts w:ascii="Verdana" w:eastAsia="Times New Roman" w:hAnsi="Verdana" w:cs="Arial"/>
          <w:shd w:val="clear" w:color="auto" w:fill="FFFFFF"/>
          <w:lang w:eastAsia="es-ES_tradnl"/>
        </w:rPr>
        <w:t xml:space="preserve">) debe informar su decisión </w:t>
      </w:r>
      <w:r w:rsidRPr="00F50B9E">
        <w:rPr>
          <w:rFonts w:ascii="Verdana" w:eastAsia="Times New Roman" w:hAnsi="Verdana" w:cs="Arial"/>
          <w:i/>
          <w:iCs/>
          <w:shd w:val="clear" w:color="auto" w:fill="FFFFFF"/>
          <w:lang w:eastAsia="es-ES_tradnl"/>
        </w:rPr>
        <w:t>por</w:t>
      </w:r>
      <w:r w:rsidRPr="00F50B9E">
        <w:rPr>
          <w:rFonts w:ascii="Verdana" w:eastAsia="Times New Roman" w:hAnsi="Verdana" w:cs="Arial"/>
          <w:shd w:val="clear" w:color="auto" w:fill="FFFFFF"/>
          <w:lang w:eastAsia="es-ES_tradnl"/>
        </w:rPr>
        <w:t xml:space="preserve"> </w:t>
      </w:r>
      <w:r w:rsidRPr="00F50B9E">
        <w:rPr>
          <w:rFonts w:ascii="Verdana" w:eastAsia="Times New Roman" w:hAnsi="Verdana" w:cs="Arial"/>
          <w:i/>
          <w:iCs/>
          <w:shd w:val="clear" w:color="auto" w:fill="FFFFFF"/>
          <w:lang w:eastAsia="es-ES_tradnl"/>
        </w:rPr>
        <w:t>escrito</w:t>
      </w:r>
      <w:r w:rsidRPr="00F50B9E">
        <w:rPr>
          <w:rFonts w:ascii="Verdana" w:eastAsia="Times New Roman" w:hAnsi="Verdana" w:cs="Arial"/>
          <w:shd w:val="clear" w:color="auto" w:fill="FFFFFF"/>
          <w:lang w:eastAsia="es-ES_tradnl"/>
        </w:rPr>
        <w:t xml:space="preserve"> a la Entidad Estatal garantizada</w:t>
      </w:r>
      <w:r w:rsidRPr="00F50B9E">
        <w:rPr>
          <w:rFonts w:ascii="Verdana" w:eastAsia="Times New Roman" w:hAnsi="Verdana" w:cs="Arial"/>
          <w:shd w:val="clear" w:color="auto" w:fill="FFFFFF"/>
          <w:lang w:val="es-ES_tradnl" w:eastAsia="es-ES_tradnl"/>
        </w:rPr>
        <w:t xml:space="preserve">. En consecuencia, el garante no tendría la obligación de justificar las razones por las cuales no quiere asumir los riesgos de la etapa o periodo contractual subsiguiente. </w:t>
      </w:r>
    </w:p>
    <w:bookmarkEnd w:id="5"/>
    <w:p w14:paraId="66847D68" w14:textId="77777777" w:rsidR="00E06A34" w:rsidRDefault="00E06A34" w:rsidP="00467EE7">
      <w:pPr>
        <w:spacing w:before="120" w:after="120" w:line="276" w:lineRule="auto"/>
        <w:ind w:firstLine="709"/>
        <w:jc w:val="both"/>
        <w:rPr>
          <w:rFonts w:ascii="Verdana" w:eastAsia="Times New Roman" w:hAnsi="Verdana" w:cs="Arial"/>
          <w:shd w:val="clear" w:color="auto" w:fill="FFFFFF"/>
          <w:lang w:val="es-ES_tradnl" w:eastAsia="es-ES_tradnl"/>
        </w:rPr>
      </w:pPr>
      <w:r>
        <w:rPr>
          <w:rFonts w:ascii="Verdana" w:eastAsia="Times New Roman" w:hAnsi="Verdana" w:cs="Arial"/>
          <w:shd w:val="clear" w:color="auto" w:fill="FFFFFF"/>
          <w:lang w:val="es-ES_tradnl" w:eastAsia="es-ES_tradnl"/>
        </w:rPr>
        <w:t>Es</w:t>
      </w:r>
      <w:r w:rsidRPr="00F50B9E">
        <w:rPr>
          <w:rFonts w:ascii="Verdana" w:eastAsia="Times New Roman" w:hAnsi="Verdana" w:cs="Arial"/>
          <w:shd w:val="clear" w:color="auto" w:fill="FFFFFF"/>
          <w:lang w:val="es-ES_tradnl" w:eastAsia="es-ES_tradnl"/>
        </w:rPr>
        <w:t xml:space="preserve"> importante resaltar que si el garante no da el aviso con la anticipación mencionada y el contratista no obtiene una nueva garantía queda obligado a garantizar la etapa del contrato o periodo contractual subsiguiente. Lo anterior, como una medida que establece el Decreto 1082 de 2015 –artículo 2.2.1.2.3.1.3.– para garantizar que la etapa contractual subsiguiente no quede desamparada. </w:t>
      </w:r>
    </w:p>
    <w:p w14:paraId="6C79F3F4" w14:textId="77777777" w:rsidR="00BD7CF2" w:rsidRDefault="00BD7CF2" w:rsidP="00BD7CF2">
      <w:pPr>
        <w:spacing w:after="120" w:line="276" w:lineRule="auto"/>
        <w:ind w:firstLine="709"/>
        <w:contextualSpacing/>
        <w:jc w:val="both"/>
        <w:rPr>
          <w:rFonts w:ascii="Verdana" w:hAnsi="Verdana" w:cs="Arial"/>
          <w:color w:val="000000" w:themeColor="text1"/>
          <w:lang w:val="es-ES"/>
        </w:rPr>
      </w:pPr>
      <w:r w:rsidRPr="2B7F4B36">
        <w:rPr>
          <w:rFonts w:ascii="Verdana" w:eastAsia="Calibri" w:hAnsi="Verdana" w:cs="Times New Roman"/>
        </w:rPr>
        <w:t xml:space="preserve">En ese sentido, cuando el contrato contempla etapas, períodos o unidades funcionales claramente diferenciadas (por ejemplo: </w:t>
      </w:r>
      <w:proofErr w:type="spellStart"/>
      <w:r w:rsidRPr="2B7F4B36">
        <w:rPr>
          <w:rFonts w:ascii="Verdana" w:eastAsia="Calibri" w:hAnsi="Verdana" w:cs="Times New Roman"/>
        </w:rPr>
        <w:t>pre-construcción</w:t>
      </w:r>
      <w:proofErr w:type="spellEnd"/>
      <w:r w:rsidRPr="2B7F4B36">
        <w:rPr>
          <w:rFonts w:ascii="Verdana" w:eastAsia="Calibri" w:hAnsi="Verdana" w:cs="Times New Roman"/>
        </w:rPr>
        <w:t xml:space="preserve">, construcción, operación y/o mantenimiento), si puede contemplarse una garantía de responsabilidad extracontractual por cada etapa, período o unidad funcional, pero no subdividirla dentro de cada una de éstas. Cada póliza debe cubrir la totalidad del riesgo en su respectiva etapa, sin fragmentación, ya que podría generar vacíos de cobertura que dejarían a la entidad y al contratista expuestos ante reclamaciones.  Por lo anterior, </w:t>
      </w:r>
      <w:r w:rsidRPr="2B7F4B36">
        <w:rPr>
          <w:rFonts w:ascii="Verdana" w:eastAsia="Calibri" w:hAnsi="Verdana" w:cs="Times New Roman"/>
          <w:lang w:val="es-ES"/>
        </w:rPr>
        <w:t>solo</w:t>
      </w:r>
      <w:r w:rsidRPr="2B7F4B36">
        <w:rPr>
          <w:rFonts w:ascii="Verdana" w:hAnsi="Verdana" w:cs="Arial"/>
          <w:color w:val="000000" w:themeColor="text1"/>
          <w:lang w:val="es-ES"/>
        </w:rPr>
        <w:t xml:space="preserve"> será válida aquella garantía que se encuentre debidamente aprobada por la entidad estatal.</w:t>
      </w:r>
    </w:p>
    <w:p w14:paraId="28F700FE" w14:textId="77777777" w:rsidR="009822A5" w:rsidRPr="00911AA1" w:rsidRDefault="009822A5" w:rsidP="00E06A34">
      <w:pPr>
        <w:spacing w:before="120" w:after="0" w:line="276" w:lineRule="auto"/>
        <w:ind w:firstLine="705"/>
        <w:jc w:val="both"/>
        <w:rPr>
          <w:rFonts w:ascii="Verdana" w:eastAsia="Times New Roman" w:hAnsi="Verdana" w:cs="Arial"/>
          <w:lang w:val="es-ES" w:eastAsia="es-ES_tradnl"/>
        </w:rPr>
      </w:pPr>
    </w:p>
    <w:p w14:paraId="79AE3B3A" w14:textId="77777777" w:rsidR="00D65578" w:rsidRDefault="00D465AD" w:rsidP="00E06A34">
      <w:pPr>
        <w:spacing w:line="276" w:lineRule="auto"/>
        <w:ind w:firstLine="360"/>
        <w:contextualSpacing/>
        <w:jc w:val="both"/>
        <w:rPr>
          <w:rFonts w:ascii="Verdana" w:eastAsia="Calibri" w:hAnsi="Verdana" w:cs="Times New Roman"/>
        </w:rPr>
      </w:pPr>
      <w:r w:rsidRPr="00D465AD">
        <w:rPr>
          <w:rFonts w:ascii="Verdana" w:eastAsia="Calibri" w:hAnsi="Verdana" w:cs="Times New Roman"/>
        </w:rPr>
        <w:t xml:space="preserve">En conclusión, se considera que el artículo 2.2.1.2.3.1.3 del Decreto 1082 de 2015, determina las condiciones de la constitución de garantías por etapa del contrato o periodo contractual o unidad funcional sin hacer mención </w:t>
      </w:r>
      <w:proofErr w:type="gramStart"/>
      <w:r w:rsidRPr="00D465AD">
        <w:rPr>
          <w:rFonts w:ascii="Verdana" w:eastAsia="Calibri" w:hAnsi="Verdana" w:cs="Times New Roman"/>
        </w:rPr>
        <w:t>a</w:t>
      </w:r>
      <w:proofErr w:type="gramEnd"/>
      <w:r w:rsidRPr="00D465AD">
        <w:rPr>
          <w:rFonts w:ascii="Verdana" w:eastAsia="Calibri" w:hAnsi="Verdana" w:cs="Times New Roman"/>
        </w:rPr>
        <w:t xml:space="preserve"> una subdivisión en cada una de éstas, para lo cual vale reiterar lo dispuesto en el artículo 2.2.1.2.3.1.3 del Decreto 1082 de 2015, el cual establece en principio que la “garantía de cobertura del riesgo es indivisible”</w:t>
      </w:r>
    </w:p>
    <w:p w14:paraId="3EC6577C" w14:textId="4FD78A72" w:rsidR="00E06A34" w:rsidRDefault="00E06A34" w:rsidP="00E06A34">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lastRenderedPageBreak/>
        <w:t xml:space="preserve">     </w:t>
      </w:r>
      <w:r w:rsidR="00D65578" w:rsidRPr="00D65578">
        <w:rPr>
          <w:rFonts w:ascii="Verdana" w:eastAsia="Calibri" w:hAnsi="Verdana" w:cs="Times New Roman"/>
        </w:rPr>
        <w:t>Por último, debe advertirse frente al caso particular expuesto en su solicitud, que corresponde a cada entidad pública, en ejercicio de su competencia y previa valoración de los elementos fácticos y jurídicos así como de las disposiciones legales anteriormente mencionadas, determinar si es pertinente la aprobación de una garantía adicional a la aprobada cuando dio inicio al contrato para cada etapa del contrato, periodo contractual o unidad funcional, ya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p>
    <w:p w14:paraId="5A170BAF" w14:textId="77777777" w:rsidR="00E06A34" w:rsidRDefault="00E06A34" w:rsidP="00E06A34">
      <w:pPr>
        <w:spacing w:after="120" w:line="276" w:lineRule="auto"/>
        <w:ind w:firstLine="708"/>
        <w:jc w:val="both"/>
        <w:rPr>
          <w:rFonts w:ascii="Verdana" w:hAnsi="Verdana" w:cs="Arial"/>
          <w:lang w:eastAsia="es-ES"/>
        </w:rPr>
      </w:pPr>
    </w:p>
    <w:p w14:paraId="41281808" w14:textId="09CDB56A" w:rsidR="00E06A34" w:rsidRPr="00593A5F" w:rsidRDefault="004B55E1" w:rsidP="00E06A34">
      <w:pPr>
        <w:spacing w:after="120" w:line="276" w:lineRule="auto"/>
        <w:jc w:val="both"/>
        <w:rPr>
          <w:rFonts w:ascii="Verdana" w:eastAsia="Century Gothic" w:hAnsi="Verdana" w:cs="Century Gothic"/>
          <w:b/>
          <w:bCs/>
        </w:rPr>
      </w:pPr>
      <w:r>
        <w:rPr>
          <w:rFonts w:ascii="Verdana" w:eastAsia="Century Gothic" w:hAnsi="Verdana" w:cs="Century Gothic"/>
          <w:b/>
          <w:bCs/>
        </w:rPr>
        <w:t xml:space="preserve">4. </w:t>
      </w:r>
      <w:r w:rsidR="00E06A34" w:rsidRPr="00593A5F">
        <w:rPr>
          <w:rFonts w:ascii="Verdana" w:eastAsia="Century Gothic" w:hAnsi="Verdana" w:cs="Century Gothic"/>
          <w:b/>
          <w:bCs/>
        </w:rPr>
        <w:t>Referencias normativas, jurisprudenciales y otras fuentes:</w:t>
      </w:r>
    </w:p>
    <w:p w14:paraId="3A2ED47B" w14:textId="77777777" w:rsidR="00E06A34" w:rsidRPr="00593A5F" w:rsidRDefault="00E06A34" w:rsidP="00E06A3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6A34" w:rsidRPr="00593A5F" w14:paraId="40FC731F" w14:textId="77777777" w:rsidTr="0076554B">
        <w:trPr>
          <w:trHeight w:val="870"/>
        </w:trPr>
        <w:tc>
          <w:tcPr>
            <w:tcW w:w="8647" w:type="dxa"/>
          </w:tcPr>
          <w:p w14:paraId="319A49E7" w14:textId="77777777" w:rsidR="00E06A34" w:rsidRDefault="00E06A34" w:rsidP="0076554B">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 xml:space="preserve">Ley 1150 de 2007, artículo 7. </w:t>
            </w:r>
          </w:p>
          <w:p w14:paraId="0711E6E2" w14:textId="6C07B7C6" w:rsidR="00E06A34" w:rsidRPr="00280768" w:rsidRDefault="00E06A34" w:rsidP="00D23DC1">
            <w:pPr>
              <w:pStyle w:val="Prrafodelista"/>
              <w:widowControl w:val="0"/>
              <w:numPr>
                <w:ilvl w:val="0"/>
                <w:numId w:val="17"/>
              </w:numPr>
              <w:autoSpaceDE w:val="0"/>
              <w:autoSpaceDN w:val="0"/>
              <w:spacing w:after="120" w:line="276" w:lineRule="auto"/>
              <w:jc w:val="both"/>
              <w:rPr>
                <w:rFonts w:ascii="Verdana" w:hAnsi="Verdana" w:cs="Arial"/>
              </w:rPr>
            </w:pPr>
            <w:r w:rsidRPr="00280768">
              <w:rPr>
                <w:rFonts w:ascii="Verdana" w:hAnsi="Verdana" w:cs="Arial"/>
              </w:rPr>
              <w:t xml:space="preserve">Ley 80 de 1993, </w:t>
            </w:r>
            <w:r w:rsidR="00280768" w:rsidRPr="00280768">
              <w:rPr>
                <w:rFonts w:ascii="Verdana" w:hAnsi="Verdana" w:cs="Arial"/>
              </w:rPr>
              <w:t>a</w:t>
            </w:r>
            <w:r w:rsidRPr="00280768">
              <w:rPr>
                <w:rFonts w:ascii="Verdana" w:hAnsi="Verdana" w:cs="Arial"/>
              </w:rPr>
              <w:t>rtículo 41</w:t>
            </w:r>
          </w:p>
          <w:p w14:paraId="54D315E9" w14:textId="77777777" w:rsidR="00E06A34" w:rsidRPr="002B5057" w:rsidRDefault="00E06A34" w:rsidP="0076554B">
            <w:pPr>
              <w:pStyle w:val="Prrafodelista"/>
              <w:widowControl w:val="0"/>
              <w:numPr>
                <w:ilvl w:val="0"/>
                <w:numId w:val="17"/>
              </w:numPr>
              <w:autoSpaceDE w:val="0"/>
              <w:autoSpaceDN w:val="0"/>
              <w:spacing w:after="120" w:line="276" w:lineRule="auto"/>
              <w:jc w:val="both"/>
              <w:rPr>
                <w:rFonts w:ascii="Verdana" w:hAnsi="Verdana" w:cs="Arial"/>
              </w:rPr>
            </w:pPr>
            <w:r w:rsidRPr="002B5057">
              <w:rPr>
                <w:rFonts w:ascii="Verdana" w:hAnsi="Verdana" w:cs="Arial"/>
              </w:rPr>
              <w:t>Decreto 1082 de 2015, artículos 2.2.1.2.3.1.1 a</w:t>
            </w:r>
            <w:r>
              <w:rPr>
                <w:rFonts w:ascii="Verdana" w:hAnsi="Verdana" w:cs="Arial"/>
              </w:rPr>
              <w:t>l</w:t>
            </w:r>
            <w:r w:rsidRPr="002B5057">
              <w:rPr>
                <w:rFonts w:ascii="Verdana" w:hAnsi="Verdana" w:cs="Arial"/>
              </w:rPr>
              <w:t xml:space="preserve"> 2.2.1.2.3.1.19.  </w:t>
            </w:r>
          </w:p>
        </w:tc>
      </w:tr>
    </w:tbl>
    <w:p w14:paraId="2FD9402F" w14:textId="77777777" w:rsidR="00E06A34" w:rsidRPr="00593A5F" w:rsidRDefault="00E06A34" w:rsidP="00E06A34">
      <w:pPr>
        <w:widowControl w:val="0"/>
        <w:autoSpaceDE w:val="0"/>
        <w:autoSpaceDN w:val="0"/>
        <w:spacing w:after="0" w:line="276" w:lineRule="auto"/>
        <w:jc w:val="both"/>
        <w:rPr>
          <w:rFonts w:ascii="Verdana" w:hAnsi="Verdana" w:cs="Arial"/>
        </w:rPr>
      </w:pPr>
    </w:p>
    <w:p w14:paraId="3C800F56" w14:textId="52CCEBAA" w:rsidR="00E06A34" w:rsidRPr="004B55E1" w:rsidRDefault="004B55E1" w:rsidP="004B55E1">
      <w:pPr>
        <w:tabs>
          <w:tab w:val="left" w:pos="142"/>
          <w:tab w:val="left" w:pos="284"/>
        </w:tabs>
        <w:spacing w:after="0" w:line="276" w:lineRule="auto"/>
        <w:ind w:left="142"/>
        <w:jc w:val="both"/>
        <w:rPr>
          <w:rFonts w:ascii="Verdana" w:eastAsia="Century Gothic" w:hAnsi="Verdana" w:cs="Century Gothic"/>
          <w:b/>
          <w:bCs/>
        </w:rPr>
      </w:pPr>
      <w:r>
        <w:rPr>
          <w:rFonts w:ascii="Verdana" w:eastAsia="Century Gothic" w:hAnsi="Verdana" w:cs="Century Gothic"/>
          <w:b/>
          <w:bCs/>
        </w:rPr>
        <w:t xml:space="preserve">5. </w:t>
      </w:r>
      <w:r w:rsidR="00E06A34" w:rsidRPr="004B55E1">
        <w:rPr>
          <w:rFonts w:ascii="Verdana" w:eastAsia="Century Gothic" w:hAnsi="Verdana" w:cs="Century Gothic"/>
          <w:b/>
          <w:bCs/>
        </w:rPr>
        <w:t>Doctrina de la Agencia Nacional de Contratación Pública:</w:t>
      </w:r>
    </w:p>
    <w:p w14:paraId="17D91BEE" w14:textId="77777777" w:rsidR="00E06A34" w:rsidRDefault="00E06A34" w:rsidP="00E06A3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7F112A16" w14:textId="77777777" w:rsidR="00E06A34" w:rsidRPr="00185EE9" w:rsidRDefault="00E06A34" w:rsidP="00E06A34">
      <w:pPr>
        <w:widowControl w:val="0"/>
        <w:autoSpaceDE w:val="0"/>
        <w:autoSpaceDN w:val="0"/>
        <w:spacing w:after="0" w:line="276" w:lineRule="auto"/>
        <w:jc w:val="both"/>
        <w:rPr>
          <w:rFonts w:ascii="Verdana" w:eastAsia="Calibri" w:hAnsi="Verdana" w:cs="Times New Roman"/>
        </w:rPr>
      </w:pPr>
      <w:r w:rsidRPr="00DD781E">
        <w:rPr>
          <w:rStyle w:val="normaltextrun"/>
          <w:rFonts w:ascii="Verdana" w:hAnsi="Verdana" w:cs="Arial"/>
          <w:shd w:val="clear" w:color="auto" w:fill="FFFFFF"/>
          <w:lang w:val="es-ES"/>
        </w:rPr>
        <w:t>Esta Subdirección se ha pronunciado sobre el régimen de garantías en los Conceptos</w:t>
      </w:r>
      <w:r w:rsidRPr="00DD781E">
        <w:rPr>
          <w:rStyle w:val="normaltextrun"/>
          <w:rFonts w:ascii="Verdana" w:hAnsi="Verdana" w:cs="Calibri"/>
          <w:shd w:val="clear" w:color="auto" w:fill="FFFFFF"/>
        </w:rPr>
        <w:t xml:space="preserve"> </w:t>
      </w:r>
      <w:r w:rsidRPr="00EE1B01">
        <w:rPr>
          <w:rStyle w:val="normaltextrun"/>
          <w:rFonts w:ascii="Verdana" w:hAnsi="Verdana" w:cs="Arial"/>
          <w:shd w:val="clear" w:color="auto" w:fill="FFFFFF"/>
          <w:lang w:val="es-ES"/>
        </w:rPr>
        <w:t>C-080 del 8 de abril de 2021, C-525 del 27 de septiembre de 2021, C- 567 del 08 de octubre del 2021, C-036 del 28 de febrero del 2022, C-126 de 25 de marzo de 2022, C-583 del 19 de octubre de 2022, C-584 del 26 de septiembre de 2022, C-845 del 7 de diciembre de 2022, C-036 del 31 de marzo de 2023</w:t>
      </w:r>
      <w:r>
        <w:rPr>
          <w:rStyle w:val="normaltextrun"/>
          <w:rFonts w:ascii="Verdana" w:hAnsi="Verdana" w:cs="Arial"/>
          <w:shd w:val="clear" w:color="auto" w:fill="FFFFFF"/>
          <w:lang w:val="es-ES"/>
        </w:rPr>
        <w:t>,</w:t>
      </w:r>
      <w:r w:rsidRPr="00DD781E">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C-801 del 12 de diciembre de 2024 y </w:t>
      </w:r>
      <w:r w:rsidRPr="0020320B">
        <w:rPr>
          <w:rFonts w:ascii="Verdana" w:hAnsi="Verdana" w:cs="Arial"/>
          <w:shd w:val="clear" w:color="auto" w:fill="FFFFFF"/>
        </w:rPr>
        <w:t>C-857 de</w:t>
      </w:r>
      <w:r>
        <w:rPr>
          <w:rFonts w:ascii="Verdana" w:hAnsi="Verdana" w:cs="Arial"/>
          <w:shd w:val="clear" w:color="auto" w:fill="FFFFFF"/>
        </w:rPr>
        <w:t>l 6 de agosto de</w:t>
      </w:r>
      <w:r w:rsidRPr="0020320B">
        <w:rPr>
          <w:rFonts w:ascii="Verdana" w:hAnsi="Verdana" w:cs="Arial"/>
          <w:shd w:val="clear" w:color="auto" w:fill="FFFFFF"/>
        </w:rPr>
        <w:t xml:space="preserve"> 2025</w:t>
      </w:r>
      <w:r>
        <w:rPr>
          <w:rFonts w:ascii="Verdana" w:eastAsia="Aptos" w:hAnsi="Verdana" w:cs="Arial"/>
          <w:shd w:val="clear" w:color="auto" w:fill="FFFFFF"/>
          <w:lang w:val="es-ES"/>
        </w:rPr>
        <w:t xml:space="preserve">. </w:t>
      </w:r>
      <w:r w:rsidRPr="0020320B">
        <w:rPr>
          <w:rStyle w:val="normaltextrun"/>
          <w:rFonts w:ascii="Verdana" w:hAnsi="Verdana"/>
          <w:shd w:val="clear" w:color="auto" w:fill="FFFFFF"/>
          <w:lang w:val="es-ES"/>
        </w:rPr>
        <w:t xml:space="preserve">Así mismo, se refirió a la invisibilidad de la garantía en </w:t>
      </w:r>
      <w:r w:rsidRPr="0020320B">
        <w:rPr>
          <w:rStyle w:val="normaltextrun"/>
          <w:rFonts w:ascii="Verdana" w:hAnsi="Verdana" w:cs="Arial"/>
          <w:shd w:val="clear" w:color="auto" w:fill="FFFFFF"/>
          <w:lang w:val="es-ES"/>
        </w:rPr>
        <w:t>el concepto C-036 de 28 de febrero de 2022 y C-069 del 27 de mayo de 2024, estos se encuentran disponibles para consulta en el Sistema de Relatoría de la Agencia, en el cual también podrás encontrar</w:t>
      </w:r>
      <w:r w:rsidRPr="00F0784B">
        <w:rPr>
          <w:rFonts w:ascii="Verdana" w:eastAsia="Calibri" w:hAnsi="Verdana" w:cs="Times New Roman"/>
        </w:rPr>
        <w:t xml:space="preserve"> juris</w:t>
      </w:r>
      <w:r w:rsidRPr="00185EE9">
        <w:rPr>
          <w:rFonts w:ascii="Verdana" w:eastAsia="Calibri" w:hAnsi="Verdana" w:cs="Times New Roman"/>
        </w:rPr>
        <w:t>prudencia del Consejo de Estado, laudos arbitrales y la normativa de la contratación concordada con la doctrina de la Subdirección de Gestión Contractual, accede a través del siguiente enlace:</w:t>
      </w:r>
    </w:p>
    <w:p w14:paraId="508889C6" w14:textId="77777777" w:rsidR="00E06A34" w:rsidRPr="0065720B" w:rsidRDefault="00E06A34" w:rsidP="00E06A34">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11A4D78" w14:textId="77777777" w:rsidR="00E06A34" w:rsidRDefault="00E06A34" w:rsidP="00E06A34">
      <w:pPr>
        <w:widowControl w:val="0"/>
        <w:autoSpaceDE w:val="0"/>
        <w:autoSpaceDN w:val="0"/>
        <w:spacing w:after="0" w:line="276" w:lineRule="auto"/>
        <w:jc w:val="both"/>
        <w:rPr>
          <w:rStyle w:val="normaltextrun"/>
          <w:rFonts w:ascii="Verdana" w:hAnsi="Verdana" w:cs="Arial"/>
          <w:shd w:val="clear" w:color="auto" w:fill="FFFFFF"/>
          <w:lang w:val="es-ES"/>
        </w:rPr>
      </w:pPr>
    </w:p>
    <w:p w14:paraId="1C0B7077" w14:textId="77777777" w:rsidR="004B55E1" w:rsidRPr="001205D1" w:rsidRDefault="004B55E1" w:rsidP="004B55E1">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7DE647FD" w14:textId="77777777" w:rsidR="004B55E1" w:rsidRPr="009C4035" w:rsidRDefault="004B55E1" w:rsidP="004B55E1">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91AB496" w14:textId="77777777" w:rsidR="00E06A34" w:rsidRPr="00505CD6" w:rsidRDefault="00E06A34" w:rsidP="00E06A34">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08E969D" w14:textId="77777777" w:rsidR="00E06A34" w:rsidRPr="00505CD6" w:rsidRDefault="00E06A34" w:rsidP="00E06A34">
      <w:pPr>
        <w:widowControl w:val="0"/>
        <w:autoSpaceDE w:val="0"/>
        <w:autoSpaceDN w:val="0"/>
        <w:spacing w:after="0" w:line="276" w:lineRule="auto"/>
        <w:jc w:val="both"/>
        <w:rPr>
          <w:rFonts w:ascii="Verdana" w:hAnsi="Verdana" w:cs="Arial"/>
        </w:rPr>
      </w:pPr>
    </w:p>
    <w:p w14:paraId="5934E0BF" w14:textId="77777777" w:rsidR="00E06A34" w:rsidRPr="00505CD6" w:rsidRDefault="00E06A34" w:rsidP="00E06A34">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C9EE5D0" w14:textId="0C904E52" w:rsidR="00E06A34" w:rsidRPr="00EF055B" w:rsidRDefault="001233E9" w:rsidP="00E06A34">
      <w:pPr>
        <w:spacing w:line="276" w:lineRule="auto"/>
        <w:jc w:val="center"/>
        <w:rPr>
          <w:noProof/>
          <w:color w:val="000000"/>
        </w:rPr>
      </w:pPr>
      <w:r w:rsidRPr="002C3AD6">
        <w:rPr>
          <w:rFonts w:ascii="Century Gothic" w:hAnsi="Century Gothic"/>
          <w:noProof/>
        </w:rPr>
        <w:drawing>
          <wp:inline distT="0" distB="0" distL="0" distR="0" wp14:anchorId="17195537" wp14:editId="41E6E60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6A34" w:rsidRPr="00593A5F" w14:paraId="3537530B" w14:textId="77777777" w:rsidTr="0076554B">
        <w:trPr>
          <w:trHeight w:val="315"/>
        </w:trPr>
        <w:tc>
          <w:tcPr>
            <w:tcW w:w="893" w:type="dxa"/>
            <w:vAlign w:val="center"/>
            <w:hideMark/>
          </w:tcPr>
          <w:p w14:paraId="56E34204" w14:textId="77777777" w:rsidR="00E06A34" w:rsidRPr="003751C7" w:rsidRDefault="00E06A34" w:rsidP="0076554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686B0B" w14:textId="760F6C8B" w:rsidR="00E06A34" w:rsidRPr="00C42FC5" w:rsidRDefault="00E06A34" w:rsidP="0076554B">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 xml:space="preserve">María </w:t>
            </w:r>
            <w:proofErr w:type="spellStart"/>
            <w:r w:rsidRPr="00C42FC5">
              <w:rPr>
                <w:rStyle w:val="normaltextrun"/>
                <w:rFonts w:ascii="Verdana" w:hAnsi="Verdana" w:cstheme="minorHAnsi"/>
                <w:sz w:val="16"/>
                <w:szCs w:val="16"/>
              </w:rPr>
              <w:t>Joshira</w:t>
            </w:r>
            <w:proofErr w:type="spellEnd"/>
            <w:r w:rsidRPr="00C42FC5">
              <w:rPr>
                <w:rStyle w:val="normaltextrun"/>
                <w:rFonts w:ascii="Verdana" w:hAnsi="Verdana" w:cstheme="minorHAnsi"/>
                <w:sz w:val="16"/>
                <w:szCs w:val="16"/>
              </w:rPr>
              <w:t xml:space="preserve"> Nieto Manzano</w:t>
            </w:r>
          </w:p>
          <w:p w14:paraId="2BDF6BCD" w14:textId="77777777" w:rsidR="00E06A34" w:rsidRPr="00C42FC5" w:rsidRDefault="00E06A34" w:rsidP="0076554B">
            <w:pPr>
              <w:contextualSpacing/>
              <w:rPr>
                <w:rStyle w:val="normaltextrun"/>
                <w:rFonts w:eastAsia="Times New Roman" w:cstheme="minorHAnsi"/>
                <w:lang w:eastAsia="es-CO"/>
              </w:rPr>
            </w:pPr>
            <w:r w:rsidRPr="00C42FC5">
              <w:rPr>
                <w:rStyle w:val="normaltextrun"/>
                <w:rFonts w:ascii="Verdana" w:eastAsia="Times New Roman" w:hAnsi="Verdana" w:cstheme="minorHAnsi"/>
                <w:sz w:val="16"/>
                <w:szCs w:val="16"/>
                <w:lang w:eastAsia="es-CO"/>
              </w:rPr>
              <w:t>Contratista</w:t>
            </w:r>
            <w:r w:rsidRPr="00C42FC5">
              <w:rPr>
                <w:rStyle w:val="normaltextrun"/>
                <w:rFonts w:eastAsia="Times New Roman" w:cstheme="minorHAnsi"/>
                <w:lang w:eastAsia="es-CO"/>
              </w:rPr>
              <w:t xml:space="preserve"> de la Subdirección de Gestión Contractual</w:t>
            </w:r>
          </w:p>
        </w:tc>
      </w:tr>
      <w:tr w:rsidR="00E06A34" w:rsidRPr="00593A5F" w14:paraId="3D5B1FF0" w14:textId="77777777" w:rsidTr="0076554B">
        <w:trPr>
          <w:trHeight w:val="330"/>
        </w:trPr>
        <w:tc>
          <w:tcPr>
            <w:tcW w:w="893" w:type="dxa"/>
            <w:vAlign w:val="center"/>
            <w:hideMark/>
          </w:tcPr>
          <w:p w14:paraId="26798FFC" w14:textId="77777777" w:rsidR="00E06A34" w:rsidRPr="003751C7" w:rsidRDefault="00E06A34" w:rsidP="0076554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9578DC" w14:textId="04A2D699" w:rsidR="00E06A34" w:rsidRDefault="00E06A34" w:rsidP="0076554B">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214A603F" w14:textId="77777777" w:rsidR="00E06A34" w:rsidRPr="00C42FC5" w:rsidRDefault="00E06A34" w:rsidP="0076554B">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E06A34" w:rsidRPr="00593A5F" w14:paraId="4FBCC149" w14:textId="77777777" w:rsidTr="0076554B">
        <w:trPr>
          <w:trHeight w:val="300"/>
        </w:trPr>
        <w:tc>
          <w:tcPr>
            <w:tcW w:w="893" w:type="dxa"/>
            <w:vAlign w:val="center"/>
          </w:tcPr>
          <w:p w14:paraId="6BE505DD" w14:textId="77777777" w:rsidR="00E06A34" w:rsidRPr="003751C7" w:rsidRDefault="00E06A34" w:rsidP="0076554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1EDAA8" w14:textId="72B77F7D" w:rsidR="00E06A34" w:rsidRPr="000015E6" w:rsidRDefault="00E06A34" w:rsidP="0076554B">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56B7441C" w14:textId="77777777" w:rsidR="00E06A34" w:rsidRPr="000015E6" w:rsidRDefault="00E06A34" w:rsidP="0076554B">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tbl>
    <w:p w14:paraId="174FE291" w14:textId="77777777" w:rsidR="00E06A34" w:rsidRPr="0044528D" w:rsidRDefault="00E06A34" w:rsidP="00E06A34">
      <w:pPr>
        <w:spacing w:after="0"/>
        <w:rPr>
          <w:rFonts w:ascii="Verdana" w:hAnsi="Verdana"/>
        </w:rPr>
      </w:pPr>
    </w:p>
    <w:p w14:paraId="6EB38E5E" w14:textId="77777777" w:rsidR="00E06A34" w:rsidRPr="0044528D" w:rsidRDefault="00E06A34" w:rsidP="00E06A34">
      <w:pPr>
        <w:spacing w:after="0" w:line="240" w:lineRule="auto"/>
        <w:textAlignment w:val="baseline"/>
        <w:rPr>
          <w:rFonts w:ascii="Verdana" w:eastAsia="Times New Roman" w:hAnsi="Verdana" w:cs="Segoe UI"/>
          <w:b/>
          <w:bCs/>
          <w:color w:val="46589C"/>
          <w:lang w:val="es-ES" w:eastAsia="es-CO"/>
        </w:rPr>
      </w:pPr>
    </w:p>
    <w:bookmarkEnd w:id="0"/>
    <w:sectPr w:rsidR="00E06A34" w:rsidRPr="0044528D" w:rsidSect="00437FE7">
      <w:headerReference w:type="default" r:id="rId15"/>
      <w:footerReference w:type="default" r:id="rId16"/>
      <w:pgSz w:w="12240" w:h="15840" w:code="1"/>
      <w:pgMar w:top="1417" w:right="1701" w:bottom="1417" w:left="1701" w:header="709" w:footer="8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F23E6" w14:textId="77777777" w:rsidR="00CA5D93" w:rsidRDefault="00CA5D93" w:rsidP="004A1847">
      <w:pPr>
        <w:spacing w:after="0" w:line="240" w:lineRule="auto"/>
      </w:pPr>
      <w:r>
        <w:separator/>
      </w:r>
    </w:p>
  </w:endnote>
  <w:endnote w:type="continuationSeparator" w:id="0">
    <w:p w14:paraId="6EFC6324" w14:textId="77777777" w:rsidR="00CA5D93" w:rsidRDefault="00CA5D9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16806" w14:textId="77777777" w:rsidR="00CA5D93" w:rsidRDefault="00CA5D93" w:rsidP="004A1847">
      <w:pPr>
        <w:spacing w:after="0" w:line="240" w:lineRule="auto"/>
      </w:pPr>
      <w:r>
        <w:separator/>
      </w:r>
    </w:p>
  </w:footnote>
  <w:footnote w:type="continuationSeparator" w:id="0">
    <w:p w14:paraId="3B62517D" w14:textId="77777777" w:rsidR="00CA5D93" w:rsidRDefault="00CA5D93" w:rsidP="004A1847">
      <w:pPr>
        <w:spacing w:after="0" w:line="240" w:lineRule="auto"/>
      </w:pPr>
      <w:r>
        <w:continuationSeparator/>
      </w:r>
    </w:p>
  </w:footnote>
  <w:footnote w:id="1">
    <w:p w14:paraId="5FF33D23" w14:textId="77777777" w:rsidR="00E06A34" w:rsidRPr="00AC4B25" w:rsidRDefault="00E06A34" w:rsidP="00E06A34">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117D44EE" w14:textId="77777777" w:rsidR="00E06A34" w:rsidRPr="00AC4B25" w:rsidRDefault="00E06A34" w:rsidP="00E06A34">
      <w:pPr>
        <w:pStyle w:val="Textonotapie"/>
        <w:ind w:firstLine="708"/>
        <w:jc w:val="both"/>
        <w:rPr>
          <w:rFonts w:ascii="Verdana" w:hAnsi="Verdana" w:cs="Arial"/>
          <w:sz w:val="16"/>
          <w:szCs w:val="16"/>
        </w:rPr>
      </w:pPr>
      <w:r w:rsidRPr="00AC4B25">
        <w:rPr>
          <w:rFonts w:ascii="Verdana" w:hAnsi="Verdana" w:cs="Arial"/>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0DCA1071" w14:textId="77777777" w:rsidR="00E06A34" w:rsidRPr="00AC4B25" w:rsidRDefault="00E06A34" w:rsidP="00E06A34">
      <w:pPr>
        <w:pStyle w:val="Textonotapie"/>
        <w:ind w:firstLine="708"/>
        <w:jc w:val="both"/>
        <w:rPr>
          <w:rFonts w:ascii="Verdana" w:hAnsi="Verdana" w:cs="Arial"/>
          <w:sz w:val="16"/>
          <w:szCs w:val="16"/>
        </w:rPr>
      </w:pPr>
      <w:r w:rsidRPr="00AC4B25">
        <w:rPr>
          <w:rFonts w:ascii="Verdana" w:hAnsi="Verdana" w:cs="Arial"/>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1BE57873" w14:textId="77777777" w:rsidR="00E06A34" w:rsidRPr="00AC4B25" w:rsidRDefault="00E06A34" w:rsidP="00E06A34">
      <w:pPr>
        <w:pStyle w:val="Textonotapie"/>
        <w:ind w:firstLine="708"/>
        <w:jc w:val="both"/>
        <w:rPr>
          <w:rFonts w:ascii="Verdana" w:hAnsi="Verdana" w:cs="Arial"/>
          <w:sz w:val="16"/>
          <w:szCs w:val="16"/>
        </w:rPr>
      </w:pPr>
      <w:r w:rsidRPr="00AC4B25">
        <w:rPr>
          <w:rFonts w:ascii="Verdana" w:hAnsi="Verdana" w:cs="Arial"/>
          <w:sz w:val="16"/>
          <w:szCs w:val="16"/>
        </w:rPr>
        <w:t>3. Si el valor del contrato es superior a diez millones (10.000.000) de smmlv, la Entidad Estatal puede aceptar garantías que cubran al menos el cero punto cinco por ciento (0,5%) del valor del contrato.</w:t>
      </w:r>
    </w:p>
    <w:p w14:paraId="4D4A8C7F" w14:textId="77777777" w:rsidR="00E06A34" w:rsidRPr="00AC4B25" w:rsidRDefault="00E06A34" w:rsidP="00E06A34">
      <w:pPr>
        <w:pStyle w:val="Textonotapie"/>
        <w:ind w:firstLine="708"/>
        <w:jc w:val="both"/>
        <w:rPr>
          <w:rFonts w:ascii="Verdana" w:hAnsi="Verdana" w:cs="Arial"/>
          <w:sz w:val="16"/>
          <w:szCs w:val="16"/>
          <w:lang w:val="es-CO"/>
        </w:rPr>
      </w:pPr>
      <w:r w:rsidRPr="00AC4B25">
        <w:rPr>
          <w:rFonts w:ascii="Verdana" w:hAnsi="Verdana" w:cs="Arial"/>
          <w:sz w:val="16"/>
          <w:szCs w:val="16"/>
        </w:rPr>
        <w:t>4. Colombia Compra Eficiente debe determinar el valor de la garantía única de cumplimiento del Acuerdo Marco de Precios de acuerdo con el objeto, el valor, la naturaleza y las obligaciones contenidas en este”.</w:t>
      </w:r>
    </w:p>
  </w:footnote>
  <w:footnote w:id="2">
    <w:p w14:paraId="3FFCD13C" w14:textId="77777777" w:rsidR="00E06A34" w:rsidRPr="00AC4B25" w:rsidRDefault="00E06A34" w:rsidP="00E06A34">
      <w:pPr>
        <w:pStyle w:val="Textonotapie"/>
        <w:ind w:firstLine="709"/>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A. Sentencia del 14 de junio del 2019. Radicación número: 11001 03 26 000 2009 00047 00 (36860)</w:t>
      </w:r>
      <w:r w:rsidRPr="00AC4B25">
        <w:rPr>
          <w:rFonts w:ascii="Verdana" w:hAnsi="Verdana" w:cs="Arial"/>
          <w:bCs/>
          <w:sz w:val="16"/>
          <w:szCs w:val="16"/>
          <w:lang w:val="es-CO"/>
        </w:rPr>
        <w:t xml:space="preserve">. </w:t>
      </w:r>
      <w:r w:rsidRPr="00AC4B25">
        <w:rPr>
          <w:rFonts w:ascii="Verdana" w:hAnsi="Verdana" w:cs="Arial"/>
          <w:sz w:val="16"/>
          <w:szCs w:val="16"/>
        </w:rPr>
        <w:t>C.P: Carlos Alberto Zambrano Barrera.</w:t>
      </w:r>
    </w:p>
  </w:footnote>
  <w:footnote w:id="3">
    <w:p w14:paraId="60F3B041" w14:textId="77777777" w:rsidR="00E06A34" w:rsidRPr="00AC4B25" w:rsidRDefault="00E06A34" w:rsidP="00E06A34">
      <w:pPr>
        <w:pStyle w:val="Textonotapie"/>
        <w:ind w:firstLine="709"/>
        <w:jc w:val="both"/>
        <w:rPr>
          <w:rFonts w:ascii="Verdana" w:hAnsi="Verdana" w:cs="Arial"/>
          <w:sz w:val="16"/>
          <w:szCs w:val="16"/>
          <w:lang w:val="es-CO"/>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Segunda, Subsección A. Sentencia del 25 de enero del 2018. Radicación número: </w:t>
      </w:r>
      <w:r w:rsidRPr="00AC4B25">
        <w:rPr>
          <w:rFonts w:ascii="Verdana" w:hAnsi="Verdana" w:cs="Arial"/>
          <w:bCs/>
          <w:sz w:val="16"/>
          <w:szCs w:val="16"/>
          <w:lang w:val="es-CO"/>
        </w:rPr>
        <w:t>11001-03-25-000-2011-00489-00(1924-11).</w:t>
      </w:r>
      <w:r w:rsidRPr="00AC4B25">
        <w:rPr>
          <w:rFonts w:ascii="Verdana" w:hAnsi="Verdana" w:cs="Arial"/>
          <w:b/>
          <w:sz w:val="16"/>
          <w:szCs w:val="16"/>
          <w:lang w:val="es-CO"/>
        </w:rPr>
        <w:t xml:space="preserve"> </w:t>
      </w:r>
      <w:r w:rsidRPr="00AC4B25">
        <w:rPr>
          <w:rFonts w:ascii="Verdana" w:hAnsi="Verdana" w:cs="Arial"/>
          <w:sz w:val="16"/>
          <w:szCs w:val="16"/>
        </w:rPr>
        <w:t>C.P: Gabriel Valbuena Hernández.</w:t>
      </w:r>
    </w:p>
  </w:footnote>
  <w:footnote w:id="4">
    <w:p w14:paraId="7FBD960F" w14:textId="77777777" w:rsidR="00E06A34" w:rsidRPr="00DC18A7" w:rsidRDefault="00E06A34" w:rsidP="00E06A34">
      <w:pPr>
        <w:pStyle w:val="Textonotapie"/>
        <w:ind w:firstLine="708"/>
        <w:contextualSpacing/>
        <w:rPr>
          <w:rFonts w:ascii="Century Gothic" w:hAnsi="Century Gothic" w:cs="Arial"/>
          <w:sz w:val="18"/>
          <w:szCs w:val="18"/>
        </w:rPr>
      </w:pPr>
      <w:r w:rsidRPr="00DC18A7">
        <w:rPr>
          <w:rStyle w:val="Refdenotaalpie"/>
          <w:rFonts w:ascii="Century Gothic" w:hAnsi="Century Gothic"/>
          <w:sz w:val="18"/>
          <w:szCs w:val="18"/>
        </w:rPr>
        <w:footnoteRef/>
      </w:r>
      <w:r w:rsidRPr="00DC18A7">
        <w:rPr>
          <w:rFonts w:ascii="Century Gothic" w:hAnsi="Century Gothic"/>
          <w:sz w:val="18"/>
          <w:szCs w:val="18"/>
        </w:rPr>
        <w:t xml:space="preserve"> </w:t>
      </w:r>
      <w:r w:rsidRPr="00DC18A7">
        <w:rPr>
          <w:rFonts w:ascii="Century Gothic" w:hAnsi="Century Gothic" w:cs="Arial"/>
          <w:sz w:val="18"/>
          <w:szCs w:val="18"/>
        </w:rPr>
        <w:t>“Artículo 2.2.1.2.3.1.3. Indivisibilidad de la garantía.</w:t>
      </w:r>
    </w:p>
    <w:p w14:paraId="2732C599" w14:textId="77777777" w:rsidR="00E06A34" w:rsidRPr="00DC18A7" w:rsidRDefault="00E06A34" w:rsidP="00E06A34">
      <w:pPr>
        <w:pStyle w:val="Textonotapie"/>
        <w:ind w:firstLine="708"/>
        <w:contextualSpacing/>
        <w:rPr>
          <w:rFonts w:ascii="Century Gothic" w:hAnsi="Century Gothic" w:cs="Arial"/>
          <w:sz w:val="18"/>
          <w:szCs w:val="18"/>
        </w:rPr>
      </w:pPr>
      <w:r w:rsidRPr="00DC18A7">
        <w:rPr>
          <w:rFonts w:ascii="Century Gothic" w:hAnsi="Century Gothic" w:cs="Arial"/>
          <w:sz w:val="18"/>
          <w:szCs w:val="18"/>
        </w:rPr>
        <w:t xml:space="preserve"> […]</w:t>
      </w:r>
    </w:p>
    <w:p w14:paraId="61D333B4" w14:textId="77777777" w:rsidR="00E06A34" w:rsidRPr="00DC18A7" w:rsidRDefault="00E06A34" w:rsidP="00E06A34">
      <w:pPr>
        <w:pStyle w:val="NormalWeb"/>
        <w:shd w:val="clear" w:color="auto" w:fill="FFFFFF"/>
        <w:spacing w:after="0"/>
        <w:contextualSpacing/>
        <w:jc w:val="both"/>
        <w:rPr>
          <w:rFonts w:ascii="Century Gothic" w:hAnsi="Century Gothic" w:cs="Arial"/>
          <w:sz w:val="18"/>
          <w:szCs w:val="18"/>
        </w:rPr>
      </w:pPr>
      <w:r w:rsidRPr="00DC18A7">
        <w:rPr>
          <w:rFonts w:ascii="Century Gothic" w:hAnsi="Century Gothic" w:cs="Arial"/>
          <w:sz w:val="18"/>
          <w:szCs w:val="18"/>
        </w:rPr>
        <w:tab/>
        <w:t>En consecuencia, la Entidad Estatal en los pliegos de condiciones para la Contratación debe indicar las garantías que exige en cada Etapa del Contrato o cada Periodo Contractual así:</w:t>
      </w:r>
    </w:p>
    <w:p w14:paraId="7E737846" w14:textId="77777777" w:rsidR="00E06A34" w:rsidRPr="00DC18A7" w:rsidRDefault="00E06A34" w:rsidP="00E06A34">
      <w:pPr>
        <w:shd w:val="clear" w:color="auto" w:fill="FFFFFF"/>
        <w:spacing w:after="0" w:line="240" w:lineRule="auto"/>
        <w:ind w:firstLine="708"/>
        <w:contextualSpacing/>
        <w:jc w:val="both"/>
        <w:rPr>
          <w:rFonts w:ascii="Century Gothic" w:eastAsia="Times New Roman" w:hAnsi="Century Gothic" w:cs="Arial"/>
          <w:sz w:val="18"/>
          <w:szCs w:val="18"/>
          <w:lang w:eastAsia="es-CO"/>
        </w:rPr>
      </w:pPr>
      <w:r w:rsidRPr="00DC18A7">
        <w:rPr>
          <w:rFonts w:ascii="Century Gothic" w:eastAsia="Times New Roman" w:hAnsi="Century Gothic" w:cs="Arial"/>
          <w:sz w:val="18"/>
          <w:szCs w:val="18"/>
          <w:lang w:eastAsia="es-CO"/>
        </w:rPr>
        <w:t>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w:t>
      </w:r>
    </w:p>
    <w:p w14:paraId="2EDA073F" w14:textId="77777777" w:rsidR="00E06A34" w:rsidRPr="00DC18A7" w:rsidRDefault="00E06A34" w:rsidP="00E06A34">
      <w:pPr>
        <w:shd w:val="clear" w:color="auto" w:fill="FFFFFF"/>
        <w:spacing w:after="0" w:line="240" w:lineRule="auto"/>
        <w:ind w:firstLine="708"/>
        <w:contextualSpacing/>
        <w:jc w:val="both"/>
        <w:rPr>
          <w:rFonts w:ascii="Century Gothic" w:eastAsia="Times New Roman" w:hAnsi="Century Gothic" w:cs="Arial"/>
          <w:sz w:val="18"/>
          <w:szCs w:val="18"/>
          <w:lang w:eastAsia="es-CO"/>
        </w:rPr>
      </w:pPr>
      <w:r w:rsidRPr="00DC18A7">
        <w:rPr>
          <w:rFonts w:ascii="Century Gothic" w:eastAsia="Times New Roman" w:hAnsi="Century Gothic" w:cs="Arial"/>
          <w:sz w:val="18"/>
          <w:szCs w:val="18"/>
          <w:lang w:eastAsia="es-CO"/>
        </w:rPr>
        <w:t>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r w:rsidRPr="00DC18A7">
        <w:rPr>
          <w:rFonts w:ascii="Century Gothic" w:hAnsi="Century Gothic" w:cs="Arial"/>
          <w:sz w:val="18"/>
          <w:szCs w:val="18"/>
          <w:lang w:eastAsia="es-CO"/>
        </w:rPr>
        <w:t>”.</w:t>
      </w:r>
    </w:p>
    <w:p w14:paraId="7D54D26D" w14:textId="77777777" w:rsidR="00E06A34" w:rsidRPr="00DC18A7" w:rsidRDefault="00E06A34" w:rsidP="00E06A34">
      <w:pPr>
        <w:pStyle w:val="Textonotapie"/>
        <w:contextualSpacing/>
        <w:rPr>
          <w:rFonts w:ascii="Century Gothic" w:hAnsi="Century Gothic"/>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2037161613"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021031710" name="Imagen 202103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E082999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1380713882">
    <w:abstractNumId w:val="1"/>
  </w:num>
  <w:num w:numId="17" w16cid:durableId="679089576">
    <w:abstractNumId w:val="10"/>
  </w:num>
  <w:num w:numId="18" w16cid:durableId="1494030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789F"/>
    <w:rsid w:val="00061B2A"/>
    <w:rsid w:val="00082362"/>
    <w:rsid w:val="000A683E"/>
    <w:rsid w:val="000B19B9"/>
    <w:rsid w:val="000C30E8"/>
    <w:rsid w:val="000D0334"/>
    <w:rsid w:val="000F6486"/>
    <w:rsid w:val="001116B0"/>
    <w:rsid w:val="001233E9"/>
    <w:rsid w:val="00125105"/>
    <w:rsid w:val="00127233"/>
    <w:rsid w:val="0013421F"/>
    <w:rsid w:val="00142694"/>
    <w:rsid w:val="0014CE3B"/>
    <w:rsid w:val="001511A0"/>
    <w:rsid w:val="00173D24"/>
    <w:rsid w:val="001D35D9"/>
    <w:rsid w:val="001E4177"/>
    <w:rsid w:val="001F1DC6"/>
    <w:rsid w:val="001F7DC6"/>
    <w:rsid w:val="002421BB"/>
    <w:rsid w:val="002451EC"/>
    <w:rsid w:val="0025796E"/>
    <w:rsid w:val="002707A2"/>
    <w:rsid w:val="00280768"/>
    <w:rsid w:val="0029405E"/>
    <w:rsid w:val="002951A0"/>
    <w:rsid w:val="002962BC"/>
    <w:rsid w:val="002A093D"/>
    <w:rsid w:val="002A0DD0"/>
    <w:rsid w:val="002A49AC"/>
    <w:rsid w:val="002A64FD"/>
    <w:rsid w:val="002C67AE"/>
    <w:rsid w:val="002C7A84"/>
    <w:rsid w:val="002E4FD9"/>
    <w:rsid w:val="00310AD1"/>
    <w:rsid w:val="00322A85"/>
    <w:rsid w:val="00324168"/>
    <w:rsid w:val="003448F4"/>
    <w:rsid w:val="003624B1"/>
    <w:rsid w:val="00372B57"/>
    <w:rsid w:val="00374F5E"/>
    <w:rsid w:val="00376D73"/>
    <w:rsid w:val="00377E3E"/>
    <w:rsid w:val="003A779E"/>
    <w:rsid w:val="003D0F4D"/>
    <w:rsid w:val="003D5B0D"/>
    <w:rsid w:val="003E0499"/>
    <w:rsid w:val="003F3941"/>
    <w:rsid w:val="00406575"/>
    <w:rsid w:val="0041020D"/>
    <w:rsid w:val="00414C74"/>
    <w:rsid w:val="0042722E"/>
    <w:rsid w:val="00427B58"/>
    <w:rsid w:val="0043729D"/>
    <w:rsid w:val="00437FE7"/>
    <w:rsid w:val="0044528D"/>
    <w:rsid w:val="00467EE7"/>
    <w:rsid w:val="004A1847"/>
    <w:rsid w:val="004A305D"/>
    <w:rsid w:val="004B55E1"/>
    <w:rsid w:val="004D59BB"/>
    <w:rsid w:val="004D7B10"/>
    <w:rsid w:val="004F21C4"/>
    <w:rsid w:val="004F685F"/>
    <w:rsid w:val="00500A15"/>
    <w:rsid w:val="00514C98"/>
    <w:rsid w:val="00534647"/>
    <w:rsid w:val="00537AB1"/>
    <w:rsid w:val="005566E8"/>
    <w:rsid w:val="0055754A"/>
    <w:rsid w:val="00574867"/>
    <w:rsid w:val="00591460"/>
    <w:rsid w:val="005B3816"/>
    <w:rsid w:val="005C3777"/>
    <w:rsid w:val="005C5CDC"/>
    <w:rsid w:val="005D476C"/>
    <w:rsid w:val="006219F8"/>
    <w:rsid w:val="00665D70"/>
    <w:rsid w:val="006900D9"/>
    <w:rsid w:val="006B6836"/>
    <w:rsid w:val="006C1F72"/>
    <w:rsid w:val="00706C16"/>
    <w:rsid w:val="007152F9"/>
    <w:rsid w:val="00742552"/>
    <w:rsid w:val="0074621A"/>
    <w:rsid w:val="00756841"/>
    <w:rsid w:val="007649AB"/>
    <w:rsid w:val="00771D0C"/>
    <w:rsid w:val="007833AC"/>
    <w:rsid w:val="007B268C"/>
    <w:rsid w:val="007B3447"/>
    <w:rsid w:val="007B3778"/>
    <w:rsid w:val="007B7171"/>
    <w:rsid w:val="007C0C0F"/>
    <w:rsid w:val="007C1263"/>
    <w:rsid w:val="007C26C9"/>
    <w:rsid w:val="007C3DC2"/>
    <w:rsid w:val="007E5497"/>
    <w:rsid w:val="007E7A3D"/>
    <w:rsid w:val="0080674B"/>
    <w:rsid w:val="00806F5F"/>
    <w:rsid w:val="00820278"/>
    <w:rsid w:val="0082611D"/>
    <w:rsid w:val="008306EC"/>
    <w:rsid w:val="0084012B"/>
    <w:rsid w:val="00867F95"/>
    <w:rsid w:val="008801AD"/>
    <w:rsid w:val="008843B6"/>
    <w:rsid w:val="00891928"/>
    <w:rsid w:val="008A446D"/>
    <w:rsid w:val="008C3FFE"/>
    <w:rsid w:val="008D180B"/>
    <w:rsid w:val="008D68A2"/>
    <w:rsid w:val="008F0EA7"/>
    <w:rsid w:val="008F6753"/>
    <w:rsid w:val="00911AA1"/>
    <w:rsid w:val="00923EEF"/>
    <w:rsid w:val="009419F9"/>
    <w:rsid w:val="0095685E"/>
    <w:rsid w:val="00961B09"/>
    <w:rsid w:val="00965334"/>
    <w:rsid w:val="0097093E"/>
    <w:rsid w:val="009822A5"/>
    <w:rsid w:val="009851D3"/>
    <w:rsid w:val="00986AC5"/>
    <w:rsid w:val="009A0DFA"/>
    <w:rsid w:val="009B124D"/>
    <w:rsid w:val="009B2D26"/>
    <w:rsid w:val="009C71FA"/>
    <w:rsid w:val="009C72E7"/>
    <w:rsid w:val="009D3058"/>
    <w:rsid w:val="009F3A13"/>
    <w:rsid w:val="00A122D3"/>
    <w:rsid w:val="00A17F13"/>
    <w:rsid w:val="00A20739"/>
    <w:rsid w:val="00A33C78"/>
    <w:rsid w:val="00A7400D"/>
    <w:rsid w:val="00AA087C"/>
    <w:rsid w:val="00AB0ADB"/>
    <w:rsid w:val="00AE56C2"/>
    <w:rsid w:val="00AF0B21"/>
    <w:rsid w:val="00B01B1A"/>
    <w:rsid w:val="00B17D91"/>
    <w:rsid w:val="00B42B35"/>
    <w:rsid w:val="00B46F15"/>
    <w:rsid w:val="00B57FC6"/>
    <w:rsid w:val="00B66319"/>
    <w:rsid w:val="00B72CD3"/>
    <w:rsid w:val="00B72FFF"/>
    <w:rsid w:val="00B86B52"/>
    <w:rsid w:val="00BC3D36"/>
    <w:rsid w:val="00BD2F7F"/>
    <w:rsid w:val="00BD6E4F"/>
    <w:rsid w:val="00BD7CF2"/>
    <w:rsid w:val="00BD7F72"/>
    <w:rsid w:val="00C04FB3"/>
    <w:rsid w:val="00C17D68"/>
    <w:rsid w:val="00C330EB"/>
    <w:rsid w:val="00C341FC"/>
    <w:rsid w:val="00C41061"/>
    <w:rsid w:val="00C4751A"/>
    <w:rsid w:val="00C754BE"/>
    <w:rsid w:val="00C76B1C"/>
    <w:rsid w:val="00CA5D93"/>
    <w:rsid w:val="00CB6357"/>
    <w:rsid w:val="00CC1B26"/>
    <w:rsid w:val="00CF5AD7"/>
    <w:rsid w:val="00D04B0F"/>
    <w:rsid w:val="00D423A2"/>
    <w:rsid w:val="00D465AD"/>
    <w:rsid w:val="00D51AED"/>
    <w:rsid w:val="00D520D8"/>
    <w:rsid w:val="00D63AC2"/>
    <w:rsid w:val="00D65578"/>
    <w:rsid w:val="00D66DB2"/>
    <w:rsid w:val="00D72758"/>
    <w:rsid w:val="00D7383B"/>
    <w:rsid w:val="00D8781A"/>
    <w:rsid w:val="00D93FFA"/>
    <w:rsid w:val="00DA231B"/>
    <w:rsid w:val="00DC1F8F"/>
    <w:rsid w:val="00DC39FC"/>
    <w:rsid w:val="00DF5254"/>
    <w:rsid w:val="00E06A34"/>
    <w:rsid w:val="00E16408"/>
    <w:rsid w:val="00E20894"/>
    <w:rsid w:val="00E245AB"/>
    <w:rsid w:val="00E2764C"/>
    <w:rsid w:val="00E27F2E"/>
    <w:rsid w:val="00E33E3E"/>
    <w:rsid w:val="00E50AFE"/>
    <w:rsid w:val="00E7005D"/>
    <w:rsid w:val="00E75C92"/>
    <w:rsid w:val="00E771DC"/>
    <w:rsid w:val="00E8772A"/>
    <w:rsid w:val="00E90F6B"/>
    <w:rsid w:val="00E92C27"/>
    <w:rsid w:val="00EA0E3D"/>
    <w:rsid w:val="00EC38A7"/>
    <w:rsid w:val="00ED7384"/>
    <w:rsid w:val="00EE1AA8"/>
    <w:rsid w:val="00F025A6"/>
    <w:rsid w:val="00F0784B"/>
    <w:rsid w:val="00F31EDC"/>
    <w:rsid w:val="00F42A85"/>
    <w:rsid w:val="00F462B3"/>
    <w:rsid w:val="00F5664F"/>
    <w:rsid w:val="00F666C4"/>
    <w:rsid w:val="00F72247"/>
    <w:rsid w:val="00F76AFC"/>
    <w:rsid w:val="00FA47C0"/>
    <w:rsid w:val="00FB5DD1"/>
    <w:rsid w:val="00FC2B5D"/>
    <w:rsid w:val="00FE1CF0"/>
    <w:rsid w:val="00FF1449"/>
    <w:rsid w:val="0144C7D6"/>
    <w:rsid w:val="0C96A854"/>
    <w:rsid w:val="165E9519"/>
    <w:rsid w:val="1DF6A41B"/>
    <w:rsid w:val="212E81EE"/>
    <w:rsid w:val="25AE0598"/>
    <w:rsid w:val="29D5CE67"/>
    <w:rsid w:val="2B7F4B36"/>
    <w:rsid w:val="2CAD10E0"/>
    <w:rsid w:val="2E977A0E"/>
    <w:rsid w:val="31EBE8DF"/>
    <w:rsid w:val="382536D9"/>
    <w:rsid w:val="3BBBF3AF"/>
    <w:rsid w:val="3F9D28E7"/>
    <w:rsid w:val="3FE39249"/>
    <w:rsid w:val="40A6738A"/>
    <w:rsid w:val="4ADE0D62"/>
    <w:rsid w:val="502E201A"/>
    <w:rsid w:val="515F532D"/>
    <w:rsid w:val="56C9CB6B"/>
    <w:rsid w:val="58BD6AD0"/>
    <w:rsid w:val="5AF5B7B2"/>
    <w:rsid w:val="5B31B335"/>
    <w:rsid w:val="667E1287"/>
    <w:rsid w:val="6DB206B2"/>
    <w:rsid w:val="6EFDAB80"/>
    <w:rsid w:val="73179A01"/>
    <w:rsid w:val="75A1FC8D"/>
    <w:rsid w:val="7B6AA7A6"/>
    <w:rsid w:val="7B80203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6A3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06A34"/>
    <w:rPr>
      <w:rFonts w:ascii="Geomanist Light" w:hAnsi="Geomanist Light"/>
      <w:lang w:val="es-ES"/>
    </w:rPr>
  </w:style>
  <w:style w:type="paragraph" w:styleId="Textoindependiente">
    <w:name w:val="Body Text"/>
    <w:basedOn w:val="Normal"/>
    <w:link w:val="TextoindependienteCar"/>
    <w:uiPriority w:val="1"/>
    <w:qFormat/>
    <w:rsid w:val="00E06A3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E06A34"/>
    <w:rPr>
      <w:rFonts w:ascii="Verdana" w:eastAsia="Verdana" w:hAnsi="Verdana" w:cs="Verdana"/>
      <w:lang w:val="es-ES"/>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D04B0F"/>
    <w:rPr>
      <w:b/>
      <w:bCs/>
    </w:rPr>
  </w:style>
  <w:style w:type="character" w:customStyle="1" w:styleId="AsuntodelcomentarioCar">
    <w:name w:val="Asunto del comentario Car"/>
    <w:basedOn w:val="TextocomentarioCar"/>
    <w:link w:val="Asuntodelcomentario"/>
    <w:uiPriority w:val="99"/>
    <w:semiHidden/>
    <w:rsid w:val="00D04B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dramilcortes@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a6cb9e4b-f1d1-4245-83ec-6cad768d538a"/>
    <ds:schemaRef ds:uri="http://purl.org/dc/elements/1.1/"/>
    <ds:schemaRef ds:uri="http://schemas.microsoft.com/office/2006/metadata/propertie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0D51F10E-4DA9-4268-8890-0B0101F43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6031</Words>
  <Characters>33176</Characters>
  <Application>Microsoft Office Word</Application>
  <DocSecurity>0</DocSecurity>
  <Lines>276</Lines>
  <Paragraphs>78</Paragraphs>
  <ScaleCrop>false</ScaleCrop>
  <Company/>
  <LinksUpToDate>false</LinksUpToDate>
  <CharactersWithSpaces>39129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2025-09-16T21:55:00Z</dcterms:created>
  <dcterms:modified xsi:type="dcterms:W3CDTF">2025-09-16T21:55:00Z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