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A9B63" w14:textId="64CD4E2C" w:rsidR="00E7503B" w:rsidRPr="00B70D20" w:rsidRDefault="00E7503B" w:rsidP="00A269F9">
      <w:pPr>
        <w:spacing w:after="120" w:line="240" w:lineRule="auto"/>
        <w:jc w:val="both"/>
        <w:rPr>
          <w:rFonts w:ascii="Arial" w:eastAsia="Calibri" w:hAnsi="Arial" w:cs="Arial"/>
          <w:b/>
          <w:bCs/>
          <w:sz w:val="20"/>
          <w:szCs w:val="20"/>
          <w:lang w:eastAsia="es-ES_tradnl"/>
        </w:rPr>
      </w:pPr>
      <w:r w:rsidRPr="00B70D20">
        <w:rPr>
          <w:rFonts w:ascii="Arial" w:eastAsia="Calibri" w:hAnsi="Arial" w:cs="Arial"/>
          <w:b/>
          <w:bCs/>
          <w:sz w:val="20"/>
          <w:szCs w:val="20"/>
          <w:lang w:eastAsia="es-ES_tradnl"/>
        </w:rPr>
        <w:t xml:space="preserve">CIRCULAR CONJUNTA No. 01 DEL 5 DE ENERO DE 2023 – Entidades Estatales – Prestación de servicios – Apoyo a la gestión – Obligatoriedad </w:t>
      </w:r>
    </w:p>
    <w:p w14:paraId="0AC156C3" w14:textId="072726FC" w:rsidR="009659CF" w:rsidRPr="00B70D20" w:rsidRDefault="00E7503B" w:rsidP="00A269F9">
      <w:pPr>
        <w:spacing w:after="120" w:line="240" w:lineRule="auto"/>
        <w:jc w:val="both"/>
        <w:textAlignment w:val="baseline"/>
        <w:rPr>
          <w:rFonts w:ascii="Arial" w:eastAsia="Times New Roman" w:hAnsi="Arial" w:cs="Arial"/>
          <w:sz w:val="20"/>
          <w:szCs w:val="20"/>
          <w:lang w:eastAsia="es-CO"/>
        </w:rPr>
      </w:pPr>
      <w:r w:rsidRPr="00B70D20">
        <w:rPr>
          <w:rFonts w:ascii="Arial" w:eastAsia="Times New Roman" w:hAnsi="Arial" w:cs="Arial"/>
          <w:sz w:val="20"/>
          <w:szCs w:val="20"/>
          <w:lang w:eastAsia="es-CO"/>
        </w:rPr>
        <w:t xml:space="preserve">En conclusión, la Circular Conjunta No. 01 del 5 de enero de 2023 es un instrumento expedido con el fin de dar pautas orientadoras para la celebración de contratos prestación de 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y lo señalado en el numeral 3 de la </w:t>
      </w:r>
      <w:r w:rsidRPr="00B70D20">
        <w:rPr>
          <w:rFonts w:ascii="Arial" w:eastAsia="Calibri" w:hAnsi="Arial" w:cs="Arial"/>
          <w:sz w:val="20"/>
          <w:szCs w:val="20"/>
          <w:lang w:eastAsia="es-CO"/>
        </w:rPr>
        <w:t xml:space="preserve">Circular Conjunta </w:t>
      </w:r>
      <w:r w:rsidRPr="00B70D20">
        <w:rPr>
          <w:rFonts w:ascii="Arial" w:eastAsia="Times New Roman" w:hAnsi="Arial" w:cs="Arial"/>
          <w:sz w:val="20"/>
          <w:szCs w:val="20"/>
          <w:lang w:eastAsia="es-CO"/>
        </w:rPr>
        <w:t>100-005-2022 con respecto al plazo de los contratos de prestación de servicios regulados en el artículo 32, numeral 3 de la Ley 80 de 1993 y el literal h) del numeral 4 de artículo 2 de la Ley 1150 de 2007, de cara a la implementación del</w:t>
      </w:r>
      <w:r w:rsidRPr="00B70D20">
        <w:rPr>
          <w:rFonts w:ascii="Arial" w:hAnsi="Arial" w:cs="Arial"/>
          <w:sz w:val="20"/>
          <w:szCs w:val="20"/>
        </w:rPr>
        <w:t xml:space="preserve"> «P</w:t>
      </w:r>
      <w:r w:rsidRPr="00B70D20">
        <w:rPr>
          <w:rFonts w:ascii="Arial" w:eastAsia="Times New Roman" w:hAnsi="Arial" w:cs="Arial"/>
          <w:sz w:val="20"/>
          <w:szCs w:val="20"/>
          <w:lang w:eastAsia="es-CO"/>
        </w:rPr>
        <w:t xml:space="preserve">LAN DE FORMALIZACIÓN DEL EMPLEO PÚBLICO EN EQUIDAD - VIGENCIA 2023» liderado por el Departamento Administrativo de la Función Pública. </w:t>
      </w:r>
    </w:p>
    <w:p w14:paraId="0AE57442" w14:textId="598D97A5" w:rsidR="009659CF" w:rsidRPr="00B70D20" w:rsidRDefault="00E7503B" w:rsidP="00A269F9">
      <w:pPr>
        <w:spacing w:after="120" w:line="240" w:lineRule="auto"/>
        <w:jc w:val="both"/>
        <w:rPr>
          <w:rFonts w:ascii="Arial" w:eastAsia="Times New Roman" w:hAnsi="Arial" w:cs="Arial"/>
          <w:sz w:val="20"/>
          <w:szCs w:val="20"/>
          <w:lang w:eastAsia="es-CO"/>
        </w:rPr>
      </w:pPr>
      <w:r w:rsidRPr="00B70D20">
        <w:rPr>
          <w:rFonts w:ascii="Arial" w:eastAsia="Times New Roman" w:hAnsi="Arial" w:cs="Arial"/>
          <w:sz w:val="20"/>
          <w:szCs w:val="20"/>
          <w:lang w:eastAsia="es-CO"/>
        </w:rPr>
        <w:t xml:space="preserve">En ese orden, la Circular Conjunta No. 01 del 5 de enero de 2023 no tiene </w:t>
      </w:r>
      <w:r w:rsidRPr="00B70D20">
        <w:rPr>
          <w:rFonts w:ascii="Arial" w:eastAsia="Times New Roman" w:hAnsi="Arial" w:cs="Arial"/>
          <w:i/>
          <w:iCs/>
          <w:sz w:val="20"/>
          <w:szCs w:val="20"/>
          <w:lang w:eastAsia="es-CO"/>
        </w:rPr>
        <w:t xml:space="preserve">per se </w:t>
      </w:r>
      <w:r w:rsidRPr="00B70D20">
        <w:rPr>
          <w:rFonts w:ascii="Arial" w:eastAsia="Times New Roman" w:hAnsi="Arial" w:cs="Arial"/>
          <w:sz w:val="20"/>
          <w:szCs w:val="20"/>
          <w:lang w:eastAsia="es-CO"/>
        </w:rPr>
        <w:t>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w:t>
      </w:r>
    </w:p>
    <w:p w14:paraId="4B613BA5" w14:textId="5B13F22D" w:rsidR="009659CF" w:rsidRPr="00B70D20" w:rsidRDefault="00E7503B" w:rsidP="00A269F9">
      <w:pPr>
        <w:spacing w:after="120" w:line="240" w:lineRule="auto"/>
        <w:jc w:val="both"/>
        <w:rPr>
          <w:rFonts w:ascii="Arial" w:eastAsia="Calibri" w:hAnsi="Arial" w:cs="Arial"/>
          <w:b/>
          <w:bCs/>
          <w:sz w:val="20"/>
          <w:szCs w:val="20"/>
          <w:lang w:eastAsia="es-ES_tradnl"/>
        </w:rPr>
      </w:pPr>
      <w:r w:rsidRPr="00B70D20">
        <w:rPr>
          <w:rFonts w:ascii="Arial" w:eastAsia="Calibri" w:hAnsi="Arial" w:cs="Arial"/>
          <w:b/>
          <w:bCs/>
          <w:sz w:val="20"/>
          <w:szCs w:val="20"/>
          <w:lang w:eastAsia="es-ES_tradnl"/>
        </w:rPr>
        <w:t xml:space="preserve">CIRCULAR CONJUNTA No. 01 DEL 5 DE ENERO DE 2023 – Vigencia </w:t>
      </w:r>
    </w:p>
    <w:p w14:paraId="06505DF0" w14:textId="6CCF1ADB" w:rsidR="009659CF" w:rsidRPr="00B70D20" w:rsidRDefault="00E7503B" w:rsidP="00A269F9">
      <w:pPr>
        <w:spacing w:after="120" w:line="240" w:lineRule="auto"/>
        <w:jc w:val="both"/>
        <w:rPr>
          <w:rFonts w:ascii="Arial-ItalicMT" w:hAnsi="Arial-ItalicMT" w:cs="Arial-ItalicMT"/>
          <w:sz w:val="20"/>
          <w:szCs w:val="20"/>
        </w:rPr>
      </w:pPr>
      <w:r w:rsidRPr="00B70D20">
        <w:rPr>
          <w:rFonts w:ascii="Arial" w:hAnsi="Arial" w:cs="Arial"/>
          <w:sz w:val="20"/>
          <w:szCs w:val="20"/>
        </w:rPr>
        <w:t xml:space="preserve">fija una serie de lineamientos para articular e interpretar armónicamente con las normas de contratación estatal y las disposiciones contenidas en la Circular Conjunta Ni. 100-005-2022 expedida por el Departamento Administrativo de la Función Pública y la Escuela Superior de la Administración Pública, únicamente para la vigencia 2023, atendiendo principalmente a que en este año dichas medidas se deberán acatar a la par de la </w:t>
      </w:r>
      <w:r w:rsidRPr="00B70D20">
        <w:rPr>
          <w:rFonts w:ascii="ArialMT" w:hAnsi="ArialMT" w:cs="ArialMT"/>
          <w:sz w:val="20"/>
          <w:szCs w:val="20"/>
        </w:rPr>
        <w:t xml:space="preserve">implementación del </w:t>
      </w:r>
      <w:r w:rsidRPr="00B70D20">
        <w:rPr>
          <w:rFonts w:ascii="Arial-ItalicMT" w:hAnsi="Arial-ItalicMT" w:cs="Arial-ItalicMT"/>
          <w:i/>
          <w:iCs/>
          <w:sz w:val="20"/>
          <w:szCs w:val="20"/>
        </w:rPr>
        <w:t xml:space="preserve">PLAN DE FORMALIZACIÓN DEL EMPLEO PÚBLICO EN EQUIDAD – VIGENCIA 2023 </w:t>
      </w:r>
      <w:r w:rsidRPr="00B70D20">
        <w:rPr>
          <w:rFonts w:ascii="Arial-ItalicMT" w:hAnsi="Arial-ItalicMT" w:cs="Arial-ItalicMT"/>
          <w:sz w:val="20"/>
          <w:szCs w:val="20"/>
        </w:rPr>
        <w:t>liderado por el Departamento Administrativo de la Función Pública.</w:t>
      </w:r>
    </w:p>
    <w:p w14:paraId="634D815B" w14:textId="7D74BA13" w:rsidR="009659CF" w:rsidRPr="00B70D20" w:rsidRDefault="00E7503B" w:rsidP="00A269F9">
      <w:pPr>
        <w:spacing w:after="120" w:line="240" w:lineRule="auto"/>
        <w:jc w:val="both"/>
        <w:rPr>
          <w:rFonts w:ascii="Arial" w:eastAsia="Calibri" w:hAnsi="Arial" w:cs="Arial"/>
          <w:b/>
          <w:bCs/>
          <w:sz w:val="20"/>
          <w:szCs w:val="20"/>
          <w:lang w:eastAsia="es-ES_tradnl"/>
        </w:rPr>
      </w:pPr>
      <w:r w:rsidRPr="00B70D20">
        <w:rPr>
          <w:rFonts w:ascii="Arial" w:eastAsia="Calibri" w:hAnsi="Arial" w:cs="Arial"/>
          <w:b/>
          <w:bCs/>
          <w:sz w:val="20"/>
          <w:szCs w:val="20"/>
          <w:lang w:eastAsia="es-ES_tradnl"/>
        </w:rPr>
        <w:t>MODIFICACIÓN DE LOS CONTRATOS ESTATALES - Procedencia - Circular Conjunta no. 01 del 5 de enero de 2023</w:t>
      </w:r>
    </w:p>
    <w:p w14:paraId="55F3A8AF" w14:textId="439196CD" w:rsidR="009659CF" w:rsidRPr="00B70D20" w:rsidRDefault="00E7503B" w:rsidP="00A269F9">
      <w:pPr>
        <w:spacing w:after="120" w:line="240" w:lineRule="auto"/>
        <w:jc w:val="both"/>
        <w:rPr>
          <w:rFonts w:ascii="Arial-ItalicMT" w:hAnsi="Arial-ItalicMT" w:cs="Arial-ItalicMT"/>
          <w:i/>
          <w:iCs/>
          <w:sz w:val="20"/>
          <w:szCs w:val="20"/>
        </w:rPr>
      </w:pPr>
      <w:r w:rsidRPr="00B70D20">
        <w:rPr>
          <w:rFonts w:ascii="Arial" w:hAnsi="Arial" w:cs="Arial"/>
          <w:sz w:val="20"/>
          <w:szCs w:val="20"/>
        </w:rPr>
        <w:t xml:space="preserve">las Entidades Estatales, en el marco de su autonomía y voluntad de las partes, sepan que si la invitación para planear su contratación por contratos prestación de servicios por un plazo máximo de cuatro (4) meses no fuese posible, tal situación no limita en caso de que la necesidad que originó la contratación persista, y en estricta sujeción al marco jurídico aplicable y con observancia de la jurisprudencia del Consejo de Estado y la Corte Constitucional, puedan celebrar nuevos contratos o suscribir los modificaciones que a lugar procedan, esto es, cuando con ellos se pretenda garantizar el interés público, cuando la entidad haya verificado y constatado que la causa de la modificación es real y cierta, y cuando la modificación encuentra sustento en previsiones establecidas por el legislador, sin que por ello se entienda afectado el principio de planeación de las Entidades Estatales, los cual debió planearse a finales del anterior año y  principios de este a la par con la </w:t>
      </w:r>
      <w:r w:rsidRPr="00B70D20">
        <w:rPr>
          <w:rFonts w:ascii="ArialMT" w:hAnsi="ArialMT" w:cs="ArialMT"/>
          <w:sz w:val="20"/>
          <w:szCs w:val="20"/>
        </w:rPr>
        <w:t xml:space="preserve">implementación del </w:t>
      </w:r>
      <w:r w:rsidRPr="00B70D20">
        <w:rPr>
          <w:rFonts w:ascii="Arial-ItalicMT" w:hAnsi="Arial-ItalicMT" w:cs="Arial-ItalicMT"/>
          <w:i/>
          <w:iCs/>
          <w:sz w:val="20"/>
          <w:szCs w:val="20"/>
        </w:rPr>
        <w:t>PLAN DE FORMALIZACIÓN DEL EMPLEO PÚBLICO EN EQUIDAD – VIGENCIA 2023</w:t>
      </w:r>
    </w:p>
    <w:p w14:paraId="7D54A0D3" w14:textId="77777777" w:rsidR="00833452" w:rsidRPr="00B70D20" w:rsidRDefault="00833452" w:rsidP="00526E9D">
      <w:pPr>
        <w:rPr>
          <w:rFonts w:ascii="Arial" w:eastAsia="Calibri" w:hAnsi="Arial" w:cs="Arial"/>
          <w:b/>
          <w:bCs/>
          <w:sz w:val="20"/>
          <w:szCs w:val="20"/>
          <w:lang w:eastAsia="es-ES_tradnl"/>
        </w:rPr>
      </w:pPr>
    </w:p>
    <w:p w14:paraId="785D1709" w14:textId="77777777" w:rsidR="006305F8" w:rsidRPr="00B70D20" w:rsidRDefault="006305F8" w:rsidP="00526E9D">
      <w:pPr>
        <w:rPr>
          <w:rFonts w:ascii="Arial" w:eastAsia="Calibri" w:hAnsi="Arial" w:cs="Arial"/>
          <w:b/>
          <w:bCs/>
          <w:sz w:val="20"/>
          <w:szCs w:val="20"/>
          <w:lang w:eastAsia="es-ES_tradnl"/>
        </w:rPr>
      </w:pPr>
    </w:p>
    <w:p w14:paraId="72A08EAB" w14:textId="77777777" w:rsidR="006305F8" w:rsidRPr="00B70D20" w:rsidRDefault="006305F8" w:rsidP="00526E9D">
      <w:pPr>
        <w:rPr>
          <w:rFonts w:ascii="Arial" w:eastAsia="Calibri" w:hAnsi="Arial" w:cs="Arial"/>
          <w:b/>
          <w:bCs/>
          <w:sz w:val="20"/>
          <w:szCs w:val="20"/>
          <w:lang w:eastAsia="es-ES_tradnl"/>
        </w:rPr>
      </w:pPr>
    </w:p>
    <w:p w14:paraId="2B20AA02" w14:textId="77777777" w:rsidR="006305F8" w:rsidRPr="00B70D20" w:rsidRDefault="006305F8" w:rsidP="00526E9D">
      <w:pPr>
        <w:rPr>
          <w:rFonts w:ascii="Arial" w:eastAsia="Calibri" w:hAnsi="Arial" w:cs="Arial"/>
          <w:b/>
          <w:bCs/>
          <w:sz w:val="20"/>
          <w:szCs w:val="20"/>
          <w:lang w:eastAsia="es-ES_tradnl"/>
        </w:rPr>
      </w:pPr>
    </w:p>
    <w:p w14:paraId="2E79251B" w14:textId="77777777" w:rsidR="006305F8" w:rsidRPr="00B70D20" w:rsidRDefault="006305F8" w:rsidP="00526E9D">
      <w:pPr>
        <w:rPr>
          <w:rFonts w:ascii="Arial" w:eastAsia="Calibri" w:hAnsi="Arial" w:cs="Arial"/>
          <w:b/>
          <w:bCs/>
          <w:sz w:val="20"/>
          <w:szCs w:val="20"/>
          <w:lang w:eastAsia="es-ES_tradnl"/>
        </w:rPr>
      </w:pPr>
    </w:p>
    <w:p w14:paraId="77C1F1FC" w14:textId="77777777" w:rsidR="006305F8" w:rsidRPr="00B70D20" w:rsidRDefault="006305F8" w:rsidP="00526E9D">
      <w:pPr>
        <w:rPr>
          <w:rFonts w:ascii="Arial" w:eastAsia="Times New Roman" w:hAnsi="Arial" w:cs="Arial"/>
          <w:b/>
          <w:bCs/>
          <w:lang w:val="es-ES" w:eastAsia="es-CO"/>
        </w:rPr>
      </w:pPr>
    </w:p>
    <w:p w14:paraId="5AD1204E" w14:textId="77777777" w:rsidR="00BD79B3" w:rsidRPr="00B70D20" w:rsidRDefault="00BD79B3" w:rsidP="6B8BD3AC">
      <w:pPr>
        <w:rPr>
          <w:rFonts w:ascii="Arial" w:eastAsia="Geomanist Light" w:hAnsi="Arial" w:cs="Arial"/>
          <w:lang w:val="es-MX"/>
        </w:rPr>
      </w:pPr>
    </w:p>
    <w:p w14:paraId="062F1ECA" w14:textId="5EE037FF" w:rsidR="006219F8" w:rsidRPr="00B70D20" w:rsidRDefault="1CC63BF5" w:rsidP="6B8BD3AC">
      <w:pPr>
        <w:rPr>
          <w:rFonts w:ascii="Arial" w:eastAsia="Geomanist Light" w:hAnsi="Arial" w:cs="Arial"/>
          <w:lang w:val="es-MX"/>
        </w:rPr>
      </w:pPr>
      <w:r w:rsidRPr="00B70D20">
        <w:rPr>
          <w:rFonts w:ascii="Arial" w:eastAsia="Geomanist Light" w:hAnsi="Arial" w:cs="Arial"/>
          <w:lang w:val="es-MX"/>
        </w:rPr>
        <w:t>Bogotá D.C., </w:t>
      </w:r>
      <w:r w:rsidR="007060D2" w:rsidRPr="00B70D20">
        <w:rPr>
          <w:rFonts w:ascii="Arial" w:eastAsia="Geomanist Light" w:hAnsi="Arial" w:cs="Arial"/>
          <w:lang w:val="es-MX"/>
        </w:rPr>
        <w:t>0</w:t>
      </w:r>
      <w:r w:rsidR="00472F67" w:rsidRPr="00B70D20">
        <w:rPr>
          <w:rFonts w:ascii="Arial" w:eastAsia="Geomanist Light" w:hAnsi="Arial" w:cs="Arial"/>
          <w:lang w:val="es-MX"/>
        </w:rPr>
        <w:t xml:space="preserve">9 </w:t>
      </w:r>
      <w:r w:rsidR="007060D2" w:rsidRPr="00B70D20">
        <w:rPr>
          <w:rFonts w:ascii="Arial" w:eastAsia="Geomanist Light" w:hAnsi="Arial" w:cs="Arial"/>
          <w:lang w:val="es-MX"/>
        </w:rPr>
        <w:t>de mayo del 2023</w:t>
      </w:r>
    </w:p>
    <w:p w14:paraId="27AFF8C7" w14:textId="5B0F0807" w:rsidR="006219F8" w:rsidRPr="00B70D20" w:rsidRDefault="00761EEA" w:rsidP="00761EEA">
      <w:pPr>
        <w:spacing w:after="0" w:line="240" w:lineRule="auto"/>
        <w:jc w:val="right"/>
        <w:textAlignment w:val="baseline"/>
        <w:rPr>
          <w:rFonts w:ascii="Arial" w:eastAsia="Times New Roman" w:hAnsi="Arial" w:cs="Arial"/>
          <w:lang w:val="es-MX" w:eastAsia="es-CO"/>
        </w:rPr>
      </w:pPr>
      <w:r>
        <w:rPr>
          <w:rFonts w:ascii="Arial" w:eastAsia="Times New Roman" w:hAnsi="Arial" w:cs="Arial"/>
          <w:noProof/>
          <w:lang w:val="es-MX" w:eastAsia="es-CO"/>
        </w:rPr>
        <w:drawing>
          <wp:inline distT="0" distB="0" distL="0" distR="0" wp14:anchorId="6AB3CE9A" wp14:editId="3700146F">
            <wp:extent cx="3161665" cy="838200"/>
            <wp:effectExtent l="0" t="0" r="635" b="0"/>
            <wp:docPr id="214284017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40178"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1665" cy="838200"/>
                    </a:xfrm>
                    <a:prstGeom prst="rect">
                      <a:avLst/>
                    </a:prstGeom>
                  </pic:spPr>
                </pic:pic>
              </a:graphicData>
            </a:graphic>
          </wp:inline>
        </w:drawing>
      </w:r>
    </w:p>
    <w:p w14:paraId="26BEE839" w14:textId="77777777" w:rsidR="007F5E43" w:rsidRPr="00B70D20" w:rsidRDefault="007F5E43" w:rsidP="007F5E43">
      <w:pPr>
        <w:spacing w:after="0" w:line="276" w:lineRule="auto"/>
        <w:rPr>
          <w:rFonts w:ascii="Arial" w:hAnsi="Arial" w:cs="Arial"/>
          <w:lang w:val="es-MX"/>
        </w:rPr>
      </w:pPr>
      <w:bookmarkStart w:id="0" w:name="_Hlk34951122"/>
      <w:r w:rsidRPr="00B70D20">
        <w:rPr>
          <w:rFonts w:ascii="Arial" w:hAnsi="Arial" w:cs="Arial"/>
          <w:lang w:val="es-MX"/>
        </w:rPr>
        <w:t>Señor</w:t>
      </w:r>
    </w:p>
    <w:p w14:paraId="04DF9E17" w14:textId="31ADCDEF" w:rsidR="007F5E43" w:rsidRPr="00B70D20" w:rsidRDefault="00BE6294" w:rsidP="007F5E43">
      <w:pPr>
        <w:spacing w:after="0" w:line="276" w:lineRule="auto"/>
        <w:rPr>
          <w:rFonts w:ascii="Arial" w:hAnsi="Arial" w:cs="Arial"/>
          <w:b/>
          <w:bCs/>
          <w:lang w:val="es-MX"/>
        </w:rPr>
      </w:pPr>
      <w:r w:rsidRPr="00B70D20">
        <w:rPr>
          <w:rFonts w:ascii="Arial" w:hAnsi="Arial" w:cs="Arial"/>
          <w:b/>
          <w:bCs/>
          <w:lang w:val="es-MX"/>
        </w:rPr>
        <w:t>Nilton Javier Caicedo Vidal</w:t>
      </w:r>
    </w:p>
    <w:p w14:paraId="11C0817F" w14:textId="21F5DE38" w:rsidR="007F5E43" w:rsidRPr="00B70D20" w:rsidRDefault="009D2B62" w:rsidP="007F5E43">
      <w:pPr>
        <w:spacing w:after="0" w:line="276" w:lineRule="auto"/>
        <w:rPr>
          <w:rFonts w:ascii="Arial" w:hAnsi="Arial" w:cs="Arial"/>
          <w:lang w:val="es-MX"/>
        </w:rPr>
      </w:pPr>
      <w:r w:rsidRPr="00B70D20">
        <w:rPr>
          <w:rFonts w:ascii="Arial" w:hAnsi="Arial" w:cs="Arial"/>
          <w:lang w:val="es-MX"/>
        </w:rPr>
        <w:t>Cali</w:t>
      </w:r>
      <w:r w:rsidR="007F5E43" w:rsidRPr="00B70D20">
        <w:rPr>
          <w:rFonts w:ascii="Arial" w:hAnsi="Arial" w:cs="Arial"/>
          <w:lang w:val="es-MX"/>
        </w:rPr>
        <w:t xml:space="preserve">, </w:t>
      </w:r>
      <w:r w:rsidRPr="00B70D20">
        <w:rPr>
          <w:rFonts w:ascii="Arial" w:hAnsi="Arial" w:cs="Arial"/>
          <w:lang w:val="es-MX"/>
        </w:rPr>
        <w:t>Valle del Cauca</w:t>
      </w:r>
    </w:p>
    <w:p w14:paraId="21348DE6" w14:textId="77777777" w:rsidR="007F5E43" w:rsidRPr="00B70D20" w:rsidRDefault="007F5E43" w:rsidP="007F5E43">
      <w:pPr>
        <w:spacing w:after="0" w:line="276" w:lineRule="auto"/>
        <w:rPr>
          <w:rFonts w:ascii="Arial" w:hAnsi="Arial" w:cs="Arial"/>
          <w:lang w:val="es-MX"/>
        </w:rPr>
      </w:pPr>
    </w:p>
    <w:p w14:paraId="78348333" w14:textId="77777777" w:rsidR="007F5E43" w:rsidRPr="00B70D20" w:rsidRDefault="007F5E43" w:rsidP="007F5E43">
      <w:pPr>
        <w:spacing w:after="0" w:line="276" w:lineRule="auto"/>
        <w:rPr>
          <w:rFonts w:ascii="Arial" w:hAnsi="Arial" w:cs="Arial"/>
          <w:lang w:val="es-MX"/>
        </w:rPr>
      </w:pPr>
    </w:p>
    <w:p w14:paraId="119A22C8" w14:textId="0B742A73" w:rsidR="007F5E43" w:rsidRPr="00B70D20" w:rsidRDefault="007F5E43" w:rsidP="007F5E43">
      <w:pPr>
        <w:spacing w:after="0" w:line="276" w:lineRule="auto"/>
        <w:ind w:left="2832"/>
        <w:rPr>
          <w:rFonts w:ascii="Arial" w:eastAsia="Calibri" w:hAnsi="Arial" w:cs="Arial"/>
          <w:b/>
          <w:bCs/>
          <w:lang w:val="es-ES"/>
        </w:rPr>
      </w:pPr>
      <w:r w:rsidRPr="00B70D20">
        <w:rPr>
          <w:rFonts w:ascii="Arial" w:eastAsia="Calibri" w:hAnsi="Arial" w:cs="Arial"/>
          <w:b/>
          <w:bCs/>
          <w:lang w:val="es-ES"/>
        </w:rPr>
        <w:t>Concepto C–1</w:t>
      </w:r>
      <w:r w:rsidR="003345B7" w:rsidRPr="00B70D20">
        <w:rPr>
          <w:rFonts w:ascii="Arial" w:eastAsia="Calibri" w:hAnsi="Arial" w:cs="Arial"/>
          <w:b/>
          <w:bCs/>
          <w:lang w:val="es-ES"/>
        </w:rPr>
        <w:t>11</w:t>
      </w:r>
      <w:r w:rsidRPr="00B70D20">
        <w:rPr>
          <w:rFonts w:ascii="Arial" w:eastAsia="Calibri" w:hAnsi="Arial" w:cs="Arial"/>
          <w:b/>
          <w:bCs/>
          <w:lang w:val="es-ES"/>
        </w:rPr>
        <w:t xml:space="preserve"> del 2023</w:t>
      </w:r>
    </w:p>
    <w:p w14:paraId="613511D2" w14:textId="77777777" w:rsidR="007F5E43" w:rsidRPr="00B70D20" w:rsidRDefault="007F5E43" w:rsidP="007F5E43">
      <w:pPr>
        <w:spacing w:after="0" w:line="276" w:lineRule="auto"/>
        <w:jc w:val="both"/>
        <w:rPr>
          <w:rFonts w:ascii="Arial" w:eastAsia="Calibri" w:hAnsi="Arial" w:cs="Arial"/>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70D20" w:rsidRPr="00B70D20" w14:paraId="5187C9E5" w14:textId="77777777" w:rsidTr="00C87F8A">
        <w:trPr>
          <w:jc w:val="right"/>
        </w:trPr>
        <w:tc>
          <w:tcPr>
            <w:tcW w:w="1838" w:type="dxa"/>
          </w:tcPr>
          <w:p w14:paraId="4BF983D9" w14:textId="77777777" w:rsidR="007F5E43" w:rsidRPr="00B70D20" w:rsidRDefault="007F5E43" w:rsidP="00C87F8A">
            <w:pPr>
              <w:spacing w:line="276" w:lineRule="auto"/>
              <w:jc w:val="center"/>
              <w:rPr>
                <w:rFonts w:ascii="Arial" w:eastAsia="Calibri" w:hAnsi="Arial" w:cs="Arial"/>
                <w:lang w:val="es-ES_tradnl"/>
              </w:rPr>
            </w:pPr>
            <w:r w:rsidRPr="00B70D20">
              <w:rPr>
                <w:rFonts w:ascii="Arial" w:eastAsia="Calibri" w:hAnsi="Arial" w:cs="Arial"/>
                <w:b/>
                <w:lang w:val="es-ES_tradnl"/>
              </w:rPr>
              <w:t>Temas:</w:t>
            </w:r>
          </w:p>
        </w:tc>
        <w:tc>
          <w:tcPr>
            <w:tcW w:w="6237" w:type="dxa"/>
          </w:tcPr>
          <w:p w14:paraId="3E43FE83" w14:textId="7DBF0A7F" w:rsidR="007F5E43" w:rsidRPr="00B70D20" w:rsidRDefault="007B7A8A" w:rsidP="00C87F8A">
            <w:pPr>
              <w:spacing w:line="276" w:lineRule="auto"/>
              <w:jc w:val="both"/>
              <w:rPr>
                <w:rFonts w:ascii="Arial" w:hAnsi="Arial" w:cs="Arial"/>
                <w:lang w:val="es-ES"/>
              </w:rPr>
            </w:pPr>
            <w:r w:rsidRPr="00B70D20">
              <w:rPr>
                <w:rFonts w:ascii="Arial" w:hAnsi="Arial" w:cs="Arial"/>
                <w:bCs/>
                <w:lang w:val="es-ES_tradnl"/>
              </w:rPr>
              <w:t>CIRCULAR CONJUNTA No. 01 DEL 5 DE ENERO DE 2023 – Entidades Estatales – Prestación de servicios – Apoyo a la gestión – Contratos previos – Directiva Presidencial No. 08 de 2022 / Directiva Presidencial No. 08 de 2022 – Circular Conjunta No. 01 de 2023</w:t>
            </w:r>
          </w:p>
        </w:tc>
      </w:tr>
      <w:tr w:rsidR="00B70D20" w:rsidRPr="00B70D20" w14:paraId="074B59AA" w14:textId="77777777" w:rsidTr="00C87F8A">
        <w:trPr>
          <w:jc w:val="right"/>
        </w:trPr>
        <w:tc>
          <w:tcPr>
            <w:tcW w:w="1838" w:type="dxa"/>
          </w:tcPr>
          <w:p w14:paraId="61593C04" w14:textId="77777777" w:rsidR="007F5E43" w:rsidRPr="00B70D20" w:rsidRDefault="007F5E43" w:rsidP="00C87F8A">
            <w:pPr>
              <w:spacing w:line="276" w:lineRule="auto"/>
              <w:jc w:val="center"/>
              <w:rPr>
                <w:rFonts w:ascii="Arial" w:eastAsia="Calibri" w:hAnsi="Arial" w:cs="Arial"/>
                <w:b/>
                <w:lang w:val="es-ES"/>
              </w:rPr>
            </w:pPr>
            <w:r w:rsidRPr="00B70D20">
              <w:rPr>
                <w:rFonts w:ascii="Arial" w:eastAsia="Calibri" w:hAnsi="Arial" w:cs="Arial"/>
                <w:b/>
                <w:lang w:val="es-ES"/>
              </w:rPr>
              <w:t>Radicación:</w:t>
            </w:r>
          </w:p>
        </w:tc>
        <w:tc>
          <w:tcPr>
            <w:tcW w:w="6237" w:type="dxa"/>
          </w:tcPr>
          <w:p w14:paraId="37605FE3" w14:textId="3D19B7E8" w:rsidR="007F5E43" w:rsidRPr="00B70D20" w:rsidRDefault="007F5E43" w:rsidP="00C87F8A">
            <w:pPr>
              <w:spacing w:line="276" w:lineRule="auto"/>
              <w:jc w:val="both"/>
              <w:rPr>
                <w:rFonts w:ascii="Arial" w:eastAsia="Calibri" w:hAnsi="Arial" w:cs="Arial"/>
                <w:lang w:val="es-ES"/>
              </w:rPr>
            </w:pPr>
            <w:r w:rsidRPr="00B70D20">
              <w:rPr>
                <w:rFonts w:ascii="Arial" w:eastAsia="Calibri" w:hAnsi="Arial" w:cs="Arial"/>
                <w:lang w:val="es-ES"/>
              </w:rPr>
              <w:t xml:space="preserve">Respuesta a consulta </w:t>
            </w:r>
            <w:r w:rsidR="006A3C38" w:rsidRPr="00B70D20">
              <w:rPr>
                <w:rFonts w:ascii="Arial" w:eastAsia="Calibri" w:hAnsi="Arial" w:cs="Arial"/>
                <w:lang w:val="es-ES"/>
              </w:rPr>
              <w:t>P20230324002765</w:t>
            </w:r>
          </w:p>
        </w:tc>
      </w:tr>
    </w:tbl>
    <w:p w14:paraId="70BB8C32" w14:textId="77777777" w:rsidR="007F5E43" w:rsidRPr="00B70D20" w:rsidRDefault="007F5E43" w:rsidP="007F5E43">
      <w:pPr>
        <w:spacing w:after="0" w:line="276" w:lineRule="auto"/>
        <w:rPr>
          <w:rFonts w:ascii="Arial" w:hAnsi="Arial" w:cs="Arial"/>
          <w:lang w:val="es-MX"/>
        </w:rPr>
      </w:pPr>
    </w:p>
    <w:p w14:paraId="65FE5844" w14:textId="77777777" w:rsidR="007F5E43" w:rsidRPr="00B70D20" w:rsidRDefault="007F5E43" w:rsidP="007F5E43">
      <w:pPr>
        <w:spacing w:after="0" w:line="276" w:lineRule="auto"/>
        <w:jc w:val="both"/>
        <w:rPr>
          <w:rFonts w:ascii="Arial" w:eastAsia="Calibri" w:hAnsi="Arial" w:cs="Arial"/>
          <w:lang w:val="es-ES_tradnl"/>
        </w:rPr>
      </w:pPr>
    </w:p>
    <w:p w14:paraId="698D1D84" w14:textId="2C7B72AA" w:rsidR="007F5E43" w:rsidRPr="00B70D20" w:rsidRDefault="007F5E43" w:rsidP="007F5E43">
      <w:pPr>
        <w:spacing w:after="0" w:line="276" w:lineRule="auto"/>
        <w:jc w:val="both"/>
        <w:rPr>
          <w:rFonts w:ascii="Arial" w:eastAsia="Calibri" w:hAnsi="Arial" w:cs="Arial"/>
          <w:bCs/>
          <w:lang w:val="es-ES_tradnl"/>
        </w:rPr>
      </w:pPr>
      <w:r w:rsidRPr="00B70D20">
        <w:rPr>
          <w:rFonts w:ascii="Arial" w:eastAsia="Calibri" w:hAnsi="Arial" w:cs="Arial"/>
          <w:lang w:val="es-ES_tradnl"/>
        </w:rPr>
        <w:t xml:space="preserve">Estimado señor </w:t>
      </w:r>
      <w:r w:rsidR="00BE6294" w:rsidRPr="00B70D20">
        <w:rPr>
          <w:rFonts w:ascii="Arial" w:hAnsi="Arial" w:cs="Arial"/>
          <w:lang w:val="es-MX"/>
        </w:rPr>
        <w:t>Caicedo Vidal</w:t>
      </w:r>
      <w:r w:rsidRPr="00B70D20">
        <w:rPr>
          <w:rFonts w:ascii="Arial" w:eastAsia="Calibri" w:hAnsi="Arial" w:cs="Arial"/>
          <w:bCs/>
          <w:lang w:val="es-ES_tradnl"/>
        </w:rPr>
        <w:t>:</w:t>
      </w:r>
    </w:p>
    <w:p w14:paraId="65B2319C" w14:textId="77777777" w:rsidR="007F5E43" w:rsidRPr="00B70D20" w:rsidRDefault="007F5E43" w:rsidP="007F5E43">
      <w:pPr>
        <w:spacing w:after="0" w:line="276" w:lineRule="auto"/>
        <w:jc w:val="both"/>
        <w:rPr>
          <w:rFonts w:ascii="Arial" w:eastAsia="Calibri" w:hAnsi="Arial" w:cs="Arial"/>
          <w:lang w:val="es-ES_tradnl"/>
        </w:rPr>
      </w:pPr>
    </w:p>
    <w:p w14:paraId="002613A7" w14:textId="49FF6251" w:rsidR="007F5E43" w:rsidRPr="00B70D20" w:rsidRDefault="007F5E43" w:rsidP="007F5E43">
      <w:pPr>
        <w:spacing w:after="0" w:line="276" w:lineRule="auto"/>
        <w:jc w:val="both"/>
        <w:rPr>
          <w:rFonts w:ascii="Arial" w:eastAsia="Calibri" w:hAnsi="Arial" w:cs="Arial"/>
          <w:lang w:val="es-ES"/>
        </w:rPr>
      </w:pPr>
      <w:r w:rsidRPr="00B70D20">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5772DA" w:rsidRPr="00B70D20">
        <w:rPr>
          <w:rFonts w:ascii="Arial" w:eastAsia="Calibri" w:hAnsi="Arial" w:cs="Arial"/>
          <w:lang w:val="es-ES"/>
        </w:rPr>
        <w:t>24 de marzo del 2023</w:t>
      </w:r>
      <w:r w:rsidRPr="00B70D20">
        <w:rPr>
          <w:rFonts w:ascii="Arial" w:eastAsia="Calibri" w:hAnsi="Arial" w:cs="Arial"/>
          <w:lang w:val="es-ES"/>
        </w:rPr>
        <w:t>.</w:t>
      </w:r>
    </w:p>
    <w:p w14:paraId="4FCCA94F" w14:textId="77777777" w:rsidR="007F5E43" w:rsidRPr="00B70D20" w:rsidRDefault="007F5E43" w:rsidP="007F5E43">
      <w:pPr>
        <w:spacing w:after="0" w:line="276" w:lineRule="auto"/>
        <w:jc w:val="both"/>
        <w:rPr>
          <w:rFonts w:ascii="Arial" w:eastAsia="Calibri" w:hAnsi="Arial" w:cs="Arial"/>
          <w:b/>
          <w:lang w:val="es-ES_tradnl"/>
        </w:rPr>
      </w:pPr>
    </w:p>
    <w:p w14:paraId="79882C04" w14:textId="77777777" w:rsidR="007F5E43" w:rsidRPr="00B70D20" w:rsidRDefault="007F5E43" w:rsidP="007F5E43">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lang w:val="es-ES_tradnl"/>
        </w:rPr>
      </w:pPr>
      <w:r w:rsidRPr="00B70D20">
        <w:rPr>
          <w:rFonts w:ascii="Arial" w:eastAsia="Calibri" w:hAnsi="Arial" w:cs="Arial"/>
          <w:b/>
          <w:lang w:val="es-ES_tradnl"/>
        </w:rPr>
        <w:t xml:space="preserve">Problema planteado </w:t>
      </w:r>
    </w:p>
    <w:p w14:paraId="780D8864" w14:textId="77777777" w:rsidR="007F5E43" w:rsidRPr="00B70D20" w:rsidRDefault="007F5E43" w:rsidP="007F5E43">
      <w:pPr>
        <w:spacing w:after="0" w:line="276" w:lineRule="auto"/>
        <w:jc w:val="both"/>
        <w:textAlignment w:val="baseline"/>
        <w:rPr>
          <w:rFonts w:ascii="Arial" w:eastAsia="Times New Roman" w:hAnsi="Arial" w:cs="Arial"/>
          <w:lang w:val="es-MX" w:eastAsia="es-CO"/>
        </w:rPr>
      </w:pPr>
    </w:p>
    <w:p w14:paraId="3A3656BF" w14:textId="062E29F2" w:rsidR="007F5E43" w:rsidRPr="00B70D20" w:rsidRDefault="007F5E43" w:rsidP="007F5E43">
      <w:pPr>
        <w:spacing w:after="0" w:line="276" w:lineRule="auto"/>
        <w:jc w:val="both"/>
        <w:rPr>
          <w:rFonts w:ascii="Arial" w:hAnsi="Arial" w:cs="Arial"/>
          <w:lang w:val="es-ES_tradnl"/>
        </w:rPr>
      </w:pPr>
      <w:r w:rsidRPr="00B70D20">
        <w:rPr>
          <w:rFonts w:ascii="Arial" w:hAnsi="Arial" w:cs="Arial"/>
          <w:lang w:val="es-ES_tradnl"/>
        </w:rPr>
        <w:t xml:space="preserve">Respecto </w:t>
      </w:r>
      <w:r w:rsidR="00FF142F">
        <w:rPr>
          <w:rFonts w:ascii="Arial" w:hAnsi="Arial" w:cs="Arial"/>
          <w:lang w:val="es-ES_tradnl"/>
        </w:rPr>
        <w:t>de</w:t>
      </w:r>
      <w:r w:rsidRPr="00B70D20">
        <w:rPr>
          <w:rFonts w:ascii="Arial" w:hAnsi="Arial" w:cs="Arial"/>
          <w:lang w:val="es-ES_tradnl"/>
        </w:rPr>
        <w:t xml:space="preserve"> </w:t>
      </w:r>
      <w:r w:rsidR="009A24AA" w:rsidRPr="00B70D20">
        <w:rPr>
          <w:rFonts w:ascii="Arial" w:hAnsi="Arial" w:cs="Arial"/>
          <w:lang w:val="es-ES_tradnl"/>
        </w:rPr>
        <w:t>la</w:t>
      </w:r>
      <w:r w:rsidR="00FF142F">
        <w:rPr>
          <w:rFonts w:ascii="Arial" w:hAnsi="Arial" w:cs="Arial"/>
          <w:lang w:val="es-ES_tradnl"/>
        </w:rPr>
        <w:t>s</w:t>
      </w:r>
      <w:r w:rsidR="0015026A" w:rsidRPr="00B70D20">
        <w:rPr>
          <w:rFonts w:ascii="Arial" w:hAnsi="Arial" w:cs="Arial"/>
          <w:lang w:val="es-ES_tradnl"/>
        </w:rPr>
        <w:t xml:space="preserve"> </w:t>
      </w:r>
      <w:proofErr w:type="gramStart"/>
      <w:r w:rsidR="0015026A" w:rsidRPr="00B70D20">
        <w:rPr>
          <w:rFonts w:ascii="Arial" w:hAnsi="Arial" w:cs="Arial"/>
          <w:lang w:val="es-ES_tradnl"/>
        </w:rPr>
        <w:t xml:space="preserve">circular </w:t>
      </w:r>
      <w:r w:rsidR="00FF142F">
        <w:rPr>
          <w:rFonts w:ascii="Arial" w:hAnsi="Arial" w:cs="Arial"/>
          <w:lang w:val="es-ES_tradnl"/>
        </w:rPr>
        <w:t>conjuntas</w:t>
      </w:r>
      <w:proofErr w:type="gramEnd"/>
      <w:r w:rsidR="0015026A" w:rsidRPr="00B70D20">
        <w:rPr>
          <w:rFonts w:ascii="Arial" w:hAnsi="Arial" w:cs="Arial"/>
          <w:lang w:val="es-ES_tradnl"/>
        </w:rPr>
        <w:t xml:space="preserve"> </w:t>
      </w:r>
      <w:r w:rsidR="00A51462" w:rsidRPr="00B70D20">
        <w:rPr>
          <w:rFonts w:ascii="Arial" w:eastAsia="Calibri" w:hAnsi="Arial" w:cs="Arial"/>
        </w:rPr>
        <w:t>100-005-2022</w:t>
      </w:r>
      <w:r w:rsidR="009A24AA" w:rsidRPr="00B70D20">
        <w:rPr>
          <w:rFonts w:ascii="Arial" w:hAnsi="Arial" w:cs="Arial"/>
          <w:lang w:val="es-ES_tradnl"/>
        </w:rPr>
        <w:t xml:space="preserve"> y </w:t>
      </w:r>
      <w:r w:rsidR="0015026A" w:rsidRPr="00B70D20">
        <w:rPr>
          <w:rFonts w:ascii="Arial" w:hAnsi="Arial" w:cs="Arial"/>
          <w:lang w:val="es-ES_tradnl"/>
        </w:rPr>
        <w:t>1 del 5 de enero del 2023</w:t>
      </w:r>
      <w:r w:rsidRPr="00B70D20">
        <w:rPr>
          <w:rFonts w:ascii="Arial" w:hAnsi="Arial" w:cs="Arial"/>
          <w:lang w:val="es-ES_tradnl"/>
        </w:rPr>
        <w:t xml:space="preserve">, usted realiza la siguiente consulta: </w:t>
      </w:r>
    </w:p>
    <w:p w14:paraId="51AA9EF3" w14:textId="77777777" w:rsidR="007F5E43" w:rsidRPr="00B70D20" w:rsidRDefault="007F5E43" w:rsidP="007F5E43">
      <w:pPr>
        <w:spacing w:after="12" w:line="276" w:lineRule="auto"/>
        <w:jc w:val="both"/>
        <w:rPr>
          <w:rFonts w:ascii="Arial" w:hAnsi="Arial" w:cs="Arial"/>
          <w:lang w:val="es-ES_tradnl"/>
        </w:rPr>
      </w:pPr>
    </w:p>
    <w:p w14:paraId="58FD6EC8" w14:textId="77777777" w:rsidR="00BB7680" w:rsidRPr="00B70D20" w:rsidRDefault="007F5E43" w:rsidP="007F5E43">
      <w:pPr>
        <w:spacing w:after="0" w:line="240" w:lineRule="auto"/>
        <w:ind w:left="708" w:right="709"/>
        <w:jc w:val="both"/>
        <w:rPr>
          <w:rFonts w:ascii="Arial" w:hAnsi="Arial" w:cs="Arial"/>
          <w:sz w:val="21"/>
          <w:szCs w:val="21"/>
          <w:lang w:val="es-ES_tradnl"/>
        </w:rPr>
      </w:pPr>
      <w:r w:rsidRPr="00B70D20">
        <w:rPr>
          <w:rFonts w:ascii="Arial" w:hAnsi="Arial" w:cs="Arial"/>
          <w:sz w:val="21"/>
          <w:szCs w:val="21"/>
          <w:lang w:val="es-ES_tradnl"/>
        </w:rPr>
        <w:t>“</w:t>
      </w:r>
      <w:r w:rsidR="00BB7680" w:rsidRPr="00B70D20">
        <w:rPr>
          <w:rFonts w:ascii="Arial" w:hAnsi="Arial" w:cs="Arial"/>
          <w:sz w:val="21"/>
          <w:szCs w:val="21"/>
          <w:lang w:val="es-ES_tradnl"/>
        </w:rPr>
        <w:t>Las Entidades públicas destinatarias de las citadas circulares:</w:t>
      </w:r>
    </w:p>
    <w:p w14:paraId="19A0A7A5" w14:textId="0D8FD65C" w:rsidR="007F5E43" w:rsidRPr="00B70D20" w:rsidRDefault="00334DB0" w:rsidP="007F5E43">
      <w:pPr>
        <w:spacing w:after="0" w:line="240" w:lineRule="auto"/>
        <w:ind w:left="708" w:right="709"/>
        <w:jc w:val="both"/>
        <w:rPr>
          <w:rFonts w:ascii="Arial" w:hAnsi="Arial" w:cs="Arial"/>
          <w:sz w:val="21"/>
          <w:szCs w:val="21"/>
        </w:rPr>
      </w:pPr>
      <w:r w:rsidRPr="00B70D20">
        <w:rPr>
          <w:rFonts w:ascii="Arial" w:hAnsi="Arial" w:cs="Arial"/>
          <w:sz w:val="21"/>
          <w:szCs w:val="21"/>
        </w:rPr>
        <w:t xml:space="preserve">1. ¿Están obligadas </w:t>
      </w:r>
      <w:r w:rsidR="00E54533" w:rsidRPr="00B70D20">
        <w:rPr>
          <w:rFonts w:ascii="Arial" w:hAnsi="Arial" w:cs="Arial"/>
          <w:sz w:val="21"/>
          <w:szCs w:val="21"/>
        </w:rPr>
        <w:t>a acatar</w:t>
      </w:r>
      <w:r w:rsidRPr="00B70D20">
        <w:rPr>
          <w:rFonts w:ascii="Arial" w:hAnsi="Arial" w:cs="Arial"/>
          <w:sz w:val="21"/>
          <w:szCs w:val="21"/>
        </w:rPr>
        <w:t xml:space="preserve"> las instrucciones dictadas por el </w:t>
      </w:r>
      <w:r w:rsidR="00E54533" w:rsidRPr="00B70D20">
        <w:rPr>
          <w:rFonts w:ascii="Arial" w:hAnsi="Arial" w:cs="Arial"/>
          <w:sz w:val="21"/>
          <w:szCs w:val="21"/>
        </w:rPr>
        <w:t>Gobierno Nacional?</w:t>
      </w:r>
    </w:p>
    <w:p w14:paraId="35C23114" w14:textId="6609A61B" w:rsidR="00E54533" w:rsidRPr="00B70D20" w:rsidRDefault="00E54533" w:rsidP="007F5E43">
      <w:pPr>
        <w:spacing w:after="0" w:line="240" w:lineRule="auto"/>
        <w:ind w:left="708" w:right="709"/>
        <w:jc w:val="both"/>
        <w:rPr>
          <w:rFonts w:ascii="Arial" w:hAnsi="Arial" w:cs="Arial"/>
          <w:sz w:val="21"/>
          <w:szCs w:val="21"/>
        </w:rPr>
      </w:pPr>
      <w:r w:rsidRPr="00B70D20">
        <w:rPr>
          <w:rFonts w:ascii="Arial" w:hAnsi="Arial" w:cs="Arial"/>
          <w:sz w:val="21"/>
          <w:szCs w:val="21"/>
        </w:rPr>
        <w:t xml:space="preserve">2. ¿Están obligadas </w:t>
      </w:r>
      <w:r w:rsidR="00BB7680" w:rsidRPr="00B70D20">
        <w:rPr>
          <w:rFonts w:ascii="Arial" w:hAnsi="Arial" w:cs="Arial"/>
          <w:sz w:val="21"/>
          <w:szCs w:val="21"/>
        </w:rPr>
        <w:t>a celebrar contratos de prestación de servicios profesionales y de apoyo a la gestión hasta el 30 de abril del 2023?”</w:t>
      </w:r>
    </w:p>
    <w:p w14:paraId="434C36D7" w14:textId="77777777" w:rsidR="007F5E43" w:rsidRPr="00B70D20" w:rsidRDefault="007F5E43" w:rsidP="007F5E43">
      <w:pPr>
        <w:spacing w:after="0" w:line="240" w:lineRule="auto"/>
        <w:ind w:left="708" w:right="709"/>
        <w:jc w:val="both"/>
        <w:rPr>
          <w:rFonts w:ascii="Arial" w:hAnsi="Arial" w:cs="Arial"/>
          <w:sz w:val="21"/>
          <w:szCs w:val="21"/>
        </w:rPr>
      </w:pPr>
    </w:p>
    <w:p w14:paraId="5DE09E09" w14:textId="77777777" w:rsidR="007F5E43" w:rsidRPr="00B70D20" w:rsidRDefault="007F5E43" w:rsidP="007F5E43">
      <w:pPr>
        <w:pStyle w:val="Prrafodelista"/>
        <w:numPr>
          <w:ilvl w:val="0"/>
          <w:numId w:val="4"/>
        </w:numPr>
        <w:tabs>
          <w:tab w:val="left" w:pos="0"/>
          <w:tab w:val="left" w:pos="284"/>
        </w:tabs>
        <w:spacing w:after="0" w:line="276" w:lineRule="auto"/>
        <w:ind w:left="0" w:firstLine="0"/>
        <w:contextualSpacing w:val="0"/>
        <w:jc w:val="both"/>
        <w:rPr>
          <w:rFonts w:ascii="Arial" w:eastAsia="Calibri" w:hAnsi="Arial" w:cs="Arial"/>
          <w:b/>
          <w:lang w:val="es-ES_tradnl"/>
        </w:rPr>
      </w:pPr>
      <w:r w:rsidRPr="00B70D20">
        <w:rPr>
          <w:rFonts w:ascii="Arial" w:eastAsia="Calibri" w:hAnsi="Arial" w:cs="Arial"/>
          <w:b/>
          <w:lang w:val="es-ES_tradnl"/>
        </w:rPr>
        <w:t>Consideraciones</w:t>
      </w:r>
    </w:p>
    <w:p w14:paraId="0D1BA780" w14:textId="77777777" w:rsidR="007F5E43" w:rsidRPr="00B70D20" w:rsidRDefault="007F5E43" w:rsidP="007F5E43">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78F58003" w14:textId="77777777" w:rsidR="007F5E43" w:rsidRPr="00B70D20" w:rsidRDefault="007F5E43" w:rsidP="007F5E43">
      <w:pPr>
        <w:spacing w:after="120" w:line="276" w:lineRule="auto"/>
        <w:jc w:val="both"/>
        <w:rPr>
          <w:rFonts w:ascii="Arial" w:hAnsi="Arial" w:cs="Arial"/>
          <w:lang w:val="es-ES"/>
        </w:rPr>
      </w:pPr>
      <w:r w:rsidRPr="00B70D20">
        <w:rPr>
          <w:rFonts w:ascii="Arial" w:hAnsi="Arial" w:cs="Arial"/>
        </w:rPr>
        <w:lastRenderedPageBreak/>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B70D20">
        <w:rPr>
          <w:rFonts w:ascii="Arial" w:hAnsi="Arial" w:cs="Arial"/>
        </w:rPr>
        <w:t xml:space="preserve">. </w:t>
      </w:r>
      <w:r w:rsidRPr="00B70D20">
        <w:rPr>
          <w:rFonts w:ascii="Arial" w:hAnsi="Arial" w:cs="Arial"/>
          <w:lang w:val="es-ES"/>
        </w:rPr>
        <w:t xml:space="preserve">Es necesario tener en cuenta que </w:t>
      </w:r>
      <w:bookmarkStart w:id="3" w:name="_Hlk61026958"/>
      <w:r w:rsidRPr="00B70D20">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70D20">
        <w:rPr>
          <w:rFonts w:ascii="Arial" w:hAnsi="Arial" w:cs="Arial"/>
        </w:rPr>
        <w:t xml:space="preserve"> de todos los partícipes de la contratación estatal.</w:t>
      </w:r>
      <w:r w:rsidRPr="00B70D20">
        <w:rPr>
          <w:rFonts w:ascii="Arial" w:hAnsi="Arial" w:cs="Arial"/>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70D20">
        <w:rPr>
          <w:rStyle w:val="Refdenotaalpie"/>
          <w:rFonts w:ascii="Arial" w:hAnsi="Arial" w:cs="Arial"/>
          <w:lang w:val="es-ES"/>
        </w:rPr>
        <w:footnoteReference w:id="2"/>
      </w:r>
      <w:r w:rsidRPr="00B70D20">
        <w:rPr>
          <w:rFonts w:ascii="Arial" w:hAnsi="Arial" w:cs="Arial"/>
          <w:lang w:val="es-ES"/>
        </w:rPr>
        <w:t xml:space="preserve">. Esta competencia de interpretación de normas generales, por definición, no puede extenderse a la resolución de controversias, ni a brindar asesorías sobre casos puntuales. </w:t>
      </w:r>
      <w:bookmarkEnd w:id="3"/>
      <w:r w:rsidRPr="00B70D20">
        <w:rPr>
          <w:rFonts w:ascii="Arial" w:hAnsi="Arial" w:cs="Arial"/>
          <w:lang w:val="es-ES"/>
        </w:rPr>
        <w:t xml:space="preserve"> </w:t>
      </w:r>
      <w:bookmarkEnd w:id="1"/>
      <w:bookmarkEnd w:id="2"/>
    </w:p>
    <w:p w14:paraId="1C20CD9F" w14:textId="77777777" w:rsidR="00104267" w:rsidRPr="00B70D20" w:rsidRDefault="00991A75" w:rsidP="00991A75">
      <w:pPr>
        <w:spacing w:before="120" w:after="0" w:line="276" w:lineRule="auto"/>
        <w:ind w:firstLine="709"/>
        <w:jc w:val="both"/>
        <w:rPr>
          <w:rFonts w:ascii="Arial" w:eastAsia="Calibri" w:hAnsi="Arial" w:cs="Arial"/>
        </w:rPr>
      </w:pPr>
      <w:r w:rsidRPr="00B70D20">
        <w:rPr>
          <w:rFonts w:ascii="Arial" w:eastAsia="Calibri" w:hAnsi="Arial" w:cs="Arial"/>
        </w:rPr>
        <w:t xml:space="preserve">La Agencia Nacional de Contratación Pública – Colombia Compra Eficiente –en adelante la ANCP-CCE– analizó el alcance </w:t>
      </w:r>
      <w:r w:rsidRPr="00B70D20">
        <w:rPr>
          <w:rFonts w:ascii="Arial" w:hAnsi="Arial" w:cs="Arial"/>
        </w:rPr>
        <w:t xml:space="preserve">del contenido de la </w:t>
      </w:r>
      <w:r w:rsidRPr="00B70D20">
        <w:rPr>
          <w:rFonts w:ascii="Arial" w:eastAsia="Calibri" w:hAnsi="Arial" w:cs="Arial"/>
        </w:rPr>
        <w:t>Circular Conjunta No. 01 del 5 de enero de 2023 expedida por Colombia Compra Eficiente y el Departamento Administrativo de la Función Pública</w:t>
      </w:r>
      <w:r w:rsidRPr="00B70D20">
        <w:rPr>
          <w:rFonts w:ascii="Arial" w:hAnsi="Arial" w:cs="Arial"/>
        </w:rPr>
        <w:t>, se ha emitido los siguientes conceptos C-010, C-013 ambas del 20 de febrero de 2023</w:t>
      </w:r>
      <w:r w:rsidR="006377D3" w:rsidRPr="00B70D20">
        <w:rPr>
          <w:rFonts w:ascii="Arial" w:hAnsi="Arial" w:cs="Arial"/>
        </w:rPr>
        <w:t xml:space="preserve"> y</w:t>
      </w:r>
      <w:r w:rsidRPr="00B70D20">
        <w:rPr>
          <w:rFonts w:ascii="Arial" w:hAnsi="Arial" w:cs="Arial"/>
        </w:rPr>
        <w:t xml:space="preserve"> C-</w:t>
      </w:r>
      <w:r w:rsidR="004C77E2" w:rsidRPr="00B70D20">
        <w:rPr>
          <w:rFonts w:ascii="Arial" w:hAnsi="Arial" w:cs="Arial"/>
        </w:rPr>
        <w:t xml:space="preserve">004 del </w:t>
      </w:r>
      <w:r w:rsidR="004A4EC3" w:rsidRPr="00B70D20">
        <w:rPr>
          <w:rFonts w:ascii="Arial" w:hAnsi="Arial" w:cs="Arial"/>
        </w:rPr>
        <w:t>22 de febrero del 2023</w:t>
      </w:r>
      <w:r w:rsidRPr="00B70D20">
        <w:rPr>
          <w:rStyle w:val="Refdenotaalpie"/>
          <w:rFonts w:ascii="Arial" w:eastAsia="Calibri" w:hAnsi="Arial" w:cs="Arial"/>
        </w:rPr>
        <w:footnoteReference w:id="3"/>
      </w:r>
      <w:r w:rsidRPr="00B70D20">
        <w:rPr>
          <w:rFonts w:ascii="Arial" w:eastAsia="Calibri" w:hAnsi="Arial" w:cs="Arial"/>
        </w:rPr>
        <w:t>. La tesis planteada en estos conceptos se reitera en lo pertinente y se complementa a continuación.</w:t>
      </w:r>
    </w:p>
    <w:p w14:paraId="192CFA94" w14:textId="77777777" w:rsidR="00A452E2" w:rsidRPr="00B70D20" w:rsidRDefault="00A452E2" w:rsidP="00A452E2">
      <w:pPr>
        <w:autoSpaceDE w:val="0"/>
        <w:autoSpaceDN w:val="0"/>
        <w:adjustRightInd w:val="0"/>
        <w:spacing w:after="0" w:line="276" w:lineRule="auto"/>
        <w:jc w:val="both"/>
        <w:rPr>
          <w:rFonts w:ascii="Arial" w:eastAsia="Times New Roman" w:hAnsi="Arial" w:cs="Arial"/>
          <w:szCs w:val="24"/>
          <w:lang w:val="es-ES_tradnl" w:eastAsia="es-ES_tradnl"/>
        </w:rPr>
      </w:pPr>
    </w:p>
    <w:p w14:paraId="6D95C512" w14:textId="77777777" w:rsidR="00A452E2" w:rsidRPr="00B70D20" w:rsidRDefault="00A452E2" w:rsidP="00204C5E">
      <w:pPr>
        <w:spacing w:after="0" w:line="276" w:lineRule="auto"/>
        <w:ind w:firstLine="708"/>
        <w:jc w:val="both"/>
        <w:rPr>
          <w:rFonts w:ascii="Arial" w:eastAsia="Arial" w:hAnsi="Arial" w:cs="Arial"/>
          <w:lang w:val="es-ES"/>
        </w:rPr>
      </w:pPr>
      <w:r w:rsidRPr="00B70D20">
        <w:rPr>
          <w:rFonts w:ascii="Arial" w:eastAsia="Calibri" w:hAnsi="Arial" w:cs="Arial"/>
        </w:rPr>
        <w:t xml:space="preserve">El Departamento Administrativo de la Función Pública y la Agencia Nacional de Contratación Pública–Colombia Compra Eficiente– expidieron la  Circular Conjunta No. 01 del 5 de enero de 2023, a través de los cuales se establecieron unos lineamientos para la celebración de contratos de prestación de servicios profesionales y de apoyo a la gestión </w:t>
      </w:r>
      <w:r w:rsidRPr="00B70D20">
        <w:rPr>
          <w:rFonts w:ascii="Arial" w:eastAsia="Arial" w:hAnsi="Arial" w:cs="Arial"/>
          <w:lang w:val="es-ES"/>
        </w:rPr>
        <w:t>previstos en el artículo 2, numeral 4, literal h), de la Ley 1150 de 2007</w:t>
      </w:r>
      <w:r w:rsidRPr="00B70D20">
        <w:rPr>
          <w:rFonts w:ascii="Arial" w:eastAsia="Calibri" w:hAnsi="Arial" w:cs="Arial"/>
        </w:rPr>
        <w:t xml:space="preserve">, para órganos organismos y entidades del sector central y descentralizado de la rama ejecutiva del orden nacional y territorial. Estas orientaciones están encaminadas a proporcionar claridad sobre la aplicación de las medidas de austeridad del gasto establecidas en el numeral 1.1 de la Directiva Presidencial No. 8 de 2022 y </w:t>
      </w:r>
      <w:r w:rsidRPr="00B70D20">
        <w:rPr>
          <w:rFonts w:ascii="Arial" w:eastAsia="Calibri" w:hAnsi="Arial" w:cs="Arial"/>
        </w:rPr>
        <w:lastRenderedPageBreak/>
        <w:t xml:space="preserve">lo dispuesto en el numeral 3 de la Circular Conjunta No. 100-005-2022 expedida por el Departamento Administrativo de la Función Pública y la Escuela Superior de Administración Pública. En consideración a esto, la parte introductoria del documento </w:t>
      </w:r>
      <w:r w:rsidRPr="00B70D20">
        <w:rPr>
          <w:rFonts w:ascii="Arial" w:eastAsia="Arial" w:hAnsi="Arial" w:cs="Arial"/>
          <w:lang w:val="es-ES"/>
        </w:rPr>
        <w:t>indica que:</w:t>
      </w:r>
    </w:p>
    <w:p w14:paraId="25B6446B" w14:textId="77777777" w:rsidR="00A452E2" w:rsidRPr="00B70D20" w:rsidRDefault="00A452E2" w:rsidP="00A452E2">
      <w:pPr>
        <w:widowControl w:val="0"/>
        <w:autoSpaceDE w:val="0"/>
        <w:autoSpaceDN w:val="0"/>
        <w:spacing w:after="0" w:line="276" w:lineRule="auto"/>
        <w:jc w:val="both"/>
        <w:rPr>
          <w:rFonts w:ascii="Arial" w:eastAsia="Arial" w:hAnsi="Arial" w:cs="Arial"/>
          <w:lang w:val="es-ES"/>
        </w:rPr>
      </w:pPr>
    </w:p>
    <w:p w14:paraId="5C6B8088" w14:textId="3806D9E5" w:rsidR="00A452E2" w:rsidRPr="00B70D20" w:rsidRDefault="006305B7" w:rsidP="00A452E2">
      <w:pPr>
        <w:widowControl w:val="0"/>
        <w:autoSpaceDE w:val="0"/>
        <w:autoSpaceDN w:val="0"/>
        <w:spacing w:after="0" w:line="240" w:lineRule="auto"/>
        <w:ind w:left="709" w:right="709"/>
        <w:jc w:val="both"/>
        <w:rPr>
          <w:rFonts w:ascii="Arial" w:eastAsia="Arial" w:hAnsi="Arial" w:cs="Arial"/>
          <w:sz w:val="21"/>
          <w:szCs w:val="21"/>
          <w:lang w:val="es-ES"/>
        </w:rPr>
      </w:pPr>
      <w:r w:rsidRPr="00B70D20">
        <w:rPr>
          <w:rFonts w:ascii="Arial" w:eastAsia="Arial" w:hAnsi="Arial" w:cs="Arial"/>
          <w:sz w:val="21"/>
          <w:szCs w:val="21"/>
          <w:lang w:val="es-ES"/>
        </w:rPr>
        <w:t>“</w:t>
      </w:r>
      <w:r w:rsidR="00A452E2" w:rsidRPr="00B70D20">
        <w:rPr>
          <w:rFonts w:ascii="Arial" w:eastAsia="Arial" w:hAnsi="Arial" w:cs="Arial"/>
          <w:sz w:val="21"/>
          <w:szCs w:val="21"/>
          <w:lang w:val="es-ES"/>
        </w:rPr>
        <w:t>En atención a la necesaria dignificación del empleo público consagrada en el programa de gobierno “Colombia Potencia Mundial de la Vida” del Presidente de la República Dr. Gustavo Petro Urrego, teniendo en cuenta lo dispuesto en la Directiva Presidencial No. 08 de 2022 y en la Circular Conjunta No. 100-005-2022 expedida por el Departamento Administrativo de la Función Pública y la Escuela Superior de Administración Pública, se adoptan los siguientes lineamientos para la celebración de contratos de prestación de servicios profesionales y de apoyo a la gestión […]</w:t>
      </w:r>
      <w:r w:rsidRPr="00B70D20">
        <w:rPr>
          <w:rFonts w:ascii="Arial" w:eastAsia="Arial" w:hAnsi="Arial" w:cs="Arial"/>
          <w:sz w:val="21"/>
          <w:szCs w:val="21"/>
          <w:lang w:val="es-ES"/>
        </w:rPr>
        <w:t>”</w:t>
      </w:r>
      <w:r w:rsidR="00A452E2" w:rsidRPr="00B70D20">
        <w:rPr>
          <w:rFonts w:ascii="Arial" w:eastAsia="Arial" w:hAnsi="Arial" w:cs="Arial"/>
          <w:sz w:val="21"/>
          <w:szCs w:val="21"/>
          <w:lang w:val="es-ES"/>
        </w:rPr>
        <w:t>.</w:t>
      </w:r>
    </w:p>
    <w:p w14:paraId="232EBC12" w14:textId="77777777" w:rsidR="00A452E2" w:rsidRPr="00B70D20" w:rsidRDefault="00A452E2" w:rsidP="00A452E2">
      <w:pPr>
        <w:widowControl w:val="0"/>
        <w:autoSpaceDE w:val="0"/>
        <w:autoSpaceDN w:val="0"/>
        <w:spacing w:after="0" w:line="240" w:lineRule="auto"/>
        <w:ind w:left="709" w:right="709"/>
        <w:jc w:val="both"/>
        <w:rPr>
          <w:rFonts w:ascii="Arial" w:eastAsia="Arial" w:hAnsi="Arial" w:cs="Arial"/>
          <w:lang w:val="es-ES"/>
        </w:rPr>
      </w:pPr>
    </w:p>
    <w:p w14:paraId="52F1D023" w14:textId="60EACE30" w:rsidR="00A452E2" w:rsidRPr="00B70D20" w:rsidRDefault="00A452E2" w:rsidP="00A452E2">
      <w:pPr>
        <w:spacing w:after="120" w:line="276" w:lineRule="auto"/>
        <w:ind w:firstLine="708"/>
        <w:jc w:val="both"/>
        <w:rPr>
          <w:rFonts w:ascii="Arial" w:eastAsia="Calibri" w:hAnsi="Arial" w:cs="Arial"/>
        </w:rPr>
      </w:pPr>
      <w:r w:rsidRPr="00B70D20">
        <w:rPr>
          <w:rFonts w:ascii="Arial" w:eastAsia="Calibri" w:hAnsi="Arial" w:cs="Arial"/>
          <w:lang w:val="es-MX"/>
        </w:rPr>
        <w:t xml:space="preserve">A su vez, la Circular Conjunta aclara que estas medidas </w:t>
      </w:r>
      <w:r w:rsidR="00C36C44" w:rsidRPr="00B70D20">
        <w:rPr>
          <w:rFonts w:ascii="Arial" w:eastAsia="Calibri" w:hAnsi="Arial" w:cs="Arial"/>
          <w:lang w:val="es-MX"/>
        </w:rPr>
        <w:t>“</w:t>
      </w:r>
      <w:r w:rsidRPr="00B70D20">
        <w:rPr>
          <w:rFonts w:ascii="Arial" w:eastAsia="Calibri" w:hAnsi="Arial" w:cs="Arial"/>
          <w:lang w:val="es-MX"/>
        </w:rPr>
        <w:t>[…] han sido formulados con estricta sujeción al marco jurídico aplicable y con observancia de la jurisprudencia del Consejo de Estado y la Corte Constitucional</w:t>
      </w:r>
      <w:r w:rsidR="00C36C44" w:rsidRPr="00B70D20">
        <w:rPr>
          <w:rFonts w:ascii="Arial" w:eastAsia="Calibri" w:hAnsi="Arial" w:cs="Arial"/>
          <w:lang w:val="es-MX"/>
        </w:rPr>
        <w:t>”</w:t>
      </w:r>
      <w:r w:rsidRPr="00B70D20">
        <w:rPr>
          <w:rFonts w:ascii="Arial" w:eastAsia="Calibri" w:hAnsi="Arial" w:cs="Arial"/>
          <w:lang w:val="es-MX"/>
        </w:rPr>
        <w:t xml:space="preserve">. </w:t>
      </w:r>
      <w:r w:rsidRPr="00B70D20">
        <w:rPr>
          <w:rFonts w:ascii="Arial" w:eastAsia="Calibri" w:hAnsi="Arial" w:cs="Arial"/>
          <w:lang w:val="es-ES"/>
        </w:rPr>
        <w:t xml:space="preserve">Esta manifestación es importante porque significa que la misma fue estructurada en el marco de la </w:t>
      </w:r>
      <w:r w:rsidRPr="00B70D20">
        <w:rPr>
          <w:rFonts w:ascii="Arial" w:eastAsia="Calibri" w:hAnsi="Arial" w:cs="Arial"/>
        </w:rPr>
        <w:t xml:space="preserve">aplicación de las normas legales y reglamentarias relevantes para la celebración de contratos de prestación de servicios, a través de precisiones interpretativas sustentadas en la jurisprudencia relevante en la materia.  </w:t>
      </w:r>
      <w:r w:rsidRPr="00B70D20">
        <w:rPr>
          <w:rFonts w:ascii="Arial" w:eastAsia="Calibri" w:hAnsi="Arial" w:cs="Arial"/>
          <w:lang w:val="es-ES"/>
        </w:rPr>
        <w:t xml:space="preserve">Dicho de otro modo, la Circular no supone la modificación de las normas superiores, sino que establece directrices para el cumplimiento adecuado de aquellas. </w:t>
      </w:r>
      <w:r w:rsidRPr="00B70D20">
        <w:rPr>
          <w:rFonts w:ascii="Arial" w:eastAsia="Calibri" w:hAnsi="Arial" w:cs="Arial"/>
        </w:rPr>
        <w:t xml:space="preserve">De hecho, es posible afirmar que los lineamientos expedidos con la participación de esta Agencia buscan armonizar la implementación del </w:t>
      </w:r>
      <w:r w:rsidRPr="00B70D20">
        <w:rPr>
          <w:rFonts w:ascii="Arial" w:eastAsia="Calibri" w:hAnsi="Arial" w:cs="Arial"/>
          <w:i/>
          <w:iCs/>
        </w:rPr>
        <w:t xml:space="preserve">PLAN DE FORMALIZACIÓN DEL EMPLEO PÚBLICO EN EQUIDAD – VIGENCIA 2023 </w:t>
      </w:r>
      <w:r w:rsidRPr="00B70D20">
        <w:rPr>
          <w:rFonts w:ascii="Arial" w:eastAsia="Calibri" w:hAnsi="Arial" w:cs="Arial"/>
        </w:rPr>
        <w:t>liderado por el Departamento Administrativo de la Función Pública, con la aplicación de las medidas de austeridad del gasto adoptadas desde la Presidencia de la República en relación con la celebración de contratos de prestación de servicios de apoyo a la gestión.</w:t>
      </w:r>
    </w:p>
    <w:p w14:paraId="21CAA123" w14:textId="77777777" w:rsidR="00A452E2" w:rsidRPr="00B70D20" w:rsidRDefault="00A452E2" w:rsidP="00A452E2">
      <w:pPr>
        <w:spacing w:after="120" w:line="276" w:lineRule="auto"/>
        <w:jc w:val="both"/>
        <w:rPr>
          <w:rFonts w:ascii="Arial" w:eastAsia="Arial" w:hAnsi="Arial" w:cs="Arial"/>
          <w:lang w:val="es-ES"/>
        </w:rPr>
      </w:pPr>
      <w:r w:rsidRPr="00B70D20">
        <w:rPr>
          <w:rFonts w:ascii="Arial" w:eastAsia="Calibri" w:hAnsi="Arial" w:cs="Arial"/>
        </w:rPr>
        <w:t xml:space="preserve"> </w:t>
      </w:r>
      <w:r w:rsidRPr="00B70D20">
        <w:rPr>
          <w:rFonts w:ascii="Arial" w:eastAsia="Arial" w:hAnsi="Arial" w:cs="Arial"/>
          <w:lang w:val="es-ES"/>
        </w:rPr>
        <w:tab/>
        <w:t>De esta forma, la Circular Conjunta No. 01 de 2023 compendia varias medidas para lograr la finalidad señalada, de la forma que se señala a continuación:</w:t>
      </w:r>
    </w:p>
    <w:p w14:paraId="75948E0F" w14:textId="615923E2" w:rsidR="00A452E2" w:rsidRPr="00B70D20" w:rsidRDefault="00A452E2" w:rsidP="00A452E2">
      <w:pPr>
        <w:widowControl w:val="0"/>
        <w:autoSpaceDE w:val="0"/>
        <w:autoSpaceDN w:val="0"/>
        <w:spacing w:after="120" w:line="276" w:lineRule="auto"/>
        <w:ind w:firstLine="708"/>
        <w:jc w:val="both"/>
        <w:rPr>
          <w:rFonts w:ascii="Arial" w:eastAsia="Arial" w:hAnsi="Arial" w:cs="Arial"/>
          <w:lang w:val="es-ES"/>
        </w:rPr>
      </w:pPr>
      <w:r w:rsidRPr="00B70D20">
        <w:rPr>
          <w:rFonts w:ascii="Arial" w:eastAsia="Arial" w:hAnsi="Arial" w:cs="Arial"/>
          <w:lang w:val="es-ES"/>
        </w:rPr>
        <w:t xml:space="preserve">i) El numeral primero establece que los contratos de prestación de servicios y de apoyo a la gestión, solo pueden celebrarse para realizar actividades relacionadas con la administración o funcionamiento de la entidad, es decir que hagan parte del giro ordinario o quehacer cotidiano de la entidad. Al respecto cabe destacar que el artículo 32, numeral 3 de la Ley 80 de 1993 define los contratos de prestación de servicios como </w:t>
      </w:r>
      <w:r w:rsidR="00DB1F1E" w:rsidRPr="00B70D20">
        <w:rPr>
          <w:rFonts w:ascii="Arial" w:eastAsia="Arial" w:hAnsi="Arial" w:cs="Arial"/>
          <w:lang w:val="es-ES"/>
        </w:rPr>
        <w:t>“</w:t>
      </w:r>
      <w:r w:rsidRPr="00B70D20">
        <w:rPr>
          <w:rFonts w:ascii="Arial" w:eastAsia="Arial" w:hAnsi="Arial" w:cs="Arial"/>
          <w:lang w:val="es-ES"/>
        </w:rPr>
        <w:t xml:space="preserve">[…] </w:t>
      </w:r>
      <w:r w:rsidRPr="00B70D20">
        <w:rPr>
          <w:rFonts w:ascii="Arial" w:hAnsi="Arial" w:cs="Arial"/>
        </w:rPr>
        <w:t xml:space="preserve">los que celebren las entidades estatales para </w:t>
      </w:r>
      <w:r w:rsidRPr="00B70D20">
        <w:rPr>
          <w:rFonts w:ascii="Arial" w:hAnsi="Arial" w:cs="Arial"/>
          <w:i/>
          <w:iCs/>
        </w:rPr>
        <w:t>desarrollar actividades relacionadas con la administración o funcionamiento de la entidad</w:t>
      </w:r>
      <w:r w:rsidR="00DB1F1E" w:rsidRPr="00B70D20">
        <w:rPr>
          <w:rFonts w:ascii="Arial" w:hAnsi="Arial" w:cs="Arial"/>
        </w:rPr>
        <w:t>”</w:t>
      </w:r>
      <w:r w:rsidRPr="00B70D20">
        <w:rPr>
          <w:rFonts w:ascii="Arial" w:hAnsi="Arial" w:cs="Arial"/>
        </w:rPr>
        <w:t xml:space="preserve"> [Énfasis fuera de texto]. </w:t>
      </w:r>
    </w:p>
    <w:p w14:paraId="5F1AC730" w14:textId="59D8C42C" w:rsidR="00A452E2" w:rsidRPr="00B70D20" w:rsidRDefault="00A452E2" w:rsidP="00A452E2">
      <w:pPr>
        <w:spacing w:before="120" w:after="120" w:line="276" w:lineRule="auto"/>
        <w:ind w:firstLine="709"/>
        <w:jc w:val="both"/>
        <w:rPr>
          <w:rFonts w:ascii="Arial" w:eastAsia="Calibri" w:hAnsi="Arial" w:cs="Arial"/>
          <w:lang w:val="es-ES_tradnl"/>
        </w:rPr>
      </w:pPr>
      <w:proofErr w:type="spellStart"/>
      <w:r w:rsidRPr="00B70D20">
        <w:rPr>
          <w:rFonts w:ascii="Arial" w:eastAsia="Calibri" w:hAnsi="Arial" w:cs="Arial"/>
          <w:lang w:val="es-MX"/>
        </w:rPr>
        <w:t>ii</w:t>
      </w:r>
      <w:proofErr w:type="spellEnd"/>
      <w:r w:rsidRPr="00B70D20">
        <w:rPr>
          <w:rFonts w:ascii="Arial" w:eastAsia="Calibri" w:hAnsi="Arial" w:cs="Arial"/>
          <w:lang w:val="es-MX"/>
        </w:rPr>
        <w:t xml:space="preserve">) Por su parte, el numeral segundo señala que </w:t>
      </w:r>
      <w:r w:rsidRPr="00B70D20">
        <w:rPr>
          <w:rFonts w:ascii="Arial" w:eastAsia="Calibri" w:hAnsi="Arial" w:cs="Arial"/>
          <w:lang w:val="es-ES_tradnl"/>
        </w:rPr>
        <w:t xml:space="preserve">los contratos de prestación de servicios profesionales y de apoyo a la gestión podrán suscribirse tanto con personas naturales como con personas jurídicas. Y requiere que la Entidad Estatal justifique en los estudios previos que las actividades que buscan encomendarse a aquella </w:t>
      </w:r>
      <w:r w:rsidR="009107E2" w:rsidRPr="00B70D20">
        <w:rPr>
          <w:rFonts w:ascii="Arial" w:eastAsia="Calibri" w:hAnsi="Arial" w:cs="Arial"/>
          <w:lang w:val="es-ES_tradnl"/>
        </w:rPr>
        <w:t>“</w:t>
      </w:r>
      <w:r w:rsidRPr="00B70D20">
        <w:rPr>
          <w:rFonts w:ascii="Arial" w:eastAsia="Calibri" w:hAnsi="Arial" w:cs="Arial"/>
          <w:lang w:val="es-ES_tradnl"/>
        </w:rPr>
        <w:t xml:space="preserve">no puedan realizarse con personal de planta o </w:t>
      </w:r>
      <w:r w:rsidRPr="00B70D20">
        <w:rPr>
          <w:rFonts w:ascii="Arial" w:eastAsia="Calibri" w:hAnsi="Arial" w:cs="Arial"/>
          <w:lang w:val="es-ES_tradnl"/>
        </w:rPr>
        <w:lastRenderedPageBreak/>
        <w:t>requieran conocimientos especializados</w:t>
      </w:r>
      <w:r w:rsidR="009107E2" w:rsidRPr="00B70D20">
        <w:rPr>
          <w:rFonts w:ascii="Arial" w:eastAsia="Calibri" w:hAnsi="Arial" w:cs="Arial"/>
          <w:lang w:val="es-ES_tradnl"/>
        </w:rPr>
        <w:t>”</w:t>
      </w:r>
      <w:r w:rsidRPr="00B70D20">
        <w:rPr>
          <w:rFonts w:ascii="Arial" w:eastAsia="Calibri" w:hAnsi="Arial" w:cs="Arial"/>
          <w:lang w:val="es-ES_tradnl"/>
        </w:rPr>
        <w:t>.</w:t>
      </w:r>
      <w:r w:rsidRPr="00B70D20">
        <w:rPr>
          <w:rFonts w:ascii="Arial" w:eastAsia="Calibri" w:hAnsi="Arial" w:cs="Arial"/>
          <w:vertAlign w:val="superscript"/>
          <w:lang w:val="es-ES_tradnl"/>
        </w:rPr>
        <w:footnoteReference w:id="4"/>
      </w:r>
      <w:r w:rsidRPr="00B70D20">
        <w:rPr>
          <w:rFonts w:ascii="Arial" w:eastAsia="Calibri" w:hAnsi="Arial" w:cs="Arial"/>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1587274" w14:textId="77777777" w:rsidR="00A452E2" w:rsidRPr="00B70D20" w:rsidRDefault="00A452E2" w:rsidP="00A452E2">
      <w:pPr>
        <w:spacing w:before="120" w:after="120" w:line="276" w:lineRule="auto"/>
        <w:ind w:firstLine="709"/>
        <w:jc w:val="both"/>
        <w:rPr>
          <w:rFonts w:ascii="Arial" w:eastAsia="Calibri" w:hAnsi="Arial" w:cs="Arial"/>
          <w:lang w:val="es-ES"/>
        </w:rPr>
      </w:pPr>
      <w:proofErr w:type="spellStart"/>
      <w:r w:rsidRPr="00B70D20">
        <w:rPr>
          <w:rFonts w:ascii="Arial" w:eastAsia="Calibri" w:hAnsi="Arial" w:cs="Arial"/>
          <w:lang w:val="es-MX"/>
        </w:rPr>
        <w:t>iii</w:t>
      </w:r>
      <w:proofErr w:type="spellEnd"/>
      <w:r w:rsidRPr="00B70D20">
        <w:rPr>
          <w:rFonts w:ascii="Arial" w:eastAsia="Calibri" w:hAnsi="Arial" w:cs="Arial"/>
          <w:lang w:val="es-MX"/>
        </w:rPr>
        <w:t xml:space="preserve">) Seguidamente, el numeral tercero señala que de acuerdo con lo dispuesto en la Directiva Presidencial No. 08 del 17 de septiembre de 2022, </w:t>
      </w:r>
      <w:r w:rsidRPr="00B70D20">
        <w:rPr>
          <w:rFonts w:ascii="Arial" w:eastAsia="Calibri" w:hAnsi="Arial" w:cs="Arial"/>
          <w:lang w:val="es-ES"/>
        </w:rPr>
        <w:t>las entidades públicas solo pueden justificar la celebración de contratos de prestación de servicios de apoyo a la gestión por dos razones: la carga de trabajo de su personal de planta o la necesidad de conocimientos especializados. Asimismo, la Circular dispone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592B82D6" w14:textId="28EE9CD2" w:rsidR="00A452E2" w:rsidRPr="00B70D20" w:rsidRDefault="00A452E2" w:rsidP="00A452E2">
      <w:pPr>
        <w:spacing w:before="120" w:after="120" w:line="276" w:lineRule="auto"/>
        <w:ind w:firstLine="709"/>
        <w:jc w:val="both"/>
        <w:rPr>
          <w:rFonts w:ascii="Arial" w:eastAsia="Calibri" w:hAnsi="Arial" w:cs="Arial"/>
          <w:lang w:val="es-MX"/>
        </w:rPr>
      </w:pPr>
      <w:proofErr w:type="spellStart"/>
      <w:r w:rsidRPr="00B70D20">
        <w:rPr>
          <w:rFonts w:ascii="Arial" w:eastAsia="Calibri" w:hAnsi="Arial" w:cs="Arial"/>
          <w:lang w:val="es-ES"/>
        </w:rPr>
        <w:t>iv</w:t>
      </w:r>
      <w:proofErr w:type="spellEnd"/>
      <w:r w:rsidRPr="00B70D20">
        <w:rPr>
          <w:rFonts w:ascii="Arial" w:eastAsia="Calibri" w:hAnsi="Arial" w:cs="Arial"/>
          <w:lang w:val="es-ES"/>
        </w:rPr>
        <w:t xml:space="preserve">) El numeral cuarto indica que, en atención a lo dispuesto en los numerales 1.1 de la </w:t>
      </w:r>
      <w:r w:rsidRPr="00B70D20">
        <w:rPr>
          <w:rFonts w:ascii="Arial" w:eastAsia="Calibri" w:hAnsi="Arial" w:cs="Arial"/>
          <w:lang w:val="es-MX"/>
        </w:rPr>
        <w:t xml:space="preserve">Directiva Presidencial No. 08 del 17 de septiembre de 2022 y 3  de la Circular Conjunta 100-005-2022, dentro de los primeros cuatro meses del 2023, las </w:t>
      </w:r>
      <w:r w:rsidR="008E5F34" w:rsidRPr="00B70D20">
        <w:rPr>
          <w:rFonts w:ascii="Arial" w:eastAsia="Calibri" w:hAnsi="Arial" w:cs="Arial"/>
          <w:lang w:val="es-MX"/>
        </w:rPr>
        <w:t>E</w:t>
      </w:r>
      <w:r w:rsidRPr="00B70D20">
        <w:rPr>
          <w:rFonts w:ascii="Arial" w:eastAsia="Calibri" w:hAnsi="Arial" w:cs="Arial"/>
          <w:lang w:val="es-MX"/>
        </w:rPr>
        <w:t xml:space="preserve">ntidades deberán desarrollar las acciones necesarias para determinar, crear y promover la planta de personal temporal necesaria y suficiente para suplir las necesidades misionales y administrativas que han sido provistas a través de contratos de prestación de servicios profesionales y de apoyo a la gestión. </w:t>
      </w:r>
    </w:p>
    <w:p w14:paraId="75473C82" w14:textId="4D922715" w:rsidR="00A452E2" w:rsidRPr="00B70D20" w:rsidRDefault="00A452E2" w:rsidP="00A452E2">
      <w:pPr>
        <w:spacing w:after="120" w:line="276" w:lineRule="auto"/>
        <w:ind w:firstLine="720"/>
        <w:jc w:val="both"/>
        <w:rPr>
          <w:rFonts w:ascii="Arial" w:eastAsia="Calibri" w:hAnsi="Arial" w:cs="Arial"/>
        </w:rPr>
      </w:pPr>
      <w:r w:rsidRPr="00B70D20">
        <w:rPr>
          <w:rFonts w:ascii="Arial" w:eastAsia="Calibri" w:hAnsi="Arial" w:cs="Arial"/>
          <w:lang w:val="es-MX"/>
        </w:rPr>
        <w:t xml:space="preserve">v) </w:t>
      </w:r>
      <w:r w:rsidRPr="00B70D20">
        <w:rPr>
          <w:rFonts w:ascii="Arial" w:eastAsia="Calibri" w:hAnsi="Arial" w:cs="Arial"/>
        </w:rPr>
        <w:t xml:space="preserve">En los numerales 5 y 6 de Circular Conjunta No. 01 del 5 de enero de 2023 se dio alcance a la disposición contenida en el numeral 3 de la Circular Conjunta No. 100-005-2022, según el cual las </w:t>
      </w:r>
      <w:r w:rsidR="006E6244" w:rsidRPr="00B70D20">
        <w:rPr>
          <w:rFonts w:ascii="Arial" w:eastAsia="Calibri" w:hAnsi="Arial" w:cs="Arial"/>
        </w:rPr>
        <w:t>E</w:t>
      </w:r>
      <w:r w:rsidRPr="00B70D20">
        <w:rPr>
          <w:rFonts w:ascii="Arial" w:eastAsia="Calibri" w:hAnsi="Arial" w:cs="Arial"/>
        </w:rPr>
        <w:t xml:space="preserve">ntidades </w:t>
      </w:r>
      <w:r w:rsidR="006E6244" w:rsidRPr="00B70D20">
        <w:rPr>
          <w:rFonts w:ascii="Arial" w:eastAsia="Calibri" w:hAnsi="Arial" w:cs="Arial"/>
        </w:rPr>
        <w:t>E</w:t>
      </w:r>
      <w:r w:rsidRPr="00B70D20">
        <w:rPr>
          <w:rFonts w:ascii="Arial" w:eastAsia="Calibri" w:hAnsi="Arial" w:cs="Arial"/>
        </w:rPr>
        <w:t xml:space="preserve">statales destinatarias de la mencionada circular podrán suscribir los contratos de prestación de servicios profesionales o de apoyo a la gestión con personas naturales por un plazo superior a los cuatro (4) meses señalados en el numeral 3 de la Circular Conjunta </w:t>
      </w:r>
      <w:r w:rsidRPr="00B70D20">
        <w:rPr>
          <w:rFonts w:ascii="Arial" w:eastAsia="Calibri" w:hAnsi="Arial" w:cs="Arial"/>
        </w:rPr>
        <w:lastRenderedPageBreak/>
        <w:t xml:space="preserve">100-005-2022, de acuerdo con lo estipulado en el artículo 32, numeral 3 de la Ley 80 de 1993. Para estos efectos se aclaró: </w:t>
      </w:r>
      <w:r w:rsidRPr="00B70D20">
        <w:rPr>
          <w:rFonts w:ascii="Arial" w:eastAsia="Calibri" w:hAnsi="Arial" w:cs="Arial"/>
          <w:i/>
          <w:iCs/>
        </w:rPr>
        <w:t>1)</w:t>
      </w:r>
      <w:r w:rsidRPr="00B70D20">
        <w:rPr>
          <w:rFonts w:ascii="Arial" w:eastAsia="Calibri" w:hAnsi="Arial" w:cs="Arial"/>
        </w:rPr>
        <w:t xml:space="preserve"> la posibilidad de adicionar y/o prorrogar los contratos que inicialmente se hayan celebrado por el término de cuatro (4) meses –numeral 5–, </w:t>
      </w:r>
      <w:r w:rsidRPr="00B70D20">
        <w:rPr>
          <w:rFonts w:ascii="Arial" w:eastAsia="Calibri" w:hAnsi="Arial" w:cs="Arial"/>
          <w:i/>
          <w:iCs/>
        </w:rPr>
        <w:t>2)</w:t>
      </w:r>
      <w:r w:rsidRPr="00B70D20">
        <w:rPr>
          <w:rFonts w:ascii="Arial" w:eastAsia="Calibri" w:hAnsi="Arial" w:cs="Arial"/>
        </w:rPr>
        <w:t xml:space="preserve"> se indicó la posibilidad de celebrar contratos por un plazo superior en los casos en los que se requiera contar con una experticia o conocimiento especializado en una materia determinada durante un término mayor al de cuatro (4) meses –numeral 6.1–; </w:t>
      </w:r>
      <w:r w:rsidRPr="00B70D20">
        <w:rPr>
          <w:rFonts w:ascii="Arial" w:eastAsia="Calibri" w:hAnsi="Arial" w:cs="Arial"/>
          <w:i/>
          <w:iCs/>
        </w:rPr>
        <w:t>3)</w:t>
      </w:r>
      <w:r w:rsidRPr="00B70D20">
        <w:rPr>
          <w:rFonts w:ascii="Arial" w:eastAsia="Calibri" w:hAnsi="Arial" w:cs="Arial"/>
        </w:rPr>
        <w:t xml:space="preserve"> se estableció que, en aras de garantizar la estabilidad ocupacional reforzada de contratistas siempre que la necesidad del servicio que origine la contratación lo amerite, se celebren contratos con plazo mayor a los cuatro (4) meses –numeral 6.2–; </w:t>
      </w:r>
      <w:r w:rsidRPr="00B70D20">
        <w:rPr>
          <w:rFonts w:ascii="Arial" w:eastAsia="Calibri" w:hAnsi="Arial" w:cs="Arial"/>
          <w:i/>
          <w:iCs/>
        </w:rPr>
        <w:t>4)</w:t>
      </w:r>
      <w:r w:rsidRPr="00B70D20">
        <w:rPr>
          <w:rFonts w:ascii="Arial" w:eastAsia="Calibri" w:hAnsi="Arial" w:cs="Arial"/>
        </w:rPr>
        <w:t xml:space="preserve"> se mencionó que cuando se trate de contratos de prestación de servicios que se celebren para el desarrollo de actividades financiadas con recursos de proyectos de inversión, se celebren contratos cuyo plazo estará determinado por el tiempo necesario para cumplir las actividades y entregar los productos requeridos en el marco del ciclo del correspondiente proyecto–numeral 6.3–; y </w:t>
      </w:r>
      <w:r w:rsidRPr="00B70D20">
        <w:rPr>
          <w:rFonts w:ascii="Arial" w:eastAsia="Calibri" w:hAnsi="Arial" w:cs="Arial"/>
          <w:i/>
          <w:iCs/>
        </w:rPr>
        <w:t>5)</w:t>
      </w:r>
      <w:r w:rsidRPr="00B70D20">
        <w:rPr>
          <w:rFonts w:ascii="Arial" w:eastAsia="Calibri" w:hAnsi="Arial" w:cs="Arial"/>
        </w:rPr>
        <w:t xml:space="preserve"> se precisó que los contratos de prestación de servicios que deban celebrarse con personas jurídicas no se encuentran cobijados por lo preceptuado en el numeral 3 de la Circular Conjunta 100-005-2022 –numeral 6.3–.</w:t>
      </w:r>
    </w:p>
    <w:p w14:paraId="48E92F3A" w14:textId="6B9863B2" w:rsidR="00A452E2" w:rsidRPr="00B70D20" w:rsidRDefault="00A452E2" w:rsidP="00A452E2">
      <w:pPr>
        <w:autoSpaceDE w:val="0"/>
        <w:autoSpaceDN w:val="0"/>
        <w:adjustRightInd w:val="0"/>
        <w:spacing w:after="120" w:line="276" w:lineRule="auto"/>
        <w:ind w:firstLine="709"/>
        <w:jc w:val="both"/>
        <w:rPr>
          <w:rFonts w:ascii="ArialMT" w:hAnsi="ArialMT" w:cs="ArialMT"/>
        </w:rPr>
      </w:pPr>
      <w:r w:rsidRPr="00B70D20">
        <w:rPr>
          <w:rFonts w:ascii="ArialMT" w:hAnsi="ArialMT" w:cs="ArialMT"/>
        </w:rPr>
        <w:t xml:space="preserve">En lo relativo al plazo de los contratos de prestación de servicios debe destacarse lo señalado en el inciso segundo del numeral 3 del artículo 32 de la Ley 80 de 1993, el cual dispone que: </w:t>
      </w:r>
      <w:r w:rsidR="0035308F" w:rsidRPr="00B70D20">
        <w:rPr>
          <w:rFonts w:ascii="ArialMT" w:hAnsi="ArialMT" w:cs="ArialMT"/>
        </w:rPr>
        <w:t>“</w:t>
      </w:r>
      <w:r w:rsidRPr="00B70D20">
        <w:rPr>
          <w:rFonts w:ascii="ArialMT" w:hAnsi="ArialMT" w:cs="ArialMT"/>
        </w:rPr>
        <w:t xml:space="preserve">Estos contratos sólo podrán celebrarse con personas naturales cuando dichas actividades no puedan realizarse con personal de planta o requieran conocimientos especializados. </w:t>
      </w:r>
      <w:r w:rsidRPr="00B70D20">
        <w:rPr>
          <w:rFonts w:ascii="Arial-ItalicMT" w:hAnsi="Arial-ItalicMT" w:cs="Arial-ItalicMT"/>
          <w:i/>
          <w:iCs/>
        </w:rPr>
        <w:t>En ningún caso estos contratos generan relación laboral ni prestaciones sociales y se celebrarán por el término estrictamente indispensable</w:t>
      </w:r>
      <w:r w:rsidR="0035308F" w:rsidRPr="00B70D20">
        <w:rPr>
          <w:rFonts w:ascii="Arial-ItalicMT" w:hAnsi="Arial-ItalicMT" w:cs="Arial-ItalicMT"/>
          <w:i/>
          <w:iCs/>
        </w:rPr>
        <w:t>”</w:t>
      </w:r>
      <w:r w:rsidRPr="00B70D20">
        <w:rPr>
          <w:rFonts w:ascii="Arial-ItalicMT" w:hAnsi="Arial-ItalicMT" w:cs="Arial-ItalicMT"/>
          <w:i/>
          <w:iCs/>
        </w:rPr>
        <w:t xml:space="preserve"> </w:t>
      </w:r>
      <w:r w:rsidRPr="00B70D20">
        <w:rPr>
          <w:rFonts w:ascii="ArialMT" w:hAnsi="ArialMT" w:cs="ArialMT"/>
        </w:rPr>
        <w:t>[Énfasis fuera de texto]</w:t>
      </w:r>
      <w:r w:rsidRPr="00B70D20">
        <w:rPr>
          <w:rFonts w:ascii="Arial-ItalicMT" w:hAnsi="Arial-ItalicMT" w:cs="Arial-ItalicMT"/>
          <w:i/>
          <w:iCs/>
        </w:rPr>
        <w:t xml:space="preserve">. </w:t>
      </w:r>
      <w:r w:rsidRPr="00B70D20">
        <w:rPr>
          <w:rFonts w:ascii="Arial-ItalicMT" w:hAnsi="Arial-ItalicMT" w:cs="Arial-ItalicMT"/>
        </w:rPr>
        <w:t xml:space="preserve">En atención a lo establecido en esta norma es claro que </w:t>
      </w:r>
      <w:r w:rsidRPr="00B70D20">
        <w:rPr>
          <w:rFonts w:ascii="ArialMT" w:hAnsi="ArialMT" w:cs="ArialMT"/>
        </w:rPr>
        <w:t xml:space="preserve">la temporalidad es una de las características fundamentales de los contratos de prestación de servicios, comoquiera que el plazo de los mismos deberá sujetarse al </w:t>
      </w:r>
      <w:r w:rsidR="00896436" w:rsidRPr="00B70D20">
        <w:rPr>
          <w:rFonts w:ascii="Arial-ItalicMT" w:hAnsi="Arial-ItalicMT" w:cs="Arial-ItalicMT"/>
          <w:i/>
          <w:iCs/>
        </w:rPr>
        <w:t>“</w:t>
      </w:r>
      <w:r w:rsidRPr="00B70D20">
        <w:rPr>
          <w:rFonts w:ascii="Arial-ItalicMT" w:hAnsi="Arial-ItalicMT" w:cs="Arial-ItalicMT"/>
          <w:i/>
          <w:iCs/>
        </w:rPr>
        <w:t>término estrictamente indispensable</w:t>
      </w:r>
      <w:r w:rsidR="00896436" w:rsidRPr="00B70D20">
        <w:rPr>
          <w:rFonts w:ascii="Arial-ItalicMT" w:hAnsi="Arial-ItalicMT" w:cs="Arial-ItalicMT"/>
          <w:i/>
          <w:iCs/>
        </w:rPr>
        <w:t>”</w:t>
      </w:r>
      <w:r w:rsidRPr="00B70D20">
        <w:rPr>
          <w:rFonts w:ascii="Arial-ItalicMT" w:hAnsi="Arial-ItalicMT" w:cs="Arial-ItalicMT"/>
          <w:i/>
          <w:iCs/>
        </w:rPr>
        <w:t xml:space="preserve">, </w:t>
      </w:r>
      <w:r w:rsidRPr="00B70D20">
        <w:rPr>
          <w:rFonts w:ascii="Arial-ItalicMT" w:hAnsi="Arial-ItalicMT" w:cs="Arial-ItalicMT"/>
        </w:rPr>
        <w:t xml:space="preserve">el cual según lo manifestado en </w:t>
      </w:r>
      <w:r w:rsidRPr="00B70D20">
        <w:rPr>
          <w:rFonts w:ascii="ArialMT" w:hAnsi="ArialMT" w:cs="ArialMT"/>
        </w:rPr>
        <w:t xml:space="preserve">la Sentencia de Unificación Jurisprudencial SUJ-025-CE-S2-2021 de la Sección Segunda del Consejo de Estado es aquel que aparece expresamente estipulado en la minuta del contrato de prestación de servicios, que de acuerdo con los razonamientos contenidos en los estudios previos </w:t>
      </w:r>
      <w:r w:rsidR="00896436" w:rsidRPr="00B70D20">
        <w:rPr>
          <w:rFonts w:ascii="ArialMT" w:hAnsi="ArialMT" w:cs="ArialMT"/>
        </w:rPr>
        <w:t>“</w:t>
      </w:r>
      <w:r w:rsidRPr="00B70D20">
        <w:rPr>
          <w:rFonts w:ascii="ArialMT" w:hAnsi="ArialMT" w:cs="ArialMT"/>
        </w:rPr>
        <w:t>representa el lapso durante el cual se espera que el contratista cumpla a cabalidad el objeto del contrato y las obligaciones que de él se derivan, sin perjuicio de las prórrogas excepcionales que puedan acordarse para garantizar su cumplimiento</w:t>
      </w:r>
      <w:r w:rsidR="00896436" w:rsidRPr="00B70D20">
        <w:rPr>
          <w:rFonts w:ascii="ArialMT" w:hAnsi="ArialMT" w:cs="ArialMT"/>
        </w:rPr>
        <w:t>”</w:t>
      </w:r>
      <w:r w:rsidRPr="00B70D20">
        <w:rPr>
          <w:rStyle w:val="Refdenotaalpie"/>
          <w:rFonts w:ascii="ArialMT" w:hAnsi="ArialMT" w:cs="ArialMT"/>
        </w:rPr>
        <w:footnoteReference w:id="5"/>
      </w:r>
      <w:r w:rsidRPr="00B70D20">
        <w:rPr>
          <w:rFonts w:ascii="ArialMT" w:hAnsi="ArialMT" w:cs="ArialMT"/>
        </w:rPr>
        <w:t xml:space="preserve">. En ese entendido, la temporalidad del contrato de </w:t>
      </w:r>
      <w:r w:rsidRPr="00B70D20">
        <w:rPr>
          <w:rFonts w:ascii="ArialMT" w:hAnsi="ArialMT" w:cs="ArialMT"/>
        </w:rPr>
        <w:lastRenderedPageBreak/>
        <w:t>prestación de servicios está determinada por el tiempo requerido para desarrollar el objeto para el que se celebra de acuerdo con lo establecido en los correspondientes estudios previos.</w:t>
      </w:r>
    </w:p>
    <w:p w14:paraId="34C5A268" w14:textId="77777777" w:rsidR="00A452E2" w:rsidRPr="00B70D20" w:rsidRDefault="00A452E2" w:rsidP="00A452E2">
      <w:pPr>
        <w:autoSpaceDE w:val="0"/>
        <w:autoSpaceDN w:val="0"/>
        <w:adjustRightInd w:val="0"/>
        <w:spacing w:after="120" w:line="276" w:lineRule="auto"/>
        <w:ind w:firstLine="708"/>
        <w:jc w:val="both"/>
        <w:rPr>
          <w:rFonts w:ascii="Arial" w:eastAsia="Calibri" w:hAnsi="Arial" w:cs="Arial"/>
        </w:rPr>
      </w:pPr>
      <w:r w:rsidRPr="00B70D20">
        <w:rPr>
          <w:rFonts w:ascii="ArialMT" w:hAnsi="ArialMT" w:cs="ArialMT"/>
        </w:rPr>
        <w:t xml:space="preserve">Atendiendo a este contexto normativo se formularon los numerales 5, 6, 6.1, 6.2 y 6.3 de la Circular Conjunta No. 01 del 5 de enero de 2023, a través de los cuales se establecieron unos lineamientos para la celebración de contratos de prestación de servicios profesionales y de apoyo a la gestión, encaminados a proporcionar claridad sobre la aplicación de lo dispuesto en el numeral 3° de la Circular Conjunta No. 100-005-2022 y las restricciones que en materia de contratación pública se establecieron en la Directiva Presidencial No. 08 de 2022. De hecho, es posible afirmar que los lineamientos expedidos con la participación de esta Agencia buscan armonizar la implementación del </w:t>
      </w:r>
      <w:r w:rsidRPr="00B70D20">
        <w:rPr>
          <w:rFonts w:ascii="Arial-ItalicMT" w:hAnsi="Arial-ItalicMT" w:cs="Arial-ItalicMT"/>
          <w:i/>
          <w:iCs/>
        </w:rPr>
        <w:t xml:space="preserve">PLAN DE FORMALIZACIÓN DEL EMPLEO PÚBLICO EN EQUIDAD – VIGENCIA 2023 </w:t>
      </w:r>
      <w:r w:rsidRPr="00B70D20">
        <w:rPr>
          <w:rFonts w:ascii="ArialMT" w:hAnsi="ArialMT" w:cs="ArialMT"/>
        </w:rPr>
        <w:t>liderado por el Departamento Administrativo de la Función Pública, con la adecuada aplicación de las normas legales y reglamentarias relevantes para la celebración de contratos de prestación de servicios, a través de precisiones interpretativas sustentadas en la jurisprudencia relevante en la materia. Es por esto por lo que, en los numerales mencionados de Circular Conjunta No. 01 del 5 de enero de 2023 se dio alcance a la disposición contenida en el numeral 3° de la Circular Conjunta No. 100-005-2022, estableciendo de manera enunciativa situaciones en las que los contratos de prestación de servicios no pueden tener un plazo de ejecución enmarcado dentro de los cuatro (04) meses señalados en el numeral 3° de la Circular Conjunta 100-005-2022.</w:t>
      </w:r>
    </w:p>
    <w:p w14:paraId="1CF43D8F" w14:textId="77777777" w:rsidR="00A452E2" w:rsidRPr="00B70D20" w:rsidRDefault="00A452E2" w:rsidP="00A452E2">
      <w:pPr>
        <w:spacing w:after="120" w:line="276" w:lineRule="auto"/>
        <w:ind w:firstLine="720"/>
        <w:jc w:val="both"/>
        <w:rPr>
          <w:rFonts w:ascii="Arial" w:eastAsia="Calibri" w:hAnsi="Arial" w:cs="Arial"/>
        </w:rPr>
      </w:pPr>
      <w:r w:rsidRPr="00B70D20">
        <w:rPr>
          <w:rFonts w:ascii="Arial" w:eastAsia="Calibri" w:hAnsi="Arial" w:cs="Arial"/>
        </w:rPr>
        <w:t>De acuerdo con lo anterior, considerando que el contrato de prestación de servicios es una tipología contractual regulada por el numeral 3 del artículo 32 de la Ley 80 de 1993, norma que habilita su suscripción por el término estrictamente indispensable para cumplir su objeto, el numeral  3 de la Circular Conjunta 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la presente anualidad. Asimismo, lo señalado en el numeral 6, 6.1, 6.2 y 6.3 de la de Circular Conjunta No. 01 del 5 de enero de 2023 tampoco pueden considerarse como normas que reglamenten la Ley 80 de 1993, en la medida en que constituyen lineamientos interpretativos que tienen por finalidad precisar diferentes aspectos relativos a la temporalidad de contratos de prestación de servicios, los cuales se tornan relevantes dadas las inquietudes que suscitó el contenido del numeral 3 de la Circular Conjunta 100-005-2022.</w:t>
      </w:r>
    </w:p>
    <w:p w14:paraId="60EA5F41" w14:textId="15271690" w:rsidR="00A452E2" w:rsidRPr="00B70D20" w:rsidRDefault="00A452E2" w:rsidP="00A452E2">
      <w:pPr>
        <w:widowControl w:val="0"/>
        <w:autoSpaceDE w:val="0"/>
        <w:autoSpaceDN w:val="0"/>
        <w:spacing w:after="120" w:line="276" w:lineRule="auto"/>
        <w:ind w:firstLine="708"/>
        <w:jc w:val="both"/>
        <w:rPr>
          <w:rFonts w:ascii="Arial" w:eastAsia="Arial" w:hAnsi="Arial" w:cs="Arial"/>
          <w:lang w:val="es-ES"/>
        </w:rPr>
      </w:pPr>
      <w:r w:rsidRPr="00B70D20">
        <w:rPr>
          <w:rFonts w:ascii="Arial" w:eastAsia="Arial" w:hAnsi="Arial" w:cs="Arial"/>
          <w:lang w:val="es-ES"/>
        </w:rPr>
        <w:t xml:space="preserve">vi) El numeral séptimo de la Circular Conjunta consagra que en virtud de lo señalado en el penúltimo inciso del numeral 1.1 de la Directiva Presidencial No. 08 del 17 de septiembre de 2022, </w:t>
      </w:r>
      <w:r w:rsidR="00CA7B8F" w:rsidRPr="00B70D20">
        <w:rPr>
          <w:rFonts w:ascii="Arial" w:eastAsia="Arial" w:hAnsi="Arial" w:cs="Arial"/>
          <w:lang w:val="es-ES"/>
        </w:rPr>
        <w:t>“</w:t>
      </w:r>
      <w:r w:rsidRPr="00B70D20">
        <w:rPr>
          <w:rFonts w:ascii="Arial" w:eastAsia="Arial" w:hAnsi="Arial" w:cs="Arial"/>
          <w:lang w:val="es-ES"/>
        </w:rPr>
        <w:t xml:space="preserve">las Entidades Estatales de la Rama Ejecutiva del orden nacional no podrán justificar la celebración de contratos de prestación de servicios de apoyo a la gestión cuando se pretenda contratar a personas naturales que ya tienen otros contratos de esta naturaleza con otras entidades públicas, lo que implica que no pueden suscribirlos aunque los contratos de prestación </w:t>
      </w:r>
      <w:r w:rsidRPr="00B70D20">
        <w:rPr>
          <w:rFonts w:ascii="Arial" w:eastAsia="Arial" w:hAnsi="Arial" w:cs="Arial"/>
          <w:lang w:val="es-ES"/>
        </w:rPr>
        <w:lastRenderedPageBreak/>
        <w:t>de servicios previos sean con entidades públicas que pertenezcan a otra rama u orden, o sometidas a regímenes especiales</w:t>
      </w:r>
      <w:r w:rsidR="00DA4D95" w:rsidRPr="00B70D20">
        <w:rPr>
          <w:rFonts w:ascii="Arial" w:eastAsia="Arial" w:hAnsi="Arial" w:cs="Arial"/>
          <w:lang w:val="es-ES"/>
        </w:rPr>
        <w:t>”</w:t>
      </w:r>
      <w:r w:rsidRPr="00B70D20">
        <w:rPr>
          <w:rFonts w:ascii="Arial" w:eastAsia="Arial" w:hAnsi="Arial" w:cs="Arial"/>
          <w:lang w:val="es-ES"/>
        </w:rPr>
        <w:t xml:space="preserve">. </w:t>
      </w:r>
    </w:p>
    <w:p w14:paraId="1A552552" w14:textId="77777777" w:rsidR="00A452E2" w:rsidRPr="00B70D20" w:rsidRDefault="00A452E2" w:rsidP="00A452E2">
      <w:pPr>
        <w:widowControl w:val="0"/>
        <w:autoSpaceDE w:val="0"/>
        <w:autoSpaceDN w:val="0"/>
        <w:spacing w:after="0" w:line="276" w:lineRule="auto"/>
        <w:ind w:firstLine="709"/>
        <w:jc w:val="both"/>
        <w:rPr>
          <w:rFonts w:ascii="Arial" w:eastAsia="Arial" w:hAnsi="Arial" w:cs="Arial"/>
          <w:lang w:val="es-ES"/>
        </w:rPr>
      </w:pPr>
      <w:r w:rsidRPr="00B70D20">
        <w:rPr>
          <w:rFonts w:ascii="Arial" w:eastAsia="Arial" w:hAnsi="Arial" w:cs="Arial"/>
          <w:lang w:val="es-ES"/>
        </w:rPr>
        <w:t>De esta forma, el referido numeral de la Circular Conjunta No. 01 de 2023, prácticamente transcrite el contenido textual del penúltimo inciso del numeral 1.1 de la Directiva Presidencial No. 08 de 2022, que dispone lo siguiente:</w:t>
      </w:r>
    </w:p>
    <w:p w14:paraId="4F85730F" w14:textId="77777777" w:rsidR="00A452E2" w:rsidRPr="00B70D20" w:rsidRDefault="00A452E2" w:rsidP="00A452E2">
      <w:pPr>
        <w:widowControl w:val="0"/>
        <w:autoSpaceDE w:val="0"/>
        <w:autoSpaceDN w:val="0"/>
        <w:spacing w:after="0" w:line="276" w:lineRule="auto"/>
        <w:ind w:firstLine="709"/>
        <w:jc w:val="both"/>
        <w:rPr>
          <w:rFonts w:ascii="Arial" w:eastAsia="Arial" w:hAnsi="Arial" w:cs="Arial"/>
          <w:lang w:val="es-ES"/>
        </w:rPr>
      </w:pPr>
    </w:p>
    <w:p w14:paraId="4D9BF019" w14:textId="4881E13F" w:rsidR="00A452E2" w:rsidRPr="00B70D20" w:rsidRDefault="00DA4D95" w:rsidP="00A452E2">
      <w:pPr>
        <w:widowControl w:val="0"/>
        <w:autoSpaceDE w:val="0"/>
        <w:autoSpaceDN w:val="0"/>
        <w:spacing w:after="0" w:line="240" w:lineRule="auto"/>
        <w:ind w:left="709" w:right="709"/>
        <w:jc w:val="both"/>
        <w:rPr>
          <w:rFonts w:ascii="Arial" w:eastAsia="Arial" w:hAnsi="Arial" w:cs="Arial"/>
          <w:sz w:val="21"/>
          <w:szCs w:val="21"/>
          <w:shd w:val="clear" w:color="auto" w:fill="FFFFFF"/>
          <w:lang w:val="es-ES"/>
        </w:rPr>
      </w:pPr>
      <w:r w:rsidRPr="00B70D20">
        <w:rPr>
          <w:rFonts w:ascii="Arial" w:eastAsia="Arial" w:hAnsi="Arial" w:cs="Arial"/>
          <w:sz w:val="21"/>
          <w:szCs w:val="21"/>
          <w:shd w:val="clear" w:color="auto" w:fill="FFFFFF"/>
          <w:lang w:val="es-ES"/>
        </w:rPr>
        <w:t>“</w:t>
      </w:r>
      <w:r w:rsidR="00A452E2" w:rsidRPr="00B70D20">
        <w:rPr>
          <w:rFonts w:ascii="Arial" w:eastAsia="Arial" w:hAnsi="Arial" w:cs="Arial"/>
          <w:sz w:val="21"/>
          <w:szCs w:val="21"/>
          <w:shd w:val="clear" w:color="auto" w:fill="FFFFFF"/>
          <w:lang w:val="es-ES"/>
        </w:rPr>
        <w:t xml:space="preserve">Las entidades públicas </w:t>
      </w:r>
      <w:r w:rsidR="00A452E2" w:rsidRPr="00204C5E">
        <w:rPr>
          <w:rFonts w:ascii="Arial" w:eastAsia="Arial" w:hAnsi="Arial" w:cs="Arial"/>
          <w:sz w:val="21"/>
          <w:szCs w:val="21"/>
          <w:shd w:val="clear" w:color="auto" w:fill="FFFFFF"/>
          <w:lang w:val="es-ES"/>
        </w:rPr>
        <w:t>no podrán justificar la celebración de contratos de prestación de servicios de apoyo a la gestión por insuficiencia de personal de planta para evacuar el respectivo trabajo</w:t>
      </w:r>
      <w:r w:rsidR="00A452E2" w:rsidRPr="00B70D20">
        <w:rPr>
          <w:rFonts w:ascii="Arial" w:eastAsia="Arial" w:hAnsi="Arial" w:cs="Arial"/>
          <w:i/>
          <w:iCs/>
          <w:sz w:val="21"/>
          <w:szCs w:val="21"/>
          <w:shd w:val="clear" w:color="auto" w:fill="FFFFFF"/>
          <w:lang w:val="es-ES"/>
        </w:rPr>
        <w:t>, si tales contratos serán suscritos con personas naturales que ya tienen otros contratos de prestación de servicios con otras entidades públicas</w:t>
      </w:r>
      <w:r w:rsidR="00A452E2" w:rsidRPr="00B70D20">
        <w:rPr>
          <w:rFonts w:ascii="Arial" w:eastAsia="Arial" w:hAnsi="Arial" w:cs="Arial"/>
          <w:sz w:val="21"/>
          <w:szCs w:val="21"/>
          <w:shd w:val="clear" w:color="auto" w:fill="FFFFFF"/>
          <w:lang w:val="es-ES"/>
        </w:rPr>
        <w:t>, lo cual verificarán previamente en la plataforma del SECOP. Tampoco si en sus plantas de personal hay carpos en vacancia definitiva por más de 6 meses</w:t>
      </w:r>
      <w:r w:rsidRPr="00B70D20">
        <w:rPr>
          <w:rFonts w:ascii="Arial" w:eastAsia="Arial" w:hAnsi="Arial" w:cs="Arial"/>
          <w:sz w:val="21"/>
          <w:szCs w:val="21"/>
          <w:shd w:val="clear" w:color="auto" w:fill="FFFFFF"/>
          <w:lang w:val="es-ES"/>
        </w:rPr>
        <w:t>”</w:t>
      </w:r>
      <w:r w:rsidR="00A452E2" w:rsidRPr="00B70D20">
        <w:rPr>
          <w:rFonts w:ascii="Arial" w:eastAsia="Arial" w:hAnsi="Arial" w:cs="Arial"/>
          <w:sz w:val="21"/>
          <w:szCs w:val="21"/>
          <w:shd w:val="clear" w:color="auto" w:fill="FFFFFF"/>
          <w:lang w:val="es-ES"/>
        </w:rPr>
        <w:t xml:space="preserve">. </w:t>
      </w:r>
      <w:r w:rsidR="00A452E2" w:rsidRPr="00B70D20">
        <w:rPr>
          <w:rFonts w:ascii="Arial" w:eastAsia="Arial" w:hAnsi="Arial" w:cs="Arial"/>
          <w:shd w:val="clear" w:color="auto" w:fill="FFFFFF"/>
          <w:lang w:val="es-ES"/>
        </w:rPr>
        <w:t>[Énfasis fuera de texto]</w:t>
      </w:r>
    </w:p>
    <w:p w14:paraId="7256CD44" w14:textId="77777777" w:rsidR="00A452E2" w:rsidRPr="00B70D20" w:rsidRDefault="00A452E2" w:rsidP="00A452E2">
      <w:pPr>
        <w:widowControl w:val="0"/>
        <w:autoSpaceDE w:val="0"/>
        <w:autoSpaceDN w:val="0"/>
        <w:spacing w:after="0" w:line="276" w:lineRule="auto"/>
        <w:ind w:firstLine="708"/>
        <w:jc w:val="both"/>
        <w:rPr>
          <w:rFonts w:ascii="Arial" w:eastAsia="Arial" w:hAnsi="Arial" w:cs="Arial"/>
          <w:lang w:val="es-ES"/>
        </w:rPr>
      </w:pPr>
    </w:p>
    <w:p w14:paraId="515909F3" w14:textId="5D682BCB" w:rsidR="00097545" w:rsidRDefault="00F0599B" w:rsidP="00204C5E">
      <w:pPr>
        <w:widowControl w:val="0"/>
        <w:autoSpaceDE w:val="0"/>
        <w:autoSpaceDN w:val="0"/>
        <w:spacing w:after="120" w:line="276" w:lineRule="auto"/>
        <w:ind w:firstLine="709"/>
        <w:jc w:val="both"/>
        <w:rPr>
          <w:rFonts w:ascii="Arial" w:eastAsia="Arial" w:hAnsi="Arial" w:cs="Arial"/>
          <w:lang w:val="es-ES"/>
        </w:rPr>
      </w:pPr>
      <w:r>
        <w:rPr>
          <w:rFonts w:ascii="Arial" w:eastAsia="Arial" w:hAnsi="Arial" w:cs="Arial"/>
          <w:lang w:val="es-ES"/>
        </w:rPr>
        <w:t xml:space="preserve">Con todo, </w:t>
      </w:r>
      <w:r w:rsidR="00B44EDF">
        <w:rPr>
          <w:rFonts w:ascii="Arial" w:eastAsia="Arial" w:hAnsi="Arial" w:cs="Arial"/>
          <w:lang w:val="es-ES"/>
        </w:rPr>
        <w:t xml:space="preserve">en cuanto a la vigencia de esta restricción </w:t>
      </w:r>
      <w:r>
        <w:rPr>
          <w:rFonts w:ascii="Arial" w:eastAsia="Arial" w:hAnsi="Arial" w:cs="Arial"/>
          <w:lang w:val="es-ES"/>
        </w:rPr>
        <w:t>debe advertirse que la expresión destacada</w:t>
      </w:r>
      <w:r w:rsidR="000D3741">
        <w:rPr>
          <w:rFonts w:ascii="Arial" w:eastAsia="Arial" w:hAnsi="Arial" w:cs="Arial"/>
          <w:lang w:val="es-ES"/>
        </w:rPr>
        <w:t>,</w:t>
      </w:r>
      <w:r w:rsidR="00B44EDF">
        <w:rPr>
          <w:rFonts w:ascii="Arial" w:eastAsia="Arial" w:hAnsi="Arial" w:cs="Arial"/>
          <w:lang w:val="es-ES"/>
        </w:rPr>
        <w:t xml:space="preserve"> contenida en el cuarto inciso</w:t>
      </w:r>
      <w:r w:rsidR="000D3741">
        <w:rPr>
          <w:rFonts w:ascii="Arial" w:eastAsia="Arial" w:hAnsi="Arial" w:cs="Arial"/>
          <w:lang w:val="es-ES"/>
        </w:rPr>
        <w:t xml:space="preserve"> del numeral 1.1 de la Directiva Presidencial No. 8 de 2022</w:t>
      </w:r>
      <w:r w:rsidR="00C77E12">
        <w:rPr>
          <w:rFonts w:ascii="Arial" w:eastAsia="Arial" w:hAnsi="Arial" w:cs="Arial"/>
          <w:lang w:val="es-ES"/>
        </w:rPr>
        <w:t xml:space="preserve">, fue objeto de medida cautelar de suspensión provisional decretada </w:t>
      </w:r>
      <w:r w:rsidR="005A609A">
        <w:rPr>
          <w:rFonts w:ascii="Arial" w:eastAsia="Arial" w:hAnsi="Arial" w:cs="Arial"/>
          <w:lang w:val="es-ES"/>
        </w:rPr>
        <w:t>por la Sección Tercera del Consejo de Estado</w:t>
      </w:r>
      <w:r w:rsidR="004B4A8A">
        <w:rPr>
          <w:rFonts w:ascii="Arial" w:eastAsia="Arial" w:hAnsi="Arial" w:cs="Arial"/>
          <w:lang w:val="es-ES"/>
        </w:rPr>
        <w:t xml:space="preserve"> mediante auto de 22 de febrero de 2023</w:t>
      </w:r>
      <w:r w:rsidR="004B4A8A">
        <w:rPr>
          <w:rStyle w:val="Refdenotaalpie"/>
          <w:rFonts w:ascii="Arial" w:eastAsia="Arial" w:hAnsi="Arial" w:cs="Arial"/>
          <w:lang w:val="es-ES"/>
        </w:rPr>
        <w:footnoteReference w:id="6"/>
      </w:r>
      <w:r w:rsidR="00D826DE">
        <w:rPr>
          <w:rFonts w:ascii="Arial" w:eastAsia="Arial" w:hAnsi="Arial" w:cs="Arial"/>
          <w:lang w:val="es-ES"/>
        </w:rPr>
        <w:t xml:space="preserve">. </w:t>
      </w:r>
      <w:r w:rsidR="00B43984">
        <w:rPr>
          <w:rFonts w:ascii="Arial" w:eastAsia="Arial" w:hAnsi="Arial" w:cs="Arial"/>
          <w:lang w:val="es-ES"/>
        </w:rPr>
        <w:t xml:space="preserve">Sin perjuicio de dicha medida, </w:t>
      </w:r>
      <w:r w:rsidR="00087B79">
        <w:rPr>
          <w:rFonts w:ascii="Arial" w:eastAsia="Arial" w:hAnsi="Arial" w:cs="Arial"/>
          <w:lang w:val="es-ES"/>
        </w:rPr>
        <w:t>el 30 de marzo se expidió la Directiva Presidencial No. 2 de 2023</w:t>
      </w:r>
      <w:r w:rsidR="009521DF">
        <w:rPr>
          <w:rFonts w:ascii="Arial" w:eastAsia="Arial" w:hAnsi="Arial" w:cs="Arial"/>
          <w:lang w:val="es-ES"/>
        </w:rPr>
        <w:t xml:space="preserve">, mediante cual se dejaron sin efectos las </w:t>
      </w:r>
      <w:r w:rsidR="003E26F6">
        <w:rPr>
          <w:rFonts w:ascii="Arial" w:eastAsia="Arial" w:hAnsi="Arial" w:cs="Arial"/>
          <w:lang w:val="es-ES"/>
        </w:rPr>
        <w:t>directivas 05 de 2021, 01 de 2022 y 08 de 2022.</w:t>
      </w:r>
      <w:r w:rsidR="004932B1">
        <w:rPr>
          <w:rFonts w:ascii="Arial" w:eastAsia="Arial" w:hAnsi="Arial" w:cs="Arial"/>
          <w:lang w:val="es-ES"/>
        </w:rPr>
        <w:t xml:space="preserve"> De esto se coli</w:t>
      </w:r>
      <w:r w:rsidR="000F0603">
        <w:rPr>
          <w:rFonts w:ascii="Arial" w:eastAsia="Arial" w:hAnsi="Arial" w:cs="Arial"/>
          <w:lang w:val="es-ES"/>
        </w:rPr>
        <w:t>ge que, habiendo perdido vigencia las disposiciones normativas</w:t>
      </w:r>
      <w:r w:rsidR="00116464">
        <w:rPr>
          <w:rFonts w:ascii="Arial" w:eastAsia="Arial" w:hAnsi="Arial" w:cs="Arial"/>
          <w:lang w:val="es-ES"/>
        </w:rPr>
        <w:t xml:space="preserve"> que sustentaban la restricción a la que hace referencia</w:t>
      </w:r>
      <w:r w:rsidR="000F0603">
        <w:rPr>
          <w:rFonts w:ascii="Arial" w:eastAsia="Arial" w:hAnsi="Arial" w:cs="Arial"/>
          <w:lang w:val="es-ES"/>
        </w:rPr>
        <w:t xml:space="preserve"> el</w:t>
      </w:r>
      <w:r w:rsidR="00116464">
        <w:rPr>
          <w:rFonts w:ascii="Arial" w:eastAsia="Arial" w:hAnsi="Arial" w:cs="Arial"/>
          <w:lang w:val="es-ES"/>
        </w:rPr>
        <w:t xml:space="preserve"> </w:t>
      </w:r>
      <w:r w:rsidR="004932B1">
        <w:rPr>
          <w:rFonts w:ascii="Arial" w:eastAsia="Arial" w:hAnsi="Arial" w:cs="Arial"/>
          <w:lang w:val="es-ES"/>
        </w:rPr>
        <w:t xml:space="preserve">numeral séptimo de la </w:t>
      </w:r>
      <w:r w:rsidR="000F0603">
        <w:rPr>
          <w:rFonts w:ascii="Arial" w:eastAsia="Arial" w:hAnsi="Arial" w:cs="Arial"/>
          <w:lang w:val="es-ES"/>
        </w:rPr>
        <w:t>C</w:t>
      </w:r>
      <w:r w:rsidR="004932B1">
        <w:rPr>
          <w:rFonts w:ascii="Arial" w:eastAsia="Arial" w:hAnsi="Arial" w:cs="Arial"/>
          <w:lang w:val="es-ES"/>
        </w:rPr>
        <w:t>ircular conjunta No. 1 de 5 de enero de 2023</w:t>
      </w:r>
      <w:r w:rsidR="00A372FE">
        <w:rPr>
          <w:rFonts w:ascii="Arial" w:eastAsia="Arial" w:hAnsi="Arial" w:cs="Arial"/>
          <w:lang w:val="es-ES"/>
        </w:rPr>
        <w:t>,</w:t>
      </w:r>
      <w:r w:rsidR="002732DA">
        <w:rPr>
          <w:rFonts w:ascii="Arial" w:eastAsia="Arial" w:hAnsi="Arial" w:cs="Arial"/>
          <w:lang w:val="es-ES"/>
        </w:rPr>
        <w:t xml:space="preserve"> </w:t>
      </w:r>
      <w:proofErr w:type="spellStart"/>
      <w:r w:rsidR="002732DA">
        <w:rPr>
          <w:rFonts w:ascii="Arial" w:eastAsia="Arial" w:hAnsi="Arial" w:cs="Arial"/>
          <w:lang w:val="es-ES"/>
        </w:rPr>
        <w:t>esta</w:t>
      </w:r>
      <w:proofErr w:type="spellEnd"/>
      <w:r w:rsidR="002732DA">
        <w:rPr>
          <w:rFonts w:ascii="Arial" w:eastAsia="Arial" w:hAnsi="Arial" w:cs="Arial"/>
          <w:lang w:val="es-ES"/>
        </w:rPr>
        <w:t xml:space="preserve"> ya no resulta aplicable al haber </w:t>
      </w:r>
      <w:r w:rsidR="00A826AA">
        <w:rPr>
          <w:rFonts w:ascii="Arial" w:eastAsia="Arial" w:hAnsi="Arial" w:cs="Arial"/>
          <w:lang w:val="es-ES"/>
        </w:rPr>
        <w:t xml:space="preserve">desaparecido su sustento jurídico. </w:t>
      </w:r>
    </w:p>
    <w:p w14:paraId="3D042039" w14:textId="28A16C13" w:rsidR="00A452E2" w:rsidRPr="00B70D20" w:rsidRDefault="00A452E2" w:rsidP="00A452E2">
      <w:pPr>
        <w:widowControl w:val="0"/>
        <w:autoSpaceDE w:val="0"/>
        <w:autoSpaceDN w:val="0"/>
        <w:spacing w:after="120" w:line="276" w:lineRule="auto"/>
        <w:jc w:val="both"/>
        <w:rPr>
          <w:rFonts w:ascii="Arial" w:eastAsia="Arial" w:hAnsi="Arial" w:cs="Arial"/>
          <w:lang w:val="es-ES"/>
        </w:rPr>
      </w:pPr>
      <w:r w:rsidRPr="00B70D20">
        <w:rPr>
          <w:rFonts w:ascii="Arial" w:eastAsia="Arial" w:hAnsi="Arial" w:cs="Arial"/>
          <w:lang w:val="es-ES"/>
        </w:rPr>
        <w:tab/>
      </w:r>
      <w:proofErr w:type="spellStart"/>
      <w:r w:rsidRPr="00B70D20">
        <w:rPr>
          <w:rFonts w:ascii="Arial" w:eastAsia="Arial" w:hAnsi="Arial" w:cs="Arial"/>
          <w:lang w:val="es-ES"/>
        </w:rPr>
        <w:t>vii</w:t>
      </w:r>
      <w:proofErr w:type="spellEnd"/>
      <w:r w:rsidRPr="00B70D20">
        <w:rPr>
          <w:rFonts w:ascii="Arial" w:eastAsia="Arial" w:hAnsi="Arial" w:cs="Arial"/>
          <w:lang w:val="es-ES"/>
        </w:rPr>
        <w:t xml:space="preserve">) Finalmente, el numeral octavo, establece que </w:t>
      </w:r>
      <w:r w:rsidR="0073799F" w:rsidRPr="00B70D20">
        <w:rPr>
          <w:rFonts w:ascii="Arial" w:eastAsia="Arial" w:hAnsi="Arial" w:cs="Arial"/>
          <w:lang w:val="es-ES"/>
        </w:rPr>
        <w:t>“</w:t>
      </w:r>
      <w:r w:rsidRPr="00B70D20">
        <w:rPr>
          <w:rFonts w:ascii="Arial" w:eastAsia="Arial" w:hAnsi="Arial" w:cs="Arial"/>
          <w:lang w:val="es-ES"/>
        </w:rPr>
        <w:t>[…] sin perjuicio de lo establecido en el numeral 8 de la Circular Conjunta No. 100-005-2022, en la provisión de las plantas de empleos temporales las Entidades Estatales darán prioridad a las personas naturales que vienen desarrollando actividades de manera satisfactoria en el marco de contratos de prestación de servicios, que pudieran estar interesadas en vincularse a un empleo temporal, de conformidad con lo establecido en el parágrafo 2 del artículo 2.2.1.2.6 del Decreto 1083 de 2015</w:t>
      </w:r>
      <w:r w:rsidR="0073799F" w:rsidRPr="00B70D20">
        <w:rPr>
          <w:rFonts w:ascii="Arial" w:eastAsia="Arial" w:hAnsi="Arial" w:cs="Arial"/>
          <w:lang w:val="es-ES"/>
        </w:rPr>
        <w:t>”</w:t>
      </w:r>
      <w:r w:rsidRPr="00B70D20">
        <w:rPr>
          <w:rFonts w:ascii="Arial" w:eastAsia="Arial" w:hAnsi="Arial" w:cs="Arial"/>
          <w:lang w:val="es-ES"/>
        </w:rPr>
        <w:t xml:space="preserve">. </w:t>
      </w:r>
    </w:p>
    <w:p w14:paraId="6254F14A" w14:textId="77777777" w:rsidR="00A452E2" w:rsidRPr="00B70D20" w:rsidRDefault="00A452E2" w:rsidP="00A452E2">
      <w:pPr>
        <w:spacing w:after="120" w:line="276" w:lineRule="auto"/>
        <w:jc w:val="both"/>
        <w:textAlignment w:val="baseline"/>
        <w:rPr>
          <w:rFonts w:ascii="Arial" w:eastAsia="Times New Roman" w:hAnsi="Arial" w:cs="Arial"/>
          <w:szCs w:val="24"/>
          <w:lang w:eastAsia="es-CO"/>
        </w:rPr>
      </w:pPr>
      <w:r w:rsidRPr="00B70D20">
        <w:rPr>
          <w:rFonts w:ascii="Arial" w:eastAsia="Arial" w:hAnsi="Arial" w:cs="Arial"/>
          <w:lang w:val="es-ES"/>
        </w:rPr>
        <w:tab/>
        <w:t xml:space="preserve">En relación con este aspecto, </w:t>
      </w:r>
      <w:r w:rsidRPr="00B70D20">
        <w:rPr>
          <w:rFonts w:ascii="Arial" w:eastAsia="Times New Roman" w:hAnsi="Arial" w:cs="Arial"/>
          <w:szCs w:val="24"/>
          <w:lang w:eastAsia="es-CO"/>
        </w:rPr>
        <w:t xml:space="preserve">en primer lugar, es importante mencionar que esta Agencia tiene competencia únicamente para analizar la justificación normativa de políticas públicas y/o herramientas orientadas a la organización y articulación de los partícipes en los procesos de compras y contratación pública, por lo que el analizar normas sobre la provisión de empleos temporales se encuentra por fuera de dicha competencia. Sin embargo, al suscribir la Circular Conjunta 01 de 2023 conjuntamente con el Departamento Administrativo de la Función Pública se conocen los argumentos expuestos por dicha dependencia, cuyo sentido de establecer </w:t>
      </w:r>
      <w:r w:rsidRPr="00B70D20">
        <w:rPr>
          <w:rFonts w:ascii="Arial" w:eastAsia="Times New Roman" w:hAnsi="Arial" w:cs="Arial"/>
          <w:szCs w:val="24"/>
          <w:lang w:eastAsia="es-CO"/>
        </w:rPr>
        <w:lastRenderedPageBreak/>
        <w:t>prioridad para las personas naturales que vienen desarrollando actividades de manera satisfactoria para la provisión de empleos temporales es subsidiaria y en ningún momento sustituye al orden de prioridad para la provisión de estos empleos temporales contemplado en la Ley 909 de 2004 y el Decreto 1083 de 2015, por el contrario se contempla como criterio adicional, de conformidad con lo resuelto en las sentencias C-614 de 2009 y C-171 de 2012 proferidas por la Corte Constitucional.</w:t>
      </w:r>
    </w:p>
    <w:p w14:paraId="6FB981C4" w14:textId="344CADDD" w:rsidR="00A452E2" w:rsidRPr="00B70D20" w:rsidRDefault="00A452E2" w:rsidP="00A452E2">
      <w:pPr>
        <w:spacing w:after="120" w:line="276" w:lineRule="auto"/>
        <w:jc w:val="both"/>
        <w:textAlignment w:val="baseline"/>
        <w:rPr>
          <w:rFonts w:ascii="Arial" w:eastAsia="Times New Roman" w:hAnsi="Arial" w:cs="Arial"/>
          <w:lang w:eastAsia="es-CO"/>
        </w:rPr>
      </w:pPr>
      <w:r w:rsidRPr="00B70D20">
        <w:rPr>
          <w:rFonts w:ascii="Arial" w:eastAsia="Times New Roman" w:hAnsi="Arial" w:cs="Arial"/>
          <w:lang w:eastAsia="es-CO"/>
        </w:rPr>
        <w:tab/>
        <w:t xml:space="preserve">En ese sentido debe mencionarse que, el numeral 3 del artículo 21 de la Ley 909 de 2004, en lo relativo a las plantas temporales dispone que: </w:t>
      </w:r>
      <w:r w:rsidR="001536EB" w:rsidRPr="00B70D20">
        <w:rPr>
          <w:rFonts w:ascii="Arial" w:eastAsia="Times New Roman" w:hAnsi="Arial" w:cs="Arial"/>
          <w:lang w:eastAsia="es-CO"/>
        </w:rPr>
        <w:t>“</w:t>
      </w:r>
      <w:r w:rsidRPr="00B70D20">
        <w:rPr>
          <w:rFonts w:ascii="Arial" w:eastAsia="Times New Roman" w:hAnsi="Arial" w:cs="Arial"/>
          <w:lang w:eastAsia="es-CO"/>
        </w:rPr>
        <w:t>3. El ingreso a estos empleos se efectuará con base en las listas de elegibles vigentes para la provisión de empleos de carácter permanente, sin que dichos nombramientos ocasionen el retiro de dichas listas. De no ser posible la utilización de las listas se realizará un proceso de evaluación de las capacidades y competencias de los candidatos</w:t>
      </w:r>
      <w:r w:rsidR="00224984" w:rsidRPr="00B70D20">
        <w:rPr>
          <w:rFonts w:ascii="Arial" w:eastAsia="Times New Roman" w:hAnsi="Arial" w:cs="Arial"/>
          <w:lang w:eastAsia="es-CO"/>
        </w:rPr>
        <w:t>”</w:t>
      </w:r>
      <w:r w:rsidRPr="00B70D20">
        <w:rPr>
          <w:rFonts w:ascii="Arial" w:eastAsia="Times New Roman" w:hAnsi="Arial" w:cs="Arial"/>
          <w:lang w:eastAsia="es-CO"/>
        </w:rPr>
        <w:t xml:space="preserve">. Esto a su vez fue reglamentado por el artículo 2.2.5.3.5 del Decreto 1083 de 2015, el cual establece que para la provisión de las plantas temporales debe acudirse en primera medida a las listas de elegibles que suministre la Comisión Nacional del Servicio Civil que correspondan a empleo de la misma denominación, código y asignación básica del empleo temporal a proveer. De no existir lista de elegibles esta última norma autoriza a acudir a la figura del encargo con empleados de carrera de la respectiva </w:t>
      </w:r>
      <w:r w:rsidR="00152648" w:rsidRPr="00B70D20">
        <w:rPr>
          <w:rFonts w:ascii="Arial" w:eastAsia="Times New Roman" w:hAnsi="Arial" w:cs="Arial"/>
          <w:lang w:eastAsia="es-CO"/>
        </w:rPr>
        <w:t>E</w:t>
      </w:r>
      <w:r w:rsidRPr="00B70D20">
        <w:rPr>
          <w:rFonts w:ascii="Arial" w:eastAsia="Times New Roman" w:hAnsi="Arial" w:cs="Arial"/>
          <w:lang w:eastAsia="es-CO"/>
        </w:rPr>
        <w:t xml:space="preserve">ntidad, y en ausencia de personal en carrera, se consagra el deber de proveer el empleo temporal a través de una convocatoria con libre concurrencia que debe ser publicada en la página web de la respectiva </w:t>
      </w:r>
      <w:r w:rsidR="00152648" w:rsidRPr="00B70D20">
        <w:rPr>
          <w:rFonts w:ascii="Arial" w:eastAsia="Times New Roman" w:hAnsi="Arial" w:cs="Arial"/>
          <w:lang w:eastAsia="es-CO"/>
        </w:rPr>
        <w:t>E</w:t>
      </w:r>
      <w:r w:rsidRPr="00B70D20">
        <w:rPr>
          <w:rFonts w:ascii="Arial" w:eastAsia="Times New Roman" w:hAnsi="Arial" w:cs="Arial"/>
          <w:lang w:eastAsia="es-CO"/>
        </w:rPr>
        <w:t xml:space="preserve">ntidad.  </w:t>
      </w:r>
    </w:p>
    <w:p w14:paraId="3AB42CE5" w14:textId="16B29B61" w:rsidR="00A452E2" w:rsidRPr="00B70D20" w:rsidRDefault="00A452E2" w:rsidP="00A452E2">
      <w:pPr>
        <w:widowControl w:val="0"/>
        <w:autoSpaceDE w:val="0"/>
        <w:autoSpaceDN w:val="0"/>
        <w:spacing w:after="120" w:line="276" w:lineRule="auto"/>
        <w:jc w:val="both"/>
        <w:rPr>
          <w:rFonts w:ascii="Arial" w:eastAsia="Times New Roman" w:hAnsi="Arial" w:cs="Arial"/>
          <w:noProof/>
          <w:lang w:eastAsia="es-CO"/>
        </w:rPr>
      </w:pPr>
      <w:r w:rsidRPr="00B70D20">
        <w:rPr>
          <w:rFonts w:ascii="Arial" w:eastAsia="Calibri" w:hAnsi="Arial" w:cs="Arial"/>
        </w:rPr>
        <w:tab/>
        <w:t xml:space="preserve">Adicionalmente, el parágrafo segundo del artículo 2.2.1.2.6 del Decreto 1083 de 2015, señala: </w:t>
      </w:r>
      <w:r w:rsidR="00152648" w:rsidRPr="00B70D20">
        <w:rPr>
          <w:rFonts w:ascii="Arial" w:eastAsia="Calibri" w:hAnsi="Arial" w:cs="Arial"/>
        </w:rPr>
        <w:t>“</w:t>
      </w:r>
      <w:r w:rsidRPr="00B70D20">
        <w:rPr>
          <w:rFonts w:ascii="Arial" w:eastAsia="Calibri" w:hAnsi="Arial" w:cs="Arial"/>
        </w:rPr>
        <w:t>Parágrafo 2. Para la provisión de los empleos de carácter temporal se deberá dar aplicación al procedimiento señalado en la Ley 909 de 2004. En caso de no existir lista de elegibles, el empleo deberá ser provisto, de manera preferencial, con el personal que reúna los requisitos y que esté desarrollando mediante una forma de vinculación diferente, tales funciones, actividades o proyecto</w:t>
      </w:r>
      <w:r w:rsidR="00152648" w:rsidRPr="00B70D20">
        <w:rPr>
          <w:rFonts w:ascii="Arial" w:eastAsia="Calibri" w:hAnsi="Arial" w:cs="Arial"/>
        </w:rPr>
        <w:t>”</w:t>
      </w:r>
      <w:r w:rsidRPr="00B70D20">
        <w:rPr>
          <w:rFonts w:ascii="Arial" w:eastAsia="Calibri" w:hAnsi="Arial" w:cs="Arial"/>
        </w:rPr>
        <w:t>.</w:t>
      </w:r>
      <w:r w:rsidRPr="00B70D20">
        <w:rPr>
          <w:rFonts w:ascii="Arial" w:eastAsia="Calibri" w:hAnsi="Arial" w:cs="Arial"/>
          <w:shd w:val="clear" w:color="auto" w:fill="FFFFFF"/>
        </w:rPr>
        <w:t xml:space="preserve"> De esta forma, la prioridad establecida en relación con los contratistas de prestación de servicios −personas naturales− para su vinculación a los empleos temporales, respecto de otras personas −</w:t>
      </w:r>
      <w:r w:rsidRPr="00B70D20">
        <w:rPr>
          <w:rFonts w:ascii="Arial" w:eastAsia="Calibri" w:hAnsi="Arial" w:cs="Arial"/>
        </w:rPr>
        <w:t>sin perjuicio de lo establecido en el numeral 8 de la Circular Conjunta No. 100-005-2022−</w:t>
      </w:r>
      <w:r w:rsidRPr="00B70D20">
        <w:rPr>
          <w:rFonts w:ascii="Arial" w:eastAsia="Calibri" w:hAnsi="Arial" w:cs="Arial"/>
          <w:shd w:val="clear" w:color="auto" w:fill="FFFFFF"/>
        </w:rPr>
        <w:t xml:space="preserve">, se fundamenta en lo consagrado en el parágrafo 2 del artículo </w:t>
      </w:r>
      <w:r w:rsidRPr="00B70D20">
        <w:rPr>
          <w:rFonts w:ascii="Arial" w:eastAsia="Calibri" w:hAnsi="Arial" w:cs="Arial"/>
        </w:rPr>
        <w:t>2.2.1.2.6 del Decreto 1083 de 2015</w:t>
      </w:r>
      <w:bookmarkStart w:id="4" w:name="2.2.1.2.6.pt2"/>
      <w:bookmarkEnd w:id="4"/>
      <w:r w:rsidR="000A492A" w:rsidRPr="00B70D20">
        <w:rPr>
          <w:rFonts w:ascii="Arial" w:eastAsia="Calibri" w:hAnsi="Arial" w:cs="Arial"/>
        </w:rPr>
        <w:t>.</w:t>
      </w:r>
    </w:p>
    <w:p w14:paraId="2D2B2E3A" w14:textId="77777777" w:rsidR="00A452E2" w:rsidRPr="00B70D20" w:rsidRDefault="00A452E2" w:rsidP="00A452E2">
      <w:pPr>
        <w:spacing w:after="120" w:line="276" w:lineRule="auto"/>
        <w:ind w:firstLine="708"/>
        <w:jc w:val="both"/>
        <w:textAlignment w:val="baseline"/>
        <w:rPr>
          <w:rFonts w:ascii="Arial" w:eastAsia="Times New Roman" w:hAnsi="Arial" w:cs="Arial"/>
          <w:lang w:eastAsia="es-CO"/>
        </w:rPr>
      </w:pPr>
      <w:r w:rsidRPr="00B70D20">
        <w:rPr>
          <w:rFonts w:ascii="Arial" w:eastAsia="Times New Roman" w:hAnsi="Arial" w:cs="Arial"/>
          <w:lang w:eastAsia="es-CO"/>
        </w:rPr>
        <w:t xml:space="preserve">En conclusión, la Circular Conjunta No. 01 del 5 de enero de 2023 es un instrumento expedido con el fin de dar pautas orientadoras para la celebración de contratos prestación de 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y lo señalado en el numeral 3 de la </w:t>
      </w:r>
      <w:r w:rsidRPr="00B70D20">
        <w:rPr>
          <w:rFonts w:ascii="Arial" w:eastAsia="Calibri" w:hAnsi="Arial" w:cs="Arial"/>
          <w:lang w:eastAsia="es-CO"/>
        </w:rPr>
        <w:t xml:space="preserve">Circular Conjunta </w:t>
      </w:r>
      <w:r w:rsidRPr="00B70D20">
        <w:rPr>
          <w:rFonts w:ascii="Arial" w:eastAsia="Times New Roman" w:hAnsi="Arial" w:cs="Arial"/>
          <w:lang w:eastAsia="es-CO"/>
        </w:rPr>
        <w:t>100-005-2022 con respecto al plazo de los contratos de prestación de servicios regulados en el artículo 32, numeral 3 de la Ley 80 de 1993 y el literal h) del numeral 4 de artículo 2 de la Ley 1150 de 2007, de cara a la implementación del</w:t>
      </w:r>
      <w:r w:rsidRPr="00B70D20">
        <w:rPr>
          <w:rFonts w:ascii="Arial" w:hAnsi="Arial" w:cs="Arial"/>
        </w:rPr>
        <w:t xml:space="preserve"> </w:t>
      </w:r>
      <w:r w:rsidRPr="00B70D20">
        <w:rPr>
          <w:rFonts w:ascii="Arial" w:hAnsi="Arial" w:cs="Arial"/>
        </w:rPr>
        <w:lastRenderedPageBreak/>
        <w:t>«P</w:t>
      </w:r>
      <w:r w:rsidRPr="00B70D20">
        <w:rPr>
          <w:rFonts w:ascii="Arial" w:eastAsia="Times New Roman" w:hAnsi="Arial" w:cs="Arial"/>
          <w:lang w:eastAsia="es-CO"/>
        </w:rPr>
        <w:t xml:space="preserve">LAN DE FORMALIZACIÓN DEL EMPLEO PÚBLICO EN EQUIDAD - VIGENCIA 2023» liderado por el Departamento Administrativo de la Función Pública. </w:t>
      </w:r>
    </w:p>
    <w:p w14:paraId="279D5850" w14:textId="56163A70" w:rsidR="001A1011" w:rsidRPr="00B70D20" w:rsidRDefault="00A452E2" w:rsidP="001C3721">
      <w:pPr>
        <w:autoSpaceDE w:val="0"/>
        <w:autoSpaceDN w:val="0"/>
        <w:adjustRightInd w:val="0"/>
        <w:spacing w:after="0" w:line="276" w:lineRule="auto"/>
        <w:ind w:firstLine="708"/>
        <w:jc w:val="both"/>
        <w:rPr>
          <w:rFonts w:ascii="Arial" w:hAnsi="Arial" w:cs="Arial"/>
        </w:rPr>
      </w:pPr>
      <w:r w:rsidRPr="00B70D20">
        <w:rPr>
          <w:rFonts w:ascii="Arial" w:eastAsia="Times New Roman" w:hAnsi="Arial" w:cs="Arial"/>
          <w:lang w:eastAsia="es-CO"/>
        </w:rPr>
        <w:t xml:space="preserve">En ese orden, la Circular Conjunta No. 01 del 5 de enero de 2023 no tiene </w:t>
      </w:r>
      <w:r w:rsidRPr="00B70D20">
        <w:rPr>
          <w:rFonts w:ascii="Arial" w:eastAsia="Times New Roman" w:hAnsi="Arial" w:cs="Arial"/>
          <w:i/>
          <w:iCs/>
          <w:lang w:eastAsia="es-CO"/>
        </w:rPr>
        <w:t xml:space="preserve">per se </w:t>
      </w:r>
      <w:r w:rsidRPr="00B70D20">
        <w:rPr>
          <w:rFonts w:ascii="Arial" w:eastAsia="Times New Roman" w:hAnsi="Arial" w:cs="Arial"/>
          <w:lang w:eastAsia="es-CO"/>
        </w:rPr>
        <w:t xml:space="preserve">una fuerza obligatoria en virtud de la cual las </w:t>
      </w:r>
      <w:r w:rsidR="00B66A33" w:rsidRPr="00B70D20">
        <w:rPr>
          <w:rFonts w:ascii="Arial" w:eastAsia="Times New Roman" w:hAnsi="Arial" w:cs="Arial"/>
          <w:lang w:eastAsia="es-CO"/>
        </w:rPr>
        <w:t>E</w:t>
      </w:r>
      <w:r w:rsidRPr="00B70D20">
        <w:rPr>
          <w:rFonts w:ascii="Arial" w:eastAsia="Times New Roman" w:hAnsi="Arial" w:cs="Arial"/>
          <w:lang w:eastAsia="es-CO"/>
        </w:rPr>
        <w:t xml:space="preserve">ntidades </w:t>
      </w:r>
      <w:r w:rsidR="00B66A33" w:rsidRPr="00B70D20">
        <w:rPr>
          <w:rFonts w:ascii="Arial" w:eastAsia="Times New Roman" w:hAnsi="Arial" w:cs="Arial"/>
          <w:lang w:eastAsia="es-CO"/>
        </w:rPr>
        <w:t>E</w:t>
      </w:r>
      <w:r w:rsidRPr="00B70D20">
        <w:rPr>
          <w:rFonts w:ascii="Arial" w:eastAsia="Times New Roman" w:hAnsi="Arial" w:cs="Arial"/>
          <w:lang w:eastAsia="es-CO"/>
        </w:rPr>
        <w:t xml:space="preserv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si resultan de obligatoria observancia, al igual que en precedentes como las sentencias de unificación jurisprudencial del 2 de diciembre de 2013 expedida por la Sección Tercera del Consejo de Estado dentro del expediente 41.719 y la del 9 de septiembre de 2021 proferida por la Sección Segunda de la referida corporación dentro del expediente 1.317, que marcan el derrotero interpretativo de la tipología contractual en comento, además de resultar vinculantes para las autoridades administrativas en los términos señalados en el artículo 10 de la Ley 1437 de 2011. Dado esto, corresponde a cada entidad estatal determinar en cada caso la procedencia de aplicar uno u otro lineamiento, teniendo en cuentas las circunstancias particulares que incumben al contrato, al igual que el marco jurídico legal y reglamentario aplicable.   </w:t>
      </w:r>
      <w:r w:rsidRPr="00B70D20">
        <w:rPr>
          <w:rFonts w:ascii="Arial" w:eastAsia="Times New Roman" w:hAnsi="Arial" w:cs="Arial"/>
          <w:szCs w:val="24"/>
          <w:lang w:val="es-ES_tradnl" w:eastAsia="es-ES_tradnl"/>
        </w:rPr>
        <w:tab/>
      </w:r>
    </w:p>
    <w:p w14:paraId="237836B9" w14:textId="77777777" w:rsidR="001C3721" w:rsidRPr="00B70D20" w:rsidRDefault="001C3721" w:rsidP="001C3721">
      <w:pPr>
        <w:autoSpaceDE w:val="0"/>
        <w:autoSpaceDN w:val="0"/>
        <w:adjustRightInd w:val="0"/>
        <w:spacing w:after="0" w:line="276" w:lineRule="auto"/>
        <w:ind w:firstLine="708"/>
        <w:jc w:val="both"/>
        <w:rPr>
          <w:rFonts w:ascii="Arial" w:hAnsi="Arial" w:cs="Arial"/>
        </w:rPr>
      </w:pPr>
    </w:p>
    <w:p w14:paraId="57846BCD" w14:textId="77777777" w:rsidR="00A2366D" w:rsidRPr="00B70D20" w:rsidRDefault="00A2366D" w:rsidP="00A2366D">
      <w:pPr>
        <w:spacing w:after="0" w:line="276" w:lineRule="auto"/>
        <w:jc w:val="both"/>
        <w:rPr>
          <w:rFonts w:ascii="Arial" w:eastAsia="Calibri" w:hAnsi="Arial" w:cs="Arial"/>
          <w:b/>
        </w:rPr>
      </w:pPr>
      <w:r w:rsidRPr="00B70D20">
        <w:rPr>
          <w:rFonts w:ascii="Arial" w:eastAsia="Calibri" w:hAnsi="Arial" w:cs="Arial"/>
          <w:b/>
        </w:rPr>
        <w:t>3. Respuesta</w:t>
      </w:r>
    </w:p>
    <w:p w14:paraId="0E287BA8" w14:textId="77777777" w:rsidR="00A2366D" w:rsidRPr="00B70D20" w:rsidRDefault="00A2366D" w:rsidP="00A2366D">
      <w:pPr>
        <w:spacing w:after="0" w:line="276" w:lineRule="auto"/>
        <w:jc w:val="both"/>
        <w:rPr>
          <w:rFonts w:ascii="Arial" w:eastAsia="Calibri" w:hAnsi="Arial" w:cs="Arial"/>
          <w:b/>
        </w:rPr>
      </w:pPr>
    </w:p>
    <w:p w14:paraId="13BAFD2E" w14:textId="77777777" w:rsidR="00E11AE7" w:rsidRPr="00B70D20" w:rsidRDefault="00A2366D" w:rsidP="00E11AE7">
      <w:pPr>
        <w:spacing w:after="0" w:line="240" w:lineRule="auto"/>
        <w:ind w:left="708" w:right="709"/>
        <w:jc w:val="both"/>
        <w:rPr>
          <w:rFonts w:ascii="Arial" w:hAnsi="Arial" w:cs="Arial"/>
          <w:sz w:val="21"/>
          <w:szCs w:val="21"/>
          <w:lang w:val="es-ES_tradnl"/>
        </w:rPr>
      </w:pPr>
      <w:r w:rsidRPr="00B70D20">
        <w:rPr>
          <w:rFonts w:ascii="Arial" w:hAnsi="Arial" w:cs="Arial"/>
          <w:sz w:val="21"/>
          <w:szCs w:val="21"/>
          <w:lang w:val="es-ES_tradnl"/>
        </w:rPr>
        <w:t>“</w:t>
      </w:r>
      <w:r w:rsidR="00E11AE7" w:rsidRPr="00B70D20">
        <w:rPr>
          <w:rFonts w:ascii="Arial" w:hAnsi="Arial" w:cs="Arial"/>
          <w:sz w:val="21"/>
          <w:szCs w:val="21"/>
          <w:lang w:val="es-ES_tradnl"/>
        </w:rPr>
        <w:t>Las Entidades públicas destinatarias de las citadas circulares:</w:t>
      </w:r>
    </w:p>
    <w:p w14:paraId="078F77E6" w14:textId="77777777" w:rsidR="00E11AE7" w:rsidRPr="00B70D20" w:rsidRDefault="00E11AE7" w:rsidP="00E11AE7">
      <w:pPr>
        <w:spacing w:after="0" w:line="240" w:lineRule="auto"/>
        <w:ind w:left="708" w:right="709"/>
        <w:jc w:val="both"/>
        <w:rPr>
          <w:rFonts w:ascii="Arial" w:hAnsi="Arial" w:cs="Arial"/>
          <w:sz w:val="21"/>
          <w:szCs w:val="21"/>
        </w:rPr>
      </w:pPr>
      <w:r w:rsidRPr="00B70D20">
        <w:rPr>
          <w:rFonts w:ascii="Arial" w:hAnsi="Arial" w:cs="Arial"/>
          <w:sz w:val="21"/>
          <w:szCs w:val="21"/>
        </w:rPr>
        <w:t>1. ¿Están obligadas a acatar las instrucciones dictadas por el Gobierno Nacional?</w:t>
      </w:r>
    </w:p>
    <w:p w14:paraId="0B1D17E7" w14:textId="182D3FB4" w:rsidR="001A1011" w:rsidRPr="00B70D20" w:rsidRDefault="00E11AE7" w:rsidP="00606810">
      <w:pPr>
        <w:spacing w:after="0" w:line="240" w:lineRule="auto"/>
        <w:ind w:left="708" w:right="709"/>
        <w:jc w:val="both"/>
        <w:rPr>
          <w:rFonts w:ascii="Arial" w:hAnsi="Arial" w:cs="Arial"/>
          <w:sz w:val="21"/>
          <w:szCs w:val="21"/>
        </w:rPr>
      </w:pPr>
      <w:r w:rsidRPr="00B70D20">
        <w:rPr>
          <w:rFonts w:ascii="Arial" w:hAnsi="Arial" w:cs="Arial"/>
          <w:sz w:val="21"/>
          <w:szCs w:val="21"/>
        </w:rPr>
        <w:t>2. ¿Están obligadas a celebrar contratos de prestación de servicios profesionales y de apoyo a la gestión hasta el 30 de abril del 2023?”</w:t>
      </w:r>
    </w:p>
    <w:p w14:paraId="417F19EE" w14:textId="77777777" w:rsidR="00606810" w:rsidRPr="00B70D20" w:rsidRDefault="00606810" w:rsidP="00606810">
      <w:pPr>
        <w:spacing w:after="0" w:line="240" w:lineRule="auto"/>
        <w:ind w:left="708" w:right="709"/>
        <w:jc w:val="both"/>
        <w:rPr>
          <w:rFonts w:ascii="Arial" w:hAnsi="Arial" w:cs="Arial"/>
          <w:sz w:val="21"/>
          <w:szCs w:val="21"/>
        </w:rPr>
      </w:pPr>
    </w:p>
    <w:p w14:paraId="79FD5FD1" w14:textId="01DA2E25" w:rsidR="00124D6D" w:rsidRPr="00B70D20" w:rsidRDefault="00124D6D" w:rsidP="00124D6D">
      <w:pPr>
        <w:tabs>
          <w:tab w:val="left" w:pos="0"/>
        </w:tabs>
        <w:spacing w:after="120" w:line="276" w:lineRule="auto"/>
        <w:jc w:val="both"/>
        <w:rPr>
          <w:rFonts w:ascii="Arial" w:eastAsia="Calibri" w:hAnsi="Arial" w:cs="Arial"/>
        </w:rPr>
      </w:pPr>
      <w:r w:rsidRPr="00B70D20">
        <w:rPr>
          <w:rFonts w:ascii="Arial" w:eastAsia="Calibri" w:hAnsi="Arial" w:cs="Arial"/>
        </w:rPr>
        <w:t xml:space="preserve">De acuerdo con lo expuesto, el Departamento Administrativo de la Función Pública y la Agencia Nacional de Contratación Pública–Colombia Compra Eficiente– expidieron la </w:t>
      </w:r>
      <w:r w:rsidRPr="00B70D20">
        <w:rPr>
          <w:rFonts w:ascii="Arial" w:hAnsi="Arial" w:cs="Arial"/>
        </w:rPr>
        <w:t xml:space="preserve">Circular Conjunta No. 01 del 5 de enero de 2023, dirigida a todos los órganos, organismos y </w:t>
      </w:r>
      <w:r w:rsidR="00BF2BE5" w:rsidRPr="00B70D20">
        <w:rPr>
          <w:rFonts w:ascii="Arial" w:hAnsi="Arial" w:cs="Arial"/>
        </w:rPr>
        <w:t>E</w:t>
      </w:r>
      <w:r w:rsidRPr="00B70D20">
        <w:rPr>
          <w:rFonts w:ascii="Arial" w:hAnsi="Arial" w:cs="Arial"/>
        </w:rPr>
        <w:t xml:space="preserve">ntidades del sector central y descentralizado de la rama ejecutiva del orden nacional y territorial, a través de la cual se establecieron unos lineamientos </w:t>
      </w:r>
      <w:r w:rsidRPr="00B70D20">
        <w:rPr>
          <w:rFonts w:ascii="Arial" w:eastAsia="Calibri" w:hAnsi="Arial" w:cs="Arial"/>
        </w:rPr>
        <w:t xml:space="preserve">para la celebración de contratos de prestación de servicios profesionales y de apoyo a la gestión para  la vigencia del año 2023, encaminados a proporcionar claridad sobre la aplicación de lo dispuesto en el numeral 3 de la </w:t>
      </w:r>
      <w:r w:rsidRPr="00B70D20">
        <w:rPr>
          <w:rFonts w:ascii="Arial" w:hAnsi="Arial" w:cs="Arial"/>
        </w:rPr>
        <w:t>Circular Conjunta No. 100-005-2022 y las restricciones que en materia de contratación pública se establecieron en la Directiva Presidencial No. 08 de 2022 en armonía con las normas que rigen la contratación estatal</w:t>
      </w:r>
    </w:p>
    <w:p w14:paraId="0851DE59" w14:textId="59477CC2" w:rsidR="00124D6D" w:rsidRPr="00B70D20" w:rsidRDefault="00124D6D" w:rsidP="00124D6D">
      <w:pPr>
        <w:spacing w:after="120" w:line="276" w:lineRule="auto"/>
        <w:ind w:firstLine="708"/>
        <w:jc w:val="both"/>
        <w:rPr>
          <w:rFonts w:ascii="Arial" w:hAnsi="Arial" w:cs="Arial"/>
        </w:rPr>
      </w:pPr>
      <w:r w:rsidRPr="00B70D20">
        <w:rPr>
          <w:rFonts w:ascii="Arial" w:hAnsi="Arial" w:cs="Arial"/>
        </w:rPr>
        <w:t xml:space="preserve">En ese sentido, </w:t>
      </w:r>
      <w:r w:rsidR="002A3995" w:rsidRPr="00B70D20">
        <w:rPr>
          <w:rFonts w:ascii="Arial" w:hAnsi="Arial" w:cs="Arial"/>
        </w:rPr>
        <w:t>la mencionada</w:t>
      </w:r>
      <w:r w:rsidRPr="00B70D20">
        <w:rPr>
          <w:rFonts w:ascii="Arial" w:hAnsi="Arial" w:cs="Arial"/>
        </w:rPr>
        <w:t xml:space="preserve"> circular </w:t>
      </w:r>
      <w:r w:rsidR="002A3995" w:rsidRPr="00B70D20">
        <w:rPr>
          <w:rFonts w:ascii="Arial" w:hAnsi="Arial" w:cs="Arial"/>
        </w:rPr>
        <w:t>respeta</w:t>
      </w:r>
      <w:r w:rsidRPr="00B70D20">
        <w:rPr>
          <w:rFonts w:ascii="Arial" w:hAnsi="Arial" w:cs="Arial"/>
        </w:rPr>
        <w:t xml:space="preserve"> la autonomía con la que cuentan las </w:t>
      </w:r>
      <w:r w:rsidR="00D2202C" w:rsidRPr="00B70D20">
        <w:rPr>
          <w:rFonts w:ascii="Arial" w:hAnsi="Arial" w:cs="Arial"/>
        </w:rPr>
        <w:t>E</w:t>
      </w:r>
      <w:r w:rsidRPr="00B70D20">
        <w:rPr>
          <w:rFonts w:ascii="Arial" w:hAnsi="Arial" w:cs="Arial"/>
        </w:rPr>
        <w:t xml:space="preserve">ntidades territoriales, en virtud del artículo 287 superior, para planear, programar y ejercer mediante la  actividad contractual el cumplimiento de sus funciones y la prestación de servicios públicos, quedando facultadas para suscribir contratos prestación de servicios profesionales y de </w:t>
      </w:r>
      <w:r w:rsidRPr="00B70D20">
        <w:rPr>
          <w:rFonts w:ascii="Arial" w:hAnsi="Arial" w:cs="Arial"/>
        </w:rPr>
        <w:lastRenderedPageBreak/>
        <w:t xml:space="preserve">apoyo a la gestión con personas naturales por plazos de ejecución superiores a los cuatro (4) meses señalados en el numeral 3 de la Circular Conjunta 100-005-2022. Conforme lo explicado, los lineamientos incorporados tiene como fin principal invitar a las </w:t>
      </w:r>
      <w:r w:rsidR="003414DB" w:rsidRPr="00B70D20">
        <w:rPr>
          <w:rFonts w:ascii="Arial" w:hAnsi="Arial" w:cs="Arial"/>
        </w:rPr>
        <w:t>E</w:t>
      </w:r>
      <w:r w:rsidRPr="00B70D20">
        <w:rPr>
          <w:rFonts w:ascii="Arial" w:hAnsi="Arial" w:cs="Arial"/>
        </w:rPr>
        <w:t xml:space="preserve">ntidades a planear la contratación de estos servicios durante un </w:t>
      </w:r>
      <w:r w:rsidR="003414DB" w:rsidRPr="00B70D20">
        <w:rPr>
          <w:rFonts w:ascii="Arial" w:hAnsi="Arial" w:cs="Arial"/>
        </w:rPr>
        <w:t>“</w:t>
      </w:r>
      <w:r w:rsidRPr="00B70D20">
        <w:rPr>
          <w:rFonts w:ascii="Arial" w:hAnsi="Arial" w:cs="Arial"/>
        </w:rPr>
        <w:t>término estrictamente indispensable</w:t>
      </w:r>
      <w:r w:rsidR="003414DB" w:rsidRPr="00B70D20">
        <w:rPr>
          <w:rFonts w:ascii="Arial" w:hAnsi="Arial" w:cs="Arial"/>
        </w:rPr>
        <w:t>”</w:t>
      </w:r>
      <w:r w:rsidRPr="00B70D20">
        <w:rPr>
          <w:rFonts w:ascii="Arial" w:hAnsi="Arial" w:cs="Arial"/>
        </w:rPr>
        <w:t xml:space="preserve"> que procure no ser superior a los cuatro (4) meses, tiempo en el cual se espera que el contratista cumpla a cabalidad el objeto del contrato y las obligaciones que de él se derivan, a la par de las acciones necesarias que deberán desarrollar las Entidades Estatales para determinar, crear y proveer la planta de personal temporal necesaria y suficiente para suplir las necesidades misionales y administrativas que han sido provistas a través de contratos de prestación de servicios profesionales y de apoyo a la gestión con personas naturales.</w:t>
      </w:r>
    </w:p>
    <w:p w14:paraId="7061B0D5" w14:textId="09895281" w:rsidR="00164C3B" w:rsidRPr="00B70D20" w:rsidRDefault="00EA2F75" w:rsidP="00164C3B">
      <w:pPr>
        <w:spacing w:after="120" w:line="276" w:lineRule="auto"/>
        <w:ind w:firstLine="720"/>
        <w:jc w:val="both"/>
        <w:rPr>
          <w:rFonts w:ascii="Arial" w:eastAsia="Calibri" w:hAnsi="Arial" w:cs="Arial"/>
        </w:rPr>
      </w:pPr>
      <w:r w:rsidRPr="00B70D20">
        <w:rPr>
          <w:rFonts w:ascii="Arial" w:hAnsi="Arial" w:cs="Arial"/>
        </w:rPr>
        <w:t xml:space="preserve">Ahora bien, </w:t>
      </w:r>
      <w:r w:rsidR="00894E3D" w:rsidRPr="00B70D20">
        <w:rPr>
          <w:rFonts w:ascii="Arial" w:hAnsi="Arial" w:cs="Arial"/>
        </w:rPr>
        <w:t xml:space="preserve">en </w:t>
      </w:r>
      <w:r w:rsidRPr="00B70D20">
        <w:rPr>
          <w:rFonts w:ascii="Arial" w:eastAsia="Calibri" w:hAnsi="Arial" w:cs="Arial"/>
        </w:rPr>
        <w:t xml:space="preserve">los numerales 5 y 6 de Circular Conjunta No. 01 del 5 de enero de 2023 se dio alcance a la disposición contenida en el numeral 3 de la Circular Conjunta No. 100-005-2022, según el cual las Entidades Estatales destinatarias de la mencionada circular podrán suscribir los contratos de prestación de servicios profesionales o de apoyo a la gestión con personas naturales por un plazo superior a los cuatro (4) meses señalados en el numeral 3 de la Circular Conjunta 100-005-2022, de acuerdo con lo estipulado en el artículo 32, numeral 3 de la Ley 80 de 1993. Para estos efectos se aclaró: </w:t>
      </w:r>
      <w:r w:rsidRPr="00B70D20">
        <w:rPr>
          <w:rFonts w:ascii="Arial" w:eastAsia="Calibri" w:hAnsi="Arial" w:cs="Arial"/>
          <w:i/>
          <w:iCs/>
        </w:rPr>
        <w:t>1)</w:t>
      </w:r>
      <w:r w:rsidRPr="00B70D20">
        <w:rPr>
          <w:rFonts w:ascii="Arial" w:eastAsia="Calibri" w:hAnsi="Arial" w:cs="Arial"/>
        </w:rPr>
        <w:t xml:space="preserve"> la posibilidad de adicionar y/o prorrogar los contratos que inicialmente se hayan celebrado por el término de cuatro (4) meses –numeral 5–, </w:t>
      </w:r>
      <w:r w:rsidRPr="00B70D20">
        <w:rPr>
          <w:rFonts w:ascii="Arial" w:eastAsia="Calibri" w:hAnsi="Arial" w:cs="Arial"/>
          <w:i/>
          <w:iCs/>
        </w:rPr>
        <w:t>2)</w:t>
      </w:r>
      <w:r w:rsidRPr="00B70D20">
        <w:rPr>
          <w:rFonts w:ascii="Arial" w:eastAsia="Calibri" w:hAnsi="Arial" w:cs="Arial"/>
        </w:rPr>
        <w:t xml:space="preserve"> se indicó la posibilidad de celebrar contratos por un plazo superior en los casos en los que se requiera contar con una experticia o conocimiento especializado en una materia determinada durante un término mayor al de cuatro (4) meses –numeral 6.1–; </w:t>
      </w:r>
      <w:r w:rsidRPr="00B70D20">
        <w:rPr>
          <w:rFonts w:ascii="Arial" w:eastAsia="Calibri" w:hAnsi="Arial" w:cs="Arial"/>
          <w:i/>
          <w:iCs/>
        </w:rPr>
        <w:t>3)</w:t>
      </w:r>
      <w:r w:rsidRPr="00B70D20">
        <w:rPr>
          <w:rFonts w:ascii="Arial" w:eastAsia="Calibri" w:hAnsi="Arial" w:cs="Arial"/>
        </w:rPr>
        <w:t xml:space="preserve"> se estableció que, en aras de garantizar la estabilidad ocupacional reforzada de contratistas siempre que la necesidad del servicio que origine la contratación lo amerite, se celebren contratos con plazo mayor a los cuatro (4) meses –numeral 6.2–; </w:t>
      </w:r>
      <w:r w:rsidRPr="00B70D20">
        <w:rPr>
          <w:rFonts w:ascii="Arial" w:eastAsia="Calibri" w:hAnsi="Arial" w:cs="Arial"/>
          <w:i/>
          <w:iCs/>
        </w:rPr>
        <w:t>4)</w:t>
      </w:r>
      <w:r w:rsidRPr="00B70D20">
        <w:rPr>
          <w:rFonts w:ascii="Arial" w:eastAsia="Calibri" w:hAnsi="Arial" w:cs="Arial"/>
        </w:rPr>
        <w:t xml:space="preserve"> se mencionó que cuando se trate de contratos de prestación de servicios que se celebren para el desarrollo de actividades financiadas con recursos de proyectos de inversión, se celebren contratos cuyo plazo estará determinado por el tiempo necesario para cumplir las actividades y entregar los productos requeridos en el marco del ciclo del correspondiente proyecto–numeral 6.3–; y </w:t>
      </w:r>
      <w:r w:rsidRPr="00B70D20">
        <w:rPr>
          <w:rFonts w:ascii="Arial" w:eastAsia="Calibri" w:hAnsi="Arial" w:cs="Arial"/>
          <w:i/>
          <w:iCs/>
        </w:rPr>
        <w:t>5)</w:t>
      </w:r>
      <w:r w:rsidRPr="00B70D20">
        <w:rPr>
          <w:rFonts w:ascii="Arial" w:eastAsia="Calibri" w:hAnsi="Arial" w:cs="Arial"/>
        </w:rPr>
        <w:t xml:space="preserve"> se precisó que los contratos de prestación de servicios que deban celebrarse con personas jurídicas no se encuentran cobijados por lo preceptuado en el numeral 3 de la Circular Conjunta 100-005-2022 –numeral 6.3–.</w:t>
      </w:r>
    </w:p>
    <w:p w14:paraId="6A64B7B9" w14:textId="788488CF" w:rsidR="00164C3B" w:rsidRPr="00B70D20" w:rsidRDefault="00A35B0D" w:rsidP="00164C3B">
      <w:pPr>
        <w:autoSpaceDE w:val="0"/>
        <w:autoSpaceDN w:val="0"/>
        <w:adjustRightInd w:val="0"/>
        <w:spacing w:after="120" w:line="276" w:lineRule="auto"/>
        <w:ind w:firstLine="708"/>
        <w:jc w:val="both"/>
        <w:rPr>
          <w:rFonts w:ascii="Arial" w:hAnsi="Arial" w:cs="Arial"/>
        </w:rPr>
      </w:pPr>
      <w:r w:rsidRPr="00B70D20">
        <w:rPr>
          <w:rFonts w:ascii="Arial" w:eastAsia="Times New Roman" w:hAnsi="Arial" w:cs="Arial"/>
          <w:lang w:eastAsia="es-CO"/>
        </w:rPr>
        <w:t>Finalmente</w:t>
      </w:r>
      <w:r w:rsidR="00164C3B" w:rsidRPr="00B70D20">
        <w:rPr>
          <w:rFonts w:ascii="Arial" w:eastAsia="Times New Roman" w:hAnsi="Arial" w:cs="Arial"/>
          <w:lang w:eastAsia="es-CO"/>
        </w:rPr>
        <w:t xml:space="preserve">, la Circular Conjunta No. 01 del 5 de enero de 2023 no tiene </w:t>
      </w:r>
      <w:r w:rsidR="00164C3B" w:rsidRPr="00B70D20">
        <w:rPr>
          <w:rFonts w:ascii="Arial" w:eastAsia="Times New Roman" w:hAnsi="Arial" w:cs="Arial"/>
          <w:i/>
          <w:iCs/>
          <w:lang w:eastAsia="es-CO"/>
        </w:rPr>
        <w:t xml:space="preserve">per se </w:t>
      </w:r>
      <w:r w:rsidR="00164C3B" w:rsidRPr="00B70D20">
        <w:rPr>
          <w:rFonts w:ascii="Arial" w:eastAsia="Times New Roman" w:hAnsi="Arial" w:cs="Arial"/>
          <w:lang w:eastAsia="es-CO"/>
        </w:rPr>
        <w:t xml:space="preserve">una fuerza obligatoria en virtud de la cual las </w:t>
      </w:r>
      <w:r w:rsidR="00311F86" w:rsidRPr="00B70D20">
        <w:rPr>
          <w:rFonts w:ascii="Arial" w:eastAsia="Times New Roman" w:hAnsi="Arial" w:cs="Arial"/>
          <w:lang w:eastAsia="es-CO"/>
        </w:rPr>
        <w:t>E</w:t>
      </w:r>
      <w:r w:rsidR="00164C3B" w:rsidRPr="00B70D20">
        <w:rPr>
          <w:rFonts w:ascii="Arial" w:eastAsia="Times New Roman" w:hAnsi="Arial" w:cs="Arial"/>
          <w:lang w:eastAsia="es-CO"/>
        </w:rPr>
        <w:t xml:space="preserve">ntidades </w:t>
      </w:r>
      <w:r w:rsidR="00311F86" w:rsidRPr="00B70D20">
        <w:rPr>
          <w:rFonts w:ascii="Arial" w:eastAsia="Times New Roman" w:hAnsi="Arial" w:cs="Arial"/>
          <w:lang w:eastAsia="es-CO"/>
        </w:rPr>
        <w:t>E</w:t>
      </w:r>
      <w:r w:rsidR="00164C3B" w:rsidRPr="00B70D20">
        <w:rPr>
          <w:rFonts w:ascii="Arial" w:eastAsia="Times New Roman" w:hAnsi="Arial" w:cs="Arial"/>
          <w:lang w:eastAsia="es-CO"/>
        </w:rPr>
        <w:t xml:space="preserv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si resultan de obligatoria observancia, al igual que en precedentes como las sentencias de unificación jurisprudencial del </w:t>
      </w:r>
      <w:r w:rsidR="00164C3B" w:rsidRPr="00B70D20">
        <w:rPr>
          <w:rFonts w:ascii="Arial" w:eastAsia="Times New Roman" w:hAnsi="Arial" w:cs="Arial"/>
          <w:lang w:eastAsia="es-CO"/>
        </w:rPr>
        <w:lastRenderedPageBreak/>
        <w:t xml:space="preserve">2 de diciembre de 2013 expedida por la Sección Tercera del Consejo de Estado dentro del expediente 41.719 y la del 9 de septiembre de 2021 proferida por la Sección Segunda de la referida corporación dentro del expediente 1.317, que marcan el derrotero interpretativo de la tipología contractual en comento, además de resultar vinculantes para las autoridades administrativas en los términos señalados en el artículo 10 de la Ley 1437 de 2011. Dado esto, corresponde a cada </w:t>
      </w:r>
      <w:r w:rsidR="00E85CB5" w:rsidRPr="00B70D20">
        <w:rPr>
          <w:rFonts w:ascii="Arial" w:eastAsia="Times New Roman" w:hAnsi="Arial" w:cs="Arial"/>
          <w:lang w:eastAsia="es-CO"/>
        </w:rPr>
        <w:t>E</w:t>
      </w:r>
      <w:r w:rsidR="00164C3B" w:rsidRPr="00B70D20">
        <w:rPr>
          <w:rFonts w:ascii="Arial" w:eastAsia="Times New Roman" w:hAnsi="Arial" w:cs="Arial"/>
          <w:lang w:eastAsia="es-CO"/>
        </w:rPr>
        <w:t xml:space="preserve">ntidad </w:t>
      </w:r>
      <w:r w:rsidR="00E85CB5" w:rsidRPr="00B70D20">
        <w:rPr>
          <w:rFonts w:ascii="Arial" w:eastAsia="Times New Roman" w:hAnsi="Arial" w:cs="Arial"/>
          <w:lang w:eastAsia="es-CO"/>
        </w:rPr>
        <w:t>E</w:t>
      </w:r>
      <w:r w:rsidR="00164C3B" w:rsidRPr="00B70D20">
        <w:rPr>
          <w:rFonts w:ascii="Arial" w:eastAsia="Times New Roman" w:hAnsi="Arial" w:cs="Arial"/>
          <w:lang w:eastAsia="es-CO"/>
        </w:rPr>
        <w:t>statal determinar en cada caso la procedencia de aplicar uno u otro lineamiento, teniendo en cuenta</w:t>
      </w:r>
      <w:r w:rsidR="00E85CB5" w:rsidRPr="00B70D20">
        <w:rPr>
          <w:rFonts w:ascii="Arial" w:eastAsia="Times New Roman" w:hAnsi="Arial" w:cs="Arial"/>
          <w:lang w:eastAsia="es-CO"/>
        </w:rPr>
        <w:t xml:space="preserve"> </w:t>
      </w:r>
      <w:r w:rsidR="00164C3B" w:rsidRPr="00B70D20">
        <w:rPr>
          <w:rFonts w:ascii="Arial" w:eastAsia="Times New Roman" w:hAnsi="Arial" w:cs="Arial"/>
          <w:lang w:eastAsia="es-CO"/>
        </w:rPr>
        <w:t xml:space="preserve">las circunstancias particulares que incumben al contrato, al igual que el marco jurídico legal y reglamentario aplicable.   </w:t>
      </w:r>
      <w:r w:rsidR="00164C3B" w:rsidRPr="00B70D20">
        <w:rPr>
          <w:rFonts w:ascii="Arial" w:eastAsia="Times New Roman" w:hAnsi="Arial" w:cs="Arial"/>
          <w:szCs w:val="24"/>
          <w:lang w:val="es-ES_tradnl" w:eastAsia="es-ES_tradnl"/>
        </w:rPr>
        <w:tab/>
      </w:r>
    </w:p>
    <w:p w14:paraId="17F93D59" w14:textId="77777777" w:rsidR="00DF0A95" w:rsidRPr="00B70D20" w:rsidRDefault="00DF0A95" w:rsidP="00164C3B">
      <w:pPr>
        <w:spacing w:after="120" w:line="276" w:lineRule="auto"/>
        <w:jc w:val="both"/>
        <w:rPr>
          <w:rFonts w:ascii="Arial" w:hAnsi="Arial" w:cs="Arial"/>
          <w:lang w:eastAsia="es-MX"/>
        </w:rPr>
      </w:pPr>
      <w:r w:rsidRPr="00B70D20">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B33189" w14:textId="77777777" w:rsidR="00DF0A95" w:rsidRPr="00B70D20" w:rsidRDefault="00DF0A95" w:rsidP="00DF0A95">
      <w:pPr>
        <w:spacing w:after="120" w:line="276" w:lineRule="auto"/>
        <w:jc w:val="both"/>
        <w:rPr>
          <w:rFonts w:ascii="Arial" w:hAnsi="Arial" w:cs="Arial"/>
          <w:lang w:val="es-ES_tradnl"/>
        </w:rPr>
      </w:pPr>
      <w:r w:rsidRPr="00B70D20">
        <w:rPr>
          <w:rFonts w:ascii="Arial" w:hAnsi="Arial" w:cs="Arial"/>
          <w:lang w:val="es-ES_tradnl"/>
        </w:rPr>
        <w:t>Atentamente,</w:t>
      </w:r>
    </w:p>
    <w:p w14:paraId="28802312" w14:textId="0AECD655" w:rsidR="00DF0A95" w:rsidRPr="00B70D20" w:rsidRDefault="00F37695" w:rsidP="00DF0A95">
      <w:pPr>
        <w:spacing w:line="276" w:lineRule="auto"/>
        <w:jc w:val="center"/>
        <w:rPr>
          <w:rFonts w:ascii="Arial" w:hAnsi="Arial" w:cs="Arial"/>
          <w:lang w:val="es-ES_tradnl"/>
        </w:rPr>
      </w:pPr>
      <w:r>
        <w:rPr>
          <w:rFonts w:ascii="Arial" w:eastAsia="Calibri" w:hAnsi="Arial" w:cs="Arial"/>
          <w:noProof/>
          <w:lang w:val="es-MX"/>
        </w:rPr>
        <w:drawing>
          <wp:inline distT="0" distB="0" distL="0" distR="0" wp14:anchorId="3AE73480" wp14:editId="52D5E020">
            <wp:extent cx="3124200" cy="1219200"/>
            <wp:effectExtent l="0" t="0" r="0" b="0"/>
            <wp:docPr id="166831608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16089"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4200" cy="121920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B70D20" w:rsidRPr="00B70D20" w14:paraId="0879913C" w14:textId="77777777" w:rsidTr="00C87F8A">
        <w:trPr>
          <w:trHeight w:val="315"/>
        </w:trPr>
        <w:tc>
          <w:tcPr>
            <w:tcW w:w="812" w:type="dxa"/>
            <w:vAlign w:val="center"/>
            <w:hideMark/>
          </w:tcPr>
          <w:p w14:paraId="56CE3C42" w14:textId="77777777" w:rsidR="00DF0A95" w:rsidRPr="00B70D20" w:rsidRDefault="00DF0A95" w:rsidP="00C87F8A">
            <w:pPr>
              <w:spacing w:line="276" w:lineRule="auto"/>
              <w:rPr>
                <w:rFonts w:ascii="Arial" w:eastAsia="Times New Roman" w:hAnsi="Arial" w:cs="Arial"/>
                <w:sz w:val="16"/>
                <w:szCs w:val="16"/>
                <w:lang w:val="es-ES" w:eastAsia="es-ES"/>
              </w:rPr>
            </w:pPr>
            <w:r w:rsidRPr="00B70D20">
              <w:rPr>
                <w:rFonts w:ascii="Arial" w:eastAsia="Times New Roman" w:hAnsi="Arial"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40EA9E32" w14:textId="77777777" w:rsidR="00DF0A95" w:rsidRPr="00B70D20" w:rsidRDefault="00DF0A95" w:rsidP="00C87F8A">
            <w:pPr>
              <w:jc w:val="both"/>
              <w:rPr>
                <w:rFonts w:ascii="Arial" w:eastAsia="Times New Roman" w:hAnsi="Arial" w:cs="Arial"/>
                <w:sz w:val="16"/>
                <w:szCs w:val="16"/>
                <w:lang w:val="es-ES" w:eastAsia="es-ES"/>
              </w:rPr>
            </w:pPr>
            <w:r w:rsidRPr="00B70D20">
              <w:rPr>
                <w:rFonts w:ascii="Arial" w:eastAsia="Times New Roman" w:hAnsi="Arial" w:cs="Arial"/>
                <w:sz w:val="16"/>
                <w:szCs w:val="16"/>
                <w:lang w:val="es-ES" w:eastAsia="es-ES"/>
              </w:rPr>
              <w:t>Ana María Ortiz Ballesteros</w:t>
            </w:r>
          </w:p>
          <w:p w14:paraId="03C3C56D" w14:textId="77777777" w:rsidR="00DF0A95" w:rsidRPr="00B70D20" w:rsidRDefault="00DF0A95" w:rsidP="00C87F8A">
            <w:pPr>
              <w:jc w:val="both"/>
              <w:rPr>
                <w:rFonts w:ascii="Arial" w:eastAsia="Times New Roman" w:hAnsi="Arial" w:cs="Arial"/>
                <w:sz w:val="16"/>
                <w:szCs w:val="16"/>
                <w:lang w:val="es-ES" w:eastAsia="es-ES"/>
              </w:rPr>
            </w:pPr>
            <w:r w:rsidRPr="00B70D20">
              <w:rPr>
                <w:rFonts w:ascii="Arial" w:eastAsia="Times New Roman" w:hAnsi="Arial" w:cs="Arial"/>
                <w:sz w:val="16"/>
                <w:szCs w:val="16"/>
                <w:lang w:val="es-ES" w:eastAsia="es-ES"/>
              </w:rPr>
              <w:t>Contratista de la Subdirección de Gestión Contractual</w:t>
            </w:r>
          </w:p>
        </w:tc>
      </w:tr>
      <w:tr w:rsidR="00B70D20" w:rsidRPr="00B70D20" w14:paraId="7E5577AA" w14:textId="77777777" w:rsidTr="00C87F8A">
        <w:trPr>
          <w:trHeight w:val="330"/>
        </w:trPr>
        <w:tc>
          <w:tcPr>
            <w:tcW w:w="812" w:type="dxa"/>
            <w:vAlign w:val="center"/>
            <w:hideMark/>
          </w:tcPr>
          <w:p w14:paraId="3AC56BD6" w14:textId="77777777" w:rsidR="00DF0A95" w:rsidRPr="00B70D20" w:rsidRDefault="00DF0A95" w:rsidP="00C87F8A">
            <w:pPr>
              <w:spacing w:line="276" w:lineRule="auto"/>
              <w:rPr>
                <w:rFonts w:ascii="Arial" w:eastAsia="Times New Roman" w:hAnsi="Arial" w:cs="Arial"/>
                <w:sz w:val="16"/>
                <w:szCs w:val="16"/>
                <w:lang w:val="es-ES" w:eastAsia="es-ES"/>
              </w:rPr>
            </w:pPr>
            <w:r w:rsidRPr="00B70D20">
              <w:rPr>
                <w:rFonts w:ascii="Arial" w:eastAsia="Times New Roman" w:hAnsi="Arial"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42C6BDB2" w14:textId="77777777" w:rsidR="00DF0A95" w:rsidRPr="00B70D20" w:rsidRDefault="00DF0A95" w:rsidP="00C87F8A">
            <w:pPr>
              <w:jc w:val="both"/>
              <w:rPr>
                <w:rFonts w:ascii="Arial" w:hAnsi="Arial" w:cs="Arial"/>
                <w:sz w:val="16"/>
                <w:szCs w:val="16"/>
              </w:rPr>
            </w:pPr>
            <w:r w:rsidRPr="00B70D20">
              <w:rPr>
                <w:rFonts w:ascii="Arial" w:hAnsi="Arial" w:cs="Arial"/>
                <w:sz w:val="16"/>
                <w:szCs w:val="16"/>
              </w:rPr>
              <w:t>Alejandro Sarmiento Cantillo</w:t>
            </w:r>
          </w:p>
          <w:p w14:paraId="5D681E0B" w14:textId="77777777" w:rsidR="00DF0A95" w:rsidRPr="00B70D20" w:rsidRDefault="00DF0A95" w:rsidP="00C87F8A">
            <w:pPr>
              <w:rPr>
                <w:rFonts w:ascii="Arial" w:eastAsia="Times New Roman" w:hAnsi="Arial" w:cs="Arial"/>
                <w:sz w:val="16"/>
                <w:szCs w:val="16"/>
                <w:lang w:eastAsia="es-ES"/>
              </w:rPr>
            </w:pPr>
            <w:r w:rsidRPr="00B70D20">
              <w:rPr>
                <w:rFonts w:ascii="Arial" w:hAnsi="Arial" w:cs="Arial"/>
                <w:sz w:val="16"/>
                <w:szCs w:val="16"/>
              </w:rPr>
              <w:t>Gestor T1 ‒ 15 de la Subdirección de Gestión Contractual</w:t>
            </w:r>
          </w:p>
        </w:tc>
      </w:tr>
      <w:tr w:rsidR="00B70D20" w:rsidRPr="00B70D20" w14:paraId="7F4DC63A" w14:textId="77777777" w:rsidTr="00C87F8A">
        <w:trPr>
          <w:trHeight w:val="178"/>
        </w:trPr>
        <w:tc>
          <w:tcPr>
            <w:tcW w:w="812" w:type="dxa"/>
            <w:vAlign w:val="center"/>
            <w:hideMark/>
          </w:tcPr>
          <w:p w14:paraId="2FDCB5A3" w14:textId="77777777" w:rsidR="00DF0A95" w:rsidRPr="00B70D20" w:rsidRDefault="00DF0A95" w:rsidP="00C87F8A">
            <w:pPr>
              <w:spacing w:line="276" w:lineRule="auto"/>
              <w:rPr>
                <w:rFonts w:ascii="Arial" w:eastAsia="Times New Roman" w:hAnsi="Arial" w:cs="Arial"/>
                <w:sz w:val="16"/>
                <w:szCs w:val="16"/>
                <w:lang w:val="es-ES" w:eastAsia="es-ES"/>
              </w:rPr>
            </w:pPr>
            <w:r w:rsidRPr="00B70D20">
              <w:rPr>
                <w:rFonts w:ascii="Arial" w:eastAsia="Times New Roman" w:hAnsi="Arial"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4130F1E0" w14:textId="77777777" w:rsidR="00DF0A95" w:rsidRPr="00B70D20" w:rsidRDefault="00DF0A95" w:rsidP="00C87F8A">
            <w:pPr>
              <w:textAlignment w:val="baseline"/>
              <w:rPr>
                <w:rFonts w:ascii="Arial" w:eastAsia="Times New Roman" w:hAnsi="Arial" w:cs="Arial"/>
                <w:sz w:val="16"/>
                <w:szCs w:val="16"/>
                <w:lang w:val="es-ES" w:eastAsia="es-CO"/>
              </w:rPr>
            </w:pPr>
            <w:bookmarkStart w:id="5" w:name="_Hlk116036152"/>
            <w:r w:rsidRPr="00B70D20">
              <w:rPr>
                <w:rFonts w:ascii="Arial" w:eastAsia="Times New Roman" w:hAnsi="Arial" w:cs="Arial"/>
                <w:sz w:val="16"/>
                <w:szCs w:val="16"/>
                <w:lang w:val="es-ES" w:eastAsia="es-CO"/>
              </w:rPr>
              <w:t xml:space="preserve">Nohelia del Carmen </w:t>
            </w:r>
            <w:proofErr w:type="spellStart"/>
            <w:r w:rsidRPr="00B70D20">
              <w:rPr>
                <w:rFonts w:ascii="Arial" w:eastAsia="Times New Roman" w:hAnsi="Arial" w:cs="Arial"/>
                <w:sz w:val="16"/>
                <w:szCs w:val="16"/>
                <w:lang w:val="es-ES" w:eastAsia="es-CO"/>
              </w:rPr>
              <w:t>Zawady</w:t>
            </w:r>
            <w:proofErr w:type="spellEnd"/>
            <w:r w:rsidRPr="00B70D20">
              <w:rPr>
                <w:rFonts w:ascii="Arial" w:eastAsia="Times New Roman" w:hAnsi="Arial" w:cs="Arial"/>
                <w:sz w:val="16"/>
                <w:szCs w:val="16"/>
                <w:lang w:val="es-ES" w:eastAsia="es-CO"/>
              </w:rPr>
              <w:t xml:space="preserve"> Palacio</w:t>
            </w:r>
          </w:p>
          <w:p w14:paraId="0DBBF90B" w14:textId="77777777" w:rsidR="00DF0A95" w:rsidRPr="00B70D20" w:rsidRDefault="00DF0A95" w:rsidP="00C87F8A">
            <w:pPr>
              <w:rPr>
                <w:rFonts w:ascii="Arial" w:eastAsia="Times New Roman" w:hAnsi="Arial" w:cs="Arial"/>
                <w:sz w:val="16"/>
                <w:szCs w:val="16"/>
                <w:lang w:val="es-ES" w:eastAsia="es-ES"/>
              </w:rPr>
            </w:pPr>
            <w:r w:rsidRPr="00B70D20">
              <w:rPr>
                <w:rFonts w:ascii="Arial" w:eastAsia="Times New Roman" w:hAnsi="Arial" w:cs="Arial"/>
                <w:sz w:val="16"/>
                <w:szCs w:val="16"/>
                <w:lang w:val="es-ES" w:eastAsia="es-ES"/>
              </w:rPr>
              <w:t xml:space="preserve">Subdirectora de Gestión Contractual </w:t>
            </w:r>
            <w:bookmarkEnd w:id="5"/>
            <w:r w:rsidRPr="00B70D20">
              <w:rPr>
                <w:rFonts w:ascii="Arial" w:eastAsia="Times New Roman" w:hAnsi="Arial" w:cs="Arial"/>
                <w:sz w:val="16"/>
                <w:szCs w:val="16"/>
                <w:lang w:val="es-ES" w:eastAsia="es-ES"/>
              </w:rPr>
              <w:t>ANCP – CCE</w:t>
            </w:r>
          </w:p>
        </w:tc>
      </w:tr>
    </w:tbl>
    <w:p w14:paraId="18D95323" w14:textId="645730DE" w:rsidR="001A1011" w:rsidRPr="00B70D20" w:rsidRDefault="001A1011" w:rsidP="006219F8">
      <w:pPr>
        <w:spacing w:after="0" w:line="240" w:lineRule="auto"/>
        <w:rPr>
          <w:rFonts w:ascii="Arial" w:hAnsi="Arial" w:cs="Arial"/>
          <w:b/>
          <w:lang w:val="es-ES"/>
        </w:rPr>
      </w:pPr>
    </w:p>
    <w:p w14:paraId="154D43B2" w14:textId="13A83168" w:rsidR="001A1011" w:rsidRPr="00B70D20" w:rsidRDefault="001A1011" w:rsidP="006219F8">
      <w:pPr>
        <w:spacing w:after="0" w:line="240" w:lineRule="auto"/>
        <w:rPr>
          <w:rFonts w:ascii="Arial" w:hAnsi="Arial" w:cs="Arial"/>
          <w:b/>
          <w:lang w:val="es-ES"/>
        </w:rPr>
      </w:pPr>
    </w:p>
    <w:p w14:paraId="7B23AD64" w14:textId="22BFE0EC" w:rsidR="00C9405D" w:rsidRPr="00B70D20" w:rsidRDefault="00C9405D" w:rsidP="006219F8">
      <w:pPr>
        <w:spacing w:after="0" w:line="240" w:lineRule="auto"/>
        <w:rPr>
          <w:rFonts w:ascii="Arial" w:hAnsi="Arial" w:cs="Arial"/>
          <w:b/>
          <w:lang w:val="es-ES"/>
        </w:rPr>
      </w:pPr>
    </w:p>
    <w:p w14:paraId="3624807F" w14:textId="31625BE8" w:rsidR="00C9405D" w:rsidRPr="00B70D20" w:rsidRDefault="00C9405D" w:rsidP="006219F8">
      <w:pPr>
        <w:spacing w:after="0" w:line="240" w:lineRule="auto"/>
        <w:rPr>
          <w:rFonts w:ascii="Arial" w:hAnsi="Arial" w:cs="Arial"/>
          <w:b/>
          <w:lang w:val="es-ES"/>
        </w:rPr>
      </w:pPr>
    </w:p>
    <w:bookmarkEnd w:id="0"/>
    <w:p w14:paraId="0F293BF4" w14:textId="0F6FB6C1" w:rsidR="00127233" w:rsidRPr="00B70D20" w:rsidRDefault="00127233">
      <w:pPr>
        <w:rPr>
          <w:rFonts w:ascii="Arial" w:hAnsi="Arial" w:cs="Arial"/>
          <w:lang w:val="es-MX"/>
        </w:rPr>
      </w:pPr>
    </w:p>
    <w:sectPr w:rsidR="00127233" w:rsidRPr="00B70D20"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327FD" w14:textId="77777777" w:rsidR="00C00669" w:rsidRDefault="00C00669" w:rsidP="004A1847">
      <w:pPr>
        <w:spacing w:after="0" w:line="240" w:lineRule="auto"/>
      </w:pPr>
      <w:r>
        <w:separator/>
      </w:r>
    </w:p>
  </w:endnote>
  <w:endnote w:type="continuationSeparator" w:id="0">
    <w:p w14:paraId="1F8F1BE9" w14:textId="77777777" w:rsidR="00C00669" w:rsidRDefault="00C00669" w:rsidP="004A1847">
      <w:pPr>
        <w:spacing w:after="0" w:line="240" w:lineRule="auto"/>
      </w:pPr>
      <w:r>
        <w:continuationSeparator/>
      </w:r>
    </w:p>
  </w:endnote>
  <w:endnote w:type="continuationNotice" w:id="1">
    <w:p w14:paraId="2039CEA4" w14:textId="77777777" w:rsidR="00C00669" w:rsidRDefault="00C006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Italic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4EE8D" w14:textId="77777777" w:rsidR="00C00669" w:rsidRDefault="00C00669" w:rsidP="004A1847">
      <w:pPr>
        <w:spacing w:after="0" w:line="240" w:lineRule="auto"/>
      </w:pPr>
      <w:r>
        <w:separator/>
      </w:r>
    </w:p>
  </w:footnote>
  <w:footnote w:type="continuationSeparator" w:id="0">
    <w:p w14:paraId="5D576CC7" w14:textId="77777777" w:rsidR="00C00669" w:rsidRDefault="00C00669" w:rsidP="004A1847">
      <w:pPr>
        <w:spacing w:after="0" w:line="240" w:lineRule="auto"/>
      </w:pPr>
      <w:r>
        <w:continuationSeparator/>
      </w:r>
    </w:p>
  </w:footnote>
  <w:footnote w:type="continuationNotice" w:id="1">
    <w:p w14:paraId="37B0CF91" w14:textId="77777777" w:rsidR="00C00669" w:rsidRDefault="00C00669">
      <w:pPr>
        <w:spacing w:after="0" w:line="240" w:lineRule="auto"/>
      </w:pPr>
    </w:p>
  </w:footnote>
  <w:footnote w:id="2">
    <w:p w14:paraId="389AF95A" w14:textId="77777777" w:rsidR="007F5E43" w:rsidRPr="003D71CA" w:rsidRDefault="007F5E43" w:rsidP="007F5E43">
      <w:pPr>
        <w:ind w:firstLine="720"/>
        <w:jc w:val="both"/>
        <w:rPr>
          <w:rFonts w:ascii="Arial" w:hAnsi="Arial" w:cs="Arial"/>
          <w:sz w:val="18"/>
          <w:szCs w:val="18"/>
          <w:lang w:val="es-ES"/>
        </w:rPr>
      </w:pPr>
      <w:r w:rsidRPr="003D71CA">
        <w:rPr>
          <w:rStyle w:val="Refdenotaalpie"/>
          <w:rFonts w:ascii="Arial" w:hAnsi="Arial" w:cs="Arial"/>
          <w:sz w:val="18"/>
          <w:szCs w:val="18"/>
        </w:rPr>
        <w:footnoteRef/>
      </w:r>
      <w:r w:rsidRPr="003D71CA">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E50CA99" w14:textId="77777777" w:rsidR="00991A75" w:rsidRPr="008E01A2" w:rsidRDefault="00991A75" w:rsidP="00991A75">
      <w:pPr>
        <w:pStyle w:val="Textonotapie"/>
        <w:ind w:firstLine="708"/>
        <w:jc w:val="both"/>
        <w:rPr>
          <w:rFonts w:ascii="Arial" w:hAnsi="Arial" w:cs="Arial"/>
          <w:sz w:val="18"/>
          <w:szCs w:val="18"/>
          <w:lang w:val="es-CO"/>
        </w:rPr>
      </w:pPr>
      <w:r w:rsidRPr="008E01A2">
        <w:rPr>
          <w:rStyle w:val="Refdenotaalpie"/>
          <w:rFonts w:ascii="Arial" w:hAnsi="Arial" w:cs="Arial"/>
          <w:sz w:val="18"/>
          <w:szCs w:val="18"/>
        </w:rPr>
        <w:footnoteRef/>
      </w:r>
      <w:r w:rsidRPr="008E01A2">
        <w:rPr>
          <w:rFonts w:ascii="Arial" w:hAnsi="Arial" w:cs="Arial"/>
          <w:sz w:val="18"/>
          <w:szCs w:val="18"/>
        </w:rPr>
        <w:t xml:space="preserve"> Estos conceptos pueden ser consultados en la relatoría de Colombia Compra Eficiente en el siguiente enlace:  </w:t>
      </w:r>
      <w:hyperlink r:id="rId1" w:history="1">
        <w:r w:rsidRPr="008E01A2">
          <w:rPr>
            <w:rStyle w:val="Hipervnculo"/>
            <w:rFonts w:ascii="Arial" w:hAnsi="Arial" w:cs="Arial"/>
            <w:sz w:val="18"/>
            <w:szCs w:val="18"/>
          </w:rPr>
          <w:t>http://relatoria.colombiacompra.gov.co/busqueda/conceptos</w:t>
        </w:r>
      </w:hyperlink>
    </w:p>
  </w:footnote>
  <w:footnote w:id="4">
    <w:p w14:paraId="49E6CFA9" w14:textId="77777777" w:rsidR="00A452E2" w:rsidRPr="002F472A" w:rsidRDefault="00A452E2" w:rsidP="00A452E2">
      <w:pPr>
        <w:pStyle w:val="Textonotapie"/>
        <w:spacing w:after="60"/>
        <w:ind w:firstLine="709"/>
        <w:jc w:val="both"/>
        <w:rPr>
          <w:rFonts w:ascii="Arial" w:hAnsi="Arial" w:cs="Arial"/>
          <w:color w:val="000000"/>
          <w:sz w:val="18"/>
          <w:szCs w:val="18"/>
        </w:rPr>
      </w:pPr>
      <w:r w:rsidRPr="002F472A">
        <w:rPr>
          <w:rStyle w:val="Refdenotaalpie"/>
          <w:rFonts w:ascii="Arial" w:hAnsi="Arial" w:cs="Arial"/>
          <w:sz w:val="18"/>
          <w:szCs w:val="18"/>
        </w:rPr>
        <w:footnoteRef/>
      </w:r>
      <w:r w:rsidRPr="002F472A">
        <w:rPr>
          <w:rFonts w:ascii="Arial" w:hAnsi="Arial" w:cs="Arial"/>
          <w:sz w:val="18"/>
          <w:szCs w:val="18"/>
        </w:rPr>
        <w:t xml:space="preserve"> Decreto 1068 de 2015: «</w:t>
      </w:r>
      <w:r w:rsidRPr="002F472A">
        <w:rPr>
          <w:rFonts w:ascii="Arial" w:hAnsi="Arial" w:cs="Arial"/>
          <w:color w:val="000000"/>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36B9524C" w14:textId="77777777" w:rsidR="00A452E2" w:rsidRPr="002F472A" w:rsidRDefault="00A452E2" w:rsidP="00A452E2">
      <w:pPr>
        <w:pStyle w:val="Textonotapie"/>
        <w:spacing w:after="60"/>
        <w:ind w:firstLine="709"/>
        <w:jc w:val="both"/>
        <w:rPr>
          <w:rFonts w:ascii="Arial" w:hAnsi="Arial" w:cs="Arial"/>
          <w:color w:val="000000"/>
          <w:sz w:val="18"/>
          <w:szCs w:val="18"/>
        </w:rPr>
      </w:pPr>
      <w:r w:rsidRPr="002F472A">
        <w:rPr>
          <w:rFonts w:ascii="Arial" w:hAnsi="Arial" w:cs="Arial"/>
          <w:color w:val="000000"/>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7E970785" w14:textId="77777777" w:rsidR="00A452E2" w:rsidRPr="002F472A" w:rsidRDefault="00A452E2" w:rsidP="00A452E2">
      <w:pPr>
        <w:pStyle w:val="Textonotapie"/>
        <w:ind w:firstLine="708"/>
        <w:jc w:val="both"/>
        <w:rPr>
          <w:rFonts w:ascii="Arial" w:hAnsi="Arial" w:cs="Arial"/>
          <w:sz w:val="18"/>
          <w:szCs w:val="18"/>
        </w:rPr>
      </w:pPr>
      <w:r w:rsidRPr="002F472A">
        <w:rPr>
          <w:rFonts w:ascii="Arial" w:hAnsi="Arial" w:cs="Arial"/>
          <w:color w:val="000000"/>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03087853" w14:textId="77777777" w:rsidR="00A452E2" w:rsidRPr="002F472A" w:rsidRDefault="00A452E2" w:rsidP="00A452E2">
      <w:pPr>
        <w:pStyle w:val="Textonotapie"/>
        <w:ind w:firstLine="708"/>
        <w:rPr>
          <w:rFonts w:ascii="Arial" w:hAnsi="Arial" w:cs="Arial"/>
          <w:sz w:val="18"/>
          <w:szCs w:val="18"/>
        </w:rPr>
      </w:pPr>
      <w:r w:rsidRPr="002F472A">
        <w:rPr>
          <w:rFonts w:ascii="Arial" w:hAnsi="Arial" w:cs="Arial"/>
          <w:sz w:val="18"/>
          <w:szCs w:val="18"/>
        </w:rPr>
        <w:t xml:space="preserve"> </w:t>
      </w:r>
    </w:p>
  </w:footnote>
  <w:footnote w:id="5">
    <w:p w14:paraId="76FCB721" w14:textId="77777777" w:rsidR="00A452E2" w:rsidRPr="002F472A" w:rsidRDefault="00A452E2" w:rsidP="00A452E2">
      <w:pPr>
        <w:autoSpaceDE w:val="0"/>
        <w:autoSpaceDN w:val="0"/>
        <w:adjustRightInd w:val="0"/>
        <w:spacing w:after="0" w:line="240" w:lineRule="auto"/>
        <w:ind w:firstLine="708"/>
        <w:jc w:val="both"/>
        <w:rPr>
          <w:rFonts w:ascii="Arial" w:hAnsi="Arial" w:cs="Arial"/>
          <w:sz w:val="18"/>
          <w:szCs w:val="18"/>
        </w:rPr>
      </w:pPr>
      <w:r w:rsidRPr="002F472A">
        <w:rPr>
          <w:rStyle w:val="Refdenotaalpie"/>
          <w:rFonts w:ascii="Arial" w:hAnsi="Arial" w:cs="Arial"/>
          <w:sz w:val="18"/>
          <w:szCs w:val="18"/>
        </w:rPr>
        <w:footnoteRef/>
      </w:r>
      <w:r w:rsidRPr="002F472A">
        <w:rPr>
          <w:rFonts w:ascii="Arial" w:hAnsi="Arial" w:cs="Arial"/>
          <w:sz w:val="18"/>
          <w:szCs w:val="18"/>
        </w:rPr>
        <w:t xml:space="preserve"> CONSEJO DE ESTADO. Sección Segunda. Sentencia de Unificación Jurisprudencial SUJ-025-CE-S2-2021. Radicado (1317-2016). En el mismo sentido, la Corte Constitucional expresa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 (Cfr. Corte Constitucional. Sentencia C-154 de 1997. MP: Hernando Herrera Vergara).</w:t>
      </w:r>
    </w:p>
  </w:footnote>
  <w:footnote w:id="6">
    <w:p w14:paraId="581F7E92" w14:textId="77777777" w:rsidR="00D826DE" w:rsidRDefault="004B4A8A" w:rsidP="009164D6">
      <w:pPr>
        <w:pStyle w:val="Textonotapie"/>
        <w:ind w:firstLine="708"/>
        <w:jc w:val="both"/>
        <w:rPr>
          <w:rFonts w:ascii="Arial" w:hAnsi="Arial" w:cs="Arial"/>
          <w:sz w:val="18"/>
          <w:szCs w:val="18"/>
        </w:rPr>
      </w:pPr>
      <w:r w:rsidRPr="00204C5E">
        <w:rPr>
          <w:rStyle w:val="Refdenotaalpie"/>
          <w:rFonts w:ascii="Arial" w:hAnsi="Arial" w:cs="Arial"/>
          <w:sz w:val="18"/>
          <w:szCs w:val="18"/>
        </w:rPr>
        <w:footnoteRef/>
      </w:r>
      <w:r w:rsidRPr="00204C5E">
        <w:rPr>
          <w:rFonts w:ascii="Arial" w:hAnsi="Arial" w:cs="Arial"/>
          <w:sz w:val="18"/>
          <w:szCs w:val="18"/>
        </w:rPr>
        <w:t xml:space="preserve"> </w:t>
      </w:r>
      <w:r w:rsidR="009164D6" w:rsidRPr="009164D6">
        <w:rPr>
          <w:rFonts w:ascii="Arial" w:hAnsi="Arial" w:cs="Arial"/>
          <w:sz w:val="18"/>
          <w:szCs w:val="18"/>
        </w:rPr>
        <w:t>CONSEJO DE ESTADO</w:t>
      </w:r>
      <w:r w:rsidRPr="00204C5E">
        <w:rPr>
          <w:rFonts w:ascii="Arial" w:hAnsi="Arial" w:cs="Arial"/>
          <w:sz w:val="18"/>
          <w:szCs w:val="18"/>
        </w:rPr>
        <w:t>. Sección Tercera</w:t>
      </w:r>
      <w:r w:rsidR="009164D6">
        <w:rPr>
          <w:rFonts w:ascii="Arial" w:hAnsi="Arial" w:cs="Arial"/>
          <w:sz w:val="18"/>
          <w:szCs w:val="18"/>
        </w:rPr>
        <w:t>,</w:t>
      </w:r>
      <w:r w:rsidRPr="00204C5E">
        <w:rPr>
          <w:rFonts w:ascii="Arial" w:hAnsi="Arial" w:cs="Arial"/>
          <w:sz w:val="18"/>
          <w:szCs w:val="18"/>
        </w:rPr>
        <w:t xml:space="preserve"> </w:t>
      </w:r>
      <w:r w:rsidR="009164D6">
        <w:rPr>
          <w:rFonts w:ascii="Arial" w:hAnsi="Arial" w:cs="Arial"/>
          <w:sz w:val="18"/>
          <w:szCs w:val="18"/>
        </w:rPr>
        <w:t>a</w:t>
      </w:r>
      <w:r w:rsidRPr="00204C5E">
        <w:rPr>
          <w:rFonts w:ascii="Arial" w:hAnsi="Arial" w:cs="Arial"/>
          <w:sz w:val="18"/>
          <w:szCs w:val="18"/>
        </w:rPr>
        <w:t>uto de 22 de febrero de 2023</w:t>
      </w:r>
      <w:r w:rsidR="009164D6" w:rsidRPr="00204C5E">
        <w:rPr>
          <w:rFonts w:ascii="Arial" w:hAnsi="Arial" w:cs="Arial"/>
          <w:sz w:val="18"/>
          <w:szCs w:val="18"/>
        </w:rPr>
        <w:t>, C</w:t>
      </w:r>
      <w:r w:rsidR="009164D6">
        <w:rPr>
          <w:rFonts w:ascii="Arial" w:hAnsi="Arial" w:cs="Arial"/>
          <w:sz w:val="18"/>
          <w:szCs w:val="18"/>
        </w:rPr>
        <w:t>.P.</w:t>
      </w:r>
      <w:r w:rsidR="009164D6" w:rsidRPr="00204C5E">
        <w:rPr>
          <w:rFonts w:ascii="Arial" w:hAnsi="Arial" w:cs="Arial"/>
          <w:sz w:val="18"/>
          <w:szCs w:val="18"/>
        </w:rPr>
        <w:t xml:space="preserve"> José Roberto Sáchica Méndez, E</w:t>
      </w:r>
      <w:r w:rsidR="00D826DE">
        <w:rPr>
          <w:rFonts w:ascii="Arial" w:hAnsi="Arial" w:cs="Arial"/>
          <w:sz w:val="18"/>
          <w:szCs w:val="18"/>
        </w:rPr>
        <w:t>x</w:t>
      </w:r>
      <w:r w:rsidR="009164D6" w:rsidRPr="00204C5E">
        <w:rPr>
          <w:rFonts w:ascii="Arial" w:hAnsi="Arial" w:cs="Arial"/>
          <w:sz w:val="18"/>
          <w:szCs w:val="18"/>
        </w:rPr>
        <w:t>p. No. 69.23</w:t>
      </w:r>
      <w:r w:rsidR="00D826DE">
        <w:rPr>
          <w:rFonts w:ascii="Arial" w:hAnsi="Arial" w:cs="Arial"/>
          <w:sz w:val="18"/>
          <w:szCs w:val="18"/>
        </w:rPr>
        <w:t>1</w:t>
      </w:r>
      <w:r w:rsidR="009164D6" w:rsidRPr="00204C5E">
        <w:rPr>
          <w:rFonts w:ascii="Arial" w:hAnsi="Arial" w:cs="Arial"/>
          <w:sz w:val="18"/>
          <w:szCs w:val="18"/>
        </w:rPr>
        <w:t>.</w:t>
      </w:r>
    </w:p>
    <w:p w14:paraId="1FE3CA99" w14:textId="0AD2E81E" w:rsidR="004B4A8A" w:rsidRPr="00204C5E" w:rsidRDefault="009164D6" w:rsidP="00204C5E">
      <w:pPr>
        <w:pStyle w:val="Textonotapie"/>
        <w:ind w:firstLine="708"/>
        <w:jc w:val="both"/>
        <w:rPr>
          <w:rFonts w:ascii="Arial" w:hAnsi="Arial" w:cs="Arial"/>
          <w:sz w:val="18"/>
          <w:szCs w:val="18"/>
        </w:rPr>
      </w:pPr>
      <w:r w:rsidRPr="00204C5E">
        <w:rPr>
          <w:rFonts w:ascii="Arial" w:hAnsi="Arial" w:cs="Arial"/>
          <w:sz w:val="18"/>
          <w:szCs w:val="18"/>
        </w:rPr>
        <w:t xml:space="preserve"> </w:t>
      </w:r>
      <w:r w:rsidR="004B4A8A" w:rsidRPr="00204C5E">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600381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87B79"/>
    <w:rsid w:val="000956CF"/>
    <w:rsid w:val="000968BA"/>
    <w:rsid w:val="00097545"/>
    <w:rsid w:val="000A492A"/>
    <w:rsid w:val="000A683E"/>
    <w:rsid w:val="000C06C2"/>
    <w:rsid w:val="000D3741"/>
    <w:rsid w:val="000F0603"/>
    <w:rsid w:val="00104267"/>
    <w:rsid w:val="0011595A"/>
    <w:rsid w:val="00116464"/>
    <w:rsid w:val="001220C5"/>
    <w:rsid w:val="00124D6D"/>
    <w:rsid w:val="001267F7"/>
    <w:rsid w:val="00127233"/>
    <w:rsid w:val="00130999"/>
    <w:rsid w:val="0013581E"/>
    <w:rsid w:val="0015026A"/>
    <w:rsid w:val="00152648"/>
    <w:rsid w:val="001536EB"/>
    <w:rsid w:val="00164C3B"/>
    <w:rsid w:val="00164D81"/>
    <w:rsid w:val="0016586F"/>
    <w:rsid w:val="001A1011"/>
    <w:rsid w:val="001A48D0"/>
    <w:rsid w:val="001C3721"/>
    <w:rsid w:val="00204C5E"/>
    <w:rsid w:val="00224984"/>
    <w:rsid w:val="002620D1"/>
    <w:rsid w:val="0026252E"/>
    <w:rsid w:val="002653C1"/>
    <w:rsid w:val="0026611D"/>
    <w:rsid w:val="002732DA"/>
    <w:rsid w:val="002951A0"/>
    <w:rsid w:val="002A3995"/>
    <w:rsid w:val="002A64FD"/>
    <w:rsid w:val="002F0839"/>
    <w:rsid w:val="00301469"/>
    <w:rsid w:val="00306EE1"/>
    <w:rsid w:val="00310B9B"/>
    <w:rsid w:val="00311F86"/>
    <w:rsid w:val="003345B7"/>
    <w:rsid w:val="00334DB0"/>
    <w:rsid w:val="003414DB"/>
    <w:rsid w:val="0035308F"/>
    <w:rsid w:val="00355181"/>
    <w:rsid w:val="0036461C"/>
    <w:rsid w:val="00367884"/>
    <w:rsid w:val="0039439C"/>
    <w:rsid w:val="00394B6B"/>
    <w:rsid w:val="003B69E7"/>
    <w:rsid w:val="003C013B"/>
    <w:rsid w:val="003D0F4D"/>
    <w:rsid w:val="003D39E8"/>
    <w:rsid w:val="003E26F6"/>
    <w:rsid w:val="003F58A1"/>
    <w:rsid w:val="00410DD6"/>
    <w:rsid w:val="004134C9"/>
    <w:rsid w:val="0043138C"/>
    <w:rsid w:val="00462A59"/>
    <w:rsid w:val="00472F67"/>
    <w:rsid w:val="004932B1"/>
    <w:rsid w:val="00493A7A"/>
    <w:rsid w:val="004A1847"/>
    <w:rsid w:val="004A4EC3"/>
    <w:rsid w:val="004B0BB9"/>
    <w:rsid w:val="004B4A8A"/>
    <w:rsid w:val="004B6B0E"/>
    <w:rsid w:val="004C77E2"/>
    <w:rsid w:val="004D25B3"/>
    <w:rsid w:val="004D7977"/>
    <w:rsid w:val="00511405"/>
    <w:rsid w:val="00526E9D"/>
    <w:rsid w:val="00547856"/>
    <w:rsid w:val="00547A74"/>
    <w:rsid w:val="005566E8"/>
    <w:rsid w:val="005678FF"/>
    <w:rsid w:val="005746AB"/>
    <w:rsid w:val="005772DA"/>
    <w:rsid w:val="00585AAB"/>
    <w:rsid w:val="0059357F"/>
    <w:rsid w:val="005A1130"/>
    <w:rsid w:val="005A609A"/>
    <w:rsid w:val="005D65C8"/>
    <w:rsid w:val="00606810"/>
    <w:rsid w:val="006219F8"/>
    <w:rsid w:val="006305B7"/>
    <w:rsid w:val="006305F8"/>
    <w:rsid w:val="006377D3"/>
    <w:rsid w:val="00680591"/>
    <w:rsid w:val="00681FDB"/>
    <w:rsid w:val="006941A1"/>
    <w:rsid w:val="006A3C38"/>
    <w:rsid w:val="006A7DAD"/>
    <w:rsid w:val="006D70BA"/>
    <w:rsid w:val="006E6244"/>
    <w:rsid w:val="007060D2"/>
    <w:rsid w:val="0073799F"/>
    <w:rsid w:val="007566FE"/>
    <w:rsid w:val="00761EEA"/>
    <w:rsid w:val="0076726F"/>
    <w:rsid w:val="0077144B"/>
    <w:rsid w:val="00793403"/>
    <w:rsid w:val="007B7A8A"/>
    <w:rsid w:val="007C0CDF"/>
    <w:rsid w:val="007E2A2F"/>
    <w:rsid w:val="007E3EA0"/>
    <w:rsid w:val="007F2B7C"/>
    <w:rsid w:val="007F5E43"/>
    <w:rsid w:val="00811651"/>
    <w:rsid w:val="00820F5B"/>
    <w:rsid w:val="00833452"/>
    <w:rsid w:val="008614E5"/>
    <w:rsid w:val="008678EB"/>
    <w:rsid w:val="008705E0"/>
    <w:rsid w:val="00875894"/>
    <w:rsid w:val="00881C10"/>
    <w:rsid w:val="008862C2"/>
    <w:rsid w:val="00890411"/>
    <w:rsid w:val="00894E3D"/>
    <w:rsid w:val="00896436"/>
    <w:rsid w:val="008C13B7"/>
    <w:rsid w:val="008D5C70"/>
    <w:rsid w:val="008E5F34"/>
    <w:rsid w:val="009025AF"/>
    <w:rsid w:val="00904F23"/>
    <w:rsid w:val="00906B3C"/>
    <w:rsid w:val="009107E2"/>
    <w:rsid w:val="009164D6"/>
    <w:rsid w:val="009521DF"/>
    <w:rsid w:val="0095342C"/>
    <w:rsid w:val="009659CF"/>
    <w:rsid w:val="00970EB8"/>
    <w:rsid w:val="00991A75"/>
    <w:rsid w:val="009A24AA"/>
    <w:rsid w:val="009D2B62"/>
    <w:rsid w:val="009F33F2"/>
    <w:rsid w:val="009F6C77"/>
    <w:rsid w:val="00A07532"/>
    <w:rsid w:val="00A1085C"/>
    <w:rsid w:val="00A2366D"/>
    <w:rsid w:val="00A269F9"/>
    <w:rsid w:val="00A309E2"/>
    <w:rsid w:val="00A35B0D"/>
    <w:rsid w:val="00A372FE"/>
    <w:rsid w:val="00A452E2"/>
    <w:rsid w:val="00A51462"/>
    <w:rsid w:val="00A62F86"/>
    <w:rsid w:val="00A8066E"/>
    <w:rsid w:val="00A826AA"/>
    <w:rsid w:val="00AA1276"/>
    <w:rsid w:val="00AA4B8A"/>
    <w:rsid w:val="00AA6BF7"/>
    <w:rsid w:val="00AE3A7C"/>
    <w:rsid w:val="00B01ED6"/>
    <w:rsid w:val="00B06D09"/>
    <w:rsid w:val="00B43984"/>
    <w:rsid w:val="00B44EDF"/>
    <w:rsid w:val="00B66A33"/>
    <w:rsid w:val="00B70D20"/>
    <w:rsid w:val="00B771A9"/>
    <w:rsid w:val="00B809BB"/>
    <w:rsid w:val="00B8248A"/>
    <w:rsid w:val="00BB7680"/>
    <w:rsid w:val="00BB7726"/>
    <w:rsid w:val="00BD79B3"/>
    <w:rsid w:val="00BE6294"/>
    <w:rsid w:val="00BF2BE5"/>
    <w:rsid w:val="00C00669"/>
    <w:rsid w:val="00C13992"/>
    <w:rsid w:val="00C2329E"/>
    <w:rsid w:val="00C30461"/>
    <w:rsid w:val="00C367EC"/>
    <w:rsid w:val="00C36C44"/>
    <w:rsid w:val="00C52F85"/>
    <w:rsid w:val="00C754BE"/>
    <w:rsid w:val="00C77E12"/>
    <w:rsid w:val="00C87572"/>
    <w:rsid w:val="00C9405D"/>
    <w:rsid w:val="00CA7B8F"/>
    <w:rsid w:val="00CC1B26"/>
    <w:rsid w:val="00CD284F"/>
    <w:rsid w:val="00CF23AA"/>
    <w:rsid w:val="00D01921"/>
    <w:rsid w:val="00D217EA"/>
    <w:rsid w:val="00D2202C"/>
    <w:rsid w:val="00D752B7"/>
    <w:rsid w:val="00D826DE"/>
    <w:rsid w:val="00DA1854"/>
    <w:rsid w:val="00DA4D95"/>
    <w:rsid w:val="00DB0887"/>
    <w:rsid w:val="00DB1F1E"/>
    <w:rsid w:val="00DF0A95"/>
    <w:rsid w:val="00DF1E43"/>
    <w:rsid w:val="00E11AE7"/>
    <w:rsid w:val="00E20894"/>
    <w:rsid w:val="00E26B7C"/>
    <w:rsid w:val="00E54533"/>
    <w:rsid w:val="00E7503B"/>
    <w:rsid w:val="00E85CB5"/>
    <w:rsid w:val="00E86DEC"/>
    <w:rsid w:val="00EA2F75"/>
    <w:rsid w:val="00EA3003"/>
    <w:rsid w:val="00EB3C91"/>
    <w:rsid w:val="00EB66DA"/>
    <w:rsid w:val="00F0599B"/>
    <w:rsid w:val="00F37695"/>
    <w:rsid w:val="00F605F2"/>
    <w:rsid w:val="00F73EE9"/>
    <w:rsid w:val="00F76AFC"/>
    <w:rsid w:val="00F8319B"/>
    <w:rsid w:val="00FA5516"/>
    <w:rsid w:val="00FD6F73"/>
    <w:rsid w:val="00FF142F"/>
    <w:rsid w:val="00FF3AEC"/>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5E43"/>
    <w:rPr>
      <w:rFonts w:ascii="Geomanist Light" w:hAnsi="Geomanist Light"/>
      <w:lang w:val="es-ES"/>
    </w:rPr>
  </w:style>
  <w:style w:type="paragraph" w:customStyle="1" w:styleId="Appelnotedebasde">
    <w:name w:val="Appel note de bas de..."/>
    <w:basedOn w:val="Normal"/>
    <w:link w:val="Refdenotaalpie"/>
    <w:uiPriority w:val="99"/>
    <w:rsid w:val="007F5E43"/>
    <w:pPr>
      <w:spacing w:line="240" w:lineRule="exact"/>
    </w:pPr>
    <w:rPr>
      <w:vertAlign w:val="superscript"/>
    </w:rPr>
  </w:style>
  <w:style w:type="character" w:styleId="Hipervnculo">
    <w:name w:val="Hyperlink"/>
    <w:basedOn w:val="Fuentedeprrafopredeter"/>
    <w:uiPriority w:val="99"/>
    <w:unhideWhenUsed/>
    <w:rsid w:val="00991A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567680">
      <w:bodyDiv w:val="1"/>
      <w:marLeft w:val="0"/>
      <w:marRight w:val="0"/>
      <w:marTop w:val="0"/>
      <w:marBottom w:val="0"/>
      <w:divBdr>
        <w:top w:val="none" w:sz="0" w:space="0" w:color="auto"/>
        <w:left w:val="none" w:sz="0" w:space="0" w:color="auto"/>
        <w:bottom w:val="none" w:sz="0" w:space="0" w:color="auto"/>
        <w:right w:val="none" w:sz="0" w:space="0" w:color="auto"/>
      </w:divBdr>
      <w:divsChild>
        <w:div w:id="89129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9d85dbaf-23eb-4e57-a637-93dcacc8b1a1"/>
    <ds:schemaRef ds:uri="a6cb9e4b-f1d1-4245-83ec-6cad768d538a"/>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6A5903F-66C2-4EBA-A6A7-E00D06B92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5081</Words>
  <Characters>27950</Characters>
  <Application>Microsoft Office Word</Application>
  <DocSecurity>0</DocSecurity>
  <Lines>232</Lines>
  <Paragraphs>65</Paragraphs>
  <ScaleCrop>false</ScaleCrop>
  <Company/>
  <LinksUpToDate>false</LinksUpToDate>
  <CharactersWithSpaces>32966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2023-05-24T03:01:00Z</dcterms:created>
  <dcterms:modified xsi:type="dcterms:W3CDTF">2023-05-24T03:01:00Z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