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6EC08" w14:textId="77777777" w:rsidR="006B13F8" w:rsidRPr="002F5B77" w:rsidRDefault="006B13F8" w:rsidP="006B13F8">
      <w:pPr>
        <w:pStyle w:val="paragraph"/>
        <w:spacing w:before="0" w:beforeAutospacing="0" w:after="0" w:afterAutospacing="0"/>
        <w:textAlignment w:val="baseline"/>
        <w:rPr>
          <w:rFonts w:ascii="Verdana" w:hAnsi="Verdana" w:cs="Segoe UI"/>
          <w:sz w:val="16"/>
          <w:szCs w:val="18"/>
        </w:rPr>
      </w:pPr>
      <w:bookmarkStart w:id="0" w:name="_Hlk83833480"/>
      <w:r w:rsidRPr="002F5B77">
        <w:rPr>
          <w:rStyle w:val="normaltextrun"/>
          <w:rFonts w:ascii="Verdana" w:hAnsi="Verdana" w:cs="Arial"/>
          <w:b/>
          <w:bCs/>
          <w:color w:val="000000"/>
          <w:sz w:val="22"/>
        </w:rPr>
        <w:t>ASOCIACIÓN DE MUNICIPIOS – Noción – Naturaleza jurídica</w:t>
      </w:r>
    </w:p>
    <w:bookmarkEnd w:id="0"/>
    <w:p w14:paraId="0859D0FE" w14:textId="77777777" w:rsidR="006B13F8" w:rsidRPr="002F5B77" w:rsidRDefault="006B13F8" w:rsidP="006B13F8">
      <w:pPr>
        <w:pStyle w:val="paragraph"/>
        <w:spacing w:before="0" w:beforeAutospacing="0" w:after="0" w:afterAutospacing="0"/>
        <w:textAlignment w:val="baseline"/>
        <w:rPr>
          <w:rFonts w:ascii="Verdana" w:hAnsi="Verdana" w:cs="Segoe UI"/>
          <w:sz w:val="16"/>
          <w:szCs w:val="18"/>
        </w:rPr>
      </w:pPr>
      <w:r w:rsidRPr="002F5B77">
        <w:rPr>
          <w:rStyle w:val="eop"/>
          <w:rFonts w:ascii="Verdana" w:hAnsi="Verdana" w:cs="Arial"/>
          <w:color w:val="000000"/>
          <w:sz w:val="20"/>
          <w:szCs w:val="22"/>
        </w:rPr>
        <w:t> </w:t>
      </w:r>
    </w:p>
    <w:p w14:paraId="78B34AD4" w14:textId="77777777" w:rsidR="006B13F8" w:rsidRPr="002F5B77" w:rsidRDefault="006B13F8" w:rsidP="006B13F8">
      <w:pPr>
        <w:pStyle w:val="paragraph"/>
        <w:spacing w:before="0" w:beforeAutospacing="0" w:after="0" w:afterAutospacing="0"/>
        <w:jc w:val="both"/>
        <w:textAlignment w:val="baseline"/>
        <w:rPr>
          <w:rStyle w:val="eop"/>
          <w:rFonts w:ascii="Verdana" w:hAnsi="Verdana" w:cs="Arial"/>
          <w:color w:val="000000"/>
          <w:sz w:val="20"/>
          <w:szCs w:val="20"/>
        </w:rPr>
      </w:pPr>
      <w:r w:rsidRPr="002F5B77">
        <w:rPr>
          <w:rStyle w:val="normaltextrun"/>
          <w:rFonts w:ascii="Verdana" w:hAnsi="Verdana" w:cs="Arial"/>
          <w:color w:val="000000"/>
          <w:sz w:val="20"/>
          <w:szCs w:val="20"/>
          <w:lang w:val="es-ES"/>
        </w:rPr>
        <w:t>Por su parte, el artículo 148 de la referida Ley 136 de 1994 prescribió que “Dos o más municipios de uno o más departamentos podrán asociarse para organizar conjuntamente la prestación de servicios públicos, la ejecución de obras o el cumplimiento de funciones administrativas, procurando eficacia en los mismos, así como el desarrollo integral de sus territorios y colaborar mutuamente en la ejecución de obras públicas”.</w:t>
      </w:r>
    </w:p>
    <w:p w14:paraId="114AADD1" w14:textId="77777777" w:rsidR="006B13F8" w:rsidRPr="002F5B77" w:rsidRDefault="006B13F8" w:rsidP="006B13F8">
      <w:pPr>
        <w:pStyle w:val="paragraph"/>
        <w:spacing w:before="0" w:beforeAutospacing="0" w:after="0" w:afterAutospacing="0"/>
        <w:jc w:val="both"/>
        <w:textAlignment w:val="baseline"/>
        <w:rPr>
          <w:rFonts w:ascii="Verdana" w:hAnsi="Verdana" w:cs="Segoe UI"/>
          <w:sz w:val="18"/>
          <w:szCs w:val="18"/>
        </w:rPr>
      </w:pPr>
    </w:p>
    <w:p w14:paraId="78FAD5B5" w14:textId="77777777" w:rsidR="006B13F8" w:rsidRPr="002F5B77" w:rsidRDefault="006B13F8" w:rsidP="006B13F8">
      <w:pPr>
        <w:pStyle w:val="paragraph"/>
        <w:shd w:val="clear" w:color="auto" w:fill="FFFFFF"/>
        <w:spacing w:before="0" w:beforeAutospacing="0" w:after="0" w:afterAutospacing="0"/>
        <w:ind w:right="105"/>
        <w:jc w:val="both"/>
        <w:textAlignment w:val="baseline"/>
        <w:rPr>
          <w:rFonts w:ascii="Verdana" w:hAnsi="Verdana" w:cs="Segoe UI"/>
          <w:sz w:val="18"/>
          <w:szCs w:val="18"/>
        </w:rPr>
      </w:pPr>
      <w:r w:rsidRPr="002F5B77">
        <w:rPr>
          <w:rStyle w:val="normaltextrun"/>
          <w:rFonts w:ascii="Verdana" w:hAnsi="Verdana" w:cs="Arial"/>
          <w:color w:val="000000"/>
          <w:sz w:val="20"/>
          <w:szCs w:val="20"/>
        </w:rPr>
        <w:t>Precisamente sobre la base de la naturaleza jurídica de la asociación de municipios, como una entidad de derecho público con personería jurídica y patrimonio propio, se comprende que se les otorgue un tratamiento similar al de los municipios. Lo anterior, en total concordancia con lo considerado por el Consejo de Estado, en Sentencia del 10 de marzo de 2016, Sala de lo Contencioso Administrativo, Sección primera: “Conforme se observa del contenido del artículo 149 de la Ley 136 de 1994, las asociaciones de municipios son entidades administrativas de derecho público, a los que se les confiere los mismos derechos, privilegios, excepciones y prerrogativas otorgadas por la Ley a los municipios”.  </w:t>
      </w:r>
      <w:r w:rsidRPr="002F5B77">
        <w:rPr>
          <w:rStyle w:val="eop"/>
          <w:rFonts w:ascii="Verdana" w:hAnsi="Verdana" w:cs="Arial"/>
          <w:color w:val="000000"/>
          <w:sz w:val="20"/>
          <w:szCs w:val="20"/>
        </w:rPr>
        <w:t> </w:t>
      </w:r>
    </w:p>
    <w:p w14:paraId="49E57617" w14:textId="77777777" w:rsidR="006B13F8" w:rsidRPr="002F5B77" w:rsidRDefault="006B13F8" w:rsidP="006B13F8">
      <w:pPr>
        <w:pStyle w:val="paragraph"/>
        <w:shd w:val="clear" w:color="auto" w:fill="FFFFFF"/>
        <w:spacing w:before="0" w:beforeAutospacing="0" w:after="0" w:afterAutospacing="0"/>
        <w:jc w:val="both"/>
        <w:textAlignment w:val="baseline"/>
        <w:rPr>
          <w:rFonts w:ascii="Verdana" w:hAnsi="Verdana" w:cs="Segoe UI"/>
          <w:sz w:val="18"/>
          <w:szCs w:val="18"/>
        </w:rPr>
      </w:pPr>
      <w:r w:rsidRPr="002F5B77">
        <w:rPr>
          <w:rStyle w:val="eop"/>
          <w:rFonts w:ascii="Verdana" w:hAnsi="Verdana" w:cs="Arial"/>
          <w:color w:val="000000"/>
          <w:sz w:val="20"/>
          <w:szCs w:val="20"/>
        </w:rPr>
        <w:t> </w:t>
      </w:r>
    </w:p>
    <w:p w14:paraId="02F03B95" w14:textId="77777777" w:rsidR="006B13F8" w:rsidRPr="002F5B77" w:rsidRDefault="006B13F8" w:rsidP="006B13F8">
      <w:pPr>
        <w:widowControl w:val="0"/>
        <w:autoSpaceDE w:val="0"/>
        <w:autoSpaceDN w:val="0"/>
        <w:jc w:val="both"/>
        <w:rPr>
          <w:rFonts w:ascii="Verdana" w:eastAsia="Arial MT" w:hAnsi="Verdana" w:cs="Arial"/>
          <w:b/>
          <w:lang w:val="es-ES"/>
        </w:rPr>
      </w:pPr>
      <w:r w:rsidRPr="002F5B77">
        <w:rPr>
          <w:rFonts w:ascii="Verdana" w:eastAsia="Arial MT" w:hAnsi="Verdana" w:cs="Arial"/>
          <w:b/>
          <w:lang w:val="es-ES"/>
        </w:rPr>
        <w:t>ASOCIACIÓN DE MUNICIPIOS – Destinatarios de la Ley 80 – Aplicación de los procesos de selección del EGCAP</w:t>
      </w:r>
    </w:p>
    <w:p w14:paraId="552A73D5" w14:textId="77777777" w:rsidR="006B13F8" w:rsidRPr="002F5B77" w:rsidRDefault="006B13F8" w:rsidP="006B13F8">
      <w:pPr>
        <w:pStyle w:val="NormalWeb"/>
        <w:shd w:val="clear" w:color="auto" w:fill="FFFFFF"/>
        <w:spacing w:before="0" w:beforeAutospacing="0" w:after="120" w:afterAutospacing="0"/>
        <w:jc w:val="both"/>
        <w:textAlignment w:val="baseline"/>
        <w:rPr>
          <w:rFonts w:ascii="Verdana" w:hAnsi="Verdana" w:cs="Arial"/>
          <w:sz w:val="20"/>
          <w:szCs w:val="22"/>
          <w:bdr w:val="none" w:sz="0" w:space="0" w:color="auto" w:frame="1"/>
        </w:rPr>
      </w:pPr>
      <w:r w:rsidRPr="002F5B77">
        <w:rPr>
          <w:rFonts w:ascii="Verdana" w:hAnsi="Verdana" w:cs="Arial"/>
          <w:sz w:val="20"/>
          <w:szCs w:val="22"/>
          <w:bdr w:val="none" w:sz="0" w:space="0" w:color="auto" w:frame="1"/>
        </w:rPr>
        <w:t xml:space="preserve">[…] las asociaciones de municipios son definidas en el numeral 1 del artículo 2 de la Ley 80 de 1993 como entidades estatales, para efectos de la aplicación del EGCAP, por lo que este constituye su régimen contractual. Este argumento se refuerza con el artículo 10 de la Ley 1150 de 2007, que establece: “[…] </w:t>
      </w:r>
      <w:r w:rsidRPr="002F5B77">
        <w:rPr>
          <w:rFonts w:ascii="Verdana" w:hAnsi="Verdana" w:cs="Arial"/>
          <w:sz w:val="20"/>
          <w:szCs w:val="22"/>
        </w:rPr>
        <w:t>Las cooperativas, las asociaciones conformadas por entidades territoriales y en general los entes solidarios de carácter público estarán sometidos a las disposiciones del Estatuto General de Contratación de la Administración Pública</w:t>
      </w:r>
      <w:r w:rsidRPr="002F5B77">
        <w:rPr>
          <w:rStyle w:val="normaltextrun"/>
          <w:rFonts w:ascii="Verdana" w:hAnsi="Verdana" w:cs="Arial"/>
          <w:color w:val="000000"/>
          <w:sz w:val="20"/>
          <w:szCs w:val="22"/>
          <w:lang w:val="es-ES"/>
        </w:rPr>
        <w:t>”.</w:t>
      </w:r>
      <w:r w:rsidRPr="002F5B77">
        <w:rPr>
          <w:rStyle w:val="normaltextrun"/>
          <w:rFonts w:ascii="Verdana" w:hAnsi="Verdana" w:cs="Arial"/>
          <w:color w:val="000000"/>
          <w:sz w:val="18"/>
          <w:szCs w:val="20"/>
          <w:lang w:val="es-ES"/>
        </w:rPr>
        <w:t xml:space="preserve"> </w:t>
      </w:r>
    </w:p>
    <w:p w14:paraId="58AA8EC4" w14:textId="77777777" w:rsidR="006B13F8" w:rsidRPr="002D69F0" w:rsidRDefault="006B13F8" w:rsidP="006B13F8">
      <w:pPr>
        <w:pStyle w:val="NormalWeb"/>
        <w:shd w:val="clear" w:color="auto" w:fill="FFFFFF"/>
        <w:spacing w:before="0" w:beforeAutospacing="0" w:after="120" w:afterAutospacing="0"/>
        <w:jc w:val="both"/>
        <w:textAlignment w:val="baseline"/>
        <w:rPr>
          <w:rFonts w:ascii="Verdana" w:hAnsi="Verdana" w:cs="Arial"/>
          <w:sz w:val="20"/>
          <w:szCs w:val="22"/>
          <w:bdr w:val="none" w:sz="0" w:space="0" w:color="auto" w:frame="1"/>
        </w:rPr>
      </w:pPr>
      <w:r w:rsidRPr="002F5B77">
        <w:rPr>
          <w:rFonts w:ascii="Verdana" w:hAnsi="Verdana" w:cs="Arial"/>
          <w:sz w:val="20"/>
          <w:szCs w:val="22"/>
          <w:bdr w:val="none" w:sz="0" w:space="0" w:color="auto" w:frame="1"/>
        </w:rPr>
        <w:t>Lo anterior implica que los procedimientos para seleccionar a sus contratistas son los establecidos en el mismo Estatuto Contractual, los cuales se encuentran regulados actualmente en el</w:t>
      </w:r>
      <w:r w:rsidRPr="002F5B77">
        <w:rPr>
          <w:rStyle w:val="apple-converted-space"/>
          <w:rFonts w:ascii="Verdana" w:hAnsi="Verdana" w:cs="Arial"/>
          <w:sz w:val="20"/>
          <w:szCs w:val="22"/>
          <w:bdr w:val="none" w:sz="0" w:space="0" w:color="auto" w:frame="1"/>
        </w:rPr>
        <w:t> </w:t>
      </w:r>
      <w:r w:rsidRPr="002F5B77">
        <w:rPr>
          <w:rFonts w:ascii="Verdana" w:hAnsi="Verdana" w:cs="Arial"/>
          <w:sz w:val="20"/>
          <w:szCs w:val="22"/>
          <w:bdr w:val="none" w:sz="0" w:space="0" w:color="auto" w:frame="1"/>
        </w:rPr>
        <w:t>artículo 2 de la Ley 1150 de 2007. Así las cosas, con el fin de satisfacer la finalidad atribuida a las asociaciones de municipios en el artículo 148 de la Ley 136 de 1994, según el cual “dos o más municipios de uno o más departamentos podrán asociarse para organizar conjuntamente la prestación de servicios públicos, la ejecución de obras o el cumplimiento de funciones administrativas, procurando eficiencia y eficacia en los mismos, así como el desarrollo integral de sus territorios y colaborar mutuamente en la ejecución de obras públicas”, es posible concluir que, en ejercicio de su discrecionalidad y en función de la finalidad que deban satisfacer en cada caso, pueden emplear cualquiera de los procedimientos de selección de contratistas establecidos en el artículo 2 de la Ley 1150 de 2007, de acuerdo con las causales y criterios de procedencia de cada una de dichas modalidades de selección.</w:t>
      </w:r>
      <w:r w:rsidRPr="002D69F0">
        <w:rPr>
          <w:rFonts w:ascii="Verdana" w:hAnsi="Verdana" w:cs="Arial"/>
          <w:sz w:val="20"/>
          <w:szCs w:val="22"/>
          <w:bdr w:val="none" w:sz="0" w:space="0" w:color="auto" w:frame="1"/>
        </w:rPr>
        <w:t xml:space="preserve"> </w:t>
      </w:r>
    </w:p>
    <w:p w14:paraId="2233E4A0" w14:textId="77777777" w:rsidR="006B13F8" w:rsidRPr="006026E6" w:rsidRDefault="006B13F8" w:rsidP="006B13F8">
      <w:pPr>
        <w:spacing w:after="0" w:line="240" w:lineRule="auto"/>
        <w:jc w:val="both"/>
        <w:rPr>
          <w:rFonts w:ascii="Verdana" w:eastAsia="Geomanist Light" w:hAnsi="Verdana" w:cs="Arial"/>
          <w:color w:val="000000"/>
        </w:rPr>
      </w:pPr>
      <w:r w:rsidRPr="006026E6">
        <w:rPr>
          <w:rFonts w:ascii="Verdana" w:eastAsia="Geomanist Light" w:hAnsi="Verdana" w:cs="Arial"/>
          <w:b/>
          <w:bCs/>
          <w:color w:val="000000"/>
        </w:rPr>
        <w:t>ASOCIACIÓN DE MUNICIPIOS – Prohibición de contratación directa </w:t>
      </w:r>
      <w:r w:rsidRPr="006026E6">
        <w:rPr>
          <w:rFonts w:ascii="Verdana" w:eastAsia="Geomanist Light" w:hAnsi="Verdana" w:cs="Arial"/>
          <w:color w:val="000000"/>
        </w:rPr>
        <w:t> </w:t>
      </w:r>
    </w:p>
    <w:p w14:paraId="3BD6856C" w14:textId="77777777" w:rsidR="006B13F8" w:rsidRPr="006026E6" w:rsidRDefault="006B13F8" w:rsidP="006B13F8">
      <w:pPr>
        <w:spacing w:after="0" w:line="240" w:lineRule="auto"/>
        <w:jc w:val="both"/>
        <w:rPr>
          <w:rFonts w:ascii="Verdana" w:eastAsia="Geomanist Light" w:hAnsi="Verdana" w:cs="Arial"/>
          <w:color w:val="000000"/>
        </w:rPr>
      </w:pPr>
      <w:r w:rsidRPr="006026E6">
        <w:rPr>
          <w:rFonts w:ascii="Verdana" w:eastAsia="Geomanist Light" w:hAnsi="Verdana" w:cs="Arial"/>
          <w:color w:val="000000"/>
        </w:rPr>
        <w:t> </w:t>
      </w:r>
    </w:p>
    <w:p w14:paraId="2FC95C06" w14:textId="77777777" w:rsidR="006B13F8" w:rsidRDefault="006B13F8" w:rsidP="006B13F8">
      <w:pPr>
        <w:spacing w:after="0" w:line="240" w:lineRule="auto"/>
        <w:jc w:val="both"/>
        <w:rPr>
          <w:rFonts w:ascii="Verdana" w:eastAsia="Times New Roman" w:hAnsi="Verdana" w:cs="Arial"/>
          <w:sz w:val="20"/>
          <w:bdr w:val="none" w:sz="0" w:space="0" w:color="auto" w:frame="1"/>
          <w:lang w:eastAsia="es-CO"/>
        </w:rPr>
      </w:pPr>
      <w:r w:rsidRPr="00831251">
        <w:rPr>
          <w:rFonts w:ascii="Verdana" w:eastAsia="Times New Roman" w:hAnsi="Verdana" w:cs="Arial"/>
          <w:sz w:val="20"/>
          <w:bdr w:val="none" w:sz="0" w:space="0" w:color="auto" w:frame="1"/>
          <w:lang w:eastAsia="es-CO"/>
        </w:rPr>
        <w:t xml:space="preserve">Sin embargo, teniendo en cuenta lo establecido en el artículo 10 de la Ley 1150 de 2007, para la celebración de contratos con entidades estatales, las cooperativas y asociaciones conformadas por entidades territoriales deben someterse a los procesos de selección de </w:t>
      </w:r>
      <w:r w:rsidRPr="00831251">
        <w:rPr>
          <w:rFonts w:ascii="Verdana" w:eastAsia="Times New Roman" w:hAnsi="Verdana" w:cs="Arial"/>
          <w:sz w:val="20"/>
          <w:bdr w:val="none" w:sz="0" w:space="0" w:color="auto" w:frame="1"/>
          <w:lang w:eastAsia="es-CO"/>
        </w:rPr>
        <w:lastRenderedPageBreak/>
        <w:t xml:space="preserve">la Ley 1150 de 2007, en igualdad de condiciones con los particulares. Así las cosas, la finalidad de la norma consiste en establecer que las cooperativas, las asociaciones conformadas por entidades territoriales y en general los entes solidarios de carácter público que pretendan celebrar contratos con las entidades estatales pueden hacerlo siempre y cuando lo realicen a través de procedimientos competitivos, limitándose, en consecuencia, la modalidad de contratación directa. De otro lado, vale la pena destacar como la disposición analizada no efectuó distinciones entre el tipo de asociaciones de entidades territoriales frente a las que aplica esta restricción, por lo que allí también se encuentran incluidas las asociaciones de municipios, que son un tipo de asociaciones de entidades territoriales. </w:t>
      </w:r>
    </w:p>
    <w:p w14:paraId="5ADC1936" w14:textId="77777777" w:rsidR="006B13F8" w:rsidRPr="00831251" w:rsidRDefault="006B13F8" w:rsidP="006B13F8">
      <w:pPr>
        <w:spacing w:after="0" w:line="240" w:lineRule="auto"/>
        <w:jc w:val="both"/>
        <w:rPr>
          <w:rFonts w:ascii="Verdana" w:eastAsia="Times New Roman" w:hAnsi="Verdana" w:cs="Arial"/>
          <w:sz w:val="20"/>
          <w:bdr w:val="none" w:sz="0" w:space="0" w:color="auto" w:frame="1"/>
          <w:lang w:eastAsia="es-CO"/>
        </w:rPr>
      </w:pPr>
    </w:p>
    <w:p w14:paraId="48C00DF3" w14:textId="77777777" w:rsidR="006B13F8" w:rsidRPr="002F5B77" w:rsidRDefault="006B13F8" w:rsidP="006B13F8">
      <w:pPr>
        <w:spacing w:after="0" w:line="240" w:lineRule="auto"/>
        <w:jc w:val="both"/>
        <w:rPr>
          <w:rFonts w:ascii="Verdana" w:eastAsia="Geomanist Light" w:hAnsi="Verdana" w:cs="Arial"/>
          <w:lang w:val="es-ES"/>
        </w:rPr>
      </w:pPr>
      <w:r w:rsidRPr="00831251">
        <w:rPr>
          <w:rFonts w:ascii="Verdana" w:eastAsia="Times New Roman" w:hAnsi="Verdana" w:cs="Arial"/>
          <w:sz w:val="20"/>
          <w:bdr w:val="none" w:sz="0" w:space="0" w:color="auto" w:frame="1"/>
          <w:lang w:eastAsia="es-CO"/>
        </w:rPr>
        <w:t xml:space="preserve">La prohibición de celebrar contratos mediante la modalidad de contratación directa, por parte de asociaciones de entidades territoriales, entre las que se encuentran incluidas las asociaciones de municipios, tiene como fundamento: i) la derogatoria expresa del artículo 32 de la Ley 1150 de 2007, que dejó sin efectos el parágrafo 1 del artículo 2 de la Ley 80 de 1993; y, particularmente, </w:t>
      </w:r>
      <w:proofErr w:type="spellStart"/>
      <w:r w:rsidRPr="00831251">
        <w:rPr>
          <w:rFonts w:ascii="Verdana" w:eastAsia="Times New Roman" w:hAnsi="Verdana" w:cs="Arial"/>
          <w:sz w:val="20"/>
          <w:bdr w:val="none" w:sz="0" w:space="0" w:color="auto" w:frame="1"/>
          <w:lang w:eastAsia="es-CO"/>
        </w:rPr>
        <w:t>ii</w:t>
      </w:r>
      <w:proofErr w:type="spellEnd"/>
      <w:r w:rsidRPr="00831251">
        <w:rPr>
          <w:rFonts w:ascii="Verdana" w:eastAsia="Times New Roman" w:hAnsi="Verdana" w:cs="Arial"/>
          <w:sz w:val="20"/>
          <w:bdr w:val="none" w:sz="0" w:space="0" w:color="auto" w:frame="1"/>
          <w:lang w:eastAsia="es-CO"/>
        </w:rPr>
        <w:t>) el artículo 10 de la ley 1150 de 2007 que establece que la celebración de contratos entre una entidad estatal con, entre otras, asociaciones de entidades territoriales únicamente se pueden realizar mediante un proceso competitivo, pues deben participar “en igualdad de condiciones con los particulares” y no mediante la modalidad de contratación directa.</w:t>
      </w:r>
    </w:p>
    <w:p w14:paraId="0AE3FB3F" w14:textId="77777777" w:rsidR="006B13F8" w:rsidRDefault="006B13F8" w:rsidP="006B13F8">
      <w:pPr>
        <w:spacing w:after="0" w:line="240" w:lineRule="auto"/>
        <w:rPr>
          <w:rFonts w:ascii="Verdana" w:eastAsia="Geomanist Light" w:hAnsi="Verdana" w:cs="Arial"/>
        </w:rPr>
      </w:pPr>
    </w:p>
    <w:p w14:paraId="672A5CCD" w14:textId="77777777" w:rsidR="006B13F8" w:rsidRPr="00945E1D" w:rsidRDefault="006B13F8" w:rsidP="006B13F8">
      <w:pPr>
        <w:spacing w:after="0" w:line="240" w:lineRule="auto"/>
        <w:rPr>
          <w:rFonts w:ascii="Verdana" w:eastAsia="Geomanist Light" w:hAnsi="Verdana" w:cs="Arial"/>
        </w:rPr>
      </w:pPr>
    </w:p>
    <w:p w14:paraId="5F371829" w14:textId="77777777" w:rsidR="006B13F8" w:rsidRDefault="006B13F8" w:rsidP="006B13F8">
      <w:pPr>
        <w:spacing w:after="0" w:line="240" w:lineRule="auto"/>
        <w:rPr>
          <w:rFonts w:ascii="Verdana" w:eastAsia="Geomanist Light" w:hAnsi="Verdana" w:cs="Arial"/>
          <w:lang w:val="es-MX"/>
        </w:rPr>
      </w:pPr>
    </w:p>
    <w:p w14:paraId="5FA6C81E" w14:textId="77777777" w:rsidR="006B13F8" w:rsidRDefault="006B13F8" w:rsidP="006B13F8">
      <w:pPr>
        <w:spacing w:after="0" w:line="240" w:lineRule="auto"/>
        <w:jc w:val="both"/>
        <w:rPr>
          <w:rFonts w:ascii="Verdana" w:eastAsia="Geomanist Light" w:hAnsi="Verdana" w:cs="Arial"/>
          <w:lang w:val="es-MX"/>
        </w:rPr>
      </w:pPr>
    </w:p>
    <w:p w14:paraId="1C57FDF8" w14:textId="77777777" w:rsidR="006B13F8" w:rsidRDefault="006B13F8" w:rsidP="006B13F8">
      <w:pPr>
        <w:spacing w:after="0" w:line="240" w:lineRule="auto"/>
        <w:jc w:val="both"/>
        <w:rPr>
          <w:rFonts w:ascii="Verdana" w:eastAsia="Geomanist Light" w:hAnsi="Verdana" w:cs="Arial"/>
          <w:lang w:val="es-MX"/>
        </w:rPr>
      </w:pPr>
    </w:p>
    <w:p w14:paraId="76B6C91D" w14:textId="77777777" w:rsidR="006B13F8" w:rsidRDefault="006B13F8" w:rsidP="006B13F8">
      <w:pPr>
        <w:spacing w:after="0" w:line="240" w:lineRule="auto"/>
        <w:jc w:val="both"/>
        <w:rPr>
          <w:rFonts w:ascii="Verdana" w:eastAsia="Geomanist Light" w:hAnsi="Verdana" w:cs="Arial"/>
          <w:lang w:val="es-MX"/>
        </w:rPr>
      </w:pPr>
    </w:p>
    <w:p w14:paraId="5D4E5C50" w14:textId="77777777" w:rsidR="006B13F8" w:rsidRDefault="006B13F8" w:rsidP="006B13F8">
      <w:pPr>
        <w:spacing w:after="0" w:line="240" w:lineRule="auto"/>
        <w:jc w:val="both"/>
        <w:rPr>
          <w:rFonts w:ascii="Verdana" w:eastAsia="Geomanist Light" w:hAnsi="Verdana" w:cs="Arial"/>
          <w:lang w:val="es-MX"/>
        </w:rPr>
      </w:pPr>
    </w:p>
    <w:p w14:paraId="22384FCB" w14:textId="77777777" w:rsidR="006B13F8" w:rsidRDefault="006B13F8" w:rsidP="006B13F8">
      <w:pPr>
        <w:spacing w:after="0" w:line="240" w:lineRule="auto"/>
        <w:jc w:val="both"/>
        <w:rPr>
          <w:rFonts w:ascii="Verdana" w:eastAsia="Geomanist Light" w:hAnsi="Verdana" w:cs="Arial"/>
          <w:lang w:val="es-MX"/>
        </w:rPr>
      </w:pPr>
    </w:p>
    <w:p w14:paraId="6559D358" w14:textId="77777777" w:rsidR="006B13F8" w:rsidRDefault="006B13F8" w:rsidP="006B13F8">
      <w:pPr>
        <w:spacing w:after="0" w:line="240" w:lineRule="auto"/>
        <w:jc w:val="both"/>
        <w:rPr>
          <w:rFonts w:ascii="Verdana" w:eastAsia="Geomanist Light" w:hAnsi="Verdana" w:cs="Arial"/>
          <w:lang w:val="es-MX"/>
        </w:rPr>
      </w:pPr>
    </w:p>
    <w:p w14:paraId="420DC470" w14:textId="77777777" w:rsidR="006B13F8" w:rsidRDefault="006B13F8" w:rsidP="006B13F8">
      <w:pPr>
        <w:spacing w:after="0" w:line="240" w:lineRule="auto"/>
        <w:jc w:val="both"/>
        <w:rPr>
          <w:rFonts w:ascii="Verdana" w:eastAsia="Geomanist Light" w:hAnsi="Verdana" w:cs="Arial"/>
          <w:lang w:val="es-MX"/>
        </w:rPr>
      </w:pPr>
    </w:p>
    <w:p w14:paraId="2535E4FD" w14:textId="77777777" w:rsidR="006B13F8" w:rsidRDefault="006B13F8" w:rsidP="006B13F8">
      <w:pPr>
        <w:spacing w:after="0" w:line="240" w:lineRule="auto"/>
        <w:jc w:val="both"/>
        <w:rPr>
          <w:rFonts w:ascii="Verdana" w:eastAsia="Geomanist Light" w:hAnsi="Verdana" w:cs="Arial"/>
          <w:lang w:val="es-MX"/>
        </w:rPr>
      </w:pPr>
    </w:p>
    <w:p w14:paraId="1F9E91C2" w14:textId="77777777" w:rsidR="006B13F8" w:rsidRDefault="006B13F8" w:rsidP="006B13F8">
      <w:pPr>
        <w:spacing w:after="0" w:line="240" w:lineRule="auto"/>
        <w:jc w:val="both"/>
        <w:rPr>
          <w:rFonts w:ascii="Verdana" w:eastAsia="Geomanist Light" w:hAnsi="Verdana" w:cs="Arial"/>
          <w:lang w:val="es-MX"/>
        </w:rPr>
      </w:pPr>
    </w:p>
    <w:p w14:paraId="214A7CC5" w14:textId="77777777" w:rsidR="006B13F8" w:rsidRDefault="006B13F8" w:rsidP="006B13F8">
      <w:pPr>
        <w:spacing w:after="0" w:line="240" w:lineRule="auto"/>
        <w:jc w:val="both"/>
        <w:rPr>
          <w:rFonts w:ascii="Verdana" w:eastAsia="Geomanist Light" w:hAnsi="Verdana" w:cs="Arial"/>
          <w:lang w:val="es-MX"/>
        </w:rPr>
      </w:pPr>
    </w:p>
    <w:p w14:paraId="41A15B5F" w14:textId="77777777" w:rsidR="006B13F8" w:rsidRDefault="006B13F8" w:rsidP="006B13F8">
      <w:pPr>
        <w:spacing w:after="0" w:line="240" w:lineRule="auto"/>
        <w:jc w:val="both"/>
        <w:rPr>
          <w:rFonts w:ascii="Verdana" w:eastAsia="Geomanist Light" w:hAnsi="Verdana" w:cs="Arial"/>
          <w:lang w:val="es-MX"/>
        </w:rPr>
      </w:pPr>
    </w:p>
    <w:p w14:paraId="663B2220" w14:textId="77777777" w:rsidR="006B13F8" w:rsidRDefault="006B13F8" w:rsidP="006B13F8">
      <w:pPr>
        <w:spacing w:after="0" w:line="240" w:lineRule="auto"/>
        <w:jc w:val="both"/>
        <w:rPr>
          <w:rFonts w:ascii="Verdana" w:eastAsia="Geomanist Light" w:hAnsi="Verdana" w:cs="Arial"/>
          <w:lang w:val="es-MX"/>
        </w:rPr>
      </w:pPr>
    </w:p>
    <w:p w14:paraId="059924EF" w14:textId="77777777" w:rsidR="006B13F8" w:rsidRDefault="006B13F8" w:rsidP="006B13F8">
      <w:pPr>
        <w:spacing w:after="0" w:line="240" w:lineRule="auto"/>
        <w:jc w:val="both"/>
        <w:rPr>
          <w:rFonts w:ascii="Verdana" w:eastAsia="Geomanist Light" w:hAnsi="Verdana" w:cs="Arial"/>
          <w:lang w:val="es-MX"/>
        </w:rPr>
      </w:pPr>
    </w:p>
    <w:p w14:paraId="5F2A893D" w14:textId="77777777" w:rsidR="006B13F8" w:rsidRDefault="006B13F8" w:rsidP="006B13F8">
      <w:pPr>
        <w:spacing w:after="0" w:line="240" w:lineRule="auto"/>
        <w:jc w:val="both"/>
        <w:rPr>
          <w:rFonts w:ascii="Verdana" w:eastAsia="Geomanist Light" w:hAnsi="Verdana" w:cs="Arial"/>
          <w:lang w:val="es-MX"/>
        </w:rPr>
      </w:pPr>
    </w:p>
    <w:p w14:paraId="7DDFCDA3" w14:textId="77777777" w:rsidR="006B13F8" w:rsidRDefault="006B13F8" w:rsidP="006B13F8">
      <w:pPr>
        <w:spacing w:after="0" w:line="240" w:lineRule="auto"/>
        <w:jc w:val="both"/>
        <w:rPr>
          <w:rFonts w:ascii="Verdana" w:eastAsia="Geomanist Light" w:hAnsi="Verdana" w:cs="Arial"/>
          <w:lang w:val="es-MX"/>
        </w:rPr>
      </w:pPr>
    </w:p>
    <w:p w14:paraId="0DE0D650" w14:textId="77777777" w:rsidR="006B13F8" w:rsidRDefault="006B13F8" w:rsidP="006B13F8">
      <w:pPr>
        <w:spacing w:after="0" w:line="240" w:lineRule="auto"/>
        <w:jc w:val="both"/>
        <w:rPr>
          <w:rFonts w:ascii="Verdana" w:eastAsia="Geomanist Light" w:hAnsi="Verdana" w:cs="Arial"/>
          <w:lang w:val="es-MX"/>
        </w:rPr>
      </w:pPr>
    </w:p>
    <w:p w14:paraId="058A645A" w14:textId="77777777" w:rsidR="006B13F8" w:rsidRDefault="006B13F8" w:rsidP="006B13F8">
      <w:pPr>
        <w:spacing w:after="0" w:line="240" w:lineRule="auto"/>
        <w:jc w:val="both"/>
        <w:rPr>
          <w:rFonts w:ascii="Verdana" w:eastAsia="Geomanist Light" w:hAnsi="Verdana" w:cs="Arial"/>
          <w:lang w:val="es-MX"/>
        </w:rPr>
      </w:pPr>
    </w:p>
    <w:p w14:paraId="29388765" w14:textId="77777777" w:rsidR="006B13F8" w:rsidRDefault="006B13F8" w:rsidP="006B13F8">
      <w:pPr>
        <w:spacing w:after="0" w:line="240" w:lineRule="auto"/>
        <w:jc w:val="both"/>
        <w:rPr>
          <w:rFonts w:ascii="Verdana" w:eastAsia="Geomanist Light" w:hAnsi="Verdana" w:cs="Arial"/>
          <w:lang w:val="es-MX"/>
        </w:rPr>
      </w:pPr>
    </w:p>
    <w:p w14:paraId="78AEF818" w14:textId="77777777" w:rsidR="006B13F8" w:rsidRDefault="006B13F8" w:rsidP="006B13F8">
      <w:pPr>
        <w:spacing w:after="0" w:line="240" w:lineRule="auto"/>
        <w:jc w:val="both"/>
        <w:rPr>
          <w:rFonts w:ascii="Verdana" w:eastAsia="Geomanist Light" w:hAnsi="Verdana" w:cs="Arial"/>
          <w:lang w:val="es-MX"/>
        </w:rPr>
      </w:pPr>
    </w:p>
    <w:p w14:paraId="6B7098B8" w14:textId="77777777" w:rsidR="006B13F8" w:rsidRDefault="006B13F8" w:rsidP="006B13F8">
      <w:pPr>
        <w:spacing w:after="0" w:line="240" w:lineRule="auto"/>
        <w:jc w:val="both"/>
        <w:rPr>
          <w:rFonts w:ascii="Verdana" w:eastAsia="Geomanist Light" w:hAnsi="Verdana" w:cs="Arial"/>
          <w:lang w:val="es-MX"/>
        </w:rPr>
      </w:pPr>
    </w:p>
    <w:p w14:paraId="599FA92D" w14:textId="77777777" w:rsidR="006B13F8" w:rsidRDefault="006B13F8" w:rsidP="006B13F8">
      <w:pPr>
        <w:spacing w:after="0" w:line="240" w:lineRule="auto"/>
        <w:jc w:val="both"/>
        <w:rPr>
          <w:rFonts w:ascii="Verdana" w:eastAsia="Geomanist Light" w:hAnsi="Verdana" w:cs="Arial"/>
          <w:lang w:val="es-MX"/>
        </w:rPr>
      </w:pPr>
    </w:p>
    <w:p w14:paraId="5D2A178F" w14:textId="75FA68A1" w:rsidR="006B13F8" w:rsidRDefault="006B13F8" w:rsidP="006B13F8">
      <w:pPr>
        <w:spacing w:after="0" w:line="240" w:lineRule="auto"/>
        <w:jc w:val="both"/>
        <w:rPr>
          <w:rFonts w:ascii="Verdana" w:eastAsia="Geomanist Light" w:hAnsi="Verdana" w:cs="Arial"/>
          <w:lang w:val="es-MX"/>
        </w:rPr>
      </w:pPr>
      <w:r w:rsidRPr="00D501F3">
        <w:rPr>
          <w:rFonts w:ascii="Verdana" w:eastAsia="Geomanist Light" w:hAnsi="Verdana" w:cs="Arial"/>
          <w:lang w:val="es-MX"/>
        </w:rPr>
        <w:lastRenderedPageBreak/>
        <w:t xml:space="preserve">Bogotá D.C., </w:t>
      </w:r>
      <w:r w:rsidR="00582F1A">
        <w:rPr>
          <w:rFonts w:ascii="Verdana" w:eastAsia="Geomanist Light" w:hAnsi="Verdana" w:cs="Arial"/>
          <w:lang w:val="es-MX"/>
        </w:rPr>
        <w:t>15 de septiembre de 2025</w:t>
      </w:r>
    </w:p>
    <w:p w14:paraId="0EB42EEC" w14:textId="77777777" w:rsidR="00582F1A" w:rsidRDefault="00582F1A" w:rsidP="006B13F8">
      <w:pPr>
        <w:spacing w:after="0" w:line="240" w:lineRule="auto"/>
        <w:jc w:val="both"/>
        <w:rPr>
          <w:rFonts w:ascii="Verdana" w:eastAsia="Geomanist Light" w:hAnsi="Verdana" w:cs="Arial"/>
          <w:lang w:val="es-MX"/>
        </w:rPr>
      </w:pPr>
    </w:p>
    <w:p w14:paraId="01655575" w14:textId="0E4442A8" w:rsidR="00582F1A" w:rsidRDefault="00582F1A" w:rsidP="00582F1A">
      <w:pPr>
        <w:spacing w:after="0" w:line="240" w:lineRule="auto"/>
        <w:jc w:val="right"/>
        <w:rPr>
          <w:rFonts w:ascii="Verdana" w:eastAsia="Geomanist Light" w:hAnsi="Verdana" w:cs="Arial"/>
          <w:lang w:val="es-MX"/>
        </w:rPr>
      </w:pPr>
    </w:p>
    <w:p w14:paraId="32D6BE96" w14:textId="6BBDD08A" w:rsidR="006B13F8" w:rsidRPr="0087646F" w:rsidRDefault="00CA3375" w:rsidP="006B13F8">
      <w:pPr>
        <w:spacing w:after="0" w:line="240" w:lineRule="auto"/>
        <w:jc w:val="right"/>
        <w:rPr>
          <w:rFonts w:ascii="Verdana" w:eastAsia="Geomanist Light" w:hAnsi="Verdana" w:cs="Arial"/>
          <w:lang w:val="es-MX"/>
        </w:rPr>
      </w:pPr>
      <w:r w:rsidRPr="00582F1A">
        <w:rPr>
          <w:rFonts w:ascii="Verdana" w:eastAsia="Geomanist Light" w:hAnsi="Verdana" w:cs="Arial"/>
          <w:noProof/>
          <w:lang w:val="es-MX"/>
        </w:rPr>
        <w:drawing>
          <wp:anchor distT="0" distB="0" distL="114300" distR="114300" simplePos="0" relativeHeight="251658240" behindDoc="0" locked="0" layoutInCell="1" allowOverlap="1" wp14:anchorId="62501B7D" wp14:editId="22789AF3">
            <wp:simplePos x="0" y="0"/>
            <wp:positionH relativeFrom="column">
              <wp:posOffset>2633980</wp:posOffset>
            </wp:positionH>
            <wp:positionV relativeFrom="paragraph">
              <wp:posOffset>5715</wp:posOffset>
            </wp:positionV>
            <wp:extent cx="2973705" cy="805815"/>
            <wp:effectExtent l="0" t="0" r="0" b="0"/>
            <wp:wrapSquare wrapText="bothSides"/>
            <wp:docPr id="186152747" name="Imagen 1" descr="Interfaz de usuario gráfica,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52747" name="Imagen 1" descr="Interfaz de usuario gráfica, 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2973705" cy="805815"/>
                    </a:xfrm>
                    <a:prstGeom prst="rect">
                      <a:avLst/>
                    </a:prstGeom>
                  </pic:spPr>
                </pic:pic>
              </a:graphicData>
            </a:graphic>
            <wp14:sizeRelH relativeFrom="margin">
              <wp14:pctWidth>0</wp14:pctWidth>
            </wp14:sizeRelH>
            <wp14:sizeRelV relativeFrom="margin">
              <wp14:pctHeight>0</wp14:pctHeight>
            </wp14:sizeRelV>
          </wp:anchor>
        </w:drawing>
      </w:r>
    </w:p>
    <w:p w14:paraId="735A6112" w14:textId="77777777" w:rsidR="006B13F8" w:rsidRPr="0087646F" w:rsidRDefault="006B13F8" w:rsidP="006B13F8">
      <w:pPr>
        <w:spacing w:after="0" w:line="240" w:lineRule="auto"/>
        <w:jc w:val="both"/>
        <w:rPr>
          <w:rFonts w:ascii="Verdana" w:eastAsia="Calibri" w:hAnsi="Verdana" w:cs="Arial"/>
          <w:lang w:val="es-MX"/>
        </w:rPr>
      </w:pPr>
    </w:p>
    <w:p w14:paraId="6D4AF4E9" w14:textId="77777777" w:rsidR="006B13F8" w:rsidRPr="00553BC6" w:rsidRDefault="006B13F8" w:rsidP="006B13F8">
      <w:pPr>
        <w:spacing w:after="0" w:line="240" w:lineRule="auto"/>
        <w:jc w:val="both"/>
        <w:rPr>
          <w:rFonts w:ascii="Verdana" w:eastAsia="Calibri" w:hAnsi="Verdana" w:cs="Arial"/>
          <w:lang w:val="es-ES" w:eastAsia="es-ES"/>
        </w:rPr>
      </w:pPr>
      <w:r w:rsidRPr="00553BC6">
        <w:rPr>
          <w:rFonts w:ascii="Verdana" w:eastAsia="Calibri" w:hAnsi="Verdana" w:cs="Arial"/>
          <w:lang w:val="es-ES" w:eastAsia="es-ES"/>
        </w:rPr>
        <w:t>Señor</w:t>
      </w:r>
    </w:p>
    <w:p w14:paraId="6FA274C5" w14:textId="77777777" w:rsidR="006B13F8" w:rsidRPr="00553BC6" w:rsidRDefault="006B13F8" w:rsidP="006B13F8">
      <w:pPr>
        <w:spacing w:after="0" w:line="240" w:lineRule="auto"/>
        <w:rPr>
          <w:rFonts w:ascii="Verdana" w:eastAsia="Calibri" w:hAnsi="Verdana" w:cs="Arial"/>
          <w:b/>
          <w:lang w:val="es-ES_tradnl" w:eastAsia="es-ES_tradnl"/>
        </w:rPr>
      </w:pPr>
      <w:r>
        <w:rPr>
          <w:rFonts w:ascii="Verdana" w:eastAsia="Calibri" w:hAnsi="Verdana" w:cs="Arial"/>
          <w:b/>
          <w:lang w:val="es-ES_tradnl" w:eastAsia="es-ES_tradnl"/>
        </w:rPr>
        <w:t>Ancizar Leguizamón Silva</w:t>
      </w:r>
    </w:p>
    <w:p w14:paraId="46669996" w14:textId="77777777" w:rsidR="006B13F8" w:rsidRPr="006B13F8" w:rsidRDefault="006B13F8" w:rsidP="006B13F8">
      <w:pPr>
        <w:spacing w:after="0" w:line="240" w:lineRule="auto"/>
        <w:rPr>
          <w:rFonts w:ascii="Verdana" w:hAnsi="Verdana"/>
        </w:rPr>
      </w:pPr>
      <w:r w:rsidRPr="006B13F8">
        <w:rPr>
          <w:rFonts w:ascii="Verdana" w:hAnsi="Verdana"/>
          <w:color w:val="0563C1" w:themeColor="hyperlink"/>
          <w:u w:val="single"/>
        </w:rPr>
        <w:t>juridica@orocue-casanare.gov.co</w:t>
      </w:r>
    </w:p>
    <w:p w14:paraId="691ED83F" w14:textId="77777777" w:rsidR="006B13F8" w:rsidRPr="00553BC6" w:rsidRDefault="006B13F8" w:rsidP="006B13F8">
      <w:pPr>
        <w:spacing w:after="0" w:line="240" w:lineRule="auto"/>
        <w:rPr>
          <w:rFonts w:ascii="Verdana" w:eastAsia="Calibri" w:hAnsi="Verdana" w:cs="Arial"/>
          <w:b/>
          <w:bCs/>
          <w:lang w:val="es-ES" w:eastAsia="es-ES"/>
        </w:rPr>
      </w:pPr>
      <w:r w:rsidRPr="00553BC6">
        <w:rPr>
          <w:rFonts w:ascii="Verdana" w:eastAsia="Calibri" w:hAnsi="Verdana" w:cs="Arial"/>
          <w:lang w:val="es-ES" w:eastAsia="es-ES"/>
        </w:rPr>
        <w:t>Ciudad</w:t>
      </w:r>
    </w:p>
    <w:p w14:paraId="5F5AD109" w14:textId="77777777" w:rsidR="006B13F8" w:rsidRPr="00553BC6" w:rsidRDefault="006B13F8" w:rsidP="006B13F8">
      <w:pPr>
        <w:spacing w:after="0" w:line="240" w:lineRule="auto"/>
        <w:rPr>
          <w:rFonts w:ascii="Verdana" w:eastAsia="Calibri" w:hAnsi="Verdana" w:cs="Arial"/>
          <w:b/>
          <w:bCs/>
          <w:lang w:val="es-ES_tradnl" w:eastAsia="es-ES_tradnl"/>
        </w:rPr>
      </w:pPr>
    </w:p>
    <w:p w14:paraId="3A12328B" w14:textId="77777777" w:rsidR="006B13F8" w:rsidRPr="00553BC6" w:rsidRDefault="006B13F8" w:rsidP="006B13F8">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6B13F8" w:rsidRPr="00553BC6" w14:paraId="1406CE08" w14:textId="77777777" w:rsidTr="00CA720D">
        <w:trPr>
          <w:trHeight w:val="884"/>
        </w:trPr>
        <w:tc>
          <w:tcPr>
            <w:tcW w:w="2689" w:type="dxa"/>
          </w:tcPr>
          <w:p w14:paraId="6729C407" w14:textId="77777777" w:rsidR="006B13F8" w:rsidRPr="00553BC6" w:rsidRDefault="006B13F8" w:rsidP="00CA720D">
            <w:pPr>
              <w:jc w:val="both"/>
              <w:rPr>
                <w:rFonts w:ascii="Verdana" w:eastAsia="Calibri" w:hAnsi="Verdana" w:cs="Arial"/>
                <w:b/>
                <w:bCs/>
                <w:lang w:val="es-ES_tradnl" w:eastAsia="es-ES_tradnl"/>
              </w:rPr>
            </w:pPr>
          </w:p>
        </w:tc>
        <w:tc>
          <w:tcPr>
            <w:tcW w:w="6100" w:type="dxa"/>
          </w:tcPr>
          <w:p w14:paraId="48522FF6" w14:textId="77777777" w:rsidR="006B13F8" w:rsidRPr="00553BC6" w:rsidRDefault="006B13F8" w:rsidP="00CA720D">
            <w:pPr>
              <w:jc w:val="both"/>
              <w:rPr>
                <w:rFonts w:ascii="Verdana" w:eastAsia="Calibri" w:hAnsi="Verdana" w:cs="Arial"/>
                <w:b/>
                <w:bCs/>
                <w:lang w:val="es-ES" w:eastAsia="es-ES"/>
              </w:rPr>
            </w:pPr>
            <w:r w:rsidRPr="00553BC6">
              <w:rPr>
                <w:rFonts w:ascii="Verdana" w:eastAsia="Calibri" w:hAnsi="Verdana" w:cs="Arial"/>
                <w:b/>
                <w:bCs/>
                <w:lang w:val="es-ES" w:eastAsia="es-ES"/>
              </w:rPr>
              <w:t xml:space="preserve">Concepto C- </w:t>
            </w:r>
            <w:r>
              <w:rPr>
                <w:rFonts w:ascii="Verdana" w:eastAsia="Calibri" w:hAnsi="Verdana" w:cs="Arial"/>
                <w:b/>
                <w:bCs/>
                <w:lang w:val="es-ES" w:eastAsia="es-ES"/>
              </w:rPr>
              <w:t>1110</w:t>
            </w:r>
            <w:r w:rsidRPr="00553BC6">
              <w:rPr>
                <w:rFonts w:ascii="Verdana" w:eastAsia="Calibri" w:hAnsi="Verdana" w:cs="Arial"/>
                <w:b/>
                <w:bCs/>
                <w:lang w:val="es-ES" w:eastAsia="es-ES"/>
              </w:rPr>
              <w:t xml:space="preserve"> de 2025</w:t>
            </w:r>
          </w:p>
        </w:tc>
      </w:tr>
      <w:tr w:rsidR="006B13F8" w:rsidRPr="00553BC6" w14:paraId="60659EDC" w14:textId="77777777" w:rsidTr="00CA720D">
        <w:trPr>
          <w:trHeight w:val="884"/>
        </w:trPr>
        <w:tc>
          <w:tcPr>
            <w:tcW w:w="2689" w:type="dxa"/>
          </w:tcPr>
          <w:p w14:paraId="641ABE54" w14:textId="77777777" w:rsidR="006B13F8" w:rsidRPr="00553BC6" w:rsidRDefault="006B13F8" w:rsidP="00CA720D">
            <w:pPr>
              <w:jc w:val="both"/>
              <w:rPr>
                <w:rFonts w:ascii="Verdana" w:eastAsia="Calibri" w:hAnsi="Verdana" w:cs="Arial"/>
                <w:lang w:val="es-ES_tradnl" w:eastAsia="es-ES_tradnl"/>
              </w:rPr>
            </w:pPr>
            <w:r w:rsidRPr="00553BC6">
              <w:rPr>
                <w:rFonts w:ascii="Verdana" w:eastAsia="Calibri" w:hAnsi="Verdana" w:cs="Arial"/>
                <w:b/>
                <w:lang w:val="es-ES_tradnl" w:eastAsia="es-ES_tradnl"/>
              </w:rPr>
              <w:t>Temas:</w:t>
            </w:r>
            <w:r w:rsidRPr="00553BC6">
              <w:rPr>
                <w:rFonts w:ascii="Verdana" w:eastAsia="Calibri" w:hAnsi="Verdana" w:cs="Arial"/>
                <w:lang w:val="es-ES_tradnl" w:eastAsia="es-ES_tradnl"/>
              </w:rPr>
              <w:t xml:space="preserve">                   </w:t>
            </w:r>
          </w:p>
        </w:tc>
        <w:tc>
          <w:tcPr>
            <w:tcW w:w="6100" w:type="dxa"/>
          </w:tcPr>
          <w:p w14:paraId="710489E9" w14:textId="77777777" w:rsidR="006B13F8" w:rsidRPr="002F5B77" w:rsidRDefault="006B13F8" w:rsidP="00CA720D">
            <w:pPr>
              <w:jc w:val="both"/>
              <w:rPr>
                <w:rFonts w:ascii="Verdana" w:eastAsia="Calibri" w:hAnsi="Verdana" w:cs="Arial"/>
                <w:lang w:val="es-ES" w:eastAsia="es-ES"/>
              </w:rPr>
            </w:pPr>
            <w:r w:rsidRPr="002F5B77">
              <w:rPr>
                <w:rFonts w:ascii="Verdana" w:eastAsia="Calibri" w:hAnsi="Verdana" w:cs="Arial"/>
                <w:lang w:val="es-ES" w:eastAsia="es-ES"/>
              </w:rPr>
              <w:t xml:space="preserve">ASOCIACIÓN DE MUNICIPIOS – Noción – Naturaleza jurídica / ASOCIACIÓN DE MUNICIPIOS – Destinatarios de la Ley 80 – Aplicación de los procesos de selección del EGCAP / ASOCIACIÓN DE MUNICIPIOS – Prohibición de contratación directa  </w:t>
            </w:r>
          </w:p>
          <w:p w14:paraId="562B90FA" w14:textId="77777777" w:rsidR="006B13F8" w:rsidRPr="00553BC6" w:rsidRDefault="006B13F8" w:rsidP="00CA720D">
            <w:pPr>
              <w:jc w:val="both"/>
              <w:rPr>
                <w:rFonts w:ascii="Verdana" w:eastAsia="Calibri" w:hAnsi="Verdana" w:cs="Arial"/>
                <w:highlight w:val="yellow"/>
                <w:lang w:val="es-ES" w:eastAsia="es-ES"/>
              </w:rPr>
            </w:pPr>
          </w:p>
        </w:tc>
      </w:tr>
      <w:tr w:rsidR="006B13F8" w:rsidRPr="00553BC6" w14:paraId="25D0E209" w14:textId="77777777" w:rsidTr="00CA720D">
        <w:tc>
          <w:tcPr>
            <w:tcW w:w="2689" w:type="dxa"/>
          </w:tcPr>
          <w:p w14:paraId="358C482C" w14:textId="77777777" w:rsidR="006B13F8" w:rsidRPr="00553BC6" w:rsidRDefault="006B13F8" w:rsidP="00CA720D">
            <w:pPr>
              <w:jc w:val="both"/>
              <w:rPr>
                <w:rFonts w:ascii="Verdana" w:eastAsia="Calibri" w:hAnsi="Verdana" w:cs="Arial"/>
                <w:b/>
                <w:lang w:val="es-ES_tradnl" w:eastAsia="es-ES_tradnl"/>
              </w:rPr>
            </w:pPr>
            <w:r w:rsidRPr="00553BC6">
              <w:rPr>
                <w:rFonts w:ascii="Verdana" w:eastAsia="Calibri" w:hAnsi="Verdana" w:cs="Arial"/>
                <w:b/>
                <w:lang w:val="es-ES_tradnl" w:eastAsia="es-ES_tradnl"/>
              </w:rPr>
              <w:t>Radicación:</w:t>
            </w:r>
            <w:r w:rsidRPr="00553BC6">
              <w:rPr>
                <w:rFonts w:ascii="Verdana" w:eastAsia="Calibri" w:hAnsi="Verdana" w:cs="Arial"/>
                <w:lang w:val="es-ES_tradnl" w:eastAsia="es-ES_tradnl"/>
              </w:rPr>
              <w:t xml:space="preserve">               </w:t>
            </w:r>
          </w:p>
        </w:tc>
        <w:tc>
          <w:tcPr>
            <w:tcW w:w="6100" w:type="dxa"/>
          </w:tcPr>
          <w:p w14:paraId="61B98930" w14:textId="77777777" w:rsidR="006B13F8" w:rsidRPr="00553BC6" w:rsidRDefault="006B13F8" w:rsidP="00CA720D">
            <w:pPr>
              <w:jc w:val="both"/>
              <w:rPr>
                <w:rFonts w:ascii="Verdana" w:eastAsia="Calibri" w:hAnsi="Verdana" w:cs="Arial"/>
                <w:lang w:val="es-ES_tradnl" w:eastAsia="es-ES_tradnl"/>
              </w:rPr>
            </w:pPr>
            <w:r w:rsidRPr="00553BC6">
              <w:rPr>
                <w:rFonts w:ascii="Verdana" w:eastAsia="Calibri" w:hAnsi="Verdana" w:cs="Arial"/>
                <w:lang w:val="es-ES_tradnl" w:eastAsia="es-ES_tradnl"/>
              </w:rPr>
              <w:t xml:space="preserve">Respuesta a consulta con radicado No. </w:t>
            </w:r>
            <w:r w:rsidRPr="001B0CFD">
              <w:rPr>
                <w:rFonts w:ascii="Verdana" w:eastAsia="Calibri" w:hAnsi="Verdana" w:cs="Arial"/>
                <w:lang w:val="es-ES_tradnl" w:eastAsia="es-ES_tradnl"/>
              </w:rPr>
              <w:t>1_2025_08_08_008290</w:t>
            </w:r>
          </w:p>
        </w:tc>
      </w:tr>
    </w:tbl>
    <w:p w14:paraId="597C46D0" w14:textId="77777777" w:rsidR="006B13F8" w:rsidRPr="00553BC6" w:rsidRDefault="006B13F8" w:rsidP="006B13F8">
      <w:pPr>
        <w:spacing w:after="0" w:line="240" w:lineRule="auto"/>
        <w:jc w:val="both"/>
        <w:rPr>
          <w:rFonts w:ascii="Verdana" w:eastAsia="Calibri" w:hAnsi="Verdana" w:cs="Arial"/>
          <w:lang w:val="es-ES_tradnl" w:eastAsia="es-ES_tradnl"/>
        </w:rPr>
      </w:pPr>
    </w:p>
    <w:p w14:paraId="0FB587B6" w14:textId="77777777" w:rsidR="006B13F8" w:rsidRPr="00553BC6" w:rsidRDefault="006B13F8" w:rsidP="006B13F8">
      <w:pPr>
        <w:spacing w:after="0" w:line="240" w:lineRule="auto"/>
        <w:jc w:val="both"/>
        <w:rPr>
          <w:rFonts w:ascii="Verdana" w:eastAsia="Calibri" w:hAnsi="Verdana" w:cs="Arial"/>
          <w:lang w:val="es-ES_tradnl" w:eastAsia="es-ES_tradnl"/>
        </w:rPr>
      </w:pPr>
    </w:p>
    <w:p w14:paraId="4224050B" w14:textId="77777777" w:rsidR="006B13F8" w:rsidRPr="00553BC6" w:rsidRDefault="006B13F8" w:rsidP="006B13F8">
      <w:pPr>
        <w:spacing w:after="0" w:line="276" w:lineRule="auto"/>
        <w:jc w:val="both"/>
        <w:rPr>
          <w:rFonts w:ascii="Verdana" w:eastAsia="Calibri" w:hAnsi="Verdana" w:cs="Arial"/>
          <w:lang w:val="es-ES" w:eastAsia="es-ES"/>
        </w:rPr>
      </w:pPr>
      <w:r w:rsidRPr="00553BC6">
        <w:rPr>
          <w:rFonts w:ascii="Verdana" w:eastAsia="Calibri" w:hAnsi="Verdana" w:cs="Arial"/>
          <w:lang w:val="es-ES" w:eastAsia="es-ES"/>
        </w:rPr>
        <w:t>Estimad</w:t>
      </w:r>
      <w:r>
        <w:rPr>
          <w:rFonts w:ascii="Verdana" w:eastAsia="Calibri" w:hAnsi="Verdana" w:cs="Arial"/>
          <w:lang w:val="es-ES" w:eastAsia="es-ES"/>
        </w:rPr>
        <w:t>o</w:t>
      </w:r>
      <w:r w:rsidRPr="00553BC6">
        <w:rPr>
          <w:rFonts w:ascii="Verdana" w:eastAsia="Calibri" w:hAnsi="Verdana" w:cs="Arial"/>
          <w:lang w:val="es-ES" w:eastAsia="es-ES"/>
        </w:rPr>
        <w:t xml:space="preserve"> señor </w:t>
      </w:r>
      <w:r>
        <w:rPr>
          <w:rFonts w:ascii="Verdana" w:eastAsia="Calibri" w:hAnsi="Verdana" w:cs="Arial"/>
          <w:lang w:val="es-ES" w:eastAsia="es-ES"/>
        </w:rPr>
        <w:t>Leguizamón</w:t>
      </w:r>
      <w:r w:rsidRPr="00553BC6">
        <w:rPr>
          <w:rFonts w:ascii="Verdana" w:eastAsia="Calibri" w:hAnsi="Verdana" w:cs="Arial"/>
          <w:lang w:val="es-ES" w:eastAsia="es-ES"/>
        </w:rPr>
        <w:t xml:space="preserve">: </w:t>
      </w:r>
    </w:p>
    <w:p w14:paraId="7AE24C1D" w14:textId="77777777" w:rsidR="006B13F8" w:rsidRPr="00553BC6" w:rsidRDefault="006B13F8" w:rsidP="006B13F8">
      <w:pPr>
        <w:tabs>
          <w:tab w:val="left" w:pos="3768"/>
        </w:tabs>
        <w:spacing w:after="0" w:line="276" w:lineRule="auto"/>
        <w:jc w:val="both"/>
        <w:rPr>
          <w:rFonts w:ascii="Verdana" w:eastAsia="Calibri" w:hAnsi="Verdana" w:cs="Arial"/>
          <w:lang w:val="es-ES" w:eastAsia="es-ES"/>
        </w:rPr>
      </w:pPr>
      <w:r w:rsidRPr="00553BC6">
        <w:rPr>
          <w:rFonts w:ascii="Verdana" w:eastAsia="Calibri" w:hAnsi="Verdana" w:cs="Arial"/>
          <w:lang w:val="es-ES" w:eastAsia="es-ES"/>
        </w:rPr>
        <w:tab/>
      </w:r>
    </w:p>
    <w:p w14:paraId="568EDB8F" w14:textId="77777777" w:rsidR="006B13F8" w:rsidRPr="00553BC6" w:rsidRDefault="006B13F8" w:rsidP="006B13F8">
      <w:pPr>
        <w:spacing w:after="0" w:line="276" w:lineRule="auto"/>
        <w:jc w:val="both"/>
        <w:rPr>
          <w:rFonts w:ascii="Verdana" w:eastAsia="Calibri" w:hAnsi="Verdana" w:cs="Arial"/>
          <w:lang w:val="es-ES" w:eastAsia="es-ES"/>
        </w:rPr>
      </w:pPr>
      <w:r w:rsidRPr="00553BC6">
        <w:rPr>
          <w:rFonts w:ascii="Verdana" w:eastAsia="Calibri" w:hAnsi="Verdana" w:cs="Arial"/>
          <w:lang w:val="es-ES" w:eastAsia="es-ES"/>
        </w:rPr>
        <w:t>En ejercicio de la competencia otorgada por los artículos 3, numeral 5º, y 11, numeral 8º, del Decreto Ley 4170 de 2011,</w:t>
      </w:r>
      <w:r w:rsidRPr="00553BC6">
        <w:rPr>
          <w:rFonts w:ascii="Verdana" w:eastAsia="Arial MT" w:hAnsi="Verdana" w:cs="Arial MT"/>
          <w:lang w:val="es-ES" w:eastAsia="es-ES"/>
        </w:rPr>
        <w:t xml:space="preserve"> </w:t>
      </w:r>
      <w:r w:rsidRPr="00553BC6">
        <w:rPr>
          <w:rFonts w:ascii="Verdana" w:hAnsi="Verdana" w:cs="Arial"/>
        </w:rPr>
        <w:t xml:space="preserve">así como lo establecido en el artículo 4 de la Resolución 1707 de 2018 expedida por esta Entidad, </w:t>
      </w:r>
      <w:r w:rsidRPr="00553BC6">
        <w:rPr>
          <w:rFonts w:ascii="Verdana" w:eastAsia="Calibri" w:hAnsi="Verdana" w:cs="Arial"/>
          <w:lang w:val="es-ES" w:eastAsia="es-ES"/>
        </w:rPr>
        <w:t xml:space="preserve">la Agencia Nacional de Contratación Pública – Colombia Compra Eficiente– responde su solicitud de consulta de fecha </w:t>
      </w:r>
      <w:r>
        <w:rPr>
          <w:rFonts w:ascii="Verdana" w:eastAsia="Calibri" w:hAnsi="Verdana" w:cs="Arial"/>
          <w:lang w:val="es-ES" w:eastAsia="es-ES"/>
        </w:rPr>
        <w:t>8</w:t>
      </w:r>
      <w:r w:rsidRPr="00553BC6">
        <w:rPr>
          <w:rFonts w:ascii="Verdana" w:eastAsia="Calibri" w:hAnsi="Verdana" w:cs="Arial"/>
          <w:lang w:val="es-ES" w:eastAsia="es-ES"/>
        </w:rPr>
        <w:t xml:space="preserve"> de </w:t>
      </w:r>
      <w:r>
        <w:rPr>
          <w:rFonts w:ascii="Verdana" w:eastAsia="Calibri" w:hAnsi="Verdana" w:cs="Arial"/>
          <w:lang w:val="es-ES" w:eastAsia="es-ES"/>
        </w:rPr>
        <w:t>agosto</w:t>
      </w:r>
      <w:r w:rsidRPr="00553BC6">
        <w:rPr>
          <w:rFonts w:ascii="Verdana" w:eastAsia="Calibri" w:hAnsi="Verdana" w:cs="Arial"/>
          <w:lang w:val="es-ES" w:eastAsia="es-ES"/>
        </w:rPr>
        <w:t xml:space="preserve"> de 2025,</w:t>
      </w:r>
      <w:r>
        <w:rPr>
          <w:rFonts w:ascii="Verdana" w:eastAsia="Calibri" w:hAnsi="Verdana" w:cs="Arial"/>
          <w:lang w:val="es-ES" w:eastAsia="es-ES"/>
        </w:rPr>
        <w:t xml:space="preserve"> remitida por el Departamento Administrativo de la Función Pública con oficio remisorio No. </w:t>
      </w:r>
      <w:r w:rsidRPr="008B2EAE">
        <w:rPr>
          <w:rFonts w:ascii="Verdana" w:eastAsia="Calibri" w:hAnsi="Verdana" w:cs="Arial"/>
          <w:lang w:val="es-ES" w:eastAsia="es-ES"/>
        </w:rPr>
        <w:t>20252040379791</w:t>
      </w:r>
      <w:r>
        <w:rPr>
          <w:rFonts w:ascii="Verdana" w:eastAsia="Calibri" w:hAnsi="Verdana" w:cs="Arial"/>
          <w:lang w:val="es-ES" w:eastAsia="es-ES"/>
        </w:rPr>
        <w:t xml:space="preserve"> </w:t>
      </w:r>
      <w:r w:rsidRPr="00553BC6">
        <w:rPr>
          <w:rFonts w:ascii="Verdana" w:eastAsia="Calibri" w:hAnsi="Verdana" w:cs="Arial"/>
          <w:lang w:val="es-ES" w:eastAsia="es-ES"/>
        </w:rPr>
        <w:t xml:space="preserve">en la cual manifiesta lo siguiente: </w:t>
      </w:r>
    </w:p>
    <w:p w14:paraId="4189F3DC" w14:textId="77777777" w:rsidR="006B13F8" w:rsidRPr="00553BC6" w:rsidRDefault="006B13F8" w:rsidP="006B13F8">
      <w:pPr>
        <w:tabs>
          <w:tab w:val="left" w:pos="142"/>
          <w:tab w:val="left" w:pos="284"/>
        </w:tabs>
        <w:spacing w:line="276" w:lineRule="auto"/>
        <w:contextualSpacing/>
        <w:jc w:val="both"/>
        <w:rPr>
          <w:rFonts w:ascii="Verdana" w:eastAsia="Century Gothic" w:hAnsi="Verdana" w:cs="Century Gothic"/>
          <w:b/>
          <w:bCs/>
          <w:lang w:val="es-ES"/>
        </w:rPr>
      </w:pPr>
    </w:p>
    <w:p w14:paraId="645D22E0" w14:textId="77777777" w:rsidR="006B13F8" w:rsidRPr="00A43F00" w:rsidRDefault="006B13F8" w:rsidP="006B13F8">
      <w:pPr>
        <w:spacing w:after="0" w:line="240" w:lineRule="auto"/>
        <w:ind w:left="709" w:right="709"/>
        <w:jc w:val="both"/>
        <w:rPr>
          <w:rFonts w:ascii="Verdana" w:eastAsia="Century Gothic" w:hAnsi="Verdana" w:cs="Century Gothic"/>
          <w:sz w:val="20"/>
          <w:szCs w:val="20"/>
          <w:lang w:val="es-ES"/>
        </w:rPr>
      </w:pPr>
      <w:bookmarkStart w:id="1" w:name="_Hlk95313578"/>
      <w:r w:rsidRPr="00553BC6">
        <w:rPr>
          <w:rFonts w:ascii="Verdana" w:eastAsia="Century Gothic" w:hAnsi="Verdana" w:cs="Century Gothic"/>
          <w:sz w:val="20"/>
          <w:szCs w:val="20"/>
          <w:lang w:val="es-ES"/>
        </w:rPr>
        <w:t>“</w:t>
      </w:r>
      <w:r w:rsidRPr="00A43F00">
        <w:rPr>
          <w:rFonts w:ascii="Verdana" w:eastAsia="Century Gothic" w:hAnsi="Verdana" w:cs="Century Gothic"/>
          <w:sz w:val="20"/>
          <w:szCs w:val="20"/>
          <w:lang w:val="es-ES"/>
        </w:rPr>
        <w:t>1.</w:t>
      </w:r>
      <w:r w:rsidRPr="00A43F00">
        <w:rPr>
          <w:rFonts w:ascii="Verdana" w:eastAsia="Century Gothic" w:hAnsi="Verdana" w:cs="Century Gothic"/>
          <w:sz w:val="20"/>
          <w:szCs w:val="20"/>
          <w:lang w:val="es-ES"/>
        </w:rPr>
        <w:tab/>
        <w:t>¿Las entidades territoriales de sexta categoría como es el municipio de Orocué Casanare, pueden</w:t>
      </w:r>
      <w:r>
        <w:rPr>
          <w:rFonts w:ascii="Verdana" w:eastAsia="Century Gothic" w:hAnsi="Verdana" w:cs="Century Gothic"/>
          <w:sz w:val="20"/>
          <w:szCs w:val="20"/>
          <w:lang w:val="es-ES"/>
        </w:rPr>
        <w:t xml:space="preserve"> </w:t>
      </w:r>
      <w:r w:rsidRPr="00A43F00">
        <w:rPr>
          <w:rFonts w:ascii="Verdana" w:eastAsia="Century Gothic" w:hAnsi="Verdana" w:cs="Century Gothic"/>
          <w:sz w:val="20"/>
          <w:szCs w:val="20"/>
          <w:lang w:val="es-ES"/>
        </w:rPr>
        <w:t>suscribir contratos de manera directa con las asociaciones de municipios como la denominada</w:t>
      </w:r>
      <w:r>
        <w:rPr>
          <w:rFonts w:ascii="Verdana" w:eastAsia="Century Gothic" w:hAnsi="Verdana" w:cs="Century Gothic"/>
          <w:sz w:val="20"/>
          <w:szCs w:val="20"/>
          <w:lang w:val="es-ES"/>
        </w:rPr>
        <w:t xml:space="preserve"> </w:t>
      </w:r>
      <w:r w:rsidRPr="00A43F00">
        <w:rPr>
          <w:rFonts w:ascii="Verdana" w:eastAsia="Century Gothic" w:hAnsi="Verdana" w:cs="Century Gothic"/>
          <w:sz w:val="20"/>
          <w:szCs w:val="20"/>
          <w:lang w:val="es-ES"/>
        </w:rPr>
        <w:t xml:space="preserve">ASOCIACIÓN SUPRADEPARTAMENTAL DE MUNICIPIOS PARA EL PROGRSO - ASOSUPRO? </w:t>
      </w:r>
    </w:p>
    <w:p w14:paraId="640FD10D" w14:textId="77777777" w:rsidR="006B13F8" w:rsidRPr="00553BC6" w:rsidRDefault="006B13F8" w:rsidP="006B13F8">
      <w:pPr>
        <w:spacing w:after="0" w:line="240" w:lineRule="auto"/>
        <w:ind w:left="709" w:right="709"/>
        <w:jc w:val="both"/>
        <w:rPr>
          <w:rFonts w:ascii="Verdana" w:hAnsi="Verdana" w:cs="Arial"/>
          <w:sz w:val="20"/>
          <w:szCs w:val="20"/>
          <w:shd w:val="clear" w:color="auto" w:fill="FFFFFF"/>
          <w:lang w:val="es-MX"/>
        </w:rPr>
      </w:pPr>
      <w:r w:rsidRPr="00A43F00">
        <w:rPr>
          <w:rFonts w:ascii="Verdana" w:eastAsia="Century Gothic" w:hAnsi="Verdana" w:cs="Century Gothic"/>
          <w:sz w:val="20"/>
          <w:szCs w:val="20"/>
          <w:lang w:val="es-ES"/>
        </w:rPr>
        <w:t>2.</w:t>
      </w:r>
      <w:r w:rsidRPr="00A43F00">
        <w:rPr>
          <w:rFonts w:ascii="Verdana" w:eastAsia="Century Gothic" w:hAnsi="Verdana" w:cs="Century Gothic"/>
          <w:sz w:val="20"/>
          <w:szCs w:val="20"/>
          <w:lang w:val="es-ES"/>
        </w:rPr>
        <w:tab/>
        <w:t>De ser afirmativa la respuesta, con todo respeto le solicito, se nos explique en qué casos, ¿podrá</w:t>
      </w:r>
      <w:r>
        <w:rPr>
          <w:rFonts w:ascii="Verdana" w:eastAsia="Century Gothic" w:hAnsi="Verdana" w:cs="Century Gothic"/>
          <w:sz w:val="20"/>
          <w:szCs w:val="20"/>
          <w:lang w:val="es-ES"/>
        </w:rPr>
        <w:t xml:space="preserve"> </w:t>
      </w:r>
      <w:r w:rsidRPr="00A43F00">
        <w:rPr>
          <w:rFonts w:ascii="Verdana" w:eastAsia="Century Gothic" w:hAnsi="Verdana" w:cs="Century Gothic"/>
          <w:sz w:val="20"/>
          <w:szCs w:val="20"/>
          <w:lang w:val="es-ES"/>
        </w:rPr>
        <w:t xml:space="preserve">negarse la contratación directa con la </w:t>
      </w:r>
      <w:r w:rsidRPr="00A43F00">
        <w:rPr>
          <w:rFonts w:ascii="Verdana" w:eastAsia="Century Gothic" w:hAnsi="Verdana" w:cs="Century Gothic"/>
          <w:sz w:val="20"/>
          <w:szCs w:val="20"/>
          <w:lang w:val="es-ES"/>
        </w:rPr>
        <w:lastRenderedPageBreak/>
        <w:t>denominada ASOCIACIÓN SUPRADEPARTAMENTAL DE</w:t>
      </w:r>
      <w:r>
        <w:rPr>
          <w:rFonts w:ascii="Verdana" w:eastAsia="Century Gothic" w:hAnsi="Verdana" w:cs="Century Gothic"/>
          <w:sz w:val="20"/>
          <w:szCs w:val="20"/>
          <w:lang w:val="es-ES"/>
        </w:rPr>
        <w:t xml:space="preserve"> </w:t>
      </w:r>
      <w:r w:rsidRPr="00A43F00">
        <w:rPr>
          <w:rFonts w:ascii="Verdana" w:eastAsia="Century Gothic" w:hAnsi="Verdana" w:cs="Century Gothic"/>
          <w:sz w:val="20"/>
          <w:szCs w:val="20"/>
          <w:lang w:val="es-ES"/>
        </w:rPr>
        <w:t>MUNICPIOS PARA EL PROGRESO – ASOSUPRO</w:t>
      </w:r>
      <w:r>
        <w:rPr>
          <w:rFonts w:ascii="Verdana" w:eastAsia="Century Gothic" w:hAnsi="Verdana" w:cs="Century Gothic"/>
          <w:sz w:val="20"/>
          <w:szCs w:val="20"/>
          <w:lang w:val="es-ES"/>
        </w:rPr>
        <w:t>?</w:t>
      </w:r>
      <w:r w:rsidRPr="00553BC6">
        <w:rPr>
          <w:rFonts w:ascii="Verdana" w:eastAsia="Century Gothic" w:hAnsi="Verdana" w:cs="Century Gothic"/>
          <w:sz w:val="20"/>
          <w:szCs w:val="20"/>
          <w:lang w:val="es-ES"/>
        </w:rPr>
        <w:t>”</w:t>
      </w:r>
      <w:bookmarkEnd w:id="1"/>
      <w:r w:rsidRPr="00553BC6">
        <w:rPr>
          <w:rFonts w:ascii="Verdana" w:eastAsia="Century Gothic" w:hAnsi="Verdana" w:cs="Century Gothic"/>
          <w:sz w:val="20"/>
          <w:szCs w:val="20"/>
          <w:lang w:val="es-ES"/>
        </w:rPr>
        <w:t>.</w:t>
      </w:r>
    </w:p>
    <w:p w14:paraId="4DD3CC38" w14:textId="77777777" w:rsidR="006B13F8" w:rsidRPr="00553BC6" w:rsidRDefault="006B13F8" w:rsidP="006B13F8">
      <w:pPr>
        <w:tabs>
          <w:tab w:val="left" w:pos="142"/>
          <w:tab w:val="left" w:pos="284"/>
        </w:tabs>
        <w:spacing w:line="276" w:lineRule="auto"/>
        <w:contextualSpacing/>
        <w:jc w:val="both"/>
        <w:rPr>
          <w:rFonts w:ascii="Verdana" w:eastAsia="Century Gothic" w:hAnsi="Verdana" w:cs="Century Gothic"/>
          <w:b/>
          <w:bCs/>
          <w:lang w:val="es-ES"/>
        </w:rPr>
      </w:pPr>
    </w:p>
    <w:p w14:paraId="514E5AC8" w14:textId="77777777" w:rsidR="006B13F8" w:rsidRPr="00553BC6" w:rsidRDefault="006B13F8" w:rsidP="006B13F8">
      <w:pPr>
        <w:spacing w:after="120" w:line="276" w:lineRule="auto"/>
        <w:ind w:firstLine="709"/>
        <w:jc w:val="both"/>
        <w:rPr>
          <w:rFonts w:ascii="Verdana" w:eastAsia="Calibri" w:hAnsi="Verdana" w:cs="Arial"/>
          <w:szCs w:val="24"/>
          <w:lang w:val="es-ES_tradnl" w:eastAsia="es-ES_tradnl"/>
        </w:rPr>
      </w:pPr>
      <w:r w:rsidRPr="00553BC6">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53BC6">
        <w:rPr>
          <w:rFonts w:ascii="Verdana" w:eastAsia="Calibri" w:hAnsi="Verdana" w:cs="Arial"/>
          <w:szCs w:val="24"/>
          <w:lang w:val="es-ES_tradnl" w:eastAsia="es-ES_tradnl"/>
        </w:rPr>
        <w:tab/>
      </w:r>
    </w:p>
    <w:p w14:paraId="45FD8DB6" w14:textId="77777777" w:rsidR="006B13F8" w:rsidRPr="00553BC6" w:rsidRDefault="006B13F8" w:rsidP="006B13F8">
      <w:pPr>
        <w:spacing w:after="0" w:line="276" w:lineRule="auto"/>
        <w:ind w:firstLine="709"/>
        <w:jc w:val="both"/>
        <w:rPr>
          <w:rFonts w:ascii="Verdana" w:eastAsia="Calibri" w:hAnsi="Verdana" w:cs="Arial"/>
          <w:lang w:val="es-ES" w:eastAsia="es-ES"/>
        </w:rPr>
      </w:pPr>
      <w:r w:rsidRPr="00553BC6">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2B325DE7" w14:textId="77777777" w:rsidR="006B13F8" w:rsidRPr="00553BC6" w:rsidRDefault="006B13F8" w:rsidP="006B13F8">
      <w:pPr>
        <w:spacing w:after="0" w:line="276" w:lineRule="auto"/>
        <w:ind w:firstLine="709"/>
        <w:jc w:val="both"/>
        <w:rPr>
          <w:rFonts w:ascii="Verdana" w:eastAsia="Calibri" w:hAnsi="Verdana" w:cs="Arial"/>
          <w:lang w:val="es-ES" w:eastAsia="es-ES"/>
        </w:rPr>
      </w:pPr>
    </w:p>
    <w:p w14:paraId="46493824" w14:textId="77777777" w:rsidR="006B13F8" w:rsidRPr="00553BC6" w:rsidRDefault="006B13F8" w:rsidP="006B13F8">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553BC6">
        <w:rPr>
          <w:rFonts w:ascii="Verdana" w:eastAsia="Century Gothic" w:hAnsi="Verdana" w:cs="Century Gothic"/>
          <w:b/>
          <w:bCs/>
          <w:lang w:val="es-ES"/>
        </w:rPr>
        <w:t>Problema planteado:</w:t>
      </w:r>
    </w:p>
    <w:p w14:paraId="01FB9306" w14:textId="77777777" w:rsidR="006B13F8" w:rsidRPr="00553BC6" w:rsidRDefault="006B13F8" w:rsidP="006B13F8">
      <w:pPr>
        <w:tabs>
          <w:tab w:val="left" w:pos="426"/>
        </w:tabs>
        <w:spacing w:after="0" w:line="276" w:lineRule="auto"/>
        <w:jc w:val="both"/>
        <w:rPr>
          <w:rFonts w:ascii="Verdana" w:eastAsia="Century Gothic" w:hAnsi="Verdana" w:cs="Century Gothic"/>
          <w:lang w:val="es-ES"/>
        </w:rPr>
      </w:pPr>
    </w:p>
    <w:p w14:paraId="2B440DC5" w14:textId="77777777" w:rsidR="006B13F8" w:rsidRPr="00553BC6" w:rsidRDefault="006B13F8" w:rsidP="006B13F8">
      <w:pPr>
        <w:spacing w:after="0" w:line="276" w:lineRule="auto"/>
        <w:jc w:val="both"/>
        <w:rPr>
          <w:rFonts w:ascii="Verdana" w:eastAsia="Century Gothic" w:hAnsi="Verdana" w:cs="Century Gothic"/>
        </w:rPr>
      </w:pPr>
      <w:r w:rsidRPr="00553BC6">
        <w:rPr>
          <w:rFonts w:ascii="Verdana" w:eastAsia="Century Gothic" w:hAnsi="Verdana" w:cs="Century Gothic"/>
        </w:rPr>
        <w:t>De acuerdo con el contenido de su solicitud, esta Agencia resolverá el siguiente problema jurídico: ¿</w:t>
      </w:r>
      <w:r>
        <w:rPr>
          <w:rFonts w:ascii="Verdana" w:eastAsia="Century Gothic" w:hAnsi="Verdana" w:cs="Century Gothic"/>
        </w:rPr>
        <w:t>Una entidad territorial de sexta categoría puede contratar directamente con una asociación de municipios</w:t>
      </w:r>
      <w:r w:rsidRPr="00553BC6">
        <w:rPr>
          <w:rFonts w:ascii="Verdana" w:eastAsia="Century Gothic" w:hAnsi="Verdana" w:cs="Century Gothic"/>
        </w:rPr>
        <w:t>?</w:t>
      </w:r>
    </w:p>
    <w:p w14:paraId="6CD10812" w14:textId="77777777" w:rsidR="006B13F8" w:rsidRPr="00553BC6" w:rsidRDefault="006B13F8" w:rsidP="006B13F8">
      <w:pPr>
        <w:spacing w:after="0" w:line="276" w:lineRule="auto"/>
        <w:jc w:val="both"/>
        <w:rPr>
          <w:rFonts w:ascii="Verdana" w:eastAsia="Calibri" w:hAnsi="Verdana" w:cs="Arial"/>
          <w:lang w:val="es-ES"/>
        </w:rPr>
      </w:pPr>
    </w:p>
    <w:p w14:paraId="2A2F92A7" w14:textId="77777777" w:rsidR="006B13F8" w:rsidRPr="00553BC6" w:rsidRDefault="006B13F8" w:rsidP="006B13F8">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553BC6">
        <w:rPr>
          <w:rFonts w:ascii="Verdana" w:eastAsia="Century Gothic" w:hAnsi="Verdana" w:cs="Century Gothic"/>
          <w:b/>
          <w:bCs/>
          <w:lang w:val="es-ES"/>
        </w:rPr>
        <w:t>Respuesta:</w:t>
      </w:r>
    </w:p>
    <w:p w14:paraId="7E19CABC" w14:textId="77777777" w:rsidR="006B13F8" w:rsidRPr="00553BC6" w:rsidRDefault="006B13F8" w:rsidP="006B13F8">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B13F8" w:rsidRPr="00553BC6" w14:paraId="2B54DC10" w14:textId="77777777" w:rsidTr="00CA720D">
        <w:tc>
          <w:tcPr>
            <w:tcW w:w="8828" w:type="dxa"/>
          </w:tcPr>
          <w:p w14:paraId="3E8385BC" w14:textId="77777777" w:rsidR="006B13F8" w:rsidRDefault="006B13F8" w:rsidP="00CA720D">
            <w:pPr>
              <w:shd w:val="clear" w:color="auto" w:fill="FFFFFF"/>
              <w:spacing w:before="120" w:after="120" w:line="276" w:lineRule="auto"/>
              <w:jc w:val="both"/>
              <w:textAlignment w:val="baseline"/>
              <w:rPr>
                <w:rFonts w:ascii="Verdana" w:hAnsi="Verdana" w:cs="Arial"/>
                <w:color w:val="000000"/>
                <w:bdr w:val="none" w:sz="0" w:space="0" w:color="auto" w:frame="1"/>
                <w:lang w:eastAsia="es-MX"/>
              </w:rPr>
            </w:pPr>
            <w:r>
              <w:rPr>
                <w:rFonts w:ascii="Verdana" w:hAnsi="Verdana" w:cs="Arial"/>
                <w:color w:val="000000"/>
                <w:bdr w:val="none" w:sz="0" w:space="0" w:color="auto" w:frame="1"/>
                <w:lang w:eastAsia="es-MX"/>
              </w:rPr>
              <w:t>E</w:t>
            </w:r>
            <w:r w:rsidRPr="002D69F0">
              <w:rPr>
                <w:rFonts w:ascii="Verdana" w:hAnsi="Verdana" w:cs="Arial"/>
                <w:color w:val="000000"/>
                <w:bdr w:val="none" w:sz="0" w:space="0" w:color="auto" w:frame="1"/>
                <w:lang w:eastAsia="es-MX"/>
              </w:rPr>
              <w:t xml:space="preserve">l régimen contractual de las asociaciones de municipios es el Estatuto General de Contratación de la Administración Pública –en adelante EGCAP–. Lo anterior se fundamenta en lo previsto en el numeral 1 del artículo 2 de la Ley 80 de 1993, que define como entidades estatales, sujetas a dicho estatuto a: </w:t>
            </w:r>
            <w:r>
              <w:rPr>
                <w:rFonts w:ascii="Verdana" w:hAnsi="Verdana" w:cs="Arial"/>
                <w:color w:val="000000"/>
                <w:bdr w:val="none" w:sz="0" w:space="0" w:color="auto" w:frame="1"/>
                <w:lang w:eastAsia="es-MX"/>
              </w:rPr>
              <w:t>“</w:t>
            </w:r>
            <w:r w:rsidRPr="002D69F0">
              <w:rPr>
                <w:rFonts w:ascii="Verdana" w:hAnsi="Verdana" w:cs="Arial"/>
                <w:color w:val="000000"/>
                <w:bdr w:val="none" w:sz="0" w:space="0" w:color="auto" w:frame="1"/>
                <w:lang w:eastAsia="es-MX"/>
              </w:rPr>
              <w:t>La Nación, las regiones, los departamentos, las provincias, el distrito capital y los distritos especiales, las áreas metropolitanas, las asociaciones de municipios, los territorios indígenas y los municipios (…)</w:t>
            </w:r>
            <w:r>
              <w:rPr>
                <w:rFonts w:ascii="Verdana" w:hAnsi="Verdana" w:cs="Arial"/>
                <w:color w:val="000000"/>
                <w:bdr w:val="none" w:sz="0" w:space="0" w:color="auto" w:frame="1"/>
                <w:lang w:eastAsia="es-MX"/>
              </w:rPr>
              <w:t>”</w:t>
            </w:r>
            <w:r w:rsidRPr="002D69F0">
              <w:rPr>
                <w:rFonts w:ascii="Verdana" w:hAnsi="Verdana" w:cs="Arial"/>
                <w:color w:val="000000"/>
                <w:bdr w:val="none" w:sz="0" w:space="0" w:color="auto" w:frame="1"/>
                <w:lang w:eastAsia="es-MX"/>
              </w:rPr>
              <w:t>. Así las cosas, el EGCAP establece que las asociaciones de municipios</w:t>
            </w:r>
            <w:r>
              <w:rPr>
                <w:rFonts w:ascii="Verdana" w:hAnsi="Verdana" w:cs="Arial"/>
                <w:color w:val="000000"/>
                <w:bdr w:val="none" w:sz="0" w:space="0" w:color="auto" w:frame="1"/>
                <w:lang w:eastAsia="es-MX"/>
              </w:rPr>
              <w:t xml:space="preserve"> y los municipios</w:t>
            </w:r>
            <w:r w:rsidRPr="002D69F0">
              <w:rPr>
                <w:rFonts w:ascii="Verdana" w:hAnsi="Verdana" w:cs="Arial"/>
                <w:color w:val="000000"/>
                <w:bdr w:val="none" w:sz="0" w:space="0" w:color="auto" w:frame="1"/>
                <w:lang w:eastAsia="es-MX"/>
              </w:rPr>
              <w:t xml:space="preserve"> son entidades </w:t>
            </w:r>
            <w:r w:rsidRPr="002D69F0">
              <w:rPr>
                <w:rFonts w:ascii="Verdana" w:hAnsi="Verdana" w:cs="Arial"/>
                <w:color w:val="000000"/>
                <w:bdr w:val="none" w:sz="0" w:space="0" w:color="auto" w:frame="1"/>
                <w:lang w:eastAsia="es-MX"/>
              </w:rPr>
              <w:lastRenderedPageBreak/>
              <w:t>estatales, para efectos contractuales, razón por la cual se someten a dicho estatuto.</w:t>
            </w:r>
          </w:p>
          <w:p w14:paraId="56AE4574" w14:textId="77777777" w:rsidR="006B13F8" w:rsidRDefault="006B13F8" w:rsidP="00CA720D">
            <w:pPr>
              <w:shd w:val="clear" w:color="auto" w:fill="FFFFFF"/>
              <w:spacing w:before="120" w:after="120" w:line="276" w:lineRule="auto"/>
              <w:jc w:val="both"/>
              <w:textAlignment w:val="baseline"/>
              <w:rPr>
                <w:rFonts w:ascii="Verdana" w:eastAsia="Calibri" w:hAnsi="Verdana" w:cs="Arial"/>
              </w:rPr>
            </w:pPr>
            <w:r w:rsidRPr="00180FBB">
              <w:rPr>
                <w:rFonts w:ascii="Verdana" w:eastAsia="Calibri" w:hAnsi="Verdana" w:cs="Arial"/>
              </w:rPr>
              <w:t>Lo anterior implica que los procedimientos para seleccionar a sus contratistas son los establecidos en el mismo Estatuto Contractual, los cuales se encuentran regulados actualmente en el artículo 2 de la Ley 1150 de 2007</w:t>
            </w:r>
            <w:r>
              <w:rPr>
                <w:rFonts w:ascii="Verdana" w:eastAsia="Calibri" w:hAnsi="Verdana" w:cs="Arial"/>
              </w:rPr>
              <w:t xml:space="preserve">, con lo que </w:t>
            </w:r>
            <w:r w:rsidRPr="00180FBB">
              <w:rPr>
                <w:rFonts w:ascii="Verdana" w:eastAsia="Calibri" w:hAnsi="Verdana" w:cs="Arial"/>
              </w:rPr>
              <w:t>es posible concluir que,</w:t>
            </w:r>
            <w:r>
              <w:rPr>
                <w:rFonts w:ascii="Verdana" w:eastAsia="Calibri" w:hAnsi="Verdana" w:cs="Arial"/>
              </w:rPr>
              <w:t xml:space="preserve"> tanto las asociaciones de municipios como los municipios,</w:t>
            </w:r>
            <w:r w:rsidRPr="00180FBB">
              <w:rPr>
                <w:rFonts w:ascii="Verdana" w:eastAsia="Calibri" w:hAnsi="Verdana" w:cs="Arial"/>
              </w:rPr>
              <w:t xml:space="preserve"> en ejercicio de su discrecionalidad y en función de la finalidad que deban satisfacer en cada caso, pueden emplear cualquiera de los procedimientos de selección de contratistas establecidos en el artículo 2 de la Ley 1150 de 2007, de acuerdo con las causales y criterios de procedencia de cada una de dichas modalidades de selección</w:t>
            </w:r>
            <w:r>
              <w:rPr>
                <w:rFonts w:ascii="Verdana" w:eastAsia="Calibri" w:hAnsi="Verdana" w:cs="Arial"/>
              </w:rPr>
              <w:t>.</w:t>
            </w:r>
          </w:p>
          <w:p w14:paraId="76AB49E8" w14:textId="77777777" w:rsidR="006B13F8" w:rsidRPr="009E097C" w:rsidRDefault="006B13F8" w:rsidP="00CA720D">
            <w:pPr>
              <w:shd w:val="clear" w:color="auto" w:fill="FFFFFF"/>
              <w:spacing w:before="120" w:after="120" w:line="276" w:lineRule="auto"/>
              <w:jc w:val="both"/>
              <w:textAlignment w:val="baseline"/>
              <w:rPr>
                <w:rFonts w:ascii="Verdana" w:eastAsia="Calibri" w:hAnsi="Verdana" w:cs="Arial"/>
              </w:rPr>
            </w:pPr>
            <w:r>
              <w:rPr>
                <w:rFonts w:ascii="Verdana" w:eastAsia="Calibri" w:hAnsi="Verdana" w:cs="Arial"/>
              </w:rPr>
              <w:t>Sin embargo, t</w:t>
            </w:r>
            <w:r w:rsidRPr="009E097C">
              <w:rPr>
                <w:rFonts w:ascii="Verdana" w:eastAsia="Calibri" w:hAnsi="Verdana" w:cs="Arial"/>
              </w:rPr>
              <w:t xml:space="preserve">eniendo en cuenta lo establecido en el artículo 10 de la Ley 1150 de 2007, para la celebración de contratos con entidades estatales, las cooperativas y asociaciones conformadas por entidades territoriales deben someterse a los procesos de selección de la Ley 1150 de 2007, en igualdad de condiciones con los particulares. Así las cosas, la finalidad de la norma consiste en establecer que las cooperativas, las asociaciones conformadas por entidades territoriales y en general los entes solidarios de carácter público que pretendan celebrar contratos con las entidades estatales pueden hacerlo siempre y cuando lo realicen a través de procedimientos competitivos, limitándose, en consecuencia, la modalidad de contratación directa. De otro lado, vale la pena destacar como la disposición analizada no efectuó distinciones entre el tipo de asociaciones de entidades territoriales frente a las que aplica esta restricción, por lo que allí también se encuentran incluidas las asociaciones de municipios, que son un tipo de asociaciones de entidades territoriales. </w:t>
            </w:r>
          </w:p>
          <w:p w14:paraId="243F3029" w14:textId="77777777" w:rsidR="006B13F8" w:rsidRPr="009E097C" w:rsidRDefault="006B13F8" w:rsidP="00CA720D">
            <w:pPr>
              <w:shd w:val="clear" w:color="auto" w:fill="FFFFFF"/>
              <w:spacing w:before="120" w:after="120" w:line="276" w:lineRule="auto"/>
              <w:jc w:val="both"/>
              <w:textAlignment w:val="baseline"/>
              <w:rPr>
                <w:rFonts w:ascii="Verdana" w:eastAsia="Calibri" w:hAnsi="Verdana" w:cs="Arial"/>
              </w:rPr>
            </w:pPr>
            <w:r>
              <w:rPr>
                <w:rFonts w:ascii="Verdana" w:eastAsia="Calibri" w:hAnsi="Verdana" w:cs="Arial"/>
              </w:rPr>
              <w:t>L</w:t>
            </w:r>
            <w:r w:rsidRPr="009E097C">
              <w:rPr>
                <w:rFonts w:ascii="Verdana" w:eastAsia="Calibri" w:hAnsi="Verdana" w:cs="Arial"/>
              </w:rPr>
              <w:t xml:space="preserve">a prohibición de celebrar contratos mediante la modalidad de contratación directa, por parte de asociaciones de entidades territoriales, entre las que se encuentran incluidas las asociaciones de municipios, tiene como fundamento: i) la derogatoria expresa del artículo 32 de la Ley 1150 de 2007, que dejó sin efectos el parágrafo 1 del artículo 2 de la Ley 80 de 1993; y, particularmente, </w:t>
            </w:r>
            <w:proofErr w:type="spellStart"/>
            <w:r w:rsidRPr="009E097C">
              <w:rPr>
                <w:rFonts w:ascii="Verdana" w:eastAsia="Calibri" w:hAnsi="Verdana" w:cs="Arial"/>
              </w:rPr>
              <w:t>ii</w:t>
            </w:r>
            <w:proofErr w:type="spellEnd"/>
            <w:r w:rsidRPr="009E097C">
              <w:rPr>
                <w:rFonts w:ascii="Verdana" w:eastAsia="Calibri" w:hAnsi="Verdana" w:cs="Arial"/>
              </w:rPr>
              <w:t xml:space="preserve">) el artículo 10 de la ley 1150 de 2007 que establece que la celebración de contratos entre una entidad estatal con, entre otras, asociaciones de entidades territoriales únicamente se pueden realizar mediante un proceso competitivo, </w:t>
            </w:r>
            <w:r w:rsidRPr="009E097C">
              <w:rPr>
                <w:rFonts w:ascii="Verdana" w:eastAsia="Calibri" w:hAnsi="Verdana" w:cs="Arial"/>
              </w:rPr>
              <w:lastRenderedPageBreak/>
              <w:t>pues deben participar “en igualdad de condiciones con los particulares” y no mediante la modalidad de contratación directa</w:t>
            </w:r>
            <w:r>
              <w:rPr>
                <w:rFonts w:ascii="Verdana" w:eastAsia="Calibri" w:hAnsi="Verdana" w:cs="Arial"/>
              </w:rPr>
              <w:t>.</w:t>
            </w:r>
          </w:p>
          <w:p w14:paraId="27275782" w14:textId="77777777" w:rsidR="006B13F8" w:rsidRPr="0078232B" w:rsidRDefault="006B13F8" w:rsidP="00CA720D">
            <w:pPr>
              <w:shd w:val="clear" w:color="auto" w:fill="FFFFFF"/>
              <w:spacing w:before="120" w:after="120" w:line="276" w:lineRule="auto"/>
              <w:jc w:val="both"/>
              <w:textAlignment w:val="baseline"/>
              <w:rPr>
                <w:rFonts w:ascii="Verdana" w:eastAsia="Calibri" w:hAnsi="Verdana" w:cs="Arial"/>
              </w:rPr>
            </w:pPr>
            <w:r w:rsidRPr="00403A09">
              <w:rPr>
                <w:rFonts w:ascii="Verdana" w:eastAsia="Calibri" w:hAnsi="Verdana" w:cs="Arial"/>
              </w:rPr>
              <w:t>No obstante, al tratarse de un análisis que debe realizarse en cada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De esta manera, cada uno de ellos definirá la forma de adelantar su gestión contractual, sin que sea atribución de Colombia Compra Eficiente validar sus actuaciones.</w:t>
            </w:r>
          </w:p>
        </w:tc>
      </w:tr>
    </w:tbl>
    <w:p w14:paraId="718B1060" w14:textId="77777777" w:rsidR="006B13F8" w:rsidRPr="00553BC6" w:rsidRDefault="006B13F8" w:rsidP="006B13F8">
      <w:pPr>
        <w:tabs>
          <w:tab w:val="left" w:pos="142"/>
          <w:tab w:val="left" w:pos="284"/>
        </w:tabs>
        <w:spacing w:after="0" w:line="276" w:lineRule="auto"/>
        <w:jc w:val="both"/>
        <w:rPr>
          <w:rFonts w:ascii="Verdana" w:eastAsia="Century Gothic" w:hAnsi="Verdana" w:cs="Century Gothic"/>
          <w:b/>
          <w:bCs/>
          <w:lang w:val="es-ES"/>
        </w:rPr>
      </w:pPr>
    </w:p>
    <w:p w14:paraId="7F002669" w14:textId="77777777" w:rsidR="006B13F8" w:rsidRPr="00553BC6" w:rsidRDefault="006B13F8" w:rsidP="006B13F8">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553BC6">
        <w:rPr>
          <w:rFonts w:ascii="Verdana" w:eastAsia="Century Gothic" w:hAnsi="Verdana" w:cs="Century Gothic"/>
          <w:b/>
          <w:bCs/>
          <w:lang w:val="es-ES"/>
        </w:rPr>
        <w:t>Razones de la respuesta:</w:t>
      </w:r>
    </w:p>
    <w:p w14:paraId="43CE8DF2" w14:textId="77777777" w:rsidR="006B13F8" w:rsidRPr="00553BC6" w:rsidRDefault="006B13F8" w:rsidP="006B13F8">
      <w:pPr>
        <w:spacing w:after="0" w:line="276" w:lineRule="auto"/>
        <w:jc w:val="both"/>
        <w:rPr>
          <w:rFonts w:ascii="Verdana" w:eastAsia="Calibri" w:hAnsi="Verdana" w:cs="Arial"/>
          <w:lang w:val="es-ES"/>
        </w:rPr>
      </w:pPr>
    </w:p>
    <w:p w14:paraId="662843DF" w14:textId="77777777" w:rsidR="006B13F8" w:rsidRPr="00553BC6" w:rsidRDefault="006B13F8" w:rsidP="006B13F8">
      <w:pPr>
        <w:spacing w:after="0" w:line="276" w:lineRule="auto"/>
        <w:jc w:val="both"/>
        <w:rPr>
          <w:rFonts w:ascii="Verdana" w:eastAsia="Calibri" w:hAnsi="Verdana" w:cs="Arial"/>
          <w:lang w:val="es-ES"/>
        </w:rPr>
      </w:pPr>
      <w:r w:rsidRPr="00553BC6">
        <w:rPr>
          <w:rFonts w:ascii="Verdana" w:eastAsia="Calibri" w:hAnsi="Verdana" w:cs="Arial"/>
          <w:lang w:val="es-ES"/>
        </w:rPr>
        <w:t xml:space="preserve">Lo anterior se sustenta en las siguientes consideraciones: </w:t>
      </w:r>
    </w:p>
    <w:p w14:paraId="31C09C60" w14:textId="77777777" w:rsidR="006B13F8" w:rsidRPr="00553BC6" w:rsidRDefault="006B13F8" w:rsidP="006B13F8">
      <w:pPr>
        <w:widowControl w:val="0"/>
        <w:autoSpaceDE w:val="0"/>
        <w:autoSpaceDN w:val="0"/>
        <w:spacing w:after="0" w:line="276" w:lineRule="auto"/>
        <w:jc w:val="both"/>
        <w:rPr>
          <w:rFonts w:ascii="Verdana" w:eastAsia="Calibri" w:hAnsi="Verdana" w:cs="Arial"/>
          <w:lang w:val="es-ES"/>
        </w:rPr>
      </w:pPr>
    </w:p>
    <w:p w14:paraId="453BEAF6" w14:textId="77777777" w:rsidR="006B13F8" w:rsidRPr="002D69F0" w:rsidRDefault="006B13F8" w:rsidP="006B13F8">
      <w:pPr>
        <w:spacing w:line="276" w:lineRule="auto"/>
        <w:jc w:val="both"/>
        <w:rPr>
          <w:rFonts w:ascii="Verdana" w:hAnsi="Verdana" w:cs="Arial"/>
          <w:color w:val="000000"/>
          <w:lang w:val="es-ES" w:eastAsia="es-MX"/>
        </w:rPr>
      </w:pPr>
      <w:r w:rsidRPr="002D69F0">
        <w:rPr>
          <w:rFonts w:ascii="Verdana" w:hAnsi="Verdana" w:cs="Arial"/>
          <w:color w:val="000000"/>
          <w:lang w:val="es-ES" w:eastAsia="es-MX"/>
        </w:rPr>
        <w:t xml:space="preserve">El primer hito normativo de las asociaciones de municipios es el artículo 63 del Acto Legislativo 1 de 1968, con el cual se modificó el artículo 198 de la Constitución de 1886, en el sentido de establecer, entre otras cosas, que </w:t>
      </w:r>
      <w:r>
        <w:rPr>
          <w:rFonts w:ascii="Verdana" w:hAnsi="Verdana" w:cs="Arial"/>
          <w:color w:val="000000"/>
          <w:lang w:val="es-ES" w:eastAsia="es-MX"/>
        </w:rPr>
        <w:t>“</w:t>
      </w:r>
      <w:r w:rsidRPr="002D69F0">
        <w:rPr>
          <w:rFonts w:ascii="Verdana" w:hAnsi="Verdana" w:cs="Arial"/>
          <w:color w:val="000000"/>
          <w:lang w:val="es-ES" w:eastAsia="es-MX"/>
        </w:rPr>
        <w:t>[l]a ley establecerá las condiciones y las normas bajo las cuales los Municipios puedan asociarse entre sí para la prestación de los servicios públicos. Las Asambleas, a iniciativa del Gobernador, podrán hacer obligatoria tal asociación, conforme a la ley citada, cuando la más eficiente y económica prestación de los servicios así lo requieran</w:t>
      </w:r>
      <w:r>
        <w:rPr>
          <w:rFonts w:ascii="Verdana" w:hAnsi="Verdana" w:cs="Arial"/>
          <w:color w:val="000000"/>
          <w:lang w:val="es-ES" w:eastAsia="es-MX"/>
        </w:rPr>
        <w:t>”</w:t>
      </w:r>
      <w:r w:rsidRPr="002D69F0">
        <w:rPr>
          <w:rFonts w:ascii="Verdana" w:hAnsi="Verdana" w:cs="Arial"/>
          <w:color w:val="000000"/>
          <w:lang w:val="es-ES" w:eastAsia="es-MX"/>
        </w:rPr>
        <w:t xml:space="preserve">. </w:t>
      </w:r>
    </w:p>
    <w:p w14:paraId="26B1C246" w14:textId="77777777" w:rsidR="006B13F8" w:rsidRPr="002D69F0" w:rsidRDefault="006B13F8" w:rsidP="006B13F8">
      <w:pPr>
        <w:spacing w:before="120" w:line="276" w:lineRule="auto"/>
        <w:ind w:firstLine="708"/>
        <w:jc w:val="both"/>
        <w:rPr>
          <w:rFonts w:ascii="Verdana" w:hAnsi="Verdana" w:cs="Arial"/>
          <w:color w:val="000000"/>
          <w:lang w:val="es-ES" w:eastAsia="es-MX"/>
        </w:rPr>
      </w:pPr>
      <w:r w:rsidRPr="002D69F0">
        <w:rPr>
          <w:rFonts w:ascii="Verdana" w:hAnsi="Verdana" w:cs="Arial"/>
          <w:color w:val="000000"/>
          <w:lang w:val="es-ES" w:eastAsia="es-MX"/>
        </w:rPr>
        <w:t>En desarrollo de lo anterior fue expedida la Ley 1 de 1975, mediante la cual se regularon aspectos como la naturaleza jurídica de las asociaciones de municipios, la manera de conformarlas y su funcionamiento</w:t>
      </w:r>
      <w:r w:rsidRPr="002D69F0">
        <w:rPr>
          <w:rFonts w:ascii="Verdana" w:hAnsi="Verdana" w:cs="Arial"/>
          <w:color w:val="000000"/>
          <w:vertAlign w:val="superscript"/>
          <w:lang w:val="es-ES" w:eastAsia="es-MX"/>
        </w:rPr>
        <w:footnoteReference w:id="1"/>
      </w:r>
      <w:r w:rsidRPr="002D69F0">
        <w:rPr>
          <w:rFonts w:ascii="Verdana" w:hAnsi="Verdana" w:cs="Arial"/>
          <w:color w:val="000000"/>
          <w:lang w:val="es-ES" w:eastAsia="es-MX"/>
        </w:rPr>
        <w:t xml:space="preserve">. Posteriormente, la Ley 136 de 1994, en el artículo 149, reiteró el primero de dichos aspectos, al establecer que esas asociaciones </w:t>
      </w:r>
      <w:r>
        <w:rPr>
          <w:rFonts w:ascii="Verdana" w:hAnsi="Verdana" w:cs="Arial"/>
          <w:color w:val="000000"/>
          <w:lang w:val="es-ES" w:eastAsia="es-MX"/>
        </w:rPr>
        <w:t>“</w:t>
      </w:r>
      <w:r w:rsidRPr="002D69F0">
        <w:rPr>
          <w:rFonts w:ascii="Verdana" w:hAnsi="Verdana" w:cs="Arial"/>
          <w:color w:val="000000"/>
          <w:lang w:val="es-ES" w:eastAsia="es-MX"/>
        </w:rPr>
        <w:t xml:space="preserve">son entidades administrativas de derecho público, con personería jurídica y patrimonio propio e independiente de los entes que la conforman; se rige por sus propios estatutos y gozarán para el desarrollo de su objetivo, de los mismos derechos, privilegios, excepciones y prerrogativas </w:t>
      </w:r>
      <w:r w:rsidRPr="002D69F0">
        <w:rPr>
          <w:rFonts w:ascii="Verdana" w:hAnsi="Verdana" w:cs="Arial"/>
          <w:color w:val="000000"/>
          <w:lang w:val="es-ES" w:eastAsia="es-MX"/>
        </w:rPr>
        <w:lastRenderedPageBreak/>
        <w:t>otorgadas por la ley a los municipios. Los actos de las asociaciones son revisables y anulables por la Jurisdicción Contencioso-administrativa</w:t>
      </w:r>
      <w:r>
        <w:rPr>
          <w:rFonts w:ascii="Verdana" w:hAnsi="Verdana" w:cs="Arial"/>
          <w:color w:val="000000"/>
          <w:lang w:val="es-ES" w:eastAsia="es-MX"/>
        </w:rPr>
        <w:t>”</w:t>
      </w:r>
      <w:r w:rsidRPr="002D69F0">
        <w:rPr>
          <w:rFonts w:ascii="Verdana" w:hAnsi="Verdana" w:cs="Arial"/>
          <w:color w:val="000000"/>
          <w:lang w:val="es-ES" w:eastAsia="es-MX"/>
        </w:rPr>
        <w:t xml:space="preserve">. </w:t>
      </w:r>
    </w:p>
    <w:p w14:paraId="0C76C848" w14:textId="77777777" w:rsidR="006B13F8" w:rsidRPr="002D69F0" w:rsidRDefault="006B13F8" w:rsidP="006B13F8">
      <w:pPr>
        <w:spacing w:before="120" w:line="276" w:lineRule="auto"/>
        <w:ind w:firstLine="708"/>
        <w:jc w:val="both"/>
        <w:rPr>
          <w:rFonts w:ascii="Verdana" w:hAnsi="Verdana" w:cs="Arial"/>
          <w:color w:val="000000"/>
          <w:lang w:val="es-ES" w:eastAsia="es-MX"/>
        </w:rPr>
      </w:pPr>
      <w:r w:rsidRPr="002D69F0">
        <w:rPr>
          <w:rFonts w:ascii="Verdana" w:hAnsi="Verdana" w:cs="Arial"/>
          <w:color w:val="000000"/>
          <w:lang w:val="es-ES" w:eastAsia="es-MX"/>
        </w:rPr>
        <w:t xml:space="preserve">Por su parte, el artículo 148 de la referida Ley 136 de 1994 prescribió que </w:t>
      </w:r>
      <w:r>
        <w:rPr>
          <w:rFonts w:ascii="Verdana" w:hAnsi="Verdana" w:cs="Arial"/>
          <w:color w:val="000000"/>
          <w:lang w:val="es-ES" w:eastAsia="es-MX"/>
        </w:rPr>
        <w:t>“</w:t>
      </w:r>
      <w:r w:rsidRPr="002D69F0">
        <w:rPr>
          <w:rFonts w:ascii="Verdana" w:hAnsi="Verdana" w:cs="Arial"/>
          <w:color w:val="000000"/>
          <w:lang w:val="es-ES" w:eastAsia="es-MX"/>
        </w:rPr>
        <w:t>Dos o más municipios de uno o más departamentos podrán asociarse para organizar conjuntamente la prestación de servicios públicos, la ejecución de obras o el cumplimiento de funciones administrativas, procurando eficacia en los mismos, así como el desarrollo integral de sus territorios y colaborar mutuamente en la ejecución de obras públicas</w:t>
      </w:r>
      <w:r>
        <w:rPr>
          <w:rFonts w:ascii="Verdana" w:hAnsi="Verdana" w:cs="Arial"/>
          <w:color w:val="000000"/>
          <w:lang w:val="es-ES" w:eastAsia="es-MX"/>
        </w:rPr>
        <w:t>”</w:t>
      </w:r>
      <w:r w:rsidRPr="002D69F0">
        <w:rPr>
          <w:rFonts w:ascii="Verdana" w:hAnsi="Verdana" w:cs="Arial"/>
          <w:color w:val="000000"/>
          <w:lang w:val="es-ES" w:eastAsia="es-MX"/>
        </w:rPr>
        <w:t>.</w:t>
      </w:r>
    </w:p>
    <w:p w14:paraId="43EE2542" w14:textId="77777777" w:rsidR="006B13F8" w:rsidRPr="002D69F0" w:rsidRDefault="006B13F8" w:rsidP="006B13F8">
      <w:pPr>
        <w:spacing w:before="120" w:line="276" w:lineRule="auto"/>
        <w:ind w:firstLine="708"/>
        <w:jc w:val="both"/>
        <w:rPr>
          <w:rFonts w:ascii="Verdana" w:hAnsi="Verdana" w:cs="Arial"/>
          <w:color w:val="000000"/>
          <w:lang w:val="es-ES" w:eastAsia="es-MX"/>
        </w:rPr>
      </w:pPr>
      <w:r w:rsidRPr="002D69F0">
        <w:rPr>
          <w:rFonts w:ascii="Verdana" w:hAnsi="Verdana" w:cs="Arial"/>
          <w:color w:val="000000"/>
          <w:lang w:val="es-ES" w:eastAsia="es-MX"/>
        </w:rPr>
        <w:t>A su vez, la Ley 1454 de 2011, orgánica del ordenamiento territorial, concibió a las asociaciones de municipios como una clase de los denominados esquemas asociativos territoriales</w:t>
      </w:r>
      <w:r w:rsidRPr="002D69F0">
        <w:rPr>
          <w:rFonts w:ascii="Verdana" w:hAnsi="Verdana" w:cs="Arial"/>
          <w:color w:val="000000"/>
          <w:vertAlign w:val="superscript"/>
          <w:lang w:val="es-ES" w:eastAsia="es-MX"/>
        </w:rPr>
        <w:footnoteReference w:id="2"/>
      </w:r>
      <w:r w:rsidRPr="002D69F0">
        <w:rPr>
          <w:rFonts w:ascii="Verdana" w:hAnsi="Verdana" w:cs="Arial"/>
          <w:color w:val="000000"/>
          <w:lang w:val="es-ES" w:eastAsia="es-MX"/>
        </w:rPr>
        <w:t xml:space="preserve">, sobre los que el artículo 17 señala que </w:t>
      </w:r>
      <w:r>
        <w:rPr>
          <w:rFonts w:ascii="Verdana" w:hAnsi="Verdana" w:cs="Arial"/>
          <w:color w:val="000000"/>
          <w:lang w:val="es-ES" w:eastAsia="es-MX"/>
        </w:rPr>
        <w:t>“</w:t>
      </w:r>
      <w:r w:rsidRPr="002D69F0">
        <w:rPr>
          <w:rFonts w:ascii="Verdana" w:hAnsi="Verdana" w:cs="Arial"/>
          <w:color w:val="000000"/>
          <w:lang w:val="es-ES" w:eastAsia="es-MX"/>
        </w:rPr>
        <w:t>son entidades administrativas de derecho público, con personería jurídica y patrimonio propio e independiente de los entes que la conforman</w:t>
      </w:r>
      <w:r>
        <w:rPr>
          <w:rFonts w:ascii="Verdana" w:hAnsi="Verdana" w:cs="Arial"/>
          <w:color w:val="000000"/>
          <w:lang w:val="es-ES" w:eastAsia="es-MX"/>
        </w:rPr>
        <w:t>”</w:t>
      </w:r>
      <w:r w:rsidRPr="002D69F0">
        <w:rPr>
          <w:rFonts w:ascii="Verdana" w:hAnsi="Verdana" w:cs="Arial"/>
          <w:color w:val="000000"/>
          <w:lang w:val="es-ES" w:eastAsia="es-MX"/>
        </w:rPr>
        <w:t xml:space="preserve">, y su parágrafo establece que </w:t>
      </w:r>
      <w:r>
        <w:rPr>
          <w:rFonts w:ascii="Verdana" w:hAnsi="Verdana" w:cs="Arial"/>
          <w:color w:val="000000"/>
          <w:lang w:val="es-ES" w:eastAsia="es-MX"/>
        </w:rPr>
        <w:t>“</w:t>
      </w:r>
      <w:r w:rsidRPr="002D69F0">
        <w:rPr>
          <w:rFonts w:ascii="Verdana" w:hAnsi="Verdana" w:cs="Arial"/>
          <w:color w:val="000000"/>
          <w:lang w:val="es-ES" w:eastAsia="es-MX"/>
        </w:rPr>
        <w:t>en concordancia con lo previsto en el artículo 95 de la Ley 489 de 1998, las entidades territoriales podrán continuar asociándose mediante la celebración de convenios interadministrativos o mediante la conformación de personas jurídicas de derecho público o derecho privado</w:t>
      </w:r>
      <w:r>
        <w:rPr>
          <w:rFonts w:ascii="Verdana" w:hAnsi="Verdana" w:cs="Arial"/>
          <w:color w:val="000000"/>
          <w:lang w:val="es-ES" w:eastAsia="es-MX"/>
        </w:rPr>
        <w:t>”</w:t>
      </w:r>
      <w:r w:rsidRPr="002D69F0">
        <w:rPr>
          <w:rFonts w:ascii="Verdana" w:hAnsi="Verdana" w:cs="Arial"/>
          <w:color w:val="000000"/>
          <w:lang w:val="es-ES" w:eastAsia="es-MX"/>
        </w:rPr>
        <w:t xml:space="preserve">. </w:t>
      </w:r>
    </w:p>
    <w:p w14:paraId="22182A2C" w14:textId="77777777" w:rsidR="006B13F8" w:rsidRPr="002D69F0" w:rsidRDefault="006B13F8" w:rsidP="006B13F8">
      <w:pPr>
        <w:spacing w:before="120" w:line="276" w:lineRule="auto"/>
        <w:ind w:firstLine="708"/>
        <w:jc w:val="both"/>
        <w:rPr>
          <w:rFonts w:ascii="Verdana" w:hAnsi="Verdana" w:cs="Arial"/>
          <w:color w:val="000000"/>
          <w:szCs w:val="20"/>
          <w:lang w:val="es-ES" w:eastAsia="es-MX"/>
        </w:rPr>
      </w:pPr>
      <w:r w:rsidRPr="002D69F0">
        <w:rPr>
          <w:rFonts w:ascii="Verdana" w:hAnsi="Verdana" w:cs="Arial"/>
          <w:color w:val="000000"/>
          <w:szCs w:val="20"/>
          <w:lang w:val="es-ES" w:eastAsia="es-MX"/>
        </w:rPr>
        <w:t>En cuanto a la manera como se conforman las asociaciones de municipios, tanto la Ley 136 de 1994</w:t>
      </w:r>
      <w:r w:rsidRPr="002D69F0">
        <w:rPr>
          <w:rFonts w:ascii="Verdana" w:hAnsi="Verdana" w:cs="Arial"/>
          <w:color w:val="000000"/>
          <w:szCs w:val="20"/>
          <w:vertAlign w:val="superscript"/>
          <w:lang w:val="es-ES" w:eastAsia="es-MX"/>
        </w:rPr>
        <w:footnoteReference w:id="3"/>
      </w:r>
      <w:r w:rsidRPr="002D69F0">
        <w:rPr>
          <w:rFonts w:ascii="Verdana" w:hAnsi="Verdana" w:cs="Arial"/>
          <w:color w:val="000000"/>
          <w:szCs w:val="20"/>
          <w:lang w:val="es-ES" w:eastAsia="es-MX"/>
        </w:rPr>
        <w:t>, como la Ley 1454 de 2011, disponen que se materializan mediante convenios</w:t>
      </w:r>
      <w:r w:rsidRPr="002D69F0">
        <w:rPr>
          <w:rFonts w:ascii="Verdana" w:hAnsi="Verdana" w:cs="Arial"/>
          <w:color w:val="000000"/>
          <w:szCs w:val="20"/>
          <w:vertAlign w:val="superscript"/>
          <w:lang w:val="es-ES" w:eastAsia="es-MX"/>
        </w:rPr>
        <w:footnoteReference w:id="4"/>
      </w:r>
      <w:r w:rsidRPr="002D69F0">
        <w:rPr>
          <w:rFonts w:ascii="Verdana" w:hAnsi="Verdana" w:cs="Arial"/>
          <w:color w:val="000000"/>
          <w:szCs w:val="20"/>
          <w:lang w:val="es-ES" w:eastAsia="es-MX"/>
        </w:rPr>
        <w:t xml:space="preserve">. El citado parágrafo del artículo 17 de la Ley 1454 de 2011 reconoce que las entidades territoriales pueden seguir asociándose mediante convenios interadministrativos, por lo que se entiende </w:t>
      </w:r>
      <w:r w:rsidRPr="002D69F0">
        <w:rPr>
          <w:rFonts w:ascii="Verdana" w:hAnsi="Verdana" w:cs="Arial"/>
          <w:color w:val="000000"/>
          <w:szCs w:val="20"/>
          <w:lang w:val="es-ES" w:eastAsia="es-MX"/>
        </w:rPr>
        <w:lastRenderedPageBreak/>
        <w:t>que la suscripción de convenios es un mecanismo para que se concreten las asociaciones entre entidades territoriales.</w:t>
      </w:r>
    </w:p>
    <w:p w14:paraId="1416A19E" w14:textId="77777777" w:rsidR="006B13F8" w:rsidRPr="002D69F0" w:rsidRDefault="006B13F8" w:rsidP="006B13F8">
      <w:pPr>
        <w:spacing w:before="120" w:line="276" w:lineRule="auto"/>
        <w:ind w:firstLine="708"/>
        <w:jc w:val="both"/>
        <w:rPr>
          <w:rFonts w:ascii="Verdana" w:hAnsi="Verdana" w:cs="Arial"/>
          <w:color w:val="000000"/>
          <w:lang w:val="es-ES" w:eastAsia="es-MX"/>
        </w:rPr>
      </w:pPr>
      <w:r w:rsidRPr="002D69F0">
        <w:rPr>
          <w:rFonts w:ascii="Verdana" w:hAnsi="Verdana" w:cs="Arial"/>
          <w:color w:val="000000"/>
          <w:lang w:val="es-ES" w:eastAsia="es-MX"/>
        </w:rPr>
        <w:t>Ahora bien, la normativa expuesta se relaciona con las asociaciones de entidades territoriales, particularmente de municipios. Sin embargo, este esquema asociativo no es el único, toda vez que existen otros formados por distintas entidades públicas, como es el caso de las asociaciones previstas en el artículo 95 de la Ley 489 de 1998</w:t>
      </w:r>
      <w:r w:rsidRPr="002D69F0">
        <w:rPr>
          <w:rFonts w:ascii="Verdana" w:hAnsi="Verdana" w:cs="Arial"/>
          <w:color w:val="000000"/>
          <w:vertAlign w:val="superscript"/>
          <w:lang w:val="es-ES" w:eastAsia="es-MX"/>
        </w:rPr>
        <w:footnoteReference w:id="5"/>
      </w:r>
      <w:r w:rsidRPr="002D69F0">
        <w:rPr>
          <w:rFonts w:ascii="Verdana" w:hAnsi="Verdana" w:cs="Arial"/>
          <w:color w:val="000000"/>
          <w:lang w:val="es-ES" w:eastAsia="es-MX"/>
        </w:rPr>
        <w:t>. De este modo, la naturaleza y el carácter de persona jurídica que dichas leyes le atribuyen a las asociaciones de municipios conducen a entender que son entidades diferentes a los municipios que las conforman.</w:t>
      </w:r>
    </w:p>
    <w:p w14:paraId="4342F6C0" w14:textId="77777777" w:rsidR="006B13F8" w:rsidRPr="002D69F0" w:rsidRDefault="006B13F8" w:rsidP="006B13F8">
      <w:pPr>
        <w:shd w:val="clear" w:color="auto" w:fill="FFFFFF"/>
        <w:spacing w:before="120" w:after="120" w:line="276" w:lineRule="auto"/>
        <w:ind w:firstLine="708"/>
        <w:jc w:val="both"/>
        <w:textAlignment w:val="baseline"/>
        <w:rPr>
          <w:rFonts w:ascii="Verdana" w:hAnsi="Verdana" w:cs="Arial"/>
          <w:color w:val="000000"/>
          <w:lang w:eastAsia="es-MX"/>
        </w:rPr>
      </w:pPr>
      <w:r w:rsidRPr="002D69F0">
        <w:rPr>
          <w:rFonts w:ascii="Verdana" w:hAnsi="Verdana" w:cs="Arial"/>
          <w:color w:val="000000"/>
          <w:bdr w:val="none" w:sz="0" w:space="0" w:color="auto" w:frame="1"/>
          <w:lang w:eastAsia="es-MX"/>
        </w:rPr>
        <w:t xml:space="preserve">Dicho lo anterior, cabe señalar que el régimen contractual de las asociaciones de municipios es el Estatuto General de Contratación de la Administración Pública –en adelante EGCAP–. Lo anterior se fundamenta en lo previsto en el numeral 1 del artículo 2 de la Ley 80 de 1993, que define como entidades estatales, sujetas a dicho estatuto a: </w:t>
      </w:r>
      <w:r>
        <w:rPr>
          <w:rFonts w:ascii="Verdana" w:hAnsi="Verdana" w:cs="Arial"/>
          <w:color w:val="000000"/>
          <w:bdr w:val="none" w:sz="0" w:space="0" w:color="auto" w:frame="1"/>
          <w:lang w:eastAsia="es-MX"/>
        </w:rPr>
        <w:t>“</w:t>
      </w:r>
      <w:r w:rsidRPr="002D69F0">
        <w:rPr>
          <w:rFonts w:ascii="Verdana" w:hAnsi="Verdana" w:cs="Arial"/>
          <w:color w:val="000000"/>
          <w:bdr w:val="none" w:sz="0" w:space="0" w:color="auto" w:frame="1"/>
          <w:lang w:eastAsia="es-MX"/>
        </w:rPr>
        <w:t>La Nación, las regiones, los departamentos, las provincias, el distrito capital y los distritos especiales, las áreas metropolitanas, las asociaciones de municipios, los territorios indígenas y los municipios (…)</w:t>
      </w:r>
      <w:r>
        <w:rPr>
          <w:rFonts w:ascii="Verdana" w:hAnsi="Verdana" w:cs="Arial"/>
          <w:color w:val="000000"/>
          <w:bdr w:val="none" w:sz="0" w:space="0" w:color="auto" w:frame="1"/>
          <w:lang w:eastAsia="es-MX"/>
        </w:rPr>
        <w:t>”</w:t>
      </w:r>
      <w:r w:rsidRPr="002D69F0">
        <w:rPr>
          <w:rFonts w:ascii="Verdana" w:hAnsi="Verdana" w:cs="Arial"/>
          <w:color w:val="000000"/>
          <w:bdr w:val="none" w:sz="0" w:space="0" w:color="auto" w:frame="1"/>
          <w:lang w:eastAsia="es-MX"/>
        </w:rPr>
        <w:t>. Así las cosas, el EGCAP establece que las asociaciones de municipios son entidades estatales, para efectos contractuales, razón por la cual se someten a dicho estatuto.  </w:t>
      </w:r>
    </w:p>
    <w:p w14:paraId="7B01011B" w14:textId="77777777" w:rsidR="006B13F8" w:rsidRPr="002D69F0" w:rsidRDefault="006B13F8" w:rsidP="006B13F8">
      <w:pPr>
        <w:shd w:val="clear" w:color="auto" w:fill="FFFFFF"/>
        <w:spacing w:before="120" w:line="276" w:lineRule="auto"/>
        <w:ind w:firstLine="708"/>
        <w:jc w:val="both"/>
        <w:textAlignment w:val="baseline"/>
        <w:rPr>
          <w:rFonts w:ascii="Verdana" w:hAnsi="Verdana" w:cs="Arial"/>
          <w:color w:val="000000"/>
          <w:bdr w:val="none" w:sz="0" w:space="0" w:color="auto" w:frame="1"/>
          <w:lang w:eastAsia="es-MX"/>
        </w:rPr>
      </w:pPr>
      <w:r w:rsidRPr="002D69F0">
        <w:rPr>
          <w:rFonts w:ascii="Verdana" w:hAnsi="Verdana" w:cs="Arial"/>
          <w:color w:val="000000"/>
          <w:bdr w:val="none" w:sz="0" w:space="0" w:color="auto" w:frame="1"/>
          <w:lang w:eastAsia="es-MX"/>
        </w:rPr>
        <w:t xml:space="preserve">De otro lado, incluso de forma más precisa, el fundamento normativo respecto al régimen contractual de las asociaciones de municipios se encuentra en el artículo 10 de la Ley 1150 de 2007, que de forma clara señala que se regirán por el EGCAP. En efecto, dicha disposición prescribe: </w:t>
      </w:r>
      <w:r>
        <w:rPr>
          <w:rFonts w:ascii="Verdana" w:hAnsi="Verdana" w:cs="Arial"/>
          <w:color w:val="000000"/>
          <w:bdr w:val="none" w:sz="0" w:space="0" w:color="auto" w:frame="1"/>
          <w:lang w:eastAsia="es-MX"/>
        </w:rPr>
        <w:t>“</w:t>
      </w:r>
      <w:r w:rsidRPr="002D69F0">
        <w:rPr>
          <w:rFonts w:ascii="Verdana" w:hAnsi="Verdana" w:cs="Arial"/>
          <w:color w:val="000000"/>
          <w:bdr w:val="none" w:sz="0" w:space="0" w:color="auto" w:frame="1"/>
          <w:lang w:eastAsia="es-MX"/>
        </w:rPr>
        <w:t>Las cooperativas, las asociaciones conformadas por entidades territoriales y en general los entes solidarios de carácter público estarán sometidos a las disposiciones del Estatuto General de Contratación de la Administración Pública</w:t>
      </w:r>
      <w:r>
        <w:rPr>
          <w:rFonts w:ascii="Verdana" w:hAnsi="Verdana" w:cs="Arial"/>
          <w:color w:val="000000"/>
          <w:bdr w:val="none" w:sz="0" w:space="0" w:color="auto" w:frame="1"/>
          <w:lang w:eastAsia="es-MX"/>
        </w:rPr>
        <w:t>”</w:t>
      </w:r>
      <w:r w:rsidRPr="002D69F0">
        <w:rPr>
          <w:rFonts w:ascii="Verdana" w:hAnsi="Verdana" w:cs="Arial"/>
          <w:color w:val="000000"/>
          <w:bdr w:val="none" w:sz="0" w:space="0" w:color="auto" w:frame="1"/>
          <w:lang w:eastAsia="es-MX"/>
        </w:rPr>
        <w:t xml:space="preserve">. En efecto, dentro de las asociaciones conformadas por entidades territoriales se encuentran las asociaciones de municipios, por lo que resulta claro que el régimen contractual </w:t>
      </w:r>
      <w:r w:rsidRPr="002D69F0">
        <w:rPr>
          <w:rFonts w:ascii="Verdana" w:hAnsi="Verdana" w:cs="Arial"/>
          <w:color w:val="000000"/>
          <w:bdr w:val="none" w:sz="0" w:space="0" w:color="auto" w:frame="1"/>
          <w:lang w:eastAsia="es-MX"/>
        </w:rPr>
        <w:lastRenderedPageBreak/>
        <w:t>de estas entidades no es especial, puesto que por mandato legal se someten al EGCAP.  </w:t>
      </w:r>
    </w:p>
    <w:p w14:paraId="70947572" w14:textId="77777777" w:rsidR="006B13F8" w:rsidRPr="002D69F0" w:rsidRDefault="006B13F8" w:rsidP="006B13F8">
      <w:pPr>
        <w:pStyle w:val="NormalWeb"/>
        <w:shd w:val="clear" w:color="auto" w:fill="FFFFFF"/>
        <w:spacing w:before="0" w:beforeAutospacing="0" w:after="120" w:afterAutospacing="0" w:line="276" w:lineRule="auto"/>
        <w:ind w:firstLine="709"/>
        <w:jc w:val="both"/>
        <w:textAlignment w:val="baseline"/>
        <w:rPr>
          <w:rFonts w:ascii="Verdana" w:hAnsi="Verdana" w:cs="Arial"/>
          <w:sz w:val="22"/>
          <w:szCs w:val="22"/>
          <w:bdr w:val="none" w:sz="0" w:space="0" w:color="auto" w:frame="1"/>
        </w:rPr>
      </w:pPr>
      <w:r w:rsidRPr="002D69F0">
        <w:rPr>
          <w:rFonts w:ascii="Verdana" w:hAnsi="Verdana" w:cs="Arial"/>
          <w:sz w:val="22"/>
          <w:szCs w:val="22"/>
          <w:bdr w:val="none" w:sz="0" w:space="0" w:color="auto" w:frame="1"/>
        </w:rPr>
        <w:t>Lo anterior implica que los procedimientos para seleccionar a sus contratistas son los establecidos en el mismo Estatuto Contractual, los cuales se encuentran regulados actualmente en el</w:t>
      </w:r>
      <w:r w:rsidRPr="002D69F0">
        <w:rPr>
          <w:rStyle w:val="apple-converted-space"/>
          <w:rFonts w:ascii="Verdana" w:hAnsi="Verdana" w:cs="Arial"/>
          <w:sz w:val="22"/>
          <w:szCs w:val="22"/>
          <w:bdr w:val="none" w:sz="0" w:space="0" w:color="auto" w:frame="1"/>
        </w:rPr>
        <w:t> </w:t>
      </w:r>
      <w:r w:rsidRPr="002D69F0">
        <w:rPr>
          <w:rFonts w:ascii="Verdana" w:hAnsi="Verdana" w:cs="Arial"/>
          <w:sz w:val="22"/>
          <w:szCs w:val="22"/>
          <w:bdr w:val="none" w:sz="0" w:space="0" w:color="auto" w:frame="1"/>
        </w:rPr>
        <w:t>artículo 2 de la Ley 1150 de 2007</w:t>
      </w:r>
      <w:r w:rsidRPr="002D69F0">
        <w:rPr>
          <w:rStyle w:val="Refdenotaalpie"/>
          <w:rFonts w:ascii="Verdana" w:hAnsi="Verdana" w:cs="Arial"/>
          <w:sz w:val="22"/>
          <w:szCs w:val="22"/>
          <w:bdr w:val="none" w:sz="0" w:space="0" w:color="auto" w:frame="1"/>
        </w:rPr>
        <w:footnoteReference w:id="6"/>
      </w:r>
      <w:r w:rsidRPr="002D69F0">
        <w:rPr>
          <w:rFonts w:ascii="Verdana" w:hAnsi="Verdana" w:cs="Arial"/>
          <w:sz w:val="22"/>
          <w:szCs w:val="22"/>
          <w:bdr w:val="none" w:sz="0" w:space="0" w:color="auto" w:frame="1"/>
        </w:rPr>
        <w:t xml:space="preserve">. Así las cosas, con el fin de satisfacer la finalidad atribuida a las asociaciones de municipios en el artículo 148 de la Ley 136 de 1994, según el cual </w:t>
      </w:r>
      <w:r>
        <w:rPr>
          <w:rFonts w:ascii="Verdana" w:hAnsi="Verdana" w:cs="Arial"/>
          <w:sz w:val="22"/>
          <w:szCs w:val="22"/>
          <w:bdr w:val="none" w:sz="0" w:space="0" w:color="auto" w:frame="1"/>
        </w:rPr>
        <w:t>“</w:t>
      </w:r>
      <w:r w:rsidRPr="002D69F0">
        <w:rPr>
          <w:rFonts w:ascii="Verdana" w:hAnsi="Verdana" w:cs="Arial"/>
          <w:sz w:val="22"/>
          <w:szCs w:val="22"/>
          <w:bdr w:val="none" w:sz="0" w:space="0" w:color="auto" w:frame="1"/>
        </w:rPr>
        <w:t>dos o más municipios de uno o más departamentos podrán asociarse para organizar conjuntamente la prestación de servicios públicos, la ejecución de obras o el cumplimiento de funciones administrativas, procurando eficiencia y eficacia en los mismos, así como el desarrollo integral de sus territorios y colaborar mutuamente en la ejecución de obras públicas</w:t>
      </w:r>
      <w:r>
        <w:rPr>
          <w:rFonts w:ascii="Verdana" w:hAnsi="Verdana" w:cs="Arial"/>
          <w:sz w:val="22"/>
          <w:szCs w:val="22"/>
          <w:bdr w:val="none" w:sz="0" w:space="0" w:color="auto" w:frame="1"/>
        </w:rPr>
        <w:t>”</w:t>
      </w:r>
      <w:r w:rsidRPr="002D69F0">
        <w:rPr>
          <w:rFonts w:ascii="Verdana" w:hAnsi="Verdana" w:cs="Arial"/>
          <w:sz w:val="22"/>
          <w:szCs w:val="22"/>
          <w:bdr w:val="none" w:sz="0" w:space="0" w:color="auto" w:frame="1"/>
        </w:rPr>
        <w:t xml:space="preserve">, es posible concluir que, en ejercicio de su discrecionalidad y en función de la finalidad que deban satisfacer en cada caso, pueden emplear cualquiera de los procedimientos de selección de contratistas establecidos en el artículo 2 de la Ley 1150 de 2007, de acuerdo con las causales y criterios de procedencia de cada una de dichas modalidades de selección. </w:t>
      </w:r>
    </w:p>
    <w:p w14:paraId="0A6A945F" w14:textId="77777777" w:rsidR="006B13F8" w:rsidRDefault="006B13F8" w:rsidP="2EBDB06F">
      <w:pPr>
        <w:pStyle w:val="NormalWeb"/>
        <w:shd w:val="clear" w:color="auto" w:fill="FFFFFF" w:themeFill="background1"/>
        <w:spacing w:before="0" w:beforeAutospacing="0" w:after="0" w:afterAutospacing="0" w:line="276" w:lineRule="auto"/>
        <w:jc w:val="both"/>
        <w:textAlignment w:val="baseline"/>
        <w:rPr>
          <w:rFonts w:ascii="Verdana" w:hAnsi="Verdana" w:cs="Arial"/>
          <w:sz w:val="22"/>
          <w:szCs w:val="22"/>
        </w:rPr>
      </w:pPr>
      <w:r w:rsidRPr="002D69F0">
        <w:rPr>
          <w:rFonts w:ascii="Verdana" w:hAnsi="Verdana" w:cs="Arial"/>
          <w:sz w:val="22"/>
          <w:szCs w:val="22"/>
        </w:rPr>
        <w:tab/>
        <w:t xml:space="preserve">Teniendo en cuenta cada necesidad, y de acuerdo con el objeto a contratar, las asociaciones de municipios como contratantes y destinatarios del EGCAP deberán adelantar los diferentes procesos de selección, ya sea licitación pública, selección abreviada, concurso de méritos, mínima cuantía o contratación directa, sin perjuicio de atender las mismas restricciones previstas por la Ley para la procedencia de algunas de estas modalidades. En esta línea, para celebrar un contrato de obra pública, en la que son contratantes, deberán adelantar un proceso público, teniendo en cuenta el valor de la cuantía, lo que incidirá en si se realiza mediante licitación pública, selección abreviada de menor cuantía o mínima cuantía. Lo anterior sin perjuicio de que excepcionalmente, de acuerdo con las causales establecidas en el artículo 2, numeral 4, de la Ley 1150 de 2007 puedan acudir a la contratación directa. Esto simplemente reitera la idea orientadora, en el sentido de que al tratarse de entidades estatales sometidas al EGCAP, cuando fungen como contratantes, para seleccionar a sus </w:t>
      </w:r>
      <w:r w:rsidRPr="002D69F0">
        <w:rPr>
          <w:rFonts w:ascii="Verdana" w:hAnsi="Verdana" w:cs="Arial"/>
          <w:sz w:val="22"/>
          <w:szCs w:val="22"/>
        </w:rPr>
        <w:lastRenderedPageBreak/>
        <w:t xml:space="preserve">contratistas deberán aplicar los procedimientos de selección establecidos para las entidades sometidas a dicho estatuto contractual. </w:t>
      </w:r>
    </w:p>
    <w:p w14:paraId="35CAC107" w14:textId="77777777" w:rsidR="006B13F8" w:rsidRDefault="006B13F8" w:rsidP="006B13F8">
      <w:pPr>
        <w:spacing w:before="120" w:after="120" w:line="276" w:lineRule="auto"/>
        <w:ind w:firstLine="709"/>
        <w:jc w:val="both"/>
        <w:rPr>
          <w:rFonts w:ascii="Verdana" w:eastAsia="Times New Roman" w:hAnsi="Verdana" w:cs="Arial"/>
          <w:shd w:val="clear" w:color="auto" w:fill="FFFFFF"/>
        </w:rPr>
      </w:pPr>
      <w:r>
        <w:rPr>
          <w:rFonts w:ascii="Verdana" w:hAnsi="Verdana" w:cs="Arial"/>
        </w:rPr>
        <w:t xml:space="preserve">Por otra parte, </w:t>
      </w:r>
      <w:r>
        <w:rPr>
          <w:rFonts w:ascii="Verdana" w:eastAsia="Times New Roman" w:hAnsi="Verdana" w:cs="Arial"/>
          <w:shd w:val="clear" w:color="auto" w:fill="FFFFFF"/>
        </w:rPr>
        <w:t>l</w:t>
      </w:r>
      <w:r w:rsidRPr="00475E29">
        <w:rPr>
          <w:rFonts w:ascii="Verdana" w:eastAsia="Times New Roman" w:hAnsi="Verdana" w:cs="Arial"/>
          <w:shd w:val="clear" w:color="auto" w:fill="FFFFFF"/>
        </w:rPr>
        <w:t>a contratación directa es una modalidad de aplicación restrictiva, esto es, solo procede por las causales señaladas taxativamente en el numeral 4 del artículo 2 de la Ley 1150 de 2007 o las leyes que lo modifiquen o adicionen, ya que es una excepción al principio de libre concurrencia y competencia que aplica a los procedimientos de contratación, para que cualquier persona interesada en satisfacer la necesidad de una entidad pueda presentar una oferta. En la contratación directa no es necesario que la entidad reciba más de una oferta, la cual proviene de la persona que la entidad señala directamente y la invita a ofertar el servicio que se requiere.</w:t>
      </w:r>
    </w:p>
    <w:p w14:paraId="3E5BEC14" w14:textId="77777777" w:rsidR="006B13F8" w:rsidRDefault="006B13F8" w:rsidP="006B13F8">
      <w:pPr>
        <w:spacing w:before="120" w:after="120" w:line="276" w:lineRule="auto"/>
        <w:ind w:firstLine="709"/>
        <w:jc w:val="both"/>
        <w:rPr>
          <w:rFonts w:ascii="Verdana" w:eastAsia="Times New Roman" w:hAnsi="Verdana" w:cs="Arial"/>
          <w:shd w:val="clear" w:color="auto" w:fill="FFFFFF"/>
        </w:rPr>
      </w:pPr>
      <w:r w:rsidRPr="00475E29">
        <w:rPr>
          <w:rFonts w:ascii="Verdana" w:eastAsia="Times New Roman" w:hAnsi="Verdana" w:cs="Arial"/>
          <w:shd w:val="clear" w:color="auto" w:fill="FFFFFF"/>
        </w:rPr>
        <w:t>Lo anterior puede obedecer a que el proponente es único, o a que el legislador privilegió algunos objetos contractuales u oferentes para contratarlos de manera directa, lo cual implica que el procedimiento es simplificado, corto, ágil y expedito, por no exigir una convocatoria pública, sin que esto obvie garantizar los principios rectores de la contratación pública.</w:t>
      </w:r>
    </w:p>
    <w:p w14:paraId="677CA07E" w14:textId="4A0A9E31" w:rsidR="006B13F8" w:rsidRPr="00475E29" w:rsidRDefault="006B13F8" w:rsidP="006B13F8">
      <w:pPr>
        <w:spacing w:before="120" w:line="276" w:lineRule="auto"/>
        <w:ind w:firstLine="708"/>
        <w:contextualSpacing/>
        <w:jc w:val="both"/>
        <w:rPr>
          <w:rFonts w:ascii="Verdana" w:eastAsia="Times New Roman" w:hAnsi="Verdana" w:cs="Arial"/>
          <w:shd w:val="clear" w:color="auto" w:fill="FFFFFF"/>
        </w:rPr>
      </w:pPr>
      <w:r w:rsidRPr="00475E29">
        <w:rPr>
          <w:rFonts w:ascii="Verdana" w:eastAsia="Times New Roman" w:hAnsi="Verdana" w:cs="Arial"/>
          <w:shd w:val="clear" w:color="auto" w:fill="FFFFFF"/>
        </w:rPr>
        <w:t xml:space="preserve">En todo caso, las entidades deben </w:t>
      </w:r>
      <w:r w:rsidR="6CF67550" w:rsidRPr="00475E29">
        <w:rPr>
          <w:rFonts w:ascii="Verdana" w:eastAsia="Times New Roman" w:hAnsi="Verdana" w:cs="Arial"/>
          <w:shd w:val="clear" w:color="auto" w:fill="FFFFFF"/>
        </w:rPr>
        <w:t xml:space="preserve">propender por </w:t>
      </w:r>
      <w:r w:rsidRPr="00475E29">
        <w:rPr>
          <w:rFonts w:ascii="Verdana" w:eastAsia="Times New Roman" w:hAnsi="Verdana" w:cs="Arial"/>
          <w:shd w:val="clear" w:color="auto" w:fill="FFFFFF"/>
        </w:rPr>
        <w:t>escoger a sus contratistas a través de procesos en los que participe una pluralidad de oferentes, prevaleciendo entre ellos, como regla general, la licitación pública, y dependiendo de las características o especialidad del bien o servicio o su cuantía, adelantarán un proceso en el que existan varias ofertas por las modalidades de selección de abreviada, concurso de méritos o mínima cuantía; y solo de manera excepcional escogerán al contratista a través de la modalidad de selección de contratación directa. Al respecto, el Consejo de Estado indicó frente a la modalidad de selección de contratación directa que:</w:t>
      </w:r>
    </w:p>
    <w:p w14:paraId="3325EAD3" w14:textId="77777777" w:rsidR="006B13F8" w:rsidRPr="00475E29" w:rsidRDefault="006B13F8" w:rsidP="006B13F8">
      <w:pPr>
        <w:spacing w:before="120" w:line="276" w:lineRule="auto"/>
        <w:ind w:firstLine="708"/>
        <w:contextualSpacing/>
        <w:jc w:val="both"/>
        <w:rPr>
          <w:rFonts w:ascii="Verdana" w:eastAsia="Times New Roman" w:hAnsi="Verdana" w:cs="Arial"/>
          <w:shd w:val="clear" w:color="auto" w:fill="FFFFFF"/>
          <w:lang w:bidi="es-ES"/>
        </w:rPr>
      </w:pPr>
      <w:r w:rsidRPr="00475E29">
        <w:rPr>
          <w:rFonts w:ascii="Verdana" w:eastAsia="Times New Roman" w:hAnsi="Verdana" w:cs="Arial"/>
          <w:shd w:val="clear" w:color="auto" w:fill="FFFFFF"/>
          <w:lang w:bidi="es-ES"/>
        </w:rPr>
        <w:tab/>
      </w:r>
    </w:p>
    <w:p w14:paraId="50AE6D74" w14:textId="77777777" w:rsidR="006B13F8" w:rsidRPr="00831251" w:rsidRDefault="006B13F8" w:rsidP="006B13F8">
      <w:pPr>
        <w:spacing w:before="120" w:line="276" w:lineRule="auto"/>
        <w:ind w:left="708"/>
        <w:contextualSpacing/>
        <w:jc w:val="both"/>
        <w:rPr>
          <w:rFonts w:ascii="Verdana" w:eastAsia="Times New Roman" w:hAnsi="Verdana" w:cs="Arial"/>
          <w:sz w:val="21"/>
          <w:szCs w:val="21"/>
          <w:shd w:val="clear" w:color="auto" w:fill="FFFFFF"/>
          <w:lang w:bidi="es-ES"/>
        </w:rPr>
      </w:pPr>
      <w:r w:rsidRPr="00831251">
        <w:rPr>
          <w:rFonts w:ascii="Verdana" w:eastAsia="Times New Roman" w:hAnsi="Verdana" w:cs="Arial"/>
          <w:sz w:val="21"/>
          <w:szCs w:val="21"/>
          <w:shd w:val="clear" w:color="auto" w:fill="FFFFFF"/>
          <w:lang w:bidi="es-ES"/>
        </w:rPr>
        <w:t xml:space="preserve">[...] No obstante, si bien la administración tiene la posibilidad de celebrar este tipo de contratos, sin acudir a licitación o concurso público, tal libertad no es absoluta, toda vez que en la selección del contratista se “deberá garantizar el cumplimiento de los principios de economía, transparencia y en especial el deber de selección objetiva, establecidos en la Ley 80 de 1993”. En efecto, en la contratación, ya sea de manera directa o a través de licitación o concurso públicos, la administración está obligada a respetar principios que rigen la contratación estatal y, especialmente, ciertos criterios de selección objetiva a la hora de escoger el contratista al que se le adjudicará el contrato. Respecto a la contratación directa, en interpretación de la norma precitada, </w:t>
      </w:r>
      <w:r w:rsidRPr="00831251">
        <w:rPr>
          <w:rFonts w:ascii="Verdana" w:eastAsia="Times New Roman" w:hAnsi="Verdana" w:cs="Arial"/>
          <w:sz w:val="21"/>
          <w:szCs w:val="21"/>
          <w:shd w:val="clear" w:color="auto" w:fill="FFFFFF"/>
          <w:lang w:bidi="es-ES"/>
        </w:rPr>
        <w:lastRenderedPageBreak/>
        <w:t>la sala observa que, con anterioridad a la suscripción del contrato, es deber de la administración hacer un análisis previo a la suscripción del contrato, análisis en el cual se deberán examinar factores tales como experiencia, equipos, capacidad económica, precios, entre otros, con el fin de determinar si la propuesta presentada resulta ser la más ventajosa para la entidad que contrata [...]</w:t>
      </w:r>
      <w:r w:rsidRPr="00831251">
        <w:rPr>
          <w:rFonts w:ascii="Verdana" w:eastAsia="Times New Roman" w:hAnsi="Verdana" w:cs="Arial"/>
          <w:sz w:val="21"/>
          <w:szCs w:val="21"/>
          <w:shd w:val="clear" w:color="auto" w:fill="FFFFFF"/>
          <w:vertAlign w:val="superscript"/>
          <w:lang w:bidi="es-ES"/>
        </w:rPr>
        <w:footnoteReference w:id="7"/>
      </w:r>
      <w:r w:rsidRPr="00831251">
        <w:rPr>
          <w:rFonts w:ascii="Verdana" w:eastAsia="Times New Roman" w:hAnsi="Verdana" w:cs="Arial"/>
          <w:sz w:val="21"/>
          <w:szCs w:val="21"/>
          <w:shd w:val="clear" w:color="auto" w:fill="FFFFFF"/>
          <w:lang w:bidi="es-ES"/>
        </w:rPr>
        <w:t>.</w:t>
      </w:r>
    </w:p>
    <w:p w14:paraId="4EA9DBF3" w14:textId="77777777" w:rsidR="006B13F8" w:rsidRPr="00475E29" w:rsidRDefault="006B13F8" w:rsidP="006B13F8">
      <w:pPr>
        <w:spacing w:before="120" w:line="276" w:lineRule="auto"/>
        <w:ind w:firstLine="708"/>
        <w:contextualSpacing/>
        <w:jc w:val="both"/>
        <w:rPr>
          <w:rFonts w:ascii="Verdana" w:eastAsia="Times New Roman" w:hAnsi="Verdana" w:cs="Arial"/>
          <w:shd w:val="clear" w:color="auto" w:fill="FFFFFF"/>
        </w:rPr>
      </w:pPr>
    </w:p>
    <w:p w14:paraId="6567C6D3" w14:textId="77777777" w:rsidR="006B13F8" w:rsidRPr="00475E29" w:rsidRDefault="006B13F8" w:rsidP="006B13F8">
      <w:pPr>
        <w:spacing w:before="120" w:line="276" w:lineRule="auto"/>
        <w:ind w:firstLine="708"/>
        <w:contextualSpacing/>
        <w:jc w:val="both"/>
        <w:rPr>
          <w:rFonts w:ascii="Verdana" w:eastAsia="Times New Roman" w:hAnsi="Verdana" w:cs="Arial"/>
          <w:shd w:val="clear" w:color="auto" w:fill="FFFFFF"/>
        </w:rPr>
      </w:pPr>
      <w:r w:rsidRPr="00475E29">
        <w:rPr>
          <w:rFonts w:ascii="Verdana" w:eastAsia="Times New Roman" w:hAnsi="Verdana" w:cs="Arial"/>
          <w:shd w:val="clear" w:color="auto" w:fill="FFFFFF"/>
        </w:rPr>
        <w:t xml:space="preserve">Existe una diferencia fundamental con otras modalidades de selección, y es que en la contratación directa no se otorga puntaje a las ofertas para ponderarlas y elegir el ofrecimiento más favorable, ya que la entidad recibe solo una. Lo anterior es complementado por el Consejo de Estado, al definir qué significa contratación directa: </w:t>
      </w:r>
    </w:p>
    <w:p w14:paraId="59438CC7" w14:textId="77777777" w:rsidR="006B13F8" w:rsidRPr="00475E29" w:rsidRDefault="006B13F8" w:rsidP="006B13F8">
      <w:pPr>
        <w:spacing w:before="120" w:line="276" w:lineRule="auto"/>
        <w:ind w:firstLine="708"/>
        <w:contextualSpacing/>
        <w:jc w:val="both"/>
        <w:rPr>
          <w:rFonts w:ascii="Verdana" w:eastAsia="Times New Roman" w:hAnsi="Verdana" w:cs="Arial"/>
          <w:shd w:val="clear" w:color="auto" w:fill="FFFFFF"/>
        </w:rPr>
      </w:pPr>
    </w:p>
    <w:p w14:paraId="0F7C9F5D" w14:textId="77777777" w:rsidR="006B13F8" w:rsidRPr="00475E29" w:rsidRDefault="006B13F8" w:rsidP="006B13F8">
      <w:pPr>
        <w:spacing w:before="120" w:line="276" w:lineRule="auto"/>
        <w:ind w:left="708"/>
        <w:contextualSpacing/>
        <w:jc w:val="both"/>
        <w:rPr>
          <w:rFonts w:ascii="Verdana" w:eastAsia="Times New Roman" w:hAnsi="Verdana" w:cs="Arial"/>
          <w:sz w:val="20"/>
          <w:szCs w:val="20"/>
          <w:shd w:val="clear" w:color="auto" w:fill="FFFFFF"/>
        </w:rPr>
      </w:pPr>
      <w:r w:rsidRPr="00831251">
        <w:rPr>
          <w:rFonts w:ascii="Verdana" w:eastAsia="Times New Roman" w:hAnsi="Verdana" w:cs="Arial"/>
          <w:sz w:val="21"/>
          <w:szCs w:val="21"/>
          <w:shd w:val="clear" w:color="auto" w:fill="FFFFFF"/>
          <w:lang w:bidi="es-ES"/>
        </w:rPr>
        <w:t xml:space="preserve">Se define la expresión contratación directa entendida como cualquier mecanismo de escogencia del contratista en el que se prescinde de la licitación o concurso, sin que se tenga en cuenta por el legislador estatutario el régimen de contratación aplicable, ya sea contenido en el Estatuto General de Contratación de la Administración Pública - ley 80 de 1993 -, o uno especial </w:t>
      </w:r>
      <w:proofErr w:type="gramStart"/>
      <w:r w:rsidRPr="00831251">
        <w:rPr>
          <w:rFonts w:ascii="Verdana" w:eastAsia="Times New Roman" w:hAnsi="Verdana" w:cs="Arial"/>
          <w:sz w:val="21"/>
          <w:szCs w:val="21"/>
          <w:shd w:val="clear" w:color="auto" w:fill="FFFFFF"/>
          <w:lang w:bidi="es-ES"/>
        </w:rPr>
        <w:t>en razón del</w:t>
      </w:r>
      <w:proofErr w:type="gramEnd"/>
      <w:r w:rsidRPr="00831251">
        <w:rPr>
          <w:rFonts w:ascii="Verdana" w:eastAsia="Times New Roman" w:hAnsi="Verdana" w:cs="Arial"/>
          <w:sz w:val="21"/>
          <w:szCs w:val="21"/>
          <w:shd w:val="clear" w:color="auto" w:fill="FFFFFF"/>
          <w:lang w:bidi="es-ES"/>
        </w:rPr>
        <w:t xml:space="preserve"> objeto del contrato o del órgano que contrata. Para los efectos de la ley de garantías, y dada su finalidad, el enunciado ‘contratación directa’ es sinónimo de cualquier sistema diferente de la licitación pública, y no del procedimiento especial regulado por la ley 80 de 1993</w:t>
      </w:r>
      <w:r w:rsidRPr="00475E29">
        <w:rPr>
          <w:rFonts w:ascii="Verdana" w:eastAsia="Times New Roman" w:hAnsi="Verdana" w:cs="Arial"/>
          <w:sz w:val="20"/>
          <w:szCs w:val="20"/>
          <w:shd w:val="clear" w:color="auto" w:fill="FFFFFF"/>
          <w:vertAlign w:val="superscript"/>
        </w:rPr>
        <w:footnoteReference w:id="8"/>
      </w:r>
      <w:r w:rsidRPr="00475E29">
        <w:rPr>
          <w:rFonts w:ascii="Verdana" w:eastAsia="Times New Roman" w:hAnsi="Verdana" w:cs="Arial"/>
          <w:sz w:val="20"/>
          <w:szCs w:val="20"/>
          <w:shd w:val="clear" w:color="auto" w:fill="FFFFFF"/>
        </w:rPr>
        <w:t>.</w:t>
      </w:r>
    </w:p>
    <w:p w14:paraId="3AFA69EF" w14:textId="77777777" w:rsidR="006B13F8" w:rsidRPr="00475E29" w:rsidRDefault="006B13F8" w:rsidP="006B13F8">
      <w:pPr>
        <w:spacing w:before="120" w:line="276" w:lineRule="auto"/>
        <w:ind w:firstLine="708"/>
        <w:contextualSpacing/>
        <w:jc w:val="both"/>
        <w:rPr>
          <w:rFonts w:ascii="Verdana" w:eastAsia="Times New Roman" w:hAnsi="Verdana" w:cs="Arial"/>
          <w:shd w:val="clear" w:color="auto" w:fill="FFFFFF"/>
        </w:rPr>
      </w:pPr>
    </w:p>
    <w:p w14:paraId="33BEC3AD" w14:textId="77777777" w:rsidR="006B13F8" w:rsidRPr="00475E29" w:rsidRDefault="006B13F8" w:rsidP="006B13F8">
      <w:pPr>
        <w:spacing w:before="120" w:after="120" w:line="276" w:lineRule="auto"/>
        <w:ind w:firstLine="709"/>
        <w:jc w:val="both"/>
        <w:rPr>
          <w:rFonts w:ascii="Verdana" w:eastAsia="Times New Roman" w:hAnsi="Verdana" w:cs="Arial"/>
          <w:shd w:val="clear" w:color="auto" w:fill="FFFFFF"/>
        </w:rPr>
      </w:pPr>
      <w:r w:rsidRPr="00475E29">
        <w:rPr>
          <w:rFonts w:ascii="Verdana" w:eastAsia="Times New Roman" w:hAnsi="Verdana" w:cs="Arial"/>
          <w:shd w:val="clear" w:color="auto" w:fill="FFFFFF"/>
        </w:rPr>
        <w:t xml:space="preserve">Por su parte, el artículo 2, numeral 4, literal c), de la Ley 1150 de 2007, señala que, de manera excepcional, las entidades estatales pueden contratar directamente, entre otras, los </w:t>
      </w:r>
      <w:r>
        <w:rPr>
          <w:rFonts w:ascii="Verdana" w:eastAsia="Times New Roman" w:hAnsi="Verdana" w:cs="Arial"/>
          <w:shd w:val="clear" w:color="auto" w:fill="FFFFFF"/>
        </w:rPr>
        <w:t>“</w:t>
      </w:r>
      <w:r w:rsidRPr="00475E29">
        <w:rPr>
          <w:rFonts w:ascii="Verdana" w:eastAsia="Times New Roman" w:hAnsi="Verdana" w:cs="Arial"/>
          <w:shd w:val="clear" w:color="auto" w:fill="FFFFFF"/>
        </w:rPr>
        <w:t>Contratos interadministrativos, siempre que las obligaciones derivadas del mismo tengan relación directa con el objeto de la entidad ejecutora señalado en la ley o en sus reglamentos</w:t>
      </w:r>
      <w:r>
        <w:rPr>
          <w:rFonts w:ascii="Verdana" w:eastAsia="Times New Roman" w:hAnsi="Verdana" w:cs="Arial"/>
          <w:shd w:val="clear" w:color="auto" w:fill="FFFFFF"/>
        </w:rPr>
        <w:t>”</w:t>
      </w:r>
      <w:r w:rsidRPr="00475E29">
        <w:rPr>
          <w:rFonts w:ascii="Verdana" w:eastAsia="Times New Roman" w:hAnsi="Verdana" w:cs="Arial"/>
          <w:shd w:val="clear" w:color="auto" w:fill="FFFFFF"/>
        </w:rPr>
        <w:t xml:space="preserve">. No obstante, esta disposición exceptuó celebrar de manera directa contratos o convenios interadministrativos cuando se trate de un contrato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w:t>
      </w:r>
      <w:r w:rsidRPr="00475E29">
        <w:rPr>
          <w:rFonts w:ascii="Verdana" w:eastAsia="Times New Roman" w:hAnsi="Verdana" w:cs="Arial"/>
          <w:shd w:val="clear" w:color="auto" w:fill="FFFFFF"/>
        </w:rPr>
        <w:lastRenderedPageBreak/>
        <w:t>lucro conformadas por la asociación de entidades públicas, o las federaciones de entidades territoriales sean las ejecutoras. Estas entidades pueden ejecutar aquellos contratos siempre que resulten adjudicatarias en un proceso abierto y con la participación de una pluralidad de oferentes, pues en dichos casos la entidad estatal que así lo requiera deberá adelantar una licitación pública, concurso de méritos o selección abreviada</w:t>
      </w:r>
      <w:r w:rsidRPr="00475E29">
        <w:rPr>
          <w:rFonts w:ascii="Verdana" w:eastAsia="Times New Roman" w:hAnsi="Verdana" w:cs="Arial"/>
          <w:shd w:val="clear" w:color="auto" w:fill="FFFFFF"/>
          <w:vertAlign w:val="superscript"/>
        </w:rPr>
        <w:footnoteReference w:id="9"/>
      </w:r>
      <w:r w:rsidRPr="00475E29">
        <w:rPr>
          <w:rFonts w:ascii="Verdana" w:eastAsia="Times New Roman" w:hAnsi="Verdana" w:cs="Arial"/>
          <w:shd w:val="clear" w:color="auto" w:fill="FFFFFF"/>
        </w:rPr>
        <w:t>.</w:t>
      </w:r>
    </w:p>
    <w:p w14:paraId="3865931F" w14:textId="77777777" w:rsidR="006B13F8" w:rsidRDefault="006B13F8" w:rsidP="006B13F8">
      <w:pPr>
        <w:spacing w:before="120" w:after="120" w:line="276" w:lineRule="auto"/>
        <w:ind w:firstLine="709"/>
        <w:jc w:val="both"/>
        <w:rPr>
          <w:rFonts w:ascii="Verdana" w:eastAsia="Times New Roman" w:hAnsi="Verdana" w:cs="Arial"/>
          <w:shd w:val="clear" w:color="auto" w:fill="FFFFFF"/>
        </w:rPr>
      </w:pPr>
      <w:r w:rsidRPr="00475E29">
        <w:rPr>
          <w:rFonts w:ascii="Verdana" w:eastAsia="Times New Roman" w:hAnsi="Verdana" w:cs="Arial"/>
          <w:shd w:val="clear" w:color="auto" w:fill="FFFFFF"/>
        </w:rPr>
        <w:t xml:space="preserve">Si bien la Ley 1150 de 2007 establece que las entidades estatales pueden celebrar contratos o convenios interadministrativos de manera directa, siempre que las obligaciones derivadas del mismo tengan relación directa con el objeto de la entidad ejecutora, la misma establece excepciones a esta regla, la cual está condicionada a que ciertas tipologías contractuales sean ejecutadas por las entidades estatales allí previstas. Nótese que, pese a tratarse de entidades del Estado, la Ley no restringió su denominación de contrato interadministrativo, sino que exceptuó el procedimiento de selección del contratista. Asimismo, hay otras excepciones a la celebración de contratos interadministrativos, como la contemplada en el último párrafo del literal c, numeral 4, artículo 2 ibidem: </w:t>
      </w:r>
      <w:r>
        <w:rPr>
          <w:rFonts w:ascii="Verdana" w:eastAsia="Times New Roman" w:hAnsi="Verdana" w:cs="Arial"/>
          <w:shd w:val="clear" w:color="auto" w:fill="FFFFFF"/>
        </w:rPr>
        <w:t>“</w:t>
      </w:r>
      <w:r w:rsidRPr="00475E29">
        <w:rPr>
          <w:rFonts w:ascii="Verdana" w:eastAsia="Times New Roman" w:hAnsi="Verdana" w:cs="Arial"/>
          <w:shd w:val="clear" w:color="auto" w:fill="FFFFFF"/>
        </w:rPr>
        <w:t>Estarán exceptuados de la figura del contrato interadministrativo, los contratos de seguro de las entidades estatales</w:t>
      </w:r>
      <w:r>
        <w:rPr>
          <w:rFonts w:ascii="Verdana" w:eastAsia="Times New Roman" w:hAnsi="Verdana" w:cs="Arial"/>
          <w:shd w:val="clear" w:color="auto" w:fill="FFFFFF"/>
        </w:rPr>
        <w:t>”</w:t>
      </w:r>
      <w:r w:rsidRPr="00475E29">
        <w:rPr>
          <w:rFonts w:ascii="Verdana" w:eastAsia="Times New Roman" w:hAnsi="Verdana" w:cs="Arial"/>
          <w:shd w:val="clear" w:color="auto" w:fill="FFFFFF"/>
        </w:rPr>
        <w:t>.</w:t>
      </w:r>
    </w:p>
    <w:p w14:paraId="2BC9ECD9" w14:textId="77777777" w:rsidR="006B13F8" w:rsidRDefault="006B13F8" w:rsidP="006B13F8">
      <w:pPr>
        <w:spacing w:before="120" w:line="276" w:lineRule="auto"/>
        <w:ind w:firstLine="708"/>
        <w:contextualSpacing/>
        <w:jc w:val="both"/>
        <w:rPr>
          <w:rFonts w:ascii="Verdana" w:eastAsia="Times New Roman" w:hAnsi="Verdana" w:cs="Arial"/>
          <w:shd w:val="clear" w:color="auto" w:fill="FFFFFF"/>
        </w:rPr>
      </w:pPr>
      <w:r w:rsidRPr="00475E29">
        <w:rPr>
          <w:rFonts w:ascii="Verdana" w:eastAsia="Times New Roman" w:hAnsi="Verdana" w:cs="Arial"/>
          <w:shd w:val="clear" w:color="auto" w:fill="FFFFFF"/>
        </w:rPr>
        <w:t>Así las cosas, la Ley no limitó la celebración de contratos interadministrativos a la modalidad de selección de contratación directa; solo estableció, excepcionalmente, su celebración de manera directa cuando dos o más entidades del Estado, con el fin de materializar funciones administrativas de interés común para ambas partes, celebran un negocio jurídico. No obstante, es posible que se celebren contratos interadministrativos en el marco de un proceso donde sea posible la participación 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 sino, entre otras cosas, de la calidad de las partes que lo suscriben, es decir, debe tratarse de entidades estatales.</w:t>
      </w:r>
    </w:p>
    <w:p w14:paraId="7C8FF979" w14:textId="77777777" w:rsidR="006B13F8" w:rsidRPr="00553BC6" w:rsidRDefault="006B13F8" w:rsidP="006B13F8">
      <w:pPr>
        <w:widowControl w:val="0"/>
        <w:autoSpaceDE w:val="0"/>
        <w:autoSpaceDN w:val="0"/>
        <w:spacing w:after="0" w:line="276" w:lineRule="auto"/>
        <w:jc w:val="both"/>
        <w:rPr>
          <w:rFonts w:ascii="Verdana" w:hAnsi="Verdana" w:cs="Arial"/>
        </w:rPr>
      </w:pPr>
    </w:p>
    <w:p w14:paraId="3A62A373" w14:textId="77777777" w:rsidR="006B13F8" w:rsidRPr="00553BC6" w:rsidRDefault="006B13F8" w:rsidP="006B13F8">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553BC6">
        <w:rPr>
          <w:rFonts w:ascii="Verdana" w:eastAsia="Century Gothic" w:hAnsi="Verdana" w:cs="Century Gothic"/>
          <w:b/>
          <w:bCs/>
          <w:lang w:val="es-ES"/>
        </w:rPr>
        <w:t>Referencias normativas, jurisprudenciales y otras fuentes:</w:t>
      </w:r>
    </w:p>
    <w:p w14:paraId="75253C6E" w14:textId="77777777" w:rsidR="006B13F8" w:rsidRPr="00553BC6" w:rsidRDefault="006B13F8" w:rsidP="006B13F8">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B13F8" w:rsidRPr="00553BC6" w14:paraId="548D710D" w14:textId="77777777" w:rsidTr="00CA720D">
        <w:trPr>
          <w:trHeight w:val="65"/>
        </w:trPr>
        <w:tc>
          <w:tcPr>
            <w:tcW w:w="8647" w:type="dxa"/>
          </w:tcPr>
          <w:p w14:paraId="308C3702" w14:textId="77777777" w:rsidR="006B13F8" w:rsidRPr="00553BC6" w:rsidRDefault="006B13F8" w:rsidP="00CA720D">
            <w:pPr>
              <w:numPr>
                <w:ilvl w:val="0"/>
                <w:numId w:val="17"/>
              </w:numPr>
              <w:jc w:val="both"/>
              <w:rPr>
                <w:rFonts w:ascii="Verdana" w:eastAsia="Calibri" w:hAnsi="Verdana" w:cs="Arial"/>
                <w:color w:val="000000"/>
                <w:lang w:eastAsia="es-ES"/>
              </w:rPr>
            </w:pPr>
            <w:r w:rsidRPr="00553BC6">
              <w:rPr>
                <w:rFonts w:ascii="Verdana" w:eastAsia="Calibri" w:hAnsi="Verdana" w:cs="Arial"/>
                <w:color w:val="000000"/>
                <w:lang w:val="es-ES_tradnl"/>
              </w:rPr>
              <w:t>Ley 80 de 1993, artículo 2</w:t>
            </w:r>
            <w:r>
              <w:rPr>
                <w:rFonts w:ascii="Verdana" w:eastAsia="Calibri" w:hAnsi="Verdana" w:cs="Arial"/>
                <w:color w:val="000000"/>
                <w:lang w:val="es-ES_tradnl"/>
              </w:rPr>
              <w:t>.</w:t>
            </w:r>
          </w:p>
          <w:p w14:paraId="0E2702B3" w14:textId="77777777" w:rsidR="006B13F8" w:rsidRPr="00553BC6" w:rsidRDefault="006B13F8" w:rsidP="00CA720D">
            <w:pPr>
              <w:numPr>
                <w:ilvl w:val="0"/>
                <w:numId w:val="17"/>
              </w:numPr>
              <w:jc w:val="both"/>
              <w:rPr>
                <w:rFonts w:ascii="Verdana" w:eastAsia="Calibri" w:hAnsi="Verdana" w:cs="Arial"/>
                <w:color w:val="000000"/>
                <w:lang w:eastAsia="es-ES"/>
              </w:rPr>
            </w:pPr>
            <w:r w:rsidRPr="00553BC6">
              <w:rPr>
                <w:rFonts w:ascii="Verdana" w:eastAsia="Calibri" w:hAnsi="Verdana" w:cs="Arial"/>
                <w:color w:val="000000"/>
                <w:lang w:eastAsia="es-ES"/>
              </w:rPr>
              <w:t xml:space="preserve">Ley 1150 de 2007, </w:t>
            </w:r>
            <w:r w:rsidRPr="00553BC6">
              <w:rPr>
                <w:rFonts w:ascii="Verdana" w:eastAsia="Calibri" w:hAnsi="Verdana" w:cs="Arial"/>
                <w:color w:val="000000" w:themeColor="text1"/>
              </w:rPr>
              <w:t>artículo</w:t>
            </w:r>
            <w:r>
              <w:rPr>
                <w:rFonts w:ascii="Verdana" w:eastAsia="Calibri" w:hAnsi="Verdana" w:cs="Arial"/>
                <w:color w:val="000000" w:themeColor="text1"/>
              </w:rPr>
              <w:t>s</w:t>
            </w:r>
            <w:r w:rsidRPr="00553BC6">
              <w:rPr>
                <w:rFonts w:ascii="Verdana" w:eastAsia="Calibri" w:hAnsi="Verdana" w:cs="Arial"/>
                <w:color w:val="000000" w:themeColor="text1"/>
              </w:rPr>
              <w:t xml:space="preserve"> </w:t>
            </w:r>
            <w:r>
              <w:rPr>
                <w:rFonts w:ascii="Verdana" w:eastAsia="Calibri" w:hAnsi="Verdana" w:cs="Arial"/>
                <w:color w:val="000000" w:themeColor="text1"/>
              </w:rPr>
              <w:t>2 y 10.</w:t>
            </w:r>
          </w:p>
          <w:p w14:paraId="099F3EA2" w14:textId="77777777" w:rsidR="006B13F8" w:rsidRPr="00203D55" w:rsidRDefault="006B13F8" w:rsidP="00CA720D">
            <w:pPr>
              <w:numPr>
                <w:ilvl w:val="0"/>
                <w:numId w:val="17"/>
              </w:numPr>
              <w:jc w:val="both"/>
              <w:rPr>
                <w:rFonts w:ascii="Verdana" w:eastAsia="Calibri" w:hAnsi="Verdana" w:cs="Arial"/>
                <w:color w:val="000000"/>
                <w:lang w:val="es-ES_tradnl"/>
              </w:rPr>
            </w:pPr>
            <w:r w:rsidRPr="00203D55">
              <w:rPr>
                <w:rFonts w:ascii="Verdana" w:eastAsia="Calibri" w:hAnsi="Verdana" w:cs="Arial"/>
                <w:color w:val="000000"/>
                <w:lang w:val="es-ES_tradnl"/>
              </w:rPr>
              <w:t>Ley 136 de 1994, artículo 148 y siguientes.</w:t>
            </w:r>
          </w:p>
          <w:p w14:paraId="3D3289C5" w14:textId="77777777" w:rsidR="006B13F8" w:rsidRPr="00203D55" w:rsidRDefault="006B13F8" w:rsidP="00CA720D">
            <w:pPr>
              <w:numPr>
                <w:ilvl w:val="0"/>
                <w:numId w:val="17"/>
              </w:numPr>
              <w:jc w:val="both"/>
              <w:rPr>
                <w:rFonts w:ascii="Verdana" w:eastAsia="Calibri" w:hAnsi="Verdana" w:cs="Arial"/>
                <w:color w:val="000000"/>
                <w:lang w:val="es-ES_tradnl"/>
              </w:rPr>
            </w:pPr>
            <w:r w:rsidRPr="00203D55">
              <w:rPr>
                <w:rFonts w:ascii="Verdana" w:eastAsia="Calibri" w:hAnsi="Verdana" w:cs="Arial"/>
                <w:color w:val="000000"/>
                <w:lang w:val="es-ES_tradnl"/>
              </w:rPr>
              <w:t>Ley 1454 de 2011, artículo 17.</w:t>
            </w:r>
          </w:p>
          <w:p w14:paraId="56DC17E4" w14:textId="77777777" w:rsidR="006B13F8" w:rsidRPr="00203D55" w:rsidRDefault="006B13F8" w:rsidP="00CA720D">
            <w:pPr>
              <w:numPr>
                <w:ilvl w:val="0"/>
                <w:numId w:val="17"/>
              </w:numPr>
              <w:jc w:val="both"/>
              <w:rPr>
                <w:rFonts w:ascii="Verdana" w:hAnsi="Verdana" w:cs="Arial"/>
              </w:rPr>
            </w:pPr>
            <w:r w:rsidRPr="00203D55">
              <w:rPr>
                <w:rFonts w:ascii="Verdana" w:eastAsia="Calibri" w:hAnsi="Verdana" w:cs="Arial"/>
                <w:color w:val="000000"/>
                <w:lang w:val="es-ES_tradnl"/>
              </w:rPr>
              <w:t>Ley 489 de 1998, artículo 95.</w:t>
            </w:r>
          </w:p>
        </w:tc>
      </w:tr>
    </w:tbl>
    <w:p w14:paraId="5136D6CA" w14:textId="77777777" w:rsidR="006B13F8" w:rsidRPr="00553BC6" w:rsidRDefault="006B13F8" w:rsidP="006B13F8">
      <w:pPr>
        <w:widowControl w:val="0"/>
        <w:autoSpaceDE w:val="0"/>
        <w:autoSpaceDN w:val="0"/>
        <w:spacing w:after="0" w:line="276" w:lineRule="auto"/>
        <w:jc w:val="both"/>
        <w:rPr>
          <w:rFonts w:ascii="Verdana" w:hAnsi="Verdana" w:cs="Arial"/>
        </w:rPr>
      </w:pPr>
    </w:p>
    <w:p w14:paraId="3FDADFC5" w14:textId="77777777" w:rsidR="006B13F8" w:rsidRPr="00553BC6" w:rsidRDefault="006B13F8" w:rsidP="006B13F8">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553BC6">
        <w:rPr>
          <w:rFonts w:ascii="Verdana" w:eastAsia="Century Gothic" w:hAnsi="Verdana" w:cs="Century Gothic"/>
          <w:b/>
          <w:bCs/>
          <w:lang w:val="es-ES"/>
        </w:rPr>
        <w:t>Doctrina de la Agencia Nacional de Contratación Pública:</w:t>
      </w:r>
    </w:p>
    <w:p w14:paraId="4AC760FB" w14:textId="77777777" w:rsidR="006B13F8" w:rsidRPr="00553BC6" w:rsidRDefault="006B13F8" w:rsidP="006B13F8">
      <w:pPr>
        <w:widowControl w:val="0"/>
        <w:autoSpaceDE w:val="0"/>
        <w:autoSpaceDN w:val="0"/>
        <w:spacing w:after="0" w:line="276" w:lineRule="auto"/>
        <w:jc w:val="both"/>
        <w:rPr>
          <w:rFonts w:ascii="Verdana" w:hAnsi="Verdana" w:cs="Arial"/>
        </w:rPr>
      </w:pPr>
    </w:p>
    <w:p w14:paraId="5DE063E9" w14:textId="77777777" w:rsidR="006B13F8" w:rsidRPr="00553BC6" w:rsidRDefault="006B13F8" w:rsidP="006B13F8">
      <w:pPr>
        <w:widowControl w:val="0"/>
        <w:autoSpaceDE w:val="0"/>
        <w:autoSpaceDN w:val="0"/>
        <w:spacing w:after="0" w:line="276" w:lineRule="auto"/>
        <w:jc w:val="both"/>
        <w:rPr>
          <w:rFonts w:ascii="Verdana" w:hAnsi="Verdana" w:cs="Arial"/>
          <w:shd w:val="clear" w:color="auto" w:fill="FFFFFF"/>
          <w:lang w:val="es-ES"/>
        </w:rPr>
      </w:pPr>
      <w:r w:rsidRPr="00553BC6">
        <w:rPr>
          <w:rFonts w:ascii="Verdana" w:hAnsi="Verdana" w:cs="Arial"/>
          <w:shd w:val="clear" w:color="auto" w:fill="FFFFFF"/>
          <w:lang w:val="es-ES"/>
        </w:rPr>
        <w:t xml:space="preserve">Sobre </w:t>
      </w:r>
      <w:r w:rsidRPr="00475E29">
        <w:rPr>
          <w:rFonts w:ascii="Verdana" w:eastAsia="Times New Roman" w:hAnsi="Verdana" w:cs="Arial"/>
          <w:color w:val="000000"/>
          <w:lang w:val="es-ES_tradnl"/>
        </w:rPr>
        <w:t>las asociaciones de municipios</w:t>
      </w:r>
      <w:r w:rsidRPr="00553BC6">
        <w:rPr>
          <w:rFonts w:ascii="Verdana" w:hAnsi="Verdana" w:cs="Arial"/>
          <w:shd w:val="clear" w:color="auto" w:fill="FFFFFF"/>
          <w:lang w:val="es-ES"/>
        </w:rPr>
        <w:t xml:space="preserve">, se pronunció esta Subdirección en los conceptos </w:t>
      </w:r>
      <w:r w:rsidRPr="00C06061">
        <w:rPr>
          <w:rFonts w:ascii="Verdana" w:hAnsi="Verdana" w:cs="Arial"/>
          <w:shd w:val="clear" w:color="auto" w:fill="FFFFFF"/>
          <w:lang w:val="es-ES"/>
        </w:rPr>
        <w:t>C-788 del 21 de enero de 2021, C-054 del 10 de marzo de 2021, C-116 del 30 de marzo de 2021, C-149 de 8 de abril de 2021, C-284 del 18 de junio de 2021</w:t>
      </w:r>
      <w:r>
        <w:rPr>
          <w:rFonts w:ascii="Verdana" w:hAnsi="Verdana" w:cs="Arial"/>
          <w:shd w:val="clear" w:color="auto" w:fill="FFFFFF"/>
          <w:lang w:val="es-ES"/>
        </w:rPr>
        <w:t xml:space="preserve">, </w:t>
      </w:r>
      <w:r w:rsidRPr="00C06061">
        <w:rPr>
          <w:rFonts w:ascii="Verdana" w:hAnsi="Verdana" w:cs="Arial"/>
          <w:shd w:val="clear" w:color="auto" w:fill="FFFFFF"/>
          <w:lang w:val="es-ES"/>
        </w:rPr>
        <w:t>C-554 de</w:t>
      </w:r>
      <w:r>
        <w:rPr>
          <w:rFonts w:ascii="Verdana" w:hAnsi="Verdana" w:cs="Arial"/>
          <w:shd w:val="clear" w:color="auto" w:fill="FFFFFF"/>
          <w:lang w:val="es-ES"/>
        </w:rPr>
        <w:t>l 6 de octubre de</w:t>
      </w:r>
      <w:r w:rsidRPr="00C06061">
        <w:rPr>
          <w:rFonts w:ascii="Verdana" w:hAnsi="Verdana" w:cs="Arial"/>
          <w:shd w:val="clear" w:color="auto" w:fill="FFFFFF"/>
          <w:lang w:val="es-ES"/>
        </w:rPr>
        <w:t xml:space="preserve"> 2021</w:t>
      </w:r>
      <w:r>
        <w:rPr>
          <w:rFonts w:ascii="Verdana" w:hAnsi="Verdana" w:cs="Arial"/>
          <w:shd w:val="clear" w:color="auto" w:fill="FFFFFF"/>
          <w:lang w:val="es-ES"/>
        </w:rPr>
        <w:t>,</w:t>
      </w:r>
      <w:r w:rsidRPr="00553BC6">
        <w:rPr>
          <w:rFonts w:ascii="Verdana" w:hAnsi="Verdana" w:cs="Arial"/>
          <w:shd w:val="clear" w:color="auto" w:fill="FFFFFF"/>
          <w:lang w:val="es-ES"/>
        </w:rPr>
        <w:t xml:space="preserve"> C-</w:t>
      </w:r>
      <w:r>
        <w:rPr>
          <w:rFonts w:ascii="Verdana" w:hAnsi="Verdana" w:cs="Arial"/>
          <w:shd w:val="clear" w:color="auto" w:fill="FFFFFF"/>
          <w:lang w:val="es-ES"/>
        </w:rPr>
        <w:t>751</w:t>
      </w:r>
      <w:r w:rsidRPr="00553BC6">
        <w:rPr>
          <w:rFonts w:ascii="Verdana" w:hAnsi="Verdana" w:cs="Arial"/>
          <w:shd w:val="clear" w:color="auto" w:fill="FFFFFF"/>
          <w:lang w:val="es-ES"/>
        </w:rPr>
        <w:t xml:space="preserve"> del</w:t>
      </w:r>
      <w:r>
        <w:rPr>
          <w:rFonts w:ascii="Verdana" w:hAnsi="Verdana" w:cs="Arial"/>
          <w:shd w:val="clear" w:color="auto" w:fill="FFFFFF"/>
          <w:lang w:val="es-ES"/>
        </w:rPr>
        <w:t xml:space="preserve"> 6</w:t>
      </w:r>
      <w:r w:rsidRPr="00553BC6">
        <w:rPr>
          <w:rFonts w:ascii="Verdana" w:hAnsi="Verdana" w:cs="Arial"/>
          <w:shd w:val="clear" w:color="auto" w:fill="FFFFFF"/>
          <w:lang w:val="es-ES"/>
        </w:rPr>
        <w:t xml:space="preserve"> de </w:t>
      </w:r>
      <w:r>
        <w:rPr>
          <w:rFonts w:ascii="Verdana" w:hAnsi="Verdana" w:cs="Arial"/>
          <w:shd w:val="clear" w:color="auto" w:fill="FFFFFF"/>
          <w:lang w:val="es-ES"/>
        </w:rPr>
        <w:t>diciembre</w:t>
      </w:r>
      <w:r w:rsidRPr="00553BC6">
        <w:rPr>
          <w:rFonts w:ascii="Verdana" w:hAnsi="Verdana" w:cs="Arial"/>
          <w:shd w:val="clear" w:color="auto" w:fill="FFFFFF"/>
          <w:lang w:val="es-ES"/>
        </w:rPr>
        <w:t xml:space="preserve"> de 202</w:t>
      </w:r>
      <w:r>
        <w:rPr>
          <w:rFonts w:ascii="Verdana" w:hAnsi="Verdana" w:cs="Arial"/>
          <w:shd w:val="clear" w:color="auto" w:fill="FFFFFF"/>
          <w:lang w:val="es-ES"/>
        </w:rPr>
        <w:t>4 y C-432 del 14 de mayo de 2025</w:t>
      </w:r>
      <w:r w:rsidRPr="00553BC6">
        <w:rPr>
          <w:rFonts w:ascii="Verdana" w:hAnsi="Verdana" w:cs="Arial"/>
          <w:shd w:val="clear" w:color="auto" w:fill="FFFFFF"/>
          <w:lang w:val="es-ES"/>
        </w:rPr>
        <w:t>. Es</w:t>
      </w:r>
      <w:r w:rsidRPr="00553BC6">
        <w:rPr>
          <w:rFonts w:ascii="Verdana" w:hAnsi="Verdana"/>
        </w:rPr>
        <w:t>tos y otros conceptos se encuentran disponibles para consulta en el Sistema de relatoría de la Agencia, al cual se puede acceder a través del siguiente enlace:</w:t>
      </w:r>
      <w:r w:rsidRPr="00553BC6">
        <w:rPr>
          <w:rFonts w:ascii="Verdana" w:hAnsi="Verdana" w:cs="Arial"/>
          <w:shd w:val="clear" w:color="auto" w:fill="FFFFFF"/>
          <w:lang w:val="es-ES"/>
        </w:rPr>
        <w:t xml:space="preserve"> </w:t>
      </w:r>
      <w:hyperlink r:id="rId11" w:history="1">
        <w:r w:rsidRPr="00553BC6">
          <w:rPr>
            <w:rFonts w:ascii="Verdana" w:hAnsi="Verdana" w:cs="Arial"/>
            <w:u w:val="single"/>
            <w:shd w:val="clear" w:color="auto" w:fill="FFFFFF"/>
            <w:lang w:val="es-ES"/>
          </w:rPr>
          <w:t>https://relatoria.colombiacompra.gov.co/busqueda/conceptos</w:t>
        </w:r>
      </w:hyperlink>
    </w:p>
    <w:p w14:paraId="0465BC9D" w14:textId="77777777" w:rsidR="006B13F8" w:rsidRPr="00553BC6" w:rsidRDefault="006B13F8" w:rsidP="006B13F8">
      <w:pPr>
        <w:widowControl w:val="0"/>
        <w:autoSpaceDE w:val="0"/>
        <w:autoSpaceDN w:val="0"/>
        <w:spacing w:after="0" w:line="276" w:lineRule="auto"/>
        <w:jc w:val="both"/>
        <w:rPr>
          <w:rFonts w:ascii="Verdana" w:hAnsi="Verdana" w:cs="Arial"/>
          <w:shd w:val="clear" w:color="auto" w:fill="FFFFFF"/>
          <w:lang w:val="es-ES"/>
        </w:rPr>
      </w:pPr>
    </w:p>
    <w:p w14:paraId="4E0173C7" w14:textId="77777777" w:rsidR="006B13F8" w:rsidRPr="00553BC6" w:rsidRDefault="006B13F8" w:rsidP="006B13F8">
      <w:pPr>
        <w:spacing w:after="0" w:line="276" w:lineRule="auto"/>
        <w:jc w:val="both"/>
        <w:rPr>
          <w:rFonts w:ascii="Verdana" w:hAnsi="Verdana" w:cs="Arial"/>
          <w:shd w:val="clear" w:color="auto" w:fill="FFFFFF"/>
        </w:rPr>
      </w:pPr>
      <w:r w:rsidRPr="00553BC6">
        <w:rPr>
          <w:rFonts w:ascii="Verdana" w:hAnsi="Verdana" w:cs="Arial"/>
          <w:shd w:val="clear" w:color="auto" w:fill="FFFFFF"/>
        </w:rPr>
        <w:t>Te informamos que ya se encuentra disponible la </w:t>
      </w:r>
      <w:r w:rsidRPr="00553BC6">
        <w:rPr>
          <w:rFonts w:ascii="Verdana" w:hAnsi="Verdana" w:cs="Arial"/>
          <w:b/>
          <w:bCs/>
          <w:shd w:val="clear" w:color="auto" w:fill="FFFFFF"/>
        </w:rPr>
        <w:t>Cartilla para incentivar y fortalecer el acceso a las compras y contratación pública de los pueblos y comunidades étnicas en Colombia.</w:t>
      </w:r>
      <w:r w:rsidRPr="00553BC6">
        <w:rPr>
          <w:rFonts w:ascii="Verdana" w:hAnsi="Verdana" w:cs="Arial"/>
          <w:shd w:val="clear" w:color="auto" w:fill="FFFFFF"/>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2" w:tgtFrame="_blank" w:tooltip="Dirección URL original: https://www.colombiacompra.gov.co/manuales-guias-y-pliegos-tipo/manuales-y-guias/cartilla-para-incentivar-y-fortalecer-el-acceso-las. Haga clic o pulse si confía en este vínculo." w:history="1">
        <w:r w:rsidRPr="00553BC6">
          <w:rPr>
            <w:rFonts w:ascii="Verdana" w:hAnsi="Verdana" w:cs="Arial"/>
            <w:color w:val="0563C1" w:themeColor="hyperlink"/>
            <w:u w:val="single"/>
            <w:shd w:val="clear" w:color="auto" w:fill="FFFFFF"/>
          </w:rPr>
          <w:t>Cartilla para incentivar y fortalecer el acceso a las compras y contratación pública de los pueblos y comunidades étnicas en Colombia | Colombia Compra Eficiente | Agencia Nacional de Contratación Pública</w:t>
        </w:r>
      </w:hyperlink>
    </w:p>
    <w:p w14:paraId="28C38198" w14:textId="77777777" w:rsidR="006B13F8" w:rsidRPr="00553BC6" w:rsidRDefault="006B13F8" w:rsidP="006B13F8">
      <w:pPr>
        <w:spacing w:after="0" w:line="276" w:lineRule="auto"/>
        <w:jc w:val="both"/>
        <w:rPr>
          <w:rFonts w:ascii="Verdana" w:hAnsi="Verdana" w:cs="Arial"/>
          <w:shd w:val="clear" w:color="auto" w:fill="FFFFFF"/>
        </w:rPr>
      </w:pPr>
    </w:p>
    <w:p w14:paraId="6F4F7810" w14:textId="77777777" w:rsidR="006B13F8" w:rsidRPr="00553BC6" w:rsidRDefault="006B13F8" w:rsidP="006B13F8">
      <w:pPr>
        <w:spacing w:after="0" w:line="276" w:lineRule="auto"/>
        <w:jc w:val="both"/>
        <w:rPr>
          <w:rFonts w:ascii="Verdana" w:hAnsi="Verdana" w:cs="Arial"/>
          <w:shd w:val="clear" w:color="auto" w:fill="FFFFFF"/>
        </w:rPr>
      </w:pPr>
      <w:r w:rsidRPr="00553BC6">
        <w:rPr>
          <w:rFonts w:ascii="Verdana" w:hAnsi="Verdana" w:cs="Arial"/>
          <w:shd w:val="clear" w:color="auto" w:fill="FFFFFF"/>
        </w:rPr>
        <w:t>De otra parte, te informamos que, con el objetivo de garantizar un conocimiento adecuado de las </w:t>
      </w:r>
      <w:r w:rsidRPr="00553BC6">
        <w:rPr>
          <w:rFonts w:ascii="Verdana" w:hAnsi="Verdana" w:cs="Arial"/>
          <w:b/>
          <w:bCs/>
          <w:shd w:val="clear" w:color="auto" w:fill="FFFFFF"/>
        </w:rPr>
        <w:t>modificaciones y/o actualizaciones realizadas a los Documentos Tipo</w:t>
      </w:r>
      <w:r w:rsidRPr="00553BC6">
        <w:rPr>
          <w:rFonts w:ascii="Verdana" w:hAnsi="Verdana" w:cs="Arial"/>
          <w:shd w:val="clear" w:color="auto" w:fill="FFFFFF"/>
        </w:rPr>
        <w:t>, hemos programado una serie de </w:t>
      </w:r>
      <w:r w:rsidRPr="00553BC6">
        <w:rPr>
          <w:rFonts w:ascii="Verdana" w:hAnsi="Verdana" w:cs="Arial"/>
          <w:b/>
          <w:bCs/>
          <w:shd w:val="clear" w:color="auto" w:fill="FFFFFF"/>
        </w:rPr>
        <w:t>capacitaciones </w:t>
      </w:r>
      <w:r w:rsidRPr="00553BC6">
        <w:rPr>
          <w:rFonts w:ascii="Verdana" w:hAnsi="Verdana" w:cs="Arial"/>
          <w:shd w:val="clear" w:color="auto" w:fill="FFFFFF"/>
        </w:rPr>
        <w:t>dirigidas a todos los actores involucrados en los procesos de selección. Podrás conocer la programación y realizar tu inscripción a estas capacitaciones a través del siguiente enlace: </w:t>
      </w:r>
      <w:hyperlink r:id="rId13" w:tgtFrame="_blank" w:tooltip="Dirección URL original: https://www.colombiacompra.gov.co/ciudadanos/calendario. Haga clic o pulse si confía en este vínculo." w:history="1">
        <w:r w:rsidRPr="00553BC6">
          <w:rPr>
            <w:rFonts w:ascii="Verdana" w:hAnsi="Verdana" w:cs="Arial"/>
            <w:color w:val="0563C1" w:themeColor="hyperlink"/>
            <w:u w:val="single"/>
            <w:shd w:val="clear" w:color="auto" w:fill="FFFFFF"/>
          </w:rPr>
          <w:t>Calendario | Colombia Compra Eficiente | Agencia Nacional de Contratación Pública</w:t>
        </w:r>
      </w:hyperlink>
    </w:p>
    <w:p w14:paraId="56BDE177" w14:textId="77777777" w:rsidR="006B13F8" w:rsidRPr="00553BC6" w:rsidRDefault="006B13F8" w:rsidP="006B13F8">
      <w:pPr>
        <w:spacing w:after="0" w:line="276" w:lineRule="auto"/>
        <w:jc w:val="both"/>
        <w:rPr>
          <w:rFonts w:ascii="Verdana" w:hAnsi="Verdana" w:cs="Arial"/>
          <w:shd w:val="clear" w:color="auto" w:fill="FFFFFF"/>
        </w:rPr>
      </w:pPr>
    </w:p>
    <w:p w14:paraId="4D7F828C" w14:textId="77777777" w:rsidR="006B13F8" w:rsidRPr="00553BC6" w:rsidRDefault="006B13F8" w:rsidP="006B13F8">
      <w:pPr>
        <w:spacing w:after="0" w:line="276" w:lineRule="auto"/>
        <w:jc w:val="both"/>
        <w:rPr>
          <w:rFonts w:ascii="Verdana" w:hAnsi="Verdana" w:cs="Arial"/>
          <w:shd w:val="clear" w:color="auto" w:fill="FFFFFF"/>
        </w:rPr>
      </w:pPr>
      <w:r w:rsidRPr="00553BC6">
        <w:rPr>
          <w:rFonts w:ascii="Verdana" w:hAnsi="Verdana" w:cs="Arial"/>
          <w:shd w:val="clear" w:color="auto" w:fill="FFFFFF"/>
        </w:rPr>
        <w:lastRenderedPageBreak/>
        <w:t>También, te contamos que ya publicamos </w:t>
      </w:r>
      <w:r w:rsidRPr="00553BC6">
        <w:rPr>
          <w:rFonts w:ascii="Verdana" w:hAnsi="Verdana" w:cs="Arial"/>
          <w:b/>
          <w:bCs/>
          <w:shd w:val="clear" w:color="auto" w:fill="FFFFFF"/>
        </w:rPr>
        <w:t>la nueva Guía de Contratación Pública Sostenible y Socialmente Responsable</w:t>
      </w:r>
      <w:r w:rsidRPr="00553BC6">
        <w:rPr>
          <w:rFonts w:ascii="Verdana" w:hAnsi="Verdana" w:cs="Arial"/>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4" w:tgtFrame="_blank" w:tooltip="Dirección URL original: https://www.colombiacompra.gov.co/manuales-guias-y-pliegos-tipo/manuales-y-guias/guia-de-contratacion-publica-sostenible-y-socialmente. Haga clic o pulse si confía en este vínculo." w:history="1">
        <w:r w:rsidRPr="00553BC6">
          <w:rPr>
            <w:rFonts w:ascii="Verdana" w:hAnsi="Verdana" w:cs="Arial"/>
            <w:color w:val="0563C1" w:themeColor="hyperlink"/>
            <w:u w:val="single"/>
            <w:shd w:val="clear" w:color="auto" w:fill="FFFFFF"/>
          </w:rPr>
          <w:t>Guía de Contratación Pública Sostenible y Socialmente Responsable | Colombia Compra Eficiente | Agencia Nacional de Contratación Pública</w:t>
        </w:r>
      </w:hyperlink>
    </w:p>
    <w:p w14:paraId="2FC0196A" w14:textId="77777777" w:rsidR="006B13F8" w:rsidRPr="00553BC6" w:rsidRDefault="006B13F8" w:rsidP="006B13F8">
      <w:pPr>
        <w:spacing w:after="0" w:line="276" w:lineRule="auto"/>
        <w:jc w:val="both"/>
        <w:rPr>
          <w:rFonts w:ascii="Verdana" w:hAnsi="Verdana"/>
        </w:rPr>
      </w:pPr>
    </w:p>
    <w:p w14:paraId="779BC834" w14:textId="77777777" w:rsidR="006B13F8" w:rsidRPr="00553BC6" w:rsidRDefault="006B13F8" w:rsidP="006B13F8">
      <w:pPr>
        <w:spacing w:after="0" w:line="276" w:lineRule="auto"/>
        <w:jc w:val="both"/>
        <w:rPr>
          <w:rFonts w:ascii="Verdana" w:hAnsi="Verdana"/>
        </w:rPr>
      </w:pPr>
      <w:r w:rsidRPr="00553BC6">
        <w:rPr>
          <w:rFonts w:ascii="Verdana" w:hAnsi="Verdana"/>
        </w:rPr>
        <w:t xml:space="preserve">Por último, lo invitamos a seguirnos en las redes sociales en las cuales se difunde información institucional: </w:t>
      </w:r>
    </w:p>
    <w:p w14:paraId="2E5C64C8" w14:textId="77777777" w:rsidR="006B13F8" w:rsidRPr="00553BC6" w:rsidRDefault="006B13F8" w:rsidP="006B13F8">
      <w:pPr>
        <w:spacing w:after="0" w:line="276" w:lineRule="auto"/>
        <w:jc w:val="both"/>
        <w:rPr>
          <w:rFonts w:ascii="Verdana" w:hAnsi="Verdana"/>
        </w:rPr>
      </w:pPr>
    </w:p>
    <w:p w14:paraId="29932A18" w14:textId="77777777" w:rsidR="006B13F8" w:rsidRPr="00553BC6" w:rsidRDefault="006B13F8" w:rsidP="006B13F8">
      <w:pPr>
        <w:spacing w:after="0" w:line="276" w:lineRule="auto"/>
        <w:jc w:val="both"/>
        <w:rPr>
          <w:rFonts w:ascii="Verdana" w:hAnsi="Verdana"/>
        </w:rPr>
      </w:pPr>
      <w:r w:rsidRPr="00553BC6">
        <w:rPr>
          <w:rFonts w:ascii="Verdana" w:hAnsi="Verdana"/>
        </w:rPr>
        <w:t xml:space="preserve">Twitter: </w:t>
      </w:r>
      <w:r w:rsidRPr="00553BC6">
        <w:rPr>
          <w:rFonts w:ascii="Verdana" w:hAnsi="Verdana"/>
          <w:u w:val="single"/>
        </w:rPr>
        <w:t>@colombiacompra</w:t>
      </w:r>
      <w:r w:rsidRPr="00553BC6">
        <w:rPr>
          <w:rFonts w:ascii="Verdana" w:hAnsi="Verdana"/>
        </w:rPr>
        <w:t xml:space="preserve"> </w:t>
      </w:r>
    </w:p>
    <w:p w14:paraId="0DC2A19B" w14:textId="77777777" w:rsidR="006B13F8" w:rsidRPr="00553BC6" w:rsidRDefault="006B13F8" w:rsidP="006B13F8">
      <w:pPr>
        <w:spacing w:after="0" w:line="276" w:lineRule="auto"/>
        <w:jc w:val="both"/>
        <w:rPr>
          <w:rFonts w:ascii="Verdana" w:hAnsi="Verdana"/>
        </w:rPr>
      </w:pPr>
      <w:r w:rsidRPr="00553BC6">
        <w:rPr>
          <w:rFonts w:ascii="Verdana" w:hAnsi="Verdana"/>
        </w:rPr>
        <w:t xml:space="preserve">Facebook: </w:t>
      </w:r>
      <w:proofErr w:type="spellStart"/>
      <w:r w:rsidRPr="00553BC6">
        <w:rPr>
          <w:rFonts w:ascii="Verdana" w:hAnsi="Verdana"/>
          <w:u w:val="single"/>
        </w:rPr>
        <w:t>ColombiaCompraEficiente</w:t>
      </w:r>
      <w:proofErr w:type="spellEnd"/>
    </w:p>
    <w:p w14:paraId="7EBE6456" w14:textId="77777777" w:rsidR="006B13F8" w:rsidRPr="00553BC6" w:rsidRDefault="006B13F8" w:rsidP="006B13F8">
      <w:pPr>
        <w:spacing w:after="0" w:line="276" w:lineRule="auto"/>
        <w:jc w:val="both"/>
        <w:rPr>
          <w:rFonts w:ascii="Verdana" w:hAnsi="Verdana"/>
        </w:rPr>
      </w:pPr>
      <w:r w:rsidRPr="00553BC6">
        <w:rPr>
          <w:rFonts w:ascii="Verdana" w:hAnsi="Verdana"/>
        </w:rPr>
        <w:t xml:space="preserve">LinkedIn: </w:t>
      </w:r>
      <w:r w:rsidRPr="00553BC6">
        <w:rPr>
          <w:rFonts w:ascii="Verdana" w:hAnsi="Verdana"/>
          <w:u w:val="single"/>
        </w:rPr>
        <w:t>Agencia Nacional de Contratación Pública - Colombia Compra Eficiente</w:t>
      </w:r>
      <w:r w:rsidRPr="00553BC6">
        <w:rPr>
          <w:rFonts w:ascii="Verdana" w:hAnsi="Verdana"/>
        </w:rPr>
        <w:t xml:space="preserve"> Instagram: </w:t>
      </w:r>
      <w:r w:rsidRPr="00553BC6">
        <w:rPr>
          <w:rFonts w:ascii="Verdana" w:hAnsi="Verdana"/>
          <w:u w:val="single"/>
        </w:rPr>
        <w:t>@colombiacompraeficiente_cce</w:t>
      </w:r>
    </w:p>
    <w:p w14:paraId="691C3DD0" w14:textId="77777777" w:rsidR="006B13F8" w:rsidRPr="00553BC6" w:rsidRDefault="006B13F8" w:rsidP="006B13F8">
      <w:pPr>
        <w:widowControl w:val="0"/>
        <w:autoSpaceDE w:val="0"/>
        <w:autoSpaceDN w:val="0"/>
        <w:spacing w:after="0" w:line="276" w:lineRule="auto"/>
        <w:jc w:val="both"/>
        <w:rPr>
          <w:rFonts w:ascii="Verdana" w:hAnsi="Verdana" w:cs="Arial"/>
        </w:rPr>
      </w:pPr>
    </w:p>
    <w:p w14:paraId="7B7C3717" w14:textId="77777777" w:rsidR="006B13F8" w:rsidRPr="00553BC6" w:rsidRDefault="006B13F8" w:rsidP="006B13F8">
      <w:pPr>
        <w:widowControl w:val="0"/>
        <w:autoSpaceDE w:val="0"/>
        <w:autoSpaceDN w:val="0"/>
        <w:spacing w:after="0" w:line="276" w:lineRule="auto"/>
        <w:jc w:val="both"/>
        <w:rPr>
          <w:rFonts w:ascii="Verdana" w:hAnsi="Verdana" w:cs="Arial"/>
          <w:lang w:val="es-ES_tradnl"/>
        </w:rPr>
      </w:pPr>
      <w:r w:rsidRPr="00553BC6">
        <w:rPr>
          <w:rFonts w:ascii="Verdana" w:hAnsi="Verdana" w:cs="Arial"/>
        </w:rPr>
        <w:t xml:space="preserve">Este concepto tiene el alcance previsto en el artículo 28 del Código de Procedimiento Administrativo y de lo Contencioso Administrativo </w:t>
      </w:r>
      <w:r w:rsidRPr="00553BC6">
        <w:rPr>
          <w:rFonts w:ascii="Verdana" w:hAnsi="Verdana" w:cs="Arial"/>
          <w:lang w:val="es-ES_tradnl"/>
        </w:rPr>
        <w:t>y las expresiones aquí utilizadas con mayúscula inicial deben ser entendidas con el significado que les otorga el artículo 2.2.1.1.1.3.1. del Decreto 1082 de 2015.</w:t>
      </w:r>
    </w:p>
    <w:p w14:paraId="675A6816" w14:textId="77777777" w:rsidR="006B13F8" w:rsidRPr="00553BC6" w:rsidRDefault="006B13F8" w:rsidP="006B13F8">
      <w:pPr>
        <w:widowControl w:val="0"/>
        <w:autoSpaceDE w:val="0"/>
        <w:autoSpaceDN w:val="0"/>
        <w:spacing w:after="0" w:line="276" w:lineRule="auto"/>
        <w:jc w:val="both"/>
        <w:rPr>
          <w:rFonts w:ascii="Verdana" w:hAnsi="Verdana" w:cs="Arial"/>
        </w:rPr>
      </w:pPr>
    </w:p>
    <w:p w14:paraId="12580237" w14:textId="77777777" w:rsidR="006B13F8" w:rsidRPr="00553BC6" w:rsidRDefault="006B13F8" w:rsidP="006B13F8">
      <w:pPr>
        <w:spacing w:after="0" w:line="240" w:lineRule="auto"/>
        <w:rPr>
          <w:rFonts w:ascii="Verdana" w:hAnsi="Verdana" w:cs="Arial"/>
          <w:lang w:eastAsia="es-CO"/>
        </w:rPr>
      </w:pPr>
      <w:r w:rsidRPr="00553BC6">
        <w:rPr>
          <w:rFonts w:ascii="Verdana" w:eastAsia="Times New Roman" w:hAnsi="Verdana" w:cs="Arial"/>
          <w:lang w:eastAsia="es-CO"/>
        </w:rPr>
        <w:t>Atentamente,</w:t>
      </w:r>
      <w:r w:rsidRPr="00553BC6">
        <w:rPr>
          <w:rFonts w:ascii="Verdana" w:hAnsi="Verdana" w:cs="Arial"/>
          <w:lang w:eastAsia="es-CO"/>
        </w:rPr>
        <w:t xml:space="preserve"> </w:t>
      </w:r>
    </w:p>
    <w:p w14:paraId="5559B2E0" w14:textId="160D6874" w:rsidR="006B13F8" w:rsidRPr="00553BC6" w:rsidRDefault="00432AC5" w:rsidP="006B13F8">
      <w:pPr>
        <w:spacing w:line="276" w:lineRule="auto"/>
        <w:jc w:val="center"/>
        <w:rPr>
          <w:rFonts w:ascii="Verdana" w:hAnsi="Verdana" w:cs="Arial"/>
          <w:lang w:val="es-ES_tradnl" w:eastAsia="es-CO"/>
        </w:rPr>
      </w:pPr>
      <w:r>
        <w:rPr>
          <w:noProof/>
        </w:rPr>
        <w:drawing>
          <wp:inline distT="0" distB="0" distL="0" distR="0" wp14:anchorId="1B6CF406" wp14:editId="3DDA4167">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5"/>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B13F8" w:rsidRPr="00553BC6" w14:paraId="13D8A5C0" w14:textId="77777777" w:rsidTr="2EBDB06F">
        <w:trPr>
          <w:trHeight w:val="315"/>
        </w:trPr>
        <w:tc>
          <w:tcPr>
            <w:tcW w:w="893" w:type="dxa"/>
            <w:vAlign w:val="center"/>
            <w:hideMark/>
          </w:tcPr>
          <w:p w14:paraId="6D300C5F" w14:textId="77777777" w:rsidR="006B13F8" w:rsidRPr="00553BC6" w:rsidRDefault="006B13F8" w:rsidP="00CA720D">
            <w:pPr>
              <w:contextualSpacing/>
              <w:rPr>
                <w:rFonts w:ascii="Verdana" w:hAnsi="Verdana" w:cs="Arial"/>
                <w:sz w:val="16"/>
                <w:szCs w:val="16"/>
                <w:lang w:val="es-ES" w:eastAsia="es-ES"/>
              </w:rPr>
            </w:pPr>
            <w:r w:rsidRPr="00553BC6">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7577FE9" w14:textId="77777777" w:rsidR="006B13F8" w:rsidRPr="00553BC6" w:rsidRDefault="006B13F8" w:rsidP="00CA720D">
            <w:pPr>
              <w:contextualSpacing/>
            </w:pPr>
            <w:r w:rsidRPr="00553BC6">
              <w:rPr>
                <w:rFonts w:ascii="Verdana" w:hAnsi="Verdana"/>
                <w:sz w:val="16"/>
                <w:szCs w:val="16"/>
              </w:rPr>
              <w:t>Ximena Ríos López</w:t>
            </w:r>
          </w:p>
          <w:p w14:paraId="22D300F6" w14:textId="77777777" w:rsidR="006B13F8" w:rsidRPr="00553BC6" w:rsidRDefault="006B13F8" w:rsidP="00CA720D">
            <w:pPr>
              <w:contextualSpacing/>
              <w:rPr>
                <w:rFonts w:ascii="Verdana" w:eastAsia="Arial" w:hAnsi="Verdana" w:cs="Arial"/>
                <w:sz w:val="16"/>
                <w:szCs w:val="16"/>
              </w:rPr>
            </w:pPr>
            <w:r w:rsidRPr="00553BC6">
              <w:rPr>
                <w:rFonts w:ascii="Verdana" w:eastAsia="Arial" w:hAnsi="Verdana" w:cs="Arial"/>
                <w:sz w:val="16"/>
                <w:szCs w:val="16"/>
              </w:rPr>
              <w:t>Gestor T1-11 de la Subdirección de Gestión Contractual</w:t>
            </w:r>
          </w:p>
        </w:tc>
      </w:tr>
      <w:tr w:rsidR="006B13F8" w:rsidRPr="00553BC6" w14:paraId="76B42EFD" w14:textId="77777777" w:rsidTr="2EBDB06F">
        <w:trPr>
          <w:trHeight w:val="330"/>
        </w:trPr>
        <w:tc>
          <w:tcPr>
            <w:tcW w:w="893" w:type="dxa"/>
            <w:vAlign w:val="center"/>
            <w:hideMark/>
          </w:tcPr>
          <w:p w14:paraId="795B7C0E" w14:textId="77777777" w:rsidR="006B13F8" w:rsidRPr="00553BC6" w:rsidRDefault="006B13F8" w:rsidP="00CA720D">
            <w:pPr>
              <w:contextualSpacing/>
              <w:rPr>
                <w:rFonts w:ascii="Verdana" w:hAnsi="Verdana" w:cs="Arial"/>
                <w:sz w:val="16"/>
                <w:szCs w:val="16"/>
                <w:lang w:val="es-ES" w:eastAsia="es-ES"/>
              </w:rPr>
            </w:pPr>
            <w:r w:rsidRPr="00553BC6">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5B325F6" w14:textId="63971284" w:rsidR="006B13F8" w:rsidRPr="00553BC6" w:rsidRDefault="006B13F8" w:rsidP="2EBDB06F">
            <w:pPr>
              <w:contextualSpacing/>
              <w:textAlignment w:val="baseline"/>
              <w:rPr>
                <w:rFonts w:ascii="Verdana" w:eastAsia="Times New Roman" w:hAnsi="Verdana" w:cs="Arial"/>
                <w:sz w:val="16"/>
                <w:szCs w:val="16"/>
                <w:lang w:val="es-ES" w:eastAsia="es-ES"/>
              </w:rPr>
            </w:pPr>
            <w:r w:rsidRPr="2EBDB06F">
              <w:rPr>
                <w:rFonts w:ascii="Verdana" w:eastAsia="Times New Roman" w:hAnsi="Verdana" w:cs="Arial"/>
                <w:sz w:val="16"/>
                <w:szCs w:val="16"/>
                <w:lang w:val="es-ES" w:eastAsia="es-ES"/>
              </w:rPr>
              <w:t>Juan Carlos González</w:t>
            </w:r>
            <w:r w:rsidR="16066722" w:rsidRPr="2EBDB06F">
              <w:rPr>
                <w:rFonts w:ascii="Verdana" w:eastAsia="Times New Roman" w:hAnsi="Verdana" w:cs="Arial"/>
                <w:sz w:val="16"/>
                <w:szCs w:val="16"/>
                <w:lang w:val="es-ES" w:eastAsia="es-ES"/>
              </w:rPr>
              <w:t xml:space="preserve"> Vás</w:t>
            </w:r>
            <w:r w:rsidR="006F690F">
              <w:rPr>
                <w:rFonts w:ascii="Verdana" w:eastAsia="Times New Roman" w:hAnsi="Verdana" w:cs="Arial"/>
                <w:sz w:val="16"/>
                <w:szCs w:val="16"/>
                <w:lang w:val="es-ES" w:eastAsia="es-ES"/>
              </w:rPr>
              <w:t>quez</w:t>
            </w:r>
          </w:p>
          <w:p w14:paraId="04C43865" w14:textId="77777777" w:rsidR="006B13F8" w:rsidRPr="00553BC6" w:rsidRDefault="006B13F8" w:rsidP="00CA720D">
            <w:pPr>
              <w:contextualSpacing/>
              <w:textAlignment w:val="baseline"/>
              <w:rPr>
                <w:rFonts w:ascii="Verdana" w:eastAsia="Times New Roman" w:hAnsi="Verdana" w:cs="Segoe UI"/>
                <w:sz w:val="16"/>
                <w:szCs w:val="16"/>
                <w:lang w:eastAsia="es-ES_tradnl"/>
              </w:rPr>
            </w:pPr>
            <w:r w:rsidRPr="00553BC6">
              <w:rPr>
                <w:rFonts w:ascii="Verdana" w:eastAsia="Times New Roman" w:hAnsi="Verdana" w:cs="Arial"/>
                <w:sz w:val="16"/>
                <w:szCs w:val="16"/>
                <w:lang w:val="es-ES" w:eastAsia="es-ES_tradnl"/>
              </w:rPr>
              <w:t>Contratista de la Subdirección de Gestión Contractual</w:t>
            </w:r>
            <w:r w:rsidRPr="00553BC6">
              <w:rPr>
                <w:rFonts w:ascii="Verdana" w:eastAsia="Times New Roman" w:hAnsi="Verdana" w:cs="Arial"/>
                <w:sz w:val="16"/>
                <w:szCs w:val="16"/>
                <w:lang w:eastAsia="es-ES_tradnl"/>
              </w:rPr>
              <w:t> </w:t>
            </w:r>
          </w:p>
        </w:tc>
      </w:tr>
      <w:tr w:rsidR="006B13F8" w:rsidRPr="00553BC6" w14:paraId="2213D7A0" w14:textId="77777777" w:rsidTr="2EBDB06F">
        <w:trPr>
          <w:trHeight w:val="300"/>
        </w:trPr>
        <w:tc>
          <w:tcPr>
            <w:tcW w:w="893" w:type="dxa"/>
            <w:vAlign w:val="center"/>
          </w:tcPr>
          <w:p w14:paraId="797B97DE" w14:textId="77777777" w:rsidR="006B13F8" w:rsidRPr="00553BC6" w:rsidRDefault="006B13F8" w:rsidP="00CA720D">
            <w:pPr>
              <w:contextualSpacing/>
              <w:rPr>
                <w:rFonts w:ascii="Verdana" w:hAnsi="Verdana" w:cs="Arial"/>
                <w:sz w:val="16"/>
                <w:szCs w:val="16"/>
                <w:lang w:val="es-ES" w:eastAsia="es-ES"/>
              </w:rPr>
            </w:pPr>
            <w:r w:rsidRPr="00553BC6">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57E1883" w14:textId="77777777" w:rsidR="006B13F8" w:rsidRPr="00553BC6" w:rsidRDefault="006B13F8" w:rsidP="00CA720D">
            <w:pPr>
              <w:contextualSpacing/>
              <w:rPr>
                <w:rFonts w:ascii="Verdana" w:eastAsia="Calibri" w:hAnsi="Verdana" w:cs="Arial"/>
                <w:sz w:val="16"/>
                <w:szCs w:val="16"/>
                <w:lang w:val="pt-BR" w:eastAsia="es-ES"/>
              </w:rPr>
            </w:pPr>
            <w:r w:rsidRPr="00553BC6">
              <w:rPr>
                <w:rFonts w:ascii="Verdana" w:eastAsia="Calibri" w:hAnsi="Verdana" w:cs="Arial"/>
                <w:sz w:val="16"/>
                <w:szCs w:val="16"/>
                <w:lang w:val="pt-BR" w:eastAsia="es-ES"/>
              </w:rPr>
              <w:t xml:space="preserve">Carolina Quintero </w:t>
            </w:r>
            <w:proofErr w:type="spellStart"/>
            <w:r w:rsidRPr="00553BC6">
              <w:rPr>
                <w:rFonts w:ascii="Verdana" w:eastAsia="Calibri" w:hAnsi="Verdana" w:cs="Arial"/>
                <w:sz w:val="16"/>
                <w:szCs w:val="16"/>
                <w:lang w:val="pt-BR" w:eastAsia="es-ES"/>
              </w:rPr>
              <w:t>Gacharná</w:t>
            </w:r>
            <w:proofErr w:type="spellEnd"/>
          </w:p>
          <w:p w14:paraId="217F0C9E" w14:textId="77777777" w:rsidR="006B13F8" w:rsidRPr="00553BC6" w:rsidRDefault="006B13F8" w:rsidP="00CA720D">
            <w:pPr>
              <w:contextualSpacing/>
              <w:rPr>
                <w:rFonts w:ascii="Verdana" w:eastAsia="Calibri" w:hAnsi="Verdana" w:cs="Arial"/>
                <w:sz w:val="16"/>
                <w:szCs w:val="16"/>
                <w:lang w:val="pt-BR" w:eastAsia="es-ES"/>
              </w:rPr>
            </w:pPr>
            <w:r w:rsidRPr="00553BC6">
              <w:rPr>
                <w:rFonts w:ascii="Verdana" w:eastAsia="Calibri" w:hAnsi="Verdana" w:cs="Arial"/>
                <w:sz w:val="16"/>
                <w:szCs w:val="16"/>
                <w:lang w:eastAsia="es-ES"/>
              </w:rPr>
              <w:t>Subdirectora</w:t>
            </w:r>
            <w:r w:rsidRPr="00553BC6">
              <w:rPr>
                <w:rFonts w:ascii="Verdana" w:eastAsia="Calibri" w:hAnsi="Verdana" w:cs="Arial"/>
                <w:sz w:val="16"/>
                <w:szCs w:val="16"/>
                <w:lang w:val="pt-BR" w:eastAsia="es-ES"/>
              </w:rPr>
              <w:t xml:space="preserve"> de Gestión </w:t>
            </w:r>
            <w:proofErr w:type="spellStart"/>
            <w:r w:rsidRPr="00553BC6">
              <w:rPr>
                <w:rFonts w:ascii="Verdana" w:eastAsia="Calibri" w:hAnsi="Verdana" w:cs="Arial"/>
                <w:sz w:val="16"/>
                <w:szCs w:val="16"/>
                <w:lang w:val="pt-BR" w:eastAsia="es-ES"/>
              </w:rPr>
              <w:t>Contractual</w:t>
            </w:r>
            <w:proofErr w:type="spellEnd"/>
            <w:r w:rsidRPr="00553BC6">
              <w:rPr>
                <w:rFonts w:ascii="Verdana" w:eastAsia="Calibri" w:hAnsi="Verdana" w:cs="Arial"/>
                <w:sz w:val="16"/>
                <w:szCs w:val="16"/>
                <w:lang w:val="pt-BR" w:eastAsia="es-ES"/>
              </w:rPr>
              <w:t xml:space="preserve"> ANCP – CCE</w:t>
            </w:r>
          </w:p>
        </w:tc>
      </w:tr>
    </w:tbl>
    <w:p w14:paraId="6E43E0E0" w14:textId="77777777" w:rsidR="006B13F8" w:rsidRPr="00553BC6" w:rsidRDefault="006B13F8" w:rsidP="006B13F8">
      <w:pPr>
        <w:spacing w:after="0" w:line="240" w:lineRule="auto"/>
        <w:rPr>
          <w:rFonts w:ascii="Verdana" w:eastAsia="Times New Roman" w:hAnsi="Verdana" w:cs="Arial"/>
          <w:sz w:val="24"/>
          <w:szCs w:val="24"/>
          <w:lang w:eastAsia="es-ES"/>
        </w:rPr>
      </w:pPr>
    </w:p>
    <w:p w14:paraId="3D16E3B7" w14:textId="77777777" w:rsidR="006B13F8" w:rsidRPr="00553BC6" w:rsidRDefault="006B13F8" w:rsidP="006B13F8"/>
    <w:sectPr w:rsidR="006B13F8" w:rsidRPr="00553BC6"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3D11A3" w14:textId="77777777" w:rsidR="00291C79" w:rsidRDefault="00291C79" w:rsidP="004A1847">
      <w:pPr>
        <w:spacing w:after="0" w:line="240" w:lineRule="auto"/>
      </w:pPr>
      <w:r>
        <w:separator/>
      </w:r>
    </w:p>
  </w:endnote>
  <w:endnote w:type="continuationSeparator" w:id="0">
    <w:p w14:paraId="0CC84192" w14:textId="77777777" w:rsidR="00291C79" w:rsidRDefault="00291C79"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1C9BF4" w14:textId="77777777" w:rsidR="00291C79" w:rsidRDefault="00291C79" w:rsidP="004A1847">
      <w:pPr>
        <w:spacing w:after="0" w:line="240" w:lineRule="auto"/>
      </w:pPr>
      <w:r>
        <w:separator/>
      </w:r>
    </w:p>
  </w:footnote>
  <w:footnote w:type="continuationSeparator" w:id="0">
    <w:p w14:paraId="598987DD" w14:textId="77777777" w:rsidR="00291C79" w:rsidRDefault="00291C79" w:rsidP="004A1847">
      <w:pPr>
        <w:spacing w:after="0" w:line="240" w:lineRule="auto"/>
      </w:pPr>
      <w:r>
        <w:continuationSeparator/>
      </w:r>
    </w:p>
  </w:footnote>
  <w:footnote w:id="1">
    <w:p w14:paraId="541F11AB" w14:textId="77777777" w:rsidR="006B13F8" w:rsidRPr="003A6549" w:rsidRDefault="006B13F8" w:rsidP="006B13F8">
      <w:pPr>
        <w:pStyle w:val="Textonotapie"/>
        <w:ind w:firstLine="708"/>
        <w:jc w:val="both"/>
        <w:rPr>
          <w:rFonts w:ascii="Verdana" w:hAnsi="Verdana" w:cs="Arial"/>
          <w:sz w:val="16"/>
          <w:szCs w:val="16"/>
        </w:rPr>
      </w:pPr>
      <w:r w:rsidRPr="003A6549">
        <w:rPr>
          <w:rStyle w:val="Refdenotaalpie"/>
          <w:rFonts w:ascii="Verdana" w:hAnsi="Verdana" w:cs="Arial"/>
          <w:sz w:val="16"/>
          <w:szCs w:val="16"/>
        </w:rPr>
        <w:footnoteRef/>
      </w:r>
      <w:r w:rsidRPr="003A6549">
        <w:rPr>
          <w:rFonts w:ascii="Verdana" w:hAnsi="Verdana" w:cs="Arial"/>
          <w:sz w:val="16"/>
          <w:szCs w:val="16"/>
        </w:rPr>
        <w:t xml:space="preserve"> “Artículo 3. Las asociaciones de municipios son entidades administrativas de derecho público, con personería jurídica y patrimonio propio e independiente del de los municipios que las constituyen; se rigen por sus propios estatutos y gozarán, para el desarrollo de su objeto, de los mismos derechos, privilegios, exenciones y prerrogativas acordados por la ley a los municipios. Los actos de las asociaciones de municipios son revisables y anulables por la jurisdicción contencioso-administrativa”.</w:t>
      </w:r>
    </w:p>
    <w:p w14:paraId="46F5A011" w14:textId="77777777" w:rsidR="006B13F8" w:rsidRPr="003A6549" w:rsidRDefault="006B13F8" w:rsidP="006B13F8">
      <w:pPr>
        <w:pStyle w:val="Textonotapie"/>
        <w:ind w:firstLine="708"/>
        <w:jc w:val="both"/>
        <w:rPr>
          <w:rFonts w:ascii="Verdana" w:hAnsi="Verdana" w:cs="Arial"/>
          <w:sz w:val="16"/>
          <w:szCs w:val="16"/>
          <w:lang w:val="es-CO"/>
        </w:rPr>
      </w:pPr>
    </w:p>
  </w:footnote>
  <w:footnote w:id="2">
    <w:p w14:paraId="580A88F0" w14:textId="77777777" w:rsidR="006B13F8" w:rsidRPr="003A6549" w:rsidRDefault="006B13F8" w:rsidP="006B13F8">
      <w:pPr>
        <w:pStyle w:val="Textonotapie"/>
        <w:ind w:firstLine="708"/>
        <w:jc w:val="both"/>
        <w:rPr>
          <w:rFonts w:ascii="Verdana" w:hAnsi="Verdana" w:cs="Arial"/>
          <w:sz w:val="16"/>
          <w:szCs w:val="16"/>
        </w:rPr>
      </w:pPr>
      <w:r w:rsidRPr="003A6549">
        <w:rPr>
          <w:rStyle w:val="Refdenotaalpie"/>
          <w:rFonts w:ascii="Verdana" w:hAnsi="Verdana" w:cs="Arial"/>
          <w:sz w:val="16"/>
          <w:szCs w:val="16"/>
        </w:rPr>
        <w:footnoteRef/>
      </w:r>
      <w:r w:rsidRPr="003A6549">
        <w:rPr>
          <w:rFonts w:ascii="Verdana" w:hAnsi="Verdana" w:cs="Arial"/>
          <w:sz w:val="16"/>
          <w:szCs w:val="16"/>
        </w:rPr>
        <w:t xml:space="preserve"> “Artículo 10. Esquemas Asociativos Territoriales. Constituirán esquemas asociativos territoriales las regiones administrativas y de planificación, las regiones de planeación y gestión, las asociaciones de departamentos, las áreas metropolitanas, las asociaciones de distritos especiales, las provincias administrativas y de planificación, y las asociaciones de municipios”. </w:t>
      </w:r>
    </w:p>
    <w:p w14:paraId="27343415" w14:textId="77777777" w:rsidR="006B13F8" w:rsidRPr="003A6549" w:rsidRDefault="006B13F8" w:rsidP="006B13F8">
      <w:pPr>
        <w:pStyle w:val="Textonotapie"/>
        <w:ind w:firstLine="708"/>
        <w:jc w:val="both"/>
        <w:rPr>
          <w:rFonts w:ascii="Verdana" w:hAnsi="Verdana" w:cs="Arial"/>
          <w:sz w:val="16"/>
          <w:szCs w:val="16"/>
          <w:lang w:val="es-CO"/>
        </w:rPr>
      </w:pPr>
    </w:p>
  </w:footnote>
  <w:footnote w:id="3">
    <w:p w14:paraId="18BEDBC1" w14:textId="77777777" w:rsidR="006B13F8" w:rsidRPr="003A6549" w:rsidRDefault="006B13F8" w:rsidP="006B13F8">
      <w:pPr>
        <w:pStyle w:val="NormalWeb"/>
        <w:shd w:val="clear" w:color="auto" w:fill="FFFFFF"/>
        <w:spacing w:before="0" w:beforeAutospacing="0" w:after="0" w:afterAutospacing="0"/>
        <w:ind w:firstLine="708"/>
        <w:jc w:val="both"/>
        <w:rPr>
          <w:rFonts w:ascii="Verdana" w:hAnsi="Verdana" w:cs="Arial"/>
          <w:sz w:val="16"/>
          <w:szCs w:val="16"/>
        </w:rPr>
      </w:pPr>
      <w:r w:rsidRPr="003A6549">
        <w:rPr>
          <w:rStyle w:val="Refdenotaalpie"/>
          <w:rFonts w:ascii="Verdana" w:hAnsi="Verdana" w:cs="Arial"/>
          <w:sz w:val="16"/>
          <w:szCs w:val="16"/>
        </w:rPr>
        <w:footnoteRef/>
      </w:r>
      <w:r w:rsidRPr="003A6549">
        <w:rPr>
          <w:rFonts w:ascii="Verdana" w:hAnsi="Verdana" w:cs="Arial"/>
          <w:sz w:val="16"/>
          <w:szCs w:val="16"/>
        </w:rPr>
        <w:t xml:space="preserve"> “</w:t>
      </w:r>
      <w:r w:rsidRPr="003A6549">
        <w:rPr>
          <w:rFonts w:ascii="Verdana" w:hAnsi="Verdana" w:cs="Arial"/>
          <w:bCs/>
          <w:sz w:val="16"/>
          <w:szCs w:val="16"/>
        </w:rPr>
        <w:t>Artículo 150.</w:t>
      </w:r>
      <w:r w:rsidRPr="003A6549">
        <w:rPr>
          <w:rFonts w:ascii="Verdana" w:hAnsi="Verdana" w:cs="Arial"/>
          <w:sz w:val="16"/>
          <w:szCs w:val="16"/>
        </w:rPr>
        <w:t> </w:t>
      </w:r>
      <w:r w:rsidRPr="003A6549">
        <w:rPr>
          <w:rFonts w:ascii="Verdana" w:hAnsi="Verdana" w:cs="Arial"/>
          <w:bCs/>
          <w:iCs/>
          <w:sz w:val="16"/>
          <w:szCs w:val="16"/>
        </w:rPr>
        <w:t>Conformación y funcionamiento.</w:t>
      </w:r>
      <w:r w:rsidRPr="003A6549">
        <w:rPr>
          <w:rFonts w:ascii="Verdana" w:hAnsi="Verdana" w:cs="Arial"/>
          <w:bCs/>
          <w:sz w:val="16"/>
          <w:szCs w:val="16"/>
        </w:rPr>
        <w:t> </w:t>
      </w:r>
      <w:r w:rsidRPr="003A6549">
        <w:rPr>
          <w:rFonts w:ascii="Verdana" w:hAnsi="Verdana" w:cs="Arial"/>
          <w:sz w:val="16"/>
          <w:szCs w:val="16"/>
        </w:rPr>
        <w:t>Las asociaciones para su conformación y funcionamiento se sujetarán a las siguientes reglas:</w:t>
      </w:r>
    </w:p>
    <w:p w14:paraId="6D013195" w14:textId="77777777" w:rsidR="006B13F8" w:rsidRPr="003A6549" w:rsidRDefault="006B13F8" w:rsidP="006B13F8">
      <w:pPr>
        <w:pStyle w:val="NormalWeb"/>
        <w:shd w:val="clear" w:color="auto" w:fill="FFFFFF"/>
        <w:spacing w:before="0" w:beforeAutospacing="0" w:after="0" w:afterAutospacing="0"/>
        <w:ind w:firstLine="708"/>
        <w:jc w:val="both"/>
        <w:rPr>
          <w:rFonts w:ascii="Verdana" w:hAnsi="Verdana" w:cs="Arial"/>
          <w:sz w:val="16"/>
          <w:szCs w:val="16"/>
        </w:rPr>
      </w:pPr>
      <w:r w:rsidRPr="003A6549">
        <w:rPr>
          <w:rFonts w:ascii="Verdana" w:hAnsi="Verdana" w:cs="Arial"/>
          <w:sz w:val="16"/>
          <w:szCs w:val="16"/>
        </w:rPr>
        <w:t>“1. Toda asociación de municipios será siempre voluntaria. Se conformará mediante convenio suscrito por sus alcaldes, previa autorización de los respectivos concejos”.</w:t>
      </w:r>
    </w:p>
    <w:p w14:paraId="61D8235A" w14:textId="77777777" w:rsidR="006B13F8" w:rsidRPr="003A6549" w:rsidRDefault="006B13F8" w:rsidP="006B13F8">
      <w:pPr>
        <w:pStyle w:val="NormalWeb"/>
        <w:shd w:val="clear" w:color="auto" w:fill="FFFFFF"/>
        <w:spacing w:before="0" w:beforeAutospacing="0" w:after="0" w:afterAutospacing="0"/>
        <w:ind w:firstLine="708"/>
        <w:jc w:val="both"/>
        <w:rPr>
          <w:rFonts w:ascii="Verdana" w:hAnsi="Verdana" w:cs="Arial"/>
          <w:sz w:val="16"/>
          <w:szCs w:val="16"/>
        </w:rPr>
      </w:pPr>
    </w:p>
  </w:footnote>
  <w:footnote w:id="4">
    <w:p w14:paraId="3BD12836" w14:textId="77777777" w:rsidR="006B13F8" w:rsidRPr="003A6549" w:rsidRDefault="006B13F8" w:rsidP="006B13F8">
      <w:pPr>
        <w:pStyle w:val="Textonotapie"/>
        <w:ind w:firstLine="708"/>
        <w:jc w:val="both"/>
        <w:rPr>
          <w:rFonts w:ascii="Verdana" w:hAnsi="Verdana" w:cs="Arial"/>
          <w:sz w:val="16"/>
          <w:szCs w:val="16"/>
        </w:rPr>
      </w:pPr>
      <w:r w:rsidRPr="003A6549">
        <w:rPr>
          <w:rStyle w:val="Refdenotaalpie"/>
          <w:rFonts w:ascii="Verdana" w:hAnsi="Verdana" w:cs="Arial"/>
          <w:sz w:val="16"/>
          <w:szCs w:val="16"/>
        </w:rPr>
        <w:footnoteRef/>
      </w:r>
      <w:r w:rsidRPr="003A6549">
        <w:rPr>
          <w:rFonts w:ascii="Verdana" w:hAnsi="Verdana" w:cs="Arial"/>
          <w:sz w:val="16"/>
          <w:szCs w:val="16"/>
        </w:rPr>
        <w:t xml:space="preserve"> “Artículo 14. Asociaciones de municipios. Dos o más municipios de un mismo departamento o de varios departamentos, podrán asociarse administrativa y políticamente para organizar conjuntamente la prestación de servicios públicos, la ejecución de obras de ámbito regional y el cumplimiento de funciones administrativas propias, mediante convenio o contrato-plan suscrito por los alcaldes respectivos, previamente autorizados por los concejos municipales o distritales y para el ejercicio de competencias concertadas entre sí en un marco de acción que integre sus respectivos planes de desarrollo en un modelo de planificación integral conjunto”.</w:t>
      </w:r>
    </w:p>
    <w:p w14:paraId="62006466" w14:textId="77777777" w:rsidR="006B13F8" w:rsidRPr="003A6549" w:rsidRDefault="006B13F8" w:rsidP="006B13F8">
      <w:pPr>
        <w:pStyle w:val="Textonotapie"/>
        <w:ind w:firstLine="708"/>
        <w:jc w:val="both"/>
        <w:rPr>
          <w:rFonts w:ascii="Verdana" w:hAnsi="Verdana" w:cs="Arial"/>
          <w:sz w:val="16"/>
          <w:szCs w:val="16"/>
          <w:lang w:val="es-CO"/>
        </w:rPr>
      </w:pPr>
    </w:p>
  </w:footnote>
  <w:footnote w:id="5">
    <w:p w14:paraId="44189384" w14:textId="77777777" w:rsidR="006B13F8" w:rsidRPr="003A6549" w:rsidRDefault="006B13F8" w:rsidP="006B13F8">
      <w:pPr>
        <w:pStyle w:val="Textonotapie"/>
        <w:ind w:firstLine="708"/>
        <w:jc w:val="both"/>
        <w:rPr>
          <w:rFonts w:ascii="Verdana" w:hAnsi="Verdana" w:cs="Arial"/>
          <w:sz w:val="16"/>
          <w:szCs w:val="16"/>
          <w:lang w:val="es-CO"/>
        </w:rPr>
      </w:pPr>
      <w:r w:rsidRPr="003A6549">
        <w:rPr>
          <w:rStyle w:val="Refdenotaalpie"/>
          <w:rFonts w:ascii="Verdana" w:hAnsi="Verdana" w:cs="Arial"/>
          <w:sz w:val="16"/>
          <w:szCs w:val="16"/>
        </w:rPr>
        <w:footnoteRef/>
      </w:r>
      <w:r w:rsidRPr="003A6549">
        <w:rPr>
          <w:rFonts w:ascii="Verdana" w:hAnsi="Verdana" w:cs="Arial"/>
          <w:sz w:val="16"/>
          <w:szCs w:val="16"/>
        </w:rPr>
        <w:t xml:space="preserve"> “</w:t>
      </w:r>
      <w:r w:rsidRPr="003A6549">
        <w:rPr>
          <w:rFonts w:ascii="Verdana" w:hAnsi="Verdana" w:cs="Arial"/>
          <w:sz w:val="16"/>
          <w:szCs w:val="16"/>
          <w:lang w:val="es-CO"/>
        </w:rPr>
        <w:t>Artículo 95. Asociación entre entidades públicas. Las entidades públicas podrán asociarse con el fin de cooperar en el cumplimiento de funciones administrativas o de prestar conjuntamente servicios que se hallen a su cargo, mediante la celebración de convenios interadministrativos o la conformación de personas jurídicas sin ánimo de lucro”.</w:t>
      </w:r>
    </w:p>
    <w:p w14:paraId="7DE00F75" w14:textId="77777777" w:rsidR="006B13F8" w:rsidRPr="003A6549" w:rsidRDefault="006B13F8" w:rsidP="006B13F8">
      <w:pPr>
        <w:pStyle w:val="Textonotapie"/>
        <w:ind w:firstLine="708"/>
        <w:jc w:val="both"/>
        <w:rPr>
          <w:rFonts w:ascii="Verdana" w:hAnsi="Verdana" w:cs="Arial"/>
          <w:sz w:val="16"/>
          <w:szCs w:val="16"/>
          <w:lang w:val="es-CO"/>
        </w:rPr>
      </w:pPr>
      <w:r w:rsidRPr="003A6549">
        <w:rPr>
          <w:rFonts w:ascii="Verdana" w:hAnsi="Verdana" w:cs="Arial"/>
          <w:sz w:val="16"/>
          <w:szCs w:val="16"/>
          <w:lang w:val="es-CO"/>
        </w:rPr>
        <w:t>“Las personas jurídicas sin ánimo de lucro que se conformen por la asociación exclusiva de entidades públicas, se sujetan a las disposiciones previstas en el Código Civil y en las normas para las entidades de este género. Sus Juntas o Consejos Directivos estarán integrados en la forma que prevean los correspondientes estatutos internos, los cuales proveerán igualmente sobre la designación de su representante legal”.</w:t>
      </w:r>
    </w:p>
  </w:footnote>
  <w:footnote w:id="6">
    <w:p w14:paraId="17BDF9E9" w14:textId="77777777" w:rsidR="006B13F8" w:rsidRPr="003A6549" w:rsidRDefault="006B13F8" w:rsidP="006B13F8">
      <w:pPr>
        <w:spacing w:line="240" w:lineRule="auto"/>
        <w:ind w:firstLine="708"/>
        <w:jc w:val="both"/>
        <w:rPr>
          <w:rFonts w:ascii="Verdana" w:hAnsi="Verdana" w:cs="Arial"/>
          <w:color w:val="000000" w:themeColor="text1"/>
          <w:sz w:val="16"/>
          <w:szCs w:val="16"/>
        </w:rPr>
      </w:pPr>
      <w:r w:rsidRPr="003A6549">
        <w:rPr>
          <w:rStyle w:val="Refdenotaalpie"/>
          <w:rFonts w:ascii="Verdana" w:hAnsi="Verdana" w:cs="Arial"/>
          <w:color w:val="000000" w:themeColor="text1"/>
          <w:sz w:val="16"/>
          <w:szCs w:val="16"/>
        </w:rPr>
        <w:footnoteRef/>
      </w:r>
      <w:r w:rsidRPr="003A6549">
        <w:rPr>
          <w:rFonts w:ascii="Verdana" w:hAnsi="Verdana" w:cs="Arial"/>
          <w:color w:val="000000" w:themeColor="text1"/>
          <w:sz w:val="16"/>
          <w:szCs w:val="16"/>
        </w:rPr>
        <w:t xml:space="preserve"> Artículo 2o. De las modalidades de selección. La escogencia del contratista se efectuará con arreglo a las modalidades de selección de licitación pública, selección abreviada, concurso de méritos y contratación directa, con base en las siguientes reglas […]</w:t>
      </w:r>
    </w:p>
    <w:p w14:paraId="6E29239A" w14:textId="77777777" w:rsidR="006B13F8" w:rsidRPr="003A6549" w:rsidRDefault="006B13F8" w:rsidP="006B13F8">
      <w:pPr>
        <w:spacing w:line="240" w:lineRule="auto"/>
        <w:ind w:firstLine="708"/>
        <w:jc w:val="both"/>
        <w:rPr>
          <w:rFonts w:ascii="Verdana" w:hAnsi="Verdana"/>
          <w:sz w:val="16"/>
          <w:szCs w:val="16"/>
          <w:lang w:val="es-ES"/>
        </w:rPr>
      </w:pPr>
    </w:p>
  </w:footnote>
  <w:footnote w:id="7">
    <w:p w14:paraId="3B47C17C" w14:textId="77777777" w:rsidR="006B13F8" w:rsidRPr="00475E29" w:rsidRDefault="006B13F8" w:rsidP="006B13F8">
      <w:pPr>
        <w:pStyle w:val="Textonotapie"/>
        <w:ind w:firstLine="709"/>
        <w:jc w:val="both"/>
        <w:rPr>
          <w:rFonts w:ascii="Verdana" w:hAnsi="Verdana" w:cs="Arial"/>
          <w:color w:val="000000" w:themeColor="text1"/>
          <w:sz w:val="12"/>
          <w:szCs w:val="12"/>
        </w:rPr>
      </w:pPr>
      <w:r w:rsidRPr="00475E29">
        <w:rPr>
          <w:rStyle w:val="Refdenotaalpie"/>
          <w:rFonts w:ascii="Verdana" w:hAnsi="Verdana" w:cs="Arial"/>
          <w:color w:val="000000" w:themeColor="text1"/>
          <w:sz w:val="12"/>
          <w:szCs w:val="12"/>
        </w:rPr>
        <w:footnoteRef/>
      </w:r>
      <w:r w:rsidRPr="00475E29">
        <w:rPr>
          <w:rFonts w:ascii="Verdana" w:hAnsi="Verdana" w:cs="Arial"/>
          <w:color w:val="000000" w:themeColor="text1"/>
          <w:sz w:val="12"/>
          <w:szCs w:val="12"/>
        </w:rPr>
        <w:t xml:space="preserve"> Consejo de Estado. Sentencia del 29 de agosto de 2007. Radicado No. 15.305. Consejero Ponente: Mauricio Fajardo Gómez.</w:t>
      </w:r>
    </w:p>
    <w:p w14:paraId="4AD6734F" w14:textId="77777777" w:rsidR="006B13F8" w:rsidRPr="00475E29" w:rsidRDefault="006B13F8" w:rsidP="006B13F8">
      <w:pPr>
        <w:pStyle w:val="Textonotapie"/>
        <w:ind w:firstLine="709"/>
        <w:jc w:val="both"/>
        <w:rPr>
          <w:rFonts w:ascii="Verdana" w:hAnsi="Verdana" w:cs="Arial"/>
          <w:color w:val="000000" w:themeColor="text1"/>
          <w:sz w:val="12"/>
          <w:szCs w:val="12"/>
        </w:rPr>
      </w:pPr>
    </w:p>
  </w:footnote>
  <w:footnote w:id="8">
    <w:p w14:paraId="20127F8F" w14:textId="77777777" w:rsidR="006B13F8" w:rsidRPr="00475E29" w:rsidRDefault="006B13F8" w:rsidP="006B13F8">
      <w:pPr>
        <w:pStyle w:val="Textonotapie"/>
        <w:ind w:firstLine="709"/>
        <w:jc w:val="both"/>
        <w:rPr>
          <w:rFonts w:ascii="Verdana" w:hAnsi="Verdana" w:cs="Arial"/>
          <w:color w:val="000000" w:themeColor="text1"/>
          <w:sz w:val="12"/>
          <w:szCs w:val="12"/>
        </w:rPr>
      </w:pPr>
      <w:r w:rsidRPr="00475E29">
        <w:rPr>
          <w:rStyle w:val="Refdenotaalpie"/>
          <w:rFonts w:ascii="Verdana" w:hAnsi="Verdana" w:cs="Arial"/>
          <w:color w:val="000000" w:themeColor="text1"/>
          <w:sz w:val="12"/>
          <w:szCs w:val="12"/>
        </w:rPr>
        <w:footnoteRef/>
      </w:r>
      <w:r w:rsidRPr="00475E29">
        <w:rPr>
          <w:rFonts w:ascii="Verdana" w:hAnsi="Verdana" w:cs="Arial"/>
          <w:color w:val="000000" w:themeColor="text1"/>
          <w:sz w:val="12"/>
          <w:szCs w:val="12"/>
        </w:rPr>
        <w:t xml:space="preserve"> Consejo de Estado. Sala de consulta y servicio civil. Sentencia del 20 de febrero de 2006. Radicado No. 1.727. Consejero Ponente: Enrique José Arboleda Perdomo.</w:t>
      </w:r>
    </w:p>
    <w:p w14:paraId="00B44CF9" w14:textId="77777777" w:rsidR="006B13F8" w:rsidRPr="00475E29" w:rsidRDefault="006B13F8" w:rsidP="006B13F8">
      <w:pPr>
        <w:pStyle w:val="Textonotapie"/>
        <w:ind w:firstLine="709"/>
        <w:jc w:val="both"/>
        <w:rPr>
          <w:rFonts w:ascii="Verdana" w:hAnsi="Verdana" w:cs="Arial"/>
          <w:color w:val="000000" w:themeColor="text1"/>
          <w:sz w:val="12"/>
          <w:szCs w:val="12"/>
        </w:rPr>
      </w:pPr>
    </w:p>
  </w:footnote>
  <w:footnote w:id="9">
    <w:p w14:paraId="1FF98C87" w14:textId="77777777" w:rsidR="006B13F8" w:rsidRPr="00475E29" w:rsidRDefault="006B13F8" w:rsidP="006B13F8">
      <w:pPr>
        <w:pStyle w:val="Textonotapie"/>
        <w:ind w:firstLine="709"/>
        <w:jc w:val="both"/>
        <w:rPr>
          <w:rFonts w:ascii="Verdana" w:hAnsi="Verdana" w:cs="Arial"/>
          <w:color w:val="000000" w:themeColor="text1"/>
          <w:sz w:val="12"/>
          <w:szCs w:val="12"/>
        </w:rPr>
      </w:pPr>
      <w:r w:rsidRPr="00475E29">
        <w:rPr>
          <w:rStyle w:val="Refdenotaalpie"/>
          <w:rFonts w:ascii="Verdana" w:hAnsi="Verdana" w:cs="Arial"/>
          <w:color w:val="000000" w:themeColor="text1"/>
          <w:sz w:val="12"/>
          <w:szCs w:val="12"/>
        </w:rPr>
        <w:footnoteRef/>
      </w:r>
      <w:r w:rsidRPr="00475E29">
        <w:rPr>
          <w:rFonts w:ascii="Verdana" w:hAnsi="Verdana" w:cs="Arial"/>
          <w:color w:val="000000" w:themeColor="text1"/>
          <w:sz w:val="12"/>
          <w:szCs w:val="12"/>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4390E6FE" w14:textId="77777777" w:rsidR="006B13F8" w:rsidRPr="00475E29" w:rsidRDefault="006B13F8" w:rsidP="006B13F8">
      <w:pPr>
        <w:pStyle w:val="Textonotapie"/>
        <w:ind w:firstLine="709"/>
        <w:jc w:val="both"/>
        <w:rPr>
          <w:rFonts w:ascii="Verdana" w:hAnsi="Verdana" w:cs="Arial"/>
          <w:color w:val="000000" w:themeColor="text1"/>
          <w:sz w:val="12"/>
          <w:szCs w:val="12"/>
        </w:rPr>
      </w:pPr>
      <w:r w:rsidRPr="00475E29">
        <w:rPr>
          <w:rFonts w:ascii="Verdana" w:hAnsi="Verdana" w:cs="Arial"/>
          <w:color w:val="000000" w:themeColor="text1"/>
          <w:sz w:val="12"/>
          <w:szCs w:val="12"/>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66D72"/>
    <w:rsid w:val="00082362"/>
    <w:rsid w:val="000A683E"/>
    <w:rsid w:val="000B19B9"/>
    <w:rsid w:val="000D0334"/>
    <w:rsid w:val="000F6486"/>
    <w:rsid w:val="00125105"/>
    <w:rsid w:val="00127233"/>
    <w:rsid w:val="00132F93"/>
    <w:rsid w:val="001E4177"/>
    <w:rsid w:val="001F7DC6"/>
    <w:rsid w:val="002421BB"/>
    <w:rsid w:val="0025796E"/>
    <w:rsid w:val="002707A2"/>
    <w:rsid w:val="00291C79"/>
    <w:rsid w:val="002951A0"/>
    <w:rsid w:val="002962BC"/>
    <w:rsid w:val="002A093D"/>
    <w:rsid w:val="002A0DD0"/>
    <w:rsid w:val="002A49AC"/>
    <w:rsid w:val="002A64FD"/>
    <w:rsid w:val="002C7A84"/>
    <w:rsid w:val="002E4FD9"/>
    <w:rsid w:val="00322A85"/>
    <w:rsid w:val="00324168"/>
    <w:rsid w:val="003448F4"/>
    <w:rsid w:val="00374F5E"/>
    <w:rsid w:val="00377E3E"/>
    <w:rsid w:val="003A779E"/>
    <w:rsid w:val="003D0F4D"/>
    <w:rsid w:val="003D5B0D"/>
    <w:rsid w:val="003E0499"/>
    <w:rsid w:val="003F3941"/>
    <w:rsid w:val="00406575"/>
    <w:rsid w:val="00414C74"/>
    <w:rsid w:val="0042722E"/>
    <w:rsid w:val="00432AC5"/>
    <w:rsid w:val="0044528D"/>
    <w:rsid w:val="004A1847"/>
    <w:rsid w:val="004A305D"/>
    <w:rsid w:val="004F21C4"/>
    <w:rsid w:val="004F685F"/>
    <w:rsid w:val="0050416C"/>
    <w:rsid w:val="00540B34"/>
    <w:rsid w:val="00541865"/>
    <w:rsid w:val="005566E8"/>
    <w:rsid w:val="00574867"/>
    <w:rsid w:val="00582F1A"/>
    <w:rsid w:val="00591460"/>
    <w:rsid w:val="005C3777"/>
    <w:rsid w:val="005C5CDC"/>
    <w:rsid w:val="005D476C"/>
    <w:rsid w:val="006219F8"/>
    <w:rsid w:val="006302F7"/>
    <w:rsid w:val="0065391F"/>
    <w:rsid w:val="00665D70"/>
    <w:rsid w:val="006900D9"/>
    <w:rsid w:val="006A760C"/>
    <w:rsid w:val="006B13F8"/>
    <w:rsid w:val="006C3B2D"/>
    <w:rsid w:val="006F690F"/>
    <w:rsid w:val="00706C16"/>
    <w:rsid w:val="00756841"/>
    <w:rsid w:val="007649AB"/>
    <w:rsid w:val="00771D0C"/>
    <w:rsid w:val="007833AC"/>
    <w:rsid w:val="007B2117"/>
    <w:rsid w:val="007B268C"/>
    <w:rsid w:val="007B7171"/>
    <w:rsid w:val="007C0C0F"/>
    <w:rsid w:val="007C3DC2"/>
    <w:rsid w:val="007E5497"/>
    <w:rsid w:val="00806F5F"/>
    <w:rsid w:val="008146F8"/>
    <w:rsid w:val="00820278"/>
    <w:rsid w:val="00867F95"/>
    <w:rsid w:val="008843B6"/>
    <w:rsid w:val="00891928"/>
    <w:rsid w:val="00897A3A"/>
    <w:rsid w:val="008A446D"/>
    <w:rsid w:val="008D180B"/>
    <w:rsid w:val="008F0EA7"/>
    <w:rsid w:val="00923EEF"/>
    <w:rsid w:val="009419F9"/>
    <w:rsid w:val="0095685E"/>
    <w:rsid w:val="00961B09"/>
    <w:rsid w:val="00965334"/>
    <w:rsid w:val="0097093E"/>
    <w:rsid w:val="009A0DFA"/>
    <w:rsid w:val="009B25A8"/>
    <w:rsid w:val="009B2D26"/>
    <w:rsid w:val="009C71FA"/>
    <w:rsid w:val="009C72E7"/>
    <w:rsid w:val="009D3058"/>
    <w:rsid w:val="009F3A13"/>
    <w:rsid w:val="00A122D3"/>
    <w:rsid w:val="00A17F13"/>
    <w:rsid w:val="00A20739"/>
    <w:rsid w:val="00A33C78"/>
    <w:rsid w:val="00AB0ADB"/>
    <w:rsid w:val="00B00C0E"/>
    <w:rsid w:val="00B01B1A"/>
    <w:rsid w:val="00B44A47"/>
    <w:rsid w:val="00B72CD3"/>
    <w:rsid w:val="00B72FFF"/>
    <w:rsid w:val="00BC3D36"/>
    <w:rsid w:val="00BD7F72"/>
    <w:rsid w:val="00C04FB3"/>
    <w:rsid w:val="00C330EB"/>
    <w:rsid w:val="00C754BE"/>
    <w:rsid w:val="00C76B1C"/>
    <w:rsid w:val="00CA3375"/>
    <w:rsid w:val="00CB6357"/>
    <w:rsid w:val="00CC1B26"/>
    <w:rsid w:val="00D423A2"/>
    <w:rsid w:val="00D520D8"/>
    <w:rsid w:val="00D63AC2"/>
    <w:rsid w:val="00D7383B"/>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31EDC"/>
    <w:rsid w:val="00F462B3"/>
    <w:rsid w:val="00F5664F"/>
    <w:rsid w:val="00F666C4"/>
    <w:rsid w:val="00F76AFC"/>
    <w:rsid w:val="00FA47C0"/>
    <w:rsid w:val="00FB5DD1"/>
    <w:rsid w:val="00FC2B5D"/>
    <w:rsid w:val="00FF1449"/>
    <w:rsid w:val="0E8CFEC0"/>
    <w:rsid w:val="16066722"/>
    <w:rsid w:val="265ABFF3"/>
    <w:rsid w:val="2EBDB06F"/>
    <w:rsid w:val="323F1077"/>
    <w:rsid w:val="3D1C0562"/>
    <w:rsid w:val="6CF67550"/>
    <w:rsid w:val="7D7E419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6B13F8"/>
    <w:pPr>
      <w:spacing w:line="240" w:lineRule="exact"/>
    </w:pPr>
    <w:rPr>
      <w:vertAlign w:val="superscript"/>
    </w:rPr>
  </w:style>
  <w:style w:type="character" w:customStyle="1" w:styleId="NormalWebCar">
    <w:name w:val="Normal (Web) Car"/>
    <w:link w:val="NormalWeb"/>
    <w:uiPriority w:val="99"/>
    <w:rsid w:val="006B13F8"/>
    <w:rPr>
      <w:rFonts w:ascii="Times New Roman" w:eastAsia="Times New Roman" w:hAnsi="Times New Roman" w:cs="Times New Roman"/>
      <w:sz w:val="24"/>
      <w:szCs w:val="24"/>
      <w:lang w:eastAsia="es-CO"/>
    </w:rPr>
  </w:style>
  <w:style w:type="character" w:customStyle="1" w:styleId="apple-converted-space">
    <w:name w:val="apple-converted-space"/>
    <w:basedOn w:val="Fuentedeprrafopredeter"/>
    <w:rsid w:val="006B13F8"/>
  </w:style>
  <w:style w:type="paragraph" w:styleId="Textocomentario">
    <w:name w:val="annotation text"/>
    <w:basedOn w:val="Normal"/>
    <w:link w:val="TextocomentarioCar"/>
    <w:uiPriority w:val="99"/>
    <w:unhideWhenUsed/>
    <w:pPr>
      <w:spacing w:line="240" w:lineRule="auto"/>
    </w:pPr>
    <w:rPr>
      <w:sz w:val="20"/>
      <w:szCs w:val="20"/>
    </w:rPr>
  </w:style>
  <w:style w:type="character" w:customStyle="1" w:styleId="TextocomentarioCar">
    <w:name w:val="Texto comentario Car"/>
    <w:basedOn w:val="Fuentedeprrafopredeter"/>
    <w:link w:val="Textocomentario"/>
    <w:uiPriority w:val="99"/>
    <w:rPr>
      <w:sz w:val="20"/>
      <w:szCs w:val="20"/>
    </w:rPr>
  </w:style>
  <w:style w:type="character" w:styleId="Refdecomentario">
    <w:name w:val="annotation reference"/>
    <w:basedOn w:val="Fuentedeprrafopredeter"/>
    <w:uiPriority w:val="99"/>
    <w:semiHidden/>
    <w:unhideWhenUsed/>
    <w:rPr>
      <w:sz w:val="16"/>
      <w:szCs w:val="16"/>
    </w:rPr>
  </w:style>
  <w:style w:type="paragraph" w:styleId="Asuntodelcomentario">
    <w:name w:val="annotation subject"/>
    <w:basedOn w:val="Textocomentario"/>
    <w:next w:val="Textocomentario"/>
    <w:link w:val="AsuntodelcomentarioCar"/>
    <w:uiPriority w:val="99"/>
    <w:semiHidden/>
    <w:unhideWhenUsed/>
    <w:rsid w:val="007B2117"/>
    <w:rPr>
      <w:b/>
      <w:bCs/>
    </w:rPr>
  </w:style>
  <w:style w:type="character" w:customStyle="1" w:styleId="AsuntodelcomentarioCar">
    <w:name w:val="Asunto del comentario Car"/>
    <w:basedOn w:val="TextocomentarioCar"/>
    <w:link w:val="Asuntodelcomentario"/>
    <w:uiPriority w:val="99"/>
    <w:semiHidden/>
    <w:rsid w:val="007B211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ciudadanos%2Fcalendario&amp;data=05%7C02%7Cximena.rios%40colombiacompra.gov.co%7Ceb0fd05604104aa4d3bc08dd4c4ad35e%7C7b09041e245149d08cb179d5e3d8c1be%7C0%7C0%7C638750606446844510%7CUnknown%7CTWFpbGZsb3d8eyJFbXB0eU1hcGkiOnRydWUsIlYiOiIwLjAuMDAwMCIsIlAiOiJXaW4zMiIsIkFOIjoiTWFpbCIsIldUIjoyfQ%3D%3D%7C0%7C%7C%7C&amp;sdata=LZuyZSEh%2FpbQDy0o0xmRCkZYCN0vaW%2FGkYkUsWy3v18%3D&amp;reserved=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www.colombiacompra.gov.co%2Fmanuales-guias-y-pliegos-tipo%2Fmanuales-y-guias%2Fcartilla-para-incentivar-y-fortalecer-el-acceso-las&amp;data=05%7C02%7Cximena.rios%40colombiacompra.gov.co%7Ceb0fd05604104aa4d3bc08dd4c4ad35e%7C7b09041e245149d08cb179d5e3d8c1be%7C0%7C0%7C638750606446821386%7CUnknown%7CTWFpbGZsb3d8eyJFbXB0eU1hcGkiOnRydWUsIlYiOiIwLjAuMDAwMCIsIlAiOiJXaW4zMiIsIkFOIjoiTWFpbCIsIldUIjoyfQ%3D%3D%7C0%7C%7C%7C&amp;sdata=W%2Fk14yMQuRl%2BxOXtgXkYqvRvU0sNxDeKufexVKwz2Jw%3D&amp;reserved=0"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manuales-guias-y-pliegos-tipo%2Fmanuales-y-guias%2Fguia-de-contratacion-publica-sostenible-y-socialmente&amp;data=05%7C02%7Cximena.rios%40colombiacompra.gov.co%7Ceb0fd05604104aa4d3bc08dd4c4ad35e%7C7b09041e245149d08cb179d5e3d8c1be%7C0%7C0%7C638750606446862549%7CUnknown%7CTWFpbGZsb3d8eyJFbXB0eU1hcGkiOnRydWUsIlYiOiIwLjAuMDAwMCIsIlAiOiJXaW4zMiIsIkFOIjoiTWFpbCIsIldUIjoyfQ%3D%3D%7C0%7C%7C%7C&amp;sdata=sCdDQff%2B7cq%2Bu3mPTlvG1b%2FR1UY0wqU0fcHRpDbcUW4%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1508C4-7930-4687-BF28-CA9D535DBC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purl.org/dc/elements/1.1/"/>
    <ds:schemaRef ds:uri="9d85dbaf-23eb-4e57-a637-93dcacc8b1a1"/>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a6cb9e4b-f1d1-4245-83ec-6cad768d538a"/>
    <ds:schemaRef ds:uri="http://www.w3.org/XML/1998/namespace"/>
    <ds:schemaRef ds:uri="http://purl.org/dc/dcmitype/"/>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4887</Words>
  <Characters>26881</Characters>
  <Application>Microsoft Office Word</Application>
  <DocSecurity>0</DocSecurity>
  <Lines>224</Lines>
  <Paragraphs>63</Paragraphs>
  <ScaleCrop>false</ScaleCrop>
  <Company/>
  <LinksUpToDate>false</LinksUpToDate>
  <CharactersWithSpaces>31705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2025-09-16T17:07:00Z</dcterms:created>
  <dcterms:modified xsi:type="dcterms:W3CDTF">2025-09-16T17:07:00Z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