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4C18C5" w14:textId="77777777" w:rsidR="009D461B" w:rsidRPr="00011A98" w:rsidRDefault="009D461B" w:rsidP="009D461B">
      <w:pPr>
        <w:jc w:val="right"/>
        <w:rPr>
          <w:rFonts w:ascii="Arial" w:hAnsi="Arial" w:cs="Arial"/>
          <w:b/>
          <w:color w:val="000000" w:themeColor="text1"/>
          <w:sz w:val="16"/>
          <w:szCs w:val="16"/>
          <w:lang w:eastAsia="es-ES"/>
        </w:rPr>
      </w:pPr>
      <w:bookmarkStart w:id="0" w:name="_Hlk29890381"/>
      <w:r w:rsidRPr="00011A98">
        <w:rPr>
          <w:rFonts w:ascii="Arial" w:hAnsi="Arial" w:cs="Arial"/>
          <w:b/>
          <w:color w:val="000000" w:themeColor="text1"/>
          <w:sz w:val="16"/>
          <w:szCs w:val="16"/>
          <w:lang w:eastAsia="es-ES"/>
        </w:rPr>
        <w:t>CCE-DES-FM-17</w:t>
      </w:r>
    </w:p>
    <w:p w14:paraId="2E7545B6" w14:textId="7F9A3F9B" w:rsidR="009D461B" w:rsidRPr="00F83791" w:rsidRDefault="009D461B" w:rsidP="009D461B">
      <w:pPr>
        <w:jc w:val="both"/>
        <w:rPr>
          <w:rFonts w:ascii="Arial" w:eastAsia="Calibri" w:hAnsi="Arial" w:cs="Arial"/>
          <w:b/>
          <w:color w:val="000000" w:themeColor="text1"/>
          <w:sz w:val="16"/>
          <w:szCs w:val="16"/>
        </w:rPr>
      </w:pPr>
    </w:p>
    <w:p w14:paraId="5B870D2D" w14:textId="7B439765" w:rsidR="00DE1ACB" w:rsidRPr="00011A98" w:rsidRDefault="00DE1ACB" w:rsidP="00DE1ACB">
      <w:pPr>
        <w:jc w:val="both"/>
        <w:rPr>
          <w:rFonts w:ascii="Arial" w:eastAsia="Calibri" w:hAnsi="Arial" w:cs="Arial"/>
          <w:b/>
          <w:color w:val="000000" w:themeColor="text1"/>
          <w:sz w:val="22"/>
        </w:rPr>
      </w:pPr>
      <w:r w:rsidRPr="00011A98">
        <w:rPr>
          <w:rFonts w:ascii="Arial" w:eastAsia="Calibri" w:hAnsi="Arial" w:cs="Arial"/>
          <w:b/>
          <w:color w:val="000000" w:themeColor="text1"/>
          <w:sz w:val="22"/>
        </w:rPr>
        <w:t xml:space="preserve">DOCUMENTOS TIPO </w:t>
      </w:r>
      <w:r w:rsidR="00D87CED" w:rsidRPr="006C15D5">
        <w:rPr>
          <w:rFonts w:ascii="Arial" w:eastAsia="Calibri" w:hAnsi="Arial" w:cs="Arial"/>
          <w:b/>
          <w:color w:val="000000" w:themeColor="text1"/>
          <w:sz w:val="22"/>
        </w:rPr>
        <w:t>–</w:t>
      </w:r>
      <w:r w:rsidRPr="00011A98">
        <w:rPr>
          <w:rFonts w:ascii="Arial" w:eastAsia="Calibri" w:hAnsi="Arial" w:cs="Arial"/>
          <w:b/>
          <w:color w:val="000000" w:themeColor="text1"/>
          <w:sz w:val="22"/>
        </w:rPr>
        <w:t xml:space="preserve"> «Formato 5 – Capacidad residual» </w:t>
      </w:r>
      <w:r w:rsidR="00D87CED" w:rsidRPr="006C15D5">
        <w:rPr>
          <w:rFonts w:ascii="Arial" w:eastAsia="Calibri" w:hAnsi="Arial" w:cs="Arial"/>
          <w:b/>
          <w:color w:val="000000" w:themeColor="text1"/>
          <w:sz w:val="22"/>
        </w:rPr>
        <w:t>–</w:t>
      </w:r>
      <w:r w:rsidR="000F7250">
        <w:rPr>
          <w:rFonts w:ascii="Arial" w:eastAsia="Calibri" w:hAnsi="Arial" w:cs="Arial"/>
          <w:b/>
          <w:color w:val="000000" w:themeColor="text1"/>
          <w:sz w:val="22"/>
        </w:rPr>
        <w:t xml:space="preserve"> Saldo </w:t>
      </w:r>
      <w:r w:rsidR="000F7250" w:rsidRPr="006C15D5">
        <w:rPr>
          <w:rFonts w:ascii="Arial" w:eastAsia="Calibri" w:hAnsi="Arial" w:cs="Arial"/>
          <w:b/>
          <w:color w:val="000000" w:themeColor="text1"/>
          <w:sz w:val="22"/>
        </w:rPr>
        <w:t>–</w:t>
      </w:r>
      <w:r w:rsidR="000F7250">
        <w:rPr>
          <w:rFonts w:ascii="Arial" w:eastAsia="Calibri" w:hAnsi="Arial" w:cs="Arial"/>
          <w:b/>
          <w:color w:val="000000" w:themeColor="text1"/>
          <w:sz w:val="22"/>
        </w:rPr>
        <w:t xml:space="preserve"> C</w:t>
      </w:r>
      <w:bookmarkStart w:id="1" w:name="_GoBack"/>
      <w:bookmarkEnd w:id="1"/>
      <w:r w:rsidRPr="00011A98">
        <w:rPr>
          <w:rFonts w:ascii="Arial" w:eastAsia="Calibri" w:hAnsi="Arial" w:cs="Arial"/>
          <w:b/>
          <w:color w:val="000000" w:themeColor="text1"/>
          <w:sz w:val="22"/>
        </w:rPr>
        <w:t xml:space="preserve">ontratos en ejecución </w:t>
      </w:r>
      <w:r w:rsidR="00D87CED" w:rsidRPr="006C15D5">
        <w:rPr>
          <w:rFonts w:ascii="Arial" w:eastAsia="Calibri" w:hAnsi="Arial" w:cs="Arial"/>
          <w:b/>
          <w:color w:val="000000" w:themeColor="text1"/>
          <w:sz w:val="22"/>
        </w:rPr>
        <w:t>–</w:t>
      </w:r>
      <w:r w:rsidRPr="00011A98">
        <w:rPr>
          <w:rFonts w:ascii="Arial" w:eastAsia="Calibri" w:hAnsi="Arial" w:cs="Arial"/>
          <w:b/>
          <w:color w:val="000000" w:themeColor="text1"/>
          <w:sz w:val="22"/>
        </w:rPr>
        <w:t xml:space="preserve"> Varias suspensiones</w:t>
      </w:r>
    </w:p>
    <w:p w14:paraId="51065504" w14:textId="77777777" w:rsidR="00DE1ACB" w:rsidRPr="00011A98" w:rsidRDefault="00DE1ACB" w:rsidP="00DE1ACB">
      <w:pPr>
        <w:jc w:val="both"/>
        <w:rPr>
          <w:rFonts w:ascii="Arial" w:eastAsia="Calibri" w:hAnsi="Arial" w:cs="Arial"/>
          <w:b/>
          <w:color w:val="000000" w:themeColor="text1"/>
          <w:sz w:val="20"/>
        </w:rPr>
      </w:pPr>
    </w:p>
    <w:p w14:paraId="18F63A21" w14:textId="46D4F071" w:rsidR="00DE1ACB" w:rsidRPr="00011A98" w:rsidRDefault="00D87CED" w:rsidP="00A242DC">
      <w:pPr>
        <w:jc w:val="both"/>
        <w:rPr>
          <w:rFonts w:ascii="Arial" w:hAnsi="Arial" w:cs="Arial"/>
          <w:color w:val="000000" w:themeColor="text1"/>
          <w:sz w:val="20"/>
          <w:szCs w:val="20"/>
        </w:rPr>
      </w:pPr>
      <w:r>
        <w:rPr>
          <w:rFonts w:ascii="Arial" w:hAnsi="Arial" w:cs="Arial"/>
          <w:color w:val="000000" w:themeColor="text1"/>
          <w:sz w:val="20"/>
          <w:szCs w:val="20"/>
        </w:rPr>
        <w:t xml:space="preserve">[…] </w:t>
      </w:r>
      <w:r w:rsidR="00104008">
        <w:rPr>
          <w:rFonts w:ascii="Arial" w:hAnsi="Arial" w:cs="Arial"/>
          <w:color w:val="000000" w:themeColor="text1"/>
          <w:sz w:val="20"/>
          <w:szCs w:val="20"/>
        </w:rPr>
        <w:t>p</w:t>
      </w:r>
      <w:r w:rsidR="00DE1ACB" w:rsidRPr="00011A98">
        <w:rPr>
          <w:rFonts w:ascii="Arial" w:hAnsi="Arial" w:cs="Arial"/>
          <w:color w:val="000000" w:themeColor="text1"/>
          <w:sz w:val="20"/>
          <w:szCs w:val="20"/>
        </w:rPr>
        <w:t xml:space="preserve">ara el factor del «saldo de contratos en ejecución» se debe tener en cuenta si al momento del cierre del proceso de contratación el contrato se encuentra suspendido, independiente del número de suspensiones que se hayan presentado durante su ejecución. Es decir, en el «Formato 5 – Capacidad Residual» que estructure la entidad se deberá registrar únicamente la suspensión que se encuentra vigente al momento del cierre del proceso de contratación. </w:t>
      </w:r>
    </w:p>
    <w:p w14:paraId="452244D9" w14:textId="4EB80568" w:rsidR="00DE1ACB" w:rsidRPr="00011A98" w:rsidRDefault="00DE1ACB" w:rsidP="009D461B">
      <w:pPr>
        <w:jc w:val="both"/>
        <w:rPr>
          <w:rFonts w:ascii="Arial" w:eastAsia="Calibri" w:hAnsi="Arial" w:cs="Arial"/>
          <w:color w:val="000000" w:themeColor="text1"/>
          <w:sz w:val="20"/>
        </w:rPr>
      </w:pPr>
    </w:p>
    <w:p w14:paraId="06BDE6E2" w14:textId="77777777" w:rsidR="00011A98" w:rsidRPr="00F83791" w:rsidRDefault="00011A98" w:rsidP="00011A98">
      <w:pPr>
        <w:pStyle w:val="Default"/>
        <w:rPr>
          <w:color w:val="000000" w:themeColor="text1"/>
          <w:sz w:val="20"/>
          <w:szCs w:val="20"/>
        </w:rPr>
      </w:pPr>
    </w:p>
    <w:p w14:paraId="3E4F30F6" w14:textId="4476A7D8" w:rsidR="00011A98" w:rsidRPr="00011A98" w:rsidRDefault="00011A98" w:rsidP="00011A98">
      <w:pPr>
        <w:pStyle w:val="Default"/>
        <w:rPr>
          <w:color w:val="000000" w:themeColor="text1"/>
          <w:sz w:val="22"/>
          <w:szCs w:val="22"/>
        </w:rPr>
      </w:pPr>
      <w:r w:rsidRPr="00011A98">
        <w:rPr>
          <w:color w:val="000000" w:themeColor="text1"/>
          <w:sz w:val="22"/>
          <w:szCs w:val="22"/>
        </w:rPr>
        <w:t xml:space="preserve">Bogotá D.C., </w:t>
      </w:r>
      <w:r w:rsidRPr="00011A98">
        <w:rPr>
          <w:b/>
          <w:bCs/>
          <w:color w:val="000000" w:themeColor="text1"/>
          <w:sz w:val="22"/>
          <w:szCs w:val="22"/>
        </w:rPr>
        <w:t xml:space="preserve">16/03/2020 Hora 12:52:5s </w:t>
      </w:r>
    </w:p>
    <w:p w14:paraId="74DEEA22" w14:textId="7F16246E" w:rsidR="009D461B" w:rsidRPr="00011A98" w:rsidRDefault="00011A98" w:rsidP="00011A98">
      <w:pPr>
        <w:jc w:val="right"/>
        <w:rPr>
          <w:rFonts w:ascii="Arial" w:hAnsi="Arial" w:cs="Arial"/>
          <w:b/>
          <w:color w:val="000000" w:themeColor="text1"/>
          <w:sz w:val="22"/>
        </w:rPr>
      </w:pPr>
      <w:r w:rsidRPr="00011A98">
        <w:rPr>
          <w:rFonts w:ascii="Arial" w:hAnsi="Arial" w:cs="Arial"/>
          <w:b/>
          <w:bCs/>
          <w:color w:val="000000" w:themeColor="text1"/>
          <w:sz w:val="22"/>
        </w:rPr>
        <w:t>N° Radicado: 2202013000001892</w:t>
      </w:r>
    </w:p>
    <w:p w14:paraId="26C90700" w14:textId="77777777" w:rsidR="009D461B" w:rsidRPr="00011A98" w:rsidRDefault="009D461B" w:rsidP="009D461B">
      <w:pPr>
        <w:tabs>
          <w:tab w:val="left" w:pos="3374"/>
        </w:tabs>
        <w:rPr>
          <w:rFonts w:ascii="Arial" w:eastAsia="Calibri" w:hAnsi="Arial" w:cs="Arial"/>
          <w:color w:val="000000" w:themeColor="text1"/>
          <w:sz w:val="22"/>
        </w:rPr>
      </w:pPr>
      <w:r w:rsidRPr="00011A98">
        <w:rPr>
          <w:rFonts w:ascii="Arial" w:eastAsia="Calibri" w:hAnsi="Arial" w:cs="Arial"/>
          <w:color w:val="000000" w:themeColor="text1"/>
          <w:sz w:val="22"/>
        </w:rPr>
        <w:tab/>
      </w:r>
    </w:p>
    <w:p w14:paraId="091E4D2A" w14:textId="0A4D3CB3" w:rsidR="009D461B" w:rsidRPr="00011A98" w:rsidRDefault="009D461B" w:rsidP="009D461B">
      <w:pPr>
        <w:rPr>
          <w:rFonts w:ascii="Arial" w:eastAsia="Calibri" w:hAnsi="Arial" w:cs="Arial"/>
          <w:color w:val="000000" w:themeColor="text1"/>
          <w:sz w:val="22"/>
        </w:rPr>
      </w:pPr>
      <w:r w:rsidRPr="00011A98">
        <w:rPr>
          <w:rFonts w:ascii="Arial" w:eastAsia="Calibri" w:hAnsi="Arial" w:cs="Arial"/>
          <w:color w:val="000000" w:themeColor="text1"/>
          <w:sz w:val="22"/>
        </w:rPr>
        <w:t>Señor</w:t>
      </w:r>
    </w:p>
    <w:p w14:paraId="6A8306A4" w14:textId="44B0F900" w:rsidR="009D461B" w:rsidRPr="00011A98" w:rsidRDefault="0094411F" w:rsidP="009D461B">
      <w:pPr>
        <w:rPr>
          <w:rFonts w:ascii="Arial" w:eastAsia="Calibri" w:hAnsi="Arial" w:cs="Arial"/>
          <w:b/>
          <w:color w:val="000000" w:themeColor="text1"/>
          <w:sz w:val="22"/>
        </w:rPr>
      </w:pPr>
      <w:r w:rsidRPr="00011A98">
        <w:rPr>
          <w:rFonts w:ascii="Arial" w:eastAsia="Calibri" w:hAnsi="Arial" w:cs="Arial"/>
          <w:b/>
          <w:color w:val="000000" w:themeColor="text1"/>
          <w:sz w:val="22"/>
        </w:rPr>
        <w:t>Felipe Torres Alonso</w:t>
      </w:r>
    </w:p>
    <w:p w14:paraId="3FA2BF3C" w14:textId="77777777" w:rsidR="009D461B" w:rsidRPr="00011A98" w:rsidRDefault="009D461B" w:rsidP="009D461B">
      <w:pPr>
        <w:rPr>
          <w:rFonts w:ascii="Arial" w:eastAsia="Calibri" w:hAnsi="Arial" w:cs="Arial"/>
          <w:color w:val="000000" w:themeColor="text1"/>
          <w:sz w:val="22"/>
        </w:rPr>
      </w:pPr>
      <w:r w:rsidRPr="00011A98">
        <w:rPr>
          <w:rFonts w:ascii="Arial" w:eastAsia="Calibri" w:hAnsi="Arial" w:cs="Arial"/>
          <w:color w:val="000000" w:themeColor="text1"/>
          <w:sz w:val="22"/>
        </w:rPr>
        <w:t>Ciudad</w:t>
      </w:r>
    </w:p>
    <w:p w14:paraId="618F2BB9" w14:textId="77777777" w:rsidR="009D461B" w:rsidRPr="00011A98" w:rsidRDefault="009D461B" w:rsidP="009D461B">
      <w:pPr>
        <w:rPr>
          <w:rFonts w:ascii="Arial" w:eastAsia="Calibri" w:hAnsi="Arial" w:cs="Arial"/>
          <w:color w:val="000000" w:themeColor="text1"/>
          <w:sz w:val="22"/>
        </w:rPr>
      </w:pPr>
    </w:p>
    <w:p w14:paraId="4C8D4A9F" w14:textId="5295B1EA" w:rsidR="009D461B" w:rsidRPr="00011A98" w:rsidRDefault="009D461B" w:rsidP="009D461B">
      <w:pPr>
        <w:jc w:val="center"/>
        <w:rPr>
          <w:rFonts w:ascii="Arial" w:eastAsia="Calibri" w:hAnsi="Arial" w:cs="Arial"/>
          <w:b/>
          <w:color w:val="000000" w:themeColor="text1"/>
          <w:sz w:val="22"/>
        </w:rPr>
      </w:pPr>
      <w:r w:rsidRPr="00011A98">
        <w:rPr>
          <w:rFonts w:ascii="Arial" w:eastAsia="Calibri" w:hAnsi="Arial" w:cs="Arial"/>
          <w:b/>
          <w:color w:val="000000" w:themeColor="text1"/>
          <w:sz w:val="22"/>
        </w:rPr>
        <w:t xml:space="preserve">Concepto C ─ </w:t>
      </w:r>
      <w:r w:rsidR="00920100" w:rsidRPr="00011A98">
        <w:rPr>
          <w:rFonts w:ascii="Arial" w:eastAsia="Calibri" w:hAnsi="Arial" w:cs="Arial"/>
          <w:b/>
          <w:color w:val="000000" w:themeColor="text1"/>
          <w:sz w:val="22"/>
        </w:rPr>
        <w:t xml:space="preserve">112 </w:t>
      </w:r>
      <w:r w:rsidRPr="00011A98">
        <w:rPr>
          <w:rFonts w:ascii="Arial" w:eastAsia="Calibri" w:hAnsi="Arial" w:cs="Arial"/>
          <w:b/>
          <w:color w:val="000000" w:themeColor="text1"/>
          <w:sz w:val="22"/>
        </w:rPr>
        <w:t>de 2020</w:t>
      </w:r>
    </w:p>
    <w:p w14:paraId="63749D9C" w14:textId="77777777" w:rsidR="009D461B" w:rsidRPr="00011A98" w:rsidRDefault="009D461B" w:rsidP="009D461B">
      <w:pPr>
        <w:rPr>
          <w:rFonts w:ascii="Arial" w:eastAsia="Calibri" w:hAnsi="Arial" w:cs="Arial"/>
          <w:color w:val="000000" w:themeColor="text1"/>
          <w:sz w:val="22"/>
        </w:rPr>
      </w:pPr>
    </w:p>
    <w:tbl>
      <w:tblPr>
        <w:tblStyle w:val="Tablaconcuadrcula"/>
        <w:tblW w:w="8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70"/>
        <w:gridCol w:w="6193"/>
      </w:tblGrid>
      <w:tr w:rsidR="00011A98" w:rsidRPr="00011A98" w14:paraId="4001D36D" w14:textId="77777777" w:rsidTr="00011A98">
        <w:trPr>
          <w:trHeight w:val="609"/>
        </w:trPr>
        <w:tc>
          <w:tcPr>
            <w:tcW w:w="2670" w:type="dxa"/>
            <w:hideMark/>
          </w:tcPr>
          <w:p w14:paraId="0BCF6070" w14:textId="77777777" w:rsidR="009D461B" w:rsidRPr="00011A98" w:rsidRDefault="009D461B" w:rsidP="001D2592">
            <w:pPr>
              <w:rPr>
                <w:rFonts w:ascii="Arial" w:eastAsia="Calibri" w:hAnsi="Arial" w:cs="Arial"/>
                <w:color w:val="000000" w:themeColor="text1"/>
                <w:sz w:val="22"/>
              </w:rPr>
            </w:pPr>
            <w:r w:rsidRPr="00011A98">
              <w:rPr>
                <w:rFonts w:ascii="Arial" w:eastAsia="Calibri" w:hAnsi="Arial" w:cs="Arial"/>
                <w:b/>
                <w:color w:val="000000" w:themeColor="text1"/>
                <w:sz w:val="22"/>
              </w:rPr>
              <w:t>Temas:</w:t>
            </w:r>
            <w:r w:rsidRPr="00011A98">
              <w:rPr>
                <w:rFonts w:ascii="Arial" w:eastAsia="Calibri" w:hAnsi="Arial" w:cs="Arial"/>
                <w:color w:val="000000" w:themeColor="text1"/>
                <w:sz w:val="22"/>
              </w:rPr>
              <w:t xml:space="preserve">           </w:t>
            </w:r>
          </w:p>
          <w:p w14:paraId="2DB35858" w14:textId="77777777" w:rsidR="009D461B" w:rsidRPr="00011A98" w:rsidRDefault="009D461B" w:rsidP="001D2592">
            <w:pPr>
              <w:rPr>
                <w:rFonts w:ascii="Arial" w:eastAsia="Calibri" w:hAnsi="Arial" w:cs="Arial"/>
                <w:color w:val="000000" w:themeColor="text1"/>
                <w:sz w:val="22"/>
              </w:rPr>
            </w:pPr>
            <w:r w:rsidRPr="00011A98">
              <w:rPr>
                <w:rFonts w:ascii="Arial" w:eastAsia="Calibri" w:hAnsi="Arial" w:cs="Arial"/>
                <w:color w:val="000000" w:themeColor="text1"/>
                <w:sz w:val="22"/>
              </w:rPr>
              <w:t xml:space="preserve">                           </w:t>
            </w:r>
          </w:p>
        </w:tc>
        <w:tc>
          <w:tcPr>
            <w:tcW w:w="6193" w:type="dxa"/>
            <w:hideMark/>
          </w:tcPr>
          <w:p w14:paraId="5450EF86" w14:textId="03BE4C22" w:rsidR="009D461B" w:rsidRPr="00011A98" w:rsidRDefault="00920100" w:rsidP="001D2592">
            <w:pPr>
              <w:jc w:val="both"/>
              <w:rPr>
                <w:rFonts w:ascii="Arial" w:eastAsia="Calibri" w:hAnsi="Arial" w:cs="Arial"/>
                <w:color w:val="000000" w:themeColor="text1"/>
                <w:sz w:val="22"/>
              </w:rPr>
            </w:pPr>
            <w:r w:rsidRPr="00011A98">
              <w:rPr>
                <w:rFonts w:ascii="Arial" w:eastAsia="Calibri" w:hAnsi="Arial" w:cs="Arial"/>
                <w:color w:val="000000" w:themeColor="text1"/>
                <w:sz w:val="22"/>
              </w:rPr>
              <w:t>DOCUMENTOS TIPO – «Formato 5 – Capacidad residual» – Saldo de contratos en ejecución –Varias suspensiones</w:t>
            </w:r>
          </w:p>
        </w:tc>
      </w:tr>
      <w:tr w:rsidR="00011A98" w:rsidRPr="00011A98" w14:paraId="4643CBA9" w14:textId="77777777" w:rsidTr="00011A98">
        <w:trPr>
          <w:trHeight w:val="320"/>
        </w:trPr>
        <w:tc>
          <w:tcPr>
            <w:tcW w:w="2670" w:type="dxa"/>
          </w:tcPr>
          <w:p w14:paraId="2118DE15" w14:textId="77777777" w:rsidR="009D461B" w:rsidRPr="00011A98" w:rsidRDefault="009D461B" w:rsidP="001D2592">
            <w:pPr>
              <w:rPr>
                <w:rFonts w:ascii="Arial" w:eastAsia="Calibri" w:hAnsi="Arial" w:cs="Arial"/>
                <w:b/>
                <w:color w:val="000000" w:themeColor="text1"/>
                <w:sz w:val="22"/>
              </w:rPr>
            </w:pPr>
            <w:r w:rsidRPr="00011A98">
              <w:rPr>
                <w:rFonts w:ascii="Arial" w:eastAsia="Calibri" w:hAnsi="Arial" w:cs="Arial"/>
                <w:b/>
                <w:color w:val="000000" w:themeColor="text1"/>
                <w:sz w:val="22"/>
              </w:rPr>
              <w:t>Radicación:</w:t>
            </w:r>
            <w:r w:rsidRPr="00011A98">
              <w:rPr>
                <w:rFonts w:ascii="Arial" w:eastAsia="Calibri" w:hAnsi="Arial" w:cs="Arial"/>
                <w:color w:val="000000" w:themeColor="text1"/>
                <w:sz w:val="22"/>
              </w:rPr>
              <w:t xml:space="preserve">                              </w:t>
            </w:r>
          </w:p>
        </w:tc>
        <w:tc>
          <w:tcPr>
            <w:tcW w:w="6193" w:type="dxa"/>
          </w:tcPr>
          <w:p w14:paraId="520C8B2B" w14:textId="28CEBAEF" w:rsidR="009D461B" w:rsidRPr="00011A98" w:rsidRDefault="009D461B" w:rsidP="001D2592">
            <w:pPr>
              <w:jc w:val="both"/>
              <w:rPr>
                <w:rFonts w:ascii="Arial" w:eastAsia="Calibri" w:hAnsi="Arial" w:cs="Arial"/>
                <w:color w:val="000000" w:themeColor="text1"/>
                <w:sz w:val="22"/>
              </w:rPr>
            </w:pPr>
            <w:r w:rsidRPr="00011A98">
              <w:rPr>
                <w:rFonts w:ascii="Arial" w:eastAsia="Calibri" w:hAnsi="Arial" w:cs="Arial"/>
                <w:color w:val="000000" w:themeColor="text1"/>
                <w:sz w:val="22"/>
              </w:rPr>
              <w:t>Respuesta a consulta # 4202013000000</w:t>
            </w:r>
            <w:r w:rsidR="00A51027" w:rsidRPr="00011A98">
              <w:rPr>
                <w:rFonts w:ascii="Arial" w:eastAsia="Calibri" w:hAnsi="Arial" w:cs="Arial"/>
                <w:color w:val="000000" w:themeColor="text1"/>
                <w:sz w:val="22"/>
              </w:rPr>
              <w:t>964</w:t>
            </w:r>
          </w:p>
        </w:tc>
      </w:tr>
    </w:tbl>
    <w:p w14:paraId="31E8E079" w14:textId="77777777" w:rsidR="009D461B" w:rsidRPr="00011A98" w:rsidRDefault="009D461B" w:rsidP="009D461B">
      <w:pPr>
        <w:jc w:val="both"/>
        <w:rPr>
          <w:rFonts w:ascii="Arial" w:eastAsia="Calibri" w:hAnsi="Arial" w:cs="Arial"/>
          <w:color w:val="000000" w:themeColor="text1"/>
          <w:sz w:val="22"/>
        </w:rPr>
      </w:pPr>
    </w:p>
    <w:p w14:paraId="4DF83FC6" w14:textId="77777777" w:rsidR="009D461B" w:rsidRPr="00011A98" w:rsidRDefault="009D461B" w:rsidP="009D461B">
      <w:pPr>
        <w:rPr>
          <w:rFonts w:ascii="Arial" w:eastAsia="Calibri" w:hAnsi="Arial" w:cs="Arial"/>
          <w:color w:val="000000" w:themeColor="text1"/>
          <w:sz w:val="22"/>
        </w:rPr>
      </w:pPr>
    </w:p>
    <w:p w14:paraId="47B36326" w14:textId="1209BD90" w:rsidR="009D461B" w:rsidRPr="00011A98" w:rsidRDefault="009D461B" w:rsidP="009D461B">
      <w:pPr>
        <w:rPr>
          <w:rFonts w:ascii="Arial" w:eastAsia="Calibri" w:hAnsi="Arial" w:cs="Arial"/>
          <w:color w:val="000000" w:themeColor="text1"/>
          <w:sz w:val="22"/>
        </w:rPr>
      </w:pPr>
      <w:r w:rsidRPr="00011A98">
        <w:rPr>
          <w:rFonts w:ascii="Arial" w:eastAsia="Calibri" w:hAnsi="Arial" w:cs="Arial"/>
          <w:color w:val="000000" w:themeColor="text1"/>
          <w:sz w:val="22"/>
        </w:rPr>
        <w:t>Estimad</w:t>
      </w:r>
      <w:r w:rsidR="0094411F" w:rsidRPr="00011A98">
        <w:rPr>
          <w:rFonts w:ascii="Arial" w:eastAsia="Calibri" w:hAnsi="Arial" w:cs="Arial"/>
          <w:color w:val="000000" w:themeColor="text1"/>
          <w:sz w:val="22"/>
        </w:rPr>
        <w:t>o</w:t>
      </w:r>
      <w:r w:rsidRPr="00011A98">
        <w:rPr>
          <w:rFonts w:ascii="Arial" w:eastAsia="Calibri" w:hAnsi="Arial" w:cs="Arial"/>
          <w:color w:val="000000" w:themeColor="text1"/>
          <w:sz w:val="22"/>
        </w:rPr>
        <w:t xml:space="preserve"> señor,</w:t>
      </w:r>
    </w:p>
    <w:p w14:paraId="47EF88F0" w14:textId="77777777" w:rsidR="009D461B" w:rsidRPr="00011A98" w:rsidRDefault="009D461B" w:rsidP="009D461B">
      <w:pPr>
        <w:rPr>
          <w:rFonts w:ascii="Arial" w:eastAsia="Calibri" w:hAnsi="Arial" w:cs="Arial"/>
          <w:color w:val="000000" w:themeColor="text1"/>
          <w:sz w:val="22"/>
        </w:rPr>
      </w:pPr>
    </w:p>
    <w:p w14:paraId="4B653AC0" w14:textId="288162E0" w:rsidR="009D461B" w:rsidRPr="00011A98" w:rsidRDefault="009D461B" w:rsidP="009D461B">
      <w:pPr>
        <w:spacing w:line="276" w:lineRule="auto"/>
        <w:ind w:right="49"/>
        <w:jc w:val="both"/>
        <w:rPr>
          <w:rFonts w:ascii="Arial" w:eastAsia="Calibri" w:hAnsi="Arial" w:cs="Arial"/>
          <w:color w:val="000000" w:themeColor="text1"/>
          <w:sz w:val="22"/>
        </w:rPr>
      </w:pPr>
      <w:r w:rsidRPr="00011A98">
        <w:rPr>
          <w:rFonts w:ascii="Arial" w:eastAsia="Calibri" w:hAnsi="Arial" w:cs="Arial"/>
          <w:color w:val="000000" w:themeColor="text1"/>
          <w:sz w:val="22"/>
        </w:rPr>
        <w:t>La Agencia Nacional de Contratación Pública ―</w:t>
      </w:r>
      <w:r w:rsidR="0030617D" w:rsidRPr="00011A98">
        <w:rPr>
          <w:rFonts w:ascii="Arial" w:eastAsia="Calibri" w:hAnsi="Arial" w:cs="Arial"/>
          <w:color w:val="000000" w:themeColor="text1"/>
          <w:sz w:val="22"/>
        </w:rPr>
        <w:t xml:space="preserve"> </w:t>
      </w:r>
      <w:r w:rsidRPr="00011A98">
        <w:rPr>
          <w:rFonts w:ascii="Arial" w:eastAsia="Calibri" w:hAnsi="Arial" w:cs="Arial"/>
          <w:color w:val="000000" w:themeColor="text1"/>
          <w:sz w:val="22"/>
        </w:rPr>
        <w:t>Colombia Compra Eficiente</w:t>
      </w:r>
      <w:r w:rsidR="0030617D" w:rsidRPr="00011A98">
        <w:rPr>
          <w:rFonts w:ascii="Arial" w:eastAsia="Calibri" w:hAnsi="Arial" w:cs="Arial"/>
          <w:color w:val="000000" w:themeColor="text1"/>
          <w:sz w:val="22"/>
        </w:rPr>
        <w:t xml:space="preserve"> </w:t>
      </w:r>
      <w:r w:rsidRPr="00011A98">
        <w:rPr>
          <w:rFonts w:ascii="Arial" w:eastAsia="Calibri" w:hAnsi="Arial" w:cs="Arial"/>
          <w:color w:val="000000" w:themeColor="text1"/>
          <w:sz w:val="22"/>
        </w:rPr>
        <w:t xml:space="preserve">responde su consulta del </w:t>
      </w:r>
      <w:r w:rsidR="00920100" w:rsidRPr="00011A98">
        <w:rPr>
          <w:rFonts w:ascii="Arial" w:eastAsia="Calibri" w:hAnsi="Arial" w:cs="Arial"/>
          <w:color w:val="000000" w:themeColor="text1"/>
          <w:sz w:val="22"/>
        </w:rPr>
        <w:t xml:space="preserve">11 de febrero de </w:t>
      </w:r>
      <w:r w:rsidRPr="00011A98">
        <w:rPr>
          <w:rFonts w:ascii="Arial" w:eastAsia="Calibri" w:hAnsi="Arial" w:cs="Arial"/>
          <w:color w:val="000000" w:themeColor="text1"/>
          <w:sz w:val="22"/>
        </w:rPr>
        <w:t xml:space="preserve">2020, en ejercicio de la competencia otorgada por el numeral 8 del artículo 11 y el numeral 5 del artículo 3 del Decreto Ley 4170 de 2011. </w:t>
      </w:r>
    </w:p>
    <w:p w14:paraId="058BB03F" w14:textId="77777777" w:rsidR="009D461B" w:rsidRPr="00011A98" w:rsidRDefault="009D461B" w:rsidP="009D461B">
      <w:pPr>
        <w:spacing w:line="276" w:lineRule="auto"/>
        <w:jc w:val="both"/>
        <w:rPr>
          <w:rFonts w:ascii="Arial" w:eastAsia="Calibri" w:hAnsi="Arial" w:cs="Arial"/>
          <w:color w:val="000000" w:themeColor="text1"/>
          <w:sz w:val="22"/>
        </w:rPr>
      </w:pPr>
    </w:p>
    <w:p w14:paraId="5AF501DB" w14:textId="77777777" w:rsidR="009D461B" w:rsidRPr="00011A98" w:rsidRDefault="009D461B" w:rsidP="009D461B">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011A98">
        <w:rPr>
          <w:rFonts w:ascii="Arial" w:eastAsia="Calibri" w:hAnsi="Arial" w:cs="Arial"/>
          <w:b/>
          <w:color w:val="000000" w:themeColor="text1"/>
          <w:sz w:val="22"/>
        </w:rPr>
        <w:t xml:space="preserve">Problema planteado </w:t>
      </w:r>
    </w:p>
    <w:p w14:paraId="04550568" w14:textId="77777777" w:rsidR="009D461B" w:rsidRPr="00011A98" w:rsidRDefault="009D461B" w:rsidP="009D461B">
      <w:pPr>
        <w:tabs>
          <w:tab w:val="left" w:pos="426"/>
        </w:tabs>
        <w:spacing w:line="276" w:lineRule="auto"/>
        <w:jc w:val="both"/>
        <w:rPr>
          <w:rFonts w:ascii="Arial" w:eastAsia="Calibri" w:hAnsi="Arial" w:cs="Arial"/>
          <w:b/>
          <w:color w:val="000000" w:themeColor="text1"/>
          <w:sz w:val="22"/>
        </w:rPr>
      </w:pPr>
    </w:p>
    <w:p w14:paraId="4CBD07E6" w14:textId="06BAF735" w:rsidR="009D461B" w:rsidRPr="00011A98" w:rsidRDefault="009D461B" w:rsidP="00952279">
      <w:pPr>
        <w:tabs>
          <w:tab w:val="left" w:pos="426"/>
        </w:tabs>
        <w:spacing w:line="276" w:lineRule="auto"/>
        <w:jc w:val="both"/>
        <w:rPr>
          <w:rFonts w:ascii="Arial" w:eastAsia="Calibri" w:hAnsi="Arial" w:cs="Arial"/>
          <w:color w:val="000000" w:themeColor="text1"/>
          <w:sz w:val="22"/>
        </w:rPr>
      </w:pPr>
      <w:r w:rsidRPr="00011A98">
        <w:rPr>
          <w:rFonts w:ascii="Arial" w:eastAsia="Calibri" w:hAnsi="Arial" w:cs="Arial"/>
          <w:color w:val="000000" w:themeColor="text1"/>
          <w:sz w:val="22"/>
        </w:rPr>
        <w:t xml:space="preserve">Usted realiza la siguiente consulta: </w:t>
      </w:r>
      <w:r w:rsidR="00952279" w:rsidRPr="00011A98">
        <w:rPr>
          <w:rFonts w:ascii="Arial" w:eastAsia="Calibri" w:hAnsi="Arial" w:cs="Arial"/>
          <w:color w:val="000000" w:themeColor="text1"/>
          <w:sz w:val="22"/>
        </w:rPr>
        <w:t>«solicito a COLOMBIA COMPRA EFICIENTE me de claridad de cómo se debe diligenciar el FORMATO 5C SALDO DE CONTRATOS EN EJECUCIÓN cuando alguno de los contratos relacionados en el formato posee más de una suspensión dentro de su plazo contractual ya que el formato establecido por COLOMBIA COMPRA EFICIENTE y el suministrado a través de los PLIEGO TIPO según decreto 342 de 2019 y manuales publicados por COLOMBIA COMPRA EFICIENTE no indican como proceder ante estos casos».</w:t>
      </w:r>
    </w:p>
    <w:p w14:paraId="0AE4E756" w14:textId="77777777" w:rsidR="009D461B" w:rsidRPr="00011A98" w:rsidRDefault="009D461B" w:rsidP="009D461B">
      <w:pPr>
        <w:tabs>
          <w:tab w:val="left" w:pos="426"/>
        </w:tabs>
        <w:spacing w:line="276" w:lineRule="auto"/>
        <w:jc w:val="both"/>
        <w:rPr>
          <w:rFonts w:ascii="Arial" w:eastAsia="Calibri" w:hAnsi="Arial" w:cs="Arial"/>
          <w:color w:val="000000" w:themeColor="text1"/>
          <w:sz w:val="22"/>
        </w:rPr>
      </w:pPr>
    </w:p>
    <w:p w14:paraId="0A8B8D7C" w14:textId="77777777" w:rsidR="009D461B" w:rsidRPr="00011A98" w:rsidRDefault="009D461B" w:rsidP="009D461B">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011A98">
        <w:rPr>
          <w:rFonts w:ascii="Arial" w:eastAsia="Calibri" w:hAnsi="Arial" w:cs="Arial"/>
          <w:b/>
          <w:color w:val="000000" w:themeColor="text1"/>
          <w:sz w:val="22"/>
        </w:rPr>
        <w:t>Consideraciones</w:t>
      </w:r>
    </w:p>
    <w:p w14:paraId="19739796" w14:textId="629730E6" w:rsidR="00481C7D" w:rsidRPr="00011A98" w:rsidRDefault="00481C7D" w:rsidP="00481C7D">
      <w:pPr>
        <w:spacing w:before="120" w:after="120" w:line="276" w:lineRule="auto"/>
        <w:jc w:val="both"/>
        <w:rPr>
          <w:rFonts w:ascii="Arial" w:hAnsi="Arial" w:cs="Arial"/>
          <w:color w:val="000000" w:themeColor="text1"/>
          <w:sz w:val="22"/>
        </w:rPr>
      </w:pPr>
      <w:r w:rsidRPr="00011A98">
        <w:rPr>
          <w:rFonts w:ascii="Arial" w:hAnsi="Arial" w:cs="Arial"/>
          <w:color w:val="000000" w:themeColor="text1"/>
          <w:sz w:val="22"/>
        </w:rPr>
        <w:lastRenderedPageBreak/>
        <w:t xml:space="preserve">De acuerdo con lo establecido en el artículo 2.2.1.1.1.3.1 del Decreto 1082 de 2015, la capacidad residual es </w:t>
      </w:r>
      <w:r w:rsidR="002F4FFA" w:rsidRPr="00011A98">
        <w:rPr>
          <w:rFonts w:ascii="Arial" w:hAnsi="Arial" w:cs="Arial"/>
          <w:color w:val="000000" w:themeColor="text1"/>
          <w:sz w:val="22"/>
        </w:rPr>
        <w:t>l</w:t>
      </w:r>
      <w:r w:rsidRPr="00011A98">
        <w:rPr>
          <w:rFonts w:ascii="Arial" w:hAnsi="Arial" w:cs="Arial"/>
          <w:color w:val="000000" w:themeColor="text1"/>
          <w:sz w:val="22"/>
        </w:rPr>
        <w:t>a aptitud de los oferentes para cumplir de manera oportuna y a cabalidad el objeto de un contrato de obra, sin que los demás compromisos contractuales que ha</w:t>
      </w:r>
      <w:r w:rsidR="002F4FFA" w:rsidRPr="00011A98">
        <w:rPr>
          <w:rFonts w:ascii="Arial" w:hAnsi="Arial" w:cs="Arial"/>
          <w:color w:val="000000" w:themeColor="text1"/>
          <w:sz w:val="22"/>
        </w:rPr>
        <w:t>n</w:t>
      </w:r>
      <w:r w:rsidRPr="00011A98">
        <w:rPr>
          <w:rFonts w:ascii="Arial" w:hAnsi="Arial" w:cs="Arial"/>
          <w:color w:val="000000" w:themeColor="text1"/>
          <w:sz w:val="22"/>
        </w:rPr>
        <w:t xml:space="preserve"> adquirido afecten su habilidad de cumplir el objeto del contrato que está en proceso de selección</w:t>
      </w:r>
      <w:r w:rsidRPr="00011A98">
        <w:rPr>
          <w:rFonts w:ascii="Arial" w:hAnsi="Arial" w:cs="Arial"/>
          <w:color w:val="000000" w:themeColor="text1"/>
          <w:sz w:val="22"/>
          <w:szCs w:val="20"/>
          <w:vertAlign w:val="superscript"/>
        </w:rPr>
        <w:footnoteReference w:id="1"/>
      </w:r>
      <w:r w:rsidRPr="00011A98">
        <w:rPr>
          <w:rFonts w:ascii="Arial" w:hAnsi="Arial" w:cs="Arial"/>
          <w:color w:val="000000" w:themeColor="text1"/>
          <w:sz w:val="22"/>
        </w:rPr>
        <w:t>. Por su parte, el Consejo de Estado ha definido la capacidad residual como «la diferencia que existe entre el potencial de contratación que se tiene y los compromisos que haya adquirido y que se encuentren en ejecución, para la fecha de presentación de la oferta»</w:t>
      </w:r>
      <w:r w:rsidRPr="00011A98">
        <w:rPr>
          <w:rStyle w:val="Refdenotaalpie"/>
          <w:rFonts w:ascii="Arial" w:eastAsia="Calibri" w:hAnsi="Arial" w:cs="Arial"/>
          <w:color w:val="000000" w:themeColor="text1"/>
          <w:sz w:val="22"/>
        </w:rPr>
        <w:footnoteReference w:id="2"/>
      </w:r>
      <w:r w:rsidRPr="00011A98">
        <w:rPr>
          <w:rFonts w:ascii="Arial" w:hAnsi="Arial" w:cs="Arial"/>
          <w:color w:val="000000" w:themeColor="text1"/>
          <w:sz w:val="22"/>
        </w:rPr>
        <w:t>.</w:t>
      </w:r>
    </w:p>
    <w:p w14:paraId="5D42733F" w14:textId="119901B7" w:rsidR="009D461B" w:rsidRPr="00011A98" w:rsidRDefault="00481C7D" w:rsidP="00481C7D">
      <w:pPr>
        <w:spacing w:before="120" w:after="120" w:line="276" w:lineRule="auto"/>
        <w:ind w:firstLine="708"/>
        <w:jc w:val="both"/>
        <w:rPr>
          <w:rFonts w:ascii="Arial" w:hAnsi="Arial" w:cs="Arial"/>
          <w:color w:val="000000" w:themeColor="text1"/>
          <w:sz w:val="22"/>
        </w:rPr>
      </w:pPr>
      <w:r w:rsidRPr="00011A98">
        <w:rPr>
          <w:rFonts w:ascii="Arial" w:hAnsi="Arial" w:cs="Arial"/>
          <w:color w:val="000000" w:themeColor="text1"/>
          <w:sz w:val="22"/>
        </w:rPr>
        <w:t>En atención a lo anterior, la capacidad residual hace referencia a la suficiencia que tiene el proponente para asumir nuevas obligaciones que se derivan del contrato objeto del proceso de contratación, en relación con las obligaciones que ya adquir</w:t>
      </w:r>
      <w:r w:rsidR="0030617D" w:rsidRPr="00011A98">
        <w:rPr>
          <w:rFonts w:ascii="Arial" w:hAnsi="Arial" w:cs="Arial"/>
          <w:color w:val="000000" w:themeColor="text1"/>
          <w:sz w:val="22"/>
        </w:rPr>
        <w:t>ió</w:t>
      </w:r>
      <w:r w:rsidR="002F4FFA" w:rsidRPr="00011A98">
        <w:rPr>
          <w:rFonts w:ascii="Arial" w:hAnsi="Arial" w:cs="Arial"/>
          <w:color w:val="000000" w:themeColor="text1"/>
          <w:sz w:val="22"/>
        </w:rPr>
        <w:t xml:space="preserve"> frente a otros contratos</w:t>
      </w:r>
      <w:r w:rsidRPr="00011A98">
        <w:rPr>
          <w:rFonts w:ascii="Arial" w:hAnsi="Arial" w:cs="Arial"/>
          <w:color w:val="000000" w:themeColor="text1"/>
          <w:sz w:val="22"/>
        </w:rPr>
        <w:t>.</w:t>
      </w:r>
    </w:p>
    <w:p w14:paraId="49ECE830" w14:textId="36647363" w:rsidR="00481C7D" w:rsidRPr="00011A98" w:rsidRDefault="001570F0" w:rsidP="00481C7D">
      <w:pPr>
        <w:spacing w:line="276" w:lineRule="auto"/>
        <w:ind w:firstLine="708"/>
        <w:jc w:val="both"/>
        <w:rPr>
          <w:rFonts w:ascii="Arial" w:hAnsi="Arial" w:cs="Arial"/>
          <w:color w:val="000000" w:themeColor="text1"/>
          <w:sz w:val="22"/>
        </w:rPr>
      </w:pPr>
      <w:r w:rsidRPr="00011A98">
        <w:rPr>
          <w:rFonts w:ascii="Arial" w:hAnsi="Arial" w:cs="Arial"/>
          <w:color w:val="000000" w:themeColor="text1"/>
          <w:sz w:val="22"/>
        </w:rPr>
        <w:t>El artículo 6 de l</w:t>
      </w:r>
      <w:r w:rsidR="00481C7D" w:rsidRPr="00011A98">
        <w:rPr>
          <w:rFonts w:ascii="Arial" w:hAnsi="Arial" w:cs="Arial"/>
          <w:color w:val="000000" w:themeColor="text1"/>
          <w:sz w:val="22"/>
        </w:rPr>
        <w:t xml:space="preserve">a Ley 1150 de 2007, estableció como condición «para poder participar en los procesos de selección de los contratos de obra, la capacidad residual del proponente o K de contratación», y determinó que </w:t>
      </w:r>
      <w:r w:rsidR="002F4FFA" w:rsidRPr="00011A98">
        <w:rPr>
          <w:rFonts w:ascii="Arial" w:hAnsi="Arial" w:cs="Arial"/>
          <w:color w:val="000000" w:themeColor="text1"/>
          <w:sz w:val="22"/>
        </w:rPr>
        <w:t xml:space="preserve">esta </w:t>
      </w:r>
      <w:r w:rsidR="00481C7D" w:rsidRPr="00011A98">
        <w:rPr>
          <w:rFonts w:ascii="Arial" w:hAnsi="Arial" w:cs="Arial"/>
          <w:color w:val="000000" w:themeColor="text1"/>
          <w:sz w:val="22"/>
        </w:rPr>
        <w:t>debe ser igual o superior a</w:t>
      </w:r>
      <w:r w:rsidR="002F4FFA" w:rsidRPr="00011A98">
        <w:rPr>
          <w:rFonts w:ascii="Arial" w:hAnsi="Arial" w:cs="Arial"/>
          <w:color w:val="000000" w:themeColor="text1"/>
          <w:sz w:val="22"/>
        </w:rPr>
        <w:t xml:space="preserve"> la</w:t>
      </w:r>
      <w:r w:rsidR="00481C7D" w:rsidRPr="00011A98">
        <w:rPr>
          <w:rFonts w:ascii="Arial" w:hAnsi="Arial" w:cs="Arial"/>
          <w:color w:val="000000" w:themeColor="text1"/>
          <w:sz w:val="22"/>
        </w:rPr>
        <w:t xml:space="preserve"> que </w:t>
      </w:r>
      <w:r w:rsidRPr="00011A98">
        <w:rPr>
          <w:rFonts w:ascii="Arial" w:hAnsi="Arial" w:cs="Arial"/>
          <w:color w:val="000000" w:themeColor="text1"/>
          <w:sz w:val="22"/>
        </w:rPr>
        <w:t xml:space="preserve">se </w:t>
      </w:r>
      <w:r w:rsidR="00481C7D" w:rsidRPr="00011A98">
        <w:rPr>
          <w:rFonts w:ascii="Arial" w:hAnsi="Arial" w:cs="Arial"/>
          <w:color w:val="000000" w:themeColor="text1"/>
          <w:sz w:val="22"/>
        </w:rPr>
        <w:t xml:space="preserve">ha establecido en los pliegos de condiciones, en los siguientes términos: </w:t>
      </w:r>
    </w:p>
    <w:p w14:paraId="66B1A518" w14:textId="77777777" w:rsidR="00481C7D" w:rsidRPr="00011A98" w:rsidRDefault="00481C7D" w:rsidP="002B7AB0">
      <w:pPr>
        <w:ind w:right="709"/>
        <w:jc w:val="both"/>
        <w:rPr>
          <w:rFonts w:ascii="Arial" w:eastAsia="Calibri" w:hAnsi="Arial" w:cs="Arial"/>
          <w:color w:val="000000" w:themeColor="text1"/>
          <w:sz w:val="21"/>
          <w:szCs w:val="21"/>
        </w:rPr>
      </w:pPr>
    </w:p>
    <w:p w14:paraId="397A7FA3" w14:textId="6051BAFE" w:rsidR="00845A1B" w:rsidRPr="00011A98" w:rsidRDefault="00481C7D" w:rsidP="00481C7D">
      <w:pPr>
        <w:ind w:left="708" w:right="709"/>
        <w:jc w:val="both"/>
        <w:rPr>
          <w:rFonts w:ascii="Arial" w:eastAsia="Calibri" w:hAnsi="Arial" w:cs="Arial"/>
          <w:color w:val="000000" w:themeColor="text1"/>
          <w:sz w:val="21"/>
          <w:szCs w:val="21"/>
        </w:rPr>
      </w:pPr>
      <w:r w:rsidRPr="00011A98">
        <w:rPr>
          <w:rFonts w:ascii="Arial" w:eastAsia="Calibri" w:hAnsi="Arial" w:cs="Arial"/>
          <w:color w:val="000000" w:themeColor="text1"/>
          <w:sz w:val="21"/>
          <w:szCs w:val="21"/>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r w:rsidR="001570F0" w:rsidRPr="00011A98">
        <w:rPr>
          <w:rFonts w:ascii="Arial" w:eastAsia="Calibri" w:hAnsi="Arial" w:cs="Arial"/>
          <w:color w:val="000000" w:themeColor="text1"/>
          <w:sz w:val="21"/>
          <w:szCs w:val="21"/>
        </w:rPr>
        <w:t>.</w:t>
      </w:r>
    </w:p>
    <w:p w14:paraId="3A7F8674" w14:textId="77777777" w:rsidR="001570F0" w:rsidRPr="00011A98" w:rsidRDefault="001570F0" w:rsidP="00481C7D">
      <w:pPr>
        <w:ind w:left="708" w:right="709"/>
        <w:jc w:val="both"/>
        <w:rPr>
          <w:rFonts w:ascii="Arial" w:eastAsia="Calibri" w:hAnsi="Arial" w:cs="Arial"/>
          <w:color w:val="000000" w:themeColor="text1"/>
          <w:sz w:val="21"/>
          <w:szCs w:val="21"/>
        </w:rPr>
      </w:pPr>
    </w:p>
    <w:p w14:paraId="002CE676" w14:textId="2EC5A160" w:rsidR="001570F0" w:rsidRPr="00011A98" w:rsidRDefault="001570F0" w:rsidP="00481C7D">
      <w:pPr>
        <w:ind w:left="708" w:right="709"/>
        <w:jc w:val="both"/>
        <w:rPr>
          <w:rFonts w:ascii="Arial" w:eastAsia="Calibri" w:hAnsi="Arial" w:cs="Arial"/>
          <w:color w:val="000000" w:themeColor="text1"/>
          <w:sz w:val="21"/>
          <w:szCs w:val="21"/>
        </w:rPr>
      </w:pPr>
      <w:r w:rsidRPr="00011A98">
        <w:rPr>
          <w:rFonts w:ascii="Arial" w:eastAsia="Calibri" w:hAnsi="Arial" w:cs="Arial"/>
          <w:color w:val="000000" w:themeColor="text1"/>
          <w:sz w:val="21"/>
          <w:szCs w:val="21"/>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6ECCA0FC" w14:textId="3B48DDD5" w:rsidR="00D2390F" w:rsidRPr="00011A98" w:rsidRDefault="00D2390F" w:rsidP="00481C7D">
      <w:pPr>
        <w:ind w:left="708" w:right="709"/>
        <w:jc w:val="both"/>
        <w:rPr>
          <w:rFonts w:ascii="Arial" w:eastAsia="Calibri" w:hAnsi="Arial" w:cs="Arial"/>
          <w:color w:val="000000" w:themeColor="text1"/>
          <w:sz w:val="21"/>
          <w:szCs w:val="21"/>
        </w:rPr>
      </w:pPr>
    </w:p>
    <w:p w14:paraId="5C39AFBB" w14:textId="5950E659" w:rsidR="00481C7D" w:rsidRPr="00011A98" w:rsidRDefault="004958BA" w:rsidP="008D67B3">
      <w:pPr>
        <w:spacing w:line="276" w:lineRule="auto"/>
        <w:ind w:firstLine="708"/>
        <w:jc w:val="both"/>
        <w:rPr>
          <w:rFonts w:ascii="Arial" w:hAnsi="Arial" w:cs="Arial"/>
          <w:color w:val="000000" w:themeColor="text1"/>
          <w:sz w:val="22"/>
        </w:rPr>
      </w:pPr>
      <w:r w:rsidRPr="00011A98">
        <w:rPr>
          <w:rFonts w:ascii="Arial" w:hAnsi="Arial" w:cs="Arial"/>
          <w:color w:val="000000" w:themeColor="text1"/>
          <w:sz w:val="22"/>
        </w:rPr>
        <w:t xml:space="preserve">En el mismo sentido el artículo 72 de la Ley 1682 de 2013, por la cual se adoptan medidas y disposiciones para los proyectos de infraestructura de transporte, estableció que </w:t>
      </w:r>
      <w:r w:rsidR="002B7AB0" w:rsidRPr="00011A98">
        <w:rPr>
          <w:rFonts w:ascii="Arial" w:hAnsi="Arial" w:cs="Arial"/>
          <w:color w:val="000000" w:themeColor="text1"/>
          <w:sz w:val="22"/>
        </w:rPr>
        <w:t xml:space="preserve">cuando se trate de contratos de obra </w:t>
      </w:r>
      <w:r w:rsidRPr="00011A98">
        <w:rPr>
          <w:rFonts w:ascii="Arial" w:hAnsi="Arial" w:cs="Arial"/>
          <w:color w:val="000000" w:themeColor="text1"/>
          <w:sz w:val="22"/>
        </w:rPr>
        <w:t>el cálculo de la capacidad residual del proponente «se obtendrá de sustraer el saldo de los contratos en ejecución»</w:t>
      </w:r>
      <w:r w:rsidRPr="00011A98">
        <w:rPr>
          <w:rStyle w:val="Refdenotaalpie"/>
          <w:rFonts w:ascii="Arial" w:hAnsi="Arial" w:cs="Arial"/>
          <w:color w:val="000000" w:themeColor="text1"/>
          <w:sz w:val="22"/>
        </w:rPr>
        <w:footnoteReference w:id="3"/>
      </w:r>
      <w:r w:rsidRPr="00011A98">
        <w:rPr>
          <w:rFonts w:ascii="Arial" w:hAnsi="Arial" w:cs="Arial"/>
          <w:color w:val="000000" w:themeColor="text1"/>
          <w:sz w:val="22"/>
        </w:rPr>
        <w:t>.</w:t>
      </w:r>
    </w:p>
    <w:p w14:paraId="2C179145" w14:textId="0A2C6673" w:rsidR="00481C7D" w:rsidRPr="00011A98" w:rsidRDefault="00481C7D" w:rsidP="008D67B3">
      <w:pPr>
        <w:spacing w:before="120" w:line="276" w:lineRule="auto"/>
        <w:ind w:firstLine="709"/>
        <w:jc w:val="both"/>
        <w:rPr>
          <w:rFonts w:ascii="Arial" w:eastAsia="Calibri" w:hAnsi="Arial" w:cs="Arial"/>
          <w:color w:val="000000" w:themeColor="text1"/>
          <w:sz w:val="22"/>
        </w:rPr>
      </w:pPr>
      <w:r w:rsidRPr="00011A98">
        <w:rPr>
          <w:rFonts w:ascii="Arial" w:eastAsia="Calibri" w:hAnsi="Arial" w:cs="Arial"/>
          <w:color w:val="000000" w:themeColor="text1"/>
          <w:sz w:val="22"/>
        </w:rPr>
        <w:t>A su vez, el artículo 2.2.1.1.1.6.</w:t>
      </w:r>
      <w:r w:rsidR="001570F0" w:rsidRPr="00011A98">
        <w:rPr>
          <w:rFonts w:ascii="Arial" w:eastAsia="Calibri" w:hAnsi="Arial" w:cs="Arial"/>
          <w:color w:val="000000" w:themeColor="text1"/>
          <w:sz w:val="22"/>
        </w:rPr>
        <w:t>4</w:t>
      </w:r>
      <w:r w:rsidRPr="00011A98">
        <w:rPr>
          <w:rFonts w:ascii="Arial" w:eastAsia="Calibri" w:hAnsi="Arial" w:cs="Arial"/>
          <w:color w:val="000000" w:themeColor="text1"/>
          <w:sz w:val="22"/>
        </w:rPr>
        <w:t xml:space="preserve"> del Decreto 1082 de 2015 estableció que las entidades estatales deberán calcular la capacidad residual conforme a la metodología definida por la Agencia Nacional de Contratación Pública – Colombia Compre Eficiente, y precisó que para ello se debían tener en cuenta los factores de experiencia, capacidad financiera, capacidad técnica, capacidad de organización y los saldos de los contratos en ejecución, así:</w:t>
      </w:r>
    </w:p>
    <w:p w14:paraId="1F2CD2F8" w14:textId="77777777" w:rsidR="00481C7D" w:rsidRPr="00011A98" w:rsidRDefault="00481C7D" w:rsidP="00481C7D">
      <w:pPr>
        <w:jc w:val="both"/>
        <w:rPr>
          <w:rFonts w:ascii="Arial" w:eastAsia="Calibri" w:hAnsi="Arial" w:cs="Arial"/>
          <w:color w:val="000000" w:themeColor="text1"/>
          <w:sz w:val="22"/>
        </w:rPr>
      </w:pPr>
    </w:p>
    <w:p w14:paraId="15A631D6" w14:textId="1AC81A45" w:rsidR="00481C7D" w:rsidRPr="00011A98" w:rsidRDefault="00481C7D" w:rsidP="00405255">
      <w:pPr>
        <w:ind w:left="708" w:right="709" w:firstLine="2"/>
        <w:jc w:val="both"/>
        <w:rPr>
          <w:rFonts w:ascii="Arial" w:eastAsia="Calibri" w:hAnsi="Arial" w:cs="Arial"/>
          <w:color w:val="000000" w:themeColor="text1"/>
          <w:sz w:val="21"/>
          <w:szCs w:val="21"/>
        </w:rPr>
      </w:pPr>
      <w:r w:rsidRPr="00011A98">
        <w:rPr>
          <w:rFonts w:ascii="Arial" w:eastAsia="Calibri" w:hAnsi="Arial" w:cs="Arial"/>
          <w:color w:val="000000" w:themeColor="text1"/>
          <w:sz w:val="21"/>
          <w:szCs w:val="21"/>
        </w:rPr>
        <w:t>Artículo 2.2.1.1.1.6.4. Capacidad Residual. El interesado en celebrar contratos de obra pública con Entidades Estatales debe acreditar su Capacidad Residual o K de Contratación con los siguientes documentos:</w:t>
      </w:r>
    </w:p>
    <w:p w14:paraId="09A48157" w14:textId="77777777" w:rsidR="002B7AB0" w:rsidRPr="00011A98" w:rsidRDefault="002B7AB0" w:rsidP="00405255">
      <w:pPr>
        <w:ind w:left="708" w:right="709" w:firstLine="2"/>
        <w:jc w:val="both"/>
        <w:rPr>
          <w:rFonts w:ascii="Arial" w:eastAsia="Calibri" w:hAnsi="Arial" w:cs="Arial"/>
          <w:color w:val="000000" w:themeColor="text1"/>
          <w:sz w:val="21"/>
          <w:szCs w:val="21"/>
        </w:rPr>
      </w:pPr>
    </w:p>
    <w:p w14:paraId="0090B0F2" w14:textId="0FF3557C" w:rsidR="001570F0" w:rsidRPr="00011A98" w:rsidRDefault="001570F0" w:rsidP="001570F0">
      <w:pPr>
        <w:ind w:left="708" w:right="709" w:firstLine="2"/>
        <w:jc w:val="both"/>
        <w:rPr>
          <w:rFonts w:ascii="Arial" w:eastAsia="Calibri" w:hAnsi="Arial" w:cs="Arial"/>
          <w:color w:val="000000" w:themeColor="text1"/>
          <w:sz w:val="21"/>
          <w:szCs w:val="21"/>
        </w:rPr>
      </w:pPr>
      <w:r w:rsidRPr="00011A98">
        <w:rPr>
          <w:rFonts w:ascii="Arial" w:eastAsia="Calibri" w:hAnsi="Arial" w:cs="Arial"/>
          <w:color w:val="000000" w:themeColor="text1"/>
          <w:sz w:val="21"/>
          <w:szCs w:val="21"/>
        </w:rPr>
        <w:t>1.</w:t>
      </w:r>
      <w:r w:rsidR="0030617D" w:rsidRPr="00011A98">
        <w:rPr>
          <w:rFonts w:ascii="Arial" w:eastAsia="Calibri" w:hAnsi="Arial" w:cs="Arial"/>
          <w:color w:val="000000" w:themeColor="text1"/>
          <w:sz w:val="21"/>
          <w:szCs w:val="21"/>
        </w:rPr>
        <w:t xml:space="preserve"> </w:t>
      </w:r>
      <w:r w:rsidRPr="00011A98">
        <w:rPr>
          <w:rFonts w:ascii="Arial" w:eastAsia="Calibri" w:hAnsi="Arial" w:cs="Arial"/>
          <w:color w:val="000000" w:themeColor="text1"/>
          <w:sz w:val="21"/>
          <w:szCs w:val="21"/>
        </w:rPr>
        <w:t>La lista de los contratos de obras civiles en ejecución suscritos con Entidades Estatales y con entidades privadas, así como el valor y plazo de tales contratos, incluyendo contratos de concesión y los contratos de obra suscritos con concesionarios.</w:t>
      </w:r>
    </w:p>
    <w:p w14:paraId="49E0F4A7" w14:textId="77777777" w:rsidR="001570F0" w:rsidRPr="00011A98" w:rsidRDefault="001570F0" w:rsidP="001570F0">
      <w:pPr>
        <w:ind w:left="708" w:right="709" w:firstLine="2"/>
        <w:jc w:val="both"/>
        <w:rPr>
          <w:rFonts w:ascii="Arial" w:eastAsia="Calibri" w:hAnsi="Arial" w:cs="Arial"/>
          <w:color w:val="000000" w:themeColor="text1"/>
          <w:sz w:val="21"/>
          <w:szCs w:val="21"/>
        </w:rPr>
      </w:pPr>
    </w:p>
    <w:p w14:paraId="31B042DD" w14:textId="6183B9E9" w:rsidR="001570F0" w:rsidRPr="00011A98" w:rsidRDefault="001570F0" w:rsidP="001570F0">
      <w:pPr>
        <w:ind w:left="708" w:right="709" w:firstLine="2"/>
        <w:jc w:val="both"/>
        <w:rPr>
          <w:rFonts w:ascii="Arial" w:eastAsia="Calibri" w:hAnsi="Arial" w:cs="Arial"/>
          <w:color w:val="000000" w:themeColor="text1"/>
          <w:sz w:val="21"/>
          <w:szCs w:val="21"/>
        </w:rPr>
      </w:pPr>
      <w:r w:rsidRPr="00011A98">
        <w:rPr>
          <w:rFonts w:ascii="Arial" w:eastAsia="Calibri" w:hAnsi="Arial" w:cs="Arial"/>
          <w:color w:val="000000" w:themeColor="text1"/>
          <w:sz w:val="21"/>
          <w:szCs w:val="21"/>
        </w:rPr>
        <w:t>2.</w:t>
      </w:r>
      <w:r w:rsidR="0030617D" w:rsidRPr="00011A98">
        <w:rPr>
          <w:rFonts w:ascii="Arial" w:eastAsia="Calibri" w:hAnsi="Arial" w:cs="Arial"/>
          <w:color w:val="000000" w:themeColor="text1"/>
          <w:sz w:val="21"/>
          <w:szCs w:val="21"/>
        </w:rPr>
        <w:t xml:space="preserve"> </w:t>
      </w:r>
      <w:r w:rsidRPr="00011A98">
        <w:rPr>
          <w:rFonts w:ascii="Arial" w:eastAsia="Calibri" w:hAnsi="Arial" w:cs="Arial"/>
          <w:color w:val="000000" w:themeColor="text1"/>
          <w:sz w:val="21"/>
          <w:szCs w:val="21"/>
        </w:rPr>
        <w:t>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23D2ABFF" w14:textId="1DC7CE0C" w:rsidR="00481C7D" w:rsidRPr="00011A98" w:rsidRDefault="001570F0" w:rsidP="00405255">
      <w:pPr>
        <w:ind w:left="708" w:right="709" w:firstLine="2"/>
        <w:jc w:val="both"/>
        <w:rPr>
          <w:rFonts w:ascii="Arial" w:eastAsia="Calibri" w:hAnsi="Arial" w:cs="Arial"/>
          <w:color w:val="000000" w:themeColor="text1"/>
          <w:sz w:val="21"/>
          <w:szCs w:val="21"/>
        </w:rPr>
      </w:pPr>
      <w:r w:rsidRPr="00011A98">
        <w:rPr>
          <w:rFonts w:ascii="Arial" w:eastAsia="Calibri" w:hAnsi="Arial" w:cs="Arial"/>
          <w:color w:val="000000" w:themeColor="text1"/>
          <w:sz w:val="21"/>
          <w:szCs w:val="21"/>
        </w:rPr>
        <w:t>[</w:t>
      </w:r>
      <w:r w:rsidR="00481C7D" w:rsidRPr="00011A98">
        <w:rPr>
          <w:rFonts w:ascii="Arial" w:eastAsia="Calibri" w:hAnsi="Arial" w:cs="Arial"/>
          <w:color w:val="000000" w:themeColor="text1"/>
          <w:sz w:val="21"/>
          <w:szCs w:val="21"/>
        </w:rPr>
        <w:t>…</w:t>
      </w:r>
      <w:r w:rsidRPr="00011A98">
        <w:rPr>
          <w:rFonts w:ascii="Arial" w:eastAsia="Calibri" w:hAnsi="Arial" w:cs="Arial"/>
          <w:color w:val="000000" w:themeColor="text1"/>
          <w:sz w:val="21"/>
          <w:szCs w:val="21"/>
        </w:rPr>
        <w:t>]</w:t>
      </w:r>
    </w:p>
    <w:p w14:paraId="641D1387" w14:textId="77777777" w:rsidR="00481C7D" w:rsidRPr="00011A98" w:rsidRDefault="00481C7D" w:rsidP="00405255">
      <w:pPr>
        <w:ind w:left="708" w:right="709" w:firstLine="2"/>
        <w:jc w:val="both"/>
        <w:rPr>
          <w:rFonts w:ascii="Arial" w:eastAsia="Calibri" w:hAnsi="Arial" w:cs="Arial"/>
          <w:color w:val="000000" w:themeColor="text1"/>
          <w:sz w:val="21"/>
          <w:szCs w:val="21"/>
        </w:rPr>
      </w:pPr>
    </w:p>
    <w:p w14:paraId="1E399C73" w14:textId="284013F5" w:rsidR="00481C7D" w:rsidRPr="00011A98" w:rsidRDefault="00481C7D" w:rsidP="008D67B3">
      <w:pPr>
        <w:ind w:left="708" w:right="709" w:firstLine="2"/>
        <w:jc w:val="both"/>
        <w:rPr>
          <w:rFonts w:ascii="Arial" w:eastAsia="Calibri" w:hAnsi="Arial" w:cs="Arial"/>
          <w:color w:val="000000" w:themeColor="text1"/>
          <w:sz w:val="21"/>
          <w:szCs w:val="21"/>
        </w:rPr>
      </w:pPr>
      <w:r w:rsidRPr="00011A98">
        <w:rPr>
          <w:rFonts w:ascii="Arial" w:eastAsia="Calibri" w:hAnsi="Arial" w:cs="Arial"/>
          <w:color w:val="000000" w:themeColor="text1"/>
          <w:sz w:val="21"/>
          <w:szCs w:val="21"/>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3D4A736C" w14:textId="77777777" w:rsidR="0025784A" w:rsidRPr="00011A98" w:rsidRDefault="0025784A" w:rsidP="008D67B3">
      <w:pPr>
        <w:ind w:left="708" w:right="709" w:firstLine="2"/>
        <w:jc w:val="both"/>
        <w:rPr>
          <w:rFonts w:ascii="Arial" w:eastAsia="Calibri" w:hAnsi="Arial" w:cs="Arial"/>
          <w:color w:val="000000" w:themeColor="text1"/>
          <w:sz w:val="21"/>
          <w:szCs w:val="21"/>
        </w:rPr>
      </w:pPr>
    </w:p>
    <w:p w14:paraId="23339D5A" w14:textId="1D4428D4" w:rsidR="00481C7D" w:rsidRPr="00011A98" w:rsidRDefault="002B7AB0" w:rsidP="002B7AB0">
      <w:pPr>
        <w:spacing w:line="276" w:lineRule="auto"/>
        <w:ind w:firstLine="708"/>
        <w:jc w:val="both"/>
        <w:rPr>
          <w:rFonts w:ascii="Arial" w:eastAsia="Calibri" w:hAnsi="Arial" w:cs="Arial"/>
          <w:color w:val="000000" w:themeColor="text1"/>
          <w:sz w:val="22"/>
        </w:rPr>
      </w:pPr>
      <w:r w:rsidRPr="00011A98">
        <w:rPr>
          <w:rFonts w:ascii="Arial" w:eastAsia="Calibri" w:hAnsi="Arial" w:cs="Arial"/>
          <w:color w:val="000000" w:themeColor="text1"/>
          <w:sz w:val="22"/>
        </w:rPr>
        <w:lastRenderedPageBreak/>
        <w:t>Igualmente</w:t>
      </w:r>
      <w:r w:rsidR="00481C7D" w:rsidRPr="00011A98">
        <w:rPr>
          <w:rFonts w:ascii="Arial" w:eastAsia="Calibri" w:hAnsi="Arial" w:cs="Arial"/>
          <w:color w:val="000000" w:themeColor="text1"/>
          <w:sz w:val="22"/>
        </w:rPr>
        <w:t>, la Guía para Determinar y Verificar la Capacidad Residual del Proponente en los Procesos de Contratación de Obra Pública, proferida por</w:t>
      </w:r>
      <w:r w:rsidR="00405255" w:rsidRPr="00011A98">
        <w:rPr>
          <w:rFonts w:ascii="Arial" w:eastAsia="Calibri" w:hAnsi="Arial" w:cs="Arial"/>
          <w:color w:val="000000" w:themeColor="text1"/>
          <w:sz w:val="22"/>
        </w:rPr>
        <w:t xml:space="preserve"> Agencia Nacional de Contratación</w:t>
      </w:r>
      <w:r w:rsidR="00D2390F" w:rsidRPr="00011A98">
        <w:rPr>
          <w:rFonts w:ascii="Arial" w:eastAsia="Calibri" w:hAnsi="Arial" w:cs="Arial"/>
          <w:color w:val="000000" w:themeColor="text1"/>
          <w:sz w:val="22"/>
        </w:rPr>
        <w:t xml:space="preserve"> Pública</w:t>
      </w:r>
      <w:r w:rsidR="00481C7D" w:rsidRPr="00011A98">
        <w:rPr>
          <w:rFonts w:ascii="Arial" w:eastAsia="Calibri" w:hAnsi="Arial" w:cs="Arial"/>
          <w:color w:val="000000" w:themeColor="text1"/>
          <w:sz w:val="22"/>
        </w:rPr>
        <w:t xml:space="preserve">, estableció que el proponente en un proceso de contratación de obra </w:t>
      </w:r>
      <w:r w:rsidR="00405255" w:rsidRPr="00011A98">
        <w:rPr>
          <w:rFonts w:ascii="Arial" w:eastAsia="Calibri" w:hAnsi="Arial" w:cs="Arial"/>
          <w:color w:val="000000" w:themeColor="text1"/>
          <w:sz w:val="22"/>
        </w:rPr>
        <w:t>pública</w:t>
      </w:r>
      <w:r w:rsidR="00481C7D" w:rsidRPr="00011A98">
        <w:rPr>
          <w:rFonts w:ascii="Arial" w:eastAsia="Calibri" w:hAnsi="Arial" w:cs="Arial"/>
          <w:color w:val="000000" w:themeColor="text1"/>
          <w:sz w:val="22"/>
        </w:rPr>
        <w:t xml:space="preserve"> debe presentar la siguiente información para acreditar su capacidad residual: </w:t>
      </w:r>
    </w:p>
    <w:p w14:paraId="0E285AAB" w14:textId="77777777" w:rsidR="00481C7D" w:rsidRPr="00011A98" w:rsidRDefault="00481C7D" w:rsidP="00481C7D">
      <w:pPr>
        <w:tabs>
          <w:tab w:val="left" w:pos="7938"/>
        </w:tabs>
        <w:jc w:val="both"/>
        <w:rPr>
          <w:rFonts w:ascii="Arial" w:eastAsia="Calibri" w:hAnsi="Arial" w:cs="Arial"/>
          <w:color w:val="000000" w:themeColor="text1"/>
          <w:sz w:val="22"/>
        </w:rPr>
      </w:pPr>
    </w:p>
    <w:p w14:paraId="3D2B04D9" w14:textId="77777777" w:rsidR="00481C7D" w:rsidRPr="00011A98" w:rsidRDefault="00481C7D" w:rsidP="00A978F5">
      <w:pPr>
        <w:tabs>
          <w:tab w:val="left" w:pos="851"/>
        </w:tabs>
        <w:ind w:left="709" w:right="709"/>
        <w:jc w:val="both"/>
        <w:rPr>
          <w:rFonts w:ascii="Arial" w:eastAsia="Calibri" w:hAnsi="Arial" w:cs="Arial"/>
          <w:color w:val="000000" w:themeColor="text1"/>
          <w:sz w:val="21"/>
          <w:szCs w:val="21"/>
        </w:rPr>
      </w:pPr>
      <w:r w:rsidRPr="00011A98">
        <w:rPr>
          <w:rFonts w:ascii="Arial" w:eastAsia="Calibri" w:hAnsi="Arial" w:cs="Arial"/>
          <w:color w:val="000000" w:themeColor="text1"/>
          <w:sz w:val="21"/>
          <w:szCs w:val="21"/>
        </w:rPr>
        <w:t>La lista de los Contratos en Ejecución, así como el valor y plazo de tales contratos.</w:t>
      </w:r>
    </w:p>
    <w:p w14:paraId="3665D18C" w14:textId="77777777" w:rsidR="00481C7D" w:rsidRPr="00011A98" w:rsidRDefault="00481C7D" w:rsidP="00A978F5">
      <w:pPr>
        <w:tabs>
          <w:tab w:val="left" w:pos="851"/>
        </w:tabs>
        <w:ind w:left="709" w:right="709"/>
        <w:jc w:val="both"/>
        <w:rPr>
          <w:rFonts w:ascii="Arial" w:eastAsia="Calibri" w:hAnsi="Arial" w:cs="Arial"/>
          <w:color w:val="000000" w:themeColor="text1"/>
          <w:sz w:val="21"/>
          <w:szCs w:val="21"/>
        </w:rPr>
      </w:pPr>
    </w:p>
    <w:p w14:paraId="7B24C418" w14:textId="77777777" w:rsidR="00481C7D" w:rsidRPr="00011A98" w:rsidRDefault="00481C7D" w:rsidP="00A978F5">
      <w:pPr>
        <w:tabs>
          <w:tab w:val="left" w:pos="851"/>
        </w:tabs>
        <w:ind w:left="709" w:right="709"/>
        <w:jc w:val="both"/>
        <w:rPr>
          <w:rFonts w:ascii="Arial" w:eastAsia="Calibri" w:hAnsi="Arial" w:cs="Arial"/>
          <w:color w:val="000000" w:themeColor="text1"/>
          <w:sz w:val="21"/>
          <w:szCs w:val="21"/>
        </w:rPr>
      </w:pPr>
      <w:r w:rsidRPr="00011A98">
        <w:rPr>
          <w:rFonts w:ascii="Arial" w:eastAsia="Calibri" w:hAnsi="Arial" w:cs="Arial"/>
          <w:color w:val="000000" w:themeColor="text1"/>
          <w:sz w:val="21"/>
          <w:szCs w:val="21"/>
        </w:rPr>
        <w:t xml:space="preserve">La lista de los Contratos en Ejecución, suscritos por sociedades, consorcios o uniones temporales, en los cuales el proponente tenga participación, así como el valor y plazo de tales contratos. </w:t>
      </w:r>
    </w:p>
    <w:p w14:paraId="4C83BD8F" w14:textId="77777777" w:rsidR="00481C7D" w:rsidRPr="00011A98" w:rsidRDefault="00481C7D" w:rsidP="00A978F5">
      <w:pPr>
        <w:tabs>
          <w:tab w:val="left" w:pos="851"/>
        </w:tabs>
        <w:ind w:left="709" w:right="709"/>
        <w:jc w:val="both"/>
        <w:rPr>
          <w:rFonts w:ascii="Arial" w:eastAsia="Calibri" w:hAnsi="Arial" w:cs="Arial"/>
          <w:color w:val="000000" w:themeColor="text1"/>
          <w:sz w:val="21"/>
          <w:szCs w:val="21"/>
        </w:rPr>
      </w:pPr>
    </w:p>
    <w:p w14:paraId="5E7C28E5" w14:textId="7214E8B5" w:rsidR="00481C7D" w:rsidRPr="00011A98" w:rsidRDefault="00481C7D" w:rsidP="00A978F5">
      <w:pPr>
        <w:tabs>
          <w:tab w:val="left" w:pos="851"/>
        </w:tabs>
        <w:ind w:left="709" w:right="709"/>
        <w:jc w:val="both"/>
        <w:rPr>
          <w:rFonts w:ascii="Arial" w:eastAsia="Calibri" w:hAnsi="Arial" w:cs="Arial"/>
          <w:color w:val="000000" w:themeColor="text1"/>
          <w:sz w:val="21"/>
          <w:szCs w:val="21"/>
        </w:rPr>
      </w:pPr>
      <w:r w:rsidRPr="00011A98">
        <w:rPr>
          <w:rFonts w:ascii="Arial" w:eastAsia="Calibri" w:hAnsi="Arial" w:cs="Arial"/>
          <w:color w:val="000000" w:themeColor="text1"/>
          <w:sz w:val="21"/>
          <w:szCs w:val="21"/>
        </w:rPr>
        <w:t>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14:paraId="7DF5F318" w14:textId="77777777" w:rsidR="00E919B5" w:rsidRPr="00011A98" w:rsidRDefault="00E919B5" w:rsidP="00A978F5">
      <w:pPr>
        <w:tabs>
          <w:tab w:val="left" w:pos="851"/>
        </w:tabs>
        <w:ind w:right="709"/>
        <w:jc w:val="both"/>
        <w:rPr>
          <w:rFonts w:ascii="Arial" w:eastAsia="Calibri" w:hAnsi="Arial" w:cs="Arial"/>
          <w:color w:val="000000" w:themeColor="text1"/>
          <w:sz w:val="21"/>
          <w:szCs w:val="21"/>
        </w:rPr>
      </w:pPr>
    </w:p>
    <w:p w14:paraId="0CC3A04C" w14:textId="27A67179" w:rsidR="00E919B5" w:rsidRPr="00011A98" w:rsidRDefault="00E919B5" w:rsidP="008D67B3">
      <w:pPr>
        <w:spacing w:after="120" w:line="276" w:lineRule="auto"/>
        <w:ind w:firstLine="709"/>
        <w:jc w:val="both"/>
        <w:rPr>
          <w:rFonts w:ascii="Arial" w:hAnsi="Arial" w:cs="Arial"/>
          <w:color w:val="000000" w:themeColor="text1"/>
          <w:sz w:val="22"/>
        </w:rPr>
      </w:pPr>
      <w:r w:rsidRPr="00011A98">
        <w:rPr>
          <w:rFonts w:ascii="Arial" w:hAnsi="Arial" w:cs="Arial"/>
          <w:color w:val="000000" w:themeColor="text1"/>
          <w:sz w:val="22"/>
        </w:rPr>
        <w:t>Específicamente y de acuerdo con el tema objeto de consulta, esto es el «saldo de los contratos en ejecución»</w:t>
      </w:r>
      <w:r w:rsidR="002B7AB0" w:rsidRPr="00011A98">
        <w:rPr>
          <w:rFonts w:ascii="Arial" w:hAnsi="Arial" w:cs="Arial"/>
          <w:color w:val="000000" w:themeColor="text1"/>
          <w:sz w:val="22"/>
        </w:rPr>
        <w:t>,</w:t>
      </w:r>
      <w:r w:rsidRPr="00011A98">
        <w:rPr>
          <w:rFonts w:ascii="Arial" w:hAnsi="Arial" w:cs="Arial"/>
          <w:color w:val="000000" w:themeColor="text1"/>
          <w:sz w:val="22"/>
        </w:rPr>
        <w:t xml:space="preserve"> se debe recurrir al desarrollo efectuado por la Ley 1682 de 2013, Decreto 1082 de 2015, la Guía para Determinar y Verificar la Capacidad Residual del Proponente en los Procesos de Contratación de Obra Pública y las reglas definidas en</w:t>
      </w:r>
      <w:r w:rsidR="002B7AB0" w:rsidRPr="00011A98">
        <w:rPr>
          <w:rFonts w:ascii="Arial" w:hAnsi="Arial" w:cs="Arial"/>
          <w:color w:val="000000" w:themeColor="text1"/>
          <w:sz w:val="22"/>
        </w:rPr>
        <w:t xml:space="preserve"> los pliegos de condiciones</w:t>
      </w:r>
      <w:r w:rsidRPr="00011A98">
        <w:rPr>
          <w:rFonts w:ascii="Arial" w:hAnsi="Arial" w:cs="Arial"/>
          <w:color w:val="000000" w:themeColor="text1"/>
          <w:sz w:val="22"/>
        </w:rPr>
        <w:t xml:space="preserve">. </w:t>
      </w:r>
    </w:p>
    <w:p w14:paraId="17427C8E" w14:textId="1AC9E3CB" w:rsidR="00E919B5" w:rsidRPr="00011A98" w:rsidRDefault="00E919B5" w:rsidP="001D65B2">
      <w:pPr>
        <w:spacing w:before="120" w:after="120" w:line="276" w:lineRule="auto"/>
        <w:ind w:firstLine="708"/>
        <w:jc w:val="both"/>
        <w:rPr>
          <w:rFonts w:ascii="Arial" w:hAnsi="Arial" w:cs="Arial"/>
          <w:color w:val="000000" w:themeColor="text1"/>
          <w:sz w:val="22"/>
        </w:rPr>
      </w:pPr>
      <w:r w:rsidRPr="00011A98">
        <w:rPr>
          <w:rFonts w:ascii="Arial" w:hAnsi="Arial" w:cs="Arial"/>
          <w:color w:val="000000" w:themeColor="text1"/>
          <w:sz w:val="22"/>
        </w:rPr>
        <w:t xml:space="preserve">En cuanto a la Ley 1682 de 2013 y el Decreto 1082 de 2015, estas normas no definen el alcance de lo que debe entenderse por la expresión «saldo de contratos en ejecución», sino que únicamente se circunscriben a enunciar que este es uno de los factores que se deben incluir para el cálculo de la capacidad residual. </w:t>
      </w:r>
    </w:p>
    <w:p w14:paraId="6D1D9C03" w14:textId="0D692187" w:rsidR="00A978F5" w:rsidRPr="00011A98" w:rsidRDefault="00E919B5" w:rsidP="00A978F5">
      <w:pPr>
        <w:spacing w:line="276" w:lineRule="auto"/>
        <w:ind w:firstLine="708"/>
        <w:jc w:val="both"/>
        <w:rPr>
          <w:rFonts w:ascii="Arial" w:eastAsia="Calibri" w:hAnsi="Arial" w:cs="Arial"/>
          <w:color w:val="000000" w:themeColor="text1"/>
          <w:sz w:val="22"/>
        </w:rPr>
      </w:pPr>
      <w:r w:rsidRPr="00011A98">
        <w:rPr>
          <w:rFonts w:ascii="Arial" w:eastAsia="Calibri" w:hAnsi="Arial" w:cs="Arial"/>
          <w:color w:val="000000" w:themeColor="text1"/>
          <w:sz w:val="22"/>
        </w:rPr>
        <w:t xml:space="preserve">Por su parte, </w:t>
      </w:r>
      <w:r w:rsidR="00A978F5" w:rsidRPr="00011A98">
        <w:rPr>
          <w:rFonts w:ascii="Arial" w:eastAsia="Calibri" w:hAnsi="Arial" w:cs="Arial"/>
          <w:color w:val="000000" w:themeColor="text1"/>
          <w:sz w:val="22"/>
        </w:rPr>
        <w:t xml:space="preserve">la Guía para Determinar y Verificar la Capacidad Residual del Proponente en los Procesos de Contratación de Obra Pública </w:t>
      </w:r>
      <w:r w:rsidRPr="00011A98">
        <w:rPr>
          <w:rFonts w:ascii="Arial" w:eastAsia="Calibri" w:hAnsi="Arial" w:cs="Arial"/>
          <w:color w:val="000000" w:themeColor="text1"/>
          <w:sz w:val="22"/>
        </w:rPr>
        <w:t xml:space="preserve">definió «contratos en ejecución» como </w:t>
      </w:r>
      <w:r w:rsidR="00A978F5" w:rsidRPr="00011A98">
        <w:rPr>
          <w:rFonts w:ascii="Arial" w:eastAsia="Calibri" w:hAnsi="Arial" w:cs="Arial"/>
          <w:color w:val="000000" w:themeColor="text1"/>
          <w:sz w:val="22"/>
        </w:rPr>
        <w:t>aquellos que:</w:t>
      </w:r>
    </w:p>
    <w:p w14:paraId="23F7201E" w14:textId="77777777" w:rsidR="00A978F5" w:rsidRPr="00011A98" w:rsidRDefault="00A978F5" w:rsidP="00A978F5">
      <w:pPr>
        <w:jc w:val="both"/>
        <w:rPr>
          <w:rFonts w:ascii="Arial" w:hAnsi="Arial" w:cs="Arial"/>
          <w:color w:val="000000" w:themeColor="text1"/>
          <w:sz w:val="22"/>
        </w:rPr>
      </w:pPr>
    </w:p>
    <w:p w14:paraId="27B4B5EC" w14:textId="4E3F9289" w:rsidR="0025784A" w:rsidRPr="00011A98" w:rsidRDefault="00A978F5" w:rsidP="0025784A">
      <w:pPr>
        <w:tabs>
          <w:tab w:val="left" w:pos="851"/>
        </w:tabs>
        <w:ind w:left="709" w:right="709"/>
        <w:jc w:val="both"/>
        <w:rPr>
          <w:rFonts w:ascii="Arial" w:eastAsia="Calibri" w:hAnsi="Arial" w:cs="Arial"/>
          <w:color w:val="000000" w:themeColor="text1"/>
          <w:sz w:val="21"/>
          <w:szCs w:val="21"/>
        </w:rPr>
      </w:pPr>
      <w:r w:rsidRPr="00011A98">
        <w:rPr>
          <w:rFonts w:ascii="Arial" w:eastAsia="Calibri" w:hAnsi="Arial" w:cs="Arial"/>
          <w:color w:val="000000" w:themeColor="text1"/>
          <w:sz w:val="21"/>
          <w:szCs w:val="21"/>
        </w:rPr>
        <w:t>[…]</w:t>
      </w:r>
      <w:r w:rsidR="001D65B2" w:rsidRPr="00011A98">
        <w:rPr>
          <w:rFonts w:ascii="Arial" w:eastAsia="Calibri" w:hAnsi="Arial" w:cs="Arial"/>
          <w:color w:val="000000" w:themeColor="text1"/>
          <w:sz w:val="21"/>
          <w:szCs w:val="21"/>
        </w:rPr>
        <w:t xml:space="preserve"> </w:t>
      </w:r>
      <w:r w:rsidRPr="00011A98">
        <w:rPr>
          <w:rFonts w:ascii="Arial" w:eastAsia="Calibri" w:hAnsi="Arial" w:cs="Arial"/>
          <w:color w:val="000000" w:themeColor="text1"/>
          <w:sz w:val="21"/>
          <w:szCs w:val="21"/>
        </w:rPr>
        <w:t xml:space="preserve">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w:t>
      </w:r>
      <w:r w:rsidRPr="00011A98">
        <w:rPr>
          <w:rFonts w:ascii="Arial" w:eastAsia="Calibri" w:hAnsi="Arial" w:cs="Arial"/>
          <w:color w:val="000000" w:themeColor="text1"/>
          <w:sz w:val="21"/>
          <w:szCs w:val="21"/>
        </w:rPr>
        <w:lastRenderedPageBreak/>
        <w:t>que no tengan acta de inicio. No se entenderán como contratos en ejecución los que se encuentren en liquidación</w:t>
      </w:r>
      <w:r w:rsidRPr="00011A98">
        <w:rPr>
          <w:color w:val="000000" w:themeColor="text1"/>
          <w:sz w:val="21"/>
          <w:szCs w:val="21"/>
          <w:vertAlign w:val="superscript"/>
        </w:rPr>
        <w:footnoteReference w:id="4"/>
      </w:r>
      <w:r w:rsidRPr="00011A98">
        <w:rPr>
          <w:rFonts w:ascii="Arial" w:eastAsia="Calibri" w:hAnsi="Arial" w:cs="Arial"/>
          <w:color w:val="000000" w:themeColor="text1"/>
          <w:sz w:val="21"/>
          <w:szCs w:val="21"/>
          <w:vertAlign w:val="superscript"/>
        </w:rPr>
        <w:t>.</w:t>
      </w:r>
      <w:r w:rsidRPr="00011A98">
        <w:rPr>
          <w:rFonts w:ascii="Arial" w:eastAsia="Calibri" w:hAnsi="Arial" w:cs="Arial"/>
          <w:color w:val="000000" w:themeColor="text1"/>
          <w:sz w:val="21"/>
          <w:szCs w:val="21"/>
        </w:rPr>
        <w:t xml:space="preserve"> </w:t>
      </w:r>
    </w:p>
    <w:p w14:paraId="77E56E3A" w14:textId="77777777" w:rsidR="0025784A" w:rsidRPr="00011A98" w:rsidRDefault="0025784A" w:rsidP="0025784A">
      <w:pPr>
        <w:tabs>
          <w:tab w:val="left" w:pos="851"/>
        </w:tabs>
        <w:ind w:left="709" w:right="709"/>
        <w:jc w:val="both"/>
        <w:rPr>
          <w:rFonts w:ascii="Arial" w:eastAsia="Calibri" w:hAnsi="Arial" w:cs="Arial"/>
          <w:color w:val="000000" w:themeColor="text1"/>
          <w:sz w:val="21"/>
          <w:szCs w:val="21"/>
        </w:rPr>
      </w:pPr>
    </w:p>
    <w:p w14:paraId="67CE00DB" w14:textId="6C3AD2C5" w:rsidR="001D61ED" w:rsidRPr="00011A98" w:rsidRDefault="00E919B5" w:rsidP="0025784A">
      <w:pPr>
        <w:spacing w:after="120" w:line="276" w:lineRule="auto"/>
        <w:ind w:firstLine="709"/>
        <w:jc w:val="both"/>
        <w:rPr>
          <w:rFonts w:ascii="Arial" w:hAnsi="Arial" w:cs="Arial"/>
          <w:color w:val="000000" w:themeColor="text1"/>
          <w:sz w:val="22"/>
        </w:rPr>
      </w:pPr>
      <w:r w:rsidRPr="00011A98">
        <w:rPr>
          <w:rFonts w:ascii="Arial" w:eastAsia="Calibri" w:hAnsi="Arial" w:cs="Arial"/>
          <w:color w:val="000000" w:themeColor="text1"/>
          <w:sz w:val="22"/>
        </w:rPr>
        <w:t xml:space="preserve">Adicionalmente, este documento definió </w:t>
      </w:r>
      <w:r w:rsidR="001D61ED" w:rsidRPr="00011A98">
        <w:rPr>
          <w:rFonts w:ascii="Arial" w:eastAsia="Calibri" w:hAnsi="Arial" w:cs="Arial"/>
          <w:color w:val="000000" w:themeColor="text1"/>
          <w:sz w:val="22"/>
        </w:rPr>
        <w:t>«</w:t>
      </w:r>
      <w:r w:rsidR="001D61ED" w:rsidRPr="00011A98">
        <w:rPr>
          <w:rFonts w:ascii="Arial" w:hAnsi="Arial" w:cs="Arial"/>
          <w:color w:val="000000" w:themeColor="text1"/>
          <w:sz w:val="22"/>
        </w:rPr>
        <w:t>Saldo de los Contratos en Ejecución» o «SCE», como «la suma de los montos por ejecutar de los Contratos en Ejecución durante los 12 meses siguientes»</w:t>
      </w:r>
      <w:r w:rsidR="001D61ED" w:rsidRPr="00011A98">
        <w:rPr>
          <w:rStyle w:val="Refdenotaalpie"/>
          <w:rFonts w:ascii="Arial" w:hAnsi="Arial" w:cs="Arial"/>
          <w:color w:val="000000" w:themeColor="text1"/>
          <w:sz w:val="22"/>
        </w:rPr>
        <w:footnoteReference w:id="5"/>
      </w:r>
      <w:r w:rsidR="001D61ED" w:rsidRPr="00011A98">
        <w:rPr>
          <w:rFonts w:ascii="Arial" w:hAnsi="Arial" w:cs="Arial"/>
          <w:color w:val="000000" w:themeColor="text1"/>
          <w:sz w:val="22"/>
        </w:rPr>
        <w:t>.</w:t>
      </w:r>
      <w:r w:rsidR="002B7AB0" w:rsidRPr="00011A98">
        <w:rPr>
          <w:rFonts w:ascii="Arial" w:hAnsi="Arial" w:cs="Arial"/>
          <w:color w:val="000000" w:themeColor="text1"/>
          <w:sz w:val="22"/>
        </w:rPr>
        <w:t xml:space="preserve"> La finalidad de este factor en el cálculo de la capacidad residual es</w:t>
      </w:r>
      <w:r w:rsidR="00BA2EF2" w:rsidRPr="00011A98">
        <w:rPr>
          <w:rFonts w:ascii="Arial" w:hAnsi="Arial" w:cs="Arial"/>
          <w:color w:val="000000" w:themeColor="text1"/>
          <w:sz w:val="22"/>
        </w:rPr>
        <w:t xml:space="preserve"> entonces</w:t>
      </w:r>
      <w:r w:rsidR="002B7AB0" w:rsidRPr="00011A98">
        <w:rPr>
          <w:rFonts w:ascii="Arial" w:hAnsi="Arial" w:cs="Arial"/>
          <w:color w:val="000000" w:themeColor="text1"/>
          <w:sz w:val="22"/>
        </w:rPr>
        <w:t xml:space="preserve"> determinar y conocer la ejecución prevista que tiene el proponente durante los 12 meses siguientes y de esta manera incluirlo con los demás factores, para verificar si cuenta con la capacidad suficiente para asumir nuevos compromisos.</w:t>
      </w:r>
    </w:p>
    <w:p w14:paraId="2B25E614" w14:textId="58BE88EC" w:rsidR="002B7AB0" w:rsidRPr="00011A98" w:rsidRDefault="002B7AB0" w:rsidP="002B7AB0">
      <w:pPr>
        <w:spacing w:before="120" w:after="120" w:line="276" w:lineRule="auto"/>
        <w:ind w:firstLine="709"/>
        <w:jc w:val="both"/>
        <w:rPr>
          <w:rFonts w:ascii="Arial" w:hAnsi="Arial" w:cs="Arial"/>
          <w:color w:val="000000" w:themeColor="text1"/>
          <w:sz w:val="22"/>
        </w:rPr>
      </w:pPr>
      <w:r w:rsidRPr="00011A98">
        <w:rPr>
          <w:rFonts w:ascii="Arial" w:eastAsia="Calibri" w:hAnsi="Arial" w:cs="Arial"/>
          <w:color w:val="000000" w:themeColor="text1"/>
          <w:sz w:val="22"/>
        </w:rPr>
        <w:t>Es decir que, para el cálculo de la capacidad residual del proponente, en el saldo de contratos en ejecución se incluyen solamente los contratos suscritos que a la fecha de presentación de la oferta obligan al proponente con las entidades estatales o entidades privadas, de modo que la entidad estatal únicamente deberá tener en cuenta el número de contratos que a la fecha de presentación de la oferta estén «en ejecución».</w:t>
      </w:r>
      <w:r w:rsidRPr="00011A98">
        <w:rPr>
          <w:rFonts w:ascii="Arial" w:hAnsi="Arial" w:cs="Arial"/>
          <w:color w:val="000000" w:themeColor="text1"/>
          <w:sz w:val="22"/>
        </w:rPr>
        <w:t xml:space="preserve"> </w:t>
      </w:r>
    </w:p>
    <w:p w14:paraId="404C2B03" w14:textId="20AC7E67" w:rsidR="0025784A" w:rsidRPr="00011A98" w:rsidRDefault="002B7AB0" w:rsidP="0025784A">
      <w:pPr>
        <w:spacing w:before="120" w:after="120" w:line="276" w:lineRule="auto"/>
        <w:ind w:firstLine="708"/>
        <w:jc w:val="both"/>
        <w:rPr>
          <w:rFonts w:ascii="Arial" w:hAnsi="Arial" w:cs="Arial"/>
          <w:color w:val="000000" w:themeColor="text1"/>
          <w:sz w:val="22"/>
        </w:rPr>
      </w:pPr>
      <w:r w:rsidRPr="00011A98">
        <w:rPr>
          <w:rFonts w:ascii="Arial" w:eastAsia="Calibri" w:hAnsi="Arial" w:cs="Arial"/>
          <w:color w:val="000000" w:themeColor="text1"/>
          <w:sz w:val="22"/>
        </w:rPr>
        <w:t xml:space="preserve">En efecto, la entidad estatal únicamente podrá recalcular el saldo de los contratos en ejecución al momento de la presentación de las ofertas, pues conforme a la Ley 1150 de 1993, la Ley 1682 de 2013, el Decreto 1082 de 2015 y la Guía para Determinar y Verificar la Capacidad Residual del Proponente en los Procesos de Contratación de Obra Pública, no es posible que la entidad a cargo del proceso de selección vuelva a calcular el saldo de los contratos en ejecución para incluir contratos que </w:t>
      </w:r>
      <w:r w:rsidR="0030617D" w:rsidRPr="00011A98">
        <w:rPr>
          <w:rFonts w:ascii="Arial" w:eastAsia="Calibri" w:hAnsi="Arial" w:cs="Arial"/>
          <w:color w:val="000000" w:themeColor="text1"/>
          <w:sz w:val="22"/>
        </w:rPr>
        <w:t xml:space="preserve">fueron </w:t>
      </w:r>
      <w:r w:rsidRPr="00011A98">
        <w:rPr>
          <w:rFonts w:ascii="Arial" w:eastAsia="Calibri" w:hAnsi="Arial" w:cs="Arial"/>
          <w:color w:val="000000" w:themeColor="text1"/>
          <w:sz w:val="22"/>
        </w:rPr>
        <w:t xml:space="preserve">adjudicados con posterioridad al cierre del proceso. </w:t>
      </w:r>
      <w:r w:rsidR="001D65B2" w:rsidRPr="00011A98">
        <w:rPr>
          <w:rFonts w:ascii="Arial" w:hAnsi="Arial" w:cs="Arial"/>
          <w:color w:val="000000" w:themeColor="text1"/>
          <w:sz w:val="22"/>
        </w:rPr>
        <w:t xml:space="preserve">La Guía de </w:t>
      </w:r>
      <w:r w:rsidRPr="00011A98">
        <w:rPr>
          <w:rFonts w:ascii="Arial" w:hAnsi="Arial" w:cs="Arial"/>
          <w:color w:val="000000" w:themeColor="text1"/>
          <w:sz w:val="22"/>
        </w:rPr>
        <w:t xml:space="preserve">la Agencia Nacional de Contratación Pública </w:t>
      </w:r>
      <w:r w:rsidR="001D65B2" w:rsidRPr="00011A98">
        <w:rPr>
          <w:rFonts w:ascii="Arial" w:hAnsi="Arial" w:cs="Arial"/>
          <w:color w:val="000000" w:themeColor="text1"/>
          <w:sz w:val="22"/>
        </w:rPr>
        <w:t>también define la forma como se deben presentar la lista de los contratos en ejecución, para lo cual señala que el proponente debe:</w:t>
      </w:r>
    </w:p>
    <w:p w14:paraId="1D4F776B" w14:textId="56B4287C" w:rsidR="008D67B3" w:rsidRPr="00011A98" w:rsidRDefault="001D65B2" w:rsidP="0025784A">
      <w:pPr>
        <w:spacing w:before="100" w:beforeAutospacing="1"/>
        <w:ind w:left="709" w:right="709"/>
        <w:jc w:val="both"/>
        <w:rPr>
          <w:rFonts w:ascii="Arial" w:eastAsia="Calibri" w:hAnsi="Arial" w:cs="Arial"/>
          <w:color w:val="000000" w:themeColor="text1"/>
          <w:sz w:val="21"/>
          <w:szCs w:val="21"/>
        </w:rPr>
      </w:pPr>
      <w:r w:rsidRPr="00011A98">
        <w:rPr>
          <w:rFonts w:ascii="Arial" w:eastAsia="Calibri" w:hAnsi="Arial" w:cs="Arial"/>
          <w:color w:val="000000" w:themeColor="text1"/>
          <w:sz w:val="21"/>
          <w:szCs w:val="21"/>
        </w:rPr>
        <w:t>[…] presentar un certificado suscrito por su representante legal y su revisor fiscal, si el proponente está obligado a tenerlo, o por el contador o su auditor independiente, el cual contenga la lista de los Contratos en Ejecución, tanto a nivel nacional como internacional, indicando: (i) el valor del contrato; (ii) el plazo del contrato en meses; (iii) la fecha de inicio de las obras objeto del contrato, día, mes, año; (iv) si la obra la ejecuta un consorcio, unión temporal o sociedad de propósito especial, junto con el porcentaje de participación del oferente que presenta el certificado; (v) si el contrato se encuentra suspendido, y si es así, la fecha de suspensión</w:t>
      </w:r>
      <w:r w:rsidR="00D94681" w:rsidRPr="00011A98">
        <w:rPr>
          <w:rStyle w:val="Refdenotaalpie"/>
          <w:rFonts w:ascii="Arial" w:eastAsia="Calibri" w:hAnsi="Arial" w:cs="Arial"/>
          <w:color w:val="000000" w:themeColor="text1"/>
          <w:sz w:val="21"/>
          <w:szCs w:val="21"/>
        </w:rPr>
        <w:footnoteReference w:id="6"/>
      </w:r>
      <w:r w:rsidRPr="00011A98">
        <w:rPr>
          <w:rFonts w:ascii="Arial" w:eastAsia="Calibri" w:hAnsi="Arial" w:cs="Arial"/>
          <w:color w:val="000000" w:themeColor="text1"/>
          <w:sz w:val="21"/>
          <w:szCs w:val="21"/>
        </w:rPr>
        <w:t>.</w:t>
      </w:r>
    </w:p>
    <w:p w14:paraId="5881F84F" w14:textId="77777777" w:rsidR="008D67B3" w:rsidRPr="00011A98" w:rsidRDefault="008D67B3" w:rsidP="008D67B3">
      <w:pPr>
        <w:spacing w:before="120"/>
        <w:ind w:left="709" w:right="709"/>
        <w:jc w:val="both"/>
        <w:rPr>
          <w:rFonts w:ascii="Arial" w:eastAsia="Calibri" w:hAnsi="Arial" w:cs="Arial"/>
          <w:color w:val="000000" w:themeColor="text1"/>
          <w:sz w:val="21"/>
          <w:szCs w:val="21"/>
        </w:rPr>
      </w:pPr>
    </w:p>
    <w:p w14:paraId="29DDE5A4" w14:textId="3808D6AE" w:rsidR="00CC2632" w:rsidRPr="00011A98" w:rsidRDefault="001D65B2" w:rsidP="008D67B3">
      <w:pPr>
        <w:spacing w:line="276" w:lineRule="auto"/>
        <w:ind w:firstLine="709"/>
        <w:jc w:val="both"/>
        <w:rPr>
          <w:rFonts w:ascii="Arial" w:hAnsi="Arial" w:cs="Arial"/>
          <w:color w:val="000000" w:themeColor="text1"/>
          <w:sz w:val="22"/>
        </w:rPr>
      </w:pPr>
      <w:r w:rsidRPr="00011A98">
        <w:rPr>
          <w:rFonts w:ascii="Arial" w:hAnsi="Arial" w:cs="Arial"/>
          <w:color w:val="000000" w:themeColor="text1"/>
          <w:sz w:val="22"/>
        </w:rPr>
        <w:lastRenderedPageBreak/>
        <w:t>Así mismo</w:t>
      </w:r>
      <w:r w:rsidR="00CC2632" w:rsidRPr="00011A98">
        <w:rPr>
          <w:rFonts w:ascii="Arial" w:hAnsi="Arial" w:cs="Arial"/>
          <w:color w:val="000000" w:themeColor="text1"/>
          <w:sz w:val="22"/>
        </w:rPr>
        <w:t xml:space="preserve">, </w:t>
      </w:r>
      <w:r w:rsidRPr="00011A98">
        <w:rPr>
          <w:rFonts w:ascii="Arial" w:hAnsi="Arial" w:cs="Arial"/>
          <w:color w:val="000000" w:themeColor="text1"/>
          <w:sz w:val="22"/>
        </w:rPr>
        <w:t>dispone que el proponente debe señalar expresamente cuando no tiene Contratos en Ejecución</w:t>
      </w:r>
      <w:r w:rsidR="005D6912" w:rsidRPr="00011A98">
        <w:rPr>
          <w:rFonts w:ascii="Arial" w:hAnsi="Arial" w:cs="Arial"/>
          <w:color w:val="000000" w:themeColor="text1"/>
          <w:sz w:val="22"/>
        </w:rPr>
        <w:t xml:space="preserve"> y</w:t>
      </w:r>
      <w:r w:rsidR="002B7AB0" w:rsidRPr="00011A98">
        <w:rPr>
          <w:rFonts w:ascii="Arial" w:hAnsi="Arial" w:cs="Arial"/>
          <w:color w:val="000000" w:themeColor="text1"/>
          <w:sz w:val="22"/>
        </w:rPr>
        <w:t xml:space="preserve"> </w:t>
      </w:r>
      <w:r w:rsidRPr="00011A98">
        <w:rPr>
          <w:rFonts w:ascii="Arial" w:hAnsi="Arial" w:cs="Arial"/>
          <w:color w:val="000000" w:themeColor="text1"/>
          <w:sz w:val="22"/>
        </w:rPr>
        <w:t xml:space="preserve">dispone </w:t>
      </w:r>
      <w:r w:rsidR="002B7AB0" w:rsidRPr="00011A98">
        <w:rPr>
          <w:rFonts w:ascii="Arial" w:hAnsi="Arial" w:cs="Arial"/>
          <w:color w:val="000000" w:themeColor="text1"/>
          <w:sz w:val="22"/>
        </w:rPr>
        <w:t xml:space="preserve">en el paso a paso de cómo calcular la capacidad residual y cada uno de sus factores </w:t>
      </w:r>
      <w:r w:rsidRPr="00011A98">
        <w:rPr>
          <w:rFonts w:ascii="Arial" w:hAnsi="Arial" w:cs="Arial"/>
          <w:color w:val="000000" w:themeColor="text1"/>
          <w:sz w:val="22"/>
        </w:rPr>
        <w:t>que</w:t>
      </w:r>
      <w:r w:rsidR="00CC2632" w:rsidRPr="00011A98">
        <w:rPr>
          <w:rFonts w:ascii="Arial" w:hAnsi="Arial" w:cs="Arial"/>
          <w:color w:val="000000" w:themeColor="text1"/>
          <w:sz w:val="22"/>
        </w:rPr>
        <w:t>:</w:t>
      </w:r>
    </w:p>
    <w:p w14:paraId="46209D30" w14:textId="77777777" w:rsidR="008D67B3" w:rsidRPr="00011A98" w:rsidRDefault="008D67B3" w:rsidP="008D67B3">
      <w:pPr>
        <w:spacing w:line="276" w:lineRule="auto"/>
        <w:ind w:firstLine="709"/>
        <w:jc w:val="both"/>
        <w:rPr>
          <w:rFonts w:ascii="Arial" w:hAnsi="Arial" w:cs="Arial"/>
          <w:color w:val="000000" w:themeColor="text1"/>
          <w:sz w:val="22"/>
        </w:rPr>
      </w:pPr>
    </w:p>
    <w:p w14:paraId="677F3FC0" w14:textId="39CFFDD9" w:rsidR="008D67B3" w:rsidRPr="00011A98" w:rsidRDefault="00CC2632" w:rsidP="008D67B3">
      <w:pPr>
        <w:ind w:left="709" w:right="709"/>
        <w:jc w:val="both"/>
        <w:rPr>
          <w:rFonts w:ascii="Arial" w:eastAsia="Calibri" w:hAnsi="Arial" w:cs="Arial"/>
          <w:color w:val="000000" w:themeColor="text1"/>
          <w:sz w:val="21"/>
          <w:szCs w:val="21"/>
        </w:rPr>
      </w:pPr>
      <w:r w:rsidRPr="00011A98">
        <w:rPr>
          <w:rFonts w:ascii="Arial" w:eastAsia="Calibri" w:hAnsi="Arial" w:cs="Arial"/>
          <w:color w:val="000000" w:themeColor="text1"/>
          <w:sz w:val="21"/>
          <w:szCs w:val="21"/>
        </w:rPr>
        <w:t xml:space="preserve">[…] el </w:t>
      </w:r>
      <w:r w:rsidR="001D65B2" w:rsidRPr="00011A98">
        <w:rPr>
          <w:rFonts w:ascii="Arial" w:eastAsia="Calibri" w:hAnsi="Arial" w:cs="Arial"/>
          <w:color w:val="000000" w:themeColor="text1"/>
          <w:sz w:val="21"/>
          <w:szCs w:val="21"/>
        </w:rPr>
        <w:t>cálculo del Saldo de los Contratos en Ejecución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el respectivo contratista. Si el número de días por ejecutar en un contrato es superior a 12 meses, es decir 360 días, el Saldo del Contrato en Ejecución solo tendrá en cuenta la proporción lineal de 12 meses”</w:t>
      </w:r>
      <w:r w:rsidR="00D94681" w:rsidRPr="00011A98">
        <w:rPr>
          <w:rStyle w:val="Refdenotaalpie"/>
          <w:rFonts w:ascii="Arial" w:eastAsia="Calibri" w:hAnsi="Arial" w:cs="Arial"/>
          <w:color w:val="000000" w:themeColor="text1"/>
          <w:sz w:val="21"/>
          <w:szCs w:val="21"/>
        </w:rPr>
        <w:footnoteReference w:id="7"/>
      </w:r>
      <w:r w:rsidR="001D65B2" w:rsidRPr="00011A98">
        <w:rPr>
          <w:rFonts w:ascii="Arial" w:eastAsia="Calibri" w:hAnsi="Arial" w:cs="Arial"/>
          <w:color w:val="000000" w:themeColor="text1"/>
          <w:sz w:val="21"/>
          <w:szCs w:val="21"/>
        </w:rPr>
        <w:t>.</w:t>
      </w:r>
    </w:p>
    <w:p w14:paraId="7B4A2FFE" w14:textId="77777777" w:rsidR="008D67B3" w:rsidRPr="00011A98" w:rsidRDefault="008D67B3" w:rsidP="008D67B3">
      <w:pPr>
        <w:ind w:left="709" w:right="709"/>
        <w:jc w:val="both"/>
        <w:rPr>
          <w:rFonts w:ascii="Arial" w:eastAsia="Calibri" w:hAnsi="Arial" w:cs="Arial"/>
          <w:color w:val="000000" w:themeColor="text1"/>
          <w:sz w:val="21"/>
          <w:szCs w:val="21"/>
        </w:rPr>
      </w:pPr>
    </w:p>
    <w:p w14:paraId="4F82ED12" w14:textId="27600E51" w:rsidR="001D65B2" w:rsidRPr="00011A98" w:rsidRDefault="001D65B2" w:rsidP="008D67B3">
      <w:pPr>
        <w:spacing w:line="276" w:lineRule="auto"/>
        <w:ind w:firstLine="709"/>
        <w:jc w:val="both"/>
        <w:rPr>
          <w:rFonts w:ascii="Arial" w:hAnsi="Arial" w:cs="Arial"/>
          <w:color w:val="000000" w:themeColor="text1"/>
          <w:sz w:val="22"/>
        </w:rPr>
      </w:pPr>
      <w:r w:rsidRPr="00011A98">
        <w:rPr>
          <w:rFonts w:ascii="Arial" w:hAnsi="Arial" w:cs="Arial"/>
          <w:color w:val="000000" w:themeColor="text1"/>
          <w:sz w:val="22"/>
        </w:rPr>
        <w:t xml:space="preserve">Obsérvese que, para el factor de </w:t>
      </w:r>
      <w:r w:rsidR="00CC2632" w:rsidRPr="00011A98">
        <w:rPr>
          <w:rFonts w:ascii="Arial" w:hAnsi="Arial" w:cs="Arial"/>
          <w:color w:val="000000" w:themeColor="text1"/>
          <w:sz w:val="22"/>
        </w:rPr>
        <w:t>«</w:t>
      </w:r>
      <w:r w:rsidRPr="00011A98">
        <w:rPr>
          <w:rFonts w:ascii="Arial" w:hAnsi="Arial" w:cs="Arial"/>
          <w:color w:val="000000" w:themeColor="text1"/>
          <w:sz w:val="22"/>
        </w:rPr>
        <w:t>saldo de contratos en ejecución</w:t>
      </w:r>
      <w:r w:rsidR="00CC2632" w:rsidRPr="00011A98">
        <w:rPr>
          <w:rFonts w:ascii="Arial" w:hAnsi="Arial" w:cs="Arial"/>
          <w:color w:val="000000" w:themeColor="text1"/>
          <w:sz w:val="22"/>
        </w:rPr>
        <w:t>»</w:t>
      </w:r>
      <w:r w:rsidRPr="00011A98">
        <w:rPr>
          <w:rFonts w:ascii="Arial" w:hAnsi="Arial" w:cs="Arial"/>
          <w:color w:val="000000" w:themeColor="text1"/>
          <w:sz w:val="22"/>
        </w:rPr>
        <w:t>, lo determinante es identificar cu</w:t>
      </w:r>
      <w:r w:rsidR="00CC2632" w:rsidRPr="00011A98">
        <w:rPr>
          <w:rFonts w:ascii="Arial" w:hAnsi="Arial" w:cs="Arial"/>
          <w:color w:val="000000" w:themeColor="text1"/>
          <w:sz w:val="22"/>
        </w:rPr>
        <w:t>á</w:t>
      </w:r>
      <w:r w:rsidRPr="00011A98">
        <w:rPr>
          <w:rFonts w:ascii="Arial" w:hAnsi="Arial" w:cs="Arial"/>
          <w:color w:val="000000" w:themeColor="text1"/>
          <w:sz w:val="22"/>
        </w:rPr>
        <w:t xml:space="preserve">nto puede ejecutar el contratista diariamente teniendo en cuenta el plazo del contrato y el número de días pendientes para cumplir el plazo total. </w:t>
      </w:r>
    </w:p>
    <w:p w14:paraId="6CCDB9E8" w14:textId="5A3EEAA5" w:rsidR="001D65B2" w:rsidRPr="00011A98" w:rsidRDefault="001D65B2" w:rsidP="001D65B2">
      <w:pPr>
        <w:spacing w:before="120" w:after="120" w:line="276" w:lineRule="auto"/>
        <w:ind w:firstLine="708"/>
        <w:jc w:val="both"/>
        <w:rPr>
          <w:rFonts w:ascii="Arial" w:hAnsi="Arial" w:cs="Arial"/>
          <w:color w:val="000000" w:themeColor="text1"/>
          <w:sz w:val="22"/>
        </w:rPr>
      </w:pPr>
      <w:r w:rsidRPr="00011A98">
        <w:rPr>
          <w:rFonts w:ascii="Arial" w:hAnsi="Arial" w:cs="Arial"/>
          <w:color w:val="000000" w:themeColor="text1"/>
          <w:sz w:val="22"/>
        </w:rPr>
        <w:t xml:space="preserve">Para el caso de los contratos suspendidos, </w:t>
      </w:r>
      <w:r w:rsidR="00CC2632" w:rsidRPr="00011A98">
        <w:rPr>
          <w:rFonts w:ascii="Arial" w:hAnsi="Arial" w:cs="Arial"/>
          <w:color w:val="000000" w:themeColor="text1"/>
          <w:sz w:val="22"/>
        </w:rPr>
        <w:t>la Guía señala que</w:t>
      </w:r>
      <w:r w:rsidRPr="00011A98">
        <w:rPr>
          <w:rFonts w:ascii="Arial" w:hAnsi="Arial" w:cs="Arial"/>
          <w:color w:val="000000" w:themeColor="text1"/>
          <w:sz w:val="22"/>
        </w:rPr>
        <w:t xml:space="preserve"> </w:t>
      </w:r>
      <w:r w:rsidR="00CC2632" w:rsidRPr="00011A98">
        <w:rPr>
          <w:rFonts w:ascii="Arial" w:hAnsi="Arial" w:cs="Arial"/>
          <w:color w:val="000000" w:themeColor="text1"/>
          <w:sz w:val="22"/>
        </w:rPr>
        <w:t xml:space="preserve">«el </w:t>
      </w:r>
      <w:r w:rsidRPr="00011A98">
        <w:rPr>
          <w:rFonts w:ascii="Arial" w:hAnsi="Arial" w:cs="Arial"/>
          <w:color w:val="000000" w:themeColor="text1"/>
          <w:sz w:val="22"/>
        </w:rPr>
        <w:t>cálculo del Saldo del Contrato en Ejecución de dicho contrato debe calcularse asumiendo que lo que falta por ejecutar empezará a ejecutarse en la fecha de la presentación de la oferta del Proceso de Contratación</w:t>
      </w:r>
      <w:r w:rsidR="00CC2632" w:rsidRPr="00011A98">
        <w:rPr>
          <w:rFonts w:ascii="Arial" w:hAnsi="Arial" w:cs="Arial"/>
          <w:color w:val="000000" w:themeColor="text1"/>
          <w:sz w:val="22"/>
        </w:rPr>
        <w:t>»</w:t>
      </w:r>
      <w:r w:rsidR="00D94681" w:rsidRPr="00011A98">
        <w:rPr>
          <w:rStyle w:val="Refdenotaalpie"/>
          <w:rFonts w:ascii="Arial" w:hAnsi="Arial" w:cs="Arial"/>
          <w:color w:val="000000" w:themeColor="text1"/>
          <w:sz w:val="22"/>
        </w:rPr>
        <w:footnoteReference w:id="8"/>
      </w:r>
      <w:r w:rsidRPr="00011A98">
        <w:rPr>
          <w:rFonts w:ascii="Arial" w:hAnsi="Arial" w:cs="Arial"/>
          <w:color w:val="000000" w:themeColor="text1"/>
          <w:sz w:val="22"/>
        </w:rPr>
        <w:t xml:space="preserve">. De esta manera independiente del número de suspensiones que tenga el contrato, el proponente debe identificar la que se encuentra vigente al momento del cierre del proceso de selección y hacer los cálculos asumiendo que el plazo pendiente por ejecutar se </w:t>
      </w:r>
      <w:r w:rsidR="00BA2EF2" w:rsidRPr="00011A98">
        <w:rPr>
          <w:rFonts w:ascii="Arial" w:hAnsi="Arial" w:cs="Arial"/>
          <w:color w:val="000000" w:themeColor="text1"/>
          <w:sz w:val="22"/>
        </w:rPr>
        <w:t xml:space="preserve">cuenta </w:t>
      </w:r>
      <w:r w:rsidRPr="00011A98">
        <w:rPr>
          <w:rFonts w:ascii="Arial" w:hAnsi="Arial" w:cs="Arial"/>
          <w:color w:val="000000" w:themeColor="text1"/>
          <w:sz w:val="22"/>
        </w:rPr>
        <w:t xml:space="preserve">a partir de la fecha prevista para el cierre del proceso. </w:t>
      </w:r>
    </w:p>
    <w:p w14:paraId="2B61E87A" w14:textId="3E718E95" w:rsidR="001D65B2" w:rsidRPr="00011A98" w:rsidRDefault="001D65B2" w:rsidP="001D65B2">
      <w:pPr>
        <w:spacing w:before="120" w:after="120" w:line="276" w:lineRule="auto"/>
        <w:ind w:firstLine="708"/>
        <w:jc w:val="both"/>
        <w:rPr>
          <w:rFonts w:ascii="Arial" w:hAnsi="Arial" w:cs="Arial"/>
          <w:color w:val="000000" w:themeColor="text1"/>
          <w:sz w:val="22"/>
        </w:rPr>
      </w:pPr>
      <w:r w:rsidRPr="00011A98">
        <w:rPr>
          <w:rFonts w:ascii="Arial" w:hAnsi="Arial" w:cs="Arial"/>
          <w:color w:val="000000" w:themeColor="text1"/>
          <w:sz w:val="22"/>
        </w:rPr>
        <w:t xml:space="preserve">Lo anterior por cuanto para calcular el saldo de contratos en ejecución se debe tener en cuenta el plazo total del contrato, los días pendientes por ejecutar y si al momento del cierre del proceso de contratación el contrato se encuentra o no suspendido. En este factor, no importa el número de suspensiones que haya tenido el contrato, sino si al momento del cierre se encuentra alguna suspensión vigente. </w:t>
      </w:r>
    </w:p>
    <w:p w14:paraId="14D33693" w14:textId="31AAECC6" w:rsidR="00405BF1" w:rsidRPr="00011A98" w:rsidRDefault="00405BF1" w:rsidP="008D67B3">
      <w:pPr>
        <w:spacing w:line="276" w:lineRule="auto"/>
        <w:ind w:firstLine="709"/>
        <w:jc w:val="both"/>
        <w:rPr>
          <w:rFonts w:ascii="Arial" w:hAnsi="Arial" w:cs="Arial"/>
          <w:color w:val="000000" w:themeColor="text1"/>
          <w:sz w:val="22"/>
          <w:lang w:val="es-CO"/>
        </w:rPr>
      </w:pPr>
      <w:r w:rsidRPr="00011A98">
        <w:rPr>
          <w:rFonts w:ascii="Arial" w:hAnsi="Arial" w:cs="Arial"/>
          <w:color w:val="000000" w:themeColor="text1"/>
          <w:sz w:val="22"/>
          <w:lang w:val="es-CO"/>
        </w:rPr>
        <w:t xml:space="preserve">Explicadas las disposiciones que regulan la acreditación de la capacidad residual, los Documentos Tipo para los pliegos de condiciones de los procesos de selección de licitación de obra pública de infraestructura de transporte, adoptados mediante el Decreto 342 de 2019, e implementados y desarrollados a través de la Resolución 1798 de 2019, expedida por la Agencia Nacional de Contratación Pública – Colombia Compra Eficiente, establecen en la sección «3.10.2 CÁLCULO DE LA CAPACIDAD RESIDUAL DEL </w:t>
      </w:r>
      <w:r w:rsidRPr="00011A98">
        <w:rPr>
          <w:rFonts w:ascii="Arial" w:hAnsi="Arial" w:cs="Arial"/>
          <w:color w:val="000000" w:themeColor="text1"/>
          <w:sz w:val="22"/>
          <w:lang w:val="es-CO"/>
        </w:rPr>
        <w:lastRenderedPageBreak/>
        <w:t xml:space="preserve">PROPONENTE (CRP)» </w:t>
      </w:r>
      <w:r w:rsidR="00F17D0C" w:rsidRPr="00011A98">
        <w:rPr>
          <w:rFonts w:ascii="Arial" w:hAnsi="Arial" w:cs="Arial"/>
          <w:color w:val="000000" w:themeColor="text1"/>
          <w:sz w:val="22"/>
          <w:lang w:val="es-CO"/>
        </w:rPr>
        <w:t xml:space="preserve">del «Documento Base» </w:t>
      </w:r>
      <w:r w:rsidRPr="00011A98">
        <w:rPr>
          <w:rFonts w:ascii="Arial" w:hAnsi="Arial" w:cs="Arial"/>
          <w:color w:val="000000" w:themeColor="text1"/>
          <w:sz w:val="22"/>
          <w:lang w:val="es-CO"/>
        </w:rPr>
        <w:t xml:space="preserve">que el proponente debe indicar </w:t>
      </w:r>
      <w:r w:rsidR="00F17D0C" w:rsidRPr="00011A98">
        <w:rPr>
          <w:rFonts w:ascii="Arial" w:hAnsi="Arial" w:cs="Arial"/>
          <w:color w:val="000000" w:themeColor="text1"/>
          <w:sz w:val="22"/>
          <w:lang w:val="es-CO"/>
        </w:rPr>
        <w:t xml:space="preserve">en </w:t>
      </w:r>
      <w:r w:rsidRPr="00011A98">
        <w:rPr>
          <w:rFonts w:ascii="Arial" w:hAnsi="Arial" w:cs="Arial"/>
          <w:color w:val="000000" w:themeColor="text1"/>
          <w:sz w:val="22"/>
          <w:lang w:val="es-CO"/>
        </w:rPr>
        <w:t>el «Formato 5 – Capacidad residual»</w:t>
      </w:r>
      <w:r w:rsidR="00464693" w:rsidRPr="00011A98">
        <w:rPr>
          <w:rFonts w:ascii="Arial" w:hAnsi="Arial" w:cs="Arial"/>
          <w:color w:val="000000" w:themeColor="text1"/>
          <w:sz w:val="22"/>
          <w:lang w:val="es-CO"/>
        </w:rPr>
        <w:t>:</w:t>
      </w:r>
    </w:p>
    <w:p w14:paraId="2CE837D6" w14:textId="77777777" w:rsidR="00464693" w:rsidRPr="00011A98" w:rsidRDefault="00464693" w:rsidP="00405BF1">
      <w:pPr>
        <w:spacing w:line="276" w:lineRule="auto"/>
        <w:ind w:firstLine="708"/>
        <w:jc w:val="both"/>
        <w:rPr>
          <w:rFonts w:ascii="Arial" w:hAnsi="Arial" w:cs="Arial"/>
          <w:color w:val="000000" w:themeColor="text1"/>
          <w:sz w:val="22"/>
          <w:lang w:val="es-CO"/>
        </w:rPr>
      </w:pPr>
    </w:p>
    <w:p w14:paraId="1468E9B9" w14:textId="63775917" w:rsidR="00464693" w:rsidRPr="00011A98" w:rsidRDefault="00464693" w:rsidP="00464693">
      <w:pPr>
        <w:ind w:left="709" w:right="709"/>
        <w:jc w:val="both"/>
        <w:rPr>
          <w:rFonts w:ascii="Arial" w:hAnsi="Arial" w:cs="Arial"/>
          <w:color w:val="000000" w:themeColor="text1"/>
          <w:sz w:val="21"/>
          <w:szCs w:val="21"/>
          <w:lang w:val="es-CO"/>
        </w:rPr>
      </w:pPr>
      <w:r w:rsidRPr="00011A98">
        <w:rPr>
          <w:rFonts w:ascii="Arial" w:hAnsi="Arial" w:cs="Arial"/>
          <w:color w:val="000000" w:themeColor="text1"/>
          <w:sz w:val="21"/>
          <w:szCs w:val="21"/>
          <w:lang w:val="es-CO"/>
        </w:rPr>
        <w:t xml:space="preserve">(i) el valor del contrato; (ii) el plazo del contrato en meses; (iii) la fecha de inicio de las obras del contrato, día, mes, año; (iv) si la obra la ejecuta un Consorcio o Unión Temporal junto con el porcentaje de participación del integrante que presenta el certificado, y (v) </w:t>
      </w:r>
      <w:r w:rsidRPr="00011A98">
        <w:rPr>
          <w:rFonts w:ascii="Arial" w:hAnsi="Arial" w:cs="Arial"/>
          <w:i/>
          <w:iCs/>
          <w:color w:val="000000" w:themeColor="text1"/>
          <w:sz w:val="21"/>
          <w:szCs w:val="21"/>
          <w:lang w:val="es-CO"/>
        </w:rPr>
        <w:t>si el contrato se encuentra suspendido, de ser así, la fecha de suspensión.</w:t>
      </w:r>
      <w:r w:rsidRPr="00011A98">
        <w:rPr>
          <w:rFonts w:ascii="Arial" w:hAnsi="Arial" w:cs="Arial"/>
          <w:color w:val="000000" w:themeColor="text1"/>
          <w:sz w:val="21"/>
          <w:szCs w:val="21"/>
          <w:lang w:val="es-CO"/>
        </w:rPr>
        <w:t xml:space="preserve"> En el certificado debe constar expresamente si el Proponente no tiene contratos en ejecución (cursiva fuera del texto original).</w:t>
      </w:r>
    </w:p>
    <w:p w14:paraId="70CEFFBC" w14:textId="77777777" w:rsidR="00405BF1" w:rsidRPr="00011A98" w:rsidRDefault="00405BF1" w:rsidP="00464693">
      <w:pPr>
        <w:spacing w:line="276" w:lineRule="auto"/>
        <w:jc w:val="both"/>
        <w:rPr>
          <w:rFonts w:ascii="Arial" w:hAnsi="Arial" w:cs="Arial"/>
          <w:color w:val="000000" w:themeColor="text1"/>
          <w:sz w:val="22"/>
          <w:lang w:val="es-CO"/>
        </w:rPr>
      </w:pPr>
    </w:p>
    <w:p w14:paraId="0088BD0B" w14:textId="619FB2C4" w:rsidR="00405BF1" w:rsidRPr="00011A98" w:rsidRDefault="00464693" w:rsidP="008A05E4">
      <w:pPr>
        <w:spacing w:line="276" w:lineRule="auto"/>
        <w:ind w:firstLine="709"/>
        <w:jc w:val="both"/>
        <w:rPr>
          <w:rFonts w:ascii="Arial" w:hAnsi="Arial" w:cs="Arial"/>
          <w:color w:val="000000" w:themeColor="text1"/>
          <w:sz w:val="22"/>
          <w:lang w:val="es-CO"/>
        </w:rPr>
      </w:pPr>
      <w:r w:rsidRPr="00011A98">
        <w:rPr>
          <w:rFonts w:ascii="Arial" w:hAnsi="Arial" w:cs="Arial"/>
          <w:color w:val="000000" w:themeColor="text1"/>
          <w:sz w:val="22"/>
          <w:lang w:val="es-CO"/>
        </w:rPr>
        <w:t>S</w:t>
      </w:r>
      <w:r w:rsidR="00405BF1" w:rsidRPr="00011A98">
        <w:rPr>
          <w:rFonts w:ascii="Arial" w:hAnsi="Arial" w:cs="Arial"/>
          <w:color w:val="000000" w:themeColor="text1"/>
          <w:sz w:val="22"/>
          <w:lang w:val="es-CO"/>
        </w:rPr>
        <w:t>obre la forma para acreditar el factor de «Saldo de los contratos en ejecución» o «SCE»</w:t>
      </w:r>
      <w:r w:rsidRPr="00011A98">
        <w:rPr>
          <w:rFonts w:ascii="Arial" w:hAnsi="Arial" w:cs="Arial"/>
          <w:color w:val="000000" w:themeColor="text1"/>
          <w:sz w:val="22"/>
          <w:lang w:val="es-CO"/>
        </w:rPr>
        <w:t xml:space="preserve"> cuando un contrato se encuentra suspendido</w:t>
      </w:r>
      <w:r w:rsidR="009E6CB6" w:rsidRPr="00011A98">
        <w:rPr>
          <w:rFonts w:ascii="Arial" w:hAnsi="Arial" w:cs="Arial"/>
          <w:color w:val="000000" w:themeColor="text1"/>
          <w:sz w:val="22"/>
          <w:lang w:val="es-CO"/>
        </w:rPr>
        <w:t>,</w:t>
      </w:r>
      <w:r w:rsidRPr="00011A98">
        <w:rPr>
          <w:rFonts w:ascii="Arial" w:hAnsi="Arial" w:cs="Arial"/>
          <w:color w:val="000000" w:themeColor="text1"/>
          <w:sz w:val="22"/>
          <w:lang w:val="es-CO"/>
        </w:rPr>
        <w:t xml:space="preserve"> el </w:t>
      </w:r>
      <w:r w:rsidR="00F17D0C" w:rsidRPr="00011A98">
        <w:rPr>
          <w:rFonts w:ascii="Arial" w:hAnsi="Arial" w:cs="Arial"/>
          <w:color w:val="000000" w:themeColor="text1"/>
          <w:sz w:val="22"/>
          <w:lang w:val="es-CO"/>
        </w:rPr>
        <w:t>«</w:t>
      </w:r>
      <w:r w:rsidRPr="00011A98">
        <w:rPr>
          <w:rFonts w:ascii="Arial" w:hAnsi="Arial" w:cs="Arial"/>
          <w:color w:val="000000" w:themeColor="text1"/>
          <w:sz w:val="22"/>
          <w:lang w:val="es-CO"/>
        </w:rPr>
        <w:t>Documento Base</w:t>
      </w:r>
      <w:r w:rsidR="00F17D0C" w:rsidRPr="00011A98">
        <w:rPr>
          <w:rFonts w:ascii="Arial" w:hAnsi="Arial" w:cs="Arial"/>
          <w:color w:val="000000" w:themeColor="text1"/>
          <w:sz w:val="22"/>
          <w:lang w:val="es-CO"/>
        </w:rPr>
        <w:t>»</w:t>
      </w:r>
      <w:r w:rsidRPr="00011A98">
        <w:rPr>
          <w:rFonts w:ascii="Arial" w:hAnsi="Arial" w:cs="Arial"/>
          <w:color w:val="000000" w:themeColor="text1"/>
          <w:sz w:val="22"/>
          <w:lang w:val="es-CO"/>
        </w:rPr>
        <w:t xml:space="preserve"> indica que el proponente debe tener en cuenta</w:t>
      </w:r>
      <w:r w:rsidR="00405BF1" w:rsidRPr="00011A98">
        <w:rPr>
          <w:rFonts w:ascii="Arial" w:hAnsi="Arial" w:cs="Arial"/>
          <w:color w:val="000000" w:themeColor="text1"/>
          <w:sz w:val="22"/>
          <w:lang w:val="es-CO"/>
        </w:rPr>
        <w:t xml:space="preserve">: </w:t>
      </w:r>
    </w:p>
    <w:p w14:paraId="7060649A" w14:textId="77777777" w:rsidR="00BA2EF2" w:rsidRPr="00011A98" w:rsidRDefault="00BA2EF2" w:rsidP="00405BF1">
      <w:pPr>
        <w:spacing w:line="276" w:lineRule="auto"/>
        <w:ind w:firstLine="708"/>
        <w:jc w:val="both"/>
        <w:rPr>
          <w:rFonts w:ascii="Arial" w:hAnsi="Arial" w:cs="Arial"/>
          <w:color w:val="000000" w:themeColor="text1"/>
          <w:sz w:val="22"/>
          <w:lang w:val="es-CO"/>
        </w:rPr>
      </w:pPr>
    </w:p>
    <w:p w14:paraId="6E894A33" w14:textId="1C27B5D2" w:rsidR="00464693" w:rsidRPr="00011A98" w:rsidRDefault="00464693" w:rsidP="008A05E4">
      <w:pPr>
        <w:ind w:left="709" w:right="709"/>
        <w:jc w:val="both"/>
        <w:rPr>
          <w:rFonts w:ascii="Arial" w:hAnsi="Arial" w:cs="Arial"/>
          <w:color w:val="000000" w:themeColor="text1"/>
          <w:sz w:val="21"/>
          <w:szCs w:val="21"/>
          <w:lang w:val="es-CO"/>
        </w:rPr>
      </w:pPr>
      <w:r w:rsidRPr="00011A98">
        <w:rPr>
          <w:rFonts w:ascii="Arial" w:hAnsi="Arial" w:cs="Arial"/>
          <w:color w:val="000000" w:themeColor="text1"/>
          <w:sz w:val="21"/>
          <w:szCs w:val="21"/>
          <w:lang w:val="es-CO"/>
        </w:rPr>
        <w:t xml:space="preserve">II. 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w:t>
      </w:r>
      <w:r w:rsidRPr="00011A98">
        <w:rPr>
          <w:rFonts w:ascii="Arial" w:hAnsi="Arial" w:cs="Arial"/>
          <w:i/>
          <w:iCs/>
          <w:color w:val="000000" w:themeColor="text1"/>
          <w:sz w:val="21"/>
          <w:szCs w:val="21"/>
          <w:lang w:val="es-CO"/>
        </w:rPr>
        <w:t>así como, los contratos suspendidos</w:t>
      </w:r>
      <w:r w:rsidRPr="00011A98">
        <w:rPr>
          <w:rFonts w:ascii="Arial" w:hAnsi="Arial" w:cs="Arial"/>
          <w:color w:val="000000" w:themeColor="text1"/>
          <w:sz w:val="21"/>
          <w:szCs w:val="21"/>
          <w:lang w:val="es-CO"/>
        </w:rPr>
        <w:t xml:space="preserve"> y aquellos que no tengan acta de inicio. No se entenderán como contratos en ejecución los que se encuentren en liquidación</w:t>
      </w:r>
      <w:r w:rsidR="008D67B3" w:rsidRPr="00011A98">
        <w:rPr>
          <w:rFonts w:ascii="Arial" w:hAnsi="Arial" w:cs="Arial"/>
          <w:color w:val="000000" w:themeColor="text1"/>
          <w:sz w:val="21"/>
          <w:szCs w:val="21"/>
          <w:lang w:val="es-CO"/>
        </w:rPr>
        <w:t xml:space="preserve"> (cursiva fuera del texto original).</w:t>
      </w:r>
    </w:p>
    <w:p w14:paraId="6DED4A65" w14:textId="25A6EDA7" w:rsidR="00464693" w:rsidRPr="00011A98" w:rsidRDefault="00464693" w:rsidP="00464693">
      <w:pPr>
        <w:ind w:left="709" w:right="709"/>
        <w:jc w:val="both"/>
        <w:rPr>
          <w:rFonts w:ascii="Arial" w:hAnsi="Arial" w:cs="Arial"/>
          <w:color w:val="000000" w:themeColor="text1"/>
          <w:sz w:val="21"/>
          <w:szCs w:val="21"/>
          <w:lang w:val="es-CO"/>
        </w:rPr>
      </w:pPr>
      <w:r w:rsidRPr="00011A98">
        <w:rPr>
          <w:rFonts w:ascii="Arial" w:hAnsi="Arial" w:cs="Arial"/>
          <w:color w:val="000000" w:themeColor="text1"/>
          <w:sz w:val="21"/>
          <w:szCs w:val="21"/>
          <w:lang w:val="es-CO"/>
        </w:rPr>
        <w:t>[…]</w:t>
      </w:r>
    </w:p>
    <w:p w14:paraId="0FF7EF18" w14:textId="359C33E0" w:rsidR="00464693" w:rsidRPr="00011A98" w:rsidRDefault="00464693" w:rsidP="00464693">
      <w:pPr>
        <w:ind w:left="709" w:right="709"/>
        <w:jc w:val="both"/>
        <w:rPr>
          <w:rFonts w:ascii="Arial" w:hAnsi="Arial" w:cs="Arial"/>
          <w:color w:val="000000" w:themeColor="text1"/>
          <w:sz w:val="21"/>
          <w:szCs w:val="21"/>
          <w:lang w:val="es-CO"/>
        </w:rPr>
      </w:pPr>
    </w:p>
    <w:p w14:paraId="54A91EF4" w14:textId="5C729128" w:rsidR="00464693" w:rsidRPr="00011A98" w:rsidRDefault="00464693" w:rsidP="00464693">
      <w:pPr>
        <w:ind w:left="709" w:right="709"/>
        <w:jc w:val="both"/>
        <w:rPr>
          <w:rFonts w:ascii="Arial" w:hAnsi="Arial" w:cs="Arial"/>
          <w:color w:val="000000" w:themeColor="text1"/>
          <w:sz w:val="21"/>
          <w:szCs w:val="21"/>
          <w:lang w:val="es-CO"/>
        </w:rPr>
      </w:pPr>
      <w:r w:rsidRPr="00011A98">
        <w:rPr>
          <w:rFonts w:ascii="Arial" w:hAnsi="Arial" w:cs="Arial"/>
          <w:color w:val="000000" w:themeColor="text1"/>
          <w:sz w:val="21"/>
          <w:szCs w:val="21"/>
          <w:lang w:val="es-CO"/>
        </w:rPr>
        <w:t>IV. Si un contrato se encuentra suspendido, el cálculo del (SCE) de dicho contrato debe efectuarse asumiendo que lo que falta por ejecutar iniciara en la fecha de presentación de la oferta del Proceso de Contratación. Si el contrato está suspendido el Proponente debe informar el saldo pendiente por ejecutar.</w:t>
      </w:r>
    </w:p>
    <w:p w14:paraId="2B336A7F" w14:textId="0472FE4F" w:rsidR="00464693" w:rsidRPr="00011A98" w:rsidRDefault="00464693" w:rsidP="00464693">
      <w:pPr>
        <w:spacing w:line="276" w:lineRule="auto"/>
        <w:jc w:val="both"/>
        <w:rPr>
          <w:rFonts w:ascii="Arial" w:hAnsi="Arial" w:cs="Arial"/>
          <w:color w:val="000000" w:themeColor="text1"/>
          <w:sz w:val="22"/>
        </w:rPr>
      </w:pPr>
    </w:p>
    <w:p w14:paraId="6E1830AE" w14:textId="490218F1" w:rsidR="00464693" w:rsidRPr="00011A98" w:rsidRDefault="00464693" w:rsidP="008D67B3">
      <w:pPr>
        <w:spacing w:line="276" w:lineRule="auto"/>
        <w:ind w:firstLine="709"/>
        <w:jc w:val="both"/>
        <w:rPr>
          <w:rFonts w:ascii="Arial" w:hAnsi="Arial" w:cs="Arial"/>
          <w:color w:val="000000" w:themeColor="text1"/>
          <w:sz w:val="22"/>
        </w:rPr>
      </w:pPr>
      <w:r w:rsidRPr="00011A98">
        <w:rPr>
          <w:rFonts w:ascii="Arial" w:hAnsi="Arial" w:cs="Arial"/>
          <w:color w:val="000000" w:themeColor="text1"/>
          <w:sz w:val="22"/>
        </w:rPr>
        <w:t xml:space="preserve">Adicionalmente, los Documentos Tipo incluyen un formato con el fin de que los proponentes puedan acreditar las condiciones señaladas en el </w:t>
      </w:r>
      <w:r w:rsidR="00F17D0C" w:rsidRPr="00011A98">
        <w:rPr>
          <w:rFonts w:ascii="Arial" w:hAnsi="Arial" w:cs="Arial"/>
          <w:color w:val="000000" w:themeColor="text1"/>
          <w:sz w:val="22"/>
        </w:rPr>
        <w:t>«</w:t>
      </w:r>
      <w:r w:rsidRPr="00011A98">
        <w:rPr>
          <w:rFonts w:ascii="Arial" w:hAnsi="Arial" w:cs="Arial"/>
          <w:color w:val="000000" w:themeColor="text1"/>
          <w:sz w:val="22"/>
        </w:rPr>
        <w:t>Documento Base</w:t>
      </w:r>
      <w:r w:rsidR="00F17D0C" w:rsidRPr="00011A98">
        <w:rPr>
          <w:rFonts w:ascii="Arial" w:hAnsi="Arial" w:cs="Arial"/>
          <w:color w:val="000000" w:themeColor="text1"/>
          <w:sz w:val="22"/>
        </w:rPr>
        <w:t>»</w:t>
      </w:r>
      <w:r w:rsidRPr="00011A98">
        <w:rPr>
          <w:rFonts w:ascii="Arial" w:hAnsi="Arial" w:cs="Arial"/>
          <w:color w:val="000000" w:themeColor="text1"/>
          <w:sz w:val="22"/>
        </w:rPr>
        <w:t xml:space="preserve"> frente al cálculo de la capacidad residual. Así, el «Formato 5 – Capacidad Residual» señala que: </w:t>
      </w:r>
    </w:p>
    <w:p w14:paraId="7083B3CF" w14:textId="77777777" w:rsidR="0030617D" w:rsidRPr="00011A98" w:rsidRDefault="0030617D" w:rsidP="008D67B3">
      <w:pPr>
        <w:spacing w:line="276" w:lineRule="auto"/>
        <w:ind w:firstLine="709"/>
        <w:jc w:val="both"/>
        <w:rPr>
          <w:rFonts w:ascii="Arial" w:hAnsi="Arial" w:cs="Arial"/>
          <w:color w:val="000000" w:themeColor="text1"/>
          <w:sz w:val="22"/>
        </w:rPr>
      </w:pPr>
    </w:p>
    <w:p w14:paraId="3C08EA17" w14:textId="11BE8A3D" w:rsidR="00464693" w:rsidRPr="00011A98" w:rsidRDefault="00464693" w:rsidP="0030617D">
      <w:pPr>
        <w:ind w:left="709" w:right="709"/>
        <w:jc w:val="both"/>
        <w:rPr>
          <w:rFonts w:ascii="Arial" w:hAnsi="Arial" w:cs="Arial"/>
          <w:color w:val="000000" w:themeColor="text1"/>
          <w:sz w:val="21"/>
          <w:szCs w:val="21"/>
          <w:lang w:val="es-CO"/>
        </w:rPr>
      </w:pPr>
      <w:r w:rsidRPr="00011A98">
        <w:rPr>
          <w:rFonts w:ascii="Arial" w:hAnsi="Arial" w:cs="Arial"/>
          <w:color w:val="000000" w:themeColor="text1"/>
          <w:sz w:val="21"/>
          <w:szCs w:val="21"/>
          <w:lang w:val="es-CO"/>
        </w:rPr>
        <w:t xml:space="preserve">La Entidad Estatal deberá estructurar los formatos para la verificación de la capacidad residual. Para ello se sugiere utilizar los formatos y la metodología señalada en la </w:t>
      </w:r>
      <w:r w:rsidR="0030617D" w:rsidRPr="00011A98">
        <w:rPr>
          <w:rFonts w:ascii="Arial" w:hAnsi="Arial" w:cs="Arial"/>
          <w:color w:val="000000" w:themeColor="text1"/>
          <w:sz w:val="21"/>
          <w:szCs w:val="21"/>
          <w:lang w:val="es-CO"/>
        </w:rPr>
        <w:t>«</w:t>
      </w:r>
      <w:r w:rsidRPr="00011A98">
        <w:rPr>
          <w:rFonts w:ascii="Arial" w:hAnsi="Arial" w:cs="Arial"/>
          <w:color w:val="000000" w:themeColor="text1"/>
          <w:sz w:val="21"/>
          <w:szCs w:val="21"/>
          <w:lang w:val="es-CO"/>
        </w:rPr>
        <w:t>Guía para Determinar y Verificar la Capacidad Residual del Proponente en los Procesos de Contratación de Obra Pública</w:t>
      </w:r>
      <w:r w:rsidR="0030617D" w:rsidRPr="00011A98">
        <w:rPr>
          <w:rFonts w:ascii="Arial" w:hAnsi="Arial" w:cs="Arial"/>
          <w:color w:val="000000" w:themeColor="text1"/>
          <w:sz w:val="21"/>
          <w:szCs w:val="21"/>
          <w:lang w:val="es-CO"/>
        </w:rPr>
        <w:t>»</w:t>
      </w:r>
      <w:r w:rsidRPr="00011A98">
        <w:rPr>
          <w:rFonts w:ascii="Arial" w:hAnsi="Arial" w:cs="Arial"/>
          <w:color w:val="000000" w:themeColor="text1"/>
          <w:sz w:val="21"/>
          <w:szCs w:val="21"/>
          <w:lang w:val="es-CO"/>
        </w:rPr>
        <w:t xml:space="preserve"> de Colombia Compra Eficiente</w:t>
      </w:r>
      <w:r w:rsidR="00F17D0C" w:rsidRPr="00011A98">
        <w:rPr>
          <w:rFonts w:ascii="Arial" w:hAnsi="Arial" w:cs="Arial"/>
          <w:color w:val="000000" w:themeColor="text1"/>
          <w:sz w:val="21"/>
          <w:szCs w:val="21"/>
          <w:lang w:val="es-CO"/>
        </w:rPr>
        <w:t>.</w:t>
      </w:r>
    </w:p>
    <w:p w14:paraId="6FA86566" w14:textId="77777777" w:rsidR="00464693" w:rsidRPr="00011A98" w:rsidRDefault="00464693" w:rsidP="005D6912">
      <w:pPr>
        <w:spacing w:line="276" w:lineRule="auto"/>
        <w:ind w:firstLine="709"/>
        <w:jc w:val="both"/>
        <w:rPr>
          <w:rFonts w:ascii="Arial" w:eastAsia="Calibri" w:hAnsi="Arial" w:cs="Arial"/>
          <w:color w:val="000000" w:themeColor="text1"/>
          <w:sz w:val="22"/>
        </w:rPr>
      </w:pPr>
    </w:p>
    <w:p w14:paraId="4AB7F160" w14:textId="3E3DD88C" w:rsidR="00F17D0C" w:rsidRPr="00011A98" w:rsidRDefault="00464693" w:rsidP="005D6912">
      <w:pPr>
        <w:spacing w:line="276" w:lineRule="auto"/>
        <w:ind w:firstLine="709"/>
        <w:jc w:val="both"/>
        <w:rPr>
          <w:rFonts w:ascii="Arial" w:hAnsi="Arial" w:cs="Arial"/>
          <w:color w:val="000000" w:themeColor="text1"/>
          <w:sz w:val="22"/>
        </w:rPr>
      </w:pPr>
      <w:r w:rsidRPr="00011A98">
        <w:rPr>
          <w:rFonts w:ascii="Arial" w:hAnsi="Arial" w:cs="Arial"/>
          <w:color w:val="000000" w:themeColor="text1"/>
          <w:sz w:val="22"/>
        </w:rPr>
        <w:t xml:space="preserve">En efecto, </w:t>
      </w:r>
      <w:r w:rsidR="001D65B2" w:rsidRPr="00011A98">
        <w:rPr>
          <w:rFonts w:ascii="Arial" w:hAnsi="Arial" w:cs="Arial"/>
          <w:color w:val="000000" w:themeColor="text1"/>
          <w:sz w:val="22"/>
        </w:rPr>
        <w:t>los Documentos Tipo reitera</w:t>
      </w:r>
      <w:r w:rsidRPr="00011A98">
        <w:rPr>
          <w:rFonts w:ascii="Arial" w:hAnsi="Arial" w:cs="Arial"/>
          <w:color w:val="000000" w:themeColor="text1"/>
          <w:sz w:val="22"/>
        </w:rPr>
        <w:t>n</w:t>
      </w:r>
      <w:r w:rsidR="001D65B2" w:rsidRPr="00011A98">
        <w:rPr>
          <w:rFonts w:ascii="Arial" w:hAnsi="Arial" w:cs="Arial"/>
          <w:color w:val="000000" w:themeColor="text1"/>
          <w:sz w:val="22"/>
        </w:rPr>
        <w:t xml:space="preserve"> y complementa</w:t>
      </w:r>
      <w:r w:rsidRPr="00011A98">
        <w:rPr>
          <w:rFonts w:ascii="Arial" w:hAnsi="Arial" w:cs="Arial"/>
          <w:color w:val="000000" w:themeColor="text1"/>
          <w:sz w:val="22"/>
        </w:rPr>
        <w:t>n</w:t>
      </w:r>
      <w:r w:rsidR="001D65B2" w:rsidRPr="00011A98">
        <w:rPr>
          <w:rFonts w:ascii="Arial" w:hAnsi="Arial" w:cs="Arial"/>
          <w:color w:val="000000" w:themeColor="text1"/>
          <w:sz w:val="22"/>
        </w:rPr>
        <w:t xml:space="preserve"> las reglas establecidas en la Guía para Determinar y Verificar la Capacidad Residual del Proponente en los Procesos de Contratación de Obra Pública expedida por la Agencia Nacional de Contratación Pública</w:t>
      </w:r>
      <w:r w:rsidR="00F17D0C" w:rsidRPr="00011A98">
        <w:rPr>
          <w:rFonts w:ascii="Arial" w:hAnsi="Arial" w:cs="Arial"/>
          <w:color w:val="000000" w:themeColor="text1"/>
          <w:sz w:val="22"/>
        </w:rPr>
        <w:t>.</w:t>
      </w:r>
    </w:p>
    <w:p w14:paraId="65A9462D" w14:textId="55C9EFD2" w:rsidR="00F17D0C" w:rsidRPr="00011A98" w:rsidRDefault="00F17D0C" w:rsidP="008D67B3">
      <w:pPr>
        <w:spacing w:before="120" w:line="276" w:lineRule="auto"/>
        <w:ind w:firstLine="709"/>
        <w:jc w:val="both"/>
        <w:rPr>
          <w:rFonts w:ascii="Arial" w:hAnsi="Arial" w:cs="Arial"/>
          <w:color w:val="000000" w:themeColor="text1"/>
          <w:sz w:val="22"/>
        </w:rPr>
      </w:pPr>
      <w:r w:rsidRPr="00011A98">
        <w:rPr>
          <w:rFonts w:ascii="Arial" w:hAnsi="Arial" w:cs="Arial"/>
          <w:color w:val="000000" w:themeColor="text1"/>
          <w:sz w:val="22"/>
        </w:rPr>
        <w:lastRenderedPageBreak/>
        <w:t xml:space="preserve">Por otra parte, </w:t>
      </w:r>
      <w:r w:rsidRPr="00011A98">
        <w:rPr>
          <w:rFonts w:ascii="Arial" w:eastAsia="Calibri" w:hAnsi="Arial" w:cs="Arial"/>
          <w:color w:val="000000" w:themeColor="text1"/>
          <w:sz w:val="22"/>
        </w:rPr>
        <w:t>el «Documento Base» señala que el uso de los Documentos Tipo no exime a la entidad estatal de la obligación que le asiste de cumplir con la normativa aplicable al proceso de contratación. Como resultado de esto, para determinar la forma de acreditar la capacidad residual, particularmente el factor «saldo de contratos en ejecución», en los procesos de contratación que deben aplicar los Documentos Tipo</w:t>
      </w:r>
      <w:r w:rsidR="0030617D" w:rsidRPr="00011A98">
        <w:rPr>
          <w:rFonts w:ascii="Arial" w:eastAsia="Calibri" w:hAnsi="Arial" w:cs="Arial"/>
          <w:color w:val="000000" w:themeColor="text1"/>
          <w:sz w:val="22"/>
        </w:rPr>
        <w:t>,</w:t>
      </w:r>
      <w:r w:rsidRPr="00011A98">
        <w:rPr>
          <w:rFonts w:ascii="Arial" w:eastAsia="Calibri" w:hAnsi="Arial" w:cs="Arial"/>
          <w:color w:val="000000" w:themeColor="text1"/>
          <w:sz w:val="22"/>
        </w:rPr>
        <w:t xml:space="preserve"> a los que se refiere la Ley 1882 de 2018, las entidades deben aplicar las condiciones que establece la Ley 1150 de 2007, </w:t>
      </w:r>
      <w:r w:rsidRPr="00011A98">
        <w:rPr>
          <w:rFonts w:ascii="Arial" w:hAnsi="Arial" w:cs="Arial"/>
          <w:color w:val="000000" w:themeColor="text1"/>
          <w:sz w:val="22"/>
        </w:rPr>
        <w:t xml:space="preserve">Ley 1682 de 2013, el Decreto 1082 de 2015 y la mencionada Guía, de modo que son aplicables las consideraciones aquí explicadas, además de aquellas que establece expresamente el «Documento Base». </w:t>
      </w:r>
    </w:p>
    <w:p w14:paraId="6230AEF2" w14:textId="2D34F1E5" w:rsidR="008D67B3" w:rsidRPr="00011A98" w:rsidRDefault="00F17D0C" w:rsidP="008D67B3">
      <w:pPr>
        <w:spacing w:before="120" w:line="276" w:lineRule="auto"/>
        <w:ind w:firstLine="709"/>
        <w:jc w:val="both"/>
        <w:rPr>
          <w:rFonts w:ascii="Arial" w:hAnsi="Arial" w:cs="Arial"/>
          <w:color w:val="000000" w:themeColor="text1"/>
          <w:sz w:val="22"/>
        </w:rPr>
      </w:pPr>
      <w:r w:rsidRPr="00011A98">
        <w:rPr>
          <w:rFonts w:ascii="Arial" w:hAnsi="Arial" w:cs="Arial"/>
          <w:color w:val="000000" w:themeColor="text1"/>
          <w:sz w:val="22"/>
        </w:rPr>
        <w:t>Como resultado de lo anterior</w:t>
      </w:r>
      <w:r w:rsidR="009E6CB6" w:rsidRPr="00011A98">
        <w:rPr>
          <w:rFonts w:ascii="Arial" w:hAnsi="Arial" w:cs="Arial"/>
          <w:color w:val="000000" w:themeColor="text1"/>
          <w:sz w:val="22"/>
        </w:rPr>
        <w:t>,</w:t>
      </w:r>
      <w:r w:rsidR="00BA2EF2" w:rsidRPr="00011A98">
        <w:rPr>
          <w:rFonts w:ascii="Arial" w:hAnsi="Arial" w:cs="Arial"/>
          <w:color w:val="000000" w:themeColor="text1"/>
          <w:sz w:val="22"/>
        </w:rPr>
        <w:t xml:space="preserve"> </w:t>
      </w:r>
      <w:r w:rsidR="005A15D8" w:rsidRPr="00011A98">
        <w:rPr>
          <w:rFonts w:ascii="Arial" w:hAnsi="Arial" w:cs="Arial"/>
          <w:color w:val="000000" w:themeColor="text1"/>
          <w:sz w:val="22"/>
        </w:rPr>
        <w:t xml:space="preserve">para la determinar el factor «SCE» </w:t>
      </w:r>
      <w:r w:rsidR="00BA2EF2" w:rsidRPr="00011A98">
        <w:rPr>
          <w:rFonts w:ascii="Arial" w:hAnsi="Arial" w:cs="Arial"/>
          <w:color w:val="000000" w:themeColor="text1"/>
          <w:sz w:val="22"/>
        </w:rPr>
        <w:t>en los procesos que apliquen «Documentos Tipo»</w:t>
      </w:r>
      <w:r w:rsidR="005A15D8" w:rsidRPr="00011A98">
        <w:rPr>
          <w:rFonts w:ascii="Arial" w:hAnsi="Arial" w:cs="Arial"/>
          <w:color w:val="000000" w:themeColor="text1"/>
          <w:sz w:val="22"/>
        </w:rPr>
        <w:t xml:space="preserve">, el proponente debe identificar en el «Formato 5 – Capacidad residual» que </w:t>
      </w:r>
      <w:r w:rsidR="0030617D" w:rsidRPr="00011A98">
        <w:rPr>
          <w:rFonts w:ascii="Arial" w:hAnsi="Arial" w:cs="Arial"/>
          <w:color w:val="000000" w:themeColor="text1"/>
          <w:sz w:val="22"/>
        </w:rPr>
        <w:t xml:space="preserve">estructure </w:t>
      </w:r>
      <w:r w:rsidR="005A15D8" w:rsidRPr="00011A98">
        <w:rPr>
          <w:rFonts w:ascii="Arial" w:hAnsi="Arial" w:cs="Arial"/>
          <w:color w:val="000000" w:themeColor="text1"/>
          <w:sz w:val="22"/>
        </w:rPr>
        <w:t xml:space="preserve">la entidad la suspensión del contrato que se encuentra vigente al momento del cierre del proceso de selección, independiente del número de suspensiones </w:t>
      </w:r>
      <w:r w:rsidR="0030617D" w:rsidRPr="00011A98">
        <w:rPr>
          <w:rFonts w:ascii="Arial" w:hAnsi="Arial" w:cs="Arial"/>
          <w:color w:val="000000" w:themeColor="text1"/>
          <w:sz w:val="22"/>
        </w:rPr>
        <w:t xml:space="preserve">anteriores </w:t>
      </w:r>
      <w:r w:rsidR="005A15D8" w:rsidRPr="00011A98">
        <w:rPr>
          <w:rFonts w:ascii="Arial" w:hAnsi="Arial" w:cs="Arial"/>
          <w:color w:val="000000" w:themeColor="text1"/>
          <w:sz w:val="22"/>
        </w:rPr>
        <w:t>que t</w:t>
      </w:r>
      <w:r w:rsidR="0030617D" w:rsidRPr="00011A98">
        <w:rPr>
          <w:rFonts w:ascii="Arial" w:hAnsi="Arial" w:cs="Arial"/>
          <w:color w:val="000000" w:themeColor="text1"/>
          <w:sz w:val="22"/>
        </w:rPr>
        <w:t>uviera</w:t>
      </w:r>
      <w:r w:rsidR="005A15D8" w:rsidRPr="00011A98">
        <w:rPr>
          <w:rFonts w:ascii="Arial" w:hAnsi="Arial" w:cs="Arial"/>
          <w:color w:val="000000" w:themeColor="text1"/>
          <w:sz w:val="22"/>
        </w:rPr>
        <w:t xml:space="preserve">, y hacer los cálculos asumiendo que el plazo pendiente por ejecutar se iniciará a contar a partir de la fecha prevista para el cierre del proceso. </w:t>
      </w:r>
    </w:p>
    <w:p w14:paraId="41ACFFBC" w14:textId="77777777" w:rsidR="008D67B3" w:rsidRPr="00011A98" w:rsidRDefault="008D67B3" w:rsidP="008D67B3">
      <w:pPr>
        <w:spacing w:line="276" w:lineRule="auto"/>
        <w:jc w:val="both"/>
        <w:rPr>
          <w:rFonts w:ascii="Arial" w:eastAsia="Calibri" w:hAnsi="Arial" w:cs="Arial"/>
          <w:b/>
          <w:color w:val="000000" w:themeColor="text1"/>
          <w:sz w:val="22"/>
        </w:rPr>
      </w:pPr>
    </w:p>
    <w:p w14:paraId="12A90A3A" w14:textId="6D02C305" w:rsidR="00FF23D7" w:rsidRPr="00011A98" w:rsidRDefault="008D67B3" w:rsidP="008D67B3">
      <w:pPr>
        <w:spacing w:line="276" w:lineRule="auto"/>
        <w:jc w:val="both"/>
        <w:rPr>
          <w:rFonts w:ascii="Arial" w:eastAsia="Calibri" w:hAnsi="Arial" w:cs="Arial"/>
          <w:b/>
          <w:color w:val="000000" w:themeColor="text1"/>
          <w:sz w:val="22"/>
        </w:rPr>
      </w:pPr>
      <w:r w:rsidRPr="00011A98">
        <w:rPr>
          <w:rFonts w:ascii="Arial" w:eastAsia="Calibri" w:hAnsi="Arial" w:cs="Arial"/>
          <w:b/>
          <w:color w:val="000000" w:themeColor="text1"/>
          <w:sz w:val="22"/>
        </w:rPr>
        <w:t xml:space="preserve">3. </w:t>
      </w:r>
      <w:r w:rsidR="00FF23D7" w:rsidRPr="00011A98">
        <w:rPr>
          <w:rFonts w:ascii="Arial" w:eastAsia="Calibri" w:hAnsi="Arial" w:cs="Arial"/>
          <w:b/>
          <w:color w:val="000000" w:themeColor="text1"/>
          <w:sz w:val="22"/>
        </w:rPr>
        <w:t>Respuesta</w:t>
      </w:r>
    </w:p>
    <w:p w14:paraId="1E0099B8" w14:textId="77777777" w:rsidR="0030617D" w:rsidRPr="00011A98" w:rsidRDefault="0030617D" w:rsidP="008D67B3">
      <w:pPr>
        <w:spacing w:line="276" w:lineRule="auto"/>
        <w:jc w:val="both"/>
        <w:rPr>
          <w:rFonts w:ascii="Arial" w:hAnsi="Arial" w:cs="Arial"/>
          <w:color w:val="000000" w:themeColor="text1"/>
          <w:sz w:val="22"/>
        </w:rPr>
      </w:pPr>
    </w:p>
    <w:p w14:paraId="7920CAF8" w14:textId="289F1EC8" w:rsidR="00FF23D7" w:rsidRPr="00011A98" w:rsidRDefault="0030617D" w:rsidP="0030617D">
      <w:pPr>
        <w:tabs>
          <w:tab w:val="left" w:pos="426"/>
        </w:tabs>
        <w:spacing w:line="276" w:lineRule="auto"/>
        <w:ind w:left="709" w:right="709"/>
        <w:jc w:val="both"/>
        <w:rPr>
          <w:rFonts w:ascii="Arial" w:eastAsia="Calibri" w:hAnsi="Arial" w:cs="Arial"/>
          <w:color w:val="000000" w:themeColor="text1"/>
          <w:sz w:val="22"/>
        </w:rPr>
      </w:pPr>
      <w:r w:rsidRPr="00011A98">
        <w:rPr>
          <w:rFonts w:ascii="Arial" w:eastAsia="Calibri" w:hAnsi="Arial" w:cs="Arial"/>
          <w:color w:val="000000" w:themeColor="text1"/>
          <w:sz w:val="22"/>
        </w:rPr>
        <w:t>«solicito a COLOMBIA COMPRA EFICIENTE me de claridad de cómo se debe diligenciar el FORMATO 5C SALDO DE CONTRATOS EN EJECUCIÓN cuando alguno de los contratos relacionados en el formato posee más de una suspensión dentro de su plazo contractual ya que el formato establecido por COLOMBIA COMPRA EFICIENTE y el suministrado a través de los PLIEGO TIPO según decreto 342 de 2019 y manuales publicados por COLOMBIA COMPRA EFICIENTE no indican como proceder ante estos casos».</w:t>
      </w:r>
    </w:p>
    <w:p w14:paraId="2D695293" w14:textId="77777777" w:rsidR="0030617D" w:rsidRPr="00011A98" w:rsidRDefault="0030617D" w:rsidP="009D461B">
      <w:pPr>
        <w:spacing w:line="276" w:lineRule="auto"/>
        <w:jc w:val="both"/>
        <w:rPr>
          <w:rFonts w:ascii="Arial" w:hAnsi="Arial" w:cs="Arial"/>
          <w:color w:val="000000" w:themeColor="text1"/>
          <w:sz w:val="22"/>
        </w:rPr>
      </w:pPr>
    </w:p>
    <w:p w14:paraId="61FF36CC" w14:textId="1B726C5C" w:rsidR="002672BC" w:rsidRPr="00011A98" w:rsidRDefault="002672BC" w:rsidP="009D461B">
      <w:pPr>
        <w:spacing w:line="276" w:lineRule="auto"/>
        <w:jc w:val="both"/>
        <w:rPr>
          <w:rFonts w:ascii="Arial" w:hAnsi="Arial" w:cs="Arial"/>
          <w:color w:val="000000" w:themeColor="text1"/>
          <w:sz w:val="22"/>
        </w:rPr>
      </w:pPr>
      <w:r w:rsidRPr="00011A98">
        <w:rPr>
          <w:rFonts w:ascii="Arial" w:hAnsi="Arial" w:cs="Arial"/>
          <w:color w:val="000000" w:themeColor="text1"/>
          <w:sz w:val="22"/>
        </w:rPr>
        <w:t xml:space="preserve">La Agencia Nacional de Contratación Pública – Colombia Compra Eficiente aclara que dentro de los Documentos Tipo no se encuentra el </w:t>
      </w:r>
      <w:r w:rsidR="0030617D" w:rsidRPr="00011A98">
        <w:rPr>
          <w:rFonts w:ascii="Arial" w:hAnsi="Arial" w:cs="Arial"/>
          <w:color w:val="000000" w:themeColor="text1"/>
          <w:sz w:val="22"/>
        </w:rPr>
        <w:t>«</w:t>
      </w:r>
      <w:r w:rsidRPr="00011A98">
        <w:rPr>
          <w:rFonts w:ascii="Arial" w:hAnsi="Arial" w:cs="Arial"/>
          <w:color w:val="000000" w:themeColor="text1"/>
          <w:sz w:val="22"/>
        </w:rPr>
        <w:t>FORMATO 5C SALDO DE CONTRATOS EN EJECUCIÓN</w:t>
      </w:r>
      <w:r w:rsidR="0030617D" w:rsidRPr="00011A98">
        <w:rPr>
          <w:rFonts w:ascii="Arial" w:hAnsi="Arial" w:cs="Arial"/>
          <w:color w:val="000000" w:themeColor="text1"/>
          <w:sz w:val="22"/>
        </w:rPr>
        <w:t>»</w:t>
      </w:r>
      <w:r w:rsidRPr="00011A98">
        <w:rPr>
          <w:rFonts w:ascii="Arial" w:hAnsi="Arial" w:cs="Arial"/>
          <w:color w:val="000000" w:themeColor="text1"/>
          <w:sz w:val="22"/>
        </w:rPr>
        <w:t>, por cuanto este</w:t>
      </w:r>
      <w:r w:rsidR="0030617D" w:rsidRPr="00011A98">
        <w:rPr>
          <w:rFonts w:ascii="Arial" w:hAnsi="Arial" w:cs="Arial"/>
          <w:color w:val="000000" w:themeColor="text1"/>
          <w:sz w:val="22"/>
        </w:rPr>
        <w:t>,</w:t>
      </w:r>
      <w:r w:rsidRPr="00011A98">
        <w:rPr>
          <w:rFonts w:ascii="Arial" w:hAnsi="Arial" w:cs="Arial"/>
          <w:color w:val="000000" w:themeColor="text1"/>
          <w:sz w:val="22"/>
        </w:rPr>
        <w:t xml:space="preserve"> junto con los demás formatos necesarios para la verificación de la capacidad residual</w:t>
      </w:r>
      <w:r w:rsidR="0030617D" w:rsidRPr="00011A98">
        <w:rPr>
          <w:rFonts w:ascii="Arial" w:hAnsi="Arial" w:cs="Arial"/>
          <w:color w:val="000000" w:themeColor="text1"/>
          <w:sz w:val="22"/>
        </w:rPr>
        <w:t>,</w:t>
      </w:r>
      <w:r w:rsidRPr="00011A98">
        <w:rPr>
          <w:rFonts w:ascii="Arial" w:hAnsi="Arial" w:cs="Arial"/>
          <w:color w:val="000000" w:themeColor="text1"/>
          <w:sz w:val="22"/>
        </w:rPr>
        <w:t xml:space="preserve"> deben ser estructurados por la entidad responsable del proceso de contratación de acuerdo con los formatos y metodología señalada en la </w:t>
      </w:r>
      <w:r w:rsidR="0030617D" w:rsidRPr="00011A98">
        <w:rPr>
          <w:rFonts w:ascii="Arial" w:hAnsi="Arial" w:cs="Arial"/>
          <w:color w:val="000000" w:themeColor="text1"/>
          <w:sz w:val="22"/>
        </w:rPr>
        <w:t>«</w:t>
      </w:r>
      <w:r w:rsidRPr="00011A98">
        <w:rPr>
          <w:rFonts w:ascii="Arial" w:hAnsi="Arial" w:cs="Arial"/>
          <w:color w:val="000000" w:themeColor="text1"/>
          <w:sz w:val="22"/>
        </w:rPr>
        <w:t>Guía para Determinar y Verificar la Capacidad Residual del Proponente en los Procesos de Contratación de Obra Pública</w:t>
      </w:r>
      <w:r w:rsidR="0030617D" w:rsidRPr="00011A98">
        <w:rPr>
          <w:rFonts w:ascii="Arial" w:hAnsi="Arial" w:cs="Arial"/>
          <w:color w:val="000000" w:themeColor="text1"/>
          <w:sz w:val="22"/>
        </w:rPr>
        <w:t>»</w:t>
      </w:r>
      <w:r w:rsidRPr="00011A98">
        <w:rPr>
          <w:rFonts w:ascii="Arial" w:hAnsi="Arial" w:cs="Arial"/>
          <w:color w:val="000000" w:themeColor="text1"/>
          <w:sz w:val="22"/>
        </w:rPr>
        <w:t xml:space="preserve">, tal y como lo dispone el </w:t>
      </w:r>
      <w:r w:rsidR="0030617D" w:rsidRPr="00011A98">
        <w:rPr>
          <w:rFonts w:ascii="Arial" w:hAnsi="Arial" w:cs="Arial"/>
          <w:color w:val="000000" w:themeColor="text1"/>
          <w:sz w:val="22"/>
        </w:rPr>
        <w:t>«</w:t>
      </w:r>
      <w:r w:rsidRPr="00011A98">
        <w:rPr>
          <w:rFonts w:ascii="Arial" w:hAnsi="Arial" w:cs="Arial"/>
          <w:color w:val="000000" w:themeColor="text1"/>
          <w:sz w:val="22"/>
        </w:rPr>
        <w:t>Formato 5 – Capacidad Residual</w:t>
      </w:r>
      <w:r w:rsidR="0030617D" w:rsidRPr="00011A98">
        <w:rPr>
          <w:rFonts w:ascii="Arial" w:hAnsi="Arial" w:cs="Arial"/>
          <w:color w:val="000000" w:themeColor="text1"/>
          <w:sz w:val="22"/>
        </w:rPr>
        <w:t>»</w:t>
      </w:r>
      <w:r w:rsidR="00F17D0C" w:rsidRPr="00011A98">
        <w:rPr>
          <w:rFonts w:ascii="Arial" w:hAnsi="Arial" w:cs="Arial"/>
          <w:color w:val="000000" w:themeColor="text1"/>
          <w:sz w:val="22"/>
        </w:rPr>
        <w:t xml:space="preserve"> de los Documentos Tipo</w:t>
      </w:r>
      <w:r w:rsidRPr="00011A98">
        <w:rPr>
          <w:rFonts w:ascii="Arial" w:hAnsi="Arial" w:cs="Arial"/>
          <w:color w:val="000000" w:themeColor="text1"/>
          <w:sz w:val="22"/>
        </w:rPr>
        <w:t xml:space="preserve">. </w:t>
      </w:r>
    </w:p>
    <w:p w14:paraId="760B5029" w14:textId="32F0FB8E" w:rsidR="008A05E4" w:rsidRPr="00011A98" w:rsidRDefault="002672BC" w:rsidP="008A05E4">
      <w:pPr>
        <w:spacing w:before="120" w:line="276" w:lineRule="auto"/>
        <w:ind w:firstLine="709"/>
        <w:jc w:val="both"/>
        <w:rPr>
          <w:rFonts w:ascii="Arial" w:hAnsi="Arial" w:cs="Arial"/>
          <w:color w:val="000000" w:themeColor="text1"/>
          <w:sz w:val="22"/>
        </w:rPr>
      </w:pPr>
      <w:r w:rsidRPr="00011A98">
        <w:rPr>
          <w:rFonts w:ascii="Arial" w:hAnsi="Arial" w:cs="Arial"/>
          <w:color w:val="000000" w:themeColor="text1"/>
          <w:sz w:val="22"/>
        </w:rPr>
        <w:t xml:space="preserve">Aclarado lo anterior, para el factor del </w:t>
      </w:r>
      <w:r w:rsidR="00F17D0C" w:rsidRPr="00011A98">
        <w:rPr>
          <w:rFonts w:ascii="Arial" w:hAnsi="Arial" w:cs="Arial"/>
          <w:color w:val="000000" w:themeColor="text1"/>
          <w:sz w:val="22"/>
        </w:rPr>
        <w:t>«</w:t>
      </w:r>
      <w:r w:rsidRPr="00011A98">
        <w:rPr>
          <w:rFonts w:ascii="Arial" w:hAnsi="Arial" w:cs="Arial"/>
          <w:color w:val="000000" w:themeColor="text1"/>
          <w:sz w:val="22"/>
        </w:rPr>
        <w:t>saldo de contratos en ejecución</w:t>
      </w:r>
      <w:r w:rsidR="00F17D0C" w:rsidRPr="00011A98">
        <w:rPr>
          <w:rFonts w:ascii="Arial" w:hAnsi="Arial" w:cs="Arial"/>
          <w:color w:val="000000" w:themeColor="text1"/>
          <w:sz w:val="22"/>
        </w:rPr>
        <w:t>»</w:t>
      </w:r>
      <w:r w:rsidRPr="00011A98">
        <w:rPr>
          <w:rFonts w:ascii="Arial" w:hAnsi="Arial" w:cs="Arial"/>
          <w:color w:val="000000" w:themeColor="text1"/>
          <w:sz w:val="22"/>
        </w:rPr>
        <w:t xml:space="preserve"> se debe tener en cuenta si al momento del cierre del proceso de contratación el contrato se encuentra suspendido</w:t>
      </w:r>
      <w:r w:rsidR="00F17D0C" w:rsidRPr="00011A98">
        <w:rPr>
          <w:rFonts w:ascii="Arial" w:hAnsi="Arial" w:cs="Arial"/>
          <w:color w:val="000000" w:themeColor="text1"/>
          <w:sz w:val="22"/>
        </w:rPr>
        <w:t>,</w:t>
      </w:r>
      <w:r w:rsidRPr="00011A98">
        <w:rPr>
          <w:rFonts w:ascii="Arial" w:hAnsi="Arial" w:cs="Arial"/>
          <w:color w:val="000000" w:themeColor="text1"/>
          <w:sz w:val="22"/>
        </w:rPr>
        <w:t xml:space="preserve"> independiente del número de suspensiones que se hayan </w:t>
      </w:r>
      <w:r w:rsidRPr="00011A98">
        <w:rPr>
          <w:rFonts w:ascii="Arial" w:hAnsi="Arial" w:cs="Arial"/>
          <w:color w:val="000000" w:themeColor="text1"/>
          <w:sz w:val="22"/>
        </w:rPr>
        <w:lastRenderedPageBreak/>
        <w:t>presentado durante su ejecución</w:t>
      </w:r>
      <w:r w:rsidR="00F17D0C" w:rsidRPr="00011A98">
        <w:rPr>
          <w:rFonts w:ascii="Arial" w:hAnsi="Arial" w:cs="Arial"/>
          <w:color w:val="000000" w:themeColor="text1"/>
          <w:sz w:val="22"/>
        </w:rPr>
        <w:t>.</w:t>
      </w:r>
      <w:r w:rsidRPr="00011A98">
        <w:rPr>
          <w:rFonts w:ascii="Arial" w:hAnsi="Arial" w:cs="Arial"/>
          <w:color w:val="000000" w:themeColor="text1"/>
          <w:sz w:val="22"/>
        </w:rPr>
        <w:t xml:space="preserve"> </w:t>
      </w:r>
      <w:r w:rsidR="00F17D0C" w:rsidRPr="00011A98">
        <w:rPr>
          <w:rFonts w:ascii="Arial" w:hAnsi="Arial" w:cs="Arial"/>
          <w:color w:val="000000" w:themeColor="text1"/>
          <w:sz w:val="22"/>
        </w:rPr>
        <w:t>E</w:t>
      </w:r>
      <w:r w:rsidRPr="00011A98">
        <w:rPr>
          <w:rFonts w:ascii="Arial" w:hAnsi="Arial" w:cs="Arial"/>
          <w:color w:val="000000" w:themeColor="text1"/>
          <w:sz w:val="22"/>
        </w:rPr>
        <w:t xml:space="preserve">s decir, en el </w:t>
      </w:r>
      <w:r w:rsidR="0030617D" w:rsidRPr="00011A98">
        <w:rPr>
          <w:rFonts w:ascii="Arial" w:hAnsi="Arial" w:cs="Arial"/>
          <w:color w:val="000000" w:themeColor="text1"/>
          <w:sz w:val="22"/>
        </w:rPr>
        <w:t>«</w:t>
      </w:r>
      <w:r w:rsidR="00F17D0C" w:rsidRPr="00011A98">
        <w:rPr>
          <w:rFonts w:ascii="Arial" w:hAnsi="Arial" w:cs="Arial"/>
          <w:color w:val="000000" w:themeColor="text1"/>
          <w:sz w:val="22"/>
        </w:rPr>
        <w:t>Formato 5 – Capacidad Residual</w:t>
      </w:r>
      <w:r w:rsidR="0030617D" w:rsidRPr="00011A98">
        <w:rPr>
          <w:rFonts w:ascii="Arial" w:hAnsi="Arial" w:cs="Arial"/>
          <w:color w:val="000000" w:themeColor="text1"/>
          <w:sz w:val="22"/>
        </w:rPr>
        <w:t>»</w:t>
      </w:r>
      <w:r w:rsidR="00F17D0C" w:rsidRPr="00011A98">
        <w:rPr>
          <w:rFonts w:ascii="Arial" w:hAnsi="Arial" w:cs="Arial"/>
          <w:color w:val="000000" w:themeColor="text1"/>
          <w:sz w:val="22"/>
        </w:rPr>
        <w:t xml:space="preserve"> que estructure la entidad </w:t>
      </w:r>
      <w:r w:rsidRPr="00011A98">
        <w:rPr>
          <w:rFonts w:ascii="Arial" w:hAnsi="Arial" w:cs="Arial"/>
          <w:color w:val="000000" w:themeColor="text1"/>
          <w:sz w:val="22"/>
        </w:rPr>
        <w:t xml:space="preserve">se deberá registrar únicamente la suspensión que se encuentra vigente al </w:t>
      </w:r>
      <w:r w:rsidR="0030617D" w:rsidRPr="00011A98">
        <w:rPr>
          <w:rFonts w:ascii="Arial" w:hAnsi="Arial" w:cs="Arial"/>
          <w:color w:val="000000" w:themeColor="text1"/>
          <w:sz w:val="22"/>
        </w:rPr>
        <w:t xml:space="preserve">momento del </w:t>
      </w:r>
      <w:r w:rsidRPr="00011A98">
        <w:rPr>
          <w:rFonts w:ascii="Arial" w:hAnsi="Arial" w:cs="Arial"/>
          <w:color w:val="000000" w:themeColor="text1"/>
          <w:sz w:val="22"/>
        </w:rPr>
        <w:t xml:space="preserve">cierre del proceso de contratación. </w:t>
      </w:r>
    </w:p>
    <w:p w14:paraId="511348C6" w14:textId="77777777" w:rsidR="008A05E4" w:rsidRPr="00011A98" w:rsidRDefault="008A05E4" w:rsidP="008A05E4">
      <w:pPr>
        <w:spacing w:line="276" w:lineRule="auto"/>
        <w:jc w:val="both"/>
        <w:rPr>
          <w:rFonts w:ascii="Arial" w:eastAsia="Calibri" w:hAnsi="Arial" w:cs="Arial"/>
          <w:color w:val="000000" w:themeColor="text1"/>
          <w:sz w:val="22"/>
        </w:rPr>
      </w:pPr>
    </w:p>
    <w:p w14:paraId="6E82A84E" w14:textId="14AD228D" w:rsidR="008A05E4" w:rsidRPr="00011A98" w:rsidRDefault="008A05E4" w:rsidP="008A05E4">
      <w:pPr>
        <w:spacing w:line="276" w:lineRule="auto"/>
        <w:jc w:val="both"/>
        <w:rPr>
          <w:rFonts w:ascii="Arial" w:hAnsi="Arial" w:cs="Arial"/>
          <w:color w:val="000000" w:themeColor="text1"/>
          <w:sz w:val="22"/>
        </w:rPr>
      </w:pPr>
      <w:r w:rsidRPr="00011A98">
        <w:rPr>
          <w:rFonts w:ascii="Arial" w:eastAsia="Calibri" w:hAnsi="Arial" w:cs="Arial"/>
          <w:color w:val="000000" w:themeColor="text1"/>
          <w:sz w:val="22"/>
        </w:rPr>
        <w:t>Este concepto tiene el alcance previsto en el artículo 28 del Código de Procedimiento Administrativo y de lo Contencioso Administrativo.</w:t>
      </w:r>
    </w:p>
    <w:p w14:paraId="257FAD3A" w14:textId="77777777" w:rsidR="008A05E4" w:rsidRPr="00011A98" w:rsidRDefault="008A05E4" w:rsidP="008A05E4">
      <w:pPr>
        <w:spacing w:line="276" w:lineRule="auto"/>
        <w:jc w:val="both"/>
        <w:rPr>
          <w:rFonts w:ascii="Arial" w:eastAsia="Calibri" w:hAnsi="Arial" w:cs="Arial"/>
          <w:color w:val="000000" w:themeColor="text1"/>
          <w:sz w:val="22"/>
        </w:rPr>
      </w:pPr>
    </w:p>
    <w:p w14:paraId="2E254B56" w14:textId="77777777" w:rsidR="008A05E4" w:rsidRPr="00011A98" w:rsidRDefault="008A05E4" w:rsidP="008A05E4">
      <w:pPr>
        <w:jc w:val="both"/>
        <w:rPr>
          <w:rFonts w:ascii="Arial" w:eastAsia="Calibri" w:hAnsi="Arial" w:cs="Arial"/>
          <w:color w:val="000000" w:themeColor="text1"/>
          <w:sz w:val="22"/>
        </w:rPr>
      </w:pPr>
      <w:r w:rsidRPr="00011A98">
        <w:rPr>
          <w:noProof/>
          <w:color w:val="000000" w:themeColor="text1"/>
          <w:lang w:val="en-US"/>
        </w:rPr>
        <mc:AlternateContent>
          <mc:Choice Requires="wps">
            <w:drawing>
              <wp:anchor distT="0" distB="0" distL="114300" distR="114300" simplePos="0" relativeHeight="251659264" behindDoc="0" locked="0" layoutInCell="1" allowOverlap="1" wp14:anchorId="5AE861FD" wp14:editId="2003FE34">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C4102C4"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strokecolor="#dbdbdb">
                <w10:wrap anchorx="page"/>
              </v:line>
            </w:pict>
          </mc:Fallback>
        </mc:AlternateContent>
      </w:r>
    </w:p>
    <w:p w14:paraId="67C7DDBC" w14:textId="77777777" w:rsidR="008A05E4" w:rsidRPr="00011A98" w:rsidRDefault="008A05E4" w:rsidP="008A05E4">
      <w:pPr>
        <w:rPr>
          <w:rFonts w:ascii="Arial" w:eastAsia="Times New Roman" w:hAnsi="Arial" w:cs="Arial"/>
          <w:color w:val="000000" w:themeColor="text1"/>
          <w:sz w:val="22"/>
          <w:lang w:eastAsia="es-CO"/>
        </w:rPr>
      </w:pPr>
      <w:r w:rsidRPr="00011A98">
        <w:rPr>
          <w:rFonts w:ascii="Arial" w:eastAsia="Times New Roman" w:hAnsi="Arial" w:cs="Arial"/>
          <w:color w:val="000000" w:themeColor="text1"/>
          <w:sz w:val="22"/>
          <w:lang w:eastAsia="es-CO"/>
        </w:rPr>
        <w:t>Atentamente,</w:t>
      </w:r>
    </w:p>
    <w:p w14:paraId="799257AD" w14:textId="7A158F30" w:rsidR="008A05E4" w:rsidRPr="00011A98" w:rsidRDefault="00602DF8" w:rsidP="008A05E4">
      <w:pPr>
        <w:jc w:val="center"/>
        <w:rPr>
          <w:rFonts w:ascii="Arial" w:eastAsia="Times New Roman" w:hAnsi="Arial" w:cs="Arial"/>
          <w:color w:val="000000" w:themeColor="text1"/>
          <w:sz w:val="18"/>
          <w:szCs w:val="20"/>
          <w:lang w:eastAsia="es-CO"/>
        </w:rPr>
      </w:pPr>
      <w:r>
        <w:rPr>
          <w:noProof/>
          <w:lang w:val="en-US"/>
        </w:rPr>
        <w:drawing>
          <wp:inline distT="0" distB="0" distL="0" distR="0" wp14:anchorId="2823234B" wp14:editId="670DBBA7">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11A98" w:rsidRPr="00011A98" w14:paraId="7020C735" w14:textId="77777777" w:rsidTr="001D2592">
        <w:trPr>
          <w:trHeight w:val="315"/>
        </w:trPr>
        <w:tc>
          <w:tcPr>
            <w:tcW w:w="488" w:type="dxa"/>
            <w:vAlign w:val="center"/>
            <w:hideMark/>
          </w:tcPr>
          <w:p w14:paraId="7E3A74A4" w14:textId="77777777" w:rsidR="008A05E4" w:rsidRPr="00011A98" w:rsidRDefault="008A05E4" w:rsidP="001D2592">
            <w:pPr>
              <w:rPr>
                <w:rFonts w:ascii="Arial" w:eastAsia="Times New Roman" w:hAnsi="Arial" w:cs="Arial"/>
                <w:color w:val="000000" w:themeColor="text1"/>
                <w:sz w:val="16"/>
                <w:szCs w:val="16"/>
                <w:lang w:eastAsia="es-ES"/>
              </w:rPr>
            </w:pPr>
            <w:r w:rsidRPr="00011A98">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399ADE4" w14:textId="77777777" w:rsidR="008A05E4" w:rsidRPr="00011A98" w:rsidRDefault="008A05E4" w:rsidP="001D2592">
            <w:pPr>
              <w:rPr>
                <w:rFonts w:ascii="Arial" w:eastAsia="Times New Roman" w:hAnsi="Arial" w:cs="Arial"/>
                <w:color w:val="000000" w:themeColor="text1"/>
                <w:sz w:val="16"/>
                <w:szCs w:val="16"/>
                <w:lang w:eastAsia="es-ES"/>
              </w:rPr>
            </w:pPr>
            <w:r w:rsidRPr="00011A98">
              <w:rPr>
                <w:rFonts w:ascii="Arial" w:eastAsia="Times New Roman" w:hAnsi="Arial" w:cs="Arial"/>
                <w:color w:val="000000" w:themeColor="text1"/>
                <w:sz w:val="16"/>
                <w:szCs w:val="16"/>
                <w:lang w:eastAsia="es-ES"/>
              </w:rPr>
              <w:t>Anamaría Bonilla Prieto</w:t>
            </w:r>
          </w:p>
          <w:p w14:paraId="59B0D679" w14:textId="77777777" w:rsidR="008A05E4" w:rsidRPr="00011A98" w:rsidRDefault="008A05E4" w:rsidP="001D2592">
            <w:pPr>
              <w:rPr>
                <w:rFonts w:ascii="Arial" w:eastAsia="Times New Roman" w:hAnsi="Arial" w:cs="Arial"/>
                <w:color w:val="000000" w:themeColor="text1"/>
                <w:sz w:val="16"/>
                <w:szCs w:val="16"/>
                <w:lang w:eastAsia="es-ES"/>
              </w:rPr>
            </w:pPr>
            <w:r w:rsidRPr="00011A98">
              <w:rPr>
                <w:rFonts w:ascii="Arial" w:eastAsia="Times New Roman" w:hAnsi="Arial" w:cs="Arial"/>
                <w:color w:val="000000" w:themeColor="text1"/>
                <w:sz w:val="16"/>
                <w:szCs w:val="16"/>
                <w:lang w:eastAsia="es-ES"/>
              </w:rPr>
              <w:t>Contratista</w:t>
            </w:r>
          </w:p>
        </w:tc>
      </w:tr>
      <w:tr w:rsidR="00011A98" w:rsidRPr="00011A98" w14:paraId="260A1330" w14:textId="77777777" w:rsidTr="001D2592">
        <w:trPr>
          <w:trHeight w:val="330"/>
        </w:trPr>
        <w:tc>
          <w:tcPr>
            <w:tcW w:w="488" w:type="dxa"/>
            <w:vAlign w:val="center"/>
            <w:hideMark/>
          </w:tcPr>
          <w:p w14:paraId="348721A2" w14:textId="77777777" w:rsidR="008A05E4" w:rsidRPr="00011A98" w:rsidRDefault="008A05E4" w:rsidP="001D2592">
            <w:pPr>
              <w:rPr>
                <w:rFonts w:ascii="Arial" w:eastAsia="Times New Roman" w:hAnsi="Arial" w:cs="Arial"/>
                <w:color w:val="000000" w:themeColor="text1"/>
                <w:sz w:val="16"/>
                <w:szCs w:val="16"/>
                <w:lang w:eastAsia="es-ES"/>
              </w:rPr>
            </w:pPr>
            <w:r w:rsidRPr="00011A98">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F22148D" w14:textId="7DE19724" w:rsidR="008A05E4" w:rsidRPr="00011A98" w:rsidRDefault="0030617D" w:rsidP="001D2592">
            <w:pPr>
              <w:rPr>
                <w:rFonts w:ascii="Arial" w:eastAsia="Times New Roman" w:hAnsi="Arial" w:cs="Arial"/>
                <w:color w:val="000000" w:themeColor="text1"/>
                <w:sz w:val="16"/>
                <w:szCs w:val="16"/>
                <w:lang w:eastAsia="es-ES"/>
              </w:rPr>
            </w:pPr>
            <w:r w:rsidRPr="00011A98">
              <w:rPr>
                <w:rFonts w:ascii="Arial" w:eastAsia="Times New Roman" w:hAnsi="Arial" w:cs="Arial"/>
                <w:color w:val="000000" w:themeColor="text1"/>
                <w:sz w:val="16"/>
                <w:szCs w:val="16"/>
                <w:lang w:eastAsia="es-ES"/>
              </w:rPr>
              <w:t>Sebastián Ramírez Grisales</w:t>
            </w:r>
          </w:p>
          <w:p w14:paraId="197B30C1" w14:textId="505B0123" w:rsidR="008A05E4" w:rsidRPr="00011A98" w:rsidRDefault="0030617D" w:rsidP="001D2592">
            <w:pPr>
              <w:rPr>
                <w:rFonts w:ascii="Arial" w:eastAsia="Times New Roman" w:hAnsi="Arial" w:cs="Arial"/>
                <w:color w:val="000000" w:themeColor="text1"/>
                <w:sz w:val="16"/>
                <w:szCs w:val="16"/>
                <w:lang w:eastAsia="es-ES"/>
              </w:rPr>
            </w:pPr>
            <w:r w:rsidRPr="00011A98">
              <w:rPr>
                <w:rFonts w:ascii="Arial" w:eastAsia="Times New Roman" w:hAnsi="Arial" w:cs="Arial"/>
                <w:color w:val="000000" w:themeColor="text1"/>
                <w:sz w:val="16"/>
                <w:szCs w:val="16"/>
                <w:lang w:eastAsia="es-ES"/>
              </w:rPr>
              <w:t>Contratista</w:t>
            </w:r>
          </w:p>
        </w:tc>
      </w:tr>
      <w:tr w:rsidR="00011A98" w:rsidRPr="00011A98" w14:paraId="5F5C0B8E" w14:textId="77777777" w:rsidTr="001D2592">
        <w:trPr>
          <w:trHeight w:val="300"/>
        </w:trPr>
        <w:tc>
          <w:tcPr>
            <w:tcW w:w="488" w:type="dxa"/>
            <w:vAlign w:val="center"/>
            <w:hideMark/>
          </w:tcPr>
          <w:p w14:paraId="6B8EDF51" w14:textId="77777777" w:rsidR="008A05E4" w:rsidRPr="00011A98" w:rsidRDefault="008A05E4" w:rsidP="001D2592">
            <w:pPr>
              <w:rPr>
                <w:rFonts w:ascii="Arial" w:eastAsia="Times New Roman" w:hAnsi="Arial" w:cs="Arial"/>
                <w:color w:val="000000" w:themeColor="text1"/>
                <w:sz w:val="16"/>
                <w:szCs w:val="16"/>
                <w:lang w:eastAsia="es-ES"/>
              </w:rPr>
            </w:pPr>
            <w:r w:rsidRPr="00011A98">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31A202F" w14:textId="77777777" w:rsidR="008A05E4" w:rsidRPr="00011A98" w:rsidRDefault="008A05E4" w:rsidP="001D2592">
            <w:pPr>
              <w:rPr>
                <w:rFonts w:ascii="Arial" w:eastAsia="Times New Roman" w:hAnsi="Arial" w:cs="Arial"/>
                <w:color w:val="000000" w:themeColor="text1"/>
                <w:sz w:val="16"/>
                <w:szCs w:val="16"/>
                <w:lang w:eastAsia="es-ES"/>
              </w:rPr>
            </w:pPr>
            <w:r w:rsidRPr="00011A98">
              <w:rPr>
                <w:rFonts w:ascii="Arial" w:eastAsia="Times New Roman" w:hAnsi="Arial" w:cs="Arial"/>
                <w:color w:val="000000" w:themeColor="text1"/>
                <w:sz w:val="16"/>
                <w:szCs w:val="16"/>
                <w:lang w:eastAsia="es-ES"/>
              </w:rPr>
              <w:t>Fabián Gonzalo Marín Cortés</w:t>
            </w:r>
          </w:p>
          <w:p w14:paraId="7C518B5B" w14:textId="77777777" w:rsidR="008A05E4" w:rsidRPr="00011A98" w:rsidRDefault="008A05E4" w:rsidP="001D2592">
            <w:pPr>
              <w:rPr>
                <w:rFonts w:ascii="Arial" w:eastAsia="Times New Roman" w:hAnsi="Arial" w:cs="Arial"/>
                <w:color w:val="000000" w:themeColor="text1"/>
                <w:sz w:val="16"/>
                <w:szCs w:val="16"/>
                <w:lang w:eastAsia="es-ES"/>
              </w:rPr>
            </w:pPr>
            <w:r w:rsidRPr="00011A98">
              <w:rPr>
                <w:rFonts w:ascii="Arial" w:eastAsia="Times New Roman" w:hAnsi="Arial" w:cs="Arial"/>
                <w:color w:val="000000" w:themeColor="text1"/>
                <w:sz w:val="16"/>
                <w:szCs w:val="16"/>
                <w:lang w:eastAsia="es-ES"/>
              </w:rPr>
              <w:t>Subdirector de Gestión Contractual</w:t>
            </w:r>
          </w:p>
        </w:tc>
      </w:tr>
      <w:tr w:rsidR="008A05E4" w:rsidRPr="00011A98" w14:paraId="27A45179" w14:textId="77777777" w:rsidTr="001D2592">
        <w:trPr>
          <w:trHeight w:val="300"/>
        </w:trPr>
        <w:tc>
          <w:tcPr>
            <w:tcW w:w="488" w:type="dxa"/>
            <w:vAlign w:val="center"/>
            <w:hideMark/>
          </w:tcPr>
          <w:p w14:paraId="69343D32" w14:textId="77777777" w:rsidR="008A05E4" w:rsidRPr="00011A98" w:rsidRDefault="008A05E4" w:rsidP="001D2592">
            <w:pPr>
              <w:rPr>
                <w:rFonts w:ascii="Arial" w:eastAsia="Times New Roman" w:hAnsi="Arial" w:cs="Arial"/>
                <w:color w:val="000000" w:themeColor="text1"/>
                <w:sz w:val="16"/>
                <w:szCs w:val="16"/>
                <w:lang w:eastAsia="es-ES"/>
              </w:rPr>
            </w:pPr>
            <w:r w:rsidRPr="00011A98">
              <w:rPr>
                <w:rFonts w:ascii="Arial" w:eastAsia="Times New Roman" w:hAnsi="Arial" w:cs="Arial"/>
                <w:color w:val="000000" w:themeColor="text1"/>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41C959D" w14:textId="182F8BAD" w:rsidR="008A05E4" w:rsidRPr="00011A98" w:rsidRDefault="008A05E4" w:rsidP="001D2592">
            <w:pPr>
              <w:rPr>
                <w:rFonts w:ascii="Arial" w:eastAsia="Times New Roman" w:hAnsi="Arial" w:cs="Arial"/>
                <w:color w:val="000000" w:themeColor="text1"/>
                <w:sz w:val="16"/>
                <w:szCs w:val="16"/>
                <w:lang w:eastAsia="es-ES"/>
              </w:rPr>
            </w:pPr>
            <w:r w:rsidRPr="00011A98">
              <w:rPr>
                <w:rFonts w:ascii="Arial" w:eastAsia="Times New Roman" w:hAnsi="Arial" w:cs="Arial"/>
                <w:color w:val="000000" w:themeColor="text1"/>
                <w:sz w:val="16"/>
                <w:szCs w:val="16"/>
                <w:lang w:eastAsia="es-ES"/>
              </w:rPr>
              <w:t>9 folios</w:t>
            </w:r>
          </w:p>
        </w:tc>
      </w:tr>
    </w:tbl>
    <w:p w14:paraId="65D65397" w14:textId="77777777" w:rsidR="008A05E4" w:rsidRPr="00011A98" w:rsidRDefault="008A05E4" w:rsidP="008A05E4">
      <w:pPr>
        <w:rPr>
          <w:rFonts w:ascii="Arial" w:eastAsia="Times New Roman" w:hAnsi="Arial" w:cs="Arial"/>
          <w:color w:val="000000" w:themeColor="text1"/>
          <w:sz w:val="16"/>
          <w:szCs w:val="16"/>
          <w:lang w:eastAsia="es-ES"/>
        </w:rPr>
      </w:pPr>
    </w:p>
    <w:p w14:paraId="6A51B061" w14:textId="77777777" w:rsidR="008A05E4" w:rsidRPr="00011A98" w:rsidRDefault="008A05E4" w:rsidP="008A05E4">
      <w:pPr>
        <w:rPr>
          <w:color w:val="000000" w:themeColor="text1"/>
        </w:rPr>
      </w:pPr>
    </w:p>
    <w:p w14:paraId="155C8967" w14:textId="77777777" w:rsidR="002672BC" w:rsidRPr="00011A98" w:rsidRDefault="002672BC" w:rsidP="009D461B">
      <w:pPr>
        <w:spacing w:line="276" w:lineRule="auto"/>
        <w:jc w:val="both"/>
        <w:rPr>
          <w:rFonts w:ascii="Arial" w:hAnsi="Arial" w:cs="Arial"/>
          <w:color w:val="000000" w:themeColor="text1"/>
          <w:sz w:val="22"/>
        </w:rPr>
      </w:pPr>
    </w:p>
    <w:p w14:paraId="1A0FEC51" w14:textId="77777777" w:rsidR="002672BC" w:rsidRPr="00011A98" w:rsidRDefault="002672BC" w:rsidP="009D461B">
      <w:pPr>
        <w:spacing w:line="276" w:lineRule="auto"/>
        <w:jc w:val="both"/>
        <w:rPr>
          <w:rFonts w:ascii="Arial" w:hAnsi="Arial" w:cs="Arial"/>
          <w:color w:val="000000" w:themeColor="text1"/>
          <w:sz w:val="22"/>
        </w:rPr>
      </w:pPr>
    </w:p>
    <w:p w14:paraId="6FE9A63B" w14:textId="77777777" w:rsidR="002672BC" w:rsidRPr="00011A98" w:rsidRDefault="002672BC" w:rsidP="009D461B">
      <w:pPr>
        <w:spacing w:line="276" w:lineRule="auto"/>
        <w:jc w:val="both"/>
        <w:rPr>
          <w:rFonts w:ascii="Arial" w:hAnsi="Arial" w:cs="Arial"/>
          <w:color w:val="000000" w:themeColor="text1"/>
          <w:sz w:val="22"/>
        </w:rPr>
      </w:pPr>
    </w:p>
    <w:p w14:paraId="719B1839" w14:textId="77777777" w:rsidR="002672BC" w:rsidRPr="00011A98" w:rsidRDefault="002672BC" w:rsidP="002672BC">
      <w:pPr>
        <w:rPr>
          <w:color w:val="000000" w:themeColor="text1"/>
        </w:rPr>
      </w:pPr>
    </w:p>
    <w:bookmarkEnd w:id="0"/>
    <w:p w14:paraId="7EBF297E" w14:textId="77777777" w:rsidR="007B0854" w:rsidRPr="00011A98" w:rsidRDefault="007B0854" w:rsidP="002672BC">
      <w:pPr>
        <w:rPr>
          <w:color w:val="000000" w:themeColor="text1"/>
        </w:rPr>
      </w:pPr>
    </w:p>
    <w:sectPr w:rsidR="007B0854" w:rsidRPr="00011A98"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E898C2" w14:textId="77777777" w:rsidR="00933AE8" w:rsidRDefault="00933AE8">
      <w:r>
        <w:separator/>
      </w:r>
    </w:p>
  </w:endnote>
  <w:endnote w:type="continuationSeparator" w:id="0">
    <w:p w14:paraId="0498529D" w14:textId="77777777" w:rsidR="00933AE8" w:rsidRDefault="00933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5B82817C" w:rsidR="004A34D2" w:rsidRDefault="004A34D2" w:rsidP="007B0854">
    <w:pPr>
      <w:pStyle w:val="Sinespaciado"/>
      <w:jc w:val="center"/>
      <w:rPr>
        <w:rFonts w:ascii="Arial" w:hAnsi="Arial" w:cs="Arial"/>
        <w:sz w:val="18"/>
        <w:szCs w:val="18"/>
      </w:rPr>
    </w:pPr>
  </w:p>
  <w:p w14:paraId="38AE50D5" w14:textId="77777777" w:rsidR="00D33DFB" w:rsidRDefault="00D33DFB" w:rsidP="007B0854">
    <w:pPr>
      <w:pStyle w:val="Sinespaciado"/>
      <w:jc w:val="center"/>
      <w:rPr>
        <w:rFonts w:ascii="Arial" w:hAnsi="Arial" w:cs="Arial"/>
        <w:sz w:val="18"/>
        <w:szCs w:val="18"/>
      </w:rPr>
    </w:pPr>
  </w:p>
  <w:p w14:paraId="312C4A14" w14:textId="329BE864"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F7250">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F7250">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B90A4F" w14:textId="77777777" w:rsidR="00933AE8" w:rsidRDefault="00933AE8">
      <w:r>
        <w:separator/>
      </w:r>
    </w:p>
  </w:footnote>
  <w:footnote w:type="continuationSeparator" w:id="0">
    <w:p w14:paraId="38D43B27" w14:textId="77777777" w:rsidR="00933AE8" w:rsidRDefault="00933AE8">
      <w:r>
        <w:continuationSeparator/>
      </w:r>
    </w:p>
  </w:footnote>
  <w:footnote w:id="1">
    <w:p w14:paraId="06A8F0AD" w14:textId="4B6ED22A" w:rsidR="00481C7D" w:rsidRPr="00011A98" w:rsidRDefault="00481C7D" w:rsidP="0030617D">
      <w:pPr>
        <w:pStyle w:val="Textonotapie"/>
        <w:spacing w:line="276" w:lineRule="auto"/>
        <w:ind w:firstLine="708"/>
        <w:jc w:val="both"/>
        <w:rPr>
          <w:rFonts w:ascii="Arial" w:eastAsia="Calibri" w:hAnsi="Arial" w:cs="Arial"/>
          <w:color w:val="000000" w:themeColor="text1"/>
          <w:sz w:val="19"/>
          <w:szCs w:val="19"/>
        </w:rPr>
      </w:pPr>
      <w:r w:rsidRPr="00011A98">
        <w:rPr>
          <w:rStyle w:val="Refdenotaalpie"/>
          <w:rFonts w:ascii="Arial" w:hAnsi="Arial" w:cs="Arial"/>
          <w:color w:val="000000" w:themeColor="text1"/>
          <w:sz w:val="19"/>
          <w:szCs w:val="19"/>
        </w:rPr>
        <w:footnoteRef/>
      </w:r>
      <w:r w:rsidRPr="00011A98">
        <w:rPr>
          <w:rFonts w:ascii="Arial" w:hAnsi="Arial" w:cs="Arial"/>
          <w:color w:val="000000" w:themeColor="text1"/>
          <w:sz w:val="19"/>
          <w:szCs w:val="19"/>
        </w:rPr>
        <w:t xml:space="preserve"> </w:t>
      </w:r>
      <w:r w:rsidRPr="00011A98">
        <w:rPr>
          <w:rFonts w:ascii="Arial" w:eastAsia="Calibri" w:hAnsi="Arial" w:cs="Arial"/>
          <w:color w:val="000000" w:themeColor="text1"/>
          <w:sz w:val="19"/>
          <w:szCs w:val="19"/>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354BCDA1" w14:textId="6DDF8840" w:rsidR="00481C7D" w:rsidRPr="00011A98" w:rsidRDefault="00481C7D" w:rsidP="0030617D">
      <w:pPr>
        <w:pStyle w:val="Textonotapie"/>
        <w:spacing w:line="276" w:lineRule="auto"/>
        <w:ind w:firstLine="708"/>
        <w:jc w:val="both"/>
        <w:rPr>
          <w:rFonts w:ascii="Arial" w:eastAsia="Calibri" w:hAnsi="Arial" w:cs="Arial"/>
          <w:color w:val="000000" w:themeColor="text1"/>
          <w:sz w:val="19"/>
          <w:szCs w:val="19"/>
        </w:rPr>
      </w:pPr>
      <w:r w:rsidRPr="00011A98">
        <w:rPr>
          <w:rFonts w:ascii="Arial" w:eastAsia="Calibri" w:hAnsi="Arial" w:cs="Arial"/>
          <w:color w:val="000000" w:themeColor="text1"/>
          <w:sz w:val="19"/>
          <w:szCs w:val="19"/>
        </w:rPr>
        <w:t>[…]</w:t>
      </w:r>
    </w:p>
    <w:p w14:paraId="337AF44A" w14:textId="77777777" w:rsidR="008D67B3" w:rsidRPr="00011A98" w:rsidRDefault="008D67B3" w:rsidP="0030617D">
      <w:pPr>
        <w:pStyle w:val="Textonotapie"/>
        <w:spacing w:line="276" w:lineRule="auto"/>
        <w:ind w:firstLine="708"/>
        <w:jc w:val="both"/>
        <w:rPr>
          <w:rFonts w:ascii="Arial" w:eastAsia="Calibri" w:hAnsi="Arial" w:cs="Arial"/>
          <w:color w:val="000000" w:themeColor="text1"/>
          <w:sz w:val="19"/>
          <w:szCs w:val="19"/>
        </w:rPr>
      </w:pPr>
    </w:p>
    <w:p w14:paraId="381C768D" w14:textId="41DE7FB1" w:rsidR="00481C7D" w:rsidRPr="00011A98" w:rsidRDefault="00481C7D" w:rsidP="0030617D">
      <w:pPr>
        <w:pStyle w:val="Textonotapie"/>
        <w:spacing w:line="276" w:lineRule="auto"/>
        <w:ind w:firstLine="708"/>
        <w:jc w:val="both"/>
        <w:rPr>
          <w:rFonts w:ascii="Arial" w:hAnsi="Arial" w:cs="Arial"/>
          <w:color w:val="000000" w:themeColor="text1"/>
          <w:sz w:val="19"/>
          <w:szCs w:val="19"/>
          <w:lang w:val="es-CO"/>
        </w:rPr>
      </w:pPr>
      <w:r w:rsidRPr="00011A98">
        <w:rPr>
          <w:rFonts w:ascii="Arial" w:eastAsia="Calibri" w:hAnsi="Arial" w:cs="Arial"/>
          <w:color w:val="000000" w:themeColor="text1"/>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011A98">
        <w:rPr>
          <w:rFonts w:ascii="Arial" w:hAnsi="Arial" w:cs="Arial"/>
          <w:color w:val="000000" w:themeColor="text1"/>
          <w:sz w:val="19"/>
          <w:szCs w:val="19"/>
          <w:lang w:val="es-CO"/>
        </w:rPr>
        <w:t xml:space="preserve"> </w:t>
      </w:r>
    </w:p>
    <w:p w14:paraId="36FCC9A1" w14:textId="77777777" w:rsidR="00481C7D" w:rsidRPr="00011A98" w:rsidRDefault="00481C7D" w:rsidP="0030617D">
      <w:pPr>
        <w:pStyle w:val="Textonotapie"/>
        <w:spacing w:line="276" w:lineRule="auto"/>
        <w:jc w:val="both"/>
        <w:rPr>
          <w:rFonts w:ascii="Arial" w:hAnsi="Arial" w:cs="Arial"/>
          <w:color w:val="000000" w:themeColor="text1"/>
          <w:sz w:val="19"/>
          <w:szCs w:val="19"/>
          <w:lang w:val="es-CO"/>
        </w:rPr>
      </w:pPr>
    </w:p>
  </w:footnote>
  <w:footnote w:id="2">
    <w:p w14:paraId="3A5F2E23" w14:textId="540D06EC" w:rsidR="00481C7D" w:rsidRPr="00011A98" w:rsidRDefault="00481C7D" w:rsidP="0030617D">
      <w:pPr>
        <w:pStyle w:val="Textonotapie"/>
        <w:spacing w:line="276" w:lineRule="auto"/>
        <w:ind w:firstLine="708"/>
        <w:jc w:val="both"/>
        <w:rPr>
          <w:rFonts w:ascii="Arial" w:hAnsi="Arial" w:cs="Arial"/>
          <w:color w:val="000000" w:themeColor="text1"/>
          <w:sz w:val="19"/>
          <w:szCs w:val="19"/>
          <w:lang w:val="es-CO"/>
        </w:rPr>
      </w:pPr>
      <w:r w:rsidRPr="00011A98">
        <w:rPr>
          <w:rFonts w:ascii="Arial" w:eastAsia="Calibri" w:hAnsi="Arial" w:cs="Arial"/>
          <w:color w:val="000000" w:themeColor="text1"/>
          <w:sz w:val="19"/>
          <w:szCs w:val="19"/>
          <w:vertAlign w:val="superscript"/>
        </w:rPr>
        <w:footnoteRef/>
      </w:r>
      <w:r w:rsidRPr="00011A98">
        <w:rPr>
          <w:rFonts w:ascii="Arial" w:eastAsia="Calibri" w:hAnsi="Arial" w:cs="Arial"/>
          <w:color w:val="000000" w:themeColor="text1"/>
          <w:sz w:val="19"/>
          <w:szCs w:val="19"/>
          <w:vertAlign w:val="superscript"/>
        </w:rPr>
        <w:t xml:space="preserve"> </w:t>
      </w:r>
      <w:r w:rsidRPr="00011A98">
        <w:rPr>
          <w:rFonts w:ascii="Arial" w:eastAsia="Calibri" w:hAnsi="Arial" w:cs="Arial"/>
          <w:color w:val="000000" w:themeColor="text1"/>
          <w:sz w:val="19"/>
          <w:szCs w:val="19"/>
        </w:rPr>
        <w:t>Consejo de Estado</w:t>
      </w:r>
      <w:r w:rsidR="0030617D" w:rsidRPr="00011A98">
        <w:rPr>
          <w:rFonts w:ascii="Arial" w:eastAsia="Calibri" w:hAnsi="Arial" w:cs="Arial"/>
          <w:color w:val="000000" w:themeColor="text1"/>
          <w:sz w:val="19"/>
          <w:szCs w:val="19"/>
        </w:rPr>
        <w:t xml:space="preserve">. </w:t>
      </w:r>
      <w:r w:rsidRPr="00011A98">
        <w:rPr>
          <w:rFonts w:ascii="Arial" w:eastAsia="Calibri" w:hAnsi="Arial" w:cs="Arial"/>
          <w:color w:val="000000" w:themeColor="text1"/>
          <w:sz w:val="19"/>
          <w:szCs w:val="19"/>
        </w:rPr>
        <w:t xml:space="preserve">Sección Tercera. Sentencia del 26 de junio de 2003. Rad. 13.354. Consejera Ponente: María Elena Giraldo Gómez. </w:t>
      </w:r>
    </w:p>
  </w:footnote>
  <w:footnote w:id="3">
    <w:p w14:paraId="033EB4EF" w14:textId="39E7FA71" w:rsidR="004958BA" w:rsidRPr="00011A98" w:rsidRDefault="004958BA" w:rsidP="0030617D">
      <w:pPr>
        <w:pStyle w:val="Textonotapie"/>
        <w:ind w:firstLine="567"/>
        <w:jc w:val="both"/>
        <w:rPr>
          <w:rFonts w:ascii="Arial" w:hAnsi="Arial" w:cs="Arial"/>
          <w:color w:val="000000" w:themeColor="text1"/>
          <w:sz w:val="19"/>
          <w:szCs w:val="19"/>
          <w:lang w:val="es-ES"/>
        </w:rPr>
      </w:pPr>
      <w:r w:rsidRPr="00011A98">
        <w:rPr>
          <w:rStyle w:val="Refdenotaalpie"/>
          <w:rFonts w:ascii="Arial" w:hAnsi="Arial" w:cs="Arial"/>
          <w:color w:val="000000" w:themeColor="text1"/>
          <w:sz w:val="19"/>
          <w:szCs w:val="19"/>
        </w:rPr>
        <w:footnoteRef/>
      </w:r>
      <w:r w:rsidRPr="00011A98">
        <w:rPr>
          <w:rStyle w:val="Refdenotaalpie"/>
          <w:rFonts w:ascii="Arial" w:hAnsi="Arial" w:cs="Arial"/>
          <w:color w:val="000000" w:themeColor="text1"/>
          <w:sz w:val="19"/>
          <w:szCs w:val="19"/>
        </w:rPr>
        <w:t xml:space="preserve"> </w:t>
      </w:r>
      <w:r w:rsidRPr="00011A98">
        <w:rPr>
          <w:rFonts w:ascii="Arial" w:hAnsi="Arial" w:cs="Arial"/>
          <w:color w:val="000000" w:themeColor="text1"/>
          <w:sz w:val="19"/>
          <w:szCs w:val="19"/>
        </w:rPr>
        <w:t xml:space="preserve">Artículo 72: </w:t>
      </w:r>
      <w:r w:rsidR="008D67B3" w:rsidRPr="00011A98">
        <w:rPr>
          <w:rFonts w:ascii="Arial" w:hAnsi="Arial" w:cs="Arial"/>
          <w:color w:val="000000" w:themeColor="text1"/>
          <w:sz w:val="19"/>
          <w:szCs w:val="19"/>
        </w:rPr>
        <w:t>«</w:t>
      </w:r>
      <w:r w:rsidRPr="00011A98">
        <w:rPr>
          <w:rFonts w:ascii="Arial" w:hAnsi="Arial" w:cs="Arial"/>
          <w:color w:val="000000" w:themeColor="text1"/>
          <w:sz w:val="19"/>
          <w:szCs w:val="19"/>
          <w:lang w:val="es-ES"/>
        </w:rPr>
        <w:t>La capacidad residual de contratación cuando se realicen contratos de obra pública se obtendrá de sustraer de la capacidad de contratación, el saldo del valor de los contratos en ejecución</w:t>
      </w:r>
      <w:r w:rsidR="008D67B3" w:rsidRPr="00011A98">
        <w:rPr>
          <w:rFonts w:ascii="Arial" w:hAnsi="Arial" w:cs="Arial"/>
          <w:color w:val="000000" w:themeColor="text1"/>
          <w:sz w:val="19"/>
          <w:szCs w:val="19"/>
          <w:lang w:val="es-ES"/>
        </w:rPr>
        <w:t>»</w:t>
      </w:r>
      <w:r w:rsidRPr="00011A98">
        <w:rPr>
          <w:rFonts w:ascii="Arial" w:hAnsi="Arial" w:cs="Arial"/>
          <w:color w:val="000000" w:themeColor="text1"/>
          <w:sz w:val="19"/>
          <w:szCs w:val="19"/>
          <w:lang w:val="es-ES"/>
        </w:rPr>
        <w:t>.</w:t>
      </w:r>
    </w:p>
    <w:p w14:paraId="17AFE9F3" w14:textId="77777777" w:rsidR="004958BA" w:rsidRPr="00011A98" w:rsidRDefault="004958BA" w:rsidP="0030617D">
      <w:pPr>
        <w:pStyle w:val="Textonotapie"/>
        <w:jc w:val="both"/>
        <w:rPr>
          <w:rFonts w:ascii="Arial" w:hAnsi="Arial" w:cs="Arial"/>
          <w:color w:val="000000" w:themeColor="text1"/>
          <w:sz w:val="19"/>
          <w:szCs w:val="19"/>
          <w:lang w:val="es-ES"/>
        </w:rPr>
      </w:pPr>
    </w:p>
    <w:p w14:paraId="52AEE0CD" w14:textId="1F80245C" w:rsidR="004958BA" w:rsidRPr="00011A98" w:rsidRDefault="008D67B3" w:rsidP="0030617D">
      <w:pPr>
        <w:pStyle w:val="Textonotapie"/>
        <w:ind w:firstLine="567"/>
        <w:jc w:val="both"/>
        <w:rPr>
          <w:rFonts w:ascii="Arial" w:hAnsi="Arial" w:cs="Arial"/>
          <w:color w:val="000000" w:themeColor="text1"/>
          <w:sz w:val="19"/>
          <w:szCs w:val="19"/>
          <w:lang w:val="es-ES"/>
        </w:rPr>
      </w:pPr>
      <w:r w:rsidRPr="00011A98">
        <w:rPr>
          <w:rFonts w:ascii="Arial" w:hAnsi="Arial" w:cs="Arial"/>
          <w:color w:val="000000" w:themeColor="text1"/>
          <w:sz w:val="19"/>
          <w:szCs w:val="19"/>
          <w:lang w:val="es-ES"/>
        </w:rPr>
        <w:t>»</w:t>
      </w:r>
      <w:r w:rsidR="004958BA" w:rsidRPr="00011A98">
        <w:rPr>
          <w:rFonts w:ascii="Arial" w:hAnsi="Arial" w:cs="Arial"/>
          <w:color w:val="000000" w:themeColor="text1"/>
          <w:sz w:val="19"/>
          <w:szCs w:val="19"/>
          <w:lang w:val="es-ES"/>
        </w:rPr>
        <w:t>La capacidad de contratación se deberá calcular mediante la evaluación de los siguientes factores: Experiencia (E), Capacidad Financiera (CF), Capacidad Técnica (CT), y Capacidad de Organización (CO)”.</w:t>
      </w:r>
    </w:p>
    <w:p w14:paraId="19F2FAEE" w14:textId="77777777" w:rsidR="004958BA" w:rsidRPr="00011A98" w:rsidRDefault="004958BA" w:rsidP="0030617D">
      <w:pPr>
        <w:pStyle w:val="Textonotapie"/>
        <w:jc w:val="both"/>
        <w:rPr>
          <w:rFonts w:ascii="Arial" w:hAnsi="Arial" w:cs="Arial"/>
          <w:color w:val="000000" w:themeColor="text1"/>
          <w:sz w:val="19"/>
          <w:szCs w:val="19"/>
          <w:lang w:val="es-ES"/>
        </w:rPr>
      </w:pPr>
    </w:p>
    <w:p w14:paraId="199149DD" w14:textId="7FB39EE4" w:rsidR="004958BA" w:rsidRPr="00011A98" w:rsidRDefault="008D67B3" w:rsidP="0030617D">
      <w:pPr>
        <w:pStyle w:val="Textonotapie"/>
        <w:ind w:firstLine="567"/>
        <w:jc w:val="both"/>
        <w:rPr>
          <w:rFonts w:ascii="Arial" w:hAnsi="Arial" w:cs="Arial"/>
          <w:color w:val="000000" w:themeColor="text1"/>
          <w:sz w:val="19"/>
          <w:szCs w:val="19"/>
          <w:lang w:val="es-ES"/>
        </w:rPr>
      </w:pPr>
      <w:r w:rsidRPr="00011A98">
        <w:rPr>
          <w:rFonts w:ascii="Arial" w:hAnsi="Arial" w:cs="Arial"/>
          <w:color w:val="000000" w:themeColor="text1"/>
          <w:sz w:val="19"/>
          <w:szCs w:val="19"/>
          <w:lang w:val="es-ES"/>
        </w:rPr>
        <w:t>»</w:t>
      </w:r>
      <w:r w:rsidR="004958BA" w:rsidRPr="00011A98">
        <w:rPr>
          <w:rFonts w:ascii="Arial" w:hAnsi="Arial" w:cs="Arial"/>
          <w:color w:val="000000" w:themeColor="text1"/>
          <w:sz w:val="19"/>
          <w:szCs w:val="19"/>
          <w:lang w:val="es-ES"/>
        </w:rPr>
        <w:t>Para los efectos de la evaluación de los factores mencionados en el inciso anterior, por ningún motivo, ni bajo ninguna circunstancia se podrán tener en cuenta la rentabilidad y las utilidades</w:t>
      </w:r>
      <w:r w:rsidRPr="00011A98">
        <w:rPr>
          <w:rFonts w:ascii="Arial" w:hAnsi="Arial" w:cs="Arial"/>
          <w:color w:val="000000" w:themeColor="text1"/>
          <w:sz w:val="19"/>
          <w:szCs w:val="19"/>
          <w:lang w:val="es-ES"/>
        </w:rPr>
        <w:t>»</w:t>
      </w:r>
      <w:r w:rsidR="004958BA" w:rsidRPr="00011A98">
        <w:rPr>
          <w:rFonts w:ascii="Arial" w:hAnsi="Arial" w:cs="Arial"/>
          <w:color w:val="000000" w:themeColor="text1"/>
          <w:sz w:val="19"/>
          <w:szCs w:val="19"/>
          <w:lang w:val="es-ES"/>
        </w:rPr>
        <w:t>.</w:t>
      </w:r>
    </w:p>
    <w:p w14:paraId="75CB6F1C" w14:textId="77777777" w:rsidR="004958BA" w:rsidRPr="00011A98" w:rsidRDefault="004958BA" w:rsidP="0030617D">
      <w:pPr>
        <w:pStyle w:val="Textonotapie"/>
        <w:jc w:val="both"/>
        <w:rPr>
          <w:rFonts w:ascii="Arial" w:hAnsi="Arial" w:cs="Arial"/>
          <w:color w:val="000000" w:themeColor="text1"/>
          <w:sz w:val="19"/>
          <w:szCs w:val="19"/>
          <w:lang w:val="es-ES"/>
        </w:rPr>
      </w:pPr>
    </w:p>
  </w:footnote>
  <w:footnote w:id="4">
    <w:p w14:paraId="6A18B613" w14:textId="77777777" w:rsidR="00A978F5" w:rsidRPr="00011A98" w:rsidRDefault="00A978F5" w:rsidP="0030617D">
      <w:pPr>
        <w:pStyle w:val="Textonotapie"/>
        <w:ind w:firstLine="567"/>
        <w:jc w:val="both"/>
        <w:rPr>
          <w:rFonts w:ascii="Arial" w:hAnsi="Arial" w:cs="Arial"/>
          <w:color w:val="000000" w:themeColor="text1"/>
          <w:sz w:val="19"/>
          <w:szCs w:val="19"/>
        </w:rPr>
      </w:pPr>
      <w:r w:rsidRPr="00011A98">
        <w:rPr>
          <w:rStyle w:val="Refdenotaalpie"/>
          <w:rFonts w:ascii="Arial" w:hAnsi="Arial" w:cs="Arial"/>
          <w:color w:val="000000" w:themeColor="text1"/>
          <w:sz w:val="19"/>
          <w:szCs w:val="19"/>
        </w:rPr>
        <w:footnoteRef/>
      </w:r>
      <w:r w:rsidRPr="00011A98">
        <w:rPr>
          <w:rFonts w:ascii="Arial" w:hAnsi="Arial" w:cs="Arial"/>
          <w:color w:val="000000" w:themeColor="text1"/>
          <w:sz w:val="19"/>
          <w:szCs w:val="19"/>
        </w:rPr>
        <w:t xml:space="preserve"> </w:t>
      </w:r>
      <w:r w:rsidRPr="00011A98">
        <w:rPr>
          <w:rFonts w:ascii="Arial" w:hAnsi="Arial" w:cs="Arial"/>
          <w:color w:val="000000" w:themeColor="text1"/>
          <w:sz w:val="19"/>
          <w:szCs w:val="19"/>
          <w:lang w:val="es-ES"/>
        </w:rPr>
        <w:t>Agencia Nacional de Contratación Pública, Guía para determinar y verificar la capacidad residual del proponente en los procesos de contratación de Obra Pública, p. 4.</w:t>
      </w:r>
      <w:r w:rsidRPr="00011A98">
        <w:rPr>
          <w:rFonts w:ascii="Arial" w:hAnsi="Arial" w:cs="Arial"/>
          <w:color w:val="000000" w:themeColor="text1"/>
          <w:sz w:val="19"/>
          <w:szCs w:val="19"/>
        </w:rPr>
        <w:t xml:space="preserve"> </w:t>
      </w:r>
    </w:p>
    <w:p w14:paraId="510DE964" w14:textId="77777777" w:rsidR="00A978F5" w:rsidRPr="00011A98" w:rsidRDefault="00A978F5" w:rsidP="0030617D">
      <w:pPr>
        <w:pStyle w:val="Textonotapie"/>
        <w:tabs>
          <w:tab w:val="left" w:pos="2580"/>
        </w:tabs>
        <w:ind w:firstLine="567"/>
        <w:jc w:val="both"/>
        <w:rPr>
          <w:rFonts w:ascii="Arial" w:hAnsi="Arial" w:cs="Arial"/>
          <w:color w:val="000000" w:themeColor="text1"/>
          <w:sz w:val="19"/>
          <w:szCs w:val="19"/>
        </w:rPr>
      </w:pPr>
      <w:r w:rsidRPr="00011A98">
        <w:rPr>
          <w:rFonts w:ascii="Arial" w:hAnsi="Arial" w:cs="Arial"/>
          <w:color w:val="000000" w:themeColor="text1"/>
          <w:sz w:val="19"/>
          <w:szCs w:val="19"/>
        </w:rPr>
        <w:tab/>
      </w:r>
    </w:p>
  </w:footnote>
  <w:footnote w:id="5">
    <w:p w14:paraId="05C4E2AC" w14:textId="4D76E88F" w:rsidR="001D61ED" w:rsidRPr="00011A98" w:rsidRDefault="001D61ED" w:rsidP="0030617D">
      <w:pPr>
        <w:pStyle w:val="Textonotapie"/>
        <w:ind w:firstLine="567"/>
        <w:jc w:val="both"/>
        <w:rPr>
          <w:rFonts w:ascii="Arial" w:hAnsi="Arial" w:cs="Arial"/>
          <w:color w:val="000000" w:themeColor="text1"/>
          <w:sz w:val="19"/>
          <w:szCs w:val="19"/>
          <w:lang w:val="es-ES"/>
        </w:rPr>
      </w:pPr>
      <w:r w:rsidRPr="00011A98">
        <w:rPr>
          <w:rStyle w:val="Refdenotaalpie"/>
          <w:rFonts w:ascii="Arial" w:hAnsi="Arial" w:cs="Arial"/>
          <w:color w:val="000000" w:themeColor="text1"/>
          <w:sz w:val="19"/>
          <w:szCs w:val="19"/>
        </w:rPr>
        <w:footnoteRef/>
      </w:r>
      <w:r w:rsidRPr="00011A98">
        <w:rPr>
          <w:rFonts w:ascii="Arial" w:hAnsi="Arial" w:cs="Arial"/>
          <w:color w:val="000000" w:themeColor="text1"/>
          <w:sz w:val="19"/>
          <w:szCs w:val="19"/>
        </w:rPr>
        <w:t xml:space="preserve"> </w:t>
      </w:r>
      <w:r w:rsidR="00D94681" w:rsidRPr="00011A98">
        <w:rPr>
          <w:rFonts w:ascii="Arial" w:hAnsi="Arial" w:cs="Arial"/>
          <w:color w:val="000000" w:themeColor="text1"/>
          <w:sz w:val="19"/>
          <w:szCs w:val="19"/>
          <w:lang w:val="es-ES"/>
        </w:rPr>
        <w:t>Agencia Nacional de Contratación Pública, Guía para determinar y verificar la capacidad residual del proponente en los procesos de contratación de Obra Pública, p. 4.</w:t>
      </w:r>
    </w:p>
    <w:p w14:paraId="65C4951B" w14:textId="77777777" w:rsidR="0030617D" w:rsidRPr="00011A98" w:rsidRDefault="0030617D" w:rsidP="0030617D">
      <w:pPr>
        <w:pStyle w:val="Textonotapie"/>
        <w:ind w:firstLine="567"/>
        <w:jc w:val="both"/>
        <w:rPr>
          <w:rFonts w:ascii="Arial" w:hAnsi="Arial" w:cs="Arial"/>
          <w:color w:val="000000" w:themeColor="text1"/>
          <w:sz w:val="19"/>
          <w:szCs w:val="19"/>
          <w:lang w:val="es-CO"/>
        </w:rPr>
      </w:pPr>
    </w:p>
  </w:footnote>
  <w:footnote w:id="6">
    <w:p w14:paraId="46A04B8B" w14:textId="3CF4EFF5" w:rsidR="00D94681" w:rsidRPr="00011A98" w:rsidRDefault="00D94681" w:rsidP="0030617D">
      <w:pPr>
        <w:pStyle w:val="Textonotapie"/>
        <w:ind w:firstLine="567"/>
        <w:jc w:val="both"/>
        <w:rPr>
          <w:rFonts w:ascii="Arial" w:hAnsi="Arial" w:cs="Arial"/>
          <w:color w:val="000000" w:themeColor="text1"/>
          <w:sz w:val="19"/>
          <w:szCs w:val="19"/>
          <w:lang w:val="es-CO"/>
        </w:rPr>
      </w:pPr>
      <w:r w:rsidRPr="00011A98">
        <w:rPr>
          <w:rStyle w:val="Refdenotaalpie"/>
          <w:rFonts w:ascii="Arial" w:hAnsi="Arial" w:cs="Arial"/>
          <w:color w:val="000000" w:themeColor="text1"/>
          <w:sz w:val="19"/>
          <w:szCs w:val="19"/>
        </w:rPr>
        <w:footnoteRef/>
      </w:r>
      <w:r w:rsidRPr="00011A98">
        <w:rPr>
          <w:rFonts w:ascii="Arial" w:hAnsi="Arial" w:cs="Arial"/>
          <w:color w:val="000000" w:themeColor="text1"/>
          <w:sz w:val="19"/>
          <w:szCs w:val="19"/>
        </w:rPr>
        <w:t xml:space="preserve"> </w:t>
      </w:r>
      <w:r w:rsidRPr="00011A98">
        <w:rPr>
          <w:rFonts w:ascii="Arial" w:hAnsi="Arial" w:cs="Arial"/>
          <w:color w:val="000000" w:themeColor="text1"/>
          <w:sz w:val="19"/>
          <w:szCs w:val="19"/>
          <w:lang w:val="es-ES"/>
        </w:rPr>
        <w:t>Agencia Nacional de Contratación Pública, Guía para determinar y verificar la capacidad residual del proponente en los procesos de contratación de Obra Pública, p. 9.</w:t>
      </w:r>
    </w:p>
  </w:footnote>
  <w:footnote w:id="7">
    <w:p w14:paraId="521A6F9C" w14:textId="419920DF" w:rsidR="00D94681" w:rsidRPr="00011A98" w:rsidRDefault="00D94681" w:rsidP="0030617D">
      <w:pPr>
        <w:pStyle w:val="Textonotapie"/>
        <w:ind w:firstLine="567"/>
        <w:jc w:val="both"/>
        <w:rPr>
          <w:rFonts w:ascii="Arial" w:hAnsi="Arial" w:cs="Arial"/>
          <w:color w:val="000000" w:themeColor="text1"/>
          <w:sz w:val="19"/>
          <w:szCs w:val="19"/>
          <w:lang w:val="es-ES"/>
        </w:rPr>
      </w:pPr>
      <w:r w:rsidRPr="00011A98">
        <w:rPr>
          <w:rStyle w:val="Refdenotaalpie"/>
          <w:rFonts w:ascii="Arial" w:hAnsi="Arial" w:cs="Arial"/>
          <w:color w:val="000000" w:themeColor="text1"/>
          <w:sz w:val="19"/>
          <w:szCs w:val="19"/>
        </w:rPr>
        <w:footnoteRef/>
      </w:r>
      <w:r w:rsidRPr="00011A98">
        <w:rPr>
          <w:rFonts w:ascii="Arial" w:hAnsi="Arial" w:cs="Arial"/>
          <w:color w:val="000000" w:themeColor="text1"/>
          <w:sz w:val="19"/>
          <w:szCs w:val="19"/>
        </w:rPr>
        <w:t xml:space="preserve"> </w:t>
      </w:r>
      <w:r w:rsidRPr="00011A98">
        <w:rPr>
          <w:rFonts w:ascii="Arial" w:hAnsi="Arial" w:cs="Arial"/>
          <w:color w:val="000000" w:themeColor="text1"/>
          <w:sz w:val="19"/>
          <w:szCs w:val="19"/>
          <w:lang w:val="es-ES"/>
        </w:rPr>
        <w:t>Agencia Nacional de Contratación Pública, Guía para determinar y verificar la capacidad residual del proponente en los procesos de contratación de Obra Pública, p. 9.</w:t>
      </w:r>
    </w:p>
    <w:p w14:paraId="2A8EF2B7" w14:textId="77777777" w:rsidR="0030617D" w:rsidRPr="00011A98" w:rsidRDefault="0030617D" w:rsidP="0030617D">
      <w:pPr>
        <w:pStyle w:val="Textonotapie"/>
        <w:ind w:firstLine="567"/>
        <w:jc w:val="both"/>
        <w:rPr>
          <w:rFonts w:ascii="Arial" w:hAnsi="Arial" w:cs="Arial"/>
          <w:color w:val="000000" w:themeColor="text1"/>
          <w:sz w:val="19"/>
          <w:szCs w:val="19"/>
          <w:lang w:val="es-CO"/>
        </w:rPr>
      </w:pPr>
    </w:p>
  </w:footnote>
  <w:footnote w:id="8">
    <w:p w14:paraId="60A7A904" w14:textId="79B81842" w:rsidR="00D94681" w:rsidRPr="00011A98" w:rsidRDefault="00D94681" w:rsidP="0030617D">
      <w:pPr>
        <w:pStyle w:val="Textonotapie"/>
        <w:ind w:firstLine="567"/>
        <w:jc w:val="both"/>
        <w:rPr>
          <w:rFonts w:ascii="Arial" w:hAnsi="Arial" w:cs="Arial"/>
          <w:color w:val="000000" w:themeColor="text1"/>
          <w:sz w:val="19"/>
          <w:szCs w:val="19"/>
          <w:lang w:val="es-CO"/>
        </w:rPr>
      </w:pPr>
      <w:r w:rsidRPr="00011A98">
        <w:rPr>
          <w:rStyle w:val="Refdenotaalpie"/>
          <w:rFonts w:ascii="Arial" w:hAnsi="Arial" w:cs="Arial"/>
          <w:color w:val="000000" w:themeColor="text1"/>
          <w:sz w:val="19"/>
          <w:szCs w:val="19"/>
        </w:rPr>
        <w:footnoteRef/>
      </w:r>
      <w:r w:rsidRPr="00011A98">
        <w:rPr>
          <w:rFonts w:ascii="Arial" w:hAnsi="Arial" w:cs="Arial"/>
          <w:color w:val="000000" w:themeColor="text1"/>
          <w:sz w:val="19"/>
          <w:szCs w:val="19"/>
        </w:rPr>
        <w:t xml:space="preserve"> </w:t>
      </w:r>
      <w:r w:rsidRPr="00011A98">
        <w:rPr>
          <w:rFonts w:ascii="Arial" w:hAnsi="Arial" w:cs="Arial"/>
          <w:color w:val="000000" w:themeColor="text1"/>
          <w:sz w:val="19"/>
          <w:szCs w:val="19"/>
          <w:lang w:val="es-ES"/>
        </w:rPr>
        <w:t>Agencia Nacional de Contratación Pública, Guía para determinar y verificar la capacidad residual del proponente en los procesos de contratación de Obra Pública, p. 10.</w:t>
      </w:r>
    </w:p>
    <w:p w14:paraId="2ADE89B0" w14:textId="73212818" w:rsidR="00D94681" w:rsidRPr="00011A98" w:rsidRDefault="00D94681" w:rsidP="0030617D">
      <w:pPr>
        <w:pStyle w:val="Textonotapie"/>
        <w:jc w:val="both"/>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6452144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7CA80ABB"/>
    <w:multiLevelType w:val="hybridMultilevel"/>
    <w:tmpl w:val="B854EC0A"/>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11A98"/>
    <w:rsid w:val="00050FCB"/>
    <w:rsid w:val="000942EB"/>
    <w:rsid w:val="000B103F"/>
    <w:rsid w:val="000F14E8"/>
    <w:rsid w:val="000F7250"/>
    <w:rsid w:val="00103915"/>
    <w:rsid w:val="00104008"/>
    <w:rsid w:val="00122B23"/>
    <w:rsid w:val="00137FFA"/>
    <w:rsid w:val="001570F0"/>
    <w:rsid w:val="001A48A6"/>
    <w:rsid w:val="001D61ED"/>
    <w:rsid w:val="001D65B2"/>
    <w:rsid w:val="00234B84"/>
    <w:rsid w:val="0025784A"/>
    <w:rsid w:val="002672BC"/>
    <w:rsid w:val="002B7AB0"/>
    <w:rsid w:val="002F4FFA"/>
    <w:rsid w:val="003033BA"/>
    <w:rsid w:val="0030617D"/>
    <w:rsid w:val="0034680A"/>
    <w:rsid w:val="00386456"/>
    <w:rsid w:val="003A581E"/>
    <w:rsid w:val="00405255"/>
    <w:rsid w:val="00405BF1"/>
    <w:rsid w:val="004377AF"/>
    <w:rsid w:val="004422D6"/>
    <w:rsid w:val="00464693"/>
    <w:rsid w:val="00481C7D"/>
    <w:rsid w:val="004958BA"/>
    <w:rsid w:val="004A34D2"/>
    <w:rsid w:val="0051074C"/>
    <w:rsid w:val="00513AF2"/>
    <w:rsid w:val="0054413A"/>
    <w:rsid w:val="005564CA"/>
    <w:rsid w:val="005A15D8"/>
    <w:rsid w:val="005A79FE"/>
    <w:rsid w:val="005D6912"/>
    <w:rsid w:val="00602DF8"/>
    <w:rsid w:val="00655371"/>
    <w:rsid w:val="00697665"/>
    <w:rsid w:val="006A7FD0"/>
    <w:rsid w:val="006D7687"/>
    <w:rsid w:val="006E0572"/>
    <w:rsid w:val="00705631"/>
    <w:rsid w:val="00742DD2"/>
    <w:rsid w:val="0075647A"/>
    <w:rsid w:val="007634AD"/>
    <w:rsid w:val="0078122E"/>
    <w:rsid w:val="00792888"/>
    <w:rsid w:val="007B0854"/>
    <w:rsid w:val="007B0D4A"/>
    <w:rsid w:val="007F72CB"/>
    <w:rsid w:val="0083119B"/>
    <w:rsid w:val="00836EAB"/>
    <w:rsid w:val="00845A1B"/>
    <w:rsid w:val="0085092D"/>
    <w:rsid w:val="008A05E4"/>
    <w:rsid w:val="008D67B3"/>
    <w:rsid w:val="008E1C15"/>
    <w:rsid w:val="009047C5"/>
    <w:rsid w:val="00920100"/>
    <w:rsid w:val="00933AE8"/>
    <w:rsid w:val="0094411F"/>
    <w:rsid w:val="00952279"/>
    <w:rsid w:val="0095385A"/>
    <w:rsid w:val="009D461B"/>
    <w:rsid w:val="009E6CB6"/>
    <w:rsid w:val="00A242DC"/>
    <w:rsid w:val="00A24560"/>
    <w:rsid w:val="00A34538"/>
    <w:rsid w:val="00A51027"/>
    <w:rsid w:val="00A978F5"/>
    <w:rsid w:val="00AA442B"/>
    <w:rsid w:val="00B22E22"/>
    <w:rsid w:val="00B525CB"/>
    <w:rsid w:val="00B63CB2"/>
    <w:rsid w:val="00BA2EF2"/>
    <w:rsid w:val="00BD78FE"/>
    <w:rsid w:val="00C2361E"/>
    <w:rsid w:val="00CA287E"/>
    <w:rsid w:val="00CC00CD"/>
    <w:rsid w:val="00CC2632"/>
    <w:rsid w:val="00D16E39"/>
    <w:rsid w:val="00D2390F"/>
    <w:rsid w:val="00D33DFB"/>
    <w:rsid w:val="00D45B84"/>
    <w:rsid w:val="00D72E9D"/>
    <w:rsid w:val="00D82CE5"/>
    <w:rsid w:val="00D87CED"/>
    <w:rsid w:val="00D94681"/>
    <w:rsid w:val="00DA5AB1"/>
    <w:rsid w:val="00DC62E5"/>
    <w:rsid w:val="00DD735D"/>
    <w:rsid w:val="00DE1ACB"/>
    <w:rsid w:val="00DE3119"/>
    <w:rsid w:val="00DF236B"/>
    <w:rsid w:val="00E13AB8"/>
    <w:rsid w:val="00E1722C"/>
    <w:rsid w:val="00E33B62"/>
    <w:rsid w:val="00E919B5"/>
    <w:rsid w:val="00F17D0C"/>
    <w:rsid w:val="00F83791"/>
    <w:rsid w:val="00F84899"/>
    <w:rsid w:val="00F859F0"/>
    <w:rsid w:val="00FE141E"/>
    <w:rsid w:val="00FF23D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paragraph" w:customStyle="1" w:styleId="Default">
    <w:name w:val="Default"/>
    <w:rsid w:val="00011A9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387460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6F544B8F-25EA-4C42-8BE2-E77A7B352B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0161F7-B102-4D58-A731-640382026908}">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60695313-0D6E-45F7-92D6-25229BB06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9</Pages>
  <Words>2801</Words>
  <Characters>15972</Characters>
  <Application>Microsoft Office Word</Application>
  <DocSecurity>0</DocSecurity>
  <Lines>133</Lines>
  <Paragraphs>37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RESPUESTA DIRECCIÓN CONTRACTUAL</vt:lpstr>
      <vt:lpstr>RESPUESTA DIRECCIÓN CONTRACTUAL</vt:lpstr>
    </vt:vector>
  </TitlesOfParts>
  <Company/>
  <LinksUpToDate>false</LinksUpToDate>
  <CharactersWithSpaces>18736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2020-03-06T03:39:00Z</cp:lastPrinted>
  <dcterms:created xsi:type="dcterms:W3CDTF">2020-08-10T08:56:00Z</dcterms:created>
  <dcterms:modified xsi:type="dcterms:W3CDTF">2020-08-10T08:56:00Z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