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116AB5" w:rsidRDefault="009F59C2" w:rsidP="00052516">
      <w:pPr>
        <w:spacing w:line="276" w:lineRule="auto"/>
        <w:jc w:val="right"/>
        <w:rPr>
          <w:rFonts w:ascii="Arial" w:hAnsi="Arial" w:cs="Arial"/>
          <w:b/>
          <w:color w:val="000000" w:themeColor="text1"/>
          <w:sz w:val="16"/>
          <w:szCs w:val="16"/>
          <w:lang w:eastAsia="es-ES"/>
        </w:rPr>
      </w:pPr>
      <w:bookmarkStart w:id="0" w:name="_Hlk28946138"/>
      <w:bookmarkStart w:id="1" w:name="_Hlk29548183"/>
      <w:r w:rsidRPr="004D58A4">
        <w:rPr>
          <w:rFonts w:ascii="Arial" w:hAnsi="Arial" w:cs="Arial"/>
          <w:b/>
          <w:color w:val="000000" w:themeColor="text1"/>
          <w:sz w:val="22"/>
          <w:lang w:eastAsia="es-ES"/>
        </w:rPr>
        <w:tab/>
      </w:r>
      <w:r w:rsidR="0034177C" w:rsidRPr="00116AB5">
        <w:rPr>
          <w:rFonts w:ascii="Arial" w:hAnsi="Arial" w:cs="Arial"/>
          <w:b/>
          <w:color w:val="000000" w:themeColor="text1"/>
          <w:sz w:val="16"/>
          <w:szCs w:val="16"/>
          <w:lang w:eastAsia="es-ES"/>
        </w:rPr>
        <w:t>CCE-DES-FM-17</w:t>
      </w:r>
    </w:p>
    <w:p w14:paraId="72822C2F" w14:textId="77777777" w:rsidR="00994A03" w:rsidRPr="00052516" w:rsidRDefault="00994A03" w:rsidP="00052516">
      <w:pPr>
        <w:jc w:val="both"/>
        <w:rPr>
          <w:rFonts w:ascii="Arial" w:hAnsi="Arial" w:cs="Arial"/>
          <w:color w:val="000000" w:themeColor="text1"/>
          <w:sz w:val="16"/>
          <w:szCs w:val="16"/>
        </w:rPr>
      </w:pPr>
    </w:p>
    <w:p w14:paraId="33FF83A2" w14:textId="60B7640C" w:rsidR="0034177C" w:rsidRPr="004D58A4" w:rsidRDefault="00842A04" w:rsidP="00052516">
      <w:pPr>
        <w:jc w:val="both"/>
        <w:rPr>
          <w:rFonts w:ascii="Arial" w:eastAsia="Calibri" w:hAnsi="Arial" w:cs="Arial"/>
          <w:b/>
          <w:color w:val="000000" w:themeColor="text1"/>
          <w:sz w:val="22"/>
        </w:rPr>
      </w:pPr>
      <w:r w:rsidRPr="004D58A4">
        <w:rPr>
          <w:rFonts w:ascii="Arial" w:eastAsia="Calibri" w:hAnsi="Arial" w:cs="Arial"/>
          <w:b/>
          <w:color w:val="000000" w:themeColor="text1"/>
          <w:sz w:val="22"/>
        </w:rPr>
        <w:t xml:space="preserve">SOCIEDADES </w:t>
      </w:r>
      <w:r w:rsidR="00726482" w:rsidRPr="004D58A4">
        <w:rPr>
          <w:rFonts w:ascii="Arial" w:eastAsia="Calibri" w:hAnsi="Arial" w:cs="Arial"/>
          <w:b/>
          <w:color w:val="000000" w:themeColor="text1"/>
          <w:sz w:val="22"/>
        </w:rPr>
        <w:t>NUEVAS</w:t>
      </w:r>
      <w:r w:rsidR="00315B3D" w:rsidRPr="004D58A4">
        <w:rPr>
          <w:rFonts w:ascii="Arial" w:eastAsia="Calibri" w:hAnsi="Arial" w:cs="Arial"/>
          <w:b/>
          <w:color w:val="000000" w:themeColor="text1"/>
          <w:sz w:val="22"/>
        </w:rPr>
        <w:t xml:space="preserve"> </w:t>
      </w:r>
      <w:r w:rsidR="00116AB5" w:rsidRPr="006C15D5">
        <w:rPr>
          <w:rFonts w:ascii="Arial" w:eastAsia="Calibri" w:hAnsi="Arial" w:cs="Arial"/>
          <w:b/>
          <w:color w:val="000000" w:themeColor="text1"/>
          <w:sz w:val="22"/>
        </w:rPr>
        <w:t>–</w:t>
      </w:r>
      <w:r w:rsidR="002B128E" w:rsidRPr="004D58A4">
        <w:rPr>
          <w:rFonts w:ascii="Arial" w:eastAsia="Calibri" w:hAnsi="Arial" w:cs="Arial"/>
          <w:b/>
          <w:color w:val="000000" w:themeColor="text1"/>
          <w:sz w:val="22"/>
        </w:rPr>
        <w:t xml:space="preserve"> </w:t>
      </w:r>
      <w:r w:rsidR="00BA0477">
        <w:rPr>
          <w:rFonts w:ascii="Arial" w:eastAsia="Calibri" w:hAnsi="Arial" w:cs="Arial"/>
          <w:b/>
          <w:color w:val="000000" w:themeColor="text1"/>
          <w:sz w:val="22"/>
        </w:rPr>
        <w:t xml:space="preserve">Experiencia </w:t>
      </w:r>
      <w:r w:rsidR="00BA0477">
        <w:rPr>
          <w:rFonts w:ascii="Arial" w:eastAsia="Calibri" w:hAnsi="Arial" w:cs="Arial"/>
          <w:b/>
          <w:color w:val="000000" w:themeColor="text1"/>
          <w:sz w:val="22"/>
        </w:rPr>
        <w:t>–</w:t>
      </w:r>
      <w:r w:rsidR="00BA0477">
        <w:rPr>
          <w:rFonts w:ascii="Arial" w:eastAsia="Calibri" w:hAnsi="Arial" w:cs="Arial"/>
          <w:b/>
          <w:color w:val="000000" w:themeColor="text1"/>
          <w:sz w:val="22"/>
        </w:rPr>
        <w:t xml:space="preserve"> </w:t>
      </w:r>
      <w:r w:rsidRPr="004D58A4">
        <w:rPr>
          <w:rFonts w:ascii="Arial" w:eastAsia="Calibri" w:hAnsi="Arial" w:cs="Arial"/>
          <w:b/>
          <w:color w:val="000000" w:themeColor="text1"/>
          <w:sz w:val="22"/>
        </w:rPr>
        <w:t>Procesos</w:t>
      </w:r>
      <w:r w:rsidR="00E912A7" w:rsidRPr="004D58A4">
        <w:rPr>
          <w:rFonts w:ascii="Arial" w:eastAsia="Calibri" w:hAnsi="Arial" w:cs="Arial"/>
          <w:b/>
          <w:color w:val="000000" w:themeColor="text1"/>
          <w:sz w:val="22"/>
        </w:rPr>
        <w:t xml:space="preserve"> </w:t>
      </w:r>
      <w:r w:rsidR="00BA0477">
        <w:rPr>
          <w:rFonts w:ascii="Arial" w:eastAsia="Calibri" w:hAnsi="Arial" w:cs="Arial"/>
          <w:b/>
          <w:color w:val="000000" w:themeColor="text1"/>
          <w:sz w:val="22"/>
        </w:rPr>
        <w:t xml:space="preserve">de contratación </w:t>
      </w:r>
      <w:r w:rsidR="00E912A7" w:rsidRPr="006C15D5">
        <w:rPr>
          <w:rFonts w:ascii="Arial" w:eastAsia="Calibri" w:hAnsi="Arial" w:cs="Arial"/>
          <w:b/>
          <w:color w:val="000000" w:themeColor="text1"/>
          <w:sz w:val="22"/>
        </w:rPr>
        <w:t>–</w:t>
      </w:r>
      <w:r w:rsidR="00E912A7" w:rsidRPr="004D58A4">
        <w:rPr>
          <w:rFonts w:ascii="Arial" w:eastAsia="Calibri" w:hAnsi="Arial" w:cs="Arial"/>
          <w:b/>
          <w:color w:val="000000" w:themeColor="text1"/>
          <w:sz w:val="22"/>
        </w:rPr>
        <w:t xml:space="preserve"> </w:t>
      </w:r>
      <w:r w:rsidR="00E912A7">
        <w:rPr>
          <w:rFonts w:ascii="Arial" w:eastAsia="Calibri" w:hAnsi="Arial" w:cs="Arial"/>
          <w:b/>
          <w:color w:val="000000" w:themeColor="text1"/>
          <w:sz w:val="22"/>
        </w:rPr>
        <w:t>E</w:t>
      </w:r>
      <w:r w:rsidRPr="004D58A4">
        <w:rPr>
          <w:rFonts w:ascii="Arial" w:eastAsia="Calibri" w:hAnsi="Arial" w:cs="Arial"/>
          <w:b/>
          <w:color w:val="000000" w:themeColor="text1"/>
          <w:sz w:val="22"/>
        </w:rPr>
        <w:t xml:space="preserve">xceptuados </w:t>
      </w:r>
      <w:r w:rsidR="00BA0477">
        <w:rPr>
          <w:rFonts w:ascii="Arial" w:eastAsia="Calibri" w:hAnsi="Arial" w:cs="Arial"/>
          <w:b/>
          <w:color w:val="000000" w:themeColor="text1"/>
          <w:sz w:val="22"/>
        </w:rPr>
        <w:t>–</w:t>
      </w:r>
      <w:r w:rsidR="00BA0477">
        <w:rPr>
          <w:rFonts w:ascii="Arial" w:eastAsia="Calibri" w:hAnsi="Arial" w:cs="Arial"/>
          <w:b/>
          <w:color w:val="000000" w:themeColor="text1"/>
          <w:sz w:val="22"/>
        </w:rPr>
        <w:t xml:space="preserve"> Registro único de proponentes</w:t>
      </w:r>
    </w:p>
    <w:p w14:paraId="2ED1344D" w14:textId="77777777" w:rsidR="0063643E" w:rsidRPr="00634A2A" w:rsidRDefault="0063643E" w:rsidP="00116AB5">
      <w:pPr>
        <w:jc w:val="both"/>
        <w:rPr>
          <w:rFonts w:ascii="Arial" w:eastAsia="Calibri" w:hAnsi="Arial" w:cs="Arial"/>
          <w:color w:val="000000" w:themeColor="text1"/>
          <w:sz w:val="20"/>
          <w:szCs w:val="20"/>
        </w:rPr>
      </w:pPr>
    </w:p>
    <w:p w14:paraId="31383085" w14:textId="4715789D" w:rsidR="00FF28DC" w:rsidRDefault="00FF28DC" w:rsidP="00FF28DC">
      <w:pPr>
        <w:spacing w:after="120"/>
        <w:jc w:val="both"/>
        <w:rPr>
          <w:rFonts w:ascii="Arial" w:hAnsi="Arial" w:cs="Arial"/>
          <w:color w:val="000000" w:themeColor="text1"/>
          <w:sz w:val="20"/>
          <w:szCs w:val="20"/>
        </w:rPr>
      </w:pPr>
      <w:r>
        <w:rPr>
          <w:rFonts w:ascii="Arial" w:hAnsi="Arial" w:cs="Arial"/>
          <w:color w:val="000000" w:themeColor="text1"/>
          <w:sz w:val="20"/>
          <w:szCs w:val="20"/>
        </w:rPr>
        <w:t xml:space="preserve">[…] </w:t>
      </w:r>
      <w:r w:rsidR="00601414">
        <w:rPr>
          <w:rFonts w:ascii="Arial" w:hAnsi="Arial" w:cs="Arial"/>
          <w:color w:val="000000" w:themeColor="text1"/>
          <w:sz w:val="20"/>
          <w:szCs w:val="20"/>
        </w:rPr>
        <w:t>f</w:t>
      </w:r>
      <w:r w:rsidR="00842A04" w:rsidRPr="00634A2A">
        <w:rPr>
          <w:rFonts w:ascii="Arial" w:hAnsi="Arial" w:cs="Arial"/>
          <w:color w:val="000000" w:themeColor="text1"/>
          <w:sz w:val="20"/>
          <w:szCs w:val="20"/>
        </w:rPr>
        <w:t>rente a la acreditación de la experiencia de los socios, accionistas o constituyentes de una persona jurídica con menos de 3 años de constitución, para participar en los eventos exceptuados al deber de inscripción en el RUP, como en 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constitución.</w:t>
      </w:r>
    </w:p>
    <w:p w14:paraId="16209C1F" w14:textId="3516C721" w:rsidR="00842A04" w:rsidRPr="00634A2A" w:rsidRDefault="00842A04" w:rsidP="00116AB5">
      <w:pPr>
        <w:jc w:val="both"/>
        <w:rPr>
          <w:rFonts w:ascii="Arial" w:hAnsi="Arial" w:cs="Arial"/>
          <w:color w:val="000000" w:themeColor="text1"/>
          <w:sz w:val="20"/>
          <w:szCs w:val="20"/>
        </w:rPr>
      </w:pPr>
      <w:r w:rsidRPr="00634A2A">
        <w:rPr>
          <w:rFonts w:ascii="Arial" w:hAnsi="Arial" w:cs="Arial"/>
          <w:color w:val="000000" w:themeColor="text1"/>
          <w:sz w:val="20"/>
          <w:szCs w:val="20"/>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14:paraId="29786F51" w14:textId="2DB93BEB" w:rsidR="00965ED6" w:rsidRPr="00634A2A" w:rsidRDefault="00965ED6" w:rsidP="00116AB5">
      <w:pPr>
        <w:jc w:val="both"/>
        <w:rPr>
          <w:rFonts w:ascii="Arial" w:hAnsi="Arial" w:cs="Arial"/>
          <w:color w:val="000000" w:themeColor="text1"/>
          <w:sz w:val="20"/>
          <w:szCs w:val="20"/>
        </w:rPr>
      </w:pPr>
    </w:p>
    <w:p w14:paraId="363C6AC8" w14:textId="2A306A73" w:rsidR="001127DA" w:rsidRPr="004D58A4" w:rsidRDefault="00B67884" w:rsidP="00116AB5">
      <w:pPr>
        <w:jc w:val="both"/>
        <w:rPr>
          <w:rFonts w:ascii="Arial" w:hAnsi="Arial" w:cs="Arial"/>
          <w:b/>
          <w:bCs/>
          <w:color w:val="000000" w:themeColor="text1"/>
          <w:sz w:val="22"/>
        </w:rPr>
      </w:pPr>
      <w:r w:rsidRPr="004D58A4">
        <w:rPr>
          <w:rFonts w:ascii="Arial" w:hAnsi="Arial" w:cs="Arial"/>
          <w:b/>
          <w:bCs/>
          <w:color w:val="000000" w:themeColor="text1"/>
          <w:sz w:val="22"/>
        </w:rPr>
        <w:t xml:space="preserve">EXPERIENCIA </w:t>
      </w:r>
      <w:r w:rsidR="00116AB5" w:rsidRPr="006C15D5">
        <w:rPr>
          <w:rFonts w:ascii="Arial" w:eastAsia="Calibri" w:hAnsi="Arial" w:cs="Arial"/>
          <w:b/>
          <w:color w:val="000000" w:themeColor="text1"/>
          <w:sz w:val="22"/>
        </w:rPr>
        <w:t>–</w:t>
      </w:r>
      <w:r w:rsidR="00E02B77" w:rsidRPr="004D58A4">
        <w:rPr>
          <w:rFonts w:ascii="Arial" w:eastAsia="Calibri" w:hAnsi="Arial" w:cs="Arial"/>
          <w:color w:val="000000" w:themeColor="text1"/>
          <w:sz w:val="22"/>
        </w:rPr>
        <w:t xml:space="preserve"> </w:t>
      </w:r>
      <w:r w:rsidRPr="004D58A4">
        <w:rPr>
          <w:rFonts w:ascii="Arial" w:eastAsia="Calibri" w:hAnsi="Arial" w:cs="Arial"/>
          <w:b/>
          <w:bCs/>
          <w:color w:val="000000" w:themeColor="text1"/>
          <w:sz w:val="22"/>
        </w:rPr>
        <w:t xml:space="preserve">Competencia </w:t>
      </w:r>
      <w:r w:rsidR="00BA0477">
        <w:rPr>
          <w:rFonts w:ascii="Arial" w:eastAsia="Calibri" w:hAnsi="Arial" w:cs="Arial"/>
          <w:b/>
          <w:color w:val="000000" w:themeColor="text1"/>
          <w:sz w:val="22"/>
        </w:rPr>
        <w:t>–</w:t>
      </w:r>
      <w:r w:rsidR="00BA0477">
        <w:rPr>
          <w:rFonts w:ascii="Arial" w:eastAsia="Calibri" w:hAnsi="Arial" w:cs="Arial"/>
          <w:b/>
          <w:color w:val="000000" w:themeColor="text1"/>
          <w:sz w:val="22"/>
        </w:rPr>
        <w:t xml:space="preserve"> Experiencia exigible</w:t>
      </w:r>
    </w:p>
    <w:p w14:paraId="65DCBB51" w14:textId="600B0870" w:rsidR="001127DA" w:rsidRPr="00634A2A" w:rsidRDefault="001127DA" w:rsidP="00116AB5">
      <w:pPr>
        <w:jc w:val="both"/>
        <w:rPr>
          <w:rFonts w:ascii="Arial" w:hAnsi="Arial" w:cs="Arial"/>
          <w:b/>
          <w:bCs/>
          <w:color w:val="000000" w:themeColor="text1"/>
          <w:sz w:val="20"/>
          <w:szCs w:val="20"/>
        </w:rPr>
      </w:pPr>
    </w:p>
    <w:p w14:paraId="224F8DC0" w14:textId="0D3870A6" w:rsidR="001127DA" w:rsidRPr="00634A2A" w:rsidRDefault="000D6E16" w:rsidP="00116AB5">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601414">
        <w:rPr>
          <w:rFonts w:ascii="Arial" w:eastAsia="Calibri" w:hAnsi="Arial" w:cs="Arial"/>
          <w:color w:val="000000" w:themeColor="text1"/>
          <w:sz w:val="20"/>
          <w:szCs w:val="20"/>
        </w:rPr>
        <w:t>l</w:t>
      </w:r>
      <w:r w:rsidR="001127DA" w:rsidRPr="00634A2A">
        <w:rPr>
          <w:rFonts w:ascii="Arial" w:eastAsia="Calibri" w:hAnsi="Arial" w:cs="Arial"/>
          <w:color w:val="000000" w:themeColor="text1"/>
          <w:sz w:val="20"/>
          <w:szCs w:val="20"/>
        </w:rPr>
        <w:t xml:space="preserve">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 </w:t>
      </w:r>
    </w:p>
    <w:p w14:paraId="2D8EE2B4" w14:textId="77777777" w:rsidR="00C93025" w:rsidRPr="00634A2A" w:rsidRDefault="00C93025" w:rsidP="00116AB5">
      <w:pPr>
        <w:jc w:val="both"/>
        <w:rPr>
          <w:rFonts w:ascii="Arial" w:eastAsia="Calibri" w:hAnsi="Arial" w:cs="Arial"/>
          <w:b/>
          <w:bCs/>
          <w:color w:val="000000" w:themeColor="text1"/>
          <w:sz w:val="20"/>
          <w:szCs w:val="20"/>
        </w:rPr>
      </w:pPr>
    </w:p>
    <w:p w14:paraId="1CF0E65F" w14:textId="5C34E629" w:rsidR="007D5F39" w:rsidRPr="004D58A4" w:rsidRDefault="00C93025" w:rsidP="00116AB5">
      <w:pPr>
        <w:jc w:val="both"/>
        <w:rPr>
          <w:rFonts w:ascii="Arial" w:eastAsia="Calibri" w:hAnsi="Arial" w:cs="Arial"/>
          <w:b/>
          <w:bCs/>
          <w:color w:val="000000" w:themeColor="text1"/>
          <w:sz w:val="22"/>
        </w:rPr>
      </w:pPr>
      <w:r w:rsidRPr="004D58A4">
        <w:rPr>
          <w:rFonts w:ascii="Arial" w:eastAsia="Calibri" w:hAnsi="Arial" w:cs="Arial"/>
          <w:b/>
          <w:bCs/>
          <w:color w:val="000000" w:themeColor="text1"/>
          <w:sz w:val="22"/>
        </w:rPr>
        <w:t>R</w:t>
      </w:r>
      <w:r w:rsidR="00EF08C1">
        <w:rPr>
          <w:rFonts w:ascii="Arial" w:eastAsia="Calibri" w:hAnsi="Arial" w:cs="Arial"/>
          <w:b/>
          <w:bCs/>
          <w:color w:val="000000" w:themeColor="text1"/>
          <w:sz w:val="22"/>
        </w:rPr>
        <w:t xml:space="preserve">EGISTRO </w:t>
      </w:r>
      <w:r w:rsidR="00BA0477">
        <w:rPr>
          <w:rFonts w:ascii="Arial" w:eastAsia="Calibri" w:hAnsi="Arial" w:cs="Arial"/>
          <w:b/>
          <w:bCs/>
          <w:color w:val="000000" w:themeColor="text1"/>
          <w:sz w:val="22"/>
        </w:rPr>
        <w:t>Ú</w:t>
      </w:r>
      <w:r w:rsidR="00EF08C1">
        <w:rPr>
          <w:rFonts w:ascii="Arial" w:eastAsia="Calibri" w:hAnsi="Arial" w:cs="Arial"/>
          <w:b/>
          <w:bCs/>
          <w:color w:val="000000" w:themeColor="text1"/>
          <w:sz w:val="22"/>
        </w:rPr>
        <w:t xml:space="preserve">NICO DE </w:t>
      </w:r>
      <w:r w:rsidRPr="004D58A4">
        <w:rPr>
          <w:rFonts w:ascii="Arial" w:eastAsia="Calibri" w:hAnsi="Arial" w:cs="Arial"/>
          <w:b/>
          <w:bCs/>
          <w:color w:val="000000" w:themeColor="text1"/>
          <w:sz w:val="22"/>
        </w:rPr>
        <w:t>P</w:t>
      </w:r>
      <w:r w:rsidR="00EF08C1">
        <w:rPr>
          <w:rFonts w:ascii="Arial" w:eastAsia="Calibri" w:hAnsi="Arial" w:cs="Arial"/>
          <w:b/>
          <w:bCs/>
          <w:color w:val="000000" w:themeColor="text1"/>
          <w:sz w:val="22"/>
        </w:rPr>
        <w:t>ROPONENTES</w:t>
      </w:r>
      <w:r w:rsidRPr="004D58A4">
        <w:rPr>
          <w:rFonts w:ascii="Arial" w:eastAsia="Calibri" w:hAnsi="Arial" w:cs="Arial"/>
          <w:b/>
          <w:bCs/>
          <w:color w:val="000000" w:themeColor="text1"/>
          <w:sz w:val="22"/>
        </w:rPr>
        <w:t xml:space="preserve"> </w:t>
      </w:r>
      <w:r w:rsidR="00116AB5" w:rsidRPr="006C15D5">
        <w:rPr>
          <w:rFonts w:ascii="Arial" w:eastAsia="Calibri" w:hAnsi="Arial" w:cs="Arial"/>
          <w:b/>
          <w:color w:val="000000" w:themeColor="text1"/>
          <w:sz w:val="22"/>
        </w:rPr>
        <w:t>–</w:t>
      </w:r>
      <w:r w:rsidRPr="004D58A4">
        <w:rPr>
          <w:rFonts w:ascii="Arial" w:eastAsia="Calibri" w:hAnsi="Arial" w:cs="Arial"/>
          <w:b/>
          <w:bCs/>
          <w:color w:val="000000" w:themeColor="text1"/>
          <w:sz w:val="22"/>
        </w:rPr>
        <w:t xml:space="preserve"> </w:t>
      </w:r>
      <w:r w:rsidR="00104DFA" w:rsidRPr="004D58A4">
        <w:rPr>
          <w:rFonts w:ascii="Arial" w:eastAsia="Calibri" w:hAnsi="Arial" w:cs="Arial"/>
          <w:b/>
          <w:bCs/>
          <w:color w:val="000000" w:themeColor="text1"/>
          <w:sz w:val="22"/>
        </w:rPr>
        <w:t xml:space="preserve">Plena prueba </w:t>
      </w:r>
      <w:r w:rsidR="00E912A7" w:rsidRPr="006C15D5">
        <w:rPr>
          <w:rFonts w:ascii="Arial" w:eastAsia="Calibri" w:hAnsi="Arial" w:cs="Arial"/>
          <w:b/>
          <w:color w:val="000000" w:themeColor="text1"/>
          <w:sz w:val="22"/>
        </w:rPr>
        <w:t>–</w:t>
      </w:r>
      <w:r w:rsidR="00E912A7" w:rsidRPr="004D58A4">
        <w:rPr>
          <w:rFonts w:ascii="Arial" w:eastAsia="Calibri" w:hAnsi="Arial" w:cs="Arial"/>
          <w:b/>
          <w:color w:val="000000" w:themeColor="text1"/>
          <w:sz w:val="22"/>
        </w:rPr>
        <w:t xml:space="preserve"> </w:t>
      </w:r>
      <w:r w:rsidR="00E912A7">
        <w:rPr>
          <w:rFonts w:ascii="Arial" w:eastAsia="Calibri" w:hAnsi="Arial" w:cs="Arial"/>
          <w:b/>
          <w:bCs/>
          <w:color w:val="000000" w:themeColor="text1"/>
          <w:sz w:val="22"/>
        </w:rPr>
        <w:t>R</w:t>
      </w:r>
      <w:r w:rsidR="00104DFA" w:rsidRPr="004D58A4">
        <w:rPr>
          <w:rFonts w:ascii="Arial" w:eastAsia="Calibri" w:hAnsi="Arial" w:cs="Arial"/>
          <w:b/>
          <w:bCs/>
          <w:color w:val="000000" w:themeColor="text1"/>
          <w:sz w:val="22"/>
        </w:rPr>
        <w:t xml:space="preserve">equisitos habilitantes </w:t>
      </w:r>
      <w:r w:rsidR="007D5F39" w:rsidRPr="004D58A4">
        <w:rPr>
          <w:rFonts w:ascii="Arial" w:eastAsia="Calibri" w:hAnsi="Arial" w:cs="Arial"/>
          <w:b/>
          <w:bCs/>
          <w:color w:val="000000" w:themeColor="text1"/>
          <w:sz w:val="22"/>
        </w:rPr>
        <w:t xml:space="preserve"> </w:t>
      </w:r>
    </w:p>
    <w:p w14:paraId="3791EAEB" w14:textId="73EE01D3" w:rsidR="007D5F39" w:rsidRPr="00634A2A" w:rsidRDefault="007D5F39" w:rsidP="00116AB5">
      <w:pPr>
        <w:jc w:val="both"/>
        <w:rPr>
          <w:rFonts w:ascii="Arial" w:eastAsia="Calibri" w:hAnsi="Arial" w:cs="Arial"/>
          <w:b/>
          <w:bCs/>
          <w:color w:val="000000" w:themeColor="text1"/>
          <w:sz w:val="20"/>
          <w:szCs w:val="20"/>
        </w:rPr>
      </w:pPr>
    </w:p>
    <w:p w14:paraId="72C93B9B" w14:textId="140C4028" w:rsidR="001127DA" w:rsidRPr="00634A2A" w:rsidRDefault="007D5F39" w:rsidP="00116AB5">
      <w:pPr>
        <w:jc w:val="both"/>
        <w:rPr>
          <w:rFonts w:ascii="Arial" w:eastAsia="Calibri" w:hAnsi="Arial" w:cs="Arial"/>
          <w:b/>
          <w:bCs/>
          <w:color w:val="000000" w:themeColor="text1"/>
          <w:sz w:val="20"/>
          <w:szCs w:val="20"/>
        </w:rPr>
      </w:pPr>
      <w:r w:rsidRPr="00634A2A">
        <w:rPr>
          <w:rFonts w:ascii="Arial" w:eastAsia="Calibri" w:hAnsi="Arial" w:cs="Arial"/>
          <w:color w:val="000000" w:themeColor="text1"/>
          <w:sz w:val="20"/>
          <w:szCs w:val="20"/>
        </w:rPr>
        <w:t>La experiencia que se deriva de los contratos que el proponente ha celebrado y ejecutado con diferentes contratantes, sin importar la naturaleza de estos, se verifica con el</w:t>
      </w:r>
      <w:r w:rsidR="00726482" w:rsidRPr="00634A2A">
        <w:rPr>
          <w:rFonts w:ascii="Arial" w:eastAsia="Calibri" w:hAnsi="Arial" w:cs="Arial"/>
          <w:color w:val="000000" w:themeColor="text1"/>
          <w:sz w:val="20"/>
          <w:szCs w:val="20"/>
        </w:rPr>
        <w:t xml:space="preserve"> Registro Único de Proponentes</w:t>
      </w:r>
      <w:r w:rsidR="00726482" w:rsidRPr="00634A2A">
        <w:rPr>
          <w:rFonts w:ascii="Arial" w:eastAsia="Calibri" w:hAnsi="Arial" w:cs="Arial"/>
          <w:b/>
          <w:color w:val="000000" w:themeColor="text1"/>
          <w:sz w:val="20"/>
          <w:szCs w:val="20"/>
        </w:rPr>
        <w:t xml:space="preserve"> </w:t>
      </w:r>
      <w:r w:rsidR="00726482" w:rsidRPr="00634A2A">
        <w:rPr>
          <w:rFonts w:ascii="Arial" w:eastAsia="Calibri" w:hAnsi="Arial" w:cs="Arial"/>
          <w:color w:val="000000" w:themeColor="text1"/>
          <w:sz w:val="20"/>
          <w:szCs w:val="20"/>
        </w:rPr>
        <w:t>─</w:t>
      </w:r>
      <w:r w:rsidR="00726482" w:rsidRPr="00634A2A">
        <w:rPr>
          <w:rFonts w:ascii="Arial" w:eastAsia="Calibri" w:hAnsi="Arial" w:cs="Arial"/>
          <w:b/>
          <w:color w:val="000000" w:themeColor="text1"/>
          <w:sz w:val="20"/>
          <w:szCs w:val="20"/>
        </w:rPr>
        <w:t xml:space="preserve"> </w:t>
      </w:r>
      <w:r w:rsidR="00726482" w:rsidRPr="00634A2A">
        <w:rPr>
          <w:rFonts w:ascii="Arial" w:eastAsia="Calibri" w:hAnsi="Arial" w:cs="Arial"/>
          <w:color w:val="000000" w:themeColor="text1"/>
          <w:sz w:val="20"/>
          <w:szCs w:val="20"/>
        </w:rPr>
        <w:t>RUP</w:t>
      </w:r>
      <w:r w:rsidR="00726482" w:rsidRPr="00634A2A">
        <w:rPr>
          <w:rFonts w:ascii="Arial" w:eastAsia="Calibri" w:hAnsi="Arial" w:cs="Arial"/>
          <w:b/>
          <w:color w:val="000000" w:themeColor="text1"/>
          <w:sz w:val="20"/>
          <w:szCs w:val="20"/>
        </w:rPr>
        <w:t xml:space="preserve"> </w:t>
      </w:r>
      <w:r w:rsidR="00726482" w:rsidRPr="00634A2A">
        <w:rPr>
          <w:rFonts w:ascii="Arial" w:eastAsia="Calibri" w:hAnsi="Arial" w:cs="Arial"/>
          <w:color w:val="000000" w:themeColor="text1"/>
          <w:sz w:val="20"/>
          <w:szCs w:val="20"/>
        </w:rPr>
        <w:t>─</w:t>
      </w:r>
      <w:r w:rsidRPr="00634A2A">
        <w:rPr>
          <w:rFonts w:ascii="Arial" w:eastAsia="Calibri" w:hAnsi="Arial" w:cs="Arial"/>
          <w:color w:val="000000" w:themeColor="text1"/>
          <w:sz w:val="20"/>
          <w:szCs w:val="20"/>
        </w:rPr>
        <w:t>, cuando este certificado sea exigible de acuerdo con la ley, en el cual constan los requisitos habilitantes que se evalúan exclusivamente con este documento, que es su plena prueba, sin que le sea posible a la entidad o al proponente solicitar o aportar otra documentación</w:t>
      </w:r>
      <w:r w:rsidR="00726482" w:rsidRPr="00634A2A">
        <w:rPr>
          <w:rFonts w:ascii="Arial" w:eastAsia="Calibri" w:hAnsi="Arial" w:cs="Arial"/>
          <w:color w:val="000000" w:themeColor="text1"/>
          <w:sz w:val="20"/>
          <w:szCs w:val="20"/>
        </w:rPr>
        <w:t>.</w:t>
      </w:r>
    </w:p>
    <w:p w14:paraId="1D7A24E0" w14:textId="77777777" w:rsidR="00104DFA" w:rsidRPr="00634A2A" w:rsidRDefault="00104DFA" w:rsidP="00116AB5">
      <w:pPr>
        <w:jc w:val="both"/>
        <w:rPr>
          <w:rFonts w:ascii="Arial" w:hAnsi="Arial" w:cs="Arial"/>
          <w:b/>
          <w:bCs/>
          <w:color w:val="000000" w:themeColor="text1"/>
          <w:sz w:val="20"/>
          <w:szCs w:val="20"/>
        </w:rPr>
      </w:pPr>
    </w:p>
    <w:p w14:paraId="658A36ED" w14:textId="2EACBC5E" w:rsidR="007C0569" w:rsidRPr="004D58A4" w:rsidRDefault="00BA0477" w:rsidP="00116AB5">
      <w:pPr>
        <w:jc w:val="both"/>
        <w:rPr>
          <w:rFonts w:ascii="Arial" w:hAnsi="Arial" w:cs="Arial"/>
          <w:b/>
          <w:bCs/>
          <w:color w:val="000000" w:themeColor="text1"/>
          <w:sz w:val="22"/>
        </w:rPr>
      </w:pPr>
      <w:r w:rsidRPr="004D58A4">
        <w:rPr>
          <w:rFonts w:ascii="Arial" w:eastAsia="Calibri" w:hAnsi="Arial" w:cs="Arial"/>
          <w:b/>
          <w:bCs/>
          <w:color w:val="000000" w:themeColor="text1"/>
          <w:sz w:val="22"/>
        </w:rPr>
        <w:t>R</w:t>
      </w:r>
      <w:r>
        <w:rPr>
          <w:rFonts w:ascii="Arial" w:eastAsia="Calibri" w:hAnsi="Arial" w:cs="Arial"/>
          <w:b/>
          <w:bCs/>
          <w:color w:val="000000" w:themeColor="text1"/>
          <w:sz w:val="22"/>
        </w:rPr>
        <w:t xml:space="preserve">EGISTRO ÚNICO DE </w:t>
      </w:r>
      <w:r w:rsidRPr="004D58A4">
        <w:rPr>
          <w:rFonts w:ascii="Arial" w:eastAsia="Calibri" w:hAnsi="Arial" w:cs="Arial"/>
          <w:b/>
          <w:bCs/>
          <w:color w:val="000000" w:themeColor="text1"/>
          <w:sz w:val="22"/>
        </w:rPr>
        <w:t>P</w:t>
      </w:r>
      <w:r>
        <w:rPr>
          <w:rFonts w:ascii="Arial" w:eastAsia="Calibri" w:hAnsi="Arial" w:cs="Arial"/>
          <w:b/>
          <w:bCs/>
          <w:color w:val="000000" w:themeColor="text1"/>
          <w:sz w:val="22"/>
        </w:rPr>
        <w:t>ROPONENTES</w:t>
      </w:r>
      <w:r w:rsidRPr="004D58A4">
        <w:rPr>
          <w:rFonts w:ascii="Arial" w:eastAsia="Calibri" w:hAnsi="Arial" w:cs="Arial"/>
          <w:b/>
          <w:bCs/>
          <w:color w:val="000000" w:themeColor="text1"/>
          <w:sz w:val="22"/>
        </w:rPr>
        <w:t xml:space="preserve"> </w:t>
      </w:r>
      <w:r w:rsidRPr="006C15D5">
        <w:rPr>
          <w:rFonts w:ascii="Arial" w:eastAsia="Calibri" w:hAnsi="Arial" w:cs="Arial"/>
          <w:b/>
          <w:color w:val="000000" w:themeColor="text1"/>
          <w:sz w:val="22"/>
        </w:rPr>
        <w:t>–</w:t>
      </w:r>
      <w:r w:rsidRPr="004D58A4">
        <w:rPr>
          <w:rFonts w:ascii="Arial" w:eastAsia="Calibri" w:hAnsi="Arial" w:cs="Arial"/>
          <w:b/>
          <w:bCs/>
          <w:color w:val="000000" w:themeColor="text1"/>
          <w:sz w:val="22"/>
        </w:rPr>
        <w:t xml:space="preserve"> </w:t>
      </w:r>
      <w:r>
        <w:rPr>
          <w:rFonts w:ascii="Arial" w:eastAsia="Calibri" w:hAnsi="Arial" w:cs="Arial"/>
          <w:b/>
          <w:bCs/>
          <w:color w:val="000000" w:themeColor="text1"/>
          <w:sz w:val="22"/>
        </w:rPr>
        <w:t xml:space="preserve">Inscripción </w:t>
      </w:r>
      <w:bookmarkStart w:id="2" w:name="_GoBack"/>
      <w:bookmarkEnd w:id="2"/>
      <w:r w:rsidR="00116AB5" w:rsidRPr="006C15D5">
        <w:rPr>
          <w:rFonts w:ascii="Arial" w:eastAsia="Calibri" w:hAnsi="Arial" w:cs="Arial"/>
          <w:b/>
          <w:color w:val="000000" w:themeColor="text1"/>
          <w:sz w:val="22"/>
        </w:rPr>
        <w:t>–</w:t>
      </w:r>
      <w:r w:rsidR="00340A4D">
        <w:rPr>
          <w:rFonts w:ascii="Arial" w:eastAsia="Calibri" w:hAnsi="Arial" w:cs="Arial"/>
          <w:b/>
          <w:color w:val="000000" w:themeColor="text1"/>
          <w:sz w:val="22"/>
        </w:rPr>
        <w:t xml:space="preserve"> Deber </w:t>
      </w:r>
      <w:r w:rsidR="00340A4D" w:rsidRPr="006C15D5">
        <w:rPr>
          <w:rFonts w:ascii="Arial" w:eastAsia="Calibri" w:hAnsi="Arial" w:cs="Arial"/>
          <w:b/>
          <w:color w:val="000000" w:themeColor="text1"/>
          <w:sz w:val="22"/>
        </w:rPr>
        <w:t>–</w:t>
      </w:r>
      <w:r w:rsidR="007C0569" w:rsidRPr="004D58A4">
        <w:rPr>
          <w:rFonts w:ascii="Arial" w:eastAsia="Calibri" w:hAnsi="Arial" w:cs="Arial"/>
          <w:color w:val="000000" w:themeColor="text1"/>
          <w:sz w:val="22"/>
        </w:rPr>
        <w:t xml:space="preserve"> </w:t>
      </w:r>
      <w:r w:rsidR="00C81089" w:rsidRPr="004D58A4">
        <w:rPr>
          <w:rFonts w:ascii="Arial" w:eastAsia="Calibri" w:hAnsi="Arial" w:cs="Arial"/>
          <w:b/>
          <w:bCs/>
          <w:color w:val="000000" w:themeColor="text1"/>
          <w:sz w:val="22"/>
        </w:rPr>
        <w:t>Excepciones</w:t>
      </w:r>
    </w:p>
    <w:p w14:paraId="3A850EBC" w14:textId="77777777" w:rsidR="007C0569" w:rsidRPr="00634A2A" w:rsidRDefault="007C0569" w:rsidP="00116AB5">
      <w:pPr>
        <w:jc w:val="both"/>
        <w:rPr>
          <w:rFonts w:ascii="Arial" w:hAnsi="Arial" w:cs="Arial"/>
          <w:color w:val="000000" w:themeColor="text1"/>
          <w:sz w:val="20"/>
          <w:szCs w:val="20"/>
        </w:rPr>
      </w:pPr>
    </w:p>
    <w:p w14:paraId="169BABEF" w14:textId="2DE5FEA4" w:rsidR="00765B1B" w:rsidRPr="00634A2A" w:rsidRDefault="00E36114" w:rsidP="00116AB5">
      <w:pPr>
        <w:jc w:val="both"/>
        <w:rPr>
          <w:rFonts w:ascii="Arial" w:hAnsi="Arial" w:cs="Arial"/>
          <w:b/>
          <w:color w:val="000000" w:themeColor="text1"/>
          <w:sz w:val="20"/>
          <w:szCs w:val="20"/>
        </w:rPr>
      </w:pPr>
      <w:r>
        <w:rPr>
          <w:rFonts w:ascii="Arial" w:hAnsi="Arial" w:cs="Arial"/>
          <w:color w:val="000000" w:themeColor="text1"/>
          <w:sz w:val="20"/>
          <w:szCs w:val="20"/>
        </w:rPr>
        <w:t xml:space="preserve">[…] </w:t>
      </w:r>
      <w:r w:rsidR="00E912A7">
        <w:rPr>
          <w:rFonts w:ascii="Arial" w:hAnsi="Arial" w:cs="Arial"/>
          <w:color w:val="000000" w:themeColor="text1"/>
          <w:sz w:val="20"/>
          <w:szCs w:val="20"/>
        </w:rPr>
        <w:t>l</w:t>
      </w:r>
      <w:r w:rsidR="007C0569" w:rsidRPr="00634A2A">
        <w:rPr>
          <w:rFonts w:ascii="Arial" w:hAnsi="Arial" w:cs="Arial"/>
          <w:color w:val="000000" w:themeColor="text1"/>
          <w:sz w:val="20"/>
          <w:szCs w:val="20"/>
        </w:rPr>
        <w:t>a norma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r w:rsidR="00726482" w:rsidRPr="00634A2A">
        <w:rPr>
          <w:rFonts w:ascii="Arial" w:hAnsi="Arial" w:cs="Arial"/>
          <w:color w:val="000000" w:themeColor="text1"/>
          <w:sz w:val="20"/>
          <w:szCs w:val="20"/>
        </w:rPr>
        <w:t>.</w:t>
      </w:r>
      <w:r w:rsidR="008A2025" w:rsidRPr="00634A2A">
        <w:rPr>
          <w:rFonts w:ascii="Arial" w:hAnsi="Arial" w:cs="Arial"/>
          <w:color w:val="000000" w:themeColor="text1"/>
          <w:sz w:val="20"/>
          <w:szCs w:val="20"/>
        </w:rPr>
        <w:tab/>
      </w:r>
    </w:p>
    <w:p w14:paraId="182450B5" w14:textId="77777777" w:rsidR="00E36114" w:rsidRDefault="00E36114" w:rsidP="004233A7">
      <w:pPr>
        <w:pStyle w:val="Default"/>
        <w:rPr>
          <w:color w:val="000000" w:themeColor="text1"/>
          <w:sz w:val="22"/>
          <w:szCs w:val="22"/>
        </w:rPr>
      </w:pPr>
    </w:p>
    <w:p w14:paraId="545B4CA6" w14:textId="78481443" w:rsidR="00E36114" w:rsidRDefault="00E36114" w:rsidP="004233A7">
      <w:pPr>
        <w:pStyle w:val="Default"/>
        <w:rPr>
          <w:color w:val="000000" w:themeColor="text1"/>
          <w:sz w:val="22"/>
          <w:szCs w:val="22"/>
        </w:rPr>
      </w:pPr>
    </w:p>
    <w:p w14:paraId="003E4435" w14:textId="6FCB4E16" w:rsidR="00052516" w:rsidRDefault="00052516" w:rsidP="004233A7">
      <w:pPr>
        <w:pStyle w:val="Default"/>
        <w:rPr>
          <w:color w:val="000000" w:themeColor="text1"/>
          <w:sz w:val="22"/>
          <w:szCs w:val="22"/>
        </w:rPr>
      </w:pPr>
    </w:p>
    <w:p w14:paraId="657FA1F8" w14:textId="6C75989C" w:rsidR="00052516" w:rsidRDefault="00052516" w:rsidP="004233A7">
      <w:pPr>
        <w:pStyle w:val="Default"/>
        <w:rPr>
          <w:color w:val="000000" w:themeColor="text1"/>
          <w:sz w:val="22"/>
          <w:szCs w:val="22"/>
        </w:rPr>
      </w:pPr>
    </w:p>
    <w:p w14:paraId="766C79A0" w14:textId="77777777" w:rsidR="00052516" w:rsidRDefault="00052516" w:rsidP="004233A7">
      <w:pPr>
        <w:pStyle w:val="Default"/>
        <w:rPr>
          <w:color w:val="000000" w:themeColor="text1"/>
          <w:sz w:val="22"/>
          <w:szCs w:val="22"/>
        </w:rPr>
      </w:pPr>
    </w:p>
    <w:p w14:paraId="2A64FF69" w14:textId="77777777" w:rsidR="00052516" w:rsidRDefault="004233A7" w:rsidP="00052516">
      <w:pPr>
        <w:pStyle w:val="Default"/>
        <w:rPr>
          <w:b/>
          <w:bCs/>
          <w:color w:val="000000" w:themeColor="text1"/>
          <w:sz w:val="22"/>
          <w:szCs w:val="22"/>
        </w:rPr>
      </w:pPr>
      <w:r w:rsidRPr="004D58A4">
        <w:rPr>
          <w:color w:val="000000" w:themeColor="text1"/>
          <w:sz w:val="22"/>
          <w:szCs w:val="22"/>
        </w:rPr>
        <w:t xml:space="preserve">Bogotá D.C., </w:t>
      </w:r>
      <w:r w:rsidRPr="004D58A4">
        <w:rPr>
          <w:b/>
          <w:bCs/>
          <w:color w:val="000000" w:themeColor="text1"/>
          <w:sz w:val="22"/>
          <w:szCs w:val="22"/>
        </w:rPr>
        <w:t xml:space="preserve">25/03/2020 Hora 12:3:45s </w:t>
      </w:r>
    </w:p>
    <w:p w14:paraId="7E80B7C1" w14:textId="355F7700" w:rsidR="00A37FB6" w:rsidRPr="004D58A4" w:rsidRDefault="004233A7" w:rsidP="00052516">
      <w:pPr>
        <w:pStyle w:val="Default"/>
        <w:jc w:val="right"/>
        <w:rPr>
          <w:rFonts w:eastAsia="Calibri"/>
          <w:color w:val="000000" w:themeColor="text1"/>
          <w:sz w:val="22"/>
        </w:rPr>
      </w:pPr>
      <w:r w:rsidRPr="004D58A4">
        <w:rPr>
          <w:b/>
          <w:bCs/>
          <w:color w:val="000000" w:themeColor="text1"/>
          <w:sz w:val="22"/>
        </w:rPr>
        <w:t xml:space="preserve">N° Radicado: 2202013000002174 </w:t>
      </w:r>
      <w:r w:rsidR="00A37FB6" w:rsidRPr="004D58A4">
        <w:rPr>
          <w:rFonts w:eastAsia="Calibri"/>
          <w:color w:val="000000" w:themeColor="text1"/>
          <w:sz w:val="22"/>
        </w:rPr>
        <w:tab/>
      </w:r>
    </w:p>
    <w:p w14:paraId="4C5357F4" w14:textId="77777777" w:rsidR="00052516" w:rsidRDefault="00052516" w:rsidP="00A97435">
      <w:pPr>
        <w:pStyle w:val="Sinespaciado"/>
        <w:rPr>
          <w:rFonts w:ascii="Arial" w:hAnsi="Arial" w:cs="Arial"/>
          <w:color w:val="000000" w:themeColor="text1"/>
          <w:sz w:val="22"/>
        </w:rPr>
      </w:pPr>
    </w:p>
    <w:p w14:paraId="506C3D03" w14:textId="7FA732C3" w:rsidR="001215D3" w:rsidRPr="004D58A4" w:rsidRDefault="00E6565C" w:rsidP="00A97435">
      <w:pPr>
        <w:pStyle w:val="Sinespaciado"/>
        <w:rPr>
          <w:rFonts w:ascii="Arial" w:hAnsi="Arial" w:cs="Arial"/>
          <w:color w:val="000000" w:themeColor="text1"/>
          <w:sz w:val="22"/>
        </w:rPr>
      </w:pPr>
      <w:r w:rsidRPr="004D58A4">
        <w:rPr>
          <w:rFonts w:ascii="Arial" w:hAnsi="Arial" w:cs="Arial"/>
          <w:color w:val="000000" w:themeColor="text1"/>
          <w:sz w:val="22"/>
        </w:rPr>
        <w:t>Señor</w:t>
      </w:r>
      <w:r w:rsidR="00F93FC0" w:rsidRPr="004D58A4">
        <w:rPr>
          <w:rFonts w:ascii="Arial" w:hAnsi="Arial" w:cs="Arial"/>
          <w:color w:val="000000" w:themeColor="text1"/>
          <w:sz w:val="22"/>
        </w:rPr>
        <w:t>a</w:t>
      </w:r>
    </w:p>
    <w:p w14:paraId="0144FCCB" w14:textId="2832B9AD" w:rsidR="006C10B1" w:rsidRPr="004D58A4" w:rsidRDefault="006C10B1" w:rsidP="00A97435">
      <w:pPr>
        <w:pStyle w:val="Sinespaciado"/>
        <w:rPr>
          <w:rFonts w:ascii="Arial" w:hAnsi="Arial" w:cs="Arial"/>
          <w:b/>
          <w:bCs/>
          <w:color w:val="000000" w:themeColor="text1"/>
          <w:sz w:val="22"/>
        </w:rPr>
      </w:pPr>
      <w:r w:rsidRPr="004D58A4">
        <w:rPr>
          <w:rFonts w:ascii="Arial" w:hAnsi="Arial" w:cs="Arial"/>
          <w:b/>
          <w:bCs/>
          <w:color w:val="000000" w:themeColor="text1"/>
          <w:sz w:val="22"/>
        </w:rPr>
        <w:t>María Corrales Díaz</w:t>
      </w:r>
    </w:p>
    <w:p w14:paraId="359C48BE" w14:textId="77777777" w:rsidR="00A37FB6" w:rsidRPr="004D58A4" w:rsidRDefault="00A37FB6" w:rsidP="00A97435">
      <w:pPr>
        <w:pStyle w:val="Sinespaciado"/>
        <w:rPr>
          <w:rFonts w:ascii="Arial" w:hAnsi="Arial" w:cs="Arial"/>
          <w:color w:val="000000" w:themeColor="text1"/>
          <w:sz w:val="22"/>
        </w:rPr>
      </w:pPr>
      <w:r w:rsidRPr="004D58A4">
        <w:rPr>
          <w:rFonts w:ascii="Arial" w:hAnsi="Arial" w:cs="Arial"/>
          <w:color w:val="000000" w:themeColor="text1"/>
          <w:sz w:val="22"/>
        </w:rPr>
        <w:t>Ciudad</w:t>
      </w:r>
    </w:p>
    <w:p w14:paraId="479F6A3A" w14:textId="7136CC07" w:rsidR="00A37FB6" w:rsidRPr="004D58A4" w:rsidRDefault="00AD1B0F" w:rsidP="008A2025">
      <w:pPr>
        <w:spacing w:before="120" w:after="120" w:line="276" w:lineRule="auto"/>
        <w:jc w:val="center"/>
        <w:rPr>
          <w:rFonts w:ascii="Arial" w:eastAsia="Calibri" w:hAnsi="Arial" w:cs="Arial"/>
          <w:b/>
          <w:color w:val="000000" w:themeColor="text1"/>
          <w:sz w:val="22"/>
        </w:rPr>
      </w:pPr>
      <w:r w:rsidRPr="004D58A4">
        <w:rPr>
          <w:rFonts w:ascii="Arial" w:eastAsia="Calibri" w:hAnsi="Arial" w:cs="Arial"/>
          <w:b/>
          <w:color w:val="000000" w:themeColor="text1"/>
          <w:sz w:val="22"/>
        </w:rPr>
        <w:t>Concepto C</w:t>
      </w:r>
      <w:r w:rsidRPr="004D58A4">
        <w:rPr>
          <w:rFonts w:ascii="Arial" w:eastAsia="Calibri" w:hAnsi="Arial" w:cs="Arial"/>
          <w:color w:val="000000" w:themeColor="text1"/>
          <w:sz w:val="22"/>
        </w:rPr>
        <w:t xml:space="preserve"> ─</w:t>
      </w:r>
      <w:r w:rsidRPr="004D58A4">
        <w:rPr>
          <w:rFonts w:ascii="Arial" w:eastAsia="Calibri" w:hAnsi="Arial" w:cs="Arial"/>
          <w:b/>
          <w:color w:val="000000" w:themeColor="text1"/>
          <w:sz w:val="22"/>
        </w:rPr>
        <w:t xml:space="preserve"> </w:t>
      </w:r>
      <w:r w:rsidR="00A97435" w:rsidRPr="004D58A4">
        <w:rPr>
          <w:rFonts w:ascii="Arial" w:eastAsia="Calibri" w:hAnsi="Arial" w:cs="Arial"/>
          <w:b/>
          <w:color w:val="000000" w:themeColor="text1"/>
          <w:sz w:val="22"/>
        </w:rPr>
        <w:t>1</w:t>
      </w:r>
      <w:r w:rsidRPr="004D58A4">
        <w:rPr>
          <w:rFonts w:ascii="Arial" w:eastAsia="Calibri" w:hAnsi="Arial" w:cs="Arial"/>
          <w:b/>
          <w:color w:val="000000" w:themeColor="text1"/>
          <w:sz w:val="22"/>
        </w:rPr>
        <w:t>1</w:t>
      </w:r>
      <w:r w:rsidR="00A97435" w:rsidRPr="004D58A4">
        <w:rPr>
          <w:rFonts w:ascii="Arial" w:eastAsia="Calibri" w:hAnsi="Arial" w:cs="Arial"/>
          <w:b/>
          <w:color w:val="000000" w:themeColor="text1"/>
          <w:sz w:val="22"/>
        </w:rPr>
        <w:t>3</w:t>
      </w:r>
      <w:r w:rsidR="00A37FB6" w:rsidRPr="004D58A4">
        <w:rPr>
          <w:rFonts w:ascii="Arial" w:eastAsia="Calibri" w:hAnsi="Arial" w:cs="Arial"/>
          <w:b/>
          <w:color w:val="000000" w:themeColor="text1"/>
          <w:sz w:val="22"/>
        </w:rPr>
        <w:t xml:space="preserve"> de 2020</w:t>
      </w:r>
    </w:p>
    <w:p w14:paraId="49BB1EAB" w14:textId="77777777" w:rsidR="00A37FB6" w:rsidRPr="004D58A4" w:rsidRDefault="00A37FB6" w:rsidP="008A2025">
      <w:pPr>
        <w:spacing w:before="120" w:after="120" w:line="276" w:lineRule="auto"/>
        <w:rPr>
          <w:rFonts w:ascii="Arial" w:eastAsia="Calibri" w:hAnsi="Arial" w:cs="Arial"/>
          <w:color w:val="000000" w:themeColor="text1"/>
          <w:sz w:val="22"/>
        </w:rPr>
      </w:pPr>
    </w:p>
    <w:tbl>
      <w:tblPr>
        <w:tblStyle w:val="Tablaconcuadrcula"/>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14"/>
        <w:gridCol w:w="6206"/>
      </w:tblGrid>
      <w:tr w:rsidR="004D58A4" w:rsidRPr="004D58A4" w14:paraId="20C2FA60" w14:textId="77777777" w:rsidTr="004D58A4">
        <w:trPr>
          <w:trHeight w:val="1006"/>
        </w:trPr>
        <w:tc>
          <w:tcPr>
            <w:tcW w:w="2614" w:type="dxa"/>
            <w:hideMark/>
          </w:tcPr>
          <w:p w14:paraId="2A9459AB" w14:textId="77777777" w:rsidR="00A37FB6" w:rsidRPr="004D58A4" w:rsidRDefault="00A37FB6" w:rsidP="008A2025">
            <w:pPr>
              <w:spacing w:before="120" w:after="120" w:line="276" w:lineRule="auto"/>
              <w:rPr>
                <w:rFonts w:ascii="Arial" w:eastAsia="Calibri" w:hAnsi="Arial" w:cs="Arial"/>
                <w:color w:val="000000" w:themeColor="text1"/>
                <w:sz w:val="22"/>
              </w:rPr>
            </w:pPr>
            <w:r w:rsidRPr="004D58A4">
              <w:rPr>
                <w:rFonts w:ascii="Arial" w:eastAsia="Calibri" w:hAnsi="Arial" w:cs="Arial"/>
                <w:b/>
                <w:color w:val="000000" w:themeColor="text1"/>
                <w:sz w:val="22"/>
              </w:rPr>
              <w:t>Temas:</w:t>
            </w:r>
            <w:r w:rsidRPr="004D58A4">
              <w:rPr>
                <w:rFonts w:ascii="Arial" w:eastAsia="Calibri" w:hAnsi="Arial" w:cs="Arial"/>
                <w:color w:val="000000" w:themeColor="text1"/>
                <w:sz w:val="22"/>
              </w:rPr>
              <w:t xml:space="preserve">           </w:t>
            </w:r>
          </w:p>
          <w:p w14:paraId="1840BCE8" w14:textId="77777777" w:rsidR="00A37FB6" w:rsidRPr="004D58A4" w:rsidRDefault="00A37FB6" w:rsidP="008A2025">
            <w:pPr>
              <w:spacing w:before="120" w:after="120" w:line="276" w:lineRule="auto"/>
              <w:rPr>
                <w:rFonts w:ascii="Arial" w:eastAsia="Calibri" w:hAnsi="Arial" w:cs="Arial"/>
                <w:color w:val="000000" w:themeColor="text1"/>
                <w:sz w:val="22"/>
              </w:rPr>
            </w:pPr>
            <w:r w:rsidRPr="004D58A4">
              <w:rPr>
                <w:rFonts w:ascii="Arial" w:eastAsia="Calibri" w:hAnsi="Arial" w:cs="Arial"/>
                <w:color w:val="000000" w:themeColor="text1"/>
                <w:sz w:val="22"/>
              </w:rPr>
              <w:t xml:space="preserve">                           </w:t>
            </w:r>
          </w:p>
        </w:tc>
        <w:tc>
          <w:tcPr>
            <w:tcW w:w="6206" w:type="dxa"/>
            <w:hideMark/>
          </w:tcPr>
          <w:p w14:paraId="069BC436" w14:textId="47C3A21D" w:rsidR="00A37FB6" w:rsidRPr="004D58A4" w:rsidRDefault="00726482" w:rsidP="003A3A09">
            <w:pPr>
              <w:jc w:val="both"/>
              <w:rPr>
                <w:rFonts w:ascii="Arial" w:hAnsi="Arial" w:cs="Arial"/>
                <w:color w:val="000000" w:themeColor="text1"/>
                <w:sz w:val="22"/>
              </w:rPr>
            </w:pPr>
            <w:r w:rsidRPr="004D58A4">
              <w:rPr>
                <w:rFonts w:ascii="Arial" w:eastAsia="Calibri" w:hAnsi="Arial" w:cs="Arial"/>
                <w:color w:val="000000" w:themeColor="text1"/>
                <w:sz w:val="22"/>
              </w:rPr>
              <w:t xml:space="preserve">EXPERIENCIA </w:t>
            </w:r>
            <w:r w:rsidR="00DB22BC" w:rsidRPr="004D58A4">
              <w:rPr>
                <w:rFonts w:ascii="Arial" w:eastAsia="Calibri" w:hAnsi="Arial" w:cs="Arial"/>
                <w:color w:val="000000" w:themeColor="text1"/>
                <w:sz w:val="22"/>
              </w:rPr>
              <w:t xml:space="preserve">SOCIEDADES </w:t>
            </w:r>
            <w:r w:rsidRPr="004D58A4">
              <w:rPr>
                <w:rFonts w:ascii="Arial" w:eastAsia="Calibri" w:hAnsi="Arial" w:cs="Arial"/>
                <w:color w:val="000000" w:themeColor="text1"/>
                <w:sz w:val="22"/>
              </w:rPr>
              <w:t>NUEVAS</w:t>
            </w:r>
            <w:r w:rsidR="00DB22BC" w:rsidRPr="004D58A4">
              <w:rPr>
                <w:rFonts w:ascii="Arial" w:eastAsia="Calibri" w:hAnsi="Arial" w:cs="Arial"/>
                <w:color w:val="000000" w:themeColor="text1"/>
                <w:sz w:val="22"/>
              </w:rPr>
              <w:t xml:space="preserve"> </w:t>
            </w:r>
            <w:r w:rsidR="00390405" w:rsidRPr="004D58A4">
              <w:rPr>
                <w:rFonts w:ascii="Arial" w:eastAsia="Calibri" w:hAnsi="Arial" w:cs="Arial"/>
                <w:color w:val="000000" w:themeColor="text1"/>
                <w:sz w:val="22"/>
              </w:rPr>
              <w:t xml:space="preserve">― </w:t>
            </w:r>
            <w:r w:rsidR="00DB22BC" w:rsidRPr="004D58A4">
              <w:rPr>
                <w:rFonts w:ascii="Arial" w:eastAsia="Calibri" w:hAnsi="Arial" w:cs="Arial"/>
                <w:color w:val="000000" w:themeColor="text1"/>
                <w:sz w:val="22"/>
              </w:rPr>
              <w:t>Procesos exceptuados del RUP</w:t>
            </w:r>
            <w:r w:rsidR="00104DFA" w:rsidRPr="004D58A4">
              <w:rPr>
                <w:rFonts w:ascii="Arial" w:eastAsia="Calibri" w:hAnsi="Arial" w:cs="Arial"/>
                <w:color w:val="000000" w:themeColor="text1"/>
                <w:sz w:val="22"/>
              </w:rPr>
              <w:t>/ R</w:t>
            </w:r>
            <w:r w:rsidR="003A3A09">
              <w:rPr>
                <w:rFonts w:ascii="Arial" w:eastAsia="Calibri" w:hAnsi="Arial" w:cs="Arial"/>
                <w:color w:val="000000" w:themeColor="text1"/>
                <w:sz w:val="22"/>
              </w:rPr>
              <w:t xml:space="preserve">EGISTRO </w:t>
            </w:r>
            <w:r w:rsidR="00104DFA" w:rsidRPr="004D58A4">
              <w:rPr>
                <w:rFonts w:ascii="Arial" w:eastAsia="Calibri" w:hAnsi="Arial" w:cs="Arial"/>
                <w:color w:val="000000" w:themeColor="text1"/>
                <w:sz w:val="22"/>
              </w:rPr>
              <w:t>U</w:t>
            </w:r>
            <w:r w:rsidR="003A3A09">
              <w:rPr>
                <w:rFonts w:ascii="Arial" w:eastAsia="Calibri" w:hAnsi="Arial" w:cs="Arial"/>
                <w:color w:val="000000" w:themeColor="text1"/>
                <w:sz w:val="22"/>
              </w:rPr>
              <w:t xml:space="preserve">NICO DE </w:t>
            </w:r>
            <w:r w:rsidR="00104DFA" w:rsidRPr="004D58A4">
              <w:rPr>
                <w:rFonts w:ascii="Arial" w:eastAsia="Calibri" w:hAnsi="Arial" w:cs="Arial"/>
                <w:color w:val="000000" w:themeColor="text1"/>
                <w:sz w:val="22"/>
              </w:rPr>
              <w:t>P</w:t>
            </w:r>
            <w:r w:rsidR="003A3A09">
              <w:rPr>
                <w:rFonts w:ascii="Arial" w:eastAsia="Calibri" w:hAnsi="Arial" w:cs="Arial"/>
                <w:color w:val="000000" w:themeColor="text1"/>
                <w:sz w:val="22"/>
              </w:rPr>
              <w:t>ROPONENTES</w:t>
            </w:r>
            <w:r w:rsidR="00104DFA" w:rsidRPr="004D58A4">
              <w:rPr>
                <w:rFonts w:ascii="Arial" w:eastAsia="Calibri" w:hAnsi="Arial" w:cs="Arial"/>
                <w:color w:val="000000" w:themeColor="text1"/>
                <w:sz w:val="22"/>
              </w:rPr>
              <w:t xml:space="preserve"> ― Plena prueba de requisitos habilitantes </w:t>
            </w:r>
            <w:r w:rsidR="000C5BE9" w:rsidRPr="004D58A4">
              <w:rPr>
                <w:rFonts w:ascii="Arial" w:eastAsia="Calibri" w:hAnsi="Arial" w:cs="Arial"/>
                <w:color w:val="000000" w:themeColor="text1"/>
                <w:sz w:val="22"/>
              </w:rPr>
              <w:t xml:space="preserve">/ </w:t>
            </w:r>
            <w:r w:rsidR="003A3A09">
              <w:rPr>
                <w:rFonts w:ascii="Arial" w:hAnsi="Arial" w:cs="Arial"/>
                <w:color w:val="000000" w:themeColor="text1"/>
                <w:sz w:val="22"/>
              </w:rPr>
              <w:t>EXPERIENCIA</w:t>
            </w:r>
            <w:r w:rsidR="000C5BE9" w:rsidRPr="004D58A4">
              <w:rPr>
                <w:rFonts w:ascii="Arial" w:hAnsi="Arial" w:cs="Arial"/>
                <w:color w:val="000000" w:themeColor="text1"/>
                <w:sz w:val="22"/>
              </w:rPr>
              <w:t xml:space="preserve"> </w:t>
            </w:r>
            <w:r w:rsidR="000C5BE9" w:rsidRPr="004D58A4">
              <w:rPr>
                <w:rFonts w:ascii="Arial" w:eastAsia="Calibri" w:hAnsi="Arial" w:cs="Arial"/>
                <w:color w:val="000000" w:themeColor="text1"/>
                <w:sz w:val="22"/>
              </w:rPr>
              <w:t>― Competencia para fijarla</w:t>
            </w:r>
            <w:r w:rsidR="003C66C5" w:rsidRPr="004D58A4">
              <w:rPr>
                <w:rFonts w:ascii="Arial" w:eastAsia="Calibri" w:hAnsi="Arial" w:cs="Arial"/>
                <w:color w:val="000000" w:themeColor="text1"/>
                <w:sz w:val="22"/>
              </w:rPr>
              <w:t>/</w:t>
            </w:r>
            <w:r w:rsidR="00C81089" w:rsidRPr="004D58A4">
              <w:rPr>
                <w:rFonts w:ascii="Arial" w:eastAsia="Calibri" w:hAnsi="Arial" w:cs="Arial"/>
                <w:color w:val="000000" w:themeColor="text1"/>
                <w:sz w:val="22"/>
              </w:rPr>
              <w:t xml:space="preserve"> </w:t>
            </w:r>
            <w:r w:rsidR="00C81089" w:rsidRPr="004D58A4">
              <w:rPr>
                <w:rFonts w:ascii="Arial" w:hAnsi="Arial" w:cs="Arial"/>
                <w:color w:val="000000" w:themeColor="text1"/>
                <w:sz w:val="22"/>
              </w:rPr>
              <w:t xml:space="preserve">INSCRIPCIÓN EN EL RUP </w:t>
            </w:r>
            <w:r w:rsidR="00C81089" w:rsidRPr="004D58A4">
              <w:rPr>
                <w:rFonts w:ascii="Arial" w:eastAsia="Calibri" w:hAnsi="Arial" w:cs="Arial"/>
                <w:color w:val="000000" w:themeColor="text1"/>
                <w:sz w:val="22"/>
              </w:rPr>
              <w:t xml:space="preserve">─ </w:t>
            </w:r>
            <w:r w:rsidR="003A3A09">
              <w:rPr>
                <w:rFonts w:ascii="Arial" w:eastAsia="Calibri" w:hAnsi="Arial" w:cs="Arial"/>
                <w:color w:val="000000" w:themeColor="text1"/>
                <w:sz w:val="22"/>
              </w:rPr>
              <w:t xml:space="preserve">Deber - </w:t>
            </w:r>
            <w:r w:rsidR="00C81089" w:rsidRPr="004D58A4">
              <w:rPr>
                <w:rFonts w:ascii="Arial" w:eastAsia="Calibri" w:hAnsi="Arial" w:cs="Arial"/>
                <w:color w:val="000000" w:themeColor="text1"/>
                <w:sz w:val="22"/>
              </w:rPr>
              <w:t>Excepciones</w:t>
            </w:r>
          </w:p>
        </w:tc>
      </w:tr>
      <w:tr w:rsidR="004D58A4" w:rsidRPr="004D58A4" w14:paraId="62473A71" w14:textId="77777777" w:rsidTr="004D58A4">
        <w:trPr>
          <w:trHeight w:val="521"/>
        </w:trPr>
        <w:tc>
          <w:tcPr>
            <w:tcW w:w="2614" w:type="dxa"/>
          </w:tcPr>
          <w:p w14:paraId="730BF589" w14:textId="77777777" w:rsidR="00A37FB6" w:rsidRPr="004D58A4" w:rsidRDefault="00A37FB6" w:rsidP="008A2025">
            <w:pPr>
              <w:spacing w:before="120" w:after="120" w:line="276" w:lineRule="auto"/>
              <w:rPr>
                <w:rFonts w:ascii="Arial" w:eastAsia="Calibri" w:hAnsi="Arial" w:cs="Arial"/>
                <w:b/>
                <w:color w:val="000000" w:themeColor="text1"/>
                <w:sz w:val="22"/>
              </w:rPr>
            </w:pPr>
            <w:r w:rsidRPr="004D58A4">
              <w:rPr>
                <w:rFonts w:ascii="Arial" w:eastAsia="Calibri" w:hAnsi="Arial" w:cs="Arial"/>
                <w:b/>
                <w:color w:val="000000" w:themeColor="text1"/>
                <w:sz w:val="22"/>
              </w:rPr>
              <w:t>Radicación:</w:t>
            </w:r>
            <w:r w:rsidRPr="004D58A4">
              <w:rPr>
                <w:rFonts w:ascii="Arial" w:eastAsia="Calibri" w:hAnsi="Arial" w:cs="Arial"/>
                <w:color w:val="000000" w:themeColor="text1"/>
                <w:sz w:val="22"/>
              </w:rPr>
              <w:t xml:space="preserve">                              </w:t>
            </w:r>
          </w:p>
        </w:tc>
        <w:tc>
          <w:tcPr>
            <w:tcW w:w="6206" w:type="dxa"/>
          </w:tcPr>
          <w:p w14:paraId="2CD77F9B" w14:textId="147C10A8" w:rsidR="00A37FB6" w:rsidRPr="004D58A4" w:rsidRDefault="00AD1B0F" w:rsidP="008A2025">
            <w:pPr>
              <w:spacing w:before="120" w:after="120" w:line="276" w:lineRule="auto"/>
              <w:jc w:val="both"/>
              <w:rPr>
                <w:rFonts w:ascii="Arial" w:eastAsia="Calibri" w:hAnsi="Arial" w:cs="Arial"/>
                <w:color w:val="000000" w:themeColor="text1"/>
                <w:sz w:val="22"/>
              </w:rPr>
            </w:pPr>
            <w:r w:rsidRPr="004D58A4">
              <w:rPr>
                <w:rFonts w:ascii="Arial" w:eastAsia="Calibri" w:hAnsi="Arial" w:cs="Arial"/>
                <w:color w:val="000000" w:themeColor="text1"/>
                <w:sz w:val="22"/>
              </w:rPr>
              <w:t>Respuesta a consulta #420201</w:t>
            </w:r>
            <w:r w:rsidR="00F93FC0" w:rsidRPr="004D58A4">
              <w:rPr>
                <w:rFonts w:ascii="Arial" w:eastAsia="Calibri" w:hAnsi="Arial" w:cs="Arial"/>
                <w:color w:val="000000" w:themeColor="text1"/>
                <w:sz w:val="22"/>
              </w:rPr>
              <w:t>3000000963</w:t>
            </w:r>
          </w:p>
        </w:tc>
      </w:tr>
    </w:tbl>
    <w:p w14:paraId="72693BD0" w14:textId="77777777" w:rsidR="00965ED6" w:rsidRPr="004D58A4" w:rsidRDefault="00965ED6" w:rsidP="00DB22BC">
      <w:pPr>
        <w:spacing w:line="276" w:lineRule="auto"/>
        <w:rPr>
          <w:rFonts w:ascii="Arial" w:eastAsia="Calibri" w:hAnsi="Arial" w:cs="Arial"/>
          <w:color w:val="000000" w:themeColor="text1"/>
          <w:sz w:val="22"/>
        </w:rPr>
      </w:pPr>
    </w:p>
    <w:p w14:paraId="11CC0E21" w14:textId="77777777" w:rsidR="00965ED6" w:rsidRPr="004D58A4" w:rsidRDefault="00965ED6" w:rsidP="00DB22BC">
      <w:pPr>
        <w:spacing w:line="276" w:lineRule="auto"/>
        <w:rPr>
          <w:rFonts w:ascii="Arial" w:eastAsia="Calibri" w:hAnsi="Arial" w:cs="Arial"/>
          <w:color w:val="000000" w:themeColor="text1"/>
          <w:sz w:val="22"/>
        </w:rPr>
      </w:pPr>
    </w:p>
    <w:p w14:paraId="2F0DA2F5" w14:textId="37113815" w:rsidR="00A37FB6" w:rsidRPr="004D58A4" w:rsidRDefault="00E6565C" w:rsidP="00DB22BC">
      <w:pPr>
        <w:spacing w:line="276" w:lineRule="auto"/>
        <w:rPr>
          <w:rFonts w:ascii="Arial" w:eastAsia="Calibri" w:hAnsi="Arial" w:cs="Arial"/>
          <w:color w:val="000000" w:themeColor="text1"/>
          <w:sz w:val="22"/>
        </w:rPr>
      </w:pPr>
      <w:r w:rsidRPr="004D58A4">
        <w:rPr>
          <w:rFonts w:ascii="Arial" w:eastAsia="Calibri" w:hAnsi="Arial" w:cs="Arial"/>
          <w:color w:val="000000" w:themeColor="text1"/>
          <w:sz w:val="22"/>
        </w:rPr>
        <w:t>Estimado</w:t>
      </w:r>
      <w:r w:rsidR="00834F2E" w:rsidRPr="004D58A4">
        <w:rPr>
          <w:rFonts w:ascii="Arial" w:eastAsia="Calibri" w:hAnsi="Arial" w:cs="Arial"/>
          <w:color w:val="000000" w:themeColor="text1"/>
          <w:sz w:val="22"/>
        </w:rPr>
        <w:t xml:space="preserve"> señor</w:t>
      </w:r>
      <w:r w:rsidR="00F93FC0" w:rsidRPr="004D58A4">
        <w:rPr>
          <w:rFonts w:ascii="Arial" w:eastAsia="Calibri" w:hAnsi="Arial" w:cs="Arial"/>
          <w:color w:val="000000" w:themeColor="text1"/>
          <w:sz w:val="22"/>
        </w:rPr>
        <w:t>a Corrales:</w:t>
      </w:r>
    </w:p>
    <w:p w14:paraId="5C46C846" w14:textId="77777777" w:rsidR="00965ED6" w:rsidRPr="004D58A4" w:rsidRDefault="00965ED6" w:rsidP="00DB22BC">
      <w:pPr>
        <w:spacing w:line="276" w:lineRule="auto"/>
        <w:rPr>
          <w:rFonts w:ascii="Arial" w:eastAsia="Calibri" w:hAnsi="Arial" w:cs="Arial"/>
          <w:color w:val="000000" w:themeColor="text1"/>
          <w:sz w:val="22"/>
        </w:rPr>
      </w:pPr>
    </w:p>
    <w:p w14:paraId="7C0ECF63" w14:textId="186A8775" w:rsidR="00DB22BC" w:rsidRPr="004D58A4" w:rsidRDefault="00A37FB6" w:rsidP="00965ED6">
      <w:pPr>
        <w:spacing w:line="276" w:lineRule="auto"/>
        <w:ind w:right="49"/>
        <w:jc w:val="both"/>
        <w:rPr>
          <w:rFonts w:ascii="Arial" w:eastAsia="Calibri" w:hAnsi="Arial" w:cs="Arial"/>
          <w:color w:val="000000" w:themeColor="text1"/>
          <w:sz w:val="22"/>
        </w:rPr>
      </w:pPr>
      <w:r w:rsidRPr="004D58A4">
        <w:rPr>
          <w:rFonts w:ascii="Arial" w:eastAsia="Calibri" w:hAnsi="Arial" w:cs="Arial"/>
          <w:color w:val="000000" w:themeColor="text1"/>
          <w:sz w:val="22"/>
        </w:rPr>
        <w:t xml:space="preserve">La Agencia Nacional de Contratación Pública ―Colombia Compra Eficiente― responde su consulta </w:t>
      </w:r>
      <w:r w:rsidR="004141CB" w:rsidRPr="004D58A4">
        <w:rPr>
          <w:rFonts w:ascii="Arial" w:eastAsia="Calibri" w:hAnsi="Arial" w:cs="Arial"/>
          <w:color w:val="000000" w:themeColor="text1"/>
          <w:sz w:val="22"/>
        </w:rPr>
        <w:t>del</w:t>
      </w:r>
      <w:r w:rsidR="009D270F" w:rsidRPr="004D58A4">
        <w:rPr>
          <w:rFonts w:ascii="Arial" w:eastAsia="Calibri" w:hAnsi="Arial" w:cs="Arial"/>
          <w:color w:val="000000" w:themeColor="text1"/>
          <w:sz w:val="22"/>
        </w:rPr>
        <w:t xml:space="preserve"> 11 de febrer</w:t>
      </w:r>
      <w:r w:rsidR="00AD1B0F" w:rsidRPr="004D58A4">
        <w:rPr>
          <w:rFonts w:ascii="Arial" w:eastAsia="Calibri" w:hAnsi="Arial" w:cs="Arial"/>
          <w:color w:val="000000" w:themeColor="text1"/>
          <w:sz w:val="22"/>
        </w:rPr>
        <w:t>o</w:t>
      </w:r>
      <w:r w:rsidR="004141CB" w:rsidRPr="004D58A4">
        <w:rPr>
          <w:rFonts w:ascii="Arial" w:eastAsia="Calibri" w:hAnsi="Arial" w:cs="Arial"/>
          <w:color w:val="000000" w:themeColor="text1"/>
          <w:sz w:val="22"/>
        </w:rPr>
        <w:t xml:space="preserve"> de 2020</w:t>
      </w:r>
      <w:r w:rsidRPr="004D58A4">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59939D73" w14:textId="77777777" w:rsidR="009D270F" w:rsidRPr="004D58A4" w:rsidRDefault="009D270F" w:rsidP="00DB22BC">
      <w:pPr>
        <w:pStyle w:val="Prrafodelista"/>
        <w:tabs>
          <w:tab w:val="left" w:pos="284"/>
        </w:tabs>
        <w:spacing w:line="276" w:lineRule="auto"/>
        <w:ind w:left="0"/>
        <w:contextualSpacing w:val="0"/>
        <w:jc w:val="both"/>
        <w:rPr>
          <w:rFonts w:ascii="Arial" w:eastAsia="Calibri" w:hAnsi="Arial" w:cs="Arial"/>
          <w:b/>
          <w:color w:val="000000" w:themeColor="text1"/>
          <w:sz w:val="22"/>
        </w:rPr>
      </w:pPr>
    </w:p>
    <w:p w14:paraId="737E2623" w14:textId="77777777" w:rsidR="00A37FB6" w:rsidRPr="004D58A4" w:rsidRDefault="00A37FB6" w:rsidP="00DB22BC">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4D58A4">
        <w:rPr>
          <w:rFonts w:ascii="Arial" w:eastAsia="Calibri" w:hAnsi="Arial" w:cs="Arial"/>
          <w:b/>
          <w:color w:val="000000" w:themeColor="text1"/>
          <w:sz w:val="22"/>
        </w:rPr>
        <w:t xml:space="preserve">Problemas planteados </w:t>
      </w:r>
    </w:p>
    <w:p w14:paraId="498A026D" w14:textId="77777777" w:rsidR="00A37FB6" w:rsidRPr="004D58A4" w:rsidRDefault="00A37FB6" w:rsidP="00DB22BC">
      <w:pPr>
        <w:tabs>
          <w:tab w:val="left" w:pos="426"/>
        </w:tabs>
        <w:spacing w:line="276" w:lineRule="auto"/>
        <w:jc w:val="both"/>
        <w:rPr>
          <w:rFonts w:ascii="Arial" w:eastAsia="Calibri" w:hAnsi="Arial" w:cs="Arial"/>
          <w:b/>
          <w:color w:val="000000" w:themeColor="text1"/>
          <w:sz w:val="22"/>
        </w:rPr>
      </w:pPr>
    </w:p>
    <w:p w14:paraId="48360772" w14:textId="2244A24F" w:rsidR="008B3DC3" w:rsidRPr="004D58A4" w:rsidRDefault="00A012AD" w:rsidP="00DB22BC">
      <w:pPr>
        <w:tabs>
          <w:tab w:val="left" w:pos="426"/>
        </w:tabs>
        <w:spacing w:line="276" w:lineRule="auto"/>
        <w:jc w:val="both"/>
        <w:rPr>
          <w:rFonts w:ascii="Arial" w:eastAsia="Calibri" w:hAnsi="Arial" w:cs="Arial"/>
          <w:color w:val="000000" w:themeColor="text1"/>
          <w:sz w:val="22"/>
        </w:rPr>
      </w:pPr>
      <w:r w:rsidRPr="004D58A4">
        <w:rPr>
          <w:rFonts w:ascii="Arial" w:eastAsia="Calibri" w:hAnsi="Arial" w:cs="Arial"/>
          <w:color w:val="000000" w:themeColor="text1"/>
          <w:sz w:val="22"/>
        </w:rPr>
        <w:t xml:space="preserve">En relación </w:t>
      </w:r>
      <w:r w:rsidR="00B16584" w:rsidRPr="004D58A4">
        <w:rPr>
          <w:rFonts w:ascii="Arial" w:eastAsia="Calibri" w:hAnsi="Arial" w:cs="Arial"/>
          <w:color w:val="000000" w:themeColor="text1"/>
          <w:sz w:val="22"/>
        </w:rPr>
        <w:t>con la acreditación de experiencia en procesos de contratación exceptuados del deber de inscripción en el RUP</w:t>
      </w:r>
      <w:r w:rsidR="00B31D85" w:rsidRPr="004D58A4">
        <w:rPr>
          <w:rFonts w:ascii="Arial" w:eastAsia="Calibri" w:hAnsi="Arial" w:cs="Arial"/>
          <w:color w:val="000000" w:themeColor="text1"/>
          <w:sz w:val="22"/>
        </w:rPr>
        <w:t>, la peticionaria formula las siguientes preguntas</w:t>
      </w:r>
      <w:bookmarkStart w:id="3" w:name="_Hlk34161996"/>
      <w:r w:rsidR="00B31D85" w:rsidRPr="004D58A4">
        <w:rPr>
          <w:rFonts w:ascii="Arial" w:eastAsia="Calibri" w:hAnsi="Arial" w:cs="Arial"/>
          <w:color w:val="000000" w:themeColor="text1"/>
          <w:sz w:val="22"/>
        </w:rPr>
        <w:t>:</w:t>
      </w:r>
      <w:r w:rsidR="00A37FB6" w:rsidRPr="004D58A4">
        <w:rPr>
          <w:rFonts w:ascii="Arial" w:eastAsia="Calibri" w:hAnsi="Arial" w:cs="Arial"/>
          <w:color w:val="000000" w:themeColor="text1"/>
          <w:sz w:val="22"/>
        </w:rPr>
        <w:t xml:space="preserve"> </w:t>
      </w:r>
      <w:bookmarkEnd w:id="3"/>
      <w:r w:rsidR="001370F9" w:rsidRPr="004D58A4">
        <w:rPr>
          <w:rFonts w:ascii="Arial" w:eastAsia="Calibri" w:hAnsi="Arial" w:cs="Arial"/>
          <w:color w:val="000000" w:themeColor="text1"/>
          <w:sz w:val="22"/>
        </w:rPr>
        <w:t xml:space="preserve">i) </w:t>
      </w:r>
      <w:r w:rsidR="002D1466" w:rsidRPr="004D58A4">
        <w:rPr>
          <w:rFonts w:ascii="Arial" w:eastAsia="Calibri" w:hAnsi="Arial" w:cs="Arial"/>
          <w:color w:val="000000" w:themeColor="text1"/>
          <w:sz w:val="22"/>
        </w:rPr>
        <w:t>¿</w:t>
      </w:r>
      <w:r w:rsidR="001370F9" w:rsidRPr="004D58A4">
        <w:rPr>
          <w:rFonts w:ascii="Arial" w:eastAsia="Calibri" w:hAnsi="Arial" w:cs="Arial"/>
          <w:color w:val="000000" w:themeColor="text1"/>
          <w:sz w:val="22"/>
        </w:rPr>
        <w:t>la entidad puede computar la experiencia de un proponente no registrado en el RUP, dentro de un proceso de contratación en el que no se requiera estar inscrito en dicho Registro</w:t>
      </w:r>
      <w:r w:rsidR="002D1466" w:rsidRPr="004D58A4">
        <w:rPr>
          <w:rFonts w:ascii="Arial" w:eastAsia="Calibri" w:hAnsi="Arial" w:cs="Arial"/>
          <w:color w:val="000000" w:themeColor="text1"/>
          <w:sz w:val="22"/>
        </w:rPr>
        <w:t>?</w:t>
      </w:r>
      <w:r w:rsidR="00FF5407" w:rsidRPr="004D58A4">
        <w:rPr>
          <w:rFonts w:ascii="Arial" w:eastAsia="Calibri" w:hAnsi="Arial" w:cs="Arial"/>
          <w:color w:val="000000" w:themeColor="text1"/>
          <w:sz w:val="22"/>
        </w:rPr>
        <w:t xml:space="preserve">; </w:t>
      </w:r>
      <w:r w:rsidR="00A41034" w:rsidRPr="004D58A4">
        <w:rPr>
          <w:rFonts w:ascii="Arial" w:eastAsia="Calibri" w:hAnsi="Arial" w:cs="Arial"/>
          <w:color w:val="000000" w:themeColor="text1"/>
          <w:sz w:val="22"/>
        </w:rPr>
        <w:t>ii)</w:t>
      </w:r>
      <w:r w:rsidR="001370F9" w:rsidRPr="004D58A4">
        <w:rPr>
          <w:rFonts w:ascii="Arial" w:eastAsia="Calibri" w:hAnsi="Arial" w:cs="Arial"/>
          <w:color w:val="000000" w:themeColor="text1"/>
          <w:sz w:val="22"/>
        </w:rPr>
        <w:t xml:space="preserve"> </w:t>
      </w:r>
      <w:r w:rsidR="00A41034" w:rsidRPr="004D58A4">
        <w:rPr>
          <w:rFonts w:ascii="Arial" w:eastAsia="Calibri" w:hAnsi="Arial" w:cs="Arial"/>
          <w:color w:val="000000" w:themeColor="text1"/>
          <w:sz w:val="22"/>
        </w:rPr>
        <w:t>¿</w:t>
      </w:r>
      <w:r w:rsidR="002D1466" w:rsidRPr="004D58A4">
        <w:rPr>
          <w:rFonts w:ascii="Arial" w:eastAsia="Calibri" w:hAnsi="Arial" w:cs="Arial"/>
          <w:color w:val="000000" w:themeColor="text1"/>
          <w:sz w:val="22"/>
        </w:rPr>
        <w:t>c</w:t>
      </w:r>
      <w:r w:rsidR="00A41034" w:rsidRPr="004D58A4">
        <w:rPr>
          <w:rFonts w:ascii="Arial" w:eastAsia="Calibri" w:hAnsi="Arial" w:cs="Arial"/>
          <w:color w:val="000000" w:themeColor="text1"/>
          <w:sz w:val="22"/>
        </w:rPr>
        <w:t xml:space="preserve">ómo se acredita la experiencia en procesos de contratación exceptuados del deber de inscripción en el RUP?; </w:t>
      </w:r>
      <w:r w:rsidR="006F1068" w:rsidRPr="004D58A4">
        <w:rPr>
          <w:rFonts w:ascii="Arial" w:eastAsia="Calibri" w:hAnsi="Arial" w:cs="Arial"/>
          <w:color w:val="000000" w:themeColor="text1"/>
          <w:sz w:val="22"/>
        </w:rPr>
        <w:t>y</w:t>
      </w:r>
      <w:r w:rsidR="00F3643D" w:rsidRPr="004D58A4">
        <w:rPr>
          <w:rFonts w:ascii="Arial" w:eastAsia="Calibri" w:hAnsi="Arial" w:cs="Arial"/>
          <w:color w:val="000000" w:themeColor="text1"/>
          <w:sz w:val="22"/>
        </w:rPr>
        <w:t xml:space="preserve"> </w:t>
      </w:r>
      <w:r w:rsidR="00400F44" w:rsidRPr="004D58A4">
        <w:rPr>
          <w:rFonts w:ascii="Arial" w:eastAsia="Calibri" w:hAnsi="Arial" w:cs="Arial"/>
          <w:color w:val="000000" w:themeColor="text1"/>
          <w:sz w:val="22"/>
        </w:rPr>
        <w:t>i</w:t>
      </w:r>
      <w:r w:rsidR="00F3643D" w:rsidRPr="004D58A4">
        <w:rPr>
          <w:rFonts w:ascii="Arial" w:eastAsia="Calibri" w:hAnsi="Arial" w:cs="Arial"/>
          <w:color w:val="000000" w:themeColor="text1"/>
          <w:sz w:val="22"/>
        </w:rPr>
        <w:t>ii)</w:t>
      </w:r>
      <w:r w:rsidR="001370F9" w:rsidRPr="004D58A4">
        <w:rPr>
          <w:rFonts w:ascii="Arial" w:eastAsia="Calibri" w:hAnsi="Arial" w:cs="Arial"/>
          <w:color w:val="000000" w:themeColor="text1"/>
          <w:sz w:val="22"/>
        </w:rPr>
        <w:t xml:space="preserve"> </w:t>
      </w:r>
      <w:r w:rsidR="001421D9" w:rsidRPr="004D58A4">
        <w:rPr>
          <w:rFonts w:ascii="Arial" w:eastAsia="Calibri" w:hAnsi="Arial" w:cs="Arial"/>
          <w:color w:val="000000" w:themeColor="text1"/>
          <w:sz w:val="22"/>
        </w:rPr>
        <w:t>¿</w:t>
      </w:r>
      <w:r w:rsidR="002D1466" w:rsidRPr="004D58A4">
        <w:rPr>
          <w:rFonts w:ascii="Arial" w:eastAsia="Calibri" w:hAnsi="Arial" w:cs="Arial"/>
          <w:color w:val="000000" w:themeColor="text1"/>
          <w:sz w:val="22"/>
        </w:rPr>
        <w:t>c</w:t>
      </w:r>
      <w:r w:rsidR="001421D9" w:rsidRPr="004D58A4">
        <w:rPr>
          <w:rFonts w:ascii="Arial" w:eastAsia="Calibri" w:hAnsi="Arial" w:cs="Arial"/>
          <w:color w:val="000000" w:themeColor="text1"/>
          <w:sz w:val="22"/>
        </w:rPr>
        <w:t>ómo se acredita la experiencia de los socios de sociedades con menos de 3 años de creación, en un proceso de contratación en el que no se requiera la inscripción en el RUP</w:t>
      </w:r>
      <w:r w:rsidR="006F21A6" w:rsidRPr="004D58A4">
        <w:rPr>
          <w:rFonts w:ascii="Arial" w:eastAsia="Calibri" w:hAnsi="Arial" w:cs="Arial"/>
          <w:color w:val="000000" w:themeColor="text1"/>
          <w:sz w:val="22"/>
        </w:rPr>
        <w:t>?</w:t>
      </w:r>
    </w:p>
    <w:p w14:paraId="3593BAF3" w14:textId="77777777" w:rsidR="008B3DC3" w:rsidRPr="004D58A4" w:rsidRDefault="008B3DC3" w:rsidP="00DB22BC">
      <w:pPr>
        <w:tabs>
          <w:tab w:val="left" w:pos="426"/>
        </w:tabs>
        <w:spacing w:line="276" w:lineRule="auto"/>
        <w:jc w:val="both"/>
        <w:rPr>
          <w:rFonts w:ascii="Arial" w:eastAsia="Calibri" w:hAnsi="Arial" w:cs="Arial"/>
          <w:color w:val="000000" w:themeColor="text1"/>
          <w:sz w:val="22"/>
        </w:rPr>
      </w:pPr>
    </w:p>
    <w:p w14:paraId="6A32A1B1" w14:textId="77777777" w:rsidR="00A37FB6" w:rsidRPr="004D58A4" w:rsidRDefault="00A37FB6" w:rsidP="001127DA">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4D58A4">
        <w:rPr>
          <w:rFonts w:ascii="Arial" w:eastAsia="Calibri" w:hAnsi="Arial" w:cs="Arial"/>
          <w:b/>
          <w:color w:val="000000" w:themeColor="text1"/>
          <w:sz w:val="22"/>
        </w:rPr>
        <w:t>Consideraciones</w:t>
      </w:r>
    </w:p>
    <w:p w14:paraId="28692669" w14:textId="77777777" w:rsidR="00495590" w:rsidRPr="004D58A4" w:rsidRDefault="00495590" w:rsidP="001127DA">
      <w:pPr>
        <w:tabs>
          <w:tab w:val="left" w:pos="426"/>
        </w:tabs>
        <w:spacing w:line="276" w:lineRule="auto"/>
        <w:jc w:val="both"/>
        <w:rPr>
          <w:rFonts w:ascii="Arial" w:eastAsia="Calibri" w:hAnsi="Arial" w:cs="Arial"/>
          <w:b/>
          <w:color w:val="000000" w:themeColor="text1"/>
          <w:sz w:val="22"/>
        </w:rPr>
      </w:pPr>
    </w:p>
    <w:p w14:paraId="0DF5844E" w14:textId="6CBEA2E8" w:rsidR="00DB201F" w:rsidRPr="004D58A4" w:rsidRDefault="00DB201F" w:rsidP="001127DA">
      <w:pPr>
        <w:spacing w:line="276" w:lineRule="auto"/>
        <w:jc w:val="both"/>
        <w:rPr>
          <w:rFonts w:ascii="Arial" w:hAnsi="Arial" w:cs="Arial"/>
          <w:color w:val="000000" w:themeColor="text1"/>
          <w:sz w:val="22"/>
        </w:rPr>
      </w:pPr>
      <w:r w:rsidRPr="004D58A4">
        <w:rPr>
          <w:rFonts w:ascii="Arial" w:hAnsi="Arial" w:cs="Arial"/>
          <w:color w:val="000000" w:themeColor="text1"/>
          <w:sz w:val="22"/>
        </w:rPr>
        <w:t xml:space="preserve">La Agencia Nacional de Contratación Pública – Colombia Compra Eficiente, se pronunció en el concepto </w:t>
      </w:r>
      <w:r w:rsidR="00726482" w:rsidRPr="004D58A4">
        <w:rPr>
          <w:rFonts w:ascii="Arial" w:hAnsi="Arial" w:cs="Arial"/>
          <w:color w:val="000000" w:themeColor="text1"/>
          <w:sz w:val="22"/>
        </w:rPr>
        <w:t>C – 051</w:t>
      </w:r>
      <w:r w:rsidR="0050403E" w:rsidRPr="004D58A4">
        <w:rPr>
          <w:rFonts w:ascii="Arial" w:hAnsi="Arial" w:cs="Arial"/>
          <w:color w:val="000000" w:themeColor="text1"/>
          <w:sz w:val="22"/>
        </w:rPr>
        <w:t xml:space="preserve"> de</w:t>
      </w:r>
      <w:r w:rsidR="00726482" w:rsidRPr="004D58A4">
        <w:rPr>
          <w:rFonts w:ascii="Arial" w:hAnsi="Arial" w:cs="Arial"/>
          <w:color w:val="000000" w:themeColor="text1"/>
          <w:sz w:val="22"/>
        </w:rPr>
        <w:t>l 2 de marzo de</w:t>
      </w:r>
      <w:r w:rsidR="0050403E" w:rsidRPr="004D58A4">
        <w:rPr>
          <w:rFonts w:ascii="Arial" w:hAnsi="Arial" w:cs="Arial"/>
          <w:color w:val="000000" w:themeColor="text1"/>
          <w:sz w:val="22"/>
        </w:rPr>
        <w:t xml:space="preserve"> 2020, sobre la experiencia en proc</w:t>
      </w:r>
      <w:r w:rsidR="006B38CC" w:rsidRPr="004D58A4">
        <w:rPr>
          <w:rFonts w:ascii="Arial" w:hAnsi="Arial" w:cs="Arial"/>
          <w:color w:val="000000" w:themeColor="text1"/>
          <w:sz w:val="22"/>
        </w:rPr>
        <w:t>edimientos</w:t>
      </w:r>
      <w:r w:rsidR="0050403E" w:rsidRPr="004D58A4">
        <w:rPr>
          <w:rFonts w:ascii="Arial" w:hAnsi="Arial" w:cs="Arial"/>
          <w:color w:val="000000" w:themeColor="text1"/>
          <w:sz w:val="22"/>
        </w:rPr>
        <w:t xml:space="preserve"> exceptuados de </w:t>
      </w:r>
      <w:r w:rsidR="00290227" w:rsidRPr="004D58A4">
        <w:rPr>
          <w:rFonts w:ascii="Arial" w:hAnsi="Arial" w:cs="Arial"/>
          <w:color w:val="000000" w:themeColor="text1"/>
          <w:sz w:val="22"/>
        </w:rPr>
        <w:t xml:space="preserve">inscripción en el RUP y su forma de acreditación en estos </w:t>
      </w:r>
      <w:r w:rsidR="006B38CC" w:rsidRPr="004D58A4">
        <w:rPr>
          <w:rFonts w:ascii="Arial" w:hAnsi="Arial" w:cs="Arial"/>
          <w:color w:val="000000" w:themeColor="text1"/>
          <w:sz w:val="22"/>
        </w:rPr>
        <w:t xml:space="preserve">procedimientos </w:t>
      </w:r>
      <w:r w:rsidR="00290227" w:rsidRPr="004D58A4">
        <w:rPr>
          <w:rFonts w:ascii="Arial" w:hAnsi="Arial" w:cs="Arial"/>
          <w:color w:val="000000" w:themeColor="text1"/>
          <w:sz w:val="22"/>
        </w:rPr>
        <w:t xml:space="preserve">de </w:t>
      </w:r>
      <w:r w:rsidR="006B38CC" w:rsidRPr="004D58A4">
        <w:rPr>
          <w:rFonts w:ascii="Arial" w:hAnsi="Arial" w:cs="Arial"/>
          <w:color w:val="000000" w:themeColor="text1"/>
          <w:sz w:val="22"/>
        </w:rPr>
        <w:t>selección</w:t>
      </w:r>
      <w:r w:rsidR="00290227" w:rsidRPr="004D58A4">
        <w:rPr>
          <w:rFonts w:ascii="Arial" w:hAnsi="Arial" w:cs="Arial"/>
          <w:color w:val="000000" w:themeColor="text1"/>
          <w:sz w:val="22"/>
        </w:rPr>
        <w:t xml:space="preserve">. </w:t>
      </w:r>
      <w:r w:rsidRPr="004D58A4">
        <w:rPr>
          <w:rFonts w:ascii="Arial" w:hAnsi="Arial" w:cs="Arial"/>
          <w:color w:val="000000" w:themeColor="text1"/>
          <w:sz w:val="22"/>
        </w:rPr>
        <w:t xml:space="preserve">La tesis desarrollada se expone a continuación. </w:t>
      </w:r>
    </w:p>
    <w:p w14:paraId="202FE2EE" w14:textId="0CC71ABC" w:rsidR="00DB201F" w:rsidRPr="004D58A4" w:rsidRDefault="00DB201F" w:rsidP="001127DA">
      <w:pPr>
        <w:spacing w:line="276" w:lineRule="auto"/>
        <w:jc w:val="both"/>
        <w:rPr>
          <w:rFonts w:ascii="Arial" w:hAnsi="Arial" w:cs="Arial"/>
          <w:color w:val="000000" w:themeColor="text1"/>
          <w:sz w:val="22"/>
        </w:rPr>
      </w:pPr>
    </w:p>
    <w:p w14:paraId="2917D25A" w14:textId="77777777" w:rsidR="00495590" w:rsidRPr="004D58A4" w:rsidRDefault="00495590" w:rsidP="001127DA">
      <w:pPr>
        <w:spacing w:line="276" w:lineRule="auto"/>
        <w:jc w:val="both"/>
        <w:rPr>
          <w:rFonts w:ascii="Arial" w:eastAsia="Calibri" w:hAnsi="Arial" w:cs="Arial"/>
          <w:b/>
          <w:color w:val="000000" w:themeColor="text1"/>
          <w:sz w:val="22"/>
        </w:rPr>
      </w:pPr>
      <w:r w:rsidRPr="004D58A4">
        <w:rPr>
          <w:rFonts w:ascii="Arial" w:eastAsia="Calibri" w:hAnsi="Arial" w:cs="Arial"/>
          <w:b/>
          <w:color w:val="000000" w:themeColor="text1"/>
          <w:sz w:val="22"/>
        </w:rPr>
        <w:t>2.1 Introducción</w:t>
      </w:r>
    </w:p>
    <w:p w14:paraId="77644019" w14:textId="77777777" w:rsidR="00DB201F" w:rsidRPr="004D58A4" w:rsidRDefault="00DB201F" w:rsidP="001127DA">
      <w:pPr>
        <w:spacing w:line="276" w:lineRule="auto"/>
        <w:jc w:val="both"/>
        <w:rPr>
          <w:rFonts w:ascii="Arial" w:eastAsia="Calibri" w:hAnsi="Arial" w:cs="Arial"/>
          <w:b/>
          <w:color w:val="000000" w:themeColor="text1"/>
          <w:sz w:val="22"/>
        </w:rPr>
      </w:pPr>
    </w:p>
    <w:p w14:paraId="5FCACC44" w14:textId="77777777" w:rsidR="00495590" w:rsidRPr="004D58A4" w:rsidRDefault="00495590" w:rsidP="006D478D">
      <w:pPr>
        <w:spacing w:before="120" w:after="120" w:line="276" w:lineRule="auto"/>
        <w:jc w:val="both"/>
        <w:rPr>
          <w:rFonts w:ascii="Arial" w:eastAsia="Calibri" w:hAnsi="Arial" w:cs="Arial"/>
          <w:color w:val="000000" w:themeColor="text1"/>
          <w:sz w:val="22"/>
        </w:rPr>
      </w:pPr>
      <w:r w:rsidRPr="004D58A4">
        <w:rPr>
          <w:rFonts w:ascii="Arial" w:eastAsia="Calibri" w:hAnsi="Arial" w:cs="Arial"/>
          <w:color w:val="000000" w:themeColor="text1"/>
          <w:sz w:val="22"/>
        </w:rPr>
        <w:t>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procurar un equilibrio y el cumplimiento de los principios de la contratación pública, entre otros objetivos.</w:t>
      </w:r>
    </w:p>
    <w:p w14:paraId="020B2E6A" w14:textId="77777777" w:rsidR="00495590" w:rsidRPr="004D58A4" w:rsidRDefault="00495590" w:rsidP="006D478D">
      <w:pPr>
        <w:spacing w:before="120" w:after="120" w:line="276" w:lineRule="auto"/>
        <w:ind w:firstLine="709"/>
        <w:jc w:val="both"/>
        <w:rPr>
          <w:rFonts w:ascii="Arial" w:eastAsia="Calibri" w:hAnsi="Arial" w:cs="Arial"/>
          <w:color w:val="000000" w:themeColor="text1"/>
          <w:sz w:val="22"/>
        </w:rPr>
      </w:pPr>
      <w:r w:rsidRPr="004D58A4">
        <w:rPr>
          <w:rFonts w:ascii="Arial" w:eastAsia="Calibri" w:hAnsi="Arial" w:cs="Arial"/>
          <w:color w:val="000000" w:themeColor="text1"/>
          <w:sz w:val="22"/>
        </w:rPr>
        <w:t>Por consiguiente, la normativa del Sistema de Compra Pública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 como documento del proceso</w:t>
      </w:r>
      <w:r w:rsidRPr="004D58A4">
        <w:rPr>
          <w:rFonts w:ascii="Arial" w:eastAsia="Calibri" w:hAnsi="Arial" w:cs="Arial"/>
          <w:color w:val="000000" w:themeColor="text1"/>
          <w:sz w:val="22"/>
          <w:vertAlign w:val="superscript"/>
        </w:rPr>
        <w:footnoteReference w:id="1"/>
      </w:r>
      <w:r w:rsidRPr="004D58A4">
        <w:rPr>
          <w:rFonts w:ascii="Arial" w:eastAsia="Calibri" w:hAnsi="Arial" w:cs="Arial"/>
          <w:color w:val="000000" w:themeColor="text1"/>
          <w:sz w:val="22"/>
        </w:rPr>
        <w:t xml:space="preserve">. </w:t>
      </w:r>
    </w:p>
    <w:p w14:paraId="15DF398C" w14:textId="77777777" w:rsidR="000A055B" w:rsidRPr="004D58A4" w:rsidRDefault="000A055B" w:rsidP="00754D2B">
      <w:pPr>
        <w:spacing w:line="276" w:lineRule="auto"/>
        <w:ind w:firstLine="708"/>
        <w:jc w:val="both"/>
        <w:rPr>
          <w:rFonts w:ascii="Arial" w:eastAsia="Calibri" w:hAnsi="Arial" w:cs="Arial"/>
          <w:color w:val="000000" w:themeColor="text1"/>
          <w:sz w:val="22"/>
        </w:rPr>
      </w:pPr>
    </w:p>
    <w:p w14:paraId="223B5337" w14:textId="77777777" w:rsidR="00495590" w:rsidRPr="004D58A4" w:rsidRDefault="00495590" w:rsidP="00754D2B">
      <w:pPr>
        <w:spacing w:line="276" w:lineRule="auto"/>
        <w:jc w:val="both"/>
        <w:rPr>
          <w:rFonts w:ascii="Arial" w:eastAsia="Calibri" w:hAnsi="Arial" w:cs="Arial"/>
          <w:b/>
          <w:color w:val="000000" w:themeColor="text1"/>
          <w:sz w:val="22"/>
        </w:rPr>
      </w:pPr>
      <w:r w:rsidRPr="004D58A4">
        <w:rPr>
          <w:rFonts w:ascii="Arial" w:eastAsia="Calibri" w:hAnsi="Arial" w:cs="Arial"/>
          <w:b/>
          <w:color w:val="000000" w:themeColor="text1"/>
          <w:sz w:val="22"/>
        </w:rPr>
        <w:t>2.2 Experiencia en la contratación pública: aproximación general al concepto y consideraciones del ente rector de la contratación pública</w:t>
      </w:r>
    </w:p>
    <w:p w14:paraId="58F434B4" w14:textId="77777777" w:rsidR="00495590" w:rsidRPr="004D58A4" w:rsidRDefault="00495590" w:rsidP="00754D2B">
      <w:pPr>
        <w:spacing w:line="276" w:lineRule="auto"/>
        <w:jc w:val="both"/>
        <w:rPr>
          <w:rFonts w:ascii="Arial" w:eastAsia="Calibri" w:hAnsi="Arial" w:cs="Arial"/>
          <w:b/>
          <w:color w:val="000000" w:themeColor="text1"/>
          <w:sz w:val="22"/>
        </w:rPr>
      </w:pPr>
    </w:p>
    <w:p w14:paraId="2B96C16C" w14:textId="77777777" w:rsidR="00495590" w:rsidRPr="004D58A4" w:rsidRDefault="00495590" w:rsidP="00754D2B">
      <w:pPr>
        <w:spacing w:line="276" w:lineRule="auto"/>
        <w:jc w:val="both"/>
        <w:rPr>
          <w:rFonts w:ascii="Arial" w:eastAsia="Calibri" w:hAnsi="Arial" w:cs="Arial"/>
          <w:b/>
          <w:color w:val="000000" w:themeColor="text1"/>
          <w:sz w:val="22"/>
        </w:rPr>
      </w:pPr>
      <w:r w:rsidRPr="004D58A4">
        <w:rPr>
          <w:rFonts w:ascii="Arial" w:eastAsia="Calibri" w:hAnsi="Arial" w:cs="Arial"/>
          <w:b/>
          <w:color w:val="000000" w:themeColor="text1"/>
          <w:sz w:val="22"/>
        </w:rPr>
        <w:t>a) Norma general</w:t>
      </w:r>
    </w:p>
    <w:p w14:paraId="51871284" w14:textId="77777777" w:rsidR="00495590" w:rsidRPr="004D58A4" w:rsidRDefault="00495590" w:rsidP="00754D2B">
      <w:pPr>
        <w:spacing w:line="276" w:lineRule="auto"/>
        <w:jc w:val="both"/>
        <w:rPr>
          <w:rFonts w:ascii="Arial" w:eastAsia="Calibri" w:hAnsi="Arial" w:cs="Arial"/>
          <w:b/>
          <w:color w:val="000000" w:themeColor="text1"/>
          <w:sz w:val="22"/>
        </w:rPr>
      </w:pPr>
    </w:p>
    <w:p w14:paraId="45DE3A54" w14:textId="292A3318" w:rsidR="00495590" w:rsidRPr="004D58A4" w:rsidRDefault="00495590" w:rsidP="006D478D">
      <w:pPr>
        <w:spacing w:before="120" w:after="120" w:line="276" w:lineRule="auto"/>
        <w:jc w:val="both"/>
        <w:rPr>
          <w:rFonts w:ascii="Arial" w:eastAsia="Calibri" w:hAnsi="Arial" w:cs="Arial"/>
          <w:color w:val="000000" w:themeColor="text1"/>
          <w:sz w:val="22"/>
          <w:highlight w:val="yellow"/>
        </w:rPr>
      </w:pPr>
      <w:r w:rsidRPr="004D58A4">
        <w:rPr>
          <w:rFonts w:ascii="Arial" w:eastAsia="Calibri" w:hAnsi="Arial" w:cs="Arial"/>
          <w:color w:val="000000" w:themeColor="text1"/>
          <w:sz w:val="22"/>
        </w:rPr>
        <w:t>La Ley 1150 de 2007, en el artículo 5</w:t>
      </w:r>
      <w:r w:rsidR="00C24589" w:rsidRPr="004D58A4">
        <w:rPr>
          <w:rStyle w:val="Refdenotaalpie"/>
          <w:rFonts w:ascii="Arial" w:eastAsia="Calibri" w:hAnsi="Arial" w:cs="Arial"/>
          <w:color w:val="000000" w:themeColor="text1"/>
          <w:sz w:val="22"/>
        </w:rPr>
        <w:footnoteReference w:id="2"/>
      </w:r>
      <w:r w:rsidRPr="004D58A4">
        <w:rPr>
          <w:rFonts w:ascii="Arial" w:eastAsia="Calibri" w:hAnsi="Arial" w:cs="Arial"/>
          <w:color w:val="000000" w:themeColor="text1"/>
          <w:sz w:val="22"/>
        </w:rPr>
        <w:t xml:space="preserve">, establece los requisitos habilitantes para participar en un procedimiento contractual, dentro de los cuales se destaca la experiencia, y cuyo </w:t>
      </w:r>
      <w:r w:rsidRPr="004D58A4">
        <w:rPr>
          <w:rFonts w:ascii="Arial" w:eastAsia="Calibri" w:hAnsi="Arial" w:cs="Arial"/>
          <w:color w:val="000000" w:themeColor="text1"/>
          <w:sz w:val="22"/>
        </w:rPr>
        <w:lastRenderedPageBreak/>
        <w:t>propósito es que las entidades fijen unos requisitos mínimos que debe tener y acreditar el proponente, para que la entidad pueda verificar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4D58A4">
        <w:rPr>
          <w:rFonts w:ascii="Arial" w:eastAsia="Calibri" w:hAnsi="Arial" w:cs="Arial"/>
          <w:color w:val="000000" w:themeColor="text1"/>
          <w:sz w:val="22"/>
          <w:vertAlign w:val="superscript"/>
        </w:rPr>
        <w:footnoteReference w:id="3"/>
      </w:r>
      <w:r w:rsidRPr="004D58A4">
        <w:rPr>
          <w:rFonts w:ascii="Arial" w:eastAsia="Calibri" w:hAnsi="Arial" w:cs="Arial"/>
          <w:color w:val="000000" w:themeColor="text1"/>
          <w:sz w:val="22"/>
        </w:rPr>
        <w:t>.</w:t>
      </w:r>
    </w:p>
    <w:p w14:paraId="79708353" w14:textId="77777777" w:rsidR="00495590" w:rsidRPr="004D58A4" w:rsidRDefault="00495590" w:rsidP="006D478D">
      <w:pPr>
        <w:spacing w:before="120" w:after="120" w:line="276" w:lineRule="auto"/>
        <w:ind w:firstLine="708"/>
        <w:jc w:val="both"/>
        <w:rPr>
          <w:rFonts w:ascii="Arial" w:eastAsia="Calibri" w:hAnsi="Arial" w:cs="Arial"/>
          <w:color w:val="000000" w:themeColor="text1"/>
          <w:sz w:val="22"/>
        </w:rPr>
      </w:pPr>
      <w:r w:rsidRPr="004D58A4">
        <w:rPr>
          <w:rFonts w:ascii="Arial" w:eastAsia="Calibri" w:hAnsi="Arial" w:cs="Arial"/>
          <w:color w:val="000000" w:themeColor="text1"/>
          <w:sz w:val="22"/>
        </w:rPr>
        <w:t>La experiencia que se deriva de los contratos que el proponente ha celebrado y ejecutado con diferentes contratantes, sin importar la naturaleza de estos, se verifica con el Registro Único de Proponentes (RUP)</w:t>
      </w:r>
      <w:r w:rsidRPr="004D58A4">
        <w:rPr>
          <w:rFonts w:ascii="Arial" w:eastAsia="Calibri" w:hAnsi="Arial" w:cs="Arial"/>
          <w:color w:val="000000" w:themeColor="text1"/>
          <w:sz w:val="22"/>
          <w:vertAlign w:val="superscript"/>
        </w:rPr>
        <w:footnoteReference w:id="4"/>
      </w:r>
      <w:r w:rsidRPr="004D58A4">
        <w:rPr>
          <w:rFonts w:ascii="Arial" w:eastAsia="Calibri" w:hAnsi="Arial" w:cs="Arial"/>
          <w:color w:val="000000" w:themeColor="text1"/>
          <w:sz w:val="22"/>
        </w:rPr>
        <w:t>, cuando este certificado sea exigible de acuerdo con la ley, en el cual constan los requisitos habilitantes que se evalúan exclusivamente con este documento, que es su plena prueba, sin que le sea posible a la entidad o al proponente solicitar o aportar otra documentación</w:t>
      </w:r>
      <w:r w:rsidRPr="004D58A4">
        <w:rPr>
          <w:rFonts w:ascii="Arial" w:eastAsia="Calibri" w:hAnsi="Arial" w:cs="Arial"/>
          <w:color w:val="000000" w:themeColor="text1"/>
          <w:sz w:val="22"/>
          <w:vertAlign w:val="superscript"/>
        </w:rPr>
        <w:footnoteReference w:id="5"/>
      </w:r>
      <w:r w:rsidRPr="004D58A4">
        <w:rPr>
          <w:rFonts w:ascii="Arial" w:eastAsia="Calibri" w:hAnsi="Arial" w:cs="Arial"/>
          <w:color w:val="000000" w:themeColor="text1"/>
          <w:sz w:val="22"/>
        </w:rPr>
        <w:t>.</w:t>
      </w:r>
    </w:p>
    <w:p w14:paraId="56117C01" w14:textId="52F6E121" w:rsidR="00BF5A02" w:rsidRPr="004D58A4" w:rsidRDefault="00495590" w:rsidP="00726482">
      <w:pPr>
        <w:spacing w:line="276" w:lineRule="auto"/>
        <w:ind w:firstLine="708"/>
        <w:jc w:val="both"/>
        <w:rPr>
          <w:rFonts w:ascii="Arial" w:eastAsia="Calibri" w:hAnsi="Arial" w:cs="Arial"/>
          <w:color w:val="000000" w:themeColor="text1"/>
          <w:sz w:val="22"/>
        </w:rPr>
      </w:pPr>
      <w:r w:rsidRPr="004D58A4">
        <w:rPr>
          <w:rFonts w:ascii="Arial" w:eastAsia="Calibri" w:hAnsi="Arial" w:cs="Arial"/>
          <w:color w:val="000000" w:themeColor="text1"/>
          <w:sz w:val="22"/>
        </w:rPr>
        <w:lastRenderedPageBreak/>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4D58A4">
        <w:rPr>
          <w:rFonts w:ascii="Arial" w:eastAsia="Calibri" w:hAnsi="Arial" w:cs="Arial"/>
          <w:color w:val="000000" w:themeColor="text1"/>
          <w:sz w:val="22"/>
          <w:vertAlign w:val="superscript"/>
        </w:rPr>
        <w:footnoteReference w:id="6"/>
      </w:r>
      <w:r w:rsidRPr="004D58A4">
        <w:rPr>
          <w:rFonts w:ascii="Arial" w:eastAsia="Calibri" w:hAnsi="Arial" w:cs="Arial"/>
          <w:color w:val="000000" w:themeColor="text1"/>
          <w:sz w:val="22"/>
        </w:rPr>
        <w:t xml:space="preserve">.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77CF2779" w14:textId="77777777" w:rsidR="00BF5A02" w:rsidRPr="004D58A4" w:rsidRDefault="00BF5A02" w:rsidP="00BF5A02">
      <w:pPr>
        <w:spacing w:line="276" w:lineRule="auto"/>
        <w:jc w:val="both"/>
        <w:rPr>
          <w:rFonts w:ascii="Arial" w:eastAsia="Calibri" w:hAnsi="Arial" w:cs="Arial"/>
          <w:color w:val="000000" w:themeColor="text1"/>
          <w:sz w:val="22"/>
        </w:rPr>
      </w:pPr>
    </w:p>
    <w:p w14:paraId="7B1AD1F5" w14:textId="77777777" w:rsidR="00495590" w:rsidRPr="004D58A4" w:rsidRDefault="00495590" w:rsidP="00BF5A02">
      <w:pPr>
        <w:spacing w:line="276" w:lineRule="auto"/>
        <w:jc w:val="both"/>
        <w:rPr>
          <w:rFonts w:ascii="Arial" w:eastAsia="Calibri" w:hAnsi="Arial" w:cs="Arial"/>
          <w:b/>
          <w:bCs/>
          <w:color w:val="000000" w:themeColor="text1"/>
          <w:sz w:val="22"/>
        </w:rPr>
      </w:pPr>
      <w:r w:rsidRPr="004D58A4">
        <w:rPr>
          <w:rFonts w:ascii="Arial" w:eastAsia="Calibri" w:hAnsi="Arial" w:cs="Arial"/>
          <w:b/>
          <w:bCs/>
          <w:color w:val="000000" w:themeColor="text1"/>
          <w:sz w:val="22"/>
        </w:rPr>
        <w:t>b) Consideraciones de Colombia Compra Eficiente respecto de la experiencia</w:t>
      </w:r>
    </w:p>
    <w:p w14:paraId="4EF5918C" w14:textId="77777777" w:rsidR="00495590" w:rsidRPr="004D58A4" w:rsidRDefault="00495590" w:rsidP="00BF5A02">
      <w:pPr>
        <w:spacing w:line="276" w:lineRule="auto"/>
        <w:jc w:val="both"/>
        <w:rPr>
          <w:rFonts w:ascii="Arial" w:eastAsia="Calibri" w:hAnsi="Arial" w:cs="Arial"/>
          <w:b/>
          <w:bCs/>
          <w:color w:val="000000" w:themeColor="text1"/>
          <w:sz w:val="22"/>
        </w:rPr>
      </w:pPr>
    </w:p>
    <w:p w14:paraId="731D627A" w14:textId="3D7859F5" w:rsidR="008B0720" w:rsidRPr="004D58A4" w:rsidRDefault="008B0720" w:rsidP="006D478D">
      <w:pPr>
        <w:spacing w:before="120" w:after="120" w:line="276" w:lineRule="auto"/>
        <w:jc w:val="both"/>
        <w:rPr>
          <w:rFonts w:ascii="Arial" w:eastAsia="Calibri" w:hAnsi="Arial" w:cs="Arial"/>
          <w:color w:val="000000" w:themeColor="text1"/>
          <w:sz w:val="22"/>
        </w:rPr>
      </w:pPr>
      <w:r w:rsidRPr="004D58A4">
        <w:rPr>
          <w:rFonts w:ascii="Arial" w:eastAsia="Calibri" w:hAnsi="Arial" w:cs="Arial"/>
          <w:color w:val="000000" w:themeColor="text1"/>
          <w:sz w:val="22"/>
        </w:rPr>
        <w:t xml:space="preserve">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 Sobre el particular, para la experiencia, como requisito habilitante señalado en su consulta, el Manual se centra en una de sus cualidades y es que es personal, lo cual significa que quien </w:t>
      </w:r>
      <w:r w:rsidRPr="004D58A4">
        <w:rPr>
          <w:rFonts w:ascii="Arial" w:eastAsia="Calibri" w:hAnsi="Arial" w:cs="Arial"/>
          <w:color w:val="000000" w:themeColor="text1"/>
          <w:sz w:val="22"/>
        </w:rPr>
        <w:lastRenderedPageBreak/>
        <w:t>tiene la experiencia es en razón a su participación, con anterioridad, en actividades que le permitieron conocer cómo</w:t>
      </w:r>
      <w:r w:rsidR="009709B7" w:rsidRPr="004D58A4">
        <w:rPr>
          <w:rFonts w:ascii="Arial" w:eastAsia="Calibri" w:hAnsi="Arial" w:cs="Arial"/>
          <w:color w:val="000000" w:themeColor="text1"/>
          <w:sz w:val="22"/>
        </w:rPr>
        <w:t xml:space="preserve"> ejecutar el objeto contractual</w:t>
      </w:r>
      <w:r w:rsidRPr="004D58A4">
        <w:rPr>
          <w:rFonts w:ascii="Arial" w:eastAsia="Calibri" w:hAnsi="Arial" w:cs="Arial"/>
          <w:color w:val="000000" w:themeColor="text1"/>
          <w:sz w:val="22"/>
        </w:rPr>
        <w:t xml:space="preserve"> que la entidad pretende </w:t>
      </w:r>
      <w:r w:rsidR="009709B7" w:rsidRPr="004D58A4">
        <w:rPr>
          <w:rFonts w:ascii="Arial" w:eastAsia="Calibri" w:hAnsi="Arial" w:cs="Arial"/>
          <w:color w:val="000000" w:themeColor="text1"/>
          <w:sz w:val="22"/>
        </w:rPr>
        <w:t>ejecutar</w:t>
      </w:r>
      <w:r w:rsidRPr="004D58A4">
        <w:rPr>
          <w:rStyle w:val="Refdenotaalpie"/>
          <w:rFonts w:ascii="Arial" w:eastAsia="Calibri" w:hAnsi="Arial" w:cs="Arial"/>
          <w:color w:val="000000" w:themeColor="text1"/>
          <w:sz w:val="22"/>
        </w:rPr>
        <w:footnoteReference w:id="7"/>
      </w:r>
      <w:r w:rsidRPr="004D58A4">
        <w:rPr>
          <w:rFonts w:ascii="Arial" w:eastAsia="Calibri" w:hAnsi="Arial" w:cs="Arial"/>
          <w:color w:val="000000" w:themeColor="text1"/>
          <w:sz w:val="22"/>
        </w:rPr>
        <w:t>.</w:t>
      </w:r>
    </w:p>
    <w:p w14:paraId="4957E392" w14:textId="77777777" w:rsidR="008B0720" w:rsidRPr="004D58A4" w:rsidRDefault="008B0720" w:rsidP="006D478D">
      <w:pPr>
        <w:spacing w:before="120" w:after="120" w:line="276" w:lineRule="auto"/>
        <w:ind w:firstLine="709"/>
        <w:jc w:val="both"/>
        <w:rPr>
          <w:rFonts w:ascii="Arial" w:eastAsia="Calibri" w:hAnsi="Arial" w:cs="Arial"/>
          <w:color w:val="000000" w:themeColor="text1"/>
          <w:sz w:val="22"/>
        </w:rPr>
      </w:pPr>
      <w:r w:rsidRPr="004D58A4">
        <w:rPr>
          <w:rFonts w:ascii="Arial" w:eastAsia="Calibri" w:hAnsi="Arial" w:cs="Arial"/>
          <w:color w:val="000000" w:themeColor="text1"/>
          <w:sz w:val="22"/>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existirá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personal sino que es proporcional a la participación como miembro de un consorcio o unión temporal, donde por ser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Finalmente, se pueden extraer conclusiones relevantes en relación con los rasgos característicos de la experiencia: </w:t>
      </w:r>
    </w:p>
    <w:p w14:paraId="4BC23E9E" w14:textId="77777777" w:rsidR="008B0720" w:rsidRPr="004D58A4" w:rsidRDefault="008B0720" w:rsidP="006D478D">
      <w:pPr>
        <w:spacing w:before="120" w:after="120" w:line="276" w:lineRule="auto"/>
        <w:ind w:firstLine="709"/>
        <w:jc w:val="both"/>
        <w:rPr>
          <w:rFonts w:ascii="Arial" w:eastAsia="Calibri" w:hAnsi="Arial" w:cs="Arial"/>
          <w:color w:val="000000" w:themeColor="text1"/>
          <w:sz w:val="22"/>
        </w:rPr>
      </w:pPr>
      <w:r w:rsidRPr="004D58A4">
        <w:rPr>
          <w:rFonts w:ascii="Arial" w:eastAsia="Calibri" w:hAnsi="Arial" w:cs="Arial"/>
          <w:color w:val="000000" w:themeColor="text1"/>
          <w:sz w:val="22"/>
        </w:rPr>
        <w:t>i) La experiencia es personal, esto es, se adquiere participando, directa o indirectamente, sin que sea posible no participar y tener una experiencia que no es propia.</w:t>
      </w:r>
    </w:p>
    <w:p w14:paraId="7CCB5A06" w14:textId="77777777" w:rsidR="00E36114" w:rsidRDefault="008B0720" w:rsidP="006D478D">
      <w:pPr>
        <w:spacing w:before="120" w:after="120" w:line="276" w:lineRule="auto"/>
        <w:ind w:firstLine="709"/>
        <w:jc w:val="both"/>
        <w:rPr>
          <w:rFonts w:ascii="Arial" w:eastAsia="Calibri" w:hAnsi="Arial" w:cs="Arial"/>
          <w:color w:val="000000" w:themeColor="text1"/>
          <w:sz w:val="22"/>
        </w:rPr>
      </w:pPr>
      <w:r w:rsidRPr="004D58A4">
        <w:rPr>
          <w:rFonts w:ascii="Arial" w:eastAsia="Calibri" w:hAnsi="Arial" w:cs="Arial"/>
          <w:color w:val="000000" w:themeColor="text1"/>
          <w:sz w:val="22"/>
        </w:rPr>
        <w:t xml:space="preserve">ii) La experiencia se puede compartir, sin que la compartida se entienda suya, ya que dentro del procedimiento contractual se reflejará que esa persona tiene la experiencia de otra, como es el caso de la que aportan los socios a las sociedades con menos de 3 </w:t>
      </w:r>
      <w:r w:rsidRPr="004D58A4">
        <w:rPr>
          <w:rFonts w:ascii="Arial" w:eastAsia="Calibri" w:hAnsi="Arial" w:cs="Arial"/>
          <w:color w:val="000000" w:themeColor="text1"/>
          <w:sz w:val="22"/>
        </w:rPr>
        <w:lastRenderedPageBreak/>
        <w:t xml:space="preserve">años de constitución, lo cual constará en el RUP; o de las figuras asociativas  ̶ </w:t>
      </w:r>
      <w:r w:rsidR="006D478D" w:rsidRPr="004D58A4">
        <w:rPr>
          <w:rFonts w:ascii="Arial" w:eastAsia="Calibri" w:hAnsi="Arial" w:cs="Arial"/>
          <w:color w:val="000000" w:themeColor="text1"/>
          <w:sz w:val="22"/>
        </w:rPr>
        <w:t xml:space="preserve"> </w:t>
      </w:r>
      <w:r w:rsidRPr="004D58A4">
        <w:rPr>
          <w:rFonts w:ascii="Arial" w:eastAsia="Calibri" w:hAnsi="Arial" w:cs="Arial"/>
          <w:color w:val="000000" w:themeColor="text1"/>
          <w:sz w:val="22"/>
        </w:rPr>
        <w:t>consorcios y uniones temporales ̶  que se verificará en el documento privado de constitución.</w:t>
      </w:r>
    </w:p>
    <w:p w14:paraId="06C224F3" w14:textId="4B404CB3" w:rsidR="008B0720" w:rsidRPr="004D58A4" w:rsidRDefault="006D478D" w:rsidP="006D478D">
      <w:pPr>
        <w:spacing w:before="120" w:after="120" w:line="276" w:lineRule="auto"/>
        <w:ind w:firstLine="709"/>
        <w:jc w:val="both"/>
        <w:rPr>
          <w:rFonts w:ascii="Arial" w:eastAsia="Calibri" w:hAnsi="Arial" w:cs="Arial"/>
          <w:color w:val="000000" w:themeColor="text1"/>
          <w:sz w:val="22"/>
        </w:rPr>
      </w:pPr>
      <w:r w:rsidRPr="004D58A4">
        <w:rPr>
          <w:rFonts w:ascii="Arial" w:eastAsia="Calibri" w:hAnsi="Arial" w:cs="Arial"/>
          <w:color w:val="000000" w:themeColor="text1"/>
          <w:sz w:val="22"/>
        </w:rPr>
        <w:t>i</w:t>
      </w:r>
      <w:r w:rsidR="008B0720" w:rsidRPr="004D58A4">
        <w:rPr>
          <w:rFonts w:ascii="Arial" w:eastAsia="Calibri" w:hAnsi="Arial" w:cs="Arial"/>
          <w:color w:val="000000" w:themeColor="text1"/>
          <w:sz w:val="22"/>
        </w:rPr>
        <w:t xml:space="preserve">ii) La experiencia se puede transferir, y es diferente a compartir, puesto que implica que la experiencia de una persona se traslada a otra, y esta última acredita esa experiencia como propia, lo cual es el caso de algunas figuras y reformas estatutarias. </w:t>
      </w:r>
    </w:p>
    <w:p w14:paraId="61103F8A" w14:textId="77777777" w:rsidR="008B0720" w:rsidRPr="004D58A4" w:rsidRDefault="008B0720" w:rsidP="006D478D">
      <w:pPr>
        <w:spacing w:before="120" w:after="120" w:line="276" w:lineRule="auto"/>
        <w:ind w:firstLine="709"/>
        <w:jc w:val="both"/>
        <w:rPr>
          <w:rFonts w:ascii="Arial" w:eastAsia="Calibri" w:hAnsi="Arial" w:cs="Arial"/>
          <w:color w:val="000000" w:themeColor="text1"/>
          <w:sz w:val="22"/>
        </w:rPr>
      </w:pPr>
      <w:r w:rsidRPr="004D58A4">
        <w:rPr>
          <w:rFonts w:ascii="Arial" w:eastAsia="Calibri" w:hAnsi="Arial" w:cs="Arial"/>
          <w:color w:val="000000" w:themeColor="text1"/>
          <w:sz w:val="22"/>
        </w:rPr>
        <w:t>iv) Cuando la persona que adquirió la experiencia desaparece o se liquida, no es posible que comparta o transfiera su experiencia, porque al ser personal sigue la suerte de quien la adquirió.</w:t>
      </w:r>
    </w:p>
    <w:p w14:paraId="476272FD" w14:textId="38B643B9" w:rsidR="008B0720" w:rsidRPr="004D58A4" w:rsidRDefault="008B0720" w:rsidP="006D478D">
      <w:pPr>
        <w:spacing w:before="120" w:after="120" w:line="276" w:lineRule="auto"/>
        <w:ind w:firstLine="709"/>
        <w:jc w:val="both"/>
        <w:rPr>
          <w:rFonts w:ascii="Arial" w:hAnsi="Arial" w:cs="Arial"/>
          <w:color w:val="000000" w:themeColor="text1"/>
          <w:sz w:val="22"/>
        </w:rPr>
      </w:pPr>
      <w:r w:rsidRPr="004D58A4">
        <w:rPr>
          <w:rFonts w:ascii="Arial" w:hAnsi="Arial" w:cs="Arial"/>
          <w:color w:val="000000" w:themeColor="text1"/>
          <w:sz w:val="22"/>
        </w:rPr>
        <w:t xml:space="preserve">Ahora, el Registro Único de Proponentes </w:t>
      </w:r>
      <w:r w:rsidRPr="004D58A4">
        <w:rPr>
          <w:rFonts w:ascii="Arial" w:eastAsia="Calibri" w:hAnsi="Arial" w:cs="Arial"/>
          <w:color w:val="000000" w:themeColor="text1"/>
          <w:sz w:val="22"/>
        </w:rPr>
        <w:t xml:space="preserve">― </w:t>
      </w:r>
      <w:r w:rsidRPr="004D58A4">
        <w:rPr>
          <w:rFonts w:ascii="Arial" w:hAnsi="Arial" w:cs="Arial"/>
          <w:color w:val="000000" w:themeColor="text1"/>
          <w:sz w:val="22"/>
        </w:rPr>
        <w:t>RUP fue creado por el artículo 6 de la Ley 1150 de 2007, y se constituye como el medio idóneo para verificar las condiciones de los proponentes en procesos de contratación pública. Este registro, conforme a lo señalado por la Corte Constitucional</w:t>
      </w:r>
      <w:r w:rsidRPr="004D58A4">
        <w:rPr>
          <w:rStyle w:val="Refdenotaalpie"/>
          <w:rFonts w:ascii="Arial" w:hAnsi="Arial" w:cs="Arial"/>
          <w:color w:val="000000" w:themeColor="text1"/>
          <w:sz w:val="22"/>
        </w:rPr>
        <w:footnoteReference w:id="8"/>
      </w:r>
      <w:r w:rsidRPr="004D58A4">
        <w:rPr>
          <w:rFonts w:ascii="Arial" w:hAnsi="Arial" w:cs="Arial"/>
          <w:color w:val="000000" w:themeColor="text1"/>
          <w:sz w:val="22"/>
        </w:rPr>
        <w:t xml:space="preserve">, por atribución legal es administrado por las Cámaras de Comercio y la actividad relacionada en el mismo está «sometido a los principios de la función administrativa y de contratación estatal». </w:t>
      </w:r>
    </w:p>
    <w:p w14:paraId="26E2364B" w14:textId="77777777" w:rsidR="008B0720" w:rsidRPr="004D58A4" w:rsidRDefault="008B0720" w:rsidP="006D478D">
      <w:pPr>
        <w:spacing w:before="120" w:after="120" w:line="276" w:lineRule="auto"/>
        <w:ind w:firstLine="705"/>
        <w:jc w:val="both"/>
        <w:rPr>
          <w:rFonts w:ascii="Arial" w:hAnsi="Arial" w:cs="Arial"/>
          <w:color w:val="000000" w:themeColor="text1"/>
          <w:sz w:val="22"/>
        </w:rPr>
      </w:pPr>
      <w:r w:rsidRPr="004D58A4">
        <w:rPr>
          <w:rFonts w:ascii="Arial" w:hAnsi="Arial" w:cs="Arial"/>
          <w:color w:val="000000" w:themeColor="text1"/>
          <w:sz w:val="22"/>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14:paraId="4F49A1AE" w14:textId="0D0BFEF5" w:rsidR="008B0720" w:rsidRPr="004D58A4" w:rsidRDefault="008B0720" w:rsidP="006D478D">
      <w:pPr>
        <w:spacing w:before="120" w:after="120" w:line="276" w:lineRule="auto"/>
        <w:ind w:left="180" w:firstLine="525"/>
        <w:jc w:val="both"/>
        <w:rPr>
          <w:rFonts w:ascii="Arial" w:hAnsi="Arial" w:cs="Arial"/>
          <w:color w:val="000000" w:themeColor="text1"/>
          <w:sz w:val="22"/>
        </w:rPr>
      </w:pPr>
      <w:r w:rsidRPr="004D58A4">
        <w:rPr>
          <w:rFonts w:ascii="Arial" w:hAnsi="Arial" w:cs="Arial"/>
          <w:color w:val="000000" w:themeColor="text1"/>
          <w:sz w:val="22"/>
        </w:rPr>
        <w:t>Como se dijo, la norma impuso la obligación a todos los pr</w:t>
      </w:r>
      <w:r w:rsidR="009709B7" w:rsidRPr="004D58A4">
        <w:rPr>
          <w:rFonts w:ascii="Arial" w:hAnsi="Arial" w:cs="Arial"/>
          <w:color w:val="000000" w:themeColor="text1"/>
          <w:sz w:val="22"/>
        </w:rPr>
        <w:t>oponentes de inscribirse en el R</w:t>
      </w:r>
      <w:r w:rsidRPr="004D58A4">
        <w:rPr>
          <w:rFonts w:ascii="Arial" w:hAnsi="Arial" w:cs="Arial"/>
          <w:color w:val="000000" w:themeColor="text1"/>
          <w:sz w:val="22"/>
        </w:rPr>
        <w:t xml:space="preserve">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w:t>
      </w:r>
    </w:p>
    <w:p w14:paraId="56CC6029" w14:textId="77777777" w:rsidR="008B0720" w:rsidRPr="004D58A4" w:rsidRDefault="008B0720" w:rsidP="006D478D">
      <w:pPr>
        <w:spacing w:before="120" w:after="120" w:line="276" w:lineRule="auto"/>
        <w:jc w:val="both"/>
        <w:rPr>
          <w:rFonts w:ascii="Arial" w:hAnsi="Arial" w:cs="Arial"/>
          <w:color w:val="000000" w:themeColor="text1"/>
          <w:sz w:val="22"/>
        </w:rPr>
      </w:pPr>
      <w:r w:rsidRPr="004D58A4">
        <w:rPr>
          <w:rFonts w:ascii="Arial" w:hAnsi="Arial" w:cs="Arial"/>
          <w:color w:val="000000" w:themeColor="text1"/>
          <w:sz w:val="22"/>
        </w:rPr>
        <w:tab/>
        <w:t xml:space="preserve">Asimismo, correlativo a este deber de los proponentes, la norma impuso a las cámaras de comercio la obligación de verificar los requisitos habilitantes de quienes se registren en dicha base de datos. El inciso 2 del numeral 6.1. le otorga carácter de plena prueba a la información contenida en el registro que haya sido verificada por las Cámaras de Comercio y, además, consagró una especie de tarifa legal respecto de la acreditación de los requisitos habilitantes, pues señala que la verificación de las condiciones de que trata el numeral 1 el artículo 5 de la Ley 1150 de 2007 se demostrará «exclusivamente con el respectivo certificado del RUP en donde deberán constar dichas condiciones». </w:t>
      </w:r>
    </w:p>
    <w:p w14:paraId="6B03D083" w14:textId="0C7A6474" w:rsidR="008B0720" w:rsidRPr="004D58A4" w:rsidRDefault="008B0720" w:rsidP="006D478D">
      <w:pPr>
        <w:spacing w:before="120" w:after="120" w:line="276" w:lineRule="auto"/>
        <w:ind w:firstLine="709"/>
        <w:jc w:val="both"/>
        <w:rPr>
          <w:rFonts w:ascii="Arial" w:hAnsi="Arial" w:cs="Arial"/>
          <w:color w:val="000000" w:themeColor="text1"/>
          <w:sz w:val="22"/>
        </w:rPr>
      </w:pPr>
      <w:r w:rsidRPr="004D58A4">
        <w:rPr>
          <w:rFonts w:ascii="Arial" w:hAnsi="Arial" w:cs="Arial"/>
          <w:color w:val="000000" w:themeColor="text1"/>
          <w:sz w:val="22"/>
        </w:rPr>
        <w:lastRenderedPageBreak/>
        <w:t xml:space="preserve">Como consecuencia de lo anterior,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misma norma señala que solo en este último evento la entidad podrá hacer la verificación en forma directa, es decir, cuando por el objeto del contrato se requieran verificar requisitos adicionales a los contenidos en el registro.  </w:t>
      </w:r>
    </w:p>
    <w:p w14:paraId="0C631B2B" w14:textId="77777777" w:rsidR="008B0720" w:rsidRPr="004D58A4" w:rsidRDefault="008B0720" w:rsidP="006D478D">
      <w:pPr>
        <w:spacing w:before="120" w:after="120" w:line="276" w:lineRule="auto"/>
        <w:ind w:firstLine="709"/>
        <w:jc w:val="both"/>
        <w:rPr>
          <w:rFonts w:ascii="Arial" w:hAnsi="Arial" w:cs="Arial"/>
          <w:color w:val="000000" w:themeColor="text1"/>
          <w:sz w:val="22"/>
        </w:rPr>
      </w:pPr>
      <w:r w:rsidRPr="004D58A4">
        <w:rPr>
          <w:rFonts w:ascii="Arial" w:hAnsi="Arial" w:cs="Arial"/>
          <w:color w:val="000000" w:themeColor="text1"/>
          <w:sz w:val="22"/>
        </w:rPr>
        <w:t xml:space="preserve">De lo anterior se puede concluir que la regla general es que la experiencia se acredita a través del RUP y, en consecuencia, la evaluación de experiencia, como requisito habilitante, no puede ser evaluada nuevamente por la entidad pública a partir de otros criterios distintos a los señalados en el Registro Único. </w:t>
      </w:r>
    </w:p>
    <w:p w14:paraId="4C16AD74" w14:textId="77777777" w:rsidR="00965ED6" w:rsidRPr="004D58A4" w:rsidRDefault="00965ED6" w:rsidP="00BF5A02">
      <w:pPr>
        <w:spacing w:line="276" w:lineRule="auto"/>
        <w:jc w:val="both"/>
        <w:rPr>
          <w:rFonts w:ascii="Arial" w:hAnsi="Arial" w:cs="Arial"/>
          <w:color w:val="000000" w:themeColor="text1"/>
          <w:sz w:val="22"/>
        </w:rPr>
      </w:pPr>
    </w:p>
    <w:bookmarkEnd w:id="0"/>
    <w:bookmarkEnd w:id="1"/>
    <w:p w14:paraId="17B7DF92" w14:textId="2BD290A2" w:rsidR="00AD1B0F" w:rsidRPr="004D58A4" w:rsidRDefault="00D75C60" w:rsidP="00BF5A02">
      <w:pPr>
        <w:spacing w:line="276" w:lineRule="auto"/>
        <w:jc w:val="both"/>
        <w:rPr>
          <w:rFonts w:ascii="Arial" w:hAnsi="Arial" w:cs="Arial"/>
          <w:b/>
          <w:color w:val="000000" w:themeColor="text1"/>
          <w:sz w:val="22"/>
        </w:rPr>
      </w:pPr>
      <w:r w:rsidRPr="004D58A4">
        <w:rPr>
          <w:rFonts w:ascii="Arial" w:hAnsi="Arial" w:cs="Arial"/>
          <w:b/>
          <w:color w:val="000000" w:themeColor="text1"/>
          <w:sz w:val="22"/>
        </w:rPr>
        <w:t>2.</w:t>
      </w:r>
      <w:r w:rsidR="00E3158C" w:rsidRPr="004D58A4">
        <w:rPr>
          <w:rFonts w:ascii="Arial" w:hAnsi="Arial" w:cs="Arial"/>
          <w:b/>
          <w:color w:val="000000" w:themeColor="text1"/>
          <w:sz w:val="22"/>
        </w:rPr>
        <w:t>3</w:t>
      </w:r>
      <w:r w:rsidR="00AD1B0F" w:rsidRPr="004D58A4">
        <w:rPr>
          <w:rFonts w:ascii="Arial" w:hAnsi="Arial" w:cs="Arial"/>
          <w:b/>
          <w:color w:val="000000" w:themeColor="text1"/>
          <w:sz w:val="22"/>
        </w:rPr>
        <w:t>.</w:t>
      </w:r>
      <w:r w:rsidR="00AD1B0F" w:rsidRPr="004D58A4">
        <w:rPr>
          <w:rFonts w:ascii="Arial" w:hAnsi="Arial" w:cs="Arial"/>
          <w:b/>
          <w:color w:val="000000" w:themeColor="text1"/>
          <w:sz w:val="22"/>
        </w:rPr>
        <w:tab/>
        <w:t>Acreditación de ex</w:t>
      </w:r>
      <w:r w:rsidR="009F1F65" w:rsidRPr="004D58A4">
        <w:rPr>
          <w:rFonts w:ascii="Arial" w:hAnsi="Arial" w:cs="Arial"/>
          <w:b/>
          <w:color w:val="000000" w:themeColor="text1"/>
          <w:sz w:val="22"/>
        </w:rPr>
        <w:t xml:space="preserve">periencia de sociedades nuevas </w:t>
      </w:r>
    </w:p>
    <w:p w14:paraId="05092DEB" w14:textId="77777777" w:rsidR="00DA23DB" w:rsidRPr="004D58A4" w:rsidRDefault="00DA23DB" w:rsidP="00BF5A02">
      <w:pPr>
        <w:spacing w:line="276" w:lineRule="auto"/>
        <w:jc w:val="both"/>
        <w:rPr>
          <w:rFonts w:ascii="Arial" w:hAnsi="Arial" w:cs="Arial"/>
          <w:b/>
          <w:color w:val="000000" w:themeColor="text1"/>
          <w:sz w:val="22"/>
        </w:rPr>
      </w:pPr>
    </w:p>
    <w:p w14:paraId="4C33481E" w14:textId="77777777" w:rsidR="00DA23DB" w:rsidRPr="004D58A4" w:rsidRDefault="00DA23DB" w:rsidP="00BF5A02">
      <w:pPr>
        <w:spacing w:line="276" w:lineRule="auto"/>
        <w:jc w:val="both"/>
        <w:rPr>
          <w:rFonts w:ascii="Arial" w:hAnsi="Arial" w:cs="Arial"/>
          <w:color w:val="000000" w:themeColor="text1"/>
          <w:sz w:val="22"/>
        </w:rPr>
      </w:pPr>
      <w:r w:rsidRPr="004D58A4">
        <w:rPr>
          <w:rFonts w:ascii="Arial" w:hAnsi="Arial" w:cs="Arial"/>
          <w:color w:val="000000" w:themeColor="text1"/>
          <w:sz w:val="22"/>
        </w:rPr>
        <w:t xml:space="preserve">La Agencia Nacional de Contratación Pública – Colombia Compra Eficiente se pronunció en el concepto identificado con radicado No. 4201912000003636 del 20 de agosto de 2019, reiterado en los conceptos con radicados Nos. 4201912000004743 del 28 de agosto de 2019, 4201913000006797 del 19 de noviembre de 2019, 4201913000006173, 4201913000007132 del 17 de octubre de 2019, 4201912000007182 del 18 de octubre de 2019, sobre la acreditación de la experiencia de las sociedades cuya constitución es inferior a 3 años. La tesis propuesta en estos conceptos se expone a continuación. </w:t>
      </w:r>
    </w:p>
    <w:p w14:paraId="6CC09B05" w14:textId="50906D8C" w:rsidR="00DA23DB" w:rsidRPr="004D58A4" w:rsidRDefault="00DA23DB"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la participación en el proceso de selección y no otorgarán puntaje; con excepción del proceso de selección de consultores, donde es posible otorgar puntaje al criterio de experiencia. </w:t>
      </w:r>
    </w:p>
    <w:p w14:paraId="3407F266" w14:textId="77777777" w:rsidR="00DA23DB" w:rsidRPr="004D58A4" w:rsidRDefault="00DA23DB"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2FEAF5F8" w14:textId="77777777" w:rsidR="00DA23DB" w:rsidRPr="004D58A4" w:rsidRDefault="00DA23DB"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lastRenderedPageBreak/>
        <w:t>El Decreto 1082 de 2015, en el artículo 2.2.1.1.1.5.2, numeral 2.1</w:t>
      </w:r>
      <w:r w:rsidRPr="004D58A4">
        <w:rPr>
          <w:rStyle w:val="Refdenotaalpie"/>
          <w:rFonts w:ascii="Arial" w:hAnsi="Arial" w:cs="Arial"/>
          <w:color w:val="000000" w:themeColor="text1"/>
          <w:sz w:val="22"/>
        </w:rPr>
        <w:footnoteReference w:id="9"/>
      </w:r>
      <w:r w:rsidRPr="004D58A4">
        <w:rPr>
          <w:rFonts w:ascii="Arial" w:hAnsi="Arial" w:cs="Arial"/>
          <w:color w:val="000000" w:themeColor="text1"/>
          <w:sz w:val="22"/>
        </w:rPr>
        <w:t xml:space="preserve">,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  </w:t>
      </w:r>
    </w:p>
    <w:p w14:paraId="45972B22" w14:textId="2FCB701A" w:rsidR="00DA23DB" w:rsidRPr="004D58A4" w:rsidRDefault="00DA23DB"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El numeral 2.5</w:t>
      </w:r>
      <w:r w:rsidRPr="004D58A4">
        <w:rPr>
          <w:rStyle w:val="Refdenotaalpie"/>
          <w:rFonts w:ascii="Arial" w:hAnsi="Arial" w:cs="Arial"/>
          <w:color w:val="000000" w:themeColor="text1"/>
          <w:sz w:val="22"/>
        </w:rPr>
        <w:footnoteReference w:id="10"/>
      </w:r>
      <w:r w:rsidRPr="004D58A4">
        <w:rPr>
          <w:rFonts w:ascii="Arial" w:hAnsi="Arial" w:cs="Arial"/>
          <w:color w:val="000000" w:themeColor="text1"/>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535E8607" w14:textId="77777777" w:rsidR="00DA23DB" w:rsidRPr="004D58A4" w:rsidRDefault="00DA23DB"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6C4889BD" w14:textId="77777777" w:rsidR="00DA23DB" w:rsidRPr="004D58A4" w:rsidRDefault="00DA23DB"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4D58A4">
        <w:rPr>
          <w:rFonts w:ascii="Arial" w:eastAsia="Calibri" w:hAnsi="Arial" w:cs="Arial"/>
          <w:color w:val="000000" w:themeColor="text1"/>
          <w:sz w:val="22"/>
        </w:rPr>
        <w:t>─</w:t>
      </w:r>
      <w:r w:rsidRPr="004D58A4">
        <w:rPr>
          <w:rFonts w:ascii="Arial" w:hAnsi="Arial" w:cs="Arial"/>
          <w:color w:val="000000" w:themeColor="text1"/>
          <w:sz w:val="22"/>
        </w:rPr>
        <w:t>con menos de 3 años de constitución</w:t>
      </w:r>
      <w:r w:rsidRPr="004D58A4">
        <w:rPr>
          <w:rFonts w:ascii="Arial" w:eastAsia="Calibri" w:hAnsi="Arial" w:cs="Arial"/>
          <w:color w:val="000000" w:themeColor="text1"/>
          <w:sz w:val="22"/>
        </w:rPr>
        <w:t>─</w:t>
      </w:r>
      <w:r w:rsidRPr="004D58A4">
        <w:rPr>
          <w:rFonts w:ascii="Arial" w:hAnsi="Arial" w:cs="Arial"/>
          <w:color w:val="000000" w:themeColor="text1"/>
          <w:sz w:val="22"/>
        </w:rPr>
        <w:t xml:space="preserve"> puedan acreditar como experiencia en el RUP la de sus accionistas, socios o constituyentes. </w:t>
      </w:r>
    </w:p>
    <w:p w14:paraId="35D917A3" w14:textId="77777777" w:rsidR="00DA23DB" w:rsidRPr="004D58A4" w:rsidRDefault="00DA23DB"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lastRenderedPageBreak/>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646CAB58" w14:textId="77777777" w:rsidR="00DA23DB" w:rsidRPr="004D58A4" w:rsidRDefault="00DA23DB"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47E7193A" w14:textId="77777777" w:rsidR="009709B7" w:rsidRPr="004D58A4" w:rsidRDefault="009709B7" w:rsidP="00BF5A02">
      <w:pPr>
        <w:spacing w:line="276" w:lineRule="auto"/>
        <w:jc w:val="both"/>
        <w:rPr>
          <w:rFonts w:ascii="Arial" w:hAnsi="Arial" w:cs="Arial"/>
          <w:color w:val="000000" w:themeColor="text1"/>
          <w:sz w:val="22"/>
        </w:rPr>
      </w:pPr>
    </w:p>
    <w:p w14:paraId="609C4D8B" w14:textId="4723C6AE" w:rsidR="00AD1B0F" w:rsidRPr="004D58A4" w:rsidRDefault="004202F3" w:rsidP="00BF5A02">
      <w:pPr>
        <w:spacing w:line="276" w:lineRule="auto"/>
        <w:jc w:val="both"/>
        <w:rPr>
          <w:rFonts w:ascii="Arial" w:hAnsi="Arial" w:cs="Arial"/>
          <w:b/>
          <w:color w:val="000000" w:themeColor="text1"/>
          <w:sz w:val="22"/>
        </w:rPr>
      </w:pPr>
      <w:r w:rsidRPr="004D58A4">
        <w:rPr>
          <w:rFonts w:ascii="Arial" w:hAnsi="Arial" w:cs="Arial"/>
          <w:b/>
          <w:color w:val="000000" w:themeColor="text1"/>
          <w:sz w:val="22"/>
        </w:rPr>
        <w:t>2.</w:t>
      </w:r>
      <w:r w:rsidR="00E3158C" w:rsidRPr="004D58A4">
        <w:rPr>
          <w:rFonts w:ascii="Arial" w:hAnsi="Arial" w:cs="Arial"/>
          <w:b/>
          <w:color w:val="000000" w:themeColor="text1"/>
          <w:sz w:val="22"/>
        </w:rPr>
        <w:t>4</w:t>
      </w:r>
      <w:r w:rsidRPr="004D58A4">
        <w:rPr>
          <w:rFonts w:ascii="Arial" w:hAnsi="Arial" w:cs="Arial"/>
          <w:b/>
          <w:color w:val="000000" w:themeColor="text1"/>
          <w:sz w:val="22"/>
        </w:rPr>
        <w:t>.</w:t>
      </w:r>
      <w:r w:rsidR="00AD1B0F" w:rsidRPr="004D58A4">
        <w:rPr>
          <w:rFonts w:ascii="Arial" w:hAnsi="Arial" w:cs="Arial"/>
          <w:b/>
          <w:color w:val="000000" w:themeColor="text1"/>
          <w:sz w:val="22"/>
        </w:rPr>
        <w:t xml:space="preserve"> Acreditación de experiencia en las excepciones al RUP </w:t>
      </w:r>
    </w:p>
    <w:p w14:paraId="6757C2E8" w14:textId="77777777" w:rsidR="00AD1B0F" w:rsidRPr="004D58A4" w:rsidRDefault="00AD1B0F" w:rsidP="00BF5A02">
      <w:pPr>
        <w:spacing w:line="276" w:lineRule="auto"/>
        <w:ind w:firstLine="709"/>
        <w:jc w:val="both"/>
        <w:rPr>
          <w:rFonts w:ascii="Arial" w:hAnsi="Arial" w:cs="Arial"/>
          <w:color w:val="000000" w:themeColor="text1"/>
          <w:sz w:val="22"/>
        </w:rPr>
      </w:pPr>
    </w:p>
    <w:p w14:paraId="3C93A529" w14:textId="380F6CBB" w:rsidR="00AD1B0F" w:rsidRPr="004D58A4" w:rsidRDefault="00AD1B0F" w:rsidP="00BF5A02">
      <w:pPr>
        <w:spacing w:line="276" w:lineRule="auto"/>
        <w:jc w:val="both"/>
        <w:rPr>
          <w:rFonts w:ascii="Arial" w:hAnsi="Arial" w:cs="Arial"/>
          <w:color w:val="000000" w:themeColor="text1"/>
          <w:sz w:val="22"/>
        </w:rPr>
      </w:pPr>
      <w:r w:rsidRPr="004D58A4">
        <w:rPr>
          <w:rFonts w:ascii="Arial" w:hAnsi="Arial" w:cs="Arial"/>
          <w:color w:val="000000" w:themeColor="text1"/>
          <w:sz w:val="22"/>
        </w:rPr>
        <w:t>La acreditación de la experiencia en los procesos de contratación que no requieren del RUP, se estudi</w:t>
      </w:r>
      <w:r w:rsidR="009709B7" w:rsidRPr="004D58A4">
        <w:rPr>
          <w:rFonts w:ascii="Arial" w:hAnsi="Arial" w:cs="Arial"/>
          <w:color w:val="000000" w:themeColor="text1"/>
          <w:sz w:val="22"/>
        </w:rPr>
        <w:t>ó</w:t>
      </w:r>
      <w:r w:rsidRPr="004D58A4">
        <w:rPr>
          <w:rFonts w:ascii="Arial" w:hAnsi="Arial" w:cs="Arial"/>
          <w:color w:val="000000" w:themeColor="text1"/>
          <w:sz w:val="22"/>
        </w:rPr>
        <w:t xml:space="preserve"> por esta Subdirección, en </w:t>
      </w:r>
      <w:r w:rsidR="009F67A3" w:rsidRPr="004D58A4">
        <w:rPr>
          <w:rFonts w:ascii="Arial" w:hAnsi="Arial" w:cs="Arial"/>
          <w:color w:val="000000" w:themeColor="text1"/>
          <w:sz w:val="22"/>
        </w:rPr>
        <w:t>el</w:t>
      </w:r>
      <w:r w:rsidRPr="004D58A4">
        <w:rPr>
          <w:rFonts w:ascii="Arial" w:hAnsi="Arial" w:cs="Arial"/>
          <w:color w:val="000000" w:themeColor="text1"/>
          <w:sz w:val="22"/>
        </w:rPr>
        <w:t xml:space="preserve"> concepto con radicado No. 4201913000006797 del 19 de noviembre de 2019</w:t>
      </w:r>
      <w:r w:rsidR="009F67A3" w:rsidRPr="004D58A4">
        <w:rPr>
          <w:rFonts w:ascii="Arial" w:hAnsi="Arial" w:cs="Arial"/>
          <w:color w:val="000000" w:themeColor="text1"/>
          <w:sz w:val="22"/>
        </w:rPr>
        <w:t xml:space="preserve"> y </w:t>
      </w:r>
      <w:r w:rsidR="005D7F2B" w:rsidRPr="004D58A4">
        <w:rPr>
          <w:rFonts w:ascii="Arial" w:hAnsi="Arial" w:cs="Arial"/>
          <w:color w:val="000000" w:themeColor="text1"/>
          <w:sz w:val="22"/>
        </w:rPr>
        <w:t>en el concepto identificado con radicado No.</w:t>
      </w:r>
      <w:r w:rsidR="009709B7" w:rsidRPr="004D58A4">
        <w:rPr>
          <w:rFonts w:ascii="Arial" w:hAnsi="Arial" w:cs="Arial"/>
          <w:color w:val="000000" w:themeColor="text1"/>
          <w:sz w:val="22"/>
        </w:rPr>
        <w:t xml:space="preserve"> C–051 de 2 de marzo </w:t>
      </w:r>
      <w:r w:rsidR="0084660A" w:rsidRPr="004D58A4">
        <w:rPr>
          <w:rFonts w:ascii="Arial" w:hAnsi="Arial" w:cs="Arial"/>
          <w:color w:val="000000" w:themeColor="text1"/>
          <w:sz w:val="22"/>
        </w:rPr>
        <w:t>de 2020</w:t>
      </w:r>
      <w:r w:rsidRPr="004D58A4">
        <w:rPr>
          <w:rFonts w:ascii="Arial" w:hAnsi="Arial" w:cs="Arial"/>
          <w:color w:val="000000" w:themeColor="text1"/>
          <w:sz w:val="22"/>
        </w:rPr>
        <w:t>, de acuerdo con los argumentos que se presentan a co</w:t>
      </w:r>
      <w:r w:rsidR="009F1F65" w:rsidRPr="004D58A4">
        <w:rPr>
          <w:rFonts w:ascii="Arial" w:hAnsi="Arial" w:cs="Arial"/>
          <w:color w:val="000000" w:themeColor="text1"/>
          <w:sz w:val="22"/>
        </w:rPr>
        <w:t xml:space="preserve">ntinuación. </w:t>
      </w:r>
    </w:p>
    <w:p w14:paraId="702D1DB2" w14:textId="38A83FAF" w:rsidR="00AD1B0F" w:rsidRPr="004D58A4" w:rsidRDefault="00AD1B0F"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El Registro Único de Proponentes no es exigible en todos los p</w:t>
      </w:r>
      <w:r w:rsidR="00540DF9" w:rsidRPr="004D58A4">
        <w:rPr>
          <w:rFonts w:ascii="Arial" w:hAnsi="Arial" w:cs="Arial"/>
          <w:color w:val="000000" w:themeColor="text1"/>
          <w:sz w:val="22"/>
        </w:rPr>
        <w:t>rocesos de selección. El</w:t>
      </w:r>
      <w:r w:rsidRPr="004D58A4">
        <w:rPr>
          <w:rFonts w:ascii="Arial" w:hAnsi="Arial" w:cs="Arial"/>
          <w:color w:val="000000" w:themeColor="text1"/>
          <w:sz w:val="22"/>
        </w:rPr>
        <w:t xml:space="preserve"> inciso</w:t>
      </w:r>
      <w:r w:rsidR="00540DF9" w:rsidRPr="004D58A4">
        <w:rPr>
          <w:rFonts w:ascii="Arial" w:hAnsi="Arial" w:cs="Arial"/>
          <w:color w:val="000000" w:themeColor="text1"/>
          <w:sz w:val="22"/>
        </w:rPr>
        <w:t xml:space="preserve"> segundo</w:t>
      </w:r>
      <w:r w:rsidRPr="004D58A4">
        <w:rPr>
          <w:rFonts w:ascii="Arial" w:hAnsi="Arial" w:cs="Arial"/>
          <w:color w:val="000000" w:themeColor="text1"/>
          <w:sz w:val="22"/>
        </w:rPr>
        <w:t xml:space="preserve"> del artículo 6 de la Ley 1150 de 2007 señala los casos en los que no se requerirá el R</w:t>
      </w:r>
      <w:r w:rsidR="00540DF9" w:rsidRPr="004D58A4">
        <w:rPr>
          <w:rFonts w:ascii="Arial" w:hAnsi="Arial" w:cs="Arial"/>
          <w:color w:val="000000" w:themeColor="text1"/>
          <w:sz w:val="22"/>
        </w:rPr>
        <w:t>egistro Único de Proponentes: «[…]</w:t>
      </w:r>
      <w:r w:rsidRPr="004D58A4">
        <w:rPr>
          <w:rFonts w:ascii="Arial" w:hAnsi="Arial" w:cs="Arial"/>
          <w:color w:val="000000" w:themeColor="text1"/>
          <w:sz w:val="22"/>
        </w:rPr>
        <w:t xml:space="preserve">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w:t>
      </w:r>
      <w:r w:rsidR="00540DF9" w:rsidRPr="004D58A4">
        <w:rPr>
          <w:rFonts w:ascii="Arial" w:hAnsi="Arial" w:cs="Arial"/>
          <w:color w:val="000000" w:themeColor="text1"/>
          <w:sz w:val="22"/>
        </w:rPr>
        <w:t>cualquier índole»</w:t>
      </w:r>
      <w:r w:rsidR="009F1F65" w:rsidRPr="004D58A4">
        <w:rPr>
          <w:rFonts w:ascii="Arial" w:hAnsi="Arial" w:cs="Arial"/>
          <w:color w:val="000000" w:themeColor="text1"/>
          <w:sz w:val="22"/>
        </w:rPr>
        <w:t xml:space="preserve">. </w:t>
      </w:r>
    </w:p>
    <w:p w14:paraId="60DA78A2" w14:textId="04FB0C59" w:rsidR="00AD1B0F" w:rsidRPr="004D58A4" w:rsidRDefault="00AD1B0F"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La norma señala que, en estos eventos, las entidades contratantes tienen del deber de verificar las condiciones de capacidad jurídica, técnica, financiera y organizacional de los oferentes. Adicionalmente, en los casos que sea necesaria la verificación de requisitos o información que no repose en el RUP, la entidad estatal podrá s</w:t>
      </w:r>
      <w:r w:rsidR="00540DF9" w:rsidRPr="004D58A4">
        <w:rPr>
          <w:rFonts w:ascii="Arial" w:hAnsi="Arial" w:cs="Arial"/>
          <w:color w:val="000000" w:themeColor="text1"/>
          <w:sz w:val="22"/>
        </w:rPr>
        <w:t xml:space="preserve">olicitar información adicional </w:t>
      </w:r>
      <w:r w:rsidR="00540DF9" w:rsidRPr="004D58A4">
        <w:rPr>
          <w:rFonts w:ascii="Arial" w:eastAsia="Calibri" w:hAnsi="Arial" w:cs="Arial"/>
          <w:color w:val="000000" w:themeColor="text1"/>
          <w:sz w:val="22"/>
        </w:rPr>
        <w:t>―</w:t>
      </w:r>
      <w:r w:rsidRPr="004D58A4">
        <w:rPr>
          <w:rFonts w:ascii="Arial" w:hAnsi="Arial" w:cs="Arial"/>
          <w:color w:val="000000" w:themeColor="text1"/>
          <w:sz w:val="22"/>
        </w:rPr>
        <w:t>por ejemplo, longitudes de obra, esp</w:t>
      </w:r>
      <w:r w:rsidR="00540DF9" w:rsidRPr="004D58A4">
        <w:rPr>
          <w:rFonts w:ascii="Arial" w:hAnsi="Arial" w:cs="Arial"/>
          <w:color w:val="000000" w:themeColor="text1"/>
          <w:sz w:val="22"/>
        </w:rPr>
        <w:t>ecificaciones técnicas, etc</w:t>
      </w:r>
      <w:r w:rsidR="00540DF9" w:rsidRPr="004D58A4">
        <w:rPr>
          <w:rFonts w:ascii="Arial" w:eastAsia="Calibri" w:hAnsi="Arial" w:cs="Arial"/>
          <w:color w:val="000000" w:themeColor="text1"/>
          <w:sz w:val="22"/>
        </w:rPr>
        <w:t xml:space="preserve">― </w:t>
      </w:r>
      <w:r w:rsidR="009709B7" w:rsidRPr="004D58A4">
        <w:rPr>
          <w:rFonts w:ascii="Arial" w:hAnsi="Arial" w:cs="Arial"/>
          <w:color w:val="000000" w:themeColor="text1"/>
          <w:sz w:val="22"/>
        </w:rPr>
        <w:t>so</w:t>
      </w:r>
      <w:r w:rsidRPr="004D58A4">
        <w:rPr>
          <w:rFonts w:ascii="Arial" w:hAnsi="Arial" w:cs="Arial"/>
          <w:color w:val="000000" w:themeColor="text1"/>
          <w:sz w:val="22"/>
        </w:rPr>
        <w:t xml:space="preserve">lo para complementar la información contenida allí, y con el fin de verificar condiciones adicionales </w:t>
      </w:r>
      <w:r w:rsidR="009F1F65" w:rsidRPr="004D58A4">
        <w:rPr>
          <w:rFonts w:ascii="Arial" w:hAnsi="Arial" w:cs="Arial"/>
          <w:color w:val="000000" w:themeColor="text1"/>
          <w:sz w:val="22"/>
        </w:rPr>
        <w:t xml:space="preserve">de experiencia del proponente. </w:t>
      </w:r>
    </w:p>
    <w:p w14:paraId="5A58BAE4" w14:textId="6C6C38AE" w:rsidR="00AD1B0F" w:rsidRPr="004D58A4" w:rsidRDefault="004202F3"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De esta forma, so</w:t>
      </w:r>
      <w:r w:rsidR="00AD1B0F" w:rsidRPr="004D58A4">
        <w:rPr>
          <w:rFonts w:ascii="Arial" w:hAnsi="Arial" w:cs="Arial"/>
          <w:color w:val="000000" w:themeColor="text1"/>
          <w:sz w:val="22"/>
        </w:rPr>
        <w:t xml:space="preserve">lo en aquellos casos en los que por las características del objeto a contratar se requiera la verificación de requisitos del proponente adicionales a los </w:t>
      </w:r>
      <w:r w:rsidR="00AD1B0F" w:rsidRPr="004D58A4">
        <w:rPr>
          <w:rFonts w:ascii="Arial" w:hAnsi="Arial" w:cs="Arial"/>
          <w:color w:val="000000" w:themeColor="text1"/>
          <w:sz w:val="22"/>
        </w:rPr>
        <w:lastRenderedPageBreak/>
        <w:t>contenidos en el Registro, la entidad podrá hacer tal verificación en forma directa y solicitar d</w:t>
      </w:r>
      <w:r w:rsidR="009F1F65" w:rsidRPr="004D58A4">
        <w:rPr>
          <w:rFonts w:ascii="Arial" w:hAnsi="Arial" w:cs="Arial"/>
          <w:color w:val="000000" w:themeColor="text1"/>
          <w:sz w:val="22"/>
        </w:rPr>
        <w:t xml:space="preserve">ocumentos diferentes al mismo. </w:t>
      </w:r>
    </w:p>
    <w:p w14:paraId="2F8F301C" w14:textId="3ECC6893" w:rsidR="00AD1B0F" w:rsidRPr="004D58A4" w:rsidRDefault="00AD1B0F"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Ahora bien ¿qué ocurre con la medida contenida en el inciso final del numeral 2.5 del artículo 2.2.1.1.1.5.2 del Decreto 1082 de 2015 en aquellos casos en que la persona jurídica con menos de 3 años de constitución no está inscrita en el RUP? ¿pueden las sociedades recién creadas -con menos de 3 años- acreditar la experiencia de sus socios, accionistas o constituyentes en los procesos del segundo inciso del artículo 6 de la Ley 1150 de 2007, esto es, cuando no se exige que el propo</w:t>
      </w:r>
      <w:r w:rsidR="009709B7" w:rsidRPr="004D58A4">
        <w:rPr>
          <w:rFonts w:ascii="Arial" w:hAnsi="Arial" w:cs="Arial"/>
          <w:color w:val="000000" w:themeColor="text1"/>
          <w:sz w:val="22"/>
        </w:rPr>
        <w:t>nente no se inscriba en el RUP?</w:t>
      </w:r>
    </w:p>
    <w:p w14:paraId="53FD869E" w14:textId="2FDA6B56" w:rsidR="00AD1B0F" w:rsidRPr="004D58A4" w:rsidRDefault="00AD1B0F"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 xml:space="preserve">Teniendo en cuenta que la posibilidad de acreditar la experiencia de los socios para las personas jurídicas con menos de 3 años de constitución se encuentra contenida en una norma que regula el RUP, en principio, solo aplicaría para los casos en los que la persona jurídica está inscrita en dicho registro. Para los demás eventos, como ya se anotó, la entidad contratante tiene la carga de verificar, entre otros, el requisito de experiencia de los oferentes y ello lo hará de conformidad con la regla que al efecto haya establecido </w:t>
      </w:r>
      <w:r w:rsidR="009F1F65" w:rsidRPr="004D58A4">
        <w:rPr>
          <w:rFonts w:ascii="Arial" w:hAnsi="Arial" w:cs="Arial"/>
          <w:color w:val="000000" w:themeColor="text1"/>
          <w:sz w:val="22"/>
        </w:rPr>
        <w:t xml:space="preserve">en los pliegos de condiciones. </w:t>
      </w:r>
    </w:p>
    <w:p w14:paraId="7C330D63" w14:textId="6ADB46FE" w:rsidR="00AD1B0F" w:rsidRPr="004D58A4" w:rsidRDefault="00AD1B0F"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La entidad, en virtud de su autonomía, puede determinar en los pliegos de condiciones que en la evaluación del requisito de experiencia tendrá en cuenta la experiencia de los socios, accionistas o constituyentes de aquellas personas jurídicas con me</w:t>
      </w:r>
      <w:r w:rsidR="009F1F65" w:rsidRPr="004D58A4">
        <w:rPr>
          <w:rFonts w:ascii="Arial" w:hAnsi="Arial" w:cs="Arial"/>
          <w:color w:val="000000" w:themeColor="text1"/>
          <w:sz w:val="22"/>
        </w:rPr>
        <w:t xml:space="preserve">nos de 3 años de constitución. </w:t>
      </w:r>
    </w:p>
    <w:p w14:paraId="098432DD" w14:textId="3F41CDE7" w:rsidR="00A13F54" w:rsidRPr="004D58A4" w:rsidRDefault="00A13F54" w:rsidP="00A13F54">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Asimismo, la entidad estatal deberá definir en el pliego de condiciones la forma como deberá acreditarse la experiencia en aquellos eventos exceptuados de inscripción en el RUP por estas sociedades nuevas, para lo cual.  Podrán exigir, como a los demás proponentes, las certificaciones de la experiencia que tenga el proponente en la provisión de bienes, obras y servicios para la que será contratada</w:t>
      </w:r>
      <w:r w:rsidR="00007BA0" w:rsidRPr="004D58A4">
        <w:rPr>
          <w:rFonts w:ascii="Arial" w:hAnsi="Arial" w:cs="Arial"/>
          <w:color w:val="000000" w:themeColor="text1"/>
          <w:sz w:val="22"/>
        </w:rPr>
        <w:t xml:space="preserve"> por la entidad estatal, asicomo las copias de los contratos en los que haya desarrollado un objeto contractual similar al de la nueva contratación. </w:t>
      </w:r>
    </w:p>
    <w:p w14:paraId="7E79CCBD" w14:textId="4CBDCCDD" w:rsidR="00AD1B0F" w:rsidRPr="004D58A4" w:rsidRDefault="00AD1B0F"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 xml:space="preserve">No obstante, la Subdirección de Gestión Contractual considera, a pesar de la discrecionalidad y autonomía que les asiste a las entidades contratantes, que la regla expresada en el numeral 2.5 del artículo 2.2.1.1.1.5.2 del Decreto 1082 de 2015 se debe hacer extensiva, inclusive, a las personas jurídicas que no estén inscritas en el RUP y participen en los procesos de selección exceptuados por el segundo inciso del artículo 6 de la Ley 1150 de 2007. </w:t>
      </w:r>
    </w:p>
    <w:p w14:paraId="0A4BF295" w14:textId="2C157635" w:rsidR="00AD1B0F" w:rsidRPr="004D58A4" w:rsidRDefault="00AD1B0F"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La anterior consideración tiene su principal sustento en el principio de igualdad de trato que orienta e irradia la actividad contractual del Estado. El principio de igualdad, consagrado en el artículo 13 de la Constitución Política, es un valor fundamental, no solo de la contratación estatal sino del ordenamiento jurídico. La igualdad, según la Corte Constitucional, tiene la connotació</w:t>
      </w:r>
      <w:r w:rsidR="00540DF9" w:rsidRPr="004D58A4">
        <w:rPr>
          <w:rFonts w:ascii="Arial" w:hAnsi="Arial" w:cs="Arial"/>
          <w:color w:val="000000" w:themeColor="text1"/>
          <w:sz w:val="22"/>
        </w:rPr>
        <w:t>n de principio, valor y derecho</w:t>
      </w:r>
      <w:r w:rsidRPr="004D58A4">
        <w:rPr>
          <w:rFonts w:ascii="Arial" w:hAnsi="Arial" w:cs="Arial"/>
          <w:color w:val="000000" w:themeColor="text1"/>
          <w:sz w:val="22"/>
        </w:rPr>
        <w:t xml:space="preserve">, por lo que representa un </w:t>
      </w:r>
      <w:r w:rsidRPr="004D58A4">
        <w:rPr>
          <w:rFonts w:ascii="Arial" w:hAnsi="Arial" w:cs="Arial"/>
          <w:color w:val="000000" w:themeColor="text1"/>
          <w:sz w:val="22"/>
        </w:rPr>
        <w:lastRenderedPageBreak/>
        <w:t>criterio de obligatoria observancia tanto para la producción como para la aplicación</w:t>
      </w:r>
      <w:r w:rsidR="009F1F65" w:rsidRPr="004D58A4">
        <w:rPr>
          <w:rFonts w:ascii="Arial" w:hAnsi="Arial" w:cs="Arial"/>
          <w:color w:val="000000" w:themeColor="text1"/>
          <w:sz w:val="22"/>
        </w:rPr>
        <w:t xml:space="preserve"> e interpretación del derecho. </w:t>
      </w:r>
    </w:p>
    <w:p w14:paraId="5FF33050" w14:textId="4E9F0807" w:rsidR="00AD1B0F" w:rsidRPr="004D58A4" w:rsidRDefault="00AD1B0F"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w:t>
      </w:r>
      <w:r w:rsidR="009F1F65" w:rsidRPr="004D58A4">
        <w:rPr>
          <w:rFonts w:ascii="Arial" w:hAnsi="Arial" w:cs="Arial"/>
          <w:color w:val="000000" w:themeColor="text1"/>
          <w:sz w:val="22"/>
        </w:rPr>
        <w:t xml:space="preserve">ulo 3º de la Ley 1437 de 2011. </w:t>
      </w:r>
    </w:p>
    <w:p w14:paraId="57E60936" w14:textId="1E922EED" w:rsidR="00AD1B0F" w:rsidRPr="004D58A4" w:rsidRDefault="00AD1B0F" w:rsidP="006D478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w:t>
      </w:r>
      <w:r w:rsidR="009F1F65" w:rsidRPr="004D58A4">
        <w:rPr>
          <w:rFonts w:ascii="Arial" w:hAnsi="Arial" w:cs="Arial"/>
          <w:color w:val="000000" w:themeColor="text1"/>
          <w:sz w:val="22"/>
        </w:rPr>
        <w:t xml:space="preserve">la más favorable a la entidad. </w:t>
      </w:r>
    </w:p>
    <w:p w14:paraId="1F87F83C" w14:textId="7D750897" w:rsidR="00AD1B0F" w:rsidRPr="004D58A4" w:rsidRDefault="00AD1B0F" w:rsidP="008305BD">
      <w:pPr>
        <w:spacing w:line="276" w:lineRule="auto"/>
        <w:ind w:firstLine="708"/>
        <w:jc w:val="both"/>
        <w:rPr>
          <w:rFonts w:ascii="Arial" w:hAnsi="Arial" w:cs="Arial"/>
          <w:color w:val="000000" w:themeColor="text1"/>
          <w:sz w:val="22"/>
        </w:rPr>
      </w:pPr>
      <w:r w:rsidRPr="004D58A4">
        <w:rPr>
          <w:rFonts w:ascii="Arial" w:hAnsi="Arial" w:cs="Arial"/>
          <w:color w:val="000000" w:themeColor="text1"/>
          <w:sz w:val="22"/>
        </w:rPr>
        <w:t xml:space="preserve">Es por ello que el Consejo de Estado ha determinado que la aplicación del principio de igualdad en la contratación pública materializa otros principios de similar importancia, como la selección objetiva y la transparencia: </w:t>
      </w:r>
    </w:p>
    <w:p w14:paraId="049FC5E2" w14:textId="77777777" w:rsidR="006D478D" w:rsidRPr="004D58A4" w:rsidRDefault="006D478D" w:rsidP="008305BD">
      <w:pPr>
        <w:spacing w:line="276" w:lineRule="auto"/>
        <w:ind w:firstLine="708"/>
        <w:jc w:val="both"/>
        <w:rPr>
          <w:rFonts w:ascii="Arial" w:hAnsi="Arial" w:cs="Arial"/>
          <w:color w:val="000000" w:themeColor="text1"/>
          <w:sz w:val="22"/>
        </w:rPr>
      </w:pPr>
    </w:p>
    <w:p w14:paraId="58B615F8" w14:textId="15C10E47" w:rsidR="00AD1B0F" w:rsidRPr="004D58A4" w:rsidRDefault="00AD1B0F" w:rsidP="008305BD">
      <w:pPr>
        <w:ind w:left="709" w:right="709"/>
        <w:jc w:val="both"/>
        <w:rPr>
          <w:rFonts w:ascii="Arial" w:hAnsi="Arial" w:cs="Arial"/>
          <w:color w:val="000000" w:themeColor="text1"/>
          <w:sz w:val="22"/>
        </w:rPr>
      </w:pPr>
      <w:r w:rsidRPr="004D58A4">
        <w:rPr>
          <w:rFonts w:ascii="Arial" w:hAnsi="Arial" w:cs="Arial"/>
          <w:color w:val="000000" w:themeColor="text1"/>
          <w:sz w:val="22"/>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w:t>
      </w:r>
      <w:r w:rsidR="009F1F65" w:rsidRPr="004D58A4">
        <w:rPr>
          <w:rFonts w:ascii="Arial" w:hAnsi="Arial" w:cs="Arial"/>
          <w:color w:val="000000" w:themeColor="text1"/>
          <w:sz w:val="22"/>
        </w:rPr>
        <w:t>nistración y de los proponentes</w:t>
      </w:r>
      <w:r w:rsidR="008C35A2" w:rsidRPr="004D58A4">
        <w:rPr>
          <w:rStyle w:val="Refdenotaalpie"/>
          <w:rFonts w:ascii="Arial" w:hAnsi="Arial" w:cs="Arial"/>
          <w:color w:val="000000" w:themeColor="text1"/>
          <w:sz w:val="22"/>
        </w:rPr>
        <w:footnoteReference w:id="11"/>
      </w:r>
      <w:r w:rsidRPr="004D58A4">
        <w:rPr>
          <w:rFonts w:ascii="Arial" w:hAnsi="Arial" w:cs="Arial"/>
          <w:color w:val="000000" w:themeColor="text1"/>
          <w:sz w:val="22"/>
        </w:rPr>
        <w:t>.</w:t>
      </w:r>
    </w:p>
    <w:p w14:paraId="5E58CB70" w14:textId="77777777" w:rsidR="00F4797F" w:rsidRPr="004D58A4" w:rsidRDefault="00F4797F" w:rsidP="008305BD">
      <w:pPr>
        <w:ind w:left="709" w:right="709"/>
        <w:jc w:val="both"/>
        <w:rPr>
          <w:rFonts w:ascii="Arial" w:hAnsi="Arial" w:cs="Arial"/>
          <w:color w:val="000000" w:themeColor="text1"/>
          <w:sz w:val="22"/>
        </w:rPr>
      </w:pPr>
    </w:p>
    <w:p w14:paraId="2808D937" w14:textId="10517736" w:rsidR="00AD1B0F" w:rsidRPr="004D58A4" w:rsidRDefault="00AD1B0F" w:rsidP="008305BD">
      <w:pPr>
        <w:spacing w:line="276" w:lineRule="auto"/>
        <w:ind w:firstLine="709"/>
        <w:jc w:val="both"/>
        <w:rPr>
          <w:rFonts w:ascii="Arial" w:hAnsi="Arial" w:cs="Arial"/>
          <w:color w:val="000000" w:themeColor="text1"/>
          <w:sz w:val="22"/>
        </w:rPr>
      </w:pPr>
      <w:r w:rsidRPr="004D58A4">
        <w:rPr>
          <w:rFonts w:ascii="Arial" w:hAnsi="Arial" w:cs="Arial"/>
          <w:color w:val="000000" w:themeColor="text1"/>
          <w:sz w:val="22"/>
        </w:rPr>
        <w:t xml:space="preserve">Ahora bien, a pesar de que la norma que concede la posibilidad de acreditar la experiencia de los socios, accionistas o constituyentes para las personas jurídicas con menos de 3 años de creación se refiere al RUP, ello no impide que se pueda hacer una aplicación extensiva o analógica para los eventos en los que no sea necesaria la inscripción en el RUP. Es más, se insiste en que esta aplicación analógica </w:t>
      </w:r>
      <w:r w:rsidR="004202F3" w:rsidRPr="004D58A4">
        <w:rPr>
          <w:rFonts w:ascii="Arial" w:hAnsi="Arial" w:cs="Arial"/>
          <w:color w:val="000000" w:themeColor="text1"/>
          <w:sz w:val="22"/>
        </w:rPr>
        <w:t xml:space="preserve">se fundamenta en virtud </w:t>
      </w:r>
      <w:r w:rsidRPr="004D58A4">
        <w:rPr>
          <w:rFonts w:ascii="Arial" w:hAnsi="Arial" w:cs="Arial"/>
          <w:color w:val="000000" w:themeColor="text1"/>
          <w:sz w:val="22"/>
        </w:rPr>
        <w:t xml:space="preserve"> del principio de igualdad de trato en la contratación pública, pues no se observa ningún criterio de distinción que justifique que en un caso se les tenga en cuenta la experiencia de los socios y en otros casos no. Personas jurídicas con menos de 3 años de constitución inscritas en el RUP son esencialmente iguales a las que no tienen dicho registro. </w:t>
      </w:r>
    </w:p>
    <w:p w14:paraId="0890CD86" w14:textId="3BB13507" w:rsidR="00384A8C" w:rsidRPr="004D58A4" w:rsidRDefault="00384A8C" w:rsidP="00384A8C">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Así,</w:t>
      </w:r>
      <w:r w:rsidR="009709B7" w:rsidRPr="004D58A4">
        <w:rPr>
          <w:rFonts w:ascii="Arial" w:hAnsi="Arial" w:cs="Arial"/>
          <w:color w:val="000000" w:themeColor="text1"/>
          <w:sz w:val="22"/>
        </w:rPr>
        <w:t xml:space="preserve"> en </w:t>
      </w:r>
      <w:r w:rsidRPr="004D58A4">
        <w:rPr>
          <w:rFonts w:ascii="Arial" w:hAnsi="Arial" w:cs="Arial"/>
          <w:color w:val="000000" w:themeColor="text1"/>
          <w:sz w:val="22"/>
        </w:rPr>
        <w:t xml:space="preserve">la exposición de motivos del Proyecto de Ley que modificó la Ley 80 de 1993, </w:t>
      </w:r>
      <w:r w:rsidR="009709B7" w:rsidRPr="004D58A4">
        <w:rPr>
          <w:rFonts w:ascii="Arial" w:hAnsi="Arial" w:cs="Arial"/>
          <w:color w:val="000000" w:themeColor="text1"/>
          <w:sz w:val="22"/>
        </w:rPr>
        <w:t xml:space="preserve">esto es, la Ley 1150 de 2007, </w:t>
      </w:r>
      <w:r w:rsidRPr="004D58A4">
        <w:rPr>
          <w:rFonts w:ascii="Arial" w:hAnsi="Arial" w:cs="Arial"/>
          <w:color w:val="000000" w:themeColor="text1"/>
          <w:sz w:val="22"/>
        </w:rPr>
        <w:t xml:space="preserve">se expresa la necesidad de establecer excepciones a la regla </w:t>
      </w:r>
      <w:r w:rsidRPr="004D58A4">
        <w:rPr>
          <w:rFonts w:ascii="Arial" w:hAnsi="Arial" w:cs="Arial"/>
          <w:color w:val="000000" w:themeColor="text1"/>
          <w:sz w:val="22"/>
        </w:rPr>
        <w:lastRenderedPageBreak/>
        <w:t>general de la exigencia del Registro Único de Proponentes a las personas naturales o jurídicas que deseen participar en los procedimientos de contratación de las entidades estatales. Establece que la Cámara de Comercio fungirá como verificadora de la información habilitante, sin perjuicio de que las entidades estatales verifiquen la información contenida en el RUP en relación con los requisitos solicitados en el pliego de condiciones</w:t>
      </w:r>
      <w:r w:rsidRPr="004D58A4">
        <w:rPr>
          <w:rStyle w:val="Refdenotaalpie"/>
          <w:rFonts w:ascii="Arial" w:hAnsi="Arial" w:cs="Arial"/>
          <w:color w:val="000000" w:themeColor="text1"/>
          <w:sz w:val="22"/>
        </w:rPr>
        <w:footnoteReference w:id="12"/>
      </w:r>
      <w:r w:rsidRPr="004D58A4">
        <w:rPr>
          <w:rFonts w:ascii="Arial" w:hAnsi="Arial" w:cs="Arial"/>
          <w:color w:val="000000" w:themeColor="text1"/>
          <w:sz w:val="22"/>
        </w:rPr>
        <w:t>.</w:t>
      </w:r>
    </w:p>
    <w:p w14:paraId="5F7AE42F" w14:textId="2A6BF4CD" w:rsidR="00384A8C" w:rsidRPr="004D58A4" w:rsidRDefault="00384A8C" w:rsidP="00384A8C">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En los casos mencionados, como las entidades no pueden solicitar el RUP, y por ende no podrían verificar las condiciones de experiencia, capacidad financiera y de organización de los proponentes, deben recurrir a otros medios de prueba que garanticen la selección objetiva, siempre que sean adecuados y proporcionales, para promover la libre participación de los oferentes.</w:t>
      </w:r>
      <w:r w:rsidR="00A13F54" w:rsidRPr="004D58A4">
        <w:rPr>
          <w:rFonts w:ascii="Arial" w:hAnsi="Arial" w:cs="Arial"/>
          <w:color w:val="000000" w:themeColor="text1"/>
          <w:sz w:val="22"/>
        </w:rPr>
        <w:t xml:space="preserve"> Es</w:t>
      </w:r>
      <w:r w:rsidRPr="004D58A4">
        <w:rPr>
          <w:rFonts w:ascii="Arial" w:hAnsi="Arial" w:cs="Arial"/>
          <w:color w:val="000000" w:themeColor="text1"/>
          <w:sz w:val="22"/>
        </w:rPr>
        <w:t>Lo anterior fue reafirmado por el Consejo de Estado</w:t>
      </w:r>
      <w:r w:rsidRPr="004D58A4">
        <w:rPr>
          <w:rStyle w:val="Refdenotaalpie"/>
          <w:rFonts w:ascii="Arial" w:hAnsi="Arial" w:cs="Arial"/>
          <w:color w:val="000000" w:themeColor="text1"/>
          <w:sz w:val="22"/>
        </w:rPr>
        <w:footnoteReference w:id="13"/>
      </w:r>
      <w:r w:rsidRPr="004D58A4">
        <w:rPr>
          <w:rFonts w:ascii="Arial" w:hAnsi="Arial" w:cs="Arial"/>
          <w:color w:val="000000" w:themeColor="text1"/>
          <w:sz w:val="22"/>
        </w:rPr>
        <w:t xml:space="preserve">, quien enlistó las excepciones en las cuales las entidades tienen la obligación de verificar los requisitos habilitantes de los proponentes, y que se enuncian a continuación: i) no se requerirá el RUP, ni la calificación y clasificación correspondiente, respecto de los proponentes que pretendan celebrar los contratos enunciados en el inciso segundo del artículo 6 de la ley 1150, así como en los eventos de contratación directa, ii) a las personas naturales extranjeras sin domicilio en el país o de personas jurídicas extranjeras que no tengan establecida sucursal en Colombia, o en aquellos casos en que el proceso de selección haya utilizado sistemas de precalificación y iii) cuando por las características del objeto a contratar se requiera la verificación de requisitos del proponente adicionales a los contenidos en el RUP. </w:t>
      </w:r>
    </w:p>
    <w:p w14:paraId="6D0E9802" w14:textId="6187A2D3" w:rsidR="00AD1B0F" w:rsidRPr="004D58A4" w:rsidRDefault="00AD1B0F" w:rsidP="006D478D">
      <w:pPr>
        <w:spacing w:before="120" w:after="120" w:line="276" w:lineRule="auto"/>
        <w:ind w:firstLine="709"/>
        <w:jc w:val="both"/>
        <w:rPr>
          <w:rFonts w:ascii="Arial" w:hAnsi="Arial" w:cs="Arial"/>
          <w:color w:val="000000" w:themeColor="text1"/>
          <w:sz w:val="22"/>
        </w:rPr>
      </w:pPr>
      <w:r w:rsidRPr="004D58A4">
        <w:rPr>
          <w:rFonts w:ascii="Arial" w:hAnsi="Arial" w:cs="Arial"/>
          <w:color w:val="000000" w:themeColor="text1"/>
          <w:sz w:val="22"/>
        </w:rPr>
        <w:lastRenderedPageBreak/>
        <w:t>En efecto, si se realiza una comparación entre los dos grupos de sujetos a los que se hace referencia, se tendría que concluir que son esencialmente iguales: i) ambos son personas jurídicas recién creadas, esto es, con menos de 3 años de constitución; ii) ambos se encuentran dentro del ámbito de protección o finalidad de la norma, es decir, con la aplicación extensiva de la norma también se promueve el desarrollo de la empresa y la pluralidad de oferentes en la contratación pública y iii) no existe ningún criterio material o sustantivo que jus</w:t>
      </w:r>
      <w:r w:rsidR="009F1F65" w:rsidRPr="004D58A4">
        <w:rPr>
          <w:rFonts w:ascii="Arial" w:hAnsi="Arial" w:cs="Arial"/>
          <w:color w:val="000000" w:themeColor="text1"/>
          <w:sz w:val="22"/>
        </w:rPr>
        <w:t xml:space="preserve">tifique el trato diferenciado. </w:t>
      </w:r>
    </w:p>
    <w:p w14:paraId="34768D2D" w14:textId="27394FF0" w:rsidR="00AD1B0F" w:rsidRPr="004D58A4" w:rsidRDefault="00AD1B0F" w:rsidP="006D478D">
      <w:pPr>
        <w:spacing w:before="120" w:after="120" w:line="276" w:lineRule="auto"/>
        <w:ind w:firstLine="709"/>
        <w:jc w:val="both"/>
        <w:rPr>
          <w:rFonts w:ascii="Arial" w:hAnsi="Arial" w:cs="Arial"/>
          <w:color w:val="000000" w:themeColor="text1"/>
          <w:sz w:val="22"/>
        </w:rPr>
      </w:pPr>
      <w:r w:rsidRPr="004D58A4">
        <w:rPr>
          <w:rFonts w:ascii="Arial" w:hAnsi="Arial" w:cs="Arial"/>
          <w:color w:val="000000" w:themeColor="text1"/>
          <w:sz w:val="22"/>
        </w:rPr>
        <w:t>La única diferencia entre los dos grupos de sujetos es la inscripción en el RUP, el cual es obligatorio, por regla general; pero esa obligatoriedad tiene excepciones. En estas excepciones la persona jurídica no está obligada a registrarse para participar en los procesos de selección que la norma excluye del deber de inscribi</w:t>
      </w:r>
      <w:r w:rsidR="00EC3F12" w:rsidRPr="004D58A4">
        <w:rPr>
          <w:rFonts w:ascii="Arial" w:hAnsi="Arial" w:cs="Arial"/>
          <w:color w:val="000000" w:themeColor="text1"/>
          <w:sz w:val="22"/>
        </w:rPr>
        <w:t>r</w:t>
      </w:r>
      <w:r w:rsidRPr="004D58A4">
        <w:rPr>
          <w:rFonts w:ascii="Arial" w:hAnsi="Arial" w:cs="Arial"/>
          <w:color w:val="000000" w:themeColor="text1"/>
          <w:sz w:val="22"/>
        </w:rPr>
        <w:t>se en el registro. La inscripción en el RUP no se considera un criterio de diferenciación que pueda justificar un trato diferenciado entre dos grupos de personas que son esencialmente iguales, máxime cuando la falta de inscripción en el RUP, en los casos exceptuados, es una situaci</w:t>
      </w:r>
      <w:r w:rsidR="00EC3F12" w:rsidRPr="004D58A4">
        <w:rPr>
          <w:rFonts w:ascii="Arial" w:hAnsi="Arial" w:cs="Arial"/>
          <w:color w:val="000000" w:themeColor="text1"/>
          <w:sz w:val="22"/>
        </w:rPr>
        <w:t xml:space="preserve">ón permitida por la propia ley </w:t>
      </w:r>
      <w:r w:rsidR="00EC3F12" w:rsidRPr="004D58A4">
        <w:rPr>
          <w:rFonts w:ascii="Arial" w:eastAsia="Calibri" w:hAnsi="Arial" w:cs="Arial"/>
          <w:color w:val="000000" w:themeColor="text1"/>
          <w:sz w:val="22"/>
        </w:rPr>
        <w:t>―</w:t>
      </w:r>
      <w:r w:rsidRPr="004D58A4">
        <w:rPr>
          <w:rFonts w:ascii="Arial" w:hAnsi="Arial" w:cs="Arial"/>
          <w:color w:val="000000" w:themeColor="text1"/>
          <w:sz w:val="22"/>
        </w:rPr>
        <w:t xml:space="preserve">inciso </w:t>
      </w:r>
      <w:r w:rsidR="00EC3F12" w:rsidRPr="004D58A4">
        <w:rPr>
          <w:rFonts w:ascii="Arial" w:hAnsi="Arial" w:cs="Arial"/>
          <w:color w:val="000000" w:themeColor="text1"/>
          <w:sz w:val="22"/>
        </w:rPr>
        <w:t xml:space="preserve">segundo </w:t>
      </w:r>
      <w:r w:rsidRPr="004D58A4">
        <w:rPr>
          <w:rFonts w:ascii="Arial" w:hAnsi="Arial" w:cs="Arial"/>
          <w:color w:val="000000" w:themeColor="text1"/>
          <w:sz w:val="22"/>
        </w:rPr>
        <w:t>del artíc</w:t>
      </w:r>
      <w:r w:rsidR="00EC3F12" w:rsidRPr="004D58A4">
        <w:rPr>
          <w:rFonts w:ascii="Arial" w:hAnsi="Arial" w:cs="Arial"/>
          <w:color w:val="000000" w:themeColor="text1"/>
          <w:sz w:val="22"/>
        </w:rPr>
        <w:t>ulo 6 de la Ley 1150 de 2007</w:t>
      </w:r>
      <w:r w:rsidR="00EC3F12" w:rsidRPr="004D58A4">
        <w:rPr>
          <w:rFonts w:ascii="Arial" w:eastAsia="Calibri" w:hAnsi="Arial" w:cs="Arial"/>
          <w:color w:val="000000" w:themeColor="text1"/>
          <w:sz w:val="22"/>
        </w:rPr>
        <w:t>―</w:t>
      </w:r>
      <w:r w:rsidR="009F1F65" w:rsidRPr="004D58A4">
        <w:rPr>
          <w:rFonts w:ascii="Arial" w:hAnsi="Arial" w:cs="Arial"/>
          <w:color w:val="000000" w:themeColor="text1"/>
          <w:sz w:val="22"/>
        </w:rPr>
        <w:t xml:space="preserve">. </w:t>
      </w:r>
    </w:p>
    <w:p w14:paraId="454600B8" w14:textId="4B2E63F8" w:rsidR="00AD1B0F" w:rsidRPr="004D58A4" w:rsidRDefault="00AD1B0F" w:rsidP="006D478D">
      <w:pPr>
        <w:spacing w:before="120" w:after="120" w:line="276" w:lineRule="auto"/>
        <w:ind w:firstLine="709"/>
        <w:jc w:val="both"/>
        <w:rPr>
          <w:rFonts w:ascii="Arial" w:hAnsi="Arial" w:cs="Arial"/>
          <w:color w:val="000000" w:themeColor="text1"/>
          <w:sz w:val="22"/>
        </w:rPr>
      </w:pPr>
      <w:r w:rsidRPr="004D58A4">
        <w:rPr>
          <w:rFonts w:ascii="Arial" w:hAnsi="Arial" w:cs="Arial"/>
          <w:color w:val="000000" w:themeColor="text1"/>
          <w:sz w:val="22"/>
        </w:rPr>
        <w:t>Así las cosas, frente a la acreditación de la experiencia de los socios, accionistas o constituyentes de una persona jurídica con menos de 3 años de constitución, para participar en los eventos exceptuados al deber de inscripción en el RUP, como</w:t>
      </w:r>
      <w:r w:rsidR="008F0344" w:rsidRPr="004D58A4">
        <w:rPr>
          <w:rFonts w:ascii="Arial" w:hAnsi="Arial" w:cs="Arial"/>
          <w:color w:val="000000" w:themeColor="text1"/>
          <w:sz w:val="22"/>
        </w:rPr>
        <w:t xml:space="preserve"> en</w:t>
      </w:r>
      <w:r w:rsidRPr="004D58A4">
        <w:rPr>
          <w:rFonts w:ascii="Arial" w:hAnsi="Arial" w:cs="Arial"/>
          <w:color w:val="000000" w:themeColor="text1"/>
          <w:sz w:val="22"/>
        </w:rPr>
        <w:t xml:space="preserve"> los procesos de selección de mínima cuantía,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w:t>
      </w:r>
      <w:r w:rsidR="009F1F65" w:rsidRPr="004D58A4">
        <w:rPr>
          <w:rFonts w:ascii="Arial" w:hAnsi="Arial" w:cs="Arial"/>
          <w:color w:val="000000" w:themeColor="text1"/>
          <w:sz w:val="22"/>
        </w:rPr>
        <w:t xml:space="preserve">tución. </w:t>
      </w:r>
    </w:p>
    <w:p w14:paraId="0C0219AC" w14:textId="61F78F86" w:rsidR="00AD1B0F" w:rsidRPr="004D58A4" w:rsidRDefault="00AD1B0F" w:rsidP="008305BD">
      <w:pPr>
        <w:spacing w:before="120" w:after="120" w:line="276" w:lineRule="auto"/>
        <w:ind w:firstLine="709"/>
        <w:jc w:val="both"/>
        <w:rPr>
          <w:rFonts w:ascii="Arial" w:hAnsi="Arial" w:cs="Arial"/>
          <w:color w:val="000000" w:themeColor="text1"/>
          <w:sz w:val="22"/>
        </w:rPr>
      </w:pPr>
      <w:r w:rsidRPr="004D58A4">
        <w:rPr>
          <w:rFonts w:ascii="Arial" w:hAnsi="Arial" w:cs="Arial"/>
          <w:color w:val="000000" w:themeColor="text1"/>
          <w:sz w:val="22"/>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14:paraId="7149FE4A" w14:textId="77777777" w:rsidR="008305BD" w:rsidRPr="004D58A4" w:rsidRDefault="008305BD" w:rsidP="00BF5A02">
      <w:pPr>
        <w:spacing w:line="276" w:lineRule="auto"/>
        <w:ind w:firstLine="709"/>
        <w:jc w:val="both"/>
        <w:rPr>
          <w:rFonts w:ascii="Arial" w:hAnsi="Arial" w:cs="Arial"/>
          <w:color w:val="000000" w:themeColor="text1"/>
          <w:sz w:val="22"/>
        </w:rPr>
      </w:pPr>
    </w:p>
    <w:p w14:paraId="4D8FF84F" w14:textId="68856107" w:rsidR="00AD1B0F" w:rsidRPr="004D58A4" w:rsidRDefault="00AD1B0F" w:rsidP="009709B7">
      <w:pPr>
        <w:spacing w:line="276" w:lineRule="auto"/>
        <w:ind w:firstLine="709"/>
        <w:jc w:val="both"/>
        <w:rPr>
          <w:rFonts w:ascii="Arial" w:hAnsi="Arial" w:cs="Arial"/>
          <w:b/>
          <w:color w:val="000000" w:themeColor="text1"/>
          <w:sz w:val="22"/>
        </w:rPr>
      </w:pPr>
      <w:r w:rsidRPr="004D58A4">
        <w:rPr>
          <w:rFonts w:ascii="Arial" w:hAnsi="Arial" w:cs="Arial"/>
          <w:b/>
          <w:color w:val="000000" w:themeColor="text1"/>
          <w:sz w:val="22"/>
        </w:rPr>
        <w:t>3.</w:t>
      </w:r>
      <w:r w:rsidRPr="004D58A4">
        <w:rPr>
          <w:rFonts w:ascii="Arial" w:hAnsi="Arial" w:cs="Arial"/>
          <w:b/>
          <w:color w:val="000000" w:themeColor="text1"/>
          <w:sz w:val="22"/>
        </w:rPr>
        <w:tab/>
        <w:t xml:space="preserve">Respuesta </w:t>
      </w:r>
    </w:p>
    <w:p w14:paraId="560A32E9" w14:textId="77777777" w:rsidR="009709B7" w:rsidRPr="004D58A4" w:rsidRDefault="009709B7" w:rsidP="009709B7">
      <w:pPr>
        <w:spacing w:line="276" w:lineRule="auto"/>
        <w:ind w:left="709" w:right="709" w:firstLine="709"/>
        <w:jc w:val="both"/>
        <w:rPr>
          <w:rFonts w:ascii="Arial" w:hAnsi="Arial" w:cs="Arial"/>
          <w:color w:val="000000" w:themeColor="text1"/>
          <w:sz w:val="22"/>
        </w:rPr>
      </w:pPr>
    </w:p>
    <w:p w14:paraId="604FF59A" w14:textId="25214295" w:rsidR="009709B7" w:rsidRPr="004D58A4" w:rsidRDefault="00C3240C" w:rsidP="009709B7">
      <w:pPr>
        <w:pStyle w:val="Prrafodelista"/>
        <w:tabs>
          <w:tab w:val="left" w:pos="426"/>
        </w:tabs>
        <w:spacing w:line="276" w:lineRule="auto"/>
        <w:ind w:left="709" w:right="709"/>
        <w:contextualSpacing w:val="0"/>
        <w:jc w:val="both"/>
        <w:rPr>
          <w:rFonts w:ascii="Arial" w:eastAsia="Calibri" w:hAnsi="Arial" w:cs="Arial"/>
          <w:color w:val="000000" w:themeColor="text1"/>
          <w:sz w:val="22"/>
        </w:rPr>
      </w:pPr>
      <w:r w:rsidRPr="004D58A4">
        <w:rPr>
          <w:rFonts w:ascii="Arial" w:eastAsia="Calibri" w:hAnsi="Arial" w:cs="Arial"/>
          <w:color w:val="000000" w:themeColor="text1"/>
          <w:sz w:val="22"/>
        </w:rPr>
        <w:t>i</w:t>
      </w:r>
      <w:r w:rsidR="009709B7" w:rsidRPr="004D58A4">
        <w:rPr>
          <w:rFonts w:ascii="Arial" w:eastAsia="Calibri" w:hAnsi="Arial" w:cs="Arial"/>
          <w:color w:val="000000" w:themeColor="text1"/>
          <w:sz w:val="22"/>
        </w:rPr>
        <w:t xml:space="preserve">) ¿Cómo se acredita la experiencia en procesos de contratación exceptuados del deber de inscripción en el RUP? </w:t>
      </w:r>
    </w:p>
    <w:p w14:paraId="768DF06E" w14:textId="77777777" w:rsidR="009709B7" w:rsidRPr="004D58A4" w:rsidRDefault="009709B7" w:rsidP="009709B7">
      <w:pPr>
        <w:tabs>
          <w:tab w:val="left" w:pos="426"/>
        </w:tabs>
        <w:spacing w:line="276" w:lineRule="auto"/>
        <w:jc w:val="both"/>
        <w:rPr>
          <w:rFonts w:ascii="Arial" w:eastAsia="Calibri" w:hAnsi="Arial" w:cs="Arial"/>
          <w:color w:val="000000" w:themeColor="text1"/>
          <w:sz w:val="22"/>
        </w:rPr>
      </w:pPr>
    </w:p>
    <w:p w14:paraId="4E98C6A9" w14:textId="6288A1C1" w:rsidR="009709B7" w:rsidRPr="004D58A4" w:rsidRDefault="009709B7" w:rsidP="009709B7">
      <w:pPr>
        <w:spacing w:line="276" w:lineRule="auto"/>
        <w:jc w:val="both"/>
        <w:rPr>
          <w:rFonts w:ascii="Arial" w:hAnsi="Arial" w:cs="Arial"/>
          <w:color w:val="000000" w:themeColor="text1"/>
          <w:sz w:val="22"/>
        </w:rPr>
      </w:pPr>
      <w:r w:rsidRPr="004D58A4">
        <w:rPr>
          <w:rFonts w:ascii="Arial" w:hAnsi="Arial" w:cs="Arial"/>
          <w:color w:val="000000" w:themeColor="text1"/>
          <w:sz w:val="22"/>
        </w:rPr>
        <w:lastRenderedPageBreak/>
        <w:t>Como las entidades no pueden solicitar el RUP</w:t>
      </w:r>
      <w:r w:rsidR="00EE635B" w:rsidRPr="004D58A4">
        <w:rPr>
          <w:rFonts w:ascii="Arial" w:hAnsi="Arial" w:cs="Arial"/>
          <w:color w:val="000000" w:themeColor="text1"/>
          <w:sz w:val="22"/>
        </w:rPr>
        <w:t xml:space="preserve"> en estos procedimientos de selección</w:t>
      </w:r>
      <w:r w:rsidRPr="004D58A4">
        <w:rPr>
          <w:rFonts w:ascii="Arial" w:hAnsi="Arial" w:cs="Arial"/>
          <w:color w:val="000000" w:themeColor="text1"/>
          <w:sz w:val="22"/>
        </w:rPr>
        <w:t xml:space="preserve"> y</w:t>
      </w:r>
      <w:r w:rsidR="00EE635B" w:rsidRPr="004D58A4">
        <w:rPr>
          <w:rFonts w:ascii="Arial" w:hAnsi="Arial" w:cs="Arial"/>
          <w:color w:val="000000" w:themeColor="text1"/>
          <w:sz w:val="22"/>
        </w:rPr>
        <w:t>,</w:t>
      </w:r>
      <w:r w:rsidRPr="004D58A4">
        <w:rPr>
          <w:rFonts w:ascii="Arial" w:hAnsi="Arial" w:cs="Arial"/>
          <w:color w:val="000000" w:themeColor="text1"/>
          <w:sz w:val="22"/>
        </w:rPr>
        <w:t xml:space="preserve"> por ende</w:t>
      </w:r>
      <w:r w:rsidR="00EE635B" w:rsidRPr="004D58A4">
        <w:rPr>
          <w:rFonts w:ascii="Arial" w:hAnsi="Arial" w:cs="Arial"/>
          <w:color w:val="000000" w:themeColor="text1"/>
          <w:sz w:val="22"/>
        </w:rPr>
        <w:t>,</w:t>
      </w:r>
      <w:r w:rsidRPr="004D58A4">
        <w:rPr>
          <w:rFonts w:ascii="Arial" w:hAnsi="Arial" w:cs="Arial"/>
          <w:color w:val="000000" w:themeColor="text1"/>
          <w:sz w:val="22"/>
        </w:rPr>
        <w:t xml:space="preserve"> no podrían verificar las condiciones de experiencia, capacidad financiera y de organización de los proponentes</w:t>
      </w:r>
      <w:r w:rsidR="00EE635B" w:rsidRPr="004D58A4">
        <w:rPr>
          <w:rFonts w:ascii="Arial" w:hAnsi="Arial" w:cs="Arial"/>
          <w:color w:val="000000" w:themeColor="text1"/>
          <w:sz w:val="22"/>
        </w:rPr>
        <w:t xml:space="preserve"> con base en dicho registro,</w:t>
      </w:r>
      <w:r w:rsidRPr="004D58A4">
        <w:rPr>
          <w:rFonts w:ascii="Arial" w:hAnsi="Arial" w:cs="Arial"/>
          <w:color w:val="000000" w:themeColor="text1"/>
          <w:sz w:val="22"/>
        </w:rPr>
        <w:t xml:space="preserve"> </w:t>
      </w:r>
      <w:r w:rsidR="0035094E" w:rsidRPr="004D58A4">
        <w:rPr>
          <w:rFonts w:ascii="Arial" w:hAnsi="Arial" w:cs="Arial"/>
          <w:color w:val="000000" w:themeColor="text1"/>
          <w:sz w:val="22"/>
        </w:rPr>
        <w:t xml:space="preserve">en el pliego de condiciones las entidades públicas </w:t>
      </w:r>
      <w:r w:rsidRPr="004D58A4">
        <w:rPr>
          <w:rFonts w:ascii="Arial" w:hAnsi="Arial" w:cs="Arial"/>
          <w:color w:val="000000" w:themeColor="text1"/>
          <w:sz w:val="22"/>
        </w:rPr>
        <w:t xml:space="preserve">deben </w:t>
      </w:r>
      <w:r w:rsidR="00EE635B" w:rsidRPr="004D58A4">
        <w:rPr>
          <w:rFonts w:ascii="Arial" w:hAnsi="Arial" w:cs="Arial"/>
          <w:color w:val="000000" w:themeColor="text1"/>
          <w:sz w:val="22"/>
        </w:rPr>
        <w:t>incluir</w:t>
      </w:r>
      <w:r w:rsidRPr="004D58A4">
        <w:rPr>
          <w:rFonts w:ascii="Arial" w:hAnsi="Arial" w:cs="Arial"/>
          <w:color w:val="000000" w:themeColor="text1"/>
          <w:sz w:val="22"/>
        </w:rPr>
        <w:t xml:space="preserve"> otros medios de prueba que garanticen </w:t>
      </w:r>
      <w:r w:rsidR="00EE635B" w:rsidRPr="004D58A4">
        <w:rPr>
          <w:rFonts w:ascii="Arial" w:hAnsi="Arial" w:cs="Arial"/>
          <w:color w:val="000000" w:themeColor="text1"/>
          <w:sz w:val="22"/>
        </w:rPr>
        <w:t>la adecuada verificación de los requisitos exigidos en el pliego. Tratándose de la experiencia, la entidad puede solicitar en los pliegos de condiciones</w:t>
      </w:r>
      <w:r w:rsidR="00C3240C" w:rsidRPr="004D58A4">
        <w:rPr>
          <w:rFonts w:ascii="Arial" w:hAnsi="Arial" w:cs="Arial"/>
          <w:color w:val="000000" w:themeColor="text1"/>
          <w:sz w:val="22"/>
        </w:rPr>
        <w:t xml:space="preserve"> </w:t>
      </w:r>
      <w:r w:rsidR="00EE635B" w:rsidRPr="004D58A4">
        <w:rPr>
          <w:rFonts w:ascii="Arial" w:hAnsi="Arial" w:cs="Arial"/>
          <w:color w:val="000000" w:themeColor="text1"/>
          <w:sz w:val="22"/>
        </w:rPr>
        <w:t>que los proponentes aporten</w:t>
      </w:r>
      <w:r w:rsidR="00C3240C" w:rsidRPr="004D58A4">
        <w:rPr>
          <w:rFonts w:ascii="Arial" w:hAnsi="Arial" w:cs="Arial"/>
          <w:color w:val="000000" w:themeColor="text1"/>
          <w:sz w:val="22"/>
        </w:rPr>
        <w:t xml:space="preserve"> certificados de la experiencia de los bienes, obras o servicios </w:t>
      </w:r>
      <w:r w:rsidR="0035094E" w:rsidRPr="004D58A4">
        <w:rPr>
          <w:rFonts w:ascii="Arial" w:hAnsi="Arial" w:cs="Arial"/>
          <w:color w:val="000000" w:themeColor="text1"/>
          <w:sz w:val="22"/>
        </w:rPr>
        <w:t>que</w:t>
      </w:r>
      <w:r w:rsidR="00EE635B" w:rsidRPr="004D58A4">
        <w:rPr>
          <w:rFonts w:ascii="Arial" w:hAnsi="Arial" w:cs="Arial"/>
          <w:color w:val="000000" w:themeColor="text1"/>
          <w:sz w:val="22"/>
        </w:rPr>
        <w:t xml:space="preserve"> ejecutó, incluyendo la información requerida en cada caso, de acuerdo a la experiencia que la entidad considere conveniente exigir. Además, podrá incluir que la experiencia se acredite con copia de los contratos, adiciones, actas de recibo, liquidaciones o cualquier otro documento idóneo que soporte la experiencia de los proponentes. En todo caso, en el pliego de condiciones se deben establecer los mecanismos y medios de prueba mediante los cuales se acreditará la experiencia.</w:t>
      </w:r>
    </w:p>
    <w:p w14:paraId="21DB219E" w14:textId="2025FD6E" w:rsidR="00C3240C" w:rsidRPr="004D58A4" w:rsidRDefault="0035094E" w:rsidP="009709B7">
      <w:pPr>
        <w:spacing w:line="276" w:lineRule="auto"/>
        <w:jc w:val="both"/>
        <w:rPr>
          <w:rFonts w:ascii="Arial" w:hAnsi="Arial" w:cs="Arial"/>
          <w:color w:val="000000" w:themeColor="text1"/>
          <w:sz w:val="22"/>
        </w:rPr>
      </w:pPr>
      <w:r w:rsidRPr="004D58A4">
        <w:rPr>
          <w:rFonts w:ascii="Arial" w:hAnsi="Arial" w:cs="Arial"/>
          <w:color w:val="000000" w:themeColor="text1"/>
          <w:sz w:val="22"/>
        </w:rPr>
        <w:tab/>
        <w:t xml:space="preserve"> </w:t>
      </w:r>
    </w:p>
    <w:p w14:paraId="48BD9A5F" w14:textId="08040F9F" w:rsidR="00EB526A" w:rsidRPr="004D58A4" w:rsidRDefault="009709B7" w:rsidP="00BF5A02">
      <w:pPr>
        <w:tabs>
          <w:tab w:val="left" w:pos="426"/>
        </w:tabs>
        <w:spacing w:line="276" w:lineRule="auto"/>
        <w:ind w:left="709" w:right="709"/>
        <w:jc w:val="both"/>
        <w:rPr>
          <w:rFonts w:ascii="Arial" w:eastAsia="Calibri" w:hAnsi="Arial" w:cs="Arial"/>
          <w:color w:val="000000" w:themeColor="text1"/>
          <w:sz w:val="22"/>
        </w:rPr>
      </w:pPr>
      <w:r w:rsidRPr="004D58A4">
        <w:rPr>
          <w:rFonts w:ascii="Arial" w:eastAsia="Calibri" w:hAnsi="Arial" w:cs="Arial"/>
          <w:color w:val="000000" w:themeColor="text1"/>
          <w:sz w:val="22"/>
        </w:rPr>
        <w:t xml:space="preserve"> </w:t>
      </w:r>
      <w:r w:rsidR="00C3240C" w:rsidRPr="004D58A4">
        <w:rPr>
          <w:rFonts w:ascii="Arial" w:eastAsia="Calibri" w:hAnsi="Arial" w:cs="Arial"/>
          <w:color w:val="000000" w:themeColor="text1"/>
          <w:sz w:val="22"/>
        </w:rPr>
        <w:t>i</w:t>
      </w:r>
      <w:r w:rsidRPr="004D58A4">
        <w:rPr>
          <w:rFonts w:ascii="Arial" w:eastAsia="Calibri" w:hAnsi="Arial" w:cs="Arial"/>
          <w:color w:val="000000" w:themeColor="text1"/>
          <w:sz w:val="22"/>
        </w:rPr>
        <w:t xml:space="preserve">i) </w:t>
      </w:r>
      <w:r w:rsidR="00B16584" w:rsidRPr="004D58A4">
        <w:rPr>
          <w:rFonts w:ascii="Arial" w:eastAsia="Calibri" w:hAnsi="Arial" w:cs="Arial"/>
          <w:color w:val="000000" w:themeColor="text1"/>
          <w:sz w:val="22"/>
        </w:rPr>
        <w:t>¿La entidad puede computar la experiencia de un proponente no registrado en el RUP, dentro de un proceso de contratación en el que no se requiera estar inscrito en dicho Registro?</w:t>
      </w:r>
    </w:p>
    <w:p w14:paraId="6E7DB5B0" w14:textId="77777777" w:rsidR="00B16584" w:rsidRPr="004D58A4" w:rsidRDefault="00B16584" w:rsidP="00BF5A02">
      <w:pPr>
        <w:tabs>
          <w:tab w:val="left" w:pos="426"/>
        </w:tabs>
        <w:spacing w:line="276" w:lineRule="auto"/>
        <w:ind w:left="709" w:right="709"/>
        <w:jc w:val="both"/>
        <w:rPr>
          <w:rFonts w:ascii="Arial" w:eastAsia="Calibri" w:hAnsi="Arial" w:cs="Arial"/>
          <w:color w:val="000000" w:themeColor="text1"/>
          <w:sz w:val="22"/>
        </w:rPr>
      </w:pPr>
    </w:p>
    <w:p w14:paraId="053C8FE8" w14:textId="312BD748" w:rsidR="006250FE" w:rsidRPr="004D58A4" w:rsidRDefault="006D478D" w:rsidP="004233A7">
      <w:pPr>
        <w:tabs>
          <w:tab w:val="left" w:pos="426"/>
        </w:tabs>
        <w:spacing w:line="276" w:lineRule="auto"/>
        <w:ind w:left="709" w:right="709"/>
        <w:jc w:val="both"/>
        <w:rPr>
          <w:rFonts w:ascii="Arial" w:eastAsia="Calibri" w:hAnsi="Arial" w:cs="Arial"/>
          <w:color w:val="000000" w:themeColor="text1"/>
          <w:sz w:val="22"/>
        </w:rPr>
      </w:pPr>
      <w:r w:rsidRPr="004D58A4">
        <w:rPr>
          <w:rFonts w:ascii="Arial" w:eastAsia="Calibri" w:hAnsi="Arial" w:cs="Arial"/>
          <w:color w:val="000000" w:themeColor="text1"/>
          <w:sz w:val="22"/>
        </w:rPr>
        <w:t>i</w:t>
      </w:r>
      <w:r w:rsidR="006250FE" w:rsidRPr="004D58A4">
        <w:rPr>
          <w:rFonts w:ascii="Arial" w:eastAsia="Calibri" w:hAnsi="Arial" w:cs="Arial"/>
          <w:color w:val="000000" w:themeColor="text1"/>
          <w:sz w:val="22"/>
        </w:rPr>
        <w:t>ii) Cómo se acredita la experiencia de los socios de sociedades con menos de 3 años de creación, en un proceso de contratación en el que no se requiera la inscripción en el RUP?</w:t>
      </w:r>
    </w:p>
    <w:p w14:paraId="09336106" w14:textId="77777777" w:rsidR="00D4701E" w:rsidRPr="004D58A4" w:rsidRDefault="00D4701E">
      <w:pPr>
        <w:pStyle w:val="Prrafodelista"/>
        <w:tabs>
          <w:tab w:val="left" w:pos="426"/>
        </w:tabs>
        <w:spacing w:line="276" w:lineRule="auto"/>
        <w:ind w:left="1080"/>
        <w:contextualSpacing w:val="0"/>
        <w:jc w:val="both"/>
        <w:rPr>
          <w:rFonts w:ascii="Arial" w:eastAsia="Calibri" w:hAnsi="Arial" w:cs="Arial"/>
          <w:color w:val="000000" w:themeColor="text1"/>
          <w:sz w:val="22"/>
        </w:rPr>
      </w:pPr>
    </w:p>
    <w:p w14:paraId="7F01E7F4" w14:textId="219F55EB" w:rsidR="009F773B" w:rsidRPr="004D58A4" w:rsidRDefault="009F773B" w:rsidP="004233A7">
      <w:pPr>
        <w:spacing w:after="120" w:line="276" w:lineRule="auto"/>
        <w:jc w:val="both"/>
        <w:rPr>
          <w:rFonts w:ascii="Arial" w:hAnsi="Arial" w:cs="Arial"/>
          <w:color w:val="000000" w:themeColor="text1"/>
          <w:sz w:val="22"/>
        </w:rPr>
      </w:pPr>
      <w:r w:rsidRPr="004D58A4">
        <w:rPr>
          <w:rFonts w:ascii="Arial" w:hAnsi="Arial" w:cs="Arial"/>
          <w:color w:val="000000" w:themeColor="text1"/>
          <w:sz w:val="22"/>
        </w:rPr>
        <w:t>En relación con el segundo interrogante, la experiencia en los procesos en que no es exigible el RUP se acredita en los términos indicados frente a la pregunta i), por lo que, si en el procedimiento no es exigible el RUP, el proponente puede acreditar como experiencia contratos que no estén en dicho registro, por no ser exigible en el procedimiento de selección en específico.</w:t>
      </w:r>
    </w:p>
    <w:p w14:paraId="13C8A266" w14:textId="6F945055" w:rsidR="009F773B" w:rsidRPr="004D58A4" w:rsidRDefault="009F773B" w:rsidP="004233A7">
      <w:pPr>
        <w:spacing w:before="120" w:after="120" w:line="276" w:lineRule="auto"/>
        <w:ind w:firstLine="709"/>
        <w:jc w:val="both"/>
        <w:rPr>
          <w:rFonts w:ascii="Arial" w:hAnsi="Arial" w:cs="Arial"/>
          <w:color w:val="000000" w:themeColor="text1"/>
          <w:sz w:val="22"/>
        </w:rPr>
      </w:pPr>
      <w:r w:rsidRPr="004D58A4">
        <w:rPr>
          <w:rFonts w:ascii="Arial" w:hAnsi="Arial" w:cs="Arial"/>
          <w:color w:val="000000" w:themeColor="text1"/>
          <w:sz w:val="22"/>
        </w:rPr>
        <w:t xml:space="preserve">Ahora bien, la acreditación de la experiencia de los socios, accionistas o constituyentes de una persona jurídica con menos de 3 años de constitución, para participar en los eventos exceptuados al deber de inscripción en el RUP, la entidad contratante, en virtud de su autonomía, cuenta con la discreción de adoptar dos alternativas: i) aplicar el numeral 2.5 del artículo 2.2.1.1.1.5.2 del Decreto 1082 de 2015 de manera restrictiva, es decir, solo para los eventos de personas jurídicas con menos de 3 años de constitución que se inscriban en el RUP o ii) hacer una aplicación extensiva o analógica de esta norma, y determinar en los pliegos de condiciones que estas personas jurídica, que por virtud de los eventos exceptuados por el segundo inciso del artículo 6 de la Ley 1150 de 2007, no están obligadas a inscribirse en el RUP y no lo han hecho, pueden acreditar la experiencia de sus socios, accionistas y constituyentes si tiene menos de 3 años de constitución. </w:t>
      </w:r>
    </w:p>
    <w:p w14:paraId="130AEDD6" w14:textId="77777777" w:rsidR="009F773B" w:rsidRPr="004D58A4" w:rsidRDefault="009F773B" w:rsidP="009F773B">
      <w:pPr>
        <w:spacing w:before="120" w:after="120" w:line="276" w:lineRule="auto"/>
        <w:ind w:firstLine="709"/>
        <w:jc w:val="both"/>
        <w:rPr>
          <w:rFonts w:ascii="Arial" w:hAnsi="Arial" w:cs="Arial"/>
          <w:color w:val="000000" w:themeColor="text1"/>
          <w:sz w:val="22"/>
        </w:rPr>
      </w:pPr>
      <w:r w:rsidRPr="004D58A4">
        <w:rPr>
          <w:rFonts w:ascii="Arial" w:hAnsi="Arial" w:cs="Arial"/>
          <w:color w:val="000000" w:themeColor="text1"/>
          <w:sz w:val="22"/>
        </w:rPr>
        <w:lastRenderedPageBreak/>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14:paraId="4571A001" w14:textId="6A0EE1F6" w:rsidR="006250FE" w:rsidRPr="004D58A4" w:rsidRDefault="009F773B" w:rsidP="004233A7">
      <w:pPr>
        <w:tabs>
          <w:tab w:val="left" w:pos="2552"/>
        </w:tabs>
        <w:spacing w:before="120" w:after="120" w:line="276" w:lineRule="auto"/>
        <w:ind w:firstLine="709"/>
        <w:jc w:val="both"/>
        <w:rPr>
          <w:rFonts w:ascii="Arial" w:hAnsi="Arial" w:cs="Arial"/>
          <w:color w:val="000000" w:themeColor="text1"/>
          <w:sz w:val="22"/>
        </w:rPr>
      </w:pPr>
      <w:r w:rsidRPr="004D58A4">
        <w:rPr>
          <w:rFonts w:ascii="Arial" w:hAnsi="Arial" w:cs="Arial"/>
          <w:color w:val="000000" w:themeColor="text1"/>
          <w:sz w:val="22"/>
        </w:rPr>
        <w:t xml:space="preserve">En efecto, a </w:t>
      </w:r>
      <w:r w:rsidR="006250FE" w:rsidRPr="004D58A4">
        <w:rPr>
          <w:rFonts w:ascii="Arial" w:hAnsi="Arial" w:cs="Arial"/>
          <w:color w:val="000000" w:themeColor="text1"/>
          <w:sz w:val="22"/>
        </w:rPr>
        <w:t>pesar de que la norma que concede la posibilidad de acreditar la experiencia de los socios, accionistas o constituyentes para las personas jurídicas con menos de 3 años de creación se refiere al RUP, ello no impide que se pueda hacer una aplicación extensiva o analógica para los eventos en los que no sea necesaria la inscripción en el RUP. Es más, se insiste en que esta aplicación analógica se fundamenta en virtud del principio de igualdad de trato en la contratación pública, pues no se observa ningún criterio de distinción que justifique que en un caso se les tenga en cuenta la experiencia de los socios y en otros casos no. Personas jurídicas con menos de 3 años de constitución inscritas en el RUP son esencialmente iguales a las que no tienen dicho registro.</w:t>
      </w:r>
    </w:p>
    <w:p w14:paraId="35193F24" w14:textId="05C0547C" w:rsidR="006D478D" w:rsidRPr="004D58A4" w:rsidRDefault="006250FE" w:rsidP="008305BD">
      <w:pPr>
        <w:spacing w:before="120" w:after="120" w:line="276" w:lineRule="auto"/>
        <w:ind w:firstLine="708"/>
        <w:jc w:val="both"/>
        <w:rPr>
          <w:rFonts w:ascii="Arial" w:hAnsi="Arial" w:cs="Arial"/>
          <w:color w:val="000000" w:themeColor="text1"/>
          <w:sz w:val="22"/>
        </w:rPr>
      </w:pPr>
      <w:r w:rsidRPr="004D58A4">
        <w:rPr>
          <w:rFonts w:ascii="Arial" w:hAnsi="Arial" w:cs="Arial"/>
          <w:color w:val="000000" w:themeColor="text1"/>
          <w:sz w:val="22"/>
        </w:rPr>
        <w:t>Así pues,</w:t>
      </w:r>
      <w:r w:rsidR="008B6C3E" w:rsidRPr="004D58A4">
        <w:rPr>
          <w:rFonts w:ascii="Arial" w:hAnsi="Arial" w:cs="Arial"/>
          <w:color w:val="000000" w:themeColor="text1"/>
          <w:sz w:val="22"/>
        </w:rPr>
        <w:t xml:space="preserve"> las entidades contratantes tienen del deber de </w:t>
      </w:r>
      <w:r w:rsidRPr="004D58A4">
        <w:rPr>
          <w:rFonts w:ascii="Arial" w:hAnsi="Arial" w:cs="Arial"/>
          <w:color w:val="000000" w:themeColor="text1"/>
          <w:sz w:val="22"/>
        </w:rPr>
        <w:t>v</w:t>
      </w:r>
      <w:r w:rsidR="008B6C3E" w:rsidRPr="004D58A4">
        <w:rPr>
          <w:rFonts w:ascii="Arial" w:hAnsi="Arial" w:cs="Arial"/>
          <w:color w:val="000000" w:themeColor="text1"/>
          <w:sz w:val="22"/>
        </w:rPr>
        <w:t>erificar las condiciones de capacidad jurídica, técnica, financiera y organizacional de los oferentes</w:t>
      </w:r>
      <w:r w:rsidR="00C27BE7" w:rsidRPr="004D58A4">
        <w:rPr>
          <w:rFonts w:ascii="Arial" w:hAnsi="Arial" w:cs="Arial"/>
          <w:color w:val="000000" w:themeColor="text1"/>
          <w:sz w:val="22"/>
        </w:rPr>
        <w:t xml:space="preserve">, </w:t>
      </w:r>
      <w:r w:rsidR="00AB13DC" w:rsidRPr="004D58A4">
        <w:rPr>
          <w:rFonts w:ascii="Arial" w:hAnsi="Arial" w:cs="Arial"/>
          <w:color w:val="000000" w:themeColor="text1"/>
          <w:sz w:val="22"/>
        </w:rPr>
        <w:t>que podrá</w:t>
      </w:r>
      <w:r w:rsidR="00C27BE7" w:rsidRPr="004D58A4">
        <w:rPr>
          <w:rFonts w:ascii="Arial" w:hAnsi="Arial" w:cs="Arial"/>
          <w:color w:val="000000" w:themeColor="text1"/>
          <w:sz w:val="22"/>
        </w:rPr>
        <w:t xml:space="preserve"> acreditarse con las certificaciones que aporten los proponentes a</w:t>
      </w:r>
      <w:r w:rsidR="00A82284" w:rsidRPr="004D58A4">
        <w:rPr>
          <w:rFonts w:ascii="Arial" w:hAnsi="Arial" w:cs="Arial"/>
          <w:color w:val="000000" w:themeColor="text1"/>
          <w:sz w:val="22"/>
        </w:rPr>
        <w:t>l proceso de contratación</w:t>
      </w:r>
      <w:r w:rsidR="00AB13DC" w:rsidRPr="004D58A4">
        <w:rPr>
          <w:rFonts w:ascii="Arial" w:hAnsi="Arial" w:cs="Arial"/>
          <w:color w:val="000000" w:themeColor="text1"/>
          <w:sz w:val="22"/>
        </w:rPr>
        <w:t xml:space="preserve"> y</w:t>
      </w:r>
      <w:r w:rsidR="008B6C3E" w:rsidRPr="004D58A4">
        <w:rPr>
          <w:rFonts w:ascii="Arial" w:hAnsi="Arial" w:cs="Arial"/>
          <w:color w:val="000000" w:themeColor="text1"/>
          <w:sz w:val="22"/>
        </w:rPr>
        <w:t xml:space="preserve"> la entidad estatal podrá solicitar información adicional </w:t>
      </w:r>
      <w:r w:rsidR="008B6C3E" w:rsidRPr="004D58A4">
        <w:rPr>
          <w:rFonts w:ascii="Arial" w:eastAsia="Calibri" w:hAnsi="Arial" w:cs="Arial"/>
          <w:color w:val="000000" w:themeColor="text1"/>
          <w:sz w:val="22"/>
        </w:rPr>
        <w:t>―</w:t>
      </w:r>
      <w:r w:rsidR="008B6C3E" w:rsidRPr="004D58A4">
        <w:rPr>
          <w:rFonts w:ascii="Arial" w:hAnsi="Arial" w:cs="Arial"/>
          <w:color w:val="000000" w:themeColor="text1"/>
          <w:sz w:val="22"/>
        </w:rPr>
        <w:t>por ejemplo, longitudes de obra, especificaciones técnicas, etc</w:t>
      </w:r>
      <w:r w:rsidR="008B6C3E" w:rsidRPr="004D58A4">
        <w:rPr>
          <w:rFonts w:ascii="Arial" w:eastAsia="Calibri" w:hAnsi="Arial" w:cs="Arial"/>
          <w:color w:val="000000" w:themeColor="text1"/>
          <w:sz w:val="22"/>
        </w:rPr>
        <w:t>―</w:t>
      </w:r>
      <w:r w:rsidR="008B6C3E" w:rsidRPr="004D58A4">
        <w:rPr>
          <w:rFonts w:ascii="Arial" w:hAnsi="Arial" w:cs="Arial"/>
          <w:color w:val="000000" w:themeColor="text1"/>
          <w:sz w:val="22"/>
        </w:rPr>
        <w:t xml:space="preserve"> con el fin de verificar condiciones de experiencia del proponente. </w:t>
      </w:r>
    </w:p>
    <w:p w14:paraId="2666D298" w14:textId="77777777" w:rsidR="008305BD" w:rsidRPr="004D58A4" w:rsidRDefault="008305BD" w:rsidP="00384A8C">
      <w:pPr>
        <w:spacing w:before="120" w:after="120" w:line="276" w:lineRule="auto"/>
        <w:jc w:val="both"/>
        <w:rPr>
          <w:rFonts w:ascii="Arial" w:hAnsi="Arial" w:cs="Arial"/>
          <w:color w:val="000000" w:themeColor="text1"/>
          <w:sz w:val="22"/>
        </w:rPr>
      </w:pPr>
    </w:p>
    <w:p w14:paraId="5E422E63" w14:textId="77777777" w:rsidR="008305BD" w:rsidRPr="004D58A4" w:rsidRDefault="00AD1B0F" w:rsidP="008A2025">
      <w:pPr>
        <w:spacing w:before="120" w:after="120" w:line="276" w:lineRule="auto"/>
        <w:jc w:val="both"/>
        <w:rPr>
          <w:rFonts w:ascii="Arial" w:hAnsi="Arial" w:cs="Arial"/>
          <w:color w:val="000000" w:themeColor="text1"/>
          <w:sz w:val="22"/>
        </w:rPr>
      </w:pPr>
      <w:r w:rsidRPr="004D58A4">
        <w:rPr>
          <w:rFonts w:ascii="Arial" w:hAnsi="Arial" w:cs="Arial"/>
          <w:color w:val="000000" w:themeColor="text1"/>
          <w:sz w:val="22"/>
        </w:rPr>
        <w:t>Este concepto tiene el alcance previsto en el artículo 28 del Código de Procedimiento Administrativo y de lo Contencioso Administrativo.</w:t>
      </w:r>
    </w:p>
    <w:p w14:paraId="0F8C901F" w14:textId="2BFA77F0" w:rsidR="00A37FB6" w:rsidRPr="004D58A4" w:rsidRDefault="00A37FB6" w:rsidP="008A2025">
      <w:pPr>
        <w:spacing w:before="120" w:after="120" w:line="276" w:lineRule="auto"/>
        <w:jc w:val="both"/>
        <w:rPr>
          <w:rFonts w:ascii="Arial" w:hAnsi="Arial" w:cs="Arial"/>
          <w:color w:val="000000" w:themeColor="text1"/>
          <w:sz w:val="22"/>
        </w:rPr>
      </w:pPr>
      <w:r w:rsidRPr="004D58A4">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D9926E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77777777" w:rsidR="00A37FB6" w:rsidRPr="004D58A4" w:rsidRDefault="00A37FB6" w:rsidP="008A2025">
      <w:pPr>
        <w:spacing w:before="120" w:after="120" w:line="276" w:lineRule="auto"/>
        <w:rPr>
          <w:rFonts w:ascii="Arial" w:eastAsia="Times New Roman" w:hAnsi="Arial" w:cs="Arial"/>
          <w:color w:val="000000" w:themeColor="text1"/>
          <w:sz w:val="22"/>
          <w:lang w:eastAsia="es-CO"/>
        </w:rPr>
      </w:pPr>
      <w:r w:rsidRPr="004D58A4">
        <w:rPr>
          <w:rFonts w:ascii="Arial" w:eastAsia="Times New Roman" w:hAnsi="Arial" w:cs="Arial"/>
          <w:color w:val="000000" w:themeColor="text1"/>
          <w:sz w:val="22"/>
          <w:lang w:eastAsia="es-CO"/>
        </w:rPr>
        <w:t>Atentamente,</w:t>
      </w:r>
    </w:p>
    <w:p w14:paraId="57DD1EBD" w14:textId="6125DEAE" w:rsidR="00746E08" w:rsidRPr="004D58A4" w:rsidRDefault="00C8761C" w:rsidP="008A2025">
      <w:pPr>
        <w:spacing w:before="120" w:after="120" w:line="276" w:lineRule="auto"/>
        <w:jc w:val="center"/>
        <w:rPr>
          <w:rFonts w:ascii="Arial" w:eastAsia="Times New Roman" w:hAnsi="Arial" w:cs="Arial"/>
          <w:color w:val="000000" w:themeColor="text1"/>
          <w:sz w:val="22"/>
          <w:lang w:eastAsia="es-CO"/>
        </w:rPr>
      </w:pPr>
      <w:r>
        <w:rPr>
          <w:noProof/>
          <w:lang w:val="en-US"/>
        </w:rPr>
        <w:drawing>
          <wp:inline distT="0" distB="0" distL="0" distR="0" wp14:anchorId="04DC9D05" wp14:editId="1E807A3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D58A4" w:rsidRPr="004D58A4" w14:paraId="469202AF" w14:textId="77777777" w:rsidTr="008F0344">
        <w:trPr>
          <w:trHeight w:val="315"/>
        </w:trPr>
        <w:tc>
          <w:tcPr>
            <w:tcW w:w="812" w:type="dxa"/>
            <w:vAlign w:val="center"/>
            <w:hideMark/>
          </w:tcPr>
          <w:p w14:paraId="3F62A0B3" w14:textId="77777777" w:rsidR="00746E08" w:rsidRPr="004D58A4" w:rsidRDefault="00746E08" w:rsidP="001F4991">
            <w:pPr>
              <w:pStyle w:val="Sinespaciado"/>
              <w:rPr>
                <w:rFonts w:ascii="Arial" w:hAnsi="Arial" w:cs="Arial"/>
                <w:color w:val="000000" w:themeColor="text1"/>
                <w:sz w:val="16"/>
                <w:szCs w:val="16"/>
                <w:lang w:eastAsia="es-ES"/>
              </w:rPr>
            </w:pPr>
            <w:r w:rsidRPr="004D58A4">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3A691200" w:rsidR="00746E08" w:rsidRPr="004D58A4" w:rsidRDefault="008F0344" w:rsidP="001F4991">
            <w:pPr>
              <w:pStyle w:val="Sinespaciado"/>
              <w:rPr>
                <w:rFonts w:ascii="Arial" w:hAnsi="Arial" w:cs="Arial"/>
                <w:color w:val="000000" w:themeColor="text1"/>
                <w:sz w:val="16"/>
                <w:szCs w:val="16"/>
                <w:lang w:eastAsia="es-ES"/>
              </w:rPr>
            </w:pPr>
            <w:r w:rsidRPr="004D58A4">
              <w:rPr>
                <w:rFonts w:ascii="Arial" w:hAnsi="Arial" w:cs="Arial"/>
                <w:color w:val="000000" w:themeColor="text1"/>
                <w:sz w:val="16"/>
                <w:szCs w:val="16"/>
                <w:lang w:eastAsia="es-ES"/>
              </w:rPr>
              <w:t xml:space="preserve">Nina María Padrón Ballestas </w:t>
            </w:r>
          </w:p>
          <w:p w14:paraId="51C325E7" w14:textId="6734F849" w:rsidR="00746E08" w:rsidRPr="004D58A4" w:rsidRDefault="008F0344" w:rsidP="001F4991">
            <w:pPr>
              <w:pStyle w:val="Sinespaciado"/>
              <w:rPr>
                <w:rFonts w:ascii="Arial" w:hAnsi="Arial" w:cs="Arial"/>
                <w:color w:val="000000" w:themeColor="text1"/>
                <w:sz w:val="16"/>
                <w:szCs w:val="16"/>
                <w:lang w:eastAsia="es-ES"/>
              </w:rPr>
            </w:pPr>
            <w:r w:rsidRPr="004D58A4">
              <w:rPr>
                <w:rFonts w:ascii="Arial" w:hAnsi="Arial" w:cs="Arial"/>
                <w:color w:val="000000" w:themeColor="text1"/>
                <w:sz w:val="16"/>
                <w:szCs w:val="16"/>
                <w:lang w:eastAsia="es-ES"/>
              </w:rPr>
              <w:t>Contratista Subdirección de Gestión Contractual</w:t>
            </w:r>
          </w:p>
        </w:tc>
      </w:tr>
      <w:tr w:rsidR="004D58A4" w:rsidRPr="004D58A4" w14:paraId="10BC78E8" w14:textId="77777777" w:rsidTr="008F0344">
        <w:trPr>
          <w:trHeight w:val="330"/>
        </w:trPr>
        <w:tc>
          <w:tcPr>
            <w:tcW w:w="812" w:type="dxa"/>
            <w:vAlign w:val="center"/>
            <w:hideMark/>
          </w:tcPr>
          <w:p w14:paraId="6A7DBF66" w14:textId="77777777" w:rsidR="00746E08" w:rsidRPr="004D58A4" w:rsidRDefault="00746E08" w:rsidP="001F4991">
            <w:pPr>
              <w:pStyle w:val="Sinespaciado"/>
              <w:rPr>
                <w:rFonts w:ascii="Arial" w:hAnsi="Arial" w:cs="Arial"/>
                <w:color w:val="000000" w:themeColor="text1"/>
                <w:sz w:val="16"/>
                <w:szCs w:val="16"/>
                <w:lang w:eastAsia="es-ES"/>
              </w:rPr>
            </w:pPr>
            <w:r w:rsidRPr="004D58A4">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0D88E5F8" w:rsidR="00746E08" w:rsidRPr="004D58A4" w:rsidRDefault="00F4797F" w:rsidP="001F4991">
            <w:pPr>
              <w:pStyle w:val="Sinespaciado"/>
              <w:rPr>
                <w:rFonts w:ascii="Arial" w:hAnsi="Arial" w:cs="Arial"/>
                <w:color w:val="000000" w:themeColor="text1"/>
                <w:sz w:val="16"/>
                <w:szCs w:val="16"/>
                <w:lang w:eastAsia="es-ES"/>
              </w:rPr>
            </w:pPr>
            <w:r w:rsidRPr="004D58A4">
              <w:rPr>
                <w:rFonts w:ascii="Arial" w:hAnsi="Arial" w:cs="Arial"/>
                <w:color w:val="000000" w:themeColor="text1"/>
                <w:sz w:val="16"/>
                <w:szCs w:val="16"/>
                <w:lang w:eastAsia="es-ES"/>
              </w:rPr>
              <w:t>Sebastián Ramírez Grisales</w:t>
            </w:r>
          </w:p>
          <w:p w14:paraId="19E8BD8D" w14:textId="029BF71E" w:rsidR="00746E08" w:rsidRPr="004D58A4" w:rsidRDefault="00F4797F" w:rsidP="001F4991">
            <w:pPr>
              <w:pStyle w:val="Sinespaciado"/>
              <w:rPr>
                <w:rFonts w:ascii="Arial" w:hAnsi="Arial" w:cs="Arial"/>
                <w:color w:val="000000" w:themeColor="text1"/>
                <w:sz w:val="16"/>
                <w:szCs w:val="16"/>
                <w:lang w:eastAsia="es-ES"/>
              </w:rPr>
            </w:pPr>
            <w:r w:rsidRPr="004D58A4">
              <w:rPr>
                <w:rFonts w:ascii="Arial" w:hAnsi="Arial" w:cs="Arial"/>
                <w:color w:val="000000" w:themeColor="text1"/>
                <w:sz w:val="16"/>
                <w:szCs w:val="16"/>
                <w:lang w:eastAsia="es-ES"/>
              </w:rPr>
              <w:t xml:space="preserve">Contratista Subdirección </w:t>
            </w:r>
            <w:r w:rsidR="00746E08" w:rsidRPr="004D58A4">
              <w:rPr>
                <w:rFonts w:ascii="Arial" w:hAnsi="Arial" w:cs="Arial"/>
                <w:color w:val="000000" w:themeColor="text1"/>
                <w:sz w:val="16"/>
                <w:szCs w:val="16"/>
                <w:lang w:eastAsia="es-ES"/>
              </w:rPr>
              <w:t>de Gestión Contractual</w:t>
            </w:r>
          </w:p>
        </w:tc>
      </w:tr>
      <w:tr w:rsidR="001F4991" w:rsidRPr="004D58A4" w14:paraId="50741B38" w14:textId="77777777" w:rsidTr="008F0344">
        <w:trPr>
          <w:trHeight w:val="300"/>
        </w:trPr>
        <w:tc>
          <w:tcPr>
            <w:tcW w:w="812" w:type="dxa"/>
            <w:vAlign w:val="center"/>
            <w:hideMark/>
          </w:tcPr>
          <w:p w14:paraId="297715FA" w14:textId="77777777" w:rsidR="00746E08" w:rsidRPr="004D58A4" w:rsidRDefault="00746E08" w:rsidP="001F4991">
            <w:pPr>
              <w:pStyle w:val="Sinespaciado"/>
              <w:rPr>
                <w:rFonts w:ascii="Arial" w:hAnsi="Arial" w:cs="Arial"/>
                <w:color w:val="000000" w:themeColor="text1"/>
                <w:sz w:val="16"/>
                <w:szCs w:val="16"/>
                <w:lang w:eastAsia="es-ES"/>
              </w:rPr>
            </w:pPr>
            <w:r w:rsidRPr="004D58A4">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4D58A4" w:rsidRDefault="00746E08" w:rsidP="001F4991">
            <w:pPr>
              <w:pStyle w:val="Sinespaciado"/>
              <w:rPr>
                <w:rFonts w:ascii="Arial" w:hAnsi="Arial" w:cs="Arial"/>
                <w:color w:val="000000" w:themeColor="text1"/>
                <w:sz w:val="16"/>
                <w:szCs w:val="16"/>
                <w:lang w:eastAsia="es-ES"/>
              </w:rPr>
            </w:pPr>
            <w:r w:rsidRPr="004D58A4">
              <w:rPr>
                <w:rFonts w:ascii="Arial" w:hAnsi="Arial" w:cs="Arial"/>
                <w:color w:val="000000" w:themeColor="text1"/>
                <w:sz w:val="16"/>
                <w:szCs w:val="16"/>
                <w:lang w:eastAsia="es-ES"/>
              </w:rPr>
              <w:t>Fabián Gonzalo Marín Cortés</w:t>
            </w:r>
          </w:p>
          <w:p w14:paraId="17847B1F" w14:textId="71EB0D70" w:rsidR="00746E08" w:rsidRPr="004D58A4" w:rsidRDefault="00746E08" w:rsidP="001F4991">
            <w:pPr>
              <w:pStyle w:val="Sinespaciado"/>
              <w:rPr>
                <w:rFonts w:ascii="Arial" w:hAnsi="Arial" w:cs="Arial"/>
                <w:color w:val="000000" w:themeColor="text1"/>
                <w:sz w:val="16"/>
                <w:szCs w:val="16"/>
                <w:lang w:eastAsia="es-ES"/>
              </w:rPr>
            </w:pPr>
            <w:r w:rsidRPr="004D58A4">
              <w:rPr>
                <w:rFonts w:ascii="Arial" w:hAnsi="Arial" w:cs="Arial"/>
                <w:color w:val="000000" w:themeColor="text1"/>
                <w:sz w:val="16"/>
                <w:szCs w:val="16"/>
                <w:lang w:eastAsia="es-ES"/>
              </w:rPr>
              <w:t>Subdirector de Gestión Contractual</w:t>
            </w:r>
          </w:p>
        </w:tc>
      </w:tr>
    </w:tbl>
    <w:p w14:paraId="35B56F46" w14:textId="77777777" w:rsidR="00746E08" w:rsidRPr="004D58A4" w:rsidRDefault="00746E08" w:rsidP="008A2025">
      <w:pPr>
        <w:spacing w:before="120" w:after="120" w:line="276" w:lineRule="auto"/>
        <w:rPr>
          <w:rFonts w:ascii="Arial" w:eastAsia="Times New Roman" w:hAnsi="Arial" w:cs="Arial"/>
          <w:color w:val="000000" w:themeColor="text1"/>
          <w:sz w:val="22"/>
          <w:lang w:eastAsia="es-ES"/>
        </w:rPr>
      </w:pPr>
    </w:p>
    <w:p w14:paraId="299FEDB9" w14:textId="77777777" w:rsidR="00540DF9" w:rsidRPr="004D58A4" w:rsidRDefault="00540DF9" w:rsidP="008A2025">
      <w:pPr>
        <w:spacing w:before="120" w:after="120" w:line="276" w:lineRule="auto"/>
        <w:rPr>
          <w:rFonts w:ascii="Arial" w:eastAsia="Times New Roman" w:hAnsi="Arial" w:cs="Arial"/>
          <w:color w:val="000000" w:themeColor="text1"/>
          <w:sz w:val="22"/>
          <w:lang w:eastAsia="es-ES"/>
        </w:rPr>
      </w:pPr>
    </w:p>
    <w:sectPr w:rsidR="00540DF9" w:rsidRPr="004D58A4"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8AE65F" w14:textId="77777777" w:rsidR="00FB3F07" w:rsidRDefault="00FB3F07">
      <w:r>
        <w:separator/>
      </w:r>
    </w:p>
  </w:endnote>
  <w:endnote w:type="continuationSeparator" w:id="0">
    <w:p w14:paraId="02A45044" w14:textId="77777777" w:rsidR="00FB3F07" w:rsidRDefault="00FB3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560147" w:rsidRDefault="00560147" w:rsidP="00322937">
    <w:pPr>
      <w:pStyle w:val="Sinespaciado"/>
      <w:jc w:val="right"/>
      <w:rPr>
        <w:rFonts w:ascii="Arial" w:hAnsi="Arial" w:cs="Arial"/>
        <w:sz w:val="18"/>
        <w:szCs w:val="18"/>
      </w:rPr>
    </w:pPr>
  </w:p>
  <w:p w14:paraId="7A3785F3" w14:textId="471E32C1" w:rsidR="00560147" w:rsidRPr="008217B7" w:rsidRDefault="0056014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A0477">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A0477">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560147" w:rsidRDefault="00560147"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560147" w:rsidRDefault="00560147" w:rsidP="007B0854">
    <w:pPr>
      <w:pStyle w:val="Piedepgina"/>
      <w:jc w:val="center"/>
      <w:rPr>
        <w:lang w:val="es-ES"/>
      </w:rPr>
    </w:pPr>
  </w:p>
  <w:p w14:paraId="6C0EFC49" w14:textId="77777777" w:rsidR="00560147" w:rsidRPr="007B0854" w:rsidRDefault="0056014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90EF6" w14:textId="77777777" w:rsidR="00FB3F07" w:rsidRDefault="00FB3F07">
      <w:r>
        <w:separator/>
      </w:r>
    </w:p>
  </w:footnote>
  <w:footnote w:type="continuationSeparator" w:id="0">
    <w:p w14:paraId="1A4F6447" w14:textId="77777777" w:rsidR="00FB3F07" w:rsidRDefault="00FB3F07">
      <w:r>
        <w:continuationSeparator/>
      </w:r>
    </w:p>
  </w:footnote>
  <w:footnote w:id="1">
    <w:p w14:paraId="548A773E" w14:textId="62E02D28" w:rsidR="00560147" w:rsidRPr="004D58A4" w:rsidRDefault="00560147"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5F0D5971" w14:textId="50A227C4" w:rsidR="00560147" w:rsidRPr="004D58A4" w:rsidRDefault="00DA5C47"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r w:rsidR="00560147" w:rsidRPr="004D58A4">
        <w:rPr>
          <w:rFonts w:ascii="Arial" w:hAnsi="Arial" w:cs="Arial"/>
          <w:color w:val="000000" w:themeColor="text1"/>
          <w:sz w:val="19"/>
          <w:szCs w:val="19"/>
        </w:rPr>
        <w:t>[...]Documentos del Proceso son: a) los estudios y documentos previos; b) el aviso de convocatoria; c) los pliegos de condiciones o la invitación; d) las Adendas; e) la oferta; f) el informe de evaluación; g) el contrato; y cualquier otro documento expedido por la Entidad Estatal durante e</w:t>
      </w:r>
      <w:r w:rsidRPr="004D58A4">
        <w:rPr>
          <w:rFonts w:ascii="Arial" w:hAnsi="Arial" w:cs="Arial"/>
          <w:color w:val="000000" w:themeColor="text1"/>
          <w:sz w:val="19"/>
          <w:szCs w:val="19"/>
        </w:rPr>
        <w:t>l Proceso de Contratación [...]»</w:t>
      </w:r>
      <w:r w:rsidR="00560147" w:rsidRPr="004D58A4">
        <w:rPr>
          <w:rFonts w:ascii="Arial" w:hAnsi="Arial" w:cs="Arial"/>
          <w:color w:val="000000" w:themeColor="text1"/>
          <w:sz w:val="19"/>
          <w:szCs w:val="19"/>
        </w:rPr>
        <w:t>.</w:t>
      </w:r>
    </w:p>
    <w:p w14:paraId="0C6D24D5" w14:textId="77777777" w:rsidR="00DA5C47" w:rsidRPr="004D58A4" w:rsidRDefault="00DA5C47" w:rsidP="006D478D">
      <w:pPr>
        <w:pStyle w:val="Textonotapie"/>
        <w:ind w:firstLine="708"/>
        <w:jc w:val="both"/>
        <w:rPr>
          <w:rFonts w:ascii="Arial" w:hAnsi="Arial" w:cs="Arial"/>
          <w:color w:val="000000" w:themeColor="text1"/>
          <w:sz w:val="19"/>
          <w:szCs w:val="19"/>
        </w:rPr>
      </w:pPr>
    </w:p>
  </w:footnote>
  <w:footnote w:id="2">
    <w:p w14:paraId="4BB25C21" w14:textId="268A76C0" w:rsidR="00A32BD5" w:rsidRPr="004D58A4" w:rsidRDefault="00C24589" w:rsidP="006D478D">
      <w:pPr>
        <w:pStyle w:val="Textonotapie"/>
        <w:ind w:firstLine="709"/>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w:t>
      </w:r>
      <w:r w:rsidR="00442D24" w:rsidRPr="004D58A4">
        <w:rPr>
          <w:rFonts w:ascii="Arial" w:hAnsi="Arial" w:cs="Arial"/>
          <w:color w:val="000000" w:themeColor="text1"/>
          <w:sz w:val="19"/>
          <w:szCs w:val="19"/>
        </w:rPr>
        <w:t>«</w:t>
      </w:r>
      <w:r w:rsidR="006D478D" w:rsidRPr="004D58A4">
        <w:rPr>
          <w:rFonts w:ascii="Arial" w:hAnsi="Arial" w:cs="Arial"/>
          <w:color w:val="000000" w:themeColor="text1"/>
          <w:sz w:val="19"/>
          <w:szCs w:val="19"/>
        </w:rPr>
        <w:t>Artículo 5. De la selección objetiva.</w:t>
      </w:r>
      <w:r w:rsidR="00A32BD5" w:rsidRPr="004D58A4">
        <w:rPr>
          <w:rFonts w:ascii="Arial" w:hAnsi="Arial" w:cs="Arial"/>
          <w:color w:val="000000" w:themeColor="text1"/>
          <w:sz w:val="19"/>
          <w:szCs w:val="19"/>
        </w:rPr>
        <w:t xml:space="preserve">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34B3A758" w14:textId="3CD92F31" w:rsidR="00C24589" w:rsidRPr="004D58A4" w:rsidRDefault="00442D24" w:rsidP="006D478D">
      <w:pPr>
        <w:pStyle w:val="Textonotapie"/>
        <w:ind w:firstLine="709"/>
        <w:jc w:val="both"/>
        <w:rPr>
          <w:rFonts w:ascii="Arial" w:hAnsi="Arial" w:cs="Arial"/>
          <w:color w:val="000000" w:themeColor="text1"/>
          <w:sz w:val="19"/>
          <w:szCs w:val="19"/>
        </w:rPr>
      </w:pPr>
      <w:r w:rsidRPr="004D58A4">
        <w:rPr>
          <w:rFonts w:ascii="Arial" w:hAnsi="Arial" w:cs="Arial"/>
          <w:color w:val="000000" w:themeColor="text1"/>
          <w:sz w:val="19"/>
          <w:szCs w:val="19"/>
        </w:rPr>
        <w:t>»</w:t>
      </w:r>
      <w:r w:rsidR="00A32BD5" w:rsidRPr="004D58A4">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Pr="004D58A4">
        <w:rPr>
          <w:rFonts w:ascii="Arial" w:hAnsi="Arial" w:cs="Arial"/>
          <w:color w:val="000000" w:themeColor="text1"/>
          <w:sz w:val="19"/>
          <w:szCs w:val="19"/>
        </w:rPr>
        <w:t>».</w:t>
      </w:r>
    </w:p>
    <w:p w14:paraId="55656BB6" w14:textId="77777777" w:rsidR="00BF5A02" w:rsidRPr="004D58A4" w:rsidRDefault="00BF5A02" w:rsidP="006D478D">
      <w:pPr>
        <w:pStyle w:val="Textonotapie"/>
        <w:ind w:firstLine="709"/>
        <w:jc w:val="both"/>
        <w:rPr>
          <w:rFonts w:ascii="Arial" w:hAnsi="Arial" w:cs="Arial"/>
          <w:color w:val="000000" w:themeColor="text1"/>
          <w:sz w:val="19"/>
          <w:szCs w:val="19"/>
          <w:lang w:val="es-CO"/>
        </w:rPr>
      </w:pPr>
    </w:p>
  </w:footnote>
  <w:footnote w:id="3">
    <w:p w14:paraId="043171BF" w14:textId="1EBC7E66" w:rsidR="00560147" w:rsidRPr="004D58A4" w:rsidRDefault="00560147"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7E55BE3" w14:textId="77777777" w:rsidR="00560147" w:rsidRPr="004D58A4" w:rsidRDefault="00560147" w:rsidP="006D478D">
      <w:pPr>
        <w:pStyle w:val="Textonotapie"/>
        <w:ind w:firstLine="708"/>
        <w:jc w:val="both"/>
        <w:rPr>
          <w:rFonts w:ascii="Arial" w:hAnsi="Arial" w:cs="Arial"/>
          <w:color w:val="000000" w:themeColor="text1"/>
          <w:sz w:val="19"/>
          <w:szCs w:val="19"/>
          <w:lang w:val="es-ES"/>
        </w:rPr>
      </w:pPr>
    </w:p>
  </w:footnote>
  <w:footnote w:id="4">
    <w:p w14:paraId="53020E43" w14:textId="6C419751" w:rsidR="00560147" w:rsidRPr="004D58A4" w:rsidRDefault="00560147"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7D435074" w14:textId="38B3FEC5" w:rsidR="00560147" w:rsidRPr="004D58A4" w:rsidRDefault="00DA5C47"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r w:rsidR="00560147" w:rsidRPr="004D58A4">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p w14:paraId="1A7276C4" w14:textId="77777777" w:rsidR="00560147" w:rsidRPr="004D58A4" w:rsidRDefault="00560147" w:rsidP="006D478D">
      <w:pPr>
        <w:pStyle w:val="Textonotapie"/>
        <w:ind w:firstLine="708"/>
        <w:jc w:val="both"/>
        <w:rPr>
          <w:rFonts w:ascii="Arial" w:hAnsi="Arial" w:cs="Arial"/>
          <w:color w:val="000000" w:themeColor="text1"/>
          <w:sz w:val="19"/>
          <w:szCs w:val="19"/>
          <w:lang w:val="es-ES"/>
        </w:rPr>
      </w:pPr>
    </w:p>
  </w:footnote>
  <w:footnote w:id="5">
    <w:p w14:paraId="41698710" w14:textId="05619042" w:rsidR="00560147" w:rsidRPr="004D58A4" w:rsidRDefault="00560147"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A5161B4" w14:textId="5D699DB4" w:rsidR="00DA5C47" w:rsidRPr="004D58A4" w:rsidRDefault="00DA5C47"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r w:rsidR="00560147" w:rsidRPr="004D58A4">
        <w:rPr>
          <w:rFonts w:ascii="Arial" w:hAnsi="Arial" w:cs="Arial"/>
          <w:color w:val="000000" w:themeColor="text1"/>
          <w:sz w:val="19"/>
          <w:szCs w:val="19"/>
        </w:rPr>
        <w:t>[…]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w:t>
      </w:r>
      <w:r w:rsidRPr="004D58A4">
        <w:rPr>
          <w:rFonts w:ascii="Arial" w:hAnsi="Arial" w:cs="Arial"/>
          <w:color w:val="000000" w:themeColor="text1"/>
          <w:sz w:val="19"/>
          <w:szCs w:val="19"/>
        </w:rPr>
        <w:t xml:space="preserve">r la inscripción en el registro. </w:t>
      </w:r>
    </w:p>
    <w:p w14:paraId="343481C4" w14:textId="4AA75F48" w:rsidR="00560147" w:rsidRPr="004D58A4" w:rsidRDefault="00DA5C47"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r w:rsidR="00560147" w:rsidRPr="004D58A4">
        <w:rPr>
          <w:rFonts w:ascii="Arial" w:hAnsi="Arial" w:cs="Arial"/>
          <w:color w:val="000000" w:themeColor="text1"/>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 […]».</w:t>
      </w:r>
    </w:p>
    <w:p w14:paraId="5D631165" w14:textId="77777777" w:rsidR="00560147" w:rsidRPr="004D58A4" w:rsidRDefault="00560147" w:rsidP="006D478D">
      <w:pPr>
        <w:pStyle w:val="Textonotapie"/>
        <w:jc w:val="both"/>
        <w:rPr>
          <w:rFonts w:ascii="Arial" w:hAnsi="Arial" w:cs="Arial"/>
          <w:color w:val="000000" w:themeColor="text1"/>
          <w:sz w:val="19"/>
          <w:szCs w:val="19"/>
          <w:lang w:val="es-ES"/>
        </w:rPr>
      </w:pPr>
    </w:p>
  </w:footnote>
  <w:footnote w:id="6">
    <w:p w14:paraId="440E554A" w14:textId="482F7B64" w:rsidR="00560147" w:rsidRPr="004D58A4" w:rsidRDefault="00560147"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00391CC" w14:textId="1CECAE41" w:rsidR="00560147" w:rsidRPr="004D58A4" w:rsidRDefault="00780223"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r w:rsidR="00560147" w:rsidRPr="004D58A4">
        <w:rPr>
          <w:rFonts w:ascii="Arial" w:hAnsi="Arial" w:cs="Arial"/>
          <w:color w:val="000000" w:themeColor="text1"/>
          <w:sz w:val="19"/>
          <w:szCs w:val="19"/>
        </w:rPr>
        <w:t>1.    Si es una persona natural:</w:t>
      </w:r>
    </w:p>
    <w:p w14:paraId="53FD3D10" w14:textId="68018232" w:rsidR="00560147" w:rsidRPr="004D58A4" w:rsidRDefault="00780223"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»1</w:t>
      </w:r>
      <w:r w:rsidR="00560147" w:rsidRPr="004D58A4">
        <w:rPr>
          <w:rFonts w:ascii="Arial" w:hAnsi="Arial" w:cs="Arial"/>
          <w:color w:val="000000" w:themeColor="text1"/>
          <w:sz w:val="19"/>
          <w:szCs w:val="19"/>
        </w:rPr>
        <w:t>.1. Bienes, obras y servicios que ofrecerá a las Entidades Estatales, identificados con el Clasificador de Bienes y Servicios en el tercer nivel.</w:t>
      </w:r>
    </w:p>
    <w:p w14:paraId="1FDBC9D7" w14:textId="0CCEDD71" w:rsidR="00560147" w:rsidRPr="004D58A4" w:rsidRDefault="00780223"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r w:rsidR="00560147" w:rsidRPr="004D58A4">
        <w:rPr>
          <w:rFonts w:ascii="Arial" w:hAnsi="Arial" w:cs="Arial"/>
          <w:color w:val="000000" w:themeColor="text1"/>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4DDAFBF8" w14:textId="77777777" w:rsidR="00560147" w:rsidRPr="004D58A4" w:rsidRDefault="00560147" w:rsidP="006D478D">
      <w:pPr>
        <w:pStyle w:val="Textonotapie"/>
        <w:ind w:firstLine="708"/>
        <w:jc w:val="both"/>
        <w:rPr>
          <w:rFonts w:ascii="Arial" w:hAnsi="Arial" w:cs="Arial"/>
          <w:color w:val="000000" w:themeColor="text1"/>
          <w:sz w:val="19"/>
          <w:szCs w:val="19"/>
          <w:lang w:val="es-ES"/>
        </w:rPr>
      </w:pPr>
    </w:p>
  </w:footnote>
  <w:footnote w:id="7">
    <w:p w14:paraId="5115F18C" w14:textId="4D1FE791" w:rsidR="008B0720" w:rsidRPr="004D58A4" w:rsidRDefault="008B0720"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009709B7" w:rsidRPr="004D58A4">
        <w:rPr>
          <w:rFonts w:ascii="Arial" w:hAnsi="Arial" w:cs="Arial"/>
          <w:color w:val="000000" w:themeColor="text1"/>
          <w:sz w:val="19"/>
          <w:szCs w:val="19"/>
        </w:rPr>
        <w:t xml:space="preserve"> </w:t>
      </w:r>
      <w:r w:rsidRPr="004D58A4">
        <w:rPr>
          <w:rFonts w:ascii="Arial" w:hAnsi="Arial" w:cs="Arial"/>
          <w:color w:val="000000" w:themeColor="text1"/>
          <w:sz w:val="19"/>
          <w:szCs w:val="19"/>
        </w:rPr>
        <w:t>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51E07926" w14:textId="77777777" w:rsidR="008B0720" w:rsidRPr="004D58A4" w:rsidRDefault="008B0720"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 xml:space="preserve">»Los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w:t>
      </w:r>
    </w:p>
    <w:p w14:paraId="2B949939" w14:textId="77777777" w:rsidR="008B0720" w:rsidRPr="004D58A4" w:rsidRDefault="008B0720" w:rsidP="006D478D">
      <w:pPr>
        <w:pStyle w:val="Textonotapie"/>
        <w:jc w:val="both"/>
        <w:rPr>
          <w:rFonts w:ascii="Arial" w:hAnsi="Arial" w:cs="Arial"/>
          <w:color w:val="000000" w:themeColor="text1"/>
          <w:sz w:val="19"/>
          <w:szCs w:val="19"/>
        </w:rPr>
      </w:pPr>
      <w:r w:rsidRPr="004D58A4">
        <w:rPr>
          <w:rFonts w:ascii="Arial" w:hAnsi="Arial" w:cs="Arial"/>
          <w:color w:val="000000" w:themeColor="text1"/>
          <w:sz w:val="19"/>
          <w:szCs w:val="19"/>
        </w:rPr>
        <w:t>la participación en proponentes plurales. Esta experiencia se obtiene con contratantes públicos, privados, nacionales o extranjeros. No hay límite frente al número de contratos o a la fecha en la cual estos fueron celebrados.</w:t>
      </w:r>
    </w:p>
    <w:p w14:paraId="7EC6E131" w14:textId="77777777" w:rsidR="008B0720" w:rsidRPr="004D58A4" w:rsidRDefault="008B0720"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p>
    <w:p w14:paraId="2EBA0B90" w14:textId="77777777" w:rsidR="008B0720" w:rsidRPr="004D58A4" w:rsidRDefault="008B0720"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325A6968" w14:textId="77777777" w:rsidR="008B0720" w:rsidRPr="004D58A4" w:rsidRDefault="008B0720"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518A894E" w14:textId="77777777" w:rsidR="008B0720" w:rsidRPr="004D58A4" w:rsidRDefault="008B0720" w:rsidP="006D478D">
      <w:pPr>
        <w:pStyle w:val="Textonotapie"/>
        <w:jc w:val="both"/>
        <w:rPr>
          <w:rFonts w:ascii="Arial" w:hAnsi="Arial" w:cs="Arial"/>
          <w:color w:val="000000" w:themeColor="text1"/>
          <w:sz w:val="19"/>
          <w:szCs w:val="19"/>
          <w:lang w:val="es-ES"/>
        </w:rPr>
      </w:pPr>
    </w:p>
  </w:footnote>
  <w:footnote w:id="8">
    <w:p w14:paraId="4AC25CF6" w14:textId="77777777" w:rsidR="008B0720" w:rsidRPr="004D58A4" w:rsidRDefault="008B0720" w:rsidP="006D478D">
      <w:pPr>
        <w:pStyle w:val="Textonotapie"/>
        <w:ind w:firstLine="708"/>
        <w:jc w:val="both"/>
        <w:rPr>
          <w:rFonts w:ascii="Arial" w:hAnsi="Arial" w:cs="Arial"/>
          <w:color w:val="000000" w:themeColor="text1"/>
          <w:sz w:val="19"/>
          <w:szCs w:val="19"/>
          <w:lang w:val="es-CO"/>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Corte Constitucional. </w:t>
      </w:r>
      <w:r w:rsidRPr="004D58A4">
        <w:rPr>
          <w:rFonts w:ascii="Arial" w:hAnsi="Arial" w:cs="Arial"/>
          <w:color w:val="000000" w:themeColor="text1"/>
          <w:sz w:val="19"/>
          <w:szCs w:val="19"/>
          <w:lang w:val="es-CO"/>
        </w:rPr>
        <w:t xml:space="preserve">Sentencia C </w:t>
      </w:r>
      <w:r w:rsidRPr="004D58A4">
        <w:rPr>
          <w:rFonts w:ascii="Arial" w:eastAsia="Calibri" w:hAnsi="Arial" w:cs="Arial"/>
          <w:color w:val="000000" w:themeColor="text1"/>
          <w:sz w:val="19"/>
          <w:szCs w:val="19"/>
        </w:rPr>
        <w:t xml:space="preserve">― </w:t>
      </w:r>
      <w:r w:rsidRPr="004D58A4">
        <w:rPr>
          <w:rFonts w:ascii="Arial" w:hAnsi="Arial" w:cs="Arial"/>
          <w:color w:val="000000" w:themeColor="text1"/>
          <w:sz w:val="19"/>
          <w:szCs w:val="19"/>
          <w:lang w:val="es-CO"/>
        </w:rPr>
        <w:t xml:space="preserve">259 de 11 de marzo 2008. M.P. Jaime Córdoba Triviño. </w:t>
      </w:r>
    </w:p>
  </w:footnote>
  <w:footnote w:id="9">
    <w:p w14:paraId="373A38C6" w14:textId="77777777" w:rsidR="00DA23DB" w:rsidRPr="004D58A4" w:rsidRDefault="00DA23DB"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FA0D1C8" w14:textId="77777777" w:rsidR="00DA23DB" w:rsidRPr="004D58A4" w:rsidRDefault="00DA23DB"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p>
    <w:p w14:paraId="679CB4EE" w14:textId="77777777" w:rsidR="00DA23DB" w:rsidRPr="004D58A4" w:rsidRDefault="00DA23DB"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shd w:val="clear" w:color="auto" w:fill="FFFFFF"/>
        </w:rPr>
        <w:t>»2.1.   Bienes, obras y servicios que ofrecerá a las Entidades Estatales, identificados con el Clasificador de Bienes y Servicios en el tercer nivel</w:t>
      </w:r>
      <w:r w:rsidRPr="004D58A4">
        <w:rPr>
          <w:rFonts w:ascii="Arial" w:hAnsi="Arial" w:cs="Arial"/>
          <w:color w:val="000000" w:themeColor="text1"/>
          <w:sz w:val="19"/>
          <w:szCs w:val="19"/>
        </w:rPr>
        <w:t>»</w:t>
      </w:r>
      <w:r w:rsidRPr="004D58A4">
        <w:rPr>
          <w:rFonts w:ascii="Arial" w:hAnsi="Arial" w:cs="Arial"/>
          <w:color w:val="000000" w:themeColor="text1"/>
          <w:sz w:val="19"/>
          <w:szCs w:val="19"/>
          <w:shd w:val="clear" w:color="auto" w:fill="FFFFFF"/>
        </w:rPr>
        <w:t>.</w:t>
      </w:r>
    </w:p>
    <w:p w14:paraId="01D5EF0C" w14:textId="77777777" w:rsidR="00DA23DB" w:rsidRPr="004D58A4" w:rsidRDefault="00DA23DB" w:rsidP="006D478D">
      <w:pPr>
        <w:pStyle w:val="Textonotapie"/>
        <w:ind w:firstLine="708"/>
        <w:jc w:val="both"/>
        <w:rPr>
          <w:rFonts w:ascii="Arial" w:hAnsi="Arial" w:cs="Arial"/>
          <w:color w:val="000000" w:themeColor="text1"/>
          <w:sz w:val="19"/>
          <w:szCs w:val="19"/>
          <w:lang w:val="es-CO"/>
        </w:rPr>
      </w:pPr>
    </w:p>
  </w:footnote>
  <w:footnote w:id="10">
    <w:p w14:paraId="07405802" w14:textId="77777777" w:rsidR="00DA23DB" w:rsidRPr="004D58A4" w:rsidRDefault="00DA23DB"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A7D047E" w14:textId="77777777" w:rsidR="00DA23DB" w:rsidRPr="004D58A4" w:rsidRDefault="00DA23DB"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rPr>
        <w:t>[…]</w:t>
      </w:r>
    </w:p>
    <w:p w14:paraId="39223659" w14:textId="77777777" w:rsidR="00DA23DB" w:rsidRPr="004D58A4" w:rsidRDefault="00DA23DB" w:rsidP="006D478D">
      <w:pPr>
        <w:pStyle w:val="Textonotapie"/>
        <w:ind w:firstLine="708"/>
        <w:jc w:val="both"/>
        <w:rPr>
          <w:rFonts w:ascii="Arial" w:hAnsi="Arial" w:cs="Arial"/>
          <w:color w:val="000000" w:themeColor="text1"/>
          <w:sz w:val="19"/>
          <w:szCs w:val="19"/>
          <w:shd w:val="clear" w:color="auto" w:fill="FFFFFF"/>
        </w:rPr>
      </w:pPr>
      <w:r w:rsidRPr="004D58A4">
        <w:rPr>
          <w:rFonts w:ascii="Arial" w:hAnsi="Arial" w:cs="Arial"/>
          <w:color w:val="000000" w:themeColor="text1"/>
          <w:sz w:val="19"/>
          <w:szCs w:val="19"/>
          <w:shd w:val="clear" w:color="auto" w:fill="FFFFFF"/>
        </w:rPr>
        <w:t xml:space="preserve">»2.5.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w:t>
      </w:r>
    </w:p>
    <w:p w14:paraId="708BC40E" w14:textId="77777777" w:rsidR="00DA23DB" w:rsidRPr="004D58A4" w:rsidRDefault="00DA23DB" w:rsidP="006D478D">
      <w:pPr>
        <w:pStyle w:val="Textonotapie"/>
        <w:ind w:firstLine="708"/>
        <w:jc w:val="both"/>
        <w:rPr>
          <w:rFonts w:ascii="Arial" w:hAnsi="Arial" w:cs="Arial"/>
          <w:color w:val="000000" w:themeColor="text1"/>
          <w:sz w:val="19"/>
          <w:szCs w:val="19"/>
        </w:rPr>
      </w:pPr>
      <w:r w:rsidRPr="004D58A4">
        <w:rPr>
          <w:rFonts w:ascii="Arial" w:hAnsi="Arial" w:cs="Arial"/>
          <w:color w:val="000000" w:themeColor="text1"/>
          <w:sz w:val="19"/>
          <w:szCs w:val="19"/>
          <w:shd w:val="clear" w:color="auto" w:fill="FFFFFF"/>
        </w:rPr>
        <w:t>interesado no puede obtener tal certificado. El interesado debe indicar en cada certificado o en cada copia de los contratos, los bienes, obras y servicios a los cuales corresponde la experiencia que pretende acreditar, identificándolos con el Clasi</w:t>
      </w:r>
      <w:r w:rsidRPr="004D58A4">
        <w:rPr>
          <w:rFonts w:ascii="Arial" w:hAnsi="Arial" w:cs="Arial"/>
          <w:color w:val="000000" w:themeColor="text1"/>
          <w:sz w:val="19"/>
          <w:szCs w:val="19"/>
          <w:shd w:val="clear" w:color="auto" w:fill="FFFFFF"/>
        </w:rPr>
        <w:softHyphen/>
        <w:t>ficador de Bienes y Servicios en el tercer nivel. Si la constitución del interesado es menor a 3 años, puede acreditar la experiencia de sus accionistas, socios o constituyentes</w:t>
      </w:r>
      <w:r w:rsidRPr="004D58A4">
        <w:rPr>
          <w:rFonts w:ascii="Arial" w:hAnsi="Arial" w:cs="Arial"/>
          <w:color w:val="000000" w:themeColor="text1"/>
          <w:sz w:val="19"/>
          <w:szCs w:val="19"/>
        </w:rPr>
        <w:t>».</w:t>
      </w:r>
    </w:p>
    <w:p w14:paraId="3CED311E" w14:textId="77777777" w:rsidR="00DA23DB" w:rsidRPr="004D58A4" w:rsidRDefault="00DA23DB" w:rsidP="006D478D">
      <w:pPr>
        <w:pStyle w:val="Textonotapie"/>
        <w:ind w:firstLine="708"/>
        <w:jc w:val="both"/>
        <w:rPr>
          <w:rFonts w:ascii="Arial" w:hAnsi="Arial" w:cs="Arial"/>
          <w:color w:val="000000" w:themeColor="text1"/>
          <w:sz w:val="19"/>
          <w:szCs w:val="19"/>
          <w:lang w:val="es-CO"/>
        </w:rPr>
      </w:pPr>
    </w:p>
  </w:footnote>
  <w:footnote w:id="11">
    <w:p w14:paraId="2A4D76F0" w14:textId="66A46A1B" w:rsidR="00560147" w:rsidRPr="004D58A4" w:rsidRDefault="00560147" w:rsidP="006D478D">
      <w:pPr>
        <w:pStyle w:val="Textonotapie"/>
        <w:ind w:firstLine="708"/>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00965ED6" w:rsidRPr="004D58A4">
        <w:rPr>
          <w:rFonts w:ascii="Arial" w:eastAsia="Times New Roman" w:hAnsi="Arial" w:cs="Arial"/>
          <w:color w:val="000000" w:themeColor="text1"/>
          <w:sz w:val="19"/>
          <w:szCs w:val="19"/>
          <w:lang w:val="es-CO" w:eastAsia="es-ES_tradnl"/>
        </w:rPr>
        <w:t xml:space="preserve">Consejo de Estado. </w:t>
      </w:r>
      <w:r w:rsidRPr="004D58A4">
        <w:rPr>
          <w:rFonts w:ascii="Arial" w:eastAsia="Times New Roman" w:hAnsi="Arial" w:cs="Arial"/>
          <w:color w:val="000000" w:themeColor="text1"/>
          <w:sz w:val="19"/>
          <w:szCs w:val="19"/>
          <w:lang w:val="es-CO" w:eastAsia="es-ES_tradnl"/>
        </w:rPr>
        <w:t>Sección Tercera</w:t>
      </w:r>
      <w:r w:rsidR="00965ED6" w:rsidRPr="004D58A4">
        <w:rPr>
          <w:rFonts w:ascii="Arial" w:eastAsia="Times New Roman" w:hAnsi="Arial" w:cs="Arial"/>
          <w:color w:val="000000" w:themeColor="text1"/>
          <w:sz w:val="19"/>
          <w:szCs w:val="19"/>
          <w:lang w:val="es-CO" w:eastAsia="es-ES_tradnl"/>
        </w:rPr>
        <w:t>.</w:t>
      </w:r>
      <w:r w:rsidR="004202F3" w:rsidRPr="004D58A4">
        <w:rPr>
          <w:rFonts w:ascii="Arial" w:hAnsi="Arial" w:cs="Arial"/>
          <w:color w:val="000000" w:themeColor="text1"/>
          <w:sz w:val="19"/>
          <w:szCs w:val="19"/>
        </w:rPr>
        <w:t xml:space="preserve"> Sentencia del 19 de julio de 2001</w:t>
      </w:r>
      <w:r w:rsidR="00965ED6" w:rsidRPr="004D58A4">
        <w:rPr>
          <w:rFonts w:ascii="Arial" w:hAnsi="Arial" w:cs="Arial"/>
          <w:color w:val="000000" w:themeColor="text1"/>
          <w:sz w:val="19"/>
          <w:szCs w:val="19"/>
        </w:rPr>
        <w:t>.</w:t>
      </w:r>
      <w:r w:rsidR="00085D81" w:rsidRPr="004D58A4">
        <w:rPr>
          <w:rFonts w:ascii="Arial" w:eastAsia="Times New Roman" w:hAnsi="Arial" w:cs="Arial"/>
          <w:color w:val="000000" w:themeColor="text1"/>
          <w:sz w:val="19"/>
          <w:szCs w:val="19"/>
          <w:lang w:val="es-CO" w:eastAsia="es-ES_tradnl"/>
        </w:rPr>
        <w:t xml:space="preserve"> </w:t>
      </w:r>
      <w:r w:rsidR="00965ED6" w:rsidRPr="004D58A4">
        <w:rPr>
          <w:rFonts w:ascii="Arial" w:eastAsia="Times New Roman" w:hAnsi="Arial" w:cs="Arial"/>
          <w:color w:val="000000" w:themeColor="text1"/>
          <w:sz w:val="19"/>
          <w:szCs w:val="19"/>
          <w:lang w:val="es-CO" w:eastAsia="es-ES_tradnl"/>
        </w:rPr>
        <w:t>Exp. 12.037. C.P. Aliér Eduardo Hernández Enríquez.</w:t>
      </w:r>
    </w:p>
  </w:footnote>
  <w:footnote w:id="12">
    <w:p w14:paraId="66343E88" w14:textId="77777777" w:rsidR="00384A8C" w:rsidRPr="004D58A4" w:rsidRDefault="00384A8C" w:rsidP="00384A8C">
      <w:pPr>
        <w:pStyle w:val="Textonotapie"/>
        <w:ind w:firstLine="709"/>
        <w:jc w:val="both"/>
        <w:rPr>
          <w:rFonts w:ascii="Arial" w:hAnsi="Arial" w:cs="Arial"/>
          <w:color w:val="000000" w:themeColor="text1"/>
          <w:sz w:val="19"/>
          <w:szCs w:val="19"/>
          <w:lang w:eastAsia="es-CO"/>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w:t>
      </w:r>
      <w:r w:rsidRPr="004D58A4">
        <w:rPr>
          <w:rFonts w:ascii="Arial" w:hAnsi="Arial" w:cs="Arial"/>
          <w:color w:val="000000" w:themeColor="text1"/>
          <w:sz w:val="19"/>
          <w:szCs w:val="19"/>
          <w:lang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7D4FCFEE" w14:textId="77777777" w:rsidR="00384A8C" w:rsidRPr="004D58A4" w:rsidRDefault="00384A8C" w:rsidP="00384A8C">
      <w:pPr>
        <w:pStyle w:val="Textonotapie"/>
        <w:ind w:firstLine="709"/>
        <w:jc w:val="both"/>
        <w:rPr>
          <w:rFonts w:ascii="Arial" w:hAnsi="Arial" w:cs="Arial"/>
          <w:color w:val="000000" w:themeColor="text1"/>
          <w:sz w:val="19"/>
          <w:szCs w:val="19"/>
          <w:lang w:eastAsia="es-CO"/>
        </w:rPr>
      </w:pPr>
      <w:r w:rsidRPr="004D58A4">
        <w:rPr>
          <w:rFonts w:ascii="Arial" w:hAnsi="Arial" w:cs="Arial"/>
          <w:color w:val="000000" w:themeColor="text1"/>
          <w:sz w:val="19"/>
          <w:szCs w:val="19"/>
        </w:rPr>
        <w:t>»</w:t>
      </w:r>
      <w:r w:rsidRPr="004D58A4">
        <w:rPr>
          <w:rFonts w:ascii="Arial" w:hAnsi="Arial" w:cs="Arial"/>
          <w:color w:val="000000" w:themeColor="text1"/>
          <w:sz w:val="19"/>
          <w:szCs w:val="19"/>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p>
  </w:footnote>
  <w:footnote w:id="13">
    <w:p w14:paraId="79E8C635" w14:textId="77777777" w:rsidR="00384A8C" w:rsidRPr="004D58A4" w:rsidRDefault="00384A8C" w:rsidP="00384A8C">
      <w:pPr>
        <w:pStyle w:val="Textonotapie"/>
        <w:ind w:firstLine="709"/>
        <w:jc w:val="both"/>
        <w:rPr>
          <w:rFonts w:ascii="Arial" w:hAnsi="Arial" w:cs="Arial"/>
          <w:color w:val="000000" w:themeColor="text1"/>
          <w:sz w:val="19"/>
          <w:szCs w:val="19"/>
        </w:rPr>
      </w:pPr>
    </w:p>
    <w:p w14:paraId="7208DD0E" w14:textId="77777777" w:rsidR="00384A8C" w:rsidRPr="004D58A4" w:rsidRDefault="00384A8C" w:rsidP="00384A8C">
      <w:pPr>
        <w:pStyle w:val="Textonotapie"/>
        <w:ind w:firstLine="709"/>
        <w:jc w:val="both"/>
        <w:rPr>
          <w:rFonts w:ascii="Arial" w:hAnsi="Arial" w:cs="Arial"/>
          <w:color w:val="000000" w:themeColor="text1"/>
          <w:sz w:val="19"/>
          <w:szCs w:val="19"/>
        </w:rPr>
      </w:pPr>
      <w:r w:rsidRPr="004D58A4">
        <w:rPr>
          <w:rStyle w:val="Refdenotaalpie"/>
          <w:rFonts w:ascii="Arial" w:hAnsi="Arial" w:cs="Arial"/>
          <w:color w:val="000000" w:themeColor="text1"/>
          <w:sz w:val="19"/>
          <w:szCs w:val="19"/>
        </w:rPr>
        <w:footnoteRef/>
      </w:r>
      <w:r w:rsidRPr="004D58A4">
        <w:rPr>
          <w:rFonts w:ascii="Arial" w:hAnsi="Arial" w:cs="Arial"/>
          <w:color w:val="000000" w:themeColor="text1"/>
          <w:sz w:val="19"/>
          <w:szCs w:val="19"/>
        </w:rPr>
        <w:t xml:space="preserve"> </w:t>
      </w:r>
      <w:r w:rsidRPr="004D58A4">
        <w:rPr>
          <w:rFonts w:ascii="Arial" w:hAnsi="Arial" w:cs="Arial"/>
          <w:color w:val="000000" w:themeColor="text1"/>
          <w:sz w:val="19"/>
          <w:szCs w:val="19"/>
          <w:lang w:eastAsia="es-CO"/>
        </w:rPr>
        <w:t>Consejo de Estado. Sala de Consulta y Servicio Civil. Consulta con Radicación número: 11001-03-06-000-2010-00034-00(1992) del 20 de mayo de 2010. Consejero Ponente: Enrique José Arboleda Perdomo.</w:t>
      </w:r>
    </w:p>
    <w:p w14:paraId="59156163" w14:textId="77777777" w:rsidR="00384A8C" w:rsidRPr="004D58A4" w:rsidRDefault="00384A8C" w:rsidP="00384A8C">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560147" w:rsidRDefault="00560147">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A70E76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4671F8A"/>
    <w:multiLevelType w:val="hybridMultilevel"/>
    <w:tmpl w:val="B958F672"/>
    <w:lvl w:ilvl="0" w:tplc="D9D45C9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7BA0"/>
    <w:rsid w:val="00020441"/>
    <w:rsid w:val="00030BF5"/>
    <w:rsid w:val="00052516"/>
    <w:rsid w:val="00084B97"/>
    <w:rsid w:val="00085D81"/>
    <w:rsid w:val="00087955"/>
    <w:rsid w:val="000942EB"/>
    <w:rsid w:val="000A055B"/>
    <w:rsid w:val="000B103F"/>
    <w:rsid w:val="000C5BE9"/>
    <w:rsid w:val="000D6E16"/>
    <w:rsid w:val="000F14E8"/>
    <w:rsid w:val="00103915"/>
    <w:rsid w:val="00104DFA"/>
    <w:rsid w:val="001127DA"/>
    <w:rsid w:val="00116AB5"/>
    <w:rsid w:val="001215D3"/>
    <w:rsid w:val="00121D82"/>
    <w:rsid w:val="00122B23"/>
    <w:rsid w:val="00134EE1"/>
    <w:rsid w:val="001370F9"/>
    <w:rsid w:val="00137FFA"/>
    <w:rsid w:val="001421D9"/>
    <w:rsid w:val="001540F3"/>
    <w:rsid w:val="0019378B"/>
    <w:rsid w:val="001A21E3"/>
    <w:rsid w:val="001A5D9D"/>
    <w:rsid w:val="001B0444"/>
    <w:rsid w:val="001B0FFB"/>
    <w:rsid w:val="001C4DFD"/>
    <w:rsid w:val="001D586A"/>
    <w:rsid w:val="001E229D"/>
    <w:rsid w:val="001E7A7B"/>
    <w:rsid w:val="001F3B67"/>
    <w:rsid w:val="001F4991"/>
    <w:rsid w:val="0020632A"/>
    <w:rsid w:val="002110EB"/>
    <w:rsid w:val="00211338"/>
    <w:rsid w:val="0021583F"/>
    <w:rsid w:val="00224319"/>
    <w:rsid w:val="00234B84"/>
    <w:rsid w:val="002356D9"/>
    <w:rsid w:val="00236D5C"/>
    <w:rsid w:val="00247B09"/>
    <w:rsid w:val="00290227"/>
    <w:rsid w:val="002938A9"/>
    <w:rsid w:val="002A26DD"/>
    <w:rsid w:val="002B128E"/>
    <w:rsid w:val="002C40EB"/>
    <w:rsid w:val="002C4C0C"/>
    <w:rsid w:val="002D1466"/>
    <w:rsid w:val="002D3025"/>
    <w:rsid w:val="002D5AB6"/>
    <w:rsid w:val="002D6F6E"/>
    <w:rsid w:val="003033BA"/>
    <w:rsid w:val="00315B3D"/>
    <w:rsid w:val="00322937"/>
    <w:rsid w:val="00340A4D"/>
    <w:rsid w:val="0034177C"/>
    <w:rsid w:val="0034680A"/>
    <w:rsid w:val="0035094E"/>
    <w:rsid w:val="00353DD5"/>
    <w:rsid w:val="00354ABB"/>
    <w:rsid w:val="003557F9"/>
    <w:rsid w:val="00384A8C"/>
    <w:rsid w:val="00386456"/>
    <w:rsid w:val="00390405"/>
    <w:rsid w:val="003A0878"/>
    <w:rsid w:val="003A27D9"/>
    <w:rsid w:val="003A3A09"/>
    <w:rsid w:val="003A44BF"/>
    <w:rsid w:val="003A581E"/>
    <w:rsid w:val="003C657E"/>
    <w:rsid w:val="003C66C5"/>
    <w:rsid w:val="003E19BD"/>
    <w:rsid w:val="00400F44"/>
    <w:rsid w:val="004141CB"/>
    <w:rsid w:val="00414AD7"/>
    <w:rsid w:val="004202F3"/>
    <w:rsid w:val="004233A7"/>
    <w:rsid w:val="004237D3"/>
    <w:rsid w:val="00423F9F"/>
    <w:rsid w:val="00425776"/>
    <w:rsid w:val="00430473"/>
    <w:rsid w:val="004422D6"/>
    <w:rsid w:val="00442D24"/>
    <w:rsid w:val="00445C85"/>
    <w:rsid w:val="00453F59"/>
    <w:rsid w:val="0047298C"/>
    <w:rsid w:val="00475DDA"/>
    <w:rsid w:val="0049241A"/>
    <w:rsid w:val="00495590"/>
    <w:rsid w:val="00496148"/>
    <w:rsid w:val="00496AB0"/>
    <w:rsid w:val="004A34D2"/>
    <w:rsid w:val="004A6F32"/>
    <w:rsid w:val="004B29D7"/>
    <w:rsid w:val="004B6465"/>
    <w:rsid w:val="004C029B"/>
    <w:rsid w:val="004D58A4"/>
    <w:rsid w:val="004F5271"/>
    <w:rsid w:val="0050403E"/>
    <w:rsid w:val="0051074C"/>
    <w:rsid w:val="00513AF2"/>
    <w:rsid w:val="0053038F"/>
    <w:rsid w:val="00534B0A"/>
    <w:rsid w:val="00540DF9"/>
    <w:rsid w:val="0054413A"/>
    <w:rsid w:val="005564CA"/>
    <w:rsid w:val="00560147"/>
    <w:rsid w:val="0056182B"/>
    <w:rsid w:val="005756AA"/>
    <w:rsid w:val="00590AB7"/>
    <w:rsid w:val="005A41AA"/>
    <w:rsid w:val="005D51FA"/>
    <w:rsid w:val="005D791B"/>
    <w:rsid w:val="005D7F2B"/>
    <w:rsid w:val="00601414"/>
    <w:rsid w:val="00614817"/>
    <w:rsid w:val="00615A0B"/>
    <w:rsid w:val="00617C23"/>
    <w:rsid w:val="006250FE"/>
    <w:rsid w:val="00633DBF"/>
    <w:rsid w:val="00634A2A"/>
    <w:rsid w:val="0063643E"/>
    <w:rsid w:val="0064300C"/>
    <w:rsid w:val="00655371"/>
    <w:rsid w:val="00655904"/>
    <w:rsid w:val="00677888"/>
    <w:rsid w:val="0069632F"/>
    <w:rsid w:val="00697665"/>
    <w:rsid w:val="006A4C1A"/>
    <w:rsid w:val="006A7CB5"/>
    <w:rsid w:val="006A7FD0"/>
    <w:rsid w:val="006B38CC"/>
    <w:rsid w:val="006C10B1"/>
    <w:rsid w:val="006C28A0"/>
    <w:rsid w:val="006D478D"/>
    <w:rsid w:val="006D7687"/>
    <w:rsid w:val="006E0572"/>
    <w:rsid w:val="006E47A2"/>
    <w:rsid w:val="006F1068"/>
    <w:rsid w:val="006F1595"/>
    <w:rsid w:val="006F21A6"/>
    <w:rsid w:val="006F4C35"/>
    <w:rsid w:val="00702F65"/>
    <w:rsid w:val="00705631"/>
    <w:rsid w:val="007061E5"/>
    <w:rsid w:val="00711CA6"/>
    <w:rsid w:val="00715EAA"/>
    <w:rsid w:val="00721013"/>
    <w:rsid w:val="0072620C"/>
    <w:rsid w:val="00726482"/>
    <w:rsid w:val="00742DD2"/>
    <w:rsid w:val="00746E08"/>
    <w:rsid w:val="00747C96"/>
    <w:rsid w:val="0075094E"/>
    <w:rsid w:val="007522E8"/>
    <w:rsid w:val="00754D2B"/>
    <w:rsid w:val="007558E5"/>
    <w:rsid w:val="0075647A"/>
    <w:rsid w:val="00761F85"/>
    <w:rsid w:val="007634AD"/>
    <w:rsid w:val="00765B1B"/>
    <w:rsid w:val="00780223"/>
    <w:rsid w:val="0078122E"/>
    <w:rsid w:val="007843E9"/>
    <w:rsid w:val="00795647"/>
    <w:rsid w:val="007B0854"/>
    <w:rsid w:val="007C0569"/>
    <w:rsid w:val="007D5F39"/>
    <w:rsid w:val="007F45ED"/>
    <w:rsid w:val="007F6B46"/>
    <w:rsid w:val="007F7227"/>
    <w:rsid w:val="007F72CB"/>
    <w:rsid w:val="008015A9"/>
    <w:rsid w:val="008217B7"/>
    <w:rsid w:val="008305BD"/>
    <w:rsid w:val="0083119B"/>
    <w:rsid w:val="00834F2E"/>
    <w:rsid w:val="00836EAB"/>
    <w:rsid w:val="00842A04"/>
    <w:rsid w:val="0084660A"/>
    <w:rsid w:val="0085092D"/>
    <w:rsid w:val="00850F79"/>
    <w:rsid w:val="00854D9C"/>
    <w:rsid w:val="008637AD"/>
    <w:rsid w:val="00864800"/>
    <w:rsid w:val="00885025"/>
    <w:rsid w:val="00887347"/>
    <w:rsid w:val="0089774F"/>
    <w:rsid w:val="008A2025"/>
    <w:rsid w:val="008B0720"/>
    <w:rsid w:val="008B3DC3"/>
    <w:rsid w:val="008B6C3E"/>
    <w:rsid w:val="008C35A2"/>
    <w:rsid w:val="008C6F1E"/>
    <w:rsid w:val="008E1C15"/>
    <w:rsid w:val="008F0344"/>
    <w:rsid w:val="008F4BBA"/>
    <w:rsid w:val="008F538E"/>
    <w:rsid w:val="009047C5"/>
    <w:rsid w:val="00911F2C"/>
    <w:rsid w:val="00936F9C"/>
    <w:rsid w:val="0095385A"/>
    <w:rsid w:val="00965ED6"/>
    <w:rsid w:val="009709B7"/>
    <w:rsid w:val="00994A03"/>
    <w:rsid w:val="009B0496"/>
    <w:rsid w:val="009C16BC"/>
    <w:rsid w:val="009C1C08"/>
    <w:rsid w:val="009D270F"/>
    <w:rsid w:val="009E15AC"/>
    <w:rsid w:val="009F1F65"/>
    <w:rsid w:val="009F59C2"/>
    <w:rsid w:val="009F67A3"/>
    <w:rsid w:val="009F773B"/>
    <w:rsid w:val="00A012AD"/>
    <w:rsid w:val="00A02E64"/>
    <w:rsid w:val="00A13407"/>
    <w:rsid w:val="00A13F54"/>
    <w:rsid w:val="00A16DE4"/>
    <w:rsid w:val="00A24560"/>
    <w:rsid w:val="00A25B36"/>
    <w:rsid w:val="00A32BD5"/>
    <w:rsid w:val="00A34538"/>
    <w:rsid w:val="00A37FB6"/>
    <w:rsid w:val="00A41034"/>
    <w:rsid w:val="00A42B53"/>
    <w:rsid w:val="00A51D72"/>
    <w:rsid w:val="00A64726"/>
    <w:rsid w:val="00A82284"/>
    <w:rsid w:val="00A82FDF"/>
    <w:rsid w:val="00A84A7F"/>
    <w:rsid w:val="00A97435"/>
    <w:rsid w:val="00AA08E7"/>
    <w:rsid w:val="00AA442B"/>
    <w:rsid w:val="00AA669D"/>
    <w:rsid w:val="00AB13DC"/>
    <w:rsid w:val="00AC411A"/>
    <w:rsid w:val="00AD1AE4"/>
    <w:rsid w:val="00AD1B0F"/>
    <w:rsid w:val="00AE4A81"/>
    <w:rsid w:val="00AF0EB4"/>
    <w:rsid w:val="00B13EC0"/>
    <w:rsid w:val="00B16584"/>
    <w:rsid w:val="00B22E22"/>
    <w:rsid w:val="00B31D85"/>
    <w:rsid w:val="00B525CB"/>
    <w:rsid w:val="00B63872"/>
    <w:rsid w:val="00B63CB2"/>
    <w:rsid w:val="00B64EDB"/>
    <w:rsid w:val="00B67884"/>
    <w:rsid w:val="00B7315F"/>
    <w:rsid w:val="00B7754B"/>
    <w:rsid w:val="00B91B8E"/>
    <w:rsid w:val="00BA0477"/>
    <w:rsid w:val="00BA6A67"/>
    <w:rsid w:val="00BD78FE"/>
    <w:rsid w:val="00BE6F12"/>
    <w:rsid w:val="00BF000A"/>
    <w:rsid w:val="00BF5A02"/>
    <w:rsid w:val="00C1780C"/>
    <w:rsid w:val="00C2112D"/>
    <w:rsid w:val="00C24589"/>
    <w:rsid w:val="00C27BE7"/>
    <w:rsid w:val="00C3240C"/>
    <w:rsid w:val="00C32D37"/>
    <w:rsid w:val="00C37664"/>
    <w:rsid w:val="00C54347"/>
    <w:rsid w:val="00C56F7B"/>
    <w:rsid w:val="00C81089"/>
    <w:rsid w:val="00C874F1"/>
    <w:rsid w:val="00C8761C"/>
    <w:rsid w:val="00C93025"/>
    <w:rsid w:val="00C96EF8"/>
    <w:rsid w:val="00CC00CD"/>
    <w:rsid w:val="00CC722B"/>
    <w:rsid w:val="00CD2774"/>
    <w:rsid w:val="00D01760"/>
    <w:rsid w:val="00D16E39"/>
    <w:rsid w:val="00D223B6"/>
    <w:rsid w:val="00D43E86"/>
    <w:rsid w:val="00D4701E"/>
    <w:rsid w:val="00D60327"/>
    <w:rsid w:val="00D72E9D"/>
    <w:rsid w:val="00D75C60"/>
    <w:rsid w:val="00D80A14"/>
    <w:rsid w:val="00D82CE5"/>
    <w:rsid w:val="00DA23DB"/>
    <w:rsid w:val="00DA5AB1"/>
    <w:rsid w:val="00DA5C47"/>
    <w:rsid w:val="00DB201F"/>
    <w:rsid w:val="00DB22BC"/>
    <w:rsid w:val="00DB37B0"/>
    <w:rsid w:val="00DB4F3B"/>
    <w:rsid w:val="00DC62E5"/>
    <w:rsid w:val="00DD735D"/>
    <w:rsid w:val="00DE3119"/>
    <w:rsid w:val="00DF236B"/>
    <w:rsid w:val="00E02B77"/>
    <w:rsid w:val="00E11604"/>
    <w:rsid w:val="00E13AB8"/>
    <w:rsid w:val="00E25CB3"/>
    <w:rsid w:val="00E273BC"/>
    <w:rsid w:val="00E2785A"/>
    <w:rsid w:val="00E3158C"/>
    <w:rsid w:val="00E33B62"/>
    <w:rsid w:val="00E36114"/>
    <w:rsid w:val="00E4143A"/>
    <w:rsid w:val="00E41DF1"/>
    <w:rsid w:val="00E6565C"/>
    <w:rsid w:val="00E912A7"/>
    <w:rsid w:val="00E95AD1"/>
    <w:rsid w:val="00E97DF3"/>
    <w:rsid w:val="00EB4232"/>
    <w:rsid w:val="00EB526A"/>
    <w:rsid w:val="00EC3F12"/>
    <w:rsid w:val="00EE32AB"/>
    <w:rsid w:val="00EE59B5"/>
    <w:rsid w:val="00EE635B"/>
    <w:rsid w:val="00EF08C1"/>
    <w:rsid w:val="00EF5AC9"/>
    <w:rsid w:val="00EF79E1"/>
    <w:rsid w:val="00F3643D"/>
    <w:rsid w:val="00F4560B"/>
    <w:rsid w:val="00F4797F"/>
    <w:rsid w:val="00F61F29"/>
    <w:rsid w:val="00F72C2F"/>
    <w:rsid w:val="00F84899"/>
    <w:rsid w:val="00F84E70"/>
    <w:rsid w:val="00F859F0"/>
    <w:rsid w:val="00F93FC0"/>
    <w:rsid w:val="00F94C9C"/>
    <w:rsid w:val="00FB3F07"/>
    <w:rsid w:val="00FB6FB9"/>
    <w:rsid w:val="00FE141E"/>
    <w:rsid w:val="00FE1858"/>
    <w:rsid w:val="00FE42ED"/>
    <w:rsid w:val="00FE6086"/>
    <w:rsid w:val="00FF28DC"/>
    <w:rsid w:val="00FF540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2F3"/>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233A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0323139">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0264112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626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16F287B-9A9B-4D52-AEA4-6F4CDF0EE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982408-3E06-4B97-80B4-C77FE94B74E2}">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26AACA6-E56F-4862-ADA9-55BCE6909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5432</Words>
  <Characters>30969</Characters>
  <Application>Microsoft Office Word</Application>
  <DocSecurity>0</DocSecurity>
  <Lines>258</Lines>
  <Paragraphs>72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2020-03-05T11:15:00Z</cp:lastPrinted>
  <dcterms:created xsi:type="dcterms:W3CDTF">2020-08-10T08:59:00Z</dcterms:created>
  <dcterms:modified xsi:type="dcterms:W3CDTF">2020-08-10T08:59:00Z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