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644D1A" w14:textId="77777777" w:rsidR="000C4573" w:rsidRPr="00D626D8" w:rsidRDefault="000C4573" w:rsidP="009F04FC">
      <w:pPr>
        <w:spacing w:after="0" w:line="240" w:lineRule="auto"/>
        <w:jc w:val="both"/>
        <w:rPr>
          <w:rFonts w:ascii="Century Gothic" w:eastAsia="Calibri" w:hAnsi="Century Gothic" w:cs="Arial"/>
          <w:b/>
          <w:bCs/>
          <w:sz w:val="20"/>
          <w:szCs w:val="20"/>
          <w:lang w:eastAsia="es-ES_tradnl"/>
        </w:rPr>
      </w:pPr>
    </w:p>
    <w:p w14:paraId="0DCC897A" w14:textId="526CA0DE" w:rsidR="00A211EE" w:rsidRPr="00D626D8" w:rsidRDefault="000C4573" w:rsidP="009F04FC">
      <w:pPr>
        <w:spacing w:after="0" w:line="240" w:lineRule="auto"/>
        <w:jc w:val="both"/>
        <w:rPr>
          <w:rFonts w:ascii="Century Gothic" w:eastAsia="Calibri" w:hAnsi="Century Gothic" w:cs="Arial"/>
          <w:b/>
          <w:bCs/>
          <w:sz w:val="20"/>
          <w:szCs w:val="20"/>
          <w:lang w:eastAsia="es-ES_tradnl"/>
        </w:rPr>
      </w:pPr>
      <w:r w:rsidRPr="00D626D8">
        <w:rPr>
          <w:rFonts w:ascii="Century Gothic" w:eastAsia="Calibri" w:hAnsi="Century Gothic" w:cs="Arial"/>
          <w:b/>
          <w:bCs/>
          <w:sz w:val="20"/>
          <w:szCs w:val="20"/>
          <w:lang w:eastAsia="es-ES_tradnl"/>
        </w:rPr>
        <w:t>PUEBLOS TRIBALES - Convenio No. 169 de la OIT – Compromisos – Derechos – Pueblo Rrom</w:t>
      </w:r>
    </w:p>
    <w:p w14:paraId="3C8EA85A" w14:textId="77777777" w:rsidR="00AF4CAA" w:rsidRPr="00D626D8" w:rsidRDefault="00AF4CAA" w:rsidP="009F04FC">
      <w:pPr>
        <w:spacing w:after="0" w:line="240" w:lineRule="auto"/>
        <w:jc w:val="both"/>
        <w:rPr>
          <w:rFonts w:ascii="Century Gothic" w:eastAsia="Calibri" w:hAnsi="Century Gothic" w:cs="Arial"/>
          <w:b/>
          <w:bCs/>
          <w:sz w:val="20"/>
          <w:szCs w:val="20"/>
          <w:lang w:eastAsia="es-ES_tradnl"/>
        </w:rPr>
      </w:pPr>
    </w:p>
    <w:p w14:paraId="3C1C91E1" w14:textId="77777777" w:rsidR="00AF4CAA" w:rsidRPr="00D626D8" w:rsidRDefault="00AF4CAA" w:rsidP="009F04FC">
      <w:pPr>
        <w:spacing w:after="0" w:line="240" w:lineRule="auto"/>
        <w:jc w:val="both"/>
        <w:rPr>
          <w:rFonts w:ascii="Century Gothic" w:eastAsia="Calibri" w:hAnsi="Century Gothic" w:cs="Arial"/>
          <w:sz w:val="20"/>
          <w:szCs w:val="20"/>
          <w:lang w:val="es-ES_tradnl"/>
        </w:rPr>
      </w:pPr>
      <w:r w:rsidRPr="00D626D8">
        <w:rPr>
          <w:rFonts w:ascii="Century Gothic" w:eastAsia="Calibri" w:hAnsi="Century Gothic" w:cs="Arial"/>
          <w:sz w:val="20"/>
          <w:szCs w:val="20"/>
          <w:lang w:val="es-ES_tradnl"/>
        </w:rPr>
        <w:t xml:space="preserve">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y tribales con acciones concretas dirigidas al reconocimiento de sus derechos y el respeto de su integridad, entre otros compromisos adquiridos. </w:t>
      </w:r>
    </w:p>
    <w:p w14:paraId="2F15336A" w14:textId="77777777" w:rsidR="00AF4CAA" w:rsidRPr="00D626D8" w:rsidRDefault="00AF4CAA" w:rsidP="009F04FC">
      <w:pPr>
        <w:spacing w:after="0" w:line="240" w:lineRule="auto"/>
        <w:jc w:val="both"/>
        <w:rPr>
          <w:rFonts w:ascii="Century Gothic" w:eastAsia="Calibri" w:hAnsi="Century Gothic" w:cs="Arial"/>
          <w:sz w:val="20"/>
          <w:szCs w:val="20"/>
          <w:lang w:val="es-ES_tradnl"/>
        </w:rPr>
      </w:pPr>
    </w:p>
    <w:p w14:paraId="5B6238B5" w14:textId="77777777" w:rsidR="00AF4CAA" w:rsidRPr="00D626D8" w:rsidRDefault="00AF4CAA" w:rsidP="009F04FC">
      <w:pPr>
        <w:spacing w:after="0" w:line="240" w:lineRule="auto"/>
        <w:jc w:val="both"/>
        <w:rPr>
          <w:rFonts w:ascii="Century Gothic" w:hAnsi="Century Gothic" w:cs="Arial"/>
          <w:bCs/>
          <w:sz w:val="20"/>
          <w:szCs w:val="20"/>
          <w:lang w:val="es-ES_tradnl" w:eastAsia="es-ES"/>
        </w:rPr>
      </w:pPr>
      <w:r w:rsidRPr="00D626D8">
        <w:rPr>
          <w:rFonts w:ascii="Century Gothic" w:eastAsia="Calibri" w:hAnsi="Century Gothic" w:cs="Arial"/>
          <w:sz w:val="20"/>
          <w:szCs w:val="20"/>
          <w:lang w:val="es-ES_tradnl"/>
        </w:rPr>
        <w:t>[…]</w:t>
      </w:r>
    </w:p>
    <w:p w14:paraId="6226515E" w14:textId="77777777" w:rsidR="00AF4CAA" w:rsidRPr="00D626D8" w:rsidRDefault="00AF4CAA" w:rsidP="009F04FC">
      <w:pPr>
        <w:spacing w:after="0" w:line="240" w:lineRule="auto"/>
        <w:jc w:val="both"/>
        <w:rPr>
          <w:rFonts w:ascii="Century Gothic" w:hAnsi="Century Gothic" w:cs="Arial"/>
          <w:bCs/>
          <w:sz w:val="20"/>
          <w:szCs w:val="20"/>
          <w:lang w:val="es-ES_tradnl" w:eastAsia="es-ES"/>
        </w:rPr>
      </w:pPr>
    </w:p>
    <w:p w14:paraId="730C6647" w14:textId="77777777" w:rsidR="00AF4CAA" w:rsidRPr="00D626D8" w:rsidRDefault="00AF4CAA" w:rsidP="009F04FC">
      <w:pPr>
        <w:spacing w:after="0" w:line="240" w:lineRule="auto"/>
        <w:jc w:val="both"/>
        <w:rPr>
          <w:rFonts w:ascii="Century Gothic" w:hAnsi="Century Gothic" w:cs="Arial"/>
          <w:bCs/>
          <w:sz w:val="20"/>
          <w:szCs w:val="20"/>
          <w:lang w:val="es-ES_tradnl" w:eastAsia="es-ES"/>
        </w:rPr>
      </w:pPr>
      <w:r w:rsidRPr="00D626D8">
        <w:rPr>
          <w:rFonts w:ascii="Century Gothic" w:hAnsi="Century Gothic" w:cs="Arial"/>
          <w:bCs/>
          <w:sz w:val="20"/>
          <w:szCs w:val="20"/>
          <w:lang w:val="es-ES" w:eastAsia="es-ES"/>
        </w:rPr>
        <w:t>En lo que respecta a la expresión “</w:t>
      </w:r>
      <w:r w:rsidRPr="00D626D8">
        <w:rPr>
          <w:rFonts w:ascii="Century Gothic" w:hAnsi="Century Gothic" w:cs="Arial"/>
          <w:bCs/>
          <w:i/>
          <w:sz w:val="20"/>
          <w:szCs w:val="20"/>
          <w:lang w:val="es-ES" w:eastAsia="es-ES"/>
        </w:rPr>
        <w:t>pueblos indígenas y tribales</w:t>
      </w:r>
      <w:r w:rsidRPr="00D626D8">
        <w:rPr>
          <w:rFonts w:ascii="Century Gothic" w:hAnsi="Century Gothic" w:cs="Arial"/>
          <w:bCs/>
          <w:sz w:val="20"/>
          <w:szCs w:val="20"/>
          <w:lang w:val="es-ES" w:eastAsia="es-ES"/>
        </w:rPr>
        <w:t xml:space="preserve">”,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 las </w:t>
      </w:r>
      <w:r w:rsidRPr="00D626D8">
        <w:rPr>
          <w:rFonts w:ascii="Century Gothic" w:hAnsi="Century Gothic" w:cs="Arial"/>
          <w:bCs/>
          <w:sz w:val="20"/>
          <w:szCs w:val="20"/>
          <w:lang w:val="es-ES_tradnl" w:eastAsia="es-ES"/>
        </w:rPr>
        <w:t xml:space="preserve">Comunidades Negras, Afrodescendientes, Raizales y Palenqueras, quienes también son titulares de los derechos ligados a la autonomía, diversidad cultural, defensa de los territorios, participación, entre otros.  </w:t>
      </w:r>
    </w:p>
    <w:p w14:paraId="3DBC978C" w14:textId="77777777" w:rsidR="00AF4CAA" w:rsidRPr="00D626D8" w:rsidRDefault="00AF4CAA" w:rsidP="009F04FC">
      <w:pPr>
        <w:spacing w:after="0" w:line="240" w:lineRule="auto"/>
        <w:jc w:val="both"/>
        <w:rPr>
          <w:rFonts w:ascii="Century Gothic" w:eastAsia="Calibri" w:hAnsi="Century Gothic" w:cs="Arial"/>
          <w:bCs/>
          <w:sz w:val="20"/>
          <w:szCs w:val="20"/>
          <w:lang w:val="es-ES_tradnl"/>
        </w:rPr>
      </w:pPr>
    </w:p>
    <w:p w14:paraId="070EA2F7" w14:textId="77777777" w:rsidR="00AF4CAA" w:rsidRPr="00D626D8" w:rsidRDefault="00AF4CAA" w:rsidP="009F04FC">
      <w:pPr>
        <w:spacing w:after="0" w:line="240" w:lineRule="auto"/>
        <w:jc w:val="both"/>
        <w:rPr>
          <w:rFonts w:ascii="Century Gothic" w:eastAsia="Calibri" w:hAnsi="Century Gothic" w:cs="Arial"/>
          <w:bCs/>
          <w:sz w:val="20"/>
          <w:szCs w:val="20"/>
          <w:lang w:val="es-ES_tradnl"/>
        </w:rPr>
      </w:pPr>
      <w:r w:rsidRPr="00D626D8">
        <w:rPr>
          <w:rFonts w:ascii="Century Gothic" w:eastAsia="Calibri" w:hAnsi="Century Gothic" w:cs="Arial"/>
          <w:bCs/>
          <w:sz w:val="20"/>
          <w:szCs w:val="20"/>
          <w:lang w:val="es-ES_tradnl"/>
        </w:rPr>
        <w:t>[…]</w:t>
      </w:r>
    </w:p>
    <w:p w14:paraId="578E8DAF" w14:textId="77777777" w:rsidR="00AF4CAA" w:rsidRPr="00D626D8" w:rsidRDefault="00AF4CAA" w:rsidP="009F04FC">
      <w:pPr>
        <w:spacing w:after="0" w:line="240" w:lineRule="auto"/>
        <w:jc w:val="both"/>
        <w:rPr>
          <w:rFonts w:ascii="Century Gothic" w:hAnsi="Century Gothic"/>
          <w:b/>
          <w:bCs/>
          <w:sz w:val="20"/>
          <w:szCs w:val="20"/>
        </w:rPr>
      </w:pPr>
    </w:p>
    <w:p w14:paraId="6D002DB5" w14:textId="3B971879" w:rsidR="00AF4CAA" w:rsidRPr="00AF4CAA" w:rsidRDefault="00AF4CAA" w:rsidP="009F04FC">
      <w:pPr>
        <w:spacing w:after="0" w:line="240" w:lineRule="auto"/>
        <w:jc w:val="both"/>
        <w:rPr>
          <w:rFonts w:ascii="Century Gothic" w:hAnsi="Century Gothic"/>
          <w:sz w:val="20"/>
          <w:szCs w:val="20"/>
        </w:rPr>
      </w:pPr>
      <w:r w:rsidRPr="00D626D8">
        <w:rPr>
          <w:rFonts w:ascii="Century Gothic" w:hAnsi="Century Gothic"/>
          <w:sz w:val="20"/>
          <w:szCs w:val="20"/>
        </w:rPr>
        <w:t>E</w:t>
      </w:r>
      <w:r w:rsidRPr="00AF4CAA">
        <w:rPr>
          <w:rFonts w:ascii="Century Gothic" w:hAnsi="Century Gothic"/>
          <w:sz w:val="20"/>
          <w:szCs w:val="20"/>
        </w:rPr>
        <w:t>l Decreto reglamentario 2957 de 2010 contiene el marco normativo para la protección integral de los derechos del Pueblo Rrom. Este decreto reconoce a los Rrom o Gitanos como un grupo étnico con una identidad cultural, que mantiene una conciencia étnica, que posee su forma de organización social y lengua, y que ha definido sus instituciones políticas y sociales, además de valorar las contribuciones que históricamente ha realizado al proceso de conformación de la nacionalidad colombiana, por lo que se le debe garantizar su conservación, desarrollo de cultura y forma de vida (art. 6º).</w:t>
      </w:r>
    </w:p>
    <w:p w14:paraId="10CB931A" w14:textId="77777777" w:rsidR="00AF4CAA" w:rsidRPr="00D626D8" w:rsidRDefault="00AF4CAA" w:rsidP="009F04FC">
      <w:pPr>
        <w:spacing w:after="0" w:line="240" w:lineRule="auto"/>
        <w:jc w:val="both"/>
        <w:rPr>
          <w:rFonts w:ascii="Verdana" w:hAnsi="Verdana"/>
          <w:b/>
          <w:bCs/>
          <w:sz w:val="20"/>
          <w:szCs w:val="20"/>
        </w:rPr>
      </w:pPr>
    </w:p>
    <w:p w14:paraId="31C5DE12" w14:textId="2CFE2CA9" w:rsidR="00FB2067" w:rsidRPr="00D626D8" w:rsidRDefault="00FB2067" w:rsidP="00803A5C">
      <w:pPr>
        <w:spacing w:after="0" w:line="240" w:lineRule="auto"/>
        <w:jc w:val="both"/>
        <w:rPr>
          <w:rFonts w:ascii="Century Gothic" w:eastAsia="Calibri" w:hAnsi="Century Gothic" w:cs="Arial"/>
          <w:b/>
          <w:sz w:val="20"/>
          <w:szCs w:val="20"/>
          <w:lang w:eastAsia="es-ES_tradnl"/>
        </w:rPr>
      </w:pPr>
      <w:r w:rsidRPr="00D626D8">
        <w:rPr>
          <w:rFonts w:ascii="Century Gothic" w:eastAsia="Calibri" w:hAnsi="Century Gothic" w:cs="Arial"/>
          <w:b/>
          <w:sz w:val="20"/>
          <w:szCs w:val="20"/>
          <w:lang w:eastAsia="es-ES_tradnl"/>
        </w:rPr>
        <w:t>CONTRATACIÓN DIRECTA – Aplicación restrictiva – Literal N, numeral 4, artículo 2 de la Ley 1150 de 2007</w:t>
      </w:r>
    </w:p>
    <w:p w14:paraId="654202E2" w14:textId="77777777" w:rsidR="00367A57" w:rsidRPr="00D626D8" w:rsidRDefault="00367A57" w:rsidP="009F04FC">
      <w:pPr>
        <w:spacing w:after="0" w:line="240" w:lineRule="auto"/>
        <w:rPr>
          <w:rFonts w:ascii="Century Gothic" w:eastAsia="Calibri" w:hAnsi="Century Gothic" w:cs="Arial"/>
          <w:b/>
          <w:sz w:val="20"/>
          <w:szCs w:val="20"/>
          <w:lang w:eastAsia="es-ES_tradnl"/>
        </w:rPr>
      </w:pPr>
    </w:p>
    <w:p w14:paraId="1FC0DC6D" w14:textId="77777777" w:rsidR="00367A57" w:rsidRPr="00D626D8" w:rsidRDefault="00367A57" w:rsidP="009F04FC">
      <w:pPr>
        <w:spacing w:after="0" w:line="240" w:lineRule="auto"/>
        <w:jc w:val="both"/>
        <w:rPr>
          <w:rFonts w:ascii="Century Gothic" w:hAnsi="Century Gothic" w:cs="Arial"/>
          <w:sz w:val="20"/>
          <w:szCs w:val="20"/>
          <w:lang w:val="es-ES_tradnl"/>
        </w:rPr>
      </w:pPr>
      <w:r w:rsidRPr="00D626D8">
        <w:rPr>
          <w:rFonts w:ascii="Century Gothic" w:eastAsia="Calibri" w:hAnsi="Century Gothic" w:cs="Arial"/>
          <w:sz w:val="20"/>
          <w:szCs w:val="20"/>
          <w:lang w:val="es-ES"/>
        </w:rPr>
        <w:t>Ley 2160 de 2021 también introdujo modificaciones en la Ley 1150 de 2007, específicamente en el artículo 2</w:t>
      </w:r>
      <w:r w:rsidRPr="00D626D8">
        <w:rPr>
          <w:rFonts w:ascii="Century Gothic" w:hAnsi="Century Gothic" w:cs="Arial"/>
          <w:sz w:val="20"/>
          <w:szCs w:val="20"/>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D626D8">
        <w:rPr>
          <w:rFonts w:ascii="Century Gothic" w:eastAsia="Calibri" w:hAnsi="Century Gothic" w:cs="Arial"/>
          <w:sz w:val="20"/>
          <w:szCs w:val="20"/>
          <w:lang w:val="es-ES"/>
        </w:rPr>
        <w:t xml:space="preserve"> Estas causales enfocan la colaboración entre la Entidades Estatales y los entes organizativos de</w:t>
      </w:r>
      <w:r w:rsidRPr="00D626D8">
        <w:rPr>
          <w:rFonts w:ascii="Century Gothic" w:hAnsi="Century Gothic" w:cs="Arial"/>
          <w:sz w:val="20"/>
          <w:szCs w:val="20"/>
          <w:lang w:val="es-ES_tradnl"/>
        </w:rPr>
        <w:t xml:space="preserve"> la población negra, afrodescendiente, raizal y palenquera a objetos que busquen unas finalidades específicas.</w:t>
      </w:r>
    </w:p>
    <w:p w14:paraId="44D5107F" w14:textId="77777777" w:rsidR="00367A57" w:rsidRPr="00D626D8" w:rsidRDefault="00367A57" w:rsidP="009F04FC">
      <w:pPr>
        <w:spacing w:after="0" w:line="240" w:lineRule="auto"/>
        <w:jc w:val="both"/>
        <w:rPr>
          <w:rFonts w:ascii="Century Gothic" w:hAnsi="Century Gothic" w:cs="Arial"/>
          <w:sz w:val="20"/>
          <w:szCs w:val="20"/>
          <w:lang w:val="es-ES_tradnl"/>
        </w:rPr>
      </w:pPr>
    </w:p>
    <w:p w14:paraId="3CE6BC3E" w14:textId="77777777" w:rsidR="00367A57" w:rsidRPr="00D626D8" w:rsidRDefault="00367A57" w:rsidP="009F04FC">
      <w:pPr>
        <w:spacing w:after="0" w:line="240" w:lineRule="auto"/>
        <w:jc w:val="both"/>
        <w:rPr>
          <w:rFonts w:ascii="Century Gothic" w:eastAsia="Calibri" w:hAnsi="Century Gothic" w:cs="Arial"/>
          <w:bCs/>
          <w:sz w:val="20"/>
          <w:szCs w:val="20"/>
          <w:lang w:val="es-ES_tradnl"/>
        </w:rPr>
      </w:pPr>
      <w:r w:rsidRPr="00D626D8">
        <w:rPr>
          <w:rFonts w:ascii="Century Gothic" w:eastAsia="Calibri" w:hAnsi="Century Gothic" w:cs="Arial"/>
          <w:bCs/>
          <w:sz w:val="20"/>
          <w:szCs w:val="20"/>
          <w:lang w:val="es-ES_tradnl"/>
        </w:rPr>
        <w:t>[…]</w:t>
      </w:r>
    </w:p>
    <w:p w14:paraId="7AD063C5" w14:textId="77777777" w:rsidR="00367A57" w:rsidRPr="00D626D8" w:rsidRDefault="00367A57" w:rsidP="009F04FC">
      <w:pPr>
        <w:spacing w:after="0" w:line="240" w:lineRule="auto"/>
        <w:jc w:val="both"/>
        <w:rPr>
          <w:rFonts w:ascii="Century Gothic" w:hAnsi="Century Gothic" w:cs="Arial"/>
          <w:sz w:val="20"/>
          <w:szCs w:val="20"/>
          <w:lang w:val="es-ES_tradnl"/>
        </w:rPr>
      </w:pPr>
    </w:p>
    <w:p w14:paraId="27908730" w14:textId="77777777" w:rsidR="00367A57" w:rsidRPr="00D626D8" w:rsidRDefault="00367A57" w:rsidP="009F04FC">
      <w:pPr>
        <w:spacing w:after="0" w:line="240" w:lineRule="auto"/>
        <w:jc w:val="both"/>
        <w:rPr>
          <w:rFonts w:ascii="Century Gothic" w:hAnsi="Century Gothic"/>
          <w:bCs/>
          <w:sz w:val="20"/>
          <w:szCs w:val="20"/>
        </w:rPr>
      </w:pPr>
      <w:r w:rsidRPr="00D626D8">
        <w:rPr>
          <w:rFonts w:ascii="Century Gothic" w:hAnsi="Century Gothic"/>
          <w:bCs/>
          <w:sz w:val="20"/>
          <w:szCs w:val="20"/>
          <w:lang w:val="es-ES"/>
        </w:rPr>
        <w:t xml:space="preserve">Los literales M) y N) del artículo 2, numeral 4 de la Ley 1150 de 2007 consagran disposiciones que autorizan a las Entidades Estatales a contratar de manera directa con los </w:t>
      </w:r>
      <w:r w:rsidRPr="00D626D8">
        <w:rPr>
          <w:rFonts w:ascii="Century Gothic" w:hAnsi="Century Gothic"/>
          <w:bCs/>
          <w:sz w:val="20"/>
          <w:szCs w:val="20"/>
        </w:rPr>
        <w:t>consejos comunitarios de las comunidades negras y 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w:t>
      </w:r>
    </w:p>
    <w:p w14:paraId="6E9EF142" w14:textId="77777777" w:rsidR="00367A57" w:rsidRPr="00D626D8" w:rsidRDefault="00367A57" w:rsidP="009F04FC">
      <w:pPr>
        <w:spacing w:after="0" w:line="240" w:lineRule="auto"/>
        <w:jc w:val="both"/>
        <w:rPr>
          <w:rFonts w:ascii="Century Gothic" w:hAnsi="Century Gothic"/>
          <w:b/>
          <w:sz w:val="20"/>
          <w:szCs w:val="20"/>
        </w:rPr>
      </w:pPr>
    </w:p>
    <w:p w14:paraId="536397A7" w14:textId="10078813" w:rsidR="00DF5427" w:rsidRPr="00D626D8" w:rsidRDefault="00DF5427" w:rsidP="009F04FC">
      <w:pPr>
        <w:spacing w:after="120" w:line="240" w:lineRule="auto"/>
        <w:contextualSpacing/>
        <w:jc w:val="both"/>
        <w:rPr>
          <w:rFonts w:ascii="Century Gothic" w:eastAsia="Calibri" w:hAnsi="Century Gothic" w:cs="Arial"/>
          <w:b/>
          <w:bCs/>
          <w:sz w:val="20"/>
          <w:szCs w:val="20"/>
          <w:lang w:eastAsia="es-ES_tradnl"/>
        </w:rPr>
      </w:pPr>
      <w:r w:rsidRPr="00D626D8">
        <w:rPr>
          <w:rFonts w:ascii="Century Gothic" w:eastAsia="Calibri" w:hAnsi="Century Gothic" w:cs="Arial"/>
          <w:b/>
          <w:bCs/>
          <w:sz w:val="20"/>
          <w:szCs w:val="20"/>
          <w:lang w:eastAsia="es-ES_tradnl"/>
        </w:rPr>
        <w:t>COMUNIDADES ÉTNICAS – Autonomía – Gobierno propio – Autonomía– Identidad cultural – Garantía de derechos – Nociones</w:t>
      </w:r>
    </w:p>
    <w:p w14:paraId="3F25D7CC" w14:textId="77777777" w:rsidR="00DF5427" w:rsidRPr="00D626D8" w:rsidRDefault="00DF5427" w:rsidP="009F04FC">
      <w:pPr>
        <w:spacing w:after="120" w:line="240" w:lineRule="auto"/>
        <w:contextualSpacing/>
        <w:jc w:val="both"/>
        <w:rPr>
          <w:rFonts w:ascii="Century Gothic" w:eastAsia="Calibri" w:hAnsi="Century Gothic" w:cs="Arial"/>
          <w:b/>
          <w:bCs/>
          <w:sz w:val="20"/>
          <w:szCs w:val="20"/>
          <w:lang w:eastAsia="es-ES_tradnl"/>
        </w:rPr>
      </w:pPr>
    </w:p>
    <w:p w14:paraId="0EB39E32" w14:textId="77777777" w:rsidR="009F04FC" w:rsidRPr="00D626D8" w:rsidRDefault="009F04FC" w:rsidP="009F04FC">
      <w:pPr>
        <w:spacing w:after="0" w:line="240" w:lineRule="auto"/>
        <w:jc w:val="both"/>
        <w:rPr>
          <w:rFonts w:ascii="Arial" w:eastAsia="Arial" w:hAnsi="Arial" w:cs="Arial"/>
          <w:sz w:val="20"/>
          <w:szCs w:val="20"/>
          <w:lang w:val="es-ES_tradnl" w:eastAsia="es-ES_tradnl"/>
        </w:rPr>
      </w:pPr>
      <w:r w:rsidRPr="00D626D8">
        <w:rPr>
          <w:rFonts w:ascii="Century Gothic" w:hAnsi="Century Gothic" w:cs="Arial"/>
          <w:color w:val="000000"/>
          <w:sz w:val="20"/>
          <w:szCs w:val="20"/>
        </w:rPr>
        <w:t xml:space="preserve">La </w:t>
      </w:r>
      <w:r w:rsidRPr="00D626D8">
        <w:rPr>
          <w:rFonts w:ascii="Century Gothic" w:hAnsi="Century Gothic" w:cs="Arial"/>
          <w:i/>
          <w:iCs/>
          <w:color w:val="000000"/>
          <w:sz w:val="20"/>
          <w:szCs w:val="20"/>
        </w:rPr>
        <w:t>autonomía</w:t>
      </w:r>
      <w:r w:rsidRPr="00D626D8">
        <w:rPr>
          <w:rFonts w:ascii="Century Gothic" w:hAnsi="Century Gothic" w:cs="Arial"/>
          <w:color w:val="000000"/>
          <w:sz w:val="20"/>
          <w:szCs w:val="20"/>
        </w:rPr>
        <w:t xml:space="preserve">, el </w:t>
      </w:r>
      <w:r w:rsidRPr="00D626D8">
        <w:rPr>
          <w:rFonts w:ascii="Century Gothic" w:hAnsi="Century Gothic" w:cs="Arial"/>
          <w:i/>
          <w:iCs/>
          <w:sz w:val="20"/>
          <w:szCs w:val="20"/>
          <w:lang w:val="es-ES"/>
        </w:rPr>
        <w:t>gobierno propio</w:t>
      </w:r>
      <w:r w:rsidRPr="00D626D8">
        <w:rPr>
          <w:rFonts w:ascii="Century Gothic" w:hAnsi="Century Gothic" w:cs="Arial"/>
          <w:sz w:val="20"/>
          <w:szCs w:val="20"/>
          <w:lang w:val="es-ES"/>
        </w:rPr>
        <w:t xml:space="preserve">, la </w:t>
      </w:r>
      <w:r w:rsidRPr="00D626D8">
        <w:rPr>
          <w:rFonts w:ascii="Century Gothic" w:hAnsi="Century Gothic" w:cs="Arial"/>
          <w:i/>
          <w:iCs/>
          <w:sz w:val="20"/>
          <w:szCs w:val="20"/>
          <w:lang w:val="es-ES"/>
        </w:rPr>
        <w:t>identidad cultural</w:t>
      </w:r>
      <w:r w:rsidRPr="00D626D8">
        <w:rPr>
          <w:rFonts w:ascii="Century Gothic" w:hAnsi="Century Gothic" w:cs="Arial"/>
          <w:sz w:val="20"/>
          <w:szCs w:val="20"/>
          <w:lang w:val="es-ES"/>
        </w:rPr>
        <w:t xml:space="preserve">, </w:t>
      </w:r>
      <w:r w:rsidRPr="00D626D8">
        <w:rPr>
          <w:rFonts w:ascii="Century Gothic" w:hAnsi="Century Gothic" w:cs="Arial"/>
          <w:i/>
          <w:iCs/>
          <w:sz w:val="20"/>
          <w:szCs w:val="20"/>
          <w:lang w:val="es-ES"/>
        </w:rPr>
        <w:t xml:space="preserve">y la garantía de los derechos </w:t>
      </w:r>
      <w:r w:rsidRPr="00D626D8">
        <w:rPr>
          <w:rFonts w:ascii="Century Gothic" w:hAnsi="Century Gothic" w:cs="Arial"/>
          <w:sz w:val="20"/>
          <w:szCs w:val="20"/>
          <w:lang w:val="es-ES"/>
        </w:rPr>
        <w:t>de las</w:t>
      </w:r>
      <w:r w:rsidRPr="00D626D8">
        <w:rPr>
          <w:rFonts w:ascii="Century Gothic" w:hAnsi="Century Gothic" w:cs="Arial"/>
          <w:i/>
          <w:iCs/>
          <w:sz w:val="20"/>
          <w:szCs w:val="20"/>
          <w:lang w:val="es-ES"/>
        </w:rPr>
        <w:t xml:space="preserve"> comunidades</w:t>
      </w:r>
      <w:r w:rsidRPr="00D626D8">
        <w:rPr>
          <w:rFonts w:ascii="Century Gothic" w:hAnsi="Century Gothic" w:cs="Arial"/>
          <w:color w:val="000000"/>
          <w:sz w:val="20"/>
          <w:szCs w:val="20"/>
        </w:rPr>
        <w:t xml:space="preserve">, se ofrecen como un conjunto de </w:t>
      </w:r>
      <w:r w:rsidRPr="00D626D8">
        <w:rPr>
          <w:rFonts w:ascii="Century Gothic" w:eastAsia="Calibri" w:hAnsi="Century Gothic" w:cs="Arial"/>
          <w:bCs/>
          <w:sz w:val="20"/>
          <w:szCs w:val="20"/>
          <w:lang w:val="es-ES_tradnl" w:eastAsia="es-ES_tradnl"/>
        </w:rPr>
        <w:t>conceptos jurídicos indeterminados</w:t>
      </w:r>
      <w:r w:rsidRPr="00D626D8">
        <w:rPr>
          <w:rFonts w:ascii="Century Gothic" w:hAnsi="Century Gothic" w:cs="Arial"/>
          <w:sz w:val="20"/>
          <w:szCs w:val="20"/>
          <w:lang w:val="es-ES"/>
        </w:rPr>
        <w:t xml:space="preserve">. </w:t>
      </w:r>
      <w:r w:rsidRPr="00D626D8">
        <w:rPr>
          <w:rFonts w:ascii="Century Gothic" w:eastAsia="Arial" w:hAnsi="Century Gothic" w:cs="Arial"/>
          <w:sz w:val="20"/>
          <w:szCs w:val="20"/>
          <w:lang w:val="es-ES_tradnl" w:eastAsia="es-ES_tradnl"/>
        </w:rPr>
        <w:t>Un concepto adquiere esta denominación en el Derecho cuando se trata de un enunciado que goza de vaguedad y que debe materializarse en cada caso, atendiendo a las técnicas de la interpretación jurídica. La Corte Constitucional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D626D8">
        <w:rPr>
          <w:rFonts w:ascii="Arial" w:eastAsia="Arial" w:hAnsi="Arial" w:cs="Arial"/>
          <w:sz w:val="20"/>
          <w:szCs w:val="20"/>
          <w:lang w:val="es-ES_tradnl" w:eastAsia="es-ES_tradnl"/>
        </w:rPr>
        <w:t>.</w:t>
      </w:r>
    </w:p>
    <w:p w14:paraId="595B292C" w14:textId="77777777" w:rsidR="00DF5427" w:rsidRPr="00D626D8" w:rsidRDefault="00DF5427" w:rsidP="009F04FC">
      <w:pPr>
        <w:spacing w:after="120" w:line="240" w:lineRule="auto"/>
        <w:contextualSpacing/>
        <w:jc w:val="both"/>
        <w:rPr>
          <w:rFonts w:ascii="Century Gothic" w:eastAsia="Calibri" w:hAnsi="Century Gothic" w:cs="Arial"/>
          <w:b/>
          <w:bCs/>
          <w:sz w:val="20"/>
          <w:szCs w:val="20"/>
          <w:lang w:eastAsia="es-ES_tradnl"/>
        </w:rPr>
      </w:pPr>
    </w:p>
    <w:p w14:paraId="73688161" w14:textId="2EBDC0E7" w:rsidR="00CB28A7" w:rsidRPr="00D626D8" w:rsidRDefault="00E04331" w:rsidP="009F04FC">
      <w:pPr>
        <w:spacing w:after="120" w:line="240" w:lineRule="auto"/>
        <w:contextualSpacing/>
        <w:jc w:val="both"/>
        <w:rPr>
          <w:rFonts w:ascii="Century Gothic" w:eastAsia="Calibri" w:hAnsi="Century Gothic" w:cs="Arial"/>
          <w:b/>
          <w:sz w:val="20"/>
          <w:szCs w:val="20"/>
          <w:lang w:eastAsia="es-ES_tradnl"/>
        </w:rPr>
      </w:pPr>
      <w:r w:rsidRPr="00D626D8">
        <w:rPr>
          <w:rFonts w:ascii="Century Gothic" w:eastAsia="Calibri" w:hAnsi="Century Gothic" w:cs="Arial"/>
          <w:b/>
          <w:sz w:val="20"/>
          <w:szCs w:val="20"/>
          <w:lang w:eastAsia="es-ES_tradnl"/>
        </w:rPr>
        <w:t>SEGURIDAD SOCIAL INTEGRAL – Contratación estatal – Requisito del contrato estatal – Artículo 41 de la Ley 80 de 1993 – Artículo 50 de la Ley 789 de 2002</w:t>
      </w:r>
    </w:p>
    <w:p w14:paraId="0DE42D0B" w14:textId="77777777" w:rsidR="00CB28A7" w:rsidRPr="00D626D8" w:rsidRDefault="00CB28A7" w:rsidP="009F04FC">
      <w:pPr>
        <w:spacing w:after="120" w:line="240" w:lineRule="auto"/>
        <w:contextualSpacing/>
        <w:jc w:val="both"/>
        <w:rPr>
          <w:rFonts w:ascii="Century Gothic" w:eastAsia="Calibri" w:hAnsi="Century Gothic" w:cs="Arial"/>
          <w:b/>
          <w:sz w:val="20"/>
          <w:szCs w:val="20"/>
          <w:lang w:eastAsia="es-ES_tradnl"/>
        </w:rPr>
      </w:pPr>
    </w:p>
    <w:p w14:paraId="045EB90A" w14:textId="77777777" w:rsidR="00CB28A7" w:rsidRPr="00D626D8" w:rsidRDefault="00CB28A7" w:rsidP="009F04FC">
      <w:pPr>
        <w:spacing w:after="120" w:line="240" w:lineRule="auto"/>
        <w:contextualSpacing/>
        <w:jc w:val="both"/>
        <w:rPr>
          <w:rFonts w:ascii="Century Gothic" w:eastAsia="Geomanist Light" w:hAnsi="Century Gothic" w:cs="Arial"/>
          <w:color w:val="000000" w:themeColor="text1"/>
          <w:sz w:val="20"/>
          <w:szCs w:val="20"/>
          <w:lang w:val="es-MX"/>
        </w:rPr>
      </w:pPr>
      <w:r w:rsidRPr="00D626D8">
        <w:rPr>
          <w:rFonts w:ascii="Century Gothic" w:eastAsia="Geomanist Light" w:hAnsi="Century Gothic" w:cs="Arial"/>
          <w:color w:val="000000" w:themeColor="text1"/>
          <w:sz w:val="20"/>
          <w:szCs w:val="20"/>
          <w:lang w:val="es-MX"/>
        </w:rPr>
        <w:t>La seguridad social es un servicio público obligatorio, cuya dirección, coordinación y control está a cargo del Estado y es prestado por entidades públicas y privadas. Mediante esta se evitan desequilibrios económicos y sociales que, de no resolverse, implicarían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6BD46D77" w14:textId="77777777" w:rsidR="00CB28A7" w:rsidRPr="00D626D8" w:rsidRDefault="00CB28A7" w:rsidP="009F04FC">
      <w:pPr>
        <w:spacing w:after="120" w:line="240" w:lineRule="auto"/>
        <w:contextualSpacing/>
        <w:jc w:val="both"/>
        <w:rPr>
          <w:rFonts w:ascii="Century Gothic" w:eastAsia="Geomanist Light" w:hAnsi="Century Gothic" w:cs="Arial"/>
          <w:color w:val="000000" w:themeColor="text1"/>
          <w:sz w:val="20"/>
          <w:szCs w:val="20"/>
          <w:lang w:val="es-MX"/>
        </w:rPr>
      </w:pPr>
    </w:p>
    <w:p w14:paraId="1D31B57E" w14:textId="77777777" w:rsidR="00CB28A7" w:rsidRPr="00D626D8" w:rsidRDefault="00CB28A7" w:rsidP="009F04FC">
      <w:pPr>
        <w:spacing w:after="120" w:line="240" w:lineRule="auto"/>
        <w:contextualSpacing/>
        <w:jc w:val="both"/>
        <w:rPr>
          <w:rFonts w:ascii="Century Gothic" w:eastAsia="Geomanist Light" w:hAnsi="Century Gothic" w:cs="Arial"/>
          <w:color w:val="000000" w:themeColor="text1"/>
          <w:sz w:val="20"/>
          <w:szCs w:val="20"/>
          <w:lang w:val="es-MX"/>
        </w:rPr>
      </w:pPr>
      <w:r w:rsidRPr="00D626D8">
        <w:rPr>
          <w:rFonts w:ascii="Century Gothic" w:eastAsia="Geomanist Light" w:hAnsi="Century Gothic" w:cs="Arial"/>
          <w:color w:val="000000" w:themeColor="text1"/>
          <w:sz w:val="20"/>
          <w:szCs w:val="20"/>
          <w:lang w:val="es-MX"/>
        </w:rPr>
        <w:t>En materia de contratación estatal, el texto original del artículo 41 de la Ley 80 de 1993 dispuso que los requisitos para perfeccionar el contrato son: i) el acuerdo sobre el objeto y la contraprestación, y ii) que conste por escrito. Por su parte, para iniciar la ejecución se requiere: i) la constitución y aprobación de la garantía y ii)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505E1B06" w14:textId="77777777" w:rsidR="00CB28A7" w:rsidRPr="00D626D8" w:rsidRDefault="00CB28A7" w:rsidP="009F04FC">
      <w:pPr>
        <w:spacing w:after="120" w:line="240" w:lineRule="auto"/>
        <w:contextualSpacing/>
        <w:jc w:val="both"/>
        <w:rPr>
          <w:rFonts w:ascii="Century Gothic" w:eastAsia="Geomanist Light" w:hAnsi="Century Gothic" w:cs="Arial"/>
          <w:color w:val="000000" w:themeColor="text1"/>
          <w:sz w:val="20"/>
          <w:szCs w:val="20"/>
          <w:lang w:val="es-MX"/>
        </w:rPr>
      </w:pPr>
    </w:p>
    <w:p w14:paraId="283C55E7" w14:textId="170C5D25" w:rsidR="00CB28A7" w:rsidRPr="00D626D8" w:rsidRDefault="00CB28A7" w:rsidP="009F04FC">
      <w:pPr>
        <w:spacing w:after="120" w:line="240" w:lineRule="auto"/>
        <w:contextualSpacing/>
        <w:jc w:val="both"/>
        <w:rPr>
          <w:rFonts w:ascii="Century Gothic" w:eastAsia="Geomanist Light" w:hAnsi="Century Gothic" w:cs="Arial"/>
          <w:color w:val="000000" w:themeColor="text1"/>
          <w:sz w:val="20"/>
          <w:szCs w:val="20"/>
          <w:lang w:val="es-MX"/>
        </w:rPr>
      </w:pPr>
      <w:r w:rsidRPr="00D626D8">
        <w:rPr>
          <w:rFonts w:ascii="Century Gothic" w:eastAsia="Geomanist Light" w:hAnsi="Century Gothic" w:cs="Arial"/>
          <w:color w:val="000000" w:themeColor="text1"/>
          <w:sz w:val="20"/>
          <w:szCs w:val="20"/>
          <w:lang w:val="es-MX"/>
        </w:rPr>
        <w:t>Por su parte,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3F76BDFF" w14:textId="77777777" w:rsidR="00CB28A7" w:rsidRPr="00CB28A7" w:rsidRDefault="00CB28A7" w:rsidP="00CB28A7">
      <w:pPr>
        <w:spacing w:after="120"/>
        <w:contextualSpacing/>
        <w:jc w:val="both"/>
        <w:rPr>
          <w:rFonts w:ascii="Century Gothic" w:eastAsia="Calibri" w:hAnsi="Century Gothic" w:cs="Arial"/>
          <w:b/>
          <w:sz w:val="20"/>
          <w:szCs w:val="20"/>
          <w:lang w:val="es-MX" w:eastAsia="es-ES_tradnl"/>
        </w:rPr>
      </w:pPr>
    </w:p>
    <w:p w14:paraId="77211D9D" w14:textId="77777777" w:rsidR="00CB28A7" w:rsidRPr="00CB28A7" w:rsidRDefault="00CB28A7" w:rsidP="00E04331">
      <w:pPr>
        <w:spacing w:after="120"/>
        <w:contextualSpacing/>
        <w:jc w:val="both"/>
        <w:rPr>
          <w:rFonts w:ascii="Century Gothic" w:eastAsia="Calibri" w:hAnsi="Century Gothic" w:cs="Arial"/>
          <w:b/>
          <w:sz w:val="20"/>
          <w:szCs w:val="20"/>
          <w:lang w:val="es-MX" w:eastAsia="es-ES_tradnl"/>
        </w:rPr>
      </w:pPr>
    </w:p>
    <w:p w14:paraId="0566F265" w14:textId="77777777" w:rsidR="00E04331" w:rsidRDefault="00E04331" w:rsidP="00E245AB">
      <w:pPr>
        <w:spacing w:after="0"/>
        <w:rPr>
          <w:rFonts w:ascii="Verdana" w:hAnsi="Verdana"/>
        </w:rPr>
      </w:pPr>
    </w:p>
    <w:p w14:paraId="3B3C1605" w14:textId="77777777" w:rsidR="00BF3649" w:rsidRDefault="00BF3649" w:rsidP="00E245AB">
      <w:pPr>
        <w:spacing w:after="0"/>
        <w:rPr>
          <w:rFonts w:ascii="Verdana" w:hAnsi="Verdana"/>
        </w:rPr>
      </w:pPr>
    </w:p>
    <w:p w14:paraId="3B51E40D" w14:textId="77777777" w:rsidR="00BF3649" w:rsidRDefault="00BF3649" w:rsidP="00E245AB">
      <w:pPr>
        <w:spacing w:after="0"/>
        <w:rPr>
          <w:rFonts w:ascii="Verdana" w:hAnsi="Verdana"/>
        </w:rPr>
      </w:pPr>
    </w:p>
    <w:p w14:paraId="440361A9" w14:textId="77777777" w:rsidR="00BF3649" w:rsidRDefault="00BF3649" w:rsidP="00E245AB">
      <w:pPr>
        <w:spacing w:after="0"/>
        <w:rPr>
          <w:rFonts w:ascii="Verdana" w:hAnsi="Verdana"/>
        </w:rPr>
      </w:pPr>
    </w:p>
    <w:p w14:paraId="66C3D305" w14:textId="77777777" w:rsidR="00BF3649" w:rsidRDefault="00BF3649" w:rsidP="00E245AB">
      <w:pPr>
        <w:spacing w:after="0"/>
        <w:rPr>
          <w:rFonts w:ascii="Verdana" w:hAnsi="Verdana"/>
        </w:rPr>
      </w:pPr>
    </w:p>
    <w:p w14:paraId="24EC6C57" w14:textId="77777777" w:rsidR="00BF3649" w:rsidRDefault="00BF3649" w:rsidP="00E245AB">
      <w:pPr>
        <w:spacing w:after="0"/>
        <w:rPr>
          <w:rFonts w:ascii="Verdana" w:hAnsi="Verdana"/>
        </w:rPr>
      </w:pPr>
    </w:p>
    <w:p w14:paraId="670D472C" w14:textId="77777777" w:rsidR="00BF3649" w:rsidRDefault="00BF3649" w:rsidP="00E245AB">
      <w:pPr>
        <w:spacing w:after="0"/>
        <w:rPr>
          <w:rFonts w:ascii="Verdana" w:hAnsi="Verdana"/>
        </w:rPr>
      </w:pPr>
    </w:p>
    <w:p w14:paraId="097BCB82" w14:textId="77777777" w:rsidR="00BF3649" w:rsidRDefault="00BF3649" w:rsidP="00E245AB">
      <w:pPr>
        <w:spacing w:after="0"/>
        <w:rPr>
          <w:rFonts w:ascii="Verdana" w:hAnsi="Verdana"/>
        </w:rPr>
      </w:pPr>
    </w:p>
    <w:p w14:paraId="09EE965C" w14:textId="77777777" w:rsidR="00BF3649" w:rsidRDefault="00BF3649" w:rsidP="00E245AB">
      <w:pPr>
        <w:spacing w:after="0"/>
        <w:rPr>
          <w:rFonts w:ascii="Verdana" w:hAnsi="Verdana"/>
        </w:rPr>
      </w:pPr>
    </w:p>
    <w:p w14:paraId="3AFDB59C" w14:textId="77777777" w:rsidR="00BF3649" w:rsidRDefault="00BF3649" w:rsidP="00E245AB">
      <w:pPr>
        <w:spacing w:after="0"/>
        <w:rPr>
          <w:rFonts w:ascii="Verdana" w:hAnsi="Verdana"/>
        </w:rPr>
      </w:pPr>
    </w:p>
    <w:p w14:paraId="0229E8BB" w14:textId="77777777" w:rsidR="00BF3649" w:rsidRDefault="00BF3649" w:rsidP="00E245AB">
      <w:pPr>
        <w:spacing w:after="0"/>
        <w:rPr>
          <w:rFonts w:ascii="Verdana" w:hAnsi="Verdana"/>
        </w:rPr>
      </w:pPr>
    </w:p>
    <w:p w14:paraId="419DD306" w14:textId="77777777" w:rsidR="00BF3649" w:rsidRDefault="00BF3649" w:rsidP="00E245AB">
      <w:pPr>
        <w:spacing w:after="0"/>
        <w:rPr>
          <w:rFonts w:ascii="Verdana" w:hAnsi="Verdana"/>
        </w:rPr>
      </w:pPr>
    </w:p>
    <w:p w14:paraId="6F386841" w14:textId="77777777" w:rsidR="00BF3649" w:rsidRDefault="00BF3649" w:rsidP="00E245AB">
      <w:pPr>
        <w:spacing w:after="0"/>
        <w:rPr>
          <w:rFonts w:ascii="Verdana" w:hAnsi="Verdana"/>
        </w:rPr>
      </w:pPr>
    </w:p>
    <w:p w14:paraId="6132A43F" w14:textId="77777777" w:rsidR="00BF3649" w:rsidRDefault="00BF3649" w:rsidP="00E245AB">
      <w:pPr>
        <w:spacing w:after="0"/>
        <w:rPr>
          <w:rFonts w:ascii="Verdana" w:hAnsi="Verdana"/>
        </w:rPr>
      </w:pPr>
    </w:p>
    <w:p w14:paraId="51003826" w14:textId="77777777" w:rsidR="00BF3649" w:rsidRDefault="00BF3649" w:rsidP="00E245AB">
      <w:pPr>
        <w:spacing w:after="0"/>
        <w:rPr>
          <w:rFonts w:ascii="Verdana" w:hAnsi="Verdana"/>
        </w:rPr>
      </w:pPr>
    </w:p>
    <w:p w14:paraId="3A8C93AF" w14:textId="77777777" w:rsidR="00BF3649" w:rsidRDefault="00BF3649" w:rsidP="00E245AB">
      <w:pPr>
        <w:spacing w:after="0"/>
        <w:rPr>
          <w:rFonts w:ascii="Verdana" w:hAnsi="Verdana"/>
        </w:rPr>
      </w:pPr>
    </w:p>
    <w:p w14:paraId="33FE3B0F" w14:textId="77777777" w:rsidR="00BF3649" w:rsidRDefault="00BF3649" w:rsidP="00E245AB">
      <w:pPr>
        <w:spacing w:after="0"/>
        <w:rPr>
          <w:rFonts w:ascii="Verdana" w:hAnsi="Verdana"/>
        </w:rPr>
      </w:pPr>
    </w:p>
    <w:p w14:paraId="3505611C" w14:textId="77777777" w:rsidR="00BF3649" w:rsidRDefault="00BF3649" w:rsidP="00E245AB">
      <w:pPr>
        <w:spacing w:after="0"/>
        <w:rPr>
          <w:rFonts w:ascii="Verdana" w:hAnsi="Verdana"/>
        </w:rPr>
      </w:pPr>
    </w:p>
    <w:p w14:paraId="6F5B9B17" w14:textId="77777777" w:rsidR="00BF3649" w:rsidRDefault="00BF3649" w:rsidP="00E245AB">
      <w:pPr>
        <w:spacing w:after="0"/>
        <w:rPr>
          <w:rFonts w:ascii="Verdana" w:hAnsi="Verdana"/>
        </w:rPr>
      </w:pPr>
    </w:p>
    <w:p w14:paraId="12D70591" w14:textId="77777777" w:rsidR="00BF3649" w:rsidRDefault="00BF3649" w:rsidP="00E245AB">
      <w:pPr>
        <w:spacing w:after="0"/>
        <w:rPr>
          <w:rFonts w:ascii="Verdana" w:hAnsi="Verdana"/>
        </w:rPr>
      </w:pPr>
    </w:p>
    <w:p w14:paraId="58162535" w14:textId="77777777" w:rsidR="00BF3649" w:rsidRDefault="00BF3649" w:rsidP="00E245AB">
      <w:pPr>
        <w:spacing w:after="0"/>
        <w:rPr>
          <w:rFonts w:ascii="Verdana" w:hAnsi="Verdana"/>
        </w:rPr>
      </w:pPr>
    </w:p>
    <w:p w14:paraId="29316B54" w14:textId="77777777" w:rsidR="00BF3649" w:rsidRDefault="00BF3649" w:rsidP="00E245AB">
      <w:pPr>
        <w:spacing w:after="0"/>
        <w:rPr>
          <w:rFonts w:ascii="Verdana" w:hAnsi="Verdana"/>
        </w:rPr>
      </w:pPr>
    </w:p>
    <w:p w14:paraId="5E437B97" w14:textId="77777777" w:rsidR="00BF3649" w:rsidRDefault="00BF3649" w:rsidP="00E245AB">
      <w:pPr>
        <w:spacing w:after="0"/>
        <w:rPr>
          <w:rFonts w:ascii="Verdana" w:hAnsi="Verdana"/>
        </w:rPr>
      </w:pPr>
    </w:p>
    <w:p w14:paraId="55503F11" w14:textId="77777777" w:rsidR="00BF3649" w:rsidRDefault="00BF3649" w:rsidP="00E245AB">
      <w:pPr>
        <w:spacing w:after="0"/>
        <w:rPr>
          <w:rFonts w:ascii="Verdana" w:hAnsi="Verdana"/>
        </w:rPr>
      </w:pPr>
    </w:p>
    <w:p w14:paraId="76DA72C4" w14:textId="77777777" w:rsidR="00BF3649" w:rsidRDefault="00BF3649" w:rsidP="00E245AB">
      <w:pPr>
        <w:spacing w:after="0"/>
        <w:rPr>
          <w:rFonts w:ascii="Verdana" w:hAnsi="Verdana"/>
        </w:rPr>
      </w:pPr>
    </w:p>
    <w:p w14:paraId="6700FDA2" w14:textId="77777777" w:rsidR="00BF3649" w:rsidRDefault="00BF3649" w:rsidP="00E245AB">
      <w:pPr>
        <w:spacing w:after="0"/>
        <w:rPr>
          <w:rFonts w:ascii="Verdana" w:hAnsi="Verdana"/>
        </w:rPr>
      </w:pPr>
    </w:p>
    <w:p w14:paraId="5A1E6403" w14:textId="77777777" w:rsidR="00BF3649" w:rsidRDefault="00BF3649" w:rsidP="00E245AB">
      <w:pPr>
        <w:spacing w:after="0"/>
        <w:rPr>
          <w:rFonts w:ascii="Verdana" w:hAnsi="Verdana"/>
        </w:rPr>
      </w:pPr>
    </w:p>
    <w:p w14:paraId="37762B31" w14:textId="77777777" w:rsidR="00BF3649" w:rsidRDefault="00BF3649" w:rsidP="00E245AB">
      <w:pPr>
        <w:spacing w:after="0"/>
        <w:rPr>
          <w:rFonts w:ascii="Verdana" w:hAnsi="Verdana"/>
        </w:rPr>
      </w:pPr>
    </w:p>
    <w:p w14:paraId="4ECC5ACF" w14:textId="77777777" w:rsidR="00BF3649" w:rsidRDefault="00BF3649" w:rsidP="00E245AB">
      <w:pPr>
        <w:spacing w:after="0"/>
        <w:rPr>
          <w:rFonts w:ascii="Verdana" w:hAnsi="Verdana"/>
        </w:rPr>
      </w:pPr>
    </w:p>
    <w:p w14:paraId="637AF615" w14:textId="77777777" w:rsidR="00BF3649" w:rsidRDefault="00BF3649" w:rsidP="00E245AB">
      <w:pPr>
        <w:spacing w:after="0"/>
        <w:rPr>
          <w:rFonts w:ascii="Verdana" w:hAnsi="Verdana"/>
        </w:rPr>
      </w:pPr>
    </w:p>
    <w:p w14:paraId="67E7BFF6" w14:textId="77777777" w:rsidR="00B1591F" w:rsidRDefault="00B1591F" w:rsidP="00E245AB">
      <w:pPr>
        <w:spacing w:after="0"/>
        <w:rPr>
          <w:rFonts w:ascii="Verdana" w:hAnsi="Verdana"/>
        </w:rPr>
      </w:pPr>
    </w:p>
    <w:p w14:paraId="0BA230CA" w14:textId="77777777" w:rsidR="00B1591F" w:rsidRDefault="00B1591F" w:rsidP="00E245AB">
      <w:pPr>
        <w:spacing w:after="0"/>
        <w:rPr>
          <w:rFonts w:ascii="Verdana" w:hAnsi="Verdana"/>
        </w:rPr>
      </w:pPr>
    </w:p>
    <w:p w14:paraId="0D8C2D21" w14:textId="77777777" w:rsidR="00B1591F" w:rsidRDefault="00B1591F" w:rsidP="00E245AB">
      <w:pPr>
        <w:spacing w:after="0"/>
        <w:rPr>
          <w:rFonts w:ascii="Verdana" w:hAnsi="Verdana"/>
        </w:rPr>
      </w:pPr>
    </w:p>
    <w:p w14:paraId="50E3BB09" w14:textId="77777777" w:rsidR="00BF3649" w:rsidRDefault="00BF3649" w:rsidP="00E245AB">
      <w:pPr>
        <w:spacing w:after="0"/>
        <w:rPr>
          <w:rFonts w:ascii="Verdana" w:hAnsi="Verdana"/>
        </w:rPr>
      </w:pPr>
    </w:p>
    <w:p w14:paraId="52294D27" w14:textId="77777777" w:rsidR="003D31AF" w:rsidRDefault="003D31AF" w:rsidP="00E245AB">
      <w:pPr>
        <w:spacing w:after="0"/>
        <w:rPr>
          <w:rFonts w:ascii="Verdana" w:hAnsi="Verdana"/>
        </w:rPr>
      </w:pPr>
    </w:p>
    <w:p w14:paraId="1D065CCD" w14:textId="77777777" w:rsidR="00A211EE" w:rsidRDefault="00A211EE" w:rsidP="00E245AB">
      <w:pPr>
        <w:spacing w:after="0"/>
        <w:rPr>
          <w:rFonts w:ascii="Verdana" w:hAnsi="Verdana"/>
        </w:rPr>
      </w:pPr>
    </w:p>
    <w:p w14:paraId="5FCADBF9" w14:textId="10E90F85" w:rsidR="00E245AB" w:rsidRPr="00F31172" w:rsidRDefault="008B5C99" w:rsidP="00E245AB">
      <w:pPr>
        <w:spacing w:after="0"/>
        <w:rPr>
          <w:rFonts w:ascii="Century Gothic" w:hAnsi="Century Gothic"/>
        </w:rPr>
      </w:pPr>
      <w:r w:rsidRPr="00F31172">
        <w:rPr>
          <w:rFonts w:ascii="Century Gothic" w:hAnsi="Century Gothic"/>
        </w:rPr>
        <w:t xml:space="preserve">Bogotá D.C., </w:t>
      </w:r>
      <w:r w:rsidR="00F31172" w:rsidRPr="00F31172">
        <w:rPr>
          <w:rFonts w:ascii="Century Gothic" w:hAnsi="Century Gothic"/>
        </w:rPr>
        <w:t>03 de julio del 2024</w:t>
      </w:r>
    </w:p>
    <w:p w14:paraId="0465BA6D" w14:textId="77777777" w:rsidR="00E245AB" w:rsidRDefault="00E245AB" w:rsidP="00E245AB">
      <w:pPr>
        <w:spacing w:after="0"/>
        <w:rPr>
          <w:rFonts w:ascii="Verdana" w:hAnsi="Verdana"/>
        </w:rPr>
      </w:pPr>
    </w:p>
    <w:p w14:paraId="54CDAEFF" w14:textId="702A68C8" w:rsidR="00F31172" w:rsidRDefault="00F31172" w:rsidP="00F31172">
      <w:pPr>
        <w:spacing w:after="0"/>
        <w:jc w:val="right"/>
        <w:rPr>
          <w:rFonts w:ascii="Verdana" w:hAnsi="Verdana"/>
        </w:rPr>
      </w:pPr>
      <w:r w:rsidRPr="00F31172">
        <w:rPr>
          <w:rFonts w:ascii="Verdana" w:hAnsi="Verdana"/>
          <w:noProof/>
        </w:rPr>
        <w:drawing>
          <wp:inline distT="0" distB="0" distL="0" distR="0" wp14:anchorId="2602C19C" wp14:editId="326BBBFC">
            <wp:extent cx="3667760" cy="987898"/>
            <wp:effectExtent l="0" t="0" r="2540" b="3175"/>
            <wp:docPr id="1224836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36669" name=""/>
                    <pic:cNvPicPr/>
                  </pic:nvPicPr>
                  <pic:blipFill>
                    <a:blip r:embed="rId11"/>
                    <a:stretch>
                      <a:fillRect/>
                    </a:stretch>
                  </pic:blipFill>
                  <pic:spPr>
                    <a:xfrm>
                      <a:off x="0" y="0"/>
                      <a:ext cx="3701610" cy="997015"/>
                    </a:xfrm>
                    <a:prstGeom prst="rect">
                      <a:avLst/>
                    </a:prstGeom>
                  </pic:spPr>
                </pic:pic>
              </a:graphicData>
            </a:graphic>
          </wp:inline>
        </w:drawing>
      </w:r>
    </w:p>
    <w:p w14:paraId="16E0DC9E" w14:textId="6A178929" w:rsidR="00B44E17" w:rsidRPr="008367ED" w:rsidRDefault="00B44E17" w:rsidP="00B44E17">
      <w:pPr>
        <w:spacing w:after="0"/>
        <w:rPr>
          <w:rFonts w:ascii="Century Gothic" w:hAnsi="Century Gothic"/>
          <w:lang w:val="es-ES"/>
        </w:rPr>
      </w:pPr>
      <w:r w:rsidRPr="008367ED">
        <w:rPr>
          <w:rFonts w:ascii="Century Gothic" w:hAnsi="Century Gothic" w:cs="Arial"/>
          <w:lang w:val="es-ES"/>
        </w:rPr>
        <w:t>Señora:</w:t>
      </w:r>
    </w:p>
    <w:p w14:paraId="4B7C55B7" w14:textId="77777777" w:rsidR="00B44E17" w:rsidRPr="008367ED" w:rsidRDefault="00B44E17" w:rsidP="00B44E17">
      <w:pPr>
        <w:spacing w:after="0" w:line="276" w:lineRule="auto"/>
        <w:rPr>
          <w:rFonts w:ascii="Century Gothic" w:hAnsi="Century Gothic" w:cs="Arial"/>
          <w:b/>
          <w:bCs/>
          <w:lang w:val="es-ES"/>
        </w:rPr>
      </w:pPr>
      <w:r w:rsidRPr="008367ED">
        <w:rPr>
          <w:rFonts w:ascii="Century Gothic" w:hAnsi="Century Gothic" w:cs="Arial"/>
          <w:b/>
          <w:bCs/>
          <w:lang w:val="es-ES"/>
        </w:rPr>
        <w:t>Steffany Wilches </w:t>
      </w:r>
    </w:p>
    <w:p w14:paraId="7BF12FC8" w14:textId="77777777" w:rsidR="00B44E17" w:rsidRPr="008367ED" w:rsidRDefault="00CD3DC4" w:rsidP="00B44E17">
      <w:pPr>
        <w:tabs>
          <w:tab w:val="left" w:pos="7052"/>
        </w:tabs>
        <w:spacing w:after="0" w:line="276" w:lineRule="auto"/>
        <w:rPr>
          <w:rFonts w:ascii="Century Gothic" w:hAnsi="Century Gothic" w:cs="Arial"/>
          <w:lang w:val="es-ES"/>
        </w:rPr>
      </w:pPr>
      <w:hyperlink r:id="rId12" w:history="1">
        <w:r w:rsidR="00B44E17" w:rsidRPr="008367ED">
          <w:rPr>
            <w:rStyle w:val="Hyperlink"/>
            <w:rFonts w:ascii="Century Gothic" w:hAnsi="Century Gothic" w:cs="Arial"/>
            <w:lang w:val="es-ES"/>
          </w:rPr>
          <w:t>steffany.wilches@gmail.com</w:t>
        </w:r>
      </w:hyperlink>
      <w:r w:rsidR="00B44E17" w:rsidRPr="008367ED">
        <w:rPr>
          <w:rFonts w:ascii="Century Gothic" w:hAnsi="Century Gothic" w:cs="Arial"/>
          <w:lang w:val="es-ES"/>
        </w:rPr>
        <w:tab/>
      </w:r>
    </w:p>
    <w:p w14:paraId="6EC317D8" w14:textId="77777777" w:rsidR="00B44E17" w:rsidRPr="008367ED" w:rsidRDefault="00B44E17" w:rsidP="00B44E17">
      <w:pPr>
        <w:spacing w:after="0" w:line="276" w:lineRule="auto"/>
        <w:rPr>
          <w:rFonts w:ascii="Century Gothic" w:hAnsi="Century Gothic" w:cs="Arial"/>
          <w:lang w:val="es-ES"/>
        </w:rPr>
      </w:pPr>
      <w:r w:rsidRPr="008367ED">
        <w:rPr>
          <w:rFonts w:ascii="Century Gothic" w:hAnsi="Century Gothic" w:cs="Arial"/>
          <w:lang w:val="es-ES"/>
        </w:rPr>
        <w:t>Santa Marta, Magdalena</w:t>
      </w:r>
    </w:p>
    <w:p w14:paraId="4D76B3FA" w14:textId="77777777" w:rsidR="00B44E17" w:rsidRPr="00971E6B" w:rsidRDefault="00B44E17" w:rsidP="00B44E17">
      <w:pPr>
        <w:spacing w:after="0" w:line="276" w:lineRule="auto"/>
        <w:rPr>
          <w:rFonts w:ascii="Century Gothic" w:hAnsi="Century Gothic" w:cs="Arial"/>
        </w:rPr>
      </w:pPr>
    </w:p>
    <w:p w14:paraId="5DE3570F" w14:textId="77777777" w:rsidR="00B44E17" w:rsidRPr="00971E6B" w:rsidRDefault="00B44E17" w:rsidP="00B44E17">
      <w:pPr>
        <w:spacing w:after="0" w:line="276" w:lineRule="auto"/>
        <w:ind w:left="2832"/>
        <w:rPr>
          <w:rFonts w:ascii="Century Gothic" w:eastAsia="Calibri" w:hAnsi="Century Gothic" w:cs="Arial"/>
          <w:b/>
          <w:bCs/>
        </w:rPr>
      </w:pPr>
      <w:r w:rsidRPr="00971E6B">
        <w:rPr>
          <w:rFonts w:ascii="Century Gothic" w:eastAsia="Calibri" w:hAnsi="Century Gothic" w:cs="Arial"/>
          <w:b/>
        </w:rPr>
        <w:t>Concepto C</w:t>
      </w:r>
      <w:r w:rsidRPr="00971E6B">
        <w:rPr>
          <w:rFonts w:ascii="Century Gothic" w:eastAsia="Calibri" w:hAnsi="Century Gothic" w:cs="Arial"/>
          <w:b/>
          <w:bCs/>
        </w:rPr>
        <w:t xml:space="preserve"> – 113 </w:t>
      </w:r>
      <w:r w:rsidRPr="00971E6B">
        <w:rPr>
          <w:rFonts w:ascii="Century Gothic" w:eastAsia="Calibri" w:hAnsi="Century Gothic" w:cs="Arial"/>
          <w:b/>
        </w:rPr>
        <w:t>del 2024</w:t>
      </w:r>
    </w:p>
    <w:p w14:paraId="758FC119" w14:textId="77777777" w:rsidR="00B44E17" w:rsidRPr="00971E6B" w:rsidRDefault="00B44E17" w:rsidP="00B44E17">
      <w:pPr>
        <w:spacing w:after="0" w:line="276" w:lineRule="auto"/>
        <w:jc w:val="both"/>
        <w:rPr>
          <w:rFonts w:ascii="Century Gothic" w:eastAsia="Calibri" w:hAnsi="Century Gothic" w:cs="Arial"/>
        </w:rPr>
      </w:pPr>
    </w:p>
    <w:tbl>
      <w:tblPr>
        <w:tblStyle w:val="TableGrid"/>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44E17" w:rsidRPr="00463BD9" w14:paraId="66268B19" w14:textId="77777777" w:rsidTr="00CD3DC4">
        <w:trPr>
          <w:jc w:val="right"/>
        </w:trPr>
        <w:tc>
          <w:tcPr>
            <w:tcW w:w="1838" w:type="dxa"/>
          </w:tcPr>
          <w:p w14:paraId="26EFD671" w14:textId="77777777" w:rsidR="00B44E17" w:rsidRPr="00971E6B" w:rsidRDefault="00B44E17" w:rsidP="00CD3DC4">
            <w:pPr>
              <w:spacing w:line="276" w:lineRule="auto"/>
              <w:jc w:val="center"/>
              <w:rPr>
                <w:rFonts w:ascii="Century Gothic" w:eastAsia="Calibri" w:hAnsi="Century Gothic" w:cs="Arial"/>
              </w:rPr>
            </w:pPr>
            <w:r w:rsidRPr="00971E6B">
              <w:rPr>
                <w:rFonts w:ascii="Century Gothic" w:eastAsia="Calibri" w:hAnsi="Century Gothic" w:cs="Arial"/>
                <w:b/>
              </w:rPr>
              <w:t>Tema:</w:t>
            </w:r>
          </w:p>
        </w:tc>
        <w:tc>
          <w:tcPr>
            <w:tcW w:w="6237" w:type="dxa"/>
          </w:tcPr>
          <w:p w14:paraId="5A02785A" w14:textId="77777777" w:rsidR="00B44E17" w:rsidRPr="00971E6B" w:rsidRDefault="00B44E17" w:rsidP="00CD3DC4">
            <w:pPr>
              <w:spacing w:after="120"/>
              <w:contextualSpacing/>
              <w:jc w:val="both"/>
              <w:rPr>
                <w:rFonts w:ascii="Century Gothic" w:eastAsia="Calibri" w:hAnsi="Century Gothic" w:cs="Arial"/>
                <w:bCs/>
                <w:lang w:eastAsia="es-ES_tradnl"/>
              </w:rPr>
            </w:pPr>
            <w:r w:rsidRPr="00971E6B">
              <w:rPr>
                <w:rFonts w:ascii="Century Gothic" w:eastAsia="Calibri" w:hAnsi="Century Gothic" w:cs="Arial"/>
                <w:lang w:eastAsia="es-ES_tradnl"/>
              </w:rPr>
              <w:t xml:space="preserve">PUEBLOS TRIBALES - Convenio No. 169 de la OIT – Compromisos – Derechos – Pueblo Rrom </w:t>
            </w:r>
            <w:r w:rsidRPr="00971E6B">
              <w:rPr>
                <w:rFonts w:ascii="Century Gothic" w:eastAsia="Calibri" w:hAnsi="Century Gothic" w:cs="Arial"/>
                <w:bCs/>
                <w:lang w:eastAsia="es-ES_tradnl"/>
              </w:rPr>
              <w:t xml:space="preserve">/ CONTRATACIÓN DIRECTA – Aplicación restrictiva – Literal N, numeral 4, artículo 2 de la Ley 1150 de 2007 / </w:t>
            </w:r>
            <w:r w:rsidRPr="00971E6B">
              <w:rPr>
                <w:rFonts w:ascii="Century Gothic" w:eastAsia="Calibri" w:hAnsi="Century Gothic" w:cs="Arial"/>
                <w:lang w:eastAsia="es-ES_tradnl"/>
              </w:rPr>
              <w:t xml:space="preserve">COMUNIDADES ÉTNICAS – Autonomía – Gobierno propio – Autonomía– Identidad cultural – Garantía de derechos – Nociones / </w:t>
            </w:r>
            <w:r w:rsidRPr="00971E6B">
              <w:rPr>
                <w:rFonts w:ascii="Century Gothic" w:eastAsia="Calibri" w:hAnsi="Century Gothic" w:cs="Arial"/>
                <w:bCs/>
                <w:lang w:eastAsia="es-ES_tradnl"/>
              </w:rPr>
              <w:t>SEGURIDAD SOCIAL INTEGRAL – Contratación estatal – Requisito del contrato estatal – Artículo 41 de la Ley 80 de 1993 – Artículo 50 de la Ley 789 de 2002</w:t>
            </w:r>
          </w:p>
          <w:p w14:paraId="2BD00397" w14:textId="77777777" w:rsidR="00B44E17" w:rsidRPr="00971E6B" w:rsidRDefault="00B44E17" w:rsidP="00CD3DC4">
            <w:pPr>
              <w:spacing w:after="120"/>
              <w:contextualSpacing/>
              <w:jc w:val="both"/>
              <w:rPr>
                <w:rFonts w:ascii="Century Gothic" w:eastAsia="Calibri" w:hAnsi="Century Gothic" w:cs="Arial"/>
                <w:bCs/>
                <w:lang w:eastAsia="es-ES_tradnl"/>
              </w:rPr>
            </w:pPr>
          </w:p>
        </w:tc>
      </w:tr>
      <w:tr w:rsidR="00B44E17" w:rsidRPr="00463BD9" w14:paraId="423B924F" w14:textId="77777777" w:rsidTr="00CD3DC4">
        <w:trPr>
          <w:trHeight w:val="87"/>
          <w:jc w:val="right"/>
        </w:trPr>
        <w:tc>
          <w:tcPr>
            <w:tcW w:w="1838" w:type="dxa"/>
          </w:tcPr>
          <w:p w14:paraId="6FB336B7" w14:textId="77777777" w:rsidR="00B44E17" w:rsidRPr="00971E6B" w:rsidRDefault="00B44E17" w:rsidP="00CD3DC4">
            <w:pPr>
              <w:spacing w:line="276" w:lineRule="auto"/>
              <w:jc w:val="center"/>
              <w:rPr>
                <w:rFonts w:ascii="Century Gothic" w:eastAsia="Calibri" w:hAnsi="Century Gothic" w:cs="Arial"/>
                <w:b/>
              </w:rPr>
            </w:pPr>
            <w:r w:rsidRPr="00971E6B">
              <w:rPr>
                <w:rFonts w:ascii="Century Gothic" w:eastAsia="Calibri" w:hAnsi="Century Gothic" w:cs="Arial"/>
                <w:b/>
              </w:rPr>
              <w:t>Radicado:</w:t>
            </w:r>
          </w:p>
        </w:tc>
        <w:tc>
          <w:tcPr>
            <w:tcW w:w="6237" w:type="dxa"/>
          </w:tcPr>
          <w:p w14:paraId="4946F541" w14:textId="77777777" w:rsidR="00B44E17" w:rsidRPr="00463BD9" w:rsidRDefault="00B44E17" w:rsidP="00CD3DC4">
            <w:pPr>
              <w:spacing w:after="120"/>
              <w:contextualSpacing/>
              <w:jc w:val="both"/>
              <w:rPr>
                <w:rFonts w:ascii="Century Gothic" w:hAnsi="Century Gothic" w:cs="Calibri"/>
              </w:rPr>
            </w:pPr>
            <w:r w:rsidRPr="00971E6B">
              <w:rPr>
                <w:rFonts w:ascii="Century Gothic" w:eastAsia="Calibri" w:hAnsi="Century Gothic" w:cs="Arial"/>
                <w:lang w:eastAsia="es-ES_tradnl"/>
              </w:rPr>
              <w:t xml:space="preserve">Respuesta a la consulta Nro. </w:t>
            </w:r>
            <w:r w:rsidRPr="00463BD9">
              <w:rPr>
                <w:rFonts w:ascii="Century Gothic" w:hAnsi="Century Gothic" w:cs="Calibri"/>
              </w:rPr>
              <w:t xml:space="preserve">P20240528005520 acumulada con la Nro. P20240528005521. </w:t>
            </w:r>
          </w:p>
        </w:tc>
      </w:tr>
    </w:tbl>
    <w:p w14:paraId="0268B66C" w14:textId="77777777" w:rsidR="00B44E17" w:rsidRPr="00971E6B" w:rsidRDefault="00B44E17" w:rsidP="00B44E17">
      <w:pPr>
        <w:spacing w:after="0"/>
        <w:rPr>
          <w:rFonts w:ascii="Century Gothic" w:hAnsi="Century Gothic"/>
        </w:rPr>
      </w:pPr>
    </w:p>
    <w:p w14:paraId="062AF8EC" w14:textId="77777777" w:rsidR="00B44E17" w:rsidRPr="00971E6B" w:rsidRDefault="00B44E17" w:rsidP="00B44E17">
      <w:pPr>
        <w:spacing w:line="276" w:lineRule="auto"/>
        <w:jc w:val="both"/>
        <w:rPr>
          <w:rFonts w:ascii="Century Gothic" w:eastAsia="Calibri" w:hAnsi="Century Gothic" w:cs="Arial"/>
        </w:rPr>
      </w:pPr>
      <w:r w:rsidRPr="00971E6B">
        <w:rPr>
          <w:rFonts w:ascii="Century Gothic" w:eastAsia="Calibri" w:hAnsi="Century Gothic" w:cs="Arial"/>
        </w:rPr>
        <w:t xml:space="preserve">Estimada señora </w:t>
      </w:r>
      <w:r w:rsidRPr="00463BD9">
        <w:rPr>
          <w:rFonts w:ascii="Century Gothic" w:hAnsi="Century Gothic" w:cs="Arial"/>
        </w:rPr>
        <w:t>Wilches</w:t>
      </w:r>
      <w:r w:rsidRPr="00971E6B">
        <w:rPr>
          <w:rFonts w:ascii="Century Gothic" w:hAnsi="Century Gothic" w:cs="Arial"/>
        </w:rPr>
        <w:t>:</w:t>
      </w:r>
    </w:p>
    <w:p w14:paraId="399C253E" w14:textId="77777777" w:rsidR="00B44E17" w:rsidRPr="00971E6B" w:rsidRDefault="00B44E17" w:rsidP="00B44E17">
      <w:pPr>
        <w:spacing w:after="0" w:line="276" w:lineRule="auto"/>
        <w:jc w:val="both"/>
        <w:rPr>
          <w:rFonts w:ascii="Century Gothic" w:eastAsia="Calibri" w:hAnsi="Century Gothic" w:cs="Arial"/>
        </w:rPr>
      </w:pPr>
      <w:r w:rsidRPr="00971E6B">
        <w:rPr>
          <w:rFonts w:ascii="Century Gothic" w:eastAsia="Calibri" w:hAnsi="Century Gothic" w:cs="Arial"/>
        </w:rPr>
        <w:t xml:space="preserve">En ejercicio de la competencia otorgada por el numeral 8° del artículo 11 y el numeral 5° del artículo 3 del Decreto Ley 4170 de 2011, la Agencia Nacional de Contratación Pública ― Colombia Compra Eficiente responde su consulta del 29 de mayo del 2024.  </w:t>
      </w:r>
    </w:p>
    <w:p w14:paraId="364D8C24" w14:textId="77777777" w:rsidR="00B44E17" w:rsidRPr="00971E6B" w:rsidRDefault="00B44E17" w:rsidP="00B44E17">
      <w:pPr>
        <w:spacing w:after="0" w:line="276" w:lineRule="auto"/>
        <w:jc w:val="both"/>
        <w:rPr>
          <w:rFonts w:ascii="Century Gothic" w:eastAsia="Calibri" w:hAnsi="Century Gothic" w:cs="Arial"/>
        </w:rPr>
      </w:pPr>
    </w:p>
    <w:p w14:paraId="5806245B" w14:textId="77777777" w:rsidR="00B44E17" w:rsidRPr="00971E6B" w:rsidRDefault="00B44E17" w:rsidP="00B44E17">
      <w:pPr>
        <w:pStyle w:val="ListParagraph"/>
        <w:numPr>
          <w:ilvl w:val="0"/>
          <w:numId w:val="6"/>
        </w:numPr>
        <w:tabs>
          <w:tab w:val="left" w:pos="0"/>
          <w:tab w:val="left" w:pos="142"/>
          <w:tab w:val="left" w:pos="284"/>
        </w:tabs>
        <w:spacing w:after="0" w:line="276" w:lineRule="auto"/>
        <w:ind w:left="0" w:firstLine="0"/>
        <w:jc w:val="both"/>
        <w:rPr>
          <w:rFonts w:ascii="Century Gothic" w:eastAsia="Calibri" w:hAnsi="Century Gothic" w:cs="Arial"/>
          <w:b/>
          <w:lang w:val="es-CO"/>
        </w:rPr>
      </w:pPr>
      <w:r w:rsidRPr="00971E6B">
        <w:rPr>
          <w:rFonts w:ascii="Century Gothic" w:eastAsia="Calibri" w:hAnsi="Century Gothic" w:cs="Arial"/>
          <w:b/>
          <w:lang w:val="es-CO"/>
        </w:rPr>
        <w:t xml:space="preserve">Problema planteado </w:t>
      </w:r>
    </w:p>
    <w:p w14:paraId="7EADAABF" w14:textId="77777777" w:rsidR="00B44E17" w:rsidRPr="00971E6B" w:rsidRDefault="00B44E17" w:rsidP="00B44E17">
      <w:pPr>
        <w:pStyle w:val="ListParagraph"/>
        <w:tabs>
          <w:tab w:val="left" w:pos="0"/>
          <w:tab w:val="left" w:pos="142"/>
          <w:tab w:val="left" w:pos="284"/>
        </w:tabs>
        <w:spacing w:after="0" w:line="276" w:lineRule="auto"/>
        <w:ind w:left="0"/>
        <w:jc w:val="both"/>
        <w:rPr>
          <w:rFonts w:ascii="Century Gothic" w:eastAsia="Calibri" w:hAnsi="Century Gothic" w:cs="Arial"/>
          <w:b/>
          <w:lang w:val="es-CO"/>
        </w:rPr>
      </w:pPr>
    </w:p>
    <w:p w14:paraId="677C4C9B" w14:textId="77777777" w:rsidR="00B44E17" w:rsidRPr="00971E6B" w:rsidRDefault="00B44E17" w:rsidP="00B44E17">
      <w:pPr>
        <w:spacing w:after="0" w:line="276" w:lineRule="auto"/>
        <w:jc w:val="both"/>
        <w:rPr>
          <w:rFonts w:ascii="Century Gothic" w:hAnsi="Century Gothic" w:cs="Arial"/>
        </w:rPr>
      </w:pPr>
      <w:r w:rsidRPr="00971E6B">
        <w:rPr>
          <w:rFonts w:ascii="Century Gothic" w:hAnsi="Century Gothic" w:cs="Arial"/>
        </w:rPr>
        <w:t xml:space="preserve">En la petición de la referencia se realiza solicitud de consulta sobre la aplicación del literal N, numeral 4 del artículo 2 de la Ley 1150 de 2007, adicionados por la Ley 2160 del 2021. Al respecto usted pregunta:  </w:t>
      </w:r>
    </w:p>
    <w:p w14:paraId="2693D3D1" w14:textId="77777777" w:rsidR="00B44E17" w:rsidRPr="00463BD9" w:rsidRDefault="00B44E17" w:rsidP="00B44E17">
      <w:pPr>
        <w:spacing w:after="0" w:line="240" w:lineRule="auto"/>
        <w:rPr>
          <w:rFonts w:ascii="Century Gothic" w:hAnsi="Century Gothic"/>
        </w:rPr>
      </w:pPr>
    </w:p>
    <w:p w14:paraId="1031B5EC" w14:textId="77777777" w:rsidR="00B44E17" w:rsidRPr="00463BD9" w:rsidRDefault="00B44E17" w:rsidP="00B44E17">
      <w:pPr>
        <w:spacing w:after="0" w:line="240" w:lineRule="auto"/>
        <w:ind w:left="709" w:right="709"/>
        <w:jc w:val="both"/>
        <w:rPr>
          <w:rFonts w:ascii="Century Gothic" w:hAnsi="Century Gothic"/>
          <w:sz w:val="20"/>
          <w:szCs w:val="20"/>
        </w:rPr>
      </w:pPr>
      <w:r w:rsidRPr="00463BD9">
        <w:rPr>
          <w:rFonts w:ascii="Century Gothic" w:hAnsi="Century Gothic"/>
          <w:sz w:val="20"/>
          <w:szCs w:val="20"/>
        </w:rPr>
        <w:t>“[…] 1. ¿Es viable jurídicamente utilizar la causal de contratación directa señalada en el literal n del numeral 4 del artículo 2 de la Ley 1150 de 2007 para celebrar un contrato o convenio con el pueblo Rrom de forma directa?</w:t>
      </w:r>
    </w:p>
    <w:p w14:paraId="5E1CCCAA" w14:textId="77777777" w:rsidR="00B44E17" w:rsidRPr="00463BD9" w:rsidRDefault="00B44E17" w:rsidP="00B44E17">
      <w:pPr>
        <w:spacing w:after="0" w:line="240" w:lineRule="auto"/>
        <w:ind w:left="709" w:right="709"/>
        <w:jc w:val="both"/>
        <w:rPr>
          <w:rFonts w:ascii="Century Gothic" w:hAnsi="Century Gothic"/>
          <w:sz w:val="20"/>
          <w:szCs w:val="20"/>
        </w:rPr>
      </w:pPr>
    </w:p>
    <w:p w14:paraId="11E47CDD" w14:textId="77777777" w:rsidR="00B44E17" w:rsidRPr="00463BD9" w:rsidRDefault="00B44E17" w:rsidP="00B44E17">
      <w:pPr>
        <w:spacing w:after="0" w:line="240" w:lineRule="auto"/>
        <w:ind w:left="709" w:right="709"/>
        <w:jc w:val="both"/>
        <w:rPr>
          <w:rFonts w:ascii="Century Gothic" w:hAnsi="Century Gothic"/>
          <w:sz w:val="20"/>
          <w:szCs w:val="20"/>
        </w:rPr>
      </w:pPr>
      <w:r w:rsidRPr="00463BD9">
        <w:rPr>
          <w:rFonts w:ascii="Century Gothic" w:hAnsi="Century Gothic"/>
          <w:sz w:val="20"/>
          <w:szCs w:val="20"/>
        </w:rPr>
        <w:t>2 ¿Qué documentos se deben exigir para suscribir un contrato estatal directo con un pueblo Rrom?</w:t>
      </w:r>
    </w:p>
    <w:p w14:paraId="0596DB5E" w14:textId="77777777" w:rsidR="00B44E17" w:rsidRPr="00463BD9" w:rsidRDefault="00B44E17" w:rsidP="00B44E17">
      <w:pPr>
        <w:spacing w:after="0" w:line="240" w:lineRule="auto"/>
        <w:ind w:left="709" w:right="709"/>
        <w:jc w:val="both"/>
        <w:rPr>
          <w:rFonts w:ascii="Century Gothic" w:hAnsi="Century Gothic"/>
          <w:sz w:val="20"/>
          <w:szCs w:val="20"/>
        </w:rPr>
      </w:pPr>
    </w:p>
    <w:p w14:paraId="076A57A7" w14:textId="77777777" w:rsidR="00B44E17" w:rsidRPr="00463BD9" w:rsidRDefault="00B44E17" w:rsidP="00B44E17">
      <w:pPr>
        <w:spacing w:after="0" w:line="240" w:lineRule="auto"/>
        <w:ind w:left="709" w:right="709"/>
        <w:jc w:val="both"/>
        <w:rPr>
          <w:rFonts w:ascii="Century Gothic" w:hAnsi="Century Gothic"/>
          <w:sz w:val="20"/>
          <w:szCs w:val="20"/>
        </w:rPr>
      </w:pPr>
      <w:r w:rsidRPr="00463BD9">
        <w:rPr>
          <w:rFonts w:ascii="Century Gothic" w:hAnsi="Century Gothic"/>
          <w:sz w:val="20"/>
          <w:szCs w:val="20"/>
        </w:rPr>
        <w:t xml:space="preserve">3 </w:t>
      </w:r>
      <w:r w:rsidRPr="00463BD9">
        <w:rPr>
          <w:rFonts w:ascii="Century Gothic" w:hAnsi="Century Gothic" w:cs="Arial"/>
          <w:sz w:val="20"/>
          <w:szCs w:val="20"/>
          <w:bdr w:val="none" w:sz="0" w:space="0" w:color="auto" w:frame="1"/>
        </w:rPr>
        <w:t>¿Cómo se realiza la verificación de la existencia y representación legal de un pueblo Rrom?</w:t>
      </w:r>
    </w:p>
    <w:p w14:paraId="15B1657B" w14:textId="77777777" w:rsidR="00B44E17" w:rsidRPr="00463BD9" w:rsidRDefault="00B44E17" w:rsidP="00B44E17">
      <w:pPr>
        <w:spacing w:after="0" w:line="240" w:lineRule="auto"/>
        <w:ind w:left="709" w:right="709"/>
        <w:jc w:val="both"/>
        <w:rPr>
          <w:rFonts w:ascii="Century Gothic" w:hAnsi="Century Gothic"/>
          <w:sz w:val="20"/>
          <w:szCs w:val="20"/>
        </w:rPr>
      </w:pPr>
    </w:p>
    <w:p w14:paraId="518EE1EB" w14:textId="77777777" w:rsidR="00B44E17" w:rsidRPr="00463BD9" w:rsidRDefault="00B44E17" w:rsidP="00B44E17">
      <w:pPr>
        <w:spacing w:after="0" w:line="240" w:lineRule="auto"/>
        <w:ind w:left="709" w:right="709"/>
        <w:jc w:val="both"/>
        <w:rPr>
          <w:rFonts w:ascii="Century Gothic" w:hAnsi="Century Gothic" w:cs="Arial"/>
          <w:sz w:val="20"/>
          <w:szCs w:val="20"/>
          <w:bdr w:val="none" w:sz="0" w:space="0" w:color="auto" w:frame="1"/>
        </w:rPr>
      </w:pPr>
      <w:r w:rsidRPr="00463BD9">
        <w:rPr>
          <w:rFonts w:ascii="Century Gothic" w:hAnsi="Century Gothic"/>
          <w:sz w:val="20"/>
          <w:szCs w:val="20"/>
        </w:rPr>
        <w:t xml:space="preserve">4. </w:t>
      </w:r>
      <w:r w:rsidRPr="00463BD9">
        <w:rPr>
          <w:rFonts w:ascii="Century Gothic" w:hAnsi="Century Gothic" w:cs="Arial"/>
          <w:sz w:val="20"/>
          <w:szCs w:val="20"/>
          <w:bdr w:val="none" w:sz="0" w:space="0" w:color="auto" w:frame="1"/>
        </w:rPr>
        <w:t>¿Cómo acredita un pueblo Rom el cumplimiento de obligaciones al Sistema de Seguridad Social en el país?</w:t>
      </w:r>
    </w:p>
    <w:p w14:paraId="717DE416" w14:textId="77777777" w:rsidR="00B44E17" w:rsidRPr="00463BD9" w:rsidRDefault="00B44E17" w:rsidP="00B44E17">
      <w:pPr>
        <w:spacing w:after="0" w:line="240" w:lineRule="auto"/>
        <w:ind w:left="709" w:right="709"/>
        <w:jc w:val="both"/>
        <w:rPr>
          <w:rFonts w:ascii="Century Gothic" w:hAnsi="Century Gothic" w:cs="Arial"/>
          <w:sz w:val="20"/>
          <w:szCs w:val="20"/>
          <w:bdr w:val="none" w:sz="0" w:space="0" w:color="auto" w:frame="1"/>
        </w:rPr>
      </w:pPr>
    </w:p>
    <w:p w14:paraId="05A41988" w14:textId="77777777" w:rsidR="00B44E17" w:rsidRPr="00463BD9" w:rsidRDefault="00B44E17" w:rsidP="00B44E17">
      <w:pPr>
        <w:spacing w:after="0" w:line="240" w:lineRule="auto"/>
        <w:ind w:left="709" w:right="709"/>
        <w:jc w:val="both"/>
        <w:rPr>
          <w:rFonts w:ascii="Century Gothic" w:hAnsi="Century Gothic" w:cs="Arial"/>
          <w:sz w:val="20"/>
          <w:szCs w:val="20"/>
          <w:bdr w:val="none" w:sz="0" w:space="0" w:color="auto" w:frame="1"/>
        </w:rPr>
      </w:pPr>
      <w:r w:rsidRPr="00463BD9">
        <w:rPr>
          <w:rFonts w:ascii="Century Gothic" w:hAnsi="Century Gothic" w:cs="Arial"/>
          <w:sz w:val="20"/>
          <w:szCs w:val="20"/>
          <w:bdr w:val="none" w:sz="0" w:space="0" w:color="auto" w:frame="1"/>
        </w:rPr>
        <w:t xml:space="preserve">5. ¿Qué pronunciamientos ha realizado Colombia Compra Eficiente sobre la contratación con pueblos Rrom? </w:t>
      </w:r>
      <w:r w:rsidRPr="00463BD9">
        <w:rPr>
          <w:rFonts w:ascii="Century Gothic" w:hAnsi="Century Gothic"/>
          <w:sz w:val="20"/>
          <w:szCs w:val="20"/>
        </w:rPr>
        <w:t>[…]”.</w:t>
      </w:r>
    </w:p>
    <w:p w14:paraId="03741B5A" w14:textId="77777777" w:rsidR="00B44E17" w:rsidRPr="00971E6B" w:rsidRDefault="00B44E17" w:rsidP="00B44E17">
      <w:pPr>
        <w:spacing w:after="0"/>
        <w:rPr>
          <w:rFonts w:ascii="Century Gothic" w:hAnsi="Century Gothic"/>
        </w:rPr>
      </w:pPr>
    </w:p>
    <w:p w14:paraId="1849EDDE" w14:textId="77777777" w:rsidR="00B44E17" w:rsidRPr="00971E6B" w:rsidRDefault="00B44E17" w:rsidP="00B44E17">
      <w:pPr>
        <w:pStyle w:val="ListParagraph"/>
        <w:numPr>
          <w:ilvl w:val="0"/>
          <w:numId w:val="6"/>
        </w:numPr>
        <w:tabs>
          <w:tab w:val="left" w:pos="0"/>
          <w:tab w:val="left" w:pos="284"/>
        </w:tabs>
        <w:spacing w:after="0" w:line="276" w:lineRule="auto"/>
        <w:ind w:left="360"/>
        <w:jc w:val="both"/>
        <w:rPr>
          <w:rFonts w:ascii="Century Gothic" w:eastAsia="Calibri" w:hAnsi="Century Gothic" w:cs="Arial"/>
          <w:b/>
          <w:lang w:val="es-CO"/>
        </w:rPr>
      </w:pPr>
      <w:r w:rsidRPr="00971E6B">
        <w:rPr>
          <w:rFonts w:ascii="Century Gothic" w:eastAsia="Calibri" w:hAnsi="Century Gothic" w:cs="Arial"/>
          <w:b/>
          <w:lang w:val="es-CO"/>
        </w:rPr>
        <w:t>Consideraciones</w:t>
      </w:r>
    </w:p>
    <w:p w14:paraId="67370A87" w14:textId="77777777" w:rsidR="00B44E17" w:rsidRPr="00971E6B" w:rsidRDefault="00B44E17" w:rsidP="00B44E17">
      <w:pPr>
        <w:pStyle w:val="ListParagraph"/>
        <w:tabs>
          <w:tab w:val="left" w:pos="0"/>
          <w:tab w:val="left" w:pos="284"/>
        </w:tabs>
        <w:spacing w:after="0" w:line="240" w:lineRule="auto"/>
        <w:ind w:left="360"/>
        <w:jc w:val="both"/>
        <w:rPr>
          <w:rFonts w:ascii="Century Gothic" w:eastAsia="Calibri" w:hAnsi="Century Gothic" w:cs="Arial"/>
          <w:b/>
          <w:lang w:val="es-CO"/>
        </w:rPr>
      </w:pPr>
    </w:p>
    <w:p w14:paraId="459BD5AD" w14:textId="77777777" w:rsidR="00B44E17" w:rsidRPr="00971E6B" w:rsidRDefault="00B44E17" w:rsidP="00B44E17">
      <w:pPr>
        <w:spacing w:after="120" w:line="276" w:lineRule="auto"/>
        <w:jc w:val="both"/>
        <w:rPr>
          <w:rFonts w:ascii="Century Gothic" w:hAnsi="Century Gothic" w:cs="Arial"/>
        </w:rPr>
      </w:pPr>
      <w:r w:rsidRPr="00463BD9">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463BD9">
        <w:rPr>
          <w:rFonts w:ascii="Century Gothic" w:hAnsi="Century Gothic" w:cs="Arial"/>
        </w:rPr>
        <w:t xml:space="preserve">. </w:t>
      </w:r>
      <w:r w:rsidRPr="00971E6B">
        <w:rPr>
          <w:rFonts w:ascii="Century Gothic" w:hAnsi="Century Gothic" w:cs="Arial"/>
        </w:rPr>
        <w:t xml:space="preserve">Es necesario tener en cuenta que </w:t>
      </w:r>
      <w:bookmarkStart w:id="2" w:name="_Hlk61026958"/>
      <w:r w:rsidRPr="00971E6B">
        <w:rPr>
          <w:rFonts w:ascii="Century Gothic" w:hAnsi="Century Gothic" w:cs="Aria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63BD9">
        <w:rPr>
          <w:rFonts w:ascii="Century Gothic" w:hAnsi="Century Gothic" w:cs="Arial"/>
        </w:rPr>
        <w:t xml:space="preserve"> de todos los partícipes de la contratación estatal.</w:t>
      </w:r>
      <w:r w:rsidRPr="00971E6B">
        <w:rPr>
          <w:rFonts w:ascii="Century Gothic" w:hAnsi="Century Gothic" w:cs="Arial"/>
        </w:rPr>
        <w:t xml:space="preserve"> </w:t>
      </w:r>
      <w:bookmarkEnd w:id="0"/>
      <w:bookmarkEnd w:id="1"/>
      <w:bookmarkEnd w:id="2"/>
    </w:p>
    <w:p w14:paraId="066138A0" w14:textId="77777777" w:rsidR="00B44E17" w:rsidRPr="00971E6B" w:rsidRDefault="00B44E17" w:rsidP="00B44E17">
      <w:pPr>
        <w:spacing w:after="120" w:line="276" w:lineRule="auto"/>
        <w:ind w:firstLine="708"/>
        <w:jc w:val="both"/>
        <w:rPr>
          <w:rFonts w:ascii="Century Gothic" w:hAnsi="Century Gothic" w:cs="Arial"/>
        </w:rPr>
      </w:pPr>
      <w:r w:rsidRPr="00971E6B">
        <w:rPr>
          <w:rFonts w:ascii="Century Gothic" w:eastAsia="Calibri" w:hAnsi="Century Gothic" w:cs="Ari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71E6B">
        <w:rPr>
          <w:rFonts w:ascii="Century Gothic" w:eastAsia="Calibri" w:hAnsi="Century Gothic" w:cs="Arial"/>
          <w:vertAlign w:val="superscript"/>
        </w:rPr>
        <w:footnoteReference w:id="2"/>
      </w:r>
      <w:r w:rsidRPr="00971E6B">
        <w:rPr>
          <w:rFonts w:ascii="Century Gothic" w:eastAsia="Calibri" w:hAnsi="Century Gothic" w:cs="Arial"/>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5AC5FF61" w14:textId="1B0405B2" w:rsidR="00B44E17" w:rsidRPr="00971E6B" w:rsidRDefault="00B44E17" w:rsidP="00B44E17">
      <w:pPr>
        <w:spacing w:line="276" w:lineRule="auto"/>
        <w:ind w:firstLine="708"/>
        <w:jc w:val="both"/>
        <w:rPr>
          <w:rFonts w:ascii="Century Gothic" w:eastAsia="Calibri" w:hAnsi="Century Gothic" w:cs="Arial"/>
          <w:lang w:eastAsia="es-MX"/>
        </w:rPr>
      </w:pPr>
      <w:r w:rsidRPr="00971E6B">
        <w:rPr>
          <w:rFonts w:ascii="Century Gothic" w:eastAsia="Calibri" w:hAnsi="Century Gothic" w:cs="Arial"/>
        </w:rPr>
        <w:t xml:space="preserve">Sin perjuicio de lo anterior, la Subdirección de Gestión Contractual –dentro de los límites de sus atribuciones, esto es, </w:t>
      </w:r>
      <w:bookmarkStart w:id="3" w:name="_Hlk61025408"/>
      <w:r w:rsidRPr="00971E6B">
        <w:rPr>
          <w:rFonts w:ascii="Century Gothic" w:eastAsia="Calibri" w:hAnsi="Century Gothic" w:cs="Arial"/>
        </w:rPr>
        <w:t>haciendo abstracción del caso particular expuesto por el peticionari</w:t>
      </w:r>
      <w:bookmarkEnd w:id="3"/>
      <w:r w:rsidRPr="00971E6B">
        <w:rPr>
          <w:rFonts w:ascii="Century Gothic" w:eastAsia="Calibri" w:hAnsi="Century Gothic" w:cs="Arial"/>
        </w:rPr>
        <w:t>o– resolverá la consulta conforme a las normas generales en materia de contratación estatal</w:t>
      </w:r>
      <w:r w:rsidRPr="00971E6B">
        <w:rPr>
          <w:rFonts w:ascii="Century Gothic" w:eastAsia="Calibri" w:hAnsi="Century Gothic" w:cs="Arial"/>
          <w:lang w:eastAsia="es-MX"/>
        </w:rPr>
        <w:t xml:space="preserve">. Con este objetivo se analizarán los siguientes temas: i) </w:t>
      </w:r>
      <w:r w:rsidR="00611233">
        <w:rPr>
          <w:rFonts w:ascii="Century Gothic" w:eastAsia="Calibri" w:hAnsi="Century Gothic" w:cs="Arial"/>
          <w:lang w:eastAsia="es-MX"/>
        </w:rPr>
        <w:t>R</w:t>
      </w:r>
      <w:r>
        <w:rPr>
          <w:rFonts w:ascii="Century Gothic" w:eastAsia="Calibri" w:hAnsi="Century Gothic" w:cs="Arial"/>
          <w:lang w:eastAsia="es-MX"/>
        </w:rPr>
        <w:t>econocimiento</w:t>
      </w:r>
      <w:r w:rsidRPr="00971E6B">
        <w:rPr>
          <w:rFonts w:ascii="Century Gothic" w:eastAsia="Calibri" w:hAnsi="Century Gothic" w:cs="Arial"/>
          <w:lang w:eastAsia="es-MX"/>
        </w:rPr>
        <w:t xml:space="preserve"> del Pueblo Rrom como grupo étnico; </w:t>
      </w:r>
      <w:r w:rsidRPr="00971E6B">
        <w:rPr>
          <w:rFonts w:ascii="Century Gothic" w:hAnsi="Century Gothic" w:cs="Arial"/>
        </w:rPr>
        <w:t xml:space="preserve">ii) </w:t>
      </w:r>
      <w:r w:rsidRPr="00971E6B">
        <w:rPr>
          <w:rFonts w:ascii="Century Gothic" w:eastAsia="Calibri" w:hAnsi="Century Gothic" w:cs="Arial"/>
          <w:lang w:eastAsia="es-MX"/>
        </w:rPr>
        <w:t xml:space="preserve">ámbito de aplicación de la causal de contratación directa </w:t>
      </w:r>
      <w:r w:rsidRPr="00971E6B">
        <w:rPr>
          <w:rFonts w:ascii="Century Gothic" w:hAnsi="Century Gothic" w:cs="Arial"/>
        </w:rPr>
        <w:t xml:space="preserve">del literal N del numeral 4 del artículo 2 de la Ley 1150 de 2007; </w:t>
      </w:r>
      <w:r>
        <w:rPr>
          <w:rFonts w:ascii="Century Gothic" w:hAnsi="Century Gothic" w:cs="Arial"/>
        </w:rPr>
        <w:t>iii)</w:t>
      </w:r>
      <w:r w:rsidRPr="00971E6B">
        <w:rPr>
          <w:rFonts w:ascii="Century Gothic" w:hAnsi="Century Gothic" w:cs="Arial"/>
        </w:rPr>
        <w:t xml:space="preserve"> </w:t>
      </w:r>
      <w:r w:rsidRPr="00463BD9">
        <w:rPr>
          <w:rFonts w:ascii="Century Gothic" w:eastAsia="Calibri" w:hAnsi="Century Gothic" w:cs="Arial"/>
          <w:lang w:eastAsia="es-ES_tradnl"/>
        </w:rPr>
        <w:t>La Seguridad Social Integral en las diferentes etapas de los procesos de contratación pública.</w:t>
      </w:r>
    </w:p>
    <w:p w14:paraId="78E32159" w14:textId="77777777" w:rsidR="00B44E17" w:rsidRPr="00971E6B" w:rsidRDefault="00B44E17" w:rsidP="00B44E17">
      <w:pPr>
        <w:spacing w:line="276" w:lineRule="auto"/>
        <w:ind w:firstLine="708"/>
        <w:jc w:val="both"/>
        <w:rPr>
          <w:rFonts w:ascii="Century Gothic" w:eastAsia="Calibri" w:hAnsi="Century Gothic" w:cs="Arial"/>
          <w:lang w:eastAsia="es-ES_tradnl"/>
        </w:rPr>
      </w:pPr>
      <w:r w:rsidRPr="00463BD9">
        <w:rPr>
          <w:rFonts w:ascii="Century Gothic" w:eastAsia="Calibri" w:hAnsi="Century Gothic" w:cs="Arial"/>
        </w:rPr>
        <w:t xml:space="preserve">La Agencia Nacional de Contratación Pública – Colombia Compra Eficiente –en adelante la ANCP-CCE– se ha pronunciado </w:t>
      </w:r>
      <w:r w:rsidRPr="00971E6B">
        <w:rPr>
          <w:rFonts w:ascii="Century Gothic" w:eastAsia="Calibri" w:hAnsi="Century Gothic" w:cs="Arial"/>
        </w:rPr>
        <w:t xml:space="preserve">sobre la modalidad de contratación directa </w:t>
      </w:r>
      <w:r w:rsidRPr="00971E6B">
        <w:rPr>
          <w:rFonts w:ascii="Century Gothic" w:hAnsi="Century Gothic" w:cs="Arial"/>
        </w:rPr>
        <w:t xml:space="preserve">del literal N del numeral 4 del artículo 2 de la Ley 1150 de 2007 en los conceptos </w:t>
      </w:r>
      <w:r w:rsidRPr="00971E6B">
        <w:rPr>
          <w:rFonts w:ascii="Century Gothic" w:eastAsia="Calibri" w:hAnsi="Century Gothic" w:cs="Arial"/>
        </w:rPr>
        <w:t>Nro. C- 052 del 21 de abril del 2023 y C-025 del 21 de febrero del 2024</w:t>
      </w:r>
      <w:r w:rsidRPr="00971E6B">
        <w:rPr>
          <w:rStyle w:val="FootnoteReference"/>
          <w:rFonts w:ascii="Century Gothic" w:eastAsia="Calibri" w:hAnsi="Century Gothic" w:cs="Arial"/>
          <w:bCs/>
        </w:rPr>
        <w:footnoteReference w:id="3"/>
      </w:r>
      <w:r w:rsidRPr="00971E6B">
        <w:rPr>
          <w:rFonts w:ascii="Century Gothic" w:eastAsia="Calibri" w:hAnsi="Century Gothic" w:cs="Arial"/>
          <w:bCs/>
        </w:rPr>
        <w:t>.</w:t>
      </w:r>
      <w:r w:rsidRPr="00971E6B">
        <w:rPr>
          <w:rFonts w:ascii="Century Gothic" w:eastAsia="Calibri" w:hAnsi="Century Gothic" w:cs="Arial"/>
          <w:lang w:eastAsia="es-ES_tradnl"/>
        </w:rPr>
        <w:t xml:space="preserve"> </w:t>
      </w:r>
      <w:r>
        <w:rPr>
          <w:rFonts w:ascii="Century Gothic" w:eastAsia="Calibri" w:hAnsi="Century Gothic" w:cs="Arial"/>
        </w:rPr>
        <w:t xml:space="preserve"> </w:t>
      </w:r>
      <w:r w:rsidRPr="00971E6B">
        <w:rPr>
          <w:rFonts w:ascii="Century Gothic" w:eastAsia="Calibri" w:hAnsi="Century Gothic" w:cs="Arial"/>
        </w:rPr>
        <w:t xml:space="preserve">Igualmente, </w:t>
      </w:r>
      <w:r w:rsidRPr="00971E6B">
        <w:rPr>
          <w:rFonts w:ascii="Century Gothic" w:eastAsia="Arial" w:hAnsi="Century Gothic" w:cs="Arial"/>
          <w:spacing w:val="-11"/>
        </w:rPr>
        <w:t xml:space="preserve">esta Agencia </w:t>
      </w:r>
      <w:r w:rsidRPr="00971E6B">
        <w:rPr>
          <w:rFonts w:ascii="Century Gothic" w:eastAsia="Arial" w:hAnsi="Century Gothic" w:cs="Arial"/>
        </w:rPr>
        <w:t>ha analizado el régimen de seguridad</w:t>
      </w:r>
      <w:r w:rsidRPr="00971E6B">
        <w:rPr>
          <w:rFonts w:ascii="Century Gothic" w:eastAsia="Arial" w:hAnsi="Century Gothic" w:cs="Arial"/>
          <w:spacing w:val="-12"/>
        </w:rPr>
        <w:t xml:space="preserve"> </w:t>
      </w:r>
      <w:r w:rsidRPr="00971E6B">
        <w:rPr>
          <w:rFonts w:ascii="Century Gothic" w:eastAsia="Arial" w:hAnsi="Century Gothic" w:cs="Arial"/>
        </w:rPr>
        <w:t>social, en los conceptos con</w:t>
      </w:r>
      <w:r w:rsidRPr="00971E6B">
        <w:rPr>
          <w:rFonts w:ascii="Century Gothic" w:eastAsia="Arial" w:hAnsi="Century Gothic" w:cs="Arial"/>
          <w:spacing w:val="-11"/>
        </w:rPr>
        <w:t xml:space="preserve"> </w:t>
      </w:r>
      <w:r w:rsidRPr="00971E6B">
        <w:rPr>
          <w:rFonts w:ascii="Century Gothic" w:eastAsia="Arial" w:hAnsi="Century Gothic" w:cs="Arial"/>
        </w:rPr>
        <w:t>radicados Nro.</w:t>
      </w:r>
      <w:r w:rsidRPr="00971E6B">
        <w:rPr>
          <w:rFonts w:ascii="Century Gothic" w:eastAsia="Arial" w:hAnsi="Century Gothic" w:cs="Arial"/>
          <w:spacing w:val="-11"/>
        </w:rPr>
        <w:t xml:space="preserve"> </w:t>
      </w:r>
      <w:r w:rsidRPr="00971E6B">
        <w:rPr>
          <w:rFonts w:ascii="Century Gothic" w:eastAsia="Arial" w:hAnsi="Century Gothic" w:cs="Arial"/>
        </w:rPr>
        <w:t>42019130000005594</w:t>
      </w:r>
      <w:r w:rsidRPr="00971E6B">
        <w:rPr>
          <w:rFonts w:ascii="Century Gothic" w:eastAsia="Arial" w:hAnsi="Century Gothic" w:cs="Arial"/>
          <w:spacing w:val="-10"/>
        </w:rPr>
        <w:t xml:space="preserve"> </w:t>
      </w:r>
      <w:r w:rsidRPr="00971E6B">
        <w:rPr>
          <w:rFonts w:ascii="Century Gothic" w:eastAsia="Arial" w:hAnsi="Century Gothic" w:cs="Arial"/>
        </w:rPr>
        <w:t>de</w:t>
      </w:r>
      <w:r w:rsidRPr="00971E6B">
        <w:rPr>
          <w:rFonts w:ascii="Century Gothic" w:eastAsia="Arial" w:hAnsi="Century Gothic" w:cs="Arial"/>
          <w:spacing w:val="-11"/>
        </w:rPr>
        <w:t xml:space="preserve"> </w:t>
      </w:r>
      <w:r w:rsidRPr="00971E6B">
        <w:rPr>
          <w:rFonts w:ascii="Century Gothic" w:eastAsia="Arial" w:hAnsi="Century Gothic" w:cs="Arial"/>
        </w:rPr>
        <w:t>30</w:t>
      </w:r>
      <w:r w:rsidRPr="00971E6B">
        <w:rPr>
          <w:rFonts w:ascii="Century Gothic" w:eastAsia="Arial" w:hAnsi="Century Gothic" w:cs="Arial"/>
          <w:spacing w:val="-11"/>
        </w:rPr>
        <w:t xml:space="preserve"> </w:t>
      </w:r>
      <w:r w:rsidRPr="00971E6B">
        <w:rPr>
          <w:rFonts w:ascii="Century Gothic" w:eastAsia="Arial" w:hAnsi="Century Gothic" w:cs="Arial"/>
        </w:rPr>
        <w:t>de</w:t>
      </w:r>
      <w:r w:rsidRPr="00971E6B">
        <w:rPr>
          <w:rFonts w:ascii="Century Gothic" w:eastAsia="Arial" w:hAnsi="Century Gothic" w:cs="Arial"/>
          <w:spacing w:val="-11"/>
        </w:rPr>
        <w:t xml:space="preserve"> </w:t>
      </w:r>
      <w:r w:rsidRPr="00971E6B">
        <w:rPr>
          <w:rFonts w:ascii="Century Gothic" w:eastAsia="Arial" w:hAnsi="Century Gothic" w:cs="Arial"/>
        </w:rPr>
        <w:t>septiembre de 2019, 4201913000006384 de 21 de octubre de 2019, 4201912000007492 de 17</w:t>
      </w:r>
      <w:r w:rsidRPr="00971E6B">
        <w:rPr>
          <w:rFonts w:ascii="Century Gothic" w:eastAsia="Arial" w:hAnsi="Century Gothic" w:cs="Arial"/>
          <w:spacing w:val="10"/>
        </w:rPr>
        <w:t xml:space="preserve"> </w:t>
      </w:r>
      <w:r w:rsidRPr="00971E6B">
        <w:rPr>
          <w:rFonts w:ascii="Century Gothic" w:eastAsia="Arial" w:hAnsi="Century Gothic" w:cs="Arial"/>
        </w:rPr>
        <w:t>de diciembre de 2019, C-040 de 5 de febrero de 2020, C-042 de 5 de febrero de 2020, C-134 del 7 de abril 2021, C-038 del 1 de marzo de 2022 y C-712 de 13 de octubre de 2022</w:t>
      </w:r>
      <w:r w:rsidRPr="00971E6B">
        <w:rPr>
          <w:rStyle w:val="FootnoteReference"/>
          <w:rFonts w:ascii="Century Gothic" w:eastAsia="Calibri" w:hAnsi="Century Gothic" w:cs="Arial"/>
          <w:bCs/>
        </w:rPr>
        <w:footnoteReference w:id="4"/>
      </w:r>
      <w:r w:rsidRPr="00971E6B">
        <w:rPr>
          <w:rFonts w:ascii="Century Gothic" w:eastAsia="Calibri" w:hAnsi="Century Gothic" w:cs="Arial"/>
          <w:bCs/>
        </w:rPr>
        <w:t>.</w:t>
      </w:r>
      <w:r w:rsidRPr="00971E6B">
        <w:rPr>
          <w:rFonts w:ascii="Century Gothic" w:eastAsia="Calibri" w:hAnsi="Century Gothic" w:cs="Arial"/>
          <w:lang w:eastAsia="es-ES_tradnl"/>
        </w:rPr>
        <w:t xml:space="preserve"> Algunas de las consideraciones de estos conceptos se reiteran y se complementan en lo pertinente para dar respuesta a su consulta. </w:t>
      </w:r>
    </w:p>
    <w:p w14:paraId="3C834FDD" w14:textId="3AC1C38B" w:rsidR="00B44E17" w:rsidRPr="00971E6B" w:rsidRDefault="00B44E17" w:rsidP="00B44E17">
      <w:pPr>
        <w:spacing w:after="0"/>
        <w:jc w:val="both"/>
        <w:rPr>
          <w:rFonts w:ascii="Century Gothic" w:eastAsia="Calibri" w:hAnsi="Century Gothic" w:cs="Arial"/>
          <w:b/>
        </w:rPr>
      </w:pPr>
      <w:r w:rsidRPr="00971E6B">
        <w:rPr>
          <w:rFonts w:ascii="Century Gothic" w:eastAsia="Calibri" w:hAnsi="Century Gothic" w:cs="Arial"/>
          <w:b/>
        </w:rPr>
        <w:t xml:space="preserve">2.1. </w:t>
      </w:r>
      <w:r w:rsidR="004A6E29">
        <w:rPr>
          <w:rFonts w:ascii="Century Gothic" w:eastAsia="Calibri" w:hAnsi="Century Gothic" w:cs="Arial"/>
          <w:b/>
        </w:rPr>
        <w:t>Reconocimiento</w:t>
      </w:r>
      <w:r w:rsidRPr="00971E6B">
        <w:rPr>
          <w:rFonts w:ascii="Century Gothic" w:eastAsia="Calibri" w:hAnsi="Century Gothic" w:cs="Arial"/>
          <w:b/>
        </w:rPr>
        <w:t xml:space="preserve"> del Pueblo Rrom como grupo étnico</w:t>
      </w:r>
    </w:p>
    <w:p w14:paraId="149BA6C8" w14:textId="77777777" w:rsidR="00B44E17" w:rsidRPr="00971E6B" w:rsidRDefault="00B44E17" w:rsidP="00B44E17">
      <w:pPr>
        <w:spacing w:after="0"/>
        <w:jc w:val="both"/>
        <w:rPr>
          <w:rFonts w:ascii="Century Gothic" w:eastAsia="Calibri" w:hAnsi="Century Gothic" w:cs="Arial"/>
          <w:b/>
        </w:rPr>
      </w:pPr>
    </w:p>
    <w:p w14:paraId="325A03CD" w14:textId="77777777" w:rsidR="00B44E17" w:rsidRPr="00971E6B" w:rsidRDefault="00B44E17" w:rsidP="00B44E17">
      <w:pPr>
        <w:spacing w:after="0" w:line="276" w:lineRule="auto"/>
        <w:jc w:val="both"/>
        <w:rPr>
          <w:rFonts w:ascii="Century Gothic" w:eastAsia="Calibri" w:hAnsi="Century Gothic" w:cs="Arial"/>
          <w:b/>
        </w:rPr>
      </w:pPr>
      <w:r w:rsidRPr="00971E6B">
        <w:rPr>
          <w:rFonts w:ascii="Century Gothic" w:eastAsia="Calibri" w:hAnsi="Century Gothic" w:cs="Arial"/>
        </w:rPr>
        <w:t>Con la suscripción del Convenio No. 169 de 1989, “Sobre pueblos indígenas y tribales en países independientes” de la Organización Internacional del Trabajo – OIT, incorporado al bloque de constitucionalidad</w:t>
      </w:r>
      <w:r w:rsidRPr="00971E6B">
        <w:rPr>
          <w:rFonts w:ascii="Century Gothic" w:eastAsia="Calibri" w:hAnsi="Century Gothic" w:cs="Arial"/>
          <w:vertAlign w:val="superscript"/>
        </w:rPr>
        <w:footnoteReference w:id="5"/>
      </w:r>
      <w:r w:rsidRPr="00971E6B">
        <w:rPr>
          <w:rFonts w:ascii="Century Gothic" w:eastAsia="Calibri" w:hAnsi="Century Gothic"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y tribales con acciones concretas dirigidas al reconocimiento de sus derechos y el respeto de su integridad, entre otros compromisos adquiridos. Al respecto, el artículo 2 de la Ley 21 de 1991 prescribe que: </w:t>
      </w:r>
    </w:p>
    <w:p w14:paraId="42508B57" w14:textId="77777777" w:rsidR="00B44E17" w:rsidRPr="00971E6B" w:rsidRDefault="00B44E17" w:rsidP="00B44E17">
      <w:pPr>
        <w:spacing w:after="0"/>
        <w:jc w:val="both"/>
        <w:rPr>
          <w:rFonts w:ascii="Century Gothic" w:eastAsia="Calibri" w:hAnsi="Century Gothic" w:cs="Arial"/>
        </w:rPr>
      </w:pPr>
    </w:p>
    <w:p w14:paraId="26FE6777" w14:textId="77777777" w:rsidR="00B44E17" w:rsidRPr="00971E6B" w:rsidRDefault="00B44E17" w:rsidP="00B44E17">
      <w:pPr>
        <w:spacing w:line="240" w:lineRule="auto"/>
        <w:ind w:left="709" w:right="709"/>
        <w:jc w:val="both"/>
        <w:rPr>
          <w:rFonts w:ascii="Century Gothic" w:eastAsia="Calibri" w:hAnsi="Century Gothic" w:cs="Arial"/>
          <w:sz w:val="20"/>
          <w:szCs w:val="20"/>
        </w:rPr>
      </w:pPr>
      <w:r w:rsidRPr="00971E6B">
        <w:rPr>
          <w:rFonts w:ascii="Century Gothic" w:eastAsia="Calibri" w:hAnsi="Century Gothic" w:cs="Arial"/>
          <w:sz w:val="20"/>
          <w:szCs w:val="20"/>
        </w:rPr>
        <w:t>“1. Los gobiernos deberán asumir la responsabilidad de desarrollar, con la participación de los pueblos interesados, una acción coordinada y sistemática con miras a proteger los derechos de esos pueblos y a garantizar el respeto de su integridad.</w:t>
      </w:r>
    </w:p>
    <w:p w14:paraId="08D4186D" w14:textId="77777777" w:rsidR="00B44E17" w:rsidRPr="00971E6B" w:rsidRDefault="00B44E17" w:rsidP="00B44E17">
      <w:pPr>
        <w:spacing w:line="240" w:lineRule="auto"/>
        <w:ind w:left="709" w:right="709"/>
        <w:jc w:val="both"/>
        <w:rPr>
          <w:rFonts w:ascii="Century Gothic" w:eastAsia="Calibri" w:hAnsi="Century Gothic" w:cs="Arial"/>
          <w:sz w:val="20"/>
          <w:szCs w:val="20"/>
        </w:rPr>
      </w:pPr>
      <w:r w:rsidRPr="00971E6B">
        <w:rPr>
          <w:rFonts w:ascii="Century Gothic" w:eastAsia="Calibri" w:hAnsi="Century Gothic" w:cs="Arial"/>
          <w:sz w:val="20"/>
          <w:szCs w:val="20"/>
        </w:rPr>
        <w:t>2. Esta acción deberá incluir medidas:</w:t>
      </w:r>
    </w:p>
    <w:p w14:paraId="4BB9B90E" w14:textId="77777777" w:rsidR="00B44E17" w:rsidRPr="00971E6B" w:rsidRDefault="00B44E17" w:rsidP="00B44E17">
      <w:pPr>
        <w:spacing w:line="240" w:lineRule="auto"/>
        <w:ind w:left="709" w:right="709"/>
        <w:jc w:val="both"/>
        <w:rPr>
          <w:rFonts w:ascii="Century Gothic" w:eastAsia="Calibri" w:hAnsi="Century Gothic" w:cs="Arial"/>
          <w:sz w:val="20"/>
          <w:szCs w:val="20"/>
        </w:rPr>
      </w:pPr>
      <w:r w:rsidRPr="00971E6B">
        <w:rPr>
          <w:rFonts w:ascii="Century Gothic" w:eastAsia="Calibri" w:hAnsi="Century Gothic" w:cs="Arial"/>
          <w:sz w:val="20"/>
          <w:szCs w:val="20"/>
        </w:rPr>
        <w:t>a). Que aseguren a los miembros de dichos pueblos gozar, en pie de igualdad, de los derechos y oportunidades que la legislación nacional otorga a los demás miembros de la población;</w:t>
      </w:r>
    </w:p>
    <w:p w14:paraId="2EFD356A" w14:textId="77777777" w:rsidR="00B44E17" w:rsidRPr="00971E6B" w:rsidRDefault="00B44E17" w:rsidP="00B44E17">
      <w:pPr>
        <w:spacing w:line="240" w:lineRule="auto"/>
        <w:ind w:left="709" w:right="709"/>
        <w:jc w:val="both"/>
        <w:rPr>
          <w:rFonts w:ascii="Century Gothic" w:eastAsia="Calibri" w:hAnsi="Century Gothic" w:cs="Arial"/>
          <w:sz w:val="20"/>
          <w:szCs w:val="20"/>
        </w:rPr>
      </w:pPr>
      <w:r w:rsidRPr="00971E6B">
        <w:rPr>
          <w:rFonts w:ascii="Century Gothic" w:eastAsia="Calibri" w:hAnsi="Century Gothic" w:cs="Arial"/>
          <w:sz w:val="20"/>
          <w:szCs w:val="20"/>
        </w:rPr>
        <w:t>b). Que promuevan la plena efectividad de los derechos sociales, económicos y culturales de esos pueblos, respetando su identidad social y cultural, sus costumbres y tradiciones, y sus instituciones;</w:t>
      </w:r>
    </w:p>
    <w:p w14:paraId="42F6E97E" w14:textId="77777777" w:rsidR="00B44E17" w:rsidRPr="00971E6B" w:rsidRDefault="00B44E17" w:rsidP="00B44E17">
      <w:pPr>
        <w:spacing w:after="0" w:line="240" w:lineRule="auto"/>
        <w:ind w:left="708" w:right="709"/>
        <w:jc w:val="both"/>
        <w:rPr>
          <w:rFonts w:ascii="Century Gothic" w:eastAsia="Calibri" w:hAnsi="Century Gothic" w:cs="Arial"/>
          <w:sz w:val="20"/>
          <w:szCs w:val="20"/>
        </w:rPr>
      </w:pPr>
      <w:r w:rsidRPr="00971E6B">
        <w:rPr>
          <w:rFonts w:ascii="Century Gothic" w:eastAsia="Calibri" w:hAnsi="Century Gothic" w:cs="Arial"/>
          <w:sz w:val="20"/>
          <w:szCs w:val="20"/>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15685347" w14:textId="77777777" w:rsidR="00B44E17" w:rsidRPr="00971E6B" w:rsidRDefault="00B44E17" w:rsidP="00B44E17">
      <w:pPr>
        <w:spacing w:after="0"/>
        <w:jc w:val="both"/>
        <w:rPr>
          <w:rFonts w:ascii="Century Gothic" w:eastAsia="Calibri" w:hAnsi="Century Gothic" w:cs="Arial"/>
          <w:sz w:val="21"/>
          <w:szCs w:val="21"/>
        </w:rPr>
      </w:pPr>
      <w:r w:rsidRPr="00971E6B">
        <w:rPr>
          <w:rFonts w:ascii="Century Gothic" w:eastAsia="Calibri" w:hAnsi="Century Gothic" w:cs="Arial"/>
          <w:sz w:val="21"/>
          <w:szCs w:val="21"/>
        </w:rPr>
        <w:tab/>
      </w:r>
    </w:p>
    <w:p w14:paraId="5E4F8FBA" w14:textId="77777777" w:rsidR="00B44E17" w:rsidRPr="00971E6B" w:rsidRDefault="00B44E17" w:rsidP="00B44E17">
      <w:pPr>
        <w:spacing w:line="276" w:lineRule="auto"/>
        <w:ind w:firstLine="680"/>
        <w:jc w:val="both"/>
        <w:rPr>
          <w:rFonts w:ascii="Century Gothic" w:eastAsia="Calibri" w:hAnsi="Century Gothic" w:cs="Arial"/>
        </w:rPr>
      </w:pPr>
      <w:r w:rsidRPr="00971E6B">
        <w:rPr>
          <w:rFonts w:ascii="Century Gothic" w:eastAsia="Calibri" w:hAnsi="Century Gothic" w:cs="Arial"/>
        </w:rPr>
        <w:t>Ahora bien, en lo que respecta a la expresión “</w:t>
      </w:r>
      <w:r w:rsidRPr="00971E6B">
        <w:rPr>
          <w:rFonts w:ascii="Century Gothic" w:eastAsia="Calibri" w:hAnsi="Century Gothic" w:cs="Arial"/>
          <w:i/>
        </w:rPr>
        <w:t>pueblos indígenas y tribales</w:t>
      </w:r>
      <w:r w:rsidRPr="00971E6B">
        <w:rPr>
          <w:rFonts w:ascii="Century Gothic" w:eastAsia="Calibri" w:hAnsi="Century Gothic" w:cs="Arial"/>
        </w:rPr>
        <w:t>”,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del Pueblo Rrom, también es titular de los derechos ligados a la autonomía, diversidad cultural, defensa de los territorios, participación, entre otros.  Sobre el asunto la Corte Constitucional ha, precisado lo siguiente:</w:t>
      </w:r>
    </w:p>
    <w:p w14:paraId="2D49B09B" w14:textId="77777777" w:rsidR="00B44E17" w:rsidRPr="00971E6B" w:rsidRDefault="00B44E17" w:rsidP="00B44E17">
      <w:pPr>
        <w:spacing w:after="0" w:line="240" w:lineRule="auto"/>
        <w:ind w:left="708" w:right="709"/>
        <w:jc w:val="both"/>
        <w:rPr>
          <w:rFonts w:ascii="Century Gothic" w:eastAsia="Calibri" w:hAnsi="Century Gothic" w:cs="Arial"/>
          <w:sz w:val="20"/>
          <w:szCs w:val="20"/>
        </w:rPr>
      </w:pPr>
      <w:r w:rsidRPr="00971E6B">
        <w:rPr>
          <w:rFonts w:ascii="Century Gothic" w:eastAsia="Calibri" w:hAnsi="Century Gothic" w:cs="Arial"/>
          <w:sz w:val="20"/>
          <w:szCs w:val="20"/>
        </w:rPr>
        <w:t xml:space="preserve">“[…] </w:t>
      </w:r>
      <w:r w:rsidRPr="00463BD9">
        <w:rPr>
          <w:rFonts w:ascii="Century Gothic" w:hAnsi="Century Gothic"/>
          <w:i/>
          <w:iCs/>
          <w:sz w:val="20"/>
          <w:szCs w:val="20"/>
          <w:shd w:val="clear" w:color="auto" w:fill="FFFFFF"/>
        </w:rPr>
        <w:t>Ahora bien, en la medida en que la comunidad Rrom hace parte de los grupos étnicos cobijados por estos principios y que así se reitera en el Convenio 169 de la OIT al reconocerlo como pueblo tribal, sus instituciones –entre ellas aquellas que existen para dirimir conflictos, como lo es la Kriss– han de ser respetadas e incentivadas sin soportar discriminación alguna, y bajo la lógica de tener en cuenta sus particularidades, deberán gozar del mismo ámbito de acción que el resto de las culturas existentes en Colombia</w:t>
      </w:r>
      <w:r w:rsidRPr="00971E6B">
        <w:rPr>
          <w:rFonts w:ascii="Century Gothic" w:hAnsi="Century Gothic"/>
          <w:sz w:val="20"/>
          <w:szCs w:val="20"/>
          <w:shd w:val="clear" w:color="auto" w:fill="FFFFFF"/>
        </w:rPr>
        <w:t xml:space="preserve">. </w:t>
      </w:r>
      <w:r w:rsidRPr="00971E6B">
        <w:rPr>
          <w:rFonts w:ascii="Century Gothic" w:eastAsia="Calibri" w:hAnsi="Century Gothic" w:cs="Arial"/>
          <w:sz w:val="20"/>
          <w:szCs w:val="20"/>
        </w:rPr>
        <w:t>[…]”</w:t>
      </w:r>
      <w:r w:rsidRPr="00971E6B">
        <w:rPr>
          <w:rStyle w:val="FootnoteReference"/>
          <w:rFonts w:ascii="Century Gothic" w:eastAsia="Calibri" w:hAnsi="Century Gothic" w:cs="Arial"/>
          <w:sz w:val="20"/>
          <w:szCs w:val="20"/>
        </w:rPr>
        <w:footnoteReference w:id="6"/>
      </w:r>
    </w:p>
    <w:p w14:paraId="7F090292" w14:textId="77777777" w:rsidR="00B44E17" w:rsidRPr="00971E6B" w:rsidRDefault="00B44E17" w:rsidP="00B44E17">
      <w:pPr>
        <w:spacing w:after="0"/>
        <w:jc w:val="both"/>
        <w:rPr>
          <w:rFonts w:ascii="Century Gothic" w:eastAsia="Calibri" w:hAnsi="Century Gothic" w:cs="Arial"/>
          <w:sz w:val="21"/>
          <w:szCs w:val="21"/>
        </w:rPr>
      </w:pPr>
    </w:p>
    <w:p w14:paraId="17B49A32" w14:textId="77777777" w:rsidR="00B44E17" w:rsidRPr="00971E6B" w:rsidRDefault="00B44E17" w:rsidP="00B44E17">
      <w:pPr>
        <w:spacing w:line="276" w:lineRule="auto"/>
        <w:ind w:firstLine="680"/>
        <w:jc w:val="both"/>
        <w:rPr>
          <w:rFonts w:ascii="Century Gothic" w:eastAsia="Calibri" w:hAnsi="Century Gothic" w:cs="Arial"/>
        </w:rPr>
      </w:pPr>
      <w:r w:rsidRPr="00971E6B">
        <w:rPr>
          <w:rFonts w:ascii="Century Gothic" w:eastAsia="Calibri" w:hAnsi="Century Gothic" w:cs="Arial"/>
        </w:rPr>
        <w:t xml:space="preserve">Así, en virtud de lo dispuesto en el artículo 2 de la Ley 21 de 1991, el Estado colombiano se comprometió a: -implementar las acciones necesarias para garantizar que los pueblos indígenas y tribales fueran respetados en igualdad de condiciones; -promover sus derechos; y respetar su identidad, sus costumbres y tradiciones, de modo que se eliminen las diferencias existentes entre sus miembros y los demás grupos sociales. </w:t>
      </w:r>
    </w:p>
    <w:p w14:paraId="068C2D16" w14:textId="77777777" w:rsidR="00B44E17" w:rsidRPr="00971E6B" w:rsidRDefault="00B44E17" w:rsidP="00B44E17">
      <w:pPr>
        <w:spacing w:after="120" w:line="276" w:lineRule="auto"/>
        <w:ind w:firstLine="680"/>
        <w:jc w:val="both"/>
        <w:rPr>
          <w:rFonts w:ascii="Century Gothic" w:eastAsia="Calibri" w:hAnsi="Century Gothic" w:cs="Arial"/>
          <w:sz w:val="21"/>
          <w:szCs w:val="21"/>
        </w:rPr>
      </w:pPr>
      <w:r w:rsidRPr="00971E6B">
        <w:rPr>
          <w:rFonts w:ascii="Century Gothic" w:eastAsia="Calibri" w:hAnsi="Century Gothic" w:cs="Arial"/>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y comunidades étnicas. Dentro de los ámbitos en los que han incidido estas disposiciones se encuentra el de la contratación pública, en la medida en que las actuaciones orientadas a la satisfacción de derechos de los grupos étnicos diferenciados en situaciones concretas requieren de la concertación entre estos y las Entidades Estatales, lo que ha suscitado la necesidad de un tratamiento jurídico particular para tales acuerdos.  </w:t>
      </w:r>
    </w:p>
    <w:p w14:paraId="4AAA4BF4" w14:textId="77777777" w:rsidR="00B44E17" w:rsidRPr="00971E6B" w:rsidRDefault="00B44E17" w:rsidP="00B44E17">
      <w:pPr>
        <w:spacing w:line="276" w:lineRule="auto"/>
        <w:ind w:firstLine="680"/>
        <w:jc w:val="both"/>
        <w:rPr>
          <w:rFonts w:ascii="Century Gothic" w:eastAsia="Calibri" w:hAnsi="Century Gothic" w:cs="Arial"/>
        </w:rPr>
      </w:pPr>
      <w:r w:rsidRPr="00971E6B">
        <w:rPr>
          <w:rFonts w:ascii="Century Gothic" w:eastAsia="Calibri" w:hAnsi="Century Gothic" w:cs="Arial"/>
        </w:rPr>
        <w:t>Por su parte, el Decreto reglamentario 2957 de 2010 contiene el marco normativo para la protección integral de los derechos del Pueblo Rrom. Este decreto reconoce a los Rrom o Gitanos como un grupo étnico con una identidad cultural, que mantiene una conciencia étnica, que posee su forma de organización social y lengua, y que ha definido sus instituciones políticas y sociales, además de valorar las contribuciones que históricamente ha realizado al proceso de conformación de la nacionalidad colombiana, por lo que se le debe garantizar su conservación, desarrollo de cultura y forma de vida (art. 6º).</w:t>
      </w:r>
    </w:p>
    <w:p w14:paraId="0230BADE" w14:textId="77777777" w:rsidR="00B44E17" w:rsidRPr="00971E6B" w:rsidRDefault="00B44E17" w:rsidP="00B44E17">
      <w:pPr>
        <w:spacing w:line="276" w:lineRule="auto"/>
        <w:ind w:firstLine="680"/>
        <w:jc w:val="both"/>
        <w:rPr>
          <w:rFonts w:ascii="Century Gothic" w:eastAsia="Calibri" w:hAnsi="Century Gothic" w:cs="Arial"/>
        </w:rPr>
      </w:pPr>
      <w:r w:rsidRPr="00971E6B">
        <w:rPr>
          <w:rFonts w:ascii="Century Gothic" w:eastAsia="Calibri" w:hAnsi="Century Gothic" w:cs="Arial"/>
        </w:rPr>
        <w:t xml:space="preserve"> En materia de nomadismo reconoce el mencionado Decreto que es un aspecto de su identidad cultural y estilo de vida, que significa ante todo una manera de ver el mundo y una cosmovisión particular, que subsiste aun cuando no esté realizando desplazamientos permanentemente al hacer parte de su espiritualidad e imaginario colectivo (art. 4º); Así mismo contempla la formulación de políticas públicas y los programas gubernamentales que deben tener en consideración a la amplia movilidad geográfica e itinerancia de sus kumpañy (art. 5º). </w:t>
      </w:r>
    </w:p>
    <w:p w14:paraId="227D875B" w14:textId="77777777" w:rsidR="00B44E17" w:rsidRPr="00971E6B" w:rsidRDefault="00B44E17" w:rsidP="00B44E17">
      <w:pPr>
        <w:spacing w:line="276" w:lineRule="auto"/>
        <w:ind w:firstLine="680"/>
        <w:jc w:val="both"/>
        <w:rPr>
          <w:rFonts w:ascii="Century Gothic" w:eastAsia="Calibri" w:hAnsi="Century Gothic" w:cs="Arial"/>
        </w:rPr>
      </w:pPr>
      <w:r w:rsidRPr="00971E6B">
        <w:rPr>
          <w:rFonts w:ascii="Century Gothic" w:eastAsia="Calibri" w:hAnsi="Century Gothic" w:cs="Arial"/>
        </w:rPr>
        <w:t>El Capitulo III del Decreto 2957 de 2010 establece la Comisión Nacional de Diálogo, como un espacio de interlocución entre el Estado y el grupo étnico, con la presencia de distintos ministerios y representantes de las kumpañy y organizaciones constituidas (art. 10). En lo relacionado con el acceso a las viviendas, la norma señalada indica que radica en cabeza del Ministerio de Vivienda proporcionar a través de las convocatorias que establezca el Fondo Nacional de Vivienda, el acceso a una vivienda digna mediante la asignación del subsidio familiar de vivienda de interés prioritario (art. 13); y, finalmente, establece medidas de inclusión educativa, protección y promoción de prácticas culturales y acceso a la seguridad social integral (arts. 14 a 20).</w:t>
      </w:r>
      <w:r w:rsidRPr="00971E6B">
        <w:rPr>
          <w:rFonts w:ascii="Century Gothic" w:eastAsia="Calibri" w:hAnsi="Century Gothic" w:cs="Arial"/>
        </w:rPr>
        <w:tab/>
      </w:r>
    </w:p>
    <w:p w14:paraId="44BE6416" w14:textId="77777777" w:rsidR="00B44E17" w:rsidRPr="00971E6B" w:rsidRDefault="00B44E17" w:rsidP="00B44E17">
      <w:pPr>
        <w:spacing w:line="276" w:lineRule="auto"/>
        <w:ind w:firstLine="680"/>
        <w:jc w:val="both"/>
        <w:rPr>
          <w:rFonts w:ascii="Century Gothic" w:eastAsia="Calibri" w:hAnsi="Century Gothic" w:cs="Arial"/>
        </w:rPr>
      </w:pPr>
      <w:r w:rsidRPr="00971E6B">
        <w:rPr>
          <w:rFonts w:ascii="Century Gothic" w:eastAsia="Arial" w:hAnsi="Century Gothic" w:cs="Arial"/>
          <w:lang w:eastAsia="es-ES_tradnl"/>
        </w:rPr>
        <w:t>Respecto del tema objeto de estudio, es indispensable denotar que, dentro de dicho marco se encuentra la jurisprudencia de</w:t>
      </w:r>
      <w:r w:rsidRPr="00971E6B">
        <w:rPr>
          <w:rFonts w:ascii="Century Gothic" w:eastAsia="Calibri" w:hAnsi="Century Gothic" w:cs="Arial"/>
        </w:rPr>
        <w:t xml:space="preserve"> la Corte Constitucional, que entra a analizar de manera detallada en el presente acápite, quien se ha referido en múltiples ocasiones a los mencionados conceptos, al estudiar diferentes asuntos relacionados con los derechos de los pueblos o comunidades étnicas, dando a los operadores de las normas contractuales en comento unos elementos materiales que necesariamente deben tener en cuenta en su aplicación.</w:t>
      </w:r>
    </w:p>
    <w:p w14:paraId="5712690C" w14:textId="77777777" w:rsidR="00B44E17" w:rsidRPr="00971E6B" w:rsidRDefault="00B44E17" w:rsidP="00B44E17">
      <w:pPr>
        <w:spacing w:after="0" w:line="276" w:lineRule="auto"/>
        <w:ind w:firstLine="708"/>
        <w:jc w:val="both"/>
        <w:rPr>
          <w:rFonts w:ascii="Century Gothic" w:eastAsia="Calibri" w:hAnsi="Century Gothic" w:cs="Arial"/>
        </w:rPr>
      </w:pPr>
      <w:r w:rsidRPr="00971E6B">
        <w:rPr>
          <w:rFonts w:ascii="Century Gothic" w:eastAsia="Calibri" w:hAnsi="Century Gothic" w:cs="Arial"/>
        </w:rPr>
        <w:t xml:space="preserve">En cuanto a la </w:t>
      </w:r>
      <w:r w:rsidRPr="00971E6B">
        <w:rPr>
          <w:rFonts w:ascii="Century Gothic" w:eastAsia="Calibri" w:hAnsi="Century Gothic" w:cs="Arial"/>
          <w:i/>
          <w:iCs/>
        </w:rPr>
        <w:t xml:space="preserve">autonomía o libre determinación de los pueblos étnicos, </w:t>
      </w:r>
      <w:r w:rsidRPr="00971E6B">
        <w:rPr>
          <w:rFonts w:ascii="Century Gothic" w:eastAsia="Calibri" w:hAnsi="Century Gothic" w:cs="Arial"/>
        </w:rPr>
        <w:t xml:space="preserve">la Corte ha precisado que esta es un derecho en virtud del cual los pueblos tribales tienen la facultad para tomar decisiones sobre los asuntos de relevancia que los afectan, lo que supone una protección múltiples ámbitos de protección por parte del estado, dentro del que se encuentra el respeto de las formas de </w:t>
      </w:r>
      <w:r w:rsidRPr="00971E6B">
        <w:rPr>
          <w:rFonts w:ascii="Century Gothic" w:eastAsia="Calibri" w:hAnsi="Century Gothic" w:cs="Arial"/>
          <w:i/>
          <w:iCs/>
        </w:rPr>
        <w:t>autogobierno o</w:t>
      </w:r>
      <w:r w:rsidRPr="00971E6B">
        <w:rPr>
          <w:rFonts w:ascii="Century Gothic" w:eastAsia="Calibri" w:hAnsi="Century Gothic" w:cs="Arial"/>
        </w:rPr>
        <w:t xml:space="preserve"> </w:t>
      </w:r>
      <w:r w:rsidRPr="00971E6B">
        <w:rPr>
          <w:rFonts w:ascii="Century Gothic" w:eastAsia="Calibri" w:hAnsi="Century Gothic" w:cs="Arial"/>
          <w:i/>
          <w:iCs/>
        </w:rPr>
        <w:t>gobierno propio</w:t>
      </w:r>
      <w:r w:rsidRPr="00971E6B">
        <w:rPr>
          <w:rFonts w:ascii="Century Gothic" w:eastAsia="Calibri" w:hAnsi="Century Gothic" w:cs="Arial"/>
        </w:rPr>
        <w:t xml:space="preserve"> de estos pueblos, como una prerrogativa asociada a las instituciones propias de los pueblos tribales que deviene de lo dispuesto en el literal c) del artículo 6, numeral 1 del Convenio 169 de la OIT</w:t>
      </w:r>
      <w:r w:rsidRPr="00971E6B">
        <w:rPr>
          <w:rStyle w:val="FootnoteReference"/>
          <w:rFonts w:ascii="Century Gothic" w:eastAsia="Calibri" w:hAnsi="Century Gothic" w:cs="Arial"/>
        </w:rPr>
        <w:footnoteReference w:id="7"/>
      </w:r>
      <w:r w:rsidRPr="00971E6B">
        <w:rPr>
          <w:rFonts w:ascii="Century Gothic" w:eastAsia="Calibri" w:hAnsi="Century Gothic" w:cs="Arial"/>
        </w:rPr>
        <w:t>. Al respecto se ha explicado que:</w:t>
      </w:r>
    </w:p>
    <w:p w14:paraId="7854CF04" w14:textId="77777777" w:rsidR="00B44E17" w:rsidRPr="00971E6B" w:rsidRDefault="00B44E17" w:rsidP="00B44E17">
      <w:pPr>
        <w:spacing w:after="0" w:line="276" w:lineRule="auto"/>
        <w:ind w:firstLine="708"/>
        <w:jc w:val="both"/>
        <w:rPr>
          <w:rFonts w:ascii="Century Gothic" w:eastAsia="Calibri" w:hAnsi="Century Gothic" w:cs="Arial"/>
        </w:rPr>
      </w:pPr>
    </w:p>
    <w:p w14:paraId="6896CE9A" w14:textId="77777777" w:rsidR="00B44E17" w:rsidRPr="00971E6B" w:rsidRDefault="00B44E17" w:rsidP="00B44E17">
      <w:pPr>
        <w:spacing w:after="0" w:line="240" w:lineRule="auto"/>
        <w:ind w:left="709" w:right="709"/>
        <w:jc w:val="both"/>
        <w:rPr>
          <w:rFonts w:ascii="Century Gothic" w:eastAsia="Calibri" w:hAnsi="Century Gothic" w:cs="Arial"/>
          <w:sz w:val="20"/>
          <w:szCs w:val="20"/>
        </w:rPr>
      </w:pPr>
      <w:r w:rsidRPr="00971E6B">
        <w:rPr>
          <w:rFonts w:ascii="Century Gothic" w:eastAsia="Calibri" w:hAnsi="Century Gothic" w:cs="Arial"/>
          <w:sz w:val="20"/>
          <w:szCs w:val="20"/>
        </w:rPr>
        <w:t>“</w:t>
      </w:r>
      <w:r w:rsidRPr="00971E6B">
        <w:rPr>
          <w:rFonts w:ascii="Century Gothic" w:eastAsia="Calibri" w:hAnsi="Century Gothic" w:cs="Arial"/>
          <w:i/>
          <w:iCs/>
          <w:sz w:val="20"/>
          <w:szCs w:val="20"/>
        </w:rPr>
        <w:t xml:space="preserve">41. Por su parte, el derecho a la </w:t>
      </w:r>
      <w:r w:rsidRPr="00971E6B">
        <w:rPr>
          <w:rFonts w:ascii="Century Gothic" w:eastAsia="Calibri" w:hAnsi="Century Gothic" w:cs="Arial"/>
          <w:b/>
          <w:bCs/>
          <w:i/>
          <w:iCs/>
          <w:sz w:val="20"/>
          <w:szCs w:val="20"/>
        </w:rPr>
        <w:t>autonomía</w:t>
      </w:r>
      <w:r w:rsidRPr="00971E6B">
        <w:rPr>
          <w:rFonts w:ascii="Century Gothic" w:eastAsia="Calibri" w:hAnsi="Century Gothic" w:cs="Arial"/>
          <w:i/>
          <w:iCs/>
          <w:sz w:val="20"/>
          <w:szCs w:val="20"/>
        </w:rPr>
        <w:t xml:space="preserve"> refiere a la capacidad de los pueblos tribales para decidir sus asuntos culturales, espirituales, políticos y jurídicos, en consonancia con su cosmovisión. Esta garantía permite que la colectividad y sus miembros preserven su derecho a la identidad étnica, en el marco de la Constitución.</w:t>
      </w:r>
      <w:r w:rsidRPr="00971E6B">
        <w:rPr>
          <w:rFonts w:ascii="Century Gothic" w:eastAsia="Calibri" w:hAnsi="Century Gothic" w:cs="Arial"/>
          <w:sz w:val="20"/>
          <w:szCs w:val="20"/>
        </w:rPr>
        <w:t xml:space="preserve"> Además, su ejercicio asegura la pluralidad porque permite salvaguardar las diferencias y la gestión multicultural de la diversidad.</w:t>
      </w:r>
    </w:p>
    <w:p w14:paraId="7C80D76A" w14:textId="77777777" w:rsidR="00B44E17" w:rsidRPr="00971E6B" w:rsidRDefault="00B44E17" w:rsidP="00B44E17">
      <w:pPr>
        <w:spacing w:after="0" w:line="240" w:lineRule="auto"/>
        <w:ind w:left="709" w:right="709"/>
        <w:jc w:val="both"/>
        <w:rPr>
          <w:rFonts w:ascii="Century Gothic" w:eastAsia="Calibri" w:hAnsi="Century Gothic" w:cs="Arial"/>
          <w:sz w:val="20"/>
          <w:szCs w:val="20"/>
        </w:rPr>
      </w:pPr>
    </w:p>
    <w:p w14:paraId="75D4E5CE" w14:textId="77777777" w:rsidR="00B44E17" w:rsidRPr="00971E6B" w:rsidRDefault="00B44E17" w:rsidP="00B44E17">
      <w:pPr>
        <w:spacing w:line="240" w:lineRule="auto"/>
        <w:ind w:left="709" w:right="709"/>
        <w:jc w:val="both"/>
        <w:rPr>
          <w:rFonts w:ascii="Century Gothic" w:eastAsia="Calibri" w:hAnsi="Century Gothic" w:cs="Arial"/>
          <w:sz w:val="20"/>
          <w:szCs w:val="20"/>
        </w:rPr>
      </w:pPr>
      <w:r w:rsidRPr="00971E6B">
        <w:rPr>
          <w:rFonts w:ascii="Century Gothic" w:eastAsia="Calibri" w:hAnsi="Century Gothic" w:cs="Arial"/>
          <w:sz w:val="20"/>
          <w:szCs w:val="20"/>
        </w:rPr>
        <w:t xml:space="preserve">42. Este derecho tiene tres ámbitos de protección: (i) el externo, que involucra el derecho de los colectivos étnicos a participar de las decisiones que los afectan; (ii) la participación política de las comunidades en el Congreso; y, (iii) </w:t>
      </w:r>
      <w:r w:rsidRPr="00971E6B">
        <w:rPr>
          <w:rFonts w:ascii="Century Gothic" w:eastAsia="Calibri" w:hAnsi="Century Gothic" w:cs="Arial"/>
          <w:i/>
          <w:iCs/>
          <w:sz w:val="20"/>
          <w:szCs w:val="20"/>
        </w:rPr>
        <w:t xml:space="preserve">el interno, que salvaguarda la posibilidad de que el grupo étnico conserve o modifique </w:t>
      </w:r>
      <w:r w:rsidRPr="00971E6B">
        <w:rPr>
          <w:rFonts w:ascii="Century Gothic" w:eastAsia="Calibri" w:hAnsi="Century Gothic" w:cs="Arial"/>
          <w:b/>
          <w:bCs/>
          <w:i/>
          <w:iCs/>
          <w:sz w:val="20"/>
          <w:szCs w:val="20"/>
        </w:rPr>
        <w:t>sus formas de gobierno</w:t>
      </w:r>
      <w:r w:rsidRPr="00971E6B">
        <w:rPr>
          <w:rFonts w:ascii="Century Gothic" w:eastAsia="Calibri" w:hAnsi="Century Gothic" w:cs="Arial"/>
          <w:i/>
          <w:iCs/>
          <w:sz w:val="20"/>
          <w:szCs w:val="20"/>
        </w:rPr>
        <w:t xml:space="preserve"> y </w:t>
      </w:r>
      <w:r w:rsidRPr="00971E6B">
        <w:rPr>
          <w:rFonts w:ascii="Century Gothic" w:eastAsia="Calibri" w:hAnsi="Century Gothic" w:cs="Arial"/>
          <w:b/>
          <w:bCs/>
          <w:i/>
          <w:iCs/>
          <w:sz w:val="20"/>
          <w:szCs w:val="20"/>
        </w:rPr>
        <w:t>autodetermine sus dinámicas sociales</w:t>
      </w:r>
      <w:r w:rsidRPr="00971E6B">
        <w:rPr>
          <w:rFonts w:ascii="Century Gothic" w:eastAsia="Calibri" w:hAnsi="Century Gothic" w:cs="Arial"/>
          <w:i/>
          <w:iCs/>
          <w:sz w:val="20"/>
          <w:szCs w:val="20"/>
        </w:rPr>
        <w:t>. Este último sugiere que, en principio, el Estado no puede intervenir en las decisiones de los grupos étnicos. De lo contrario, desconocería su autonomía, su identidad cultural y el carácter plural y multicultural del Estado. Sin embargo, esas facultades no son absolutas. En caso de conflicto con los derechos de otras personas, deben ponderarse y pueden ceder en relación con otras normas superiores</w:t>
      </w:r>
      <w:r w:rsidRPr="00971E6B">
        <w:rPr>
          <w:rFonts w:ascii="Century Gothic" w:eastAsia="Calibri" w:hAnsi="Century Gothic" w:cs="Arial"/>
          <w:sz w:val="20"/>
          <w:szCs w:val="20"/>
        </w:rPr>
        <w:t>” [Énfasis fuera de texto]</w:t>
      </w:r>
      <w:r w:rsidRPr="00971E6B">
        <w:rPr>
          <w:rStyle w:val="FootnoteReference"/>
          <w:rFonts w:ascii="Century Gothic" w:eastAsia="Calibri" w:hAnsi="Century Gothic" w:cs="Arial"/>
          <w:sz w:val="20"/>
          <w:szCs w:val="20"/>
        </w:rPr>
        <w:footnoteReference w:id="8"/>
      </w:r>
      <w:r w:rsidRPr="00971E6B">
        <w:rPr>
          <w:rFonts w:ascii="Century Gothic" w:eastAsia="Calibri" w:hAnsi="Century Gothic" w:cs="Arial"/>
          <w:sz w:val="20"/>
          <w:szCs w:val="20"/>
        </w:rPr>
        <w:t xml:space="preserve">. </w:t>
      </w:r>
    </w:p>
    <w:p w14:paraId="03810A0C" w14:textId="77777777" w:rsidR="00B44E17" w:rsidRPr="00971E6B" w:rsidRDefault="00B44E17" w:rsidP="00B44E17">
      <w:pPr>
        <w:spacing w:after="120" w:line="276" w:lineRule="auto"/>
        <w:ind w:firstLine="708"/>
        <w:jc w:val="both"/>
        <w:rPr>
          <w:rFonts w:ascii="Century Gothic" w:eastAsia="Calibri" w:hAnsi="Century Gothic" w:cs="Arial"/>
        </w:rPr>
      </w:pPr>
      <w:r w:rsidRPr="00463BD9">
        <w:rPr>
          <w:rFonts w:ascii="Century Gothic" w:eastAsia="Calibri" w:hAnsi="Century Gothic" w:cs="Arial"/>
        </w:rPr>
        <w:t>En relación a la cultura ha de tenerse en cuenta que es un concepto que encierra varias dimensiones y funciones sociales y que generan: i) un modo de vivir; ii) cohesión social; iii) creación de riqueza y empleo; y iv) equilibrio territorial.</w:t>
      </w:r>
      <w:r w:rsidRPr="00463BD9">
        <w:rPr>
          <w:rStyle w:val="FootnoteReference"/>
          <w:rFonts w:ascii="Century Gothic" w:eastAsia="Calibri" w:hAnsi="Century Gothic" w:cs="Arial"/>
        </w:rPr>
        <w:footnoteReference w:id="9"/>
      </w:r>
      <w:r w:rsidRPr="00971E6B">
        <w:rPr>
          <w:rFonts w:ascii="Century Gothic" w:eastAsia="Calibri" w:hAnsi="Century Gothic" w:cs="Arial"/>
        </w:rPr>
        <w:t xml:space="preserve">Por otro lado, la </w:t>
      </w:r>
      <w:r w:rsidRPr="00971E6B">
        <w:rPr>
          <w:rFonts w:ascii="Century Gothic" w:eastAsia="Calibri" w:hAnsi="Century Gothic" w:cs="Arial"/>
          <w:i/>
          <w:iCs/>
        </w:rPr>
        <w:t>identidad cultural</w:t>
      </w:r>
      <w:r w:rsidRPr="00971E6B">
        <w:rPr>
          <w:rFonts w:ascii="Century Gothic" w:eastAsia="Calibri" w:hAnsi="Century Gothic" w:cs="Arial"/>
        </w:rPr>
        <w:t xml:space="preserve"> de los pueblos étnicos es un postulado que se sustenta en normas como los artículos 7, 8, 10, 68 y 72 de la Constitución Política y 1, 2, 4, 5, 6 y 7 del Convenio 169 de la OIT, disposiciones en virtud de las cuales se establece la protección de la diversidad cultural y de las instituciones, prácticas y tradiciones propias de las culturas de los pueblos tribales. En referencia por esto que la Corte Constitucional se ha referido en su jurisprudencia explicando la </w:t>
      </w:r>
      <w:r w:rsidRPr="00971E6B">
        <w:rPr>
          <w:rFonts w:ascii="Century Gothic" w:eastAsia="Calibri" w:hAnsi="Century Gothic" w:cs="Arial"/>
          <w:i/>
          <w:iCs/>
        </w:rPr>
        <w:t>identidad cultural</w:t>
      </w:r>
      <w:r w:rsidRPr="00971E6B">
        <w:rPr>
          <w:rFonts w:ascii="Century Gothic" w:eastAsia="Calibri" w:hAnsi="Century Gothic" w:cs="Arial"/>
        </w:rPr>
        <w:t xml:space="preserve"> como un derecho de los pueblos étnicos, al siguiente tenor:</w:t>
      </w:r>
    </w:p>
    <w:p w14:paraId="086B2BBB" w14:textId="77777777" w:rsidR="00B44E17" w:rsidRPr="00463BD9" w:rsidRDefault="00B44E17" w:rsidP="00B44E17">
      <w:pPr>
        <w:spacing w:after="120" w:line="240" w:lineRule="auto"/>
        <w:ind w:left="709" w:right="709"/>
        <w:jc w:val="both"/>
        <w:rPr>
          <w:rFonts w:ascii="Century Gothic" w:eastAsia="Calibri" w:hAnsi="Century Gothic" w:cs="Arial"/>
          <w:sz w:val="20"/>
          <w:szCs w:val="20"/>
        </w:rPr>
      </w:pPr>
      <w:r w:rsidRPr="00463BD9">
        <w:rPr>
          <w:rFonts w:ascii="Century Gothic" w:eastAsia="Calibri" w:hAnsi="Century Gothic" w:cs="Arial"/>
          <w:sz w:val="20"/>
          <w:szCs w:val="20"/>
        </w:rPr>
        <w:t>“De manera general el reconocimiento al derecho a la identidad cultural está en diversos artículos de la Constitución y en tratados internacionales incorporados al ordenamiento.  La definición de cultura ha sido objeto de pronunciamientos jurisprudenciales, y legalmente es entendida como “el conjunto de rasgos distintivos espirituales y materiales, intelectuales y afectivos que caracterizan a una sociedad o a un grupo social y que abarca, además de las artes y letras, los modos de vida, las maneras de vivir juntos, los sistemas de valores, las tradiciones y las creencias”.</w:t>
      </w:r>
    </w:p>
    <w:p w14:paraId="12794F59" w14:textId="77777777" w:rsidR="00B44E17" w:rsidRPr="00463BD9" w:rsidRDefault="00B44E17" w:rsidP="00B44E17">
      <w:pPr>
        <w:spacing w:after="120" w:line="240" w:lineRule="auto"/>
        <w:ind w:left="709" w:right="709"/>
        <w:jc w:val="both"/>
        <w:rPr>
          <w:rFonts w:ascii="Century Gothic" w:eastAsia="Calibri" w:hAnsi="Century Gothic" w:cs="Arial"/>
          <w:sz w:val="20"/>
          <w:szCs w:val="20"/>
        </w:rPr>
      </w:pPr>
      <w:r w:rsidRPr="00463BD9">
        <w:rPr>
          <w:rFonts w:ascii="Century Gothic" w:eastAsia="Calibri" w:hAnsi="Century Gothic" w:cs="Arial"/>
          <w:sz w:val="20"/>
          <w:szCs w:val="20"/>
        </w:rPr>
        <w:t>La cultura, según se menciona en la ley referida, tiene manifestaciones materiales e inmateriales. El patrimonio cultural inmaterial “está constituido, entre otros, por las manifestaciones, prácticas, usos, representaciones, expresiones, conocimientos, técnicas y espacios culturales, que las comunidades y los grupos reconocen como parte integrante de su patrimonio cultural. Este patrimonio genera sentimientos de identidad y establece vínculos con la memoria colectiva. Es transmitido y recreado a lo largo del tiempo en función de su entorno, su interacción con la naturaleza y su historia y contribuye a promover el respeto de la diversidad cultural y la creatividad humana”.</w:t>
      </w:r>
    </w:p>
    <w:p w14:paraId="52E5B577" w14:textId="77777777" w:rsidR="00B44E17" w:rsidRPr="00463BD9" w:rsidRDefault="00B44E17" w:rsidP="00B44E17">
      <w:pPr>
        <w:spacing w:after="0" w:line="240" w:lineRule="auto"/>
        <w:ind w:left="709" w:right="709"/>
        <w:jc w:val="both"/>
        <w:rPr>
          <w:rFonts w:ascii="Century Gothic" w:eastAsia="Calibri" w:hAnsi="Century Gothic" w:cs="Arial"/>
          <w:sz w:val="20"/>
          <w:szCs w:val="20"/>
        </w:rPr>
      </w:pPr>
      <w:r w:rsidRPr="00463BD9">
        <w:rPr>
          <w:rFonts w:ascii="Century Gothic" w:eastAsia="Calibri" w:hAnsi="Century Gothic" w:cs="Arial"/>
          <w:sz w:val="20"/>
          <w:szCs w:val="20"/>
        </w:rPr>
        <w:t xml:space="preserve">De este </w:t>
      </w:r>
      <w:r w:rsidRPr="00463BD9">
        <w:rPr>
          <w:rFonts w:ascii="Century Gothic" w:eastAsia="Calibri" w:hAnsi="Century Gothic" w:cs="Arial"/>
          <w:i/>
          <w:iCs/>
          <w:sz w:val="20"/>
          <w:szCs w:val="20"/>
        </w:rPr>
        <w:t>modo la identidad cultural es un conjunto de rasgos característicos (noción de identidad) de una sociedad o de un grupo social relacionados con su forma de vida, sus tradiciones y creencias en el ámbito espiritual, material, intelectual y afectivo que genera en sus integrantes un sentido de pertenencia a dicho colectivo social y que es producto de su interacción en un espacio social determinado (noción de cultural). La identidad cultural constituye un derecho no sólo porque el ordenamiento jurídico lo reconoce como tal (artículo 7 y 8 de la C.P), sino porque está íntimamente ligado con los postulados constitucionales dentro del Estado Social de Derecho de pluralismo, libertad y vida digna que implican el reconocimiento y el respeto a la diferencia, el ejercicio libre de la misma y el enriquecimiento de la vida en sociedad, sin olvidar que el límite lo constituyen los derechos del otro. Es así, un derecho fundamental del colectivo social y de cada una de las personas que pertenecen a él”</w:t>
      </w:r>
      <w:r w:rsidRPr="00463BD9">
        <w:rPr>
          <w:rStyle w:val="FootnoteReference"/>
          <w:rFonts w:ascii="Century Gothic" w:eastAsia="Calibri" w:hAnsi="Century Gothic" w:cs="Arial"/>
          <w:i/>
          <w:iCs/>
        </w:rPr>
        <w:t xml:space="preserve"> </w:t>
      </w:r>
      <w:r w:rsidRPr="00463BD9">
        <w:rPr>
          <w:rFonts w:ascii="Century Gothic" w:eastAsia="Calibri" w:hAnsi="Century Gothic" w:cs="Arial"/>
        </w:rPr>
        <w:t>[Énfasis fuera de texto]</w:t>
      </w:r>
      <w:r w:rsidRPr="00463BD9">
        <w:rPr>
          <w:rStyle w:val="FootnoteReference"/>
          <w:rFonts w:ascii="Century Gothic" w:eastAsia="Calibri" w:hAnsi="Century Gothic" w:cs="Arial"/>
          <w:i/>
          <w:iCs/>
        </w:rPr>
        <w:footnoteReference w:id="10"/>
      </w:r>
      <w:r w:rsidRPr="00463BD9">
        <w:rPr>
          <w:rFonts w:ascii="Century Gothic" w:eastAsia="Calibri" w:hAnsi="Century Gothic" w:cs="Arial"/>
          <w:sz w:val="20"/>
          <w:szCs w:val="20"/>
        </w:rPr>
        <w:t>.</w:t>
      </w:r>
    </w:p>
    <w:p w14:paraId="516F6F8B" w14:textId="77777777" w:rsidR="00B44E17" w:rsidRPr="00463BD9" w:rsidRDefault="00B44E17" w:rsidP="00B44E17">
      <w:pPr>
        <w:spacing w:after="0" w:line="276" w:lineRule="auto"/>
        <w:ind w:right="49"/>
        <w:jc w:val="both"/>
        <w:rPr>
          <w:rFonts w:ascii="Century Gothic" w:eastAsia="Calibri" w:hAnsi="Century Gothic" w:cs="Arial"/>
          <w:sz w:val="20"/>
          <w:szCs w:val="20"/>
        </w:rPr>
      </w:pPr>
    </w:p>
    <w:p w14:paraId="3B17151E" w14:textId="77777777" w:rsidR="00B44E17" w:rsidRPr="00463BD9" w:rsidRDefault="00B44E17" w:rsidP="00B44E17">
      <w:pPr>
        <w:spacing w:after="120" w:line="276" w:lineRule="auto"/>
        <w:ind w:right="49"/>
        <w:jc w:val="both"/>
        <w:rPr>
          <w:rFonts w:ascii="Century Gothic" w:eastAsia="Calibri" w:hAnsi="Century Gothic" w:cs="Arial"/>
        </w:rPr>
      </w:pPr>
      <w:r w:rsidRPr="00463BD9">
        <w:rPr>
          <w:rFonts w:ascii="Century Gothic" w:eastAsia="Calibri" w:hAnsi="Century Gothic" w:cs="Arial"/>
          <w:sz w:val="20"/>
          <w:szCs w:val="20"/>
        </w:rPr>
        <w:tab/>
      </w:r>
      <w:r w:rsidRPr="00463BD9">
        <w:rPr>
          <w:rFonts w:ascii="Century Gothic" w:eastAsia="Calibri" w:hAnsi="Century Gothic" w:cs="Arial"/>
        </w:rPr>
        <w:t xml:space="preserve">De acuerdo con lo hasta aquí expuesto, la </w:t>
      </w:r>
      <w:r w:rsidRPr="00463BD9">
        <w:rPr>
          <w:rFonts w:ascii="Century Gothic" w:eastAsia="Calibri" w:hAnsi="Century Gothic" w:cs="Arial"/>
          <w:i/>
          <w:iCs/>
        </w:rPr>
        <w:t>autonomía</w:t>
      </w:r>
      <w:r w:rsidRPr="00463BD9">
        <w:rPr>
          <w:rFonts w:ascii="Century Gothic" w:eastAsia="Calibri" w:hAnsi="Century Gothic" w:cs="Arial"/>
        </w:rPr>
        <w:t xml:space="preserve">, el </w:t>
      </w:r>
      <w:r w:rsidRPr="00463BD9">
        <w:rPr>
          <w:rFonts w:ascii="Century Gothic" w:eastAsia="Calibri" w:hAnsi="Century Gothic" w:cs="Arial"/>
          <w:i/>
          <w:iCs/>
        </w:rPr>
        <w:t>gobierno propio</w:t>
      </w:r>
      <w:r w:rsidRPr="00463BD9">
        <w:rPr>
          <w:rFonts w:ascii="Century Gothic" w:eastAsia="Calibri" w:hAnsi="Century Gothic" w:cs="Arial"/>
        </w:rPr>
        <w:t xml:space="preserve"> y la </w:t>
      </w:r>
      <w:r w:rsidRPr="00463BD9">
        <w:rPr>
          <w:rFonts w:ascii="Century Gothic" w:eastAsia="Calibri" w:hAnsi="Century Gothic" w:cs="Arial"/>
          <w:i/>
          <w:iCs/>
        </w:rPr>
        <w:t xml:space="preserve">identidad cultural </w:t>
      </w:r>
      <w:r w:rsidRPr="00463BD9">
        <w:rPr>
          <w:rFonts w:ascii="Century Gothic" w:eastAsia="Calibri" w:hAnsi="Century Gothic" w:cs="Arial"/>
        </w:rPr>
        <w:t xml:space="preserve">han sido explicados por la Corte Constitucional como prestaciones de las que son titulares los pueblos tribales en virtud de la protección especial de la que son objeto por cuenta de las referidas disposiciones de la carta política y el bloque de constitucionalidad. Es por esto por lo que, la jurisprudencia de la Corte Constitucional constituye un obligado referente interpretativo para los operadores del sistema de compra pública, al momento de aplicar el literal N), en la medida que establece el contexto normativo y los elementos que definen la </w:t>
      </w:r>
      <w:r w:rsidRPr="00463BD9">
        <w:rPr>
          <w:rFonts w:ascii="Century Gothic" w:eastAsia="Calibri" w:hAnsi="Century Gothic" w:cs="Arial"/>
          <w:i/>
          <w:iCs/>
        </w:rPr>
        <w:t>autonomía</w:t>
      </w:r>
      <w:r w:rsidRPr="00463BD9">
        <w:rPr>
          <w:rFonts w:ascii="Century Gothic" w:eastAsia="Calibri" w:hAnsi="Century Gothic" w:cs="Arial"/>
        </w:rPr>
        <w:t xml:space="preserve">, el </w:t>
      </w:r>
      <w:r w:rsidRPr="00463BD9">
        <w:rPr>
          <w:rFonts w:ascii="Century Gothic" w:eastAsia="Calibri" w:hAnsi="Century Gothic" w:cs="Arial"/>
          <w:i/>
          <w:iCs/>
        </w:rPr>
        <w:t>gobierno propio</w:t>
      </w:r>
      <w:r w:rsidRPr="00463BD9">
        <w:rPr>
          <w:rFonts w:ascii="Century Gothic" w:eastAsia="Calibri" w:hAnsi="Century Gothic" w:cs="Arial"/>
        </w:rPr>
        <w:t xml:space="preserve"> y la </w:t>
      </w:r>
      <w:r w:rsidRPr="00463BD9">
        <w:rPr>
          <w:rFonts w:ascii="Century Gothic" w:eastAsia="Calibri" w:hAnsi="Century Gothic" w:cs="Arial"/>
          <w:i/>
          <w:iCs/>
        </w:rPr>
        <w:t xml:space="preserve">identidad cultural </w:t>
      </w:r>
      <w:r w:rsidRPr="00463BD9">
        <w:rPr>
          <w:rFonts w:ascii="Century Gothic" w:eastAsia="Calibri" w:hAnsi="Century Gothic" w:cs="Arial"/>
        </w:rPr>
        <w:t xml:space="preserve">como derechos de las comunidades negras, afrodescendientes, raizales y palenqueras. </w:t>
      </w:r>
    </w:p>
    <w:p w14:paraId="7F91EFC5" w14:textId="77777777" w:rsidR="00B44E17" w:rsidRPr="00971E6B" w:rsidRDefault="00B44E17" w:rsidP="00B44E17">
      <w:pPr>
        <w:ind w:firstLine="708"/>
        <w:jc w:val="both"/>
        <w:rPr>
          <w:rFonts w:ascii="Century Gothic" w:eastAsia="Calibri" w:hAnsi="Century Gothic" w:cs="Arial"/>
        </w:rPr>
      </w:pPr>
      <w:r w:rsidRPr="00971E6B">
        <w:rPr>
          <w:rFonts w:ascii="Century Gothic" w:eastAsia="Calibri" w:hAnsi="Century Gothic" w:cs="Arial"/>
        </w:rPr>
        <w:t xml:space="preserve">En relación con la expresión </w:t>
      </w:r>
      <w:r w:rsidRPr="00971E6B">
        <w:rPr>
          <w:rFonts w:ascii="Century Gothic" w:eastAsia="Calibri" w:hAnsi="Century Gothic" w:cs="Arial"/>
          <w:i/>
          <w:iCs/>
        </w:rPr>
        <w:t>garantía de derechos,</w:t>
      </w:r>
      <w:r w:rsidRPr="00971E6B">
        <w:rPr>
          <w:rFonts w:ascii="Century Gothic" w:eastAsia="Calibri" w:hAnsi="Century Gothic" w:cs="Arial"/>
        </w:rPr>
        <w:t xml:space="preserve"> es necesario indicar que el artículo 2 de la Carta Política Colombiana</w:t>
      </w:r>
      <w:r w:rsidRPr="00971E6B">
        <w:rPr>
          <w:rStyle w:val="FootnoteReference"/>
          <w:rFonts w:ascii="Century Gothic" w:eastAsia="Calibri" w:hAnsi="Century Gothic" w:cs="Arial"/>
        </w:rPr>
        <w:footnoteReference w:id="11"/>
      </w:r>
      <w:r w:rsidRPr="00971E6B">
        <w:rPr>
          <w:rFonts w:ascii="Century Gothic" w:eastAsia="Calibri" w:hAnsi="Century Gothic" w:cs="Arial"/>
        </w:rPr>
        <w:t xml:space="preserve">, establece que uno de los fines esenciales del Estado, es garantizar la efectividad de los principios y derechos en ella consagrados, esto quiere decir, que es deber del Estado, propender por su goce efectivo y que para el caso de las comunidades étnicas se traduce en la materialización de las disposiciones sobre las cuales se estructura su especial protección. </w:t>
      </w:r>
      <w:r w:rsidRPr="00463BD9">
        <w:rPr>
          <w:rFonts w:ascii="Century Gothic" w:eastAsia="Calibri" w:hAnsi="Century Gothic" w:cs="Arial"/>
        </w:rPr>
        <w:t xml:space="preserve">Estas últimas precisiones resultan particularmente relevantes para comprender a que se refieren los mencionados literales con la expresión </w:t>
      </w:r>
      <w:r w:rsidRPr="00463BD9">
        <w:rPr>
          <w:rFonts w:ascii="Century Gothic" w:eastAsia="Calibri" w:hAnsi="Century Gothic" w:cs="Arial"/>
          <w:i/>
          <w:iCs/>
        </w:rPr>
        <w:t>garantía de derechos</w:t>
      </w:r>
      <w:r w:rsidRPr="00463BD9">
        <w:rPr>
          <w:rFonts w:ascii="Century Gothic" w:eastAsia="Calibri" w:hAnsi="Century Gothic" w:cs="Arial"/>
        </w:rPr>
        <w:t xml:space="preserve">, en la medida en que, siendo la </w:t>
      </w:r>
      <w:r w:rsidRPr="00463BD9">
        <w:rPr>
          <w:rFonts w:ascii="Century Gothic" w:eastAsia="Calibri" w:hAnsi="Century Gothic" w:cs="Arial"/>
          <w:i/>
          <w:iCs/>
        </w:rPr>
        <w:t>autonomía</w:t>
      </w:r>
      <w:r w:rsidRPr="00463BD9">
        <w:rPr>
          <w:rFonts w:ascii="Century Gothic" w:eastAsia="Calibri" w:hAnsi="Century Gothic" w:cs="Arial"/>
        </w:rPr>
        <w:t xml:space="preserve">, el </w:t>
      </w:r>
      <w:r w:rsidRPr="00463BD9">
        <w:rPr>
          <w:rFonts w:ascii="Century Gothic" w:eastAsia="Calibri" w:hAnsi="Century Gothic" w:cs="Arial"/>
          <w:i/>
          <w:iCs/>
        </w:rPr>
        <w:t xml:space="preserve">gobierno propio y la identidad cultural, </w:t>
      </w:r>
      <w:r w:rsidRPr="00463BD9">
        <w:rPr>
          <w:rFonts w:ascii="Century Gothic" w:eastAsia="Calibri" w:hAnsi="Century Gothic" w:cs="Arial"/>
        </w:rPr>
        <w:t xml:space="preserve">la referida expresión cumple la función de una cláusula de </w:t>
      </w:r>
      <w:r w:rsidRPr="00463BD9">
        <w:rPr>
          <w:rFonts w:ascii="Century Gothic" w:eastAsia="Calibri" w:hAnsi="Century Gothic" w:cs="Arial"/>
          <w:i/>
          <w:iCs/>
        </w:rPr>
        <w:t xml:space="preserve">numerus apertus, </w:t>
      </w:r>
      <w:r w:rsidRPr="00463BD9">
        <w:rPr>
          <w:rFonts w:ascii="Century Gothic" w:eastAsia="Calibri" w:hAnsi="Century Gothic" w:cs="Arial"/>
        </w:rPr>
        <w:t xml:space="preserve">que tiene el efecto de incluir dentro del ámbito de aplicación de las causales bajo estudio los objetos contractuales dirigidos a proteger cualquier otro derecho de las comunidades o pueblos étnicos. Esto significa que, el requisito objetivo que plantea el N) del artículo 2, numeral 4 de la Ley 1150 de 2007, no solo podría verse satisfecho por objetos contractuales encaminados a proteger la </w:t>
      </w:r>
      <w:r w:rsidRPr="00463BD9">
        <w:rPr>
          <w:rFonts w:ascii="Century Gothic" w:eastAsia="Calibri" w:hAnsi="Century Gothic" w:cs="Arial"/>
          <w:i/>
          <w:iCs/>
        </w:rPr>
        <w:t>autonomía</w:t>
      </w:r>
      <w:r w:rsidRPr="00463BD9">
        <w:rPr>
          <w:rFonts w:ascii="Century Gothic" w:eastAsia="Calibri" w:hAnsi="Century Gothic" w:cs="Arial"/>
        </w:rPr>
        <w:t xml:space="preserve">, el </w:t>
      </w:r>
      <w:r w:rsidRPr="00463BD9">
        <w:rPr>
          <w:rFonts w:ascii="Century Gothic" w:eastAsia="Calibri" w:hAnsi="Century Gothic" w:cs="Arial"/>
          <w:i/>
          <w:iCs/>
        </w:rPr>
        <w:t xml:space="preserve">gobierno propio y la identidad cultural, </w:t>
      </w:r>
      <w:r w:rsidRPr="00463BD9">
        <w:rPr>
          <w:rFonts w:ascii="Century Gothic" w:eastAsia="Calibri" w:hAnsi="Century Gothic" w:cs="Arial"/>
        </w:rPr>
        <w:t>sino también por aquellos dirigidos a proteger los demás derechos de los que son titulares las personas pertenecientes a comunidades o pueblos éticos, lo cual incluye no solo aquellos derechos que emanan de la protección especial a los pueblos étnicos– incluyendo el Convenio 169 de la OIT–, sino todo el catálogo de derechos que la Constitución Política consagra para todas las personas tales como  la igualdad material–art. 13, libre locomoción –art. 24–, salud–arts. 48 y 49–,recreación, deporte y aprovechamiento del tiempo libre –art. 52–, educación –art. 67–, medio ambiente sano–art. 79–,  entre otros.</w:t>
      </w:r>
    </w:p>
    <w:p w14:paraId="1CA84A89" w14:textId="77777777" w:rsidR="00B44E17" w:rsidRPr="00971E6B" w:rsidRDefault="00B44E17" w:rsidP="00B44E17">
      <w:pPr>
        <w:spacing w:after="0"/>
        <w:jc w:val="both"/>
        <w:rPr>
          <w:rFonts w:ascii="Century Gothic" w:eastAsia="Calibri" w:hAnsi="Century Gothic" w:cs="Arial"/>
          <w:b/>
        </w:rPr>
      </w:pPr>
      <w:r w:rsidRPr="00971E6B">
        <w:rPr>
          <w:rFonts w:ascii="Century Gothic" w:eastAsia="Calibri" w:hAnsi="Century Gothic" w:cs="Arial"/>
          <w:b/>
        </w:rPr>
        <w:t>2.2. Ámbito de aplicación de la causal de contratación directa del literal N del artículo, numeral 4 de la Ley 1150 de 2007</w:t>
      </w:r>
    </w:p>
    <w:p w14:paraId="7F4027E2" w14:textId="77777777" w:rsidR="00B44E17" w:rsidRPr="00971E6B" w:rsidRDefault="00B44E17" w:rsidP="00B44E17">
      <w:pPr>
        <w:spacing w:after="0"/>
        <w:jc w:val="both"/>
        <w:rPr>
          <w:rFonts w:ascii="Century Gothic" w:eastAsia="Calibri" w:hAnsi="Century Gothic" w:cs="Arial"/>
        </w:rPr>
      </w:pPr>
    </w:p>
    <w:p w14:paraId="5B46F931" w14:textId="77777777" w:rsidR="00B44E17" w:rsidRPr="00971E6B" w:rsidRDefault="00B44E17" w:rsidP="00B44E17">
      <w:pPr>
        <w:spacing w:after="120" w:line="276" w:lineRule="auto"/>
        <w:jc w:val="both"/>
        <w:rPr>
          <w:rFonts w:ascii="Century Gothic" w:eastAsia="Calibri" w:hAnsi="Century Gothic" w:cs="Arial"/>
        </w:rPr>
      </w:pPr>
      <w:r w:rsidRPr="00971E6B">
        <w:rPr>
          <w:rFonts w:ascii="Century Gothic" w:eastAsia="Calibri" w:hAnsi="Century Gothic" w:cs="Arial"/>
        </w:rPr>
        <w:t xml:space="preserve">Hoy día, dentro del marco jurídico aplicable a los contratos estatales existen disposiciones que regulan la celebración de contratos que involucran como cocontratantes de las Entidades Estatales a diferentes instancias de representación de las comunidades negras, afrodescendientes, raizales y palenqueras. A través de estas disposiciones el legislador ha atribuido capacidad jurídica y contractual a diversas formas organizativas, estableciendo unos supuestos de hecho y requisitos con sujeción a los cuales procede la celebración de estas obligaciones, de acuerdo con la naturaleza contractual de dichos agentes. </w:t>
      </w:r>
    </w:p>
    <w:p w14:paraId="4CD2C2D0" w14:textId="77777777" w:rsidR="00B44E17" w:rsidRPr="00971E6B" w:rsidRDefault="00B44E17" w:rsidP="00B44E17">
      <w:pPr>
        <w:spacing w:after="120" w:line="276" w:lineRule="auto"/>
        <w:ind w:firstLine="680"/>
        <w:jc w:val="both"/>
        <w:rPr>
          <w:rFonts w:ascii="Century Gothic" w:eastAsia="Calibri" w:hAnsi="Century Gothic" w:cs="Arial"/>
        </w:rPr>
      </w:pPr>
      <w:r w:rsidRPr="00971E6B">
        <w:rPr>
          <w:rFonts w:ascii="Century Gothic" w:eastAsia="Calibri" w:hAnsi="Century Gothic" w:cs="Arial"/>
        </w:rPr>
        <w:t xml:space="preserve">No obstante, con el fin de garantizar la igualdad material, procurar la satisfacción de derechos sociales, económicos y culturales, así como la preservación de la identidad social y cultural de las comunidades negras, afrodescendientes, raizales y palenqueras, el legislador y el Gobierno Nacional  han regulado algunos aspectos contractuales en relación con sus órganos representativos. </w:t>
      </w:r>
    </w:p>
    <w:p w14:paraId="4C88829F" w14:textId="77777777" w:rsidR="00B44E17" w:rsidRPr="00971E6B" w:rsidRDefault="00B44E17" w:rsidP="00B44E17">
      <w:pPr>
        <w:spacing w:after="120" w:line="276" w:lineRule="auto"/>
        <w:ind w:firstLine="680"/>
        <w:jc w:val="both"/>
        <w:rPr>
          <w:rFonts w:ascii="Century Gothic" w:eastAsia="Calibri" w:hAnsi="Century Gothic" w:cs="Arial"/>
        </w:rPr>
      </w:pPr>
      <w:r w:rsidRPr="00971E6B">
        <w:rPr>
          <w:rFonts w:ascii="Century Gothic" w:eastAsia="Calibri" w:hAnsi="Century Gothic" w:cs="Arial"/>
        </w:rPr>
        <w:t>Es por esto que, la Ley 2160 del 2021 “</w:t>
      </w:r>
      <w:r w:rsidRPr="00971E6B">
        <w:rPr>
          <w:rFonts w:ascii="Century Gothic" w:eastAsia="Calibri" w:hAnsi="Century Gothic" w:cs="Arial"/>
          <w:i/>
          <w:iCs/>
        </w:rPr>
        <w:t>por medio del cual se modifica la ley 80 de 1993 y la ley 1150 de 2007</w:t>
      </w:r>
      <w:r w:rsidRPr="00971E6B">
        <w:rPr>
          <w:rFonts w:ascii="Century Gothic" w:eastAsia="Calibri" w:hAnsi="Century Gothic" w:cs="Arial"/>
        </w:rPr>
        <w:t>”, confirió de manera expresa capacidad jurídica a las 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w:t>
      </w:r>
      <w:r w:rsidRPr="00971E6B">
        <w:rPr>
          <w:rFonts w:ascii="Century Gothic" w:eastAsia="Calibri" w:hAnsi="Century Gothic" w:cs="Arial"/>
          <w:vertAlign w:val="superscript"/>
        </w:rPr>
        <w:footnoteReference w:id="12"/>
      </w:r>
      <w:r w:rsidRPr="00971E6B">
        <w:rPr>
          <w:rFonts w:ascii="Century Gothic" w:eastAsia="Calibri" w:hAnsi="Century Gothic" w:cs="Arial"/>
        </w:rPr>
        <w:t xml:space="preserve"> . Con este propósito se dispuso la modificación del artículo 6 de la Ley 80 de 1993, el cual regula la capacidad jurídica en el Estatuto General de Contratación de la Administración Pública. </w:t>
      </w:r>
    </w:p>
    <w:p w14:paraId="2C07FE88" w14:textId="77777777" w:rsidR="00B44E17" w:rsidRPr="00971E6B" w:rsidRDefault="00B44E17" w:rsidP="00B44E17">
      <w:pPr>
        <w:spacing w:after="120" w:line="276" w:lineRule="auto"/>
        <w:ind w:firstLine="680"/>
        <w:jc w:val="both"/>
        <w:rPr>
          <w:rFonts w:ascii="Century Gothic" w:hAnsi="Century Gothic" w:cs="Arial"/>
        </w:rPr>
      </w:pPr>
      <w:r w:rsidRPr="00971E6B">
        <w:rPr>
          <w:rFonts w:ascii="Century Gothic" w:eastAsia="Calibri" w:hAnsi="Century Gothic" w:cs="Arial"/>
        </w:rPr>
        <w:t>Igualmente, la Ley 2160 de 2021 introdujo modificaciones en la Ley 1150 de 2007, específicamente en el artículo 2</w:t>
      </w:r>
      <w:r w:rsidRPr="00971E6B">
        <w:rPr>
          <w:rFonts w:ascii="Century Gothic" w:hAnsi="Century Gothic" w:cs="Arial"/>
        </w:rPr>
        <w:t>, adicionando el literal N al numeral 4, asunto de su consulta, creando unas causales de contratación directa aplicables de manera exclusiva a los entes organizativos a los que les atribuyen capacidad contractual en los artículos 6 y 7 de la Ley 80 de 1993.</w:t>
      </w:r>
      <w:r w:rsidRPr="00971E6B">
        <w:rPr>
          <w:rFonts w:ascii="Century Gothic" w:eastAsia="Calibri" w:hAnsi="Century Gothic" w:cs="Arial"/>
        </w:rPr>
        <w:t xml:space="preserve"> Estas causales se enfocan en la colaboración entre la Entidades Estatales y algunos entes organizativos de comunidades y pueblos étnicos. Sobre el particular se observa que el </w:t>
      </w:r>
      <w:r w:rsidRPr="00971E6B">
        <w:rPr>
          <w:rFonts w:ascii="Century Gothic" w:hAnsi="Century Gothic" w:cs="Arial"/>
        </w:rPr>
        <w:t>literal N) del numeral 4 del artículo 2 de la Ley 1150 de 2007, dispone lo siguiente:</w:t>
      </w:r>
    </w:p>
    <w:p w14:paraId="49BC690B" w14:textId="77777777" w:rsidR="00B44E17" w:rsidRPr="00B16B71" w:rsidRDefault="00B44E17" w:rsidP="00B44E17">
      <w:pPr>
        <w:pStyle w:val="NormalWeb"/>
        <w:shd w:val="clear" w:color="auto" w:fill="FFFFFF"/>
        <w:spacing w:before="0" w:beforeAutospacing="0" w:after="120" w:afterAutospacing="0"/>
        <w:ind w:left="709" w:right="709"/>
        <w:jc w:val="both"/>
        <w:rPr>
          <w:rFonts w:ascii="Century Gothic" w:hAnsi="Century Gothic" w:cs="Arial"/>
          <w:sz w:val="20"/>
          <w:szCs w:val="20"/>
          <w:lang w:val="es-CO"/>
        </w:rPr>
      </w:pPr>
      <w:r w:rsidRPr="00B16B71">
        <w:rPr>
          <w:rStyle w:val="Strong"/>
          <w:rFonts w:ascii="Century Gothic" w:hAnsi="Century Gothic" w:cs="Arial"/>
          <w:sz w:val="20"/>
          <w:szCs w:val="20"/>
          <w:lang w:val="es-CO"/>
        </w:rPr>
        <w:t>“Artículo 2° Modifíquese el Artículo </w:t>
      </w:r>
      <w:bookmarkStart w:id="4" w:name="2"/>
      <w:r w:rsidRPr="00463BD9">
        <w:rPr>
          <w:rStyle w:val="Strong"/>
          <w:rFonts w:ascii="Century Gothic" w:hAnsi="Century Gothic" w:cs="Arial"/>
          <w:b w:val="0"/>
          <w:sz w:val="20"/>
          <w:szCs w:val="20"/>
        </w:rPr>
        <w:fldChar w:fldCharType="begin"/>
      </w:r>
      <w:r w:rsidRPr="00B16B71">
        <w:rPr>
          <w:rStyle w:val="Strong"/>
          <w:rFonts w:ascii="Century Gothic" w:hAnsi="Century Gothic" w:cs="Arial"/>
          <w:sz w:val="20"/>
          <w:szCs w:val="20"/>
          <w:lang w:val="es-CO"/>
        </w:rPr>
        <w:instrText xml:space="preserve"> HYPERLINK "https://www.funcionpublica.gov.co/eva/gestornormativo/norma.php?i=25678" \l "2" \o "vinculo" </w:instrText>
      </w:r>
      <w:r w:rsidRPr="00463BD9">
        <w:rPr>
          <w:rStyle w:val="Strong"/>
          <w:rFonts w:ascii="Century Gothic" w:hAnsi="Century Gothic" w:cs="Arial"/>
          <w:b w:val="0"/>
          <w:sz w:val="20"/>
          <w:szCs w:val="20"/>
        </w:rPr>
      </w:r>
      <w:r w:rsidRPr="00463BD9">
        <w:rPr>
          <w:rStyle w:val="Strong"/>
          <w:rFonts w:ascii="Century Gothic" w:hAnsi="Century Gothic" w:cs="Arial"/>
          <w:b w:val="0"/>
          <w:sz w:val="20"/>
          <w:szCs w:val="20"/>
        </w:rPr>
        <w:fldChar w:fldCharType="separate"/>
      </w:r>
      <w:r w:rsidRPr="00B16B71">
        <w:rPr>
          <w:rStyle w:val="Strong"/>
          <w:rFonts w:ascii="Century Gothic" w:hAnsi="Century Gothic" w:cs="Arial"/>
          <w:sz w:val="20"/>
          <w:szCs w:val="20"/>
          <w:lang w:val="es-CO"/>
        </w:rPr>
        <w:t>2</w:t>
      </w:r>
      <w:r w:rsidRPr="00463BD9">
        <w:rPr>
          <w:rStyle w:val="Strong"/>
          <w:rFonts w:ascii="Century Gothic" w:hAnsi="Century Gothic" w:cs="Arial"/>
          <w:b w:val="0"/>
          <w:sz w:val="20"/>
          <w:szCs w:val="20"/>
        </w:rPr>
        <w:fldChar w:fldCharType="end"/>
      </w:r>
      <w:bookmarkEnd w:id="4"/>
      <w:r w:rsidRPr="00B16B71">
        <w:rPr>
          <w:rStyle w:val="Strong"/>
          <w:rFonts w:ascii="Century Gothic" w:hAnsi="Century Gothic" w:cs="Arial"/>
          <w:sz w:val="20"/>
          <w:szCs w:val="20"/>
          <w:lang w:val="es-CO"/>
        </w:rPr>
        <w:t> de la Ley 1150 de 2007, e inclúyase el literal I), m) y n) al numeral </w:t>
      </w:r>
      <w:bookmarkStart w:id="5" w:name="2.4"/>
      <w:r w:rsidRPr="00463BD9">
        <w:rPr>
          <w:rStyle w:val="Strong"/>
          <w:rFonts w:ascii="Century Gothic" w:hAnsi="Century Gothic" w:cs="Arial"/>
          <w:b w:val="0"/>
          <w:sz w:val="20"/>
          <w:szCs w:val="20"/>
        </w:rPr>
        <w:fldChar w:fldCharType="begin"/>
      </w:r>
      <w:r w:rsidRPr="00B16B71">
        <w:rPr>
          <w:rStyle w:val="Strong"/>
          <w:rFonts w:ascii="Century Gothic" w:hAnsi="Century Gothic" w:cs="Arial"/>
          <w:sz w:val="20"/>
          <w:szCs w:val="20"/>
          <w:lang w:val="es-CO"/>
        </w:rPr>
        <w:instrText xml:space="preserve"> HYPERLINK "https://www.funcionpublica.gov.co/eva/gestornormativo/norma.php?i=25678" \l "2.4" \o "vinculo" </w:instrText>
      </w:r>
      <w:r w:rsidRPr="00463BD9">
        <w:rPr>
          <w:rStyle w:val="Strong"/>
          <w:rFonts w:ascii="Century Gothic" w:hAnsi="Century Gothic" w:cs="Arial"/>
          <w:b w:val="0"/>
          <w:sz w:val="20"/>
          <w:szCs w:val="20"/>
        </w:rPr>
      </w:r>
      <w:r w:rsidRPr="00463BD9">
        <w:rPr>
          <w:rStyle w:val="Strong"/>
          <w:rFonts w:ascii="Century Gothic" w:hAnsi="Century Gothic" w:cs="Arial"/>
          <w:b w:val="0"/>
          <w:sz w:val="20"/>
          <w:szCs w:val="20"/>
        </w:rPr>
        <w:fldChar w:fldCharType="separate"/>
      </w:r>
      <w:r w:rsidRPr="00B16B71">
        <w:rPr>
          <w:rStyle w:val="Strong"/>
          <w:rFonts w:ascii="Century Gothic" w:hAnsi="Century Gothic" w:cs="Arial"/>
          <w:sz w:val="20"/>
          <w:szCs w:val="20"/>
          <w:lang w:val="es-CO"/>
        </w:rPr>
        <w:t>4</w:t>
      </w:r>
      <w:r w:rsidRPr="00463BD9">
        <w:rPr>
          <w:rStyle w:val="Strong"/>
          <w:rFonts w:ascii="Century Gothic" w:hAnsi="Century Gothic" w:cs="Arial"/>
          <w:b w:val="0"/>
          <w:sz w:val="20"/>
          <w:szCs w:val="20"/>
        </w:rPr>
        <w:fldChar w:fldCharType="end"/>
      </w:r>
      <w:bookmarkEnd w:id="5"/>
      <w:r w:rsidRPr="00B16B71">
        <w:rPr>
          <w:rStyle w:val="Strong"/>
          <w:rFonts w:ascii="Century Gothic" w:hAnsi="Century Gothic" w:cs="Arial"/>
          <w:sz w:val="20"/>
          <w:szCs w:val="20"/>
          <w:lang w:val="es-CO"/>
        </w:rPr>
        <w:t>, el cual quedara así:</w:t>
      </w:r>
    </w:p>
    <w:p w14:paraId="5C16A954" w14:textId="77777777" w:rsidR="00B44E17" w:rsidRPr="00B16B71" w:rsidRDefault="00B44E17" w:rsidP="00B44E17">
      <w:pPr>
        <w:pStyle w:val="NormalWeb"/>
        <w:shd w:val="clear" w:color="auto" w:fill="FFFFFF"/>
        <w:spacing w:before="0" w:beforeAutospacing="0" w:after="0" w:afterAutospacing="0"/>
        <w:ind w:left="709" w:right="709"/>
        <w:jc w:val="both"/>
        <w:rPr>
          <w:rFonts w:ascii="Century Gothic" w:hAnsi="Century Gothic" w:cs="Arial"/>
          <w:sz w:val="20"/>
          <w:szCs w:val="20"/>
          <w:lang w:val="es-CO"/>
        </w:rPr>
      </w:pPr>
      <w:r w:rsidRPr="00B16B71">
        <w:rPr>
          <w:rStyle w:val="Strong"/>
          <w:rFonts w:ascii="Century Gothic" w:hAnsi="Century Gothic" w:cs="Arial"/>
          <w:sz w:val="20"/>
          <w:szCs w:val="20"/>
          <w:lang w:val="es-CO"/>
        </w:rPr>
        <w:t>Artículo 2°. De las modalidades de selección.</w:t>
      </w:r>
      <w:r w:rsidRPr="00B16B71">
        <w:rPr>
          <w:rFonts w:ascii="Century Gothic" w:hAnsi="Century Gothic" w:cs="Arial"/>
          <w:sz w:val="20"/>
          <w:szCs w:val="20"/>
          <w:lang w:val="es-CO"/>
        </w:rPr>
        <w:t> La escogencia del contratista se efectuará con arreglo a las modalidades de selección de licitación pública, selección abreviada, concurso de méritos y contratación directa, con base en las siguientes reglas:</w:t>
      </w:r>
    </w:p>
    <w:p w14:paraId="6C6AEFA7" w14:textId="77777777" w:rsidR="00B44E17" w:rsidRPr="00463BD9" w:rsidRDefault="00B44E17" w:rsidP="00B44E17">
      <w:pPr>
        <w:pStyle w:val="NormalWeb"/>
        <w:shd w:val="clear" w:color="auto" w:fill="FFFFFF"/>
        <w:spacing w:before="0" w:beforeAutospacing="0" w:after="120" w:afterAutospacing="0"/>
        <w:ind w:left="709" w:right="709"/>
        <w:jc w:val="both"/>
        <w:rPr>
          <w:rFonts w:ascii="Century Gothic" w:hAnsi="Century Gothic" w:cs="Arial"/>
          <w:sz w:val="20"/>
          <w:szCs w:val="20"/>
        </w:rPr>
      </w:pPr>
      <w:r w:rsidRPr="00463BD9">
        <w:rPr>
          <w:rFonts w:ascii="Century Gothic" w:hAnsi="Century Gothic" w:cs="Arial"/>
          <w:sz w:val="20"/>
          <w:szCs w:val="20"/>
        </w:rPr>
        <w:t>[...]</w:t>
      </w:r>
    </w:p>
    <w:p w14:paraId="5D78C856" w14:textId="77777777" w:rsidR="00B44E17" w:rsidRPr="00463BD9" w:rsidRDefault="00B44E17" w:rsidP="00B44E17">
      <w:pPr>
        <w:numPr>
          <w:ilvl w:val="0"/>
          <w:numId w:val="7"/>
        </w:numPr>
        <w:shd w:val="clear" w:color="auto" w:fill="FFFFFF"/>
        <w:tabs>
          <w:tab w:val="clear" w:pos="720"/>
          <w:tab w:val="num" w:pos="993"/>
        </w:tabs>
        <w:spacing w:after="0" w:line="240" w:lineRule="auto"/>
        <w:ind w:left="709" w:right="709" w:firstLine="0"/>
        <w:jc w:val="both"/>
        <w:rPr>
          <w:rFonts w:ascii="Century Gothic" w:hAnsi="Century Gothic" w:cs="Arial"/>
          <w:sz w:val="20"/>
          <w:szCs w:val="20"/>
        </w:rPr>
      </w:pPr>
      <w:r w:rsidRPr="00463BD9">
        <w:rPr>
          <w:rFonts w:ascii="Century Gothic" w:hAnsi="Century Gothic" w:cs="Arial"/>
          <w:sz w:val="20"/>
          <w:szCs w:val="20"/>
        </w:rPr>
        <w:t>Contratación directa. La modalidad de selección de contratación directa solamente procederá en los siguientes casos:</w:t>
      </w:r>
    </w:p>
    <w:p w14:paraId="7DAA7004" w14:textId="77777777" w:rsidR="00B44E17" w:rsidRPr="00463BD9" w:rsidRDefault="00B44E17" w:rsidP="00B44E17">
      <w:pPr>
        <w:shd w:val="clear" w:color="auto" w:fill="FFFFFF"/>
        <w:spacing w:after="120" w:line="240" w:lineRule="auto"/>
        <w:ind w:left="709" w:right="709"/>
        <w:jc w:val="both"/>
        <w:rPr>
          <w:rFonts w:ascii="Century Gothic" w:hAnsi="Century Gothic" w:cs="Arial"/>
          <w:sz w:val="20"/>
          <w:szCs w:val="20"/>
        </w:rPr>
      </w:pPr>
      <w:r w:rsidRPr="00463BD9">
        <w:rPr>
          <w:rFonts w:ascii="Century Gothic" w:hAnsi="Century Gothic" w:cs="Arial"/>
          <w:sz w:val="20"/>
          <w:szCs w:val="20"/>
        </w:rPr>
        <w:t>[…]</w:t>
      </w:r>
    </w:p>
    <w:p w14:paraId="0E98556C" w14:textId="77777777" w:rsidR="00B44E17" w:rsidRPr="00463BD9" w:rsidRDefault="00B44E17" w:rsidP="00B44E17">
      <w:pPr>
        <w:shd w:val="clear" w:color="auto" w:fill="FFFFFF"/>
        <w:spacing w:after="120" w:line="240" w:lineRule="auto"/>
        <w:ind w:left="709" w:right="709"/>
        <w:jc w:val="both"/>
        <w:rPr>
          <w:rFonts w:ascii="Century Gothic" w:hAnsi="Century Gothic"/>
          <w:sz w:val="20"/>
          <w:szCs w:val="20"/>
        </w:rPr>
      </w:pPr>
      <w:r w:rsidRPr="00463BD9">
        <w:rPr>
          <w:rFonts w:ascii="Century Gothic" w:eastAsia="Times New Roman" w:hAnsi="Century Gothic" w:cs="Arial"/>
          <w:sz w:val="20"/>
          <w:szCs w:val="20"/>
          <w:lang w:eastAsia="es-CO"/>
        </w:rPr>
        <w:t xml:space="preserve">n) Los contratos que las entidades estatales suscriban con las organizaciones de base de personas pertenecientes a </w:t>
      </w:r>
      <w:r w:rsidRPr="00463BD9">
        <w:rPr>
          <w:rFonts w:ascii="Century Gothic" w:eastAsia="Times New Roman" w:hAnsi="Century Gothic" w:cs="Arial"/>
          <w:b/>
          <w:bCs/>
          <w:sz w:val="20"/>
          <w:szCs w:val="20"/>
          <w:lang w:eastAsia="es-CO"/>
        </w:rPr>
        <w:t>poblaciones afrocolombianas, raizales y palenqueras o con las demás formas y expresiones organizativas,</w:t>
      </w:r>
      <w:r w:rsidRPr="00463BD9">
        <w:rPr>
          <w:rFonts w:ascii="Century Gothic" w:eastAsia="Times New Roman" w:hAnsi="Century Gothic" w:cs="Arial"/>
          <w:sz w:val="20"/>
          <w:szCs w:val="20"/>
          <w:lang w:eastAsia="es-CO"/>
        </w:rPr>
        <w:t xml:space="preserve">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 </w:t>
      </w:r>
    </w:p>
    <w:p w14:paraId="0511CF67" w14:textId="77777777" w:rsidR="00B44E17" w:rsidRPr="00B16B71" w:rsidRDefault="00B44E17" w:rsidP="00B44E17">
      <w:pPr>
        <w:pStyle w:val="NormalWeb"/>
        <w:shd w:val="clear" w:color="auto" w:fill="FFFFFF"/>
        <w:spacing w:before="0" w:beforeAutospacing="0" w:after="120" w:afterAutospacing="0"/>
        <w:ind w:left="709" w:right="709"/>
        <w:jc w:val="both"/>
        <w:rPr>
          <w:rFonts w:ascii="Century Gothic" w:hAnsi="Century Gothic" w:cs="Arial"/>
          <w:sz w:val="20"/>
          <w:szCs w:val="20"/>
          <w:lang w:val="es-CO"/>
        </w:rPr>
      </w:pPr>
      <w:r w:rsidRPr="00B16B71">
        <w:rPr>
          <w:rFonts w:ascii="Century Gothic" w:hAnsi="Century Gothic" w:cs="Arial"/>
          <w:sz w:val="20"/>
          <w:szCs w:val="20"/>
          <w:lang w:val="es-CO"/>
        </w:rPr>
        <w:t>[...]</w:t>
      </w:r>
    </w:p>
    <w:p w14:paraId="174E5A9E" w14:textId="77777777" w:rsidR="00B44E17" w:rsidRPr="00B16B71" w:rsidRDefault="00B44E17" w:rsidP="00B44E17">
      <w:pPr>
        <w:pStyle w:val="NormalWeb"/>
        <w:shd w:val="clear" w:color="auto" w:fill="FFFFFF"/>
        <w:spacing w:before="0" w:beforeAutospacing="0" w:after="0" w:afterAutospacing="0"/>
        <w:ind w:left="709" w:right="709"/>
        <w:jc w:val="both"/>
        <w:rPr>
          <w:rFonts w:ascii="Century Gothic" w:hAnsi="Century Gothic" w:cs="Arial"/>
          <w:sz w:val="20"/>
          <w:szCs w:val="20"/>
          <w:lang w:val="es-CO"/>
        </w:rPr>
      </w:pPr>
      <w:r w:rsidRPr="00B16B71">
        <w:rPr>
          <w:rStyle w:val="Strong"/>
          <w:rFonts w:ascii="Century Gothic" w:hAnsi="Century Gothic" w:cs="Arial"/>
          <w:sz w:val="20"/>
          <w:szCs w:val="20"/>
          <w:lang w:val="es-CO"/>
        </w:rPr>
        <w:t>Parágrafo 9. </w:t>
      </w:r>
      <w:r w:rsidRPr="00B16B71">
        <w:rPr>
          <w:rFonts w:ascii="Century Gothic" w:hAnsi="Century Gothic" w:cs="Arial"/>
          <w:sz w:val="20"/>
          <w:szCs w:val="20"/>
          <w:lang w:val="es-CO"/>
        </w:rPr>
        <w:t>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capacidad para contratar, cualquiera sea la modalidad que se aplique a Ia correspondiente contratación”. (Énfasis fuera de texto)</w:t>
      </w:r>
    </w:p>
    <w:p w14:paraId="33F71BB7" w14:textId="77777777" w:rsidR="00B44E17" w:rsidRPr="00B16B71" w:rsidRDefault="00B44E17" w:rsidP="00B44E17">
      <w:pPr>
        <w:pStyle w:val="NormalWeb"/>
        <w:shd w:val="clear" w:color="auto" w:fill="FFFFFF"/>
        <w:spacing w:before="0" w:beforeAutospacing="0" w:after="0" w:afterAutospacing="0"/>
        <w:ind w:right="709"/>
        <w:jc w:val="both"/>
        <w:rPr>
          <w:rFonts w:ascii="Century Gothic" w:hAnsi="Century Gothic" w:cs="Arial"/>
          <w:sz w:val="21"/>
          <w:szCs w:val="21"/>
          <w:lang w:val="es-CO"/>
        </w:rPr>
      </w:pPr>
    </w:p>
    <w:p w14:paraId="29EF1DCA" w14:textId="77777777" w:rsidR="00B44E17" w:rsidRPr="00463BD9" w:rsidRDefault="00B44E17" w:rsidP="00B44E17">
      <w:pPr>
        <w:spacing w:after="0" w:line="276" w:lineRule="auto"/>
        <w:ind w:firstLine="708"/>
        <w:jc w:val="both"/>
        <w:rPr>
          <w:rFonts w:ascii="Century Gothic" w:hAnsi="Century Gothic" w:cs="Arial"/>
          <w:b/>
          <w:bCs/>
        </w:rPr>
      </w:pPr>
      <w:r w:rsidRPr="00971E6B">
        <w:rPr>
          <w:rFonts w:ascii="Century Gothic" w:hAnsi="Century Gothic" w:cs="Arial"/>
        </w:rPr>
        <w:t xml:space="preserve">Como se desprende del texto transcrito, el literal N) del artículo 2, numeral 4 de la Ley 1150 de 2007 consagra disposiciones que autorizan a las Entidades Estatales a contratar de manera directa con </w:t>
      </w:r>
      <w:r w:rsidRPr="00463BD9">
        <w:rPr>
          <w:rFonts w:ascii="Century Gothic" w:hAnsi="Century Gothic" w:cs="Arial"/>
        </w:rPr>
        <w:t xml:space="preserve">organizaciones de base de personas pertenecientes a comunidades afrocolombianas, raizales y palenqueras o con otras formas y expresiones organizativas. Conforme a lo anterior, la redacción normativa del literal n no incluyó a los grupos Rrom o gitanos, so pena que contempla la expresión “otras formas y expresiones asociativas”. Al respecto, el legislador hace referencia al </w:t>
      </w:r>
      <w:r w:rsidRPr="00971E6B">
        <w:rPr>
          <w:rFonts w:ascii="Century Gothic" w:eastAsia="Times New Roman" w:hAnsi="Century Gothic" w:cs="Arial"/>
          <w:shd w:val="clear" w:color="auto" w:fill="FFFFFF"/>
          <w:lang w:eastAsia="es-ES_tradnl"/>
        </w:rPr>
        <w:t>conjunto de familias de ascendencia negra, afrocolombiana, raizal o palenquera</w:t>
      </w:r>
      <w:r w:rsidRPr="00971E6B">
        <w:rPr>
          <w:rFonts w:ascii="Century Gothic" w:eastAsia="Times New Roman" w:hAnsi="Century Gothic" w:cs="Times New Roman"/>
          <w:lang w:eastAsia="es-ES_tradnl"/>
        </w:rPr>
        <w:t xml:space="preserve"> </w:t>
      </w:r>
      <w:r w:rsidRPr="00463BD9">
        <w:rPr>
          <w:rFonts w:ascii="Century Gothic" w:hAnsi="Century Gothic" w:cs="Arial"/>
        </w:rPr>
        <w:t>preceptuada en el literal 3 del artículo 7 de la Ley 1150 de 2007, modificado por el artículo 3 de la Ley 2160 2021 así:</w:t>
      </w:r>
      <w:r w:rsidRPr="00463BD9">
        <w:rPr>
          <w:rFonts w:ascii="Century Gothic" w:hAnsi="Century Gothic" w:cs="Arial"/>
          <w:b/>
          <w:bCs/>
        </w:rPr>
        <w:t xml:space="preserve"> </w:t>
      </w:r>
    </w:p>
    <w:p w14:paraId="55568DD9" w14:textId="77777777" w:rsidR="00B44E17" w:rsidRPr="00971E6B" w:rsidRDefault="00B44E17" w:rsidP="00B44E17">
      <w:pPr>
        <w:spacing w:after="0" w:line="240" w:lineRule="auto"/>
        <w:rPr>
          <w:rFonts w:ascii="Times New Roman" w:eastAsia="Times New Roman" w:hAnsi="Times New Roman" w:cs="Times New Roman"/>
          <w:sz w:val="24"/>
          <w:szCs w:val="24"/>
          <w:lang w:eastAsia="es-ES_tradnl"/>
        </w:rPr>
      </w:pPr>
    </w:p>
    <w:p w14:paraId="748C91E6" w14:textId="77777777" w:rsidR="00B44E17" w:rsidRPr="00971E6B" w:rsidRDefault="00B44E17" w:rsidP="00B44E17">
      <w:pPr>
        <w:spacing w:after="0" w:line="240" w:lineRule="auto"/>
        <w:ind w:left="709" w:right="758"/>
        <w:jc w:val="both"/>
        <w:rPr>
          <w:rFonts w:ascii="Century Gothic" w:eastAsia="Times New Roman" w:hAnsi="Century Gothic" w:cs="Times New Roman"/>
          <w:sz w:val="20"/>
          <w:szCs w:val="20"/>
          <w:lang w:eastAsia="es-ES_tradnl"/>
        </w:rPr>
      </w:pPr>
      <w:r w:rsidRPr="00971E6B">
        <w:rPr>
          <w:rFonts w:ascii="Century Gothic" w:eastAsia="Times New Roman" w:hAnsi="Century Gothic" w:cs="Arial"/>
          <w:sz w:val="20"/>
          <w:szCs w:val="20"/>
          <w:shd w:val="clear" w:color="auto" w:fill="FFFFFF"/>
          <w:lang w:eastAsia="es-ES_tradnl"/>
        </w:rPr>
        <w:t>“[…] 3. Formas o expresiones organizativas. 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 […]”</w:t>
      </w:r>
    </w:p>
    <w:p w14:paraId="4FC61D1D" w14:textId="77777777" w:rsidR="00B44E17" w:rsidRPr="00463BD9" w:rsidRDefault="00B44E17" w:rsidP="00B44E17">
      <w:pPr>
        <w:shd w:val="clear" w:color="auto" w:fill="FFFFFF"/>
        <w:spacing w:line="276" w:lineRule="auto"/>
        <w:jc w:val="both"/>
        <w:rPr>
          <w:rFonts w:ascii="Century Gothic" w:hAnsi="Century Gothic" w:cs="Arial"/>
        </w:rPr>
      </w:pPr>
      <w:r w:rsidRPr="00463BD9">
        <w:rPr>
          <w:rFonts w:ascii="Century Gothic" w:hAnsi="Century Gothic" w:cs="Arial"/>
        </w:rPr>
        <w:tab/>
      </w:r>
    </w:p>
    <w:p w14:paraId="7E57C569" w14:textId="77777777" w:rsidR="00B44E17" w:rsidRPr="00463BD9" w:rsidRDefault="00B44E17" w:rsidP="00B44E17">
      <w:pPr>
        <w:shd w:val="clear" w:color="auto" w:fill="FFFFFF"/>
        <w:spacing w:line="276" w:lineRule="auto"/>
        <w:ind w:firstLine="708"/>
        <w:jc w:val="both"/>
        <w:rPr>
          <w:rFonts w:ascii="Century Gothic" w:hAnsi="Century Gothic" w:cs="Arial"/>
        </w:rPr>
      </w:pPr>
      <w:r w:rsidRPr="00463BD9">
        <w:rPr>
          <w:rFonts w:ascii="Century Gothic" w:hAnsi="Century Gothic" w:cs="Arial"/>
        </w:rPr>
        <w:t>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 Esto implica que, conforme ha explicado la jurisprudencia</w:t>
      </w:r>
      <w:r w:rsidRPr="00463BD9">
        <w:rPr>
          <w:rStyle w:val="FootnoteReference"/>
          <w:rFonts w:ascii="Century Gothic" w:hAnsi="Century Gothic" w:cs="Arial"/>
        </w:rPr>
        <w:footnoteReference w:id="13"/>
      </w:r>
      <w:r w:rsidRPr="00463BD9">
        <w:rPr>
          <w:rFonts w:ascii="Century Gothic" w:hAnsi="Century Gothic" w:cs="Arial"/>
        </w:rPr>
        <w:t xml:space="preserve"> y la doctrina nacional</w:t>
      </w:r>
      <w:r w:rsidRPr="00463BD9">
        <w:rPr>
          <w:rStyle w:val="FootnoteReference"/>
          <w:rFonts w:ascii="Century Gothic" w:hAnsi="Century Gothic" w:cs="Arial"/>
        </w:rPr>
        <w:footnoteReference w:id="14"/>
      </w:r>
      <w:r w:rsidRPr="00463BD9">
        <w:rPr>
          <w:rFonts w:ascii="Century Gothic" w:hAnsi="Century Gothic" w:cs="Arial"/>
        </w:rPr>
        <w:t xml:space="preserve">, estas son disposiciones de aplicación </w:t>
      </w:r>
      <w:r w:rsidRPr="00463BD9">
        <w:rPr>
          <w:rFonts w:ascii="Century Gothic" w:hAnsi="Century Gothic" w:cs="Arial"/>
          <w:i/>
          <w:iCs/>
        </w:rPr>
        <w:t>restrictiva</w:t>
      </w:r>
      <w:r w:rsidRPr="00463BD9">
        <w:rPr>
          <w:rFonts w:ascii="Century Gothic" w:hAnsi="Century Gothic" w:cs="Arial"/>
        </w:rPr>
        <w:t xml:space="preserve"> que permiten que la Entidad Estatal desarrolle una relación contractual producto de un proceso no competitivo, con estricta sujeción a las condiciones o requisitos que estipula la causal.    </w:t>
      </w:r>
    </w:p>
    <w:p w14:paraId="083D5239" w14:textId="77777777" w:rsidR="00B44E17" w:rsidRPr="00971E6B" w:rsidRDefault="00B44E17" w:rsidP="00B44E17">
      <w:pPr>
        <w:shd w:val="clear" w:color="auto" w:fill="FFFFFF"/>
        <w:spacing w:line="276" w:lineRule="auto"/>
        <w:ind w:firstLine="708"/>
        <w:jc w:val="both"/>
        <w:rPr>
          <w:rFonts w:ascii="Century Gothic" w:eastAsia="Calibri" w:hAnsi="Century Gothic" w:cs="Arial"/>
        </w:rPr>
      </w:pPr>
      <w:r w:rsidRPr="00463BD9">
        <w:rPr>
          <w:rFonts w:ascii="Century Gothic" w:hAnsi="Century Gothic" w:cs="Arial"/>
        </w:rPr>
        <w:t xml:space="preserve">En el concepto No </w:t>
      </w:r>
      <w:r w:rsidRPr="00971E6B">
        <w:rPr>
          <w:rFonts w:ascii="Century Gothic" w:eastAsia="Calibri" w:hAnsi="Century Gothic" w:cs="Arial"/>
        </w:rPr>
        <w:t>C-025 del 21 de febrero del 2024 la Agencia Nacional de Contratación Pública indicó</w:t>
      </w:r>
      <w:r w:rsidRPr="00463BD9">
        <w:rPr>
          <w:rFonts w:ascii="Century Gothic" w:hAnsi="Century Gothic" w:cs="Arial"/>
        </w:rPr>
        <w:t xml:space="preserve"> la referida causal no plantea restricciones en cuanto al tipo o valor de los contratos a los que resultan aplicables, lo que, según el principio general del derecho que reza </w:t>
      </w:r>
      <w:r w:rsidRPr="00463BD9">
        <w:rPr>
          <w:rFonts w:ascii="Century Gothic" w:hAnsi="Century Gothic" w:cs="Arial"/>
          <w:i/>
          <w:iCs/>
        </w:rPr>
        <w:t>“allí donde el legislador no distingue no le corresponde al interprete hacerlo”</w:t>
      </w:r>
      <w:r w:rsidRPr="00463BD9">
        <w:rPr>
          <w:rFonts w:ascii="Century Gothic" w:hAnsi="Century Gothic" w:cs="Arial"/>
        </w:rPr>
        <w:t xml:space="preserve">, indica que la causal puede ser aplicada a todo tipo de contratos siempre que se cumplan los requisitos para la contratación directa. Esta casual plantea de manera análoga dos tipos de requisitos, unos de naturaleza </w:t>
      </w:r>
      <w:r w:rsidRPr="00463BD9">
        <w:rPr>
          <w:rFonts w:ascii="Century Gothic" w:hAnsi="Century Gothic" w:cs="Arial"/>
          <w:i/>
          <w:iCs/>
        </w:rPr>
        <w:t>subjetiva</w:t>
      </w:r>
      <w:r w:rsidRPr="00463BD9">
        <w:rPr>
          <w:rFonts w:ascii="Century Gothic" w:hAnsi="Century Gothic" w:cs="Arial"/>
        </w:rPr>
        <w:t xml:space="preserve"> y otros de naturaleza </w:t>
      </w:r>
      <w:r w:rsidRPr="00463BD9">
        <w:rPr>
          <w:rFonts w:ascii="Century Gothic" w:hAnsi="Century Gothic" w:cs="Arial"/>
          <w:i/>
          <w:iCs/>
        </w:rPr>
        <w:t>objetiva</w:t>
      </w:r>
      <w:r w:rsidRPr="00463BD9">
        <w:rPr>
          <w:rFonts w:ascii="Century Gothic" w:hAnsi="Century Gothic" w:cs="Arial"/>
        </w:rPr>
        <w:t>, que vienen restringir la aplicación de estas causales en favor de las finalidades que persiguen y que dieron lugar a su inclusión dentro del EGCAP.</w:t>
      </w:r>
    </w:p>
    <w:p w14:paraId="3387F899" w14:textId="77777777" w:rsidR="00B44E17" w:rsidRPr="00463BD9" w:rsidRDefault="00B44E17" w:rsidP="00B44E17">
      <w:pPr>
        <w:shd w:val="clear" w:color="auto" w:fill="FFFFFF"/>
        <w:spacing w:line="276" w:lineRule="auto"/>
        <w:ind w:firstLine="708"/>
        <w:jc w:val="both"/>
        <w:rPr>
          <w:rFonts w:ascii="Century Gothic" w:hAnsi="Century Gothic" w:cs="Arial"/>
        </w:rPr>
      </w:pPr>
      <w:r w:rsidRPr="00463BD9">
        <w:rPr>
          <w:rFonts w:ascii="Century Gothic" w:hAnsi="Century Gothic" w:cs="Arial"/>
        </w:rPr>
        <w:t xml:space="preserve">Como requisitos subjetivos, esta causal establece unos sujetos específicos respecto de los que procede su aplicación, lo que significa que esta solo puede ser aplicada en relaciones contractuales que involucren a los sujetos establecidos de manera expresa. Así, en el literal N) el elemento subjetivo viene dado por el hecho de que la norma contempla su aplicación respecto de las organizaciones de base de personas pertenecientes a comunidades afrocolombianas, raizales y palenqueras –definidas en el numeral 4 del artículo 7 de la Ley 80 de 1993– o con las demás formas y expresiones organizativas –según lo dispuesto en numeral 3 del artículo 7 </w:t>
      </w:r>
      <w:r w:rsidRPr="00463BD9">
        <w:rPr>
          <w:rFonts w:ascii="Century Gothic" w:hAnsi="Century Gothic" w:cs="Arial"/>
          <w:i/>
          <w:iCs/>
        </w:rPr>
        <w:t>ibídem</w:t>
      </w:r>
      <w:r w:rsidRPr="00463BD9">
        <w:rPr>
          <w:rFonts w:ascii="Century Gothic" w:hAnsi="Century Gothic" w:cs="Arial"/>
        </w:rPr>
        <w:t xml:space="preserve">–. Respecto de estas organizaciones, se exige que hayan sido incorporadas en Registro Público Único Nacional y que hayan cumplido con el deber de actualización, pero además se exige una antigüedad. Esto implica que, para la aplicación de la causal no basta con que la organización de base o forma organizativa se haya inscrito y actualizado el registro, sino que además debe acreditar que se ha registrado hace por lo menos diez (10) años, que es el plazo estipulado en la norma. </w:t>
      </w:r>
    </w:p>
    <w:p w14:paraId="0258DFA6" w14:textId="77777777" w:rsidR="00B44E17" w:rsidRPr="00463BD9" w:rsidRDefault="00B44E17" w:rsidP="00B44E17">
      <w:pPr>
        <w:shd w:val="clear" w:color="auto" w:fill="FFFFFF" w:themeFill="background1"/>
        <w:spacing w:line="276" w:lineRule="auto"/>
        <w:ind w:firstLine="708"/>
        <w:jc w:val="both"/>
        <w:rPr>
          <w:rFonts w:ascii="Century Gothic" w:hAnsi="Century Gothic" w:cs="Arial"/>
        </w:rPr>
      </w:pPr>
      <w:r w:rsidRPr="00463BD9">
        <w:rPr>
          <w:rFonts w:ascii="Century Gothic" w:hAnsi="Century Gothic" w:cs="Arial"/>
        </w:rPr>
        <w:t xml:space="preserve">Por otra parte, en cuanto al elemento objetivo, la causal del literal N) requiere que el objeto esté asociado al </w:t>
      </w:r>
      <w:r w:rsidRPr="00463BD9">
        <w:rPr>
          <w:rFonts w:ascii="Century Gothic" w:hAnsi="Century Gothic" w:cs="Arial"/>
          <w:i/>
          <w:iCs/>
        </w:rPr>
        <w:t>fortalecimiento de sus organizaciones</w:t>
      </w:r>
      <w:r w:rsidRPr="00463BD9">
        <w:rPr>
          <w:rFonts w:ascii="Century Gothic" w:hAnsi="Century Gothic" w:cs="Arial"/>
        </w:rPr>
        <w:t xml:space="preserve">, la </w:t>
      </w:r>
      <w:r w:rsidRPr="00463BD9">
        <w:rPr>
          <w:rFonts w:ascii="Century Gothic" w:hAnsi="Century Gothic" w:cs="Arial"/>
          <w:i/>
          <w:iCs/>
        </w:rPr>
        <w:t>identidad étnica y cultural</w:t>
      </w:r>
      <w:r w:rsidRPr="00463BD9">
        <w:rPr>
          <w:rFonts w:ascii="Century Gothic" w:hAnsi="Century Gothic" w:cs="Arial"/>
        </w:rPr>
        <w:t xml:space="preserve">, y/o la </w:t>
      </w:r>
      <w:r w:rsidRPr="00463BD9">
        <w:rPr>
          <w:rFonts w:ascii="Century Gothic" w:hAnsi="Century Gothic" w:cs="Arial"/>
          <w:i/>
          <w:iCs/>
        </w:rPr>
        <w:t>garantía de los derechos de las poblaciones de las mismas organizaciones</w:t>
      </w:r>
      <w:r w:rsidRPr="00463BD9">
        <w:rPr>
          <w:rFonts w:ascii="Century Gothic" w:hAnsi="Century Gothic" w:cs="Arial"/>
        </w:rPr>
        <w:t xml:space="preserve">. Al incluir estas finalidades en esta disposición normativa, el legislador acotó el ámbito de las causales restringiendo su aplicación a aquellos que tengan una relación con determinados elementos culturales y prestacionales que encuentran su fundamento dentro de la protección jurídica particular de la que son objeto los pueblos étnicos.     </w:t>
      </w:r>
    </w:p>
    <w:p w14:paraId="2688A385" w14:textId="77777777" w:rsidR="00B44E17" w:rsidRPr="00971E6B" w:rsidRDefault="00B44E17" w:rsidP="00B44E17">
      <w:pPr>
        <w:spacing w:after="120" w:line="276" w:lineRule="auto"/>
        <w:ind w:firstLine="708"/>
        <w:jc w:val="both"/>
        <w:rPr>
          <w:rFonts w:ascii="Century Gothic" w:eastAsia="Arial" w:hAnsi="Century Gothic" w:cs="Arial"/>
          <w:lang w:eastAsia="es-ES"/>
        </w:rPr>
      </w:pPr>
      <w:r w:rsidRPr="00463BD9">
        <w:rPr>
          <w:rFonts w:ascii="Century Gothic" w:hAnsi="Century Gothic" w:cs="Arial"/>
        </w:rPr>
        <w:t xml:space="preserve">Para estos efectos, la </w:t>
      </w:r>
      <w:r w:rsidRPr="00463BD9">
        <w:rPr>
          <w:rFonts w:ascii="Century Gothic" w:hAnsi="Century Gothic" w:cs="Arial"/>
          <w:i/>
          <w:iCs/>
        </w:rPr>
        <w:t>autonomía</w:t>
      </w:r>
      <w:r w:rsidRPr="00463BD9">
        <w:rPr>
          <w:rFonts w:ascii="Century Gothic" w:hAnsi="Century Gothic" w:cs="Arial"/>
        </w:rPr>
        <w:t xml:space="preserve">, el </w:t>
      </w:r>
      <w:r w:rsidRPr="00971E6B">
        <w:rPr>
          <w:rFonts w:ascii="Century Gothic" w:hAnsi="Century Gothic" w:cs="Arial"/>
          <w:i/>
          <w:iCs/>
        </w:rPr>
        <w:t>gobierno propio</w:t>
      </w:r>
      <w:r w:rsidRPr="00971E6B">
        <w:rPr>
          <w:rFonts w:ascii="Century Gothic" w:hAnsi="Century Gothic" w:cs="Arial"/>
        </w:rPr>
        <w:t xml:space="preserve">, la </w:t>
      </w:r>
      <w:r w:rsidRPr="00971E6B">
        <w:rPr>
          <w:rFonts w:ascii="Century Gothic" w:hAnsi="Century Gothic" w:cs="Arial"/>
          <w:i/>
          <w:iCs/>
        </w:rPr>
        <w:t>identidad cultural</w:t>
      </w:r>
      <w:r w:rsidRPr="00971E6B">
        <w:rPr>
          <w:rFonts w:ascii="Century Gothic" w:hAnsi="Century Gothic" w:cs="Arial"/>
        </w:rPr>
        <w:t xml:space="preserve">, </w:t>
      </w:r>
      <w:r w:rsidRPr="00971E6B">
        <w:rPr>
          <w:rFonts w:ascii="Century Gothic" w:hAnsi="Century Gothic" w:cs="Arial"/>
          <w:i/>
          <w:iCs/>
        </w:rPr>
        <w:t xml:space="preserve">y la garantía de los derechos </w:t>
      </w:r>
      <w:r w:rsidRPr="00971E6B">
        <w:rPr>
          <w:rFonts w:ascii="Century Gothic" w:hAnsi="Century Gothic" w:cs="Arial"/>
        </w:rPr>
        <w:t>de las</w:t>
      </w:r>
      <w:r w:rsidRPr="00971E6B">
        <w:rPr>
          <w:rFonts w:ascii="Century Gothic" w:hAnsi="Century Gothic" w:cs="Arial"/>
          <w:i/>
          <w:iCs/>
        </w:rPr>
        <w:t xml:space="preserve"> comunidades</w:t>
      </w:r>
      <w:r w:rsidRPr="00463BD9">
        <w:rPr>
          <w:rFonts w:ascii="Century Gothic" w:hAnsi="Century Gothic" w:cs="Arial"/>
        </w:rPr>
        <w:t xml:space="preserve">, se ofrecen como un conjunto de </w:t>
      </w:r>
      <w:r w:rsidRPr="00971E6B">
        <w:rPr>
          <w:rFonts w:ascii="Century Gothic" w:eastAsia="Calibri" w:hAnsi="Century Gothic" w:cs="Arial"/>
          <w:lang w:eastAsia="es-ES"/>
        </w:rPr>
        <w:t>conceptos jurídicos indeterminados</w:t>
      </w:r>
      <w:r w:rsidRPr="00463BD9">
        <w:rPr>
          <w:rFonts w:ascii="Century Gothic" w:eastAsia="Calibri" w:hAnsi="Century Gothic" w:cs="Arial"/>
          <w:vertAlign w:val="superscript"/>
          <w:lang w:eastAsia="es-ES"/>
        </w:rPr>
        <w:footnoteReference w:id="15"/>
      </w:r>
      <w:r w:rsidRPr="00971E6B">
        <w:rPr>
          <w:rFonts w:ascii="Century Gothic" w:hAnsi="Century Gothic" w:cs="Arial"/>
        </w:rPr>
        <w:t xml:space="preserve">. </w:t>
      </w:r>
      <w:r w:rsidRPr="00971E6B">
        <w:rPr>
          <w:rFonts w:ascii="Century Gothic" w:eastAsia="Arial" w:hAnsi="Century Gothic" w:cs="Arial"/>
          <w:lang w:eastAsia="es-ES"/>
        </w:rPr>
        <w:t>Un concepto adquiere esta denominación en el Derecho cuando se trata de un enunciado que goza de vaguedad y que debe materializarse en cada caso, atendiendo a las técnicas de la interpretación jurídica. La Corte Constitucional</w:t>
      </w:r>
      <w:r w:rsidRPr="00463BD9">
        <w:rPr>
          <w:rFonts w:ascii="Century Gothic" w:eastAsia="Arial" w:hAnsi="Century Gothic" w:cs="Arial"/>
          <w:vertAlign w:val="superscript"/>
          <w:lang w:eastAsia="es-ES"/>
        </w:rPr>
        <w:footnoteReference w:id="16"/>
      </w:r>
      <w:r w:rsidRPr="00971E6B">
        <w:rPr>
          <w:rFonts w:ascii="Century Gothic" w:eastAsia="Arial" w:hAnsi="Century Gothic" w:cs="Arial"/>
          <w:lang w:eastAsia="es-ES"/>
        </w:rPr>
        <w:t xml:space="preserve">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971E6B">
        <w:rPr>
          <w:rFonts w:ascii="Arial" w:eastAsia="Arial" w:hAnsi="Arial" w:cs="Arial"/>
          <w:lang w:eastAsia="es-ES"/>
        </w:rPr>
        <w:t xml:space="preserve">. </w:t>
      </w:r>
      <w:r w:rsidRPr="00971E6B">
        <w:rPr>
          <w:rFonts w:ascii="Century Gothic" w:eastAsia="Arial" w:hAnsi="Century Gothic" w:cs="Arial"/>
          <w:lang w:eastAsia="es-ES"/>
        </w:rPr>
        <w:t xml:space="preserve">Sin embargo, si bien se trata de conceptos para cuya concreción las Entidades Estatales gozan de cierto margen de apreciación, estas deben respetar los límites previstos en las normas de orden público y aplicar las disposiciones normativas que contienen conceptos jurídicos indeterminados de acuerdo con el marco constitucional en el que se fundamentan. </w:t>
      </w:r>
    </w:p>
    <w:p w14:paraId="62F5F258" w14:textId="77777777" w:rsidR="00B44E17" w:rsidRPr="00463BD9" w:rsidRDefault="00B44E17" w:rsidP="00B44E17">
      <w:pPr>
        <w:spacing w:after="120" w:line="276" w:lineRule="auto"/>
        <w:ind w:right="49"/>
        <w:jc w:val="both"/>
        <w:rPr>
          <w:rFonts w:ascii="Century Gothic" w:eastAsia="Calibri" w:hAnsi="Century Gothic" w:cs="Arial"/>
        </w:rPr>
      </w:pPr>
      <w:r w:rsidRPr="00463BD9">
        <w:rPr>
          <w:rFonts w:ascii="Century Gothic" w:eastAsia="Calibri" w:hAnsi="Century Gothic" w:cs="Arial"/>
        </w:rPr>
        <w:tab/>
        <w:t xml:space="preserve">Conforme a lo anterior, la implementación de la causal N) del numeral 4  del artículo 2 de la Ley 1150 de 2007 está determinada por los requisitos de </w:t>
      </w:r>
      <w:r w:rsidRPr="00463BD9">
        <w:rPr>
          <w:rFonts w:ascii="Century Gothic" w:hAnsi="Century Gothic" w:cs="Arial"/>
        </w:rPr>
        <w:t xml:space="preserve">la </w:t>
      </w:r>
      <w:r w:rsidRPr="00463BD9">
        <w:rPr>
          <w:rFonts w:ascii="Century Gothic" w:hAnsi="Century Gothic" w:cs="Arial"/>
          <w:i/>
          <w:iCs/>
        </w:rPr>
        <w:t>autonomía</w:t>
      </w:r>
      <w:r w:rsidRPr="00463BD9">
        <w:rPr>
          <w:rFonts w:ascii="Century Gothic" w:hAnsi="Century Gothic" w:cs="Arial"/>
        </w:rPr>
        <w:t xml:space="preserve">, el </w:t>
      </w:r>
      <w:r w:rsidRPr="00971E6B">
        <w:rPr>
          <w:rFonts w:ascii="Century Gothic" w:hAnsi="Century Gothic" w:cs="Arial"/>
          <w:i/>
          <w:iCs/>
        </w:rPr>
        <w:t>gobierno propio</w:t>
      </w:r>
      <w:r w:rsidRPr="00971E6B">
        <w:rPr>
          <w:rFonts w:ascii="Century Gothic" w:hAnsi="Century Gothic" w:cs="Arial"/>
        </w:rPr>
        <w:t xml:space="preserve">, la </w:t>
      </w:r>
      <w:r w:rsidRPr="00971E6B">
        <w:rPr>
          <w:rFonts w:ascii="Century Gothic" w:hAnsi="Century Gothic" w:cs="Arial"/>
          <w:i/>
          <w:iCs/>
        </w:rPr>
        <w:t>identidad cultural</w:t>
      </w:r>
      <w:r w:rsidRPr="00971E6B">
        <w:rPr>
          <w:rFonts w:ascii="Century Gothic" w:hAnsi="Century Gothic" w:cs="Arial"/>
        </w:rPr>
        <w:t xml:space="preserve">, </w:t>
      </w:r>
      <w:r w:rsidRPr="00971E6B">
        <w:rPr>
          <w:rFonts w:ascii="Century Gothic" w:hAnsi="Century Gothic" w:cs="Arial"/>
          <w:i/>
          <w:iCs/>
        </w:rPr>
        <w:t xml:space="preserve">y la garantía de los derechos </w:t>
      </w:r>
      <w:r w:rsidRPr="00971E6B">
        <w:rPr>
          <w:rFonts w:ascii="Century Gothic" w:hAnsi="Century Gothic" w:cs="Arial"/>
        </w:rPr>
        <w:t>de las</w:t>
      </w:r>
      <w:r w:rsidRPr="00971E6B">
        <w:rPr>
          <w:rFonts w:ascii="Century Gothic" w:hAnsi="Century Gothic" w:cs="Arial"/>
          <w:i/>
          <w:iCs/>
        </w:rPr>
        <w:t xml:space="preserve"> comunidades</w:t>
      </w:r>
      <w:r w:rsidRPr="00463BD9">
        <w:rPr>
          <w:rFonts w:ascii="Century Gothic" w:hAnsi="Century Gothic" w:cs="Arial"/>
        </w:rPr>
        <w:t>,</w:t>
      </w:r>
      <w:r w:rsidRPr="00463BD9">
        <w:rPr>
          <w:rFonts w:ascii="Century Gothic" w:eastAsia="Calibri" w:hAnsi="Century Gothic" w:cs="Arial"/>
        </w:rPr>
        <w:t xml:space="preserve">. </w:t>
      </w:r>
      <w:bookmarkStart w:id="6" w:name="_Hlk159334155"/>
      <w:r w:rsidRPr="00463BD9">
        <w:rPr>
          <w:rFonts w:ascii="Century Gothic" w:eastAsia="Calibri" w:hAnsi="Century Gothic" w:cs="Arial"/>
        </w:rPr>
        <w:t xml:space="preserve">De esta manera, se requiere que la Organización de Base o Forma Organizativa, demuestre haberse inscrito hace por lo menos diez (10) años en aludido registro, habiendo cumplido con el deber de actualización. Cumplidos estos requisitos, para validar la correcta aplicación de la causal las Entidades Estatales deberán cerciorarse de que, el objeto contractual está relacionado con el fortalecimiento del gobierno propio–u organizativo–, la identidad étnica y cultural, la autonomía o los derechos de las personas pertenecientes a las comunidades y/o organizaciones de la comunidad negra, afrodescendiente, raizal y/o palenquera.    </w:t>
      </w:r>
    </w:p>
    <w:bookmarkEnd w:id="6"/>
    <w:p w14:paraId="105F0053" w14:textId="77777777" w:rsidR="00B44E17" w:rsidRPr="00463BD9" w:rsidRDefault="00B44E17" w:rsidP="00B44E17">
      <w:pPr>
        <w:spacing w:after="120" w:line="276" w:lineRule="auto"/>
        <w:ind w:firstLine="708"/>
        <w:jc w:val="both"/>
        <w:rPr>
          <w:rFonts w:ascii="Century Gothic" w:hAnsi="Century Gothic"/>
          <w:shd w:val="clear" w:color="auto" w:fill="FFFFFF"/>
        </w:rPr>
      </w:pPr>
      <w:r w:rsidRPr="00971E6B">
        <w:rPr>
          <w:rFonts w:ascii="Century Gothic" w:eastAsia="Calibri" w:hAnsi="Century Gothic" w:cs="Arial"/>
        </w:rPr>
        <w:t xml:space="preserve">Sin perjuicio del alcance de las nociones previamente expuestas, ha de tenerse en cuenta que los derechos que se derivan de la diversidad étnica y cultural no tienen un alcance absoluto. Las limitaciones a las que </w:t>
      </w:r>
      <w:r w:rsidRPr="00463BD9">
        <w:rPr>
          <w:rFonts w:ascii="Century Gothic" w:hAnsi="Century Gothic"/>
          <w:shd w:val="clear" w:color="auto" w:fill="FFFFFF"/>
        </w:rPr>
        <w:t>se encuentra sometida la autonomía de las comunidades  en efecto, surge en primer lugar del propio texto constitucional, que establece unas condiciones para su ejercicio, al resaltar </w:t>
      </w:r>
      <w:r w:rsidRPr="00463BD9">
        <w:rPr>
          <w:rFonts w:ascii="Century Gothic" w:hAnsi="Century Gothic"/>
          <w:i/>
          <w:iCs/>
          <w:shd w:val="clear" w:color="auto" w:fill="FFFFFF"/>
        </w:rPr>
        <w:t>prima facie</w:t>
      </w:r>
      <w:r w:rsidRPr="00463BD9">
        <w:rPr>
          <w:rFonts w:ascii="Century Gothic" w:hAnsi="Century Gothic"/>
          <w:shd w:val="clear" w:color="auto" w:fill="FFFFFF"/>
        </w:rPr>
        <w:t> </w:t>
      </w:r>
      <w:r w:rsidRPr="00463BD9">
        <w:rPr>
          <w:rFonts w:ascii="Century Gothic" w:hAnsi="Century Gothic"/>
          <w:i/>
          <w:iCs/>
          <w:shd w:val="clear" w:color="auto" w:fill="FFFFFF"/>
        </w:rPr>
        <w:t>(i)</w:t>
      </w:r>
      <w:r w:rsidRPr="00463BD9">
        <w:rPr>
          <w:rFonts w:ascii="Century Gothic" w:hAnsi="Century Gothic"/>
          <w:shd w:val="clear" w:color="auto" w:fill="FFFFFF"/>
        </w:rPr>
        <w:t> que nuestro país es un Estado </w:t>
      </w:r>
      <w:r w:rsidRPr="00463BD9">
        <w:rPr>
          <w:rFonts w:ascii="Century Gothic" w:hAnsi="Century Gothic"/>
          <w:i/>
          <w:iCs/>
          <w:shd w:val="clear" w:color="auto" w:fill="FFFFFF"/>
        </w:rPr>
        <w:t>unitario</w:t>
      </w:r>
      <w:r w:rsidRPr="00463BD9">
        <w:rPr>
          <w:rFonts w:ascii="Century Gothic" w:hAnsi="Century Gothic"/>
          <w:shd w:val="clear" w:color="auto" w:fill="FFFFFF"/>
        </w:rPr>
        <w:t>, con autonomía de sus entidades territoriales y </w:t>
      </w:r>
      <w:r w:rsidRPr="00463BD9">
        <w:rPr>
          <w:rFonts w:ascii="Century Gothic" w:hAnsi="Century Gothic"/>
          <w:i/>
          <w:iCs/>
          <w:shd w:val="clear" w:color="auto" w:fill="FFFFFF"/>
        </w:rPr>
        <w:t>(ii)</w:t>
      </w:r>
      <w:r w:rsidRPr="00463BD9">
        <w:rPr>
          <w:rFonts w:ascii="Century Gothic" w:hAnsi="Century Gothic"/>
          <w:shd w:val="clear" w:color="auto" w:fill="FFFFFF"/>
        </w:rPr>
        <w:t> que la autonomía política y jurídica de las comunidades, puede ejercerse –como se indicó–, </w:t>
      </w:r>
      <w:r w:rsidRPr="00463BD9">
        <w:rPr>
          <w:rFonts w:ascii="Century Gothic" w:hAnsi="Century Gothic"/>
          <w:i/>
          <w:iCs/>
          <w:shd w:val="clear" w:color="auto" w:fill="FFFFFF"/>
        </w:rPr>
        <w:t>conforme a sus usos y costumbres</w:t>
      </w:r>
      <w:r w:rsidRPr="00463BD9">
        <w:rPr>
          <w:rFonts w:ascii="Century Gothic" w:hAnsi="Century Gothic"/>
          <w:shd w:val="clear" w:color="auto" w:fill="FFFFFF"/>
        </w:rPr>
        <w:t>, siempre y cuando éstos no sean contrarios a la Constitución y a la ley.</w:t>
      </w:r>
      <w:r w:rsidRPr="00463BD9">
        <w:rPr>
          <w:rStyle w:val="FootnoteReference"/>
          <w:rFonts w:ascii="Century Gothic" w:hAnsi="Century Gothic"/>
          <w:shd w:val="clear" w:color="auto" w:fill="FFFFFF"/>
        </w:rPr>
        <w:footnoteReference w:id="17"/>
      </w:r>
    </w:p>
    <w:p w14:paraId="279C2847" w14:textId="77777777" w:rsidR="00B44E17" w:rsidRPr="00463BD9" w:rsidRDefault="00B44E17" w:rsidP="00B44E17">
      <w:pPr>
        <w:spacing w:after="120" w:line="276" w:lineRule="auto"/>
        <w:ind w:firstLine="708"/>
        <w:jc w:val="both"/>
        <w:rPr>
          <w:rFonts w:ascii="Century Gothic" w:hAnsi="Century Gothic"/>
          <w:shd w:val="clear" w:color="auto" w:fill="FFFFFF"/>
        </w:rPr>
      </w:pPr>
      <w:r w:rsidRPr="00463BD9">
        <w:rPr>
          <w:rFonts w:ascii="Century Gothic" w:hAnsi="Century Gothic"/>
          <w:shd w:val="clear" w:color="auto" w:fill="FFFFFF"/>
        </w:rPr>
        <w:t xml:space="preserve">Dicho lo anterior, es importante aclarar que, los acuerdo que celebren las Entidades Estatales a las que se refiere la Ley 80 de 1993 en aplicación de las causales bajo estudio, tienen la naturaleza de contratos estatales sometidos al Estatuto General de Contratación de la Administración Pública. Esto no solo implica la aplicación de las disposiciones legales de normas como la Leyes 80 de 1993, 1150 de 2007 y 1474 de 2011, sino también de las disposiciones reglamentarias de esta normativa, especialmente las referidas a la contratación directa. </w:t>
      </w:r>
    </w:p>
    <w:p w14:paraId="2CC1E125" w14:textId="77777777" w:rsidR="00B44E17" w:rsidRPr="00971E6B" w:rsidRDefault="00B44E17" w:rsidP="00B44E17">
      <w:pPr>
        <w:spacing w:line="276" w:lineRule="auto"/>
        <w:ind w:firstLine="708"/>
        <w:jc w:val="both"/>
        <w:rPr>
          <w:rFonts w:ascii="Century Gothic" w:hAnsi="Century Gothic" w:cs="Arial"/>
        </w:rPr>
      </w:pPr>
      <w:r w:rsidRPr="00463BD9">
        <w:rPr>
          <w:rFonts w:ascii="Century Gothic" w:hAnsi="Century Gothic"/>
          <w:shd w:val="clear" w:color="auto" w:fill="FFFFFF"/>
        </w:rPr>
        <w:t>En ese orden, el cumplimiento de los requisitos estudiados en el presente acápite, deber ser validados a través del procedimiento e instrumentos reglados por el Decreto 1082 de 2015. Es por esto que, el contenido de instrumentos como el acto administrativo de justificación de la contratación directa</w:t>
      </w:r>
      <w:r w:rsidRPr="00463BD9">
        <w:rPr>
          <w:rStyle w:val="FootnoteReference"/>
          <w:rFonts w:ascii="Century Gothic" w:hAnsi="Century Gothic"/>
          <w:shd w:val="clear" w:color="auto" w:fill="FFFFFF"/>
        </w:rPr>
        <w:footnoteReference w:id="18"/>
      </w:r>
      <w:r w:rsidRPr="00463BD9">
        <w:rPr>
          <w:rFonts w:ascii="Century Gothic" w:hAnsi="Century Gothic"/>
          <w:shd w:val="clear" w:color="auto" w:fill="FFFFFF"/>
        </w:rPr>
        <w:t>, el análisis del sector</w:t>
      </w:r>
      <w:r w:rsidRPr="00463BD9">
        <w:rPr>
          <w:rStyle w:val="FootnoteReference"/>
          <w:rFonts w:ascii="Century Gothic" w:hAnsi="Century Gothic"/>
          <w:shd w:val="clear" w:color="auto" w:fill="FFFFFF"/>
        </w:rPr>
        <w:footnoteReference w:id="19"/>
      </w:r>
      <w:r w:rsidRPr="00463BD9">
        <w:rPr>
          <w:rFonts w:ascii="Century Gothic" w:hAnsi="Century Gothic"/>
          <w:shd w:val="clear" w:color="auto" w:fill="FFFFFF"/>
        </w:rPr>
        <w:t>, los estudios y documentos previos</w:t>
      </w:r>
      <w:r w:rsidRPr="00463BD9">
        <w:rPr>
          <w:rStyle w:val="FootnoteReference"/>
          <w:rFonts w:ascii="Century Gothic" w:hAnsi="Century Gothic"/>
          <w:shd w:val="clear" w:color="auto" w:fill="FFFFFF"/>
        </w:rPr>
        <w:footnoteReference w:id="20"/>
      </w:r>
      <w:r w:rsidRPr="00463BD9">
        <w:rPr>
          <w:rFonts w:ascii="Century Gothic" w:hAnsi="Century Gothic"/>
          <w:shd w:val="clear" w:color="auto" w:fill="FFFFFF"/>
        </w:rPr>
        <w:t>, deben contener información inequívoca sobre el cumplimiento de los requisitos establecidos por el literal</w:t>
      </w:r>
      <w:r w:rsidRPr="00463BD9">
        <w:rPr>
          <w:rFonts w:ascii="Century Gothic" w:eastAsia="Calibri" w:hAnsi="Century Gothic" w:cs="Arial"/>
        </w:rPr>
        <w:t xml:space="preserve"> N) del, numeral 4 del artículo 2 de la Ley 1150 de 2007, teniendo en cuenta que su aplicación es restrictiva. Esto significa que tales documentos deben abordar y explicar de manera clara como el objeto del contrato se relaciona con </w:t>
      </w:r>
      <w:r w:rsidRPr="00971E6B">
        <w:rPr>
          <w:rFonts w:ascii="Century Gothic" w:hAnsi="Century Gothic" w:cs="Arial"/>
        </w:rPr>
        <w:t>el fortalecimiento del gobierno propio, la identidad cultural, el ejercicio de la autonomía, y/o la garantía de los derechos de las comunidades, lo cual suponen una especial carga justificativa que debe asumir la Entidad Estatal contratante, comoquiera que tales finalidades deben ser entendidas a partir del alcance que les da el marco constitucional aquí explicado.</w:t>
      </w:r>
    </w:p>
    <w:p w14:paraId="24E70882" w14:textId="77777777" w:rsidR="00B44E17" w:rsidRPr="00971E6B" w:rsidRDefault="00B44E17" w:rsidP="00B44E17">
      <w:pPr>
        <w:widowControl w:val="0"/>
        <w:tabs>
          <w:tab w:val="left" w:pos="1180"/>
          <w:tab w:val="left" w:pos="1181"/>
        </w:tabs>
        <w:autoSpaceDE w:val="0"/>
        <w:autoSpaceDN w:val="0"/>
        <w:spacing w:after="0" w:line="240" w:lineRule="auto"/>
        <w:jc w:val="both"/>
        <w:outlineLvl w:val="0"/>
        <w:rPr>
          <w:rFonts w:ascii="Century Gothic" w:eastAsia="Arial" w:hAnsi="Century Gothic" w:cs="Arial"/>
          <w:b/>
          <w:bCs/>
          <w:lang w:eastAsia="es-MX"/>
        </w:rPr>
      </w:pPr>
      <w:r w:rsidRPr="00971E6B">
        <w:rPr>
          <w:rFonts w:ascii="Century Gothic" w:eastAsia="Arial" w:hAnsi="Century Gothic" w:cs="Arial"/>
          <w:b/>
          <w:bCs/>
          <w:lang w:eastAsia="es-MX"/>
        </w:rPr>
        <w:t xml:space="preserve">2.3. La Seguridad Social Integral en las diferentes etapas de los procesos de contratación pública: Aplicabilidad del artículo 50 de la Ley 789 de 2002 </w:t>
      </w:r>
    </w:p>
    <w:p w14:paraId="4E3E2251" w14:textId="77777777" w:rsidR="00B44E17" w:rsidRPr="00971E6B" w:rsidRDefault="00B44E17" w:rsidP="00B44E17">
      <w:pPr>
        <w:widowControl w:val="0"/>
        <w:tabs>
          <w:tab w:val="left" w:pos="1180"/>
          <w:tab w:val="left" w:pos="1181"/>
        </w:tabs>
        <w:autoSpaceDE w:val="0"/>
        <w:autoSpaceDN w:val="0"/>
        <w:spacing w:after="0" w:line="276" w:lineRule="auto"/>
        <w:jc w:val="both"/>
        <w:outlineLvl w:val="0"/>
        <w:rPr>
          <w:rFonts w:ascii="Century Gothic" w:eastAsia="Arial" w:hAnsi="Century Gothic" w:cs="Arial"/>
          <w:b/>
          <w:bCs/>
          <w:lang w:eastAsia="es-MX"/>
        </w:rPr>
      </w:pPr>
    </w:p>
    <w:p w14:paraId="40B75504" w14:textId="77777777" w:rsidR="00B44E17" w:rsidRPr="00971E6B" w:rsidRDefault="00B44E17" w:rsidP="00B44E17">
      <w:pPr>
        <w:widowControl w:val="0"/>
        <w:autoSpaceDE w:val="0"/>
        <w:autoSpaceDN w:val="0"/>
        <w:spacing w:after="120" w:line="276" w:lineRule="auto"/>
        <w:jc w:val="both"/>
        <w:rPr>
          <w:rFonts w:ascii="Century Gothic" w:eastAsia="Arial" w:hAnsi="Century Gothic" w:cs="Arial"/>
          <w:lang w:eastAsia="es-MX"/>
        </w:rPr>
      </w:pPr>
      <w:r w:rsidRPr="00971E6B">
        <w:rPr>
          <w:rFonts w:ascii="Century Gothic" w:eastAsia="Arial" w:hAnsi="Century Gothic" w:cs="Arial"/>
          <w:lang w:eastAsia="es-MX"/>
        </w:rPr>
        <w:t xml:space="preserve">La </w:t>
      </w:r>
      <w:r w:rsidRPr="00971E6B">
        <w:rPr>
          <w:rFonts w:ascii="Century Gothic" w:eastAsia="Arial" w:hAnsi="Century Gothic" w:cs="Arial"/>
          <w:i/>
          <w:iCs/>
          <w:lang w:eastAsia="es-MX"/>
        </w:rPr>
        <w:t>seguridad social</w:t>
      </w:r>
      <w:r w:rsidRPr="00971E6B">
        <w:rPr>
          <w:rFonts w:ascii="Century Gothic" w:eastAsia="Arial" w:hAnsi="Century Gothic" w:cs="Arial"/>
          <w:lang w:eastAsia="es-MX"/>
        </w:rPr>
        <w:t xml:space="preserve"> es un servicio público obligatorio, cuya dirección, coordinación y control está a cargo del Estado y es prestado por entidades públicas y privadas. Mediante esta se evitan desequilibrios económicos y sociales que, de no resolverse, implicarían</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reducción</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o</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pérdida</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los</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ingresos</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por</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causa</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contingencias</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como</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la enfermedad,</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los</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accidentes,</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maternidad</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o</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desempleo,</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entre</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otras.</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acuerdo</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con la Ley 100 de 1993, el Sistema de Seguridad Social Integral en Colombia se</w:t>
      </w:r>
      <w:r w:rsidRPr="00971E6B">
        <w:rPr>
          <w:rFonts w:ascii="Century Gothic" w:eastAsia="Arial" w:hAnsi="Century Gothic" w:cs="Arial"/>
          <w:spacing w:val="59"/>
          <w:lang w:eastAsia="es-MX"/>
        </w:rPr>
        <w:t xml:space="preserve"> </w:t>
      </w:r>
      <w:r w:rsidRPr="00971E6B">
        <w:rPr>
          <w:rFonts w:ascii="Century Gothic" w:eastAsia="Arial" w:hAnsi="Century Gothic" w:cs="Arial"/>
          <w:lang w:eastAsia="es-MX"/>
        </w:rPr>
        <w:t>compone de</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los</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sistemas</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pensiones,</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salud</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y</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riesgos</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laborales</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y</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los</w:t>
      </w:r>
      <w:r w:rsidRPr="00971E6B">
        <w:rPr>
          <w:rFonts w:ascii="Century Gothic" w:eastAsia="Arial" w:hAnsi="Century Gothic" w:cs="Arial"/>
          <w:spacing w:val="-11"/>
          <w:lang w:eastAsia="es-MX"/>
        </w:rPr>
        <w:t xml:space="preserve"> </w:t>
      </w:r>
      <w:r w:rsidRPr="00971E6B">
        <w:rPr>
          <w:rFonts w:ascii="Century Gothic" w:eastAsia="Arial" w:hAnsi="Century Gothic" w:cs="Arial"/>
          <w:lang w:eastAsia="es-MX"/>
        </w:rPr>
        <w:t>servicios</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sociales complementarios.</w:t>
      </w:r>
    </w:p>
    <w:p w14:paraId="54456141" w14:textId="77777777" w:rsidR="00B44E17" w:rsidRPr="00971E6B" w:rsidRDefault="00B44E17" w:rsidP="00B44E17">
      <w:pPr>
        <w:widowControl w:val="0"/>
        <w:autoSpaceDE w:val="0"/>
        <w:autoSpaceDN w:val="0"/>
        <w:spacing w:after="0" w:line="276" w:lineRule="auto"/>
        <w:jc w:val="both"/>
        <w:rPr>
          <w:rFonts w:ascii="Century Gothic" w:eastAsia="Arial" w:hAnsi="Century Gothic" w:cs="Arial"/>
          <w:lang w:eastAsia="es-MX"/>
        </w:rPr>
      </w:pPr>
      <w:r w:rsidRPr="00971E6B">
        <w:rPr>
          <w:rFonts w:ascii="Century Gothic" w:eastAsia="Arial" w:hAnsi="Century Gothic" w:cs="Arial"/>
          <w:lang w:eastAsia="es-MX"/>
        </w:rPr>
        <w:tab/>
        <w:t>En materia de contratación estatal, el texto original del artículo 41 de la Ley 80 de 1993 dispuso que los requisitos para perfeccionar</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contrato</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son:</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i)</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acuerdo</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sobre</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objeto</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y</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contraprestación, y ii) que conste por escrito. Por su parte, para iniciar la ejecución se requiere: i) la constitución</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y</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aprobación</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garantía</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y</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ii)</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existencia</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del</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registro</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presupuestal,</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971E6B">
        <w:rPr>
          <w:rFonts w:ascii="Century Gothic" w:eastAsia="Arial" w:hAnsi="Century Gothic" w:cs="Arial"/>
          <w:spacing w:val="-26"/>
          <w:lang w:eastAsia="es-MX"/>
        </w:rPr>
        <w:t xml:space="preserve"> </w:t>
      </w:r>
      <w:r w:rsidRPr="00971E6B">
        <w:rPr>
          <w:rFonts w:ascii="Century Gothic" w:eastAsia="Arial" w:hAnsi="Century Gothic" w:cs="Arial"/>
          <w:lang w:eastAsia="es-MX"/>
        </w:rPr>
        <w:t>Integral.</w:t>
      </w:r>
    </w:p>
    <w:p w14:paraId="04B0DC8C" w14:textId="77777777" w:rsidR="00B44E17" w:rsidRPr="00971E6B" w:rsidRDefault="00B44E17" w:rsidP="00B44E17">
      <w:pPr>
        <w:widowControl w:val="0"/>
        <w:autoSpaceDE w:val="0"/>
        <w:autoSpaceDN w:val="0"/>
        <w:spacing w:before="120" w:after="0" w:line="276" w:lineRule="auto"/>
        <w:ind w:firstLine="709"/>
        <w:jc w:val="both"/>
        <w:rPr>
          <w:rFonts w:ascii="Century Gothic" w:eastAsia="Arial" w:hAnsi="Century Gothic" w:cs="Arial"/>
          <w:lang w:eastAsia="es-MX"/>
        </w:rPr>
      </w:pPr>
      <w:r w:rsidRPr="00971E6B">
        <w:rPr>
          <w:rFonts w:ascii="Century Gothic" w:eastAsia="Arial" w:hAnsi="Century Gothic" w:cs="Arial"/>
          <w:lang w:eastAsia="es-MX"/>
        </w:rPr>
        <w:t>Por su parte, el artículo 50 de la</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Ley</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789</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2002</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dispuso como</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obligación</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quien</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 xml:space="preserve">quiere </w:t>
      </w:r>
      <w:r w:rsidRPr="00971E6B">
        <w:rPr>
          <w:rFonts w:ascii="Century Gothic" w:eastAsia="Arial" w:hAnsi="Century Gothic" w:cs="Arial"/>
          <w:i/>
          <w:iCs/>
          <w:lang w:eastAsia="es-MX"/>
        </w:rPr>
        <w:t>celebrar, renovar o liquidar</w:t>
      </w:r>
      <w:r w:rsidRPr="00971E6B">
        <w:rPr>
          <w:rFonts w:ascii="Century Gothic" w:eastAsia="Arial" w:hAnsi="Century Gothic" w:cs="Arial"/>
          <w:lang w:eastAsia="es-MX"/>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971E6B">
        <w:rPr>
          <w:rFonts w:ascii="Century Gothic" w:eastAsia="Arial" w:hAnsi="Century Gothic" w:cs="Arial"/>
          <w:i/>
          <w:iCs/>
          <w:lang w:eastAsia="es-MX"/>
        </w:rPr>
        <w:t>liquidar</w:t>
      </w:r>
      <w:r w:rsidRPr="00971E6B">
        <w:rPr>
          <w:rFonts w:ascii="Century Gothic" w:eastAsia="Arial" w:hAnsi="Century Gothic" w:cs="Arial"/>
          <w:lang w:eastAsia="es-MX"/>
        </w:rPr>
        <w:t xml:space="preserve"> los contratos, para verificar y dejar constancia del cumplimiento de las obligaciones del contratista frente a los aportes mencionados durante</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toda</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su</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vigencia,</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estableciendo</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una</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correcta</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relación</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entre</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monto</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cancelado y las sumas que debió</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cotizar</w:t>
      </w:r>
      <w:r w:rsidRPr="00971E6B">
        <w:rPr>
          <w:rFonts w:ascii="Century Gothic" w:eastAsia="Arial" w:hAnsi="Century Gothic" w:cs="Arial"/>
          <w:vertAlign w:val="superscript"/>
          <w:lang w:eastAsia="es-MX"/>
        </w:rPr>
        <w:footnoteReference w:id="21"/>
      </w:r>
      <w:r w:rsidRPr="00971E6B">
        <w:rPr>
          <w:rFonts w:ascii="Century Gothic" w:eastAsia="Arial" w:hAnsi="Century Gothic" w:cs="Arial"/>
          <w:lang w:eastAsia="es-MX"/>
        </w:rPr>
        <w:t>.</w:t>
      </w:r>
    </w:p>
    <w:p w14:paraId="1009A9D9" w14:textId="77777777" w:rsidR="00B44E17" w:rsidRPr="00971E6B" w:rsidRDefault="00B44E17" w:rsidP="00B44E17">
      <w:pPr>
        <w:widowControl w:val="0"/>
        <w:autoSpaceDE w:val="0"/>
        <w:autoSpaceDN w:val="0"/>
        <w:spacing w:before="120" w:after="0" w:line="276" w:lineRule="auto"/>
        <w:ind w:firstLine="709"/>
        <w:jc w:val="both"/>
        <w:rPr>
          <w:rFonts w:ascii="Century Gothic" w:eastAsia="Arial" w:hAnsi="Century Gothic" w:cs="Arial"/>
          <w:lang w:eastAsia="es-MX"/>
        </w:rPr>
      </w:pPr>
      <w:r w:rsidRPr="00971E6B">
        <w:rPr>
          <w:rFonts w:ascii="Century Gothic" w:eastAsia="Arial" w:hAnsi="Century Gothic" w:cs="Arial"/>
          <w:lang w:eastAsia="es-MX"/>
        </w:rPr>
        <w:t xml:space="preserve">Además, aclara que las </w:t>
      </w:r>
      <w:r w:rsidRPr="00971E6B">
        <w:rPr>
          <w:rFonts w:ascii="Century Gothic" w:eastAsia="Arial" w:hAnsi="Century Gothic" w:cs="Arial"/>
          <w:i/>
          <w:iCs/>
          <w:lang w:eastAsia="es-MX"/>
        </w:rPr>
        <w:t>personas jurídicas</w:t>
      </w:r>
      <w:r w:rsidRPr="00971E6B">
        <w:rPr>
          <w:rFonts w:ascii="Century Gothic" w:eastAsia="Arial" w:hAnsi="Century Gothic" w:cs="Arial"/>
          <w:lang w:eastAsia="es-MX"/>
        </w:rPr>
        <w:t xml:space="preserve">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971E6B">
        <w:rPr>
          <w:rFonts w:ascii="Century Gothic" w:eastAsia="Arial" w:hAnsi="Century Gothic" w:cs="Arial"/>
          <w:spacing w:val="-10"/>
          <w:lang w:eastAsia="es-MX"/>
        </w:rPr>
        <w:t xml:space="preserve"> </w:t>
      </w:r>
      <w:r w:rsidRPr="00971E6B">
        <w:rPr>
          <w:rFonts w:ascii="Century Gothic" w:eastAsia="Arial" w:hAnsi="Century Gothic" w:cs="Arial"/>
          <w:i/>
          <w:iCs/>
          <w:lang w:eastAsia="es-MX"/>
        </w:rPr>
        <w:t>para</w:t>
      </w:r>
      <w:r w:rsidRPr="00971E6B">
        <w:rPr>
          <w:rFonts w:ascii="Century Gothic" w:eastAsia="Arial" w:hAnsi="Century Gothic" w:cs="Arial"/>
          <w:i/>
          <w:iCs/>
          <w:spacing w:val="-10"/>
          <w:lang w:eastAsia="es-MX"/>
        </w:rPr>
        <w:t xml:space="preserve"> </w:t>
      </w:r>
      <w:r w:rsidRPr="00971E6B">
        <w:rPr>
          <w:rFonts w:ascii="Century Gothic" w:eastAsia="Arial" w:hAnsi="Century Gothic" w:cs="Arial"/>
          <w:i/>
          <w:iCs/>
          <w:lang w:eastAsia="es-MX"/>
        </w:rPr>
        <w:t>presentar</w:t>
      </w:r>
      <w:r w:rsidRPr="00971E6B">
        <w:rPr>
          <w:rFonts w:ascii="Century Gothic" w:eastAsia="Arial" w:hAnsi="Century Gothic" w:cs="Arial"/>
          <w:i/>
          <w:iCs/>
          <w:spacing w:val="-10"/>
          <w:lang w:eastAsia="es-MX"/>
        </w:rPr>
        <w:t xml:space="preserve"> </w:t>
      </w:r>
      <w:r w:rsidRPr="00971E6B">
        <w:rPr>
          <w:rFonts w:ascii="Century Gothic" w:eastAsia="Arial" w:hAnsi="Century Gothic" w:cs="Arial"/>
          <w:i/>
          <w:iCs/>
          <w:lang w:eastAsia="es-MX"/>
        </w:rPr>
        <w:t>la</w:t>
      </w:r>
      <w:r w:rsidRPr="00971E6B">
        <w:rPr>
          <w:rFonts w:ascii="Century Gothic" w:eastAsia="Arial" w:hAnsi="Century Gothic" w:cs="Arial"/>
          <w:i/>
          <w:iCs/>
          <w:spacing w:val="-10"/>
          <w:lang w:eastAsia="es-MX"/>
        </w:rPr>
        <w:t xml:space="preserve"> </w:t>
      </w:r>
      <w:r w:rsidRPr="00971E6B">
        <w:rPr>
          <w:rFonts w:ascii="Century Gothic" w:eastAsia="Arial" w:hAnsi="Century Gothic" w:cs="Arial"/>
          <w:i/>
          <w:iCs/>
          <w:lang w:eastAsia="es-MX"/>
        </w:rPr>
        <w:t>oferta</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las</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personas</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jurídicas</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deben</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acreditar</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requisito</w:t>
      </w:r>
      <w:r w:rsidRPr="00971E6B">
        <w:rPr>
          <w:rFonts w:ascii="Century Gothic" w:eastAsia="Arial" w:hAnsi="Century Gothic" w:cs="Arial"/>
          <w:spacing w:val="-10"/>
          <w:lang w:eastAsia="es-MX"/>
        </w:rPr>
        <w:t xml:space="preserve"> </w:t>
      </w:r>
      <w:r w:rsidRPr="00971E6B">
        <w:rPr>
          <w:rFonts w:ascii="Century Gothic" w:eastAsia="Arial" w:hAnsi="Century Gothic" w:cs="Arial"/>
          <w:lang w:eastAsia="es-MX"/>
        </w:rPr>
        <w:t>señalado anteriormente.</w:t>
      </w:r>
    </w:p>
    <w:p w14:paraId="5DC5AC24" w14:textId="77777777" w:rsidR="00B44E17" w:rsidRPr="00971E6B" w:rsidRDefault="00B44E17" w:rsidP="00B44E17">
      <w:pPr>
        <w:widowControl w:val="0"/>
        <w:autoSpaceDE w:val="0"/>
        <w:autoSpaceDN w:val="0"/>
        <w:spacing w:before="70" w:after="0" w:line="276" w:lineRule="auto"/>
        <w:ind w:firstLine="708"/>
        <w:jc w:val="both"/>
        <w:rPr>
          <w:rFonts w:ascii="Century Gothic" w:eastAsia="Arial" w:hAnsi="Century Gothic" w:cs="Arial"/>
          <w:lang w:eastAsia="es-MX"/>
        </w:rPr>
      </w:pPr>
      <w:r w:rsidRPr="00971E6B">
        <w:rPr>
          <w:rFonts w:ascii="Century Gothic" w:eastAsia="Arial" w:hAnsi="Century Gothic" w:cs="Arial"/>
          <w:lang w:eastAsia="es-MX"/>
        </w:rPr>
        <w:t>Esta norma fue analizada por la Sección Tercera del Consejo de Estado, la cual consideró</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que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artículo</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50</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Ley</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789</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2002</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tiene</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por</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objeto</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evitar</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evasión</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hayan</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realizado</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los</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aportes</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al</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Sistema</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Seguridad</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Social</w:t>
      </w:r>
      <w:r w:rsidRPr="00971E6B">
        <w:rPr>
          <w:rFonts w:ascii="Century Gothic" w:eastAsia="Arial" w:hAnsi="Century Gothic" w:cs="Arial"/>
          <w:spacing w:val="-7"/>
          <w:lang w:eastAsia="es-MX"/>
        </w:rPr>
        <w:t xml:space="preserve"> </w:t>
      </w:r>
      <w:r w:rsidRPr="00971E6B">
        <w:rPr>
          <w:rFonts w:ascii="Century Gothic" w:eastAsia="Arial" w:hAnsi="Century Gothic" w:cs="Arial"/>
          <w:lang w:eastAsia="es-MX"/>
        </w:rPr>
        <w:t>Integral</w:t>
      </w:r>
      <w:r w:rsidRPr="00971E6B">
        <w:rPr>
          <w:rFonts w:ascii="Century Gothic" w:eastAsia="Arial" w:hAnsi="Century Gothic" w:cs="Arial"/>
          <w:vertAlign w:val="superscript"/>
          <w:lang w:eastAsia="es-MX"/>
        </w:rPr>
        <w:footnoteReference w:id="22"/>
      </w:r>
      <w:r w:rsidRPr="00971E6B">
        <w:rPr>
          <w:rFonts w:ascii="Century Gothic" w:eastAsia="Arial" w:hAnsi="Century Gothic" w:cs="Arial"/>
          <w:sz w:val="21"/>
          <w:lang w:eastAsia="es-MX"/>
        </w:rPr>
        <w:t>.</w:t>
      </w:r>
      <w:r w:rsidRPr="00971E6B">
        <w:rPr>
          <w:rFonts w:ascii="Century Gothic" w:eastAsia="Arial" w:hAnsi="Century Gothic" w:cs="Arial"/>
          <w:spacing w:val="-8"/>
          <w:sz w:val="21"/>
          <w:lang w:eastAsia="es-MX"/>
        </w:rPr>
        <w:t xml:space="preserve"> </w:t>
      </w:r>
      <w:r w:rsidRPr="00971E6B">
        <w:rPr>
          <w:rFonts w:ascii="Century Gothic" w:eastAsia="Arial" w:hAnsi="Century Gothic" w:cs="Arial"/>
          <w:lang w:eastAsia="es-MX"/>
        </w:rPr>
        <w:t>Por</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 xml:space="preserve">lo tanto, la jurisprudencia reiteró la necesidad de que las entidades estatales, </w:t>
      </w:r>
      <w:r w:rsidRPr="00971E6B">
        <w:rPr>
          <w:rFonts w:ascii="Century Gothic" w:eastAsia="Arial" w:hAnsi="Century Gothic" w:cs="Arial"/>
          <w:i/>
          <w:iCs/>
          <w:lang w:eastAsia="es-MX"/>
        </w:rPr>
        <w:t>durante la ejecución de un contrato</w:t>
      </w:r>
      <w:r w:rsidRPr="00971E6B">
        <w:rPr>
          <w:rFonts w:ascii="Century Gothic" w:eastAsia="Arial" w:hAnsi="Century Gothic" w:cs="Arial"/>
          <w:lang w:eastAsia="es-MX"/>
        </w:rPr>
        <w:t>, verifiquen el cumplimiento de las obligaciones del sistema de seguridad</w:t>
      </w:r>
      <w:r w:rsidRPr="00971E6B">
        <w:rPr>
          <w:rFonts w:ascii="Century Gothic" w:eastAsia="Arial" w:hAnsi="Century Gothic" w:cs="Arial"/>
          <w:spacing w:val="-18"/>
          <w:lang w:eastAsia="es-MX"/>
        </w:rPr>
        <w:t xml:space="preserve"> </w:t>
      </w:r>
      <w:r w:rsidRPr="00971E6B">
        <w:rPr>
          <w:rFonts w:ascii="Century Gothic" w:eastAsia="Arial" w:hAnsi="Century Gothic" w:cs="Arial"/>
          <w:lang w:eastAsia="es-MX"/>
        </w:rPr>
        <w:t>social</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por</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parte</w:t>
      </w:r>
      <w:r w:rsidRPr="00971E6B">
        <w:rPr>
          <w:rFonts w:ascii="Century Gothic" w:eastAsia="Arial" w:hAnsi="Century Gothic" w:cs="Arial"/>
          <w:spacing w:val="-18"/>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los</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contratistas.</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8"/>
          <w:lang w:eastAsia="es-MX"/>
        </w:rPr>
        <w:t xml:space="preserve"> </w:t>
      </w:r>
      <w:r w:rsidRPr="00971E6B">
        <w:rPr>
          <w:rFonts w:ascii="Century Gothic" w:eastAsia="Arial" w:hAnsi="Century Gothic" w:cs="Arial"/>
          <w:lang w:eastAsia="es-MX"/>
        </w:rPr>
        <w:t>esta</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manera,</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18"/>
          <w:lang w:eastAsia="es-MX"/>
        </w:rPr>
        <w:t xml:space="preserve"> </w:t>
      </w:r>
      <w:r w:rsidRPr="00971E6B">
        <w:rPr>
          <w:rFonts w:ascii="Century Gothic" w:eastAsia="Arial" w:hAnsi="Century Gothic" w:cs="Arial"/>
          <w:lang w:eastAsia="es-MX"/>
        </w:rPr>
        <w:t>artículo</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23</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18"/>
          <w:lang w:eastAsia="es-MX"/>
        </w:rPr>
        <w:t xml:space="preserve"> </w:t>
      </w:r>
      <w:r w:rsidRPr="00971E6B">
        <w:rPr>
          <w:rFonts w:ascii="Century Gothic" w:eastAsia="Arial" w:hAnsi="Century Gothic" w:cs="Arial"/>
          <w:lang w:eastAsia="es-MX"/>
        </w:rPr>
        <w:t>Ley</w:t>
      </w:r>
      <w:r w:rsidRPr="00971E6B">
        <w:rPr>
          <w:rFonts w:ascii="Century Gothic" w:eastAsia="Arial" w:hAnsi="Century Gothic" w:cs="Arial"/>
          <w:spacing w:val="-17"/>
          <w:lang w:eastAsia="es-MX"/>
        </w:rPr>
        <w:t xml:space="preserve"> </w:t>
      </w:r>
      <w:r w:rsidRPr="00971E6B">
        <w:rPr>
          <w:rFonts w:ascii="Century Gothic" w:eastAsia="Arial" w:hAnsi="Century Gothic" w:cs="Arial"/>
          <w:lang w:eastAsia="es-MX"/>
        </w:rPr>
        <w:t>1150 de 2007, que modificó el inciso segundo del artículo 41 de la Ley 80 de 1993, incluye la obligación, para los proponentes y contratistas, de estar a paz y salvo con los aportes parafiscales al Sistema de Seguridad Social Integral, al</w:t>
      </w:r>
      <w:r w:rsidRPr="00971E6B">
        <w:rPr>
          <w:rFonts w:ascii="Century Gothic" w:eastAsia="Arial" w:hAnsi="Century Gothic" w:cs="Arial"/>
          <w:spacing w:val="-16"/>
          <w:lang w:eastAsia="es-MX"/>
        </w:rPr>
        <w:t xml:space="preserve"> </w:t>
      </w:r>
      <w:r w:rsidRPr="00971E6B">
        <w:rPr>
          <w:rFonts w:ascii="Century Gothic" w:eastAsia="Arial" w:hAnsi="Century Gothic" w:cs="Arial"/>
          <w:lang w:eastAsia="es-MX"/>
        </w:rPr>
        <w:t>señalar:</w:t>
      </w:r>
    </w:p>
    <w:p w14:paraId="0369D7C5" w14:textId="77777777" w:rsidR="00B44E17" w:rsidRPr="00971E6B" w:rsidRDefault="00B44E17" w:rsidP="00B44E17">
      <w:pPr>
        <w:widowControl w:val="0"/>
        <w:autoSpaceDE w:val="0"/>
        <w:autoSpaceDN w:val="0"/>
        <w:spacing w:before="1" w:after="0" w:line="240" w:lineRule="auto"/>
        <w:rPr>
          <w:rFonts w:ascii="Century Gothic" w:eastAsia="Arial" w:hAnsi="Century Gothic" w:cs="Arial"/>
          <w:sz w:val="24"/>
          <w:lang w:eastAsia="es-MX"/>
        </w:rPr>
      </w:pPr>
    </w:p>
    <w:p w14:paraId="0E874941" w14:textId="77777777" w:rsidR="00B44E17" w:rsidRPr="00971E6B" w:rsidRDefault="00B44E17" w:rsidP="00B44E17">
      <w:pPr>
        <w:widowControl w:val="0"/>
        <w:autoSpaceDE w:val="0"/>
        <w:autoSpaceDN w:val="0"/>
        <w:spacing w:before="1" w:after="0" w:line="240" w:lineRule="auto"/>
        <w:ind w:left="709" w:right="709"/>
        <w:jc w:val="both"/>
        <w:rPr>
          <w:rFonts w:ascii="Century Gothic" w:eastAsia="Arial" w:hAnsi="Century Gothic" w:cs="Arial"/>
          <w:sz w:val="20"/>
          <w:szCs w:val="20"/>
          <w:lang w:eastAsia="es-MX"/>
        </w:rPr>
      </w:pPr>
      <w:r w:rsidRPr="00971E6B">
        <w:rPr>
          <w:rFonts w:ascii="Century Gothic" w:eastAsia="Arial" w:hAnsi="Century Gothic" w:cs="Arial"/>
          <w:sz w:val="20"/>
          <w:szCs w:val="20"/>
          <w:lang w:eastAsia="es-MX"/>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7120E4A" w14:textId="77777777" w:rsidR="00B44E17" w:rsidRPr="00971E6B" w:rsidRDefault="00B44E17" w:rsidP="00B44E17">
      <w:pPr>
        <w:widowControl w:val="0"/>
        <w:autoSpaceDE w:val="0"/>
        <w:autoSpaceDN w:val="0"/>
        <w:spacing w:before="1" w:after="0" w:line="240" w:lineRule="auto"/>
        <w:ind w:left="709" w:right="709"/>
        <w:jc w:val="both"/>
        <w:rPr>
          <w:rFonts w:ascii="Century Gothic" w:eastAsia="Arial" w:hAnsi="Century Gothic" w:cs="Arial"/>
          <w:sz w:val="20"/>
          <w:szCs w:val="20"/>
          <w:lang w:eastAsia="es-MX"/>
        </w:rPr>
      </w:pPr>
      <w:r w:rsidRPr="00971E6B">
        <w:rPr>
          <w:rFonts w:ascii="Century Gothic" w:eastAsia="Arial" w:hAnsi="Century Gothic" w:cs="Arial"/>
          <w:sz w:val="20"/>
          <w:szCs w:val="20"/>
          <w:lang w:eastAsia="es-MX"/>
        </w:rPr>
        <w:t>[…]</w:t>
      </w:r>
    </w:p>
    <w:p w14:paraId="0ABB1842" w14:textId="77777777" w:rsidR="00B44E17" w:rsidRPr="00971E6B" w:rsidRDefault="00B44E17" w:rsidP="00B44E17">
      <w:pPr>
        <w:widowControl w:val="0"/>
        <w:autoSpaceDE w:val="0"/>
        <w:autoSpaceDN w:val="0"/>
        <w:spacing w:before="120" w:after="0" w:line="240" w:lineRule="auto"/>
        <w:ind w:left="709" w:right="709"/>
        <w:jc w:val="both"/>
        <w:rPr>
          <w:rFonts w:ascii="Century Gothic" w:eastAsia="Arial" w:hAnsi="Century Gothic" w:cs="Arial"/>
          <w:sz w:val="20"/>
          <w:szCs w:val="20"/>
          <w:lang w:eastAsia="es-MX"/>
        </w:rPr>
      </w:pPr>
      <w:r w:rsidRPr="00971E6B">
        <w:rPr>
          <w:rFonts w:ascii="Century Gothic" w:eastAsia="Arial" w:hAnsi="Century Gothic" w:cs="Arial"/>
          <w:sz w:val="20"/>
          <w:szCs w:val="20"/>
          <w:lang w:eastAsia="es-MX"/>
        </w:rPr>
        <w:t>Parágrafo 1. El requisito establecido en la parte final del inciso segundo de este artículo deberá acreditarse para la realización de cada pago derivado del contrato estatal.</w:t>
      </w:r>
    </w:p>
    <w:p w14:paraId="469E5AB1" w14:textId="77777777" w:rsidR="00B44E17" w:rsidRPr="00971E6B" w:rsidRDefault="00B44E17" w:rsidP="00B44E17">
      <w:pPr>
        <w:widowControl w:val="0"/>
        <w:autoSpaceDE w:val="0"/>
        <w:autoSpaceDN w:val="0"/>
        <w:spacing w:before="120" w:after="0" w:line="240" w:lineRule="auto"/>
        <w:ind w:left="709" w:right="709"/>
        <w:jc w:val="both"/>
        <w:rPr>
          <w:rFonts w:ascii="Century Gothic" w:eastAsia="Arial" w:hAnsi="Century Gothic" w:cs="Arial"/>
          <w:sz w:val="20"/>
          <w:szCs w:val="20"/>
          <w:lang w:eastAsia="es-MX"/>
        </w:rPr>
      </w:pPr>
      <w:r w:rsidRPr="00971E6B">
        <w:rPr>
          <w:rFonts w:ascii="Century Gothic" w:eastAsia="Arial" w:hAnsi="Century Gothic" w:cs="Arial"/>
          <w:sz w:val="20"/>
          <w:szCs w:val="20"/>
          <w:lang w:eastAsia="es-MX"/>
        </w:rPr>
        <w:t>El servidor público que sin justa causa no verifique el pago de los aportes a que</w:t>
      </w:r>
      <w:r w:rsidRPr="00971E6B">
        <w:rPr>
          <w:rFonts w:ascii="Century Gothic" w:eastAsia="Arial" w:hAnsi="Century Gothic" w:cs="Arial"/>
          <w:spacing w:val="-8"/>
          <w:sz w:val="20"/>
          <w:szCs w:val="20"/>
          <w:lang w:eastAsia="es-MX"/>
        </w:rPr>
        <w:t xml:space="preserve"> </w:t>
      </w:r>
      <w:r w:rsidRPr="00971E6B">
        <w:rPr>
          <w:rFonts w:ascii="Century Gothic" w:eastAsia="Arial" w:hAnsi="Century Gothic" w:cs="Arial"/>
          <w:sz w:val="20"/>
          <w:szCs w:val="20"/>
          <w:lang w:eastAsia="es-MX"/>
        </w:rPr>
        <w:t>se</w:t>
      </w:r>
      <w:r w:rsidRPr="00971E6B">
        <w:rPr>
          <w:rFonts w:ascii="Century Gothic" w:eastAsia="Arial" w:hAnsi="Century Gothic" w:cs="Arial"/>
          <w:spacing w:val="-7"/>
          <w:sz w:val="20"/>
          <w:szCs w:val="20"/>
          <w:lang w:eastAsia="es-MX"/>
        </w:rPr>
        <w:t xml:space="preserve"> </w:t>
      </w:r>
      <w:r w:rsidRPr="00971E6B">
        <w:rPr>
          <w:rFonts w:ascii="Century Gothic" w:eastAsia="Arial" w:hAnsi="Century Gothic" w:cs="Arial"/>
          <w:sz w:val="20"/>
          <w:szCs w:val="20"/>
          <w:lang w:eastAsia="es-MX"/>
        </w:rPr>
        <w:t>refiere</w:t>
      </w:r>
      <w:r w:rsidRPr="00971E6B">
        <w:rPr>
          <w:rFonts w:ascii="Century Gothic" w:eastAsia="Arial" w:hAnsi="Century Gothic" w:cs="Arial"/>
          <w:spacing w:val="-8"/>
          <w:sz w:val="20"/>
          <w:szCs w:val="20"/>
          <w:lang w:eastAsia="es-MX"/>
        </w:rPr>
        <w:t xml:space="preserve"> </w:t>
      </w:r>
      <w:r w:rsidRPr="00971E6B">
        <w:rPr>
          <w:rFonts w:ascii="Century Gothic" w:eastAsia="Arial" w:hAnsi="Century Gothic" w:cs="Arial"/>
          <w:sz w:val="20"/>
          <w:szCs w:val="20"/>
          <w:lang w:eastAsia="es-MX"/>
        </w:rPr>
        <w:t>el</w:t>
      </w:r>
      <w:r w:rsidRPr="00971E6B">
        <w:rPr>
          <w:rFonts w:ascii="Century Gothic" w:eastAsia="Arial" w:hAnsi="Century Gothic" w:cs="Arial"/>
          <w:spacing w:val="-7"/>
          <w:sz w:val="20"/>
          <w:szCs w:val="20"/>
          <w:lang w:eastAsia="es-MX"/>
        </w:rPr>
        <w:t xml:space="preserve"> </w:t>
      </w:r>
      <w:r w:rsidRPr="00971E6B">
        <w:rPr>
          <w:rFonts w:ascii="Century Gothic" w:eastAsia="Arial" w:hAnsi="Century Gothic" w:cs="Arial"/>
          <w:sz w:val="20"/>
          <w:szCs w:val="20"/>
          <w:lang w:eastAsia="es-MX"/>
        </w:rPr>
        <w:t>presente</w:t>
      </w:r>
      <w:r w:rsidRPr="00971E6B">
        <w:rPr>
          <w:rFonts w:ascii="Century Gothic" w:eastAsia="Arial" w:hAnsi="Century Gothic" w:cs="Arial"/>
          <w:spacing w:val="-8"/>
          <w:sz w:val="20"/>
          <w:szCs w:val="20"/>
          <w:lang w:eastAsia="es-MX"/>
        </w:rPr>
        <w:t xml:space="preserve"> </w:t>
      </w:r>
      <w:r w:rsidRPr="00971E6B">
        <w:rPr>
          <w:rFonts w:ascii="Century Gothic" w:eastAsia="Arial" w:hAnsi="Century Gothic" w:cs="Arial"/>
          <w:sz w:val="20"/>
          <w:szCs w:val="20"/>
          <w:lang w:eastAsia="es-MX"/>
        </w:rPr>
        <w:t>artículo,</w:t>
      </w:r>
      <w:r w:rsidRPr="00971E6B">
        <w:rPr>
          <w:rFonts w:ascii="Century Gothic" w:eastAsia="Arial" w:hAnsi="Century Gothic" w:cs="Arial"/>
          <w:spacing w:val="-7"/>
          <w:sz w:val="20"/>
          <w:szCs w:val="20"/>
          <w:lang w:eastAsia="es-MX"/>
        </w:rPr>
        <w:t xml:space="preserve"> </w:t>
      </w:r>
      <w:r w:rsidRPr="00971E6B">
        <w:rPr>
          <w:rFonts w:ascii="Century Gothic" w:eastAsia="Arial" w:hAnsi="Century Gothic" w:cs="Arial"/>
          <w:sz w:val="20"/>
          <w:szCs w:val="20"/>
          <w:lang w:eastAsia="es-MX"/>
        </w:rPr>
        <w:t>incurrirá</w:t>
      </w:r>
      <w:r w:rsidRPr="00971E6B">
        <w:rPr>
          <w:rFonts w:ascii="Century Gothic" w:eastAsia="Arial" w:hAnsi="Century Gothic" w:cs="Arial"/>
          <w:spacing w:val="-7"/>
          <w:sz w:val="20"/>
          <w:szCs w:val="20"/>
          <w:lang w:eastAsia="es-MX"/>
        </w:rPr>
        <w:t xml:space="preserve"> </w:t>
      </w:r>
      <w:r w:rsidRPr="00971E6B">
        <w:rPr>
          <w:rFonts w:ascii="Century Gothic" w:eastAsia="Arial" w:hAnsi="Century Gothic" w:cs="Arial"/>
          <w:sz w:val="20"/>
          <w:szCs w:val="20"/>
          <w:lang w:eastAsia="es-MX"/>
        </w:rPr>
        <w:t>en</w:t>
      </w:r>
      <w:r w:rsidRPr="00971E6B">
        <w:rPr>
          <w:rFonts w:ascii="Century Gothic" w:eastAsia="Arial" w:hAnsi="Century Gothic" w:cs="Arial"/>
          <w:spacing w:val="-8"/>
          <w:sz w:val="20"/>
          <w:szCs w:val="20"/>
          <w:lang w:eastAsia="es-MX"/>
        </w:rPr>
        <w:t xml:space="preserve"> </w:t>
      </w:r>
      <w:r w:rsidRPr="00971E6B">
        <w:rPr>
          <w:rFonts w:ascii="Century Gothic" w:eastAsia="Arial" w:hAnsi="Century Gothic" w:cs="Arial"/>
          <w:sz w:val="20"/>
          <w:szCs w:val="20"/>
          <w:lang w:eastAsia="es-MX"/>
        </w:rPr>
        <w:t>causal</w:t>
      </w:r>
      <w:r w:rsidRPr="00971E6B">
        <w:rPr>
          <w:rFonts w:ascii="Century Gothic" w:eastAsia="Arial" w:hAnsi="Century Gothic" w:cs="Arial"/>
          <w:spacing w:val="-7"/>
          <w:sz w:val="20"/>
          <w:szCs w:val="20"/>
          <w:lang w:eastAsia="es-MX"/>
        </w:rPr>
        <w:t xml:space="preserve"> </w:t>
      </w:r>
      <w:r w:rsidRPr="00971E6B">
        <w:rPr>
          <w:rFonts w:ascii="Century Gothic" w:eastAsia="Arial" w:hAnsi="Century Gothic" w:cs="Arial"/>
          <w:sz w:val="20"/>
          <w:szCs w:val="20"/>
          <w:lang w:eastAsia="es-MX"/>
        </w:rPr>
        <w:t>de</w:t>
      </w:r>
      <w:r w:rsidRPr="00971E6B">
        <w:rPr>
          <w:rFonts w:ascii="Century Gothic" w:eastAsia="Arial" w:hAnsi="Century Gothic" w:cs="Arial"/>
          <w:spacing w:val="-8"/>
          <w:sz w:val="20"/>
          <w:szCs w:val="20"/>
          <w:lang w:eastAsia="es-MX"/>
        </w:rPr>
        <w:t xml:space="preserve"> </w:t>
      </w:r>
      <w:r w:rsidRPr="00971E6B">
        <w:rPr>
          <w:rFonts w:ascii="Century Gothic" w:eastAsia="Arial" w:hAnsi="Century Gothic" w:cs="Arial"/>
          <w:sz w:val="20"/>
          <w:szCs w:val="20"/>
          <w:lang w:eastAsia="es-MX"/>
        </w:rPr>
        <w:t>mala</w:t>
      </w:r>
      <w:r w:rsidRPr="00971E6B">
        <w:rPr>
          <w:rFonts w:ascii="Century Gothic" w:eastAsia="Arial" w:hAnsi="Century Gothic" w:cs="Arial"/>
          <w:spacing w:val="-7"/>
          <w:sz w:val="20"/>
          <w:szCs w:val="20"/>
          <w:lang w:eastAsia="es-MX"/>
        </w:rPr>
        <w:t xml:space="preserve"> </w:t>
      </w:r>
      <w:r w:rsidRPr="00971E6B">
        <w:rPr>
          <w:rFonts w:ascii="Century Gothic" w:eastAsia="Arial" w:hAnsi="Century Gothic" w:cs="Arial"/>
          <w:sz w:val="20"/>
          <w:szCs w:val="20"/>
          <w:lang w:eastAsia="es-MX"/>
        </w:rPr>
        <w:t>conducta,</w:t>
      </w:r>
      <w:r w:rsidRPr="00971E6B">
        <w:rPr>
          <w:rFonts w:ascii="Century Gothic" w:eastAsia="Arial" w:hAnsi="Century Gothic" w:cs="Arial"/>
          <w:spacing w:val="-8"/>
          <w:sz w:val="20"/>
          <w:szCs w:val="20"/>
          <w:lang w:eastAsia="es-MX"/>
        </w:rPr>
        <w:t xml:space="preserve"> </w:t>
      </w:r>
      <w:r w:rsidRPr="00971E6B">
        <w:rPr>
          <w:rFonts w:ascii="Century Gothic" w:eastAsia="Arial" w:hAnsi="Century Gothic" w:cs="Arial"/>
          <w:sz w:val="20"/>
          <w:szCs w:val="20"/>
          <w:lang w:eastAsia="es-MX"/>
        </w:rPr>
        <w:t>que será sancionada con arreglo al régimen disciplinario</w:t>
      </w:r>
      <w:r w:rsidRPr="00971E6B">
        <w:rPr>
          <w:rFonts w:ascii="Century Gothic" w:eastAsia="Arial" w:hAnsi="Century Gothic" w:cs="Arial"/>
          <w:spacing w:val="-12"/>
          <w:sz w:val="20"/>
          <w:szCs w:val="20"/>
          <w:lang w:eastAsia="es-MX"/>
        </w:rPr>
        <w:t xml:space="preserve"> </w:t>
      </w:r>
      <w:r w:rsidRPr="00971E6B">
        <w:rPr>
          <w:rFonts w:ascii="Century Gothic" w:eastAsia="Arial" w:hAnsi="Century Gothic" w:cs="Arial"/>
          <w:sz w:val="20"/>
          <w:szCs w:val="20"/>
          <w:lang w:eastAsia="es-MX"/>
        </w:rPr>
        <w:t>vigente</w:t>
      </w:r>
      <w:r w:rsidRPr="00463BD9">
        <w:rPr>
          <w:rFonts w:ascii="Century Gothic" w:eastAsia="Times New Roman" w:hAnsi="Century Gothic" w:cs="Arial"/>
          <w:sz w:val="20"/>
          <w:szCs w:val="20"/>
          <w:lang w:eastAsia="es-MX"/>
        </w:rPr>
        <w:t>”.</w:t>
      </w:r>
    </w:p>
    <w:p w14:paraId="440A136A" w14:textId="77777777" w:rsidR="00B44E17" w:rsidRPr="00971E6B" w:rsidRDefault="00B44E17" w:rsidP="00B44E17">
      <w:pPr>
        <w:widowControl w:val="0"/>
        <w:autoSpaceDE w:val="0"/>
        <w:autoSpaceDN w:val="0"/>
        <w:spacing w:after="0" w:line="276" w:lineRule="auto"/>
        <w:ind w:left="709" w:right="709"/>
        <w:jc w:val="both"/>
        <w:rPr>
          <w:rFonts w:ascii="Century Gothic" w:eastAsia="Arial" w:hAnsi="Century Gothic" w:cs="Arial"/>
          <w:lang w:eastAsia="es-MX"/>
        </w:rPr>
      </w:pPr>
    </w:p>
    <w:p w14:paraId="51979E8D" w14:textId="77777777" w:rsidR="00B44E17" w:rsidRPr="00971E6B" w:rsidRDefault="00B44E17" w:rsidP="00B44E17">
      <w:pPr>
        <w:widowControl w:val="0"/>
        <w:autoSpaceDE w:val="0"/>
        <w:autoSpaceDN w:val="0"/>
        <w:spacing w:after="120" w:line="276" w:lineRule="auto"/>
        <w:ind w:firstLine="709"/>
        <w:jc w:val="both"/>
        <w:rPr>
          <w:rFonts w:ascii="Century Gothic" w:eastAsia="Arial" w:hAnsi="Century Gothic" w:cs="Arial"/>
          <w:lang w:eastAsia="es-MX"/>
        </w:rPr>
      </w:pPr>
      <w:r w:rsidRPr="00971E6B">
        <w:rPr>
          <w:rFonts w:ascii="Century Gothic" w:eastAsia="Arial" w:hAnsi="Century Gothic" w:cs="Arial"/>
          <w:lang w:eastAsia="es-MX"/>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40AA6748" w14:textId="77777777" w:rsidR="00B44E17" w:rsidRPr="00971E6B" w:rsidRDefault="00B44E17" w:rsidP="00B44E17">
      <w:pPr>
        <w:widowControl w:val="0"/>
        <w:autoSpaceDE w:val="0"/>
        <w:autoSpaceDN w:val="0"/>
        <w:spacing w:after="120" w:line="276" w:lineRule="auto"/>
        <w:ind w:firstLine="709"/>
        <w:jc w:val="both"/>
        <w:rPr>
          <w:rFonts w:ascii="Century Gothic" w:eastAsia="Arial" w:hAnsi="Century Gothic" w:cs="Arial"/>
        </w:rPr>
      </w:pPr>
      <w:r w:rsidRPr="00971E6B">
        <w:rPr>
          <w:rFonts w:ascii="Century Gothic" w:eastAsia="Arial" w:hAnsi="Century Gothic" w:cs="Arial"/>
          <w:lang w:eastAsia="es-MX"/>
        </w:rPr>
        <w:t xml:space="preserve">De esta manera, y conforme a lo desarrollado en el concepto Nro. </w:t>
      </w:r>
      <w:r w:rsidRPr="00971E6B">
        <w:rPr>
          <w:rFonts w:ascii="Century Gothic" w:eastAsia="Arial" w:hAnsi="Century Gothic" w:cs="Arial"/>
        </w:rPr>
        <w:t xml:space="preserve">C-712 de 13 de octubre de 2022, de la integración de </w:t>
      </w:r>
      <w:r w:rsidRPr="00971E6B">
        <w:rPr>
          <w:rFonts w:ascii="Century Gothic" w:eastAsia="Arial" w:hAnsi="Century Gothic" w:cs="Arial"/>
          <w:lang w:eastAsia="es-MX"/>
        </w:rPr>
        <w:t>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971E6B" w:rsidDel="006B64E9">
        <w:rPr>
          <w:rFonts w:ascii="Century Gothic" w:eastAsia="Arial" w:hAnsi="Century Gothic" w:cs="Arial"/>
          <w:lang w:eastAsia="es-MX"/>
        </w:rPr>
        <w:t xml:space="preserve"> </w:t>
      </w:r>
      <w:r w:rsidRPr="00971E6B">
        <w:rPr>
          <w:rFonts w:ascii="Century Gothic" w:eastAsia="Arial" w:hAnsi="Century Gothic" w:cs="Arial"/>
          <w:lang w:eastAsia="es-MX"/>
        </w:rPr>
        <w:t xml:space="preserve">que la acreditación de dicho requisito se realiza en diferentes momentos del proceso contractual, tal como se detalla a continuación: </w:t>
      </w:r>
    </w:p>
    <w:p w14:paraId="644909C0" w14:textId="77777777" w:rsidR="00B44E17" w:rsidRPr="00971E6B" w:rsidRDefault="00B44E17" w:rsidP="00B44E17">
      <w:pPr>
        <w:widowControl w:val="0"/>
        <w:autoSpaceDE w:val="0"/>
        <w:autoSpaceDN w:val="0"/>
        <w:spacing w:before="120" w:after="120" w:line="276" w:lineRule="auto"/>
        <w:ind w:firstLine="709"/>
        <w:jc w:val="both"/>
        <w:rPr>
          <w:rFonts w:ascii="Century Gothic" w:eastAsia="Arial" w:hAnsi="Century Gothic" w:cs="Arial"/>
          <w:lang w:eastAsia="es-MX"/>
        </w:rPr>
      </w:pPr>
      <w:r w:rsidRPr="00971E6B">
        <w:rPr>
          <w:rFonts w:ascii="Century Gothic" w:eastAsia="Arial" w:hAnsi="Century Gothic" w:cs="Arial"/>
          <w:bCs/>
          <w:szCs w:val="24"/>
          <w:lang w:eastAsia="es-MX"/>
        </w:rPr>
        <w:t>i)</w:t>
      </w:r>
      <w:r w:rsidRPr="00971E6B">
        <w:rPr>
          <w:rFonts w:ascii="Century Gothic" w:eastAsia="Arial" w:hAnsi="Century Gothic" w:cs="Arial"/>
          <w:szCs w:val="24"/>
          <w:lang w:eastAsia="es-MX"/>
        </w:rPr>
        <w:t xml:space="preserve"> </w:t>
      </w:r>
      <w:r w:rsidRPr="00971E6B">
        <w:rPr>
          <w:rFonts w:ascii="Century Gothic" w:eastAsia="Arial" w:hAnsi="Century Gothic" w:cs="Arial"/>
          <w:i/>
          <w:iCs/>
          <w:lang w:eastAsia="es-MX"/>
        </w:rPr>
        <w:t>Para presentar la oferta</w:t>
      </w:r>
      <w:r w:rsidRPr="00971E6B">
        <w:rPr>
          <w:rFonts w:ascii="Century Gothic" w:eastAsia="Arial" w:hAnsi="Century Gothic" w:cs="Arial"/>
          <w:lang w:eastAsia="es-MX"/>
        </w:rPr>
        <w:t xml:space="preserve"> los proponentes deben acreditar el pago de los aportes de sus</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empleados,</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mediante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certificación</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expedida</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por</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revisor</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fiscal,</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cuando</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este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exista de</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acuerdo</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con</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los</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requerimientos</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ley,</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o</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por</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representante</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legal,</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durante</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un</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lapso equivalente al que exija el respectivo régimen de contratación para el que se hubiera constituido la sociedad, el cual, en todo caso, no será inferior a los seis (6) meses anteriores a la celebración del contrato</w:t>
      </w:r>
      <w:r w:rsidRPr="00971E6B">
        <w:rPr>
          <w:rFonts w:ascii="Century Gothic" w:eastAsia="Arial" w:hAnsi="Century Gothic" w:cs="Arial"/>
          <w:vertAlign w:val="superscript"/>
          <w:lang w:eastAsia="es-MX"/>
        </w:rPr>
        <w:footnoteReference w:id="23"/>
      </w:r>
      <w:r w:rsidRPr="00971E6B">
        <w:rPr>
          <w:rFonts w:ascii="Century Gothic" w:eastAsia="Arial" w:hAnsi="Century Gothic" w:cs="Arial"/>
          <w:lang w:eastAsia="es-MX"/>
        </w:rPr>
        <w:t>. Si bien este certificado no es un requisito</w:t>
      </w:r>
      <w:r w:rsidRPr="00971E6B">
        <w:rPr>
          <w:rFonts w:ascii="Century Gothic" w:eastAsia="Arial" w:hAnsi="Century Gothic" w:cs="Arial"/>
          <w:spacing w:val="45"/>
          <w:lang w:eastAsia="es-MX"/>
        </w:rPr>
        <w:t xml:space="preserve"> </w:t>
      </w:r>
      <w:r w:rsidRPr="00971E6B">
        <w:rPr>
          <w:rFonts w:ascii="Century Gothic" w:eastAsia="Arial" w:hAnsi="Century Gothic" w:cs="Arial"/>
          <w:lang w:eastAsia="es-MX"/>
        </w:rPr>
        <w:t xml:space="preserve">para perfeccionarlo ni para ejecutarlo, sí lo es para admitir la oferta en el procedimiento de selección. Cabe señalar que la acreditación en los términos indicados solo procede frente a las </w:t>
      </w:r>
      <w:r w:rsidRPr="00971E6B">
        <w:rPr>
          <w:rFonts w:ascii="Century Gothic" w:eastAsia="Arial" w:hAnsi="Century Gothic" w:cs="Arial"/>
          <w:i/>
          <w:iCs/>
          <w:lang w:eastAsia="es-MX"/>
        </w:rPr>
        <w:t xml:space="preserve">personas jurídicas </w:t>
      </w:r>
      <w:r w:rsidRPr="00971E6B">
        <w:rPr>
          <w:rFonts w:ascii="Century Gothic" w:eastAsia="Arial" w:hAnsi="Century Gothic" w:cs="Arial"/>
          <w:lang w:eastAsia="es-MX"/>
        </w:rPr>
        <w:t>–Ley 789 de 2002, art. 50, inciso 3°–.</w:t>
      </w:r>
    </w:p>
    <w:p w14:paraId="6107E75C" w14:textId="77777777" w:rsidR="00B44E17" w:rsidRPr="00971E6B" w:rsidRDefault="00B44E17" w:rsidP="00B44E17">
      <w:pPr>
        <w:widowControl w:val="0"/>
        <w:autoSpaceDE w:val="0"/>
        <w:autoSpaceDN w:val="0"/>
        <w:spacing w:after="120" w:line="276" w:lineRule="auto"/>
        <w:jc w:val="both"/>
        <w:rPr>
          <w:rFonts w:ascii="Century Gothic" w:eastAsia="Arial" w:hAnsi="Century Gothic" w:cs="Arial"/>
          <w:szCs w:val="24"/>
          <w:lang w:eastAsia="es-MX"/>
        </w:rPr>
      </w:pPr>
      <w:r w:rsidRPr="00971E6B">
        <w:rPr>
          <w:rFonts w:ascii="Century Gothic" w:eastAsia="Arial" w:hAnsi="Century Gothic" w:cs="Arial"/>
          <w:szCs w:val="24"/>
          <w:lang w:eastAsia="es-MX"/>
        </w:rPr>
        <w:tab/>
      </w:r>
      <w:r w:rsidRPr="00971E6B">
        <w:rPr>
          <w:rFonts w:ascii="Century Gothic" w:eastAsia="Arial" w:hAnsi="Century Gothic" w:cs="Arial"/>
          <w:bCs/>
          <w:szCs w:val="24"/>
          <w:lang w:eastAsia="es-MX"/>
        </w:rPr>
        <w:t>ii)</w:t>
      </w:r>
      <w:r w:rsidRPr="00971E6B">
        <w:rPr>
          <w:rFonts w:ascii="Century Gothic" w:eastAsia="Arial" w:hAnsi="Century Gothic" w:cs="Arial"/>
          <w:szCs w:val="24"/>
          <w:lang w:eastAsia="es-MX"/>
        </w:rPr>
        <w:t xml:space="preserve"> En el momento del </w:t>
      </w:r>
      <w:r w:rsidRPr="00971E6B">
        <w:rPr>
          <w:rFonts w:ascii="Century Gothic" w:eastAsia="Arial" w:hAnsi="Century Gothic" w:cs="Arial"/>
          <w:i/>
          <w:iCs/>
          <w:szCs w:val="24"/>
          <w:lang w:eastAsia="es-MX"/>
        </w:rPr>
        <w:t>perfeccionamiento del contrato estatal</w:t>
      </w:r>
      <w:r w:rsidRPr="00971E6B">
        <w:rPr>
          <w:rFonts w:ascii="Century Gothic" w:eastAsia="Arial" w:hAnsi="Century Gothic" w:cs="Arial"/>
          <w:szCs w:val="24"/>
          <w:lang w:eastAsia="es-MX"/>
        </w:rPr>
        <w:t>, se hace necesario que la entidad pública verifique que el sujeto con el cual contratará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0743A1BF" w14:textId="77777777" w:rsidR="00B44E17" w:rsidRPr="00971E6B" w:rsidRDefault="00B44E17" w:rsidP="00B44E17">
      <w:pPr>
        <w:widowControl w:val="0"/>
        <w:autoSpaceDE w:val="0"/>
        <w:autoSpaceDN w:val="0"/>
        <w:spacing w:after="120" w:line="276" w:lineRule="auto"/>
        <w:jc w:val="both"/>
        <w:rPr>
          <w:rFonts w:ascii="Century Gothic" w:eastAsia="Arial" w:hAnsi="Century Gothic" w:cs="Arial"/>
          <w:szCs w:val="24"/>
          <w:lang w:eastAsia="es-MX"/>
        </w:rPr>
      </w:pPr>
      <w:r w:rsidRPr="00971E6B">
        <w:rPr>
          <w:rFonts w:ascii="Century Gothic" w:eastAsia="Arial" w:hAnsi="Century Gothic" w:cs="Arial"/>
          <w:szCs w:val="24"/>
          <w:lang w:eastAsia="es-MX"/>
        </w:rPr>
        <w:tab/>
      </w:r>
      <w:r w:rsidRPr="00971E6B">
        <w:rPr>
          <w:rFonts w:ascii="Century Gothic" w:eastAsia="Arial" w:hAnsi="Century Gothic" w:cs="Arial"/>
          <w:bCs/>
          <w:szCs w:val="24"/>
          <w:lang w:eastAsia="es-MX"/>
        </w:rPr>
        <w:t>iii)</w:t>
      </w:r>
      <w:r w:rsidRPr="00971E6B">
        <w:rPr>
          <w:rFonts w:ascii="Century Gothic" w:eastAsia="Arial" w:hAnsi="Century Gothic" w:cs="Arial"/>
          <w:szCs w:val="24"/>
          <w:lang w:eastAsia="es-MX"/>
        </w:rPr>
        <w:t xml:space="preserve"> El pago de los aportes de seguridad social es un </w:t>
      </w:r>
      <w:r w:rsidRPr="00971E6B">
        <w:rPr>
          <w:rFonts w:ascii="Century Gothic" w:eastAsia="Arial" w:hAnsi="Century Gothic" w:cs="Arial"/>
          <w:i/>
          <w:iCs/>
          <w:szCs w:val="24"/>
          <w:lang w:eastAsia="es-MX"/>
        </w:rPr>
        <w:t>requisito de ejecución</w:t>
      </w:r>
      <w:r w:rsidRPr="00971E6B">
        <w:rPr>
          <w:rFonts w:ascii="Century Gothic" w:eastAsia="Arial" w:hAnsi="Century Gothic" w:cs="Arial"/>
          <w:szCs w:val="24"/>
          <w:lang w:eastAsia="es-MX"/>
        </w:rPr>
        <w:t xml:space="preserve"> del contrato, es decir, es un elemento </w:t>
      </w:r>
      <w:r w:rsidRPr="00971E6B">
        <w:rPr>
          <w:rFonts w:ascii="Century Gothic" w:eastAsia="Arial" w:hAnsi="Century Gothic" w:cs="Arial"/>
          <w:i/>
          <w:szCs w:val="24"/>
          <w:lang w:eastAsia="es-MX"/>
        </w:rPr>
        <w:t>sine qua non</w:t>
      </w:r>
      <w:r w:rsidRPr="00971E6B">
        <w:rPr>
          <w:rFonts w:ascii="Century Gothic" w:eastAsia="Arial" w:hAnsi="Century Gothic" w:cs="Arial"/>
          <w:szCs w:val="24"/>
          <w:lang w:eastAsia="es-MX"/>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48A0D063" w14:textId="77777777" w:rsidR="00B44E17" w:rsidRPr="00971E6B" w:rsidRDefault="00B44E17" w:rsidP="00B44E17">
      <w:pPr>
        <w:widowControl w:val="0"/>
        <w:autoSpaceDE w:val="0"/>
        <w:autoSpaceDN w:val="0"/>
        <w:spacing w:after="120" w:line="276" w:lineRule="auto"/>
        <w:ind w:firstLine="709"/>
        <w:jc w:val="both"/>
        <w:rPr>
          <w:rFonts w:ascii="Century Gothic" w:eastAsia="Arial" w:hAnsi="Century Gothic" w:cs="Arial"/>
          <w:lang w:eastAsia="es-MX"/>
        </w:rPr>
      </w:pPr>
      <w:r w:rsidRPr="00971E6B">
        <w:rPr>
          <w:rFonts w:ascii="Century Gothic" w:eastAsia="Arial" w:hAnsi="Century Gothic" w:cs="Arial"/>
          <w:bCs/>
          <w:szCs w:val="24"/>
          <w:lang w:eastAsia="es-MX"/>
        </w:rPr>
        <w:t>iv)</w:t>
      </w:r>
      <w:r w:rsidRPr="00971E6B">
        <w:rPr>
          <w:rFonts w:ascii="Century Gothic" w:eastAsia="Arial" w:hAnsi="Century Gothic" w:cs="Arial"/>
          <w:szCs w:val="24"/>
          <w:lang w:eastAsia="es-MX"/>
        </w:rPr>
        <w:t xml:space="preserve"> </w:t>
      </w:r>
      <w:r w:rsidRPr="00971E6B">
        <w:rPr>
          <w:rFonts w:ascii="Century Gothic" w:eastAsia="Arial" w:hAnsi="Century Gothic" w:cs="Arial"/>
          <w:i/>
          <w:iCs/>
          <w:szCs w:val="24"/>
          <w:lang w:eastAsia="es-MX"/>
        </w:rPr>
        <w:t>Durante la ejecución del contrato</w:t>
      </w:r>
      <w:r w:rsidRPr="00971E6B">
        <w:rPr>
          <w:rFonts w:ascii="Century Gothic" w:eastAsia="Arial" w:hAnsi="Century Gothic" w:cs="Arial"/>
          <w:szCs w:val="24"/>
          <w:lang w:eastAsia="es-MX"/>
        </w:rPr>
        <w:t>, la Entidad Estatal debe verificar el pago a los aportes a seguridad social, verificación que deberá efectuar para realizar cada pago originado en el contrato –parágrafo 1, art. 41 de la Ley 80 de 1993, modificado por el art. 23 de la Ley 1150 de 2007–.</w:t>
      </w:r>
      <w:r w:rsidRPr="00971E6B">
        <w:rPr>
          <w:rFonts w:ascii="Century Gothic" w:eastAsia="Arial" w:hAnsi="Century Gothic" w:cs="Arial"/>
          <w:lang w:eastAsia="es-MX"/>
        </w:rPr>
        <w:t xml:space="preserve"> </w:t>
      </w:r>
    </w:p>
    <w:p w14:paraId="5C67420D" w14:textId="77777777" w:rsidR="00B44E17" w:rsidRPr="00971E6B" w:rsidRDefault="00B44E17" w:rsidP="00B44E17">
      <w:pPr>
        <w:widowControl w:val="0"/>
        <w:autoSpaceDE w:val="0"/>
        <w:autoSpaceDN w:val="0"/>
        <w:spacing w:after="120" w:line="276" w:lineRule="auto"/>
        <w:jc w:val="both"/>
        <w:rPr>
          <w:rFonts w:ascii="Century Gothic" w:eastAsia="Arial" w:hAnsi="Century Gothic" w:cs="Arial"/>
          <w:lang w:eastAsia="es-MX"/>
        </w:rPr>
      </w:pPr>
      <w:r w:rsidRPr="00971E6B">
        <w:rPr>
          <w:rFonts w:ascii="Century Gothic" w:eastAsia="Arial" w:hAnsi="Century Gothic" w:cs="Arial"/>
          <w:szCs w:val="24"/>
          <w:lang w:eastAsia="es-MX"/>
        </w:rPr>
        <w:tab/>
      </w:r>
      <w:r w:rsidRPr="00971E6B">
        <w:rPr>
          <w:rFonts w:ascii="Century Gothic" w:eastAsia="Arial" w:hAnsi="Century Gothic" w:cs="Arial"/>
          <w:bCs/>
          <w:szCs w:val="24"/>
          <w:lang w:eastAsia="es-MX"/>
        </w:rPr>
        <w:t>v)</w:t>
      </w:r>
      <w:r w:rsidRPr="00971E6B">
        <w:rPr>
          <w:rFonts w:ascii="Century Gothic" w:eastAsia="Arial" w:hAnsi="Century Gothic" w:cs="Arial"/>
          <w:szCs w:val="24"/>
          <w:lang w:eastAsia="es-MX"/>
        </w:rPr>
        <w:t xml:space="preserve"> </w:t>
      </w:r>
      <w:r w:rsidRPr="00971E6B">
        <w:rPr>
          <w:rFonts w:ascii="Century Gothic" w:eastAsia="Arial" w:hAnsi="Century Gothic" w:cs="Arial"/>
          <w:lang w:eastAsia="es-MX"/>
        </w:rPr>
        <w:t>Finalmente,</w:t>
      </w:r>
      <w:r w:rsidRPr="00971E6B">
        <w:rPr>
          <w:rFonts w:ascii="Century Gothic" w:eastAsia="Arial" w:hAnsi="Century Gothic" w:cs="Arial"/>
          <w:spacing w:val="-4"/>
          <w:lang w:eastAsia="es-MX"/>
        </w:rPr>
        <w:t xml:space="preserve"> </w:t>
      </w:r>
      <w:r w:rsidRPr="00971E6B">
        <w:rPr>
          <w:rFonts w:ascii="Century Gothic" w:eastAsia="Arial" w:hAnsi="Century Gothic" w:cs="Arial"/>
          <w:lang w:eastAsia="es-MX"/>
        </w:rPr>
        <w:t>en</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virtud</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del</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artículo</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50</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Ley</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789</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2002,</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la</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entidad</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 xml:space="preserve">verificará, tanto para las personas naturales como para las jurídicas, la realización de los aportes al Sistema de Seguridad Social Integral, al </w:t>
      </w:r>
      <w:r w:rsidRPr="00971E6B">
        <w:rPr>
          <w:rFonts w:ascii="Century Gothic" w:eastAsia="Arial" w:hAnsi="Century Gothic" w:cs="Arial"/>
          <w:i/>
          <w:iCs/>
          <w:lang w:eastAsia="es-MX"/>
        </w:rPr>
        <w:t>momento de su liquidación</w:t>
      </w:r>
      <w:r w:rsidRPr="00971E6B">
        <w:rPr>
          <w:rFonts w:ascii="Century Gothic" w:eastAsia="Arial" w:hAnsi="Century Gothic" w:cs="Arial"/>
          <w:lang w:eastAsia="es-MX"/>
        </w:rPr>
        <w:t>, y dejarán constancia del cumplimiento de las obligaciones del contratista frente a los aportes mencionados durante toda su vigencia, estableciendo una correcta relación entre el monto cancelado y las sumas que debieron</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cotizar.</w:t>
      </w:r>
    </w:p>
    <w:p w14:paraId="005DCFA2" w14:textId="77777777" w:rsidR="00B44E17" w:rsidRPr="00971E6B" w:rsidRDefault="00B44E17" w:rsidP="00B44E17">
      <w:pPr>
        <w:widowControl w:val="0"/>
        <w:autoSpaceDE w:val="0"/>
        <w:autoSpaceDN w:val="0"/>
        <w:spacing w:after="120" w:line="276" w:lineRule="auto"/>
        <w:ind w:firstLine="708"/>
        <w:jc w:val="both"/>
        <w:rPr>
          <w:rFonts w:ascii="Century Gothic" w:eastAsia="Times New Roman" w:hAnsi="Century Gothic" w:cs="Arial"/>
          <w:lang w:eastAsia="es-MX"/>
        </w:rPr>
      </w:pPr>
      <w:r w:rsidRPr="00971E6B">
        <w:rPr>
          <w:rFonts w:ascii="Century Gothic" w:eastAsia="Arial" w:hAnsi="Century Gothic" w:cs="Arial"/>
          <w:lang w:eastAsia="es-MX"/>
        </w:rPr>
        <w:t xml:space="preserve"> A partir de las reglas mencionadas, se evidencia que estar al día en el pago de las obligaciones relacionadas con el Sistema de Seguridad Social Integral</w:t>
      </w:r>
      <w:r w:rsidRPr="00971E6B" w:rsidDel="00822685">
        <w:rPr>
          <w:rFonts w:ascii="Century Gothic" w:eastAsia="Arial" w:hAnsi="Century Gothic" w:cs="Arial"/>
          <w:lang w:eastAsia="es-MX"/>
        </w:rPr>
        <w:t xml:space="preserve"> </w:t>
      </w:r>
      <w:r w:rsidRPr="00971E6B">
        <w:rPr>
          <w:rFonts w:ascii="Century Gothic" w:eastAsia="Arial" w:hAnsi="Century Gothic" w:cs="Arial"/>
          <w:lang w:eastAsia="es-MX"/>
        </w:rPr>
        <w:t xml:space="preserve">es un requisito cuya verificación debe realizarse en distintos momentos del proceso contractual, incluyendo la etapa precontractual. </w:t>
      </w:r>
      <w:r w:rsidRPr="00971E6B">
        <w:rPr>
          <w:rFonts w:ascii="Century Gothic" w:eastAsia="Times New Roman" w:hAnsi="Century Gothic" w:cs="Arial"/>
          <w:lang w:eastAsia="es-MX"/>
        </w:rPr>
        <w:t xml:space="preserve">Por tanto, </w:t>
      </w:r>
      <w:bookmarkStart w:id="7" w:name="_Hlk80881612"/>
      <w:r w:rsidRPr="00971E6B">
        <w:rPr>
          <w:rFonts w:ascii="Century Gothic" w:eastAsia="Times New Roman" w:hAnsi="Century Gothic" w:cs="Arial"/>
          <w:lang w:eastAsia="es-MX"/>
        </w:rPr>
        <w:t xml:space="preserve">la Agencia infiere que </w:t>
      </w:r>
      <w:bookmarkStart w:id="8" w:name="_Hlk78209422"/>
      <w:r w:rsidRPr="00971E6B">
        <w:rPr>
          <w:rFonts w:ascii="Century Gothic" w:eastAsia="Times New Roman" w:hAnsi="Century Gothic" w:cs="Arial"/>
          <w:lang w:eastAsia="es-MX"/>
        </w:rPr>
        <w:t>la finalidad de las normas de la Ley 100 de 1993 y de otras normas complementarias, en desarrollo de las políticas públicas del Estado colombiano, es establecer un marco jurídico integral de seguridad social dentro del territorio nacional, cuyo cumplimiento también es obligatorio para las sociedades extranjeras con sucursal en Colombia.</w:t>
      </w:r>
      <w:bookmarkEnd w:id="8"/>
    </w:p>
    <w:p w14:paraId="29F32456" w14:textId="77777777" w:rsidR="00B44E17" w:rsidRPr="00971E6B" w:rsidRDefault="00B44E17" w:rsidP="00B44E17">
      <w:pPr>
        <w:spacing w:before="120" w:after="120" w:line="276" w:lineRule="auto"/>
        <w:ind w:firstLine="709"/>
        <w:jc w:val="both"/>
        <w:rPr>
          <w:rFonts w:ascii="Century Gothic" w:eastAsia="Arial" w:hAnsi="Century Gothic" w:cs="Arial"/>
          <w:lang w:eastAsia="es-MX"/>
        </w:rPr>
      </w:pPr>
      <w:bookmarkStart w:id="9" w:name="_Hlk80881665"/>
      <w:bookmarkEnd w:id="7"/>
      <w:r w:rsidRPr="00971E6B">
        <w:rPr>
          <w:rFonts w:ascii="Century Gothic" w:eastAsia="Times New Roman" w:hAnsi="Century Gothic" w:cs="Arial"/>
          <w:lang w:eastAsia="es-MX"/>
        </w:rPr>
        <w:t>Nada distinto podría colegirse de las normas que regulan un servicio público esencial e irrenunciable, que además de comprender obligaciones para el Estado y la sociedad, se compone de normas de orden público y de aplicación en el territorio nacional</w:t>
      </w:r>
      <w:r w:rsidRPr="00971E6B">
        <w:rPr>
          <w:rFonts w:ascii="Century Gothic" w:eastAsia="Times New Roman" w:hAnsi="Century Gothic" w:cs="Arial"/>
          <w:vertAlign w:val="superscript"/>
          <w:lang w:eastAsia="es-MX"/>
        </w:rPr>
        <w:footnoteReference w:id="24"/>
      </w:r>
      <w:r w:rsidRPr="00971E6B">
        <w:rPr>
          <w:rFonts w:ascii="Century Gothic" w:eastAsia="Times New Roman" w:hAnsi="Century Gothic" w:cs="Arial"/>
          <w:lang w:eastAsia="es-MX"/>
        </w:rPr>
        <w:t xml:space="preserve">. </w:t>
      </w:r>
      <w:bookmarkEnd w:id="9"/>
      <w:r w:rsidRPr="00971E6B">
        <w:rPr>
          <w:rFonts w:ascii="Century Gothic" w:eastAsia="Times New Roman" w:hAnsi="Century Gothic" w:cs="Arial"/>
          <w:lang w:eastAsia="es-MX"/>
        </w:rPr>
        <w:t>En este contexto, las sociedades extranjeras con sucursal en Colombia, interesadas en participar en procesos de contratación deberán</w:t>
      </w:r>
      <w:r w:rsidRPr="00971E6B">
        <w:rPr>
          <w:rFonts w:ascii="Century Gothic" w:eastAsia="Arial" w:hAnsi="Century Gothic" w:cs="Arial"/>
          <w:lang w:eastAsia="es-MX"/>
        </w:rPr>
        <w:t xml:space="preserve"> acreditar el pago de los aportes de los empleados vinculados a la sucursal,</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mediante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certificación</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expedida</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por</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revisor</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fiscal,</w:t>
      </w:r>
      <w:r w:rsidRPr="00971E6B">
        <w:rPr>
          <w:rFonts w:ascii="Century Gothic" w:eastAsia="Arial" w:hAnsi="Century Gothic" w:cs="Arial"/>
          <w:spacing w:val="-5"/>
          <w:lang w:eastAsia="es-MX"/>
        </w:rPr>
        <w:t xml:space="preserve"> </w:t>
      </w:r>
      <w:r w:rsidRPr="00971E6B">
        <w:rPr>
          <w:rFonts w:ascii="Century Gothic" w:eastAsia="Arial" w:hAnsi="Century Gothic" w:cs="Arial"/>
          <w:lang w:eastAsia="es-MX"/>
        </w:rPr>
        <w:t>cuando</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este</w:t>
      </w:r>
      <w:r w:rsidRPr="00971E6B">
        <w:rPr>
          <w:rFonts w:ascii="Century Gothic" w:eastAsia="Arial" w:hAnsi="Century Gothic" w:cs="Arial"/>
          <w:spacing w:val="-6"/>
          <w:lang w:eastAsia="es-MX"/>
        </w:rPr>
        <w:t xml:space="preserve"> </w:t>
      </w:r>
      <w:r w:rsidRPr="00971E6B">
        <w:rPr>
          <w:rFonts w:ascii="Century Gothic" w:eastAsia="Arial" w:hAnsi="Century Gothic" w:cs="Arial"/>
          <w:lang w:eastAsia="es-MX"/>
        </w:rPr>
        <w:t>exista de</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acuerdo</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con</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los</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requerimientos</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de</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ley,</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o</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por</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el</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representante</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legal,</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durante</w:t>
      </w:r>
      <w:r w:rsidRPr="00971E6B">
        <w:rPr>
          <w:rFonts w:ascii="Century Gothic" w:eastAsia="Arial" w:hAnsi="Century Gothic" w:cs="Arial"/>
          <w:spacing w:val="-9"/>
          <w:lang w:eastAsia="es-MX"/>
        </w:rPr>
        <w:t xml:space="preserve"> </w:t>
      </w:r>
      <w:r w:rsidRPr="00971E6B">
        <w:rPr>
          <w:rFonts w:ascii="Century Gothic" w:eastAsia="Arial" w:hAnsi="Century Gothic" w:cs="Arial"/>
          <w:lang w:eastAsia="es-MX"/>
        </w:rPr>
        <w:t>un</w:t>
      </w:r>
      <w:r w:rsidRPr="00971E6B">
        <w:rPr>
          <w:rFonts w:ascii="Century Gothic" w:eastAsia="Arial" w:hAnsi="Century Gothic" w:cs="Arial"/>
          <w:spacing w:val="-8"/>
          <w:lang w:eastAsia="es-MX"/>
        </w:rPr>
        <w:t xml:space="preserve"> </w:t>
      </w:r>
      <w:r w:rsidRPr="00971E6B">
        <w:rPr>
          <w:rFonts w:ascii="Century Gothic" w:eastAsia="Arial" w:hAnsi="Century Gothic" w:cs="Arial"/>
          <w:lang w:eastAsia="es-MX"/>
        </w:rPr>
        <w:t>lapso equivalente al que exija el respectivo régimen de contratación para el que se hubiera constituido la sociedad, el cual, en todo caso, no será inferior a los seis (6) meses anteriores a la celebración del contrato.</w:t>
      </w:r>
    </w:p>
    <w:p w14:paraId="6FC5D0B5" w14:textId="77777777" w:rsidR="00B44E17" w:rsidRPr="00971E6B" w:rsidRDefault="00B44E17" w:rsidP="00B44E17">
      <w:pPr>
        <w:spacing w:before="120" w:after="120" w:line="276" w:lineRule="auto"/>
        <w:ind w:firstLine="709"/>
        <w:jc w:val="both"/>
        <w:rPr>
          <w:rFonts w:ascii="Century Gothic" w:eastAsia="Arial" w:hAnsi="Century Gothic" w:cs="Arial"/>
          <w:lang w:eastAsia="es-MX"/>
        </w:rPr>
      </w:pPr>
      <w:r w:rsidRPr="00971E6B">
        <w:rPr>
          <w:rFonts w:ascii="Century Gothic" w:eastAsia="Arial" w:hAnsi="Century Gothic" w:cs="Arial"/>
          <w:lang w:eastAsia="es-MX"/>
        </w:rPr>
        <w:t>En relación con los proponentes plurales -consorcios y uniones temporales-, según lo anterior, puede afirmarse que cada uno de los miembros o integrantes del consorcio o de la unión temporal deberá acreditar encontrarse afiliado y al día en el pago de los aportes al Sistema de Seguridad Social, para lo cual deberá realizar la acreditación según su naturaleza jurídica.</w:t>
      </w:r>
    </w:p>
    <w:p w14:paraId="12E49356" w14:textId="77777777" w:rsidR="00B44E17" w:rsidRPr="00971E6B" w:rsidRDefault="00B44E17" w:rsidP="00B44E17">
      <w:pPr>
        <w:spacing w:before="120" w:after="120" w:line="276" w:lineRule="auto"/>
        <w:ind w:firstLine="709"/>
        <w:jc w:val="both"/>
        <w:rPr>
          <w:rFonts w:ascii="Century Gothic" w:eastAsia="Arial" w:hAnsi="Century Gothic" w:cs="Arial"/>
          <w:lang w:eastAsia="es-MX"/>
        </w:rPr>
      </w:pPr>
      <w:r w:rsidRPr="00971E6B">
        <w:rPr>
          <w:rFonts w:ascii="Century Gothic" w:eastAsia="Arial" w:hAnsi="Century Gothic" w:cs="Arial"/>
          <w:lang w:eastAsia="es-MX"/>
        </w:rPr>
        <w:t xml:space="preserve">Lo anterior toda vez que, el artículo 7 de la Ley 80 de 1993 define los consorcios y las uniones temporales como un negocio jurídico de carácter privado con la finalidad de que dos o más personas naturales o jurídicas se asocien para la celebración, adjudicación y ejecución de un contrato estatal, sin personería jurídica, en donde sus miembros conservan su independencia jurídica. Por lo tanto, la verificación de los requisitos habilitantes por parte de la entidad estatal contratante debe efectuarse respecto de cada uno de los miembros del proponente plural. </w:t>
      </w:r>
    </w:p>
    <w:p w14:paraId="65F50D27" w14:textId="77777777" w:rsidR="00B44E17" w:rsidRPr="00971E6B" w:rsidRDefault="00B44E17" w:rsidP="00B44E17">
      <w:pPr>
        <w:spacing w:before="120" w:after="120" w:line="276" w:lineRule="auto"/>
        <w:ind w:firstLine="709"/>
        <w:jc w:val="both"/>
        <w:rPr>
          <w:rFonts w:ascii="Century Gothic" w:eastAsia="Arial" w:hAnsi="Century Gothic" w:cs="Arial"/>
          <w:lang w:eastAsia="es-MX"/>
        </w:rPr>
      </w:pPr>
      <w:r w:rsidRPr="00971E6B">
        <w:rPr>
          <w:rFonts w:ascii="Century Gothic" w:eastAsia="Arial" w:hAnsi="Century Gothic" w:cs="Arial"/>
          <w:lang w:eastAsia="es-MX"/>
        </w:rPr>
        <w:t>Ahora bien, en cuanto al objeto especifico de su consulta, de acuerdo con lo manifestado en el presente numeral, es necesario explicar que, las formas de organización de pueblos y comunidades étnicas deben cumplir con lo dispuesto en el tercer inciso del artículo 50 de la Ley 789 de 2002. Esto considerando que ni esta, ni otra norma en particular, exceptúa a este tipo de personas jurídicas del cumplimiento del requisito allí previsto.  Lo anterior supone que tales sujetos deban acreditar que se encuentran al día con los aportes parafiscales de que les correspondan, a efectos de cumplir con el requisito previsto en la parte final del segundo inciso del artículo 41 de la Ley 80 de 1993.</w:t>
      </w:r>
    </w:p>
    <w:p w14:paraId="050672E1" w14:textId="77777777" w:rsidR="00B44E17" w:rsidRPr="00971E6B" w:rsidRDefault="00B44E17" w:rsidP="00B44E17">
      <w:pPr>
        <w:spacing w:before="120" w:after="120" w:line="276" w:lineRule="auto"/>
        <w:ind w:firstLine="709"/>
        <w:jc w:val="both"/>
        <w:rPr>
          <w:rFonts w:ascii="Century Gothic" w:eastAsia="Arial" w:hAnsi="Century Gothic" w:cs="Arial"/>
          <w:lang w:eastAsia="es-MX"/>
        </w:rPr>
      </w:pPr>
      <w:r w:rsidRPr="00971E6B">
        <w:rPr>
          <w:rFonts w:ascii="Century Gothic" w:eastAsia="Arial" w:hAnsi="Century Gothic" w:cs="Arial"/>
          <w:lang w:eastAsia="es-MX"/>
        </w:rPr>
        <w:t xml:space="preserve"> Sin embargo, es necesario poner de presente que, los referidos aportes parafiscales que deben acreditarse son los que corresponde hacer a la respectiva persona jurídica respecto de sus </w:t>
      </w:r>
      <w:r w:rsidRPr="00971E6B">
        <w:rPr>
          <w:rFonts w:ascii="Century Gothic" w:eastAsia="Arial" w:hAnsi="Century Gothic" w:cs="Arial"/>
          <w:i/>
          <w:iCs/>
          <w:lang w:eastAsia="es-MX"/>
        </w:rPr>
        <w:t>“empleados”</w:t>
      </w:r>
      <w:r w:rsidRPr="00971E6B">
        <w:rPr>
          <w:rFonts w:ascii="Century Gothic" w:eastAsia="Arial" w:hAnsi="Century Gothic" w:cs="Arial"/>
          <w:lang w:eastAsia="es-MX"/>
        </w:rPr>
        <w:t xml:space="preserve">, esto es, respecto de las personas que tengan una relación laboral con la organización. En ese sentido, en el marco del cumplimiento del requisito previsto en el tercer inciso del artículo 50 de la Ley 789 de 2002, no les resultaría exigible a las formas de organización de pueblos y comunidades étnicas, acreditar aportes parafiscales respecto de personas con las que no tengan una relación laboral, como bien podría ser el caso de un representante legal vinculado mediante contratos de mandato o prestación de servicios. </w:t>
      </w:r>
    </w:p>
    <w:p w14:paraId="6371CFD1" w14:textId="77777777" w:rsidR="00B44E17" w:rsidRPr="00463BD9" w:rsidRDefault="00B44E17" w:rsidP="00B44E17">
      <w:pPr>
        <w:spacing w:after="0"/>
        <w:jc w:val="both"/>
        <w:rPr>
          <w:rFonts w:ascii="Century Gothic" w:eastAsia="Calibri" w:hAnsi="Century Gothic" w:cs="Arial"/>
          <w:b/>
        </w:rPr>
      </w:pPr>
      <w:r w:rsidRPr="00463BD9">
        <w:rPr>
          <w:rFonts w:ascii="Century Gothic" w:eastAsia="Calibri" w:hAnsi="Century Gothic" w:cs="Arial"/>
          <w:b/>
        </w:rPr>
        <w:t>3. Respuesta</w:t>
      </w:r>
    </w:p>
    <w:p w14:paraId="203E79F7" w14:textId="77777777" w:rsidR="00B44E17" w:rsidRPr="00463BD9" w:rsidRDefault="00B44E17" w:rsidP="00B44E17">
      <w:pPr>
        <w:spacing w:after="0"/>
        <w:jc w:val="both"/>
        <w:rPr>
          <w:rFonts w:ascii="Century Gothic" w:eastAsia="Calibri" w:hAnsi="Century Gothic" w:cs="Arial"/>
          <w:b/>
        </w:rPr>
      </w:pPr>
    </w:p>
    <w:p w14:paraId="17D9C7EF" w14:textId="77777777" w:rsidR="00B44E17" w:rsidRPr="00463BD9" w:rsidRDefault="00B44E17" w:rsidP="00B44E17">
      <w:pPr>
        <w:spacing w:after="0" w:line="240" w:lineRule="auto"/>
        <w:ind w:left="709" w:right="709"/>
        <w:jc w:val="both"/>
        <w:rPr>
          <w:rFonts w:ascii="Century Gothic" w:hAnsi="Century Gothic"/>
          <w:sz w:val="20"/>
          <w:szCs w:val="20"/>
        </w:rPr>
      </w:pPr>
      <w:r w:rsidRPr="00971E6B">
        <w:rPr>
          <w:rFonts w:ascii="Century Gothic" w:hAnsi="Century Gothic" w:cs="Arial"/>
        </w:rPr>
        <w:t xml:space="preserve"> </w:t>
      </w:r>
      <w:r w:rsidRPr="00463BD9">
        <w:rPr>
          <w:rFonts w:ascii="Century Gothic" w:hAnsi="Century Gothic"/>
          <w:sz w:val="20"/>
          <w:szCs w:val="20"/>
        </w:rPr>
        <w:t>“[…] 1. ¿Es viable jurídicamente utilizar la causal de contratación directa señalada en el literal n del numeral 4 del artículo 2 de la Ley 1150 de 2007 para celebrar un contrato o convenio con el pueblo Rrom de forma directa?</w:t>
      </w:r>
    </w:p>
    <w:p w14:paraId="18D7CF14" w14:textId="77777777" w:rsidR="00B44E17" w:rsidRPr="00463BD9" w:rsidRDefault="00B44E17" w:rsidP="00B44E17">
      <w:pPr>
        <w:spacing w:after="0" w:line="240" w:lineRule="auto"/>
        <w:ind w:right="709"/>
        <w:jc w:val="both"/>
        <w:rPr>
          <w:rFonts w:ascii="Century Gothic" w:hAnsi="Century Gothic"/>
          <w:sz w:val="20"/>
          <w:szCs w:val="20"/>
        </w:rPr>
      </w:pPr>
    </w:p>
    <w:p w14:paraId="2A2FEF09" w14:textId="77777777" w:rsidR="00B44E17" w:rsidRPr="00971E6B" w:rsidRDefault="00B44E17" w:rsidP="00B44E17">
      <w:pPr>
        <w:spacing w:line="276" w:lineRule="auto"/>
        <w:jc w:val="both"/>
        <w:rPr>
          <w:rFonts w:ascii="Century Gothic" w:hAnsi="Century Gothic" w:cs="Arial"/>
        </w:rPr>
      </w:pPr>
      <w:r w:rsidRPr="00463BD9">
        <w:rPr>
          <w:rStyle w:val="normaltextrun"/>
          <w:rFonts w:ascii="Century Gothic" w:hAnsi="Century Gothic" w:cs="Arial"/>
          <w:shd w:val="clear" w:color="auto" w:fill="FFFFFF"/>
        </w:rPr>
        <w:t xml:space="preserve">Conforme a lo expuesto, </w:t>
      </w:r>
      <w:r w:rsidRPr="00971E6B">
        <w:rPr>
          <w:rFonts w:ascii="Century Gothic" w:hAnsi="Century Gothic" w:cs="Arial"/>
        </w:rPr>
        <w:t>el literal N), numeral 4 del artículo 2 de la Ley 1150 de 2007, adicionados por la Ley 2160 de 2021, habilitan a las Entidades Estatales para suscribir, sin límite de cuantía, todo tipo de contratos de manera directa con Organizaciones de Base y demás formas organizativas de la comunidad negra, afrocolombiana, raizal y/o palenquera,</w:t>
      </w:r>
      <w:r w:rsidRPr="00463BD9">
        <w:rPr>
          <w:rFonts w:ascii="Century Gothic" w:hAnsi="Century Gothic" w:cs="Arial"/>
        </w:rPr>
        <w:t xml:space="preserve"> siempre que se cumplan los requisitos subjetivos y objetivos establecidos en las causales, explicado en el numeral 2.2 del presente concepto. Dentro de los requisitos objetivos, se establece la necesidad de que el objeto del contrato se relacione con el fortalecimiento organizativo y del gobierno propio, la autonomía, la identidad étnica y cultural,</w:t>
      </w:r>
      <w:r w:rsidRPr="00971E6B">
        <w:rPr>
          <w:rFonts w:ascii="Century Gothic" w:hAnsi="Century Gothic" w:cs="Arial"/>
        </w:rPr>
        <w:t xml:space="preserve"> y/o la garantía de los derechos de las personas pertenecientes a las comunidades y/o organizaciones. </w:t>
      </w:r>
    </w:p>
    <w:p w14:paraId="0BF1EBAA" w14:textId="77777777" w:rsidR="00B44E17" w:rsidRPr="00463BD9" w:rsidRDefault="00B44E17" w:rsidP="00B44E17">
      <w:pPr>
        <w:spacing w:line="276" w:lineRule="auto"/>
        <w:jc w:val="both"/>
        <w:rPr>
          <w:rFonts w:ascii="Century Gothic" w:eastAsia="Calibri" w:hAnsi="Century Gothic" w:cs="Arial"/>
        </w:rPr>
      </w:pPr>
      <w:r w:rsidRPr="00971E6B">
        <w:rPr>
          <w:rFonts w:ascii="Century Gothic" w:hAnsi="Century Gothic" w:cs="Arial"/>
        </w:rPr>
        <w:tab/>
        <w:t xml:space="preserve">De acuerdo con lo explicado en el numeral 2.2, el </w:t>
      </w:r>
      <w:r w:rsidRPr="00463BD9">
        <w:rPr>
          <w:rFonts w:ascii="Century Gothic" w:hAnsi="Century Gothic" w:cs="Arial"/>
          <w:i/>
          <w:iCs/>
        </w:rPr>
        <w:t>gobierno propio</w:t>
      </w:r>
      <w:r w:rsidRPr="00463BD9">
        <w:rPr>
          <w:rFonts w:ascii="Century Gothic" w:hAnsi="Century Gothic" w:cs="Arial"/>
        </w:rPr>
        <w:t xml:space="preserve">, la </w:t>
      </w:r>
      <w:r w:rsidRPr="00463BD9">
        <w:rPr>
          <w:rFonts w:ascii="Century Gothic" w:hAnsi="Century Gothic" w:cs="Arial"/>
          <w:i/>
          <w:iCs/>
        </w:rPr>
        <w:t>autonomía</w:t>
      </w:r>
      <w:r w:rsidRPr="00463BD9">
        <w:rPr>
          <w:rFonts w:ascii="Century Gothic" w:hAnsi="Century Gothic" w:cs="Arial"/>
        </w:rPr>
        <w:t xml:space="preserve">, la </w:t>
      </w:r>
      <w:r w:rsidRPr="00463BD9">
        <w:rPr>
          <w:rFonts w:ascii="Century Gothic" w:hAnsi="Century Gothic" w:cs="Arial"/>
          <w:i/>
          <w:iCs/>
        </w:rPr>
        <w:t>identidad étnica</w:t>
      </w:r>
      <w:r w:rsidRPr="00463BD9">
        <w:rPr>
          <w:rFonts w:ascii="Century Gothic" w:hAnsi="Century Gothic" w:cs="Arial"/>
        </w:rPr>
        <w:t xml:space="preserve"> y </w:t>
      </w:r>
      <w:r w:rsidRPr="00463BD9">
        <w:rPr>
          <w:rFonts w:ascii="Century Gothic" w:hAnsi="Century Gothic" w:cs="Arial"/>
          <w:i/>
          <w:iCs/>
        </w:rPr>
        <w:t>cultural</w:t>
      </w:r>
      <w:r w:rsidRPr="00463BD9">
        <w:rPr>
          <w:rFonts w:ascii="Century Gothic" w:hAnsi="Century Gothic" w:cs="Arial"/>
        </w:rPr>
        <w:t xml:space="preserve"> son derechos que ostentan la comunidad negra, afrodescendiente, raizal y palenquera, que encuentran su fundamento en los artículos </w:t>
      </w:r>
      <w:r w:rsidRPr="00971E6B">
        <w:rPr>
          <w:rFonts w:ascii="Century Gothic" w:eastAsia="Calibri" w:hAnsi="Century Gothic" w:cs="Arial"/>
        </w:rPr>
        <w:t xml:space="preserve">7, 8, 10, 68 y 72 de la Constitución Política y el Convenio 169 de la OIT, los cuales han sido precisados por la jurisprudencia de la Corte Constitucional. </w:t>
      </w:r>
      <w:r w:rsidRPr="00463BD9">
        <w:rPr>
          <w:rFonts w:ascii="Century Gothic" w:eastAsia="Calibri" w:hAnsi="Century Gothic" w:cs="Arial"/>
        </w:rPr>
        <w:t xml:space="preserve">Es por esto que, la jurisprudencia de la Corte Constitucional constituye un obligado referente interpretativo para los operadores del sistema de compra pública, al momento de aplicar el literal N) del numeral 4 del artículo 2 de la Ley 1150/2007, en la medida que establece el contexto normativo y los elementos que lo definen. </w:t>
      </w:r>
    </w:p>
    <w:p w14:paraId="5AEA7F7F" w14:textId="77777777" w:rsidR="00B44E17" w:rsidRPr="00463BD9" w:rsidRDefault="00B44E17" w:rsidP="00B44E17">
      <w:pPr>
        <w:spacing w:line="276" w:lineRule="auto"/>
        <w:ind w:firstLine="708"/>
        <w:jc w:val="both"/>
        <w:rPr>
          <w:rFonts w:ascii="Century Gothic" w:eastAsia="Calibri" w:hAnsi="Century Gothic" w:cs="Arial"/>
        </w:rPr>
      </w:pPr>
      <w:r w:rsidRPr="00463BD9">
        <w:rPr>
          <w:rFonts w:ascii="Century Gothic" w:eastAsia="Calibri" w:hAnsi="Century Gothic" w:cs="Arial"/>
        </w:rPr>
        <w:t>Por otra parte,</w:t>
      </w:r>
      <w:r w:rsidRPr="00463BD9">
        <w:rPr>
          <w:rFonts w:ascii="Century Gothic" w:eastAsia="Calibri" w:hAnsi="Century Gothic" w:cs="Arial"/>
          <w:i/>
          <w:iCs/>
        </w:rPr>
        <w:t xml:space="preserve"> la garantía de derechos </w:t>
      </w:r>
      <w:r w:rsidRPr="00463BD9">
        <w:rPr>
          <w:rFonts w:ascii="Century Gothic" w:eastAsia="Calibri" w:hAnsi="Century Gothic" w:cs="Arial"/>
        </w:rPr>
        <w:t xml:space="preserve">a la que hacen referencia ambos literales deben interpretarse como una cláusula abierta que permite que la aplicación de estas causales no se restrinja a los contratos relacionados con los derechos antes enunciados, sino con todos aquellos de los que son titulares las comunidades o pueblos étnicos.   </w:t>
      </w:r>
    </w:p>
    <w:p w14:paraId="712A0174" w14:textId="77777777" w:rsidR="00B44E17" w:rsidRPr="00F0597F" w:rsidRDefault="00B44E17" w:rsidP="00B44E17">
      <w:pPr>
        <w:spacing w:line="276" w:lineRule="auto"/>
        <w:ind w:firstLine="708"/>
        <w:jc w:val="both"/>
        <w:rPr>
          <w:rFonts w:ascii="Century Gothic" w:eastAsia="Calibri" w:hAnsi="Century Gothic" w:cs="Arial"/>
        </w:rPr>
      </w:pPr>
      <w:r w:rsidRPr="00F0597F">
        <w:rPr>
          <w:rFonts w:ascii="Century Gothic" w:eastAsia="Calibri" w:hAnsi="Century Gothic" w:cs="Arial"/>
        </w:rPr>
        <w:t xml:space="preserve">Así las cosas, es preciso indicar que no resulta jurídicamente viable aplicar la causal de contratación directa dispuesta en el literal N del numeral 4 del artículo 2 de la Ley 1150 de 2007, con el Pueblo Rrom, </w:t>
      </w:r>
      <w:r w:rsidRPr="00F0597F">
        <w:rPr>
          <w:rFonts w:ascii="Century Gothic" w:hAnsi="Century Gothic" w:cs="Arial"/>
        </w:rPr>
        <w:t xml:space="preserve">porque la redacción normativa del literal n no incluyó a estos grupos, so pena que contempla la expresión “otras formas y expresiones asociativas”. Al respecto, el legislador hace referencia al </w:t>
      </w:r>
      <w:r w:rsidRPr="00F0597F">
        <w:rPr>
          <w:rFonts w:ascii="Century Gothic" w:eastAsia="Times New Roman" w:hAnsi="Century Gothic" w:cs="Arial"/>
          <w:shd w:val="clear" w:color="auto" w:fill="FFFFFF"/>
          <w:lang w:eastAsia="es-ES_tradnl"/>
        </w:rPr>
        <w:t>conjunto de familias de ascendencia negra, afrocolombiana, raizal o palenquera</w:t>
      </w:r>
      <w:r w:rsidRPr="00F0597F">
        <w:rPr>
          <w:rFonts w:ascii="Century Gothic" w:eastAsia="Times New Roman" w:hAnsi="Century Gothic" w:cs="Times New Roman"/>
          <w:lang w:eastAsia="es-ES_tradnl"/>
        </w:rPr>
        <w:t xml:space="preserve"> </w:t>
      </w:r>
      <w:r w:rsidRPr="00F0597F">
        <w:rPr>
          <w:rFonts w:ascii="Century Gothic" w:hAnsi="Century Gothic" w:cs="Arial"/>
        </w:rPr>
        <w:t xml:space="preserve">preceptuada en el literal 3 del artículo 7 de la Ley 1150 de 2007, modificado por el artículo 3 de la Ley 2160 2021 así: </w:t>
      </w:r>
    </w:p>
    <w:p w14:paraId="7386A291" w14:textId="77777777" w:rsidR="00B44E17" w:rsidRPr="00971E6B" w:rsidRDefault="00B44E17" w:rsidP="00B44E17">
      <w:pPr>
        <w:spacing w:after="0" w:line="240" w:lineRule="auto"/>
        <w:ind w:left="709" w:right="758"/>
        <w:jc w:val="both"/>
        <w:rPr>
          <w:rFonts w:ascii="Century Gothic" w:eastAsia="Times New Roman" w:hAnsi="Century Gothic" w:cs="Times New Roman"/>
          <w:sz w:val="20"/>
          <w:szCs w:val="20"/>
          <w:lang w:eastAsia="es-ES_tradnl"/>
        </w:rPr>
      </w:pPr>
      <w:r w:rsidRPr="00971E6B">
        <w:rPr>
          <w:rFonts w:ascii="Century Gothic" w:eastAsia="Times New Roman" w:hAnsi="Century Gothic" w:cs="Arial"/>
          <w:sz w:val="20"/>
          <w:szCs w:val="20"/>
          <w:shd w:val="clear" w:color="auto" w:fill="FFFFFF"/>
          <w:lang w:eastAsia="es-ES_tradnl"/>
        </w:rPr>
        <w:t>“[…] 3. Formas o expresiones organizativas. 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 […]”</w:t>
      </w:r>
    </w:p>
    <w:p w14:paraId="0F179661" w14:textId="77777777" w:rsidR="00B44E17" w:rsidRPr="00971E6B" w:rsidRDefault="00B44E17" w:rsidP="00B44E17">
      <w:pPr>
        <w:spacing w:line="276" w:lineRule="auto"/>
        <w:jc w:val="both"/>
        <w:rPr>
          <w:rFonts w:ascii="Century Gothic" w:eastAsia="Calibri" w:hAnsi="Century Gothic" w:cs="Arial"/>
        </w:rPr>
      </w:pPr>
    </w:p>
    <w:p w14:paraId="16F0CAE7" w14:textId="77777777" w:rsidR="00B44E17" w:rsidRPr="00971E6B" w:rsidRDefault="00B44E17" w:rsidP="00B44E17">
      <w:pPr>
        <w:spacing w:line="276" w:lineRule="auto"/>
        <w:jc w:val="both"/>
        <w:rPr>
          <w:rFonts w:ascii="Century Gothic" w:eastAsia="Calibri" w:hAnsi="Century Gothic" w:cs="Arial"/>
        </w:rPr>
      </w:pPr>
      <w:r w:rsidRPr="00971E6B">
        <w:rPr>
          <w:rFonts w:ascii="Century Gothic" w:eastAsia="Calibri" w:hAnsi="Century Gothic" w:cs="Arial"/>
        </w:rPr>
        <w:t>En ese orden de ideas, el pueblo Rrom no se asemeja a los pueblos indígenas, comunidades afrodescendientes, raizales y palenqueras. No obstante, tienen la oportunidad de participar en los procesos de contratación competitivos a través de las reglas generales de la contratación pública y podrán como personas naturales, jurídicas o proponentes plurales.</w:t>
      </w:r>
    </w:p>
    <w:p w14:paraId="2EA4B438" w14:textId="77777777" w:rsidR="00B44E17" w:rsidRPr="00F0597F" w:rsidRDefault="00B44E17" w:rsidP="00B44E17">
      <w:pPr>
        <w:spacing w:line="276" w:lineRule="auto"/>
        <w:ind w:firstLine="708"/>
        <w:jc w:val="both"/>
        <w:rPr>
          <w:rFonts w:ascii="Century Gothic" w:eastAsia="Calibri" w:hAnsi="Century Gothic" w:cs="Arial"/>
        </w:rPr>
      </w:pPr>
      <w:r w:rsidRPr="00F0597F">
        <w:rPr>
          <w:rFonts w:ascii="Century Gothic" w:eastAsia="Calibri" w:hAnsi="Century Gothic" w:cs="Arial"/>
        </w:rPr>
        <w:t xml:space="preserve">Ahora bien, la causal del literal n al igual que las otras causales de contratación directa, previstas en el </w:t>
      </w:r>
      <w:r w:rsidRPr="00F0597F">
        <w:rPr>
          <w:rFonts w:ascii="Century Gothic" w:hAnsi="Century Gothic" w:cs="Arial"/>
        </w:rPr>
        <w:t xml:space="preserve">numeral 4 del artículo 2 de la Ley 1150 de 2007, supone una excepción a la regla general que impone la selección del contratista a través de un proceso competitivo, esto implica que, al ser disposición de aplicación </w:t>
      </w:r>
      <w:r w:rsidRPr="00F0597F">
        <w:rPr>
          <w:rFonts w:ascii="Century Gothic" w:hAnsi="Century Gothic" w:cs="Arial"/>
          <w:i/>
          <w:iCs/>
        </w:rPr>
        <w:t xml:space="preserve">restrictiva, </w:t>
      </w:r>
      <w:r w:rsidRPr="00F0597F">
        <w:rPr>
          <w:rFonts w:ascii="Century Gothic" w:hAnsi="Century Gothic" w:cs="Arial"/>
        </w:rPr>
        <w:t xml:space="preserve">faculta para que la Entidad Estatal desarrolle una relación contractual producto de un proceso no competitivo, con estricta sujeción a las condiciones o requisitos estipulados en la norma, que para este caso en concreto solo permite la suscripción de </w:t>
      </w:r>
      <w:r w:rsidRPr="00F0597F">
        <w:rPr>
          <w:rFonts w:ascii="Century Gothic" w:eastAsia="Calibri" w:hAnsi="Century Gothic" w:cs="Arial"/>
        </w:rPr>
        <w:t xml:space="preserve">contratos de manera directa </w:t>
      </w:r>
      <w:r w:rsidRPr="00F0597F">
        <w:rPr>
          <w:rFonts w:ascii="Century Gothic" w:hAnsi="Century Gothic" w:cs="Arial"/>
        </w:rPr>
        <w:t xml:space="preserve">con Organizaciones de Base y demás formas organizativas de la comunidad negra, afrocolombiana, raizal y/o palenquera. </w:t>
      </w:r>
    </w:p>
    <w:p w14:paraId="7FA299F0" w14:textId="77777777" w:rsidR="00B44E17" w:rsidRPr="00463BD9" w:rsidRDefault="00B44E17" w:rsidP="00B44E17">
      <w:pPr>
        <w:spacing w:after="0" w:line="240" w:lineRule="auto"/>
        <w:ind w:left="709" w:right="709"/>
        <w:jc w:val="both"/>
        <w:rPr>
          <w:rFonts w:ascii="Century Gothic" w:hAnsi="Century Gothic"/>
          <w:sz w:val="20"/>
          <w:szCs w:val="20"/>
        </w:rPr>
      </w:pPr>
      <w:r w:rsidRPr="00463BD9">
        <w:rPr>
          <w:rFonts w:ascii="Century Gothic" w:hAnsi="Century Gothic"/>
          <w:sz w:val="20"/>
          <w:szCs w:val="20"/>
        </w:rPr>
        <w:t>2 ¿Qué documentos se deben exigir para suscribir un contrato estatal directo con un pueblo Rrom?</w:t>
      </w:r>
    </w:p>
    <w:p w14:paraId="1BF884F9" w14:textId="77777777" w:rsidR="00B44E17" w:rsidRPr="00463BD9" w:rsidRDefault="00B44E17" w:rsidP="00B44E17">
      <w:pPr>
        <w:spacing w:after="0" w:line="240" w:lineRule="auto"/>
        <w:ind w:right="709"/>
        <w:jc w:val="both"/>
        <w:rPr>
          <w:rFonts w:ascii="Century Gothic" w:hAnsi="Century Gothic"/>
          <w:sz w:val="20"/>
          <w:szCs w:val="20"/>
        </w:rPr>
      </w:pPr>
    </w:p>
    <w:p w14:paraId="281216CE" w14:textId="77777777" w:rsidR="00B44E17" w:rsidRPr="00463BD9" w:rsidRDefault="00B44E17" w:rsidP="00B44E17">
      <w:pPr>
        <w:spacing w:after="120" w:line="276" w:lineRule="auto"/>
        <w:jc w:val="both"/>
        <w:rPr>
          <w:rFonts w:ascii="Century Gothic" w:hAnsi="Century Gothic"/>
          <w:shd w:val="clear" w:color="auto" w:fill="FFFFFF"/>
        </w:rPr>
      </w:pPr>
      <w:r w:rsidRPr="00463BD9">
        <w:rPr>
          <w:rFonts w:ascii="Century Gothic" w:hAnsi="Century Gothic"/>
          <w:shd w:val="clear" w:color="auto" w:fill="FFFFFF"/>
        </w:rPr>
        <w:t xml:space="preserve">Respecto al segundo interrogante es necesario indicar que los acuerdos que celebran las Entidades Estatales a las que se refiere la Ley 80 de 1993, tienen naturaleza de contratos estatales sometidos al Estatuto General de Contratación de la Administración Pública, esto no solo implica la aplicación de las disposiciones legales de normas como la Leyes 80 de 1993, 1150 de 2007 y 1474 de 2011, sino también de las disposiciones como el Decreto 1082 de 2015, el cual entre otras disposiciones, establece en su Artículo 2.2.1.2.1.4.1. la obligación de expedir un Acto Administrativo de justificación de la contratación directa. </w:t>
      </w:r>
    </w:p>
    <w:p w14:paraId="5901A836" w14:textId="77777777" w:rsidR="00B44E17" w:rsidRPr="00463BD9" w:rsidRDefault="00B44E17" w:rsidP="00B44E17">
      <w:pPr>
        <w:spacing w:after="120" w:line="276" w:lineRule="auto"/>
        <w:ind w:firstLine="708"/>
        <w:jc w:val="both"/>
        <w:rPr>
          <w:rFonts w:ascii="Century Gothic" w:eastAsia="Calibri" w:hAnsi="Century Gothic" w:cs="Arial"/>
        </w:rPr>
      </w:pPr>
      <w:r w:rsidRPr="00463BD9">
        <w:rPr>
          <w:rFonts w:ascii="Century Gothic" w:eastAsia="Calibri" w:hAnsi="Century Gothic" w:cs="Arial"/>
        </w:rPr>
        <w:t xml:space="preserve">Sin perjuicio de lo anterior, las Entidades Estatales son autónomas en escoger de los literales establecidos en el numeral 4 del artículo 2 de la Ley 1150 de 2007, del decreto 092 del 2017, del decreto 391 y 591 de 1991 el procedimiento que se ajuste objetivamente a las necesidades a contratar, respetando en todo caso los principio de la contratación pública, los presupuestales y los de la función administrativa. </w:t>
      </w:r>
    </w:p>
    <w:p w14:paraId="2F9F157B" w14:textId="77777777" w:rsidR="00B44E17" w:rsidRPr="00463BD9" w:rsidRDefault="00B44E17" w:rsidP="00B44E17">
      <w:pPr>
        <w:spacing w:after="120" w:line="276" w:lineRule="auto"/>
        <w:ind w:firstLine="708"/>
        <w:jc w:val="both"/>
        <w:rPr>
          <w:rFonts w:ascii="Century Gothic" w:eastAsia="Calibri" w:hAnsi="Century Gothic" w:cs="Arial"/>
        </w:rPr>
      </w:pPr>
      <w:r w:rsidRPr="00463BD9">
        <w:rPr>
          <w:rFonts w:ascii="Century Gothic" w:eastAsia="Calibri" w:hAnsi="Century Gothic" w:cs="Arial"/>
        </w:rPr>
        <w:t xml:space="preserve">De igual manera son autónomas en la estructuración de sus procedimientos contractuales, por lo cual es su deber determinar los documentos necesarios para suscribir un contrato de manera directa, la cual tendrá como justificación uno de los literales del numeral 4 del artículo 2 de la Ley 1150 de 2007 y los artículos establecidos en el Decreto 1082 de 2015 relacionados con los estudios y documentos previos a la suscripción del contrato.  </w:t>
      </w:r>
      <w:r w:rsidRPr="00971E6B">
        <w:rPr>
          <w:rFonts w:ascii="Century Gothic" w:eastAsia="Calibri" w:hAnsi="Century Gothic" w:cs="Arial"/>
          <w:bCs/>
          <w:lang w:eastAsia="es-CO"/>
        </w:rPr>
        <w:t xml:space="preserve">Igualmente, se debe tener en cuenta que corresponde a cada entidad, en ejercicio de su competencia y previa valoración de los elementos fácticos y jurídicos, determinar cómo realizaran la contratación. </w:t>
      </w:r>
    </w:p>
    <w:p w14:paraId="0507DED0" w14:textId="77777777" w:rsidR="00B44E17" w:rsidRPr="00463BD9" w:rsidRDefault="00B44E17" w:rsidP="00B44E17">
      <w:pPr>
        <w:spacing w:after="0" w:line="240" w:lineRule="auto"/>
        <w:ind w:left="709" w:right="709"/>
        <w:jc w:val="both"/>
        <w:rPr>
          <w:rFonts w:ascii="Century Gothic" w:hAnsi="Century Gothic" w:cs="Arial"/>
          <w:sz w:val="20"/>
          <w:szCs w:val="20"/>
          <w:bdr w:val="none" w:sz="0" w:space="0" w:color="auto" w:frame="1"/>
        </w:rPr>
      </w:pPr>
      <w:r w:rsidRPr="00463BD9">
        <w:rPr>
          <w:rFonts w:ascii="Century Gothic" w:hAnsi="Century Gothic"/>
          <w:sz w:val="20"/>
          <w:szCs w:val="20"/>
        </w:rPr>
        <w:t xml:space="preserve">3 </w:t>
      </w:r>
      <w:r w:rsidRPr="00463BD9">
        <w:rPr>
          <w:rFonts w:ascii="Century Gothic" w:hAnsi="Century Gothic" w:cs="Arial"/>
          <w:sz w:val="20"/>
          <w:szCs w:val="20"/>
          <w:bdr w:val="none" w:sz="0" w:space="0" w:color="auto" w:frame="1"/>
        </w:rPr>
        <w:t>¿Cómo se realiza la verificación de la existencia y representación legal de un pueblo Rrom?</w:t>
      </w:r>
    </w:p>
    <w:p w14:paraId="19FB7DD9" w14:textId="77777777" w:rsidR="00B44E17" w:rsidRPr="00463BD9" w:rsidRDefault="00B44E17" w:rsidP="00B44E17">
      <w:pPr>
        <w:spacing w:after="0" w:line="240" w:lineRule="auto"/>
        <w:ind w:left="709"/>
        <w:jc w:val="both"/>
        <w:rPr>
          <w:rFonts w:ascii="Century Gothic" w:hAnsi="Century Gothic"/>
          <w:sz w:val="20"/>
          <w:szCs w:val="20"/>
        </w:rPr>
      </w:pPr>
    </w:p>
    <w:p w14:paraId="6017AEB8" w14:textId="77777777" w:rsidR="00B44E17" w:rsidRPr="00971E6B" w:rsidRDefault="00B44E17" w:rsidP="009F29EA">
      <w:pPr>
        <w:spacing w:after="0" w:line="276" w:lineRule="auto"/>
        <w:jc w:val="both"/>
        <w:rPr>
          <w:rFonts w:ascii="Century Gothic" w:hAnsi="Century Gothic" w:cs="Arial"/>
        </w:rPr>
      </w:pPr>
      <w:r w:rsidRPr="00463BD9">
        <w:rPr>
          <w:rFonts w:ascii="Century Gothic" w:hAnsi="Century Gothic" w:cs="Arial"/>
        </w:rPr>
        <w:t xml:space="preserve">Se reitera que la Agencia Nacional de Contratación Pública – Colombia Compra Eficiente resuelve las consultas sobre los asuntos de su competencia, esto es, sobre las temáticas de la contratación estatal y compras públicas relacionadas en los artículos citados. </w:t>
      </w:r>
      <w:r w:rsidRPr="00971E6B">
        <w:rPr>
          <w:rFonts w:ascii="Century Gothic" w:hAnsi="Century Gothic" w:cs="Arial"/>
        </w:rPr>
        <w:t xml:space="preserve">Es necesario tener en cuenta que esta Entidad solo tiene competencia para responder solicitudes sobre la aplicación de normas de carácter general en materia de compras y contratación pública. </w:t>
      </w:r>
    </w:p>
    <w:p w14:paraId="0796AE3A" w14:textId="77777777" w:rsidR="00B44E17" w:rsidRPr="00971E6B" w:rsidRDefault="00B44E17" w:rsidP="00B44E17">
      <w:pPr>
        <w:spacing w:after="0" w:line="240" w:lineRule="auto"/>
        <w:jc w:val="both"/>
        <w:rPr>
          <w:rFonts w:ascii="Century Gothic" w:hAnsi="Century Gothic" w:cs="Arial"/>
        </w:rPr>
      </w:pPr>
    </w:p>
    <w:p w14:paraId="3AA69155" w14:textId="77777777" w:rsidR="00B44E17" w:rsidRPr="00463BD9" w:rsidRDefault="00B44E17" w:rsidP="00CE5D09">
      <w:pPr>
        <w:spacing w:after="0" w:line="276" w:lineRule="auto"/>
        <w:ind w:firstLine="708"/>
        <w:jc w:val="both"/>
        <w:rPr>
          <w:rFonts w:ascii="Century Gothic" w:hAnsi="Century Gothic"/>
          <w:shd w:val="clear" w:color="auto" w:fill="FFFFFF"/>
        </w:rPr>
      </w:pPr>
      <w:r w:rsidRPr="00971E6B">
        <w:rPr>
          <w:rFonts w:ascii="Century Gothic" w:hAnsi="Century Gothic" w:cs="Arial"/>
        </w:rPr>
        <w:t xml:space="preserve">No obstante, con el fin orientar muy sumariamente al peticionario se le informa que </w:t>
      </w:r>
      <w:r w:rsidRPr="00463BD9">
        <w:rPr>
          <w:rFonts w:ascii="Century Gothic" w:hAnsi="Century Gothic"/>
          <w:shd w:val="clear" w:color="auto" w:fill="FFFFFF"/>
        </w:rPr>
        <w:t xml:space="preserve">la Dirección de Asuntos Indígenas, Rom y Minorías del Ministerio del Interior, dentro de los trámites asociados a su competencia, tiene a cargo la expedición de </w:t>
      </w:r>
      <w:r w:rsidRPr="00463BD9">
        <w:rPr>
          <w:rFonts w:ascii="Century Gothic" w:hAnsi="Century Gothic"/>
          <w:i/>
          <w:iCs/>
          <w:shd w:val="clear" w:color="auto" w:fill="FFFFFF"/>
        </w:rPr>
        <w:t>certificaciones de Existencia y Representación legal de Kumpany y Organizaciones Rrom</w:t>
      </w:r>
      <w:r w:rsidRPr="00463BD9">
        <w:rPr>
          <w:rFonts w:ascii="Century Gothic" w:hAnsi="Century Gothic"/>
          <w:shd w:val="clear" w:color="auto" w:fill="FFFFFF"/>
        </w:rPr>
        <w:t xml:space="preserve">. </w:t>
      </w:r>
    </w:p>
    <w:p w14:paraId="23222E71" w14:textId="77777777" w:rsidR="00B44E17" w:rsidRPr="00463BD9" w:rsidRDefault="00B44E17" w:rsidP="00B44E17">
      <w:pPr>
        <w:spacing w:after="0" w:line="240" w:lineRule="auto"/>
        <w:jc w:val="both"/>
        <w:rPr>
          <w:rFonts w:ascii="Century Gothic" w:hAnsi="Century Gothic"/>
          <w:shd w:val="clear" w:color="auto" w:fill="FFFFFF"/>
        </w:rPr>
      </w:pPr>
    </w:p>
    <w:p w14:paraId="715C603E" w14:textId="77777777" w:rsidR="00B44E17" w:rsidRPr="00463BD9" w:rsidRDefault="00B44E17" w:rsidP="00CE5D09">
      <w:pPr>
        <w:spacing w:after="0" w:line="276" w:lineRule="auto"/>
        <w:ind w:firstLine="708"/>
        <w:jc w:val="both"/>
        <w:rPr>
          <w:rFonts w:ascii="Century Gothic" w:hAnsi="Century Gothic"/>
          <w:shd w:val="clear" w:color="auto" w:fill="FFFFFF"/>
        </w:rPr>
      </w:pPr>
      <w:r w:rsidRPr="00463BD9">
        <w:rPr>
          <w:rFonts w:ascii="Century Gothic" w:hAnsi="Century Gothic"/>
          <w:shd w:val="clear" w:color="auto" w:fill="FFFFFF"/>
        </w:rPr>
        <w:t xml:space="preserve">Estos certificados se pueden descargar en la ventanilla única de trámites y servicios del Ministerio del Interior. En caso de requerir información detallada es necesario que se dirija a esta Dirección adscrita al Ministerio del Interior. </w:t>
      </w:r>
    </w:p>
    <w:p w14:paraId="7FE51764" w14:textId="77777777" w:rsidR="00B44E17" w:rsidRPr="00463BD9" w:rsidRDefault="00B44E17" w:rsidP="00B44E17">
      <w:pPr>
        <w:spacing w:after="0" w:line="240" w:lineRule="auto"/>
        <w:ind w:right="709"/>
        <w:jc w:val="both"/>
        <w:rPr>
          <w:rFonts w:ascii="Century Gothic" w:hAnsi="Century Gothic"/>
          <w:sz w:val="20"/>
          <w:szCs w:val="20"/>
        </w:rPr>
      </w:pPr>
    </w:p>
    <w:p w14:paraId="12BF54B0" w14:textId="77777777" w:rsidR="00B44E17" w:rsidRPr="00463BD9" w:rsidRDefault="00B44E17" w:rsidP="00B44E17">
      <w:pPr>
        <w:spacing w:after="0" w:line="240" w:lineRule="auto"/>
        <w:ind w:left="709" w:right="709"/>
        <w:jc w:val="both"/>
        <w:rPr>
          <w:rFonts w:ascii="Century Gothic" w:hAnsi="Century Gothic" w:cs="Arial"/>
          <w:sz w:val="20"/>
          <w:szCs w:val="20"/>
          <w:bdr w:val="none" w:sz="0" w:space="0" w:color="auto" w:frame="1"/>
        </w:rPr>
      </w:pPr>
      <w:r w:rsidRPr="00463BD9">
        <w:rPr>
          <w:rFonts w:ascii="Century Gothic" w:hAnsi="Century Gothic"/>
          <w:sz w:val="20"/>
          <w:szCs w:val="20"/>
        </w:rPr>
        <w:t xml:space="preserve">4. </w:t>
      </w:r>
      <w:r w:rsidRPr="00463BD9">
        <w:rPr>
          <w:rFonts w:ascii="Century Gothic" w:hAnsi="Century Gothic" w:cs="Arial"/>
          <w:sz w:val="20"/>
          <w:szCs w:val="20"/>
          <w:bdr w:val="none" w:sz="0" w:space="0" w:color="auto" w:frame="1"/>
        </w:rPr>
        <w:t>¿Cómo acredita un pueblo Rom el cumplimiento de obligaciones al Sistema de Seguridad Social en el país?</w:t>
      </w:r>
    </w:p>
    <w:p w14:paraId="51209311" w14:textId="77777777" w:rsidR="00B44E17" w:rsidRPr="00463BD9" w:rsidRDefault="00B44E17" w:rsidP="00B44E17">
      <w:pPr>
        <w:spacing w:after="0" w:line="240" w:lineRule="auto"/>
        <w:ind w:right="709"/>
        <w:jc w:val="both"/>
        <w:rPr>
          <w:rFonts w:ascii="Century Gothic" w:hAnsi="Century Gothic" w:cs="Arial"/>
          <w:sz w:val="20"/>
          <w:szCs w:val="20"/>
          <w:bdr w:val="none" w:sz="0" w:space="0" w:color="auto" w:frame="1"/>
        </w:rPr>
      </w:pPr>
    </w:p>
    <w:p w14:paraId="69B6D6AE" w14:textId="77777777" w:rsidR="00B44E17" w:rsidRPr="00971E6B" w:rsidRDefault="00B44E17" w:rsidP="00B44E17">
      <w:pPr>
        <w:spacing w:after="120" w:line="276" w:lineRule="auto"/>
        <w:jc w:val="both"/>
        <w:rPr>
          <w:rFonts w:ascii="Century Gothic" w:eastAsia="Arial" w:hAnsi="Century Gothic" w:cs="Arial"/>
          <w:lang w:eastAsia="es-MX"/>
        </w:rPr>
      </w:pPr>
      <w:r w:rsidRPr="00971E6B">
        <w:rPr>
          <w:rFonts w:ascii="Century Gothic" w:eastAsia="Arial" w:hAnsi="Century Gothic" w:cs="Arial"/>
          <w:lang w:eastAsia="es-MX"/>
        </w:rPr>
        <w:t>De acuerdo con lo expuesto en el presente concepto, las personas jurídicas, aun tratándose de formas de organización étnicas, deben cumplir con lo dispuesto en el tercer inciso del artículo 50 de la Ley 789 de 2002. Esto considerando que ni esta, ni otra norma en particular, exceptúa a este tipo de personas jurídicas del cumplimiento del requisito allí previsto. Esto supone que tales personas jurídicas están llamadas a acreditar que se encuentran al día con los aportes parafiscales de que les correspondan, a efectos de cumplir con el requisito previsto en la parte final del segundo inciso del artículo 41 de la Ley 80 de 1993.</w:t>
      </w:r>
    </w:p>
    <w:p w14:paraId="2656B372" w14:textId="77777777" w:rsidR="00B44E17" w:rsidRPr="00463BD9" w:rsidRDefault="00B44E17" w:rsidP="00B44E17">
      <w:pPr>
        <w:spacing w:after="0" w:line="240" w:lineRule="auto"/>
        <w:ind w:left="709" w:right="709"/>
        <w:jc w:val="both"/>
        <w:rPr>
          <w:rFonts w:ascii="Century Gothic" w:hAnsi="Century Gothic" w:cs="Arial"/>
          <w:sz w:val="20"/>
          <w:szCs w:val="20"/>
          <w:bdr w:val="none" w:sz="0" w:space="0" w:color="auto" w:frame="1"/>
        </w:rPr>
      </w:pPr>
      <w:r w:rsidRPr="00463BD9">
        <w:rPr>
          <w:rFonts w:ascii="Century Gothic" w:hAnsi="Century Gothic" w:cs="Arial"/>
          <w:sz w:val="20"/>
          <w:szCs w:val="20"/>
          <w:bdr w:val="none" w:sz="0" w:space="0" w:color="auto" w:frame="1"/>
        </w:rPr>
        <w:t xml:space="preserve">5. ¿Qué pronunciamientos ha realizado Colombia Compra Eficiente sobre la contratación con pueblos Rrom? </w:t>
      </w:r>
      <w:r w:rsidRPr="00463BD9">
        <w:rPr>
          <w:rFonts w:ascii="Century Gothic" w:hAnsi="Century Gothic"/>
          <w:sz w:val="20"/>
          <w:szCs w:val="20"/>
        </w:rPr>
        <w:t>[…]”.</w:t>
      </w:r>
    </w:p>
    <w:p w14:paraId="672ED4E8" w14:textId="77777777" w:rsidR="00B44E17" w:rsidRPr="00971E6B" w:rsidRDefault="00B44E17" w:rsidP="00B44E17">
      <w:pPr>
        <w:spacing w:after="0" w:line="276" w:lineRule="auto"/>
        <w:ind w:firstLine="708"/>
        <w:jc w:val="both"/>
        <w:rPr>
          <w:rFonts w:ascii="Century Gothic" w:hAnsi="Century Gothic" w:cs="Arial"/>
        </w:rPr>
      </w:pPr>
    </w:p>
    <w:p w14:paraId="0AAAC6D7" w14:textId="77777777" w:rsidR="00B44E17" w:rsidRDefault="00B44E17" w:rsidP="00B44E17">
      <w:pPr>
        <w:spacing w:line="276" w:lineRule="auto"/>
        <w:jc w:val="both"/>
        <w:rPr>
          <w:rFonts w:ascii="Century Gothic" w:eastAsia="Calibri" w:hAnsi="Century Gothic" w:cs="Arial"/>
          <w:lang w:val="es-ES"/>
        </w:rPr>
      </w:pPr>
      <w:r w:rsidRPr="00283A00">
        <w:rPr>
          <w:rFonts w:ascii="Century Gothic" w:eastAsia="Calibri" w:hAnsi="Century Gothic" w:cs="Arial"/>
          <w:lang w:val="es-ES"/>
        </w:rPr>
        <w:t>Frente a su último interrogante la Agencia Nacional de Contratación Pública – Colombia Compra Eficiente, señala que a la fecha de expedición del presente concepto no ha realizado pronunciamientos sobre la contratación directa con el Pueblo Rrom. No obstante, lo anterior, esta Agencia para el año 2023 llevó a cabo mesas de trabajo en el marco del dialogo de la comisión del pueblo Rrom, a efectos de brindar asistencia técnica en materia de contratación, a fin de establecer causales de contratación directa específicamente para este grupo étnico.</w:t>
      </w:r>
    </w:p>
    <w:p w14:paraId="549AD190" w14:textId="77777777" w:rsidR="00B44E17" w:rsidRPr="00463BD9" w:rsidRDefault="00B44E17" w:rsidP="00B44E17">
      <w:pPr>
        <w:spacing w:line="276" w:lineRule="auto"/>
        <w:jc w:val="both"/>
        <w:rPr>
          <w:rFonts w:ascii="Century Gothic" w:hAnsi="Century Gothic"/>
          <w:shd w:val="clear" w:color="auto" w:fill="FFFFFF"/>
        </w:rPr>
      </w:pPr>
      <w:r w:rsidRPr="00463BD9">
        <w:rPr>
          <w:rFonts w:ascii="Century Gothic" w:eastAsia="Calibri" w:hAnsi="Century Gothic" w:cs="Arial"/>
        </w:rPr>
        <w:t>Este concepto tiene el alcance previsto en el artículo 28 del Código de Procedimiento Administrativo y de lo Contencioso Administrativo.</w:t>
      </w:r>
    </w:p>
    <w:p w14:paraId="3DC92190" w14:textId="382EF213" w:rsidR="00B44E17" w:rsidRPr="00EA197A" w:rsidRDefault="00B44E17" w:rsidP="00EA197A">
      <w:pPr>
        <w:spacing w:line="276" w:lineRule="auto"/>
        <w:jc w:val="both"/>
        <w:rPr>
          <w:rFonts w:ascii="Century Gothic" w:hAnsi="Century Gothic"/>
          <w:shd w:val="clear" w:color="auto" w:fill="FFFFFF"/>
        </w:rPr>
      </w:pPr>
      <w:r w:rsidRPr="00971E6B">
        <w:rPr>
          <w:rFonts w:ascii="Century Gothic" w:hAnsi="Century Gothic" w:cs="Arial"/>
        </w:rPr>
        <w:t>Atentamente</w:t>
      </w:r>
      <w:r w:rsidRPr="00971E6B">
        <w:rPr>
          <w:rFonts w:ascii="Century Gothic" w:eastAsia="Times New Roman" w:hAnsi="Century Gothic" w:cs="Arial"/>
          <w:lang w:eastAsia="es-CO"/>
        </w:rPr>
        <w:t>,</w:t>
      </w:r>
      <w:r w:rsidRPr="00463BD9">
        <w:rPr>
          <w:rFonts w:ascii="Century Gothic" w:eastAsia="Times New Roman" w:hAnsi="Century Gothic" w:cs="Arial"/>
          <w:lang w:eastAsia="es-CO"/>
        </w:rPr>
        <w:t> </w:t>
      </w:r>
    </w:p>
    <w:p w14:paraId="3030DFDC" w14:textId="2A1353E3" w:rsidR="00B44E17" w:rsidRPr="00463BD9" w:rsidRDefault="00EA197A" w:rsidP="00EA197A">
      <w:pPr>
        <w:spacing w:after="0"/>
        <w:jc w:val="center"/>
        <w:rPr>
          <w:rFonts w:ascii="Century Gothic" w:hAnsi="Century Gothic"/>
        </w:rPr>
      </w:pPr>
      <w:r w:rsidRPr="004D5C25">
        <w:rPr>
          <w:rFonts w:ascii="Century Gothic" w:hAnsi="Century Gothic"/>
          <w:noProof/>
        </w:rPr>
        <w:drawing>
          <wp:inline distT="0" distB="0" distL="0" distR="0" wp14:anchorId="55280262" wp14:editId="7AF0542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44E17" w:rsidRPr="00463BD9" w14:paraId="4BFC46C3" w14:textId="77777777" w:rsidTr="00CD3DC4">
        <w:trPr>
          <w:trHeight w:val="409"/>
        </w:trPr>
        <w:tc>
          <w:tcPr>
            <w:tcW w:w="817" w:type="dxa"/>
            <w:tcBorders>
              <w:top w:val="nil"/>
              <w:left w:val="nil"/>
              <w:bottom w:val="nil"/>
              <w:right w:val="nil"/>
            </w:tcBorders>
            <w:vAlign w:val="center"/>
            <w:hideMark/>
          </w:tcPr>
          <w:p w14:paraId="5E08D8F5" w14:textId="77777777" w:rsidR="00B44E17" w:rsidRPr="00463BD9" w:rsidRDefault="00B44E17" w:rsidP="00CD3DC4">
            <w:pPr>
              <w:spacing w:after="0" w:line="240" w:lineRule="auto"/>
              <w:jc w:val="both"/>
              <w:rPr>
                <w:rFonts w:ascii="Century Gothic" w:hAnsi="Century Gothic" w:cs="Arial"/>
                <w:sz w:val="16"/>
                <w:szCs w:val="16"/>
              </w:rPr>
            </w:pPr>
            <w:r w:rsidRPr="00463BD9">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14780746" w14:textId="77777777" w:rsidR="00B44E17" w:rsidRPr="00463BD9" w:rsidRDefault="00B44E17" w:rsidP="00CD3DC4">
            <w:pPr>
              <w:spacing w:after="0" w:line="240" w:lineRule="auto"/>
              <w:jc w:val="both"/>
              <w:rPr>
                <w:rFonts w:ascii="Century Gothic" w:hAnsi="Century Gothic" w:cs="Arial"/>
                <w:sz w:val="16"/>
                <w:szCs w:val="16"/>
              </w:rPr>
            </w:pPr>
            <w:r w:rsidRPr="00463BD9">
              <w:rPr>
                <w:rFonts w:ascii="Century Gothic" w:hAnsi="Century Gothic" w:cs="Arial"/>
                <w:sz w:val="16"/>
                <w:szCs w:val="16"/>
              </w:rPr>
              <w:t>Ana María Ortiz Ballesteros</w:t>
            </w:r>
          </w:p>
          <w:p w14:paraId="5BBBBADB" w14:textId="77777777" w:rsidR="00B44E17" w:rsidRPr="00463BD9" w:rsidRDefault="00B44E17" w:rsidP="00CD3DC4">
            <w:pPr>
              <w:spacing w:after="0" w:line="240" w:lineRule="auto"/>
              <w:jc w:val="both"/>
              <w:rPr>
                <w:rFonts w:ascii="Century Gothic" w:hAnsi="Century Gothic" w:cs="Arial"/>
                <w:sz w:val="16"/>
                <w:szCs w:val="16"/>
              </w:rPr>
            </w:pPr>
            <w:r w:rsidRPr="00463BD9">
              <w:rPr>
                <w:rFonts w:ascii="Century Gothic" w:hAnsi="Century Gothic" w:cs="Arial"/>
                <w:sz w:val="16"/>
                <w:szCs w:val="16"/>
              </w:rPr>
              <w:t>Contratista de la Subdirección de Gestión Contractual</w:t>
            </w:r>
          </w:p>
        </w:tc>
      </w:tr>
      <w:tr w:rsidR="00B44E17" w:rsidRPr="00463BD9" w14:paraId="5077BA83" w14:textId="77777777" w:rsidTr="00CD3DC4">
        <w:trPr>
          <w:trHeight w:val="409"/>
        </w:trPr>
        <w:tc>
          <w:tcPr>
            <w:tcW w:w="817" w:type="dxa"/>
            <w:tcBorders>
              <w:top w:val="nil"/>
              <w:left w:val="nil"/>
              <w:right w:val="nil"/>
            </w:tcBorders>
            <w:vAlign w:val="center"/>
          </w:tcPr>
          <w:p w14:paraId="28339390" w14:textId="77777777" w:rsidR="00B44E17" w:rsidRPr="00463BD9" w:rsidRDefault="00B44E17" w:rsidP="00CD3DC4">
            <w:pPr>
              <w:jc w:val="both"/>
              <w:rPr>
                <w:rFonts w:ascii="Century Gothic" w:hAnsi="Century Gothic" w:cs="Arial"/>
                <w:sz w:val="16"/>
                <w:szCs w:val="16"/>
              </w:rPr>
            </w:pPr>
            <w:r w:rsidRPr="00463BD9">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DB0C44B" w14:textId="77777777" w:rsidR="00B44E17" w:rsidRPr="00463BD9" w:rsidRDefault="00B44E17" w:rsidP="00CD3DC4">
            <w:pPr>
              <w:spacing w:after="0" w:line="240" w:lineRule="auto"/>
              <w:jc w:val="both"/>
              <w:rPr>
                <w:rFonts w:ascii="Century Gothic" w:hAnsi="Century Gothic" w:cs="Arial"/>
                <w:sz w:val="16"/>
                <w:szCs w:val="16"/>
              </w:rPr>
            </w:pPr>
            <w:r w:rsidRPr="00463BD9">
              <w:rPr>
                <w:rFonts w:ascii="Century Gothic" w:hAnsi="Century Gothic" w:cs="Arial"/>
                <w:sz w:val="16"/>
                <w:szCs w:val="16"/>
              </w:rPr>
              <w:t>Cielo Victoria González Meza</w:t>
            </w:r>
          </w:p>
          <w:p w14:paraId="616747F0" w14:textId="77777777" w:rsidR="00B44E17" w:rsidRDefault="00B44E17" w:rsidP="00CD3DC4">
            <w:pPr>
              <w:spacing w:after="0" w:line="240" w:lineRule="auto"/>
              <w:jc w:val="both"/>
              <w:rPr>
                <w:rFonts w:ascii="Century Gothic" w:hAnsi="Century Gothic" w:cs="Arial"/>
                <w:sz w:val="16"/>
                <w:szCs w:val="16"/>
              </w:rPr>
            </w:pPr>
            <w:r w:rsidRPr="00463BD9">
              <w:rPr>
                <w:rFonts w:ascii="Century Gothic" w:hAnsi="Century Gothic" w:cs="Arial"/>
                <w:sz w:val="16"/>
                <w:szCs w:val="16"/>
              </w:rPr>
              <w:t>Contratista de la Subdirección de Gestión Contractual</w:t>
            </w:r>
          </w:p>
          <w:p w14:paraId="523FA218" w14:textId="77777777" w:rsidR="00B44E17" w:rsidRDefault="00B44E17" w:rsidP="00CD3DC4">
            <w:pPr>
              <w:spacing w:after="0" w:line="240" w:lineRule="auto"/>
              <w:jc w:val="both"/>
              <w:rPr>
                <w:rFonts w:ascii="Century Gothic" w:hAnsi="Century Gothic" w:cs="Arial"/>
                <w:sz w:val="16"/>
                <w:szCs w:val="16"/>
              </w:rPr>
            </w:pPr>
            <w:r>
              <w:rPr>
                <w:rFonts w:ascii="Century Gothic" w:hAnsi="Century Gothic" w:cs="Arial"/>
                <w:sz w:val="16"/>
                <w:szCs w:val="16"/>
              </w:rPr>
              <w:t>Alejandro Sarmiento Cantillo</w:t>
            </w:r>
          </w:p>
          <w:p w14:paraId="6E3A5FBD" w14:textId="77777777" w:rsidR="00B44E17" w:rsidRPr="00463BD9" w:rsidRDefault="00B44E17" w:rsidP="00CD3DC4">
            <w:pPr>
              <w:spacing w:after="0" w:line="240" w:lineRule="auto"/>
              <w:jc w:val="both"/>
              <w:rPr>
                <w:rFonts w:ascii="Century Gothic" w:hAnsi="Century Gothic" w:cs="Arial"/>
                <w:sz w:val="16"/>
                <w:szCs w:val="16"/>
              </w:rPr>
            </w:pPr>
            <w:r>
              <w:rPr>
                <w:rFonts w:ascii="Century Gothic" w:hAnsi="Century Gothic" w:cs="Arial"/>
                <w:sz w:val="16"/>
                <w:szCs w:val="16"/>
              </w:rPr>
              <w:t xml:space="preserve">Gestor T1-15 de la </w:t>
            </w:r>
            <w:r w:rsidRPr="00463BD9">
              <w:rPr>
                <w:rFonts w:ascii="Century Gothic" w:hAnsi="Century Gothic" w:cs="Arial"/>
                <w:sz w:val="16"/>
                <w:szCs w:val="16"/>
              </w:rPr>
              <w:t>Subdirección de Gestión Contractual</w:t>
            </w:r>
          </w:p>
        </w:tc>
      </w:tr>
      <w:tr w:rsidR="00B44E17" w:rsidRPr="00463BD9" w14:paraId="7802C170" w14:textId="77777777" w:rsidTr="00CD3DC4">
        <w:trPr>
          <w:trHeight w:val="389"/>
        </w:trPr>
        <w:tc>
          <w:tcPr>
            <w:tcW w:w="817" w:type="dxa"/>
            <w:tcBorders>
              <w:top w:val="nil"/>
              <w:left w:val="nil"/>
              <w:bottom w:val="nil"/>
              <w:right w:val="nil"/>
            </w:tcBorders>
            <w:vAlign w:val="center"/>
            <w:hideMark/>
          </w:tcPr>
          <w:p w14:paraId="1C3B202A" w14:textId="77777777" w:rsidR="00B44E17" w:rsidRPr="00463BD9" w:rsidRDefault="00B44E17" w:rsidP="00CD3DC4">
            <w:pPr>
              <w:spacing w:after="0" w:line="240" w:lineRule="auto"/>
              <w:jc w:val="both"/>
              <w:rPr>
                <w:rFonts w:ascii="Century Gothic" w:hAnsi="Century Gothic" w:cs="Arial"/>
                <w:sz w:val="16"/>
                <w:szCs w:val="16"/>
              </w:rPr>
            </w:pPr>
            <w:r w:rsidRPr="00463BD9">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34DA64E" w14:textId="77777777" w:rsidR="00B44E17" w:rsidRPr="00463BD9" w:rsidRDefault="00B44E17" w:rsidP="00CD3DC4">
            <w:pPr>
              <w:spacing w:after="0" w:line="240" w:lineRule="auto"/>
              <w:jc w:val="both"/>
              <w:rPr>
                <w:rFonts w:ascii="Century Gothic" w:hAnsi="Century Gothic" w:cs="Arial"/>
                <w:sz w:val="16"/>
                <w:szCs w:val="16"/>
              </w:rPr>
            </w:pPr>
            <w:r w:rsidRPr="00463BD9">
              <w:rPr>
                <w:rFonts w:ascii="Century Gothic" w:hAnsi="Century Gothic" w:cs="Arial"/>
                <w:sz w:val="16"/>
                <w:szCs w:val="16"/>
              </w:rPr>
              <w:t>Carolina Quintero Gacharná</w:t>
            </w:r>
          </w:p>
          <w:p w14:paraId="74F1B6E7" w14:textId="77777777" w:rsidR="00B44E17" w:rsidRPr="00463BD9" w:rsidRDefault="00B44E17" w:rsidP="00CD3DC4">
            <w:pPr>
              <w:spacing w:after="0" w:line="240" w:lineRule="auto"/>
              <w:jc w:val="both"/>
              <w:rPr>
                <w:rFonts w:ascii="Century Gothic" w:hAnsi="Century Gothic" w:cs="Arial"/>
                <w:sz w:val="16"/>
                <w:szCs w:val="16"/>
              </w:rPr>
            </w:pPr>
            <w:r w:rsidRPr="00463BD9">
              <w:rPr>
                <w:rFonts w:ascii="Century Gothic" w:hAnsi="Century Gothic" w:cs="Arial"/>
                <w:sz w:val="16"/>
                <w:szCs w:val="16"/>
              </w:rPr>
              <w:t>Subdirectora de Gestión Contractual ANCP - CCE</w:t>
            </w:r>
          </w:p>
        </w:tc>
      </w:tr>
    </w:tbl>
    <w:p w14:paraId="0F293BF4" w14:textId="1EAFC76C" w:rsidR="00127233" w:rsidRPr="00A211EE" w:rsidRDefault="00127233" w:rsidP="00B44E17">
      <w:pPr>
        <w:spacing w:after="0"/>
        <w:rPr>
          <w:rFonts w:ascii="Verdana" w:hAnsi="Verdana"/>
        </w:rPr>
      </w:pPr>
    </w:p>
    <w:sectPr w:rsidR="00127233" w:rsidRPr="00A211EE" w:rsidSect="00A211EE">
      <w:headerReference w:type="default" r:id="rId14"/>
      <w:footerReference w:type="default" r:id="rId15"/>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D63A3" w14:textId="77777777" w:rsidR="00211D31" w:rsidRDefault="00211D31" w:rsidP="004A1847">
      <w:pPr>
        <w:spacing w:after="0" w:line="240" w:lineRule="auto"/>
      </w:pPr>
      <w:r>
        <w:separator/>
      </w:r>
    </w:p>
  </w:endnote>
  <w:endnote w:type="continuationSeparator" w:id="0">
    <w:p w14:paraId="2E008CB2" w14:textId="77777777" w:rsidR="00211D31" w:rsidRDefault="00211D31" w:rsidP="004A1847">
      <w:pPr>
        <w:spacing w:after="0" w:line="240" w:lineRule="auto"/>
      </w:pPr>
      <w:r>
        <w:continuationSeparator/>
      </w:r>
    </w:p>
  </w:endnote>
  <w:endnote w:type="continuationNotice" w:id="1">
    <w:p w14:paraId="2A099E20" w14:textId="77777777" w:rsidR="00AB408C" w:rsidRDefault="00AB40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00"/>
    <w:family w:val="modern"/>
    <w:notTrueType/>
    <w:pitch w:val="variable"/>
    <w:sig w:usb0="A000002F" w:usb1="1000004A" w:usb2="00000000" w:usb3="00000000" w:csb0="00000193" w:csb1="00000000"/>
  </w:font>
  <w:font w:name="Geomanist">
    <w:altName w:val="Calibri"/>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libri"/>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manist Bold">
    <w:altName w:val="Calibri"/>
    <w:charset w:val="00"/>
    <w:family w:val="modern"/>
    <w:notTrueType/>
    <w:pitch w:val="variable"/>
    <w:sig w:usb0="A000002F" w:usb1="1000004A" w:usb2="00000000" w:usb3="00000000" w:csb0="00000193" w:csb1="00000000"/>
  </w:font>
  <w:font w:name="Yu Mincho">
    <w:altName w:val="游明朝"/>
    <w:panose1 w:val="00000000000000000000"/>
    <w:charset w:val="80"/>
    <w:family w:val="roman"/>
    <w:notTrueType/>
    <w:pitch w:val="default"/>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19B110" w14:textId="77777777" w:rsidR="00211D31" w:rsidRDefault="00211D31" w:rsidP="004A1847">
      <w:pPr>
        <w:spacing w:after="0" w:line="240" w:lineRule="auto"/>
      </w:pPr>
      <w:r>
        <w:separator/>
      </w:r>
    </w:p>
  </w:footnote>
  <w:footnote w:type="continuationSeparator" w:id="0">
    <w:p w14:paraId="479E90FE" w14:textId="77777777" w:rsidR="00211D31" w:rsidRDefault="00211D31" w:rsidP="004A1847">
      <w:pPr>
        <w:spacing w:after="0" w:line="240" w:lineRule="auto"/>
      </w:pPr>
      <w:r>
        <w:continuationSeparator/>
      </w:r>
    </w:p>
  </w:footnote>
  <w:footnote w:type="continuationNotice" w:id="1">
    <w:p w14:paraId="7DEFE92B" w14:textId="77777777" w:rsidR="00AB408C" w:rsidRDefault="00AB408C">
      <w:pPr>
        <w:spacing w:after="0" w:line="240" w:lineRule="auto"/>
      </w:pPr>
    </w:p>
  </w:footnote>
  <w:footnote w:id="2">
    <w:p w14:paraId="3CED3E79" w14:textId="77777777" w:rsidR="00B44E17" w:rsidRPr="00E002F3" w:rsidRDefault="00B44E17" w:rsidP="00B44E17">
      <w:pPr>
        <w:pStyle w:val="FootnoteText"/>
        <w:ind w:firstLine="708"/>
        <w:jc w:val="both"/>
        <w:rPr>
          <w:rFonts w:ascii="Century Gothic" w:hAnsi="Century Gothic" w:cs="Arial"/>
          <w:sz w:val="18"/>
          <w:szCs w:val="18"/>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La Agencia Nacional de Contratación Pública </w:t>
      </w:r>
      <w:r w:rsidRPr="00E002F3">
        <w:rPr>
          <w:rFonts w:ascii="Arial" w:hAnsi="Arial" w:cs="Arial"/>
          <w:sz w:val="18"/>
          <w:szCs w:val="18"/>
        </w:rPr>
        <w:t>‒</w:t>
      </w:r>
      <w:r w:rsidRPr="00E002F3">
        <w:rPr>
          <w:rFonts w:ascii="Century Gothic" w:hAnsi="Century Gothic" w:cs="Arial"/>
          <w:sz w:val="18"/>
          <w:szCs w:val="18"/>
        </w:rPr>
        <w:t xml:space="preserve"> Colombia Compra Eficiente fue creada por el Decreto Ley 4170 de 2011. Su objetivo es servir como ente rector de la pol</w:t>
      </w:r>
      <w:r w:rsidRPr="00E002F3">
        <w:rPr>
          <w:rFonts w:ascii="Century Gothic" w:hAnsi="Century Gothic" w:cs="Century Gothic"/>
          <w:sz w:val="18"/>
          <w:szCs w:val="18"/>
        </w:rPr>
        <w:t>í</w:t>
      </w:r>
      <w:r w:rsidRPr="00E002F3">
        <w:rPr>
          <w:rFonts w:ascii="Century Gothic" w:hAnsi="Century Gothic" w:cs="Arial"/>
          <w:sz w:val="18"/>
          <w:szCs w:val="18"/>
        </w:rPr>
        <w:t>tica de compras y contrataci</w:t>
      </w:r>
      <w:r w:rsidRPr="00E002F3">
        <w:rPr>
          <w:rFonts w:ascii="Century Gothic" w:hAnsi="Century Gothic" w:cs="Century Gothic"/>
          <w:sz w:val="18"/>
          <w:szCs w:val="18"/>
        </w:rPr>
        <w:t>ó</w:t>
      </w:r>
      <w:r w:rsidRPr="00E002F3">
        <w:rPr>
          <w:rFonts w:ascii="Century Gothic" w:hAnsi="Century Gothic" w:cs="Arial"/>
          <w:sz w:val="18"/>
          <w:szCs w:val="18"/>
        </w:rPr>
        <w:t xml:space="preserve">n del Estado. Para tales fines, como </w:t>
      </w:r>
      <w:r w:rsidRPr="00E002F3">
        <w:rPr>
          <w:rFonts w:ascii="Century Gothic" w:hAnsi="Century Gothic" w:cs="Century Gothic"/>
          <w:sz w:val="18"/>
          <w:szCs w:val="18"/>
        </w:rPr>
        <w:t>ó</w:t>
      </w:r>
      <w:r w:rsidRPr="00E002F3">
        <w:rPr>
          <w:rFonts w:ascii="Century Gothic" w:hAnsi="Century Gothic" w:cs="Arial"/>
          <w:sz w:val="18"/>
          <w:szCs w:val="18"/>
        </w:rPr>
        <w:t>rgano t</w:t>
      </w:r>
      <w:r w:rsidRPr="00E002F3">
        <w:rPr>
          <w:rFonts w:ascii="Century Gothic" w:hAnsi="Century Gothic" w:cs="Century Gothic"/>
          <w:sz w:val="18"/>
          <w:szCs w:val="18"/>
        </w:rPr>
        <w:t>é</w:t>
      </w:r>
      <w:r w:rsidRPr="00E002F3">
        <w:rPr>
          <w:rFonts w:ascii="Century Gothic" w:hAnsi="Century Gothic" w:cs="Arial"/>
          <w:sz w:val="18"/>
          <w:szCs w:val="18"/>
        </w:rPr>
        <w:t>cnico especializado, le corresponde formular pol</w:t>
      </w:r>
      <w:r w:rsidRPr="00E002F3">
        <w:rPr>
          <w:rFonts w:ascii="Century Gothic" w:hAnsi="Century Gothic" w:cs="Century Gothic"/>
          <w:sz w:val="18"/>
          <w:szCs w:val="18"/>
        </w:rPr>
        <w:t>í</w:t>
      </w:r>
      <w:r w:rsidRPr="00E002F3">
        <w:rPr>
          <w:rFonts w:ascii="Century Gothic" w:hAnsi="Century Gothic" w:cs="Arial"/>
          <w:sz w:val="18"/>
          <w:szCs w:val="18"/>
        </w:rPr>
        <w:t>ticas p</w:t>
      </w:r>
      <w:r w:rsidRPr="00E002F3">
        <w:rPr>
          <w:rFonts w:ascii="Century Gothic" w:hAnsi="Century Gothic" w:cs="Century Gothic"/>
          <w:sz w:val="18"/>
          <w:szCs w:val="18"/>
        </w:rPr>
        <w:t>ú</w:t>
      </w:r>
      <w:r w:rsidRPr="00E002F3">
        <w:rPr>
          <w:rFonts w:ascii="Century Gothic" w:hAnsi="Century Gothic" w:cs="Arial"/>
          <w:sz w:val="18"/>
          <w:szCs w:val="18"/>
        </w:rPr>
        <w:t>blicas y normas y unificar los procesos de contrataci</w:t>
      </w:r>
      <w:r w:rsidRPr="00E002F3">
        <w:rPr>
          <w:rFonts w:ascii="Century Gothic" w:hAnsi="Century Gothic" w:cs="Century Gothic"/>
          <w:sz w:val="18"/>
          <w:szCs w:val="18"/>
        </w:rPr>
        <w:t>ó</w:t>
      </w:r>
      <w:r w:rsidRPr="00E002F3">
        <w:rPr>
          <w:rFonts w:ascii="Century Gothic" w:hAnsi="Century Gothic" w:cs="Arial"/>
          <w:sz w:val="18"/>
          <w:szCs w:val="18"/>
        </w:rPr>
        <w:t>n estatal, con el fin de lograr una mayor eficiencia, transparencia y optimizaci</w:t>
      </w:r>
      <w:r w:rsidRPr="00E002F3">
        <w:rPr>
          <w:rFonts w:ascii="Century Gothic" w:hAnsi="Century Gothic" w:cs="Century Gothic"/>
          <w:sz w:val="18"/>
          <w:szCs w:val="18"/>
        </w:rPr>
        <w:t>ó</w:t>
      </w:r>
      <w:r w:rsidRPr="00E002F3">
        <w:rPr>
          <w:rFonts w:ascii="Century Gothic" w:hAnsi="Century Gothic" w:cs="Arial"/>
          <w:sz w:val="18"/>
          <w:szCs w:val="18"/>
        </w:rPr>
        <w:t>n de los recursos del Estado. El art</w:t>
      </w:r>
      <w:r w:rsidRPr="00E002F3">
        <w:rPr>
          <w:rFonts w:ascii="Century Gothic" w:hAnsi="Century Gothic" w:cs="Century Gothic"/>
          <w:sz w:val="18"/>
          <w:szCs w:val="18"/>
        </w:rPr>
        <w:t>í</w:t>
      </w:r>
      <w:r w:rsidRPr="00E002F3">
        <w:rPr>
          <w:rFonts w:ascii="Century Gothic" w:hAnsi="Century Gothic" w:cs="Arial"/>
          <w:sz w:val="18"/>
          <w:szCs w:val="18"/>
        </w:rPr>
        <w:t xml:space="preserve">culo 3 </w:t>
      </w:r>
      <w:r w:rsidRPr="00E002F3">
        <w:rPr>
          <w:rFonts w:ascii="Century Gothic" w:hAnsi="Century Gothic" w:cs="Arial"/>
          <w:i/>
          <w:iCs/>
          <w:sz w:val="18"/>
          <w:szCs w:val="18"/>
        </w:rPr>
        <w:t xml:space="preserve">ibidem </w:t>
      </w:r>
      <w:r w:rsidRPr="00E002F3">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74828218" w14:textId="77777777" w:rsidR="00B44E17" w:rsidRPr="00E002F3" w:rsidRDefault="00B44E17" w:rsidP="00B44E17">
      <w:pPr>
        <w:pStyle w:val="FootnoteText"/>
        <w:ind w:firstLine="708"/>
        <w:jc w:val="both"/>
        <w:rPr>
          <w:rFonts w:ascii="Century Gothic" w:hAnsi="Century Gothic" w:cs="Arial"/>
          <w:sz w:val="18"/>
          <w:szCs w:val="18"/>
        </w:rPr>
      </w:pPr>
    </w:p>
  </w:footnote>
  <w:footnote w:id="3">
    <w:p w14:paraId="4DC5C043" w14:textId="77777777" w:rsidR="00B44E17" w:rsidRPr="00E002F3" w:rsidRDefault="00B44E17" w:rsidP="00B44E17">
      <w:pPr>
        <w:pStyle w:val="FootnoteText"/>
        <w:ind w:firstLine="708"/>
        <w:jc w:val="both"/>
        <w:rPr>
          <w:rFonts w:ascii="Century Gothic" w:hAnsi="Century Gothic" w:cs="Arial"/>
          <w:sz w:val="18"/>
          <w:szCs w:val="18"/>
          <w:shd w:val="clear" w:color="auto" w:fill="E6E6E6"/>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E002F3">
          <w:rPr>
            <w:rStyle w:val="Hyperlink"/>
            <w:rFonts w:ascii="Century Gothic" w:hAnsi="Century Gothic" w:cs="Arial"/>
            <w:sz w:val="18"/>
            <w:szCs w:val="18"/>
          </w:rPr>
          <w:t>https://relatoria.colombiacompra.gov.co/busqueda/conceptos</w:t>
        </w:r>
      </w:hyperlink>
      <w:r w:rsidRPr="00E002F3">
        <w:rPr>
          <w:rStyle w:val="Hyperlink"/>
          <w:rFonts w:ascii="Century Gothic" w:hAnsi="Century Gothic" w:cs="Arial"/>
          <w:sz w:val="18"/>
          <w:szCs w:val="18"/>
        </w:rPr>
        <w:t xml:space="preserve">. </w:t>
      </w:r>
      <w:r w:rsidRPr="00E002F3">
        <w:rPr>
          <w:rFonts w:ascii="Century Gothic" w:hAnsi="Century Gothic" w:cs="Arial"/>
          <w:sz w:val="18"/>
          <w:szCs w:val="18"/>
          <w:shd w:val="clear" w:color="auto" w:fill="E6E6E6"/>
        </w:rPr>
        <w:t xml:space="preserve">  </w:t>
      </w:r>
    </w:p>
    <w:p w14:paraId="366DB99C" w14:textId="77777777" w:rsidR="00B44E17" w:rsidRPr="00E002F3" w:rsidRDefault="00B44E17" w:rsidP="00B44E17">
      <w:pPr>
        <w:pStyle w:val="FootnoteText"/>
        <w:ind w:firstLine="708"/>
        <w:jc w:val="both"/>
        <w:rPr>
          <w:rFonts w:ascii="Century Gothic" w:hAnsi="Century Gothic" w:cs="Arial"/>
          <w:sz w:val="18"/>
          <w:szCs w:val="18"/>
          <w:shd w:val="clear" w:color="auto" w:fill="E6E6E6"/>
        </w:rPr>
      </w:pPr>
    </w:p>
  </w:footnote>
  <w:footnote w:id="4">
    <w:p w14:paraId="2A766566" w14:textId="77777777" w:rsidR="00B44E17" w:rsidRPr="00E002F3" w:rsidRDefault="00B44E17" w:rsidP="00B44E17">
      <w:pPr>
        <w:pStyle w:val="FootnoteText"/>
        <w:ind w:firstLine="708"/>
        <w:jc w:val="both"/>
        <w:rPr>
          <w:rFonts w:ascii="Century Gothic" w:hAnsi="Century Gothic" w:cs="Arial"/>
          <w:sz w:val="18"/>
          <w:szCs w:val="18"/>
          <w:shd w:val="clear" w:color="auto" w:fill="E6E6E6"/>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2" w:history="1">
        <w:r w:rsidRPr="00E002F3">
          <w:rPr>
            <w:rStyle w:val="Hyperlink"/>
            <w:rFonts w:ascii="Century Gothic" w:hAnsi="Century Gothic" w:cs="Arial"/>
            <w:sz w:val="18"/>
            <w:szCs w:val="18"/>
          </w:rPr>
          <w:t>https://relatoria.colombiacompra.gov.co/busqueda/conceptos</w:t>
        </w:r>
      </w:hyperlink>
      <w:r w:rsidRPr="00E002F3">
        <w:rPr>
          <w:rStyle w:val="Hyperlink"/>
          <w:rFonts w:ascii="Century Gothic" w:hAnsi="Century Gothic" w:cs="Arial"/>
          <w:sz w:val="18"/>
          <w:szCs w:val="18"/>
        </w:rPr>
        <w:t xml:space="preserve">  </w:t>
      </w:r>
      <w:r w:rsidRPr="00E002F3">
        <w:rPr>
          <w:rFonts w:ascii="Century Gothic" w:hAnsi="Century Gothic" w:cs="Arial"/>
          <w:sz w:val="18"/>
          <w:szCs w:val="18"/>
          <w:shd w:val="clear" w:color="auto" w:fill="E6E6E6"/>
        </w:rPr>
        <w:t xml:space="preserve">  </w:t>
      </w:r>
    </w:p>
    <w:p w14:paraId="1B1CB7B9" w14:textId="77777777" w:rsidR="00B44E17" w:rsidRPr="00E002F3" w:rsidRDefault="00B44E17" w:rsidP="00B44E17">
      <w:pPr>
        <w:pStyle w:val="FootnoteText"/>
        <w:ind w:firstLine="708"/>
        <w:jc w:val="both"/>
        <w:rPr>
          <w:rFonts w:ascii="Century Gothic" w:hAnsi="Century Gothic" w:cs="Arial"/>
          <w:sz w:val="18"/>
          <w:szCs w:val="18"/>
          <w:shd w:val="clear" w:color="auto" w:fill="E6E6E6"/>
        </w:rPr>
      </w:pPr>
    </w:p>
  </w:footnote>
  <w:footnote w:id="5">
    <w:p w14:paraId="37C0FA7E" w14:textId="77777777" w:rsidR="00B44E17" w:rsidRPr="00E002F3" w:rsidRDefault="00B44E17" w:rsidP="00B44E17">
      <w:pPr>
        <w:pStyle w:val="FootnoteText"/>
        <w:ind w:firstLine="708"/>
        <w:jc w:val="both"/>
        <w:rPr>
          <w:rFonts w:ascii="Century Gothic" w:eastAsia="Calibri" w:hAnsi="Century Gothic" w:cs="Arial"/>
          <w:sz w:val="18"/>
          <w:szCs w:val="18"/>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w:t>
      </w:r>
      <w:r w:rsidRPr="00E002F3">
        <w:rPr>
          <w:rFonts w:ascii="Century Gothic" w:eastAsia="Calibri" w:hAnsi="Century Gothic"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015675CA" w14:textId="77777777" w:rsidR="00B44E17" w:rsidRDefault="00B44E17" w:rsidP="00B44E17">
      <w:pPr>
        <w:spacing w:after="0" w:line="240" w:lineRule="auto"/>
        <w:ind w:firstLine="708"/>
        <w:jc w:val="both"/>
        <w:rPr>
          <w:rFonts w:ascii="Century Gothic" w:hAnsi="Century Gothic" w:cs="Arial"/>
          <w:sz w:val="18"/>
          <w:szCs w:val="18"/>
        </w:rPr>
      </w:pPr>
    </w:p>
    <w:p w14:paraId="6CF17AD5" w14:textId="77777777" w:rsidR="00B44E17" w:rsidRPr="00E002F3" w:rsidRDefault="00B44E17" w:rsidP="00B44E17">
      <w:pPr>
        <w:spacing w:after="0" w:line="240" w:lineRule="auto"/>
        <w:ind w:firstLine="708"/>
        <w:jc w:val="both"/>
        <w:rPr>
          <w:rFonts w:ascii="Century Gothic" w:hAnsi="Century Gothic" w:cs="Arial"/>
          <w:sz w:val="18"/>
          <w:szCs w:val="18"/>
        </w:rPr>
      </w:pPr>
      <w:r w:rsidRPr="00E002F3">
        <w:rPr>
          <w:rFonts w:ascii="Century Gothic" w:eastAsia="Calibri" w:hAnsi="Century Gothic" w:cs="Arial"/>
          <w:sz w:val="18"/>
          <w:szCs w:val="18"/>
        </w:rPr>
        <w:t>“Los derechos y deberes consagrados en esta Carta, se interpretarán de conformidad con los tratados internacionales sobre derechos humanos ratificados por Colombia [...]”.</w:t>
      </w:r>
    </w:p>
  </w:footnote>
  <w:footnote w:id="6">
    <w:p w14:paraId="07021CEB" w14:textId="77777777" w:rsidR="00B44E17" w:rsidRPr="00E002F3" w:rsidRDefault="00B44E17" w:rsidP="00B44E17">
      <w:pPr>
        <w:pStyle w:val="FootnoteText"/>
        <w:ind w:firstLine="708"/>
        <w:jc w:val="both"/>
        <w:rPr>
          <w:rFonts w:ascii="Century Gothic" w:eastAsia="Calibri" w:hAnsi="Century Gothic" w:cs="Arial"/>
          <w:sz w:val="18"/>
          <w:szCs w:val="18"/>
          <w:lang w:val="es-ES_tradnl"/>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CORTE CONSTITUCIONAL, </w:t>
      </w:r>
      <w:r w:rsidRPr="00E002F3">
        <w:rPr>
          <w:rFonts w:ascii="Century Gothic" w:eastAsia="Calibri" w:hAnsi="Century Gothic" w:cs="Arial"/>
          <w:sz w:val="18"/>
          <w:szCs w:val="18"/>
          <w:lang w:val="es-ES_tradnl"/>
        </w:rPr>
        <w:t>Sentencia T-026 del 23 de enero del 2015, M.P. Luis Guillermo Guerrero Pérez.</w:t>
      </w:r>
    </w:p>
    <w:p w14:paraId="771C12A6"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 </w:t>
      </w:r>
    </w:p>
  </w:footnote>
  <w:footnote w:id="7">
    <w:p w14:paraId="0B045BC0" w14:textId="77777777" w:rsidR="00B44E17" w:rsidRPr="00E002F3" w:rsidRDefault="00B44E17" w:rsidP="00B44E17">
      <w:pPr>
        <w:pStyle w:val="FootnoteText"/>
        <w:ind w:firstLine="708"/>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Dicha disposición, ratificada en la Ley 21 de 1991 establece: </w:t>
      </w:r>
      <w:r w:rsidRPr="00E002F3">
        <w:rPr>
          <w:rFonts w:ascii="Century Gothic" w:hAnsi="Century Gothic"/>
          <w:i/>
          <w:iCs/>
          <w:sz w:val="18"/>
          <w:szCs w:val="18"/>
        </w:rPr>
        <w:t>“Artículo 6°. 1. Al aplicar las disposiciones del presente Convenio, los gobiernos deberán: […] c). Establecer los medios para el pleno desarrollo de las instituciones e iniciativas de esos pueblos y en los casos apropiados proporcionar los recursos necesarios para este fin”.</w:t>
      </w:r>
    </w:p>
    <w:p w14:paraId="41408860" w14:textId="77777777" w:rsidR="00B44E17" w:rsidRPr="00E002F3" w:rsidRDefault="00B44E17" w:rsidP="00B44E17">
      <w:pPr>
        <w:pStyle w:val="FootnoteText"/>
        <w:ind w:firstLine="708"/>
        <w:jc w:val="both"/>
        <w:rPr>
          <w:rFonts w:ascii="Century Gothic" w:hAnsi="Century Gothic"/>
          <w:sz w:val="18"/>
          <w:szCs w:val="18"/>
        </w:rPr>
      </w:pPr>
    </w:p>
  </w:footnote>
  <w:footnote w:id="8">
    <w:p w14:paraId="63BCAA7B" w14:textId="77777777" w:rsidR="00B44E17" w:rsidRDefault="00B44E17" w:rsidP="00B44E17">
      <w:pPr>
        <w:pStyle w:val="FootnoteText"/>
        <w:ind w:firstLine="709"/>
        <w:jc w:val="both"/>
        <w:rPr>
          <w:rFonts w:ascii="Century Gothic" w:hAnsi="Century Gothic"/>
          <w:color w:val="2D2D2D"/>
          <w:sz w:val="18"/>
          <w:szCs w:val="18"/>
          <w:shd w:val="clear" w:color="auto" w:fill="FFFFFF"/>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CORTE CONSTITUCIONAL, Sentencia T-219 de 22 de junio de 2022. M.P. Gloria Stella Ortiz Delgado. Al respecto también S</w:t>
      </w:r>
      <w:r w:rsidRPr="00E002F3">
        <w:rPr>
          <w:rFonts w:ascii="Century Gothic" w:hAnsi="Century Gothic"/>
          <w:color w:val="2D2D2D"/>
          <w:sz w:val="18"/>
          <w:szCs w:val="18"/>
          <w:shd w:val="clear" w:color="auto" w:fill="FFFFFF"/>
        </w:rPr>
        <w:t>entencias C-882 del 23 de noviembre de 2011, T-154 del 24 de mayo de 2021, T-281 del 20 de junio de 2019 y C-189 del 1 de junio de 2022.</w:t>
      </w:r>
    </w:p>
    <w:p w14:paraId="57E52831" w14:textId="77777777" w:rsidR="00B44E17" w:rsidRPr="00E002F3" w:rsidRDefault="00B44E17" w:rsidP="00B44E17">
      <w:pPr>
        <w:pStyle w:val="FootnoteText"/>
        <w:ind w:firstLine="709"/>
        <w:jc w:val="both"/>
        <w:rPr>
          <w:rFonts w:ascii="Century Gothic" w:hAnsi="Century Gothic"/>
          <w:sz w:val="18"/>
          <w:szCs w:val="18"/>
        </w:rPr>
      </w:pPr>
    </w:p>
  </w:footnote>
  <w:footnote w:id="9">
    <w:p w14:paraId="0D43D524" w14:textId="77777777" w:rsidR="00B44E17" w:rsidRPr="00E002F3" w:rsidRDefault="00B44E17" w:rsidP="00B44E17">
      <w:pPr>
        <w:pStyle w:val="FootnoteText"/>
        <w:ind w:firstLine="708"/>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MOLANO L., Olga Lucía Identidad cultural un concepto que evoluciona Revista Opera, núm. 7, mayo, 2007, pp. 69-84 Universidad Externado de Colombia Bogotá, Colombia.</w:t>
      </w:r>
    </w:p>
    <w:p w14:paraId="7E548AC9" w14:textId="77777777" w:rsidR="00B44E17" w:rsidRPr="00E002F3" w:rsidRDefault="00B44E17" w:rsidP="00B44E17">
      <w:pPr>
        <w:pStyle w:val="FootnoteText"/>
        <w:ind w:firstLine="708"/>
        <w:jc w:val="both"/>
        <w:rPr>
          <w:rFonts w:ascii="Century Gothic" w:hAnsi="Century Gothic"/>
          <w:sz w:val="18"/>
          <w:szCs w:val="18"/>
          <w:lang w:val="es-CO"/>
        </w:rPr>
      </w:pPr>
    </w:p>
  </w:footnote>
  <w:footnote w:id="10">
    <w:p w14:paraId="0C5D3084" w14:textId="77777777" w:rsidR="00B44E17" w:rsidRPr="00E002F3" w:rsidRDefault="00B44E17" w:rsidP="00B44E17">
      <w:pPr>
        <w:pStyle w:val="FootnoteText"/>
        <w:ind w:firstLine="708"/>
        <w:jc w:val="both"/>
        <w:rPr>
          <w:rFonts w:ascii="Century Gothic" w:hAnsi="Century Gothic"/>
          <w:sz w:val="18"/>
          <w:szCs w:val="18"/>
          <w:lang w:val="es-CO"/>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w:t>
      </w:r>
      <w:r w:rsidRPr="00E002F3">
        <w:rPr>
          <w:rFonts w:ascii="Century Gothic" w:hAnsi="Century Gothic"/>
          <w:sz w:val="18"/>
          <w:szCs w:val="18"/>
          <w:lang w:val="es-CO"/>
        </w:rPr>
        <w:t>CORTE CONSTITUCIONAL, Sentencia T-477 del 25 de junio de 2012, M.P. Adriana María Guillén Arango. Sobre las particularidades de la identidad cultural de los comunidades negras, afrodescendientes, raizales y palenqueras, también se pronunció el Alto Tribunal en la Sentencia C-480 del 15 de octubre de 2019, M.P. Alberto Rojas Ríos.</w:t>
      </w:r>
    </w:p>
    <w:p w14:paraId="6E1AF637" w14:textId="77777777" w:rsidR="00B44E17" w:rsidRPr="00E002F3" w:rsidRDefault="00B44E17" w:rsidP="00B44E17">
      <w:pPr>
        <w:pStyle w:val="FootnoteText"/>
        <w:ind w:firstLine="708"/>
        <w:jc w:val="both"/>
        <w:rPr>
          <w:rFonts w:ascii="Century Gothic" w:hAnsi="Century Gothic"/>
          <w:sz w:val="18"/>
          <w:szCs w:val="18"/>
          <w:lang w:val="es-CO"/>
        </w:rPr>
      </w:pPr>
    </w:p>
  </w:footnote>
  <w:footnote w:id="11">
    <w:p w14:paraId="1B649A03" w14:textId="77777777" w:rsidR="00B44E17" w:rsidRPr="00E002F3" w:rsidRDefault="00B44E17" w:rsidP="00B44E17">
      <w:pPr>
        <w:pStyle w:val="FootnoteText"/>
        <w:ind w:firstLine="708"/>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Constitución Política: Artículo 2.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 </w:t>
      </w:r>
    </w:p>
    <w:p w14:paraId="7D752C7E" w14:textId="77777777" w:rsidR="00B44E17" w:rsidRPr="00E002F3" w:rsidRDefault="00B44E17" w:rsidP="00B44E17">
      <w:pPr>
        <w:pStyle w:val="FootnoteText"/>
        <w:jc w:val="both"/>
        <w:rPr>
          <w:rFonts w:ascii="Century Gothic" w:hAnsi="Century Gothic"/>
          <w:sz w:val="18"/>
          <w:szCs w:val="18"/>
        </w:rPr>
      </w:pPr>
      <w:r w:rsidRPr="00E002F3">
        <w:rPr>
          <w:rFonts w:ascii="Century Gothic" w:hAnsi="Century Gothic"/>
          <w:sz w:val="18"/>
          <w:szCs w:val="18"/>
        </w:rPr>
        <w:t>Las autoridades de la República están instituidas para proteger a todas las personas residentes en Colombia, en su vida, honra, bienes, creencias, y demás derechos y libertades, y para asegurar el cumplimiento de los deberes sociales del Estado y de los particulares. </w:t>
      </w:r>
    </w:p>
    <w:p w14:paraId="1338E1F3" w14:textId="77777777" w:rsidR="00B44E17" w:rsidRPr="00E002F3" w:rsidRDefault="00B44E17" w:rsidP="00B44E17">
      <w:pPr>
        <w:pStyle w:val="FootnoteText"/>
        <w:jc w:val="both"/>
        <w:rPr>
          <w:rFonts w:ascii="Century Gothic" w:hAnsi="Century Gothic"/>
          <w:sz w:val="18"/>
          <w:szCs w:val="18"/>
        </w:rPr>
      </w:pPr>
    </w:p>
  </w:footnote>
  <w:footnote w:id="12">
    <w:p w14:paraId="0840EAA4" w14:textId="77777777" w:rsidR="00B44E17" w:rsidRPr="00E002F3" w:rsidRDefault="00B44E17" w:rsidP="00B44E17">
      <w:pPr>
        <w:spacing w:after="0" w:line="240" w:lineRule="auto"/>
        <w:ind w:firstLine="709"/>
        <w:jc w:val="both"/>
        <w:rPr>
          <w:rFonts w:ascii="Century Gothic" w:hAnsi="Century Gothic" w:cs="Arial"/>
          <w:sz w:val="18"/>
          <w:szCs w:val="18"/>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3D76545E" w14:textId="77777777" w:rsidR="00B44E17" w:rsidRPr="00E002F3" w:rsidRDefault="00B44E17" w:rsidP="00B44E17">
      <w:pPr>
        <w:spacing w:after="0" w:line="240" w:lineRule="auto"/>
        <w:ind w:firstLine="709"/>
        <w:jc w:val="both"/>
        <w:rPr>
          <w:rFonts w:ascii="Century Gothic" w:hAnsi="Century Gothic" w:cs="Arial"/>
          <w:sz w:val="18"/>
          <w:szCs w:val="18"/>
        </w:rPr>
      </w:pPr>
    </w:p>
    <w:p w14:paraId="7F8F7C3A" w14:textId="77777777" w:rsidR="00B44E17" w:rsidRPr="00E002F3" w:rsidRDefault="00B44E17" w:rsidP="00B44E17">
      <w:pPr>
        <w:spacing w:after="0" w:line="240" w:lineRule="auto"/>
        <w:ind w:firstLine="709"/>
        <w:jc w:val="both"/>
        <w:rPr>
          <w:rFonts w:ascii="Century Gothic" w:hAnsi="Century Gothic" w:cs="Arial"/>
          <w:sz w:val="18"/>
          <w:szCs w:val="18"/>
        </w:rPr>
      </w:pPr>
      <w:r w:rsidRPr="00E002F3">
        <w:rPr>
          <w:rFonts w:ascii="Century Gothic" w:hAnsi="Century Gothic" w:cs="Arial"/>
          <w:sz w:val="18"/>
          <w:szCs w:val="18"/>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3E9DB45B" w14:textId="77777777" w:rsidR="00B44E17" w:rsidRPr="00E002F3" w:rsidRDefault="00B44E17" w:rsidP="00B44E17">
      <w:pPr>
        <w:spacing w:after="0" w:line="240" w:lineRule="auto"/>
        <w:ind w:firstLine="709"/>
        <w:jc w:val="both"/>
        <w:rPr>
          <w:rFonts w:ascii="Century Gothic" w:hAnsi="Century Gothic" w:cs="Arial"/>
          <w:sz w:val="18"/>
          <w:szCs w:val="18"/>
        </w:rPr>
      </w:pPr>
    </w:p>
    <w:p w14:paraId="431CE77E" w14:textId="77777777" w:rsidR="00B44E17" w:rsidRPr="00E002F3" w:rsidRDefault="00B44E17" w:rsidP="00B44E17">
      <w:pPr>
        <w:spacing w:after="0" w:line="240" w:lineRule="auto"/>
        <w:ind w:firstLine="708"/>
        <w:jc w:val="both"/>
        <w:rPr>
          <w:rFonts w:ascii="Century Gothic" w:hAnsi="Century Gothic" w:cs="Arial"/>
          <w:sz w:val="18"/>
          <w:szCs w:val="18"/>
        </w:rPr>
      </w:pPr>
      <w:r w:rsidRPr="00E002F3">
        <w:rPr>
          <w:rFonts w:ascii="Century Gothic" w:hAnsi="Century Gothic" w:cs="Arial"/>
          <w:sz w:val="18"/>
          <w:szCs w:val="18"/>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13">
    <w:p w14:paraId="46E99DD9" w14:textId="77777777" w:rsidR="00B44E17" w:rsidRPr="00E002F3" w:rsidRDefault="00B44E17" w:rsidP="00B44E17">
      <w:pPr>
        <w:pStyle w:val="FootnoteText"/>
        <w:ind w:firstLine="709"/>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Sobre la contratación directa el Consejo de Estado ha explicado que “[…] es atribución exclusiva del legislador señalar los mecanismos de selección de los contratos que celebren las entidades del Estado, porque el constituyente confirió al legislador la competencia para regular el tema de la contratación estatal, campo en el cual la función del ejecutivo se limita a reglamentar las normas expedidas por aquel en orden a su correcta ejecución”. Sección Tercera, Auto del 16 de marzo de 2006, Exp. No. 29.393, C.P. Ruth Stella Correa Palacio. </w:t>
      </w:r>
    </w:p>
  </w:footnote>
  <w:footnote w:id="14">
    <w:p w14:paraId="0B5955D7" w14:textId="77777777" w:rsidR="00B44E17" w:rsidRPr="00E002F3" w:rsidRDefault="00B44E17" w:rsidP="00B44E17">
      <w:pPr>
        <w:pStyle w:val="FootnoteText"/>
        <w:ind w:firstLine="708"/>
        <w:jc w:val="both"/>
        <w:rPr>
          <w:rFonts w:ascii="Century Gothic" w:hAnsi="Century Gothic"/>
          <w:sz w:val="18"/>
          <w:szCs w:val="18"/>
        </w:rPr>
      </w:pPr>
    </w:p>
    <w:p w14:paraId="7D3EE1EF" w14:textId="77777777" w:rsidR="00B44E17" w:rsidRPr="00E002F3" w:rsidRDefault="00B44E17" w:rsidP="00B44E17">
      <w:pPr>
        <w:pStyle w:val="FootnoteText"/>
        <w:ind w:firstLine="708"/>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Al respecto se asevera que: “La interpretación de estas causales es restrictiva y no admite la analogía. Significa lo anterior que cuando una determinada situación no encaja en alguno de los motivos excepcionales, no es dable buscar interpretaciones acomodadas en procura de evitar la licitación. También se afecta el principio, incluso en frente  de causales excepcionales, cuando se emplea el procedimiento errado, en particular, cuando siendo el aplicable uno que se caracteriza por la pluralidad de oferentes como la selección abreviada o el concurso de méritos, se “tuerce el cuello de la ley” para usar la contratación directa”. DÁVILA VINUEZA, Luis Guillermo, Régimen jurídico de la contratación estatal, tercera edición, Legis, Bogotá, 2016, pp. -245 </w:t>
      </w:r>
    </w:p>
  </w:footnote>
  <w:footnote w:id="15">
    <w:p w14:paraId="706E7CF1" w14:textId="77777777" w:rsidR="00B44E17" w:rsidRPr="00E002F3" w:rsidRDefault="00B44E17" w:rsidP="00B44E17">
      <w:pPr>
        <w:pStyle w:val="FootnoteText"/>
        <w:ind w:firstLine="709"/>
        <w:contextualSpacing/>
        <w:jc w:val="both"/>
        <w:rPr>
          <w:rFonts w:ascii="Century Gothic" w:hAnsi="Century Gothic" w:cs="Arial"/>
          <w:sz w:val="18"/>
          <w:szCs w:val="18"/>
          <w:lang w:val="es-ES"/>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w:t>
      </w:r>
      <w:r w:rsidRPr="00E002F3">
        <w:rPr>
          <w:rFonts w:ascii="Century Gothic" w:hAnsi="Century Gothic" w:cs="Arial"/>
          <w:sz w:val="18"/>
          <w:szCs w:val="18"/>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59BC11C6" w14:textId="77777777" w:rsidR="00B44E17" w:rsidRPr="00E002F3" w:rsidRDefault="00B44E17" w:rsidP="00B44E17">
      <w:pPr>
        <w:pStyle w:val="FootnoteText"/>
        <w:ind w:firstLine="709"/>
        <w:contextualSpacing/>
        <w:jc w:val="both"/>
        <w:rPr>
          <w:rFonts w:ascii="Century Gothic" w:hAnsi="Century Gothic" w:cs="Arial"/>
          <w:sz w:val="18"/>
          <w:szCs w:val="18"/>
        </w:rPr>
      </w:pPr>
    </w:p>
  </w:footnote>
  <w:footnote w:id="16">
    <w:p w14:paraId="1F02CC3F" w14:textId="77777777" w:rsidR="00B44E17" w:rsidRPr="00E002F3" w:rsidRDefault="00B44E17" w:rsidP="00B44E17">
      <w:pPr>
        <w:pStyle w:val="FootnoteText"/>
        <w:ind w:firstLine="709"/>
        <w:contextualSpacing/>
        <w:jc w:val="both"/>
        <w:rPr>
          <w:rFonts w:ascii="Century Gothic" w:hAnsi="Century Gothic" w:cs="Arial"/>
          <w:sz w:val="18"/>
          <w:szCs w:val="18"/>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Sentencia C-382 de 2019, M.P. Alejandro Linares Cantillo.</w:t>
      </w:r>
    </w:p>
    <w:p w14:paraId="49625544" w14:textId="77777777" w:rsidR="00B44E17" w:rsidRPr="00E002F3" w:rsidRDefault="00B44E17" w:rsidP="00B44E17">
      <w:pPr>
        <w:pStyle w:val="FootnoteText"/>
        <w:ind w:firstLine="709"/>
        <w:contextualSpacing/>
        <w:jc w:val="both"/>
        <w:rPr>
          <w:rFonts w:ascii="Century Gothic" w:hAnsi="Century Gothic" w:cs="Arial"/>
          <w:sz w:val="18"/>
          <w:szCs w:val="18"/>
        </w:rPr>
      </w:pPr>
    </w:p>
  </w:footnote>
  <w:footnote w:id="17">
    <w:p w14:paraId="5C6DFD60" w14:textId="77777777" w:rsidR="00B44E17" w:rsidRPr="00E002F3" w:rsidRDefault="00B44E17" w:rsidP="00B44E17">
      <w:pPr>
        <w:pStyle w:val="FootnoteText"/>
        <w:ind w:right="709" w:firstLine="708"/>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CORTE CONSTITUCIONAL, Sentencia SU-510 de 1998, M.P. Eduardo Cifuentes Muñoz.</w:t>
      </w:r>
    </w:p>
    <w:p w14:paraId="029E2664" w14:textId="77777777" w:rsidR="00B44E17" w:rsidRPr="00E002F3" w:rsidRDefault="00B44E17" w:rsidP="00B44E17">
      <w:pPr>
        <w:pStyle w:val="FootnoteText"/>
        <w:ind w:right="709" w:firstLine="708"/>
        <w:jc w:val="both"/>
        <w:rPr>
          <w:rFonts w:ascii="Century Gothic" w:hAnsi="Century Gothic"/>
          <w:sz w:val="18"/>
          <w:szCs w:val="18"/>
        </w:rPr>
      </w:pPr>
    </w:p>
  </w:footnote>
  <w:footnote w:id="18">
    <w:p w14:paraId="08338DFE" w14:textId="77777777" w:rsidR="00B44E17" w:rsidRPr="00E002F3" w:rsidRDefault="00B44E17" w:rsidP="00B44E17">
      <w:pPr>
        <w:pStyle w:val="FootnoteText"/>
        <w:ind w:firstLine="708"/>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Decreto 1082 de 2015: “Artículo 2.2.1.2.1.4.1. Acto administrativo de justificación de la contratación directa. La Entidad Estatal debe señalar en un acto administrativo la justificación para contratar bajo la modalidad de contratación directa, el cual debe contener: </w:t>
      </w:r>
    </w:p>
    <w:p w14:paraId="3CDAFD94"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1. La causal que invoca para contratar directamente. </w:t>
      </w:r>
    </w:p>
    <w:p w14:paraId="383ED8FE"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2. El objeto del contrato. </w:t>
      </w:r>
    </w:p>
    <w:p w14:paraId="5E1768B4"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3. El presupuesto para la contratación y las condiciones que exigirá al contratista. </w:t>
      </w:r>
    </w:p>
    <w:p w14:paraId="4318B8D4"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4. El lugar en el cual los interesados pueden consultar los estudios y documentos previos. </w:t>
      </w:r>
    </w:p>
    <w:p w14:paraId="26776506"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Este acto administrativo no es necesario cuando el contrato a celebrar es de prestación de servicios profesionales y de apoyo a la gestión, y para los contratos de que tratan los literales (a) y (b) del artículo 2.2.1.2.1.4.3 del presente decreto”.  </w:t>
      </w:r>
    </w:p>
  </w:footnote>
  <w:footnote w:id="19">
    <w:p w14:paraId="4D6B6002" w14:textId="77777777" w:rsidR="00B44E17" w:rsidRPr="00E002F3" w:rsidRDefault="00B44E17" w:rsidP="00B44E17">
      <w:pPr>
        <w:pStyle w:val="FootnoteText"/>
        <w:ind w:firstLine="708"/>
        <w:jc w:val="both"/>
        <w:rPr>
          <w:rFonts w:ascii="Century Gothic" w:hAnsi="Century Gothic"/>
          <w:sz w:val="18"/>
          <w:szCs w:val="18"/>
        </w:rPr>
      </w:pPr>
    </w:p>
    <w:p w14:paraId="2B4F1BD9" w14:textId="77777777" w:rsidR="00B44E17" w:rsidRPr="00E002F3" w:rsidRDefault="00B44E17" w:rsidP="00B44E17">
      <w:pPr>
        <w:pStyle w:val="FootnoteText"/>
        <w:ind w:firstLine="708"/>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  </w:t>
      </w:r>
    </w:p>
  </w:footnote>
  <w:footnote w:id="20">
    <w:p w14:paraId="14EC159F"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 </w:t>
      </w:r>
    </w:p>
    <w:p w14:paraId="40063AAC" w14:textId="77777777" w:rsidR="00B44E17" w:rsidRPr="00E002F3" w:rsidRDefault="00B44E17" w:rsidP="00B44E17">
      <w:pPr>
        <w:pStyle w:val="FootnoteText"/>
        <w:ind w:firstLine="708"/>
        <w:jc w:val="both"/>
        <w:rPr>
          <w:rFonts w:ascii="Century Gothic" w:hAnsi="Century Gothic"/>
          <w:sz w:val="18"/>
          <w:szCs w:val="18"/>
        </w:rPr>
      </w:pPr>
      <w:r w:rsidRPr="00E002F3">
        <w:rPr>
          <w:rStyle w:val="FootnoteReference"/>
          <w:rFonts w:ascii="Century Gothic" w:hAnsi="Century Gothic"/>
          <w:sz w:val="18"/>
          <w:szCs w:val="18"/>
        </w:rPr>
        <w:footnoteRef/>
      </w:r>
      <w:r w:rsidRPr="00E002F3">
        <w:rPr>
          <w:rFonts w:ascii="Century Gothic" w:hAnsi="Century Gothic"/>
          <w:sz w:val="18"/>
          <w:szCs w:val="18"/>
        </w:rPr>
        <w:t xml:space="preserve"> “Artículo 2.2.1.1.2.1.1. Estudios y documentos previos.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4A059E04"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1. La descripción de la necesidad que la Entidad Estatal pretende satisfacer con el Proceso de Contratación.  </w:t>
      </w:r>
    </w:p>
    <w:p w14:paraId="548BEEDF"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2. El objeto a contratar, con sus especificaciones, las autorizaciones, permisos y licencias requeridos para su ejecución, y cuando el contrato incluye diseño y construcción, los documentos técnicos para el desarrollo del proyecto.  </w:t>
      </w:r>
    </w:p>
    <w:p w14:paraId="1757BEAD"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3. La modalidad de selección del contratista y su justificación, incluyendo los fundamentos jurídicos.  </w:t>
      </w:r>
    </w:p>
    <w:p w14:paraId="1C3AA846"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11564C77"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5. Los criterios para seleccionar la oferta más favorable.  </w:t>
      </w:r>
    </w:p>
    <w:p w14:paraId="36C02C33"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6. El análisis de Riesgo y la forma de mitigarlo.  </w:t>
      </w:r>
    </w:p>
    <w:p w14:paraId="056C787F"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7. Las garantías que la Entidad Estatal contempla exigir en el proceso de contratación.  </w:t>
      </w:r>
    </w:p>
    <w:p w14:paraId="2D575D0E"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8. La indicación de si el proceso de contratación está cobijado por un acuerdo comercial.  </w:t>
      </w:r>
    </w:p>
    <w:p w14:paraId="0B99AF6A" w14:textId="77777777" w:rsidR="00B44E17" w:rsidRPr="00E002F3" w:rsidRDefault="00B44E17" w:rsidP="00B44E17">
      <w:pPr>
        <w:pStyle w:val="FootnoteText"/>
        <w:ind w:firstLine="708"/>
        <w:jc w:val="both"/>
        <w:rPr>
          <w:rFonts w:ascii="Century Gothic" w:hAnsi="Century Gothic"/>
          <w:sz w:val="18"/>
          <w:szCs w:val="18"/>
        </w:rPr>
      </w:pPr>
      <w:r w:rsidRPr="00E002F3">
        <w:rPr>
          <w:rFonts w:ascii="Century Gothic" w:hAnsi="Century Gothic"/>
          <w:sz w:val="18"/>
          <w:szCs w:val="18"/>
        </w:rPr>
        <w:t xml:space="preserve">El presente artículo no es aplicable a la contratación por mínima cuantía”.  </w:t>
      </w:r>
    </w:p>
  </w:footnote>
  <w:footnote w:id="21">
    <w:p w14:paraId="21EB3A5E" w14:textId="77777777" w:rsidR="00B44E17" w:rsidRPr="00E002F3" w:rsidRDefault="00B44E17" w:rsidP="00B44E17">
      <w:pPr>
        <w:widowControl w:val="0"/>
        <w:autoSpaceDE w:val="0"/>
        <w:autoSpaceDN w:val="0"/>
        <w:spacing w:after="0" w:line="240" w:lineRule="auto"/>
        <w:ind w:firstLine="708"/>
        <w:jc w:val="both"/>
        <w:rPr>
          <w:rFonts w:ascii="Century Gothic" w:eastAsia="Arial" w:hAnsi="Century Gothic" w:cs="Arial"/>
          <w:sz w:val="18"/>
          <w:szCs w:val="18"/>
          <w:lang w:val="es-ES"/>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w:t>
      </w:r>
      <w:r w:rsidRPr="00E002F3">
        <w:rPr>
          <w:rFonts w:ascii="Century Gothic" w:eastAsia="Arial" w:hAnsi="Century Gothic"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sus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obligaciones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con</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los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sistemas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de</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salud,</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riesgos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profesionales,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pensiones</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y</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aportes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a</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las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Cajas de Compensación Familiar, Instituto Colombiano de Bienestar Familiar y Servicio Nacional de Aprendizaje,</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cuando</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a</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ello</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haya</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lugar.</w:t>
      </w:r>
      <w:r w:rsidRPr="00E002F3">
        <w:rPr>
          <w:rFonts w:ascii="Century Gothic" w:eastAsia="Arial" w:hAnsi="Century Gothic" w:cs="Arial"/>
          <w:spacing w:val="-11"/>
          <w:sz w:val="18"/>
          <w:szCs w:val="18"/>
          <w:lang w:val="es-ES"/>
        </w:rPr>
        <w:t xml:space="preserve"> </w:t>
      </w:r>
      <w:r w:rsidRPr="00E002F3">
        <w:rPr>
          <w:rFonts w:ascii="Century Gothic" w:eastAsia="Arial" w:hAnsi="Century Gothic" w:cs="Arial"/>
          <w:sz w:val="18"/>
          <w:szCs w:val="18"/>
          <w:lang w:val="es-ES"/>
        </w:rPr>
        <w:t>Las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Entidades</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públicas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en</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el</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momento</w:t>
      </w:r>
      <w:r w:rsidRPr="00E002F3">
        <w:rPr>
          <w:rFonts w:ascii="Century Gothic" w:eastAsia="Arial" w:hAnsi="Century Gothic" w:cs="Arial"/>
          <w:spacing w:val="-11"/>
          <w:sz w:val="18"/>
          <w:szCs w:val="18"/>
          <w:lang w:val="es-ES"/>
        </w:rPr>
        <w:t xml:space="preserve"> </w:t>
      </w:r>
      <w:r w:rsidRPr="00E002F3">
        <w:rPr>
          <w:rFonts w:ascii="Century Gothic" w:eastAsia="Arial" w:hAnsi="Century Gothic" w:cs="Arial"/>
          <w:sz w:val="18"/>
          <w:szCs w:val="18"/>
          <w:lang w:val="es-ES"/>
        </w:rPr>
        <w:t>de</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liquidar</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los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cotizadas.</w:t>
      </w:r>
    </w:p>
    <w:p w14:paraId="582AFF37" w14:textId="77777777" w:rsidR="00B44E17" w:rsidRPr="00E002F3" w:rsidRDefault="00B44E17" w:rsidP="00B44E17">
      <w:pPr>
        <w:widowControl w:val="0"/>
        <w:autoSpaceDE w:val="0"/>
        <w:autoSpaceDN w:val="0"/>
        <w:spacing w:after="0" w:line="240" w:lineRule="auto"/>
        <w:ind w:firstLine="708"/>
        <w:jc w:val="both"/>
        <w:rPr>
          <w:rFonts w:ascii="Century Gothic" w:eastAsia="Arial" w:hAnsi="Century Gothic" w:cs="Arial"/>
          <w:sz w:val="18"/>
          <w:szCs w:val="18"/>
          <w:lang w:val="es-ES"/>
        </w:rPr>
      </w:pPr>
      <w:r w:rsidRPr="00E002F3">
        <w:rPr>
          <w:rFonts w:ascii="Century Gothic" w:eastAsia="Arial" w:hAnsi="Century Gothic"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048DBD5F" w14:textId="77777777" w:rsidR="00B44E17" w:rsidRPr="00E002F3" w:rsidRDefault="00B44E17" w:rsidP="00B44E17">
      <w:pPr>
        <w:widowControl w:val="0"/>
        <w:autoSpaceDE w:val="0"/>
        <w:autoSpaceDN w:val="0"/>
        <w:spacing w:after="0" w:line="240" w:lineRule="auto"/>
        <w:ind w:firstLine="708"/>
        <w:jc w:val="both"/>
        <w:rPr>
          <w:rFonts w:ascii="Century Gothic" w:eastAsia="Arial" w:hAnsi="Century Gothic" w:cs="Arial"/>
          <w:sz w:val="18"/>
          <w:szCs w:val="18"/>
          <w:lang w:val="es-ES"/>
        </w:rPr>
      </w:pPr>
      <w:r w:rsidRPr="00E002F3">
        <w:rPr>
          <w:rFonts w:ascii="Century Gothic" w:eastAsia="Arial" w:hAnsi="Century Gothic" w:cs="Arial"/>
          <w:sz w:val="18"/>
          <w:szCs w:val="18"/>
          <w:lang w:val="es-ES"/>
        </w:rPr>
        <w:t>Cuando</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la</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contratación</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se</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realice</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con</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personas</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jurídicas,</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se</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deberá</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acreditar</w:t>
      </w:r>
      <w:r w:rsidRPr="00E002F3">
        <w:rPr>
          <w:rFonts w:ascii="Century Gothic" w:eastAsia="Arial" w:hAnsi="Century Gothic" w:cs="Arial"/>
          <w:spacing w:val="-7"/>
          <w:sz w:val="18"/>
          <w:szCs w:val="18"/>
          <w:lang w:val="es-ES"/>
        </w:rPr>
        <w:t xml:space="preserve"> </w:t>
      </w:r>
      <w:r w:rsidRPr="00E002F3">
        <w:rPr>
          <w:rFonts w:ascii="Century Gothic" w:eastAsia="Arial" w:hAnsi="Century Gothic" w:cs="Arial"/>
          <w:sz w:val="18"/>
          <w:szCs w:val="18"/>
          <w:lang w:val="es-ES"/>
        </w:rPr>
        <w:t>el</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pago</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de</w:t>
      </w:r>
      <w:r w:rsidRPr="00E002F3">
        <w:rPr>
          <w:rFonts w:ascii="Century Gothic" w:eastAsia="Arial" w:hAnsi="Century Gothic" w:cs="Arial"/>
          <w:spacing w:val="-8"/>
          <w:sz w:val="18"/>
          <w:szCs w:val="18"/>
          <w:lang w:val="es-ES"/>
        </w:rPr>
        <w:t xml:space="preserve"> </w:t>
      </w:r>
      <w:r w:rsidRPr="00E002F3">
        <w:rPr>
          <w:rFonts w:ascii="Century Gothic" w:eastAsia="Arial" w:hAnsi="Century Gothic" w:cs="Arial"/>
          <w:sz w:val="18"/>
          <w:szCs w:val="18"/>
          <w:lang w:val="es-ES"/>
        </w:rPr>
        <w:t>los aportes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de</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sus</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empleados,</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a</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los</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sistemas</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mencionados</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mediante</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certificación</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expedida</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por</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el</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E002F3">
        <w:rPr>
          <w:rFonts w:ascii="Century Gothic" w:eastAsia="Arial" w:hAnsi="Century Gothic" w:cs="Arial"/>
          <w:spacing w:val="-20"/>
          <w:sz w:val="18"/>
          <w:szCs w:val="18"/>
          <w:lang w:val="es-ES"/>
        </w:rPr>
        <w:t xml:space="preserve"> </w:t>
      </w:r>
      <w:r w:rsidRPr="00E002F3">
        <w:rPr>
          <w:rFonts w:ascii="Century Gothic" w:eastAsia="Arial" w:hAnsi="Century Gothic" w:cs="Arial"/>
          <w:sz w:val="18"/>
          <w:szCs w:val="18"/>
          <w:lang w:val="es-ES"/>
        </w:rPr>
        <w:t>constitución.</w:t>
      </w:r>
    </w:p>
    <w:p w14:paraId="4CA69790" w14:textId="77777777" w:rsidR="00B44E17" w:rsidRPr="00E002F3" w:rsidRDefault="00B44E17" w:rsidP="00B44E17">
      <w:pPr>
        <w:pStyle w:val="FootnoteText"/>
        <w:jc w:val="both"/>
        <w:rPr>
          <w:rFonts w:ascii="Century Gothic" w:eastAsia="Arial" w:hAnsi="Century Gothic" w:cs="Arial"/>
          <w:sz w:val="18"/>
          <w:szCs w:val="18"/>
          <w:lang w:val="es-ES"/>
        </w:rPr>
      </w:pPr>
      <w:r w:rsidRPr="00E002F3">
        <w:rPr>
          <w:rFonts w:ascii="Century Gothic" w:eastAsia="Arial" w:hAnsi="Century Gothic" w:cs="Arial"/>
          <w:sz w:val="18"/>
          <w:szCs w:val="18"/>
          <w:lang w:val="es-ES"/>
        </w:rPr>
        <w:tab/>
        <w:t>Para</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la</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presentación</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de</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ofertas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por</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parte</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de</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personas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jurídicas</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será</w:t>
      </w:r>
      <w:r w:rsidRPr="00E002F3">
        <w:rPr>
          <w:rFonts w:ascii="Century Gothic" w:eastAsia="Arial" w:hAnsi="Century Gothic" w:cs="Arial"/>
          <w:spacing w:val="-10"/>
          <w:sz w:val="18"/>
          <w:szCs w:val="18"/>
          <w:lang w:val="es-ES"/>
        </w:rPr>
        <w:t xml:space="preserve"> </w:t>
      </w:r>
      <w:r w:rsidRPr="00E002F3">
        <w:rPr>
          <w:rFonts w:ascii="Century Gothic" w:eastAsia="Arial" w:hAnsi="Century Gothic" w:cs="Arial"/>
          <w:sz w:val="18"/>
          <w:szCs w:val="18"/>
          <w:lang w:val="es-ES"/>
        </w:rPr>
        <w:t>indispensable</w:t>
      </w:r>
      <w:r w:rsidRPr="00E002F3">
        <w:rPr>
          <w:rFonts w:ascii="Century Gothic" w:eastAsia="Arial" w:hAnsi="Century Gothic" w:cs="Arial"/>
          <w:spacing w:val="-9"/>
          <w:sz w:val="18"/>
          <w:szCs w:val="18"/>
          <w:lang w:val="es-ES"/>
        </w:rPr>
        <w:t xml:space="preserve"> </w:t>
      </w:r>
      <w:r w:rsidRPr="00E002F3">
        <w:rPr>
          <w:rFonts w:ascii="Century Gothic" w:eastAsia="Arial" w:hAnsi="Century Gothic" w:cs="Arial"/>
          <w:sz w:val="18"/>
          <w:szCs w:val="18"/>
          <w:lang w:val="es-ES"/>
        </w:rPr>
        <w:t>acreditar el requisito señalado anteriormente. El funcionario que no deje constancia de la verificación del cumplimiento de este requisito incurrirá en causal de mala</w:t>
      </w:r>
      <w:r w:rsidRPr="00E002F3">
        <w:rPr>
          <w:rFonts w:ascii="Century Gothic" w:eastAsia="Arial" w:hAnsi="Century Gothic" w:cs="Arial"/>
          <w:spacing w:val="-12"/>
          <w:sz w:val="18"/>
          <w:szCs w:val="18"/>
          <w:lang w:val="es-ES"/>
        </w:rPr>
        <w:t xml:space="preserve"> </w:t>
      </w:r>
      <w:r w:rsidRPr="00E002F3">
        <w:rPr>
          <w:rFonts w:ascii="Century Gothic" w:eastAsia="Arial" w:hAnsi="Century Gothic" w:cs="Arial"/>
          <w:sz w:val="18"/>
          <w:szCs w:val="18"/>
          <w:lang w:val="es-ES"/>
        </w:rPr>
        <w:t>conducta.</w:t>
      </w:r>
    </w:p>
    <w:p w14:paraId="2E11560A" w14:textId="77777777" w:rsidR="00B44E17" w:rsidRPr="00E002F3" w:rsidRDefault="00B44E17" w:rsidP="00B44E17">
      <w:pPr>
        <w:pStyle w:val="FootnoteText"/>
        <w:ind w:firstLine="709"/>
        <w:jc w:val="both"/>
        <w:rPr>
          <w:rFonts w:ascii="Century Gothic" w:eastAsia="Arial" w:hAnsi="Century Gothic" w:cs="Arial"/>
          <w:sz w:val="18"/>
          <w:szCs w:val="18"/>
          <w:lang w:val="es-ES"/>
        </w:rPr>
      </w:pPr>
      <w:r w:rsidRPr="00E002F3">
        <w:rPr>
          <w:rFonts w:ascii="Century Gothic" w:eastAsia="Arial" w:hAnsi="Century Gothic" w:cs="Arial"/>
          <w:sz w:val="18"/>
          <w:szCs w:val="18"/>
          <w:lang w:val="es-ES"/>
        </w:rPr>
        <w:t>[…]”</w:t>
      </w:r>
    </w:p>
    <w:p w14:paraId="6A1E9898" w14:textId="77777777" w:rsidR="00B44E17" w:rsidRPr="00E002F3" w:rsidRDefault="00B44E17" w:rsidP="00B44E17">
      <w:pPr>
        <w:pStyle w:val="FootnoteText"/>
        <w:jc w:val="both"/>
        <w:rPr>
          <w:rFonts w:ascii="Century Gothic" w:hAnsi="Century Gothic" w:cs="Arial"/>
          <w:sz w:val="18"/>
          <w:szCs w:val="18"/>
          <w:lang w:val="es-CO"/>
        </w:rPr>
      </w:pPr>
    </w:p>
  </w:footnote>
  <w:footnote w:id="22">
    <w:p w14:paraId="32D0ECB1" w14:textId="77777777" w:rsidR="00B44E17" w:rsidRPr="00E002F3" w:rsidRDefault="00B44E17" w:rsidP="00B44E17">
      <w:pPr>
        <w:pStyle w:val="FootnoteText"/>
        <w:ind w:firstLine="708"/>
        <w:jc w:val="both"/>
        <w:rPr>
          <w:rFonts w:ascii="Century Gothic" w:eastAsia="Arial" w:hAnsi="Century Gothic" w:cs="Arial"/>
          <w:sz w:val="18"/>
          <w:szCs w:val="18"/>
          <w:lang w:val="es-ES"/>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w:t>
      </w:r>
      <w:r w:rsidRPr="00E002F3">
        <w:rPr>
          <w:rFonts w:ascii="Century Gothic" w:eastAsia="Arial" w:hAnsi="Century Gothic" w:cs="Arial"/>
          <w:sz w:val="18"/>
          <w:szCs w:val="18"/>
          <w:lang w:val="es-ES"/>
        </w:rPr>
        <w:t>Consejo de Estado. Sección Tercera. Subsección C. Sentencia del 8 de junio de 2011. Exp. 20001-23-31-000-2005-00409-01(AP), C.P. Enrique Gil Botero.</w:t>
      </w:r>
    </w:p>
    <w:p w14:paraId="1415043E" w14:textId="77777777" w:rsidR="00B44E17" w:rsidRPr="00E002F3" w:rsidRDefault="00B44E17" w:rsidP="00B44E17">
      <w:pPr>
        <w:pStyle w:val="FootnoteText"/>
        <w:ind w:firstLine="708"/>
        <w:jc w:val="both"/>
        <w:rPr>
          <w:rFonts w:ascii="Century Gothic" w:hAnsi="Century Gothic" w:cs="Arial"/>
          <w:sz w:val="18"/>
          <w:szCs w:val="18"/>
          <w:lang w:val="es-CO"/>
        </w:rPr>
      </w:pPr>
    </w:p>
  </w:footnote>
  <w:footnote w:id="23">
    <w:p w14:paraId="05506C02" w14:textId="77777777" w:rsidR="00B44E17" w:rsidRPr="00E002F3" w:rsidRDefault="00B44E17" w:rsidP="00B44E17">
      <w:pPr>
        <w:pStyle w:val="FootnoteText"/>
        <w:ind w:firstLine="708"/>
        <w:jc w:val="both"/>
        <w:rPr>
          <w:rFonts w:ascii="Century Gothic" w:hAnsi="Century Gothic" w:cs="Arial"/>
          <w:sz w:val="18"/>
          <w:szCs w:val="18"/>
          <w:lang w:val="es-CO"/>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Respecto a la revisoría fiscal de las sociedades extranjeras con sucursal en Colombia, el artículo 472.6 del Código de Comercio dispone que </w:t>
      </w:r>
      <w:r w:rsidRPr="00E002F3">
        <w:rPr>
          <w:rFonts w:ascii="Century Gothic" w:hAnsi="Century Gothic" w:cs="Arial"/>
          <w:sz w:val="18"/>
          <w:szCs w:val="18"/>
          <w:lang w:val="es-CO"/>
        </w:rPr>
        <w:t xml:space="preserve">la resolución o acto en que la sociedad acuerda establecer negocios permanentes en Colombia expresará “La designación del revisor fiscal, quien será persona natural con residencia permanente en Colombia”. </w:t>
      </w:r>
    </w:p>
    <w:p w14:paraId="794C4604" w14:textId="77777777" w:rsidR="00B44E17" w:rsidRPr="00E002F3" w:rsidRDefault="00B44E17" w:rsidP="00B44E17">
      <w:pPr>
        <w:pStyle w:val="FootnoteText"/>
        <w:ind w:firstLine="708"/>
        <w:jc w:val="both"/>
        <w:rPr>
          <w:rFonts w:ascii="Century Gothic" w:hAnsi="Century Gothic" w:cs="Arial"/>
          <w:sz w:val="18"/>
          <w:szCs w:val="18"/>
        </w:rPr>
      </w:pPr>
      <w:r w:rsidRPr="00E002F3">
        <w:rPr>
          <w:rFonts w:ascii="Century Gothic" w:hAnsi="Century Gothic" w:cs="Arial"/>
          <w:sz w:val="18"/>
          <w:szCs w:val="18"/>
          <w:lang w:val="es-CO"/>
        </w:rPr>
        <w:t xml:space="preserve">Por lo demás, el artículo el artículo 489 </w:t>
      </w:r>
      <w:r w:rsidRPr="00E002F3">
        <w:rPr>
          <w:rFonts w:ascii="Century Gothic" w:hAnsi="Century Gothic" w:cs="Arial"/>
          <w:i/>
          <w:sz w:val="18"/>
          <w:szCs w:val="18"/>
          <w:lang w:val="es-CO"/>
        </w:rPr>
        <w:t>ibidem</w:t>
      </w:r>
      <w:r w:rsidRPr="00E002F3">
        <w:rPr>
          <w:rFonts w:ascii="Century Gothic" w:hAnsi="Century Gothic" w:cs="Arial"/>
          <w:sz w:val="18"/>
          <w:szCs w:val="18"/>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24">
    <w:p w14:paraId="7E26F79E" w14:textId="77777777" w:rsidR="00B44E17" w:rsidRPr="00E86859" w:rsidRDefault="00B44E17" w:rsidP="00B44E17">
      <w:pPr>
        <w:pStyle w:val="FootnoteText"/>
        <w:ind w:firstLine="708"/>
        <w:jc w:val="both"/>
        <w:rPr>
          <w:rFonts w:ascii="Century Gothic" w:hAnsi="Century Gothic" w:cs="Arial"/>
          <w:sz w:val="16"/>
          <w:szCs w:val="16"/>
        </w:rPr>
      </w:pPr>
      <w:r w:rsidRPr="00E002F3">
        <w:rPr>
          <w:rStyle w:val="FootnoteReference"/>
          <w:rFonts w:ascii="Century Gothic" w:hAnsi="Century Gothic" w:cs="Arial"/>
          <w:sz w:val="18"/>
          <w:szCs w:val="18"/>
        </w:rPr>
        <w:footnoteRef/>
      </w:r>
      <w:r w:rsidRPr="00E002F3">
        <w:rPr>
          <w:rFonts w:ascii="Century Gothic" w:hAnsi="Century Gothic" w:cs="Arial"/>
          <w:sz w:val="18"/>
          <w:szCs w:val="18"/>
        </w:rPr>
        <w:t xml:space="preserve"> Por ejemplo, el inciso primero del artículo 11 de la Ley 100 de 1993 dispone que “</w:t>
      </w:r>
      <w:r w:rsidRPr="00E002F3">
        <w:rPr>
          <w:rFonts w:ascii="Century Gothic" w:hAnsi="Century Gothic" w:cs="Arial"/>
          <w:sz w:val="18"/>
          <w:szCs w:val="18"/>
          <w:lang w:val="es-CO"/>
        </w:rPr>
        <w:t xml:space="preserve">El Sistema General de Pensiones consagrado en la presente ley, se aplicará a todos los habitantes del territorio nacional, conservando y respetando, adicionalmente todos los derechos, garantías, prerrogativas, servicios y beneficios adquiridos y establecidos conforme a disposiciones normativas anteriores, pactos, acuerdos o convenciones colectivas de trabajo para quienes a la fecha de vigencia de esta ley hayan cumplido los requisitos para acceder a una Pensión o se encuentren pensionados por jubilación, vejez, invalidez, sustitución o sobrevivientes de los sectores público, oficial, semioficial en todos los órdenes del régimen de Prima Media y del sector privado en general”. Por su parte, el artículo 153.1 </w:t>
      </w:r>
      <w:r w:rsidRPr="00E002F3">
        <w:rPr>
          <w:rFonts w:ascii="Century Gothic" w:hAnsi="Century Gothic" w:cs="Arial"/>
          <w:i/>
          <w:sz w:val="18"/>
          <w:szCs w:val="18"/>
          <w:lang w:val="es-CO"/>
        </w:rPr>
        <w:t>ibidem</w:t>
      </w:r>
      <w:r w:rsidRPr="00E002F3">
        <w:rPr>
          <w:rFonts w:ascii="Century Gothic" w:hAnsi="Century Gothic" w:cs="Arial"/>
          <w:sz w:val="18"/>
          <w:szCs w:val="18"/>
          <w:lang w:val="es-CO"/>
        </w:rPr>
        <w:t xml:space="preserve"> prescribe que “El Sistema General de Segundad Social en Salud cubre a todos los residentes en el país, en todas las etapas de la vida”. Finalmente, el artículo 3 del Decreto Ley 1295 de 1994 dispone que “El Sistema General de Riesgos Profesionales, con las excepciones previstas en el artículo 279 de la ley 100 de 1993, se aplica a todas las empresas que funcionen en el territorio nacional, y a los trabajadores, contratistas, subcontratistas, de los sectores público, oficial, semioficial, en todos sus órdenes, y del sector privado en general”. Sobre el principio de territorialidad de las normas que conforman el sistema de seguridad social integral, consúltese el Concepto del Ministerio de la Protección Social N° 302203 del 24 de septiembre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Header"/>
      <w:jc w:val="center"/>
    </w:pPr>
  </w:p>
  <w:p w14:paraId="1BE2B9AE" w14:textId="4B94DB3B" w:rsidR="00756841" w:rsidRDefault="00756841">
    <w:pPr>
      <w:pStyle w:val="Header"/>
    </w:pPr>
  </w:p>
  <w:p w14:paraId="66537681" w14:textId="77777777" w:rsidR="00A211EE" w:rsidRDefault="00A211EE" w:rsidP="00A211EE">
    <w:pPr>
      <w:spacing w:after="0"/>
      <w:rPr>
        <w:rFonts w:ascii="Verdana" w:hAnsi="Verdana"/>
        <w:b/>
        <w:bCs/>
        <w:sz w:val="24"/>
        <w:szCs w:val="24"/>
      </w:rPr>
    </w:pP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48B1027"/>
    <w:multiLevelType w:val="multilevel"/>
    <w:tmpl w:val="AD88DB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200699721">
    <w:abstractNumId w:val="0"/>
  </w:num>
  <w:num w:numId="7" w16cid:durableId="889071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4062"/>
    <w:rsid w:val="000A683E"/>
    <w:rsid w:val="000B19B9"/>
    <w:rsid w:val="000C4573"/>
    <w:rsid w:val="000C5D94"/>
    <w:rsid w:val="000D0334"/>
    <w:rsid w:val="000F6486"/>
    <w:rsid w:val="001119A8"/>
    <w:rsid w:val="00112A46"/>
    <w:rsid w:val="00127233"/>
    <w:rsid w:val="001B52B0"/>
    <w:rsid w:val="001E4177"/>
    <w:rsid w:val="001E6A54"/>
    <w:rsid w:val="00211D31"/>
    <w:rsid w:val="00282D44"/>
    <w:rsid w:val="002951A0"/>
    <w:rsid w:val="002962BC"/>
    <w:rsid w:val="002A49AC"/>
    <w:rsid w:val="002A64FD"/>
    <w:rsid w:val="002C7430"/>
    <w:rsid w:val="002C79E1"/>
    <w:rsid w:val="002C7A84"/>
    <w:rsid w:val="002E726F"/>
    <w:rsid w:val="002F3FC8"/>
    <w:rsid w:val="002F4432"/>
    <w:rsid w:val="00367A57"/>
    <w:rsid w:val="003A779E"/>
    <w:rsid w:val="003D0F4D"/>
    <w:rsid w:val="003D31AF"/>
    <w:rsid w:val="003E0499"/>
    <w:rsid w:val="003F3941"/>
    <w:rsid w:val="004021D4"/>
    <w:rsid w:val="00472E2A"/>
    <w:rsid w:val="004A17D3"/>
    <w:rsid w:val="004A1847"/>
    <w:rsid w:val="004A305D"/>
    <w:rsid w:val="004A6E29"/>
    <w:rsid w:val="004F21C4"/>
    <w:rsid w:val="004F685F"/>
    <w:rsid w:val="005021BC"/>
    <w:rsid w:val="00504B30"/>
    <w:rsid w:val="00516F79"/>
    <w:rsid w:val="005566E8"/>
    <w:rsid w:val="00574867"/>
    <w:rsid w:val="005833F4"/>
    <w:rsid w:val="00594DCF"/>
    <w:rsid w:val="005A19E7"/>
    <w:rsid w:val="005C5CDC"/>
    <w:rsid w:val="005D476C"/>
    <w:rsid w:val="005E5DA4"/>
    <w:rsid w:val="00611233"/>
    <w:rsid w:val="006219F8"/>
    <w:rsid w:val="00665D70"/>
    <w:rsid w:val="006C664C"/>
    <w:rsid w:val="006F1A1E"/>
    <w:rsid w:val="00706C16"/>
    <w:rsid w:val="00756841"/>
    <w:rsid w:val="007649AB"/>
    <w:rsid w:val="007773EC"/>
    <w:rsid w:val="007833AC"/>
    <w:rsid w:val="007C3DC2"/>
    <w:rsid w:val="007D375C"/>
    <w:rsid w:val="007E5497"/>
    <w:rsid w:val="00803A5C"/>
    <w:rsid w:val="00806F5F"/>
    <w:rsid w:val="00820278"/>
    <w:rsid w:val="00830167"/>
    <w:rsid w:val="008367ED"/>
    <w:rsid w:val="008843B6"/>
    <w:rsid w:val="00891928"/>
    <w:rsid w:val="008A446D"/>
    <w:rsid w:val="008B5C99"/>
    <w:rsid w:val="008F0EA7"/>
    <w:rsid w:val="00923EEF"/>
    <w:rsid w:val="009419F9"/>
    <w:rsid w:val="00961B09"/>
    <w:rsid w:val="00965334"/>
    <w:rsid w:val="0097093E"/>
    <w:rsid w:val="009877F8"/>
    <w:rsid w:val="009A531F"/>
    <w:rsid w:val="009C71FA"/>
    <w:rsid w:val="009C72E7"/>
    <w:rsid w:val="009F04FC"/>
    <w:rsid w:val="009F29EA"/>
    <w:rsid w:val="00A17F13"/>
    <w:rsid w:val="00A20739"/>
    <w:rsid w:val="00A211EE"/>
    <w:rsid w:val="00A32F34"/>
    <w:rsid w:val="00A33C78"/>
    <w:rsid w:val="00AB0ADB"/>
    <w:rsid w:val="00AB2B5F"/>
    <w:rsid w:val="00AB408C"/>
    <w:rsid w:val="00AD5FEB"/>
    <w:rsid w:val="00AF4CAA"/>
    <w:rsid w:val="00B1591F"/>
    <w:rsid w:val="00B44E17"/>
    <w:rsid w:val="00B72CD3"/>
    <w:rsid w:val="00B72FFF"/>
    <w:rsid w:val="00BD7F72"/>
    <w:rsid w:val="00BF3649"/>
    <w:rsid w:val="00C27CA4"/>
    <w:rsid w:val="00C330EB"/>
    <w:rsid w:val="00C754BE"/>
    <w:rsid w:val="00C85A5C"/>
    <w:rsid w:val="00C93FD9"/>
    <w:rsid w:val="00CB28A7"/>
    <w:rsid w:val="00CB6357"/>
    <w:rsid w:val="00CC1B26"/>
    <w:rsid w:val="00CD3DC4"/>
    <w:rsid w:val="00CE5D09"/>
    <w:rsid w:val="00D423A2"/>
    <w:rsid w:val="00D626D8"/>
    <w:rsid w:val="00D63AC2"/>
    <w:rsid w:val="00D7383B"/>
    <w:rsid w:val="00DC673F"/>
    <w:rsid w:val="00DD28D8"/>
    <w:rsid w:val="00DF5427"/>
    <w:rsid w:val="00E04331"/>
    <w:rsid w:val="00E10726"/>
    <w:rsid w:val="00E16408"/>
    <w:rsid w:val="00E20894"/>
    <w:rsid w:val="00E245AB"/>
    <w:rsid w:val="00E50AFE"/>
    <w:rsid w:val="00E771DC"/>
    <w:rsid w:val="00E8772A"/>
    <w:rsid w:val="00E90F6B"/>
    <w:rsid w:val="00E92C27"/>
    <w:rsid w:val="00EA0E3D"/>
    <w:rsid w:val="00EA197A"/>
    <w:rsid w:val="00EE1AA8"/>
    <w:rsid w:val="00EF4AAB"/>
    <w:rsid w:val="00F0597F"/>
    <w:rsid w:val="00F31172"/>
    <w:rsid w:val="00F31EDC"/>
    <w:rsid w:val="00F33571"/>
    <w:rsid w:val="00F5664F"/>
    <w:rsid w:val="00F76AFC"/>
    <w:rsid w:val="00F76FB5"/>
    <w:rsid w:val="00FB2067"/>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31C4BA0-16EF-4270-929D-18896083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styleId="Hyperlink">
    <w:name w:val="Hyperlink"/>
    <w:basedOn w:val="DefaultParagraphFont"/>
    <w:uiPriority w:val="99"/>
    <w:unhideWhenUsed/>
    <w:rsid w:val="00B44E17"/>
    <w:rPr>
      <w:color w:val="0000FF"/>
      <w:u w:val="single"/>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B44E17"/>
    <w:rPr>
      <w:rFonts w:ascii="Geomanist Light" w:hAnsi="Geomanist Light"/>
      <w:lang w:val="es-ES"/>
    </w:rPr>
  </w:style>
  <w:style w:type="paragraph" w:styleId="NormalWeb">
    <w:name w:val="Normal (Web)"/>
    <w:basedOn w:val="Normal"/>
    <w:link w:val="NormalWebChar"/>
    <w:uiPriority w:val="99"/>
    <w:unhideWhenUsed/>
    <w:rsid w:val="00B44E1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ppelnotedebasde">
    <w:name w:val="Appel note de bas de..."/>
    <w:basedOn w:val="Normal"/>
    <w:link w:val="FootnoteReference"/>
    <w:uiPriority w:val="99"/>
    <w:rsid w:val="00B44E17"/>
    <w:pPr>
      <w:spacing w:line="240" w:lineRule="exact"/>
    </w:pPr>
    <w:rPr>
      <w:vertAlign w:val="superscript"/>
    </w:rPr>
  </w:style>
  <w:style w:type="character" w:styleId="Strong">
    <w:name w:val="Strong"/>
    <w:basedOn w:val="DefaultParagraphFont"/>
    <w:uiPriority w:val="22"/>
    <w:qFormat/>
    <w:rsid w:val="00B44E17"/>
    <w:rPr>
      <w:b/>
      <w:bCs/>
    </w:rPr>
  </w:style>
  <w:style w:type="character" w:customStyle="1" w:styleId="NormalWebChar">
    <w:name w:val="Normal (Web) Char"/>
    <w:link w:val="NormalWeb"/>
    <w:uiPriority w:val="99"/>
    <w:rsid w:val="00B44E17"/>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effany.wilches@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busqueda/conceptos%20"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Ana Maria Ortiz Ballesteros</DisplayName>
        <AccountId>645</AccountId>
        <AccountType/>
      </UserInfo>
    </SharedWithUsers>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FFA9E30-F9AF-F84C-90DC-C6033869ACF2}">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C2E4BCB8-12CE-4069-8400-656B554DDD63}"/>
</file>

<file path=docProps/app.xml><?xml version="1.0" encoding="utf-8"?>
<Properties xmlns="http://schemas.openxmlformats.org/officeDocument/2006/extended-properties" xmlns:vt="http://schemas.openxmlformats.org/officeDocument/2006/docPropsVTypes">
  <Template>Normal.dotm</Template>
  <TotalTime>17</TotalTime>
  <Pages>1</Pages>
  <Words>9310</Words>
  <Characters>53070</Characters>
  <Application>Microsoft Office Word</Application>
  <DocSecurity>4</DocSecurity>
  <Lines>442</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62256</CharactersWithSpaces>
  <SharedDoc>false</SharedDoc>
  <HLinks>
    <vt:vector size="30" baseType="variant">
      <vt:variant>
        <vt:i4>589843</vt:i4>
      </vt:variant>
      <vt:variant>
        <vt:i4>6</vt:i4>
      </vt:variant>
      <vt:variant>
        <vt:i4>0</vt:i4>
      </vt:variant>
      <vt:variant>
        <vt:i4>5</vt:i4>
      </vt:variant>
      <vt:variant>
        <vt:lpwstr>https://www.funcionpublica.gov.co/eva/gestornormativo/norma.php?i=25678</vt:lpwstr>
      </vt:variant>
      <vt:variant>
        <vt:lpwstr>2.4</vt:lpwstr>
      </vt:variant>
      <vt:variant>
        <vt:i4>2555923</vt:i4>
      </vt:variant>
      <vt:variant>
        <vt:i4>3</vt:i4>
      </vt:variant>
      <vt:variant>
        <vt:i4>0</vt:i4>
      </vt:variant>
      <vt:variant>
        <vt:i4>5</vt:i4>
      </vt:variant>
      <vt:variant>
        <vt:lpwstr>https://www.funcionpublica.gov.co/eva/gestornormativo/norma.php?i=25678</vt:lpwstr>
      </vt:variant>
      <vt:variant>
        <vt:lpwstr>2</vt:lpwstr>
      </vt:variant>
      <vt:variant>
        <vt:i4>3670089</vt:i4>
      </vt:variant>
      <vt:variant>
        <vt:i4>0</vt:i4>
      </vt:variant>
      <vt:variant>
        <vt:i4>0</vt:i4>
      </vt:variant>
      <vt:variant>
        <vt:i4>5</vt:i4>
      </vt:variant>
      <vt:variant>
        <vt:lpwstr>mailto:steffany.wilches@gmail.com</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200</cp:revision>
  <cp:lastPrinted>2023-01-10T21:18:00Z</cp:lastPrinted>
  <dcterms:created xsi:type="dcterms:W3CDTF">2024-07-03T16:10:00Z</dcterms:created>
  <dcterms:modified xsi:type="dcterms:W3CDTF">2024-07-15T22:12:00Z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MSIP_Label_79c9bbd4-2155-4c05-a8cb-143fc41f09a9_Enabled">
    <vt:lpwstr>true</vt:lpwstr>
  </property>
  <property fmtid="{D5CDD505-2E9C-101B-9397-08002B2CF9AE}" pid="5" name="MSIP_Label_79c9bbd4-2155-4c05-a8cb-143fc41f09a9_SetDate">
    <vt:lpwstr>2024-07-10T16:34:59Z</vt:lpwstr>
  </property>
  <property fmtid="{D5CDD505-2E9C-101B-9397-08002B2CF9AE}" pid="6" name="MSIP_Label_79c9bbd4-2155-4c05-a8cb-143fc41f09a9_Method">
    <vt:lpwstr>Standard</vt:lpwstr>
  </property>
  <property fmtid="{D5CDD505-2E9C-101B-9397-08002B2CF9AE}" pid="7" name="MSIP_Label_79c9bbd4-2155-4c05-a8cb-143fc41f09a9_Name">
    <vt:lpwstr>defa4170-0d19-0005-0004-bc88714345d2</vt:lpwstr>
  </property>
  <property fmtid="{D5CDD505-2E9C-101B-9397-08002B2CF9AE}" pid="8" name="MSIP_Label_79c9bbd4-2155-4c05-a8cb-143fc41f09a9_SiteId">
    <vt:lpwstr>33fa6907-21c6-4126-aa66-bcbed95361bb</vt:lpwstr>
  </property>
  <property fmtid="{D5CDD505-2E9C-101B-9397-08002B2CF9AE}" pid="9" name="MSIP_Label_79c9bbd4-2155-4c05-a8cb-143fc41f09a9_ActionId">
    <vt:lpwstr>606c8e0a-8574-4f3f-b056-968771140366</vt:lpwstr>
  </property>
  <property fmtid="{D5CDD505-2E9C-101B-9397-08002B2CF9AE}" pid="10" name="MSIP_Label_79c9bbd4-2155-4c05-a8cb-143fc41f09a9_ContentBits">
    <vt:lpwstr>0</vt:lpwstr>
  </property>
</Properties>
</file>