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3CAC71" w14:textId="5282EFA7" w:rsidR="002415B8" w:rsidRPr="003E56B0" w:rsidRDefault="00B55C69" w:rsidP="001A4314">
      <w:pPr>
        <w:jc w:val="right"/>
        <w:rPr>
          <w:rFonts w:ascii="Arial" w:eastAsia="Calibri" w:hAnsi="Arial" w:cs="Arial"/>
          <w:b/>
          <w:sz w:val="20"/>
          <w:szCs w:val="20"/>
          <w:lang w:val="es-ES_tradnl"/>
        </w:rPr>
      </w:pPr>
      <w:bookmarkStart w:id="0" w:name="_Hlk28946138"/>
      <w:bookmarkStart w:id="1" w:name="_Hlk29548183"/>
      <w:r w:rsidRPr="003E56B0">
        <w:rPr>
          <w:rFonts w:ascii="Arial" w:hAnsi="Arial" w:cs="Arial"/>
          <w:bCs/>
          <w:sz w:val="16"/>
          <w:szCs w:val="16"/>
          <w:lang w:val="es-ES_tradnl" w:eastAsia="es-ES"/>
        </w:rPr>
        <w:t>CCE-DES-FM-17</w:t>
      </w:r>
      <w:bookmarkEnd w:id="0"/>
      <w:bookmarkEnd w:id="1"/>
    </w:p>
    <w:p w14:paraId="55FBD910" w14:textId="77777777" w:rsidR="008536BB" w:rsidRPr="003E56B0" w:rsidRDefault="008536BB" w:rsidP="00B95C30">
      <w:pPr>
        <w:spacing w:line="276" w:lineRule="auto"/>
        <w:jc w:val="both"/>
        <w:rPr>
          <w:rFonts w:ascii="Arial" w:hAnsi="Arial" w:cs="Arial"/>
          <w:noProof/>
          <w:sz w:val="22"/>
          <w:lang w:val="es-ES_tradnl"/>
        </w:rPr>
      </w:pPr>
    </w:p>
    <w:p w14:paraId="021A3393" w14:textId="77777777" w:rsidR="003E56B0" w:rsidRPr="003E56B0" w:rsidRDefault="003E56B0" w:rsidP="003E56B0">
      <w:pPr>
        <w:jc w:val="both"/>
        <w:rPr>
          <w:rFonts w:ascii="Arial" w:eastAsia="Calibri" w:hAnsi="Arial" w:cs="Arial"/>
          <w:b/>
          <w:sz w:val="22"/>
        </w:rPr>
      </w:pPr>
      <w:r w:rsidRPr="003E56B0">
        <w:rPr>
          <w:rFonts w:ascii="Arial" w:eastAsia="Calibri" w:hAnsi="Arial" w:cs="Arial"/>
          <w:b/>
          <w:sz w:val="22"/>
        </w:rPr>
        <w:t xml:space="preserve">LEY DE EMPRENDIMIENTO – Finalidad </w:t>
      </w:r>
    </w:p>
    <w:p w14:paraId="4239324B" w14:textId="77777777" w:rsidR="003E56B0" w:rsidRPr="003E56B0" w:rsidRDefault="003E56B0" w:rsidP="003E56B0">
      <w:pPr>
        <w:jc w:val="both"/>
        <w:rPr>
          <w:rFonts w:ascii="Arial" w:eastAsia="Calibri" w:hAnsi="Arial" w:cs="Arial"/>
          <w:sz w:val="20"/>
          <w:szCs w:val="20"/>
        </w:rPr>
      </w:pPr>
    </w:p>
    <w:p w14:paraId="274B4150" w14:textId="7802E575" w:rsidR="003E56B0" w:rsidRPr="003E56B0" w:rsidRDefault="003E56B0" w:rsidP="003E56B0">
      <w:pPr>
        <w:jc w:val="both"/>
        <w:rPr>
          <w:rFonts w:ascii="Arial" w:eastAsia="Calibri" w:hAnsi="Arial" w:cs="Arial"/>
          <w:sz w:val="20"/>
          <w:szCs w:val="20"/>
        </w:rPr>
      </w:pPr>
      <w:r w:rsidRPr="003E56B0">
        <w:rPr>
          <w:rFonts w:ascii="Arial" w:eastAsia="Calibri" w:hAnsi="Arial" w:cs="Arial"/>
          <w:sz w:val="20"/>
          <w:szCs w:val="20"/>
        </w:rPr>
        <w:t xml:space="preserve">El pasado 31 de diciembre, en congruencia con el «Pacto por el emprendimiento, la formalización y la productividad» del Plan Nacional de Desarrollo 2018-2022, el </w:t>
      </w:r>
      <w:proofErr w:type="gramStart"/>
      <w:r w:rsidRPr="003E56B0">
        <w:rPr>
          <w:rFonts w:ascii="Arial" w:eastAsia="Calibri" w:hAnsi="Arial" w:cs="Arial"/>
          <w:sz w:val="20"/>
          <w:szCs w:val="20"/>
        </w:rPr>
        <w:t>Presidente</w:t>
      </w:r>
      <w:proofErr w:type="gramEnd"/>
      <w:r w:rsidRPr="003E56B0">
        <w:rPr>
          <w:rFonts w:ascii="Arial" w:eastAsia="Calibri" w:hAnsi="Arial" w:cs="Arial"/>
          <w:sz w:val="20"/>
          <w:szCs w:val="20"/>
        </w:rPr>
        <w:t xml:space="preserve"> de la República sancionó la Ley 2069 de 2020 para de impulsar el nacimiento de nuevas empresas que incentiven la generación de empleo en país. Pensada en clave de reactivación de la economía y fomento a la actividad emprendedora, la ley propicia un entorno para ayudar al crecimiento, consolidación y sostenibilidad de esas iniciativas, generando mayor desarrollo social, creación de las empresas y mejoras tanto en la productividad como en la competitividad. De esta manera, la ley en comento también concreta la «Política de formalización empresarial» del Documento CONPES 3956 del 8 de enero de 2019.  </w:t>
      </w:r>
    </w:p>
    <w:p w14:paraId="0D157148" w14:textId="77777777" w:rsidR="003E56B0" w:rsidRPr="003E56B0" w:rsidRDefault="003E56B0" w:rsidP="003E56B0">
      <w:pPr>
        <w:jc w:val="both"/>
        <w:rPr>
          <w:rFonts w:ascii="Arial" w:eastAsia="Calibri" w:hAnsi="Arial" w:cs="Arial"/>
          <w:b/>
          <w:sz w:val="20"/>
          <w:szCs w:val="20"/>
        </w:rPr>
      </w:pPr>
    </w:p>
    <w:p w14:paraId="0AA79B1F" w14:textId="77777777" w:rsidR="003E56B0" w:rsidRPr="003E56B0" w:rsidRDefault="003E56B0" w:rsidP="003E56B0">
      <w:pPr>
        <w:jc w:val="both"/>
        <w:rPr>
          <w:rFonts w:ascii="Arial" w:eastAsia="Calibri" w:hAnsi="Arial" w:cs="Arial"/>
          <w:b/>
          <w:sz w:val="22"/>
        </w:rPr>
      </w:pPr>
      <w:r w:rsidRPr="003E56B0">
        <w:rPr>
          <w:rFonts w:ascii="Arial" w:eastAsia="Calibri" w:hAnsi="Arial" w:cs="Arial"/>
          <w:b/>
          <w:sz w:val="22"/>
        </w:rPr>
        <w:t>RELACIÓN ENTRE LA LEY Y EL REGLAMENTO – Tesis de la aplicación directa – Tesis de la reglamentación – Diferencias</w:t>
      </w:r>
    </w:p>
    <w:p w14:paraId="5AF69E12" w14:textId="77777777" w:rsidR="003E56B0" w:rsidRPr="003E56B0" w:rsidRDefault="003E56B0" w:rsidP="003E56B0">
      <w:pPr>
        <w:jc w:val="both"/>
        <w:rPr>
          <w:rFonts w:ascii="Arial" w:eastAsia="Calibri" w:hAnsi="Arial" w:cs="Arial"/>
          <w:b/>
          <w:sz w:val="20"/>
          <w:szCs w:val="20"/>
        </w:rPr>
      </w:pPr>
    </w:p>
    <w:p w14:paraId="421B0004" w14:textId="77777777" w:rsidR="003E56B0" w:rsidRPr="003E56B0" w:rsidRDefault="003E56B0" w:rsidP="003E56B0">
      <w:pPr>
        <w:jc w:val="both"/>
        <w:rPr>
          <w:rFonts w:ascii="Arial" w:eastAsia="Calibri" w:hAnsi="Arial" w:cs="Arial"/>
          <w:sz w:val="20"/>
          <w:szCs w:val="20"/>
        </w:rPr>
      </w:pPr>
      <w:r w:rsidRPr="003E56B0">
        <w:rPr>
          <w:rFonts w:ascii="Arial" w:eastAsia="Calibri" w:hAnsi="Arial" w:cs="Arial"/>
          <w:bCs/>
          <w:sz w:val="20"/>
          <w:szCs w:val="20"/>
        </w:rPr>
        <w:t xml:space="preserve">[…] quien opte por la tesis de la </w:t>
      </w:r>
      <w:r w:rsidRPr="003E56B0">
        <w:rPr>
          <w:rFonts w:ascii="Arial" w:eastAsia="Calibri" w:hAnsi="Arial" w:cs="Arial"/>
          <w:bCs/>
          <w:i/>
          <w:iCs/>
          <w:sz w:val="20"/>
          <w:szCs w:val="20"/>
        </w:rPr>
        <w:t>aplicación directa</w:t>
      </w:r>
      <w:r w:rsidRPr="003E56B0">
        <w:rPr>
          <w:rFonts w:ascii="Arial" w:eastAsia="Calibri" w:hAnsi="Arial" w:cs="Arial"/>
          <w:bCs/>
          <w:sz w:val="20"/>
          <w:szCs w:val="20"/>
        </w:rPr>
        <w:t xml:space="preserve"> debe sostener que la intervención del reglamento es accesoria, no necesaria: el Congreso de la República ejerce su competencia para la expedición de las leyes sin que normas de inferior jerarquía condicionen su vigencia o aplicación. En este contexto, cualquier espacio abierto de decisión –siempre que no esté sometido a reserva– habilita el ejercicio de potestades discrecionales por parte de las entidades públicas, salvo que el reglamento eventualmente los limite</w:t>
      </w:r>
      <w:r w:rsidRPr="003E56B0">
        <w:rPr>
          <w:rFonts w:ascii="Arial" w:eastAsia="Calibri" w:hAnsi="Arial" w:cs="Arial"/>
          <w:sz w:val="20"/>
          <w:szCs w:val="20"/>
        </w:rPr>
        <w:t>.</w:t>
      </w:r>
    </w:p>
    <w:p w14:paraId="20DC6D60" w14:textId="77777777" w:rsidR="003E56B0" w:rsidRPr="003E56B0" w:rsidRDefault="003E56B0" w:rsidP="003E56B0">
      <w:pPr>
        <w:spacing w:after="120"/>
        <w:jc w:val="both"/>
        <w:rPr>
          <w:rFonts w:ascii="Arial" w:eastAsia="Calibri" w:hAnsi="Arial" w:cs="Arial"/>
          <w:sz w:val="20"/>
          <w:szCs w:val="20"/>
        </w:rPr>
      </w:pPr>
      <w:r w:rsidRPr="003E56B0">
        <w:rPr>
          <w:rFonts w:ascii="Arial" w:eastAsia="Calibri" w:hAnsi="Arial" w:cs="Arial"/>
          <w:sz w:val="20"/>
          <w:szCs w:val="20"/>
        </w:rPr>
        <w:t>[…]</w:t>
      </w:r>
    </w:p>
    <w:p w14:paraId="435CC023" w14:textId="77777777" w:rsidR="003E56B0" w:rsidRPr="003E56B0" w:rsidRDefault="003E56B0" w:rsidP="003E56B0">
      <w:pPr>
        <w:jc w:val="both"/>
        <w:rPr>
          <w:rFonts w:ascii="Arial" w:eastAsia="Calibri" w:hAnsi="Arial" w:cs="Arial"/>
          <w:bCs/>
          <w:sz w:val="20"/>
          <w:szCs w:val="20"/>
        </w:rPr>
      </w:pPr>
      <w:r w:rsidRPr="003E56B0">
        <w:rPr>
          <w:rFonts w:ascii="Arial" w:eastAsia="Calibri" w:hAnsi="Arial" w:cs="Arial"/>
          <w:bCs/>
          <w:sz w:val="20"/>
          <w:szCs w:val="20"/>
        </w:rPr>
        <w:t xml:space="preserve">Ahora bien, la relación entre estas dos (2) fuentes del derecho es totalmente diferente en la </w:t>
      </w:r>
      <w:r w:rsidRPr="003E56B0">
        <w:rPr>
          <w:rFonts w:ascii="Arial" w:eastAsia="Calibri" w:hAnsi="Arial" w:cs="Arial"/>
          <w:bCs/>
          <w:i/>
          <w:iCs/>
          <w:sz w:val="20"/>
          <w:szCs w:val="20"/>
        </w:rPr>
        <w:t>tesis de la reglamentación</w:t>
      </w:r>
      <w:r w:rsidRPr="003E56B0">
        <w:rPr>
          <w:rFonts w:ascii="Arial" w:eastAsia="Calibri" w:hAnsi="Arial" w:cs="Arial"/>
          <w:bCs/>
          <w:sz w:val="20"/>
          <w:szCs w:val="20"/>
        </w:rPr>
        <w:t>. Para estos efectos, si bien el Congreso de la República conserva la cláusula general de competencia normativa para la expedición de las leyes, sujeta su aplicación a una norma de menor jerarquía que regule aspectos de detalle, por lo que exige la expedición del decreto reglamentario correspondiente […].</w:t>
      </w:r>
    </w:p>
    <w:p w14:paraId="5843C466" w14:textId="77777777" w:rsidR="003E56B0" w:rsidRPr="003E56B0" w:rsidRDefault="003E56B0" w:rsidP="003E56B0">
      <w:pPr>
        <w:jc w:val="both"/>
        <w:rPr>
          <w:rFonts w:ascii="Arial" w:eastAsia="Calibri" w:hAnsi="Arial" w:cs="Arial"/>
          <w:sz w:val="20"/>
          <w:szCs w:val="20"/>
        </w:rPr>
      </w:pPr>
    </w:p>
    <w:p w14:paraId="3AD2540C" w14:textId="77777777" w:rsidR="003E56B0" w:rsidRPr="003E56B0" w:rsidRDefault="003E56B0" w:rsidP="003E56B0">
      <w:pPr>
        <w:jc w:val="both"/>
        <w:rPr>
          <w:rFonts w:ascii="Arial" w:eastAsia="Calibri" w:hAnsi="Arial" w:cs="Arial"/>
          <w:b/>
          <w:sz w:val="22"/>
        </w:rPr>
      </w:pPr>
      <w:r w:rsidRPr="003E56B0">
        <w:rPr>
          <w:rFonts w:ascii="Arial" w:eastAsia="Calibri" w:hAnsi="Arial" w:cs="Arial"/>
          <w:b/>
          <w:sz w:val="22"/>
        </w:rPr>
        <w:t>REGLAMENTACIÓN PREVIA – Ley 2069 de 2020</w:t>
      </w:r>
    </w:p>
    <w:p w14:paraId="31EF25C7" w14:textId="77777777" w:rsidR="003E56B0" w:rsidRPr="003E56B0" w:rsidRDefault="003E56B0" w:rsidP="003E56B0">
      <w:pPr>
        <w:jc w:val="both"/>
        <w:rPr>
          <w:rFonts w:ascii="Arial" w:eastAsia="Calibri" w:hAnsi="Arial" w:cs="Arial"/>
          <w:b/>
          <w:sz w:val="20"/>
          <w:szCs w:val="20"/>
        </w:rPr>
      </w:pPr>
    </w:p>
    <w:p w14:paraId="3E891FD4" w14:textId="77777777" w:rsidR="003E56B0" w:rsidRPr="003E56B0" w:rsidRDefault="003E56B0" w:rsidP="003E56B0">
      <w:pPr>
        <w:jc w:val="both"/>
        <w:rPr>
          <w:rFonts w:ascii="Arial" w:eastAsia="Calibri" w:hAnsi="Arial" w:cs="Arial"/>
          <w:bCs/>
          <w:sz w:val="20"/>
          <w:szCs w:val="20"/>
          <w:lang w:val="es-ES"/>
        </w:rPr>
      </w:pPr>
      <w:r w:rsidRPr="003E56B0">
        <w:rPr>
          <w:rFonts w:ascii="Arial" w:eastAsia="Calibri" w:hAnsi="Arial" w:cs="Arial"/>
          <w:bCs/>
          <w:sz w:val="20"/>
          <w:szCs w:val="20"/>
          <w:lang w:val="es-ES"/>
        </w:rPr>
        <w:t xml:space="preserve">La referencia hecha en una ley a que el Gobierno Nacional reglamentará la materia es un reconocimiento de que el reglamento es indispensable para el cumplimiento de </w:t>
      </w:r>
      <w:proofErr w:type="gramStart"/>
      <w:r w:rsidRPr="003E56B0">
        <w:rPr>
          <w:rFonts w:ascii="Arial" w:eastAsia="Calibri" w:hAnsi="Arial" w:cs="Arial"/>
          <w:bCs/>
          <w:sz w:val="20"/>
          <w:szCs w:val="20"/>
          <w:lang w:val="es-ES"/>
        </w:rPr>
        <w:t>la misma</w:t>
      </w:r>
      <w:proofErr w:type="gramEnd"/>
      <w:r w:rsidRPr="003E56B0">
        <w:rPr>
          <w:rFonts w:ascii="Arial" w:eastAsia="Calibri" w:hAnsi="Arial" w:cs="Arial"/>
          <w:bCs/>
          <w:sz w:val="20"/>
          <w:szCs w:val="20"/>
          <w:lang w:val="es-ES"/>
        </w:rPr>
        <w:t xml:space="preserve">. Naturalmente, este reconocimiento no siempre implica que la ley está sometida a condición para </w:t>
      </w:r>
      <w:proofErr w:type="gramStart"/>
      <w:r w:rsidRPr="003E56B0">
        <w:rPr>
          <w:rFonts w:ascii="Arial" w:eastAsia="Calibri" w:hAnsi="Arial" w:cs="Arial"/>
          <w:bCs/>
          <w:sz w:val="20"/>
          <w:szCs w:val="20"/>
          <w:lang w:val="es-ES"/>
        </w:rPr>
        <w:t>entrar en vigencia</w:t>
      </w:r>
      <w:proofErr w:type="gramEnd"/>
      <w:r w:rsidRPr="003E56B0">
        <w:rPr>
          <w:rFonts w:ascii="Arial" w:eastAsia="Calibri" w:hAnsi="Arial" w:cs="Arial"/>
          <w:bCs/>
          <w:sz w:val="20"/>
          <w:szCs w:val="20"/>
          <w:lang w:val="es-ES"/>
        </w:rPr>
        <w:t>; pero cuando ello se analiza con otros elementos que obran en este sentido, como los antecedentes legislativos, es posible utilizar la referencia al reglamento como una prueba de que la ley moduló sus efectos en el tiempo y se encuentra sometida a condición.</w:t>
      </w:r>
    </w:p>
    <w:p w14:paraId="2D96EE5E" w14:textId="77777777" w:rsidR="003E56B0" w:rsidRPr="003E56B0" w:rsidRDefault="003E56B0" w:rsidP="003E56B0">
      <w:pPr>
        <w:spacing w:after="120"/>
        <w:jc w:val="both"/>
        <w:rPr>
          <w:rFonts w:ascii="Arial" w:eastAsia="Calibri" w:hAnsi="Arial" w:cs="Arial"/>
          <w:bCs/>
          <w:sz w:val="20"/>
          <w:szCs w:val="20"/>
          <w:lang w:val="es-ES"/>
        </w:rPr>
      </w:pPr>
      <w:r w:rsidRPr="003E56B0">
        <w:rPr>
          <w:rFonts w:ascii="Arial" w:eastAsia="Calibri" w:hAnsi="Arial" w:cs="Arial"/>
          <w:bCs/>
          <w:sz w:val="20"/>
          <w:szCs w:val="20"/>
          <w:lang w:val="es-ES"/>
        </w:rPr>
        <w:t>[…]</w:t>
      </w:r>
    </w:p>
    <w:p w14:paraId="12436AA3" w14:textId="77777777" w:rsidR="003E56B0" w:rsidRPr="003E56B0" w:rsidRDefault="003E56B0" w:rsidP="003E56B0">
      <w:pPr>
        <w:spacing w:after="120"/>
        <w:jc w:val="both"/>
        <w:rPr>
          <w:rFonts w:ascii="Arial" w:eastAsia="Calibri" w:hAnsi="Arial" w:cs="Arial"/>
          <w:bCs/>
          <w:sz w:val="20"/>
          <w:szCs w:val="20"/>
          <w:lang w:val="es-ES"/>
        </w:rPr>
      </w:pPr>
      <w:r w:rsidRPr="003E56B0">
        <w:rPr>
          <w:rFonts w:ascii="Arial" w:eastAsia="Calibri" w:hAnsi="Arial" w:cs="Arial"/>
          <w:bCs/>
          <w:sz w:val="20"/>
          <w:szCs w:val="20"/>
          <w:lang w:val="es-ES"/>
        </w:rPr>
        <w:t xml:space="preserve">[…] </w:t>
      </w:r>
      <w:r w:rsidRPr="003E56B0">
        <w:rPr>
          <w:rFonts w:ascii="Arial" w:eastAsia="Calibri" w:hAnsi="Arial" w:cs="Arial"/>
          <w:bCs/>
          <w:sz w:val="20"/>
          <w:szCs w:val="20"/>
        </w:rPr>
        <w:t xml:space="preserve">en los artículos 31, 32, 34 y 36, el Congreso de la República reconoce la necesidad de un reglamento para el efectivo cumplimiento de la Ley 2069 de 2020, lo que demuestra, para el caso concreto, una vigencia sometida a condición para los temas regulados en estas normas. Esta conclusión se ajusta no solo a los antecedentes del proyecto de ley, sino también a la necesidad de claridad que debe introducir el reglamento en relación con i) los criterios diferenciales para </w:t>
      </w:r>
      <w:proofErr w:type="spellStart"/>
      <w:r w:rsidRPr="003E56B0">
        <w:rPr>
          <w:rFonts w:ascii="Arial" w:eastAsia="Calibri" w:hAnsi="Arial" w:cs="Arial"/>
          <w:bCs/>
          <w:sz w:val="20"/>
          <w:szCs w:val="20"/>
        </w:rPr>
        <w:t>mipymes</w:t>
      </w:r>
      <w:proofErr w:type="spellEnd"/>
      <w:r w:rsidRPr="003E56B0">
        <w:rPr>
          <w:rFonts w:ascii="Arial" w:eastAsia="Calibri" w:hAnsi="Arial" w:cs="Arial"/>
          <w:bCs/>
          <w:sz w:val="20"/>
          <w:szCs w:val="20"/>
        </w:rPr>
        <w:t xml:space="preserve">, </w:t>
      </w:r>
      <w:proofErr w:type="spellStart"/>
      <w:r w:rsidRPr="003E56B0">
        <w:rPr>
          <w:rFonts w:ascii="Arial" w:eastAsia="Calibri" w:hAnsi="Arial" w:cs="Arial"/>
          <w:bCs/>
          <w:sz w:val="20"/>
          <w:szCs w:val="20"/>
        </w:rPr>
        <w:t>ii</w:t>
      </w:r>
      <w:proofErr w:type="spellEnd"/>
      <w:r w:rsidRPr="003E56B0">
        <w:rPr>
          <w:rFonts w:ascii="Arial" w:eastAsia="Calibri" w:hAnsi="Arial" w:cs="Arial"/>
          <w:bCs/>
          <w:sz w:val="20"/>
          <w:szCs w:val="20"/>
        </w:rPr>
        <w:t xml:space="preserve">) la definición de «emprendimientos y empresas de mujeres», </w:t>
      </w:r>
      <w:proofErr w:type="spellStart"/>
      <w:r w:rsidRPr="003E56B0">
        <w:rPr>
          <w:rFonts w:ascii="Arial" w:eastAsia="Calibri" w:hAnsi="Arial" w:cs="Arial"/>
          <w:bCs/>
          <w:sz w:val="20"/>
          <w:szCs w:val="20"/>
        </w:rPr>
        <w:t>iii</w:t>
      </w:r>
      <w:proofErr w:type="spellEnd"/>
      <w:r w:rsidRPr="003E56B0">
        <w:rPr>
          <w:rFonts w:ascii="Arial" w:eastAsia="Calibri" w:hAnsi="Arial" w:cs="Arial"/>
          <w:bCs/>
          <w:sz w:val="20"/>
          <w:szCs w:val="20"/>
        </w:rPr>
        <w:t xml:space="preserve">) las convocatorias limitadas a </w:t>
      </w:r>
      <w:proofErr w:type="spellStart"/>
      <w:r w:rsidRPr="003E56B0">
        <w:rPr>
          <w:rFonts w:ascii="Arial" w:eastAsia="Calibri" w:hAnsi="Arial" w:cs="Arial"/>
          <w:bCs/>
          <w:sz w:val="20"/>
          <w:szCs w:val="20"/>
        </w:rPr>
        <w:t>mipymes</w:t>
      </w:r>
      <w:proofErr w:type="spellEnd"/>
      <w:r w:rsidRPr="003E56B0">
        <w:rPr>
          <w:rFonts w:ascii="Arial" w:eastAsia="Calibri" w:hAnsi="Arial" w:cs="Arial"/>
          <w:bCs/>
          <w:sz w:val="20"/>
          <w:szCs w:val="20"/>
        </w:rPr>
        <w:t xml:space="preserve"> y el fomento en la ejecución de los contratos estatales por parte de sujetos de especial protección, así como </w:t>
      </w:r>
      <w:proofErr w:type="spellStart"/>
      <w:r w:rsidRPr="003E56B0">
        <w:rPr>
          <w:rFonts w:ascii="Arial" w:eastAsia="Calibri" w:hAnsi="Arial" w:cs="Arial"/>
          <w:bCs/>
          <w:sz w:val="20"/>
          <w:szCs w:val="20"/>
        </w:rPr>
        <w:t>iv</w:t>
      </w:r>
      <w:proofErr w:type="spellEnd"/>
      <w:r w:rsidRPr="003E56B0">
        <w:rPr>
          <w:rFonts w:ascii="Arial" w:eastAsia="Calibri" w:hAnsi="Arial" w:cs="Arial"/>
          <w:bCs/>
          <w:sz w:val="20"/>
          <w:szCs w:val="20"/>
        </w:rPr>
        <w:t>) la promoción de las compras públicas de tecnología e innovación</w:t>
      </w:r>
      <w:r w:rsidRPr="003E56B0">
        <w:rPr>
          <w:rFonts w:ascii="Arial" w:eastAsia="Calibri" w:hAnsi="Arial" w:cs="Arial"/>
          <w:bCs/>
          <w:sz w:val="20"/>
          <w:szCs w:val="20"/>
          <w:lang w:val="es-ES"/>
        </w:rPr>
        <w:t>.</w:t>
      </w:r>
    </w:p>
    <w:p w14:paraId="3F5EA490" w14:textId="77777777" w:rsidR="003E56B0" w:rsidRPr="003E56B0" w:rsidRDefault="003E56B0" w:rsidP="003E56B0">
      <w:pPr>
        <w:spacing w:after="160" w:line="259" w:lineRule="auto"/>
        <w:rPr>
          <w:rFonts w:ascii="Arial" w:eastAsia="Calibri" w:hAnsi="Arial" w:cs="Arial"/>
          <w:bCs/>
          <w:sz w:val="20"/>
          <w:szCs w:val="20"/>
          <w:lang w:val="es-ES"/>
        </w:rPr>
      </w:pPr>
      <w:r w:rsidRPr="003E56B0">
        <w:rPr>
          <w:rFonts w:ascii="Arial" w:eastAsia="Calibri" w:hAnsi="Arial" w:cs="Arial"/>
          <w:bCs/>
          <w:sz w:val="20"/>
          <w:szCs w:val="20"/>
          <w:lang w:val="es-ES"/>
        </w:rPr>
        <w:br w:type="page"/>
      </w:r>
    </w:p>
    <w:p w14:paraId="5033CD0B" w14:textId="6E4E0678" w:rsidR="006D58F2" w:rsidRPr="003E56B0" w:rsidRDefault="006D58F2" w:rsidP="00B95C30">
      <w:pPr>
        <w:spacing w:line="276" w:lineRule="auto"/>
        <w:jc w:val="both"/>
        <w:rPr>
          <w:rFonts w:ascii="Arial" w:hAnsi="Arial" w:cs="Arial"/>
          <w:noProof/>
          <w:sz w:val="22"/>
          <w:lang w:val="es-ES_tradnl"/>
        </w:rPr>
      </w:pPr>
    </w:p>
    <w:p w14:paraId="17CAB7E0" w14:textId="7D55FC49" w:rsidR="00E5017C" w:rsidRDefault="00E5017C" w:rsidP="006B309E">
      <w:pPr>
        <w:rPr>
          <w:rFonts w:ascii="Arial" w:hAnsi="Arial" w:cs="Arial"/>
          <w:bCs/>
          <w:sz w:val="22"/>
          <w:lang w:val="es-ES_tradnl"/>
        </w:rPr>
      </w:pPr>
      <w:r>
        <w:rPr>
          <w:rFonts w:ascii="Arial" w:hAnsi="Arial" w:cs="Arial"/>
          <w:bCs/>
          <w:sz w:val="22"/>
          <w:lang w:val="es-ES_tradnl"/>
        </w:rPr>
        <w:t xml:space="preserve">                                                               </w:t>
      </w:r>
      <w:r w:rsidRPr="00E5017C">
        <w:rPr>
          <w:rFonts w:ascii="Arial" w:hAnsi="Arial" w:cs="Arial"/>
          <w:b/>
          <w:sz w:val="22"/>
          <w:lang w:val="es-ES_tradnl"/>
        </w:rPr>
        <w:drawing>
          <wp:inline distT="0" distB="0" distL="0" distR="0" wp14:anchorId="22959259" wp14:editId="5F1C14DB">
            <wp:extent cx="3077004" cy="866896"/>
            <wp:effectExtent l="0" t="0" r="9525" b="9525"/>
            <wp:docPr id="1"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Texto&#10;&#10;Descripción generada automáticamente"/>
                    <pic:cNvPicPr/>
                  </pic:nvPicPr>
                  <pic:blipFill>
                    <a:blip r:embed="rId11"/>
                    <a:stretch>
                      <a:fillRect/>
                    </a:stretch>
                  </pic:blipFill>
                  <pic:spPr>
                    <a:xfrm>
                      <a:off x="0" y="0"/>
                      <a:ext cx="3077004" cy="866896"/>
                    </a:xfrm>
                    <a:prstGeom prst="rect">
                      <a:avLst/>
                    </a:prstGeom>
                  </pic:spPr>
                </pic:pic>
              </a:graphicData>
            </a:graphic>
          </wp:inline>
        </w:drawing>
      </w:r>
    </w:p>
    <w:p w14:paraId="2204A9CA" w14:textId="5358FC0F" w:rsidR="006B309E" w:rsidRPr="00B14771" w:rsidRDefault="00B14771" w:rsidP="006B309E">
      <w:pPr>
        <w:rPr>
          <w:rFonts w:ascii="Arial" w:hAnsi="Arial" w:cs="Arial"/>
          <w:bCs/>
          <w:sz w:val="22"/>
          <w:lang w:val="es-ES_tradnl"/>
        </w:rPr>
      </w:pPr>
      <w:r w:rsidRPr="00B14771">
        <w:rPr>
          <w:rFonts w:ascii="Arial" w:hAnsi="Arial" w:cs="Arial"/>
          <w:bCs/>
          <w:sz w:val="22"/>
          <w:lang w:val="es-ES_tradnl"/>
        </w:rPr>
        <w:t xml:space="preserve">Bogotá, 13 </w:t>
      </w:r>
      <w:proofErr w:type="gramStart"/>
      <w:r w:rsidRPr="00B14771">
        <w:rPr>
          <w:rFonts w:ascii="Arial" w:hAnsi="Arial" w:cs="Arial"/>
          <w:bCs/>
          <w:sz w:val="22"/>
          <w:lang w:val="es-ES_tradnl"/>
        </w:rPr>
        <w:t>Abril</w:t>
      </w:r>
      <w:proofErr w:type="gramEnd"/>
      <w:r w:rsidRPr="00B14771">
        <w:rPr>
          <w:rFonts w:ascii="Arial" w:hAnsi="Arial" w:cs="Arial"/>
          <w:bCs/>
          <w:sz w:val="22"/>
          <w:lang w:val="es-ES_tradnl"/>
        </w:rPr>
        <w:t xml:space="preserve"> 2021</w:t>
      </w:r>
      <w:r w:rsidRPr="00B14771">
        <w:rPr>
          <w:rFonts w:ascii="Arial" w:hAnsi="Arial" w:cs="Arial"/>
          <w:bCs/>
          <w:sz w:val="22"/>
          <w:lang w:val="es-ES_tradnl"/>
        </w:rPr>
        <w:cr/>
      </w:r>
    </w:p>
    <w:p w14:paraId="2DDDC5E9" w14:textId="6A5D6AFD" w:rsidR="006B309E" w:rsidRDefault="006B309E" w:rsidP="00B95C30">
      <w:pPr>
        <w:jc w:val="both"/>
        <w:rPr>
          <w:rFonts w:ascii="Arial" w:hAnsi="Arial" w:cs="Arial"/>
          <w:b/>
          <w:sz w:val="22"/>
          <w:lang w:val="es-ES_tradnl"/>
        </w:rPr>
      </w:pPr>
    </w:p>
    <w:p w14:paraId="3824933D" w14:textId="77777777" w:rsidR="006B309E" w:rsidRPr="003E56B0" w:rsidRDefault="006B309E" w:rsidP="00B95C30">
      <w:pPr>
        <w:jc w:val="both"/>
        <w:rPr>
          <w:rFonts w:ascii="Arial" w:hAnsi="Arial" w:cs="Arial"/>
          <w:b/>
          <w:sz w:val="22"/>
          <w:lang w:val="es-ES_tradnl"/>
        </w:rPr>
      </w:pPr>
    </w:p>
    <w:p w14:paraId="5F5AE9EF" w14:textId="320CBD2F" w:rsidR="00B95C30" w:rsidRPr="003E56B0" w:rsidRDefault="00681DD7" w:rsidP="00B95C30">
      <w:pPr>
        <w:jc w:val="both"/>
        <w:rPr>
          <w:rFonts w:ascii="Arial" w:eastAsia="Calibri" w:hAnsi="Arial" w:cs="Arial"/>
          <w:sz w:val="22"/>
          <w:lang w:val="es-ES_tradnl"/>
        </w:rPr>
      </w:pPr>
      <w:bookmarkStart w:id="2" w:name="_Hlk69225501"/>
      <w:r>
        <w:rPr>
          <w:rFonts w:ascii="Arial" w:eastAsia="Calibri" w:hAnsi="Arial" w:cs="Arial"/>
          <w:sz w:val="22"/>
          <w:lang w:val="es-ES_tradnl"/>
        </w:rPr>
        <w:t>S</w:t>
      </w:r>
      <w:r w:rsidR="00BE4FBF" w:rsidRPr="003E56B0">
        <w:rPr>
          <w:rFonts w:ascii="Arial" w:eastAsia="Calibri" w:hAnsi="Arial" w:cs="Arial"/>
          <w:sz w:val="22"/>
          <w:lang w:val="es-ES_tradnl"/>
        </w:rPr>
        <w:t>eñor</w:t>
      </w:r>
      <w:r w:rsidR="00D871DB" w:rsidRPr="003E56B0">
        <w:rPr>
          <w:rFonts w:ascii="Arial" w:eastAsia="Calibri" w:hAnsi="Arial" w:cs="Arial"/>
          <w:sz w:val="22"/>
          <w:lang w:val="es-ES_tradnl"/>
        </w:rPr>
        <w:t>a</w:t>
      </w:r>
    </w:p>
    <w:p w14:paraId="25E07D24" w14:textId="1C9D200B" w:rsidR="00D871DB" w:rsidRPr="003E56B0" w:rsidRDefault="00D871DB" w:rsidP="00B95C30">
      <w:pPr>
        <w:jc w:val="both"/>
        <w:rPr>
          <w:rFonts w:ascii="Arial" w:eastAsia="Calibri" w:hAnsi="Arial" w:cs="Arial"/>
          <w:b/>
          <w:sz w:val="22"/>
          <w:lang w:val="es-ES_tradnl"/>
        </w:rPr>
      </w:pPr>
      <w:proofErr w:type="spellStart"/>
      <w:r w:rsidRPr="003E56B0">
        <w:rPr>
          <w:rFonts w:ascii="Arial" w:eastAsia="Calibri" w:hAnsi="Arial" w:cs="Arial"/>
          <w:b/>
          <w:sz w:val="22"/>
          <w:lang w:val="es-ES_tradnl"/>
        </w:rPr>
        <w:t>Erlendy</w:t>
      </w:r>
      <w:proofErr w:type="spellEnd"/>
      <w:r w:rsidRPr="003E56B0">
        <w:rPr>
          <w:rFonts w:ascii="Arial" w:eastAsia="Calibri" w:hAnsi="Arial" w:cs="Arial"/>
          <w:b/>
          <w:sz w:val="22"/>
          <w:lang w:val="es-ES_tradnl"/>
        </w:rPr>
        <w:t xml:space="preserve"> </w:t>
      </w:r>
      <w:proofErr w:type="spellStart"/>
      <w:r w:rsidRPr="003E56B0">
        <w:rPr>
          <w:rFonts w:ascii="Arial" w:eastAsia="Calibri" w:hAnsi="Arial" w:cs="Arial"/>
          <w:b/>
          <w:sz w:val="22"/>
          <w:lang w:val="es-ES_tradnl"/>
        </w:rPr>
        <w:t>Monserrath</w:t>
      </w:r>
      <w:proofErr w:type="spellEnd"/>
      <w:r w:rsidRPr="003E56B0">
        <w:rPr>
          <w:rFonts w:ascii="Arial" w:eastAsia="Calibri" w:hAnsi="Arial" w:cs="Arial"/>
          <w:b/>
          <w:sz w:val="22"/>
          <w:lang w:val="es-ES_tradnl"/>
        </w:rPr>
        <w:t xml:space="preserve"> Riveros Sierra</w:t>
      </w:r>
    </w:p>
    <w:p w14:paraId="09D4AEA8" w14:textId="3601F5DC" w:rsidR="00B95C30" w:rsidRPr="003E56B0" w:rsidRDefault="00106D55" w:rsidP="00B95C30">
      <w:pPr>
        <w:jc w:val="both"/>
        <w:rPr>
          <w:rFonts w:ascii="Arial" w:eastAsia="Calibri" w:hAnsi="Arial" w:cs="Arial"/>
          <w:sz w:val="22"/>
          <w:lang w:val="es-ES_tradnl"/>
        </w:rPr>
      </w:pPr>
      <w:r w:rsidRPr="003E56B0">
        <w:rPr>
          <w:rFonts w:ascii="Arial" w:eastAsia="Calibri" w:hAnsi="Arial" w:cs="Arial"/>
          <w:sz w:val="22"/>
          <w:lang w:val="es-ES_tradnl"/>
        </w:rPr>
        <w:t xml:space="preserve">Circasia, Quindío </w:t>
      </w:r>
    </w:p>
    <w:p w14:paraId="3B584A57" w14:textId="4528CA3D" w:rsidR="00F53F4F" w:rsidRPr="003E56B0" w:rsidRDefault="00F53F4F" w:rsidP="00B95C30">
      <w:pPr>
        <w:jc w:val="both"/>
        <w:rPr>
          <w:rFonts w:ascii="Arial" w:eastAsia="Calibri" w:hAnsi="Arial" w:cs="Arial"/>
          <w:sz w:val="22"/>
          <w:lang w:val="es-ES_tradnl"/>
        </w:rPr>
      </w:pPr>
    </w:p>
    <w:p w14:paraId="48E36FCF" w14:textId="77777777" w:rsidR="00F53F4F" w:rsidRPr="003E56B0" w:rsidRDefault="00F53F4F" w:rsidP="00B95C30">
      <w:pPr>
        <w:jc w:val="both"/>
        <w:rPr>
          <w:rFonts w:ascii="Arial" w:eastAsia="Calibri" w:hAnsi="Arial" w:cs="Arial"/>
          <w:sz w:val="22"/>
          <w:lang w:val="es-ES_tradnl"/>
        </w:rPr>
      </w:pPr>
    </w:p>
    <w:p w14:paraId="12E66182" w14:textId="545CB1E0" w:rsidR="00B95C30" w:rsidRPr="003E56B0" w:rsidRDefault="00F53F4F" w:rsidP="001D6CD2">
      <w:pPr>
        <w:rPr>
          <w:rFonts w:ascii="Arial" w:eastAsia="Calibri" w:hAnsi="Arial" w:cs="Arial"/>
          <w:b/>
          <w:bCs/>
          <w:sz w:val="22"/>
          <w:lang w:val="es-ES_tradnl"/>
        </w:rPr>
      </w:pPr>
      <w:r w:rsidRPr="003E56B0">
        <w:rPr>
          <w:rFonts w:ascii="Arial" w:eastAsia="Calibri" w:hAnsi="Arial" w:cs="Arial"/>
          <w:b/>
          <w:bCs/>
          <w:sz w:val="22"/>
          <w:lang w:val="es-ES_tradnl"/>
        </w:rPr>
        <w:t xml:space="preserve">                                            </w:t>
      </w:r>
      <w:r w:rsidR="00B95C30" w:rsidRPr="003E56B0">
        <w:rPr>
          <w:rFonts w:ascii="Arial" w:eastAsia="Calibri" w:hAnsi="Arial" w:cs="Arial"/>
          <w:b/>
          <w:bCs/>
          <w:sz w:val="22"/>
          <w:lang w:val="es-ES_tradnl"/>
        </w:rPr>
        <w:t xml:space="preserve">Concepto C ‒ </w:t>
      </w:r>
      <w:r w:rsidR="00BD732C" w:rsidRPr="003E56B0">
        <w:rPr>
          <w:rFonts w:ascii="Arial" w:eastAsia="Calibri" w:hAnsi="Arial" w:cs="Arial"/>
          <w:b/>
          <w:bCs/>
          <w:sz w:val="22"/>
          <w:lang w:val="es-ES_tradnl"/>
        </w:rPr>
        <w:t>114</w:t>
      </w:r>
      <w:r w:rsidR="00B95C30" w:rsidRPr="003E56B0">
        <w:rPr>
          <w:rFonts w:ascii="Arial" w:eastAsia="Calibri" w:hAnsi="Arial" w:cs="Arial"/>
          <w:b/>
          <w:bCs/>
          <w:sz w:val="22"/>
          <w:lang w:val="es-ES_tradnl"/>
        </w:rPr>
        <w:t xml:space="preserve"> de 202</w:t>
      </w:r>
      <w:r w:rsidR="005E781C" w:rsidRPr="003E56B0">
        <w:rPr>
          <w:rFonts w:ascii="Arial" w:eastAsia="Calibri" w:hAnsi="Arial" w:cs="Arial"/>
          <w:b/>
          <w:bCs/>
          <w:sz w:val="22"/>
          <w:lang w:val="es-ES_tradnl"/>
        </w:rPr>
        <w:t>1</w:t>
      </w:r>
    </w:p>
    <w:p w14:paraId="1BD594F9" w14:textId="77777777" w:rsidR="00B95C30" w:rsidRPr="003E56B0" w:rsidRDefault="00B95C30" w:rsidP="00B95C30">
      <w:pPr>
        <w:jc w:val="both"/>
        <w:rPr>
          <w:rFonts w:ascii="Arial" w:eastAsia="Calibri" w:hAnsi="Arial" w:cs="Arial"/>
          <w:sz w:val="22"/>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3E56B0" w:rsidRPr="003E56B0" w14:paraId="19DFC051" w14:textId="77777777" w:rsidTr="008F4163">
        <w:tc>
          <w:tcPr>
            <w:tcW w:w="2689" w:type="dxa"/>
          </w:tcPr>
          <w:p w14:paraId="6BC0D1AC" w14:textId="77777777" w:rsidR="00B95C30" w:rsidRPr="003E56B0" w:rsidRDefault="00B95C30" w:rsidP="008F4163">
            <w:pPr>
              <w:jc w:val="both"/>
              <w:rPr>
                <w:rFonts w:ascii="Arial" w:eastAsia="Calibri" w:hAnsi="Arial" w:cs="Arial"/>
                <w:sz w:val="22"/>
                <w:lang w:val="es-ES_tradnl"/>
              </w:rPr>
            </w:pPr>
            <w:r w:rsidRPr="003E56B0">
              <w:rPr>
                <w:rFonts w:ascii="Arial" w:eastAsia="Calibri" w:hAnsi="Arial" w:cs="Arial"/>
                <w:b/>
                <w:sz w:val="22"/>
                <w:lang w:val="es-ES_tradnl"/>
              </w:rPr>
              <w:t>Temas:</w:t>
            </w:r>
            <w:r w:rsidRPr="003E56B0">
              <w:rPr>
                <w:rFonts w:ascii="Arial" w:eastAsia="Calibri" w:hAnsi="Arial" w:cs="Arial"/>
                <w:sz w:val="22"/>
                <w:lang w:val="es-ES_tradnl"/>
              </w:rPr>
              <w:t xml:space="preserve">                                      </w:t>
            </w:r>
          </w:p>
        </w:tc>
        <w:tc>
          <w:tcPr>
            <w:tcW w:w="6237" w:type="dxa"/>
          </w:tcPr>
          <w:p w14:paraId="5F389CAF" w14:textId="4C318CB5" w:rsidR="00B95C30" w:rsidRPr="003E56B0" w:rsidRDefault="003E56B0" w:rsidP="008F4163">
            <w:pPr>
              <w:jc w:val="both"/>
              <w:rPr>
                <w:rFonts w:ascii="Arial" w:eastAsia="Calibri" w:hAnsi="Arial" w:cs="Arial"/>
                <w:sz w:val="22"/>
                <w:lang w:val="es-ES_tradnl"/>
              </w:rPr>
            </w:pPr>
            <w:r w:rsidRPr="003E56B0">
              <w:rPr>
                <w:rFonts w:ascii="Arial" w:eastAsia="Calibri" w:hAnsi="Arial" w:cs="Arial"/>
                <w:bCs/>
                <w:sz w:val="22"/>
                <w:lang w:val="es-ES_tradnl"/>
              </w:rPr>
              <w:t>LEY DE EMPRENDIMIENTO – Finalidad / RELACIÓN ENTRE LA LEY Y EL REGLAMENTO – Tesis de la aplicación directa – Tesis de la reglamentación – Diferencias / REGLAMENTACIÓN PREVIA – Ley 2069 de 2020</w:t>
            </w:r>
          </w:p>
        </w:tc>
      </w:tr>
      <w:tr w:rsidR="00B95C30" w:rsidRPr="003E56B0" w14:paraId="27CD52AB" w14:textId="77777777" w:rsidTr="008F4163">
        <w:tc>
          <w:tcPr>
            <w:tcW w:w="2689" w:type="dxa"/>
          </w:tcPr>
          <w:p w14:paraId="37E195A1" w14:textId="1BA218D5" w:rsidR="00B95C30" w:rsidRPr="003E56B0" w:rsidRDefault="00B95C30" w:rsidP="008F4163">
            <w:pPr>
              <w:spacing w:before="120"/>
              <w:jc w:val="both"/>
              <w:rPr>
                <w:rFonts w:ascii="Arial" w:eastAsia="Calibri" w:hAnsi="Arial" w:cs="Arial"/>
                <w:b/>
                <w:sz w:val="22"/>
                <w:lang w:val="es-ES_tradnl"/>
              </w:rPr>
            </w:pPr>
            <w:r w:rsidRPr="003E56B0">
              <w:rPr>
                <w:rFonts w:ascii="Arial" w:eastAsia="Calibri" w:hAnsi="Arial" w:cs="Arial"/>
                <w:b/>
                <w:sz w:val="22"/>
                <w:lang w:val="es-ES_tradnl"/>
              </w:rPr>
              <w:t>Radicación:</w:t>
            </w:r>
            <w:r w:rsidRPr="003E56B0">
              <w:rPr>
                <w:rFonts w:ascii="Arial" w:eastAsia="Calibri" w:hAnsi="Arial" w:cs="Arial"/>
                <w:sz w:val="22"/>
                <w:lang w:val="es-ES_tradnl"/>
              </w:rPr>
              <w:t xml:space="preserve">                              </w:t>
            </w:r>
          </w:p>
        </w:tc>
        <w:tc>
          <w:tcPr>
            <w:tcW w:w="6237" w:type="dxa"/>
          </w:tcPr>
          <w:p w14:paraId="09088B1B" w14:textId="5A65722B" w:rsidR="00B95C30" w:rsidRPr="003E56B0" w:rsidRDefault="00B95C30" w:rsidP="008F4163">
            <w:pPr>
              <w:spacing w:before="120"/>
              <w:jc w:val="both"/>
              <w:rPr>
                <w:rFonts w:ascii="Arial" w:eastAsia="Calibri" w:hAnsi="Arial" w:cs="Arial"/>
                <w:sz w:val="22"/>
                <w:lang w:val="es-ES_tradnl"/>
              </w:rPr>
            </w:pPr>
            <w:r w:rsidRPr="003E56B0">
              <w:rPr>
                <w:rFonts w:ascii="Arial" w:eastAsia="Calibri" w:hAnsi="Arial" w:cs="Arial"/>
                <w:sz w:val="22"/>
                <w:lang w:val="es-ES_tradnl"/>
              </w:rPr>
              <w:t xml:space="preserve">Respuesta a consulta # </w:t>
            </w:r>
            <w:r w:rsidR="00051DE4" w:rsidRPr="003E56B0">
              <w:rPr>
                <w:rFonts w:ascii="Arial" w:eastAsia="Calibri" w:hAnsi="Arial" w:cs="Arial"/>
                <w:sz w:val="22"/>
                <w:lang w:val="es-ES_tradnl"/>
              </w:rPr>
              <w:t>P20210226001632</w:t>
            </w:r>
          </w:p>
        </w:tc>
      </w:tr>
    </w:tbl>
    <w:p w14:paraId="61B55CA4" w14:textId="77777777" w:rsidR="00716BB0" w:rsidRPr="003E56B0" w:rsidRDefault="00716BB0" w:rsidP="003C3339">
      <w:pPr>
        <w:jc w:val="both"/>
        <w:rPr>
          <w:rFonts w:ascii="Arial" w:eastAsia="Calibri" w:hAnsi="Arial" w:cs="Arial"/>
          <w:sz w:val="22"/>
          <w:lang w:val="es-ES_tradnl"/>
        </w:rPr>
      </w:pPr>
    </w:p>
    <w:p w14:paraId="4B9B5156" w14:textId="77777777" w:rsidR="00716BB0" w:rsidRPr="003E56B0" w:rsidRDefault="00716BB0" w:rsidP="003C3339">
      <w:pPr>
        <w:jc w:val="both"/>
        <w:rPr>
          <w:rFonts w:ascii="Arial" w:eastAsia="Calibri" w:hAnsi="Arial" w:cs="Arial"/>
          <w:sz w:val="22"/>
          <w:lang w:val="es-ES_tradnl"/>
        </w:rPr>
      </w:pPr>
    </w:p>
    <w:p w14:paraId="1CF4AEA0" w14:textId="615DF3BA" w:rsidR="003C3339" w:rsidRPr="003E56B0" w:rsidRDefault="003C3339" w:rsidP="003C3339">
      <w:pPr>
        <w:jc w:val="both"/>
        <w:rPr>
          <w:rFonts w:ascii="Arial" w:eastAsia="Calibri" w:hAnsi="Arial" w:cs="Arial"/>
          <w:sz w:val="22"/>
          <w:lang w:val="es-ES_tradnl"/>
        </w:rPr>
      </w:pPr>
      <w:r w:rsidRPr="003E56B0">
        <w:rPr>
          <w:rFonts w:ascii="Arial" w:eastAsia="Calibri" w:hAnsi="Arial" w:cs="Arial"/>
          <w:sz w:val="22"/>
          <w:lang w:val="es-ES_tradnl"/>
        </w:rPr>
        <w:t>Estimad</w:t>
      </w:r>
      <w:r w:rsidR="00BD732C" w:rsidRPr="003E56B0">
        <w:rPr>
          <w:rFonts w:ascii="Arial" w:eastAsia="Calibri" w:hAnsi="Arial" w:cs="Arial"/>
          <w:sz w:val="22"/>
          <w:lang w:val="es-ES_tradnl"/>
        </w:rPr>
        <w:t>a</w:t>
      </w:r>
      <w:r w:rsidRPr="003E56B0">
        <w:rPr>
          <w:rFonts w:ascii="Arial" w:eastAsia="Calibri" w:hAnsi="Arial" w:cs="Arial"/>
          <w:sz w:val="22"/>
          <w:lang w:val="es-ES_tradnl"/>
        </w:rPr>
        <w:t xml:space="preserve"> </w:t>
      </w:r>
      <w:r w:rsidR="0063732C" w:rsidRPr="003E56B0">
        <w:rPr>
          <w:rFonts w:ascii="Arial" w:eastAsia="Calibri" w:hAnsi="Arial" w:cs="Arial"/>
          <w:sz w:val="22"/>
          <w:lang w:val="es-ES_tradnl"/>
        </w:rPr>
        <w:t>señor</w:t>
      </w:r>
      <w:r w:rsidR="00BD732C" w:rsidRPr="003E56B0">
        <w:rPr>
          <w:rFonts w:ascii="Arial" w:eastAsia="Calibri" w:hAnsi="Arial" w:cs="Arial"/>
          <w:sz w:val="22"/>
          <w:lang w:val="es-ES_tradnl"/>
        </w:rPr>
        <w:t>a</w:t>
      </w:r>
      <w:r w:rsidR="00BE4FBF" w:rsidRPr="003E56B0">
        <w:rPr>
          <w:rFonts w:ascii="Arial" w:eastAsia="Calibri" w:hAnsi="Arial" w:cs="Arial"/>
          <w:sz w:val="22"/>
          <w:lang w:val="es-ES_tradnl"/>
        </w:rPr>
        <w:t xml:space="preserve"> </w:t>
      </w:r>
      <w:r w:rsidR="00BD732C" w:rsidRPr="003E56B0">
        <w:rPr>
          <w:rFonts w:ascii="Arial" w:eastAsia="Calibri" w:hAnsi="Arial" w:cs="Arial"/>
          <w:sz w:val="22"/>
          <w:lang w:val="es-ES_tradnl"/>
        </w:rPr>
        <w:t>Riveros</w:t>
      </w:r>
      <w:r w:rsidRPr="003E56B0">
        <w:rPr>
          <w:rFonts w:ascii="Arial" w:eastAsia="Calibri" w:hAnsi="Arial" w:cs="Arial"/>
          <w:sz w:val="22"/>
          <w:lang w:val="es-ES_tradnl"/>
        </w:rPr>
        <w:t>:</w:t>
      </w:r>
    </w:p>
    <w:p w14:paraId="1EAE5543" w14:textId="77777777" w:rsidR="00DD5B04" w:rsidRPr="003E56B0" w:rsidRDefault="00DD5B04" w:rsidP="00DF76A2">
      <w:pPr>
        <w:jc w:val="both"/>
        <w:rPr>
          <w:rFonts w:ascii="Arial" w:eastAsia="Calibri" w:hAnsi="Arial" w:cs="Arial"/>
          <w:sz w:val="22"/>
          <w:lang w:val="es-ES_tradnl"/>
        </w:rPr>
      </w:pPr>
    </w:p>
    <w:p w14:paraId="2109B2D3" w14:textId="052A9996" w:rsidR="00DD5B04" w:rsidRPr="000D6E20" w:rsidRDefault="00DD5B04" w:rsidP="00DF76A2">
      <w:pPr>
        <w:spacing w:line="276" w:lineRule="auto"/>
        <w:jc w:val="both"/>
        <w:rPr>
          <w:rFonts w:ascii="Arial" w:eastAsia="Calibri" w:hAnsi="Arial" w:cs="Arial"/>
          <w:sz w:val="22"/>
          <w:lang w:val="es-ES_tradnl"/>
        </w:rPr>
      </w:pPr>
      <w:r w:rsidRPr="000D6E20">
        <w:rPr>
          <w:rFonts w:ascii="Arial" w:eastAsia="Calibri" w:hAnsi="Arial" w:cs="Arial"/>
          <w:sz w:val="22"/>
          <w:lang w:val="es-ES_tradnl"/>
        </w:rPr>
        <w:t>En ejercicio de la competencia otorgada por el numeral 8 del artículo 11 y el numeral 5 del artículo 3 del Decreto Ley 4170 de 2011, la Agencia Nacional de Contratación Pública ― Colombia Compra Eficiente</w:t>
      </w:r>
      <w:r w:rsidR="008C3C57" w:rsidRPr="000D6E20">
        <w:rPr>
          <w:rFonts w:ascii="Arial" w:eastAsia="Calibri" w:hAnsi="Arial" w:cs="Arial"/>
          <w:sz w:val="22"/>
          <w:lang w:val="es-ES_tradnl"/>
        </w:rPr>
        <w:t xml:space="preserve"> </w:t>
      </w:r>
      <w:r w:rsidRPr="000D6E20">
        <w:rPr>
          <w:rFonts w:ascii="Arial" w:eastAsia="Calibri" w:hAnsi="Arial" w:cs="Arial"/>
          <w:sz w:val="22"/>
          <w:lang w:val="es-ES_tradnl"/>
        </w:rPr>
        <w:t xml:space="preserve">responde su consulta del </w:t>
      </w:r>
      <w:r w:rsidR="00051DE4" w:rsidRPr="000D6E20">
        <w:rPr>
          <w:rFonts w:ascii="Arial" w:eastAsia="Calibri" w:hAnsi="Arial" w:cs="Arial"/>
          <w:sz w:val="22"/>
          <w:lang w:val="es-ES_tradnl"/>
        </w:rPr>
        <w:t>26</w:t>
      </w:r>
      <w:r w:rsidR="00FD4AF3" w:rsidRPr="000D6E20">
        <w:rPr>
          <w:rFonts w:ascii="Arial" w:eastAsia="Calibri" w:hAnsi="Arial" w:cs="Arial"/>
          <w:sz w:val="22"/>
          <w:lang w:val="es-ES_tradnl"/>
        </w:rPr>
        <w:t xml:space="preserve"> de </w:t>
      </w:r>
      <w:r w:rsidR="009013B8" w:rsidRPr="000D6E20">
        <w:rPr>
          <w:rFonts w:ascii="Arial" w:eastAsia="Calibri" w:hAnsi="Arial" w:cs="Arial"/>
          <w:sz w:val="22"/>
          <w:lang w:val="es-ES_tradnl"/>
        </w:rPr>
        <w:t>febrero</w:t>
      </w:r>
      <w:r w:rsidRPr="000D6E20">
        <w:rPr>
          <w:rFonts w:ascii="Arial" w:eastAsia="Calibri" w:hAnsi="Arial" w:cs="Arial"/>
          <w:sz w:val="22"/>
          <w:lang w:val="es-ES_tradnl"/>
        </w:rPr>
        <w:t xml:space="preserve"> del</w:t>
      </w:r>
      <w:r w:rsidR="007E74BF" w:rsidRPr="000D6E20">
        <w:rPr>
          <w:rFonts w:ascii="Arial" w:eastAsia="Calibri" w:hAnsi="Arial" w:cs="Arial"/>
          <w:sz w:val="22"/>
          <w:lang w:val="es-ES_tradnl"/>
        </w:rPr>
        <w:t xml:space="preserve"> </w:t>
      </w:r>
      <w:r w:rsidRPr="000D6E20">
        <w:rPr>
          <w:rFonts w:ascii="Arial" w:eastAsia="Calibri" w:hAnsi="Arial" w:cs="Arial"/>
          <w:sz w:val="22"/>
          <w:lang w:val="es-ES_tradnl"/>
        </w:rPr>
        <w:t>202</w:t>
      </w:r>
      <w:r w:rsidR="00FB0880" w:rsidRPr="000D6E20">
        <w:rPr>
          <w:rFonts w:ascii="Arial" w:eastAsia="Calibri" w:hAnsi="Arial" w:cs="Arial"/>
          <w:sz w:val="22"/>
          <w:lang w:val="es-ES_tradnl"/>
        </w:rPr>
        <w:t>1</w:t>
      </w:r>
      <w:r w:rsidR="008C3C57" w:rsidRPr="000D6E20">
        <w:rPr>
          <w:rFonts w:ascii="Arial" w:eastAsia="Calibri" w:hAnsi="Arial" w:cs="Arial"/>
          <w:sz w:val="22"/>
          <w:lang w:val="es-ES_tradnl"/>
        </w:rPr>
        <w:t>.</w:t>
      </w:r>
      <w:r w:rsidR="009013B8" w:rsidRPr="000D6E20">
        <w:rPr>
          <w:rFonts w:ascii="Arial" w:eastAsia="Calibri" w:hAnsi="Arial" w:cs="Arial"/>
          <w:sz w:val="22"/>
          <w:lang w:val="es-ES_tradnl"/>
        </w:rPr>
        <w:t xml:space="preserve"> </w:t>
      </w:r>
    </w:p>
    <w:p w14:paraId="0C1E0712" w14:textId="77777777" w:rsidR="00DD5B04" w:rsidRPr="000D6E20" w:rsidRDefault="00DD5B04" w:rsidP="00FC2D17">
      <w:pPr>
        <w:jc w:val="both"/>
        <w:rPr>
          <w:rFonts w:ascii="Arial" w:eastAsia="Calibri" w:hAnsi="Arial" w:cs="Arial"/>
          <w:b/>
          <w:sz w:val="22"/>
          <w:lang w:val="es-ES_tradnl"/>
        </w:rPr>
      </w:pPr>
    </w:p>
    <w:p w14:paraId="7701FCC7" w14:textId="77777777" w:rsidR="00DD5B04" w:rsidRPr="000D6E20" w:rsidRDefault="00DD5B04" w:rsidP="00DF76A2">
      <w:pPr>
        <w:pStyle w:val="Prrafodelista"/>
        <w:numPr>
          <w:ilvl w:val="0"/>
          <w:numId w:val="8"/>
        </w:numPr>
        <w:tabs>
          <w:tab w:val="left" w:pos="0"/>
          <w:tab w:val="left" w:pos="142"/>
          <w:tab w:val="left" w:pos="284"/>
        </w:tabs>
        <w:spacing w:line="276" w:lineRule="auto"/>
        <w:ind w:left="0" w:firstLine="0"/>
        <w:jc w:val="both"/>
        <w:rPr>
          <w:rFonts w:ascii="Arial" w:eastAsia="Calibri" w:hAnsi="Arial" w:cs="Arial"/>
          <w:b/>
          <w:sz w:val="22"/>
          <w:lang w:val="es-ES_tradnl"/>
        </w:rPr>
      </w:pPr>
      <w:r w:rsidRPr="000D6E20">
        <w:rPr>
          <w:rFonts w:ascii="Arial" w:eastAsia="Calibri" w:hAnsi="Arial" w:cs="Arial"/>
          <w:b/>
          <w:sz w:val="22"/>
          <w:lang w:val="es-ES_tradnl"/>
        </w:rPr>
        <w:t xml:space="preserve">Problema planteado </w:t>
      </w:r>
    </w:p>
    <w:p w14:paraId="224B43D3" w14:textId="77777777" w:rsidR="00DD5B04" w:rsidRPr="000D6E20" w:rsidRDefault="00DD5B04" w:rsidP="00FC2D17">
      <w:pPr>
        <w:tabs>
          <w:tab w:val="left" w:pos="426"/>
        </w:tabs>
        <w:jc w:val="both"/>
        <w:rPr>
          <w:rFonts w:ascii="Arial" w:eastAsia="Calibri" w:hAnsi="Arial" w:cs="Arial"/>
          <w:b/>
          <w:sz w:val="22"/>
          <w:lang w:val="es-ES_tradnl"/>
        </w:rPr>
      </w:pPr>
    </w:p>
    <w:p w14:paraId="79D0132C" w14:textId="1816865C" w:rsidR="004275A7" w:rsidRPr="000D6E20" w:rsidRDefault="00C24EE2" w:rsidP="006F0397">
      <w:pPr>
        <w:autoSpaceDE w:val="0"/>
        <w:autoSpaceDN w:val="0"/>
        <w:adjustRightInd w:val="0"/>
        <w:spacing w:line="276" w:lineRule="auto"/>
        <w:jc w:val="both"/>
        <w:rPr>
          <w:rFonts w:ascii="Arial" w:hAnsi="Arial" w:cs="Arial"/>
          <w:sz w:val="22"/>
          <w:szCs w:val="22"/>
          <w:lang w:val="es-ES_tradnl"/>
        </w:rPr>
      </w:pPr>
      <w:r w:rsidRPr="000D6E20">
        <w:rPr>
          <w:rFonts w:ascii="Arial" w:hAnsi="Arial" w:cs="Arial"/>
          <w:sz w:val="22"/>
          <w:szCs w:val="22"/>
          <w:lang w:val="es-ES_tradnl"/>
        </w:rPr>
        <w:t>En la petición</w:t>
      </w:r>
      <w:r w:rsidR="006F0397" w:rsidRPr="000D6E20">
        <w:rPr>
          <w:rFonts w:ascii="Arial" w:hAnsi="Arial" w:cs="Arial"/>
          <w:sz w:val="22"/>
          <w:szCs w:val="22"/>
          <w:lang w:val="es-ES_tradnl"/>
        </w:rPr>
        <w:t xml:space="preserve"> solicita </w:t>
      </w:r>
      <w:r w:rsidRPr="000D6E20">
        <w:rPr>
          <w:rFonts w:ascii="Arial" w:hAnsi="Arial" w:cs="Arial"/>
          <w:sz w:val="22"/>
          <w:szCs w:val="22"/>
          <w:lang w:val="es-ES_tradnl"/>
        </w:rPr>
        <w:t>precisar</w:t>
      </w:r>
      <w:r w:rsidR="006F0397" w:rsidRPr="000D6E20">
        <w:rPr>
          <w:rFonts w:ascii="Arial" w:hAnsi="Arial" w:cs="Arial"/>
          <w:sz w:val="22"/>
          <w:szCs w:val="22"/>
          <w:lang w:val="es-ES_tradnl"/>
        </w:rPr>
        <w:t xml:space="preserve"> </w:t>
      </w:r>
      <w:r w:rsidR="000B56F9" w:rsidRPr="000D6E20">
        <w:rPr>
          <w:rFonts w:ascii="Arial" w:hAnsi="Arial" w:cs="Arial"/>
          <w:sz w:val="22"/>
          <w:szCs w:val="22"/>
          <w:lang w:val="es-ES_tradnl"/>
        </w:rPr>
        <w:t>«[…]</w:t>
      </w:r>
      <w:r w:rsidR="00FB3A24" w:rsidRPr="000D6E20">
        <w:rPr>
          <w:rFonts w:ascii="Arial" w:eastAsiaTheme="minorHAnsi" w:hAnsi="Arial" w:cs="Arial"/>
          <w:sz w:val="22"/>
          <w:szCs w:val="22"/>
          <w:lang w:eastAsia="en-US"/>
        </w:rPr>
        <w:t xml:space="preserve"> </w:t>
      </w:r>
      <w:proofErr w:type="spellStart"/>
      <w:r w:rsidR="00FB3A24" w:rsidRPr="000D6E20">
        <w:rPr>
          <w:rFonts w:ascii="Arial" w:eastAsiaTheme="minorHAnsi" w:hAnsi="Arial" w:cs="Arial"/>
          <w:sz w:val="22"/>
          <w:szCs w:val="22"/>
          <w:lang w:eastAsia="en-US"/>
        </w:rPr>
        <w:t>cuales</w:t>
      </w:r>
      <w:proofErr w:type="spellEnd"/>
      <w:r w:rsidR="00FB3A24" w:rsidRPr="000D6E20">
        <w:rPr>
          <w:rFonts w:ascii="Arial" w:eastAsiaTheme="minorHAnsi" w:hAnsi="Arial" w:cs="Arial"/>
          <w:sz w:val="22"/>
          <w:szCs w:val="22"/>
          <w:lang w:eastAsia="en-US"/>
        </w:rPr>
        <w:t xml:space="preserve"> son los artículos de</w:t>
      </w:r>
      <w:r w:rsidR="00D555B4" w:rsidRPr="000D6E20">
        <w:rPr>
          <w:rFonts w:ascii="Arial" w:eastAsiaTheme="minorHAnsi" w:hAnsi="Arial" w:cs="Arial"/>
          <w:sz w:val="22"/>
          <w:szCs w:val="22"/>
          <w:lang w:eastAsia="en-US"/>
        </w:rPr>
        <w:t xml:space="preserve"> </w:t>
      </w:r>
      <w:r w:rsidR="00FB3A24" w:rsidRPr="000D6E20">
        <w:rPr>
          <w:rFonts w:ascii="Arial" w:eastAsiaTheme="minorHAnsi" w:hAnsi="Arial" w:cs="Arial"/>
          <w:sz w:val="22"/>
          <w:szCs w:val="22"/>
          <w:lang w:eastAsia="en-US"/>
        </w:rPr>
        <w:t xml:space="preserve">la ley de emprendimiento 2069 de 2020, que </w:t>
      </w:r>
      <w:proofErr w:type="gramStart"/>
      <w:r w:rsidR="00FB3A24" w:rsidRPr="000D6E20">
        <w:rPr>
          <w:rFonts w:ascii="Arial" w:eastAsiaTheme="minorHAnsi" w:hAnsi="Arial" w:cs="Arial"/>
          <w:sz w:val="22"/>
          <w:szCs w:val="22"/>
          <w:lang w:eastAsia="en-US"/>
        </w:rPr>
        <w:t>entraron en vigencia</w:t>
      </w:r>
      <w:proofErr w:type="gramEnd"/>
      <w:r w:rsidR="00FB3A24" w:rsidRPr="000D6E20">
        <w:rPr>
          <w:rFonts w:ascii="Arial" w:eastAsiaTheme="minorHAnsi" w:hAnsi="Arial" w:cs="Arial"/>
          <w:sz w:val="22"/>
          <w:szCs w:val="22"/>
          <w:lang w:eastAsia="en-US"/>
        </w:rPr>
        <w:t xml:space="preserve"> sin necesidad de la reglamentación de que trata la ley.</w:t>
      </w:r>
      <w:r w:rsidR="004E3FD1" w:rsidRPr="000D6E20">
        <w:rPr>
          <w:rFonts w:ascii="Arial" w:eastAsiaTheme="minorHAnsi" w:hAnsi="Arial" w:cs="Arial"/>
          <w:sz w:val="22"/>
          <w:szCs w:val="22"/>
          <w:lang w:eastAsia="en-US"/>
        </w:rPr>
        <w:t xml:space="preserve"> </w:t>
      </w:r>
      <w:proofErr w:type="gramStart"/>
      <w:r w:rsidR="004E3FD1" w:rsidRPr="000D6E20">
        <w:rPr>
          <w:rFonts w:ascii="Arial" w:eastAsiaTheme="minorHAnsi" w:hAnsi="Arial" w:cs="Arial"/>
          <w:sz w:val="22"/>
          <w:szCs w:val="22"/>
          <w:lang w:eastAsia="en-US"/>
        </w:rPr>
        <w:t>Asimismo</w:t>
      </w:r>
      <w:proofErr w:type="gramEnd"/>
      <w:r w:rsidR="00FB3A24" w:rsidRPr="000D6E20">
        <w:rPr>
          <w:rFonts w:ascii="Arial" w:eastAsiaTheme="minorHAnsi" w:hAnsi="Arial" w:cs="Arial"/>
          <w:sz w:val="22"/>
          <w:szCs w:val="22"/>
          <w:lang w:eastAsia="en-US"/>
        </w:rPr>
        <w:t xml:space="preserve"> conocer si el </w:t>
      </w:r>
      <w:r w:rsidR="004E3FD1" w:rsidRPr="000D6E20">
        <w:rPr>
          <w:rFonts w:ascii="Arial" w:eastAsiaTheme="minorHAnsi" w:hAnsi="Arial" w:cs="Arial"/>
          <w:sz w:val="22"/>
          <w:szCs w:val="22"/>
          <w:lang w:eastAsia="en-US"/>
        </w:rPr>
        <w:t>artículo</w:t>
      </w:r>
      <w:r w:rsidR="00FB3A24" w:rsidRPr="000D6E20">
        <w:rPr>
          <w:rFonts w:ascii="Arial" w:eastAsiaTheme="minorHAnsi" w:hAnsi="Arial" w:cs="Arial"/>
          <w:sz w:val="22"/>
          <w:szCs w:val="22"/>
          <w:lang w:eastAsia="en-US"/>
        </w:rPr>
        <w:t xml:space="preserve"> 30 de la ley 2069 de 2020, el cual </w:t>
      </w:r>
      <w:r w:rsidR="004E3FD1" w:rsidRPr="000D6E20">
        <w:rPr>
          <w:rFonts w:ascii="Arial" w:eastAsiaTheme="minorHAnsi" w:hAnsi="Arial" w:cs="Arial"/>
          <w:sz w:val="22"/>
          <w:szCs w:val="22"/>
          <w:lang w:eastAsia="en-US"/>
        </w:rPr>
        <w:t>modifica</w:t>
      </w:r>
      <w:r w:rsidR="00FB3A24" w:rsidRPr="000D6E20">
        <w:rPr>
          <w:rFonts w:ascii="Arial" w:eastAsiaTheme="minorHAnsi" w:hAnsi="Arial" w:cs="Arial"/>
          <w:sz w:val="22"/>
          <w:szCs w:val="22"/>
          <w:lang w:eastAsia="en-US"/>
        </w:rPr>
        <w:t xml:space="preserve"> el numeral</w:t>
      </w:r>
      <w:r w:rsidR="00D555B4" w:rsidRPr="000D6E20">
        <w:rPr>
          <w:rFonts w:ascii="Arial" w:eastAsiaTheme="minorHAnsi" w:hAnsi="Arial" w:cs="Arial"/>
          <w:sz w:val="22"/>
          <w:szCs w:val="22"/>
          <w:lang w:eastAsia="en-US"/>
        </w:rPr>
        <w:t xml:space="preserve"> </w:t>
      </w:r>
      <w:r w:rsidR="00FB3A24" w:rsidRPr="000D6E20">
        <w:rPr>
          <w:rFonts w:ascii="Arial" w:eastAsiaTheme="minorHAnsi" w:hAnsi="Arial" w:cs="Arial"/>
          <w:sz w:val="22"/>
          <w:szCs w:val="22"/>
          <w:lang w:eastAsia="en-US"/>
        </w:rPr>
        <w:t>5 del artículo 2 de la Ley 1150 de 2007, es de inmediato cumplimiento?</w:t>
      </w:r>
      <w:r w:rsidR="00D555B4" w:rsidRPr="000D6E20">
        <w:rPr>
          <w:rFonts w:ascii="Arial" w:eastAsiaTheme="minorHAnsi" w:hAnsi="Arial" w:cs="Arial"/>
          <w:sz w:val="22"/>
          <w:szCs w:val="22"/>
          <w:lang w:eastAsia="en-US"/>
        </w:rPr>
        <w:t>».</w:t>
      </w:r>
    </w:p>
    <w:p w14:paraId="3830C92C" w14:textId="77777777" w:rsidR="00507066" w:rsidRPr="000D6E20" w:rsidRDefault="00507066" w:rsidP="00AD33A1">
      <w:pPr>
        <w:ind w:left="709" w:right="709"/>
        <w:jc w:val="both"/>
        <w:rPr>
          <w:rFonts w:ascii="Arial" w:hAnsi="Arial" w:cs="Arial"/>
          <w:sz w:val="21"/>
          <w:szCs w:val="21"/>
          <w:lang w:val="es-ES_tradnl"/>
        </w:rPr>
      </w:pPr>
    </w:p>
    <w:p w14:paraId="124D2DCA" w14:textId="77777777" w:rsidR="00DD5B04" w:rsidRPr="000D6E20" w:rsidRDefault="00DD5B04" w:rsidP="00DF76A2">
      <w:pPr>
        <w:pStyle w:val="Prrafodelista"/>
        <w:numPr>
          <w:ilvl w:val="0"/>
          <w:numId w:val="8"/>
        </w:numPr>
        <w:tabs>
          <w:tab w:val="left" w:pos="0"/>
          <w:tab w:val="left" w:pos="284"/>
        </w:tabs>
        <w:ind w:left="0" w:firstLine="0"/>
        <w:jc w:val="both"/>
        <w:rPr>
          <w:rFonts w:ascii="Arial" w:eastAsia="Calibri" w:hAnsi="Arial" w:cs="Arial"/>
          <w:b/>
          <w:sz w:val="22"/>
          <w:lang w:val="es-ES_tradnl"/>
        </w:rPr>
      </w:pPr>
      <w:r w:rsidRPr="000D6E20">
        <w:rPr>
          <w:rFonts w:ascii="Arial" w:eastAsia="Calibri" w:hAnsi="Arial" w:cs="Arial"/>
          <w:b/>
          <w:sz w:val="22"/>
          <w:lang w:val="es-ES_tradnl"/>
        </w:rPr>
        <w:t>Consideraciones</w:t>
      </w:r>
    </w:p>
    <w:p w14:paraId="7D050D2E" w14:textId="77777777" w:rsidR="00435703" w:rsidRPr="0010300C" w:rsidRDefault="00435703" w:rsidP="00FC2D17">
      <w:pPr>
        <w:jc w:val="both"/>
        <w:rPr>
          <w:rFonts w:ascii="Arial" w:eastAsia="Calibri" w:hAnsi="Arial" w:cs="Arial"/>
          <w:sz w:val="22"/>
          <w:szCs w:val="22"/>
          <w:highlight w:val="yellow"/>
          <w:lang w:val="es-ES_tradnl"/>
        </w:rPr>
      </w:pPr>
    </w:p>
    <w:p w14:paraId="1144E6B3" w14:textId="1084B919" w:rsidR="00C8331F" w:rsidRPr="003E56B0" w:rsidRDefault="00EC1DAE" w:rsidP="000D6E20">
      <w:pPr>
        <w:spacing w:before="120" w:line="276" w:lineRule="auto"/>
        <w:jc w:val="both"/>
        <w:rPr>
          <w:rFonts w:ascii="Arial" w:eastAsia="Calibri" w:hAnsi="Arial" w:cs="Arial"/>
          <w:sz w:val="22"/>
          <w:szCs w:val="22"/>
          <w:lang w:val="es-ES_tradnl"/>
        </w:rPr>
      </w:pPr>
      <w:r w:rsidRPr="003E56B0">
        <w:rPr>
          <w:rFonts w:ascii="Arial" w:eastAsia="Calibri" w:hAnsi="Arial" w:cs="Arial"/>
          <w:sz w:val="22"/>
          <w:szCs w:val="22"/>
          <w:lang w:val="es-ES_tradnl"/>
        </w:rPr>
        <w:t>E</w:t>
      </w:r>
      <w:r w:rsidR="00C8331F" w:rsidRPr="003E56B0">
        <w:rPr>
          <w:rFonts w:ascii="Arial" w:eastAsia="Calibri" w:hAnsi="Arial" w:cs="Arial"/>
          <w:sz w:val="22"/>
          <w:szCs w:val="22"/>
          <w:lang w:val="es-ES_tradnl"/>
        </w:rPr>
        <w:t>s importante destacar que la Agencia Nacional de Contratación Pública</w:t>
      </w:r>
      <w:r w:rsidRPr="003E56B0">
        <w:rPr>
          <w:rFonts w:ascii="Arial" w:eastAsia="Calibri" w:hAnsi="Arial" w:cs="Arial"/>
          <w:sz w:val="22"/>
          <w:szCs w:val="22"/>
          <w:lang w:val="es-ES_tradnl"/>
        </w:rPr>
        <w:t xml:space="preserve"> – Colombia Compra Eficiente se pronunció, en términos generales, sobre </w:t>
      </w:r>
      <w:r w:rsidR="00C53ED1" w:rsidRPr="003E56B0">
        <w:rPr>
          <w:rFonts w:ascii="Arial" w:eastAsia="Calibri" w:hAnsi="Arial" w:cs="Arial"/>
          <w:sz w:val="22"/>
          <w:szCs w:val="22"/>
          <w:lang w:val="es-ES_tradnl"/>
        </w:rPr>
        <w:t>la vigencia</w:t>
      </w:r>
      <w:r w:rsidRPr="003E56B0">
        <w:rPr>
          <w:rFonts w:ascii="Arial" w:eastAsia="Calibri" w:hAnsi="Arial" w:cs="Arial"/>
          <w:sz w:val="22"/>
          <w:szCs w:val="22"/>
          <w:lang w:val="es-ES_tradnl"/>
        </w:rPr>
        <w:t xml:space="preserve"> </w:t>
      </w:r>
      <w:r w:rsidR="00C53ED1" w:rsidRPr="003E56B0">
        <w:rPr>
          <w:rFonts w:ascii="Arial" w:eastAsia="Calibri" w:hAnsi="Arial" w:cs="Arial"/>
          <w:sz w:val="22"/>
          <w:szCs w:val="22"/>
          <w:lang w:val="es-ES_tradnl"/>
        </w:rPr>
        <w:t xml:space="preserve">en </w:t>
      </w:r>
      <w:r w:rsidR="00032689" w:rsidRPr="003E56B0">
        <w:rPr>
          <w:rFonts w:ascii="Arial" w:eastAsia="Calibri" w:hAnsi="Arial" w:cs="Arial"/>
          <w:sz w:val="22"/>
          <w:szCs w:val="22"/>
          <w:lang w:val="es-ES_tradnl"/>
        </w:rPr>
        <w:t>l</w:t>
      </w:r>
      <w:r w:rsidR="004B65D9" w:rsidRPr="003E56B0">
        <w:rPr>
          <w:rFonts w:ascii="Arial" w:eastAsia="Calibri" w:hAnsi="Arial" w:cs="Arial"/>
          <w:sz w:val="22"/>
          <w:szCs w:val="22"/>
          <w:lang w:val="es-ES_tradnl"/>
        </w:rPr>
        <w:t>a Ley 2069 de 2020 en los</w:t>
      </w:r>
      <w:r w:rsidR="00032689" w:rsidRPr="003E56B0">
        <w:rPr>
          <w:rFonts w:ascii="Arial" w:eastAsia="Calibri" w:hAnsi="Arial" w:cs="Arial"/>
          <w:sz w:val="22"/>
          <w:szCs w:val="22"/>
          <w:lang w:val="es-ES_tradnl"/>
        </w:rPr>
        <w:t xml:space="preserve"> conceptos </w:t>
      </w:r>
      <w:r w:rsidR="00547778" w:rsidRPr="003E56B0">
        <w:rPr>
          <w:rFonts w:ascii="Arial" w:eastAsia="Calibri" w:hAnsi="Arial" w:cs="Arial"/>
          <w:sz w:val="22"/>
          <w:szCs w:val="22"/>
          <w:lang w:val="es-ES_tradnl"/>
        </w:rPr>
        <w:t xml:space="preserve">C-009, C-012, C-013, </w:t>
      </w:r>
      <w:r w:rsidR="00A51D65" w:rsidRPr="003E56B0">
        <w:rPr>
          <w:rFonts w:ascii="Arial" w:eastAsia="Calibri" w:hAnsi="Arial" w:cs="Arial"/>
          <w:sz w:val="22"/>
          <w:szCs w:val="22"/>
          <w:lang w:val="es-ES_tradnl"/>
        </w:rPr>
        <w:t xml:space="preserve">C-015, C-016 </w:t>
      </w:r>
      <w:r w:rsidR="005C506F" w:rsidRPr="003E56B0">
        <w:rPr>
          <w:rFonts w:ascii="Arial" w:eastAsia="Calibri" w:hAnsi="Arial" w:cs="Arial"/>
          <w:sz w:val="22"/>
          <w:szCs w:val="22"/>
          <w:lang w:val="es-ES_tradnl"/>
        </w:rPr>
        <w:t>y</w:t>
      </w:r>
      <w:r w:rsidR="00A51D65" w:rsidRPr="003E56B0">
        <w:rPr>
          <w:rFonts w:ascii="Arial" w:eastAsia="Calibri" w:hAnsi="Arial" w:cs="Arial"/>
          <w:sz w:val="22"/>
          <w:szCs w:val="22"/>
          <w:lang w:val="es-ES_tradnl"/>
        </w:rPr>
        <w:t xml:space="preserve"> C-026, del 4 de febrero de 2020</w:t>
      </w:r>
      <w:r w:rsidR="00C4317B" w:rsidRPr="003E56B0">
        <w:rPr>
          <w:rFonts w:ascii="Arial" w:eastAsia="Calibri" w:hAnsi="Arial" w:cs="Arial"/>
          <w:sz w:val="22"/>
          <w:szCs w:val="22"/>
          <w:lang w:val="es-ES_tradnl"/>
        </w:rPr>
        <w:t xml:space="preserve">, C-005 del </w:t>
      </w:r>
      <w:r w:rsidR="00430DD2" w:rsidRPr="003E56B0">
        <w:rPr>
          <w:rFonts w:ascii="Arial" w:eastAsia="Calibri" w:hAnsi="Arial" w:cs="Arial"/>
          <w:sz w:val="22"/>
          <w:szCs w:val="22"/>
          <w:lang w:val="es-ES_tradnl"/>
        </w:rPr>
        <w:t xml:space="preserve">16 de febrero, C-028 </w:t>
      </w:r>
      <w:r w:rsidR="00B434C1" w:rsidRPr="003E56B0">
        <w:rPr>
          <w:rFonts w:ascii="Arial" w:eastAsia="Calibri" w:hAnsi="Arial" w:cs="Arial"/>
          <w:sz w:val="22"/>
          <w:szCs w:val="22"/>
          <w:lang w:val="es-ES_tradnl"/>
        </w:rPr>
        <w:t>y C-029 del 23 de febrero de 2020</w:t>
      </w:r>
      <w:r w:rsidR="005C506F" w:rsidRPr="003E56B0">
        <w:rPr>
          <w:rFonts w:ascii="Arial" w:eastAsia="Calibri" w:hAnsi="Arial" w:cs="Arial"/>
          <w:sz w:val="22"/>
          <w:szCs w:val="22"/>
          <w:lang w:val="es-ES_tradnl"/>
        </w:rPr>
        <w:t xml:space="preserve">. </w:t>
      </w:r>
      <w:r w:rsidR="004B65D9" w:rsidRPr="003E56B0">
        <w:rPr>
          <w:rFonts w:ascii="Arial" w:eastAsia="Calibri" w:hAnsi="Arial" w:cs="Arial"/>
          <w:sz w:val="22"/>
          <w:szCs w:val="22"/>
          <w:lang w:val="es-ES_tradnl"/>
        </w:rPr>
        <w:t xml:space="preserve">Este tema también </w:t>
      </w:r>
      <w:r w:rsidR="004B65D9" w:rsidRPr="003E56B0">
        <w:rPr>
          <w:rFonts w:ascii="Arial" w:eastAsia="Calibri" w:hAnsi="Arial" w:cs="Arial"/>
          <w:sz w:val="22"/>
          <w:szCs w:val="22"/>
          <w:lang w:val="es-ES_tradnl"/>
        </w:rPr>
        <w:lastRenderedPageBreak/>
        <w:t>fue estudiado en el concepto</w:t>
      </w:r>
      <w:r w:rsidR="005C506F" w:rsidRPr="003E56B0">
        <w:rPr>
          <w:rFonts w:ascii="Arial" w:eastAsia="Calibri" w:hAnsi="Arial" w:cs="Arial"/>
          <w:sz w:val="22"/>
          <w:szCs w:val="22"/>
          <w:lang w:val="es-ES_tradnl"/>
        </w:rPr>
        <w:t xml:space="preserve"> C-043 del 9 de febrero de 2020, </w:t>
      </w:r>
      <w:r w:rsidR="004B65D9" w:rsidRPr="003E56B0">
        <w:rPr>
          <w:rFonts w:ascii="Arial" w:eastAsia="Calibri" w:hAnsi="Arial" w:cs="Arial"/>
          <w:sz w:val="22"/>
          <w:szCs w:val="22"/>
          <w:lang w:val="es-ES_tradnl"/>
        </w:rPr>
        <w:t xml:space="preserve">en el que se </w:t>
      </w:r>
      <w:r w:rsidR="00292A27" w:rsidRPr="003E56B0">
        <w:rPr>
          <w:rFonts w:ascii="Arial" w:eastAsia="Calibri" w:hAnsi="Arial" w:cs="Arial"/>
          <w:sz w:val="22"/>
          <w:szCs w:val="22"/>
          <w:lang w:val="es-ES_tradnl"/>
        </w:rPr>
        <w:t>estudió, particularmente, la vigencia del artículo 34 de la Ley 2069 de 2020</w:t>
      </w:r>
      <w:r w:rsidR="00105B76" w:rsidRPr="003E56B0">
        <w:rPr>
          <w:rFonts w:ascii="Arial" w:eastAsia="Calibri" w:hAnsi="Arial" w:cs="Arial"/>
          <w:sz w:val="22"/>
          <w:szCs w:val="22"/>
          <w:lang w:val="es-ES_tradnl"/>
        </w:rPr>
        <w:t>. La tesis expuesta en estos conceptos se reitera a continuación.</w:t>
      </w:r>
    </w:p>
    <w:p w14:paraId="4EBDAD67" w14:textId="77777777" w:rsidR="006F0397" w:rsidRPr="003E56B0" w:rsidRDefault="006F0397" w:rsidP="006F0397">
      <w:pPr>
        <w:spacing w:line="276" w:lineRule="auto"/>
        <w:ind w:firstLine="709"/>
        <w:jc w:val="both"/>
        <w:rPr>
          <w:rFonts w:ascii="Arial" w:eastAsia="Calibri" w:hAnsi="Arial" w:cs="Arial"/>
          <w:sz w:val="22"/>
          <w:szCs w:val="22"/>
          <w:lang w:val="es-ES_tradnl"/>
        </w:rPr>
      </w:pPr>
    </w:p>
    <w:p w14:paraId="2E5E4DB6" w14:textId="77777777" w:rsidR="00BB6979" w:rsidRPr="003E56B0" w:rsidRDefault="00BB6979" w:rsidP="00BB6979">
      <w:pPr>
        <w:tabs>
          <w:tab w:val="left" w:pos="426"/>
        </w:tabs>
        <w:spacing w:line="276" w:lineRule="auto"/>
        <w:jc w:val="both"/>
        <w:rPr>
          <w:rFonts w:ascii="Arial" w:eastAsia="Calibri" w:hAnsi="Arial" w:cs="Arial"/>
          <w:b/>
          <w:sz w:val="22"/>
        </w:rPr>
      </w:pPr>
      <w:r w:rsidRPr="003E56B0">
        <w:rPr>
          <w:rFonts w:ascii="Arial" w:eastAsia="Calibri" w:hAnsi="Arial" w:cs="Arial"/>
          <w:b/>
          <w:sz w:val="22"/>
        </w:rPr>
        <w:t>2.1. Impacto de la Ley 2069 de 2020 en la contratación estatal</w:t>
      </w:r>
    </w:p>
    <w:p w14:paraId="72D7FAD5" w14:textId="77777777" w:rsidR="00BB6979" w:rsidRPr="003E56B0" w:rsidRDefault="00BB6979" w:rsidP="00BB6979">
      <w:pPr>
        <w:tabs>
          <w:tab w:val="left" w:pos="426"/>
        </w:tabs>
        <w:spacing w:line="276" w:lineRule="auto"/>
        <w:jc w:val="both"/>
        <w:rPr>
          <w:rFonts w:ascii="Arial" w:eastAsia="Calibri" w:hAnsi="Arial" w:cs="Arial"/>
          <w:b/>
          <w:sz w:val="22"/>
        </w:rPr>
      </w:pPr>
    </w:p>
    <w:p w14:paraId="62BEB4AA" w14:textId="77777777" w:rsidR="00BB6979" w:rsidRPr="003E56B0" w:rsidRDefault="00BB6979" w:rsidP="00BB6979">
      <w:pPr>
        <w:tabs>
          <w:tab w:val="left" w:pos="709"/>
        </w:tabs>
        <w:spacing w:after="120" w:line="276" w:lineRule="auto"/>
        <w:jc w:val="both"/>
        <w:rPr>
          <w:rFonts w:ascii="Arial" w:eastAsia="Calibri" w:hAnsi="Arial" w:cs="Arial"/>
          <w:bCs/>
          <w:sz w:val="21"/>
          <w:szCs w:val="21"/>
        </w:rPr>
      </w:pPr>
      <w:bookmarkStart w:id="3" w:name="_Hlk63883948"/>
      <w:r w:rsidRPr="003E56B0">
        <w:rPr>
          <w:rFonts w:ascii="Arial" w:eastAsia="Calibri" w:hAnsi="Arial" w:cs="Arial"/>
          <w:bCs/>
          <w:sz w:val="22"/>
        </w:rPr>
        <w:t xml:space="preserve">El pasado 31 de diciembre, en congruencia con el «Pacto por el emprendimiento, la formalización y la productividad» del Plan Nacional de Desarrollo 2018-2022, el </w:t>
      </w:r>
      <w:proofErr w:type="gramStart"/>
      <w:r w:rsidRPr="003E56B0">
        <w:rPr>
          <w:rFonts w:ascii="Arial" w:eastAsia="Calibri" w:hAnsi="Arial" w:cs="Arial"/>
          <w:bCs/>
          <w:sz w:val="22"/>
        </w:rPr>
        <w:t>Presidente</w:t>
      </w:r>
      <w:proofErr w:type="gramEnd"/>
      <w:r w:rsidRPr="003E56B0">
        <w:rPr>
          <w:rFonts w:ascii="Arial" w:eastAsia="Calibri" w:hAnsi="Arial" w:cs="Arial"/>
          <w:bCs/>
          <w:sz w:val="22"/>
        </w:rPr>
        <w:t xml:space="preserve"> de la República sancionó la Ley 2069 de 2020 para impulsar el nacimiento de nuevas empresas que incentiven la generación de empleo en país. Dicha Ley busca generar la reactivación de la economía y fomentar la actividad emprendedora, y por ello, tiene como uno de sus propósitos propiciar un entorno para ayudar al crecimiento, consolidación y sostenibilidad de esas iniciativas, generando mayor desarrollo social, creación de las empresas y mejoras tanto en la productividad como en la competitividad</w:t>
      </w:r>
      <w:r w:rsidRPr="003E56B0">
        <w:rPr>
          <w:rStyle w:val="Refdenotaalpie"/>
          <w:rFonts w:ascii="Arial" w:eastAsia="Calibri" w:hAnsi="Arial" w:cs="Arial"/>
          <w:bCs/>
          <w:sz w:val="22"/>
        </w:rPr>
        <w:footnoteReference w:id="2"/>
      </w:r>
      <w:r w:rsidRPr="003E56B0">
        <w:rPr>
          <w:rFonts w:ascii="Arial" w:eastAsia="Calibri" w:hAnsi="Arial" w:cs="Arial"/>
          <w:bCs/>
          <w:sz w:val="22"/>
        </w:rPr>
        <w:t xml:space="preserve">. De esta manera, la ley en comento también concreta la </w:t>
      </w:r>
      <w:bookmarkStart w:id="4" w:name="_Hlk63692496"/>
      <w:r w:rsidRPr="003E56B0">
        <w:rPr>
          <w:rFonts w:ascii="Arial" w:eastAsia="Calibri" w:hAnsi="Arial" w:cs="Arial"/>
          <w:bCs/>
          <w:sz w:val="22"/>
        </w:rPr>
        <w:t>«Política de formalización empresarial»</w:t>
      </w:r>
      <w:bookmarkEnd w:id="4"/>
      <w:r w:rsidRPr="003E56B0">
        <w:rPr>
          <w:rFonts w:ascii="Arial" w:eastAsia="Calibri" w:hAnsi="Arial" w:cs="Arial"/>
          <w:bCs/>
          <w:sz w:val="22"/>
        </w:rPr>
        <w:t xml:space="preserve"> del Documento CONPES 3956 del 8 de enero de 2019</w:t>
      </w:r>
      <w:r w:rsidRPr="003E56B0">
        <w:rPr>
          <w:rStyle w:val="Refdenotaalpie"/>
          <w:rFonts w:ascii="Arial" w:eastAsia="Calibri" w:hAnsi="Arial" w:cs="Arial"/>
          <w:bCs/>
          <w:sz w:val="22"/>
        </w:rPr>
        <w:footnoteReference w:id="3"/>
      </w:r>
      <w:r w:rsidRPr="003E56B0">
        <w:rPr>
          <w:rFonts w:ascii="Arial" w:eastAsia="Calibri" w:hAnsi="Arial" w:cs="Arial"/>
          <w:bCs/>
          <w:sz w:val="22"/>
        </w:rPr>
        <w:t>.</w:t>
      </w:r>
      <w:bookmarkEnd w:id="3"/>
    </w:p>
    <w:p w14:paraId="4925BE31" w14:textId="77777777" w:rsidR="00BB6979" w:rsidRPr="003E56B0" w:rsidRDefault="00BB6979" w:rsidP="00BB6979">
      <w:pPr>
        <w:tabs>
          <w:tab w:val="left" w:pos="709"/>
        </w:tabs>
        <w:spacing w:after="120" w:line="276" w:lineRule="auto"/>
        <w:jc w:val="both"/>
        <w:rPr>
          <w:rFonts w:ascii="Arial" w:eastAsia="Calibri" w:hAnsi="Arial" w:cs="Arial"/>
          <w:bCs/>
          <w:sz w:val="22"/>
        </w:rPr>
      </w:pPr>
      <w:r w:rsidRPr="003E56B0">
        <w:rPr>
          <w:rFonts w:ascii="Arial" w:eastAsia="Calibri" w:hAnsi="Arial" w:cs="Arial"/>
          <w:bCs/>
          <w:sz w:val="22"/>
        </w:rPr>
        <w:tab/>
        <w:t xml:space="preserve">Por ello, la ley impulsa medidas para i) reducir cargas y trámites para los emprendedores del país; </w:t>
      </w:r>
      <w:proofErr w:type="spellStart"/>
      <w:r w:rsidRPr="003E56B0">
        <w:rPr>
          <w:rFonts w:ascii="Arial" w:eastAsia="Calibri" w:hAnsi="Arial" w:cs="Arial"/>
          <w:bCs/>
          <w:sz w:val="22"/>
        </w:rPr>
        <w:t>ii</w:t>
      </w:r>
      <w:proofErr w:type="spellEnd"/>
      <w:r w:rsidRPr="003E56B0">
        <w:rPr>
          <w:rFonts w:ascii="Arial" w:eastAsia="Calibri" w:hAnsi="Arial" w:cs="Arial"/>
          <w:bCs/>
          <w:sz w:val="22"/>
        </w:rPr>
        <w:t xml:space="preserve">) facilitar su acceso al sistema de compras y contratación pública; </w:t>
      </w:r>
      <w:proofErr w:type="spellStart"/>
      <w:r w:rsidRPr="003E56B0">
        <w:rPr>
          <w:rFonts w:ascii="Arial" w:eastAsia="Calibri" w:hAnsi="Arial" w:cs="Arial"/>
          <w:bCs/>
          <w:sz w:val="22"/>
        </w:rPr>
        <w:t>iii</w:t>
      </w:r>
      <w:proofErr w:type="spellEnd"/>
      <w:r w:rsidRPr="003E56B0">
        <w:rPr>
          <w:rFonts w:ascii="Arial" w:eastAsia="Calibri" w:hAnsi="Arial" w:cs="Arial"/>
          <w:bCs/>
          <w:sz w:val="22"/>
        </w:rPr>
        <w:t xml:space="preserve">) incentivar el crecimiento económico con la llegada de más actores al ecosistema de inversión y financiación; </w:t>
      </w:r>
      <w:proofErr w:type="spellStart"/>
      <w:r w:rsidRPr="003E56B0">
        <w:rPr>
          <w:rFonts w:ascii="Arial" w:eastAsia="Calibri" w:hAnsi="Arial" w:cs="Arial"/>
          <w:bCs/>
          <w:sz w:val="22"/>
        </w:rPr>
        <w:t>iv</w:t>
      </w:r>
      <w:proofErr w:type="spellEnd"/>
      <w:r w:rsidRPr="003E56B0">
        <w:rPr>
          <w:rFonts w:ascii="Arial" w:eastAsia="Calibri" w:hAnsi="Arial" w:cs="Arial"/>
          <w:bCs/>
          <w:sz w:val="22"/>
        </w:rPr>
        <w:t xml:space="preserve">) focalizar esfuerzos, optimizar la gestión de recursos e incentivar una visión integral del desarrollo productivo a través del fortalecimiento institucional; v) facilitar la apropiación del emprendimiento y la cultura emprendedora en la juventud colombiana; así como vi) otorgar beneficios para emprendedores, especialmente, </w:t>
      </w:r>
      <w:r w:rsidRPr="003E56B0">
        <w:rPr>
          <w:rFonts w:ascii="Arial" w:eastAsia="Calibri" w:hAnsi="Arial" w:cs="Arial"/>
          <w:bCs/>
          <w:sz w:val="22"/>
        </w:rPr>
        <w:lastRenderedPageBreak/>
        <w:t>estableciendo un enfoque diferencial respecto a los miembros de las poblaciones más vulnerables, que les permita avanzar en su actividad y desarrollar sus iniciativas</w:t>
      </w:r>
      <w:r w:rsidRPr="003E56B0">
        <w:rPr>
          <w:rStyle w:val="Refdenotaalpie"/>
          <w:rFonts w:ascii="Arial" w:eastAsia="Calibri" w:hAnsi="Arial" w:cs="Arial"/>
          <w:bCs/>
          <w:sz w:val="22"/>
        </w:rPr>
        <w:footnoteReference w:id="4"/>
      </w:r>
      <w:r w:rsidRPr="003E56B0">
        <w:rPr>
          <w:rFonts w:ascii="Arial" w:eastAsia="Calibri" w:hAnsi="Arial" w:cs="Arial"/>
          <w:bCs/>
          <w:sz w:val="22"/>
        </w:rPr>
        <w:t>.</w:t>
      </w:r>
    </w:p>
    <w:p w14:paraId="47FE2EDF" w14:textId="77777777" w:rsidR="00BB6979" w:rsidRPr="003E56B0" w:rsidRDefault="00BB6979" w:rsidP="00BB6979">
      <w:pPr>
        <w:tabs>
          <w:tab w:val="left" w:pos="709"/>
        </w:tabs>
        <w:spacing w:line="276" w:lineRule="auto"/>
        <w:jc w:val="both"/>
        <w:rPr>
          <w:rFonts w:ascii="Arial" w:eastAsia="Calibri" w:hAnsi="Arial" w:cs="Arial"/>
          <w:bCs/>
          <w:sz w:val="22"/>
        </w:rPr>
      </w:pPr>
      <w:r w:rsidRPr="003E56B0">
        <w:rPr>
          <w:rFonts w:ascii="Arial" w:eastAsia="Calibri" w:hAnsi="Arial" w:cs="Arial"/>
          <w:bCs/>
          <w:sz w:val="22"/>
        </w:rPr>
        <w:tab/>
        <w:t xml:space="preserve">Para efectos de la consulta, </w:t>
      </w:r>
      <w:bookmarkStart w:id="6" w:name="_Hlk63848566"/>
      <w:r w:rsidRPr="003E56B0">
        <w:rPr>
          <w:rFonts w:ascii="Arial" w:eastAsia="Calibri" w:hAnsi="Arial" w:cs="Arial"/>
          <w:bCs/>
          <w:sz w:val="22"/>
        </w:rPr>
        <w:t>los artículos 30, 31, 32, 33, 34, 35 y 36 de la Ley 2069 de 2020</w:t>
      </w:r>
      <w:bookmarkEnd w:id="6"/>
      <w:r w:rsidRPr="003E56B0">
        <w:rPr>
          <w:rFonts w:ascii="Arial" w:eastAsia="Calibri" w:hAnsi="Arial" w:cs="Arial"/>
          <w:bCs/>
          <w:sz w:val="22"/>
        </w:rPr>
        <w:t xml:space="preserve"> crean una serie de incentivos para las personas interesadas en celebrar contratos con el Estado. Particularmente, conforme a la exposición de motivos, «</w:t>
      </w:r>
      <w:r w:rsidRPr="003E56B0">
        <w:rPr>
          <w:rFonts w:ascii="Arial" w:hAnsi="Arial" w:cs="Arial"/>
          <w:sz w:val="22"/>
        </w:rPr>
        <w:t xml:space="preserve">[…] </w:t>
      </w:r>
      <w:r w:rsidRPr="003E56B0">
        <w:rPr>
          <w:rFonts w:ascii="Arial" w:eastAsia="Calibri" w:hAnsi="Arial" w:cs="Arial"/>
          <w:bCs/>
          <w:sz w:val="22"/>
        </w:rPr>
        <w:t xml:space="preserve">propone facilitar el acceso de las </w:t>
      </w:r>
      <w:proofErr w:type="spellStart"/>
      <w:r w:rsidRPr="003E56B0">
        <w:rPr>
          <w:rFonts w:ascii="Arial" w:eastAsia="Calibri" w:hAnsi="Arial" w:cs="Arial"/>
          <w:bCs/>
          <w:sz w:val="22"/>
        </w:rPr>
        <w:t>Mipymes</w:t>
      </w:r>
      <w:proofErr w:type="spellEnd"/>
      <w:r w:rsidRPr="003E56B0">
        <w:rPr>
          <w:rFonts w:ascii="Arial" w:eastAsia="Calibri" w:hAnsi="Arial" w:cs="Arial"/>
          <w:bCs/>
          <w:sz w:val="22"/>
        </w:rPr>
        <w:t xml:space="preserve"> a la modalidad de contratación de mínima cuantía, la limitación de estos procesos a </w:t>
      </w:r>
      <w:proofErr w:type="spellStart"/>
      <w:r w:rsidRPr="003E56B0">
        <w:rPr>
          <w:rFonts w:ascii="Arial" w:eastAsia="Calibri" w:hAnsi="Arial" w:cs="Arial"/>
          <w:bCs/>
          <w:sz w:val="22"/>
        </w:rPr>
        <w:t>Mipymes</w:t>
      </w:r>
      <w:proofErr w:type="spellEnd"/>
      <w:r w:rsidRPr="003E56B0">
        <w:rPr>
          <w:rFonts w:ascii="Arial" w:eastAsia="Calibri" w:hAnsi="Arial" w:cs="Arial"/>
          <w:bCs/>
          <w:sz w:val="22"/>
        </w:rPr>
        <w:t xml:space="preserve">, define la posibilidad de establecer criterios diferenciales a favor de las </w:t>
      </w:r>
      <w:proofErr w:type="spellStart"/>
      <w:r w:rsidRPr="003E56B0">
        <w:rPr>
          <w:rFonts w:ascii="Arial" w:eastAsia="Calibri" w:hAnsi="Arial" w:cs="Arial"/>
          <w:bCs/>
          <w:sz w:val="22"/>
        </w:rPr>
        <w:t>Mipymes</w:t>
      </w:r>
      <w:proofErr w:type="spellEnd"/>
      <w:r w:rsidRPr="003E56B0">
        <w:rPr>
          <w:rFonts w:ascii="Arial" w:eastAsia="Calibri" w:hAnsi="Arial" w:cs="Arial"/>
          <w:bCs/>
          <w:sz w:val="22"/>
        </w:rPr>
        <w:t xml:space="preserve"> en los procesos de contratación pública, amplía el ámbito de aplicación de las medidas de compras públicas a entidades que hoy están excluidas, establece la creación de un sistema de información e indicadores para evaluar la efectividad de las medidas adoptadas y define la inclusión de factores de desempate en los procesos de contratación pública que priorizan este segmento»</w:t>
      </w:r>
      <w:r w:rsidRPr="003E56B0">
        <w:rPr>
          <w:rStyle w:val="Refdenotaalpie"/>
          <w:rFonts w:ascii="Arial" w:eastAsia="Calibri" w:hAnsi="Arial" w:cs="Arial"/>
          <w:bCs/>
          <w:sz w:val="22"/>
        </w:rPr>
        <w:footnoteReference w:id="5"/>
      </w:r>
      <w:r w:rsidRPr="003E56B0">
        <w:rPr>
          <w:rFonts w:ascii="Arial" w:eastAsia="Calibri" w:hAnsi="Arial" w:cs="Arial"/>
          <w:bCs/>
          <w:sz w:val="22"/>
        </w:rPr>
        <w:t xml:space="preserve">. Por ello, antes de analizar si la reglamentación de las normas anteriormente citadas es una condición para su </w:t>
      </w:r>
      <w:proofErr w:type="gramStart"/>
      <w:r w:rsidRPr="003E56B0">
        <w:rPr>
          <w:rFonts w:ascii="Arial" w:eastAsia="Calibri" w:hAnsi="Arial" w:cs="Arial"/>
          <w:bCs/>
          <w:sz w:val="22"/>
        </w:rPr>
        <w:t>entrada en vigencia</w:t>
      </w:r>
      <w:proofErr w:type="gramEnd"/>
      <w:r w:rsidRPr="003E56B0">
        <w:rPr>
          <w:rFonts w:ascii="Arial" w:eastAsia="Calibri" w:hAnsi="Arial" w:cs="Arial"/>
          <w:bCs/>
          <w:sz w:val="22"/>
        </w:rPr>
        <w:t>, conviene precisar su sentido y alcance:</w:t>
      </w:r>
    </w:p>
    <w:p w14:paraId="7D590F61" w14:textId="77777777" w:rsidR="00BB6979" w:rsidRPr="003E56B0" w:rsidRDefault="00BB6979" w:rsidP="00BB6979">
      <w:pPr>
        <w:tabs>
          <w:tab w:val="left" w:pos="709"/>
        </w:tabs>
        <w:spacing w:line="276" w:lineRule="auto"/>
        <w:jc w:val="both"/>
        <w:rPr>
          <w:rFonts w:ascii="Arial" w:eastAsia="Calibri" w:hAnsi="Arial" w:cs="Arial"/>
          <w:bCs/>
          <w:sz w:val="22"/>
        </w:rPr>
      </w:pPr>
    </w:p>
    <w:p w14:paraId="5CAFEB6E" w14:textId="77777777" w:rsidR="00BB6979" w:rsidRPr="003E56B0" w:rsidRDefault="00BB6979" w:rsidP="00BB6979">
      <w:pPr>
        <w:tabs>
          <w:tab w:val="left" w:pos="709"/>
        </w:tabs>
        <w:spacing w:line="276" w:lineRule="auto"/>
        <w:jc w:val="both"/>
        <w:rPr>
          <w:rFonts w:ascii="Arial" w:eastAsia="Calibri" w:hAnsi="Arial" w:cs="Arial"/>
          <w:b/>
          <w:i/>
          <w:iCs/>
          <w:sz w:val="22"/>
        </w:rPr>
      </w:pPr>
      <w:r w:rsidRPr="003E56B0">
        <w:rPr>
          <w:rFonts w:ascii="Arial" w:eastAsia="Calibri" w:hAnsi="Arial" w:cs="Arial"/>
          <w:b/>
          <w:i/>
          <w:iCs/>
          <w:sz w:val="22"/>
        </w:rPr>
        <w:t xml:space="preserve">2.1.1. </w:t>
      </w:r>
      <w:bookmarkStart w:id="7" w:name="_Hlk64292850"/>
      <w:proofErr w:type="spellStart"/>
      <w:r w:rsidRPr="003E56B0">
        <w:rPr>
          <w:rFonts w:ascii="Arial" w:eastAsia="Calibri" w:hAnsi="Arial" w:cs="Arial"/>
          <w:b/>
          <w:i/>
          <w:iCs/>
          <w:sz w:val="22"/>
        </w:rPr>
        <w:t>Mipymes</w:t>
      </w:r>
      <w:proofErr w:type="spellEnd"/>
      <w:r w:rsidRPr="003E56B0">
        <w:rPr>
          <w:rFonts w:ascii="Arial" w:eastAsia="Calibri" w:hAnsi="Arial" w:cs="Arial"/>
          <w:b/>
          <w:i/>
          <w:iCs/>
          <w:sz w:val="22"/>
        </w:rPr>
        <w:t xml:space="preserve"> y mínima cuantía</w:t>
      </w:r>
      <w:bookmarkEnd w:id="7"/>
    </w:p>
    <w:p w14:paraId="63E7CA14" w14:textId="77777777" w:rsidR="00BB6979" w:rsidRPr="003E56B0" w:rsidRDefault="00BB6979" w:rsidP="00BB6979">
      <w:pPr>
        <w:tabs>
          <w:tab w:val="left" w:pos="709"/>
        </w:tabs>
        <w:spacing w:line="276" w:lineRule="auto"/>
        <w:jc w:val="both"/>
        <w:rPr>
          <w:rFonts w:ascii="Arial" w:eastAsia="Calibri" w:hAnsi="Arial" w:cs="Arial"/>
          <w:b/>
          <w:sz w:val="22"/>
        </w:rPr>
      </w:pPr>
    </w:p>
    <w:p w14:paraId="4E40496A" w14:textId="77777777" w:rsidR="00BB6979" w:rsidRPr="003E56B0" w:rsidRDefault="00BB6979" w:rsidP="00BB6979">
      <w:pPr>
        <w:tabs>
          <w:tab w:val="left" w:pos="709"/>
        </w:tabs>
        <w:spacing w:after="120" w:line="276" w:lineRule="auto"/>
        <w:jc w:val="both"/>
        <w:rPr>
          <w:rFonts w:ascii="Arial" w:eastAsia="Calibri" w:hAnsi="Arial" w:cs="Arial"/>
          <w:bCs/>
          <w:sz w:val="22"/>
          <w:lang w:val="es-ES_tradnl"/>
        </w:rPr>
      </w:pPr>
      <w:r w:rsidRPr="003E56B0">
        <w:rPr>
          <w:rFonts w:ascii="Arial" w:eastAsia="Calibri" w:hAnsi="Arial" w:cs="Arial"/>
          <w:bCs/>
          <w:sz w:val="22"/>
        </w:rPr>
        <w:t xml:space="preserve">El artículo 30 de la Ley 2069 de 2020 modifica el numeral 5 del artículo 2 de la Ley 1150 de 2007, el cual regula la mínima cuantía. </w:t>
      </w:r>
      <w:r w:rsidRPr="003E56B0">
        <w:rPr>
          <w:rFonts w:ascii="Arial" w:eastAsia="Calibri" w:hAnsi="Arial" w:cs="Arial"/>
          <w:bCs/>
          <w:sz w:val="22"/>
          <w:lang w:val="es-ES_tradnl"/>
        </w:rPr>
        <w:t>En esta modalidad de selección, la entidad estatal realiza una convocatoria pública para recibir ofertas de bienes o servicios cuyo valor no excede el diez por ciento –10%– de la menor cuantía. Fue creada por el artículo 94 de la Ley 1474 de 2011, disponiendo que el factor determinante para adelantarla es el valor del presupuesto oficial con independencia de su objeto. Por lo demás, como en este procedimiento el contrato se perfecciona con la aceptación de la oferta, se considera un sucedáneo de los denominados «contratos sin formalidades plenas»</w:t>
      </w:r>
      <w:r w:rsidRPr="003E56B0">
        <w:rPr>
          <w:rStyle w:val="Refdenotaalpie"/>
          <w:rFonts w:ascii="Arial" w:eastAsia="Calibri" w:hAnsi="Arial" w:cs="Arial"/>
          <w:bCs/>
          <w:sz w:val="22"/>
          <w:lang w:val="es-ES_tradnl"/>
        </w:rPr>
        <w:footnoteReference w:id="6"/>
      </w:r>
      <w:r w:rsidRPr="003E56B0">
        <w:rPr>
          <w:rFonts w:ascii="Arial" w:eastAsia="Calibri" w:hAnsi="Arial" w:cs="Arial"/>
          <w:bCs/>
          <w:sz w:val="22"/>
          <w:lang w:val="es-ES_tradnl"/>
        </w:rPr>
        <w:t>.</w:t>
      </w:r>
    </w:p>
    <w:p w14:paraId="134D53C8" w14:textId="77777777" w:rsidR="00BB6979" w:rsidRPr="003E56B0" w:rsidRDefault="00BB6979" w:rsidP="00BB6979">
      <w:pPr>
        <w:tabs>
          <w:tab w:val="left" w:pos="709"/>
        </w:tabs>
        <w:spacing w:after="120" w:line="276" w:lineRule="auto"/>
        <w:jc w:val="both"/>
        <w:rPr>
          <w:rFonts w:ascii="Arial" w:eastAsia="Calibri" w:hAnsi="Arial" w:cs="Arial"/>
          <w:bCs/>
          <w:sz w:val="22"/>
          <w:lang w:val="es-ES_tradnl"/>
        </w:rPr>
      </w:pPr>
      <w:r w:rsidRPr="003E56B0">
        <w:rPr>
          <w:rFonts w:ascii="Arial" w:eastAsia="Calibri" w:hAnsi="Arial" w:cs="Arial"/>
          <w:bCs/>
          <w:sz w:val="22"/>
          <w:lang w:val="es-ES_tradnl"/>
        </w:rPr>
        <w:lastRenderedPageBreak/>
        <w:tab/>
        <w:t xml:space="preserve">En esencia, </w:t>
      </w:r>
      <w:r w:rsidRPr="003E56B0">
        <w:rPr>
          <w:rFonts w:ascii="Arial" w:eastAsia="Calibri" w:hAnsi="Arial" w:cs="Arial"/>
          <w:bCs/>
          <w:sz w:val="22"/>
        </w:rPr>
        <w:t xml:space="preserve">el artículo 30 de la Ley 2069 de 2020 conserva a grandes rasgos el procedimiento previsto en el derogado </w:t>
      </w:r>
      <w:r w:rsidRPr="003E56B0">
        <w:rPr>
          <w:rFonts w:ascii="Arial" w:eastAsia="Calibri" w:hAnsi="Arial" w:cs="Arial"/>
          <w:bCs/>
          <w:sz w:val="22"/>
          <w:lang w:val="es-ES_tradnl"/>
        </w:rPr>
        <w:t>artículo 94 de la Ley 1474 de 2011, el cual define los aspectos generales del procedimiento contractual</w:t>
      </w:r>
      <w:r w:rsidRPr="003E56B0">
        <w:rPr>
          <w:rStyle w:val="Refdenotaalpie"/>
          <w:rFonts w:ascii="Arial" w:eastAsia="Calibri" w:hAnsi="Arial" w:cs="Arial"/>
          <w:bCs/>
          <w:sz w:val="22"/>
          <w:lang w:val="es-ES_tradnl"/>
        </w:rPr>
        <w:footnoteReference w:id="7"/>
      </w:r>
      <w:r w:rsidRPr="003E56B0">
        <w:rPr>
          <w:rFonts w:ascii="Arial" w:eastAsia="Calibri" w:hAnsi="Arial" w:cs="Arial"/>
          <w:bCs/>
          <w:sz w:val="22"/>
          <w:lang w:val="es-ES_tradnl"/>
        </w:rPr>
        <w:t xml:space="preserve">. No obstante, aludiendo expresamente al desarrollo reglamentario, el parágrafo primero introduce el siguiente cambio: «Las particularidades del procedimiento aquí previsto, así como la posibilidad que tengan las entidades de realizar estas adquisiciones </w:t>
      </w:r>
      <w:r w:rsidRPr="003E56B0">
        <w:rPr>
          <w:rFonts w:ascii="Arial" w:eastAsia="Calibri" w:hAnsi="Arial" w:cs="Arial"/>
          <w:bCs/>
          <w:i/>
          <w:iCs/>
          <w:sz w:val="22"/>
          <w:lang w:val="es-ES_tradnl"/>
        </w:rPr>
        <w:t xml:space="preserve">a </w:t>
      </w:r>
      <w:proofErr w:type="spellStart"/>
      <w:r w:rsidRPr="003E56B0">
        <w:rPr>
          <w:rFonts w:ascii="Arial" w:eastAsia="Calibri" w:hAnsi="Arial" w:cs="Arial"/>
          <w:bCs/>
          <w:i/>
          <w:iCs/>
          <w:sz w:val="22"/>
          <w:lang w:val="es-ES_tradnl"/>
        </w:rPr>
        <w:t>Mipymes</w:t>
      </w:r>
      <w:proofErr w:type="spellEnd"/>
      <w:r w:rsidRPr="003E56B0">
        <w:rPr>
          <w:rFonts w:ascii="Arial" w:eastAsia="Calibri" w:hAnsi="Arial" w:cs="Arial"/>
          <w:bCs/>
          <w:sz w:val="22"/>
          <w:lang w:val="es-ES_tradnl"/>
        </w:rPr>
        <w:t xml:space="preserve"> o establecimientos que correspondan a la definición de "gran almacén" señalada por la Superintendencia de Industria y Comercio, se determinarán en el reglamento que para el efecto expida el Gobierno Nacional» (Énfasis fuera de texto). </w:t>
      </w:r>
    </w:p>
    <w:p w14:paraId="1893E531" w14:textId="77777777" w:rsidR="00BB6979" w:rsidRPr="003E56B0" w:rsidRDefault="00BB6979" w:rsidP="00BB6979">
      <w:pPr>
        <w:tabs>
          <w:tab w:val="left" w:pos="709"/>
        </w:tabs>
        <w:spacing w:after="120" w:line="276" w:lineRule="auto"/>
        <w:jc w:val="both"/>
        <w:rPr>
          <w:rFonts w:ascii="Arial" w:eastAsia="Calibri" w:hAnsi="Arial" w:cs="Arial"/>
          <w:bCs/>
          <w:sz w:val="22"/>
          <w:lang w:val="es-ES_tradnl"/>
        </w:rPr>
      </w:pPr>
      <w:r w:rsidRPr="003E56B0">
        <w:rPr>
          <w:rFonts w:ascii="Arial" w:eastAsia="Calibri" w:hAnsi="Arial" w:cs="Arial"/>
          <w:bCs/>
          <w:sz w:val="22"/>
          <w:lang w:val="es-ES_tradnl"/>
        </w:rPr>
        <w:tab/>
        <w:t xml:space="preserve">Esta modificación es importante, pues antes de la Ley de Emprendimiento era imposible limitar a </w:t>
      </w:r>
      <w:proofErr w:type="spellStart"/>
      <w:r w:rsidRPr="003E56B0">
        <w:rPr>
          <w:rFonts w:ascii="Arial" w:eastAsia="Calibri" w:hAnsi="Arial" w:cs="Arial"/>
          <w:bCs/>
          <w:sz w:val="22"/>
          <w:lang w:val="es-ES_tradnl"/>
        </w:rPr>
        <w:t>mipymes</w:t>
      </w:r>
      <w:proofErr w:type="spellEnd"/>
      <w:r w:rsidRPr="003E56B0">
        <w:rPr>
          <w:rFonts w:ascii="Arial" w:eastAsia="Calibri" w:hAnsi="Arial" w:cs="Arial"/>
          <w:bCs/>
          <w:sz w:val="22"/>
          <w:lang w:val="es-ES_tradnl"/>
        </w:rPr>
        <w:t xml:space="preserve"> la mínima cuantía, especialmente, cuando el artículo 94 la Ley 1474 de 2011 disponía que no era aplicable la Ley 816 de 2003, «Por medio de la cual se apoya a la industria nacional a través de la contratación pública</w:t>
      </w:r>
      <w:r w:rsidRPr="003E56B0">
        <w:rPr>
          <w:rFonts w:ascii="Arial" w:hAnsi="Arial" w:cs="Arial"/>
          <w:sz w:val="22"/>
        </w:rPr>
        <w:t xml:space="preserve">», ni </w:t>
      </w:r>
      <w:r w:rsidRPr="003E56B0">
        <w:rPr>
          <w:rFonts w:ascii="Arial" w:eastAsia="Calibri" w:hAnsi="Arial" w:cs="Arial"/>
          <w:bCs/>
          <w:sz w:val="22"/>
          <w:lang w:val="es-ES_tradnl"/>
        </w:rPr>
        <w:t xml:space="preserve">el artículo 12 de la Ley 1150 de 2007, relacionado con la promoción del desarrollo en la contratación pública. A partir de la expedición del artículo 30, parágrafo 2, de la Ley 2069 de 2020, «La contratación a que se refiere el presente artículo se realizará exclusivamente con las reglas en él contempladas y en su reglamentación. En particular no se aplicará lo previsto en la Ley 816 de 2003». Es decir, al no prohibir la aplicación del artículo 12 de la Ley 1150 de 2007, la norma –además de reiterar la importancia de su reglamentación posterior– permite las convocatorias limitadas a </w:t>
      </w:r>
      <w:proofErr w:type="spellStart"/>
      <w:r w:rsidRPr="003E56B0">
        <w:rPr>
          <w:rFonts w:ascii="Arial" w:eastAsia="Calibri" w:hAnsi="Arial" w:cs="Arial"/>
          <w:bCs/>
          <w:sz w:val="22"/>
          <w:lang w:val="es-ES_tradnl"/>
        </w:rPr>
        <w:t>mipymes</w:t>
      </w:r>
      <w:proofErr w:type="spellEnd"/>
      <w:r w:rsidRPr="003E56B0">
        <w:rPr>
          <w:rFonts w:ascii="Arial" w:eastAsia="Calibri" w:hAnsi="Arial" w:cs="Arial"/>
          <w:bCs/>
          <w:sz w:val="22"/>
          <w:lang w:val="es-ES_tradnl"/>
        </w:rPr>
        <w:t xml:space="preserve"> en esta modalidad de selección.</w:t>
      </w:r>
    </w:p>
    <w:p w14:paraId="7CCC51DA" w14:textId="3AEB0E92" w:rsidR="00BB6979" w:rsidRPr="003E56B0" w:rsidRDefault="00BB6979" w:rsidP="00BB6979">
      <w:pPr>
        <w:tabs>
          <w:tab w:val="left" w:pos="709"/>
        </w:tabs>
        <w:spacing w:after="120" w:line="276" w:lineRule="auto"/>
        <w:jc w:val="both"/>
        <w:rPr>
          <w:rFonts w:ascii="Arial" w:eastAsia="Calibri" w:hAnsi="Arial" w:cs="Arial"/>
          <w:bCs/>
          <w:sz w:val="22"/>
          <w:lang w:val="es-ES_tradnl"/>
        </w:rPr>
      </w:pPr>
      <w:r w:rsidRPr="003E56B0">
        <w:rPr>
          <w:rFonts w:ascii="Arial" w:eastAsia="Calibri" w:hAnsi="Arial" w:cs="Arial"/>
          <w:bCs/>
          <w:sz w:val="22"/>
          <w:lang w:val="es-ES_tradnl"/>
        </w:rPr>
        <w:tab/>
        <w:t xml:space="preserve">Como se observa, el parágrafo 1 del artículo 30 de la Ley 2069 de 2020 dispone que el reglamento es importante para regular i) las «particularidades del procedimiento de selección» y </w:t>
      </w:r>
      <w:proofErr w:type="spellStart"/>
      <w:r w:rsidRPr="003E56B0">
        <w:rPr>
          <w:rFonts w:ascii="Arial" w:eastAsia="Calibri" w:hAnsi="Arial" w:cs="Arial"/>
          <w:bCs/>
          <w:sz w:val="22"/>
          <w:lang w:val="es-ES_tradnl"/>
        </w:rPr>
        <w:t>ii</w:t>
      </w:r>
      <w:proofErr w:type="spellEnd"/>
      <w:r w:rsidRPr="003E56B0">
        <w:rPr>
          <w:rFonts w:ascii="Arial" w:eastAsia="Calibri" w:hAnsi="Arial" w:cs="Arial"/>
          <w:bCs/>
          <w:sz w:val="22"/>
          <w:lang w:val="es-ES_tradnl"/>
        </w:rPr>
        <w:t xml:space="preserve">) la posibilidad de realizar estas adquisiciones a </w:t>
      </w:r>
      <w:proofErr w:type="spellStart"/>
      <w:r w:rsidRPr="003E56B0">
        <w:rPr>
          <w:rFonts w:ascii="Arial" w:eastAsia="Calibri" w:hAnsi="Arial" w:cs="Arial"/>
          <w:bCs/>
          <w:sz w:val="22"/>
          <w:lang w:val="es-ES_tradnl"/>
        </w:rPr>
        <w:t>mipymes</w:t>
      </w:r>
      <w:proofErr w:type="spellEnd"/>
      <w:r w:rsidRPr="003E56B0">
        <w:rPr>
          <w:rFonts w:ascii="Arial" w:eastAsia="Calibri" w:hAnsi="Arial" w:cs="Arial"/>
          <w:bCs/>
          <w:sz w:val="22"/>
          <w:lang w:val="es-ES_tradnl"/>
        </w:rPr>
        <w:t xml:space="preserve"> o establecimientos que correspondan a la definición de «gran almacén». No obstante, ¿es necesario el desarrollo normativo para la vigencia de la mínima cuantía? En principio, la respuesta positiva a esta inquietud se fundamentaría en la necesidad de que el reglamento precise los detalles del procedimiento de selección.</w:t>
      </w:r>
    </w:p>
    <w:p w14:paraId="456D1C38" w14:textId="77777777" w:rsidR="00BB6979" w:rsidRPr="003E56B0" w:rsidRDefault="00BB6979" w:rsidP="00BB6979">
      <w:pPr>
        <w:tabs>
          <w:tab w:val="left" w:pos="709"/>
        </w:tabs>
        <w:spacing w:after="120" w:line="276" w:lineRule="auto"/>
        <w:jc w:val="both"/>
        <w:rPr>
          <w:rFonts w:ascii="Arial" w:eastAsia="Calibri" w:hAnsi="Arial" w:cs="Arial"/>
          <w:bCs/>
          <w:sz w:val="22"/>
          <w:lang w:val="es-ES_tradnl"/>
        </w:rPr>
      </w:pPr>
      <w:r w:rsidRPr="003E56B0">
        <w:rPr>
          <w:rFonts w:ascii="Arial" w:eastAsia="Calibri" w:hAnsi="Arial" w:cs="Arial"/>
          <w:bCs/>
          <w:sz w:val="22"/>
          <w:lang w:val="es-ES_tradnl"/>
        </w:rPr>
        <w:lastRenderedPageBreak/>
        <w:tab/>
        <w:t>La Subdirección de Gestión Contractual no comparte esta tesis, porque si la ley define los aspectos generales del procedimiento, estos vinculan directamente a las entidades estatales. En efecto, «[…] el propósito del legislador fue delimitar sólo los principios que rigen la contratación pública, con el fin de orientar la gestión contractual. A diferencia de una ley general o de una ley marco, la técnica legislativa de los principios no busca un desarrollo ulterior a través del reglamento, sino unas bases para la actuación inmediata, sin que sea necesaria la intermediación del desarrollo reglamentario […]»</w:t>
      </w:r>
      <w:r w:rsidRPr="003E56B0">
        <w:rPr>
          <w:rStyle w:val="Refdenotaalpie"/>
          <w:rFonts w:ascii="Arial" w:eastAsia="Calibri" w:hAnsi="Arial" w:cs="Arial"/>
          <w:bCs/>
          <w:sz w:val="22"/>
          <w:lang w:val="es-ES_tradnl"/>
        </w:rPr>
        <w:footnoteReference w:id="8"/>
      </w:r>
      <w:r w:rsidRPr="003E56B0">
        <w:rPr>
          <w:rFonts w:ascii="Arial" w:eastAsia="Calibri" w:hAnsi="Arial" w:cs="Arial"/>
          <w:bCs/>
          <w:sz w:val="22"/>
          <w:lang w:val="es-ES_tradnl"/>
        </w:rPr>
        <w:t xml:space="preserve">. </w:t>
      </w:r>
    </w:p>
    <w:p w14:paraId="05E06C49" w14:textId="77777777" w:rsidR="00BB6979" w:rsidRPr="003E56B0" w:rsidRDefault="00BB6979" w:rsidP="00BB6979">
      <w:pPr>
        <w:tabs>
          <w:tab w:val="left" w:pos="709"/>
        </w:tabs>
        <w:spacing w:line="276" w:lineRule="auto"/>
        <w:jc w:val="both"/>
        <w:rPr>
          <w:rFonts w:ascii="Arial" w:eastAsia="Calibri" w:hAnsi="Arial" w:cs="Arial"/>
          <w:bCs/>
          <w:sz w:val="22"/>
          <w:lang w:val="es-ES_tradnl"/>
        </w:rPr>
      </w:pPr>
      <w:r w:rsidRPr="003E56B0">
        <w:rPr>
          <w:rFonts w:ascii="Arial" w:eastAsia="Calibri" w:hAnsi="Arial" w:cs="Arial"/>
          <w:bCs/>
          <w:sz w:val="22"/>
          <w:lang w:val="es-ES_tradnl"/>
        </w:rPr>
        <w:tab/>
        <w:t xml:space="preserve">Por tanto, dado que el artículo 30 de la Ley 2069 de 2020 regula aspectos de la mínima cuantía como i) el término mínimo para publicar la invitación, </w:t>
      </w:r>
      <w:proofErr w:type="spellStart"/>
      <w:r w:rsidRPr="003E56B0">
        <w:rPr>
          <w:rFonts w:ascii="Arial" w:eastAsia="Calibri" w:hAnsi="Arial" w:cs="Arial"/>
          <w:bCs/>
          <w:sz w:val="22"/>
          <w:lang w:val="es-ES_tradnl"/>
        </w:rPr>
        <w:t>ii</w:t>
      </w:r>
      <w:proofErr w:type="spellEnd"/>
      <w:r w:rsidRPr="003E56B0">
        <w:rPr>
          <w:rFonts w:ascii="Arial" w:eastAsia="Calibri" w:hAnsi="Arial" w:cs="Arial"/>
          <w:bCs/>
          <w:sz w:val="22"/>
          <w:lang w:val="es-ES_tradnl"/>
        </w:rPr>
        <w:t xml:space="preserve">) el plazo mínimo de recepción de las ofertas, </w:t>
      </w:r>
      <w:proofErr w:type="spellStart"/>
      <w:r w:rsidRPr="003E56B0">
        <w:rPr>
          <w:rFonts w:ascii="Arial" w:eastAsia="Calibri" w:hAnsi="Arial" w:cs="Arial"/>
          <w:bCs/>
          <w:sz w:val="22"/>
          <w:lang w:val="es-ES_tradnl"/>
        </w:rPr>
        <w:t>iii</w:t>
      </w:r>
      <w:proofErr w:type="spellEnd"/>
      <w:r w:rsidRPr="003E56B0">
        <w:rPr>
          <w:rFonts w:ascii="Arial" w:eastAsia="Calibri" w:hAnsi="Arial" w:cs="Arial"/>
          <w:bCs/>
          <w:sz w:val="22"/>
          <w:lang w:val="es-ES_tradnl"/>
        </w:rPr>
        <w:t xml:space="preserve">) el factor de evaluación que define la selección del proponente y </w:t>
      </w:r>
      <w:proofErr w:type="spellStart"/>
      <w:r w:rsidRPr="003E56B0">
        <w:rPr>
          <w:rFonts w:ascii="Arial" w:eastAsia="Calibri" w:hAnsi="Arial" w:cs="Arial"/>
          <w:bCs/>
          <w:sz w:val="22"/>
          <w:lang w:val="es-ES_tradnl"/>
        </w:rPr>
        <w:t>iv</w:t>
      </w:r>
      <w:proofErr w:type="spellEnd"/>
      <w:r w:rsidRPr="003E56B0">
        <w:rPr>
          <w:rFonts w:ascii="Arial" w:eastAsia="Calibri" w:hAnsi="Arial" w:cs="Arial"/>
          <w:bCs/>
          <w:sz w:val="22"/>
          <w:lang w:val="es-ES_tradnl"/>
        </w:rPr>
        <w:t xml:space="preserve">) el perfeccionamiento del contrato, las entidades deben estructurar sus procedimientos de selección de acuerdo con estos parámetros, los cuales tienen una aplicación inmediata sin que el reglamento condicione si vigencia. En otras palabras, la mínima cuantía es directamente aplicable, sin perjuicio de que a través del ejercicio de la potestad reglamentaria se desarrolle específicamente la «Singularidad, especialidad e individualidad» del trámite, así como realización estas adquisiciones a </w:t>
      </w:r>
      <w:proofErr w:type="spellStart"/>
      <w:r w:rsidRPr="003E56B0">
        <w:rPr>
          <w:rFonts w:ascii="Arial" w:eastAsia="Calibri" w:hAnsi="Arial" w:cs="Arial"/>
          <w:bCs/>
          <w:sz w:val="22"/>
          <w:lang w:val="es-ES_tradnl"/>
        </w:rPr>
        <w:t>mipymes</w:t>
      </w:r>
      <w:proofErr w:type="spellEnd"/>
      <w:r w:rsidRPr="003E56B0">
        <w:rPr>
          <w:rFonts w:ascii="Arial" w:eastAsia="Calibri" w:hAnsi="Arial" w:cs="Arial"/>
          <w:bCs/>
          <w:sz w:val="22"/>
          <w:lang w:val="es-ES_tradnl"/>
        </w:rPr>
        <w:t xml:space="preserve"> o establecimientos que correspondan a la definición de «gran almacén».</w:t>
      </w:r>
    </w:p>
    <w:p w14:paraId="0DA6DB21" w14:textId="77777777" w:rsidR="00BB6979" w:rsidRPr="003E56B0" w:rsidRDefault="00BB6979" w:rsidP="00BB6979">
      <w:pPr>
        <w:tabs>
          <w:tab w:val="left" w:pos="709"/>
        </w:tabs>
        <w:spacing w:line="276" w:lineRule="auto"/>
        <w:jc w:val="both"/>
        <w:rPr>
          <w:rFonts w:ascii="Arial" w:eastAsia="Calibri" w:hAnsi="Arial" w:cs="Arial"/>
          <w:bCs/>
          <w:sz w:val="22"/>
          <w:lang w:val="es-ES_tradnl"/>
        </w:rPr>
      </w:pPr>
    </w:p>
    <w:p w14:paraId="553133B7" w14:textId="77777777" w:rsidR="00BB6979" w:rsidRPr="003E56B0" w:rsidRDefault="00BB6979" w:rsidP="00BB6979">
      <w:pPr>
        <w:tabs>
          <w:tab w:val="left" w:pos="709"/>
        </w:tabs>
        <w:spacing w:line="276" w:lineRule="auto"/>
        <w:jc w:val="both"/>
        <w:rPr>
          <w:rFonts w:ascii="Arial" w:eastAsia="Calibri" w:hAnsi="Arial" w:cs="Arial"/>
          <w:b/>
          <w:i/>
          <w:iCs/>
          <w:sz w:val="22"/>
          <w:lang w:val="es-ES_tradnl"/>
        </w:rPr>
      </w:pPr>
      <w:r w:rsidRPr="003E56B0">
        <w:rPr>
          <w:rFonts w:ascii="Arial" w:eastAsia="Calibri" w:hAnsi="Arial" w:cs="Arial"/>
          <w:b/>
          <w:i/>
          <w:iCs/>
          <w:sz w:val="22"/>
          <w:lang w:val="es-ES_tradnl"/>
        </w:rPr>
        <w:t xml:space="preserve">2.1.2. Criterios diferenciales para </w:t>
      </w:r>
      <w:proofErr w:type="spellStart"/>
      <w:r w:rsidRPr="003E56B0">
        <w:rPr>
          <w:rFonts w:ascii="Arial" w:eastAsia="Calibri" w:hAnsi="Arial" w:cs="Arial"/>
          <w:b/>
          <w:i/>
          <w:iCs/>
          <w:sz w:val="22"/>
          <w:lang w:val="es-ES_tradnl"/>
        </w:rPr>
        <w:t>mipymes</w:t>
      </w:r>
      <w:proofErr w:type="spellEnd"/>
      <w:r w:rsidRPr="003E56B0">
        <w:rPr>
          <w:rFonts w:ascii="Arial" w:eastAsia="Calibri" w:hAnsi="Arial" w:cs="Arial"/>
          <w:b/>
          <w:i/>
          <w:iCs/>
          <w:sz w:val="22"/>
          <w:lang w:val="es-ES_tradnl"/>
        </w:rPr>
        <w:t xml:space="preserve"> en el sistema de compra pública</w:t>
      </w:r>
    </w:p>
    <w:p w14:paraId="5B99CC32" w14:textId="77777777" w:rsidR="00BB6979" w:rsidRPr="003E56B0" w:rsidRDefault="00BB6979" w:rsidP="00BB6979">
      <w:pPr>
        <w:tabs>
          <w:tab w:val="left" w:pos="709"/>
        </w:tabs>
        <w:spacing w:line="276" w:lineRule="auto"/>
        <w:jc w:val="both"/>
        <w:rPr>
          <w:rFonts w:ascii="Arial" w:eastAsia="Calibri" w:hAnsi="Arial" w:cs="Arial"/>
          <w:bCs/>
          <w:sz w:val="22"/>
          <w:lang w:val="es-ES_tradnl"/>
        </w:rPr>
      </w:pPr>
    </w:p>
    <w:p w14:paraId="363B7667" w14:textId="77777777" w:rsidR="00BB6979" w:rsidRPr="003E56B0" w:rsidRDefault="00BB6979" w:rsidP="00BB6979">
      <w:pPr>
        <w:tabs>
          <w:tab w:val="left" w:pos="709"/>
        </w:tabs>
        <w:spacing w:after="120" w:line="276" w:lineRule="auto"/>
        <w:jc w:val="both"/>
        <w:rPr>
          <w:rFonts w:ascii="Arial" w:eastAsia="Calibri" w:hAnsi="Arial" w:cs="Arial"/>
          <w:bCs/>
          <w:sz w:val="22"/>
        </w:rPr>
      </w:pPr>
      <w:r w:rsidRPr="003E56B0">
        <w:rPr>
          <w:rFonts w:ascii="Arial" w:eastAsia="Calibri" w:hAnsi="Arial" w:cs="Arial"/>
          <w:bCs/>
          <w:sz w:val="22"/>
          <w:lang w:val="es-ES_tradnl"/>
        </w:rPr>
        <w:t xml:space="preserve">El artículo 31 </w:t>
      </w:r>
      <w:r w:rsidRPr="003E56B0">
        <w:rPr>
          <w:rFonts w:ascii="Arial" w:eastAsia="Calibri" w:hAnsi="Arial" w:cs="Arial"/>
          <w:bCs/>
          <w:sz w:val="22"/>
        </w:rPr>
        <w:t xml:space="preserve">de la Ley 2069 de 2020 introduce criterios diferenciales para el acceso de las </w:t>
      </w:r>
      <w:proofErr w:type="spellStart"/>
      <w:r w:rsidRPr="003E56B0">
        <w:rPr>
          <w:rFonts w:ascii="Arial" w:eastAsia="Calibri" w:hAnsi="Arial" w:cs="Arial"/>
          <w:bCs/>
          <w:sz w:val="22"/>
        </w:rPr>
        <w:t>mipymes</w:t>
      </w:r>
      <w:proofErr w:type="spellEnd"/>
      <w:r w:rsidRPr="003E56B0">
        <w:rPr>
          <w:rFonts w:ascii="Arial" w:eastAsia="Calibri" w:hAnsi="Arial" w:cs="Arial"/>
          <w:bCs/>
          <w:sz w:val="22"/>
        </w:rPr>
        <w:t xml:space="preserve"> al sistema de compras y contratación pública. Para estos efectos, el inciso primero dispone que «Las Entidades Estatales de acuerdo con el análisis de Sector </w:t>
      </w:r>
      <w:bookmarkStart w:id="8" w:name="_Hlk63767562"/>
      <w:r w:rsidRPr="003E56B0">
        <w:rPr>
          <w:rFonts w:ascii="Arial" w:eastAsia="Calibri" w:hAnsi="Arial" w:cs="Arial"/>
          <w:bCs/>
          <w:sz w:val="22"/>
        </w:rPr>
        <w:t>podrán incluir, en los Documentos del Proceso, requisitos diferenciales y puntajes adicionales</w:t>
      </w:r>
      <w:bookmarkEnd w:id="8"/>
      <w:r w:rsidRPr="003E56B0">
        <w:rPr>
          <w:rFonts w:ascii="Arial" w:eastAsia="Calibri" w:hAnsi="Arial" w:cs="Arial"/>
          <w:bCs/>
          <w:sz w:val="22"/>
        </w:rPr>
        <w:t xml:space="preserve">, en función del tamaño empresarial para la promoción del acceso de las MIPYMES al mercado de Compras Públicas».  </w:t>
      </w:r>
    </w:p>
    <w:p w14:paraId="223A17E6" w14:textId="77777777" w:rsidR="00BB6979" w:rsidRPr="003E56B0" w:rsidRDefault="00BB6979" w:rsidP="00BB6979">
      <w:pPr>
        <w:tabs>
          <w:tab w:val="left" w:pos="709"/>
        </w:tabs>
        <w:spacing w:after="120" w:line="276" w:lineRule="auto"/>
        <w:jc w:val="both"/>
        <w:rPr>
          <w:rFonts w:ascii="Arial" w:eastAsia="Calibri" w:hAnsi="Arial" w:cs="Arial"/>
          <w:bCs/>
          <w:sz w:val="22"/>
        </w:rPr>
      </w:pPr>
      <w:r w:rsidRPr="003E56B0">
        <w:rPr>
          <w:rFonts w:ascii="Arial" w:eastAsia="Calibri" w:hAnsi="Arial" w:cs="Arial"/>
          <w:bCs/>
          <w:sz w:val="22"/>
        </w:rPr>
        <w:tab/>
        <w:t xml:space="preserve">La aplicación de los «criterios diferenciales», los cuales incluyen tanto los «requisitos diferenciales» como los «puntajes adicionales», depende de las conclusiones del estudio del sector. Esto significa </w:t>
      </w:r>
      <w:proofErr w:type="gramStart"/>
      <w:r w:rsidRPr="003E56B0">
        <w:rPr>
          <w:rFonts w:ascii="Arial" w:eastAsia="Calibri" w:hAnsi="Arial" w:cs="Arial"/>
          <w:bCs/>
          <w:sz w:val="22"/>
        </w:rPr>
        <w:t>que</w:t>
      </w:r>
      <w:proofErr w:type="gramEnd"/>
      <w:r w:rsidRPr="003E56B0">
        <w:rPr>
          <w:rFonts w:ascii="Arial" w:eastAsia="Calibri" w:hAnsi="Arial" w:cs="Arial"/>
          <w:bCs/>
          <w:sz w:val="22"/>
        </w:rPr>
        <w:t xml:space="preserve"> </w:t>
      </w:r>
      <w:bookmarkStart w:id="9" w:name="_Hlk63771460"/>
      <w:r w:rsidRPr="003E56B0">
        <w:rPr>
          <w:rFonts w:ascii="Arial" w:eastAsia="Calibri" w:hAnsi="Arial" w:cs="Arial"/>
          <w:bCs/>
          <w:sz w:val="22"/>
        </w:rPr>
        <w:t>si después del análisis de mercado de los potenciales oferentes</w:t>
      </w:r>
      <w:bookmarkEnd w:id="9"/>
      <w:r w:rsidRPr="003E56B0">
        <w:rPr>
          <w:rFonts w:ascii="Arial" w:eastAsia="Calibri" w:hAnsi="Arial" w:cs="Arial"/>
          <w:bCs/>
          <w:sz w:val="22"/>
        </w:rPr>
        <w:t xml:space="preserve"> no existe la posibilidad de que alguna </w:t>
      </w:r>
      <w:proofErr w:type="spellStart"/>
      <w:r w:rsidRPr="003E56B0">
        <w:rPr>
          <w:rFonts w:ascii="Arial" w:eastAsia="Calibri" w:hAnsi="Arial" w:cs="Arial"/>
          <w:bCs/>
          <w:sz w:val="22"/>
        </w:rPr>
        <w:t>mipyme</w:t>
      </w:r>
      <w:proofErr w:type="spellEnd"/>
      <w:r w:rsidRPr="003E56B0">
        <w:rPr>
          <w:rFonts w:ascii="Arial" w:eastAsia="Calibri" w:hAnsi="Arial" w:cs="Arial"/>
          <w:bCs/>
          <w:sz w:val="22"/>
        </w:rPr>
        <w:t xml:space="preserve"> se presente al procedimiento de selección, carece de sentido aplicar el artículo en comento por sustracción de materia: </w:t>
      </w:r>
      <w:r w:rsidRPr="003E56B0">
        <w:rPr>
          <w:rFonts w:ascii="Arial" w:eastAsia="Calibri" w:hAnsi="Arial" w:cs="Arial"/>
          <w:bCs/>
          <w:i/>
          <w:iCs/>
          <w:sz w:val="22"/>
        </w:rPr>
        <w:t xml:space="preserve">ad </w:t>
      </w:r>
      <w:proofErr w:type="spellStart"/>
      <w:r w:rsidRPr="003E56B0">
        <w:rPr>
          <w:rFonts w:ascii="Arial" w:eastAsia="Calibri" w:hAnsi="Arial" w:cs="Arial"/>
          <w:bCs/>
          <w:i/>
          <w:iCs/>
          <w:sz w:val="22"/>
        </w:rPr>
        <w:t>imposibilia</w:t>
      </w:r>
      <w:proofErr w:type="spellEnd"/>
      <w:r w:rsidRPr="003E56B0">
        <w:rPr>
          <w:rFonts w:ascii="Arial" w:eastAsia="Calibri" w:hAnsi="Arial" w:cs="Arial"/>
          <w:bCs/>
          <w:i/>
          <w:iCs/>
          <w:sz w:val="22"/>
        </w:rPr>
        <w:t xml:space="preserve"> </w:t>
      </w:r>
      <w:proofErr w:type="spellStart"/>
      <w:r w:rsidRPr="003E56B0">
        <w:rPr>
          <w:rFonts w:ascii="Arial" w:eastAsia="Calibri" w:hAnsi="Arial" w:cs="Arial"/>
          <w:bCs/>
          <w:i/>
          <w:iCs/>
          <w:sz w:val="22"/>
        </w:rPr>
        <w:t>nemo</w:t>
      </w:r>
      <w:proofErr w:type="spellEnd"/>
      <w:r w:rsidRPr="003E56B0">
        <w:rPr>
          <w:rFonts w:ascii="Arial" w:eastAsia="Calibri" w:hAnsi="Arial" w:cs="Arial"/>
          <w:bCs/>
          <w:i/>
          <w:iCs/>
          <w:sz w:val="22"/>
        </w:rPr>
        <w:t xml:space="preserve"> </w:t>
      </w:r>
      <w:proofErr w:type="spellStart"/>
      <w:r w:rsidRPr="003E56B0">
        <w:rPr>
          <w:rFonts w:ascii="Arial" w:eastAsia="Calibri" w:hAnsi="Arial" w:cs="Arial"/>
          <w:bCs/>
          <w:i/>
          <w:iCs/>
          <w:sz w:val="22"/>
        </w:rPr>
        <w:t>tenetur</w:t>
      </w:r>
      <w:proofErr w:type="spellEnd"/>
      <w:r w:rsidRPr="003E56B0">
        <w:rPr>
          <w:rFonts w:ascii="Arial" w:eastAsia="Calibri" w:hAnsi="Arial" w:cs="Arial"/>
          <w:bCs/>
          <w:sz w:val="22"/>
        </w:rPr>
        <w:t xml:space="preserve">. </w:t>
      </w:r>
    </w:p>
    <w:p w14:paraId="29B39B29" w14:textId="669ABE38" w:rsidR="00BB6979" w:rsidRPr="003E56B0" w:rsidRDefault="00BB6979" w:rsidP="00BB6979">
      <w:pPr>
        <w:tabs>
          <w:tab w:val="left" w:pos="709"/>
        </w:tabs>
        <w:spacing w:line="276" w:lineRule="auto"/>
        <w:jc w:val="both"/>
        <w:rPr>
          <w:rFonts w:ascii="Arial" w:eastAsia="Calibri" w:hAnsi="Arial" w:cs="Arial"/>
          <w:bCs/>
          <w:sz w:val="22"/>
        </w:rPr>
      </w:pPr>
      <w:r w:rsidRPr="003E56B0">
        <w:rPr>
          <w:rFonts w:ascii="Arial" w:eastAsia="Calibri" w:hAnsi="Arial" w:cs="Arial"/>
          <w:bCs/>
          <w:sz w:val="22"/>
        </w:rPr>
        <w:tab/>
        <w:t xml:space="preserve">No obstante, el inciso segundo y el parágrafo del </w:t>
      </w:r>
      <w:r w:rsidRPr="003E56B0">
        <w:rPr>
          <w:rFonts w:ascii="Arial" w:eastAsia="Calibri" w:hAnsi="Arial" w:cs="Arial"/>
          <w:bCs/>
          <w:sz w:val="22"/>
          <w:lang w:val="es-ES_tradnl"/>
        </w:rPr>
        <w:t xml:space="preserve">artículo 31 </w:t>
      </w:r>
      <w:r w:rsidRPr="003E56B0">
        <w:rPr>
          <w:rFonts w:ascii="Arial" w:eastAsia="Calibri" w:hAnsi="Arial" w:cs="Arial"/>
          <w:bCs/>
          <w:sz w:val="22"/>
        </w:rPr>
        <w:t xml:space="preserve">de la Ley 2069 de 2020 disponen, respectivamente, que «El Gobierno Nacional reglamentará la definición de los criterios diferenciales, sobre reglas objetivas [relacionadas con «requisitos diferenciales» y «puntajes adicionales»] que podrán implementar las Entidades Estatales» (Corchetes fuera </w:t>
      </w:r>
      <w:r w:rsidRPr="003E56B0">
        <w:rPr>
          <w:rFonts w:ascii="Arial" w:eastAsia="Calibri" w:hAnsi="Arial" w:cs="Arial"/>
          <w:bCs/>
          <w:sz w:val="22"/>
        </w:rPr>
        <w:lastRenderedPageBreak/>
        <w:t>de texto) y que «Dentro de los criterios diferenciales que reglamente el Gobierno Nacional se dará prioridad a la contratación de producción nacional sin perjuicio de los compromisos comerciales adquiridos con otros Estados»,</w:t>
      </w:r>
      <w:r w:rsidR="00D10219">
        <w:rPr>
          <w:rFonts w:ascii="Arial" w:eastAsia="Calibri" w:hAnsi="Arial" w:cs="Arial"/>
          <w:bCs/>
          <w:sz w:val="22"/>
        </w:rPr>
        <w:t xml:space="preserve"> por lo que</w:t>
      </w:r>
      <w:r w:rsidRPr="003E56B0">
        <w:rPr>
          <w:rFonts w:ascii="Arial" w:eastAsia="Calibri" w:hAnsi="Arial" w:cs="Arial"/>
          <w:bCs/>
          <w:sz w:val="22"/>
        </w:rPr>
        <w:t xml:space="preserve"> esta norma también dispone el desarrollo reglamentario como una condición previa para su aplicación.</w:t>
      </w:r>
    </w:p>
    <w:p w14:paraId="6A544E1B" w14:textId="77777777" w:rsidR="00BB6979" w:rsidRPr="003E56B0" w:rsidRDefault="00BB6979" w:rsidP="00BB6979">
      <w:pPr>
        <w:tabs>
          <w:tab w:val="left" w:pos="709"/>
        </w:tabs>
        <w:spacing w:line="276" w:lineRule="auto"/>
        <w:jc w:val="both"/>
        <w:rPr>
          <w:rFonts w:ascii="Arial" w:eastAsia="Calibri" w:hAnsi="Arial" w:cs="Arial"/>
          <w:bCs/>
          <w:sz w:val="22"/>
        </w:rPr>
      </w:pPr>
      <w:r w:rsidRPr="003E56B0">
        <w:rPr>
          <w:rFonts w:ascii="Arial" w:eastAsia="Calibri" w:hAnsi="Arial" w:cs="Arial"/>
          <w:bCs/>
          <w:sz w:val="22"/>
        </w:rPr>
        <w:t xml:space="preserve"> </w:t>
      </w:r>
    </w:p>
    <w:p w14:paraId="3F455653" w14:textId="77777777" w:rsidR="00BB6979" w:rsidRPr="003E56B0" w:rsidRDefault="00BB6979" w:rsidP="00BB6979">
      <w:pPr>
        <w:tabs>
          <w:tab w:val="left" w:pos="709"/>
        </w:tabs>
        <w:spacing w:line="276" w:lineRule="auto"/>
        <w:jc w:val="both"/>
        <w:rPr>
          <w:rFonts w:ascii="Arial" w:eastAsia="Calibri" w:hAnsi="Arial" w:cs="Arial"/>
          <w:b/>
          <w:i/>
          <w:iCs/>
          <w:sz w:val="22"/>
        </w:rPr>
      </w:pPr>
      <w:r w:rsidRPr="003E56B0">
        <w:rPr>
          <w:rFonts w:ascii="Arial" w:eastAsia="Calibri" w:hAnsi="Arial" w:cs="Arial"/>
          <w:b/>
          <w:i/>
          <w:iCs/>
          <w:sz w:val="22"/>
        </w:rPr>
        <w:t>2.1.3. Criterios diferenciales para emprendimientos y empresas de mujeres en el sistema de compras públicas</w:t>
      </w:r>
    </w:p>
    <w:p w14:paraId="620D72EF" w14:textId="77777777" w:rsidR="00BB6979" w:rsidRPr="003E56B0" w:rsidRDefault="00BB6979" w:rsidP="00BB6979">
      <w:pPr>
        <w:tabs>
          <w:tab w:val="left" w:pos="709"/>
        </w:tabs>
        <w:spacing w:line="276" w:lineRule="auto"/>
        <w:jc w:val="both"/>
        <w:rPr>
          <w:rFonts w:ascii="Arial" w:eastAsia="Calibri" w:hAnsi="Arial" w:cs="Arial"/>
          <w:b/>
          <w:sz w:val="22"/>
        </w:rPr>
      </w:pPr>
    </w:p>
    <w:p w14:paraId="38FF3149" w14:textId="77777777" w:rsidR="00BB6979" w:rsidRPr="003E56B0" w:rsidRDefault="00BB6979" w:rsidP="00BB6979">
      <w:pPr>
        <w:tabs>
          <w:tab w:val="left" w:pos="709"/>
        </w:tabs>
        <w:spacing w:after="120" w:line="276" w:lineRule="auto"/>
        <w:jc w:val="both"/>
        <w:rPr>
          <w:rFonts w:ascii="Arial" w:eastAsia="Calibri" w:hAnsi="Arial" w:cs="Arial"/>
          <w:bCs/>
          <w:sz w:val="22"/>
        </w:rPr>
      </w:pPr>
      <w:r w:rsidRPr="003E56B0">
        <w:rPr>
          <w:rFonts w:ascii="Arial" w:eastAsia="Calibri" w:hAnsi="Arial" w:cs="Arial"/>
          <w:bCs/>
          <w:sz w:val="22"/>
        </w:rPr>
        <w:t xml:space="preserve">El artículo 32 de la Ley 2069 de 2020 regula criterios diferenciales para los «emprendimientos y empresas de mujeres» en el sistema de compras y contratación pública. En relación con este aspecto, el inciso primero de la norma citada prescribe lo siguiente: «De acuerdo con el resultado del análisis del sector, las entidades estatales incluirán requisitos diferenciales y puntajes adicionales en los procesos de </w:t>
      </w:r>
      <w:bookmarkStart w:id="10" w:name="_Hlk63770487"/>
      <w:r w:rsidRPr="003E56B0">
        <w:rPr>
          <w:rFonts w:ascii="Arial" w:eastAsia="Calibri" w:hAnsi="Arial" w:cs="Arial"/>
          <w:bCs/>
          <w:sz w:val="22"/>
        </w:rPr>
        <w:t>licitación pública, selección abreviada de menor cuantía y concurso de méritos</w:t>
      </w:r>
      <w:bookmarkEnd w:id="10"/>
      <w:r w:rsidRPr="003E56B0">
        <w:rPr>
          <w:rFonts w:ascii="Arial" w:eastAsia="Calibri" w:hAnsi="Arial" w:cs="Arial"/>
          <w:bCs/>
          <w:sz w:val="22"/>
        </w:rPr>
        <w:t>, así como en los procesos competitivos que adelanten las entidades estatales que no apliquen en su gestión contractual el Estatuto General de Contratación Administrativa, como medidas de acción afirmativa, para incentivar emprendimientos y empresas de mujeres en el sistema de compras públicas, sin perjuicio de los compromisos adquiridos por Colombia en los acuerdos comerciales en vigor».</w:t>
      </w:r>
    </w:p>
    <w:p w14:paraId="31129E07" w14:textId="77777777" w:rsidR="00BB6979" w:rsidRPr="003E56B0" w:rsidRDefault="00BB6979" w:rsidP="00BB6979">
      <w:pPr>
        <w:tabs>
          <w:tab w:val="left" w:pos="709"/>
        </w:tabs>
        <w:spacing w:after="120" w:line="276" w:lineRule="auto"/>
        <w:jc w:val="both"/>
        <w:rPr>
          <w:rFonts w:ascii="Arial" w:eastAsia="Calibri" w:hAnsi="Arial" w:cs="Arial"/>
          <w:bCs/>
          <w:sz w:val="22"/>
        </w:rPr>
      </w:pPr>
      <w:r w:rsidRPr="003E56B0">
        <w:rPr>
          <w:rFonts w:ascii="Arial" w:eastAsia="Calibri" w:hAnsi="Arial" w:cs="Arial"/>
          <w:bCs/>
          <w:sz w:val="22"/>
        </w:rPr>
        <w:tab/>
        <w:t xml:space="preserve">El contraste con la norma analizada anteriormente salta a la vista. Por un lado, a diferencia del artículo 31 de la Ley de Emprendimiento, los «criterios diferenciales» artículo 32 </w:t>
      </w:r>
      <w:r w:rsidRPr="003E56B0">
        <w:rPr>
          <w:rFonts w:ascii="Arial" w:eastAsia="Calibri" w:hAnsi="Arial" w:cs="Arial"/>
          <w:bCs/>
          <w:i/>
          <w:iCs/>
          <w:sz w:val="22"/>
        </w:rPr>
        <w:t>ibidem</w:t>
      </w:r>
      <w:r w:rsidRPr="003E56B0">
        <w:rPr>
          <w:rFonts w:ascii="Arial" w:eastAsia="Calibri" w:hAnsi="Arial" w:cs="Arial"/>
          <w:bCs/>
          <w:sz w:val="22"/>
        </w:rPr>
        <w:t xml:space="preserve"> –que incluyen tanto los «requisitos diferenciales» como los «puntajes adicionales»– aplican a «[…] los procesos de licitación pública, selección abreviada de menor cuantía y concurso de méritos […]», excluyendo las demás modalidades de selección del artículo 2 de la Ley 1150 de 2007. Por otra parte, sin distinciones ulteriores, la norma en comento también se extiende a todos los procedimientos competitivos previstos en el manual de las entidades excluidas de la Ley 80 de 1993.     </w:t>
      </w:r>
    </w:p>
    <w:p w14:paraId="32454A96" w14:textId="77777777" w:rsidR="00BB6979" w:rsidRPr="003E56B0" w:rsidRDefault="00BB6979" w:rsidP="00BB6979">
      <w:pPr>
        <w:tabs>
          <w:tab w:val="left" w:pos="709"/>
        </w:tabs>
        <w:spacing w:line="276" w:lineRule="auto"/>
        <w:jc w:val="both"/>
        <w:rPr>
          <w:rFonts w:ascii="Arial" w:eastAsia="Calibri" w:hAnsi="Arial" w:cs="Arial"/>
          <w:bCs/>
          <w:sz w:val="22"/>
        </w:rPr>
      </w:pPr>
      <w:r w:rsidRPr="003E56B0">
        <w:rPr>
          <w:rFonts w:ascii="Arial" w:eastAsia="Calibri" w:hAnsi="Arial" w:cs="Arial"/>
          <w:bCs/>
          <w:sz w:val="22"/>
        </w:rPr>
        <w:tab/>
        <w:t xml:space="preserve">No obstante, </w:t>
      </w:r>
      <w:bookmarkStart w:id="11" w:name="_Hlk63879101"/>
      <w:r w:rsidRPr="003E56B0">
        <w:rPr>
          <w:rFonts w:ascii="Arial" w:eastAsia="Calibri" w:hAnsi="Arial" w:cs="Arial"/>
          <w:bCs/>
          <w:sz w:val="22"/>
        </w:rPr>
        <w:t xml:space="preserve">el artículo 32 de la Ley 2069 de 2020 –al igual que el artículo 31– también alude a la necesidad del desarrollo normativo posterior. Al respecto, el parágrafo dispone que «La definición de emprendimientos y empresas de mujeres se reglamentará por el gobierno nacional». Si bien el desarrollo de este concepto condiciona la vigencia de todo el artículo en su conjunto, no cabe duda </w:t>
      </w:r>
      <w:proofErr w:type="gramStart"/>
      <w:r w:rsidRPr="003E56B0">
        <w:rPr>
          <w:rFonts w:ascii="Arial" w:eastAsia="Calibri" w:hAnsi="Arial" w:cs="Arial"/>
          <w:bCs/>
          <w:sz w:val="22"/>
        </w:rPr>
        <w:t>que</w:t>
      </w:r>
      <w:proofErr w:type="gramEnd"/>
      <w:r w:rsidRPr="003E56B0">
        <w:rPr>
          <w:rFonts w:ascii="Arial" w:eastAsia="Calibri" w:hAnsi="Arial" w:cs="Arial"/>
          <w:bCs/>
          <w:sz w:val="22"/>
        </w:rPr>
        <w:t xml:space="preserve"> el reglamento podría intervenir a la definición de los «criterios diferenciales» aunque no exista habilitación expresa por parte del Congreso de la República. Esto en la medida que la potestad reglamentaria se deriva del artículo 189.11 de la Constitución Política para la cumplida ejecución de la ley. </w:t>
      </w:r>
    </w:p>
    <w:bookmarkEnd w:id="11"/>
    <w:p w14:paraId="5ED69C65" w14:textId="77777777" w:rsidR="00124D2B" w:rsidRPr="003E56B0" w:rsidRDefault="00124D2B" w:rsidP="00BB6979">
      <w:pPr>
        <w:tabs>
          <w:tab w:val="left" w:pos="709"/>
        </w:tabs>
        <w:spacing w:line="276" w:lineRule="auto"/>
        <w:jc w:val="both"/>
        <w:rPr>
          <w:rFonts w:ascii="Arial" w:eastAsia="Calibri" w:hAnsi="Arial" w:cs="Arial"/>
          <w:bCs/>
          <w:sz w:val="22"/>
        </w:rPr>
      </w:pPr>
    </w:p>
    <w:p w14:paraId="0825F272" w14:textId="77777777" w:rsidR="00BB6979" w:rsidRPr="003E56B0" w:rsidRDefault="00BB6979" w:rsidP="00BB6979">
      <w:pPr>
        <w:tabs>
          <w:tab w:val="left" w:pos="709"/>
        </w:tabs>
        <w:spacing w:line="276" w:lineRule="auto"/>
        <w:jc w:val="both"/>
        <w:rPr>
          <w:rFonts w:ascii="Arial" w:eastAsia="Calibri" w:hAnsi="Arial" w:cs="Arial"/>
          <w:b/>
          <w:i/>
          <w:iCs/>
          <w:sz w:val="22"/>
        </w:rPr>
      </w:pPr>
      <w:r w:rsidRPr="003E56B0">
        <w:rPr>
          <w:rFonts w:ascii="Arial" w:eastAsia="Calibri" w:hAnsi="Arial" w:cs="Arial"/>
          <w:b/>
          <w:i/>
          <w:iCs/>
          <w:sz w:val="22"/>
        </w:rPr>
        <w:t xml:space="preserve">2.1.4. Promoción del acceso de las </w:t>
      </w:r>
      <w:proofErr w:type="spellStart"/>
      <w:r w:rsidRPr="003E56B0">
        <w:rPr>
          <w:rFonts w:ascii="Arial" w:eastAsia="Calibri" w:hAnsi="Arial" w:cs="Arial"/>
          <w:b/>
          <w:i/>
          <w:iCs/>
          <w:sz w:val="22"/>
        </w:rPr>
        <w:t>mipymes</w:t>
      </w:r>
      <w:proofErr w:type="spellEnd"/>
      <w:r w:rsidRPr="003E56B0">
        <w:rPr>
          <w:rFonts w:ascii="Arial" w:eastAsia="Calibri" w:hAnsi="Arial" w:cs="Arial"/>
          <w:b/>
          <w:i/>
          <w:iCs/>
          <w:sz w:val="22"/>
        </w:rPr>
        <w:t xml:space="preserve"> al mercado de compras públicas</w:t>
      </w:r>
    </w:p>
    <w:p w14:paraId="32D2C4A6" w14:textId="77777777" w:rsidR="00BB6979" w:rsidRPr="003E56B0" w:rsidRDefault="00BB6979" w:rsidP="00BB6979">
      <w:pPr>
        <w:tabs>
          <w:tab w:val="left" w:pos="709"/>
        </w:tabs>
        <w:spacing w:line="276" w:lineRule="auto"/>
        <w:jc w:val="both"/>
        <w:rPr>
          <w:rFonts w:ascii="Arial" w:eastAsia="Calibri" w:hAnsi="Arial" w:cs="Arial"/>
          <w:b/>
          <w:i/>
          <w:iCs/>
          <w:sz w:val="22"/>
        </w:rPr>
      </w:pPr>
      <w:r w:rsidRPr="003E56B0">
        <w:rPr>
          <w:rFonts w:ascii="Arial" w:eastAsia="Calibri" w:hAnsi="Arial" w:cs="Arial"/>
          <w:b/>
          <w:i/>
          <w:iCs/>
          <w:sz w:val="22"/>
        </w:rPr>
        <w:t xml:space="preserve"> </w:t>
      </w:r>
    </w:p>
    <w:p w14:paraId="7A93A884" w14:textId="77777777" w:rsidR="0077651F" w:rsidRDefault="00BB6979" w:rsidP="00BB6979">
      <w:pPr>
        <w:tabs>
          <w:tab w:val="left" w:pos="709"/>
        </w:tabs>
        <w:spacing w:after="120" w:line="276" w:lineRule="auto"/>
        <w:jc w:val="both"/>
        <w:rPr>
          <w:rFonts w:ascii="Arial" w:eastAsia="Calibri" w:hAnsi="Arial" w:cs="Arial"/>
          <w:bCs/>
          <w:sz w:val="22"/>
        </w:rPr>
      </w:pPr>
      <w:r w:rsidRPr="003E56B0">
        <w:rPr>
          <w:rFonts w:ascii="Arial" w:eastAsia="Calibri" w:hAnsi="Arial" w:cs="Arial"/>
          <w:bCs/>
          <w:sz w:val="22"/>
        </w:rPr>
        <w:lastRenderedPageBreak/>
        <w:t xml:space="preserve">El artículo 33 de la Ley 2069 de 2020 modifica el artículo 12 de la Ley 590 de 2000, el cual regula la promoción del acceso de las </w:t>
      </w:r>
      <w:proofErr w:type="spellStart"/>
      <w:r w:rsidRPr="003E56B0">
        <w:rPr>
          <w:rFonts w:ascii="Arial" w:eastAsia="Calibri" w:hAnsi="Arial" w:cs="Arial"/>
          <w:bCs/>
          <w:sz w:val="22"/>
        </w:rPr>
        <w:t>mipymes</w:t>
      </w:r>
      <w:proofErr w:type="spellEnd"/>
      <w:r w:rsidRPr="003E56B0">
        <w:rPr>
          <w:rFonts w:ascii="Arial" w:eastAsia="Calibri" w:hAnsi="Arial" w:cs="Arial"/>
          <w:bCs/>
          <w:sz w:val="22"/>
        </w:rPr>
        <w:t xml:space="preserve"> al mercado de compras públicas. Al respecto, contiene una serie de deberes para las entidades estatales indistintamente de su régimen de contratación, los patrimonios autónomos constituidos por entidades estatales y los particulares que ejecuten recursos públicos, cuyo incumplimiento estructura una causal de mala conducta</w:t>
      </w:r>
      <w:r w:rsidRPr="003E56B0">
        <w:rPr>
          <w:rStyle w:val="Refdenotaalpie"/>
          <w:rFonts w:ascii="Arial" w:eastAsia="Calibri" w:hAnsi="Arial" w:cs="Arial"/>
          <w:bCs/>
          <w:sz w:val="22"/>
        </w:rPr>
        <w:footnoteReference w:id="9"/>
      </w:r>
      <w:r w:rsidRPr="003E56B0">
        <w:rPr>
          <w:rFonts w:ascii="Arial" w:eastAsia="Calibri" w:hAnsi="Arial" w:cs="Arial"/>
          <w:bCs/>
          <w:sz w:val="22"/>
        </w:rPr>
        <w:t xml:space="preserve">. </w:t>
      </w:r>
    </w:p>
    <w:p w14:paraId="5ACEE7D9" w14:textId="0DB4C093" w:rsidR="00BB6979" w:rsidRPr="003E56B0" w:rsidRDefault="0077651F" w:rsidP="00BB6979">
      <w:pPr>
        <w:tabs>
          <w:tab w:val="left" w:pos="709"/>
        </w:tabs>
        <w:spacing w:after="120" w:line="276" w:lineRule="auto"/>
        <w:jc w:val="both"/>
        <w:rPr>
          <w:rFonts w:ascii="Arial" w:eastAsia="Calibri" w:hAnsi="Arial" w:cs="Arial"/>
          <w:bCs/>
          <w:sz w:val="22"/>
        </w:rPr>
      </w:pPr>
      <w:r>
        <w:rPr>
          <w:rFonts w:ascii="Arial" w:eastAsia="Calibri" w:hAnsi="Arial" w:cs="Arial"/>
          <w:bCs/>
          <w:sz w:val="22"/>
        </w:rPr>
        <w:tab/>
      </w:r>
      <w:r w:rsidR="00BB6979" w:rsidRPr="003E56B0">
        <w:rPr>
          <w:rFonts w:ascii="Arial" w:hAnsi="Arial" w:cs="Arial"/>
          <w:sz w:val="22"/>
        </w:rPr>
        <w:t xml:space="preserve">Las obligaciones citadas fomentan la actividad de las empresas que, por su tamaño o capacidad económica, no podrían competir en condiciones de igualdad con aquellas que cuentan con grandes capitales y plantas de personal. De esta manera, no solo estas pequeñas unidades de explotación económica se hacen visibles dentro del mercado de bienes y servicios requeridos por las entidades públicas, sino que se promueve de manera directa el crecimiento de las regiones en las que se desarrolla tal actividad económica. </w:t>
      </w:r>
    </w:p>
    <w:p w14:paraId="4EA15DFA" w14:textId="77777777" w:rsidR="00BB6979" w:rsidRPr="003E56B0" w:rsidRDefault="00BB6979" w:rsidP="00BB6979">
      <w:pPr>
        <w:spacing w:line="276" w:lineRule="auto"/>
        <w:jc w:val="both"/>
        <w:rPr>
          <w:rFonts w:ascii="Arial" w:hAnsi="Arial" w:cs="Arial"/>
          <w:sz w:val="22"/>
        </w:rPr>
      </w:pPr>
      <w:r w:rsidRPr="003E56B0">
        <w:rPr>
          <w:rFonts w:ascii="Arial" w:hAnsi="Arial" w:cs="Arial"/>
          <w:sz w:val="22"/>
        </w:rPr>
        <w:lastRenderedPageBreak/>
        <w:tab/>
        <w:t xml:space="preserve">Lo importante es que la norma analizada no alude a la necesidad de una reglamentación posterior, por lo que los deberes prescritos en el </w:t>
      </w:r>
      <w:r w:rsidRPr="003E56B0">
        <w:rPr>
          <w:rFonts w:ascii="Arial" w:eastAsia="Calibri" w:hAnsi="Arial" w:cs="Arial"/>
          <w:bCs/>
          <w:sz w:val="22"/>
        </w:rPr>
        <w:t>artículo 33 de la Ley 2069 de 2020</w:t>
      </w:r>
      <w:r w:rsidRPr="003E56B0">
        <w:rPr>
          <w:rFonts w:ascii="Arial" w:hAnsi="Arial" w:cs="Arial"/>
          <w:sz w:val="22"/>
        </w:rPr>
        <w:t xml:space="preserve"> son de cumplimiento inmediato. Por tanto, conforme al marco normativo que regule el acceso de las </w:t>
      </w:r>
      <w:proofErr w:type="spellStart"/>
      <w:r w:rsidRPr="003E56B0">
        <w:rPr>
          <w:rFonts w:ascii="Arial" w:hAnsi="Arial" w:cs="Arial"/>
          <w:sz w:val="22"/>
        </w:rPr>
        <w:t>mipymes</w:t>
      </w:r>
      <w:proofErr w:type="spellEnd"/>
      <w:r w:rsidRPr="003E56B0">
        <w:rPr>
          <w:rFonts w:ascii="Arial" w:hAnsi="Arial" w:cs="Arial"/>
          <w:sz w:val="22"/>
        </w:rPr>
        <w:t xml:space="preserve"> al mercado de compras públicas, las entidades deberán adoptar las medidas necesarias para el acatamiento de esta disposición. </w:t>
      </w:r>
    </w:p>
    <w:p w14:paraId="1F9F1A1C" w14:textId="77777777" w:rsidR="00BB6979" w:rsidRPr="003E56B0" w:rsidRDefault="00BB6979" w:rsidP="00BB6979">
      <w:pPr>
        <w:tabs>
          <w:tab w:val="left" w:pos="709"/>
        </w:tabs>
        <w:spacing w:line="276" w:lineRule="auto"/>
        <w:jc w:val="both"/>
        <w:rPr>
          <w:rFonts w:ascii="Arial" w:hAnsi="Arial" w:cs="Arial"/>
          <w:sz w:val="22"/>
        </w:rPr>
      </w:pPr>
    </w:p>
    <w:p w14:paraId="35B9794B" w14:textId="77777777" w:rsidR="00BB6979" w:rsidRPr="003E56B0" w:rsidRDefault="00BB6979" w:rsidP="00BB6979">
      <w:pPr>
        <w:tabs>
          <w:tab w:val="left" w:pos="709"/>
        </w:tabs>
        <w:spacing w:line="276" w:lineRule="auto"/>
        <w:jc w:val="both"/>
        <w:rPr>
          <w:rFonts w:ascii="Arial" w:hAnsi="Arial" w:cs="Arial"/>
          <w:b/>
          <w:bCs/>
          <w:i/>
          <w:iCs/>
          <w:sz w:val="22"/>
        </w:rPr>
      </w:pPr>
      <w:r w:rsidRPr="003E56B0">
        <w:rPr>
          <w:rFonts w:ascii="Arial" w:hAnsi="Arial" w:cs="Arial"/>
          <w:b/>
          <w:bCs/>
          <w:i/>
          <w:iCs/>
          <w:sz w:val="22"/>
        </w:rPr>
        <w:t>2.1.5. Promoción del desarrollo en la contratación pública</w:t>
      </w:r>
    </w:p>
    <w:p w14:paraId="276EF2E9" w14:textId="77777777" w:rsidR="00BB6979" w:rsidRPr="003E56B0" w:rsidRDefault="00BB6979" w:rsidP="00BB6979">
      <w:pPr>
        <w:tabs>
          <w:tab w:val="left" w:pos="709"/>
        </w:tabs>
        <w:spacing w:line="276" w:lineRule="auto"/>
        <w:jc w:val="both"/>
        <w:rPr>
          <w:rFonts w:ascii="Arial" w:eastAsia="Calibri" w:hAnsi="Arial" w:cs="Arial"/>
          <w:b/>
          <w:bCs/>
          <w:sz w:val="22"/>
        </w:rPr>
      </w:pPr>
    </w:p>
    <w:p w14:paraId="6669A51E" w14:textId="2BFAABC3" w:rsidR="00BB6979" w:rsidRPr="003E56B0" w:rsidRDefault="00BB6979" w:rsidP="00BB6979">
      <w:pPr>
        <w:tabs>
          <w:tab w:val="left" w:pos="709"/>
        </w:tabs>
        <w:spacing w:line="276" w:lineRule="auto"/>
        <w:jc w:val="both"/>
        <w:rPr>
          <w:rFonts w:ascii="Arial" w:eastAsia="Calibri" w:hAnsi="Arial" w:cs="Arial"/>
          <w:bCs/>
          <w:sz w:val="22"/>
        </w:rPr>
      </w:pPr>
      <w:r w:rsidRPr="003E56B0">
        <w:rPr>
          <w:rFonts w:ascii="Arial" w:eastAsia="Calibri" w:hAnsi="Arial" w:cs="Arial"/>
          <w:bCs/>
          <w:sz w:val="22"/>
        </w:rPr>
        <w:t xml:space="preserve">Como una medida complementaria a la prevista en el artículo 30 de la Ley 2069 de 2020, el artículo 34 </w:t>
      </w:r>
      <w:r w:rsidRPr="003E56B0">
        <w:rPr>
          <w:rFonts w:ascii="Arial" w:eastAsia="Calibri" w:hAnsi="Arial" w:cs="Arial"/>
          <w:bCs/>
          <w:i/>
          <w:iCs/>
          <w:sz w:val="22"/>
        </w:rPr>
        <w:t>ibidem</w:t>
      </w:r>
      <w:r w:rsidRPr="003E56B0">
        <w:rPr>
          <w:rFonts w:ascii="Arial" w:eastAsia="Calibri" w:hAnsi="Arial" w:cs="Arial"/>
          <w:bCs/>
          <w:sz w:val="22"/>
        </w:rPr>
        <w:t xml:space="preserve"> modifica el artículo 12 de la Ley 1150 de 2007, el cual regula la promoción del desarrollo en la contratación pública. Inicialmente, la redacción de la Ley 1150 fue modificada por el artículo 32 de la Ley 1450 de 2011, pero esta última quedó derogada con la expedición de la Ley de Emprendimiento. </w:t>
      </w:r>
      <w:r w:rsidR="003251F6">
        <w:rPr>
          <w:rFonts w:ascii="Arial" w:eastAsia="Calibri" w:hAnsi="Arial" w:cs="Arial"/>
          <w:bCs/>
          <w:sz w:val="22"/>
        </w:rPr>
        <w:t>Al respecto</w:t>
      </w:r>
      <w:r w:rsidRPr="003E56B0">
        <w:rPr>
          <w:rFonts w:ascii="Arial" w:eastAsia="Calibri" w:hAnsi="Arial" w:cs="Arial"/>
          <w:bCs/>
          <w:sz w:val="22"/>
        </w:rPr>
        <w:t xml:space="preserve">, la norma dispone lo siguiente:   </w:t>
      </w:r>
    </w:p>
    <w:p w14:paraId="7DF04CE2" w14:textId="77777777" w:rsidR="00BB6979" w:rsidRPr="003E56B0" w:rsidRDefault="00BB6979" w:rsidP="00BB6979">
      <w:pPr>
        <w:tabs>
          <w:tab w:val="left" w:pos="709"/>
        </w:tabs>
        <w:spacing w:line="276" w:lineRule="auto"/>
        <w:jc w:val="both"/>
        <w:rPr>
          <w:rFonts w:ascii="Arial" w:eastAsia="Calibri" w:hAnsi="Arial" w:cs="Arial"/>
          <w:bCs/>
          <w:sz w:val="22"/>
        </w:rPr>
      </w:pPr>
    </w:p>
    <w:p w14:paraId="06C263E7" w14:textId="77777777" w:rsidR="00BB6979" w:rsidRPr="003E56B0" w:rsidRDefault="00BB6979" w:rsidP="00BB6979">
      <w:pPr>
        <w:tabs>
          <w:tab w:val="left" w:pos="1276"/>
        </w:tabs>
        <w:ind w:left="709" w:right="709"/>
        <w:jc w:val="both"/>
        <w:rPr>
          <w:rFonts w:ascii="Arial" w:eastAsia="Calibri" w:hAnsi="Arial" w:cs="Arial"/>
          <w:bCs/>
          <w:sz w:val="21"/>
          <w:szCs w:val="21"/>
        </w:rPr>
      </w:pPr>
      <w:r w:rsidRPr="003E56B0">
        <w:rPr>
          <w:rFonts w:ascii="Arial" w:eastAsia="Calibri" w:hAnsi="Arial" w:cs="Arial"/>
          <w:bCs/>
          <w:sz w:val="21"/>
          <w:szCs w:val="21"/>
        </w:rPr>
        <w:t xml:space="preserve">De conformidad con lo dispuesto en los artículos 13, 333 y 334 de la Constitución Política, el Gobierno Nacional definirá las condiciones y los montos de acuerdo con los compromisos internacionales vigentes, para que, en desarrollo de los Procesos de Contratación, las Entidades Estatales </w:t>
      </w:r>
      <w:r w:rsidRPr="003E56B0">
        <w:rPr>
          <w:rFonts w:ascii="Arial" w:eastAsia="Calibri" w:hAnsi="Arial" w:cs="Arial"/>
          <w:bCs/>
          <w:i/>
          <w:iCs/>
          <w:sz w:val="21"/>
          <w:szCs w:val="21"/>
        </w:rPr>
        <w:t>indistintamente de su régimen de contratación, los patrimonios autónomos constituidos por Entidades Estatales y los particulares que ejecuten recursos públicos,</w:t>
      </w:r>
      <w:r w:rsidRPr="003E56B0">
        <w:rPr>
          <w:rFonts w:ascii="Arial" w:eastAsia="Calibri" w:hAnsi="Arial" w:cs="Arial"/>
          <w:bCs/>
          <w:sz w:val="21"/>
          <w:szCs w:val="21"/>
        </w:rPr>
        <w:t xml:space="preserve"> adopten en beneficio de las </w:t>
      </w:r>
      <w:proofErr w:type="spellStart"/>
      <w:r w:rsidRPr="003E56B0">
        <w:rPr>
          <w:rFonts w:ascii="Arial" w:eastAsia="Calibri" w:hAnsi="Arial" w:cs="Arial"/>
          <w:bCs/>
          <w:sz w:val="21"/>
          <w:szCs w:val="21"/>
        </w:rPr>
        <w:t>Mipyme</w:t>
      </w:r>
      <w:proofErr w:type="spellEnd"/>
      <w:r w:rsidRPr="003E56B0">
        <w:rPr>
          <w:rFonts w:ascii="Arial" w:eastAsia="Calibri" w:hAnsi="Arial" w:cs="Arial"/>
          <w:bCs/>
          <w:sz w:val="21"/>
          <w:szCs w:val="21"/>
        </w:rPr>
        <w:t xml:space="preserve">, convocatorias limitadas a estas en las que, previo a la Resolución de apertura del proceso respectivo, se haya manifestado el interés </w:t>
      </w:r>
      <w:r w:rsidRPr="003E56B0">
        <w:rPr>
          <w:rFonts w:ascii="Arial" w:eastAsia="Calibri" w:hAnsi="Arial" w:cs="Arial"/>
          <w:bCs/>
          <w:i/>
          <w:iCs/>
          <w:sz w:val="21"/>
          <w:szCs w:val="21"/>
        </w:rPr>
        <w:t xml:space="preserve">de por lo menos dos (2) </w:t>
      </w:r>
      <w:proofErr w:type="spellStart"/>
      <w:r w:rsidRPr="003E56B0">
        <w:rPr>
          <w:rFonts w:ascii="Arial" w:eastAsia="Calibri" w:hAnsi="Arial" w:cs="Arial"/>
          <w:bCs/>
          <w:i/>
          <w:iCs/>
          <w:sz w:val="21"/>
          <w:szCs w:val="21"/>
        </w:rPr>
        <w:t>Mipyme</w:t>
      </w:r>
      <w:proofErr w:type="spellEnd"/>
      <w:r w:rsidRPr="003E56B0">
        <w:rPr>
          <w:rFonts w:ascii="Arial" w:eastAsia="Calibri" w:hAnsi="Arial" w:cs="Arial"/>
          <w:bCs/>
          <w:sz w:val="21"/>
          <w:szCs w:val="21"/>
        </w:rPr>
        <w:t>.</w:t>
      </w:r>
    </w:p>
    <w:p w14:paraId="6A7F5AAD" w14:textId="77777777" w:rsidR="00BB6979" w:rsidRPr="003E56B0" w:rsidRDefault="00BB6979" w:rsidP="00BB6979">
      <w:pPr>
        <w:tabs>
          <w:tab w:val="left" w:pos="1276"/>
        </w:tabs>
        <w:spacing w:before="120"/>
        <w:ind w:left="709" w:right="709"/>
        <w:jc w:val="both"/>
        <w:rPr>
          <w:rFonts w:ascii="Arial" w:eastAsia="Calibri" w:hAnsi="Arial" w:cs="Arial"/>
          <w:bCs/>
          <w:sz w:val="21"/>
          <w:szCs w:val="21"/>
        </w:rPr>
      </w:pPr>
      <w:r w:rsidRPr="003E56B0">
        <w:rPr>
          <w:rFonts w:ascii="Arial" w:eastAsia="Calibri" w:hAnsi="Arial" w:cs="Arial"/>
          <w:bCs/>
          <w:sz w:val="21"/>
          <w:szCs w:val="21"/>
        </w:rPr>
        <w:t xml:space="preserve">Asimismo, el reglamento podrá establecer condiciones preferenciales en favor de la oferta de bienes y servicios producidos por las </w:t>
      </w:r>
      <w:proofErr w:type="spellStart"/>
      <w:r w:rsidRPr="003E56B0">
        <w:rPr>
          <w:rFonts w:ascii="Arial" w:eastAsia="Calibri" w:hAnsi="Arial" w:cs="Arial"/>
          <w:bCs/>
          <w:sz w:val="21"/>
          <w:szCs w:val="21"/>
        </w:rPr>
        <w:t>Mipyme</w:t>
      </w:r>
      <w:proofErr w:type="spellEnd"/>
      <w:r w:rsidRPr="003E56B0">
        <w:rPr>
          <w:rFonts w:ascii="Arial" w:eastAsia="Calibri" w:hAnsi="Arial" w:cs="Arial"/>
          <w:bCs/>
          <w:sz w:val="21"/>
          <w:szCs w:val="21"/>
        </w:rPr>
        <w:t>, respetando los montos y las condiciones contenidas en los compromisos internacionales vigentes</w:t>
      </w:r>
      <w:r w:rsidRPr="003E56B0">
        <w:rPr>
          <w:rFonts w:ascii="Arial" w:eastAsia="Calibri" w:hAnsi="Arial" w:cs="Arial"/>
          <w:bCs/>
          <w:i/>
          <w:iCs/>
          <w:sz w:val="21"/>
          <w:szCs w:val="21"/>
        </w:rPr>
        <w:t>, cuando sean aplicables</w:t>
      </w:r>
      <w:r w:rsidRPr="003E56B0">
        <w:rPr>
          <w:rFonts w:ascii="Arial" w:eastAsia="Calibri" w:hAnsi="Arial" w:cs="Arial"/>
          <w:bCs/>
          <w:sz w:val="21"/>
          <w:szCs w:val="21"/>
        </w:rPr>
        <w:t>.</w:t>
      </w:r>
    </w:p>
    <w:p w14:paraId="32C67CCF" w14:textId="77777777" w:rsidR="00BB6979" w:rsidRPr="003E56B0" w:rsidRDefault="00BB6979" w:rsidP="00BB6979">
      <w:pPr>
        <w:tabs>
          <w:tab w:val="left" w:pos="1276"/>
        </w:tabs>
        <w:spacing w:before="120"/>
        <w:ind w:left="709" w:right="709"/>
        <w:jc w:val="both"/>
        <w:rPr>
          <w:rFonts w:ascii="Arial" w:eastAsia="Calibri" w:hAnsi="Arial" w:cs="Arial"/>
          <w:bCs/>
          <w:sz w:val="21"/>
          <w:szCs w:val="21"/>
        </w:rPr>
      </w:pPr>
      <w:r w:rsidRPr="003E56B0">
        <w:rPr>
          <w:rFonts w:ascii="Arial" w:eastAsia="Calibri" w:hAnsi="Arial" w:cs="Arial"/>
          <w:bCs/>
          <w:sz w:val="21"/>
          <w:szCs w:val="21"/>
        </w:rPr>
        <w:t>En todo caso, se deberá garantizar la satisfacción de las condiciones técnicas y económicas requeridas en el Proceso de Contratación</w:t>
      </w:r>
      <w:r w:rsidRPr="003E56B0">
        <w:rPr>
          <w:rStyle w:val="Refdenotaalpie"/>
          <w:rFonts w:ascii="Arial" w:eastAsia="Calibri" w:hAnsi="Arial" w:cs="Arial"/>
          <w:bCs/>
          <w:sz w:val="21"/>
          <w:szCs w:val="21"/>
        </w:rPr>
        <w:footnoteReference w:id="10"/>
      </w:r>
      <w:r w:rsidRPr="003E56B0">
        <w:rPr>
          <w:rFonts w:ascii="Arial" w:eastAsia="Calibri" w:hAnsi="Arial" w:cs="Arial"/>
          <w:bCs/>
          <w:sz w:val="21"/>
          <w:szCs w:val="21"/>
        </w:rPr>
        <w:t>. (Énfasis fuera de texto)</w:t>
      </w:r>
    </w:p>
    <w:p w14:paraId="03AEE280" w14:textId="77777777" w:rsidR="00BB6979" w:rsidRPr="003E56B0" w:rsidRDefault="00BB6979" w:rsidP="00BB6979">
      <w:pPr>
        <w:tabs>
          <w:tab w:val="left" w:pos="1276"/>
        </w:tabs>
        <w:spacing w:line="276" w:lineRule="auto"/>
        <w:ind w:left="709" w:right="709"/>
        <w:jc w:val="both"/>
        <w:rPr>
          <w:rFonts w:ascii="Arial" w:eastAsia="Calibri" w:hAnsi="Arial" w:cs="Arial"/>
          <w:bCs/>
          <w:sz w:val="22"/>
        </w:rPr>
      </w:pPr>
    </w:p>
    <w:p w14:paraId="6733FF0C" w14:textId="77777777" w:rsidR="00BB6979" w:rsidRPr="003E56B0" w:rsidRDefault="00BB6979" w:rsidP="00BB6979">
      <w:pPr>
        <w:tabs>
          <w:tab w:val="left" w:pos="709"/>
        </w:tabs>
        <w:spacing w:after="120" w:line="276" w:lineRule="auto"/>
        <w:jc w:val="both"/>
        <w:rPr>
          <w:rFonts w:ascii="Arial" w:eastAsia="Calibri" w:hAnsi="Arial" w:cs="Arial"/>
          <w:bCs/>
          <w:sz w:val="22"/>
        </w:rPr>
      </w:pPr>
      <w:r w:rsidRPr="003E56B0">
        <w:rPr>
          <w:rFonts w:ascii="Arial" w:eastAsia="Calibri" w:hAnsi="Arial" w:cs="Arial"/>
          <w:bCs/>
          <w:sz w:val="22"/>
        </w:rPr>
        <w:tab/>
        <w:t xml:space="preserve">En contraste con la redacción de la Ley 1450 de 2011, la Ley de Emprendimiento amplía la limitación a </w:t>
      </w:r>
      <w:proofErr w:type="spellStart"/>
      <w:r w:rsidRPr="003E56B0">
        <w:rPr>
          <w:rFonts w:ascii="Arial" w:eastAsia="Calibri" w:hAnsi="Arial" w:cs="Arial"/>
          <w:bCs/>
          <w:sz w:val="22"/>
        </w:rPr>
        <w:t>mipymes</w:t>
      </w:r>
      <w:proofErr w:type="spellEnd"/>
      <w:r w:rsidRPr="003E56B0">
        <w:rPr>
          <w:rFonts w:ascii="Arial" w:eastAsia="Calibri" w:hAnsi="Arial" w:cs="Arial"/>
          <w:bCs/>
          <w:sz w:val="22"/>
        </w:rPr>
        <w:t xml:space="preserve"> de forma de ya no solo aplica en los procedimientos de selección de las entidades sometidas a la Ley 80 de 1993, sino que se extiende a la gestión contractual de las entidades exceptuadas, los patrimonios autónomos y los particulares que ejecuten recursos públicos. Por lo demás, la norma congela en el rango de ley el número de interesados que debe solicitar la limitación. </w:t>
      </w:r>
    </w:p>
    <w:p w14:paraId="50CC5230" w14:textId="77777777" w:rsidR="00BB6979" w:rsidRPr="003E56B0" w:rsidRDefault="00BB6979" w:rsidP="00BB6979">
      <w:pPr>
        <w:tabs>
          <w:tab w:val="left" w:pos="709"/>
        </w:tabs>
        <w:spacing w:after="120" w:line="276" w:lineRule="auto"/>
        <w:jc w:val="both"/>
        <w:rPr>
          <w:rFonts w:ascii="Arial" w:eastAsia="Calibri" w:hAnsi="Arial" w:cs="Arial"/>
          <w:bCs/>
          <w:sz w:val="22"/>
        </w:rPr>
      </w:pPr>
      <w:r w:rsidRPr="003E56B0">
        <w:rPr>
          <w:rFonts w:ascii="Arial" w:eastAsia="Calibri" w:hAnsi="Arial" w:cs="Arial"/>
          <w:bCs/>
          <w:sz w:val="22"/>
        </w:rPr>
        <w:tab/>
        <w:t>Sin embargo, también alude a la necesidad del desarrollo reglamentario posterior, por lo que no es posible aplicarla directamente desde la fecha de su expedición. Lo propio sucede cuando la norma dispone que «[…] las entidades estatales, dispondrán, de mecanismos que fomenten en la ejecución de los contratos estatales la provisión de bienes y servicios por población en pobreza extrema, desplazados por la violencia, personas en proceso de reintegración y, sujetos de especial protección constitucional en las condiciones que señale el reglamento […]». Esto significa que los mecanismos de fomento requieren un desarrollo posterior para su aplicación en los procedimientos contractuales.</w:t>
      </w:r>
    </w:p>
    <w:p w14:paraId="4979EBAE" w14:textId="60F1E282" w:rsidR="00BB6979" w:rsidRPr="003E56B0" w:rsidRDefault="00BB6979" w:rsidP="00BB6979">
      <w:pPr>
        <w:spacing w:before="120" w:line="276" w:lineRule="auto"/>
        <w:ind w:firstLine="709"/>
        <w:jc w:val="both"/>
        <w:rPr>
          <w:rFonts w:ascii="Arial" w:eastAsia="Calibri" w:hAnsi="Arial" w:cs="Arial"/>
          <w:sz w:val="22"/>
          <w:lang w:val="es-ES_tradnl"/>
        </w:rPr>
      </w:pPr>
      <w:r w:rsidRPr="003E56B0">
        <w:rPr>
          <w:rFonts w:ascii="Arial" w:eastAsia="Calibri" w:hAnsi="Arial" w:cs="Arial"/>
          <w:bCs/>
          <w:sz w:val="22"/>
        </w:rPr>
        <w:t xml:space="preserve">Para efectos de la consulta, </w:t>
      </w:r>
      <w:r w:rsidRPr="003E56B0">
        <w:rPr>
          <w:rFonts w:ascii="Arial" w:eastAsia="Calibri" w:hAnsi="Arial" w:cs="Arial"/>
          <w:sz w:val="22"/>
          <w:lang w:val="es-ES_tradnl"/>
        </w:rPr>
        <w:t xml:space="preserve">conviene preguntarse qué sucede con la vigencia del artículo 2.2.1.2.4.2.2. del Decreto 1082 de 2015, que hasta la expedición de la Ley 2069 de 2020, </w:t>
      </w:r>
      <w:r w:rsidR="0077651F">
        <w:rPr>
          <w:rFonts w:ascii="Arial" w:eastAsia="Calibri" w:hAnsi="Arial" w:cs="Arial"/>
          <w:sz w:val="22"/>
          <w:lang w:val="es-ES_tradnl"/>
        </w:rPr>
        <w:t>regulaba</w:t>
      </w:r>
      <w:r w:rsidR="0077651F" w:rsidRPr="003E56B0">
        <w:rPr>
          <w:rFonts w:ascii="Arial" w:eastAsia="Calibri" w:hAnsi="Arial" w:cs="Arial"/>
          <w:sz w:val="22"/>
          <w:lang w:val="es-ES_tradnl"/>
        </w:rPr>
        <w:t xml:space="preserve"> </w:t>
      </w:r>
      <w:r w:rsidRPr="003E56B0">
        <w:rPr>
          <w:rFonts w:ascii="Arial" w:eastAsia="Calibri" w:hAnsi="Arial" w:cs="Arial"/>
          <w:sz w:val="22"/>
          <w:lang w:val="es-ES_tradnl"/>
        </w:rPr>
        <w:t xml:space="preserve">las convocatorias limitadas a </w:t>
      </w:r>
      <w:proofErr w:type="spellStart"/>
      <w:r w:rsidRPr="003E56B0">
        <w:rPr>
          <w:rFonts w:ascii="Arial" w:eastAsia="Calibri" w:hAnsi="Arial" w:cs="Arial"/>
          <w:sz w:val="22"/>
          <w:lang w:val="es-ES_tradnl"/>
        </w:rPr>
        <w:t>mipymes</w:t>
      </w:r>
      <w:proofErr w:type="spellEnd"/>
      <w:r w:rsidRPr="003E56B0">
        <w:rPr>
          <w:rFonts w:ascii="Arial" w:eastAsia="Calibri" w:hAnsi="Arial" w:cs="Arial"/>
          <w:sz w:val="22"/>
          <w:lang w:val="es-ES_tradnl"/>
        </w:rPr>
        <w:t>. C</w:t>
      </w:r>
      <w:proofErr w:type="spellStart"/>
      <w:r w:rsidRPr="003E56B0">
        <w:rPr>
          <w:rFonts w:ascii="Arial" w:eastAsia="Calibri" w:hAnsi="Arial" w:cs="Arial"/>
          <w:bCs/>
          <w:sz w:val="22"/>
        </w:rPr>
        <w:t>onforme</w:t>
      </w:r>
      <w:proofErr w:type="spellEnd"/>
      <w:r w:rsidRPr="003E56B0">
        <w:rPr>
          <w:rFonts w:ascii="Arial" w:eastAsia="Calibri" w:hAnsi="Arial" w:cs="Arial"/>
          <w:bCs/>
          <w:sz w:val="22"/>
        </w:rPr>
        <w:t xml:space="preserve"> a lo explicado en el Concepto C-043 del 9 de febrero de 2020</w:t>
      </w:r>
      <w:r w:rsidRPr="003E56B0">
        <w:rPr>
          <w:rFonts w:ascii="Arial" w:eastAsia="Calibri" w:hAnsi="Arial" w:cs="Arial"/>
          <w:sz w:val="22"/>
          <w:lang w:val="es-ES_tradnl"/>
        </w:rPr>
        <w:t xml:space="preserve">, dicho artículo del Decreto reglamentario no está vigente, porque su contenido es contrario al artículo 34 de la Ley 2069 de 2020. En tal sentido, ha perdido fuerza ejecutoria, de conformidad con el artículo 91, numeral 2, de la Ley 1437 de 2011, el cual establece que los actos administrativos –categoría que, como es sabido, incluye los decretos reglamentarios– dejan de ser obligatorios o decaen «Cuando desaparezcan sus fundamentos de hecho o de derecho». </w:t>
      </w:r>
    </w:p>
    <w:p w14:paraId="65534FCB" w14:textId="77777777" w:rsidR="00BB6979" w:rsidRPr="003E56B0" w:rsidRDefault="00BB6979" w:rsidP="00BB6979">
      <w:pPr>
        <w:spacing w:before="120" w:line="276" w:lineRule="auto"/>
        <w:ind w:firstLine="709"/>
        <w:jc w:val="both"/>
        <w:rPr>
          <w:rFonts w:ascii="Arial" w:eastAsia="Calibri" w:hAnsi="Arial" w:cs="Arial"/>
          <w:sz w:val="22"/>
          <w:lang w:val="es-ES_tradnl"/>
        </w:rPr>
      </w:pPr>
      <w:r w:rsidRPr="003E56B0">
        <w:rPr>
          <w:rFonts w:ascii="Arial" w:eastAsia="Calibri" w:hAnsi="Arial" w:cs="Arial"/>
          <w:sz w:val="22"/>
          <w:lang w:val="es-ES_tradnl"/>
        </w:rPr>
        <w:t xml:space="preserve">Si los decretos reglamentarios que profiere el </w:t>
      </w:r>
      <w:proofErr w:type="gramStart"/>
      <w:r w:rsidRPr="003E56B0">
        <w:rPr>
          <w:rFonts w:ascii="Arial" w:eastAsia="Calibri" w:hAnsi="Arial" w:cs="Arial"/>
          <w:sz w:val="22"/>
          <w:lang w:val="es-ES_tradnl"/>
        </w:rPr>
        <w:t>Presidente</w:t>
      </w:r>
      <w:proofErr w:type="gramEnd"/>
      <w:r w:rsidRPr="003E56B0">
        <w:rPr>
          <w:rFonts w:ascii="Arial" w:eastAsia="Calibri" w:hAnsi="Arial" w:cs="Arial"/>
          <w:sz w:val="22"/>
          <w:lang w:val="es-ES_tradnl"/>
        </w:rPr>
        <w:t xml:space="preserve"> de la República en ejercicio de la potestad que le confiere el artículo 189, numeral 11, de la Constitución Política, buscan «la cumplida ejecución de las leyes», y si la disposición legal que había servido de fundamento a la expedición del artículo 2.2.1.2.4.2.2. del Decreto 1082 de 2015 –es decir, el artículo 12 de la Ley 1150 de 2007– fue modificado por el artículo 34 de la Ley 2069 de 2020, puede concluirse que la disposición reglamentaria decayó, por desaparición de su fundamento de derecho. Es decir, el fundamento de derecho, que era el contenido del artículo 12 de la Ley 1150 de 2007, fue subrogado por el artículo 34 de la Ley 2069 de 2020. Sin embargo, no es solo por una razón formal que se deduce la pérdida de fuerza ejecutoria del artículo 2.2.1.2.4.2.2. del Decreto 1082 de 2015, sino también por un argumento material, como se explica a continuación.</w:t>
      </w:r>
    </w:p>
    <w:p w14:paraId="482919EE" w14:textId="02598D04" w:rsidR="00BB6979" w:rsidRPr="003E56B0" w:rsidRDefault="00BB6979" w:rsidP="00BB6979">
      <w:pPr>
        <w:spacing w:before="120" w:line="276" w:lineRule="auto"/>
        <w:ind w:firstLine="709"/>
        <w:jc w:val="both"/>
        <w:rPr>
          <w:rFonts w:ascii="Arial" w:eastAsia="Calibri" w:hAnsi="Arial" w:cs="Arial"/>
          <w:sz w:val="22"/>
          <w:lang w:val="es-ES_tradnl"/>
        </w:rPr>
      </w:pPr>
      <w:r w:rsidRPr="003E56B0">
        <w:rPr>
          <w:rFonts w:ascii="Arial" w:eastAsia="Calibri" w:hAnsi="Arial" w:cs="Arial"/>
          <w:sz w:val="22"/>
          <w:lang w:val="es-ES_tradnl"/>
        </w:rPr>
        <w:lastRenderedPageBreak/>
        <w:t xml:space="preserve">Además de que el artículo 2.2.1.2.4.2.2. del Decreto 1082 de 2015 perdió el fundamento legal, su contenido es contrario al nuevo artículo 12 de la Ley 1150 de 2007, modificado por el artículo 34 de la Ley 2069 de 2020. En efecto, este último artículo no consagra las mismas exigencias para las convocatorias limitadas a </w:t>
      </w:r>
      <w:proofErr w:type="spellStart"/>
      <w:r w:rsidRPr="003E56B0">
        <w:rPr>
          <w:rFonts w:ascii="Arial" w:eastAsia="Calibri" w:hAnsi="Arial" w:cs="Arial"/>
          <w:sz w:val="22"/>
          <w:lang w:val="es-ES_tradnl"/>
        </w:rPr>
        <w:t>mipymes</w:t>
      </w:r>
      <w:proofErr w:type="spellEnd"/>
      <w:r w:rsidRPr="003E56B0">
        <w:rPr>
          <w:rFonts w:ascii="Arial" w:eastAsia="Calibri" w:hAnsi="Arial" w:cs="Arial"/>
          <w:sz w:val="22"/>
          <w:lang w:val="es-ES_tradnl"/>
        </w:rPr>
        <w:t xml:space="preserve">. Concretamente, no incluye todos los requisitos que hasta la </w:t>
      </w:r>
      <w:proofErr w:type="gramStart"/>
      <w:r w:rsidRPr="003E56B0">
        <w:rPr>
          <w:rFonts w:ascii="Arial" w:eastAsia="Calibri" w:hAnsi="Arial" w:cs="Arial"/>
          <w:sz w:val="22"/>
          <w:lang w:val="es-ES_tradnl"/>
        </w:rPr>
        <w:t>entrada en vigencia</w:t>
      </w:r>
      <w:proofErr w:type="gramEnd"/>
      <w:r w:rsidRPr="003E56B0">
        <w:rPr>
          <w:rFonts w:ascii="Arial" w:eastAsia="Calibri" w:hAnsi="Arial" w:cs="Arial"/>
          <w:sz w:val="22"/>
          <w:lang w:val="es-ES_tradnl"/>
        </w:rPr>
        <w:t xml:space="preserve"> de la Ley 2069 de 2020, establecía el artículo 2.2.1.2.4.2.2. del Decreto 1082 de 2015. Esta norma indicaba en su primer inciso que la entidad estatal solo podía limitar la convocatoria a las </w:t>
      </w:r>
      <w:proofErr w:type="spellStart"/>
      <w:r w:rsidRPr="003E56B0">
        <w:rPr>
          <w:rFonts w:ascii="Arial" w:eastAsia="Calibri" w:hAnsi="Arial" w:cs="Arial"/>
          <w:sz w:val="22"/>
          <w:lang w:val="es-ES_tradnl"/>
        </w:rPr>
        <w:t>mipymes</w:t>
      </w:r>
      <w:proofErr w:type="spellEnd"/>
      <w:r w:rsidRPr="003E56B0">
        <w:rPr>
          <w:rFonts w:ascii="Arial" w:eastAsia="Calibri" w:hAnsi="Arial" w:cs="Arial"/>
          <w:sz w:val="22"/>
          <w:lang w:val="es-ES_tradnl"/>
        </w:rPr>
        <w:t xml:space="preserve"> nacionales si se trataba de procesos de selección de licitación pública, selección abreviada y concursos de méritos. Por su parte, tal restricción no se encuentra en el artículo 34 de la Ley 2069 de 2020.</w:t>
      </w:r>
    </w:p>
    <w:p w14:paraId="6BD48A9D" w14:textId="77777777" w:rsidR="00BB6979" w:rsidRPr="003E56B0" w:rsidRDefault="00BB6979" w:rsidP="00BB6979">
      <w:pPr>
        <w:spacing w:before="120" w:line="276" w:lineRule="auto"/>
        <w:ind w:firstLine="709"/>
        <w:jc w:val="both"/>
        <w:rPr>
          <w:rFonts w:ascii="Arial" w:eastAsia="Calibri" w:hAnsi="Arial" w:cs="Arial"/>
          <w:sz w:val="22"/>
          <w:lang w:val="es-ES_tradnl"/>
        </w:rPr>
      </w:pPr>
      <w:r w:rsidRPr="003E56B0">
        <w:rPr>
          <w:rFonts w:ascii="Arial" w:eastAsia="Calibri" w:hAnsi="Arial" w:cs="Arial"/>
          <w:sz w:val="22"/>
          <w:lang w:val="es-ES_tradnl"/>
        </w:rPr>
        <w:t xml:space="preserve">Adicionalmente, el numeral 1 del artículo 2.2.1.2.4.2.2. del Decreto 1082 de 2015 exigía que el valor del proceso de contratación en el que pretendiera limitarse la convocatoria a </w:t>
      </w:r>
      <w:proofErr w:type="spellStart"/>
      <w:r w:rsidRPr="003E56B0">
        <w:rPr>
          <w:rFonts w:ascii="Arial" w:eastAsia="Calibri" w:hAnsi="Arial" w:cs="Arial"/>
          <w:sz w:val="22"/>
          <w:lang w:val="es-ES_tradnl"/>
        </w:rPr>
        <w:t>mipymes</w:t>
      </w:r>
      <w:proofErr w:type="spellEnd"/>
      <w:r w:rsidRPr="003E56B0">
        <w:rPr>
          <w:rFonts w:ascii="Arial" w:eastAsia="Calibri" w:hAnsi="Arial" w:cs="Arial"/>
          <w:sz w:val="22"/>
          <w:lang w:val="es-ES_tradnl"/>
        </w:rPr>
        <w:t xml:space="preserve"> fuera «[…] menor a ciento veinticinco mil dólares de los Estados Unidos de América (US$125.000), liquidados con la tasa de cambio que para el efecto determina cada dos años el Ministerio de Comercio, Industria y Turismo». Este requisito tampoco se observa expresamente regulado en el artículo 34 de la Ley 2069 de 2020, porque la definición del monto corresponde al decreto que lo reglamente.</w:t>
      </w:r>
    </w:p>
    <w:p w14:paraId="53D689FE" w14:textId="77777777" w:rsidR="00BB6979" w:rsidRPr="003E56B0" w:rsidRDefault="00BB6979" w:rsidP="00BB6979">
      <w:pPr>
        <w:spacing w:before="120" w:line="276" w:lineRule="auto"/>
        <w:ind w:firstLine="709"/>
        <w:jc w:val="both"/>
        <w:rPr>
          <w:rFonts w:ascii="Arial" w:eastAsia="Calibri" w:hAnsi="Arial" w:cs="Arial"/>
          <w:sz w:val="22"/>
          <w:lang w:val="es-ES_tradnl"/>
        </w:rPr>
      </w:pPr>
      <w:r w:rsidRPr="003E56B0">
        <w:rPr>
          <w:rFonts w:ascii="Arial" w:eastAsia="Calibri" w:hAnsi="Arial" w:cs="Arial"/>
          <w:sz w:val="22"/>
          <w:lang w:val="es-ES_tradnl"/>
        </w:rPr>
        <w:t xml:space="preserve">A lo anterior debe agregarse que mientras la nueva disposición legal indica que la convocatoria limitada a </w:t>
      </w:r>
      <w:proofErr w:type="spellStart"/>
      <w:r w:rsidRPr="003E56B0">
        <w:rPr>
          <w:rFonts w:ascii="Arial" w:eastAsia="Calibri" w:hAnsi="Arial" w:cs="Arial"/>
          <w:sz w:val="22"/>
          <w:lang w:val="es-ES_tradnl"/>
        </w:rPr>
        <w:t>mipymes</w:t>
      </w:r>
      <w:proofErr w:type="spellEnd"/>
      <w:r w:rsidRPr="003E56B0">
        <w:rPr>
          <w:rFonts w:ascii="Arial" w:eastAsia="Calibri" w:hAnsi="Arial" w:cs="Arial"/>
          <w:sz w:val="22"/>
          <w:lang w:val="es-ES_tradnl"/>
        </w:rPr>
        <w:t xml:space="preserve"> debe hacerse cuando por lo menos </w:t>
      </w:r>
      <w:r w:rsidRPr="003E56B0">
        <w:rPr>
          <w:rFonts w:ascii="Arial" w:eastAsia="Calibri" w:hAnsi="Arial" w:cs="Arial"/>
          <w:i/>
          <w:iCs/>
          <w:sz w:val="22"/>
          <w:lang w:val="es-ES_tradnl"/>
        </w:rPr>
        <w:t>dos (2)</w:t>
      </w:r>
      <w:r w:rsidRPr="003E56B0">
        <w:rPr>
          <w:rFonts w:ascii="Arial" w:eastAsia="Calibri" w:hAnsi="Arial" w:cs="Arial"/>
          <w:sz w:val="22"/>
          <w:lang w:val="es-ES_tradnl"/>
        </w:rPr>
        <w:t xml:space="preserve"> de estas hayan manifestado su interés antes de la resolución de apertura del proceso respectivo, el artículo 2.2.1.2.4.2.2. del Decreto 1082 de 2015 condicionaba la limitación de la convocatoria a que la entidad estatal hubiera recibido solicitudes de por lo menos </w:t>
      </w:r>
      <w:r w:rsidRPr="003E56B0">
        <w:rPr>
          <w:rFonts w:ascii="Arial" w:eastAsia="Calibri" w:hAnsi="Arial" w:cs="Arial"/>
          <w:i/>
          <w:iCs/>
          <w:sz w:val="22"/>
          <w:lang w:val="es-ES_tradnl"/>
        </w:rPr>
        <w:t>tres (3)</w:t>
      </w:r>
      <w:r w:rsidRPr="003E56B0">
        <w:rPr>
          <w:rFonts w:ascii="Arial" w:eastAsia="Calibri" w:hAnsi="Arial" w:cs="Arial"/>
          <w:sz w:val="22"/>
          <w:lang w:val="es-ES_tradnl"/>
        </w:rPr>
        <w:t xml:space="preserve"> </w:t>
      </w:r>
      <w:proofErr w:type="spellStart"/>
      <w:r w:rsidRPr="003E56B0">
        <w:rPr>
          <w:rFonts w:ascii="Arial" w:eastAsia="Calibri" w:hAnsi="Arial" w:cs="Arial"/>
          <w:sz w:val="22"/>
          <w:lang w:val="es-ES_tradnl"/>
        </w:rPr>
        <w:t>mipymes</w:t>
      </w:r>
      <w:proofErr w:type="spellEnd"/>
      <w:r w:rsidRPr="003E56B0">
        <w:rPr>
          <w:rFonts w:ascii="Arial" w:eastAsia="Calibri" w:hAnsi="Arial" w:cs="Arial"/>
          <w:sz w:val="22"/>
          <w:lang w:val="es-ES_tradnl"/>
        </w:rPr>
        <w:t>, a más tardar un día hábil antes de la apertura del proceso de selección.</w:t>
      </w:r>
    </w:p>
    <w:p w14:paraId="6878B0E9" w14:textId="40837645" w:rsidR="00BB6979" w:rsidRPr="003E56B0" w:rsidRDefault="00BB6979" w:rsidP="00BB6979">
      <w:pPr>
        <w:spacing w:before="120" w:line="276" w:lineRule="auto"/>
        <w:ind w:firstLine="709"/>
        <w:jc w:val="both"/>
        <w:rPr>
          <w:rFonts w:ascii="Arial" w:eastAsia="Calibri" w:hAnsi="Arial" w:cs="Arial"/>
          <w:sz w:val="22"/>
          <w:lang w:val="es-ES_tradnl"/>
        </w:rPr>
      </w:pPr>
      <w:r w:rsidRPr="003E56B0">
        <w:rPr>
          <w:rFonts w:ascii="Arial" w:eastAsia="Calibri" w:hAnsi="Arial" w:cs="Arial"/>
          <w:sz w:val="22"/>
          <w:lang w:val="es-ES_tradnl"/>
        </w:rPr>
        <w:t xml:space="preserve">Las diferencias evidenciadas son suficientes para mostrar que, además de la pérdida de fuerza ejecutoria del artículo 2.2.1.2.4.2.2. del Decreto 1082 de 2015, por la desaparición de su fundamento de derecho, se advierte una manifiesta oposición entre dicho enunciado normativo y el nuevo contenido del artículo 12 de la Ley 1150 de 2007, modificado por el artículo 34 de la Ley 2069 de 2020. Ante esta contradicción, se debe aplicar la consecuencia jurídica prevista en el artículo 84 de la Ley 2069 de 2020, según la cual </w:t>
      </w:r>
      <w:proofErr w:type="spellStart"/>
      <w:r w:rsidRPr="003E56B0">
        <w:rPr>
          <w:rFonts w:ascii="Arial" w:eastAsia="Calibri" w:hAnsi="Arial" w:cs="Arial"/>
          <w:sz w:val="22"/>
          <w:lang w:val="es-ES_tradnl"/>
        </w:rPr>
        <w:t>esta</w:t>
      </w:r>
      <w:proofErr w:type="spellEnd"/>
      <w:r w:rsidRPr="003E56B0">
        <w:rPr>
          <w:rFonts w:ascii="Arial" w:eastAsia="Calibri" w:hAnsi="Arial" w:cs="Arial"/>
          <w:sz w:val="22"/>
          <w:lang w:val="es-ES_tradnl"/>
        </w:rPr>
        <w:t xml:space="preserve"> «deroga […] todas las disposiciones que le sean contrarias». </w:t>
      </w:r>
      <w:r w:rsidR="00493C88">
        <w:rPr>
          <w:rFonts w:ascii="Arial" w:eastAsia="Calibri" w:hAnsi="Arial" w:cs="Arial"/>
          <w:sz w:val="22"/>
          <w:lang w:val="es-ES_tradnl"/>
        </w:rPr>
        <w:t>Por ello</w:t>
      </w:r>
      <w:r w:rsidRPr="003E56B0">
        <w:rPr>
          <w:rFonts w:ascii="Arial" w:eastAsia="Calibri" w:hAnsi="Arial" w:cs="Arial"/>
          <w:sz w:val="22"/>
          <w:lang w:val="es-ES_tradnl"/>
        </w:rPr>
        <w:t>, puede afirmarse que, además del decaimiento del artículo 2.2.1.2.4.2.2. del Decreto 1082 de 2015, esta disposición debe entenderse derogada.</w:t>
      </w:r>
    </w:p>
    <w:p w14:paraId="7927BA1A" w14:textId="77777777" w:rsidR="00BB6979" w:rsidRPr="003E56B0" w:rsidRDefault="00BB6979" w:rsidP="00BB6979">
      <w:pPr>
        <w:spacing w:before="120" w:line="276" w:lineRule="auto"/>
        <w:ind w:firstLine="709"/>
        <w:jc w:val="both"/>
        <w:rPr>
          <w:rFonts w:ascii="Arial" w:eastAsia="Calibri" w:hAnsi="Arial" w:cs="Arial"/>
          <w:sz w:val="22"/>
          <w:lang w:val="es-ES_tradnl"/>
        </w:rPr>
      </w:pPr>
      <w:r w:rsidRPr="003E56B0">
        <w:rPr>
          <w:rFonts w:ascii="Arial" w:eastAsia="Calibri" w:hAnsi="Arial" w:cs="Arial"/>
          <w:sz w:val="22"/>
          <w:lang w:val="es-ES_tradnl"/>
        </w:rPr>
        <w:t xml:space="preserve">Por último, no es válido aducir que los apartados normativos del artículo 2.2.1.2.4.2.2. del Decreto 1082 de 2015 que, en su texto, no sean contrarios a la nueva regulación contenida en el artículo 34 de la Ley 2069 de 2020 pueden seguirse aplicando. Tal aseveración no es admisible, porque el artículo 34, reiteradamente, señala que el gobierno nacional debe definir las condiciones para la aplicación de las reglas recientemente expedidas, que permitan llevar a cabo las convocatorias limitadas a </w:t>
      </w:r>
      <w:proofErr w:type="spellStart"/>
      <w:r w:rsidRPr="003E56B0">
        <w:rPr>
          <w:rFonts w:ascii="Arial" w:eastAsia="Calibri" w:hAnsi="Arial" w:cs="Arial"/>
          <w:sz w:val="22"/>
          <w:lang w:val="es-ES_tradnl"/>
        </w:rPr>
        <w:lastRenderedPageBreak/>
        <w:t>mipymes</w:t>
      </w:r>
      <w:proofErr w:type="spellEnd"/>
      <w:r w:rsidRPr="003E56B0">
        <w:rPr>
          <w:rFonts w:ascii="Arial" w:eastAsia="Calibri" w:hAnsi="Arial" w:cs="Arial"/>
          <w:sz w:val="22"/>
          <w:lang w:val="es-ES_tradnl"/>
        </w:rPr>
        <w:t xml:space="preserve">, lo cual demuestra la voluntad legislativa de establecer la necesidad de una nueva reglamentación de dicha materia. En tal sentido, el gobierno nacional podría, mediante el decreto reglamentario que expida, definir nuevas condiciones y montos para las convocatorias limitadas a </w:t>
      </w:r>
      <w:proofErr w:type="spellStart"/>
      <w:r w:rsidRPr="003E56B0">
        <w:rPr>
          <w:rFonts w:ascii="Arial" w:eastAsia="Calibri" w:hAnsi="Arial" w:cs="Arial"/>
          <w:sz w:val="22"/>
          <w:lang w:val="es-ES_tradnl"/>
        </w:rPr>
        <w:t>mipymes</w:t>
      </w:r>
      <w:proofErr w:type="spellEnd"/>
      <w:r w:rsidRPr="003E56B0">
        <w:rPr>
          <w:rFonts w:ascii="Arial" w:eastAsia="Calibri" w:hAnsi="Arial" w:cs="Arial"/>
          <w:sz w:val="22"/>
          <w:lang w:val="es-ES_tradnl"/>
        </w:rPr>
        <w:t xml:space="preserve">. Por ende, mientras ello no suceda, las entidades estatales, los patrimonios autónomos constituidos por estas y los particulares que ejecuten recursos públicos, no pueden adoptar convocatorias limitadas a </w:t>
      </w:r>
      <w:proofErr w:type="spellStart"/>
      <w:r w:rsidRPr="003E56B0">
        <w:rPr>
          <w:rFonts w:ascii="Arial" w:eastAsia="Calibri" w:hAnsi="Arial" w:cs="Arial"/>
          <w:sz w:val="22"/>
          <w:lang w:val="es-ES_tradnl"/>
        </w:rPr>
        <w:t>mipymes</w:t>
      </w:r>
      <w:proofErr w:type="spellEnd"/>
      <w:r w:rsidRPr="003E56B0">
        <w:rPr>
          <w:rFonts w:ascii="Arial" w:eastAsia="Calibri" w:hAnsi="Arial" w:cs="Arial"/>
          <w:sz w:val="22"/>
          <w:lang w:val="es-ES_tradnl"/>
        </w:rPr>
        <w:t xml:space="preserve">, pues al tenor del artículo 34 de la Ley 2069 de 2020, la eficacia de esta norma quedó condicionada a la expedición del decreto reglamentario que fije las condiciones de su operatividad.    </w:t>
      </w:r>
    </w:p>
    <w:p w14:paraId="041B6106" w14:textId="77777777" w:rsidR="00BB6979" w:rsidRPr="003E56B0" w:rsidRDefault="00BB6979" w:rsidP="00BB6979">
      <w:pPr>
        <w:tabs>
          <w:tab w:val="left" w:pos="709"/>
        </w:tabs>
        <w:spacing w:line="276" w:lineRule="auto"/>
        <w:jc w:val="both"/>
        <w:rPr>
          <w:rFonts w:ascii="Arial" w:eastAsia="Calibri" w:hAnsi="Arial" w:cs="Arial"/>
          <w:bCs/>
          <w:sz w:val="22"/>
        </w:rPr>
      </w:pPr>
      <w:r w:rsidRPr="003E56B0">
        <w:rPr>
          <w:rFonts w:ascii="Arial" w:eastAsia="Calibri" w:hAnsi="Arial" w:cs="Arial"/>
          <w:bCs/>
          <w:sz w:val="22"/>
        </w:rPr>
        <w:t xml:space="preserve"> </w:t>
      </w:r>
    </w:p>
    <w:p w14:paraId="2965D41C" w14:textId="77777777" w:rsidR="00BB6979" w:rsidRPr="003E56B0" w:rsidRDefault="00BB6979" w:rsidP="00BB6979">
      <w:pPr>
        <w:tabs>
          <w:tab w:val="left" w:pos="709"/>
        </w:tabs>
        <w:spacing w:line="276" w:lineRule="auto"/>
        <w:jc w:val="both"/>
        <w:rPr>
          <w:rFonts w:ascii="Arial" w:eastAsia="Calibri" w:hAnsi="Arial" w:cs="Arial"/>
          <w:b/>
          <w:i/>
          <w:iCs/>
          <w:sz w:val="22"/>
        </w:rPr>
      </w:pPr>
      <w:r w:rsidRPr="003E56B0">
        <w:rPr>
          <w:rFonts w:ascii="Arial" w:eastAsia="Calibri" w:hAnsi="Arial" w:cs="Arial"/>
          <w:b/>
          <w:i/>
          <w:iCs/>
          <w:sz w:val="22"/>
        </w:rPr>
        <w:t>2.1.6. Factores de desempate</w:t>
      </w:r>
    </w:p>
    <w:p w14:paraId="4287011A" w14:textId="77777777" w:rsidR="00BB6979" w:rsidRPr="003E56B0" w:rsidRDefault="00BB6979" w:rsidP="00BB6979">
      <w:pPr>
        <w:tabs>
          <w:tab w:val="left" w:pos="709"/>
        </w:tabs>
        <w:spacing w:line="276" w:lineRule="auto"/>
        <w:jc w:val="both"/>
        <w:rPr>
          <w:rFonts w:ascii="Arial" w:eastAsia="Calibri" w:hAnsi="Arial" w:cs="Arial"/>
          <w:b/>
          <w:sz w:val="22"/>
        </w:rPr>
      </w:pPr>
    </w:p>
    <w:p w14:paraId="50420E7F" w14:textId="77777777" w:rsidR="00BB6979" w:rsidRPr="003E56B0" w:rsidRDefault="00BB6979" w:rsidP="00BB6979">
      <w:pPr>
        <w:tabs>
          <w:tab w:val="left" w:pos="709"/>
        </w:tabs>
        <w:spacing w:after="120" w:line="276" w:lineRule="auto"/>
        <w:jc w:val="both"/>
        <w:rPr>
          <w:rFonts w:ascii="Arial" w:eastAsia="Calibri" w:hAnsi="Arial" w:cs="Arial"/>
          <w:bCs/>
          <w:sz w:val="22"/>
        </w:rPr>
      </w:pPr>
      <w:r w:rsidRPr="003E56B0">
        <w:rPr>
          <w:rFonts w:ascii="Arial" w:eastAsia="Calibri" w:hAnsi="Arial" w:cs="Arial"/>
          <w:bCs/>
          <w:sz w:val="22"/>
        </w:rPr>
        <w:t>El artículo 35 de la Ley 2069 de 2020 regula los factores de desempate</w:t>
      </w:r>
      <w:r w:rsidRPr="003E56B0">
        <w:rPr>
          <w:rStyle w:val="Refdenotaalpie"/>
          <w:rFonts w:ascii="Arial" w:eastAsia="Calibri" w:hAnsi="Arial" w:cs="Arial"/>
          <w:bCs/>
          <w:sz w:val="22"/>
        </w:rPr>
        <w:footnoteReference w:id="11"/>
      </w:r>
      <w:r w:rsidRPr="003E56B0">
        <w:rPr>
          <w:rFonts w:ascii="Arial" w:eastAsia="Calibri" w:hAnsi="Arial" w:cs="Arial"/>
          <w:bCs/>
          <w:sz w:val="22"/>
        </w:rPr>
        <w:t xml:space="preserve">. Conforme a la norma citada, estos aplican en los procedimientos de selección de las entidades sometidas </w:t>
      </w:r>
      <w:r w:rsidRPr="003E56B0">
        <w:rPr>
          <w:rFonts w:ascii="Arial" w:eastAsia="Calibri" w:hAnsi="Arial" w:cs="Arial"/>
          <w:bCs/>
          <w:sz w:val="22"/>
        </w:rPr>
        <w:lastRenderedPageBreak/>
        <w:t xml:space="preserve">al Estatuto General, las entidades exceptuadas de la Ley 80 de 1993 y los patrimonios autónomos constituidos por entidades estatales. Incluso, al consagrarse en la ley, generan la derogación y decaimiento de los previstos en el artículo 2.2.1.1.2.2.9 del Decreto 1082 de 2015, pues se trata de una norma superior y posterior que genera la pérdida de los fundamentos de derecho en los previstos en el Decreto Único Reglamentario del Sector Administrativo de Planeación Nacional.  </w:t>
      </w:r>
    </w:p>
    <w:p w14:paraId="113305FE" w14:textId="77777777" w:rsidR="00BB6979" w:rsidRPr="003E56B0" w:rsidRDefault="00BB6979" w:rsidP="00BB6979">
      <w:pPr>
        <w:spacing w:before="120" w:line="276" w:lineRule="auto"/>
        <w:ind w:firstLine="708"/>
        <w:jc w:val="both"/>
        <w:rPr>
          <w:rFonts w:ascii="Arial" w:eastAsia="Calibri" w:hAnsi="Arial" w:cs="Arial"/>
          <w:sz w:val="22"/>
          <w:lang w:val="es-ES_tradnl"/>
        </w:rPr>
      </w:pPr>
      <w:r w:rsidRPr="003E56B0">
        <w:rPr>
          <w:rFonts w:ascii="Arial" w:eastAsia="Calibri" w:hAnsi="Arial" w:cs="Arial"/>
          <w:bCs/>
          <w:sz w:val="22"/>
        </w:rPr>
        <w:t xml:space="preserve">Aunque algunas normas de la Ley de Emprendimiento aluden a la reglamentación posterior, </w:t>
      </w:r>
      <w:r w:rsidRPr="003E56B0">
        <w:rPr>
          <w:rFonts w:ascii="Arial" w:eastAsia="Calibri" w:hAnsi="Arial" w:cs="Arial"/>
          <w:sz w:val="22"/>
          <w:lang w:val="es-ES_tradnl"/>
        </w:rPr>
        <w:t xml:space="preserve">esta no condiciona la vigencia del artículo 35. En efecto, </w:t>
      </w:r>
      <w:r w:rsidRPr="003E56B0">
        <w:rPr>
          <w:rFonts w:ascii="Arial" w:hAnsi="Arial" w:cs="Arial"/>
          <w:sz w:val="22"/>
          <w:lang w:val="es-ES_tradnl"/>
        </w:rPr>
        <w:t>si bien los factores de desempate deben aplicarse «</w:t>
      </w:r>
      <w:r w:rsidRPr="003E56B0">
        <w:rPr>
          <w:rFonts w:ascii="Arial" w:hAnsi="Arial" w:cs="Arial"/>
          <w:lang w:val="es-ES_tradnl"/>
        </w:rPr>
        <w:t xml:space="preserve">[…] </w:t>
      </w:r>
      <w:r w:rsidRPr="003E56B0">
        <w:rPr>
          <w:rFonts w:ascii="Arial" w:hAnsi="Arial" w:cs="Arial"/>
          <w:sz w:val="22"/>
          <w:lang w:val="es-ES_tradnl"/>
        </w:rPr>
        <w:t xml:space="preserve">de forma sucesiva y excluyente para seleccionar al oferente favorecido, respetando en todo caso los compromisos internacionales vigentes» –según lo dispone el inciso primero–, el parágrafo tercero del mencionado artículo establece que «El Gobierno Nacional podrá reglamentar la aplicación de factores de desempate en casos en que concurran dos o más de los factores aquí previstos». En otras palabras, dicho parágrafo le asigna potestad reglamentaria al gobierno nacional para definir factores que permitan desempatar las ofertas en aquellos casos en que varios oferentes reúnan al tiempo dos o más de los factores previstos en el artículo 35. </w:t>
      </w:r>
      <w:r w:rsidRPr="003E56B0">
        <w:rPr>
          <w:rFonts w:ascii="Arial" w:eastAsia="Calibri" w:hAnsi="Arial" w:cs="Arial"/>
          <w:sz w:val="22"/>
          <w:lang w:val="es-ES_tradnl"/>
        </w:rPr>
        <w:t xml:space="preserve"> </w:t>
      </w:r>
    </w:p>
    <w:p w14:paraId="6D798B4E" w14:textId="77777777" w:rsidR="00BB6979" w:rsidRPr="003E56B0" w:rsidRDefault="00BB6979" w:rsidP="00BB6979">
      <w:pPr>
        <w:spacing w:before="120" w:line="276" w:lineRule="auto"/>
        <w:ind w:firstLine="709"/>
        <w:jc w:val="both"/>
        <w:rPr>
          <w:rFonts w:ascii="Arial" w:eastAsia="Calibri" w:hAnsi="Arial" w:cs="Arial"/>
          <w:sz w:val="22"/>
          <w:lang w:val="es-ES_tradnl"/>
        </w:rPr>
      </w:pPr>
      <w:r w:rsidRPr="003E56B0">
        <w:rPr>
          <w:rFonts w:ascii="Arial" w:eastAsia="Calibri" w:hAnsi="Arial" w:cs="Arial"/>
          <w:sz w:val="22"/>
          <w:lang w:val="es-ES_tradnl"/>
        </w:rPr>
        <w:lastRenderedPageBreak/>
        <w:t>Como se observa se trata de una competencia que, en concordancia con el artículo 189.11 superior, el gobierno nacional puede ejercer discrecionalmente para la ejecución de las leyes. Por tanto, sin perjuicio de que el Gobierno Nacional ejerza la potestad reglamentaria para regular los casos en que concurren dos o más de los factores de desempate, no es necesaria la existencia del reglamento como presupuesto necesario para aplicar el artículo 35 de la Ley 2069 de 2020. De este modo, se concluye que los factores de desempate del artículo citado son exigibles desde la fecha de su promulgación, es decir, deben tenerse en cuenta en los procesos de selección que se inicien después del 31 de diciembre de 2020.</w:t>
      </w:r>
    </w:p>
    <w:p w14:paraId="6AE22BB7" w14:textId="77777777" w:rsidR="00BB6979" w:rsidRPr="003E56B0" w:rsidRDefault="00BB6979" w:rsidP="00BB6979">
      <w:pPr>
        <w:spacing w:line="276" w:lineRule="auto"/>
        <w:ind w:firstLine="709"/>
        <w:jc w:val="both"/>
        <w:rPr>
          <w:rFonts w:ascii="Arial" w:eastAsia="Calibri" w:hAnsi="Arial" w:cs="Arial"/>
          <w:sz w:val="22"/>
          <w:lang w:val="es-ES_tradnl"/>
        </w:rPr>
      </w:pPr>
    </w:p>
    <w:p w14:paraId="01B3F968" w14:textId="77777777" w:rsidR="00BB6979" w:rsidRPr="003E56B0" w:rsidRDefault="00BB6979" w:rsidP="00BB6979">
      <w:pPr>
        <w:spacing w:line="276" w:lineRule="auto"/>
        <w:jc w:val="both"/>
        <w:rPr>
          <w:rFonts w:ascii="Arial" w:eastAsia="Calibri" w:hAnsi="Arial" w:cs="Arial"/>
          <w:b/>
          <w:bCs/>
          <w:i/>
          <w:iCs/>
          <w:sz w:val="22"/>
          <w:lang w:val="es-ES_tradnl"/>
        </w:rPr>
      </w:pPr>
      <w:r w:rsidRPr="003E56B0">
        <w:rPr>
          <w:rFonts w:ascii="Arial" w:eastAsia="Calibri" w:hAnsi="Arial" w:cs="Arial"/>
          <w:b/>
          <w:bCs/>
          <w:i/>
          <w:iCs/>
          <w:sz w:val="22"/>
          <w:lang w:val="es-ES_tradnl"/>
        </w:rPr>
        <w:t>3.1.7. Promoción de las compras públicas de tecnología e innovación</w:t>
      </w:r>
    </w:p>
    <w:p w14:paraId="7073A9E0" w14:textId="77777777" w:rsidR="00BB6979" w:rsidRPr="003E56B0" w:rsidRDefault="00BB6979" w:rsidP="00BB6979">
      <w:pPr>
        <w:spacing w:line="276" w:lineRule="auto"/>
        <w:jc w:val="both"/>
        <w:rPr>
          <w:rFonts w:ascii="Arial" w:eastAsia="Calibri" w:hAnsi="Arial" w:cs="Arial"/>
          <w:b/>
          <w:bCs/>
          <w:sz w:val="22"/>
          <w:lang w:val="es-ES_tradnl"/>
        </w:rPr>
      </w:pPr>
    </w:p>
    <w:p w14:paraId="2048DED4" w14:textId="73962278" w:rsidR="00BB6979" w:rsidRPr="003E56B0" w:rsidRDefault="00BB6979" w:rsidP="00BB6979">
      <w:pPr>
        <w:spacing w:line="276" w:lineRule="auto"/>
        <w:jc w:val="both"/>
        <w:rPr>
          <w:rFonts w:ascii="Arial" w:eastAsia="Calibri" w:hAnsi="Arial" w:cs="Arial"/>
          <w:sz w:val="22"/>
          <w:lang w:val="es-ES_tradnl"/>
        </w:rPr>
      </w:pPr>
      <w:r w:rsidRPr="003E56B0">
        <w:rPr>
          <w:rFonts w:ascii="Arial" w:eastAsia="Calibri" w:hAnsi="Arial" w:cs="Arial"/>
          <w:sz w:val="22"/>
          <w:lang w:val="es-ES_tradnl"/>
        </w:rPr>
        <w:t xml:space="preserve">El inciso primero del artículo 36 de la </w:t>
      </w:r>
      <w:bookmarkStart w:id="13" w:name="_Hlk63848395"/>
      <w:r w:rsidRPr="003E56B0">
        <w:rPr>
          <w:rFonts w:ascii="Arial" w:eastAsia="Calibri" w:hAnsi="Arial" w:cs="Arial"/>
          <w:sz w:val="22"/>
          <w:lang w:val="es-ES_tradnl"/>
        </w:rPr>
        <w:t>Ley 2069 de 2020</w:t>
      </w:r>
      <w:bookmarkEnd w:id="13"/>
      <w:r w:rsidRPr="003E56B0">
        <w:rPr>
          <w:rFonts w:ascii="Arial" w:eastAsia="Calibri" w:hAnsi="Arial" w:cs="Arial"/>
          <w:sz w:val="22"/>
          <w:lang w:val="es-ES_tradnl"/>
        </w:rPr>
        <w:t xml:space="preserve"> dispone que «Las entidades estatales, de acuerdo con los lineamientos que establezca la Agencia Nacional de Contratación Pública ­Colombia Compra Eficiente, procuraran generar inversiones o compras que permitan involucrar nuevas tecnologías, herramientas tecnológicas e innovación en sus funciones o sistemas, que permitan generar mejores servicios a los ciudadanos, fomentar el desarrollo tecnológico del Estado, y promover en las empresas y emprendedores nacionales la necesidad de innovar y usar la tecnología dentro de su negocio. El Gobierno Nacional reglamentará esta materia». En este caso se observa nuevamente que la promoción de compras públicas de tecnología e innovación es un deber cuyo cumplimiento se sujeta tanto a la reglamentación de la materia como a los lineamientos de esta Agencia, razón por </w:t>
      </w:r>
      <w:r w:rsidR="00D17E47">
        <w:rPr>
          <w:rFonts w:ascii="Arial" w:eastAsia="Calibri" w:hAnsi="Arial" w:cs="Arial"/>
          <w:sz w:val="22"/>
          <w:lang w:val="es-ES_tradnl"/>
        </w:rPr>
        <w:t xml:space="preserve">la </w:t>
      </w:r>
      <w:r w:rsidRPr="003E56B0">
        <w:rPr>
          <w:rFonts w:ascii="Arial" w:eastAsia="Calibri" w:hAnsi="Arial" w:cs="Arial"/>
          <w:sz w:val="22"/>
          <w:lang w:val="es-ES_tradnl"/>
        </w:rPr>
        <w:t>que requieren un desarrollo normativo posterior.</w:t>
      </w:r>
    </w:p>
    <w:p w14:paraId="26993D83" w14:textId="77777777" w:rsidR="00BB6979" w:rsidRPr="003E56B0" w:rsidRDefault="00BB6979" w:rsidP="00BB6979">
      <w:pPr>
        <w:spacing w:before="120" w:line="276" w:lineRule="auto"/>
        <w:ind w:firstLine="709"/>
        <w:jc w:val="both"/>
        <w:rPr>
          <w:rFonts w:ascii="Arial" w:eastAsia="Calibri" w:hAnsi="Arial" w:cs="Arial"/>
          <w:sz w:val="22"/>
          <w:lang w:val="es-ES_tradnl"/>
        </w:rPr>
      </w:pPr>
      <w:r w:rsidRPr="003E56B0">
        <w:rPr>
          <w:rFonts w:ascii="Arial" w:eastAsia="Calibri" w:hAnsi="Arial" w:cs="Arial"/>
          <w:i/>
          <w:iCs/>
          <w:sz w:val="22"/>
          <w:lang w:val="es-ES_tradnl"/>
        </w:rPr>
        <w:t>En resumen</w:t>
      </w:r>
      <w:r w:rsidRPr="003E56B0">
        <w:rPr>
          <w:rFonts w:ascii="Arial" w:eastAsia="Calibri" w:hAnsi="Arial" w:cs="Arial"/>
          <w:sz w:val="22"/>
          <w:lang w:val="es-ES_tradnl"/>
        </w:rPr>
        <w:t xml:space="preserve">, los artículos 31, 32, 34 y 36 de la Ley 2069 de 2020 aluden a la necesidad de expedir normas complementarias, mientras que los artículos 30, 33 y 35 –sin perjuicio del ejercicio eventual de la competencia prevista en el artículo 189.11 superior– son de aplicación directa. Por tanto, corresponde analizar si la reglamentación del primer grupo de normas anteriormente mencionado condiciona o no su </w:t>
      </w:r>
      <w:proofErr w:type="gramStart"/>
      <w:r w:rsidRPr="003E56B0">
        <w:rPr>
          <w:rFonts w:ascii="Arial" w:eastAsia="Calibri" w:hAnsi="Arial" w:cs="Arial"/>
          <w:sz w:val="22"/>
          <w:lang w:val="es-ES_tradnl"/>
        </w:rPr>
        <w:t>entrada en vigencia</w:t>
      </w:r>
      <w:proofErr w:type="gramEnd"/>
      <w:r w:rsidRPr="003E56B0">
        <w:rPr>
          <w:rFonts w:ascii="Arial" w:eastAsia="Calibri" w:hAnsi="Arial" w:cs="Arial"/>
          <w:sz w:val="22"/>
          <w:lang w:val="es-ES_tradnl"/>
        </w:rPr>
        <w:t xml:space="preserve">. Este tema se abordará en el siguiente acápite.   </w:t>
      </w:r>
    </w:p>
    <w:p w14:paraId="5FD9A3E7" w14:textId="77777777" w:rsidR="00BB6979" w:rsidRPr="003E56B0" w:rsidRDefault="00BB6979" w:rsidP="00BB6979">
      <w:pPr>
        <w:tabs>
          <w:tab w:val="left" w:pos="709"/>
        </w:tabs>
        <w:spacing w:line="276" w:lineRule="auto"/>
        <w:jc w:val="both"/>
        <w:rPr>
          <w:rFonts w:ascii="Arial" w:eastAsia="Calibri" w:hAnsi="Arial" w:cs="Arial"/>
          <w:bCs/>
          <w:sz w:val="22"/>
        </w:rPr>
      </w:pPr>
    </w:p>
    <w:p w14:paraId="3B71C28A" w14:textId="77777777" w:rsidR="00BB6979" w:rsidRPr="003E56B0" w:rsidRDefault="00BB6979" w:rsidP="00BB6979">
      <w:pPr>
        <w:tabs>
          <w:tab w:val="left" w:pos="709"/>
        </w:tabs>
        <w:spacing w:line="276" w:lineRule="auto"/>
        <w:jc w:val="both"/>
        <w:rPr>
          <w:rFonts w:ascii="Arial" w:eastAsia="Calibri" w:hAnsi="Arial" w:cs="Arial"/>
          <w:b/>
          <w:sz w:val="22"/>
        </w:rPr>
      </w:pPr>
      <w:r w:rsidRPr="003E56B0">
        <w:rPr>
          <w:rFonts w:ascii="Arial" w:eastAsia="Calibri" w:hAnsi="Arial" w:cs="Arial"/>
          <w:b/>
          <w:sz w:val="22"/>
        </w:rPr>
        <w:t xml:space="preserve">2.2. Intervención necesaria del reglamento para la efectividad de la Ley 2069 de 2020 en el </w:t>
      </w:r>
      <w:bookmarkStart w:id="14" w:name="_Hlk63693402"/>
      <w:r w:rsidRPr="003E56B0">
        <w:rPr>
          <w:rFonts w:ascii="Arial" w:eastAsia="Calibri" w:hAnsi="Arial" w:cs="Arial"/>
          <w:b/>
          <w:sz w:val="22"/>
        </w:rPr>
        <w:t>sistema de compras pública</w:t>
      </w:r>
      <w:bookmarkEnd w:id="14"/>
      <w:r w:rsidRPr="003E56B0">
        <w:rPr>
          <w:rFonts w:ascii="Arial" w:eastAsia="Calibri" w:hAnsi="Arial" w:cs="Arial"/>
          <w:b/>
          <w:sz w:val="22"/>
        </w:rPr>
        <w:t>s</w:t>
      </w:r>
    </w:p>
    <w:p w14:paraId="1640F802" w14:textId="77777777" w:rsidR="00BB6979" w:rsidRPr="003E56B0" w:rsidRDefault="00BB6979" w:rsidP="00BB6979">
      <w:pPr>
        <w:tabs>
          <w:tab w:val="left" w:pos="709"/>
        </w:tabs>
        <w:spacing w:line="276" w:lineRule="auto"/>
        <w:jc w:val="both"/>
        <w:rPr>
          <w:rFonts w:ascii="Arial" w:eastAsia="Calibri" w:hAnsi="Arial" w:cs="Arial"/>
          <w:bCs/>
          <w:sz w:val="22"/>
        </w:rPr>
      </w:pPr>
    </w:p>
    <w:p w14:paraId="55773054" w14:textId="77777777" w:rsidR="00BB6979" w:rsidRPr="003E56B0" w:rsidRDefault="00BB6979" w:rsidP="00BB6979">
      <w:pPr>
        <w:tabs>
          <w:tab w:val="left" w:pos="709"/>
        </w:tabs>
        <w:spacing w:after="120" w:line="276" w:lineRule="auto"/>
        <w:jc w:val="both"/>
        <w:rPr>
          <w:rFonts w:ascii="Arial" w:eastAsia="Calibri" w:hAnsi="Arial" w:cs="Arial"/>
          <w:bCs/>
          <w:sz w:val="22"/>
        </w:rPr>
      </w:pPr>
      <w:r w:rsidRPr="003E56B0">
        <w:rPr>
          <w:rFonts w:ascii="Arial" w:eastAsia="Calibri" w:hAnsi="Arial" w:cs="Arial"/>
          <w:sz w:val="22"/>
          <w:lang w:val="es-ES_tradnl"/>
        </w:rPr>
        <w:t>Entre otros aspectos, los artículos 31, 32, 34 y 36 de la Ley 2069 de 2020</w:t>
      </w:r>
      <w:r w:rsidRPr="003E56B0">
        <w:rPr>
          <w:rFonts w:ascii="Arial" w:eastAsia="Calibri" w:hAnsi="Arial" w:cs="Arial"/>
          <w:bCs/>
          <w:sz w:val="22"/>
        </w:rPr>
        <w:t xml:space="preserve"> disponen que el gobierno nacional reglamentará i) los criterios diferenciales para </w:t>
      </w:r>
      <w:proofErr w:type="spellStart"/>
      <w:r w:rsidRPr="003E56B0">
        <w:rPr>
          <w:rFonts w:ascii="Arial" w:eastAsia="Calibri" w:hAnsi="Arial" w:cs="Arial"/>
          <w:bCs/>
          <w:sz w:val="22"/>
        </w:rPr>
        <w:t>mipymes</w:t>
      </w:r>
      <w:proofErr w:type="spellEnd"/>
      <w:r w:rsidRPr="003E56B0">
        <w:rPr>
          <w:rFonts w:ascii="Arial" w:eastAsia="Calibri" w:hAnsi="Arial" w:cs="Arial"/>
          <w:bCs/>
          <w:sz w:val="22"/>
        </w:rPr>
        <w:t xml:space="preserve">, </w:t>
      </w:r>
      <w:proofErr w:type="spellStart"/>
      <w:r w:rsidRPr="003E56B0">
        <w:rPr>
          <w:rFonts w:ascii="Arial" w:eastAsia="Calibri" w:hAnsi="Arial" w:cs="Arial"/>
          <w:bCs/>
          <w:sz w:val="22"/>
        </w:rPr>
        <w:t>ii</w:t>
      </w:r>
      <w:proofErr w:type="spellEnd"/>
      <w:r w:rsidRPr="003E56B0">
        <w:rPr>
          <w:rFonts w:ascii="Arial" w:eastAsia="Calibri" w:hAnsi="Arial" w:cs="Arial"/>
          <w:bCs/>
          <w:sz w:val="22"/>
        </w:rPr>
        <w:t xml:space="preserve">) la definición de «emprendimientos y empresas de mujeres», </w:t>
      </w:r>
      <w:proofErr w:type="spellStart"/>
      <w:r w:rsidRPr="003E56B0">
        <w:rPr>
          <w:rFonts w:ascii="Arial" w:eastAsia="Calibri" w:hAnsi="Arial" w:cs="Arial"/>
          <w:bCs/>
          <w:sz w:val="22"/>
        </w:rPr>
        <w:t>iii</w:t>
      </w:r>
      <w:proofErr w:type="spellEnd"/>
      <w:r w:rsidRPr="003E56B0">
        <w:rPr>
          <w:rFonts w:ascii="Arial" w:eastAsia="Calibri" w:hAnsi="Arial" w:cs="Arial"/>
          <w:bCs/>
          <w:sz w:val="22"/>
        </w:rPr>
        <w:t xml:space="preserve">) las convocatorias limitadas a </w:t>
      </w:r>
      <w:proofErr w:type="spellStart"/>
      <w:r w:rsidRPr="003E56B0">
        <w:rPr>
          <w:rFonts w:ascii="Arial" w:eastAsia="Calibri" w:hAnsi="Arial" w:cs="Arial"/>
          <w:bCs/>
          <w:sz w:val="22"/>
        </w:rPr>
        <w:t>mipymes</w:t>
      </w:r>
      <w:proofErr w:type="spellEnd"/>
      <w:r w:rsidRPr="003E56B0">
        <w:rPr>
          <w:rFonts w:ascii="Arial" w:eastAsia="Calibri" w:hAnsi="Arial" w:cs="Arial"/>
          <w:bCs/>
          <w:sz w:val="22"/>
        </w:rPr>
        <w:t xml:space="preserve"> y el fomento en la ejecución de los contratos estatales por parte de sujetos de especial protección, así como </w:t>
      </w:r>
      <w:proofErr w:type="spellStart"/>
      <w:r w:rsidRPr="003E56B0">
        <w:rPr>
          <w:rFonts w:ascii="Arial" w:eastAsia="Calibri" w:hAnsi="Arial" w:cs="Arial"/>
          <w:bCs/>
          <w:sz w:val="22"/>
        </w:rPr>
        <w:t>iv</w:t>
      </w:r>
      <w:proofErr w:type="spellEnd"/>
      <w:r w:rsidRPr="003E56B0">
        <w:rPr>
          <w:rFonts w:ascii="Arial" w:eastAsia="Calibri" w:hAnsi="Arial" w:cs="Arial"/>
          <w:bCs/>
          <w:sz w:val="22"/>
        </w:rPr>
        <w:t xml:space="preserve">) la promoción de las compras públicas de tecnología e innovación. En este contexto, es necesario analizar si las entidades pueden aplicar directamente las </w:t>
      </w:r>
      <w:r w:rsidRPr="003E56B0">
        <w:rPr>
          <w:rFonts w:ascii="Arial" w:eastAsia="Calibri" w:hAnsi="Arial" w:cs="Arial"/>
          <w:bCs/>
          <w:sz w:val="22"/>
        </w:rPr>
        <w:lastRenderedPageBreak/>
        <w:t xml:space="preserve">normas citadas o, por el contrario, si su efectividad está condicionada a la expedición del reglamento correspondiente. </w:t>
      </w:r>
    </w:p>
    <w:p w14:paraId="5885EAEB" w14:textId="77777777" w:rsidR="00BB6979" w:rsidRPr="003E56B0" w:rsidRDefault="00BB6979" w:rsidP="00BB6979">
      <w:pPr>
        <w:tabs>
          <w:tab w:val="left" w:pos="709"/>
        </w:tabs>
        <w:spacing w:after="120" w:line="276" w:lineRule="auto"/>
        <w:jc w:val="both"/>
        <w:rPr>
          <w:rFonts w:ascii="Arial" w:eastAsia="Calibri" w:hAnsi="Arial" w:cs="Arial"/>
          <w:bCs/>
          <w:sz w:val="22"/>
        </w:rPr>
      </w:pPr>
      <w:r w:rsidRPr="003E56B0">
        <w:rPr>
          <w:rFonts w:ascii="Arial" w:eastAsia="Calibri" w:hAnsi="Arial" w:cs="Arial"/>
          <w:bCs/>
          <w:sz w:val="22"/>
        </w:rPr>
        <w:tab/>
        <w:t xml:space="preserve">La respuesta a la inquietud planteada en el párrafo precedente es de enorme importancia por los efectos prácticos de ambas posiciones. Por un lado, </w:t>
      </w:r>
      <w:bookmarkStart w:id="15" w:name="_Hlk63884320"/>
      <w:r w:rsidRPr="003E56B0">
        <w:rPr>
          <w:rFonts w:ascii="Arial" w:eastAsia="Calibri" w:hAnsi="Arial" w:cs="Arial"/>
          <w:bCs/>
          <w:sz w:val="22"/>
        </w:rPr>
        <w:t xml:space="preserve">quien opte por la </w:t>
      </w:r>
      <w:r w:rsidRPr="003E56B0">
        <w:rPr>
          <w:rFonts w:ascii="Arial" w:eastAsia="Calibri" w:hAnsi="Arial" w:cs="Arial"/>
          <w:bCs/>
          <w:i/>
          <w:iCs/>
          <w:sz w:val="22"/>
        </w:rPr>
        <w:t>tesis de la aplicación directa</w:t>
      </w:r>
      <w:r w:rsidRPr="003E56B0">
        <w:rPr>
          <w:rFonts w:ascii="Arial" w:eastAsia="Calibri" w:hAnsi="Arial" w:cs="Arial"/>
          <w:bCs/>
          <w:sz w:val="22"/>
        </w:rPr>
        <w:t xml:space="preserve"> debe sostener que la intervención del reglamento es accesoria, no necesaria: el Congreso de la República ejerce su competencia para la expedición de las leyes sin que normas de inferior jerarquía condicionen su vigencia o aplicación. En este contexto, cualquier espacio abierto de decisión –siempre que no esté sometido a reserva– habilita el ejercicio de potestades discrecionales por parte de las entidades públicas, salvo que el reglamento eventualmente los limite. </w:t>
      </w:r>
      <w:bookmarkEnd w:id="15"/>
    </w:p>
    <w:p w14:paraId="2492227F" w14:textId="77777777" w:rsidR="00BB6979" w:rsidRPr="003E56B0" w:rsidRDefault="00BB6979" w:rsidP="00BB6979">
      <w:pPr>
        <w:tabs>
          <w:tab w:val="left" w:pos="709"/>
        </w:tabs>
        <w:spacing w:after="120" w:line="276" w:lineRule="auto"/>
        <w:jc w:val="both"/>
        <w:rPr>
          <w:rFonts w:ascii="Arial" w:eastAsia="Calibri" w:hAnsi="Arial" w:cs="Arial"/>
          <w:bCs/>
          <w:sz w:val="22"/>
        </w:rPr>
      </w:pPr>
      <w:r w:rsidRPr="003E56B0">
        <w:rPr>
          <w:rFonts w:ascii="Arial" w:eastAsia="Calibri" w:hAnsi="Arial" w:cs="Arial"/>
          <w:bCs/>
          <w:sz w:val="22"/>
        </w:rPr>
        <w:tab/>
        <w:t>De esta manera, a menor precisión de la ley, mayor es el campo de acción del reglamento: en este el funcionario competente tiene libertad para expedir o no las normas correspondientes. Por ello, la jurisprudencia explica que la competencia reglamentaria prevista en el artículo 189.11 superior también corresponde a un poder discrecional</w:t>
      </w:r>
      <w:r w:rsidRPr="003E56B0">
        <w:rPr>
          <w:rStyle w:val="Refdenotaalpie"/>
          <w:rFonts w:ascii="Arial" w:eastAsia="Calibri" w:hAnsi="Arial" w:cs="Arial"/>
          <w:bCs/>
          <w:sz w:val="22"/>
        </w:rPr>
        <w:footnoteReference w:id="12"/>
      </w:r>
      <w:r w:rsidRPr="003E56B0">
        <w:rPr>
          <w:rFonts w:ascii="Arial" w:eastAsia="Calibri" w:hAnsi="Arial" w:cs="Arial"/>
          <w:bCs/>
          <w:sz w:val="22"/>
        </w:rPr>
        <w:t>. En este contexto, si la expedición de reglamentos no es obligatoria, la ausencia de estos no excusa la inaplicación de la ley, pues contiene unos elementos mínimos que vinculan directamente a los destinatarios.</w:t>
      </w:r>
    </w:p>
    <w:p w14:paraId="154235E9" w14:textId="77777777" w:rsidR="00BB6979" w:rsidRPr="003E56B0" w:rsidRDefault="00BB6979" w:rsidP="00BB6979">
      <w:pPr>
        <w:tabs>
          <w:tab w:val="left" w:pos="709"/>
        </w:tabs>
        <w:spacing w:after="120" w:line="276" w:lineRule="auto"/>
        <w:jc w:val="both"/>
        <w:rPr>
          <w:rFonts w:ascii="Arial" w:eastAsia="Calibri" w:hAnsi="Arial" w:cs="Arial"/>
          <w:bCs/>
          <w:sz w:val="22"/>
        </w:rPr>
      </w:pPr>
      <w:r w:rsidRPr="003E56B0">
        <w:rPr>
          <w:rFonts w:ascii="Arial" w:eastAsia="Calibri" w:hAnsi="Arial" w:cs="Arial"/>
          <w:bCs/>
          <w:sz w:val="22"/>
        </w:rPr>
        <w:tab/>
        <w:t xml:space="preserve">Este es el caso de lo previsto en los artículos 30, 33 y 35 de la Ley de Emprendimiento. En relación con las </w:t>
      </w:r>
      <w:proofErr w:type="spellStart"/>
      <w:r w:rsidRPr="003E56B0">
        <w:rPr>
          <w:rFonts w:ascii="Arial" w:eastAsia="Calibri" w:hAnsi="Arial" w:cs="Arial"/>
          <w:bCs/>
          <w:sz w:val="22"/>
        </w:rPr>
        <w:t>mipymes</w:t>
      </w:r>
      <w:proofErr w:type="spellEnd"/>
      <w:r w:rsidRPr="003E56B0">
        <w:rPr>
          <w:rFonts w:ascii="Arial" w:eastAsia="Calibri" w:hAnsi="Arial" w:cs="Arial"/>
          <w:bCs/>
          <w:sz w:val="22"/>
        </w:rPr>
        <w:t xml:space="preserve"> y mínima cuantía, </w:t>
      </w:r>
      <w:r w:rsidRPr="003E56B0">
        <w:rPr>
          <w:rFonts w:ascii="Arial" w:eastAsia="Calibri" w:hAnsi="Arial" w:cs="Arial"/>
          <w:bCs/>
          <w:sz w:val="22"/>
          <w:lang w:val="es-ES_tradnl"/>
        </w:rPr>
        <w:t xml:space="preserve">dado que el artículo 30 de la Ley 2069 de 2020 regula aspectos como i) el término mínimo para publicar la invitación, </w:t>
      </w:r>
      <w:proofErr w:type="spellStart"/>
      <w:r w:rsidRPr="003E56B0">
        <w:rPr>
          <w:rFonts w:ascii="Arial" w:eastAsia="Calibri" w:hAnsi="Arial" w:cs="Arial"/>
          <w:bCs/>
          <w:sz w:val="22"/>
          <w:lang w:val="es-ES_tradnl"/>
        </w:rPr>
        <w:t>ii</w:t>
      </w:r>
      <w:proofErr w:type="spellEnd"/>
      <w:r w:rsidRPr="003E56B0">
        <w:rPr>
          <w:rFonts w:ascii="Arial" w:eastAsia="Calibri" w:hAnsi="Arial" w:cs="Arial"/>
          <w:bCs/>
          <w:sz w:val="22"/>
          <w:lang w:val="es-ES_tradnl"/>
        </w:rPr>
        <w:t xml:space="preserve">) el plazo mínimo de recepción de las ofertas, </w:t>
      </w:r>
      <w:proofErr w:type="spellStart"/>
      <w:r w:rsidRPr="003E56B0">
        <w:rPr>
          <w:rFonts w:ascii="Arial" w:eastAsia="Calibri" w:hAnsi="Arial" w:cs="Arial"/>
          <w:bCs/>
          <w:sz w:val="22"/>
          <w:lang w:val="es-ES_tradnl"/>
        </w:rPr>
        <w:t>iii</w:t>
      </w:r>
      <w:proofErr w:type="spellEnd"/>
      <w:r w:rsidRPr="003E56B0">
        <w:rPr>
          <w:rFonts w:ascii="Arial" w:eastAsia="Calibri" w:hAnsi="Arial" w:cs="Arial"/>
          <w:bCs/>
          <w:sz w:val="22"/>
          <w:lang w:val="es-ES_tradnl"/>
        </w:rPr>
        <w:t xml:space="preserve">) el factor de evaluación que define la selección del proponente y </w:t>
      </w:r>
      <w:proofErr w:type="spellStart"/>
      <w:r w:rsidRPr="003E56B0">
        <w:rPr>
          <w:rFonts w:ascii="Arial" w:eastAsia="Calibri" w:hAnsi="Arial" w:cs="Arial"/>
          <w:bCs/>
          <w:sz w:val="22"/>
          <w:lang w:val="es-ES_tradnl"/>
        </w:rPr>
        <w:t>iv</w:t>
      </w:r>
      <w:proofErr w:type="spellEnd"/>
      <w:r w:rsidRPr="003E56B0">
        <w:rPr>
          <w:rFonts w:ascii="Arial" w:eastAsia="Calibri" w:hAnsi="Arial" w:cs="Arial"/>
          <w:bCs/>
          <w:sz w:val="22"/>
          <w:lang w:val="es-ES_tradnl"/>
        </w:rPr>
        <w:t xml:space="preserve">) el perfeccionamiento del contrato, las entidades deben estructurar sus procedimientos de selección de acuerdo con estos parámetros, los cuales tienen una aplicación inmediata sin que el reglamento condicione la vigencia de la mínima cuantía. Esto </w:t>
      </w:r>
      <w:r w:rsidRPr="003E56B0">
        <w:rPr>
          <w:rFonts w:ascii="Arial" w:eastAsia="Calibri" w:hAnsi="Arial" w:cs="Arial"/>
          <w:bCs/>
          <w:sz w:val="22"/>
        </w:rPr>
        <w:t xml:space="preserve">sin perjuicio de que el Gobierno Nacional, conforme a lo dispuesto en el parágrafo 1 </w:t>
      </w:r>
      <w:r w:rsidRPr="003E56B0">
        <w:rPr>
          <w:rFonts w:ascii="Arial" w:eastAsia="Calibri" w:hAnsi="Arial" w:cs="Arial"/>
          <w:bCs/>
          <w:i/>
          <w:iCs/>
          <w:sz w:val="22"/>
        </w:rPr>
        <w:t>ibidem</w:t>
      </w:r>
      <w:r w:rsidRPr="003E56B0">
        <w:rPr>
          <w:rFonts w:ascii="Arial" w:eastAsia="Calibri" w:hAnsi="Arial" w:cs="Arial"/>
          <w:bCs/>
          <w:sz w:val="22"/>
        </w:rPr>
        <w:t xml:space="preserve">, ejerza la potestad reglamentaria para </w:t>
      </w:r>
      <w:r w:rsidRPr="003E56B0">
        <w:rPr>
          <w:rFonts w:ascii="Arial" w:eastAsia="Calibri" w:hAnsi="Arial" w:cs="Arial"/>
          <w:bCs/>
          <w:sz w:val="22"/>
          <w:lang w:val="es-ES_tradnl"/>
        </w:rPr>
        <w:t xml:space="preserve">regular tanto las particularidades del procedimiento de selección como la posibilidad de realizar estas adquisiciones a </w:t>
      </w:r>
      <w:proofErr w:type="spellStart"/>
      <w:r w:rsidRPr="003E56B0">
        <w:rPr>
          <w:rFonts w:ascii="Arial" w:eastAsia="Calibri" w:hAnsi="Arial" w:cs="Arial"/>
          <w:bCs/>
          <w:sz w:val="22"/>
          <w:lang w:val="es-ES_tradnl"/>
        </w:rPr>
        <w:t>mipymes</w:t>
      </w:r>
      <w:proofErr w:type="spellEnd"/>
      <w:r w:rsidRPr="003E56B0">
        <w:rPr>
          <w:rFonts w:ascii="Arial" w:eastAsia="Calibri" w:hAnsi="Arial" w:cs="Arial"/>
          <w:bCs/>
          <w:sz w:val="22"/>
          <w:lang w:val="es-ES_tradnl"/>
        </w:rPr>
        <w:t xml:space="preserve"> o establecimientos que correspondan a la definición de «gran almacén».</w:t>
      </w:r>
    </w:p>
    <w:p w14:paraId="5397C058" w14:textId="77777777" w:rsidR="002065E9" w:rsidRDefault="00BB6979" w:rsidP="002065E9">
      <w:pPr>
        <w:spacing w:after="120" w:line="276" w:lineRule="auto"/>
        <w:jc w:val="both"/>
        <w:rPr>
          <w:rFonts w:ascii="Arial" w:hAnsi="Arial" w:cs="Arial"/>
          <w:sz w:val="22"/>
          <w:szCs w:val="22"/>
          <w:lang w:eastAsia="en-US"/>
        </w:rPr>
      </w:pPr>
      <w:r w:rsidRPr="003E56B0">
        <w:rPr>
          <w:rFonts w:ascii="Arial" w:eastAsia="Calibri" w:hAnsi="Arial" w:cs="Arial"/>
          <w:bCs/>
          <w:sz w:val="22"/>
        </w:rPr>
        <w:tab/>
        <w:t xml:space="preserve">En lo que se refiere a la promoción del acceso de las </w:t>
      </w:r>
      <w:proofErr w:type="spellStart"/>
      <w:r w:rsidRPr="003E56B0">
        <w:rPr>
          <w:rFonts w:ascii="Arial" w:eastAsia="Calibri" w:hAnsi="Arial" w:cs="Arial"/>
          <w:bCs/>
          <w:sz w:val="22"/>
        </w:rPr>
        <w:t>mipymes</w:t>
      </w:r>
      <w:proofErr w:type="spellEnd"/>
      <w:r w:rsidRPr="003E56B0">
        <w:rPr>
          <w:rFonts w:ascii="Arial" w:eastAsia="Calibri" w:hAnsi="Arial" w:cs="Arial"/>
          <w:bCs/>
          <w:sz w:val="22"/>
        </w:rPr>
        <w:t xml:space="preserve"> al mercado de compras públicas, la legislación consagra una serie de deberes que deben cumplir los destinatarios en su gestión contractual. Aunque el alcance de estas obligaciones puede delimitarse por otras leyes o reglamentos, lo importante es que el artículo 33 consagra elementos mínimos que las entidades deben acatar so pena de una causal de mala conducta.</w:t>
      </w:r>
      <w:r w:rsidR="002065E9">
        <w:rPr>
          <w:rFonts w:ascii="Arial" w:eastAsia="Calibri" w:hAnsi="Arial" w:cs="Arial"/>
          <w:bCs/>
          <w:sz w:val="22"/>
        </w:rPr>
        <w:t xml:space="preserve"> </w:t>
      </w:r>
      <w:r w:rsidR="002065E9">
        <w:rPr>
          <w:rFonts w:ascii="Arial" w:hAnsi="Arial" w:cs="Arial"/>
          <w:sz w:val="22"/>
        </w:rPr>
        <w:t xml:space="preserve">Por tanto, conforme al marco normativo que regule el acceso de las </w:t>
      </w:r>
      <w:proofErr w:type="spellStart"/>
      <w:r w:rsidR="002065E9">
        <w:rPr>
          <w:rFonts w:ascii="Arial" w:hAnsi="Arial" w:cs="Arial"/>
          <w:sz w:val="22"/>
        </w:rPr>
        <w:t>mipymes</w:t>
      </w:r>
      <w:proofErr w:type="spellEnd"/>
      <w:r w:rsidR="002065E9">
        <w:rPr>
          <w:rFonts w:ascii="Arial" w:hAnsi="Arial" w:cs="Arial"/>
          <w:sz w:val="22"/>
        </w:rPr>
        <w:t xml:space="preserve"> al </w:t>
      </w:r>
      <w:r w:rsidR="002065E9">
        <w:rPr>
          <w:rFonts w:ascii="Arial" w:hAnsi="Arial" w:cs="Arial"/>
          <w:sz w:val="22"/>
        </w:rPr>
        <w:lastRenderedPageBreak/>
        <w:t>mercado de compras públicas, las entidades deberán adoptar las medidas necesarias para el acatamiento de esta disposición.</w:t>
      </w:r>
    </w:p>
    <w:p w14:paraId="2A5BB505" w14:textId="77777777" w:rsidR="00BB6979" w:rsidRPr="003E56B0" w:rsidRDefault="00BB6979" w:rsidP="00BB6979">
      <w:pPr>
        <w:tabs>
          <w:tab w:val="left" w:pos="709"/>
        </w:tabs>
        <w:spacing w:after="120" w:line="276" w:lineRule="auto"/>
        <w:jc w:val="both"/>
        <w:rPr>
          <w:rFonts w:ascii="Arial" w:eastAsia="Calibri" w:hAnsi="Arial" w:cs="Arial"/>
          <w:bCs/>
          <w:sz w:val="22"/>
        </w:rPr>
      </w:pPr>
      <w:r w:rsidRPr="003E56B0">
        <w:rPr>
          <w:rFonts w:ascii="Arial" w:eastAsia="Calibri" w:hAnsi="Arial" w:cs="Arial"/>
          <w:bCs/>
          <w:sz w:val="22"/>
        </w:rPr>
        <w:tab/>
        <w:t xml:space="preserve">Igualmente, respecto a los factores de desempate, se encuentra que los mismos se elevaron a rango de ley, por lo que ni el reglamento ni el pliego de condiciones pueden modificarlos, adicionarlos o suprimirlos. En este sentido, las causales del artículo 35 son obligatorias en los procedimientos de selección de las entidades sometidas al Estatuto General, las entidades exceptuadas de la Ley 80 de 1993 y los patrimonios autónomos. De esta manera, sin perjuicio de lo dispuesto en el parágrafo 3 para los casos en que concurren dos o más de los factores de desempate, no requiere de una reglamentación previa para su exigibilidad. </w:t>
      </w:r>
    </w:p>
    <w:p w14:paraId="1B3C5710" w14:textId="0E5D082B" w:rsidR="00BB6979" w:rsidRPr="003E56B0" w:rsidRDefault="00BB6979" w:rsidP="00BB6979">
      <w:pPr>
        <w:tabs>
          <w:tab w:val="left" w:pos="709"/>
        </w:tabs>
        <w:spacing w:after="120" w:line="276" w:lineRule="auto"/>
        <w:jc w:val="both"/>
        <w:rPr>
          <w:rFonts w:ascii="Arial" w:eastAsia="Calibri" w:hAnsi="Arial" w:cs="Arial"/>
          <w:bCs/>
          <w:sz w:val="22"/>
        </w:rPr>
      </w:pPr>
      <w:r w:rsidRPr="003E56B0">
        <w:rPr>
          <w:rFonts w:ascii="Arial" w:eastAsia="Calibri" w:hAnsi="Arial" w:cs="Arial"/>
          <w:bCs/>
          <w:sz w:val="22"/>
        </w:rPr>
        <w:tab/>
      </w:r>
      <w:r w:rsidR="002065E9">
        <w:rPr>
          <w:rFonts w:ascii="Arial" w:eastAsia="Calibri" w:hAnsi="Arial" w:cs="Arial"/>
          <w:bCs/>
          <w:sz w:val="22"/>
        </w:rPr>
        <w:t>Por lo demás</w:t>
      </w:r>
      <w:r w:rsidRPr="003E56B0">
        <w:rPr>
          <w:rFonts w:ascii="Arial" w:eastAsia="Calibri" w:hAnsi="Arial" w:cs="Arial"/>
          <w:bCs/>
          <w:sz w:val="22"/>
        </w:rPr>
        <w:t xml:space="preserve">, es necesario considerar que el artículo 35 de la Ley 2069 de 2020 no establece un medio específico para acreditar las circunstancias a las que se refiere cada causal. Por lo tanto, conforme a lo explicado por esta Agencia en los Conceptos C-012, C-015 y C-016 del 4 de febrero de 2021, corresponde a la entidad contratante analizar si el ordenamiento jurídico, en otras disposiciones legales o reglamentarias, exige un documento especial o si, por el contrario, hay libertad probatoria. Este análisis debe realizarse de manera independiente frente a cada numeral.  </w:t>
      </w:r>
    </w:p>
    <w:p w14:paraId="74E4B6E8" w14:textId="77777777" w:rsidR="00BB6979" w:rsidRPr="003E56B0" w:rsidRDefault="00BB6979" w:rsidP="00BB6979">
      <w:pPr>
        <w:tabs>
          <w:tab w:val="left" w:pos="709"/>
        </w:tabs>
        <w:spacing w:after="120" w:line="276" w:lineRule="auto"/>
        <w:jc w:val="both"/>
        <w:rPr>
          <w:rFonts w:ascii="Arial" w:eastAsia="Calibri" w:hAnsi="Arial" w:cs="Arial"/>
          <w:bCs/>
          <w:sz w:val="22"/>
        </w:rPr>
      </w:pPr>
      <w:r w:rsidRPr="003E56B0">
        <w:rPr>
          <w:rFonts w:ascii="Arial" w:eastAsia="Calibri" w:hAnsi="Arial" w:cs="Arial"/>
          <w:bCs/>
          <w:sz w:val="22"/>
        </w:rPr>
        <w:tab/>
        <w:t>En caso de que no exista «tarifa legal», es decir, en el evento en que la ley o el reglamento no definan un medio probatorio para acreditar la circunstancia correspondiente, la entidad estatal contratante tiene discrecionalidad para establecer en el pliego de condiciones o en el documento equivalente de qué manera el proponente podrá probar que se halla en la condición que permite aplicar la regla de desempate. Por supuesto, el decreto reglamentario que expida el gobierno nacional para garantizar la cumplida ejecución de la Ley 2069 de 2020 podría establecer los medios de prueba, así como las autoridades encargadas de certificar las circunstancias del artículo 35. Sin embargo, mientras ello no suceda, deberá aplicarse el criterio indicado con anterioridad.</w:t>
      </w:r>
    </w:p>
    <w:p w14:paraId="0549E808" w14:textId="77777777" w:rsidR="00BB6979" w:rsidRPr="003E56B0" w:rsidRDefault="00BB6979" w:rsidP="00BB6979">
      <w:pPr>
        <w:tabs>
          <w:tab w:val="left" w:pos="709"/>
        </w:tabs>
        <w:spacing w:after="120" w:line="276" w:lineRule="auto"/>
        <w:jc w:val="both"/>
        <w:rPr>
          <w:rFonts w:ascii="Arial" w:eastAsia="Calibri" w:hAnsi="Arial" w:cs="Arial"/>
          <w:bCs/>
          <w:sz w:val="22"/>
        </w:rPr>
      </w:pPr>
      <w:r w:rsidRPr="003E56B0">
        <w:rPr>
          <w:rFonts w:ascii="Arial" w:eastAsia="Calibri" w:hAnsi="Arial" w:cs="Arial"/>
          <w:bCs/>
          <w:sz w:val="22"/>
        </w:rPr>
        <w:tab/>
      </w:r>
      <w:bookmarkStart w:id="16" w:name="_Hlk63884375"/>
      <w:r w:rsidRPr="003E56B0">
        <w:rPr>
          <w:rFonts w:ascii="Arial" w:eastAsia="Calibri" w:hAnsi="Arial" w:cs="Arial"/>
          <w:bCs/>
          <w:sz w:val="22"/>
        </w:rPr>
        <w:t xml:space="preserve">Ahora bien, la relación entre estas dos (2) fuentes del derecho es totalmente diferente en la </w:t>
      </w:r>
      <w:r w:rsidRPr="003E56B0">
        <w:rPr>
          <w:rFonts w:ascii="Arial" w:eastAsia="Calibri" w:hAnsi="Arial" w:cs="Arial"/>
          <w:bCs/>
          <w:i/>
          <w:iCs/>
          <w:sz w:val="22"/>
        </w:rPr>
        <w:t>tesis de la reglamentación</w:t>
      </w:r>
      <w:r w:rsidRPr="003E56B0">
        <w:rPr>
          <w:rFonts w:ascii="Arial" w:eastAsia="Calibri" w:hAnsi="Arial" w:cs="Arial"/>
          <w:bCs/>
          <w:sz w:val="22"/>
        </w:rPr>
        <w:t>. Para estos efectos, si bien el Congreso de la República conserva la cláusula general de competencia normativa para la expedición de las leyes, sujeta su aplicación a una norma de menor jerarquía que regule aspectos de detalle, por lo que exige la expedición del decreto reglamentario correspondiente</w:t>
      </w:r>
      <w:bookmarkEnd w:id="16"/>
      <w:r w:rsidRPr="003E56B0">
        <w:rPr>
          <w:rFonts w:ascii="Arial" w:eastAsia="Calibri" w:hAnsi="Arial" w:cs="Arial"/>
          <w:bCs/>
          <w:sz w:val="22"/>
        </w:rPr>
        <w:t>. Este el caso de los</w:t>
      </w:r>
      <w:r w:rsidRPr="003E56B0">
        <w:rPr>
          <w:rFonts w:ascii="Arial" w:eastAsia="Calibri" w:hAnsi="Arial" w:cs="Arial"/>
          <w:sz w:val="22"/>
          <w:lang w:val="es-ES_tradnl"/>
        </w:rPr>
        <w:t xml:space="preserve"> artículos 31, 32, 34 y 36 de la Ley de Emprendimiento</w:t>
      </w:r>
      <w:r w:rsidRPr="003E56B0">
        <w:rPr>
          <w:rFonts w:ascii="Arial" w:eastAsia="Calibri" w:hAnsi="Arial" w:cs="Arial"/>
          <w:bCs/>
          <w:sz w:val="22"/>
        </w:rPr>
        <w:t xml:space="preserve">. </w:t>
      </w:r>
    </w:p>
    <w:p w14:paraId="7F573738" w14:textId="77777777" w:rsidR="00BB6979" w:rsidRPr="003E56B0" w:rsidRDefault="00BB6979" w:rsidP="00BB6979">
      <w:pPr>
        <w:tabs>
          <w:tab w:val="left" w:pos="709"/>
        </w:tabs>
        <w:spacing w:after="120" w:line="276" w:lineRule="auto"/>
        <w:jc w:val="both"/>
        <w:rPr>
          <w:rFonts w:ascii="Arial" w:eastAsia="Calibri" w:hAnsi="Arial" w:cs="Arial"/>
          <w:bCs/>
          <w:sz w:val="22"/>
        </w:rPr>
      </w:pPr>
      <w:r w:rsidRPr="003E56B0">
        <w:rPr>
          <w:rFonts w:ascii="Arial" w:eastAsia="Calibri" w:hAnsi="Arial" w:cs="Arial"/>
          <w:bCs/>
          <w:sz w:val="22"/>
        </w:rPr>
        <w:tab/>
        <w:t>En efecto, estas disposiciones contienen un mandato de reglamentación que debe acatar el Gobierno Nacional</w:t>
      </w:r>
      <w:r w:rsidRPr="003E56B0">
        <w:rPr>
          <w:rStyle w:val="Refdenotaalpie"/>
          <w:rFonts w:ascii="Arial" w:eastAsia="Calibri" w:hAnsi="Arial" w:cs="Arial"/>
          <w:bCs/>
          <w:sz w:val="22"/>
        </w:rPr>
        <w:footnoteReference w:id="13"/>
      </w:r>
      <w:r w:rsidRPr="003E56B0">
        <w:rPr>
          <w:rFonts w:ascii="Arial" w:eastAsia="Calibri" w:hAnsi="Arial" w:cs="Arial"/>
          <w:bCs/>
          <w:sz w:val="22"/>
        </w:rPr>
        <w:t xml:space="preserve">. Sin el decreto la ley es inaplicable, porque delega en una </w:t>
      </w:r>
      <w:r w:rsidRPr="003E56B0">
        <w:rPr>
          <w:rFonts w:ascii="Arial" w:eastAsia="Calibri" w:hAnsi="Arial" w:cs="Arial"/>
          <w:bCs/>
          <w:sz w:val="22"/>
        </w:rPr>
        <w:lastRenderedPageBreak/>
        <w:t xml:space="preserve">fuente de inferior jerarquía la definición de los aspectos relevantes para efectividad de los mandatos contenidos en la misma. En estos casos, la omisión reglamentaria genera una </w:t>
      </w:r>
      <w:r w:rsidRPr="003E56B0">
        <w:rPr>
          <w:rFonts w:ascii="Arial" w:eastAsia="Calibri" w:hAnsi="Arial" w:cs="Arial"/>
          <w:bCs/>
          <w:i/>
          <w:iCs/>
          <w:sz w:val="22"/>
        </w:rPr>
        <w:t>laguna técnica</w:t>
      </w:r>
      <w:r w:rsidRPr="003E56B0">
        <w:rPr>
          <w:rFonts w:ascii="Arial" w:eastAsia="Calibri" w:hAnsi="Arial" w:cs="Arial"/>
          <w:bCs/>
          <w:sz w:val="22"/>
        </w:rPr>
        <w:t>, la cual se produce «[…] cuando falta en [el ordenamiento] una norma cuya existencia es condición necesaria para la eficacia (y/o para la efectividad) de otra norma. Sucede por tanto que una norma no puede producir efectos jurídicos (y/o no puede ser obedecida o aplicada) en ausencia de otras normas que […] la concreten» (Corchetes fuera de texto)</w:t>
      </w:r>
      <w:r w:rsidRPr="003E56B0">
        <w:rPr>
          <w:rStyle w:val="Refdenotaalpie"/>
          <w:rFonts w:ascii="Arial" w:eastAsia="Calibri" w:hAnsi="Arial" w:cs="Arial"/>
          <w:bCs/>
          <w:sz w:val="22"/>
        </w:rPr>
        <w:footnoteReference w:id="14"/>
      </w:r>
      <w:r w:rsidRPr="003E56B0">
        <w:rPr>
          <w:rFonts w:ascii="Arial" w:eastAsia="Calibri" w:hAnsi="Arial" w:cs="Arial"/>
          <w:bCs/>
          <w:sz w:val="22"/>
        </w:rPr>
        <w:t>.</w:t>
      </w:r>
    </w:p>
    <w:p w14:paraId="4FEE6803" w14:textId="7C454924" w:rsidR="00BB6979" w:rsidRPr="003E56B0" w:rsidRDefault="00BB6979" w:rsidP="00BB6979">
      <w:pPr>
        <w:tabs>
          <w:tab w:val="left" w:pos="709"/>
        </w:tabs>
        <w:spacing w:after="120" w:line="276" w:lineRule="auto"/>
        <w:jc w:val="both"/>
        <w:rPr>
          <w:rFonts w:ascii="Arial" w:eastAsia="Calibri" w:hAnsi="Arial" w:cs="Arial"/>
          <w:bCs/>
          <w:sz w:val="22"/>
        </w:rPr>
      </w:pPr>
      <w:r w:rsidRPr="003E56B0">
        <w:rPr>
          <w:rFonts w:ascii="Arial" w:eastAsia="Calibri" w:hAnsi="Arial" w:cs="Arial"/>
          <w:bCs/>
          <w:sz w:val="22"/>
        </w:rPr>
        <w:tab/>
      </w:r>
      <w:r w:rsidR="00B4119B" w:rsidRPr="00393811">
        <w:rPr>
          <w:rFonts w:ascii="Arial" w:eastAsia="Calibri" w:hAnsi="Arial" w:cs="Arial"/>
          <w:bCs/>
          <w:color w:val="000000" w:themeColor="text1"/>
          <w:sz w:val="22"/>
        </w:rPr>
        <w:t xml:space="preserve">Este tipo de lagunas no son ajenas a la contratación estatal, ya que –conforme a los antecedentes de la consulta– el procedimiento para la cesión unilateral del contrato del artículo 9 de la Ley 2014 de 2019 también estaba condicionado por su reglamentación previa en los términos del parágrafo 2 </w:t>
      </w:r>
      <w:r w:rsidR="00B4119B" w:rsidRPr="00393811">
        <w:rPr>
          <w:rFonts w:ascii="Arial" w:eastAsia="Calibri" w:hAnsi="Arial" w:cs="Arial"/>
          <w:bCs/>
          <w:i/>
          <w:iCs/>
          <w:color w:val="000000" w:themeColor="text1"/>
          <w:sz w:val="22"/>
        </w:rPr>
        <w:t>ibidem</w:t>
      </w:r>
      <w:r w:rsidR="00B4119B" w:rsidRPr="00393811">
        <w:rPr>
          <w:rFonts w:ascii="Arial" w:eastAsia="Calibri" w:hAnsi="Arial" w:cs="Arial"/>
          <w:bCs/>
          <w:color w:val="000000" w:themeColor="text1"/>
          <w:sz w:val="22"/>
        </w:rPr>
        <w:t xml:space="preserve"> antes de su declaratoria de inconstitucionalidad</w:t>
      </w:r>
      <w:r w:rsidR="00B4119B" w:rsidRPr="00393811">
        <w:rPr>
          <w:rStyle w:val="Refdenotaalpie"/>
          <w:rFonts w:ascii="Arial" w:eastAsia="Calibri" w:hAnsi="Arial" w:cs="Arial"/>
          <w:bCs/>
          <w:color w:val="000000" w:themeColor="text1"/>
          <w:sz w:val="22"/>
        </w:rPr>
        <w:footnoteReference w:id="15"/>
      </w:r>
      <w:r w:rsidRPr="003E56B0">
        <w:rPr>
          <w:rFonts w:ascii="Arial" w:eastAsia="Calibri" w:hAnsi="Arial" w:cs="Arial"/>
          <w:bCs/>
          <w:sz w:val="22"/>
        </w:rPr>
        <w:t>. Para llegar a esta conclusión, es necesario tener en cuenta que las normas jurídicas, por regla general, producen efectos a partir de su promulgación o publicación. De allí se derivan principios tales como la irretroactividad de la ley y su efecto general inmediato</w:t>
      </w:r>
      <w:r w:rsidRPr="003E56B0">
        <w:rPr>
          <w:rStyle w:val="Refdenotaalpie"/>
          <w:rFonts w:ascii="Arial" w:eastAsia="Calibri" w:hAnsi="Arial" w:cs="Arial"/>
          <w:bCs/>
          <w:sz w:val="22"/>
        </w:rPr>
        <w:footnoteReference w:id="16"/>
      </w:r>
      <w:r w:rsidRPr="003E56B0">
        <w:rPr>
          <w:rFonts w:ascii="Arial" w:eastAsia="Calibri" w:hAnsi="Arial" w:cs="Arial"/>
          <w:bCs/>
          <w:sz w:val="22"/>
        </w:rPr>
        <w:t xml:space="preserve">. </w:t>
      </w:r>
    </w:p>
    <w:p w14:paraId="081920EC" w14:textId="77777777" w:rsidR="00BB6979" w:rsidRPr="003E56B0" w:rsidRDefault="00BB6979" w:rsidP="00BB6979">
      <w:pPr>
        <w:spacing w:after="120" w:line="276" w:lineRule="auto"/>
        <w:ind w:firstLine="709"/>
        <w:jc w:val="both"/>
        <w:rPr>
          <w:rFonts w:ascii="Arial" w:eastAsia="Calibri" w:hAnsi="Arial" w:cs="Arial"/>
          <w:sz w:val="22"/>
          <w:lang w:val="es-ES"/>
        </w:rPr>
      </w:pPr>
      <w:r w:rsidRPr="003E56B0">
        <w:rPr>
          <w:rFonts w:ascii="Arial" w:eastAsia="Calibri" w:hAnsi="Arial" w:cs="Arial"/>
          <w:sz w:val="22"/>
          <w:lang w:val="es-ES"/>
        </w:rPr>
        <w:lastRenderedPageBreak/>
        <w:t xml:space="preserve">Sin embargo, las leyes pueden modular sus efectos en el tiempo y establecer para el inicio de su entrada en vigor un plazo o una condición. Ejemplo de una norma que establece un plazo es la Ley 1952 de 2019, por medio de la cual se expide el Código Disciplinario Único, cuyo artículo 265 disponía «la presente ley entrará a regir cuatro meses después de su sanción y publicación». El artículo 140 de la Ley 1955 de 2019 prorrogó este plazo hasta el 1 de julio de 2021. </w:t>
      </w:r>
    </w:p>
    <w:p w14:paraId="4710AB71" w14:textId="77777777" w:rsidR="00BB6979" w:rsidRPr="003E56B0" w:rsidRDefault="00BB6979" w:rsidP="00BB6979">
      <w:pPr>
        <w:spacing w:line="276" w:lineRule="auto"/>
        <w:ind w:firstLine="709"/>
        <w:jc w:val="both"/>
        <w:rPr>
          <w:rFonts w:ascii="Arial" w:eastAsia="Calibri" w:hAnsi="Arial" w:cs="Arial"/>
          <w:sz w:val="22"/>
          <w:lang w:val="es-ES"/>
        </w:rPr>
      </w:pPr>
      <w:r w:rsidRPr="003E56B0">
        <w:rPr>
          <w:rFonts w:ascii="Arial" w:eastAsia="Calibri" w:hAnsi="Arial" w:cs="Arial"/>
          <w:sz w:val="22"/>
          <w:lang w:val="es-ES"/>
        </w:rPr>
        <w:t xml:space="preserve">Pero las leyes pueden establecer no un plazo sino una condición para modular sus efectos en el tiempo. La condición más usual es someter la vigencia a la expedición de un reglamento. En este sentido, el parágrafo transitorio del artículo 2 de la Ley 1150 de 2007 estableció «Hasta tanto el Gobierno Nacional no expidiere el reglamento respectivo, no se podrá hacer uso de la selección abreviada como modalidad de selección». La ley creó una modalidad de selección, la selección abreviada; pero esas normas no podían aplicarse hasta que no se cumpliera la condición: la expedición del reglamento. Sobre este asunto, es preciso llamar la atención sobre la jurisprudencia. Al respecto, el Consejo de Estado considera que: </w:t>
      </w:r>
    </w:p>
    <w:p w14:paraId="658DE03F" w14:textId="77777777" w:rsidR="00BB6979" w:rsidRPr="003E56B0" w:rsidRDefault="00BB6979" w:rsidP="00BB6979">
      <w:pPr>
        <w:shd w:val="clear" w:color="auto" w:fill="FFFFFF"/>
        <w:spacing w:line="276" w:lineRule="auto"/>
        <w:ind w:left="709" w:right="760"/>
        <w:jc w:val="both"/>
        <w:rPr>
          <w:rFonts w:ascii="Arial" w:eastAsia="Calibri" w:hAnsi="Arial" w:cs="Arial"/>
          <w:sz w:val="22"/>
          <w:lang w:val="es-ES"/>
        </w:rPr>
      </w:pPr>
    </w:p>
    <w:p w14:paraId="0EE0B4B2" w14:textId="77777777" w:rsidR="00BB6979" w:rsidRPr="003E56B0" w:rsidRDefault="00BB6979" w:rsidP="00BB6979">
      <w:pPr>
        <w:shd w:val="clear" w:color="auto" w:fill="FFFFFF"/>
        <w:ind w:left="709" w:right="760"/>
        <w:jc w:val="both"/>
        <w:rPr>
          <w:rFonts w:ascii="Arial" w:eastAsia="Calibri" w:hAnsi="Arial" w:cs="Arial"/>
          <w:sz w:val="21"/>
          <w:szCs w:val="21"/>
          <w:lang w:val="es-ES"/>
        </w:rPr>
      </w:pPr>
      <w:r w:rsidRPr="003E56B0">
        <w:rPr>
          <w:rFonts w:ascii="Arial" w:eastAsia="Calibri" w:hAnsi="Arial" w:cs="Arial"/>
          <w:sz w:val="21"/>
          <w:szCs w:val="21"/>
          <w:lang w:val="es-ES"/>
        </w:rPr>
        <w:t>[…] el Presidente de la República no requiere autorización por parte del Legislador para el ejercicio de su facultad reglamentaria, de manera que si éste establece en la ley que el mismo reglamentará la materia, dicha indicación debe entenderse simplemente como el reconocimiento de que para su efectivo cumplimiento es necesaria la expedición de una reglamentación, bajo el concepto de colaboración armónica que sustenta la estructura y el funcionamiento del Estado (inciso 2 del artículo 113 C.P)</w:t>
      </w:r>
      <w:r w:rsidRPr="003E56B0">
        <w:rPr>
          <w:rStyle w:val="Refdenotaalpie"/>
          <w:rFonts w:ascii="Arial" w:eastAsia="Calibri" w:hAnsi="Arial" w:cs="Arial"/>
          <w:sz w:val="21"/>
          <w:szCs w:val="21"/>
          <w:lang w:val="es-ES"/>
        </w:rPr>
        <w:footnoteReference w:id="17"/>
      </w:r>
      <w:r w:rsidRPr="003E56B0">
        <w:rPr>
          <w:rFonts w:ascii="Arial" w:eastAsia="Calibri" w:hAnsi="Arial" w:cs="Arial"/>
          <w:sz w:val="21"/>
          <w:szCs w:val="21"/>
          <w:lang w:val="es-ES"/>
        </w:rPr>
        <w:t>.</w:t>
      </w:r>
    </w:p>
    <w:p w14:paraId="5D80C20A" w14:textId="77777777" w:rsidR="00BB6979" w:rsidRPr="003E56B0" w:rsidRDefault="00BB6979" w:rsidP="00BB6979">
      <w:pPr>
        <w:shd w:val="clear" w:color="auto" w:fill="FFFFFF"/>
        <w:spacing w:line="276" w:lineRule="auto"/>
        <w:ind w:left="709" w:right="760"/>
        <w:jc w:val="both"/>
        <w:rPr>
          <w:rFonts w:ascii="Arial" w:eastAsia="Calibri" w:hAnsi="Arial" w:cs="Arial"/>
          <w:sz w:val="22"/>
          <w:lang w:val="es-ES"/>
        </w:rPr>
      </w:pPr>
    </w:p>
    <w:p w14:paraId="2FA0EE5F" w14:textId="77777777" w:rsidR="00BB6979" w:rsidRPr="003E56B0" w:rsidRDefault="00BB6979" w:rsidP="00BB6979">
      <w:pPr>
        <w:shd w:val="clear" w:color="auto" w:fill="FFFFFF"/>
        <w:spacing w:after="120" w:line="276" w:lineRule="auto"/>
        <w:ind w:right="51" w:firstLine="709"/>
        <w:jc w:val="both"/>
        <w:rPr>
          <w:rFonts w:ascii="Arial" w:eastAsia="Calibri" w:hAnsi="Arial" w:cs="Arial"/>
          <w:sz w:val="22"/>
          <w:lang w:val="es-ES"/>
        </w:rPr>
      </w:pPr>
      <w:bookmarkStart w:id="17" w:name="_Hlk63884655"/>
      <w:r w:rsidRPr="003E56B0">
        <w:rPr>
          <w:rFonts w:ascii="Arial" w:eastAsia="Calibri" w:hAnsi="Arial" w:cs="Arial"/>
          <w:sz w:val="22"/>
          <w:lang w:val="es-ES"/>
        </w:rPr>
        <w:t xml:space="preserve">La referencia hecha en una ley a que el Gobierno Nacional reglamentará la materia indica que el reglamento es indispensable para el cumplimiento de </w:t>
      </w:r>
      <w:proofErr w:type="gramStart"/>
      <w:r w:rsidRPr="003E56B0">
        <w:rPr>
          <w:rFonts w:ascii="Arial" w:eastAsia="Calibri" w:hAnsi="Arial" w:cs="Arial"/>
          <w:sz w:val="22"/>
          <w:lang w:val="es-ES"/>
        </w:rPr>
        <w:t>la misma</w:t>
      </w:r>
      <w:proofErr w:type="gramEnd"/>
      <w:r w:rsidRPr="003E56B0">
        <w:rPr>
          <w:rFonts w:ascii="Arial" w:eastAsia="Calibri" w:hAnsi="Arial" w:cs="Arial"/>
          <w:sz w:val="22"/>
          <w:lang w:val="es-ES"/>
        </w:rPr>
        <w:t xml:space="preserve">. Naturalmente, este reconocimiento no siempre implica que la ley está sometida a condición para </w:t>
      </w:r>
      <w:proofErr w:type="gramStart"/>
      <w:r w:rsidRPr="003E56B0">
        <w:rPr>
          <w:rFonts w:ascii="Arial" w:eastAsia="Calibri" w:hAnsi="Arial" w:cs="Arial"/>
          <w:sz w:val="22"/>
          <w:lang w:val="es-ES"/>
        </w:rPr>
        <w:t>entrar en vigencia</w:t>
      </w:r>
      <w:proofErr w:type="gramEnd"/>
      <w:r w:rsidRPr="003E56B0">
        <w:rPr>
          <w:rFonts w:ascii="Arial" w:eastAsia="Calibri" w:hAnsi="Arial" w:cs="Arial"/>
          <w:sz w:val="22"/>
          <w:lang w:val="es-ES"/>
        </w:rPr>
        <w:t>; pero cuando ello se analiza con otros elementos que obran en este sentido, como los antecedentes legislativos, es posible utilizar la referencia al reglamento como una prueba de que la ley moduló sus efectos en el tiempo y se encuentra sometida a condición.</w:t>
      </w:r>
    </w:p>
    <w:bookmarkEnd w:id="17"/>
    <w:p w14:paraId="4BE58C33" w14:textId="77777777" w:rsidR="00BB6979" w:rsidRPr="003E56B0" w:rsidRDefault="00BB6979" w:rsidP="00BB6979">
      <w:pPr>
        <w:shd w:val="clear" w:color="auto" w:fill="FFFFFF"/>
        <w:spacing w:after="120" w:line="276" w:lineRule="auto"/>
        <w:ind w:right="51" w:firstLine="709"/>
        <w:jc w:val="both"/>
        <w:rPr>
          <w:rFonts w:ascii="Arial" w:eastAsia="Calibri" w:hAnsi="Arial" w:cs="Arial"/>
          <w:bCs/>
          <w:sz w:val="22"/>
        </w:rPr>
      </w:pPr>
      <w:r w:rsidRPr="003E56B0">
        <w:rPr>
          <w:rFonts w:ascii="Arial" w:eastAsia="Calibri" w:hAnsi="Arial" w:cs="Arial"/>
          <w:sz w:val="22"/>
          <w:lang w:val="es-ES"/>
        </w:rPr>
        <w:t xml:space="preserve">Para la Subdirección de Gestión Contractual, las consideraciones de los párrafos precedentes también son aplicables al tema objeto de consulta, ya que el Congreso de la República dispuso la expedición de un decreto reglamentario para detallar el contenido </w:t>
      </w:r>
      <w:r w:rsidRPr="003E56B0">
        <w:rPr>
          <w:rFonts w:ascii="Arial" w:eastAsia="Calibri" w:hAnsi="Arial" w:cs="Arial"/>
          <w:sz w:val="22"/>
          <w:lang w:val="es-ES_tradnl"/>
        </w:rPr>
        <w:t>los artículos 31, 32, 34 y 36 de la Ley 2069 de 2020</w:t>
      </w:r>
      <w:r w:rsidRPr="003E56B0">
        <w:rPr>
          <w:rFonts w:ascii="Arial" w:eastAsia="Calibri" w:hAnsi="Arial" w:cs="Arial"/>
          <w:sz w:val="22"/>
          <w:lang w:val="es-ES"/>
        </w:rPr>
        <w:t xml:space="preserve">. Por ello, en ausencia de desarrollo normativo posterior existe una </w:t>
      </w:r>
      <w:r w:rsidRPr="003E56B0">
        <w:rPr>
          <w:rFonts w:ascii="Arial" w:eastAsia="Calibri" w:hAnsi="Arial" w:cs="Arial"/>
          <w:i/>
          <w:iCs/>
          <w:sz w:val="22"/>
          <w:lang w:val="es-ES"/>
        </w:rPr>
        <w:t>laguna técnica</w:t>
      </w:r>
      <w:r w:rsidRPr="003E56B0">
        <w:rPr>
          <w:rFonts w:ascii="Arial" w:eastAsia="Calibri" w:hAnsi="Arial" w:cs="Arial"/>
          <w:sz w:val="22"/>
          <w:lang w:val="es-ES"/>
        </w:rPr>
        <w:t xml:space="preserve"> que impide aplicar estas disposiciones</w:t>
      </w:r>
      <w:r w:rsidRPr="003E56B0">
        <w:rPr>
          <w:rFonts w:ascii="Arial" w:eastAsia="Calibri" w:hAnsi="Arial" w:cs="Arial"/>
          <w:bCs/>
          <w:sz w:val="22"/>
        </w:rPr>
        <w:t xml:space="preserve">. </w:t>
      </w:r>
    </w:p>
    <w:p w14:paraId="40406AA0" w14:textId="77777777" w:rsidR="00BB6979" w:rsidRPr="003E56B0" w:rsidRDefault="00BB6979" w:rsidP="00BB6979">
      <w:pPr>
        <w:shd w:val="clear" w:color="auto" w:fill="FFFFFF"/>
        <w:spacing w:after="120" w:line="276" w:lineRule="auto"/>
        <w:ind w:right="51" w:firstLine="709"/>
        <w:jc w:val="both"/>
        <w:rPr>
          <w:rFonts w:ascii="Arial" w:eastAsia="Calibri" w:hAnsi="Arial" w:cs="Arial"/>
          <w:bCs/>
          <w:sz w:val="22"/>
        </w:rPr>
      </w:pPr>
      <w:r w:rsidRPr="003E56B0">
        <w:rPr>
          <w:rFonts w:ascii="Arial" w:eastAsia="Calibri" w:hAnsi="Arial" w:cs="Arial"/>
          <w:bCs/>
          <w:sz w:val="22"/>
        </w:rPr>
        <w:t xml:space="preserve">En este caso, la necesidad de la reglamentación previa también deriva de los antecedentes legislativos. En lo pertinente, el texto inicial de los artículos 15 y 17 del </w:t>
      </w:r>
      <w:r w:rsidRPr="003E56B0">
        <w:rPr>
          <w:rFonts w:ascii="Arial" w:eastAsia="Calibri" w:hAnsi="Arial" w:cs="Arial"/>
          <w:bCs/>
          <w:sz w:val="22"/>
        </w:rPr>
        <w:lastRenderedPageBreak/>
        <w:t xml:space="preserve">Proyecto de Ley No. 122 de 2020 disponía que la necesidad del reglamento en lo relacionado con i) los criterios diferenciales para </w:t>
      </w:r>
      <w:proofErr w:type="spellStart"/>
      <w:r w:rsidRPr="003E56B0">
        <w:rPr>
          <w:rFonts w:ascii="Arial" w:eastAsia="Calibri" w:hAnsi="Arial" w:cs="Arial"/>
          <w:bCs/>
          <w:sz w:val="22"/>
        </w:rPr>
        <w:t>mipymes</w:t>
      </w:r>
      <w:proofErr w:type="spellEnd"/>
      <w:r w:rsidRPr="003E56B0">
        <w:rPr>
          <w:rFonts w:ascii="Arial" w:eastAsia="Calibri" w:hAnsi="Arial" w:cs="Arial"/>
          <w:bCs/>
          <w:sz w:val="22"/>
        </w:rPr>
        <w:t xml:space="preserve"> y </w:t>
      </w:r>
      <w:proofErr w:type="spellStart"/>
      <w:r w:rsidRPr="003E56B0">
        <w:rPr>
          <w:rFonts w:ascii="Arial" w:eastAsia="Calibri" w:hAnsi="Arial" w:cs="Arial"/>
          <w:bCs/>
          <w:sz w:val="22"/>
        </w:rPr>
        <w:t>ii</w:t>
      </w:r>
      <w:proofErr w:type="spellEnd"/>
      <w:r w:rsidRPr="003E56B0">
        <w:rPr>
          <w:rFonts w:ascii="Arial" w:eastAsia="Calibri" w:hAnsi="Arial" w:cs="Arial"/>
          <w:bCs/>
          <w:sz w:val="22"/>
        </w:rPr>
        <w:t xml:space="preserve">) las convocatorias limitadas a </w:t>
      </w:r>
      <w:proofErr w:type="spellStart"/>
      <w:r w:rsidRPr="003E56B0">
        <w:rPr>
          <w:rFonts w:ascii="Arial" w:eastAsia="Calibri" w:hAnsi="Arial" w:cs="Arial"/>
          <w:bCs/>
          <w:sz w:val="22"/>
        </w:rPr>
        <w:t>mipymes</w:t>
      </w:r>
      <w:proofErr w:type="spellEnd"/>
      <w:r w:rsidRPr="003E56B0">
        <w:rPr>
          <w:rFonts w:ascii="Arial" w:eastAsia="Calibri" w:hAnsi="Arial" w:cs="Arial"/>
          <w:bCs/>
          <w:sz w:val="22"/>
        </w:rPr>
        <w:t>, así como el fomento en la ejecución de los contratos estatales por parte de sujetos de especial protección</w:t>
      </w:r>
      <w:r w:rsidRPr="003E56B0">
        <w:rPr>
          <w:rStyle w:val="Refdenotaalpie"/>
          <w:rFonts w:ascii="Arial" w:eastAsia="Calibri" w:hAnsi="Arial" w:cs="Arial"/>
          <w:bCs/>
          <w:sz w:val="22"/>
        </w:rPr>
        <w:footnoteReference w:id="18"/>
      </w:r>
      <w:r w:rsidRPr="003E56B0">
        <w:rPr>
          <w:rFonts w:ascii="Arial" w:eastAsia="Calibri" w:hAnsi="Arial" w:cs="Arial"/>
          <w:bCs/>
          <w:sz w:val="22"/>
        </w:rPr>
        <w:t xml:space="preserve">. </w:t>
      </w:r>
    </w:p>
    <w:p w14:paraId="02475DC3" w14:textId="77777777" w:rsidR="00BB6979" w:rsidRPr="003E56B0" w:rsidRDefault="00BB6979" w:rsidP="00BB6979">
      <w:pPr>
        <w:shd w:val="clear" w:color="auto" w:fill="FFFFFF"/>
        <w:spacing w:after="120" w:line="276" w:lineRule="auto"/>
        <w:ind w:right="51" w:firstLine="709"/>
        <w:jc w:val="both"/>
        <w:rPr>
          <w:rFonts w:ascii="Arial" w:eastAsia="Calibri" w:hAnsi="Arial" w:cs="Arial"/>
          <w:bCs/>
          <w:sz w:val="22"/>
        </w:rPr>
      </w:pPr>
      <w:r w:rsidRPr="003E56B0">
        <w:rPr>
          <w:rFonts w:ascii="Arial" w:eastAsia="Calibri" w:hAnsi="Arial" w:cs="Arial"/>
          <w:bCs/>
          <w:sz w:val="22"/>
        </w:rPr>
        <w:t xml:space="preserve">Como puede verificarse en las Gacetas del Congreso No. 1334 del 18 de noviembre de 2020 y 1389 de 14 de diciembre de 2020, además de que –para el segundo debate– el artículo 24 dispuso que la definición de «emprendimientos y empresas de mujeres» correspondería al reglamento, el artículo 36 del texto conciliado incluye lo propio para las compras públicas de tecnología e innovación. Incluso, tratándose de </w:t>
      </w:r>
      <w:r w:rsidRPr="003E56B0">
        <w:rPr>
          <w:rFonts w:ascii="Arial" w:eastAsia="Calibri" w:hAnsi="Arial" w:cs="Arial"/>
          <w:sz w:val="22"/>
          <w:lang w:val="es-ES_tradnl"/>
        </w:rPr>
        <w:t>los artículos 31, 32, 34 y 36 de la Ley 2069 de 2020</w:t>
      </w:r>
      <w:r w:rsidRPr="003E56B0">
        <w:rPr>
          <w:rFonts w:ascii="Arial" w:eastAsia="Calibri" w:hAnsi="Arial" w:cs="Arial"/>
          <w:bCs/>
          <w:sz w:val="22"/>
        </w:rPr>
        <w:t xml:space="preserve"> la remisión al reglamento es razonable y está justificada, pues si eventualmente la concreción de estos aspectos se dejara a la discrecionalidad de las entidades contratantes, generaría un clima de inseguridad e incertidumbre para los interesados en acceder al sistema de compras públicas. Desde esta perspectiva, la exigencia de la reglamentación tiene pretensiones unificadoras.    </w:t>
      </w:r>
    </w:p>
    <w:p w14:paraId="06E4A8F5" w14:textId="77777777" w:rsidR="00BB6979" w:rsidRPr="003E56B0" w:rsidRDefault="00BB6979" w:rsidP="00BB6979">
      <w:pPr>
        <w:shd w:val="clear" w:color="auto" w:fill="FFFFFF"/>
        <w:spacing w:after="120" w:line="276" w:lineRule="auto"/>
        <w:ind w:right="51" w:firstLine="709"/>
        <w:jc w:val="both"/>
        <w:rPr>
          <w:rFonts w:ascii="Arial" w:eastAsia="Calibri" w:hAnsi="Arial" w:cs="Arial"/>
          <w:bCs/>
          <w:sz w:val="22"/>
        </w:rPr>
      </w:pPr>
      <w:r w:rsidRPr="003E56B0">
        <w:rPr>
          <w:rFonts w:ascii="Arial" w:eastAsia="Calibri" w:hAnsi="Arial" w:cs="Arial"/>
          <w:bCs/>
          <w:sz w:val="22"/>
        </w:rPr>
        <w:t xml:space="preserve">Por tanto, </w:t>
      </w:r>
      <w:bookmarkStart w:id="18" w:name="_Hlk51668471"/>
      <w:r w:rsidRPr="003E56B0">
        <w:rPr>
          <w:rFonts w:ascii="Arial" w:eastAsia="Calibri" w:hAnsi="Arial" w:cs="Arial"/>
          <w:bCs/>
          <w:sz w:val="22"/>
        </w:rPr>
        <w:t>si bien en principio el ejercicio de la potestad reglamentaria es discrecional, esta puede ser excepcionalmente obligatoria para efectividad de la ley. Por ejemplo, para la doctrina esto último sucede cuando «[…] la necesidad del reglamento es inminente, y así nace desde la norma que confiere la potestad reglamentaria […]»</w:t>
      </w:r>
      <w:r w:rsidRPr="003E56B0">
        <w:rPr>
          <w:rStyle w:val="Refdenotaalpie"/>
          <w:rFonts w:ascii="Arial" w:eastAsia="Calibri" w:hAnsi="Arial" w:cs="Arial"/>
          <w:bCs/>
          <w:sz w:val="22"/>
        </w:rPr>
        <w:footnoteReference w:id="19"/>
      </w:r>
      <w:r w:rsidRPr="003E56B0">
        <w:rPr>
          <w:rFonts w:ascii="Arial" w:eastAsia="Calibri" w:hAnsi="Arial" w:cs="Arial"/>
          <w:bCs/>
          <w:sz w:val="22"/>
        </w:rPr>
        <w:t>. En este tipo de situaciones, «[…] las autoridades no tienen -ni tuvieron- la posibilidad de escoger entre expedir el acto o dejar de hacerlo. Es decir, se trata de una potestad reglada, desde el punto de vista de la necesidad de la actuación»</w:t>
      </w:r>
      <w:r w:rsidRPr="003E56B0">
        <w:rPr>
          <w:rStyle w:val="Refdenotaalpie"/>
          <w:rFonts w:ascii="Arial" w:eastAsia="Calibri" w:hAnsi="Arial" w:cs="Arial"/>
          <w:bCs/>
          <w:sz w:val="22"/>
        </w:rPr>
        <w:footnoteReference w:id="20"/>
      </w:r>
      <w:r w:rsidRPr="003E56B0">
        <w:rPr>
          <w:rFonts w:ascii="Arial" w:eastAsia="Calibri" w:hAnsi="Arial" w:cs="Arial"/>
          <w:bCs/>
          <w:sz w:val="22"/>
        </w:rPr>
        <w:t>.</w:t>
      </w:r>
    </w:p>
    <w:p w14:paraId="0D326B71" w14:textId="77777777" w:rsidR="00BB6979" w:rsidRPr="003E56B0" w:rsidRDefault="00BB6979" w:rsidP="00BB6979">
      <w:pPr>
        <w:shd w:val="clear" w:color="auto" w:fill="FFFFFF"/>
        <w:spacing w:line="276" w:lineRule="auto"/>
        <w:ind w:right="51" w:firstLine="709"/>
        <w:jc w:val="both"/>
        <w:rPr>
          <w:rFonts w:ascii="Arial" w:eastAsia="Calibri" w:hAnsi="Arial" w:cs="Arial"/>
          <w:bCs/>
          <w:sz w:val="22"/>
        </w:rPr>
      </w:pPr>
      <w:r w:rsidRPr="003E56B0">
        <w:rPr>
          <w:rFonts w:ascii="Arial" w:eastAsia="Calibri" w:hAnsi="Arial" w:cs="Arial"/>
          <w:bCs/>
          <w:sz w:val="22"/>
        </w:rPr>
        <w:t>En ese orden de ideas, es posible afirmar que</w:t>
      </w:r>
      <w:bookmarkEnd w:id="18"/>
      <w:r w:rsidRPr="003E56B0">
        <w:rPr>
          <w:rFonts w:ascii="Arial" w:eastAsia="Calibri" w:hAnsi="Arial" w:cs="Arial"/>
          <w:bCs/>
          <w:sz w:val="22"/>
        </w:rPr>
        <w:t xml:space="preserve">, </w:t>
      </w:r>
      <w:bookmarkStart w:id="19" w:name="_Hlk63884107"/>
      <w:r w:rsidRPr="003E56B0">
        <w:rPr>
          <w:rFonts w:ascii="Arial" w:eastAsia="Calibri" w:hAnsi="Arial" w:cs="Arial"/>
          <w:bCs/>
          <w:sz w:val="22"/>
        </w:rPr>
        <w:t xml:space="preserve">en </w:t>
      </w:r>
      <w:r w:rsidRPr="003E56B0">
        <w:rPr>
          <w:rFonts w:ascii="Arial" w:eastAsia="Calibri" w:hAnsi="Arial" w:cs="Arial"/>
          <w:sz w:val="22"/>
          <w:lang w:val="es-ES_tradnl"/>
        </w:rPr>
        <w:t>los artículos 31, 32, 34 y 36</w:t>
      </w:r>
      <w:r w:rsidRPr="003E56B0">
        <w:rPr>
          <w:rFonts w:ascii="Arial" w:eastAsia="Calibri" w:hAnsi="Arial" w:cs="Arial"/>
          <w:bCs/>
          <w:sz w:val="22"/>
        </w:rPr>
        <w:t xml:space="preserve">, el Congreso de la República reconoce la necesidad de un reglamento para el efectivo cumplimiento de la </w:t>
      </w:r>
      <w:r w:rsidRPr="003E56B0">
        <w:rPr>
          <w:rFonts w:ascii="Arial" w:eastAsia="Calibri" w:hAnsi="Arial" w:cs="Arial"/>
          <w:sz w:val="22"/>
          <w:lang w:val="es-ES_tradnl"/>
        </w:rPr>
        <w:t>Ley 2069 de 2020</w:t>
      </w:r>
      <w:r w:rsidRPr="003E56B0">
        <w:rPr>
          <w:rFonts w:ascii="Arial" w:eastAsia="Calibri" w:hAnsi="Arial" w:cs="Arial"/>
          <w:bCs/>
          <w:sz w:val="22"/>
        </w:rPr>
        <w:t xml:space="preserve">, lo que demuestra, para el caso concreto, una vigencia sometida a condición para los temas regulados en estas normas. Esta conclusión se ajusta no solo a los antecedentes del proyecto de ley, sino también a la necesidad de claridad que debe introducir el reglamento en relación con i) los criterios diferenciales para </w:t>
      </w:r>
      <w:proofErr w:type="spellStart"/>
      <w:r w:rsidRPr="003E56B0">
        <w:rPr>
          <w:rFonts w:ascii="Arial" w:eastAsia="Calibri" w:hAnsi="Arial" w:cs="Arial"/>
          <w:bCs/>
          <w:sz w:val="22"/>
        </w:rPr>
        <w:t>mipymes</w:t>
      </w:r>
      <w:proofErr w:type="spellEnd"/>
      <w:r w:rsidRPr="003E56B0">
        <w:rPr>
          <w:rFonts w:ascii="Arial" w:eastAsia="Calibri" w:hAnsi="Arial" w:cs="Arial"/>
          <w:bCs/>
          <w:sz w:val="22"/>
        </w:rPr>
        <w:t xml:space="preserve">, </w:t>
      </w:r>
      <w:proofErr w:type="spellStart"/>
      <w:r w:rsidRPr="003E56B0">
        <w:rPr>
          <w:rFonts w:ascii="Arial" w:eastAsia="Calibri" w:hAnsi="Arial" w:cs="Arial"/>
          <w:bCs/>
          <w:sz w:val="22"/>
        </w:rPr>
        <w:t>ii</w:t>
      </w:r>
      <w:proofErr w:type="spellEnd"/>
      <w:r w:rsidRPr="003E56B0">
        <w:rPr>
          <w:rFonts w:ascii="Arial" w:eastAsia="Calibri" w:hAnsi="Arial" w:cs="Arial"/>
          <w:bCs/>
          <w:sz w:val="22"/>
        </w:rPr>
        <w:t xml:space="preserve">) la definición de «emprendimientos y empresas de mujeres», </w:t>
      </w:r>
      <w:proofErr w:type="spellStart"/>
      <w:r w:rsidRPr="003E56B0">
        <w:rPr>
          <w:rFonts w:ascii="Arial" w:eastAsia="Calibri" w:hAnsi="Arial" w:cs="Arial"/>
          <w:bCs/>
          <w:sz w:val="22"/>
        </w:rPr>
        <w:t>iii</w:t>
      </w:r>
      <w:proofErr w:type="spellEnd"/>
      <w:r w:rsidRPr="003E56B0">
        <w:rPr>
          <w:rFonts w:ascii="Arial" w:eastAsia="Calibri" w:hAnsi="Arial" w:cs="Arial"/>
          <w:bCs/>
          <w:sz w:val="22"/>
        </w:rPr>
        <w:t xml:space="preserve">) las convocatorias limitadas a </w:t>
      </w:r>
      <w:proofErr w:type="spellStart"/>
      <w:r w:rsidRPr="003E56B0">
        <w:rPr>
          <w:rFonts w:ascii="Arial" w:eastAsia="Calibri" w:hAnsi="Arial" w:cs="Arial"/>
          <w:bCs/>
          <w:sz w:val="22"/>
        </w:rPr>
        <w:t>mipymes</w:t>
      </w:r>
      <w:proofErr w:type="spellEnd"/>
      <w:r w:rsidRPr="003E56B0">
        <w:rPr>
          <w:rFonts w:ascii="Arial" w:eastAsia="Calibri" w:hAnsi="Arial" w:cs="Arial"/>
          <w:bCs/>
          <w:sz w:val="22"/>
        </w:rPr>
        <w:t xml:space="preserve"> y el fomento en la ejecución de los contratos estatales por parte de sujetos de especial protección, así como </w:t>
      </w:r>
      <w:proofErr w:type="spellStart"/>
      <w:r w:rsidRPr="003E56B0">
        <w:rPr>
          <w:rFonts w:ascii="Arial" w:eastAsia="Calibri" w:hAnsi="Arial" w:cs="Arial"/>
          <w:bCs/>
          <w:sz w:val="22"/>
        </w:rPr>
        <w:t>iv</w:t>
      </w:r>
      <w:proofErr w:type="spellEnd"/>
      <w:r w:rsidRPr="003E56B0">
        <w:rPr>
          <w:rFonts w:ascii="Arial" w:eastAsia="Calibri" w:hAnsi="Arial" w:cs="Arial"/>
          <w:bCs/>
          <w:sz w:val="22"/>
        </w:rPr>
        <w:t>) la promoción de las compras públicas de tecnología e innovación.</w:t>
      </w:r>
    </w:p>
    <w:bookmarkEnd w:id="19"/>
    <w:p w14:paraId="60078656" w14:textId="5D6EB6A0" w:rsidR="005C6397" w:rsidRPr="003E56B0" w:rsidRDefault="005C6397" w:rsidP="00271230">
      <w:pPr>
        <w:spacing w:line="276" w:lineRule="auto"/>
        <w:jc w:val="both"/>
        <w:rPr>
          <w:rFonts w:ascii="Arial" w:eastAsia="Calibri" w:hAnsi="Arial" w:cs="Arial"/>
          <w:sz w:val="22"/>
          <w:szCs w:val="22"/>
          <w:lang w:val="es-ES_tradnl"/>
        </w:rPr>
      </w:pPr>
    </w:p>
    <w:p w14:paraId="37CA9805" w14:textId="122A5ECE" w:rsidR="00DD5B04" w:rsidRPr="003E56B0" w:rsidRDefault="004177A6" w:rsidP="00510DE9">
      <w:pPr>
        <w:tabs>
          <w:tab w:val="left" w:pos="0"/>
        </w:tabs>
        <w:jc w:val="both"/>
        <w:rPr>
          <w:rFonts w:ascii="Arial" w:eastAsia="Calibri" w:hAnsi="Arial" w:cs="Arial"/>
          <w:b/>
          <w:sz w:val="22"/>
          <w:lang w:val="es-ES_tradnl"/>
        </w:rPr>
      </w:pPr>
      <w:r w:rsidRPr="003E56B0">
        <w:rPr>
          <w:rFonts w:ascii="Arial" w:eastAsia="Calibri" w:hAnsi="Arial" w:cs="Arial"/>
          <w:b/>
          <w:sz w:val="22"/>
          <w:lang w:val="es-ES_tradnl"/>
        </w:rPr>
        <w:t>3</w:t>
      </w:r>
      <w:r w:rsidR="00B011A9" w:rsidRPr="003E56B0">
        <w:rPr>
          <w:rFonts w:ascii="Arial" w:eastAsia="Calibri" w:hAnsi="Arial" w:cs="Arial"/>
          <w:b/>
          <w:sz w:val="22"/>
          <w:lang w:val="es-ES_tradnl"/>
        </w:rPr>
        <w:t xml:space="preserve">. </w:t>
      </w:r>
      <w:r w:rsidR="00DD5B04" w:rsidRPr="003E56B0">
        <w:rPr>
          <w:rFonts w:ascii="Arial" w:eastAsia="Calibri" w:hAnsi="Arial" w:cs="Arial"/>
          <w:b/>
          <w:sz w:val="22"/>
          <w:lang w:val="es-ES_tradnl"/>
        </w:rPr>
        <w:t>Respuesta</w:t>
      </w:r>
      <w:r w:rsidR="002A7D84" w:rsidRPr="003E56B0">
        <w:rPr>
          <w:rFonts w:ascii="Arial" w:eastAsia="Calibri" w:hAnsi="Arial" w:cs="Arial"/>
          <w:b/>
          <w:sz w:val="22"/>
          <w:lang w:val="es-ES_tradnl"/>
        </w:rPr>
        <w:t>s</w:t>
      </w:r>
    </w:p>
    <w:p w14:paraId="12DCA9F3" w14:textId="77777777" w:rsidR="004B25D8" w:rsidRPr="003E56B0" w:rsidRDefault="004B25D8" w:rsidP="001C2119">
      <w:pPr>
        <w:ind w:right="709"/>
        <w:jc w:val="both"/>
        <w:rPr>
          <w:rFonts w:ascii="Arial" w:hAnsi="Arial" w:cs="Arial"/>
          <w:sz w:val="21"/>
          <w:szCs w:val="21"/>
          <w:lang w:val="es-ES_tradnl"/>
        </w:rPr>
      </w:pPr>
    </w:p>
    <w:p w14:paraId="103424DD" w14:textId="2943D63C" w:rsidR="0008049A" w:rsidRDefault="00053B89" w:rsidP="009D6CC6">
      <w:pPr>
        <w:ind w:left="709" w:right="709"/>
        <w:jc w:val="both"/>
        <w:rPr>
          <w:rFonts w:ascii="Arial" w:eastAsiaTheme="minorHAnsi" w:hAnsi="Arial" w:cs="Arial"/>
          <w:sz w:val="21"/>
          <w:szCs w:val="21"/>
          <w:lang w:eastAsia="en-US"/>
        </w:rPr>
      </w:pPr>
      <w:r w:rsidRPr="000D6E20">
        <w:rPr>
          <w:rFonts w:ascii="Arial" w:hAnsi="Arial" w:cs="Arial"/>
          <w:sz w:val="21"/>
          <w:szCs w:val="21"/>
          <w:lang w:val="es-ES_tradnl"/>
        </w:rPr>
        <w:t>«[…]</w:t>
      </w:r>
      <w:r w:rsidRPr="003E56B0">
        <w:rPr>
          <w:rFonts w:ascii="Arial" w:eastAsiaTheme="minorHAnsi" w:hAnsi="Arial" w:cs="Arial"/>
          <w:sz w:val="21"/>
          <w:szCs w:val="21"/>
          <w:lang w:eastAsia="en-US"/>
        </w:rPr>
        <w:t xml:space="preserve"> </w:t>
      </w:r>
      <w:proofErr w:type="spellStart"/>
      <w:r w:rsidRPr="003E56B0">
        <w:rPr>
          <w:rFonts w:ascii="Arial" w:eastAsiaTheme="minorHAnsi" w:hAnsi="Arial" w:cs="Arial"/>
          <w:sz w:val="21"/>
          <w:szCs w:val="21"/>
          <w:lang w:eastAsia="en-US"/>
        </w:rPr>
        <w:t>cuales</w:t>
      </w:r>
      <w:proofErr w:type="spellEnd"/>
      <w:r w:rsidRPr="003E56B0">
        <w:rPr>
          <w:rFonts w:ascii="Arial" w:eastAsiaTheme="minorHAnsi" w:hAnsi="Arial" w:cs="Arial"/>
          <w:sz w:val="21"/>
          <w:szCs w:val="21"/>
          <w:lang w:eastAsia="en-US"/>
        </w:rPr>
        <w:t xml:space="preserve"> son los artículos de la ley de emprendimiento 2069 de 2020, que </w:t>
      </w:r>
      <w:proofErr w:type="gramStart"/>
      <w:r w:rsidRPr="003E56B0">
        <w:rPr>
          <w:rFonts w:ascii="Arial" w:eastAsiaTheme="minorHAnsi" w:hAnsi="Arial" w:cs="Arial"/>
          <w:sz w:val="21"/>
          <w:szCs w:val="21"/>
          <w:lang w:eastAsia="en-US"/>
        </w:rPr>
        <w:t>entraron en vigencia</w:t>
      </w:r>
      <w:proofErr w:type="gramEnd"/>
      <w:r w:rsidRPr="003E56B0">
        <w:rPr>
          <w:rFonts w:ascii="Arial" w:eastAsiaTheme="minorHAnsi" w:hAnsi="Arial" w:cs="Arial"/>
          <w:sz w:val="21"/>
          <w:szCs w:val="21"/>
          <w:lang w:eastAsia="en-US"/>
        </w:rPr>
        <w:t xml:space="preserve"> sin necesidad de la reglamentación de que trata la ley. Asimismo conocer si el artículo 30 de la ley 2069 de </w:t>
      </w:r>
      <w:proofErr w:type="gramStart"/>
      <w:r w:rsidRPr="003E56B0">
        <w:rPr>
          <w:rFonts w:ascii="Arial" w:eastAsiaTheme="minorHAnsi" w:hAnsi="Arial" w:cs="Arial"/>
          <w:sz w:val="21"/>
          <w:szCs w:val="21"/>
          <w:lang w:eastAsia="en-US"/>
        </w:rPr>
        <w:t>2020 ,</w:t>
      </w:r>
      <w:proofErr w:type="gramEnd"/>
      <w:r w:rsidRPr="003E56B0">
        <w:rPr>
          <w:rFonts w:ascii="Arial" w:eastAsiaTheme="minorHAnsi" w:hAnsi="Arial" w:cs="Arial"/>
          <w:sz w:val="21"/>
          <w:szCs w:val="21"/>
          <w:lang w:eastAsia="en-US"/>
        </w:rPr>
        <w:t xml:space="preserve"> el cual ,modifica el numeral 5 del artículo 2 de la Ley 1150 de 2007, es de inmediato cumplimiento?».</w:t>
      </w:r>
    </w:p>
    <w:p w14:paraId="2A7E8860" w14:textId="77777777" w:rsidR="0041187D" w:rsidRPr="000D6E20" w:rsidRDefault="0041187D" w:rsidP="000D6E20">
      <w:pPr>
        <w:spacing w:line="276" w:lineRule="auto"/>
        <w:ind w:left="709" w:right="709"/>
        <w:jc w:val="both"/>
        <w:rPr>
          <w:rFonts w:ascii="Arial" w:hAnsi="Arial" w:cs="Arial"/>
          <w:sz w:val="22"/>
          <w:szCs w:val="22"/>
          <w:highlight w:val="yellow"/>
          <w:lang w:val="es-ES_tradnl"/>
        </w:rPr>
      </w:pPr>
    </w:p>
    <w:p w14:paraId="7FC2F00A" w14:textId="77777777" w:rsidR="009D6CC6" w:rsidRPr="003E56B0" w:rsidRDefault="009D6CC6" w:rsidP="009D6CC6">
      <w:pPr>
        <w:spacing w:after="120" w:line="276" w:lineRule="auto"/>
        <w:jc w:val="both"/>
        <w:rPr>
          <w:rFonts w:ascii="Arial" w:eastAsia="Calibri" w:hAnsi="Arial" w:cs="Arial"/>
          <w:bCs/>
          <w:sz w:val="22"/>
        </w:rPr>
      </w:pPr>
      <w:r w:rsidRPr="003E56B0">
        <w:rPr>
          <w:rFonts w:ascii="Arial" w:eastAsia="Calibri" w:hAnsi="Arial" w:cs="Arial"/>
          <w:sz w:val="22"/>
        </w:rPr>
        <w:t>Conforme a lo explicado en el presente concepto</w:t>
      </w:r>
      <w:r w:rsidRPr="003E56B0">
        <w:rPr>
          <w:rFonts w:ascii="Arial" w:eastAsia="Calibri" w:hAnsi="Arial" w:cs="Arial"/>
          <w:bCs/>
          <w:sz w:val="22"/>
        </w:rPr>
        <w:t xml:space="preserve">, en </w:t>
      </w:r>
      <w:r w:rsidRPr="003E56B0">
        <w:rPr>
          <w:rFonts w:ascii="Arial" w:eastAsia="Calibri" w:hAnsi="Arial" w:cs="Arial"/>
          <w:sz w:val="22"/>
          <w:lang w:val="es-ES_tradnl"/>
        </w:rPr>
        <w:t>los artículos 31, 32, 34 y 36</w:t>
      </w:r>
      <w:r w:rsidRPr="003E56B0">
        <w:rPr>
          <w:rFonts w:ascii="Arial" w:eastAsia="Calibri" w:hAnsi="Arial" w:cs="Arial"/>
          <w:bCs/>
          <w:sz w:val="22"/>
        </w:rPr>
        <w:t xml:space="preserve">, el Congreso de la República reconoce la necesidad de un reglamento para el efectivo cumplimiento de la </w:t>
      </w:r>
      <w:r w:rsidRPr="003E56B0">
        <w:rPr>
          <w:rFonts w:ascii="Arial" w:eastAsia="Calibri" w:hAnsi="Arial" w:cs="Arial"/>
          <w:sz w:val="22"/>
          <w:lang w:val="es-ES_tradnl"/>
        </w:rPr>
        <w:t>Ley 2069 de 2020</w:t>
      </w:r>
      <w:r w:rsidRPr="003E56B0">
        <w:rPr>
          <w:rFonts w:ascii="Arial" w:eastAsia="Calibri" w:hAnsi="Arial" w:cs="Arial"/>
          <w:bCs/>
          <w:sz w:val="22"/>
        </w:rPr>
        <w:t xml:space="preserve">, lo que demuestra, para el caso concreto, una vigencia sometida a condición para los temas regulados en estas normas. Esta conclusión se ajusta no solo a los antecedentes del proyecto de ley, sino también a la necesidad de claridad que debe introducir el reglamento en relación con i) los criterios diferenciales para </w:t>
      </w:r>
      <w:proofErr w:type="spellStart"/>
      <w:r w:rsidRPr="003E56B0">
        <w:rPr>
          <w:rFonts w:ascii="Arial" w:eastAsia="Calibri" w:hAnsi="Arial" w:cs="Arial"/>
          <w:bCs/>
          <w:sz w:val="22"/>
        </w:rPr>
        <w:t>mipymes</w:t>
      </w:r>
      <w:proofErr w:type="spellEnd"/>
      <w:r w:rsidRPr="003E56B0">
        <w:rPr>
          <w:rFonts w:ascii="Arial" w:eastAsia="Calibri" w:hAnsi="Arial" w:cs="Arial"/>
          <w:bCs/>
          <w:sz w:val="22"/>
        </w:rPr>
        <w:t xml:space="preserve">, </w:t>
      </w:r>
      <w:proofErr w:type="spellStart"/>
      <w:r w:rsidRPr="003E56B0">
        <w:rPr>
          <w:rFonts w:ascii="Arial" w:eastAsia="Calibri" w:hAnsi="Arial" w:cs="Arial"/>
          <w:bCs/>
          <w:sz w:val="22"/>
        </w:rPr>
        <w:t>ii</w:t>
      </w:r>
      <w:proofErr w:type="spellEnd"/>
      <w:r w:rsidRPr="003E56B0">
        <w:rPr>
          <w:rFonts w:ascii="Arial" w:eastAsia="Calibri" w:hAnsi="Arial" w:cs="Arial"/>
          <w:bCs/>
          <w:sz w:val="22"/>
        </w:rPr>
        <w:t xml:space="preserve">) la definición de «emprendimientos y empresas de mujeres», </w:t>
      </w:r>
      <w:proofErr w:type="spellStart"/>
      <w:r w:rsidRPr="003E56B0">
        <w:rPr>
          <w:rFonts w:ascii="Arial" w:eastAsia="Calibri" w:hAnsi="Arial" w:cs="Arial"/>
          <w:bCs/>
          <w:sz w:val="22"/>
        </w:rPr>
        <w:t>iii</w:t>
      </w:r>
      <w:proofErr w:type="spellEnd"/>
      <w:r w:rsidRPr="003E56B0">
        <w:rPr>
          <w:rFonts w:ascii="Arial" w:eastAsia="Calibri" w:hAnsi="Arial" w:cs="Arial"/>
          <w:bCs/>
          <w:sz w:val="22"/>
        </w:rPr>
        <w:t xml:space="preserve">) las convocatorias limitadas a </w:t>
      </w:r>
      <w:proofErr w:type="spellStart"/>
      <w:r w:rsidRPr="003E56B0">
        <w:rPr>
          <w:rFonts w:ascii="Arial" w:eastAsia="Calibri" w:hAnsi="Arial" w:cs="Arial"/>
          <w:bCs/>
          <w:sz w:val="22"/>
        </w:rPr>
        <w:t>mipymes</w:t>
      </w:r>
      <w:proofErr w:type="spellEnd"/>
      <w:r w:rsidRPr="003E56B0">
        <w:rPr>
          <w:rFonts w:ascii="Arial" w:eastAsia="Calibri" w:hAnsi="Arial" w:cs="Arial"/>
          <w:bCs/>
          <w:sz w:val="22"/>
        </w:rPr>
        <w:t xml:space="preserve"> y el fomento en la ejecución de los contratos estatales por parte de sujetos de especial protección, así como </w:t>
      </w:r>
      <w:proofErr w:type="spellStart"/>
      <w:r w:rsidRPr="003E56B0">
        <w:rPr>
          <w:rFonts w:ascii="Arial" w:eastAsia="Calibri" w:hAnsi="Arial" w:cs="Arial"/>
          <w:bCs/>
          <w:sz w:val="22"/>
        </w:rPr>
        <w:t>iv</w:t>
      </w:r>
      <w:proofErr w:type="spellEnd"/>
      <w:r w:rsidRPr="003E56B0">
        <w:rPr>
          <w:rFonts w:ascii="Arial" w:eastAsia="Calibri" w:hAnsi="Arial" w:cs="Arial"/>
          <w:bCs/>
          <w:sz w:val="22"/>
        </w:rPr>
        <w:t>) la promoción de las compras públicas de tecnología e innovación.</w:t>
      </w:r>
    </w:p>
    <w:p w14:paraId="27AE4FE9" w14:textId="77777777" w:rsidR="0041187D" w:rsidRDefault="009D6CC6" w:rsidP="0041187D">
      <w:pPr>
        <w:tabs>
          <w:tab w:val="left" w:pos="709"/>
        </w:tabs>
        <w:spacing w:after="120" w:line="276" w:lineRule="auto"/>
        <w:jc w:val="both"/>
        <w:rPr>
          <w:rFonts w:ascii="Arial" w:eastAsia="Calibri" w:hAnsi="Arial" w:cs="Arial"/>
          <w:bCs/>
          <w:color w:val="000000" w:themeColor="text1"/>
          <w:sz w:val="22"/>
          <w:szCs w:val="22"/>
          <w:lang w:eastAsia="en-US"/>
        </w:rPr>
      </w:pPr>
      <w:r w:rsidRPr="003E56B0">
        <w:rPr>
          <w:rFonts w:ascii="Arial" w:eastAsia="Calibri" w:hAnsi="Arial" w:cs="Arial"/>
          <w:bCs/>
          <w:sz w:val="22"/>
        </w:rPr>
        <w:tab/>
      </w:r>
      <w:r w:rsidR="0041187D">
        <w:rPr>
          <w:rFonts w:ascii="Arial" w:eastAsia="Calibri" w:hAnsi="Arial" w:cs="Arial"/>
          <w:bCs/>
          <w:color w:val="000000" w:themeColor="text1"/>
          <w:sz w:val="22"/>
        </w:rPr>
        <w:t xml:space="preserve">En contraste, los artículos 30, 33 y 35 de la Ley de Emprendimiento son de aplicación directa. En relación con las </w:t>
      </w:r>
      <w:proofErr w:type="spellStart"/>
      <w:r w:rsidR="0041187D">
        <w:rPr>
          <w:rFonts w:ascii="Arial" w:eastAsia="Calibri" w:hAnsi="Arial" w:cs="Arial"/>
          <w:bCs/>
          <w:color w:val="000000" w:themeColor="text1"/>
          <w:sz w:val="22"/>
        </w:rPr>
        <w:t>mipymes</w:t>
      </w:r>
      <w:proofErr w:type="spellEnd"/>
      <w:r w:rsidR="0041187D">
        <w:rPr>
          <w:rFonts w:ascii="Arial" w:eastAsia="Calibri" w:hAnsi="Arial" w:cs="Arial"/>
          <w:bCs/>
          <w:color w:val="000000" w:themeColor="text1"/>
          <w:sz w:val="22"/>
        </w:rPr>
        <w:t xml:space="preserve"> y mínima cuantía, </w:t>
      </w:r>
      <w:r w:rsidR="0041187D">
        <w:rPr>
          <w:rFonts w:ascii="Arial" w:eastAsia="Calibri" w:hAnsi="Arial" w:cs="Arial"/>
          <w:bCs/>
          <w:color w:val="000000" w:themeColor="text1"/>
          <w:sz w:val="22"/>
          <w:lang w:val="es-ES_tradnl"/>
        </w:rPr>
        <w:t xml:space="preserve">dado que el artículo 30 de la Ley 2069 de 2020 regula aspectos como i) el término mínimo para publicar la invitación, </w:t>
      </w:r>
      <w:proofErr w:type="spellStart"/>
      <w:r w:rsidR="0041187D">
        <w:rPr>
          <w:rFonts w:ascii="Arial" w:eastAsia="Calibri" w:hAnsi="Arial" w:cs="Arial"/>
          <w:bCs/>
          <w:color w:val="000000" w:themeColor="text1"/>
          <w:sz w:val="22"/>
          <w:lang w:val="es-ES_tradnl"/>
        </w:rPr>
        <w:t>ii</w:t>
      </w:r>
      <w:proofErr w:type="spellEnd"/>
      <w:r w:rsidR="0041187D">
        <w:rPr>
          <w:rFonts w:ascii="Arial" w:eastAsia="Calibri" w:hAnsi="Arial" w:cs="Arial"/>
          <w:bCs/>
          <w:color w:val="000000" w:themeColor="text1"/>
          <w:sz w:val="22"/>
          <w:lang w:val="es-ES_tradnl"/>
        </w:rPr>
        <w:t xml:space="preserve">) el plazo mínimo de recepción de las ofertas, </w:t>
      </w:r>
      <w:proofErr w:type="spellStart"/>
      <w:r w:rsidR="0041187D">
        <w:rPr>
          <w:rFonts w:ascii="Arial" w:eastAsia="Calibri" w:hAnsi="Arial" w:cs="Arial"/>
          <w:bCs/>
          <w:color w:val="000000" w:themeColor="text1"/>
          <w:sz w:val="22"/>
          <w:lang w:val="es-ES_tradnl"/>
        </w:rPr>
        <w:t>iii</w:t>
      </w:r>
      <w:proofErr w:type="spellEnd"/>
      <w:r w:rsidR="0041187D">
        <w:rPr>
          <w:rFonts w:ascii="Arial" w:eastAsia="Calibri" w:hAnsi="Arial" w:cs="Arial"/>
          <w:bCs/>
          <w:color w:val="000000" w:themeColor="text1"/>
          <w:sz w:val="22"/>
          <w:lang w:val="es-ES_tradnl"/>
        </w:rPr>
        <w:t xml:space="preserve">) el factor de evaluación que define la selección del proponente y </w:t>
      </w:r>
      <w:proofErr w:type="spellStart"/>
      <w:r w:rsidR="0041187D">
        <w:rPr>
          <w:rFonts w:ascii="Arial" w:eastAsia="Calibri" w:hAnsi="Arial" w:cs="Arial"/>
          <w:bCs/>
          <w:color w:val="000000" w:themeColor="text1"/>
          <w:sz w:val="22"/>
          <w:lang w:val="es-ES_tradnl"/>
        </w:rPr>
        <w:t>iv</w:t>
      </w:r>
      <w:proofErr w:type="spellEnd"/>
      <w:r w:rsidR="0041187D">
        <w:rPr>
          <w:rFonts w:ascii="Arial" w:eastAsia="Calibri" w:hAnsi="Arial" w:cs="Arial"/>
          <w:bCs/>
          <w:color w:val="000000" w:themeColor="text1"/>
          <w:sz w:val="22"/>
          <w:lang w:val="es-ES_tradnl"/>
        </w:rPr>
        <w:t xml:space="preserve">) el perfeccionamiento del contrato, las entidades deben estructurar sus procedimientos de selección de acuerdo con estos parámetros, los cuales tienen una aplicación inmediata sin que el reglamento condicione la vigencia de la mínima cuantía. Esto </w:t>
      </w:r>
      <w:r w:rsidR="0041187D">
        <w:rPr>
          <w:rFonts w:ascii="Arial" w:eastAsia="Calibri" w:hAnsi="Arial" w:cs="Arial"/>
          <w:bCs/>
          <w:color w:val="000000" w:themeColor="text1"/>
          <w:sz w:val="22"/>
        </w:rPr>
        <w:t xml:space="preserve">sin perjuicio de que el Gobierno Nacional, conforme a lo dispuesto en el parágrafo 1 </w:t>
      </w:r>
      <w:r w:rsidR="0041187D">
        <w:rPr>
          <w:rFonts w:ascii="Arial" w:eastAsia="Calibri" w:hAnsi="Arial" w:cs="Arial"/>
          <w:bCs/>
          <w:i/>
          <w:iCs/>
          <w:color w:val="000000" w:themeColor="text1"/>
          <w:sz w:val="22"/>
        </w:rPr>
        <w:t>ibidem</w:t>
      </w:r>
      <w:r w:rsidR="0041187D">
        <w:rPr>
          <w:rFonts w:ascii="Arial" w:eastAsia="Calibri" w:hAnsi="Arial" w:cs="Arial"/>
          <w:bCs/>
          <w:color w:val="000000" w:themeColor="text1"/>
          <w:sz w:val="22"/>
        </w:rPr>
        <w:t xml:space="preserve">, ejerza la potestad reglamentaria para </w:t>
      </w:r>
      <w:r w:rsidR="0041187D">
        <w:rPr>
          <w:rFonts w:ascii="Arial" w:eastAsia="Calibri" w:hAnsi="Arial" w:cs="Arial"/>
          <w:bCs/>
          <w:color w:val="000000" w:themeColor="text1"/>
          <w:sz w:val="22"/>
          <w:lang w:val="es-ES_tradnl"/>
        </w:rPr>
        <w:t xml:space="preserve">regular tanto las particularidades del procedimiento de selección como la posibilidad de realizar estas adquisiciones a </w:t>
      </w:r>
      <w:proofErr w:type="spellStart"/>
      <w:r w:rsidR="0041187D">
        <w:rPr>
          <w:rFonts w:ascii="Arial" w:eastAsia="Calibri" w:hAnsi="Arial" w:cs="Arial"/>
          <w:bCs/>
          <w:color w:val="000000" w:themeColor="text1"/>
          <w:sz w:val="22"/>
          <w:lang w:val="es-ES_tradnl"/>
        </w:rPr>
        <w:t>mipymes</w:t>
      </w:r>
      <w:proofErr w:type="spellEnd"/>
      <w:r w:rsidR="0041187D">
        <w:rPr>
          <w:rFonts w:ascii="Arial" w:eastAsia="Calibri" w:hAnsi="Arial" w:cs="Arial"/>
          <w:bCs/>
          <w:color w:val="000000" w:themeColor="text1"/>
          <w:sz w:val="22"/>
          <w:lang w:val="es-ES_tradnl"/>
        </w:rPr>
        <w:t xml:space="preserve"> o establecimientos que correspondan a la definición de «gran almacén», aspectos en la que la norma excluye la regulación autónoma de la materia por parte de las entidades contratantes.</w:t>
      </w:r>
    </w:p>
    <w:p w14:paraId="653C64AD" w14:textId="77777777" w:rsidR="0041187D" w:rsidRDefault="0041187D" w:rsidP="0041187D">
      <w:pPr>
        <w:spacing w:after="120" w:line="276" w:lineRule="auto"/>
        <w:jc w:val="both"/>
        <w:rPr>
          <w:rFonts w:ascii="Arial" w:eastAsiaTheme="minorHAnsi" w:hAnsi="Arial" w:cs="Arial"/>
          <w:sz w:val="22"/>
        </w:rPr>
      </w:pPr>
      <w:r>
        <w:rPr>
          <w:rFonts w:ascii="Arial" w:eastAsia="Calibri" w:hAnsi="Arial" w:cs="Arial"/>
          <w:bCs/>
          <w:color w:val="000000" w:themeColor="text1"/>
          <w:sz w:val="22"/>
        </w:rPr>
        <w:tab/>
        <w:t xml:space="preserve">En lo que se refiere a la promoción del acceso de las </w:t>
      </w:r>
      <w:proofErr w:type="spellStart"/>
      <w:r>
        <w:rPr>
          <w:rFonts w:ascii="Arial" w:eastAsia="Calibri" w:hAnsi="Arial" w:cs="Arial"/>
          <w:bCs/>
          <w:color w:val="000000" w:themeColor="text1"/>
          <w:sz w:val="22"/>
        </w:rPr>
        <w:t>mipymes</w:t>
      </w:r>
      <w:proofErr w:type="spellEnd"/>
      <w:r>
        <w:rPr>
          <w:rFonts w:ascii="Arial" w:eastAsia="Calibri" w:hAnsi="Arial" w:cs="Arial"/>
          <w:bCs/>
          <w:color w:val="000000" w:themeColor="text1"/>
          <w:sz w:val="22"/>
        </w:rPr>
        <w:t xml:space="preserve"> al mercado de compras públicas, la legislación consagra una serie de deberes que deben cumplir los destinatarios en su gestión contractual. Aunque el alcance de estas obligaciones puede delimitarse por otras leyes o reglamentos, lo importante es que el artículo 33 consagra elementos mínimos que las entidades deben acatar so pena de una causal de mala conducta. </w:t>
      </w:r>
      <w:r>
        <w:rPr>
          <w:rFonts w:ascii="Arial" w:hAnsi="Arial" w:cs="Arial"/>
          <w:sz w:val="22"/>
        </w:rPr>
        <w:t xml:space="preserve">Por tanto, conforme al marco normativo que regule el acceso de las </w:t>
      </w:r>
      <w:proofErr w:type="spellStart"/>
      <w:r>
        <w:rPr>
          <w:rFonts w:ascii="Arial" w:hAnsi="Arial" w:cs="Arial"/>
          <w:sz w:val="22"/>
        </w:rPr>
        <w:t>mipymes</w:t>
      </w:r>
      <w:proofErr w:type="spellEnd"/>
      <w:r>
        <w:rPr>
          <w:rFonts w:ascii="Arial" w:hAnsi="Arial" w:cs="Arial"/>
          <w:sz w:val="22"/>
        </w:rPr>
        <w:t xml:space="preserve"> al mercado de compras públicas, las entidades deberán adoptar las medidas necesarias para el acatamiento de esta disposición.</w:t>
      </w:r>
    </w:p>
    <w:p w14:paraId="58EF222E" w14:textId="77777777" w:rsidR="0041187D" w:rsidRDefault="0041187D" w:rsidP="0041187D">
      <w:pPr>
        <w:tabs>
          <w:tab w:val="left" w:pos="709"/>
        </w:tabs>
        <w:spacing w:after="120" w:line="276" w:lineRule="auto"/>
        <w:jc w:val="both"/>
        <w:rPr>
          <w:rFonts w:ascii="Arial" w:eastAsia="Calibri" w:hAnsi="Arial" w:cs="Arial"/>
          <w:bCs/>
          <w:color w:val="000000" w:themeColor="text1"/>
          <w:sz w:val="22"/>
        </w:rPr>
      </w:pPr>
      <w:r>
        <w:rPr>
          <w:rFonts w:ascii="Arial" w:eastAsia="Calibri" w:hAnsi="Arial" w:cs="Arial"/>
          <w:bCs/>
          <w:color w:val="000000" w:themeColor="text1"/>
          <w:sz w:val="22"/>
        </w:rPr>
        <w:tab/>
        <w:t xml:space="preserve">Finalmente, respecto a los factores de desempate, se encuentra que los mismos se elevaron a rango de ley, por lo que ni el reglamento ni el pliego de condiciones pueden </w:t>
      </w:r>
      <w:r>
        <w:rPr>
          <w:rFonts w:ascii="Arial" w:eastAsia="Calibri" w:hAnsi="Arial" w:cs="Arial"/>
          <w:bCs/>
          <w:color w:val="000000" w:themeColor="text1"/>
          <w:sz w:val="22"/>
        </w:rPr>
        <w:lastRenderedPageBreak/>
        <w:t xml:space="preserve">modificarlos, adicionarlos o suprimirlos. En este sentido, las causales del artículo 35 son obligatorias en los procedimientos de selección de las entidades sometidas al Estatuto General, las entidades exceptuadas de la Ley 80 de 1993 y los patrimonios autónomos. De esta manera, sin perjuicio de lo dispuesto en el parágrafo 3 para los casos en que concurren dos o más de los factores de desempate, no requiere de una reglamentación previa para su exigibilidad. </w:t>
      </w:r>
    </w:p>
    <w:p w14:paraId="64E1CB54" w14:textId="048E6DF5" w:rsidR="00DA36B3" w:rsidRPr="003E56B0" w:rsidRDefault="00BF067A" w:rsidP="000D6E20">
      <w:pPr>
        <w:tabs>
          <w:tab w:val="left" w:pos="709"/>
        </w:tabs>
        <w:spacing w:line="276" w:lineRule="auto"/>
        <w:jc w:val="both"/>
        <w:rPr>
          <w:rFonts w:ascii="Arial" w:eastAsia="Calibri" w:hAnsi="Arial" w:cs="Arial"/>
          <w:sz w:val="22"/>
          <w:szCs w:val="22"/>
          <w:lang w:val="es-ES_tradnl"/>
        </w:rPr>
      </w:pPr>
      <w:r w:rsidRPr="003E56B0">
        <w:rPr>
          <w:rFonts w:ascii="Arial" w:eastAsia="Calibri" w:hAnsi="Arial" w:cs="Arial"/>
          <w:sz w:val="22"/>
          <w:szCs w:val="22"/>
          <w:lang w:val="es-ES_tradnl"/>
        </w:rPr>
        <w:t xml:space="preserve">  </w:t>
      </w:r>
    </w:p>
    <w:p w14:paraId="35405C2F" w14:textId="77777777" w:rsidR="0080376A" w:rsidRPr="003E56B0" w:rsidRDefault="00DD5B04" w:rsidP="0080376A">
      <w:pPr>
        <w:spacing w:line="276" w:lineRule="auto"/>
        <w:jc w:val="both"/>
        <w:rPr>
          <w:rFonts w:ascii="Arial" w:hAnsi="Arial" w:cs="Arial"/>
          <w:sz w:val="22"/>
          <w:szCs w:val="22"/>
          <w:lang w:val="es-ES_tradnl"/>
        </w:rPr>
      </w:pPr>
      <w:r w:rsidRPr="003E56B0">
        <w:rPr>
          <w:rFonts w:ascii="Arial" w:hAnsi="Arial" w:cs="Arial"/>
          <w:sz w:val="22"/>
          <w:szCs w:val="22"/>
          <w:lang w:val="es-ES_tradnl"/>
        </w:rPr>
        <w:t>Este concepto tiene el alcance previsto en el artículo 28 del Código de Procedimiento Administrativo y de lo Contencioso Administrativo.</w:t>
      </w:r>
    </w:p>
    <w:p w14:paraId="2CCA8B64" w14:textId="77777777" w:rsidR="0080376A" w:rsidRPr="003E56B0" w:rsidRDefault="0080376A" w:rsidP="0080376A">
      <w:pPr>
        <w:spacing w:line="276" w:lineRule="auto"/>
        <w:rPr>
          <w:rFonts w:ascii="Arial" w:hAnsi="Arial" w:cs="Arial"/>
          <w:sz w:val="22"/>
          <w:szCs w:val="22"/>
          <w:lang w:eastAsia="es-CO"/>
        </w:rPr>
      </w:pPr>
    </w:p>
    <w:p w14:paraId="011D45FA" w14:textId="0700540B" w:rsidR="0080376A" w:rsidRPr="003E56B0" w:rsidRDefault="0080376A" w:rsidP="0080376A">
      <w:pPr>
        <w:spacing w:line="276" w:lineRule="auto"/>
        <w:rPr>
          <w:rFonts w:ascii="Arial" w:hAnsi="Arial" w:cs="Arial"/>
          <w:sz w:val="22"/>
          <w:szCs w:val="22"/>
        </w:rPr>
      </w:pPr>
      <w:r w:rsidRPr="003E56B0">
        <w:rPr>
          <w:rFonts w:ascii="Arial" w:hAnsi="Arial" w:cs="Arial"/>
          <w:sz w:val="22"/>
          <w:szCs w:val="22"/>
          <w:lang w:eastAsia="es-CO"/>
        </w:rPr>
        <w:t>Atentamente,</w:t>
      </w:r>
    </w:p>
    <w:p w14:paraId="5B12458F" w14:textId="77777777" w:rsidR="0080376A" w:rsidRPr="003E56B0" w:rsidRDefault="0080376A" w:rsidP="0080376A">
      <w:pPr>
        <w:jc w:val="both"/>
        <w:rPr>
          <w:rFonts w:ascii="Arial" w:hAnsi="Arial" w:cs="Arial"/>
          <w:lang w:eastAsia="es-CO"/>
        </w:rPr>
      </w:pPr>
    </w:p>
    <w:p w14:paraId="73BAD691" w14:textId="32A4E724" w:rsidR="0080376A" w:rsidRPr="003E56B0" w:rsidRDefault="00FF0777" w:rsidP="0080376A">
      <w:pPr>
        <w:spacing w:after="18"/>
        <w:jc w:val="center"/>
        <w:rPr>
          <w:rFonts w:ascii="Arial" w:hAnsi="Arial" w:cs="Arial"/>
          <w:lang w:eastAsia="es-CO"/>
        </w:rPr>
      </w:pPr>
      <w:r>
        <w:rPr>
          <w:noProof/>
        </w:rPr>
        <w:drawing>
          <wp:inline distT="0" distB="0" distL="0" distR="0" wp14:anchorId="7B440BF1" wp14:editId="7C8B21C5">
            <wp:extent cx="2514600" cy="1114425"/>
            <wp:effectExtent l="0" t="0" r="0" b="0"/>
            <wp:docPr id="1469252213" name="Imagen 1469252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extLst>
                        <a:ext uri="{28A0092B-C50C-407E-A947-70E740481C1C}">
                          <a14:useLocalDpi xmlns:a14="http://schemas.microsoft.com/office/drawing/2010/main" val="0"/>
                        </a:ext>
                      </a:extLst>
                    </a:blip>
                    <a:stretch>
                      <a:fillRect/>
                    </a:stretch>
                  </pic:blipFill>
                  <pic:spPr>
                    <a:xfrm>
                      <a:off x="0" y="0"/>
                      <a:ext cx="2514600" cy="1114425"/>
                    </a:xfrm>
                    <a:prstGeom prst="rect">
                      <a:avLst/>
                    </a:prstGeom>
                  </pic:spPr>
                </pic:pic>
              </a:graphicData>
            </a:graphic>
          </wp:inline>
        </w:drawing>
      </w:r>
    </w:p>
    <w:p w14:paraId="353D05CB" w14:textId="77777777" w:rsidR="0080376A" w:rsidRPr="003E56B0" w:rsidRDefault="0080376A" w:rsidP="0080376A">
      <w:pPr>
        <w:spacing w:after="18"/>
        <w:jc w:val="center"/>
        <w:rPr>
          <w:rFonts w:ascii="Arial" w:hAnsi="Arial" w:cs="Arial"/>
          <w:lang w:eastAsia="es-CO"/>
        </w:rPr>
      </w:pPr>
    </w:p>
    <w:tbl>
      <w:tblPr>
        <w:tblStyle w:val="Tablaconcuadrcula1"/>
        <w:tblpPr w:leftFromText="141" w:rightFromText="141" w:vertAnchor="text" w:horzAnchor="margin" w:tblpY="-1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6"/>
        <w:gridCol w:w="4003"/>
      </w:tblGrid>
      <w:tr w:rsidR="003E56B0" w:rsidRPr="003E56B0" w14:paraId="03974E28" w14:textId="77777777" w:rsidTr="00BB6A6E">
        <w:trPr>
          <w:trHeight w:val="286"/>
        </w:trPr>
        <w:tc>
          <w:tcPr>
            <w:tcW w:w="886" w:type="dxa"/>
            <w:vAlign w:val="center"/>
            <w:hideMark/>
          </w:tcPr>
          <w:p w14:paraId="01140129" w14:textId="77777777" w:rsidR="0080376A" w:rsidRPr="003E56B0" w:rsidRDefault="0080376A" w:rsidP="00BB6A6E">
            <w:pPr>
              <w:rPr>
                <w:rFonts w:ascii="Arial" w:hAnsi="Arial" w:cs="Arial"/>
                <w:sz w:val="14"/>
                <w:szCs w:val="14"/>
                <w:lang w:eastAsia="es-ES"/>
              </w:rPr>
            </w:pPr>
            <w:r w:rsidRPr="003E56B0">
              <w:rPr>
                <w:rFonts w:ascii="Arial" w:hAnsi="Arial" w:cs="Arial"/>
                <w:sz w:val="14"/>
                <w:szCs w:val="14"/>
                <w:lang w:eastAsia="es-ES"/>
              </w:rPr>
              <w:t>Elaboró:</w:t>
            </w:r>
          </w:p>
        </w:tc>
        <w:tc>
          <w:tcPr>
            <w:tcW w:w="4003" w:type="dxa"/>
            <w:tcBorders>
              <w:top w:val="nil"/>
              <w:left w:val="nil"/>
              <w:bottom w:val="dotted" w:sz="4" w:space="0" w:color="7F7F7F"/>
              <w:right w:val="nil"/>
            </w:tcBorders>
            <w:vAlign w:val="center"/>
            <w:hideMark/>
          </w:tcPr>
          <w:p w14:paraId="777D2F26" w14:textId="77777777" w:rsidR="0080376A" w:rsidRPr="003E56B0" w:rsidRDefault="0080376A" w:rsidP="00BB6A6E">
            <w:pPr>
              <w:rPr>
                <w:rFonts w:ascii="Arial" w:hAnsi="Arial" w:cs="Arial"/>
                <w:sz w:val="14"/>
                <w:szCs w:val="14"/>
                <w:lang w:eastAsia="es-ES"/>
              </w:rPr>
            </w:pPr>
            <w:r w:rsidRPr="003E56B0">
              <w:rPr>
                <w:rFonts w:ascii="Arial" w:hAnsi="Arial" w:cs="Arial"/>
                <w:sz w:val="14"/>
                <w:szCs w:val="14"/>
                <w:lang w:eastAsia="es-ES"/>
              </w:rPr>
              <w:t>Alejandro Sarmiento Cantillo</w:t>
            </w:r>
          </w:p>
          <w:p w14:paraId="1886B9EC" w14:textId="77777777" w:rsidR="0080376A" w:rsidRPr="003E56B0" w:rsidRDefault="0080376A" w:rsidP="00BB6A6E">
            <w:pPr>
              <w:rPr>
                <w:rFonts w:ascii="Arial" w:hAnsi="Arial" w:cs="Arial"/>
                <w:sz w:val="14"/>
                <w:szCs w:val="14"/>
                <w:lang w:eastAsia="es-ES"/>
              </w:rPr>
            </w:pPr>
            <w:r w:rsidRPr="003E56B0">
              <w:rPr>
                <w:rFonts w:ascii="Arial" w:hAnsi="Arial" w:cs="Arial"/>
                <w:sz w:val="14"/>
                <w:szCs w:val="14"/>
                <w:lang w:eastAsia="es-ES"/>
              </w:rPr>
              <w:t>Gestor T1-11 de la Subdirección de Gestión Contractual</w:t>
            </w:r>
          </w:p>
        </w:tc>
      </w:tr>
      <w:tr w:rsidR="003E56B0" w:rsidRPr="003E56B0" w14:paraId="1C6D880D" w14:textId="77777777" w:rsidTr="00BB6A6E">
        <w:trPr>
          <w:trHeight w:val="299"/>
        </w:trPr>
        <w:tc>
          <w:tcPr>
            <w:tcW w:w="886" w:type="dxa"/>
            <w:vAlign w:val="center"/>
          </w:tcPr>
          <w:p w14:paraId="5E9E0994" w14:textId="77777777" w:rsidR="0080376A" w:rsidRPr="003E56B0" w:rsidRDefault="0080376A" w:rsidP="00BB6A6E">
            <w:pPr>
              <w:rPr>
                <w:rFonts w:ascii="Arial" w:hAnsi="Arial" w:cs="Arial"/>
                <w:sz w:val="14"/>
                <w:szCs w:val="14"/>
                <w:lang w:eastAsia="es-ES"/>
              </w:rPr>
            </w:pPr>
            <w:r w:rsidRPr="003E56B0">
              <w:rPr>
                <w:rFonts w:ascii="Arial" w:hAnsi="Arial" w:cs="Arial"/>
                <w:sz w:val="14"/>
                <w:szCs w:val="14"/>
                <w:lang w:eastAsia="es-ES"/>
              </w:rPr>
              <w:t>Revisó:</w:t>
            </w:r>
          </w:p>
        </w:tc>
        <w:tc>
          <w:tcPr>
            <w:tcW w:w="4003" w:type="dxa"/>
            <w:tcBorders>
              <w:top w:val="dotted" w:sz="4" w:space="0" w:color="7F7F7F"/>
              <w:left w:val="nil"/>
              <w:bottom w:val="dotted" w:sz="4" w:space="0" w:color="7F7F7F"/>
              <w:right w:val="nil"/>
            </w:tcBorders>
            <w:vAlign w:val="center"/>
          </w:tcPr>
          <w:p w14:paraId="6FE263AE" w14:textId="77777777" w:rsidR="0080376A" w:rsidRPr="003E56B0" w:rsidRDefault="0080376A" w:rsidP="00BB6A6E">
            <w:pPr>
              <w:rPr>
                <w:rFonts w:ascii="Arial" w:hAnsi="Arial" w:cs="Arial"/>
                <w:sz w:val="14"/>
                <w:szCs w:val="14"/>
                <w:lang w:eastAsia="es-ES"/>
              </w:rPr>
            </w:pPr>
            <w:r w:rsidRPr="003E56B0">
              <w:rPr>
                <w:rFonts w:ascii="Arial" w:hAnsi="Arial" w:cs="Arial"/>
                <w:sz w:val="14"/>
                <w:szCs w:val="14"/>
                <w:lang w:eastAsia="es-ES"/>
              </w:rPr>
              <w:t>Juan David Montoya Penagos</w:t>
            </w:r>
          </w:p>
          <w:p w14:paraId="5B170026" w14:textId="77777777" w:rsidR="0080376A" w:rsidRPr="003E56B0" w:rsidRDefault="0080376A" w:rsidP="00BB6A6E">
            <w:pPr>
              <w:rPr>
                <w:rFonts w:ascii="Arial" w:hAnsi="Arial" w:cs="Arial"/>
                <w:sz w:val="14"/>
                <w:szCs w:val="14"/>
                <w:lang w:eastAsia="es-ES"/>
              </w:rPr>
            </w:pPr>
            <w:r w:rsidRPr="003E56B0">
              <w:rPr>
                <w:rFonts w:ascii="Arial" w:hAnsi="Arial" w:cs="Arial"/>
                <w:sz w:val="14"/>
                <w:szCs w:val="14"/>
                <w:lang w:eastAsia="es-ES"/>
              </w:rPr>
              <w:t xml:space="preserve">Gestor T1-15 de la Subdirección de Gestión Contractual  </w:t>
            </w:r>
          </w:p>
        </w:tc>
      </w:tr>
      <w:tr w:rsidR="003E56B0" w:rsidRPr="003E56B0" w14:paraId="69EA51B1" w14:textId="77777777" w:rsidTr="00BB6A6E">
        <w:trPr>
          <w:trHeight w:val="272"/>
        </w:trPr>
        <w:tc>
          <w:tcPr>
            <w:tcW w:w="886" w:type="dxa"/>
            <w:vAlign w:val="center"/>
            <w:hideMark/>
          </w:tcPr>
          <w:p w14:paraId="310910D2" w14:textId="77777777" w:rsidR="0080376A" w:rsidRPr="003E56B0" w:rsidRDefault="0080376A" w:rsidP="00BB6A6E">
            <w:pPr>
              <w:rPr>
                <w:rFonts w:ascii="Arial" w:hAnsi="Arial" w:cs="Arial"/>
                <w:sz w:val="14"/>
                <w:szCs w:val="14"/>
                <w:lang w:eastAsia="es-ES"/>
              </w:rPr>
            </w:pPr>
            <w:r w:rsidRPr="003E56B0">
              <w:rPr>
                <w:rFonts w:ascii="Arial" w:hAnsi="Arial" w:cs="Arial"/>
                <w:sz w:val="14"/>
                <w:szCs w:val="14"/>
                <w:lang w:eastAsia="es-ES"/>
              </w:rPr>
              <w:t>Aprobó:</w:t>
            </w:r>
          </w:p>
        </w:tc>
        <w:tc>
          <w:tcPr>
            <w:tcW w:w="4003" w:type="dxa"/>
            <w:tcBorders>
              <w:top w:val="dotted" w:sz="4" w:space="0" w:color="7F7F7F"/>
              <w:left w:val="nil"/>
              <w:bottom w:val="dotted" w:sz="4" w:space="0" w:color="7F7F7F"/>
              <w:right w:val="nil"/>
            </w:tcBorders>
            <w:vAlign w:val="center"/>
            <w:hideMark/>
          </w:tcPr>
          <w:p w14:paraId="43D727AC" w14:textId="77777777" w:rsidR="0080376A" w:rsidRPr="003E56B0" w:rsidRDefault="0080376A" w:rsidP="00BB6A6E">
            <w:pPr>
              <w:rPr>
                <w:rFonts w:ascii="Arial" w:hAnsi="Arial" w:cs="Arial"/>
                <w:sz w:val="14"/>
                <w:szCs w:val="14"/>
                <w:lang w:eastAsia="es-ES"/>
              </w:rPr>
            </w:pPr>
            <w:r w:rsidRPr="003E56B0">
              <w:rPr>
                <w:rFonts w:ascii="Arial" w:hAnsi="Arial" w:cs="Arial"/>
                <w:sz w:val="14"/>
                <w:szCs w:val="14"/>
                <w:lang w:eastAsia="es-ES"/>
              </w:rPr>
              <w:t>Jorge Augusto Tirado Navarro</w:t>
            </w:r>
          </w:p>
          <w:p w14:paraId="3019D417" w14:textId="0A9B3B03" w:rsidR="0080376A" w:rsidRPr="003E56B0" w:rsidRDefault="0080376A" w:rsidP="00BB6A6E">
            <w:pPr>
              <w:rPr>
                <w:rFonts w:ascii="Arial" w:hAnsi="Arial" w:cs="Arial"/>
                <w:sz w:val="14"/>
                <w:szCs w:val="14"/>
                <w:lang w:eastAsia="es-ES"/>
              </w:rPr>
            </w:pPr>
            <w:r w:rsidRPr="003E56B0">
              <w:rPr>
                <w:rFonts w:ascii="Arial" w:hAnsi="Arial" w:cs="Arial"/>
                <w:sz w:val="14"/>
                <w:szCs w:val="14"/>
                <w:lang w:eastAsia="es-ES"/>
              </w:rPr>
              <w:t>Subdirector de Gestión Contractual</w:t>
            </w:r>
            <w:r w:rsidR="00BF067A" w:rsidRPr="003E56B0">
              <w:rPr>
                <w:rFonts w:ascii="Arial" w:hAnsi="Arial" w:cs="Arial"/>
                <w:sz w:val="14"/>
                <w:szCs w:val="14"/>
                <w:lang w:eastAsia="es-ES"/>
              </w:rPr>
              <w:t xml:space="preserve"> A</w:t>
            </w:r>
            <w:r w:rsidR="00427DE1">
              <w:rPr>
                <w:rFonts w:ascii="Arial" w:hAnsi="Arial" w:cs="Arial"/>
                <w:sz w:val="14"/>
                <w:szCs w:val="14"/>
                <w:lang w:eastAsia="es-ES"/>
              </w:rPr>
              <w:t>N</w:t>
            </w:r>
            <w:r w:rsidR="00BF067A" w:rsidRPr="003E56B0">
              <w:rPr>
                <w:rFonts w:ascii="Arial" w:hAnsi="Arial" w:cs="Arial"/>
                <w:sz w:val="14"/>
                <w:szCs w:val="14"/>
                <w:lang w:eastAsia="es-ES"/>
              </w:rPr>
              <w:t>CP – CCE</w:t>
            </w:r>
          </w:p>
        </w:tc>
      </w:tr>
    </w:tbl>
    <w:p w14:paraId="5D4CDD3F" w14:textId="77777777" w:rsidR="0080376A" w:rsidRPr="003E56B0" w:rsidRDefault="0080376A" w:rsidP="0080376A">
      <w:pPr>
        <w:rPr>
          <w:rFonts w:ascii="Arial" w:hAnsi="Arial" w:cs="Arial"/>
          <w:lang w:eastAsia="es-ES"/>
        </w:rPr>
      </w:pPr>
    </w:p>
    <w:bookmarkEnd w:id="2"/>
    <w:p w14:paraId="35B56F46" w14:textId="68D0B3F1" w:rsidR="00746E08" w:rsidRPr="003E56B0" w:rsidRDefault="00746E08" w:rsidP="0080376A">
      <w:pPr>
        <w:spacing w:line="276" w:lineRule="auto"/>
        <w:jc w:val="both"/>
        <w:rPr>
          <w:rFonts w:ascii="Arial" w:hAnsi="Arial" w:cs="Arial"/>
          <w:lang w:val="es-ES_tradnl"/>
        </w:rPr>
      </w:pPr>
    </w:p>
    <w:sectPr w:rsidR="00746E08" w:rsidRPr="003E56B0" w:rsidSect="005D791B">
      <w:headerReference w:type="default" r:id="rId13"/>
      <w:footerReference w:type="default" r:id="rId14"/>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C3FB42" w14:textId="77777777" w:rsidR="00102FBE" w:rsidRDefault="00102FBE">
      <w:r>
        <w:separator/>
      </w:r>
    </w:p>
  </w:endnote>
  <w:endnote w:type="continuationSeparator" w:id="0">
    <w:p w14:paraId="4847189D" w14:textId="77777777" w:rsidR="00102FBE" w:rsidRDefault="00102FBE">
      <w:r>
        <w:continuationSeparator/>
      </w:r>
    </w:p>
  </w:endnote>
  <w:endnote w:type="continuationNotice" w:id="1">
    <w:p w14:paraId="03430EA3" w14:textId="77777777" w:rsidR="00102FBE" w:rsidRDefault="00102FB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F02A34" w14:textId="77777777" w:rsidR="008F4163" w:rsidRDefault="008F4163" w:rsidP="00322937">
    <w:pPr>
      <w:pStyle w:val="Sinespaciado"/>
      <w:jc w:val="right"/>
      <w:rPr>
        <w:rFonts w:ascii="Arial" w:hAnsi="Arial" w:cs="Arial"/>
        <w:sz w:val="18"/>
        <w:szCs w:val="18"/>
      </w:rPr>
    </w:pPr>
  </w:p>
  <w:p w14:paraId="7A3785F3" w14:textId="2EF28465" w:rsidR="008F4163" w:rsidRPr="008217B7" w:rsidRDefault="008F4163"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2</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15</w:t>
    </w:r>
    <w:r w:rsidRPr="00084B97">
      <w:rPr>
        <w:rFonts w:ascii="Arial" w:hAnsi="Arial" w:cs="Arial"/>
        <w:b/>
        <w:bCs/>
        <w:color w:val="7F7F7F" w:themeColor="text1" w:themeTint="80"/>
        <w:sz w:val="16"/>
        <w:szCs w:val="16"/>
      </w:rPr>
      <w:fldChar w:fldCharType="end"/>
    </w:r>
  </w:p>
  <w:p w14:paraId="48FC6A04" w14:textId="5FD1A7C9" w:rsidR="008F4163" w:rsidRDefault="029BC757" w:rsidP="00322937">
    <w:pPr>
      <w:pStyle w:val="Piedepgina"/>
      <w:jc w:val="center"/>
      <w:rPr>
        <w:lang w:val="es-ES"/>
      </w:rPr>
    </w:pPr>
    <w:r>
      <w:rPr>
        <w:noProof/>
      </w:rPr>
      <w:drawing>
        <wp:inline distT="0" distB="0" distL="0" distR="0" wp14:anchorId="608B196D" wp14:editId="5BB3F60A">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5D0E988C" w14:textId="77777777" w:rsidR="008F4163" w:rsidRDefault="008F4163" w:rsidP="007B0854">
    <w:pPr>
      <w:pStyle w:val="Piedepgina"/>
      <w:jc w:val="center"/>
      <w:rPr>
        <w:lang w:val="es-ES"/>
      </w:rPr>
    </w:pPr>
  </w:p>
  <w:p w14:paraId="6C0EFC49" w14:textId="77777777" w:rsidR="008F4163" w:rsidRPr="007B0854" w:rsidRDefault="008F4163"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99A601" w14:textId="77777777" w:rsidR="00102FBE" w:rsidRDefault="00102FBE">
      <w:r>
        <w:separator/>
      </w:r>
    </w:p>
  </w:footnote>
  <w:footnote w:type="continuationSeparator" w:id="0">
    <w:p w14:paraId="6F754FCA" w14:textId="77777777" w:rsidR="00102FBE" w:rsidRDefault="00102FBE">
      <w:r>
        <w:continuationSeparator/>
      </w:r>
    </w:p>
  </w:footnote>
  <w:footnote w:type="continuationNotice" w:id="1">
    <w:p w14:paraId="714E94DD" w14:textId="77777777" w:rsidR="00102FBE" w:rsidRDefault="00102FBE"/>
  </w:footnote>
  <w:footnote w:id="2">
    <w:p w14:paraId="62508D81" w14:textId="77777777" w:rsidR="00BB6979" w:rsidRPr="00BD4E32" w:rsidRDefault="00BB6979" w:rsidP="00BB6979">
      <w:pPr>
        <w:pStyle w:val="Textonotapie"/>
        <w:ind w:firstLine="708"/>
        <w:jc w:val="both"/>
        <w:rPr>
          <w:rFonts w:ascii="Arial" w:hAnsi="Arial" w:cs="Arial"/>
          <w:sz w:val="19"/>
          <w:szCs w:val="19"/>
        </w:rPr>
      </w:pPr>
      <w:r w:rsidRPr="00BD4E32">
        <w:rPr>
          <w:rStyle w:val="Refdenotaalpie"/>
          <w:rFonts w:ascii="Arial" w:hAnsi="Arial" w:cs="Arial"/>
          <w:sz w:val="19"/>
          <w:szCs w:val="19"/>
        </w:rPr>
        <w:footnoteRef/>
      </w:r>
      <w:r w:rsidRPr="00BD4E32">
        <w:rPr>
          <w:rFonts w:ascii="Arial" w:hAnsi="Arial" w:cs="Arial"/>
          <w:sz w:val="19"/>
          <w:szCs w:val="19"/>
        </w:rPr>
        <w:t xml:space="preserve"> </w:t>
      </w:r>
      <w:r>
        <w:rPr>
          <w:rFonts w:ascii="Arial" w:hAnsi="Arial" w:cs="Arial"/>
          <w:sz w:val="19"/>
          <w:szCs w:val="19"/>
        </w:rPr>
        <w:t>Conforme al artículo 1 de la Ley 2064 de 2020, «</w:t>
      </w:r>
      <w:r w:rsidRPr="00BD4E32">
        <w:rPr>
          <w:rFonts w:ascii="Arial" w:hAnsi="Arial" w:cs="Arial"/>
          <w:sz w:val="19"/>
          <w:szCs w:val="19"/>
        </w:rPr>
        <w:t>La presente Ley tiene por objeto establecer un marco regulatorio que propicie el emprendimiento y el crecimiento, consolidación y sostenibilidad de las empresas, con el fin de aumentar el bienestar social y generar equidad.</w:t>
      </w:r>
    </w:p>
    <w:p w14:paraId="4751790A" w14:textId="77777777" w:rsidR="00BB6979" w:rsidRDefault="00BB6979" w:rsidP="00BB6979">
      <w:pPr>
        <w:pStyle w:val="Textonotapie"/>
        <w:ind w:firstLine="708"/>
        <w:jc w:val="both"/>
        <w:rPr>
          <w:rFonts w:ascii="Arial" w:hAnsi="Arial" w:cs="Arial"/>
          <w:sz w:val="19"/>
          <w:szCs w:val="19"/>
        </w:rPr>
      </w:pPr>
      <w:proofErr w:type="gramStart"/>
      <w:r>
        <w:rPr>
          <w:rFonts w:ascii="Arial" w:hAnsi="Arial" w:cs="Arial"/>
          <w:sz w:val="19"/>
          <w:szCs w:val="19"/>
        </w:rPr>
        <w:t>»</w:t>
      </w:r>
      <w:r w:rsidRPr="00BD4E32">
        <w:rPr>
          <w:rFonts w:ascii="Arial" w:hAnsi="Arial" w:cs="Arial"/>
          <w:sz w:val="19"/>
          <w:szCs w:val="19"/>
        </w:rPr>
        <w:t>Dicho</w:t>
      </w:r>
      <w:proofErr w:type="gramEnd"/>
      <w:r w:rsidRPr="00BD4E32">
        <w:rPr>
          <w:rFonts w:ascii="Arial" w:hAnsi="Arial" w:cs="Arial"/>
          <w:sz w:val="19"/>
          <w:szCs w:val="19"/>
        </w:rPr>
        <w:t xml:space="preserve"> marco delineará un enfoque regionalizado de acuerdo a las realidades socioeconómicos de cada región</w:t>
      </w:r>
      <w:r>
        <w:rPr>
          <w:rFonts w:ascii="Arial" w:hAnsi="Arial" w:cs="Arial"/>
          <w:sz w:val="19"/>
          <w:szCs w:val="19"/>
        </w:rPr>
        <w:t>»</w:t>
      </w:r>
      <w:r w:rsidRPr="00BD4E32">
        <w:rPr>
          <w:rFonts w:ascii="Arial" w:hAnsi="Arial" w:cs="Arial"/>
          <w:sz w:val="19"/>
          <w:szCs w:val="19"/>
        </w:rPr>
        <w:t>.</w:t>
      </w:r>
    </w:p>
    <w:p w14:paraId="1B9D4C27" w14:textId="77777777" w:rsidR="00BB6979" w:rsidRPr="00BD4E32" w:rsidRDefault="00BB6979" w:rsidP="00BB6979">
      <w:pPr>
        <w:pStyle w:val="Textonotapie"/>
        <w:ind w:firstLine="708"/>
        <w:jc w:val="both"/>
        <w:rPr>
          <w:rFonts w:ascii="Arial" w:hAnsi="Arial" w:cs="Arial"/>
          <w:sz w:val="19"/>
          <w:szCs w:val="19"/>
          <w:lang w:val="es-ES"/>
        </w:rPr>
      </w:pPr>
    </w:p>
  </w:footnote>
  <w:footnote w:id="3">
    <w:p w14:paraId="7C7F2DA2" w14:textId="77777777" w:rsidR="00BB6979" w:rsidRPr="00F52D84" w:rsidRDefault="00BB6979" w:rsidP="00BB6979">
      <w:pPr>
        <w:pStyle w:val="Textonotapie"/>
        <w:ind w:firstLine="708"/>
        <w:jc w:val="both"/>
        <w:rPr>
          <w:rFonts w:ascii="Arial" w:hAnsi="Arial" w:cs="Arial"/>
          <w:bCs/>
          <w:sz w:val="19"/>
          <w:szCs w:val="19"/>
        </w:rPr>
      </w:pPr>
      <w:r w:rsidRPr="00AA2812">
        <w:rPr>
          <w:rStyle w:val="Refdenotaalpie"/>
          <w:rFonts w:ascii="Arial" w:hAnsi="Arial" w:cs="Arial"/>
          <w:sz w:val="19"/>
          <w:szCs w:val="19"/>
        </w:rPr>
        <w:footnoteRef/>
      </w:r>
      <w:r w:rsidRPr="00AA2812">
        <w:rPr>
          <w:rFonts w:ascii="Arial" w:hAnsi="Arial" w:cs="Arial"/>
          <w:sz w:val="19"/>
          <w:szCs w:val="19"/>
        </w:rPr>
        <w:t xml:space="preserve"> </w:t>
      </w:r>
      <w:r>
        <w:rPr>
          <w:rFonts w:ascii="Arial" w:hAnsi="Arial" w:cs="Arial"/>
          <w:bCs/>
          <w:sz w:val="19"/>
          <w:szCs w:val="19"/>
        </w:rPr>
        <w:t xml:space="preserve">Esta política </w:t>
      </w:r>
      <w:r w:rsidRPr="00AA2812">
        <w:rPr>
          <w:rFonts w:ascii="Arial" w:hAnsi="Arial" w:cs="Arial"/>
          <w:bCs/>
          <w:sz w:val="19"/>
          <w:szCs w:val="19"/>
        </w:rPr>
        <w:t>se justifica en la medida que:</w:t>
      </w:r>
      <w:r>
        <w:rPr>
          <w:rFonts w:ascii="Arial" w:hAnsi="Arial" w:cs="Arial"/>
          <w:bCs/>
          <w:sz w:val="19"/>
          <w:szCs w:val="19"/>
        </w:rPr>
        <w:t xml:space="preserve"> «</w:t>
      </w:r>
      <w:r w:rsidRPr="00AA2812">
        <w:rPr>
          <w:rFonts w:ascii="Arial" w:hAnsi="Arial" w:cs="Arial"/>
          <w:bCs/>
          <w:sz w:val="19"/>
          <w:szCs w:val="19"/>
        </w:rPr>
        <w:t>Cuando una empresa decide ser formal se generan beneficios para la sociedad más allá de los que la empresa recibe (externalidades positivas). Estos beneficios […] incluyen la inserción de más trabajadores al sistema de aseguramiento social, un mayor cumplimiento de las normas sectoriales que buscan proteger la salud de los consumidores y mayores ingresos tributarios para la inversión pública. De igual manera, cuando una empresa decide ser informal, su decisión genera costos para la sociedad más allá de los asumidos por la empresa (externalidades negativas). Algunos de estos son competencia desleal con empresas formales, ya que estas últimas asumen costos adicionales (por ejemplo, pago de registros, seguridad social e impuestos), y el aumento de la corrupción porque, en ocasiones, la manera en que empresas informales evaden el control de los requisitos de formalidad es vía pagos ilegales</w:t>
      </w:r>
      <w:r>
        <w:rPr>
          <w:rFonts w:ascii="Arial" w:hAnsi="Arial" w:cs="Arial"/>
          <w:bCs/>
          <w:sz w:val="19"/>
          <w:szCs w:val="19"/>
        </w:rPr>
        <w:t xml:space="preserve">» (Cfr. </w:t>
      </w:r>
      <w:r w:rsidRPr="00AA2812">
        <w:rPr>
          <w:rFonts w:ascii="Arial" w:hAnsi="Arial" w:cs="Arial"/>
          <w:sz w:val="19"/>
          <w:szCs w:val="19"/>
        </w:rPr>
        <w:t>CONSEJO NACIONAL DE POLÍTICA ECONÓMICA Y SOCIAL</w:t>
      </w:r>
      <w:r>
        <w:rPr>
          <w:rFonts w:ascii="Arial" w:hAnsi="Arial" w:cs="Arial"/>
          <w:sz w:val="19"/>
          <w:szCs w:val="19"/>
        </w:rPr>
        <w:t xml:space="preserve">. </w:t>
      </w:r>
      <w:r w:rsidRPr="00AA2812">
        <w:rPr>
          <w:rFonts w:ascii="Arial" w:hAnsi="Arial" w:cs="Arial"/>
          <w:sz w:val="19"/>
          <w:szCs w:val="19"/>
        </w:rPr>
        <w:t>Documento 3956 del 8 de enero de 2019</w:t>
      </w:r>
      <w:r>
        <w:rPr>
          <w:rFonts w:ascii="Arial" w:hAnsi="Arial" w:cs="Arial"/>
          <w:sz w:val="19"/>
          <w:szCs w:val="19"/>
        </w:rPr>
        <w:t xml:space="preserve">: </w:t>
      </w:r>
      <w:r w:rsidRPr="00AA2812">
        <w:rPr>
          <w:rFonts w:ascii="Arial" w:hAnsi="Arial" w:cs="Arial"/>
          <w:sz w:val="19"/>
          <w:szCs w:val="19"/>
        </w:rPr>
        <w:t>«Política de formalización empresarial»</w:t>
      </w:r>
      <w:r>
        <w:rPr>
          <w:rFonts w:ascii="Arial" w:hAnsi="Arial" w:cs="Arial"/>
          <w:sz w:val="19"/>
          <w:szCs w:val="19"/>
        </w:rPr>
        <w:t xml:space="preserve">. Archivo consultado el 8 de febrero de 2021 en la página web </w:t>
      </w:r>
      <w:hyperlink r:id="rId1" w:history="1">
        <w:r w:rsidRPr="00681DD7">
          <w:rPr>
            <w:rStyle w:val="Hipervnculo"/>
            <w:rFonts w:ascii="Arial" w:hAnsi="Arial" w:cs="Arial"/>
            <w:color w:val="auto"/>
            <w:sz w:val="19"/>
            <w:szCs w:val="19"/>
          </w:rPr>
          <w:t>https://colaboracion.dnp.gov.co/CDT/Conpes/Econ%C3%B3micos/3956.pdf</w:t>
        </w:r>
      </w:hyperlink>
      <w:r>
        <w:rPr>
          <w:rFonts w:ascii="Arial" w:hAnsi="Arial" w:cs="Arial"/>
          <w:sz w:val="19"/>
          <w:szCs w:val="19"/>
        </w:rPr>
        <w:t xml:space="preserve">).  </w:t>
      </w:r>
    </w:p>
    <w:p w14:paraId="3606AC45" w14:textId="77777777" w:rsidR="00BB6979" w:rsidRPr="00AA2812" w:rsidRDefault="00BB6979" w:rsidP="00BB6979">
      <w:pPr>
        <w:pStyle w:val="Textonotapie"/>
        <w:ind w:firstLine="708"/>
        <w:jc w:val="both"/>
        <w:rPr>
          <w:rFonts w:ascii="Arial" w:hAnsi="Arial" w:cs="Arial"/>
          <w:sz w:val="19"/>
          <w:szCs w:val="19"/>
          <w:lang w:val="es-ES"/>
        </w:rPr>
      </w:pPr>
    </w:p>
  </w:footnote>
  <w:footnote w:id="4">
    <w:p w14:paraId="390B95D4" w14:textId="77777777" w:rsidR="00BB6979" w:rsidRPr="00A1541C" w:rsidRDefault="00BB6979" w:rsidP="00BB6979">
      <w:pPr>
        <w:pStyle w:val="Textonotapie"/>
        <w:ind w:firstLine="708"/>
        <w:jc w:val="both"/>
        <w:rPr>
          <w:rFonts w:ascii="Arial" w:hAnsi="Arial" w:cs="Arial"/>
          <w:sz w:val="19"/>
          <w:szCs w:val="19"/>
          <w:lang w:val="es-ES"/>
        </w:rPr>
      </w:pPr>
      <w:r w:rsidRPr="00A1541C">
        <w:rPr>
          <w:rStyle w:val="Refdenotaalpie"/>
          <w:rFonts w:ascii="Arial" w:hAnsi="Arial" w:cs="Arial"/>
          <w:sz w:val="19"/>
          <w:szCs w:val="19"/>
        </w:rPr>
        <w:footnoteRef/>
      </w:r>
      <w:r>
        <w:rPr>
          <w:rFonts w:ascii="Arial" w:hAnsi="Arial" w:cs="Arial"/>
          <w:sz w:val="19"/>
          <w:szCs w:val="19"/>
        </w:rPr>
        <w:t xml:space="preserve"> </w:t>
      </w:r>
      <w:bookmarkStart w:id="5" w:name="_Hlk63862868"/>
      <w:r>
        <w:rPr>
          <w:rFonts w:ascii="Arial" w:hAnsi="Arial" w:cs="Arial"/>
          <w:sz w:val="19"/>
          <w:szCs w:val="19"/>
        </w:rPr>
        <w:t xml:space="preserve">CONGRESO DE LA REPÚBLICA. Gaceta No. 670 del 11 de agosto de 2020. Exposición de motivos del Proyecto de Ley No. 122 de 2020 Cámara. p. 13. </w:t>
      </w:r>
    </w:p>
    <w:bookmarkEnd w:id="5"/>
  </w:footnote>
  <w:footnote w:id="5">
    <w:p w14:paraId="0C7FB9CA" w14:textId="77777777" w:rsidR="00BB6979" w:rsidRDefault="00BB6979" w:rsidP="00BB6979">
      <w:pPr>
        <w:pStyle w:val="Textonotapie"/>
        <w:ind w:firstLine="708"/>
        <w:jc w:val="both"/>
        <w:rPr>
          <w:rFonts w:ascii="Arial" w:hAnsi="Arial" w:cs="Arial"/>
          <w:sz w:val="19"/>
          <w:szCs w:val="19"/>
        </w:rPr>
      </w:pPr>
      <w:r w:rsidRPr="00F32C99">
        <w:rPr>
          <w:rStyle w:val="Refdenotaalpie"/>
          <w:rFonts w:ascii="Arial" w:hAnsi="Arial" w:cs="Arial"/>
          <w:sz w:val="19"/>
          <w:szCs w:val="19"/>
        </w:rPr>
        <w:footnoteRef/>
      </w:r>
      <w:r w:rsidRPr="00F32C99">
        <w:rPr>
          <w:rFonts w:ascii="Arial" w:hAnsi="Arial" w:cs="Arial"/>
          <w:sz w:val="19"/>
          <w:szCs w:val="19"/>
        </w:rPr>
        <w:t xml:space="preserve"> </w:t>
      </w:r>
      <w:r w:rsidRPr="00F32C99">
        <w:rPr>
          <w:rFonts w:ascii="Arial" w:hAnsi="Arial" w:cs="Arial"/>
          <w:i/>
          <w:iCs/>
          <w:sz w:val="19"/>
          <w:szCs w:val="19"/>
        </w:rPr>
        <w:t>Ibidem</w:t>
      </w:r>
      <w:r>
        <w:rPr>
          <w:rFonts w:ascii="Arial" w:hAnsi="Arial" w:cs="Arial"/>
          <w:sz w:val="19"/>
          <w:szCs w:val="19"/>
        </w:rPr>
        <w:t>. p. 18.</w:t>
      </w:r>
    </w:p>
    <w:p w14:paraId="1B0730B5" w14:textId="77777777" w:rsidR="00BB6979" w:rsidRPr="00F32C99" w:rsidRDefault="00BB6979" w:rsidP="00BB6979">
      <w:pPr>
        <w:pStyle w:val="Textonotapie"/>
        <w:ind w:firstLine="708"/>
        <w:jc w:val="both"/>
        <w:rPr>
          <w:rFonts w:ascii="Arial" w:hAnsi="Arial" w:cs="Arial"/>
          <w:sz w:val="19"/>
          <w:szCs w:val="19"/>
          <w:lang w:val="es-ES"/>
        </w:rPr>
      </w:pPr>
    </w:p>
  </w:footnote>
  <w:footnote w:id="6">
    <w:p w14:paraId="7DE45DAD" w14:textId="77777777" w:rsidR="00BB6979" w:rsidRDefault="00BB6979" w:rsidP="00BB6979">
      <w:pPr>
        <w:pStyle w:val="Textonotapie"/>
        <w:ind w:firstLine="708"/>
        <w:jc w:val="both"/>
        <w:rPr>
          <w:rFonts w:ascii="Arial" w:hAnsi="Arial" w:cs="Arial"/>
          <w:sz w:val="19"/>
          <w:szCs w:val="19"/>
        </w:rPr>
      </w:pPr>
      <w:r w:rsidRPr="00CD087C">
        <w:rPr>
          <w:rStyle w:val="Refdenotaalpie"/>
          <w:rFonts w:ascii="Arial" w:hAnsi="Arial" w:cs="Arial"/>
          <w:sz w:val="19"/>
          <w:szCs w:val="19"/>
        </w:rPr>
        <w:footnoteRef/>
      </w:r>
      <w:r w:rsidRPr="00CD087C">
        <w:rPr>
          <w:rFonts w:ascii="Arial" w:hAnsi="Arial" w:cs="Arial"/>
          <w:sz w:val="19"/>
          <w:szCs w:val="19"/>
        </w:rPr>
        <w:t xml:space="preserve"> Al respecto</w:t>
      </w:r>
      <w:r>
        <w:rPr>
          <w:rFonts w:ascii="Arial" w:hAnsi="Arial" w:cs="Arial"/>
          <w:sz w:val="19"/>
          <w:szCs w:val="19"/>
        </w:rPr>
        <w:t xml:space="preserve">, la jurisprudencia explica que «[…] </w:t>
      </w:r>
      <w:r w:rsidRPr="00CD087C">
        <w:rPr>
          <w:rFonts w:ascii="Arial" w:hAnsi="Arial" w:cs="Arial"/>
          <w:sz w:val="19"/>
          <w:szCs w:val="19"/>
        </w:rPr>
        <w:t>los contratos sin formalidades plenas no están previstos por la legislación nacional, pues</w:t>
      </w:r>
      <w:r>
        <w:rPr>
          <w:rFonts w:ascii="Arial" w:hAnsi="Arial" w:cs="Arial"/>
          <w:sz w:val="19"/>
          <w:szCs w:val="19"/>
        </w:rPr>
        <w:t xml:space="preserve"> […]</w:t>
      </w:r>
      <w:r w:rsidRPr="00CD087C">
        <w:rPr>
          <w:rFonts w:ascii="Arial" w:hAnsi="Arial" w:cs="Arial"/>
          <w:sz w:val="19"/>
          <w:szCs w:val="19"/>
        </w:rPr>
        <w:t xml:space="preserve"> el parágrafo del artículo 39 de la Ley 80 de 1993 fue derogado por el artículo 32 de la Ley 1150 de 2007. Ahora se les denomina contratos de mínima cuantía y se encuentran regulados por los artículos 2 de la Ley 1150 de 2007 y 94 de la Ley 1474 de 2011 </w:t>
      </w:r>
      <w:r>
        <w:rPr>
          <w:rFonts w:ascii="Arial" w:hAnsi="Arial" w:cs="Arial"/>
          <w:sz w:val="19"/>
          <w:szCs w:val="19"/>
        </w:rPr>
        <w:t>[…]</w:t>
      </w:r>
      <w:r w:rsidRPr="00CD087C">
        <w:rPr>
          <w:rFonts w:ascii="Arial" w:hAnsi="Arial" w:cs="Arial"/>
          <w:sz w:val="19"/>
          <w:szCs w:val="19"/>
        </w:rPr>
        <w:t>; no obstante la denominación que reciban, realmente los contratos de mínima cuantía están desprovistos de algunas formalidades, como la instrumentación por escrito del acto contractual y ello hace que el tratamiento sea muy similar al que reciben los denominados contratos sin formalidades plenas; sin embargo, es de anotar que en el proceso de formación del consentimiento en los contratos de mínima cuantía, quien presenta la oferta es quien tiene la expectativa de contratar con la entidad estatal y ésta, a su turno, es la que acepta, de manera expresa e incondicional, la oferta presentada por el particular, sin que en estos casos pueda darse el perfeccionamiento del contrato por el consentimiento tácito de los intervinientes, contrario a lo que sucedía en los contratos sin formalidades plenas</w:t>
      </w:r>
      <w:r>
        <w:rPr>
          <w:rFonts w:ascii="Arial" w:hAnsi="Arial" w:cs="Arial"/>
          <w:sz w:val="19"/>
          <w:szCs w:val="19"/>
        </w:rPr>
        <w:t xml:space="preserve">» (CONSEJO DE ESTADO. Sección Tercera. Subsección A. Sentencia del 3 de octubre de 2012. </w:t>
      </w:r>
      <w:proofErr w:type="spellStart"/>
      <w:r>
        <w:rPr>
          <w:rFonts w:ascii="Arial" w:hAnsi="Arial" w:cs="Arial"/>
          <w:sz w:val="19"/>
          <w:szCs w:val="19"/>
        </w:rPr>
        <w:t>Exp</w:t>
      </w:r>
      <w:proofErr w:type="spellEnd"/>
      <w:r>
        <w:rPr>
          <w:rFonts w:ascii="Arial" w:hAnsi="Arial" w:cs="Arial"/>
          <w:sz w:val="19"/>
          <w:szCs w:val="19"/>
        </w:rPr>
        <w:t xml:space="preserve">. 26.140. C.P. </w:t>
      </w:r>
      <w:r w:rsidRPr="0005595F">
        <w:rPr>
          <w:rFonts w:ascii="Arial" w:hAnsi="Arial" w:cs="Arial"/>
          <w:sz w:val="19"/>
          <w:szCs w:val="19"/>
        </w:rPr>
        <w:t>Carlos Alberto Zambrano Barrera</w:t>
      </w:r>
      <w:r>
        <w:rPr>
          <w:rFonts w:ascii="Arial" w:hAnsi="Arial" w:cs="Arial"/>
          <w:sz w:val="19"/>
          <w:szCs w:val="19"/>
        </w:rPr>
        <w:t>).</w:t>
      </w:r>
    </w:p>
    <w:p w14:paraId="3CEAB274" w14:textId="77777777" w:rsidR="00BB6979" w:rsidRPr="00CD087C" w:rsidRDefault="00BB6979" w:rsidP="00BB6979">
      <w:pPr>
        <w:pStyle w:val="Textonotapie"/>
        <w:ind w:firstLine="708"/>
        <w:jc w:val="both"/>
        <w:rPr>
          <w:rFonts w:ascii="Arial" w:hAnsi="Arial" w:cs="Arial"/>
          <w:sz w:val="19"/>
          <w:szCs w:val="19"/>
          <w:lang w:val="es-ES"/>
        </w:rPr>
      </w:pPr>
    </w:p>
  </w:footnote>
  <w:footnote w:id="7">
    <w:p w14:paraId="12CCE8AE" w14:textId="77777777" w:rsidR="00BB6979" w:rsidRPr="00660495" w:rsidRDefault="00BB6979" w:rsidP="00BB6979">
      <w:pPr>
        <w:pStyle w:val="Textonotapie"/>
        <w:ind w:firstLine="708"/>
        <w:jc w:val="both"/>
        <w:rPr>
          <w:rFonts w:ascii="Arial" w:hAnsi="Arial" w:cs="Arial"/>
          <w:sz w:val="19"/>
          <w:szCs w:val="19"/>
        </w:rPr>
      </w:pPr>
      <w:r w:rsidRPr="00660495">
        <w:rPr>
          <w:rStyle w:val="Refdenotaalpie"/>
          <w:rFonts w:ascii="Arial" w:hAnsi="Arial" w:cs="Arial"/>
          <w:sz w:val="19"/>
          <w:szCs w:val="19"/>
        </w:rPr>
        <w:footnoteRef/>
      </w:r>
      <w:r w:rsidRPr="00660495">
        <w:rPr>
          <w:rFonts w:ascii="Arial" w:hAnsi="Arial" w:cs="Arial"/>
          <w:sz w:val="19"/>
          <w:szCs w:val="19"/>
        </w:rPr>
        <w:t xml:space="preserve"> </w:t>
      </w:r>
      <w:r>
        <w:rPr>
          <w:rFonts w:ascii="Arial" w:hAnsi="Arial" w:cs="Arial"/>
          <w:sz w:val="19"/>
          <w:szCs w:val="19"/>
        </w:rPr>
        <w:t>Ambas normas disponen lo siguiente: «</w:t>
      </w:r>
      <w:r w:rsidRPr="00660495">
        <w:rPr>
          <w:rFonts w:ascii="Arial" w:hAnsi="Arial" w:cs="Arial"/>
          <w:sz w:val="19"/>
          <w:szCs w:val="19"/>
        </w:rPr>
        <w:t>5) Contratación mínima cuantía. La contratación cuyo valor no excede del 10 por ciento de la menor cuantía de la entidad independientemente de su objeto, se efectuará de conformidad con las siguientes reglas:</w:t>
      </w:r>
    </w:p>
    <w:p w14:paraId="5A071B33" w14:textId="77777777" w:rsidR="00BB6979" w:rsidRPr="00660495" w:rsidRDefault="00BB6979" w:rsidP="00BB6979">
      <w:pPr>
        <w:pStyle w:val="Textonotapie"/>
        <w:ind w:firstLine="708"/>
        <w:jc w:val="both"/>
        <w:rPr>
          <w:rFonts w:ascii="Arial" w:hAnsi="Arial" w:cs="Arial"/>
          <w:sz w:val="19"/>
          <w:szCs w:val="19"/>
        </w:rPr>
      </w:pPr>
      <w:proofErr w:type="gramStart"/>
      <w:r>
        <w:rPr>
          <w:rFonts w:ascii="Arial" w:hAnsi="Arial" w:cs="Arial"/>
          <w:sz w:val="19"/>
          <w:szCs w:val="19"/>
        </w:rPr>
        <w:t>»</w:t>
      </w:r>
      <w:r w:rsidRPr="00660495">
        <w:rPr>
          <w:rFonts w:ascii="Arial" w:hAnsi="Arial" w:cs="Arial"/>
          <w:sz w:val="19"/>
          <w:szCs w:val="19"/>
        </w:rPr>
        <w:t>a</w:t>
      </w:r>
      <w:proofErr w:type="gramEnd"/>
      <w:r w:rsidRPr="00660495">
        <w:rPr>
          <w:rFonts w:ascii="Arial" w:hAnsi="Arial" w:cs="Arial"/>
          <w:sz w:val="19"/>
          <w:szCs w:val="19"/>
        </w:rPr>
        <w:t>) Se publicará una invitación, por un término no inferior a un día hábil, en la cual se señalará el objeto a contratar, el presupuesto destinado para tal fin, así como las condiciones técnicas exigidas;</w:t>
      </w:r>
    </w:p>
    <w:p w14:paraId="5DAB5203" w14:textId="77777777" w:rsidR="00BB6979" w:rsidRPr="00660495" w:rsidRDefault="00BB6979" w:rsidP="00BB6979">
      <w:pPr>
        <w:pStyle w:val="Textonotapie"/>
        <w:ind w:firstLine="708"/>
        <w:jc w:val="both"/>
        <w:rPr>
          <w:rFonts w:ascii="Arial" w:hAnsi="Arial" w:cs="Arial"/>
          <w:sz w:val="19"/>
          <w:szCs w:val="19"/>
        </w:rPr>
      </w:pPr>
      <w:proofErr w:type="gramStart"/>
      <w:r>
        <w:rPr>
          <w:rFonts w:ascii="Arial" w:hAnsi="Arial" w:cs="Arial"/>
          <w:sz w:val="19"/>
          <w:szCs w:val="19"/>
        </w:rPr>
        <w:t>»</w:t>
      </w:r>
      <w:r w:rsidRPr="00660495">
        <w:rPr>
          <w:rFonts w:ascii="Arial" w:hAnsi="Arial" w:cs="Arial"/>
          <w:sz w:val="19"/>
          <w:szCs w:val="19"/>
        </w:rPr>
        <w:t>b</w:t>
      </w:r>
      <w:proofErr w:type="gramEnd"/>
      <w:r w:rsidRPr="00660495">
        <w:rPr>
          <w:rFonts w:ascii="Arial" w:hAnsi="Arial" w:cs="Arial"/>
          <w:sz w:val="19"/>
          <w:szCs w:val="19"/>
        </w:rPr>
        <w:t>) El término previsto en la invitación para presentar la oferta no podrá ser inferior a un día hábil;</w:t>
      </w:r>
    </w:p>
    <w:p w14:paraId="107618CE" w14:textId="77777777" w:rsidR="00BB6979" w:rsidRPr="00660495" w:rsidRDefault="00BB6979" w:rsidP="00BB6979">
      <w:pPr>
        <w:pStyle w:val="Textonotapie"/>
        <w:ind w:firstLine="708"/>
        <w:jc w:val="both"/>
        <w:rPr>
          <w:rFonts w:ascii="Arial" w:hAnsi="Arial" w:cs="Arial"/>
          <w:sz w:val="19"/>
          <w:szCs w:val="19"/>
        </w:rPr>
      </w:pPr>
      <w:r>
        <w:rPr>
          <w:rFonts w:ascii="Arial" w:hAnsi="Arial" w:cs="Arial"/>
          <w:sz w:val="19"/>
          <w:szCs w:val="19"/>
        </w:rPr>
        <w:t>»</w:t>
      </w:r>
      <w:r w:rsidRPr="00660495">
        <w:rPr>
          <w:rFonts w:ascii="Arial" w:hAnsi="Arial" w:cs="Arial"/>
          <w:sz w:val="19"/>
          <w:szCs w:val="19"/>
        </w:rPr>
        <w:t>c) La entidad seleccionará, mediante comunicación de aceptación de la oferta, la propuesta con el menor precio, siempre y cuando cumpla con las condiciones exigidas;</w:t>
      </w:r>
    </w:p>
    <w:p w14:paraId="1DA256E7" w14:textId="77777777" w:rsidR="00BB6979" w:rsidRPr="00660495" w:rsidRDefault="00BB6979" w:rsidP="00BB6979">
      <w:pPr>
        <w:pStyle w:val="Textonotapie"/>
        <w:ind w:firstLine="708"/>
        <w:jc w:val="both"/>
        <w:rPr>
          <w:rFonts w:ascii="Arial" w:hAnsi="Arial" w:cs="Arial"/>
          <w:sz w:val="19"/>
          <w:szCs w:val="19"/>
          <w:lang w:val="es-ES"/>
        </w:rPr>
      </w:pPr>
      <w:proofErr w:type="gramStart"/>
      <w:r>
        <w:rPr>
          <w:rFonts w:ascii="Arial" w:hAnsi="Arial" w:cs="Arial"/>
          <w:sz w:val="19"/>
          <w:szCs w:val="19"/>
        </w:rPr>
        <w:t>»</w:t>
      </w:r>
      <w:r w:rsidRPr="00660495">
        <w:rPr>
          <w:rFonts w:ascii="Arial" w:hAnsi="Arial" w:cs="Arial"/>
          <w:sz w:val="19"/>
          <w:szCs w:val="19"/>
        </w:rPr>
        <w:t>d</w:t>
      </w:r>
      <w:proofErr w:type="gramEnd"/>
      <w:r w:rsidRPr="00660495">
        <w:rPr>
          <w:rFonts w:ascii="Arial" w:hAnsi="Arial" w:cs="Arial"/>
          <w:sz w:val="19"/>
          <w:szCs w:val="19"/>
        </w:rPr>
        <w:t>) La comunicación de aceptación junto con la oferta constituye para todos los efectos el contrato celebrado, con base en lo cual se efectuará el respectivo registro presupuestal</w:t>
      </w:r>
      <w:r>
        <w:rPr>
          <w:rFonts w:ascii="Arial" w:hAnsi="Arial" w:cs="Arial"/>
          <w:sz w:val="19"/>
          <w:szCs w:val="19"/>
        </w:rPr>
        <w:t>»</w:t>
      </w:r>
      <w:r w:rsidRPr="00660495">
        <w:rPr>
          <w:rFonts w:ascii="Arial" w:hAnsi="Arial" w:cs="Arial"/>
          <w:sz w:val="19"/>
          <w:szCs w:val="19"/>
        </w:rPr>
        <w:t>.</w:t>
      </w:r>
    </w:p>
  </w:footnote>
  <w:footnote w:id="8">
    <w:p w14:paraId="77EC9B01" w14:textId="77777777" w:rsidR="00BB6979" w:rsidRPr="001E0DB0" w:rsidRDefault="00BB6979" w:rsidP="00BB6979">
      <w:pPr>
        <w:pStyle w:val="Textonotapie"/>
        <w:ind w:firstLine="708"/>
        <w:jc w:val="both"/>
        <w:rPr>
          <w:rFonts w:ascii="Arial" w:hAnsi="Arial" w:cs="Arial"/>
          <w:sz w:val="19"/>
          <w:szCs w:val="19"/>
          <w:lang w:val="es-ES"/>
        </w:rPr>
      </w:pPr>
      <w:r w:rsidRPr="001E0DB0">
        <w:rPr>
          <w:rStyle w:val="Refdenotaalpie"/>
          <w:rFonts w:ascii="Arial" w:hAnsi="Arial" w:cs="Arial"/>
          <w:sz w:val="19"/>
          <w:szCs w:val="19"/>
        </w:rPr>
        <w:footnoteRef/>
      </w:r>
      <w:r w:rsidRPr="001E0DB0">
        <w:rPr>
          <w:rFonts w:ascii="Arial" w:hAnsi="Arial" w:cs="Arial"/>
          <w:sz w:val="19"/>
          <w:szCs w:val="19"/>
        </w:rPr>
        <w:t xml:space="preserve"> </w:t>
      </w:r>
      <w:r>
        <w:rPr>
          <w:rFonts w:ascii="Arial" w:hAnsi="Arial" w:cs="Arial"/>
          <w:sz w:val="19"/>
          <w:szCs w:val="19"/>
        </w:rPr>
        <w:t xml:space="preserve">BENAVIDES, José Luis. La potestad reglamentaria en la contratación pública. En: Contratos públicos: Estudios. Bogotá: Universidad Externado de Colombia, 2014. </w:t>
      </w:r>
      <w:r w:rsidRPr="001E0DB0">
        <w:rPr>
          <w:rFonts w:ascii="Arial" w:hAnsi="Arial" w:cs="Arial"/>
          <w:sz w:val="19"/>
          <w:szCs w:val="19"/>
        </w:rPr>
        <w:t>p. 174</w:t>
      </w:r>
      <w:r>
        <w:rPr>
          <w:rFonts w:ascii="Arial" w:hAnsi="Arial" w:cs="Arial"/>
          <w:sz w:val="19"/>
          <w:szCs w:val="19"/>
        </w:rPr>
        <w:t>.</w:t>
      </w:r>
    </w:p>
  </w:footnote>
  <w:footnote w:id="9">
    <w:p w14:paraId="4B037351" w14:textId="77777777" w:rsidR="00BB6979" w:rsidRPr="00643D19" w:rsidRDefault="00BB6979" w:rsidP="00BB6979">
      <w:pPr>
        <w:ind w:firstLine="708"/>
        <w:jc w:val="both"/>
        <w:rPr>
          <w:rFonts w:ascii="Arial" w:hAnsi="Arial" w:cs="Arial"/>
          <w:sz w:val="19"/>
          <w:szCs w:val="19"/>
        </w:rPr>
      </w:pPr>
      <w:r w:rsidRPr="00EE0D77">
        <w:rPr>
          <w:rStyle w:val="Refdenotaalpie"/>
          <w:rFonts w:ascii="Arial" w:hAnsi="Arial" w:cs="Arial"/>
          <w:sz w:val="19"/>
          <w:szCs w:val="19"/>
        </w:rPr>
        <w:footnoteRef/>
      </w:r>
      <w:r w:rsidRPr="00EE0D77">
        <w:rPr>
          <w:rFonts w:ascii="Arial" w:hAnsi="Arial" w:cs="Arial"/>
          <w:sz w:val="19"/>
          <w:szCs w:val="19"/>
        </w:rPr>
        <w:t xml:space="preserve"> </w:t>
      </w:r>
      <w:r w:rsidRPr="00643D19">
        <w:rPr>
          <w:rFonts w:ascii="Arial" w:hAnsi="Arial" w:cs="Arial"/>
          <w:sz w:val="19"/>
          <w:szCs w:val="19"/>
        </w:rPr>
        <w:t>El artículo 33 de la Ley de Emprendimiento dispone lo siguiente: «Con el fin de promover el acceso de las MIPYMES al mercado de Compras Públicas, las</w:t>
      </w:r>
      <w:r>
        <w:rPr>
          <w:rFonts w:ascii="Arial" w:hAnsi="Arial" w:cs="Arial"/>
          <w:sz w:val="19"/>
          <w:szCs w:val="19"/>
        </w:rPr>
        <w:t xml:space="preserve"> </w:t>
      </w:r>
      <w:r w:rsidRPr="005E5E63">
        <w:rPr>
          <w:rFonts w:ascii="Arial" w:hAnsi="Arial" w:cs="Arial"/>
          <w:sz w:val="19"/>
          <w:szCs w:val="19"/>
        </w:rPr>
        <w:t>Entidades Estatales indistintamente de su régimen de contratación, los patrimonios autónomos constituidos por Entidades Estatales y los particulares que ejecuten recursos públicos</w:t>
      </w:r>
      <w:r w:rsidRPr="00643D19">
        <w:rPr>
          <w:rFonts w:ascii="Arial" w:hAnsi="Arial" w:cs="Arial"/>
          <w:sz w:val="19"/>
          <w:szCs w:val="19"/>
        </w:rPr>
        <w:t>:</w:t>
      </w:r>
    </w:p>
    <w:p w14:paraId="5E6BD14D" w14:textId="77777777" w:rsidR="00BB6979" w:rsidRPr="00643D19" w:rsidRDefault="00BB6979" w:rsidP="00BB6979">
      <w:pPr>
        <w:ind w:firstLine="708"/>
        <w:jc w:val="both"/>
        <w:rPr>
          <w:rFonts w:ascii="Arial" w:hAnsi="Arial" w:cs="Arial"/>
          <w:sz w:val="19"/>
          <w:szCs w:val="19"/>
        </w:rPr>
      </w:pPr>
      <w:r w:rsidRPr="00643D19">
        <w:rPr>
          <w:rFonts w:ascii="Arial" w:hAnsi="Arial" w:cs="Arial"/>
          <w:sz w:val="19"/>
          <w:szCs w:val="19"/>
        </w:rPr>
        <w:t>»1. Deberán en el Análisis de Sector identificar las MIPYMES que podrían ser potenciales proveedoras directas o indirectas, con el fin de definir reglas que promuevan y faciliten su participación en el Proceso de Contratación.</w:t>
      </w:r>
    </w:p>
    <w:p w14:paraId="69495FDF" w14:textId="77777777" w:rsidR="00BB6979" w:rsidRPr="00643D19" w:rsidRDefault="00BB6979" w:rsidP="00BB6979">
      <w:pPr>
        <w:ind w:firstLine="708"/>
        <w:jc w:val="both"/>
        <w:rPr>
          <w:rFonts w:ascii="Arial" w:hAnsi="Arial" w:cs="Arial"/>
          <w:sz w:val="19"/>
          <w:szCs w:val="19"/>
        </w:rPr>
      </w:pPr>
      <w:r w:rsidRPr="00643D19">
        <w:rPr>
          <w:rFonts w:ascii="Arial" w:hAnsi="Arial" w:cs="Arial"/>
          <w:sz w:val="19"/>
          <w:szCs w:val="19"/>
        </w:rPr>
        <w:t xml:space="preserve">»2. Desarrollarán programas de aplicación de la normativa del Sistema de Compra Pública, en especial, la relacionada con las disposiciones que promueven la participación de las MIPYMES en las compras públicas, los incentivos y el </w:t>
      </w:r>
      <w:proofErr w:type="spellStart"/>
      <w:r w:rsidRPr="00643D19">
        <w:rPr>
          <w:rFonts w:ascii="Arial" w:hAnsi="Arial" w:cs="Arial"/>
          <w:sz w:val="19"/>
          <w:szCs w:val="19"/>
        </w:rPr>
        <w:t>Secop</w:t>
      </w:r>
      <w:proofErr w:type="spellEnd"/>
      <w:r w:rsidRPr="00643D19">
        <w:rPr>
          <w:rFonts w:ascii="Arial" w:hAnsi="Arial" w:cs="Arial"/>
          <w:sz w:val="19"/>
          <w:szCs w:val="19"/>
        </w:rPr>
        <w:t>.</w:t>
      </w:r>
    </w:p>
    <w:p w14:paraId="3EEFD33D" w14:textId="77777777" w:rsidR="00BB6979" w:rsidRPr="00643D19" w:rsidRDefault="00BB6979" w:rsidP="00BB6979">
      <w:pPr>
        <w:ind w:firstLine="708"/>
        <w:jc w:val="both"/>
        <w:rPr>
          <w:rFonts w:ascii="Arial" w:hAnsi="Arial" w:cs="Arial"/>
          <w:sz w:val="19"/>
          <w:szCs w:val="19"/>
        </w:rPr>
      </w:pPr>
      <w:r w:rsidRPr="00643D19">
        <w:rPr>
          <w:rFonts w:ascii="Arial" w:hAnsi="Arial" w:cs="Arial"/>
          <w:sz w:val="19"/>
          <w:szCs w:val="19"/>
        </w:rPr>
        <w:t>»3. Promoverán e incrementarán, conforme a su respectivo presupuesto, la participación de micro, pequeñas y medianas empresas como proveedoras de los bienes y servicios que aquellas demanden.</w:t>
      </w:r>
    </w:p>
    <w:p w14:paraId="1187B436" w14:textId="77777777" w:rsidR="00BB6979" w:rsidRPr="00643D19" w:rsidRDefault="00BB6979" w:rsidP="00BB6979">
      <w:pPr>
        <w:ind w:firstLine="708"/>
        <w:jc w:val="both"/>
        <w:rPr>
          <w:rFonts w:ascii="Arial" w:hAnsi="Arial" w:cs="Arial"/>
          <w:sz w:val="19"/>
          <w:szCs w:val="19"/>
        </w:rPr>
      </w:pPr>
      <w:r w:rsidRPr="00643D19">
        <w:rPr>
          <w:rFonts w:ascii="Arial" w:hAnsi="Arial" w:cs="Arial"/>
          <w:sz w:val="19"/>
          <w:szCs w:val="19"/>
        </w:rPr>
        <w:t>»4. Establecerán, en observancia de lo dispuesto en el artículo 11 de la presente ley, procedimientos administrativos que faciliten a micro, pequeñas y medianas empresas, el cumplimento de los requisitos y trámites relativos a pedidos, recepción de bienes o servicios, condiciones de pago y acceso a la información, por medios idóneos, sobre sus programas de inversión y de gasto.</w:t>
      </w:r>
    </w:p>
    <w:p w14:paraId="1E19486C" w14:textId="77777777" w:rsidR="00BB6979" w:rsidRPr="00643D19" w:rsidRDefault="00BB6979" w:rsidP="00BB6979">
      <w:pPr>
        <w:ind w:firstLine="708"/>
        <w:jc w:val="both"/>
        <w:rPr>
          <w:rFonts w:ascii="Arial" w:hAnsi="Arial" w:cs="Arial"/>
          <w:sz w:val="19"/>
          <w:szCs w:val="19"/>
        </w:rPr>
      </w:pPr>
      <w:r w:rsidRPr="00643D19">
        <w:rPr>
          <w:rFonts w:ascii="Arial" w:hAnsi="Arial" w:cs="Arial"/>
          <w:sz w:val="19"/>
          <w:szCs w:val="19"/>
        </w:rPr>
        <w:t>»5. Preferirán en condiciones de igual precio, calidad y capacidad de suministros y servicio a las MIPYMES nacionales.</w:t>
      </w:r>
    </w:p>
    <w:p w14:paraId="4AFC11AE" w14:textId="77777777" w:rsidR="00BB6979" w:rsidRPr="00643D19" w:rsidRDefault="00BB6979" w:rsidP="00BB6979">
      <w:pPr>
        <w:ind w:firstLine="708"/>
        <w:jc w:val="both"/>
        <w:rPr>
          <w:rFonts w:ascii="Arial" w:hAnsi="Arial" w:cs="Arial"/>
          <w:sz w:val="19"/>
          <w:szCs w:val="19"/>
        </w:rPr>
      </w:pPr>
      <w:r w:rsidRPr="00643D19">
        <w:rPr>
          <w:rFonts w:ascii="Arial" w:hAnsi="Arial" w:cs="Arial"/>
          <w:sz w:val="19"/>
          <w:szCs w:val="19"/>
        </w:rPr>
        <w:t>»6. Promoverán la división del Proceso de Contratación en lotes o segmentos que faciliten la participación de las MIPYMES en el Proceso de Contratación.</w:t>
      </w:r>
    </w:p>
    <w:p w14:paraId="433F0DC3" w14:textId="77777777" w:rsidR="00BB6979" w:rsidRPr="00643D19" w:rsidRDefault="00BB6979" w:rsidP="00BB6979">
      <w:pPr>
        <w:ind w:firstLine="708"/>
        <w:jc w:val="both"/>
        <w:rPr>
          <w:rFonts w:ascii="Arial" w:hAnsi="Arial" w:cs="Arial"/>
          <w:sz w:val="19"/>
          <w:szCs w:val="19"/>
        </w:rPr>
      </w:pPr>
      <w:r w:rsidRPr="00643D19">
        <w:rPr>
          <w:rFonts w:ascii="Arial" w:hAnsi="Arial" w:cs="Arial"/>
          <w:sz w:val="19"/>
          <w:szCs w:val="19"/>
        </w:rPr>
        <w:t>»7. La Agencia Nacional de Contratación Pública - Colombia Compra Eficiente y el Ministerio de Comercio, Industria y Turismo, crearán un sistema de indicadores con el fin de evaluar anualmente la efectividad de la inclusión de las MIPYMES al mercado de compras públicas. A partir de esta evaluación, el Gobierno Nacional promoverá las mejoras que faciliten el acceso de éstas al mercado estatal a través de la implementación de ajustes normativos, nuevas herramientas, incentivos e instrumentos financieros.</w:t>
      </w:r>
    </w:p>
    <w:p w14:paraId="64FFCB9A" w14:textId="77777777" w:rsidR="00BB6979" w:rsidRPr="00643D19" w:rsidRDefault="00BB6979" w:rsidP="00BB6979">
      <w:pPr>
        <w:ind w:firstLine="708"/>
        <w:jc w:val="both"/>
        <w:rPr>
          <w:rFonts w:ascii="Arial" w:hAnsi="Arial" w:cs="Arial"/>
          <w:sz w:val="19"/>
          <w:szCs w:val="19"/>
        </w:rPr>
      </w:pPr>
      <w:r w:rsidRPr="00643D19">
        <w:rPr>
          <w:rFonts w:ascii="Arial" w:hAnsi="Arial" w:cs="Arial"/>
          <w:sz w:val="19"/>
          <w:szCs w:val="19"/>
        </w:rPr>
        <w:t>»8. En los dos primeros meses de cada año las entidades estatales definidas en este artículo deberán remitir información a la Agencia Nacional de Contratación Pública - Colombia Compra Eficiente-, sobre el cumplimiento y resultados de la adopción de las medidas establecidas en la presente disposición durante el año inmediatamente anterior, lo cual servirá como insumo para la evaluación anual de qué trata el presente numeral.</w:t>
      </w:r>
    </w:p>
    <w:p w14:paraId="4432C403" w14:textId="77777777" w:rsidR="00BB6979" w:rsidRPr="00EE0D77" w:rsidRDefault="00BB6979" w:rsidP="00BB6979">
      <w:pPr>
        <w:ind w:firstLine="708"/>
        <w:jc w:val="both"/>
        <w:rPr>
          <w:rFonts w:ascii="Arial" w:hAnsi="Arial" w:cs="Arial"/>
          <w:sz w:val="19"/>
          <w:szCs w:val="19"/>
        </w:rPr>
      </w:pPr>
      <w:proofErr w:type="gramStart"/>
      <w:r w:rsidRPr="00643D19">
        <w:rPr>
          <w:rFonts w:ascii="Arial" w:hAnsi="Arial" w:cs="Arial"/>
          <w:sz w:val="19"/>
          <w:szCs w:val="19"/>
        </w:rPr>
        <w:t>»PARÁGRAFO</w:t>
      </w:r>
      <w:proofErr w:type="gramEnd"/>
      <w:r w:rsidRPr="00643D19">
        <w:rPr>
          <w:rFonts w:ascii="Arial" w:hAnsi="Arial" w:cs="Arial"/>
          <w:sz w:val="19"/>
          <w:szCs w:val="19"/>
        </w:rPr>
        <w:t>. El incumplimiento de los deberes de que trata el presente artículo por parte de los servidores públicos constituirá causal de mala conducta».</w:t>
      </w:r>
    </w:p>
  </w:footnote>
  <w:footnote w:id="10">
    <w:p w14:paraId="6A968499" w14:textId="77777777" w:rsidR="00BB6979" w:rsidRPr="004C0463" w:rsidRDefault="00BB6979" w:rsidP="00BB6979">
      <w:pPr>
        <w:pStyle w:val="Textonotapie"/>
        <w:ind w:firstLine="708"/>
        <w:jc w:val="both"/>
        <w:rPr>
          <w:rFonts w:ascii="Arial" w:hAnsi="Arial" w:cs="Arial"/>
          <w:sz w:val="19"/>
          <w:szCs w:val="19"/>
        </w:rPr>
      </w:pPr>
      <w:r w:rsidRPr="004C0463">
        <w:rPr>
          <w:rStyle w:val="Refdenotaalpie"/>
          <w:rFonts w:ascii="Arial" w:hAnsi="Arial" w:cs="Arial"/>
          <w:sz w:val="19"/>
          <w:szCs w:val="19"/>
        </w:rPr>
        <w:footnoteRef/>
      </w:r>
      <w:r w:rsidRPr="004C0463">
        <w:rPr>
          <w:rFonts w:ascii="Arial" w:hAnsi="Arial" w:cs="Arial"/>
          <w:sz w:val="19"/>
          <w:szCs w:val="19"/>
        </w:rPr>
        <w:t xml:space="preserve"> </w:t>
      </w:r>
      <w:r>
        <w:rPr>
          <w:rFonts w:ascii="Arial" w:hAnsi="Arial" w:cs="Arial"/>
          <w:sz w:val="19"/>
          <w:szCs w:val="19"/>
        </w:rPr>
        <w:t>En los demás incisos, ambas normas tienen una redacción similar cuando prescriben que: «</w:t>
      </w:r>
      <w:r w:rsidRPr="004C0463">
        <w:rPr>
          <w:rFonts w:ascii="Arial" w:hAnsi="Arial" w:cs="Arial"/>
          <w:sz w:val="19"/>
          <w:szCs w:val="19"/>
        </w:rPr>
        <w:t xml:space="preserve">De igual forma, en los pliegos de condiciones </w:t>
      </w:r>
      <w:bookmarkStart w:id="12" w:name="_Hlk63844516"/>
      <w:r w:rsidRPr="004C0463">
        <w:rPr>
          <w:rFonts w:ascii="Arial" w:hAnsi="Arial" w:cs="Arial"/>
          <w:sz w:val="19"/>
          <w:szCs w:val="19"/>
        </w:rPr>
        <w:t>las entidades estatales, dispondrán, de mecanismos que fomenten en la ejecución de los contratos estatales la provisión de bienes y servicios por población en pobreza extrema, desplazados por la violencia, personas en proceso de reintegración y, sujetos de especial protección constitucional en las condiciones que señale el reglamento</w:t>
      </w:r>
      <w:bookmarkEnd w:id="12"/>
      <w:r w:rsidRPr="004C0463">
        <w:rPr>
          <w:rFonts w:ascii="Arial" w:hAnsi="Arial" w:cs="Arial"/>
          <w:sz w:val="19"/>
          <w:szCs w:val="19"/>
        </w:rPr>
        <w:t>; siempre que se garanticen las condiciones de calidad y cumplimiento del objeto contractual</w:t>
      </w:r>
      <w:r>
        <w:rPr>
          <w:rFonts w:ascii="Arial" w:hAnsi="Arial" w:cs="Arial"/>
          <w:sz w:val="19"/>
          <w:szCs w:val="19"/>
        </w:rPr>
        <w:t>.</w:t>
      </w:r>
    </w:p>
    <w:p w14:paraId="2B69D5CC" w14:textId="77777777" w:rsidR="00BB6979" w:rsidRPr="004C0463" w:rsidRDefault="00BB6979" w:rsidP="00BB6979">
      <w:pPr>
        <w:pStyle w:val="Textonotapie"/>
        <w:ind w:firstLine="708"/>
        <w:jc w:val="both"/>
        <w:rPr>
          <w:rFonts w:ascii="Arial" w:hAnsi="Arial" w:cs="Arial"/>
          <w:sz w:val="19"/>
          <w:szCs w:val="19"/>
        </w:rPr>
      </w:pPr>
      <w:proofErr w:type="gramStart"/>
      <w:r>
        <w:rPr>
          <w:rFonts w:ascii="Arial" w:hAnsi="Arial" w:cs="Arial"/>
          <w:sz w:val="19"/>
          <w:szCs w:val="19"/>
        </w:rPr>
        <w:t>»</w:t>
      </w:r>
      <w:r w:rsidRPr="004C0463">
        <w:rPr>
          <w:rFonts w:ascii="Arial" w:hAnsi="Arial" w:cs="Arial"/>
          <w:sz w:val="19"/>
          <w:szCs w:val="19"/>
        </w:rPr>
        <w:t>Parágrafo</w:t>
      </w:r>
      <w:proofErr w:type="gramEnd"/>
      <w:r w:rsidRPr="004C0463">
        <w:rPr>
          <w:rFonts w:ascii="Arial" w:hAnsi="Arial" w:cs="Arial"/>
          <w:sz w:val="19"/>
          <w:szCs w:val="19"/>
        </w:rPr>
        <w:t xml:space="preserve"> 1°. En los procesos de selección que se desarrollen con base en el primer inciso, las entidades podrán realizar las convocatorias limitadas que beneficien a las </w:t>
      </w:r>
      <w:proofErr w:type="spellStart"/>
      <w:r w:rsidRPr="004C0463">
        <w:rPr>
          <w:rFonts w:ascii="Arial" w:hAnsi="Arial" w:cs="Arial"/>
          <w:sz w:val="19"/>
          <w:szCs w:val="19"/>
        </w:rPr>
        <w:t>Mipymes</w:t>
      </w:r>
      <w:proofErr w:type="spellEnd"/>
      <w:r w:rsidRPr="004C0463">
        <w:rPr>
          <w:rFonts w:ascii="Arial" w:hAnsi="Arial" w:cs="Arial"/>
          <w:sz w:val="19"/>
          <w:szCs w:val="19"/>
        </w:rPr>
        <w:t xml:space="preserve"> del ámbito municipal o departamental correspondiente al de la ejecución del contrato.</w:t>
      </w:r>
    </w:p>
    <w:p w14:paraId="163BC263" w14:textId="77777777" w:rsidR="00BB6979" w:rsidRPr="004C0463" w:rsidRDefault="00BB6979" w:rsidP="00BB6979">
      <w:pPr>
        <w:pStyle w:val="Textonotapie"/>
        <w:ind w:firstLine="708"/>
        <w:jc w:val="both"/>
        <w:rPr>
          <w:rFonts w:ascii="Arial" w:hAnsi="Arial" w:cs="Arial"/>
          <w:sz w:val="19"/>
          <w:szCs w:val="19"/>
        </w:rPr>
      </w:pPr>
      <w:proofErr w:type="gramStart"/>
      <w:r>
        <w:rPr>
          <w:rFonts w:ascii="Arial" w:hAnsi="Arial" w:cs="Arial"/>
          <w:sz w:val="19"/>
          <w:szCs w:val="19"/>
        </w:rPr>
        <w:t>»</w:t>
      </w:r>
      <w:r w:rsidRPr="004C0463">
        <w:rPr>
          <w:rFonts w:ascii="Arial" w:hAnsi="Arial" w:cs="Arial"/>
          <w:sz w:val="19"/>
          <w:szCs w:val="19"/>
        </w:rPr>
        <w:t>Parágrafo</w:t>
      </w:r>
      <w:proofErr w:type="gramEnd"/>
      <w:r w:rsidRPr="004C0463">
        <w:rPr>
          <w:rFonts w:ascii="Arial" w:hAnsi="Arial" w:cs="Arial"/>
          <w:sz w:val="19"/>
          <w:szCs w:val="19"/>
        </w:rPr>
        <w:t xml:space="preserve"> 2°. Sin perjuicio de lo dispuesto en los artículos 5 y 6 de la Ley 1150 de 2007, para que las </w:t>
      </w:r>
      <w:proofErr w:type="spellStart"/>
      <w:r w:rsidRPr="004C0463">
        <w:rPr>
          <w:rFonts w:ascii="Arial" w:hAnsi="Arial" w:cs="Arial"/>
          <w:sz w:val="19"/>
          <w:szCs w:val="19"/>
        </w:rPr>
        <w:t>Mipymes</w:t>
      </w:r>
      <w:proofErr w:type="spellEnd"/>
      <w:r w:rsidRPr="004C0463">
        <w:rPr>
          <w:rFonts w:ascii="Arial" w:hAnsi="Arial" w:cs="Arial"/>
          <w:sz w:val="19"/>
          <w:szCs w:val="19"/>
        </w:rPr>
        <w:t xml:space="preserve"> puedan participar en las convocatorias a las que se refiere este artículo, deberán acreditar como mínimo un año de existencia, para lo cual deberán presentar el certificado expedido por la cámara de comercio o por la autoridad que sea competente para dicha acreditación.</w:t>
      </w:r>
    </w:p>
    <w:p w14:paraId="0D9D0A30" w14:textId="77777777" w:rsidR="00BB6979" w:rsidRPr="004C0463" w:rsidRDefault="00BB6979" w:rsidP="00BB6979">
      <w:pPr>
        <w:pStyle w:val="Textonotapie"/>
        <w:ind w:firstLine="708"/>
        <w:jc w:val="both"/>
        <w:rPr>
          <w:rFonts w:ascii="Arial" w:hAnsi="Arial" w:cs="Arial"/>
          <w:sz w:val="19"/>
          <w:szCs w:val="19"/>
          <w:lang w:val="es-ES"/>
        </w:rPr>
      </w:pPr>
      <w:proofErr w:type="gramStart"/>
      <w:r>
        <w:rPr>
          <w:rFonts w:ascii="Arial" w:hAnsi="Arial" w:cs="Arial"/>
          <w:sz w:val="19"/>
          <w:szCs w:val="19"/>
        </w:rPr>
        <w:t>»</w:t>
      </w:r>
      <w:r w:rsidRPr="004C0463">
        <w:rPr>
          <w:rFonts w:ascii="Arial" w:hAnsi="Arial" w:cs="Arial"/>
          <w:sz w:val="19"/>
          <w:szCs w:val="19"/>
        </w:rPr>
        <w:t>Parágrafo</w:t>
      </w:r>
      <w:proofErr w:type="gramEnd"/>
      <w:r w:rsidRPr="004C0463">
        <w:rPr>
          <w:rFonts w:ascii="Arial" w:hAnsi="Arial" w:cs="Arial"/>
          <w:sz w:val="19"/>
          <w:szCs w:val="19"/>
        </w:rPr>
        <w:t xml:space="preserve"> 3°. En la ejecución de los contratos a que se refiere el presente artículo, las entidades y los contratistas, deberán observar lo dispuesto en los artículos 90 a 95 de la Ley 418 de 1997 y las normas que la modifiquen, adicionen o subroguen.</w:t>
      </w:r>
      <w:r>
        <w:rPr>
          <w:rFonts w:ascii="Arial" w:hAnsi="Arial" w:cs="Arial"/>
          <w:sz w:val="19"/>
          <w:szCs w:val="19"/>
        </w:rPr>
        <w:t xml:space="preserve"> </w:t>
      </w:r>
    </w:p>
  </w:footnote>
  <w:footnote w:id="11">
    <w:p w14:paraId="5C9C8C15" w14:textId="77777777" w:rsidR="00BB6979" w:rsidRPr="007D00A7" w:rsidRDefault="00BB6979" w:rsidP="00BB6979">
      <w:pPr>
        <w:ind w:firstLine="708"/>
        <w:jc w:val="both"/>
        <w:rPr>
          <w:rFonts w:ascii="Arial" w:hAnsi="Arial" w:cs="Arial"/>
          <w:sz w:val="19"/>
          <w:szCs w:val="19"/>
        </w:rPr>
      </w:pPr>
      <w:r w:rsidRPr="00682C32">
        <w:rPr>
          <w:rStyle w:val="Refdenotaalpie"/>
          <w:rFonts w:ascii="Arial" w:hAnsi="Arial" w:cs="Arial"/>
          <w:sz w:val="19"/>
          <w:szCs w:val="19"/>
        </w:rPr>
        <w:footnoteRef/>
      </w:r>
      <w:r w:rsidRPr="00682C32">
        <w:rPr>
          <w:rFonts w:ascii="Arial" w:hAnsi="Arial" w:cs="Arial"/>
          <w:sz w:val="19"/>
          <w:szCs w:val="19"/>
        </w:rPr>
        <w:t xml:space="preserve"> </w:t>
      </w:r>
      <w:r>
        <w:rPr>
          <w:rFonts w:ascii="Arial" w:hAnsi="Arial" w:cs="Arial"/>
          <w:sz w:val="19"/>
          <w:szCs w:val="19"/>
        </w:rPr>
        <w:t>«</w:t>
      </w:r>
      <w:r w:rsidRPr="007D00A7">
        <w:rPr>
          <w:rFonts w:ascii="Arial" w:hAnsi="Arial" w:cs="Arial"/>
          <w:sz w:val="19"/>
          <w:szCs w:val="19"/>
        </w:rPr>
        <w:t>En caso de empate en el puntaje total de dos o más ofertas en los Procesos de Contratación realizados con cargo a recursos públicos, los Procesos de Contratación realizados por las Entidades Estatales indistintamente de su régimen de contratación, así como los celebrados por los Procesos de Contratación de los patrimonios autónomos constituidos por Entidades Estatales, el contratante deberá utilizar las siguientes reglas de forma sucesiva y excluyente para seleccionar al oferente favorecido, respetando en todo caso los compromisos internacionales vigentes.</w:t>
      </w:r>
    </w:p>
    <w:p w14:paraId="7CB6E7C1" w14:textId="77777777" w:rsidR="00BB6979" w:rsidRPr="007D00A7" w:rsidRDefault="00BB6979" w:rsidP="00BB6979">
      <w:pPr>
        <w:ind w:firstLine="708"/>
        <w:jc w:val="both"/>
        <w:rPr>
          <w:rFonts w:ascii="Arial" w:hAnsi="Arial" w:cs="Arial"/>
          <w:sz w:val="19"/>
          <w:szCs w:val="19"/>
        </w:rPr>
      </w:pPr>
      <w:r>
        <w:rPr>
          <w:rFonts w:ascii="Arial" w:hAnsi="Arial" w:cs="Arial"/>
          <w:sz w:val="19"/>
          <w:szCs w:val="19"/>
        </w:rPr>
        <w:t>»</w:t>
      </w:r>
      <w:r w:rsidRPr="007D00A7">
        <w:rPr>
          <w:rFonts w:ascii="Arial" w:hAnsi="Arial" w:cs="Arial"/>
          <w:sz w:val="19"/>
          <w:szCs w:val="19"/>
        </w:rPr>
        <w:t>1. Preferir la oferta de bienes o servicios nacionales frente a la oferta de bienes o servicios extranjeros.</w:t>
      </w:r>
    </w:p>
    <w:p w14:paraId="0FE5C70F" w14:textId="77777777" w:rsidR="00BB6979" w:rsidRPr="007D00A7" w:rsidRDefault="00BB6979" w:rsidP="00BB6979">
      <w:pPr>
        <w:ind w:firstLine="708"/>
        <w:jc w:val="both"/>
        <w:rPr>
          <w:rFonts w:ascii="Arial" w:hAnsi="Arial" w:cs="Arial"/>
          <w:sz w:val="19"/>
          <w:szCs w:val="19"/>
        </w:rPr>
      </w:pPr>
      <w:r>
        <w:rPr>
          <w:rFonts w:ascii="Arial" w:hAnsi="Arial" w:cs="Arial"/>
          <w:sz w:val="19"/>
          <w:szCs w:val="19"/>
        </w:rPr>
        <w:t>»</w:t>
      </w:r>
      <w:r w:rsidRPr="007D00A7">
        <w:rPr>
          <w:rFonts w:ascii="Arial" w:hAnsi="Arial" w:cs="Arial"/>
          <w:sz w:val="19"/>
          <w:szCs w:val="19"/>
        </w:rPr>
        <w:t>2. Preferir la propuesta de la mujer cabeza de familia, mujeres víctimas de la violencia intrafamiliar o de la persona jurídica en la cual participe o participen mayoritariamente; o, la de un proponente plural constituido por mujeres cabeza de familia, mujeres víctimas de violencia intrafamiliar y/o personas jurídicas en las cuales participe o participen mayoritariamente.</w:t>
      </w:r>
    </w:p>
    <w:p w14:paraId="7D124C4F" w14:textId="77777777" w:rsidR="00BB6979" w:rsidRPr="007D00A7" w:rsidRDefault="00BB6979" w:rsidP="00BB6979">
      <w:pPr>
        <w:ind w:firstLine="708"/>
        <w:jc w:val="both"/>
        <w:rPr>
          <w:rFonts w:ascii="Arial" w:hAnsi="Arial" w:cs="Arial"/>
          <w:sz w:val="19"/>
          <w:szCs w:val="19"/>
        </w:rPr>
      </w:pPr>
      <w:r>
        <w:rPr>
          <w:rFonts w:ascii="Arial" w:hAnsi="Arial" w:cs="Arial"/>
          <w:sz w:val="19"/>
          <w:szCs w:val="19"/>
        </w:rPr>
        <w:t>»</w:t>
      </w:r>
      <w:r w:rsidRPr="007D00A7">
        <w:rPr>
          <w:rFonts w:ascii="Arial" w:hAnsi="Arial" w:cs="Arial"/>
          <w:sz w:val="19"/>
          <w:szCs w:val="19"/>
        </w:rPr>
        <w:t>3. Preferir la propuesta presentada por el oferente que acredite en las condiciones establecidas en la ley que por lo menos el diez por ciento (10%) de su nómina está en condición de discapacidad a la que se refiere la Ley 361 de 1997. Si la oferta es presentada por un proponente plural, el integrante del oferente que acredite que el diez por ciento (10%) de su nómina está en condición de discapacidad en los términos del presente numeral, debe tener una participación de por lo menos el veinticinco por ciento (25%) en el consorcio, unión temporal o promesa de sociedad futura y aportar mínimo el veinticinco por ciento (25%) de la experiencia acreditada en la oferta.</w:t>
      </w:r>
    </w:p>
    <w:p w14:paraId="420665F0" w14:textId="77777777" w:rsidR="00BB6979" w:rsidRPr="007D00A7" w:rsidRDefault="00BB6979" w:rsidP="00BB6979">
      <w:pPr>
        <w:ind w:firstLine="708"/>
        <w:jc w:val="both"/>
        <w:rPr>
          <w:rFonts w:ascii="Arial" w:hAnsi="Arial" w:cs="Arial"/>
          <w:sz w:val="19"/>
          <w:szCs w:val="19"/>
        </w:rPr>
      </w:pPr>
      <w:r>
        <w:rPr>
          <w:rFonts w:ascii="Arial" w:hAnsi="Arial" w:cs="Arial"/>
          <w:sz w:val="19"/>
          <w:szCs w:val="19"/>
        </w:rPr>
        <w:t>»</w:t>
      </w:r>
      <w:r w:rsidRPr="007D00A7">
        <w:rPr>
          <w:rFonts w:ascii="Arial" w:hAnsi="Arial" w:cs="Arial"/>
          <w:sz w:val="19"/>
          <w:szCs w:val="19"/>
        </w:rPr>
        <w:t>4. Preferir la propuesta presentada por el oferente que acredite la vinculación en mayor proporción de personas mayores que no sean beneficiarios de la pensión de vejez, familiar o de sobrevivencia y que hayan cumplido el requisito de edad de pensión establecido en la Ley.</w:t>
      </w:r>
    </w:p>
    <w:p w14:paraId="0A81901E" w14:textId="77777777" w:rsidR="00BB6979" w:rsidRPr="007D00A7" w:rsidRDefault="00BB6979" w:rsidP="00BB6979">
      <w:pPr>
        <w:ind w:firstLine="708"/>
        <w:jc w:val="both"/>
        <w:rPr>
          <w:rFonts w:ascii="Arial" w:hAnsi="Arial" w:cs="Arial"/>
          <w:sz w:val="19"/>
          <w:szCs w:val="19"/>
        </w:rPr>
      </w:pPr>
      <w:r>
        <w:rPr>
          <w:rFonts w:ascii="Arial" w:hAnsi="Arial" w:cs="Arial"/>
          <w:sz w:val="19"/>
          <w:szCs w:val="19"/>
        </w:rPr>
        <w:t>»</w:t>
      </w:r>
      <w:r w:rsidRPr="007D00A7">
        <w:rPr>
          <w:rFonts w:ascii="Arial" w:hAnsi="Arial" w:cs="Arial"/>
          <w:sz w:val="19"/>
          <w:szCs w:val="19"/>
        </w:rPr>
        <w:t xml:space="preserve">5. Preferir la propuesta presentada por el oferente que acredite, en las condiciones establecidas en la ley, que por lo menos diez por ciento (10%) de su nómina pertenece a población indígena, negra, afrocolombiana, raizal, palanquera, </w:t>
      </w:r>
      <w:proofErr w:type="spellStart"/>
      <w:r w:rsidRPr="007D00A7">
        <w:rPr>
          <w:rFonts w:ascii="Arial" w:hAnsi="Arial" w:cs="Arial"/>
          <w:sz w:val="19"/>
          <w:szCs w:val="19"/>
        </w:rPr>
        <w:t>Rrom</w:t>
      </w:r>
      <w:proofErr w:type="spellEnd"/>
      <w:r w:rsidRPr="007D00A7">
        <w:rPr>
          <w:rFonts w:ascii="Arial" w:hAnsi="Arial" w:cs="Arial"/>
          <w:sz w:val="19"/>
          <w:szCs w:val="19"/>
        </w:rPr>
        <w:t xml:space="preserve"> o gitanas.</w:t>
      </w:r>
    </w:p>
    <w:p w14:paraId="27827FE7" w14:textId="77777777" w:rsidR="00BB6979" w:rsidRPr="007D00A7" w:rsidRDefault="00BB6979" w:rsidP="00BB6979">
      <w:pPr>
        <w:ind w:firstLine="708"/>
        <w:jc w:val="both"/>
        <w:rPr>
          <w:rFonts w:ascii="Arial" w:hAnsi="Arial" w:cs="Arial"/>
          <w:sz w:val="19"/>
          <w:szCs w:val="19"/>
        </w:rPr>
      </w:pPr>
      <w:r>
        <w:rPr>
          <w:rFonts w:ascii="Arial" w:hAnsi="Arial" w:cs="Arial"/>
          <w:sz w:val="19"/>
          <w:szCs w:val="19"/>
        </w:rPr>
        <w:t>»</w:t>
      </w:r>
      <w:r w:rsidRPr="007D00A7">
        <w:rPr>
          <w:rFonts w:ascii="Arial" w:hAnsi="Arial" w:cs="Arial"/>
          <w:sz w:val="19"/>
          <w:szCs w:val="19"/>
        </w:rPr>
        <w:t>6. Preferir la propuesta de personas en proceso de reintegración o reincorporación o de la persona jurídica en la cual participe o participen mayoritariamente; o, la de un proponente plural constituido por personas en proceso de reincorporación, y/o personas jurídicas en las cuales participe o participen mayoritariamente.</w:t>
      </w:r>
    </w:p>
    <w:p w14:paraId="547192D0" w14:textId="77777777" w:rsidR="00BB6979" w:rsidRPr="007D00A7" w:rsidRDefault="00BB6979" w:rsidP="00BB6979">
      <w:pPr>
        <w:ind w:firstLine="708"/>
        <w:jc w:val="both"/>
        <w:rPr>
          <w:rFonts w:ascii="Arial" w:hAnsi="Arial" w:cs="Arial"/>
          <w:sz w:val="19"/>
          <w:szCs w:val="19"/>
        </w:rPr>
      </w:pPr>
      <w:r>
        <w:rPr>
          <w:rFonts w:ascii="Arial" w:hAnsi="Arial" w:cs="Arial"/>
          <w:sz w:val="19"/>
          <w:szCs w:val="19"/>
        </w:rPr>
        <w:t>»</w:t>
      </w:r>
      <w:r w:rsidRPr="007D00A7">
        <w:rPr>
          <w:rFonts w:ascii="Arial" w:hAnsi="Arial" w:cs="Arial"/>
          <w:sz w:val="19"/>
          <w:szCs w:val="19"/>
        </w:rPr>
        <w:t>7. Preferir la oferta presentada por un proponente plural siempre que: (a) esté conformado por al menos una madre cabeza de familia y/o una persona en proceso de reincorporación o reintegración, o una persona jurídica en la cual participe o participen mayoritariamente, y, que tenga una participación de por lo menos el veinticinco por ciento (25%) en el proponente plural; (b) la madre cabeza de familia, la persona en proceso de reincorporación o reintegración, o la persona jurídica aporte mínimo el veinticinco por ciento (25%) de la experiencia acreditada en la oferta; y (c) ni la madre cabeza de familia o persona en proceso de reincorporación o reintegración, ni la persona jurídica, ni sus accionistas, socios o representantes legales sean empleados, socios o accionistas de los miembros del proponente plural.</w:t>
      </w:r>
    </w:p>
    <w:p w14:paraId="241A23DC" w14:textId="77777777" w:rsidR="00BB6979" w:rsidRPr="007D00A7" w:rsidRDefault="00BB6979" w:rsidP="00BB6979">
      <w:pPr>
        <w:ind w:firstLine="708"/>
        <w:jc w:val="both"/>
        <w:rPr>
          <w:rFonts w:ascii="Arial" w:hAnsi="Arial" w:cs="Arial"/>
          <w:sz w:val="19"/>
          <w:szCs w:val="19"/>
        </w:rPr>
      </w:pPr>
      <w:r>
        <w:rPr>
          <w:rFonts w:ascii="Arial" w:hAnsi="Arial" w:cs="Arial"/>
          <w:sz w:val="19"/>
          <w:szCs w:val="19"/>
        </w:rPr>
        <w:t>»</w:t>
      </w:r>
      <w:r w:rsidRPr="007D00A7">
        <w:rPr>
          <w:rFonts w:ascii="Arial" w:hAnsi="Arial" w:cs="Arial"/>
          <w:sz w:val="19"/>
          <w:szCs w:val="19"/>
        </w:rPr>
        <w:t xml:space="preserve">8. Preferir la oferta presentada por una </w:t>
      </w:r>
      <w:proofErr w:type="spellStart"/>
      <w:r w:rsidRPr="007D00A7">
        <w:rPr>
          <w:rFonts w:ascii="Arial" w:hAnsi="Arial" w:cs="Arial"/>
          <w:sz w:val="19"/>
          <w:szCs w:val="19"/>
        </w:rPr>
        <w:t>Mipyme</w:t>
      </w:r>
      <w:proofErr w:type="spellEnd"/>
      <w:r w:rsidRPr="007D00A7">
        <w:rPr>
          <w:rFonts w:ascii="Arial" w:hAnsi="Arial" w:cs="Arial"/>
          <w:sz w:val="19"/>
          <w:szCs w:val="19"/>
        </w:rPr>
        <w:t xml:space="preserve"> o cooperativas o asociaciones mutuales; o un proponente plural constituido por </w:t>
      </w:r>
      <w:proofErr w:type="spellStart"/>
      <w:r w:rsidRPr="007D00A7">
        <w:rPr>
          <w:rFonts w:ascii="Arial" w:hAnsi="Arial" w:cs="Arial"/>
          <w:sz w:val="19"/>
          <w:szCs w:val="19"/>
        </w:rPr>
        <w:t>Mipymes</w:t>
      </w:r>
      <w:proofErr w:type="spellEnd"/>
      <w:r w:rsidRPr="007D00A7">
        <w:rPr>
          <w:rFonts w:ascii="Arial" w:hAnsi="Arial" w:cs="Arial"/>
          <w:sz w:val="19"/>
          <w:szCs w:val="19"/>
        </w:rPr>
        <w:t>, cooperativas o asociaciones mutuales.</w:t>
      </w:r>
    </w:p>
    <w:p w14:paraId="19DE70C9" w14:textId="77777777" w:rsidR="00BB6979" w:rsidRPr="007D00A7" w:rsidRDefault="00BB6979" w:rsidP="00BB6979">
      <w:pPr>
        <w:ind w:firstLine="708"/>
        <w:jc w:val="both"/>
        <w:rPr>
          <w:rFonts w:ascii="Arial" w:hAnsi="Arial" w:cs="Arial"/>
          <w:sz w:val="19"/>
          <w:szCs w:val="19"/>
        </w:rPr>
      </w:pPr>
      <w:r>
        <w:rPr>
          <w:rFonts w:ascii="Arial" w:hAnsi="Arial" w:cs="Arial"/>
          <w:sz w:val="19"/>
          <w:szCs w:val="19"/>
        </w:rPr>
        <w:t>»</w:t>
      </w:r>
      <w:r w:rsidRPr="007D00A7">
        <w:rPr>
          <w:rFonts w:ascii="Arial" w:hAnsi="Arial" w:cs="Arial"/>
          <w:sz w:val="19"/>
          <w:szCs w:val="19"/>
        </w:rPr>
        <w:t>9. Preferir la oferta presentada por el proponente plural constituido por micro y/o pequeñas empresas, cooperativas o asociaciones mutuales.</w:t>
      </w:r>
    </w:p>
    <w:p w14:paraId="05999BE6" w14:textId="77777777" w:rsidR="00BB6979" w:rsidRPr="007D00A7" w:rsidRDefault="00BB6979" w:rsidP="00BB6979">
      <w:pPr>
        <w:ind w:firstLine="708"/>
        <w:jc w:val="both"/>
        <w:rPr>
          <w:rFonts w:ascii="Arial" w:hAnsi="Arial" w:cs="Arial"/>
          <w:sz w:val="19"/>
          <w:szCs w:val="19"/>
        </w:rPr>
      </w:pPr>
      <w:r>
        <w:rPr>
          <w:rFonts w:ascii="Arial" w:hAnsi="Arial" w:cs="Arial"/>
          <w:sz w:val="19"/>
          <w:szCs w:val="19"/>
        </w:rPr>
        <w:t>»</w:t>
      </w:r>
      <w:r w:rsidRPr="007D00A7">
        <w:rPr>
          <w:rFonts w:ascii="Arial" w:hAnsi="Arial" w:cs="Arial"/>
          <w:sz w:val="19"/>
          <w:szCs w:val="19"/>
        </w:rPr>
        <w:t>10. Preferir al oferente que acredite de acuerdo con sus estados financieros o información contable con corte a 31 de diciembre del año anterior, por lo menos el veinticinco por ciento (25%) del total de pagos realizados a MIPYNIES, cooperativas o asociaciones mutuales por concepto de proveeduría del oferente, realizados durante el año anterior; o, la oferta presentada por un proponente plural siempre que: (a) esté conformado por al menos una MIPYME, cooperativa o asociación mutual que tenga una participación de por lo menos el veinticinco por ciento (25%); (b) la MIPYME, cooperativa o asociación mutual aporte mínimo el veinticinco por ciento (25%) de la experiencia acreditada en la oferta; y (c) ni la MIPYME, cooperativa o asociación mutual ni sus accionistas, socios o representantes legales sean empleados, socios o accionistas de los miembros del proponente plural.</w:t>
      </w:r>
    </w:p>
    <w:p w14:paraId="70FE87F7" w14:textId="77777777" w:rsidR="00BB6979" w:rsidRPr="007D00A7" w:rsidRDefault="00BB6979" w:rsidP="00BB6979">
      <w:pPr>
        <w:ind w:firstLine="708"/>
        <w:jc w:val="both"/>
        <w:rPr>
          <w:rFonts w:ascii="Arial" w:hAnsi="Arial" w:cs="Arial"/>
          <w:sz w:val="19"/>
          <w:szCs w:val="19"/>
        </w:rPr>
      </w:pPr>
      <w:r>
        <w:rPr>
          <w:rFonts w:ascii="Arial" w:hAnsi="Arial" w:cs="Arial"/>
          <w:sz w:val="19"/>
          <w:szCs w:val="19"/>
        </w:rPr>
        <w:t>»</w:t>
      </w:r>
      <w:r w:rsidRPr="007D00A7">
        <w:rPr>
          <w:rFonts w:ascii="Arial" w:hAnsi="Arial" w:cs="Arial"/>
          <w:sz w:val="19"/>
          <w:szCs w:val="19"/>
        </w:rPr>
        <w:t>11. Preferir las empresas reconocidas y establecidas como Sociedad de Beneficio e Interés Colectivo o Sociedad BIC, del segmento MIPYMES.</w:t>
      </w:r>
    </w:p>
    <w:p w14:paraId="6FB2FE85" w14:textId="77777777" w:rsidR="00BB6979" w:rsidRPr="007D00A7" w:rsidRDefault="00BB6979" w:rsidP="00BB6979">
      <w:pPr>
        <w:ind w:firstLine="708"/>
        <w:jc w:val="both"/>
        <w:rPr>
          <w:rFonts w:ascii="Arial" w:hAnsi="Arial" w:cs="Arial"/>
          <w:sz w:val="19"/>
          <w:szCs w:val="19"/>
        </w:rPr>
      </w:pPr>
      <w:r>
        <w:rPr>
          <w:rFonts w:ascii="Arial" w:hAnsi="Arial" w:cs="Arial"/>
          <w:sz w:val="19"/>
          <w:szCs w:val="19"/>
        </w:rPr>
        <w:t>»</w:t>
      </w:r>
      <w:r w:rsidRPr="007D00A7">
        <w:rPr>
          <w:rFonts w:ascii="Arial" w:hAnsi="Arial" w:cs="Arial"/>
          <w:sz w:val="19"/>
          <w:szCs w:val="19"/>
        </w:rPr>
        <w:t>12. Utilizar un método aleatorio para seleccionar el oferente, método que deberá haber sido previsto previamente en los Documentos del Proceso.</w:t>
      </w:r>
    </w:p>
    <w:p w14:paraId="40DB34D2" w14:textId="77777777" w:rsidR="00BB6979" w:rsidRPr="007D00A7" w:rsidRDefault="00BB6979" w:rsidP="00BB6979">
      <w:pPr>
        <w:ind w:firstLine="708"/>
        <w:jc w:val="both"/>
        <w:rPr>
          <w:rFonts w:ascii="Arial" w:hAnsi="Arial" w:cs="Arial"/>
          <w:sz w:val="19"/>
          <w:szCs w:val="19"/>
        </w:rPr>
      </w:pPr>
      <w:proofErr w:type="gramStart"/>
      <w:r>
        <w:rPr>
          <w:rFonts w:ascii="Arial" w:hAnsi="Arial" w:cs="Arial"/>
          <w:sz w:val="19"/>
          <w:szCs w:val="19"/>
        </w:rPr>
        <w:t>»</w:t>
      </w:r>
      <w:r w:rsidRPr="007D00A7">
        <w:rPr>
          <w:rFonts w:ascii="Arial" w:hAnsi="Arial" w:cs="Arial"/>
          <w:sz w:val="19"/>
          <w:szCs w:val="19"/>
        </w:rPr>
        <w:t>Parágrafo</w:t>
      </w:r>
      <w:proofErr w:type="gramEnd"/>
      <w:r w:rsidRPr="007D00A7">
        <w:rPr>
          <w:rFonts w:ascii="Arial" w:hAnsi="Arial" w:cs="Arial"/>
          <w:sz w:val="19"/>
          <w:szCs w:val="19"/>
        </w:rPr>
        <w:t xml:space="preserve"> 1°. Los factores de desempate serán aplicables en el caso de las cooperativas y asociaciones mutuales que cumplan con los criterios de clasificación empresarial, definidos por el Decreto 957 de 2019, priorizando aquellas que sean micro, pequeñas o medianas.</w:t>
      </w:r>
    </w:p>
    <w:p w14:paraId="3486238C" w14:textId="77777777" w:rsidR="00BB6979" w:rsidRPr="007D00A7" w:rsidRDefault="00BB6979" w:rsidP="00BB6979">
      <w:pPr>
        <w:ind w:firstLine="708"/>
        <w:jc w:val="both"/>
        <w:rPr>
          <w:rFonts w:ascii="Arial" w:hAnsi="Arial" w:cs="Arial"/>
          <w:sz w:val="19"/>
          <w:szCs w:val="19"/>
        </w:rPr>
      </w:pPr>
      <w:proofErr w:type="gramStart"/>
      <w:r>
        <w:rPr>
          <w:rFonts w:ascii="Arial" w:hAnsi="Arial" w:cs="Arial"/>
          <w:sz w:val="19"/>
          <w:szCs w:val="19"/>
        </w:rPr>
        <w:t>»</w:t>
      </w:r>
      <w:r w:rsidRPr="007D00A7">
        <w:rPr>
          <w:rFonts w:ascii="Arial" w:hAnsi="Arial" w:cs="Arial"/>
          <w:sz w:val="19"/>
          <w:szCs w:val="19"/>
        </w:rPr>
        <w:t>Parágrafo</w:t>
      </w:r>
      <w:proofErr w:type="gramEnd"/>
      <w:r w:rsidRPr="007D00A7">
        <w:rPr>
          <w:rFonts w:ascii="Arial" w:hAnsi="Arial" w:cs="Arial"/>
          <w:sz w:val="19"/>
          <w:szCs w:val="19"/>
        </w:rPr>
        <w:t xml:space="preserve"> 2°. Para los criterios enunciados que involucren la vinculación de capital humano, el oferente deberá acreditar una antigüedad igual o mayor a un año. Para los casos de constitución inferior a un año se tendrá en cuenta a aquellos trabajadores que hayan estado vinculados desde el momento de constitución de </w:t>
      </w:r>
      <w:proofErr w:type="gramStart"/>
      <w:r w:rsidRPr="007D00A7">
        <w:rPr>
          <w:rFonts w:ascii="Arial" w:hAnsi="Arial" w:cs="Arial"/>
          <w:sz w:val="19"/>
          <w:szCs w:val="19"/>
        </w:rPr>
        <w:t>la misma</w:t>
      </w:r>
      <w:proofErr w:type="gramEnd"/>
      <w:r w:rsidRPr="007D00A7">
        <w:rPr>
          <w:rFonts w:ascii="Arial" w:hAnsi="Arial" w:cs="Arial"/>
          <w:sz w:val="19"/>
          <w:szCs w:val="19"/>
        </w:rPr>
        <w:t>.</w:t>
      </w:r>
    </w:p>
    <w:p w14:paraId="190E81BC" w14:textId="77777777" w:rsidR="00BB6979" w:rsidRPr="00C0447F" w:rsidRDefault="00BB6979" w:rsidP="00BB6979">
      <w:pPr>
        <w:ind w:firstLine="708"/>
        <w:jc w:val="both"/>
        <w:rPr>
          <w:rFonts w:ascii="Arial" w:hAnsi="Arial" w:cs="Arial"/>
          <w:sz w:val="19"/>
          <w:szCs w:val="19"/>
        </w:rPr>
      </w:pPr>
      <w:proofErr w:type="gramStart"/>
      <w:r>
        <w:rPr>
          <w:rFonts w:ascii="Arial" w:hAnsi="Arial" w:cs="Arial"/>
          <w:sz w:val="19"/>
          <w:szCs w:val="19"/>
        </w:rPr>
        <w:t>»</w:t>
      </w:r>
      <w:r w:rsidRPr="007D00A7">
        <w:rPr>
          <w:rFonts w:ascii="Arial" w:hAnsi="Arial" w:cs="Arial"/>
          <w:sz w:val="19"/>
          <w:szCs w:val="19"/>
        </w:rPr>
        <w:t>Parágrafo</w:t>
      </w:r>
      <w:proofErr w:type="gramEnd"/>
      <w:r w:rsidRPr="007D00A7">
        <w:rPr>
          <w:rFonts w:ascii="Arial" w:hAnsi="Arial" w:cs="Arial"/>
          <w:sz w:val="19"/>
          <w:szCs w:val="19"/>
        </w:rPr>
        <w:t xml:space="preserve"> 3°. El Gobierno Nacional podrá reglamentar la aplicación de factores de desempate en casos en que concurran dos o más de los factores aquí previstos</w:t>
      </w:r>
      <w:r>
        <w:rPr>
          <w:rFonts w:ascii="Arial" w:hAnsi="Arial" w:cs="Arial"/>
          <w:sz w:val="19"/>
          <w:szCs w:val="19"/>
        </w:rPr>
        <w:t>»</w:t>
      </w:r>
      <w:r w:rsidRPr="007D00A7">
        <w:rPr>
          <w:rFonts w:ascii="Arial" w:hAnsi="Arial" w:cs="Arial"/>
          <w:sz w:val="19"/>
          <w:szCs w:val="19"/>
        </w:rPr>
        <w:t>.</w:t>
      </w:r>
    </w:p>
  </w:footnote>
  <w:footnote w:id="12">
    <w:p w14:paraId="5C93D4E6" w14:textId="77777777" w:rsidR="00BB6979" w:rsidRPr="00614771" w:rsidRDefault="00BB6979" w:rsidP="00BB6979">
      <w:pPr>
        <w:pStyle w:val="Textonotapie"/>
        <w:ind w:firstLine="708"/>
        <w:jc w:val="both"/>
        <w:rPr>
          <w:rFonts w:ascii="Arial" w:hAnsi="Arial" w:cs="Arial"/>
          <w:sz w:val="19"/>
          <w:szCs w:val="19"/>
          <w:lang w:val="es-ES"/>
        </w:rPr>
      </w:pPr>
      <w:r w:rsidRPr="00614771">
        <w:rPr>
          <w:rStyle w:val="Refdenotaalpie"/>
          <w:rFonts w:ascii="Arial" w:hAnsi="Arial" w:cs="Arial"/>
          <w:sz w:val="19"/>
          <w:szCs w:val="19"/>
        </w:rPr>
        <w:footnoteRef/>
      </w:r>
      <w:r w:rsidRPr="00614771">
        <w:rPr>
          <w:rFonts w:ascii="Arial" w:hAnsi="Arial" w:cs="Arial"/>
          <w:sz w:val="19"/>
          <w:szCs w:val="19"/>
        </w:rPr>
        <w:t xml:space="preserve"> </w:t>
      </w:r>
      <w:r>
        <w:rPr>
          <w:rFonts w:ascii="Arial" w:hAnsi="Arial" w:cs="Arial"/>
          <w:sz w:val="19"/>
          <w:szCs w:val="19"/>
        </w:rPr>
        <w:t xml:space="preserve">El artículo 189.11 de la Constitución Política de 1991 dispone que corresponde al </w:t>
      </w:r>
      <w:proofErr w:type="gramStart"/>
      <w:r>
        <w:rPr>
          <w:rFonts w:ascii="Arial" w:hAnsi="Arial" w:cs="Arial"/>
          <w:sz w:val="19"/>
          <w:szCs w:val="19"/>
        </w:rPr>
        <w:t>Presidente</w:t>
      </w:r>
      <w:proofErr w:type="gramEnd"/>
      <w:r>
        <w:rPr>
          <w:rFonts w:ascii="Arial" w:hAnsi="Arial" w:cs="Arial"/>
          <w:sz w:val="19"/>
          <w:szCs w:val="19"/>
        </w:rPr>
        <w:t xml:space="preserve"> de la República «</w:t>
      </w:r>
      <w:r w:rsidRPr="00614771">
        <w:rPr>
          <w:rFonts w:ascii="Arial" w:hAnsi="Arial" w:cs="Arial"/>
          <w:sz w:val="19"/>
          <w:szCs w:val="19"/>
        </w:rPr>
        <w:t>Ejercer la potestad reglamentaria, mediante la expedición de los decretos, resoluciones y órdenes necesarios para la cumplida ejecución de las leyes</w:t>
      </w:r>
      <w:r>
        <w:rPr>
          <w:rFonts w:ascii="Arial" w:hAnsi="Arial" w:cs="Arial"/>
          <w:sz w:val="19"/>
          <w:szCs w:val="19"/>
        </w:rPr>
        <w:t xml:space="preserve">».  </w:t>
      </w:r>
    </w:p>
  </w:footnote>
  <w:footnote w:id="13">
    <w:p w14:paraId="2E5B5FF6" w14:textId="77777777" w:rsidR="00BB6979" w:rsidRDefault="00BB6979" w:rsidP="00BB6979">
      <w:pPr>
        <w:pStyle w:val="Textonotapie"/>
        <w:ind w:firstLine="708"/>
        <w:jc w:val="both"/>
        <w:rPr>
          <w:rFonts w:ascii="Arial" w:hAnsi="Arial" w:cs="Arial"/>
          <w:sz w:val="19"/>
          <w:szCs w:val="19"/>
        </w:rPr>
      </w:pPr>
      <w:r w:rsidRPr="00DA1F59">
        <w:rPr>
          <w:rStyle w:val="Refdenotaalpie"/>
          <w:rFonts w:ascii="Arial" w:hAnsi="Arial" w:cs="Arial"/>
          <w:sz w:val="19"/>
          <w:szCs w:val="19"/>
        </w:rPr>
        <w:footnoteRef/>
      </w:r>
      <w:r w:rsidRPr="00DA1F59">
        <w:rPr>
          <w:rFonts w:ascii="Arial" w:hAnsi="Arial" w:cs="Arial"/>
          <w:sz w:val="19"/>
          <w:szCs w:val="19"/>
        </w:rPr>
        <w:t xml:space="preserve"> No en vano, la Corte Constitucional explica que</w:t>
      </w:r>
      <w:r>
        <w:rPr>
          <w:rFonts w:ascii="Arial" w:hAnsi="Arial" w:cs="Arial"/>
          <w:sz w:val="19"/>
          <w:szCs w:val="19"/>
        </w:rPr>
        <w:t xml:space="preserve"> estos casos la potestad reglamentaria</w:t>
      </w:r>
      <w:r w:rsidRPr="00DA1F59">
        <w:rPr>
          <w:rFonts w:ascii="Arial" w:hAnsi="Arial" w:cs="Arial"/>
          <w:sz w:val="19"/>
          <w:szCs w:val="19"/>
        </w:rPr>
        <w:t xml:space="preserve"> «[…] puede ejercerse por </w:t>
      </w:r>
      <w:r>
        <w:rPr>
          <w:rFonts w:ascii="Arial" w:hAnsi="Arial" w:cs="Arial"/>
          <w:sz w:val="19"/>
          <w:szCs w:val="19"/>
        </w:rPr>
        <w:t>[el Gobierno Nacional]</w:t>
      </w:r>
      <w:r w:rsidRPr="00DA1F59">
        <w:rPr>
          <w:rFonts w:ascii="Arial" w:hAnsi="Arial" w:cs="Arial"/>
          <w:sz w:val="19"/>
          <w:szCs w:val="19"/>
        </w:rPr>
        <w:t xml:space="preserve"> en cualquier tiempo, sin que sea posible que por ley se introduzca en esta materia limitación temporal alguna. Ello no quiere decir, sin embargo, que el legislador no pueda, para lograr la efectividad de una ley, disponer que el Gobierno deba reglamentarla dentro de un tiempo determinado</w:t>
      </w:r>
      <w:r>
        <w:rPr>
          <w:rFonts w:ascii="Arial" w:hAnsi="Arial" w:cs="Arial"/>
          <w:sz w:val="19"/>
          <w:szCs w:val="19"/>
        </w:rPr>
        <w:t xml:space="preserve">. </w:t>
      </w:r>
      <w:r w:rsidRPr="00132DBE">
        <w:rPr>
          <w:rFonts w:ascii="Arial" w:hAnsi="Arial" w:cs="Arial"/>
          <w:sz w:val="19"/>
          <w:szCs w:val="19"/>
        </w:rPr>
        <w:t xml:space="preserve">Tal mandato del legislador no impide que el </w:t>
      </w:r>
      <w:proofErr w:type="gramStart"/>
      <w:r w:rsidRPr="00132DBE">
        <w:rPr>
          <w:rFonts w:ascii="Arial" w:hAnsi="Arial" w:cs="Arial"/>
          <w:sz w:val="19"/>
          <w:szCs w:val="19"/>
        </w:rPr>
        <w:t>Presidente</w:t>
      </w:r>
      <w:proofErr w:type="gramEnd"/>
      <w:r w:rsidRPr="00132DBE">
        <w:rPr>
          <w:rFonts w:ascii="Arial" w:hAnsi="Arial" w:cs="Arial"/>
          <w:sz w:val="19"/>
          <w:szCs w:val="19"/>
        </w:rPr>
        <w:t xml:space="preserve"> expida la reglamentación antes del término previsto, ni lo inhabilita para el ejercicio de la potestad reglamentaria vencido ese plazo. Tampoco implica que expedida una reglamentación dentro del plazo fijado por el legislador el </w:t>
      </w:r>
      <w:proofErr w:type="gramStart"/>
      <w:r w:rsidRPr="00132DBE">
        <w:rPr>
          <w:rFonts w:ascii="Arial" w:hAnsi="Arial" w:cs="Arial"/>
          <w:sz w:val="19"/>
          <w:szCs w:val="19"/>
        </w:rPr>
        <w:t>Presidente</w:t>
      </w:r>
      <w:proofErr w:type="gramEnd"/>
      <w:r w:rsidRPr="00132DBE">
        <w:rPr>
          <w:rFonts w:ascii="Arial" w:hAnsi="Arial" w:cs="Arial"/>
          <w:sz w:val="19"/>
          <w:szCs w:val="19"/>
        </w:rPr>
        <w:t xml:space="preserve"> pierda competencia para expedir nuevos reglamentos o para modificar, adicionar o derogar sus propios reglamentos. </w:t>
      </w:r>
      <w:r w:rsidRPr="00132DBE">
        <w:rPr>
          <w:rFonts w:ascii="Arial" w:hAnsi="Arial" w:cs="Arial"/>
          <w:i/>
          <w:iCs/>
          <w:sz w:val="19"/>
          <w:szCs w:val="19"/>
        </w:rPr>
        <w:t xml:space="preserve">La única consecuencia normativa del término establecido por el legislador es la de imponerle al </w:t>
      </w:r>
      <w:proofErr w:type="gramStart"/>
      <w:r w:rsidRPr="00132DBE">
        <w:rPr>
          <w:rFonts w:ascii="Arial" w:hAnsi="Arial" w:cs="Arial"/>
          <w:i/>
          <w:iCs/>
          <w:sz w:val="19"/>
          <w:szCs w:val="19"/>
        </w:rPr>
        <w:t>Presidente</w:t>
      </w:r>
      <w:proofErr w:type="gramEnd"/>
      <w:r w:rsidRPr="00132DBE">
        <w:rPr>
          <w:rFonts w:ascii="Arial" w:hAnsi="Arial" w:cs="Arial"/>
          <w:i/>
          <w:iCs/>
          <w:sz w:val="19"/>
          <w:szCs w:val="19"/>
        </w:rPr>
        <w:t xml:space="preserve"> de la República el deber de reglamentar la ley dentro de dicho plazo</w:t>
      </w:r>
      <w:r>
        <w:rPr>
          <w:rFonts w:ascii="Arial" w:hAnsi="Arial" w:cs="Arial"/>
          <w:sz w:val="19"/>
          <w:szCs w:val="19"/>
        </w:rPr>
        <w:t>» (CORTE CONSTITUCIONAL. Sentencia C-805 de 2001. M.P. Rodrigo Escobar Gil. Corchetes y énfasis fuera de texto).</w:t>
      </w:r>
      <w:r w:rsidRPr="00DA1F59">
        <w:rPr>
          <w:rFonts w:ascii="Arial" w:hAnsi="Arial" w:cs="Arial"/>
          <w:sz w:val="19"/>
          <w:szCs w:val="19"/>
        </w:rPr>
        <w:t xml:space="preserve">  </w:t>
      </w:r>
    </w:p>
    <w:p w14:paraId="027D2322" w14:textId="77777777" w:rsidR="00BB6979" w:rsidRPr="00DA1F59" w:rsidRDefault="00BB6979" w:rsidP="00BB6979">
      <w:pPr>
        <w:pStyle w:val="Textonotapie"/>
        <w:ind w:firstLine="708"/>
        <w:jc w:val="both"/>
        <w:rPr>
          <w:rFonts w:ascii="Arial" w:hAnsi="Arial" w:cs="Arial"/>
          <w:sz w:val="19"/>
          <w:szCs w:val="19"/>
          <w:lang w:val="es-ES"/>
        </w:rPr>
      </w:pPr>
    </w:p>
  </w:footnote>
  <w:footnote w:id="14">
    <w:p w14:paraId="15B97CC3" w14:textId="039A0D3C" w:rsidR="00BB6979" w:rsidRDefault="00BB6979" w:rsidP="00BB6979">
      <w:pPr>
        <w:pStyle w:val="Textonotapie"/>
        <w:ind w:firstLine="708"/>
        <w:jc w:val="both"/>
        <w:rPr>
          <w:rFonts w:ascii="Arial" w:hAnsi="Arial" w:cs="Arial"/>
          <w:sz w:val="19"/>
          <w:szCs w:val="19"/>
        </w:rPr>
      </w:pPr>
      <w:r w:rsidRPr="0053325A">
        <w:rPr>
          <w:rStyle w:val="Refdenotaalpie"/>
          <w:rFonts w:ascii="Arial" w:hAnsi="Arial" w:cs="Arial"/>
          <w:sz w:val="19"/>
          <w:szCs w:val="19"/>
        </w:rPr>
        <w:footnoteRef/>
      </w:r>
      <w:r w:rsidRPr="0053325A">
        <w:rPr>
          <w:rFonts w:ascii="Arial" w:hAnsi="Arial" w:cs="Arial"/>
          <w:sz w:val="19"/>
          <w:szCs w:val="19"/>
        </w:rPr>
        <w:t xml:space="preserve"> </w:t>
      </w:r>
      <w:r>
        <w:rPr>
          <w:rFonts w:ascii="Arial" w:hAnsi="Arial" w:cs="Arial"/>
          <w:sz w:val="19"/>
          <w:szCs w:val="19"/>
        </w:rPr>
        <w:t xml:space="preserve">GUASTINI, </w:t>
      </w:r>
      <w:proofErr w:type="spellStart"/>
      <w:r>
        <w:rPr>
          <w:rFonts w:ascii="Arial" w:hAnsi="Arial" w:cs="Arial"/>
          <w:sz w:val="19"/>
          <w:szCs w:val="19"/>
        </w:rPr>
        <w:t>Riccardo</w:t>
      </w:r>
      <w:proofErr w:type="spellEnd"/>
      <w:r>
        <w:rPr>
          <w:rFonts w:ascii="Arial" w:hAnsi="Arial" w:cs="Arial"/>
          <w:sz w:val="19"/>
          <w:szCs w:val="19"/>
        </w:rPr>
        <w:t xml:space="preserve">. Interpretar y argumentar. Madrid: Centro de Estudios Políticos y Constitucionales, 2014. p. 145. El autor también propone los siguientes ejemplos de </w:t>
      </w:r>
      <w:r w:rsidRPr="00122311">
        <w:rPr>
          <w:rFonts w:ascii="Arial" w:hAnsi="Arial" w:cs="Arial"/>
          <w:i/>
          <w:iCs/>
          <w:sz w:val="19"/>
          <w:szCs w:val="19"/>
        </w:rPr>
        <w:t>lagunas técnicas</w:t>
      </w:r>
      <w:r>
        <w:rPr>
          <w:rFonts w:ascii="Arial" w:hAnsi="Arial" w:cs="Arial"/>
          <w:sz w:val="19"/>
          <w:szCs w:val="19"/>
        </w:rPr>
        <w:t xml:space="preserve">: «[…] </w:t>
      </w:r>
      <w:r w:rsidRPr="00122311">
        <w:rPr>
          <w:rFonts w:ascii="Arial" w:hAnsi="Arial" w:cs="Arial"/>
          <w:sz w:val="19"/>
          <w:szCs w:val="19"/>
        </w:rPr>
        <w:t>una norma prescribe la periódica convocatoria de un</w:t>
      </w:r>
      <w:r>
        <w:rPr>
          <w:rFonts w:ascii="Arial" w:hAnsi="Arial" w:cs="Arial"/>
          <w:sz w:val="19"/>
          <w:szCs w:val="19"/>
        </w:rPr>
        <w:t xml:space="preserve"> </w:t>
      </w:r>
      <w:r w:rsidRPr="00122311">
        <w:rPr>
          <w:rFonts w:ascii="Arial" w:hAnsi="Arial" w:cs="Arial"/>
          <w:sz w:val="19"/>
          <w:szCs w:val="19"/>
        </w:rPr>
        <w:t>órgano; pero ninguna norma determina qué sujeto es el competente para</w:t>
      </w:r>
      <w:r>
        <w:rPr>
          <w:rFonts w:ascii="Arial" w:hAnsi="Arial" w:cs="Arial"/>
          <w:sz w:val="19"/>
          <w:szCs w:val="19"/>
        </w:rPr>
        <w:t xml:space="preserve"> </w:t>
      </w:r>
      <w:r w:rsidRPr="00122311">
        <w:rPr>
          <w:rFonts w:ascii="Arial" w:hAnsi="Arial" w:cs="Arial"/>
          <w:sz w:val="19"/>
          <w:szCs w:val="19"/>
        </w:rPr>
        <w:t>convocarlo; una norma instituye cierto órgano electivo, pero ninguna</w:t>
      </w:r>
      <w:r>
        <w:rPr>
          <w:rFonts w:ascii="Arial" w:hAnsi="Arial" w:cs="Arial"/>
          <w:sz w:val="19"/>
          <w:szCs w:val="19"/>
        </w:rPr>
        <w:t xml:space="preserve"> </w:t>
      </w:r>
      <w:r w:rsidRPr="00122311">
        <w:rPr>
          <w:rFonts w:ascii="Arial" w:hAnsi="Arial" w:cs="Arial"/>
          <w:sz w:val="19"/>
          <w:szCs w:val="19"/>
        </w:rPr>
        <w:t>norma establece qué sistema electoral debe adoptarse; una norma recomienda perseguir cierto fin, pero ninguna norma establece qué medios</w:t>
      </w:r>
      <w:r>
        <w:rPr>
          <w:rFonts w:ascii="Arial" w:hAnsi="Arial" w:cs="Arial"/>
          <w:sz w:val="19"/>
          <w:szCs w:val="19"/>
        </w:rPr>
        <w:t xml:space="preserve"> </w:t>
      </w:r>
      <w:r w:rsidRPr="00122311">
        <w:rPr>
          <w:rFonts w:ascii="Arial" w:hAnsi="Arial" w:cs="Arial"/>
          <w:sz w:val="19"/>
          <w:szCs w:val="19"/>
        </w:rPr>
        <w:t>deben utilizarse; etc</w:t>
      </w:r>
      <w:r>
        <w:rPr>
          <w:rFonts w:ascii="Arial" w:hAnsi="Arial" w:cs="Arial"/>
          <w:sz w:val="19"/>
          <w:szCs w:val="19"/>
        </w:rPr>
        <w:t>.» (</w:t>
      </w:r>
      <w:r w:rsidRPr="0040085D">
        <w:rPr>
          <w:rFonts w:ascii="Arial" w:hAnsi="Arial" w:cs="Arial"/>
          <w:i/>
          <w:iCs/>
          <w:sz w:val="19"/>
          <w:szCs w:val="19"/>
        </w:rPr>
        <w:t>Ibidem</w:t>
      </w:r>
      <w:r>
        <w:rPr>
          <w:rFonts w:ascii="Arial" w:hAnsi="Arial" w:cs="Arial"/>
          <w:sz w:val="19"/>
          <w:szCs w:val="19"/>
        </w:rPr>
        <w:t xml:space="preserve">).  </w:t>
      </w:r>
    </w:p>
    <w:p w14:paraId="47FA7549" w14:textId="77777777" w:rsidR="00B4119B" w:rsidRPr="00122311" w:rsidRDefault="00B4119B" w:rsidP="00BB6979">
      <w:pPr>
        <w:pStyle w:val="Textonotapie"/>
        <w:ind w:firstLine="708"/>
        <w:jc w:val="both"/>
        <w:rPr>
          <w:rFonts w:ascii="Arial" w:hAnsi="Arial" w:cs="Arial"/>
          <w:sz w:val="19"/>
          <w:szCs w:val="19"/>
        </w:rPr>
      </w:pPr>
    </w:p>
  </w:footnote>
  <w:footnote w:id="15">
    <w:p w14:paraId="3B130101" w14:textId="77777777" w:rsidR="00B4119B" w:rsidRPr="006B567C" w:rsidRDefault="00B4119B" w:rsidP="00B4119B">
      <w:pPr>
        <w:spacing w:line="259" w:lineRule="auto"/>
        <w:ind w:firstLine="708"/>
        <w:jc w:val="both"/>
        <w:rPr>
          <w:rFonts w:ascii="Arial" w:hAnsi="Arial" w:cs="Arial"/>
          <w:sz w:val="19"/>
          <w:szCs w:val="19"/>
        </w:rPr>
      </w:pPr>
      <w:r w:rsidRPr="0090547E">
        <w:rPr>
          <w:rStyle w:val="Refdenotaalpie"/>
          <w:rFonts w:ascii="Arial" w:hAnsi="Arial" w:cs="Arial"/>
          <w:sz w:val="19"/>
          <w:szCs w:val="19"/>
        </w:rPr>
        <w:footnoteRef/>
      </w:r>
      <w:r w:rsidRPr="0090547E">
        <w:rPr>
          <w:rFonts w:ascii="Arial" w:hAnsi="Arial" w:cs="Arial"/>
          <w:sz w:val="19"/>
          <w:szCs w:val="19"/>
        </w:rPr>
        <w:t xml:space="preserve"> El parágrafo 2 de la norma citada disponía que «El Gobierno nacional reglamentará el procedimiento de la cesión del contrato de que trata este artículo, en término no mayor a seis (6) meses». No obstante, conforme al comunicado de prensa del 25 de febrero de 2021, la norma fue declarada inexequible por la Corte Constitucional. Para estos efectos, «[…] la Corte consideró inexequible la atribución de facultades reglamentarias para el propósito de señalar cómo y a quién se va a ceder el contrato, pues tales asuntos deben ser definidos directamente por la ley […]». Por lo demás, «[…] Aclaró que la potestad reglamentaria opera solamente después de esta determinación legislativa» (Cfr. </w:t>
      </w:r>
      <w:hyperlink r:id="rId2" w:history="1">
        <w:r w:rsidRPr="000D6E20">
          <w:rPr>
            <w:rStyle w:val="Hipervnculo"/>
            <w:rFonts w:ascii="Arial" w:hAnsi="Arial" w:cs="Arial"/>
            <w:color w:val="0E63A8" w:themeColor="text2"/>
            <w:sz w:val="19"/>
            <w:szCs w:val="19"/>
          </w:rPr>
          <w:t>https://www.beltranpardo.com/wp-content/uploads/2021/02/CorteConstitucional_Inexequibilidadpar%C3%A1grafo2Art6L2014.pdf</w:t>
        </w:r>
      </w:hyperlink>
      <w:r w:rsidRPr="0090547E">
        <w:rPr>
          <w:rFonts w:ascii="Arial" w:hAnsi="Arial" w:cs="Arial"/>
          <w:sz w:val="19"/>
          <w:szCs w:val="19"/>
        </w:rPr>
        <w:t>).</w:t>
      </w:r>
      <w:r>
        <w:rPr>
          <w:rFonts w:ascii="Arial" w:hAnsi="Arial" w:cs="Arial"/>
          <w:sz w:val="19"/>
          <w:szCs w:val="19"/>
        </w:rPr>
        <w:t xml:space="preserve">  </w:t>
      </w:r>
    </w:p>
    <w:p w14:paraId="631A5628" w14:textId="77777777" w:rsidR="00B4119B" w:rsidRPr="00E611D3" w:rsidRDefault="00B4119B" w:rsidP="00B4119B">
      <w:pPr>
        <w:pStyle w:val="Textonotapie"/>
        <w:ind w:firstLine="708"/>
        <w:jc w:val="both"/>
        <w:rPr>
          <w:rFonts w:ascii="Arial" w:hAnsi="Arial" w:cs="Arial"/>
          <w:sz w:val="19"/>
          <w:szCs w:val="19"/>
          <w:lang w:val="es-ES"/>
        </w:rPr>
      </w:pPr>
    </w:p>
  </w:footnote>
  <w:footnote w:id="16">
    <w:p w14:paraId="2D970CC1" w14:textId="77777777" w:rsidR="00BB6979" w:rsidRPr="0040085D" w:rsidRDefault="00BB6979" w:rsidP="00BB6979">
      <w:pPr>
        <w:pStyle w:val="Textonotapie"/>
        <w:ind w:firstLine="708"/>
        <w:jc w:val="both"/>
        <w:rPr>
          <w:rFonts w:ascii="Arial" w:hAnsi="Arial" w:cs="Arial"/>
          <w:sz w:val="19"/>
          <w:szCs w:val="19"/>
          <w:lang w:val="es-ES"/>
        </w:rPr>
      </w:pPr>
      <w:r w:rsidRPr="0040085D">
        <w:rPr>
          <w:rStyle w:val="Refdenotaalpie"/>
          <w:rFonts w:ascii="Arial" w:hAnsi="Arial" w:cs="Arial"/>
          <w:sz w:val="19"/>
          <w:szCs w:val="19"/>
        </w:rPr>
        <w:footnoteRef/>
      </w:r>
      <w:r w:rsidRPr="0040085D">
        <w:rPr>
          <w:rFonts w:ascii="Arial" w:hAnsi="Arial" w:cs="Arial"/>
          <w:sz w:val="19"/>
          <w:szCs w:val="19"/>
        </w:rPr>
        <w:t xml:space="preserve"> </w:t>
      </w:r>
      <w:r>
        <w:rPr>
          <w:rFonts w:ascii="Arial" w:hAnsi="Arial" w:cs="Arial"/>
          <w:sz w:val="19"/>
          <w:szCs w:val="19"/>
        </w:rPr>
        <w:t xml:space="preserve">Cfr. </w:t>
      </w:r>
      <w:r w:rsidRPr="0040085D">
        <w:rPr>
          <w:rFonts w:ascii="Arial" w:hAnsi="Arial" w:cs="Arial"/>
          <w:sz w:val="19"/>
          <w:szCs w:val="19"/>
        </w:rPr>
        <w:t>CORTE CONSTITUCIONAL. Sentencia C-619 del 14 de junio de 2001. M.P. Marco Gerardo Monr</w:t>
      </w:r>
      <w:r>
        <w:rPr>
          <w:rFonts w:ascii="Arial" w:hAnsi="Arial" w:cs="Arial"/>
          <w:sz w:val="19"/>
          <w:szCs w:val="19"/>
        </w:rPr>
        <w:t>o</w:t>
      </w:r>
      <w:r w:rsidRPr="0040085D">
        <w:rPr>
          <w:rFonts w:ascii="Arial" w:hAnsi="Arial" w:cs="Arial"/>
          <w:sz w:val="19"/>
          <w:szCs w:val="19"/>
        </w:rPr>
        <w:t>y Cabra</w:t>
      </w:r>
      <w:r>
        <w:rPr>
          <w:rFonts w:ascii="Arial" w:hAnsi="Arial" w:cs="Arial"/>
          <w:sz w:val="19"/>
          <w:szCs w:val="19"/>
        </w:rPr>
        <w:t xml:space="preserve">. </w:t>
      </w:r>
    </w:p>
  </w:footnote>
  <w:footnote w:id="17">
    <w:p w14:paraId="16D112BF" w14:textId="77777777" w:rsidR="00BB6979" w:rsidRDefault="00BB6979" w:rsidP="00BB6979">
      <w:pPr>
        <w:pStyle w:val="Textonotapie"/>
        <w:ind w:firstLine="708"/>
        <w:jc w:val="both"/>
        <w:rPr>
          <w:rFonts w:ascii="Arial" w:hAnsi="Arial" w:cs="Arial"/>
          <w:sz w:val="19"/>
          <w:szCs w:val="19"/>
        </w:rPr>
      </w:pPr>
      <w:r w:rsidRPr="00002995">
        <w:rPr>
          <w:rStyle w:val="Refdenotaalpie"/>
          <w:rFonts w:ascii="Arial" w:hAnsi="Arial" w:cs="Arial"/>
          <w:sz w:val="19"/>
          <w:szCs w:val="19"/>
        </w:rPr>
        <w:footnoteRef/>
      </w:r>
      <w:r w:rsidRPr="00002995">
        <w:rPr>
          <w:rFonts w:ascii="Arial" w:hAnsi="Arial" w:cs="Arial"/>
          <w:sz w:val="19"/>
          <w:szCs w:val="19"/>
        </w:rPr>
        <w:t xml:space="preserve"> CONSEJO DE ESTADO. Sección Tercera. Auto de 1 de abril de 2009. </w:t>
      </w:r>
      <w:proofErr w:type="spellStart"/>
      <w:r w:rsidRPr="00002995">
        <w:rPr>
          <w:rFonts w:ascii="Arial" w:hAnsi="Arial" w:cs="Arial"/>
          <w:sz w:val="19"/>
          <w:szCs w:val="19"/>
        </w:rPr>
        <w:t>Exp</w:t>
      </w:r>
      <w:proofErr w:type="spellEnd"/>
      <w:r w:rsidRPr="00002995">
        <w:rPr>
          <w:rFonts w:ascii="Arial" w:hAnsi="Arial" w:cs="Arial"/>
          <w:sz w:val="19"/>
          <w:szCs w:val="19"/>
        </w:rPr>
        <w:t xml:space="preserve">. 36476. M.P. Ruth Stella Correa Palacio.  </w:t>
      </w:r>
    </w:p>
    <w:p w14:paraId="6DC8D990" w14:textId="77777777" w:rsidR="00BB6979" w:rsidRPr="00002995" w:rsidRDefault="00BB6979" w:rsidP="00BB6979">
      <w:pPr>
        <w:pStyle w:val="Textonotapie"/>
        <w:ind w:firstLine="708"/>
        <w:jc w:val="both"/>
        <w:rPr>
          <w:rFonts w:ascii="Arial" w:hAnsi="Arial" w:cs="Arial"/>
          <w:sz w:val="19"/>
          <w:szCs w:val="19"/>
        </w:rPr>
      </w:pPr>
    </w:p>
  </w:footnote>
  <w:footnote w:id="18">
    <w:p w14:paraId="4D4F61A6" w14:textId="22C6A69D" w:rsidR="00BB6979" w:rsidRDefault="00BB6979" w:rsidP="00BB6979">
      <w:pPr>
        <w:pStyle w:val="Textonotapie"/>
        <w:ind w:firstLine="708"/>
        <w:jc w:val="both"/>
        <w:rPr>
          <w:rFonts w:ascii="Arial" w:hAnsi="Arial" w:cs="Arial"/>
          <w:sz w:val="19"/>
          <w:szCs w:val="19"/>
        </w:rPr>
      </w:pPr>
      <w:r w:rsidRPr="002267EA">
        <w:rPr>
          <w:rStyle w:val="Refdenotaalpie"/>
          <w:rFonts w:ascii="Arial" w:hAnsi="Arial" w:cs="Arial"/>
          <w:sz w:val="19"/>
          <w:szCs w:val="19"/>
        </w:rPr>
        <w:footnoteRef/>
      </w:r>
      <w:r w:rsidRPr="002267EA">
        <w:rPr>
          <w:rFonts w:ascii="Arial" w:hAnsi="Arial" w:cs="Arial"/>
          <w:sz w:val="19"/>
          <w:szCs w:val="19"/>
        </w:rPr>
        <w:t xml:space="preserve"> CONGRESO DE LA REPÚBLICA. Gaceta No. 670 del 11 de agosto de 2020. Exposición de motivos del Proyecto de Ley No. 122 de 2020 Cámara. pp. 3-4.</w:t>
      </w:r>
    </w:p>
    <w:p w14:paraId="39F2958D" w14:textId="77777777" w:rsidR="00BB6979" w:rsidRPr="005716A8" w:rsidRDefault="00BB6979" w:rsidP="00BB6979">
      <w:pPr>
        <w:pStyle w:val="Textonotapie"/>
        <w:ind w:firstLine="708"/>
        <w:jc w:val="both"/>
        <w:rPr>
          <w:rFonts w:ascii="Arial" w:hAnsi="Arial" w:cs="Arial"/>
          <w:sz w:val="19"/>
          <w:szCs w:val="19"/>
          <w:lang w:val="es-ES"/>
        </w:rPr>
      </w:pPr>
    </w:p>
  </w:footnote>
  <w:footnote w:id="19">
    <w:p w14:paraId="7961EC5A" w14:textId="77777777" w:rsidR="00BB6979" w:rsidRDefault="00BB6979" w:rsidP="00BB6979">
      <w:pPr>
        <w:pStyle w:val="Textonotapie"/>
        <w:ind w:firstLine="708"/>
        <w:jc w:val="both"/>
        <w:rPr>
          <w:rFonts w:ascii="Arial" w:hAnsi="Arial" w:cs="Arial"/>
          <w:sz w:val="19"/>
          <w:szCs w:val="19"/>
        </w:rPr>
      </w:pPr>
      <w:r w:rsidRPr="00AC3DCF">
        <w:rPr>
          <w:rStyle w:val="Refdenotaalpie"/>
          <w:rFonts w:ascii="Arial" w:hAnsi="Arial" w:cs="Arial"/>
          <w:sz w:val="19"/>
          <w:szCs w:val="19"/>
        </w:rPr>
        <w:footnoteRef/>
      </w:r>
      <w:r w:rsidRPr="00AC3DCF">
        <w:rPr>
          <w:rFonts w:ascii="Arial" w:hAnsi="Arial" w:cs="Arial"/>
          <w:sz w:val="19"/>
          <w:szCs w:val="19"/>
        </w:rPr>
        <w:t xml:space="preserve"> </w:t>
      </w:r>
      <w:r>
        <w:rPr>
          <w:rFonts w:ascii="Arial" w:hAnsi="Arial" w:cs="Arial"/>
          <w:sz w:val="19"/>
          <w:szCs w:val="19"/>
        </w:rPr>
        <w:t>MARÍN CORTÉS, Fabián Gonzalo. El reglamento, como fuente del derecho administrativo. En: las fuentes del derecho administrativo. Texto inédito. p. 203.</w:t>
      </w:r>
    </w:p>
    <w:p w14:paraId="3CB52ABD" w14:textId="77777777" w:rsidR="00BB6979" w:rsidRPr="00AC3DCF" w:rsidRDefault="00BB6979" w:rsidP="00BB6979">
      <w:pPr>
        <w:pStyle w:val="Textonotapie"/>
        <w:ind w:firstLine="708"/>
        <w:jc w:val="both"/>
        <w:rPr>
          <w:rFonts w:ascii="Arial" w:hAnsi="Arial" w:cs="Arial"/>
          <w:sz w:val="19"/>
          <w:szCs w:val="19"/>
          <w:lang w:val="es-ES"/>
        </w:rPr>
      </w:pPr>
    </w:p>
  </w:footnote>
  <w:footnote w:id="20">
    <w:p w14:paraId="0D3559D3" w14:textId="77777777" w:rsidR="00BB6979" w:rsidRPr="00AC3DCF" w:rsidRDefault="00BB6979" w:rsidP="00BB6979">
      <w:pPr>
        <w:pStyle w:val="Textonotapie"/>
        <w:ind w:firstLine="708"/>
        <w:jc w:val="both"/>
        <w:rPr>
          <w:rFonts w:ascii="Arial" w:hAnsi="Arial" w:cs="Arial"/>
          <w:sz w:val="19"/>
          <w:szCs w:val="19"/>
          <w:lang w:val="es-ES"/>
        </w:rPr>
      </w:pPr>
      <w:r w:rsidRPr="00AC3DCF">
        <w:rPr>
          <w:rStyle w:val="Refdenotaalpie"/>
          <w:rFonts w:ascii="Arial" w:hAnsi="Arial" w:cs="Arial"/>
          <w:sz w:val="19"/>
          <w:szCs w:val="19"/>
        </w:rPr>
        <w:footnoteRef/>
      </w:r>
      <w:r w:rsidRPr="00AC3DCF">
        <w:rPr>
          <w:rFonts w:ascii="Arial" w:hAnsi="Arial" w:cs="Arial"/>
          <w:sz w:val="19"/>
          <w:szCs w:val="19"/>
        </w:rPr>
        <w:t xml:space="preserve"> </w:t>
      </w:r>
      <w:r w:rsidRPr="002B3689">
        <w:rPr>
          <w:rFonts w:ascii="Arial" w:hAnsi="Arial" w:cs="Arial"/>
          <w:i/>
          <w:iCs/>
          <w:sz w:val="19"/>
          <w:szCs w:val="19"/>
        </w:rPr>
        <w:t>Ibidem</w:t>
      </w:r>
      <w:r>
        <w:rPr>
          <w:rFonts w:ascii="Arial" w:hAnsi="Arial" w:cs="Arial"/>
          <w:sz w:val="19"/>
          <w:szCs w:val="19"/>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0770B" w14:textId="1A2BB94C" w:rsidR="008F4163" w:rsidRDefault="008F4163">
    <w:pPr>
      <w:pStyle w:val="Encabezado"/>
    </w:pPr>
    <w:r>
      <w:rPr>
        <w:noProof/>
        <w:lang w:val="es-ES_tradnl" w:eastAsia="es-ES_tradnl"/>
      </w:rPr>
      <w:drawing>
        <wp:anchor distT="0" distB="0" distL="114300" distR="114300" simplePos="0" relativeHeight="251658240"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0442D24"/>
    <w:multiLevelType w:val="multilevel"/>
    <w:tmpl w:val="B41AF78C"/>
    <w:lvl w:ilvl="0">
      <w:start w:val="1"/>
      <w:numFmt w:val="decimal"/>
      <w:lvlText w:val="%1."/>
      <w:lvlJc w:val="left"/>
      <w:pPr>
        <w:ind w:left="360" w:hanging="360"/>
      </w:pPr>
      <w:rPr>
        <w:color w:val="auto"/>
        <w:sz w:val="20"/>
        <w:szCs w:val="20"/>
      </w:rPr>
    </w:lvl>
    <w:lvl w:ilvl="1">
      <w:start w:val="1"/>
      <w:numFmt w:val="decimal"/>
      <w:lvlText w:val="3.%2."/>
      <w:lvlJc w:val="left"/>
      <w:pPr>
        <w:ind w:left="1004" w:hanging="720"/>
      </w:pPr>
      <w:rPr>
        <w:b/>
        <w:i w:val="0"/>
        <w:color w:val="000000"/>
      </w:rPr>
    </w:lvl>
    <w:lvl w:ilvl="2">
      <w:start w:val="1"/>
      <w:numFmt w:val="decimal"/>
      <w:lvlText w:val="4.1.%3."/>
      <w:lvlJc w:val="left"/>
      <w:pPr>
        <w:ind w:left="964" w:hanging="624"/>
      </w:pPr>
      <w:rPr>
        <w:b/>
        <w:i w:val="0"/>
      </w:rPr>
    </w:lvl>
    <w:lvl w:ilvl="3">
      <w:start w:val="1"/>
      <w:numFmt w:val="decimal"/>
      <w:lvlText w:val="%1.%2.%3.%4."/>
      <w:lvlJc w:val="left"/>
      <w:pPr>
        <w:ind w:left="1080" w:hanging="1080"/>
      </w:pPr>
      <w:rPr>
        <w:b/>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 w15:restartNumberingAfterBreak="0">
    <w:nsid w:val="17E60FA7"/>
    <w:multiLevelType w:val="hybridMultilevel"/>
    <w:tmpl w:val="DD2C679A"/>
    <w:lvl w:ilvl="0" w:tplc="6010BCE2">
      <w:start w:val="1"/>
      <w:numFmt w:val="lowerRoman"/>
      <w:lvlText w:val="%1)"/>
      <w:lvlJc w:val="left"/>
      <w:pPr>
        <w:ind w:left="1425" w:hanging="72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3" w15:restartNumberingAfterBreak="0">
    <w:nsid w:val="1D712575"/>
    <w:multiLevelType w:val="multilevel"/>
    <w:tmpl w:val="7D6622D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D9E6E3F"/>
    <w:multiLevelType w:val="hybridMultilevel"/>
    <w:tmpl w:val="854EA874"/>
    <w:lvl w:ilvl="0" w:tplc="1AD6EBD2">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22A53DDF"/>
    <w:multiLevelType w:val="multilevel"/>
    <w:tmpl w:val="A99C5180"/>
    <w:lvl w:ilvl="0">
      <w:start w:val="1"/>
      <w:numFmt w:val="decimal"/>
      <w:lvlText w:val="%1."/>
      <w:lvlJc w:val="left"/>
      <w:pPr>
        <w:ind w:left="660" w:hanging="360"/>
      </w:pPr>
      <w:rPr>
        <w:rFonts w:ascii="Arial" w:eastAsia="Arial" w:hAnsi="Arial" w:cs="Arial" w:hint="default"/>
        <w:b/>
        <w:bCs/>
        <w:color w:val="auto"/>
        <w:spacing w:val="-8"/>
        <w:w w:val="100"/>
        <w:sz w:val="22"/>
        <w:szCs w:val="22"/>
        <w:lang w:val="es-ES" w:eastAsia="en-US" w:bidi="ar-SA"/>
      </w:rPr>
    </w:lvl>
    <w:lvl w:ilvl="1">
      <w:start w:val="1"/>
      <w:numFmt w:val="decimal"/>
      <w:lvlText w:val="%1.%2"/>
      <w:lvlJc w:val="left"/>
      <w:pPr>
        <w:ind w:left="665" w:hanging="365"/>
      </w:pPr>
      <w:rPr>
        <w:rFonts w:ascii="Arial" w:eastAsia="Arial" w:hAnsi="Arial" w:cs="Arial" w:hint="default"/>
        <w:b/>
        <w:bCs/>
        <w:color w:val="auto"/>
        <w:spacing w:val="-1"/>
        <w:w w:val="100"/>
        <w:sz w:val="22"/>
        <w:szCs w:val="22"/>
        <w:lang w:val="es-ES" w:eastAsia="en-US" w:bidi="ar-SA"/>
      </w:rPr>
    </w:lvl>
    <w:lvl w:ilvl="2">
      <w:start w:val="1"/>
      <w:numFmt w:val="decimal"/>
      <w:lvlText w:val="%3)"/>
      <w:lvlJc w:val="left"/>
      <w:pPr>
        <w:ind w:left="1008" w:hanging="265"/>
      </w:pPr>
      <w:rPr>
        <w:rFonts w:ascii="Arial" w:eastAsia="Arial" w:hAnsi="Arial" w:cs="Arial" w:hint="default"/>
        <w:color w:val="auto"/>
        <w:w w:val="100"/>
        <w:sz w:val="21"/>
        <w:szCs w:val="21"/>
        <w:lang w:val="es-ES" w:eastAsia="en-US" w:bidi="ar-SA"/>
      </w:rPr>
    </w:lvl>
    <w:lvl w:ilvl="3">
      <w:numFmt w:val="bullet"/>
      <w:lvlText w:val="•"/>
      <w:lvlJc w:val="left"/>
      <w:pPr>
        <w:ind w:left="2853" w:hanging="265"/>
      </w:pPr>
      <w:rPr>
        <w:rFonts w:hint="default"/>
        <w:lang w:val="es-ES" w:eastAsia="en-US" w:bidi="ar-SA"/>
      </w:rPr>
    </w:lvl>
    <w:lvl w:ilvl="4">
      <w:numFmt w:val="bullet"/>
      <w:lvlText w:val="•"/>
      <w:lvlJc w:val="left"/>
      <w:pPr>
        <w:ind w:left="3780" w:hanging="265"/>
      </w:pPr>
      <w:rPr>
        <w:rFonts w:hint="default"/>
        <w:lang w:val="es-ES" w:eastAsia="en-US" w:bidi="ar-SA"/>
      </w:rPr>
    </w:lvl>
    <w:lvl w:ilvl="5">
      <w:numFmt w:val="bullet"/>
      <w:lvlText w:val="•"/>
      <w:lvlJc w:val="left"/>
      <w:pPr>
        <w:ind w:left="4706" w:hanging="265"/>
      </w:pPr>
      <w:rPr>
        <w:rFonts w:hint="default"/>
        <w:lang w:val="es-ES" w:eastAsia="en-US" w:bidi="ar-SA"/>
      </w:rPr>
    </w:lvl>
    <w:lvl w:ilvl="6">
      <w:numFmt w:val="bullet"/>
      <w:lvlText w:val="•"/>
      <w:lvlJc w:val="left"/>
      <w:pPr>
        <w:ind w:left="5633" w:hanging="265"/>
      </w:pPr>
      <w:rPr>
        <w:rFonts w:hint="default"/>
        <w:lang w:val="es-ES" w:eastAsia="en-US" w:bidi="ar-SA"/>
      </w:rPr>
    </w:lvl>
    <w:lvl w:ilvl="7">
      <w:numFmt w:val="bullet"/>
      <w:lvlText w:val="•"/>
      <w:lvlJc w:val="left"/>
      <w:pPr>
        <w:ind w:left="6560" w:hanging="265"/>
      </w:pPr>
      <w:rPr>
        <w:rFonts w:hint="default"/>
        <w:lang w:val="es-ES" w:eastAsia="en-US" w:bidi="ar-SA"/>
      </w:rPr>
    </w:lvl>
    <w:lvl w:ilvl="8">
      <w:numFmt w:val="bullet"/>
      <w:lvlText w:val="•"/>
      <w:lvlJc w:val="left"/>
      <w:pPr>
        <w:ind w:left="7486" w:hanging="265"/>
      </w:pPr>
      <w:rPr>
        <w:rFonts w:hint="default"/>
        <w:lang w:val="es-ES" w:eastAsia="en-US" w:bidi="ar-SA"/>
      </w:rPr>
    </w:lvl>
  </w:abstractNum>
  <w:abstractNum w:abstractNumId="6" w15:restartNumberingAfterBreak="0">
    <w:nsid w:val="2D96052C"/>
    <w:multiLevelType w:val="hybridMultilevel"/>
    <w:tmpl w:val="ACA011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31931E03"/>
    <w:multiLevelType w:val="multilevel"/>
    <w:tmpl w:val="288C11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3BD52C5D"/>
    <w:multiLevelType w:val="multilevel"/>
    <w:tmpl w:val="8318A86A"/>
    <w:lvl w:ilvl="0">
      <w:start w:val="1"/>
      <w:numFmt w:val="decimal"/>
      <w:lvlText w:val="%1."/>
      <w:lvlJc w:val="left"/>
      <w:pPr>
        <w:ind w:left="360" w:hanging="360"/>
      </w:pPr>
      <w:rPr>
        <w:b/>
        <w:color w:val="4E4D4D"/>
      </w:rPr>
    </w:lvl>
    <w:lvl w:ilvl="1">
      <w:start w:val="1"/>
      <w:numFmt w:val="decimal"/>
      <w:isLgl/>
      <w:lvlText w:val="%1.%2"/>
      <w:lvlJc w:val="left"/>
      <w:pPr>
        <w:ind w:left="360" w:hanging="360"/>
      </w:pPr>
      <w:rPr>
        <w:b/>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1" w15:restartNumberingAfterBreak="0">
    <w:nsid w:val="424D462B"/>
    <w:multiLevelType w:val="multilevel"/>
    <w:tmpl w:val="24320A3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4923772D"/>
    <w:multiLevelType w:val="hybridMultilevel"/>
    <w:tmpl w:val="98544144"/>
    <w:lvl w:ilvl="0" w:tplc="E0583348">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15:restartNumberingAfterBreak="0">
    <w:nsid w:val="51F2084E"/>
    <w:multiLevelType w:val="hybridMultilevel"/>
    <w:tmpl w:val="6C4AF576"/>
    <w:lvl w:ilvl="0" w:tplc="CED44512">
      <w:start w:val="1"/>
      <w:numFmt w:val="decimal"/>
      <w:lvlText w:val="%1."/>
      <w:lvlJc w:val="left"/>
      <w:pPr>
        <w:tabs>
          <w:tab w:val="num" w:pos="720"/>
        </w:tabs>
        <w:ind w:left="720" w:hanging="360"/>
      </w:pPr>
    </w:lvl>
    <w:lvl w:ilvl="1" w:tplc="2DB862AE" w:tentative="1">
      <w:start w:val="1"/>
      <w:numFmt w:val="decimal"/>
      <w:lvlText w:val="%2."/>
      <w:lvlJc w:val="left"/>
      <w:pPr>
        <w:tabs>
          <w:tab w:val="num" w:pos="1440"/>
        </w:tabs>
        <w:ind w:left="1440" w:hanging="360"/>
      </w:pPr>
    </w:lvl>
    <w:lvl w:ilvl="2" w:tplc="03AC466C" w:tentative="1">
      <w:start w:val="1"/>
      <w:numFmt w:val="decimal"/>
      <w:lvlText w:val="%3."/>
      <w:lvlJc w:val="left"/>
      <w:pPr>
        <w:tabs>
          <w:tab w:val="num" w:pos="2160"/>
        </w:tabs>
        <w:ind w:left="2160" w:hanging="360"/>
      </w:pPr>
    </w:lvl>
    <w:lvl w:ilvl="3" w:tplc="1820C460" w:tentative="1">
      <w:start w:val="1"/>
      <w:numFmt w:val="decimal"/>
      <w:lvlText w:val="%4."/>
      <w:lvlJc w:val="left"/>
      <w:pPr>
        <w:tabs>
          <w:tab w:val="num" w:pos="2880"/>
        </w:tabs>
        <w:ind w:left="2880" w:hanging="360"/>
      </w:pPr>
    </w:lvl>
    <w:lvl w:ilvl="4" w:tplc="3294A48C" w:tentative="1">
      <w:start w:val="1"/>
      <w:numFmt w:val="decimal"/>
      <w:lvlText w:val="%5."/>
      <w:lvlJc w:val="left"/>
      <w:pPr>
        <w:tabs>
          <w:tab w:val="num" w:pos="3600"/>
        </w:tabs>
        <w:ind w:left="3600" w:hanging="360"/>
      </w:pPr>
    </w:lvl>
    <w:lvl w:ilvl="5" w:tplc="F77A9290" w:tentative="1">
      <w:start w:val="1"/>
      <w:numFmt w:val="decimal"/>
      <w:lvlText w:val="%6."/>
      <w:lvlJc w:val="left"/>
      <w:pPr>
        <w:tabs>
          <w:tab w:val="num" w:pos="4320"/>
        </w:tabs>
        <w:ind w:left="4320" w:hanging="360"/>
      </w:pPr>
    </w:lvl>
    <w:lvl w:ilvl="6" w:tplc="303A9F5E" w:tentative="1">
      <w:start w:val="1"/>
      <w:numFmt w:val="decimal"/>
      <w:lvlText w:val="%7."/>
      <w:lvlJc w:val="left"/>
      <w:pPr>
        <w:tabs>
          <w:tab w:val="num" w:pos="5040"/>
        </w:tabs>
        <w:ind w:left="5040" w:hanging="360"/>
      </w:pPr>
    </w:lvl>
    <w:lvl w:ilvl="7" w:tplc="895C1678" w:tentative="1">
      <w:start w:val="1"/>
      <w:numFmt w:val="decimal"/>
      <w:lvlText w:val="%8."/>
      <w:lvlJc w:val="left"/>
      <w:pPr>
        <w:tabs>
          <w:tab w:val="num" w:pos="5760"/>
        </w:tabs>
        <w:ind w:left="5760" w:hanging="360"/>
      </w:pPr>
    </w:lvl>
    <w:lvl w:ilvl="8" w:tplc="665C70BC" w:tentative="1">
      <w:start w:val="1"/>
      <w:numFmt w:val="decimal"/>
      <w:lvlText w:val="%9."/>
      <w:lvlJc w:val="left"/>
      <w:pPr>
        <w:tabs>
          <w:tab w:val="num" w:pos="6480"/>
        </w:tabs>
        <w:ind w:left="6480" w:hanging="360"/>
      </w:pPr>
    </w:lvl>
  </w:abstractNum>
  <w:abstractNum w:abstractNumId="15"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6" w15:restartNumberingAfterBreak="0">
    <w:nsid w:val="597D4B97"/>
    <w:multiLevelType w:val="multilevel"/>
    <w:tmpl w:val="576C4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8" w15:restartNumberingAfterBreak="0">
    <w:nsid w:val="68FA17E7"/>
    <w:multiLevelType w:val="multilevel"/>
    <w:tmpl w:val="5768BC5E"/>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19"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0" w15:restartNumberingAfterBreak="0">
    <w:nsid w:val="70C9241D"/>
    <w:multiLevelType w:val="hybridMultilevel"/>
    <w:tmpl w:val="B0B487B8"/>
    <w:lvl w:ilvl="0" w:tplc="AAC4AE08">
      <w:start w:val="1"/>
      <w:numFmt w:val="lowerRoman"/>
      <w:lvlText w:val="%1."/>
      <w:lvlJc w:val="right"/>
      <w:pPr>
        <w:ind w:left="1429" w:hanging="360"/>
      </w:pPr>
      <w:rPr>
        <w:rFonts w:ascii="Arial" w:eastAsia="Calibri" w:hAnsi="Arial" w:cs="Arial"/>
      </w:rPr>
    </w:lvl>
    <w:lvl w:ilvl="1" w:tplc="040A0019" w:tentative="1">
      <w:start w:val="1"/>
      <w:numFmt w:val="lowerLetter"/>
      <w:lvlText w:val="%2."/>
      <w:lvlJc w:val="left"/>
      <w:pPr>
        <w:ind w:left="2149" w:hanging="360"/>
      </w:pPr>
    </w:lvl>
    <w:lvl w:ilvl="2" w:tplc="040A001B" w:tentative="1">
      <w:start w:val="1"/>
      <w:numFmt w:val="lowerRoman"/>
      <w:lvlText w:val="%3."/>
      <w:lvlJc w:val="right"/>
      <w:pPr>
        <w:ind w:left="2869" w:hanging="180"/>
      </w:pPr>
    </w:lvl>
    <w:lvl w:ilvl="3" w:tplc="040A000F" w:tentative="1">
      <w:start w:val="1"/>
      <w:numFmt w:val="decimal"/>
      <w:lvlText w:val="%4."/>
      <w:lvlJc w:val="left"/>
      <w:pPr>
        <w:ind w:left="3589" w:hanging="360"/>
      </w:pPr>
    </w:lvl>
    <w:lvl w:ilvl="4" w:tplc="040A0019" w:tentative="1">
      <w:start w:val="1"/>
      <w:numFmt w:val="lowerLetter"/>
      <w:lvlText w:val="%5."/>
      <w:lvlJc w:val="left"/>
      <w:pPr>
        <w:ind w:left="4309" w:hanging="360"/>
      </w:pPr>
    </w:lvl>
    <w:lvl w:ilvl="5" w:tplc="040A001B" w:tentative="1">
      <w:start w:val="1"/>
      <w:numFmt w:val="lowerRoman"/>
      <w:lvlText w:val="%6."/>
      <w:lvlJc w:val="right"/>
      <w:pPr>
        <w:ind w:left="5029" w:hanging="180"/>
      </w:pPr>
    </w:lvl>
    <w:lvl w:ilvl="6" w:tplc="040A000F" w:tentative="1">
      <w:start w:val="1"/>
      <w:numFmt w:val="decimal"/>
      <w:lvlText w:val="%7."/>
      <w:lvlJc w:val="left"/>
      <w:pPr>
        <w:ind w:left="5749" w:hanging="360"/>
      </w:pPr>
    </w:lvl>
    <w:lvl w:ilvl="7" w:tplc="040A0019" w:tentative="1">
      <w:start w:val="1"/>
      <w:numFmt w:val="lowerLetter"/>
      <w:lvlText w:val="%8."/>
      <w:lvlJc w:val="left"/>
      <w:pPr>
        <w:ind w:left="6469" w:hanging="360"/>
      </w:pPr>
    </w:lvl>
    <w:lvl w:ilvl="8" w:tplc="040A001B" w:tentative="1">
      <w:start w:val="1"/>
      <w:numFmt w:val="lowerRoman"/>
      <w:lvlText w:val="%9."/>
      <w:lvlJc w:val="right"/>
      <w:pPr>
        <w:ind w:left="7189" w:hanging="180"/>
      </w:pPr>
    </w:lvl>
  </w:abstractNum>
  <w:abstractNum w:abstractNumId="21" w15:restartNumberingAfterBreak="0">
    <w:nsid w:val="72FA202B"/>
    <w:multiLevelType w:val="hybridMultilevel"/>
    <w:tmpl w:val="510EE350"/>
    <w:lvl w:ilvl="0" w:tplc="EBCEC2A2">
      <w:start w:val="232"/>
      <w:numFmt w:val="bullet"/>
      <w:lvlText w:val="-"/>
      <w:lvlJc w:val="left"/>
      <w:pPr>
        <w:ind w:left="720" w:hanging="360"/>
      </w:pPr>
      <w:rPr>
        <w:rFonts w:ascii="Arial" w:eastAsiaTheme="minorHAns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22" w15:restartNumberingAfterBreak="0">
    <w:nsid w:val="736A0777"/>
    <w:multiLevelType w:val="multilevel"/>
    <w:tmpl w:val="510EE350"/>
    <w:lvl w:ilvl="0">
      <w:start w:val="232"/>
      <w:numFmt w:val="bullet"/>
      <w:lvlText w:val="-"/>
      <w:lvlJc w:val="left"/>
      <w:pPr>
        <w:ind w:left="720" w:hanging="360"/>
      </w:pPr>
      <w:rPr>
        <w:rFonts w:ascii="Arial" w:eastAsiaTheme="minorHAns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3" w15:restartNumberingAfterBreak="0">
    <w:nsid w:val="7CCD0A55"/>
    <w:multiLevelType w:val="multilevel"/>
    <w:tmpl w:val="25463362"/>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abstractNumId w:val="9"/>
  </w:num>
  <w:num w:numId="2">
    <w:abstractNumId w:val="7"/>
  </w:num>
  <w:num w:numId="3">
    <w:abstractNumId w:val="12"/>
  </w:num>
  <w:num w:numId="4">
    <w:abstractNumId w:val="15"/>
  </w:num>
  <w:num w:numId="5">
    <w:abstractNumId w:val="19"/>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7"/>
  </w:num>
  <w:num w:numId="8">
    <w:abstractNumId w:val="0"/>
  </w:num>
  <w:num w:numId="9">
    <w:abstractNumId w:val="3"/>
  </w:num>
  <w:num w:numId="1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8"/>
  </w:num>
  <w:num w:numId="13">
    <w:abstractNumId w:val="11"/>
  </w:num>
  <w:num w:numId="14">
    <w:abstractNumId w:val="6"/>
  </w:num>
  <w:num w:numId="15">
    <w:abstractNumId w:val="1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1"/>
  </w:num>
  <w:num w:numId="18">
    <w:abstractNumId w:val="13"/>
  </w:num>
  <w:num w:numId="19">
    <w:abstractNumId w:val="2"/>
  </w:num>
  <w:num w:numId="20">
    <w:abstractNumId w:val="22"/>
  </w:num>
  <w:num w:numId="21">
    <w:abstractNumId w:val="14"/>
  </w:num>
  <w:num w:numId="22">
    <w:abstractNumId w:val="5"/>
  </w:num>
  <w:num w:numId="23">
    <w:abstractNumId w:val="4"/>
  </w:num>
  <w:num w:numId="24">
    <w:abstractNumId w:val="20"/>
  </w:num>
  <w:num w:numId="2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559"/>
    <w:rsid w:val="0000162E"/>
    <w:rsid w:val="00001A1C"/>
    <w:rsid w:val="00001FFD"/>
    <w:rsid w:val="00002027"/>
    <w:rsid w:val="000020FE"/>
    <w:rsid w:val="00002173"/>
    <w:rsid w:val="000031A8"/>
    <w:rsid w:val="00003C5C"/>
    <w:rsid w:val="00003D39"/>
    <w:rsid w:val="000040D7"/>
    <w:rsid w:val="00004556"/>
    <w:rsid w:val="000051AF"/>
    <w:rsid w:val="000059D3"/>
    <w:rsid w:val="00005B6D"/>
    <w:rsid w:val="0000600A"/>
    <w:rsid w:val="00006081"/>
    <w:rsid w:val="00007750"/>
    <w:rsid w:val="000077FD"/>
    <w:rsid w:val="00007E37"/>
    <w:rsid w:val="00010C40"/>
    <w:rsid w:val="000112B4"/>
    <w:rsid w:val="00011DCC"/>
    <w:rsid w:val="00011EA4"/>
    <w:rsid w:val="00012532"/>
    <w:rsid w:val="00012B9E"/>
    <w:rsid w:val="00012F37"/>
    <w:rsid w:val="00012FBA"/>
    <w:rsid w:val="00013C6B"/>
    <w:rsid w:val="0001406B"/>
    <w:rsid w:val="000140E5"/>
    <w:rsid w:val="000143F8"/>
    <w:rsid w:val="00014624"/>
    <w:rsid w:val="00015126"/>
    <w:rsid w:val="00015B44"/>
    <w:rsid w:val="00016081"/>
    <w:rsid w:val="000165AC"/>
    <w:rsid w:val="00016651"/>
    <w:rsid w:val="000171A2"/>
    <w:rsid w:val="00017B65"/>
    <w:rsid w:val="00020158"/>
    <w:rsid w:val="000207E0"/>
    <w:rsid w:val="000209E2"/>
    <w:rsid w:val="00020F8F"/>
    <w:rsid w:val="00021A95"/>
    <w:rsid w:val="00021C8A"/>
    <w:rsid w:val="0002256F"/>
    <w:rsid w:val="00023DAE"/>
    <w:rsid w:val="00024896"/>
    <w:rsid w:val="000255FA"/>
    <w:rsid w:val="00025D0A"/>
    <w:rsid w:val="000263F0"/>
    <w:rsid w:val="00026407"/>
    <w:rsid w:val="00026608"/>
    <w:rsid w:val="00027787"/>
    <w:rsid w:val="000278D2"/>
    <w:rsid w:val="00030B30"/>
    <w:rsid w:val="00030DFB"/>
    <w:rsid w:val="00031364"/>
    <w:rsid w:val="000315E1"/>
    <w:rsid w:val="0003236E"/>
    <w:rsid w:val="000323C6"/>
    <w:rsid w:val="00032689"/>
    <w:rsid w:val="0003339A"/>
    <w:rsid w:val="000341F2"/>
    <w:rsid w:val="00035046"/>
    <w:rsid w:val="000351F2"/>
    <w:rsid w:val="0003535C"/>
    <w:rsid w:val="00035768"/>
    <w:rsid w:val="00036D03"/>
    <w:rsid w:val="00036E03"/>
    <w:rsid w:val="000406DB"/>
    <w:rsid w:val="0004094D"/>
    <w:rsid w:val="00041029"/>
    <w:rsid w:val="00041357"/>
    <w:rsid w:val="0004149B"/>
    <w:rsid w:val="00041FC6"/>
    <w:rsid w:val="00042961"/>
    <w:rsid w:val="00042C25"/>
    <w:rsid w:val="00042D03"/>
    <w:rsid w:val="00043086"/>
    <w:rsid w:val="000430A0"/>
    <w:rsid w:val="00043652"/>
    <w:rsid w:val="00043D3B"/>
    <w:rsid w:val="0004418C"/>
    <w:rsid w:val="00044204"/>
    <w:rsid w:val="0004477A"/>
    <w:rsid w:val="000449D4"/>
    <w:rsid w:val="0004600D"/>
    <w:rsid w:val="000463B5"/>
    <w:rsid w:val="00046717"/>
    <w:rsid w:val="00046A63"/>
    <w:rsid w:val="00046C09"/>
    <w:rsid w:val="0004716A"/>
    <w:rsid w:val="00047385"/>
    <w:rsid w:val="000473E8"/>
    <w:rsid w:val="000504DE"/>
    <w:rsid w:val="00051074"/>
    <w:rsid w:val="00051DE4"/>
    <w:rsid w:val="000526F0"/>
    <w:rsid w:val="0005273D"/>
    <w:rsid w:val="00052B79"/>
    <w:rsid w:val="00052E4B"/>
    <w:rsid w:val="00052EA0"/>
    <w:rsid w:val="000536A7"/>
    <w:rsid w:val="000536E3"/>
    <w:rsid w:val="00053896"/>
    <w:rsid w:val="00053A00"/>
    <w:rsid w:val="00053B89"/>
    <w:rsid w:val="0005474D"/>
    <w:rsid w:val="00055A41"/>
    <w:rsid w:val="00055CB9"/>
    <w:rsid w:val="00056F66"/>
    <w:rsid w:val="0005702F"/>
    <w:rsid w:val="000578FF"/>
    <w:rsid w:val="00061010"/>
    <w:rsid w:val="00061D06"/>
    <w:rsid w:val="00062CDD"/>
    <w:rsid w:val="00062DB3"/>
    <w:rsid w:val="00063472"/>
    <w:rsid w:val="000640AF"/>
    <w:rsid w:val="00064940"/>
    <w:rsid w:val="00064CAE"/>
    <w:rsid w:val="00064DB7"/>
    <w:rsid w:val="00064FA7"/>
    <w:rsid w:val="00065195"/>
    <w:rsid w:val="0006536C"/>
    <w:rsid w:val="0006626E"/>
    <w:rsid w:val="00066A7F"/>
    <w:rsid w:val="00070AF1"/>
    <w:rsid w:val="000714DE"/>
    <w:rsid w:val="0007254F"/>
    <w:rsid w:val="0007357C"/>
    <w:rsid w:val="00073C30"/>
    <w:rsid w:val="00074305"/>
    <w:rsid w:val="000744D0"/>
    <w:rsid w:val="00074B2A"/>
    <w:rsid w:val="00074E6F"/>
    <w:rsid w:val="00074EEE"/>
    <w:rsid w:val="000753D5"/>
    <w:rsid w:val="00075B3E"/>
    <w:rsid w:val="00076456"/>
    <w:rsid w:val="0007779B"/>
    <w:rsid w:val="000777E7"/>
    <w:rsid w:val="0007790A"/>
    <w:rsid w:val="000779F2"/>
    <w:rsid w:val="0008017B"/>
    <w:rsid w:val="0008049A"/>
    <w:rsid w:val="00080ACD"/>
    <w:rsid w:val="000811ED"/>
    <w:rsid w:val="00081D62"/>
    <w:rsid w:val="00082B74"/>
    <w:rsid w:val="00083099"/>
    <w:rsid w:val="00083EDC"/>
    <w:rsid w:val="00084B97"/>
    <w:rsid w:val="00084F87"/>
    <w:rsid w:val="00085033"/>
    <w:rsid w:val="0008510E"/>
    <w:rsid w:val="000856DE"/>
    <w:rsid w:val="00085F17"/>
    <w:rsid w:val="00085FB0"/>
    <w:rsid w:val="00085FB3"/>
    <w:rsid w:val="0008686B"/>
    <w:rsid w:val="00086B2A"/>
    <w:rsid w:val="00086ED2"/>
    <w:rsid w:val="00087A64"/>
    <w:rsid w:val="0009082C"/>
    <w:rsid w:val="00090C39"/>
    <w:rsid w:val="000914D6"/>
    <w:rsid w:val="00091569"/>
    <w:rsid w:val="00092CDB"/>
    <w:rsid w:val="00092DCA"/>
    <w:rsid w:val="00093851"/>
    <w:rsid w:val="000942EB"/>
    <w:rsid w:val="00095B70"/>
    <w:rsid w:val="0009617E"/>
    <w:rsid w:val="0009628D"/>
    <w:rsid w:val="0009670F"/>
    <w:rsid w:val="000970E4"/>
    <w:rsid w:val="000979CF"/>
    <w:rsid w:val="00097F53"/>
    <w:rsid w:val="000A03C8"/>
    <w:rsid w:val="000A05F2"/>
    <w:rsid w:val="000A06C4"/>
    <w:rsid w:val="000A0861"/>
    <w:rsid w:val="000A0EC4"/>
    <w:rsid w:val="000A0ED1"/>
    <w:rsid w:val="000A12DB"/>
    <w:rsid w:val="000A17C8"/>
    <w:rsid w:val="000A1B74"/>
    <w:rsid w:val="000A20D7"/>
    <w:rsid w:val="000A2128"/>
    <w:rsid w:val="000A362F"/>
    <w:rsid w:val="000A3B49"/>
    <w:rsid w:val="000A46FE"/>
    <w:rsid w:val="000A47E6"/>
    <w:rsid w:val="000A52C0"/>
    <w:rsid w:val="000A5AAF"/>
    <w:rsid w:val="000A5ACE"/>
    <w:rsid w:val="000A5F97"/>
    <w:rsid w:val="000A648E"/>
    <w:rsid w:val="000A7268"/>
    <w:rsid w:val="000A73BB"/>
    <w:rsid w:val="000A73E8"/>
    <w:rsid w:val="000A7EF4"/>
    <w:rsid w:val="000B046C"/>
    <w:rsid w:val="000B0A15"/>
    <w:rsid w:val="000B103F"/>
    <w:rsid w:val="000B1437"/>
    <w:rsid w:val="000B1470"/>
    <w:rsid w:val="000B244D"/>
    <w:rsid w:val="000B2A1A"/>
    <w:rsid w:val="000B2B86"/>
    <w:rsid w:val="000B3051"/>
    <w:rsid w:val="000B419B"/>
    <w:rsid w:val="000B56F9"/>
    <w:rsid w:val="000B5781"/>
    <w:rsid w:val="000B5CB1"/>
    <w:rsid w:val="000B75F4"/>
    <w:rsid w:val="000C0185"/>
    <w:rsid w:val="000C084E"/>
    <w:rsid w:val="000C0F81"/>
    <w:rsid w:val="000C128D"/>
    <w:rsid w:val="000C17A3"/>
    <w:rsid w:val="000C1D4B"/>
    <w:rsid w:val="000C2DC4"/>
    <w:rsid w:val="000C3260"/>
    <w:rsid w:val="000C3B77"/>
    <w:rsid w:val="000C3F6D"/>
    <w:rsid w:val="000C47E0"/>
    <w:rsid w:val="000C4F49"/>
    <w:rsid w:val="000C5861"/>
    <w:rsid w:val="000C5BDE"/>
    <w:rsid w:val="000C639D"/>
    <w:rsid w:val="000C6C31"/>
    <w:rsid w:val="000C6DBC"/>
    <w:rsid w:val="000C6F79"/>
    <w:rsid w:val="000C7476"/>
    <w:rsid w:val="000C7480"/>
    <w:rsid w:val="000C7711"/>
    <w:rsid w:val="000C7AA2"/>
    <w:rsid w:val="000D0462"/>
    <w:rsid w:val="000D053D"/>
    <w:rsid w:val="000D0ED2"/>
    <w:rsid w:val="000D107D"/>
    <w:rsid w:val="000D13FD"/>
    <w:rsid w:val="000D1CEB"/>
    <w:rsid w:val="000D2563"/>
    <w:rsid w:val="000D25BF"/>
    <w:rsid w:val="000D2FE4"/>
    <w:rsid w:val="000D3FDC"/>
    <w:rsid w:val="000D490B"/>
    <w:rsid w:val="000D4E38"/>
    <w:rsid w:val="000D50DB"/>
    <w:rsid w:val="000D6288"/>
    <w:rsid w:val="000D6C10"/>
    <w:rsid w:val="000D6E20"/>
    <w:rsid w:val="000D728B"/>
    <w:rsid w:val="000D7541"/>
    <w:rsid w:val="000D75E1"/>
    <w:rsid w:val="000E05E2"/>
    <w:rsid w:val="000E22CF"/>
    <w:rsid w:val="000E2977"/>
    <w:rsid w:val="000E2CC0"/>
    <w:rsid w:val="000E30AC"/>
    <w:rsid w:val="000E3B46"/>
    <w:rsid w:val="000E3E11"/>
    <w:rsid w:val="000E4596"/>
    <w:rsid w:val="000E4B94"/>
    <w:rsid w:val="000E4D50"/>
    <w:rsid w:val="000E5768"/>
    <w:rsid w:val="000E5843"/>
    <w:rsid w:val="000E6139"/>
    <w:rsid w:val="000E63B7"/>
    <w:rsid w:val="000E653C"/>
    <w:rsid w:val="000E6BE1"/>
    <w:rsid w:val="000E7E0B"/>
    <w:rsid w:val="000F0060"/>
    <w:rsid w:val="000F0136"/>
    <w:rsid w:val="000F078A"/>
    <w:rsid w:val="000F122D"/>
    <w:rsid w:val="000F1450"/>
    <w:rsid w:val="000F14E8"/>
    <w:rsid w:val="000F1BBD"/>
    <w:rsid w:val="000F290F"/>
    <w:rsid w:val="000F4403"/>
    <w:rsid w:val="000F47F3"/>
    <w:rsid w:val="000F480B"/>
    <w:rsid w:val="000F4A7F"/>
    <w:rsid w:val="000F4E17"/>
    <w:rsid w:val="000F55A8"/>
    <w:rsid w:val="000F5615"/>
    <w:rsid w:val="000F6578"/>
    <w:rsid w:val="000F6F92"/>
    <w:rsid w:val="000F7E8F"/>
    <w:rsid w:val="000F7FBB"/>
    <w:rsid w:val="001000FB"/>
    <w:rsid w:val="00100A9E"/>
    <w:rsid w:val="00100F6A"/>
    <w:rsid w:val="00102605"/>
    <w:rsid w:val="00102686"/>
    <w:rsid w:val="00102745"/>
    <w:rsid w:val="00102FBE"/>
    <w:rsid w:val="0010300C"/>
    <w:rsid w:val="00103795"/>
    <w:rsid w:val="00103915"/>
    <w:rsid w:val="001039AA"/>
    <w:rsid w:val="00103EA0"/>
    <w:rsid w:val="00104149"/>
    <w:rsid w:val="00104F1C"/>
    <w:rsid w:val="001051E5"/>
    <w:rsid w:val="00105A74"/>
    <w:rsid w:val="00105ACB"/>
    <w:rsid w:val="00105AEF"/>
    <w:rsid w:val="00105B76"/>
    <w:rsid w:val="00106259"/>
    <w:rsid w:val="001068EB"/>
    <w:rsid w:val="00106D55"/>
    <w:rsid w:val="001078CE"/>
    <w:rsid w:val="00110F61"/>
    <w:rsid w:val="001111BD"/>
    <w:rsid w:val="0011165A"/>
    <w:rsid w:val="00111B2B"/>
    <w:rsid w:val="00112774"/>
    <w:rsid w:val="00112B2E"/>
    <w:rsid w:val="00113003"/>
    <w:rsid w:val="00113062"/>
    <w:rsid w:val="0011318E"/>
    <w:rsid w:val="0011359A"/>
    <w:rsid w:val="00113705"/>
    <w:rsid w:val="00113975"/>
    <w:rsid w:val="00113CFC"/>
    <w:rsid w:val="00113FEA"/>
    <w:rsid w:val="00114A22"/>
    <w:rsid w:val="00114E9D"/>
    <w:rsid w:val="0011507B"/>
    <w:rsid w:val="001156A7"/>
    <w:rsid w:val="00115C37"/>
    <w:rsid w:val="00116328"/>
    <w:rsid w:val="001163CF"/>
    <w:rsid w:val="00116EC5"/>
    <w:rsid w:val="001174C9"/>
    <w:rsid w:val="001177FE"/>
    <w:rsid w:val="00117E69"/>
    <w:rsid w:val="00121103"/>
    <w:rsid w:val="00121B78"/>
    <w:rsid w:val="00121BAB"/>
    <w:rsid w:val="00121E3C"/>
    <w:rsid w:val="00122B23"/>
    <w:rsid w:val="00122B7E"/>
    <w:rsid w:val="00123E27"/>
    <w:rsid w:val="00123FB5"/>
    <w:rsid w:val="0012400F"/>
    <w:rsid w:val="0012416F"/>
    <w:rsid w:val="001249DC"/>
    <w:rsid w:val="00124D2B"/>
    <w:rsid w:val="0012572D"/>
    <w:rsid w:val="00125BED"/>
    <w:rsid w:val="00125C59"/>
    <w:rsid w:val="00125D4F"/>
    <w:rsid w:val="00127004"/>
    <w:rsid w:val="0012770B"/>
    <w:rsid w:val="00127AF2"/>
    <w:rsid w:val="00127EDC"/>
    <w:rsid w:val="00127F42"/>
    <w:rsid w:val="00127F6D"/>
    <w:rsid w:val="00130355"/>
    <w:rsid w:val="00130365"/>
    <w:rsid w:val="001304E5"/>
    <w:rsid w:val="00131B5A"/>
    <w:rsid w:val="001329BC"/>
    <w:rsid w:val="00132C30"/>
    <w:rsid w:val="00132EFD"/>
    <w:rsid w:val="00133AED"/>
    <w:rsid w:val="00134BCD"/>
    <w:rsid w:val="00134E09"/>
    <w:rsid w:val="001350AB"/>
    <w:rsid w:val="00135DB9"/>
    <w:rsid w:val="00135E5D"/>
    <w:rsid w:val="0013695C"/>
    <w:rsid w:val="00136BF7"/>
    <w:rsid w:val="00136C78"/>
    <w:rsid w:val="00137440"/>
    <w:rsid w:val="001378B9"/>
    <w:rsid w:val="00137FFA"/>
    <w:rsid w:val="00140109"/>
    <w:rsid w:val="0014029B"/>
    <w:rsid w:val="00140464"/>
    <w:rsid w:val="00140A4F"/>
    <w:rsid w:val="001413AB"/>
    <w:rsid w:val="00141DBF"/>
    <w:rsid w:val="00142EFD"/>
    <w:rsid w:val="00144335"/>
    <w:rsid w:val="0014502F"/>
    <w:rsid w:val="00145282"/>
    <w:rsid w:val="001453B0"/>
    <w:rsid w:val="001454D9"/>
    <w:rsid w:val="00145D8E"/>
    <w:rsid w:val="00146083"/>
    <w:rsid w:val="001462F7"/>
    <w:rsid w:val="001471AB"/>
    <w:rsid w:val="00147F35"/>
    <w:rsid w:val="00150005"/>
    <w:rsid w:val="001502E1"/>
    <w:rsid w:val="00151AEB"/>
    <w:rsid w:val="00151B99"/>
    <w:rsid w:val="00151E79"/>
    <w:rsid w:val="001521B2"/>
    <w:rsid w:val="00152EDD"/>
    <w:rsid w:val="00153491"/>
    <w:rsid w:val="0015361C"/>
    <w:rsid w:val="0015372F"/>
    <w:rsid w:val="00153BFB"/>
    <w:rsid w:val="0015407E"/>
    <w:rsid w:val="0015448E"/>
    <w:rsid w:val="00154A6F"/>
    <w:rsid w:val="00154B68"/>
    <w:rsid w:val="00155BED"/>
    <w:rsid w:val="00155D08"/>
    <w:rsid w:val="0015623B"/>
    <w:rsid w:val="00156BE5"/>
    <w:rsid w:val="00157232"/>
    <w:rsid w:val="00160401"/>
    <w:rsid w:val="00160C01"/>
    <w:rsid w:val="00160D4E"/>
    <w:rsid w:val="00161DDA"/>
    <w:rsid w:val="00161E62"/>
    <w:rsid w:val="00161F1C"/>
    <w:rsid w:val="0016200B"/>
    <w:rsid w:val="0016204B"/>
    <w:rsid w:val="00163D7A"/>
    <w:rsid w:val="00164281"/>
    <w:rsid w:val="00165703"/>
    <w:rsid w:val="00165E5C"/>
    <w:rsid w:val="00166204"/>
    <w:rsid w:val="00166797"/>
    <w:rsid w:val="0016685F"/>
    <w:rsid w:val="0016712F"/>
    <w:rsid w:val="00167503"/>
    <w:rsid w:val="001676A9"/>
    <w:rsid w:val="00167A15"/>
    <w:rsid w:val="00167A50"/>
    <w:rsid w:val="00167D1A"/>
    <w:rsid w:val="00167DF5"/>
    <w:rsid w:val="00170001"/>
    <w:rsid w:val="00172198"/>
    <w:rsid w:val="00172612"/>
    <w:rsid w:val="00172817"/>
    <w:rsid w:val="001734E3"/>
    <w:rsid w:val="001742BF"/>
    <w:rsid w:val="001742E1"/>
    <w:rsid w:val="00175E49"/>
    <w:rsid w:val="0017649F"/>
    <w:rsid w:val="0017655B"/>
    <w:rsid w:val="00177EAA"/>
    <w:rsid w:val="001805C1"/>
    <w:rsid w:val="001805D5"/>
    <w:rsid w:val="00180A2E"/>
    <w:rsid w:val="00180F75"/>
    <w:rsid w:val="001813AF"/>
    <w:rsid w:val="001826C9"/>
    <w:rsid w:val="001829CD"/>
    <w:rsid w:val="00182F01"/>
    <w:rsid w:val="00184219"/>
    <w:rsid w:val="00184F27"/>
    <w:rsid w:val="0018519B"/>
    <w:rsid w:val="001858C9"/>
    <w:rsid w:val="00185966"/>
    <w:rsid w:val="00185A2D"/>
    <w:rsid w:val="00185AFE"/>
    <w:rsid w:val="00185E78"/>
    <w:rsid w:val="001868D9"/>
    <w:rsid w:val="00187177"/>
    <w:rsid w:val="00187ABD"/>
    <w:rsid w:val="001904E3"/>
    <w:rsid w:val="0019087A"/>
    <w:rsid w:val="00191C5A"/>
    <w:rsid w:val="00191CEB"/>
    <w:rsid w:val="00191E63"/>
    <w:rsid w:val="00192D68"/>
    <w:rsid w:val="0019388B"/>
    <w:rsid w:val="00193ADE"/>
    <w:rsid w:val="00193B9A"/>
    <w:rsid w:val="001940ED"/>
    <w:rsid w:val="001946AE"/>
    <w:rsid w:val="001946D5"/>
    <w:rsid w:val="00194E8C"/>
    <w:rsid w:val="001962EC"/>
    <w:rsid w:val="001963DD"/>
    <w:rsid w:val="001965DB"/>
    <w:rsid w:val="00196D01"/>
    <w:rsid w:val="00196DC9"/>
    <w:rsid w:val="00196E95"/>
    <w:rsid w:val="00197758"/>
    <w:rsid w:val="001A0236"/>
    <w:rsid w:val="001A0915"/>
    <w:rsid w:val="001A0AF8"/>
    <w:rsid w:val="001A0E1B"/>
    <w:rsid w:val="001A1490"/>
    <w:rsid w:val="001A18D5"/>
    <w:rsid w:val="001A1A38"/>
    <w:rsid w:val="001A1BE0"/>
    <w:rsid w:val="001A1D4A"/>
    <w:rsid w:val="001A260A"/>
    <w:rsid w:val="001A3011"/>
    <w:rsid w:val="001A3078"/>
    <w:rsid w:val="001A4314"/>
    <w:rsid w:val="001A4A9B"/>
    <w:rsid w:val="001A4B32"/>
    <w:rsid w:val="001A4DAF"/>
    <w:rsid w:val="001A54CD"/>
    <w:rsid w:val="001A611F"/>
    <w:rsid w:val="001A66DF"/>
    <w:rsid w:val="001A67D0"/>
    <w:rsid w:val="001A6863"/>
    <w:rsid w:val="001A7591"/>
    <w:rsid w:val="001A75B1"/>
    <w:rsid w:val="001A7B06"/>
    <w:rsid w:val="001B0366"/>
    <w:rsid w:val="001B0444"/>
    <w:rsid w:val="001B096B"/>
    <w:rsid w:val="001B0F9F"/>
    <w:rsid w:val="001B123C"/>
    <w:rsid w:val="001B1A0D"/>
    <w:rsid w:val="001B1BF1"/>
    <w:rsid w:val="001B21AC"/>
    <w:rsid w:val="001B2456"/>
    <w:rsid w:val="001B3B25"/>
    <w:rsid w:val="001B449C"/>
    <w:rsid w:val="001B4AA2"/>
    <w:rsid w:val="001B4ADE"/>
    <w:rsid w:val="001B5530"/>
    <w:rsid w:val="001B5EF8"/>
    <w:rsid w:val="001B71E8"/>
    <w:rsid w:val="001C033E"/>
    <w:rsid w:val="001C07C6"/>
    <w:rsid w:val="001C120D"/>
    <w:rsid w:val="001C16DA"/>
    <w:rsid w:val="001C19CD"/>
    <w:rsid w:val="001C2119"/>
    <w:rsid w:val="001C22D5"/>
    <w:rsid w:val="001C2515"/>
    <w:rsid w:val="001C26FB"/>
    <w:rsid w:val="001C2A47"/>
    <w:rsid w:val="001C33C1"/>
    <w:rsid w:val="001C3E30"/>
    <w:rsid w:val="001C3E5C"/>
    <w:rsid w:val="001C5072"/>
    <w:rsid w:val="001C5B2A"/>
    <w:rsid w:val="001C600B"/>
    <w:rsid w:val="001C6898"/>
    <w:rsid w:val="001C6DD8"/>
    <w:rsid w:val="001C76FA"/>
    <w:rsid w:val="001C79A4"/>
    <w:rsid w:val="001C7C7B"/>
    <w:rsid w:val="001D068D"/>
    <w:rsid w:val="001D12D1"/>
    <w:rsid w:val="001D15DF"/>
    <w:rsid w:val="001D2552"/>
    <w:rsid w:val="001D2EEE"/>
    <w:rsid w:val="001D30F3"/>
    <w:rsid w:val="001D31A0"/>
    <w:rsid w:val="001D338E"/>
    <w:rsid w:val="001D4562"/>
    <w:rsid w:val="001D56E9"/>
    <w:rsid w:val="001D6944"/>
    <w:rsid w:val="001D6CD2"/>
    <w:rsid w:val="001D796A"/>
    <w:rsid w:val="001D7A84"/>
    <w:rsid w:val="001D7C79"/>
    <w:rsid w:val="001E003B"/>
    <w:rsid w:val="001E1CC4"/>
    <w:rsid w:val="001E1D38"/>
    <w:rsid w:val="001E28A0"/>
    <w:rsid w:val="001E3FFE"/>
    <w:rsid w:val="001E4258"/>
    <w:rsid w:val="001E5140"/>
    <w:rsid w:val="001E5D6A"/>
    <w:rsid w:val="001E6A94"/>
    <w:rsid w:val="001E70FB"/>
    <w:rsid w:val="001E780A"/>
    <w:rsid w:val="001F0325"/>
    <w:rsid w:val="001F0806"/>
    <w:rsid w:val="001F0D15"/>
    <w:rsid w:val="001F0FA0"/>
    <w:rsid w:val="001F1349"/>
    <w:rsid w:val="001F1863"/>
    <w:rsid w:val="001F2356"/>
    <w:rsid w:val="001F2462"/>
    <w:rsid w:val="001F2A68"/>
    <w:rsid w:val="001F2C47"/>
    <w:rsid w:val="001F4773"/>
    <w:rsid w:val="001F4DC8"/>
    <w:rsid w:val="001F5008"/>
    <w:rsid w:val="001F56AA"/>
    <w:rsid w:val="001F57EB"/>
    <w:rsid w:val="001F58AA"/>
    <w:rsid w:val="001F5A4E"/>
    <w:rsid w:val="001F5EF6"/>
    <w:rsid w:val="001F657F"/>
    <w:rsid w:val="001F6FB6"/>
    <w:rsid w:val="001F72BB"/>
    <w:rsid w:val="001F7978"/>
    <w:rsid w:val="001F7A0E"/>
    <w:rsid w:val="001F7A4B"/>
    <w:rsid w:val="0020022E"/>
    <w:rsid w:val="0020054E"/>
    <w:rsid w:val="00201508"/>
    <w:rsid w:val="00201AC4"/>
    <w:rsid w:val="00201F1E"/>
    <w:rsid w:val="00202761"/>
    <w:rsid w:val="0020299B"/>
    <w:rsid w:val="00202B2A"/>
    <w:rsid w:val="00202E44"/>
    <w:rsid w:val="002037AA"/>
    <w:rsid w:val="00203FE3"/>
    <w:rsid w:val="002042D8"/>
    <w:rsid w:val="00204515"/>
    <w:rsid w:val="0020492B"/>
    <w:rsid w:val="00204BF5"/>
    <w:rsid w:val="00204E6B"/>
    <w:rsid w:val="002053EF"/>
    <w:rsid w:val="002058D4"/>
    <w:rsid w:val="0020632A"/>
    <w:rsid w:val="002065E9"/>
    <w:rsid w:val="0020697F"/>
    <w:rsid w:val="00206F4D"/>
    <w:rsid w:val="0020726E"/>
    <w:rsid w:val="00207389"/>
    <w:rsid w:val="002110EB"/>
    <w:rsid w:val="00211338"/>
    <w:rsid w:val="00211388"/>
    <w:rsid w:val="0021148C"/>
    <w:rsid w:val="00211694"/>
    <w:rsid w:val="0021201A"/>
    <w:rsid w:val="00212545"/>
    <w:rsid w:val="002138FE"/>
    <w:rsid w:val="00213A1F"/>
    <w:rsid w:val="00213C63"/>
    <w:rsid w:val="00214502"/>
    <w:rsid w:val="00214741"/>
    <w:rsid w:val="00214938"/>
    <w:rsid w:val="00214B7E"/>
    <w:rsid w:val="0021539A"/>
    <w:rsid w:val="00215852"/>
    <w:rsid w:val="00215B01"/>
    <w:rsid w:val="00215B8E"/>
    <w:rsid w:val="00216264"/>
    <w:rsid w:val="002169A0"/>
    <w:rsid w:val="002176B6"/>
    <w:rsid w:val="0021792D"/>
    <w:rsid w:val="00217DB8"/>
    <w:rsid w:val="002202CE"/>
    <w:rsid w:val="0022032A"/>
    <w:rsid w:val="002212FB"/>
    <w:rsid w:val="0022194E"/>
    <w:rsid w:val="002220B1"/>
    <w:rsid w:val="002221CE"/>
    <w:rsid w:val="00222BE8"/>
    <w:rsid w:val="00222DF6"/>
    <w:rsid w:val="00223102"/>
    <w:rsid w:val="002232CB"/>
    <w:rsid w:val="00224022"/>
    <w:rsid w:val="00226055"/>
    <w:rsid w:val="0022609C"/>
    <w:rsid w:val="0022613F"/>
    <w:rsid w:val="0022614F"/>
    <w:rsid w:val="00226236"/>
    <w:rsid w:val="002266AF"/>
    <w:rsid w:val="002270C9"/>
    <w:rsid w:val="00227A8B"/>
    <w:rsid w:val="0023146B"/>
    <w:rsid w:val="002315A0"/>
    <w:rsid w:val="00231748"/>
    <w:rsid w:val="00231A18"/>
    <w:rsid w:val="00231DCC"/>
    <w:rsid w:val="00231EC7"/>
    <w:rsid w:val="00232E15"/>
    <w:rsid w:val="00233079"/>
    <w:rsid w:val="0023382C"/>
    <w:rsid w:val="00233977"/>
    <w:rsid w:val="00233C58"/>
    <w:rsid w:val="00233C71"/>
    <w:rsid w:val="002345B6"/>
    <w:rsid w:val="002347A6"/>
    <w:rsid w:val="00234B84"/>
    <w:rsid w:val="00236016"/>
    <w:rsid w:val="00237065"/>
    <w:rsid w:val="00237589"/>
    <w:rsid w:val="0023758D"/>
    <w:rsid w:val="002375A7"/>
    <w:rsid w:val="0024019A"/>
    <w:rsid w:val="00240293"/>
    <w:rsid w:val="00240DA2"/>
    <w:rsid w:val="00240EC1"/>
    <w:rsid w:val="0024120F"/>
    <w:rsid w:val="0024131D"/>
    <w:rsid w:val="002415B8"/>
    <w:rsid w:val="00241B82"/>
    <w:rsid w:val="00242D5F"/>
    <w:rsid w:val="00242D62"/>
    <w:rsid w:val="002430D0"/>
    <w:rsid w:val="002431D7"/>
    <w:rsid w:val="00244058"/>
    <w:rsid w:val="00244FC3"/>
    <w:rsid w:val="00245718"/>
    <w:rsid w:val="002457E9"/>
    <w:rsid w:val="00245E07"/>
    <w:rsid w:val="0024665E"/>
    <w:rsid w:val="00247712"/>
    <w:rsid w:val="00250A9E"/>
    <w:rsid w:val="00250EC6"/>
    <w:rsid w:val="002515C7"/>
    <w:rsid w:val="00251866"/>
    <w:rsid w:val="00251A9F"/>
    <w:rsid w:val="00252492"/>
    <w:rsid w:val="00252B35"/>
    <w:rsid w:val="00253070"/>
    <w:rsid w:val="0025316D"/>
    <w:rsid w:val="00253723"/>
    <w:rsid w:val="00253A02"/>
    <w:rsid w:val="00253B81"/>
    <w:rsid w:val="00254AE9"/>
    <w:rsid w:val="002554DE"/>
    <w:rsid w:val="00255575"/>
    <w:rsid w:val="00255AD7"/>
    <w:rsid w:val="00255E11"/>
    <w:rsid w:val="002564B7"/>
    <w:rsid w:val="00256835"/>
    <w:rsid w:val="002569F0"/>
    <w:rsid w:val="00256C01"/>
    <w:rsid w:val="00256E1A"/>
    <w:rsid w:val="00256ECF"/>
    <w:rsid w:val="00257730"/>
    <w:rsid w:val="00257999"/>
    <w:rsid w:val="002604AA"/>
    <w:rsid w:val="00260523"/>
    <w:rsid w:val="0026129B"/>
    <w:rsid w:val="00261560"/>
    <w:rsid w:val="00261715"/>
    <w:rsid w:val="00261CF9"/>
    <w:rsid w:val="00261EC0"/>
    <w:rsid w:val="0026231B"/>
    <w:rsid w:val="00263101"/>
    <w:rsid w:val="002631D1"/>
    <w:rsid w:val="00263201"/>
    <w:rsid w:val="00263A37"/>
    <w:rsid w:val="00264266"/>
    <w:rsid w:val="0026471F"/>
    <w:rsid w:val="0026480D"/>
    <w:rsid w:val="002653A6"/>
    <w:rsid w:val="00265FEC"/>
    <w:rsid w:val="002661F1"/>
    <w:rsid w:val="00266316"/>
    <w:rsid w:val="00266DB6"/>
    <w:rsid w:val="002711A4"/>
    <w:rsid w:val="00271230"/>
    <w:rsid w:val="00271F13"/>
    <w:rsid w:val="00272945"/>
    <w:rsid w:val="00272E89"/>
    <w:rsid w:val="002742D0"/>
    <w:rsid w:val="0027482E"/>
    <w:rsid w:val="002748F1"/>
    <w:rsid w:val="00274DB5"/>
    <w:rsid w:val="00275BB1"/>
    <w:rsid w:val="00276EF7"/>
    <w:rsid w:val="0027770B"/>
    <w:rsid w:val="00277933"/>
    <w:rsid w:val="00277F8D"/>
    <w:rsid w:val="00277FA7"/>
    <w:rsid w:val="00280046"/>
    <w:rsid w:val="002809B4"/>
    <w:rsid w:val="00280B4F"/>
    <w:rsid w:val="00280F3D"/>
    <w:rsid w:val="0028106A"/>
    <w:rsid w:val="00281EB4"/>
    <w:rsid w:val="00282E03"/>
    <w:rsid w:val="0028308E"/>
    <w:rsid w:val="002834E9"/>
    <w:rsid w:val="002837BA"/>
    <w:rsid w:val="00283A52"/>
    <w:rsid w:val="00283C5E"/>
    <w:rsid w:val="00283E26"/>
    <w:rsid w:val="0028428F"/>
    <w:rsid w:val="00284CFC"/>
    <w:rsid w:val="00285832"/>
    <w:rsid w:val="00285969"/>
    <w:rsid w:val="0028599C"/>
    <w:rsid w:val="0028663B"/>
    <w:rsid w:val="00286CEC"/>
    <w:rsid w:val="002870F9"/>
    <w:rsid w:val="002871A9"/>
    <w:rsid w:val="00287505"/>
    <w:rsid w:val="00287BDB"/>
    <w:rsid w:val="00290781"/>
    <w:rsid w:val="00291784"/>
    <w:rsid w:val="002920DF"/>
    <w:rsid w:val="002928A3"/>
    <w:rsid w:val="002929BB"/>
    <w:rsid w:val="00292A27"/>
    <w:rsid w:val="00294368"/>
    <w:rsid w:val="00294B78"/>
    <w:rsid w:val="00295416"/>
    <w:rsid w:val="00295949"/>
    <w:rsid w:val="00295D7C"/>
    <w:rsid w:val="0029624A"/>
    <w:rsid w:val="00296922"/>
    <w:rsid w:val="00297098"/>
    <w:rsid w:val="002A05D4"/>
    <w:rsid w:val="002A06DB"/>
    <w:rsid w:val="002A09FF"/>
    <w:rsid w:val="002A0E60"/>
    <w:rsid w:val="002A1A58"/>
    <w:rsid w:val="002A1B02"/>
    <w:rsid w:val="002A1C53"/>
    <w:rsid w:val="002A1F84"/>
    <w:rsid w:val="002A244B"/>
    <w:rsid w:val="002A28FC"/>
    <w:rsid w:val="002A2B44"/>
    <w:rsid w:val="002A2EA5"/>
    <w:rsid w:val="002A301E"/>
    <w:rsid w:val="002A3555"/>
    <w:rsid w:val="002A3D94"/>
    <w:rsid w:val="002A3F66"/>
    <w:rsid w:val="002A4736"/>
    <w:rsid w:val="002A4B1C"/>
    <w:rsid w:val="002A55FE"/>
    <w:rsid w:val="002A625C"/>
    <w:rsid w:val="002A6AFB"/>
    <w:rsid w:val="002A733D"/>
    <w:rsid w:val="002A774A"/>
    <w:rsid w:val="002A7840"/>
    <w:rsid w:val="002A78F3"/>
    <w:rsid w:val="002A7D84"/>
    <w:rsid w:val="002A7E5C"/>
    <w:rsid w:val="002A7F6D"/>
    <w:rsid w:val="002B0D83"/>
    <w:rsid w:val="002B1342"/>
    <w:rsid w:val="002B1F83"/>
    <w:rsid w:val="002B27C8"/>
    <w:rsid w:val="002B2A7F"/>
    <w:rsid w:val="002B330B"/>
    <w:rsid w:val="002B39BE"/>
    <w:rsid w:val="002B438C"/>
    <w:rsid w:val="002B48DB"/>
    <w:rsid w:val="002B4B34"/>
    <w:rsid w:val="002B541A"/>
    <w:rsid w:val="002B5EAB"/>
    <w:rsid w:val="002B5F2E"/>
    <w:rsid w:val="002B6407"/>
    <w:rsid w:val="002B6416"/>
    <w:rsid w:val="002B6459"/>
    <w:rsid w:val="002B6F22"/>
    <w:rsid w:val="002B7014"/>
    <w:rsid w:val="002B73B0"/>
    <w:rsid w:val="002C0589"/>
    <w:rsid w:val="002C1EE4"/>
    <w:rsid w:val="002C24B4"/>
    <w:rsid w:val="002C2B3A"/>
    <w:rsid w:val="002C2B87"/>
    <w:rsid w:val="002C3CF4"/>
    <w:rsid w:val="002C441A"/>
    <w:rsid w:val="002C4A2B"/>
    <w:rsid w:val="002C4A73"/>
    <w:rsid w:val="002C4B84"/>
    <w:rsid w:val="002C4C0C"/>
    <w:rsid w:val="002C5016"/>
    <w:rsid w:val="002C5C2F"/>
    <w:rsid w:val="002C5D0F"/>
    <w:rsid w:val="002C60B9"/>
    <w:rsid w:val="002C6F77"/>
    <w:rsid w:val="002C704D"/>
    <w:rsid w:val="002D0845"/>
    <w:rsid w:val="002D0933"/>
    <w:rsid w:val="002D1555"/>
    <w:rsid w:val="002D15B6"/>
    <w:rsid w:val="002D19BB"/>
    <w:rsid w:val="002D1A9B"/>
    <w:rsid w:val="002D1F51"/>
    <w:rsid w:val="002D20F8"/>
    <w:rsid w:val="002D22BD"/>
    <w:rsid w:val="002D22C5"/>
    <w:rsid w:val="002D302A"/>
    <w:rsid w:val="002D36C6"/>
    <w:rsid w:val="002D37C1"/>
    <w:rsid w:val="002D444B"/>
    <w:rsid w:val="002D46A6"/>
    <w:rsid w:val="002D46B4"/>
    <w:rsid w:val="002D46CE"/>
    <w:rsid w:val="002D49C2"/>
    <w:rsid w:val="002D4A45"/>
    <w:rsid w:val="002D4B42"/>
    <w:rsid w:val="002D4B43"/>
    <w:rsid w:val="002D5A1B"/>
    <w:rsid w:val="002D6558"/>
    <w:rsid w:val="002D65BC"/>
    <w:rsid w:val="002E055C"/>
    <w:rsid w:val="002E1050"/>
    <w:rsid w:val="002E107E"/>
    <w:rsid w:val="002E18E5"/>
    <w:rsid w:val="002E1953"/>
    <w:rsid w:val="002E2C3F"/>
    <w:rsid w:val="002E2CB5"/>
    <w:rsid w:val="002E2D7D"/>
    <w:rsid w:val="002E32D0"/>
    <w:rsid w:val="002E3931"/>
    <w:rsid w:val="002E3D76"/>
    <w:rsid w:val="002E40A1"/>
    <w:rsid w:val="002E48EC"/>
    <w:rsid w:val="002E4B44"/>
    <w:rsid w:val="002E4ECB"/>
    <w:rsid w:val="002E4F23"/>
    <w:rsid w:val="002E635A"/>
    <w:rsid w:val="002E6D68"/>
    <w:rsid w:val="002E7847"/>
    <w:rsid w:val="002F0073"/>
    <w:rsid w:val="002F1B27"/>
    <w:rsid w:val="002F1C67"/>
    <w:rsid w:val="002F240B"/>
    <w:rsid w:val="002F24DA"/>
    <w:rsid w:val="002F2F50"/>
    <w:rsid w:val="002F33EC"/>
    <w:rsid w:val="002F34E3"/>
    <w:rsid w:val="002F3601"/>
    <w:rsid w:val="002F40E2"/>
    <w:rsid w:val="002F45F6"/>
    <w:rsid w:val="002F5A6F"/>
    <w:rsid w:val="002F692F"/>
    <w:rsid w:val="002F7031"/>
    <w:rsid w:val="002F7961"/>
    <w:rsid w:val="002F7B66"/>
    <w:rsid w:val="00300CB4"/>
    <w:rsid w:val="00300E24"/>
    <w:rsid w:val="0030257B"/>
    <w:rsid w:val="003033BA"/>
    <w:rsid w:val="00303C19"/>
    <w:rsid w:val="003043A3"/>
    <w:rsid w:val="0030462D"/>
    <w:rsid w:val="00304BD4"/>
    <w:rsid w:val="00304F54"/>
    <w:rsid w:val="0030500A"/>
    <w:rsid w:val="003052EB"/>
    <w:rsid w:val="00305FCB"/>
    <w:rsid w:val="003063C3"/>
    <w:rsid w:val="003069DC"/>
    <w:rsid w:val="00306A13"/>
    <w:rsid w:val="00306B44"/>
    <w:rsid w:val="00307C44"/>
    <w:rsid w:val="0031040A"/>
    <w:rsid w:val="0031088E"/>
    <w:rsid w:val="00310D01"/>
    <w:rsid w:val="00311376"/>
    <w:rsid w:val="00311A1F"/>
    <w:rsid w:val="00311B47"/>
    <w:rsid w:val="00311D52"/>
    <w:rsid w:val="00312190"/>
    <w:rsid w:val="003125E0"/>
    <w:rsid w:val="0031271D"/>
    <w:rsid w:val="003132BB"/>
    <w:rsid w:val="00313337"/>
    <w:rsid w:val="00313447"/>
    <w:rsid w:val="00313748"/>
    <w:rsid w:val="00313EA3"/>
    <w:rsid w:val="003151FE"/>
    <w:rsid w:val="00315365"/>
    <w:rsid w:val="00315457"/>
    <w:rsid w:val="003161A4"/>
    <w:rsid w:val="00316955"/>
    <w:rsid w:val="0031713F"/>
    <w:rsid w:val="0031720A"/>
    <w:rsid w:val="0031749B"/>
    <w:rsid w:val="003174E5"/>
    <w:rsid w:val="00317C9D"/>
    <w:rsid w:val="00317CD2"/>
    <w:rsid w:val="00317D99"/>
    <w:rsid w:val="0032078D"/>
    <w:rsid w:val="00320ADF"/>
    <w:rsid w:val="0032137B"/>
    <w:rsid w:val="00321A70"/>
    <w:rsid w:val="00321BD6"/>
    <w:rsid w:val="00321FA3"/>
    <w:rsid w:val="003227D3"/>
    <w:rsid w:val="00322937"/>
    <w:rsid w:val="00323881"/>
    <w:rsid w:val="00324885"/>
    <w:rsid w:val="003251A8"/>
    <w:rsid w:val="003251F6"/>
    <w:rsid w:val="003254B1"/>
    <w:rsid w:val="00325AD9"/>
    <w:rsid w:val="00325D79"/>
    <w:rsid w:val="00325D98"/>
    <w:rsid w:val="0032682A"/>
    <w:rsid w:val="00327A5C"/>
    <w:rsid w:val="003305BD"/>
    <w:rsid w:val="0033092C"/>
    <w:rsid w:val="0033122A"/>
    <w:rsid w:val="003315AC"/>
    <w:rsid w:val="00331932"/>
    <w:rsid w:val="00331F74"/>
    <w:rsid w:val="00332382"/>
    <w:rsid w:val="00332453"/>
    <w:rsid w:val="0033251B"/>
    <w:rsid w:val="00333A88"/>
    <w:rsid w:val="003351FF"/>
    <w:rsid w:val="00335B15"/>
    <w:rsid w:val="00335B21"/>
    <w:rsid w:val="00335D3F"/>
    <w:rsid w:val="00336104"/>
    <w:rsid w:val="00336729"/>
    <w:rsid w:val="00336CD9"/>
    <w:rsid w:val="0033726D"/>
    <w:rsid w:val="00337CA8"/>
    <w:rsid w:val="00340D3F"/>
    <w:rsid w:val="0034174B"/>
    <w:rsid w:val="0034177C"/>
    <w:rsid w:val="003420E9"/>
    <w:rsid w:val="00342345"/>
    <w:rsid w:val="00342C27"/>
    <w:rsid w:val="003430C8"/>
    <w:rsid w:val="003432C8"/>
    <w:rsid w:val="003434B3"/>
    <w:rsid w:val="00343536"/>
    <w:rsid w:val="00343EFB"/>
    <w:rsid w:val="00344760"/>
    <w:rsid w:val="003454E8"/>
    <w:rsid w:val="00345574"/>
    <w:rsid w:val="00345965"/>
    <w:rsid w:val="0034680A"/>
    <w:rsid w:val="00346C62"/>
    <w:rsid w:val="0034713F"/>
    <w:rsid w:val="00347202"/>
    <w:rsid w:val="0034778E"/>
    <w:rsid w:val="00347A5A"/>
    <w:rsid w:val="003501E2"/>
    <w:rsid w:val="003514B8"/>
    <w:rsid w:val="00351E10"/>
    <w:rsid w:val="003533F4"/>
    <w:rsid w:val="003536F6"/>
    <w:rsid w:val="00353DD5"/>
    <w:rsid w:val="00353F36"/>
    <w:rsid w:val="00355131"/>
    <w:rsid w:val="00355F74"/>
    <w:rsid w:val="003560DB"/>
    <w:rsid w:val="003564DB"/>
    <w:rsid w:val="00356F87"/>
    <w:rsid w:val="00357E83"/>
    <w:rsid w:val="00360CF3"/>
    <w:rsid w:val="00361A59"/>
    <w:rsid w:val="00363348"/>
    <w:rsid w:val="00363857"/>
    <w:rsid w:val="00363A24"/>
    <w:rsid w:val="00363D59"/>
    <w:rsid w:val="00363F08"/>
    <w:rsid w:val="003640F7"/>
    <w:rsid w:val="0036594A"/>
    <w:rsid w:val="00365AE5"/>
    <w:rsid w:val="00365D3A"/>
    <w:rsid w:val="003664FF"/>
    <w:rsid w:val="00366BD2"/>
    <w:rsid w:val="003670B8"/>
    <w:rsid w:val="003704A3"/>
    <w:rsid w:val="003706F2"/>
    <w:rsid w:val="003709E8"/>
    <w:rsid w:val="0037124F"/>
    <w:rsid w:val="00373827"/>
    <w:rsid w:val="0037401C"/>
    <w:rsid w:val="0037507B"/>
    <w:rsid w:val="00375C7C"/>
    <w:rsid w:val="00377027"/>
    <w:rsid w:val="00377135"/>
    <w:rsid w:val="00380272"/>
    <w:rsid w:val="003805DB"/>
    <w:rsid w:val="0038152A"/>
    <w:rsid w:val="0038245D"/>
    <w:rsid w:val="00382BAD"/>
    <w:rsid w:val="003835FD"/>
    <w:rsid w:val="00383DE4"/>
    <w:rsid w:val="00383EDF"/>
    <w:rsid w:val="00384494"/>
    <w:rsid w:val="0038484C"/>
    <w:rsid w:val="00384C5E"/>
    <w:rsid w:val="00384DF1"/>
    <w:rsid w:val="00384FF3"/>
    <w:rsid w:val="00386456"/>
    <w:rsid w:val="003865A9"/>
    <w:rsid w:val="0039047D"/>
    <w:rsid w:val="003906FD"/>
    <w:rsid w:val="0039092B"/>
    <w:rsid w:val="00390BD9"/>
    <w:rsid w:val="00390F32"/>
    <w:rsid w:val="0039135E"/>
    <w:rsid w:val="00391867"/>
    <w:rsid w:val="0039285D"/>
    <w:rsid w:val="0039319C"/>
    <w:rsid w:val="00393577"/>
    <w:rsid w:val="00393CAE"/>
    <w:rsid w:val="003945F4"/>
    <w:rsid w:val="00394EB5"/>
    <w:rsid w:val="003953B4"/>
    <w:rsid w:val="00395558"/>
    <w:rsid w:val="0039615F"/>
    <w:rsid w:val="003966A0"/>
    <w:rsid w:val="00396A29"/>
    <w:rsid w:val="00397FF0"/>
    <w:rsid w:val="003A058E"/>
    <w:rsid w:val="003A0878"/>
    <w:rsid w:val="003A1561"/>
    <w:rsid w:val="003A1D25"/>
    <w:rsid w:val="003A22A2"/>
    <w:rsid w:val="003A2447"/>
    <w:rsid w:val="003A2AA1"/>
    <w:rsid w:val="003A31A5"/>
    <w:rsid w:val="003A329A"/>
    <w:rsid w:val="003A3603"/>
    <w:rsid w:val="003A3851"/>
    <w:rsid w:val="003A39DD"/>
    <w:rsid w:val="003A40DB"/>
    <w:rsid w:val="003A4199"/>
    <w:rsid w:val="003A41C5"/>
    <w:rsid w:val="003A4A8E"/>
    <w:rsid w:val="003A4C7B"/>
    <w:rsid w:val="003A563C"/>
    <w:rsid w:val="003A581E"/>
    <w:rsid w:val="003A5E7E"/>
    <w:rsid w:val="003A6160"/>
    <w:rsid w:val="003A65A5"/>
    <w:rsid w:val="003A65AC"/>
    <w:rsid w:val="003A72F5"/>
    <w:rsid w:val="003A78E5"/>
    <w:rsid w:val="003B0341"/>
    <w:rsid w:val="003B1961"/>
    <w:rsid w:val="003B1E57"/>
    <w:rsid w:val="003B2EF3"/>
    <w:rsid w:val="003B534F"/>
    <w:rsid w:val="003B5391"/>
    <w:rsid w:val="003B58CE"/>
    <w:rsid w:val="003B65D7"/>
    <w:rsid w:val="003B65E0"/>
    <w:rsid w:val="003B6BD4"/>
    <w:rsid w:val="003B6F4D"/>
    <w:rsid w:val="003B6FE7"/>
    <w:rsid w:val="003C0491"/>
    <w:rsid w:val="003C0C0F"/>
    <w:rsid w:val="003C0D1F"/>
    <w:rsid w:val="003C116A"/>
    <w:rsid w:val="003C1AF4"/>
    <w:rsid w:val="003C1CB8"/>
    <w:rsid w:val="003C22DA"/>
    <w:rsid w:val="003C2550"/>
    <w:rsid w:val="003C287F"/>
    <w:rsid w:val="003C3339"/>
    <w:rsid w:val="003C375A"/>
    <w:rsid w:val="003C4317"/>
    <w:rsid w:val="003C4D9F"/>
    <w:rsid w:val="003C5247"/>
    <w:rsid w:val="003C5B02"/>
    <w:rsid w:val="003C5E8A"/>
    <w:rsid w:val="003C622C"/>
    <w:rsid w:val="003C6505"/>
    <w:rsid w:val="003C73C7"/>
    <w:rsid w:val="003C7CFB"/>
    <w:rsid w:val="003D02F3"/>
    <w:rsid w:val="003D050B"/>
    <w:rsid w:val="003D0B98"/>
    <w:rsid w:val="003D0C3C"/>
    <w:rsid w:val="003D0DE5"/>
    <w:rsid w:val="003D1351"/>
    <w:rsid w:val="003D21C1"/>
    <w:rsid w:val="003D3B15"/>
    <w:rsid w:val="003D3B2E"/>
    <w:rsid w:val="003D3F28"/>
    <w:rsid w:val="003D4101"/>
    <w:rsid w:val="003D484D"/>
    <w:rsid w:val="003D49CB"/>
    <w:rsid w:val="003D4F41"/>
    <w:rsid w:val="003D5F10"/>
    <w:rsid w:val="003D65E0"/>
    <w:rsid w:val="003D6B8F"/>
    <w:rsid w:val="003D7566"/>
    <w:rsid w:val="003E0224"/>
    <w:rsid w:val="003E09BB"/>
    <w:rsid w:val="003E13D2"/>
    <w:rsid w:val="003E159D"/>
    <w:rsid w:val="003E20EA"/>
    <w:rsid w:val="003E210C"/>
    <w:rsid w:val="003E2F55"/>
    <w:rsid w:val="003E324A"/>
    <w:rsid w:val="003E34DB"/>
    <w:rsid w:val="003E3833"/>
    <w:rsid w:val="003E3AF9"/>
    <w:rsid w:val="003E4A70"/>
    <w:rsid w:val="003E4C48"/>
    <w:rsid w:val="003E4CD9"/>
    <w:rsid w:val="003E52C2"/>
    <w:rsid w:val="003E54B3"/>
    <w:rsid w:val="003E56B0"/>
    <w:rsid w:val="003E5780"/>
    <w:rsid w:val="003E5B9F"/>
    <w:rsid w:val="003E6072"/>
    <w:rsid w:val="003E60D6"/>
    <w:rsid w:val="003E6AB6"/>
    <w:rsid w:val="003E6E0B"/>
    <w:rsid w:val="003E71CD"/>
    <w:rsid w:val="003E78DA"/>
    <w:rsid w:val="003E7A8B"/>
    <w:rsid w:val="003F02A2"/>
    <w:rsid w:val="003F060E"/>
    <w:rsid w:val="003F0F7F"/>
    <w:rsid w:val="003F115C"/>
    <w:rsid w:val="003F153A"/>
    <w:rsid w:val="003F300D"/>
    <w:rsid w:val="003F391F"/>
    <w:rsid w:val="003F4599"/>
    <w:rsid w:val="003F45E1"/>
    <w:rsid w:val="003F4F6C"/>
    <w:rsid w:val="003F559E"/>
    <w:rsid w:val="003F6181"/>
    <w:rsid w:val="003F6BFC"/>
    <w:rsid w:val="003F7343"/>
    <w:rsid w:val="00400002"/>
    <w:rsid w:val="00400054"/>
    <w:rsid w:val="00400A1B"/>
    <w:rsid w:val="00400E06"/>
    <w:rsid w:val="00401533"/>
    <w:rsid w:val="004016A3"/>
    <w:rsid w:val="00401B31"/>
    <w:rsid w:val="0040202B"/>
    <w:rsid w:val="0040219D"/>
    <w:rsid w:val="00402DE1"/>
    <w:rsid w:val="00402EEB"/>
    <w:rsid w:val="00402FAF"/>
    <w:rsid w:val="004037C2"/>
    <w:rsid w:val="00404041"/>
    <w:rsid w:val="004040D4"/>
    <w:rsid w:val="00404B43"/>
    <w:rsid w:val="00404C61"/>
    <w:rsid w:val="00405487"/>
    <w:rsid w:val="00405B8A"/>
    <w:rsid w:val="0040602B"/>
    <w:rsid w:val="0040606C"/>
    <w:rsid w:val="004060DC"/>
    <w:rsid w:val="00406DF5"/>
    <w:rsid w:val="00406F35"/>
    <w:rsid w:val="004077D0"/>
    <w:rsid w:val="00407937"/>
    <w:rsid w:val="00407A7A"/>
    <w:rsid w:val="00407ABC"/>
    <w:rsid w:val="00407F1E"/>
    <w:rsid w:val="00410A88"/>
    <w:rsid w:val="00410CC8"/>
    <w:rsid w:val="00411317"/>
    <w:rsid w:val="00411692"/>
    <w:rsid w:val="0041187D"/>
    <w:rsid w:val="00411A9E"/>
    <w:rsid w:val="0041259F"/>
    <w:rsid w:val="00412B1B"/>
    <w:rsid w:val="00412B4D"/>
    <w:rsid w:val="00412C51"/>
    <w:rsid w:val="00413262"/>
    <w:rsid w:val="0041329C"/>
    <w:rsid w:val="004139F4"/>
    <w:rsid w:val="00413FFA"/>
    <w:rsid w:val="00414246"/>
    <w:rsid w:val="0041463D"/>
    <w:rsid w:val="00414D9A"/>
    <w:rsid w:val="00415194"/>
    <w:rsid w:val="00415816"/>
    <w:rsid w:val="00415B88"/>
    <w:rsid w:val="00415D32"/>
    <w:rsid w:val="004160A2"/>
    <w:rsid w:val="0041674B"/>
    <w:rsid w:val="004170D7"/>
    <w:rsid w:val="004177A6"/>
    <w:rsid w:val="00417C23"/>
    <w:rsid w:val="00417EFD"/>
    <w:rsid w:val="004200EE"/>
    <w:rsid w:val="00420786"/>
    <w:rsid w:val="004207F3"/>
    <w:rsid w:val="004209D2"/>
    <w:rsid w:val="00420BBA"/>
    <w:rsid w:val="00420D6E"/>
    <w:rsid w:val="00420F50"/>
    <w:rsid w:val="0042158C"/>
    <w:rsid w:val="00421617"/>
    <w:rsid w:val="004217A7"/>
    <w:rsid w:val="00421BD2"/>
    <w:rsid w:val="00421E00"/>
    <w:rsid w:val="00421FCB"/>
    <w:rsid w:val="0042226E"/>
    <w:rsid w:val="00422DCA"/>
    <w:rsid w:val="00423D04"/>
    <w:rsid w:val="00423F9F"/>
    <w:rsid w:val="00425B2E"/>
    <w:rsid w:val="00425C43"/>
    <w:rsid w:val="004273FA"/>
    <w:rsid w:val="004275A7"/>
    <w:rsid w:val="004278D8"/>
    <w:rsid w:val="00427DE1"/>
    <w:rsid w:val="00430186"/>
    <w:rsid w:val="00430D44"/>
    <w:rsid w:val="00430DD2"/>
    <w:rsid w:val="00430F17"/>
    <w:rsid w:val="00431CC7"/>
    <w:rsid w:val="0043260C"/>
    <w:rsid w:val="0043269A"/>
    <w:rsid w:val="00432E92"/>
    <w:rsid w:val="004333C2"/>
    <w:rsid w:val="00434787"/>
    <w:rsid w:val="00434C13"/>
    <w:rsid w:val="00434D8B"/>
    <w:rsid w:val="00435294"/>
    <w:rsid w:val="00435703"/>
    <w:rsid w:val="00435BD5"/>
    <w:rsid w:val="00436323"/>
    <w:rsid w:val="0043683F"/>
    <w:rsid w:val="00436F40"/>
    <w:rsid w:val="004370FA"/>
    <w:rsid w:val="0043741B"/>
    <w:rsid w:val="00440096"/>
    <w:rsid w:val="004403DD"/>
    <w:rsid w:val="00440CF3"/>
    <w:rsid w:val="00440DB0"/>
    <w:rsid w:val="00440DDC"/>
    <w:rsid w:val="00440FAD"/>
    <w:rsid w:val="00441291"/>
    <w:rsid w:val="00441E04"/>
    <w:rsid w:val="004420AB"/>
    <w:rsid w:val="004422D6"/>
    <w:rsid w:val="004427AC"/>
    <w:rsid w:val="00442C7D"/>
    <w:rsid w:val="00442D13"/>
    <w:rsid w:val="00442D4D"/>
    <w:rsid w:val="0044361F"/>
    <w:rsid w:val="0044374D"/>
    <w:rsid w:val="00443B55"/>
    <w:rsid w:val="00443D27"/>
    <w:rsid w:val="00444D7D"/>
    <w:rsid w:val="0044500B"/>
    <w:rsid w:val="004451C5"/>
    <w:rsid w:val="00446037"/>
    <w:rsid w:val="00446270"/>
    <w:rsid w:val="0044642F"/>
    <w:rsid w:val="00446709"/>
    <w:rsid w:val="00446922"/>
    <w:rsid w:val="0044772C"/>
    <w:rsid w:val="00447BB9"/>
    <w:rsid w:val="00450846"/>
    <w:rsid w:val="00451A52"/>
    <w:rsid w:val="004521F9"/>
    <w:rsid w:val="0045271D"/>
    <w:rsid w:val="00452755"/>
    <w:rsid w:val="00452803"/>
    <w:rsid w:val="004529C6"/>
    <w:rsid w:val="00452A7C"/>
    <w:rsid w:val="00452EAD"/>
    <w:rsid w:val="004533D1"/>
    <w:rsid w:val="004534D1"/>
    <w:rsid w:val="004540B8"/>
    <w:rsid w:val="00454548"/>
    <w:rsid w:val="00454717"/>
    <w:rsid w:val="00454DF8"/>
    <w:rsid w:val="00455004"/>
    <w:rsid w:val="00455047"/>
    <w:rsid w:val="00455354"/>
    <w:rsid w:val="0045558D"/>
    <w:rsid w:val="00455BD3"/>
    <w:rsid w:val="004567DA"/>
    <w:rsid w:val="00456970"/>
    <w:rsid w:val="00456BB1"/>
    <w:rsid w:val="00456CD4"/>
    <w:rsid w:val="00456DDB"/>
    <w:rsid w:val="00456E61"/>
    <w:rsid w:val="00457031"/>
    <w:rsid w:val="00460915"/>
    <w:rsid w:val="00460946"/>
    <w:rsid w:val="004614A9"/>
    <w:rsid w:val="00461E97"/>
    <w:rsid w:val="0046268F"/>
    <w:rsid w:val="0046284F"/>
    <w:rsid w:val="00462B10"/>
    <w:rsid w:val="00462C04"/>
    <w:rsid w:val="0046320A"/>
    <w:rsid w:val="00463347"/>
    <w:rsid w:val="004636CC"/>
    <w:rsid w:val="004638E2"/>
    <w:rsid w:val="00464030"/>
    <w:rsid w:val="004647F8"/>
    <w:rsid w:val="004647FB"/>
    <w:rsid w:val="00465347"/>
    <w:rsid w:val="00465677"/>
    <w:rsid w:val="0046580C"/>
    <w:rsid w:val="00466616"/>
    <w:rsid w:val="00466A0C"/>
    <w:rsid w:val="00466A53"/>
    <w:rsid w:val="00470A6A"/>
    <w:rsid w:val="00470D73"/>
    <w:rsid w:val="00470D92"/>
    <w:rsid w:val="00471DF7"/>
    <w:rsid w:val="004727B1"/>
    <w:rsid w:val="004734CF"/>
    <w:rsid w:val="00473F33"/>
    <w:rsid w:val="0047480D"/>
    <w:rsid w:val="0047586C"/>
    <w:rsid w:val="00475C5A"/>
    <w:rsid w:val="00475C9C"/>
    <w:rsid w:val="0047676B"/>
    <w:rsid w:val="004774C3"/>
    <w:rsid w:val="0047773C"/>
    <w:rsid w:val="00477C5F"/>
    <w:rsid w:val="00480050"/>
    <w:rsid w:val="0048011C"/>
    <w:rsid w:val="004808DE"/>
    <w:rsid w:val="00480F9A"/>
    <w:rsid w:val="00481912"/>
    <w:rsid w:val="00481AC4"/>
    <w:rsid w:val="00481DC1"/>
    <w:rsid w:val="00482507"/>
    <w:rsid w:val="0048268A"/>
    <w:rsid w:val="00482A64"/>
    <w:rsid w:val="004835CA"/>
    <w:rsid w:val="004836F8"/>
    <w:rsid w:val="004836FE"/>
    <w:rsid w:val="00484A39"/>
    <w:rsid w:val="00484F0F"/>
    <w:rsid w:val="00484F40"/>
    <w:rsid w:val="0048540C"/>
    <w:rsid w:val="004861B4"/>
    <w:rsid w:val="00486226"/>
    <w:rsid w:val="004862CD"/>
    <w:rsid w:val="00486BD0"/>
    <w:rsid w:val="00486D00"/>
    <w:rsid w:val="00486FF7"/>
    <w:rsid w:val="00487263"/>
    <w:rsid w:val="0048734F"/>
    <w:rsid w:val="0049029D"/>
    <w:rsid w:val="0049030C"/>
    <w:rsid w:val="004903C0"/>
    <w:rsid w:val="0049114B"/>
    <w:rsid w:val="004912A8"/>
    <w:rsid w:val="00491577"/>
    <w:rsid w:val="004918E1"/>
    <w:rsid w:val="0049196A"/>
    <w:rsid w:val="0049196E"/>
    <w:rsid w:val="0049241A"/>
    <w:rsid w:val="00492844"/>
    <w:rsid w:val="00492C1F"/>
    <w:rsid w:val="00492E4C"/>
    <w:rsid w:val="00493664"/>
    <w:rsid w:val="004938FD"/>
    <w:rsid w:val="00493C88"/>
    <w:rsid w:val="00493E04"/>
    <w:rsid w:val="004940E3"/>
    <w:rsid w:val="004941CD"/>
    <w:rsid w:val="0049530F"/>
    <w:rsid w:val="00496664"/>
    <w:rsid w:val="00496786"/>
    <w:rsid w:val="0049695B"/>
    <w:rsid w:val="00496AC4"/>
    <w:rsid w:val="00496D8F"/>
    <w:rsid w:val="00497463"/>
    <w:rsid w:val="004A054C"/>
    <w:rsid w:val="004A0834"/>
    <w:rsid w:val="004A08D1"/>
    <w:rsid w:val="004A0FA9"/>
    <w:rsid w:val="004A16C1"/>
    <w:rsid w:val="004A1CE2"/>
    <w:rsid w:val="004A34D2"/>
    <w:rsid w:val="004A4301"/>
    <w:rsid w:val="004A4D93"/>
    <w:rsid w:val="004A546E"/>
    <w:rsid w:val="004A58EE"/>
    <w:rsid w:val="004A59B7"/>
    <w:rsid w:val="004A6051"/>
    <w:rsid w:val="004A623B"/>
    <w:rsid w:val="004A6A04"/>
    <w:rsid w:val="004A6A52"/>
    <w:rsid w:val="004B0A44"/>
    <w:rsid w:val="004B0F0B"/>
    <w:rsid w:val="004B205A"/>
    <w:rsid w:val="004B2197"/>
    <w:rsid w:val="004B25D8"/>
    <w:rsid w:val="004B298A"/>
    <w:rsid w:val="004B2BB8"/>
    <w:rsid w:val="004B50CB"/>
    <w:rsid w:val="004B578D"/>
    <w:rsid w:val="004B5BE7"/>
    <w:rsid w:val="004B5E2D"/>
    <w:rsid w:val="004B65D9"/>
    <w:rsid w:val="004B6C07"/>
    <w:rsid w:val="004B74D3"/>
    <w:rsid w:val="004B755E"/>
    <w:rsid w:val="004B788E"/>
    <w:rsid w:val="004B7E5D"/>
    <w:rsid w:val="004C1198"/>
    <w:rsid w:val="004C22F7"/>
    <w:rsid w:val="004C2B27"/>
    <w:rsid w:val="004C3929"/>
    <w:rsid w:val="004C4160"/>
    <w:rsid w:val="004C5212"/>
    <w:rsid w:val="004C5EF0"/>
    <w:rsid w:val="004C64C9"/>
    <w:rsid w:val="004C7226"/>
    <w:rsid w:val="004C74C9"/>
    <w:rsid w:val="004C7915"/>
    <w:rsid w:val="004C7D70"/>
    <w:rsid w:val="004D02F9"/>
    <w:rsid w:val="004D03FE"/>
    <w:rsid w:val="004D0446"/>
    <w:rsid w:val="004D06A3"/>
    <w:rsid w:val="004D0F95"/>
    <w:rsid w:val="004D106A"/>
    <w:rsid w:val="004D1C7E"/>
    <w:rsid w:val="004D245A"/>
    <w:rsid w:val="004D31EE"/>
    <w:rsid w:val="004D36AF"/>
    <w:rsid w:val="004D3BD1"/>
    <w:rsid w:val="004D4BA1"/>
    <w:rsid w:val="004D584D"/>
    <w:rsid w:val="004D5A7E"/>
    <w:rsid w:val="004D6120"/>
    <w:rsid w:val="004D6826"/>
    <w:rsid w:val="004D7497"/>
    <w:rsid w:val="004E023F"/>
    <w:rsid w:val="004E0546"/>
    <w:rsid w:val="004E0556"/>
    <w:rsid w:val="004E0742"/>
    <w:rsid w:val="004E0C64"/>
    <w:rsid w:val="004E0F6B"/>
    <w:rsid w:val="004E1545"/>
    <w:rsid w:val="004E1F1C"/>
    <w:rsid w:val="004E2A35"/>
    <w:rsid w:val="004E2CCF"/>
    <w:rsid w:val="004E3B71"/>
    <w:rsid w:val="004E3FD1"/>
    <w:rsid w:val="004E40CE"/>
    <w:rsid w:val="004E5736"/>
    <w:rsid w:val="004E5A3C"/>
    <w:rsid w:val="004E5B36"/>
    <w:rsid w:val="004E5D5D"/>
    <w:rsid w:val="004E6045"/>
    <w:rsid w:val="004E6F43"/>
    <w:rsid w:val="004E71B7"/>
    <w:rsid w:val="004E7200"/>
    <w:rsid w:val="004E787E"/>
    <w:rsid w:val="004E7AA1"/>
    <w:rsid w:val="004F0805"/>
    <w:rsid w:val="004F0960"/>
    <w:rsid w:val="004F0A5C"/>
    <w:rsid w:val="004F1596"/>
    <w:rsid w:val="004F163F"/>
    <w:rsid w:val="004F18A0"/>
    <w:rsid w:val="004F1A08"/>
    <w:rsid w:val="004F2364"/>
    <w:rsid w:val="004F2B64"/>
    <w:rsid w:val="004F31B8"/>
    <w:rsid w:val="004F375E"/>
    <w:rsid w:val="004F3764"/>
    <w:rsid w:val="004F3EEF"/>
    <w:rsid w:val="004F5180"/>
    <w:rsid w:val="004F57C9"/>
    <w:rsid w:val="004F5930"/>
    <w:rsid w:val="004F5970"/>
    <w:rsid w:val="004F5F0C"/>
    <w:rsid w:val="004F6121"/>
    <w:rsid w:val="004F6161"/>
    <w:rsid w:val="004F66BC"/>
    <w:rsid w:val="004F6C26"/>
    <w:rsid w:val="004F7AC9"/>
    <w:rsid w:val="0050062F"/>
    <w:rsid w:val="00500E74"/>
    <w:rsid w:val="0050160F"/>
    <w:rsid w:val="0050284E"/>
    <w:rsid w:val="0050306F"/>
    <w:rsid w:val="00503534"/>
    <w:rsid w:val="00503A17"/>
    <w:rsid w:val="005042E8"/>
    <w:rsid w:val="00505892"/>
    <w:rsid w:val="00505DCB"/>
    <w:rsid w:val="0050674C"/>
    <w:rsid w:val="00507066"/>
    <w:rsid w:val="005075CA"/>
    <w:rsid w:val="00507B06"/>
    <w:rsid w:val="00507BF1"/>
    <w:rsid w:val="0051074C"/>
    <w:rsid w:val="00510DE9"/>
    <w:rsid w:val="005111E2"/>
    <w:rsid w:val="00511231"/>
    <w:rsid w:val="00511741"/>
    <w:rsid w:val="00512C4F"/>
    <w:rsid w:val="00513042"/>
    <w:rsid w:val="0051334F"/>
    <w:rsid w:val="00513399"/>
    <w:rsid w:val="00513AF2"/>
    <w:rsid w:val="00514575"/>
    <w:rsid w:val="00514C03"/>
    <w:rsid w:val="00514D67"/>
    <w:rsid w:val="0051522A"/>
    <w:rsid w:val="00515515"/>
    <w:rsid w:val="0051635C"/>
    <w:rsid w:val="00516C5B"/>
    <w:rsid w:val="00517612"/>
    <w:rsid w:val="00517CFB"/>
    <w:rsid w:val="00517F85"/>
    <w:rsid w:val="0052002F"/>
    <w:rsid w:val="00520235"/>
    <w:rsid w:val="00520899"/>
    <w:rsid w:val="00520922"/>
    <w:rsid w:val="005209FC"/>
    <w:rsid w:val="00520C09"/>
    <w:rsid w:val="00520EC1"/>
    <w:rsid w:val="00521A30"/>
    <w:rsid w:val="00521D7C"/>
    <w:rsid w:val="00521EA7"/>
    <w:rsid w:val="005224E5"/>
    <w:rsid w:val="0052311A"/>
    <w:rsid w:val="00523903"/>
    <w:rsid w:val="005239B6"/>
    <w:rsid w:val="00523C45"/>
    <w:rsid w:val="00523F41"/>
    <w:rsid w:val="00524165"/>
    <w:rsid w:val="005244FC"/>
    <w:rsid w:val="005246E7"/>
    <w:rsid w:val="00524B08"/>
    <w:rsid w:val="00524C38"/>
    <w:rsid w:val="00524FD2"/>
    <w:rsid w:val="00525621"/>
    <w:rsid w:val="00526431"/>
    <w:rsid w:val="00527532"/>
    <w:rsid w:val="00527DEB"/>
    <w:rsid w:val="00527E57"/>
    <w:rsid w:val="00527F2C"/>
    <w:rsid w:val="00530405"/>
    <w:rsid w:val="00530458"/>
    <w:rsid w:val="00530522"/>
    <w:rsid w:val="005305E5"/>
    <w:rsid w:val="0053086F"/>
    <w:rsid w:val="00530CBA"/>
    <w:rsid w:val="00530F38"/>
    <w:rsid w:val="00531F26"/>
    <w:rsid w:val="00532501"/>
    <w:rsid w:val="0053277C"/>
    <w:rsid w:val="005327C0"/>
    <w:rsid w:val="00533101"/>
    <w:rsid w:val="00533CA9"/>
    <w:rsid w:val="005346AD"/>
    <w:rsid w:val="00534EFB"/>
    <w:rsid w:val="00534F60"/>
    <w:rsid w:val="005357F1"/>
    <w:rsid w:val="00535C73"/>
    <w:rsid w:val="00535D15"/>
    <w:rsid w:val="00536053"/>
    <w:rsid w:val="005363C6"/>
    <w:rsid w:val="005367B6"/>
    <w:rsid w:val="005369E6"/>
    <w:rsid w:val="005371AC"/>
    <w:rsid w:val="00537672"/>
    <w:rsid w:val="005376B5"/>
    <w:rsid w:val="0053772F"/>
    <w:rsid w:val="00537A70"/>
    <w:rsid w:val="00537B64"/>
    <w:rsid w:val="00537B77"/>
    <w:rsid w:val="00540C4C"/>
    <w:rsid w:val="00541469"/>
    <w:rsid w:val="00541571"/>
    <w:rsid w:val="005419DA"/>
    <w:rsid w:val="00541B1F"/>
    <w:rsid w:val="0054275A"/>
    <w:rsid w:val="005428B8"/>
    <w:rsid w:val="005428BE"/>
    <w:rsid w:val="00542BD7"/>
    <w:rsid w:val="00543084"/>
    <w:rsid w:val="00543584"/>
    <w:rsid w:val="00543A9E"/>
    <w:rsid w:val="0054413A"/>
    <w:rsid w:val="00544288"/>
    <w:rsid w:val="005446BB"/>
    <w:rsid w:val="00544DA5"/>
    <w:rsid w:val="00544F43"/>
    <w:rsid w:val="00545997"/>
    <w:rsid w:val="00545E30"/>
    <w:rsid w:val="00545EA3"/>
    <w:rsid w:val="00546C9B"/>
    <w:rsid w:val="00546DBF"/>
    <w:rsid w:val="00547378"/>
    <w:rsid w:val="00547778"/>
    <w:rsid w:val="00547BF6"/>
    <w:rsid w:val="00547FB3"/>
    <w:rsid w:val="00551098"/>
    <w:rsid w:val="00551598"/>
    <w:rsid w:val="0055162B"/>
    <w:rsid w:val="00551A56"/>
    <w:rsid w:val="00551BFF"/>
    <w:rsid w:val="00551D68"/>
    <w:rsid w:val="00551DFF"/>
    <w:rsid w:val="005525C9"/>
    <w:rsid w:val="00552B3E"/>
    <w:rsid w:val="00553A23"/>
    <w:rsid w:val="00554578"/>
    <w:rsid w:val="00554D57"/>
    <w:rsid w:val="005551AA"/>
    <w:rsid w:val="00555BCE"/>
    <w:rsid w:val="005564CA"/>
    <w:rsid w:val="005568BD"/>
    <w:rsid w:val="005568EA"/>
    <w:rsid w:val="00557140"/>
    <w:rsid w:val="0055715A"/>
    <w:rsid w:val="0055729E"/>
    <w:rsid w:val="00557984"/>
    <w:rsid w:val="00557A3F"/>
    <w:rsid w:val="00560BC1"/>
    <w:rsid w:val="00560C87"/>
    <w:rsid w:val="00560F51"/>
    <w:rsid w:val="00561249"/>
    <w:rsid w:val="0056182B"/>
    <w:rsid w:val="00561A88"/>
    <w:rsid w:val="00561AF3"/>
    <w:rsid w:val="00561E0B"/>
    <w:rsid w:val="00562141"/>
    <w:rsid w:val="00562D86"/>
    <w:rsid w:val="005640CA"/>
    <w:rsid w:val="00564704"/>
    <w:rsid w:val="00564712"/>
    <w:rsid w:val="005657A8"/>
    <w:rsid w:val="00565952"/>
    <w:rsid w:val="00566866"/>
    <w:rsid w:val="005670A5"/>
    <w:rsid w:val="00567285"/>
    <w:rsid w:val="00567723"/>
    <w:rsid w:val="0056772D"/>
    <w:rsid w:val="005678F5"/>
    <w:rsid w:val="00567AB8"/>
    <w:rsid w:val="00570A26"/>
    <w:rsid w:val="00570CFD"/>
    <w:rsid w:val="00571872"/>
    <w:rsid w:val="0057221F"/>
    <w:rsid w:val="00572421"/>
    <w:rsid w:val="00572539"/>
    <w:rsid w:val="00573355"/>
    <w:rsid w:val="0057337D"/>
    <w:rsid w:val="00573504"/>
    <w:rsid w:val="0057355F"/>
    <w:rsid w:val="00573BA3"/>
    <w:rsid w:val="00574708"/>
    <w:rsid w:val="00574D81"/>
    <w:rsid w:val="005756AA"/>
    <w:rsid w:val="0057696F"/>
    <w:rsid w:val="00576C8A"/>
    <w:rsid w:val="005774FE"/>
    <w:rsid w:val="0058040C"/>
    <w:rsid w:val="00580D6D"/>
    <w:rsid w:val="00580FD8"/>
    <w:rsid w:val="005813DE"/>
    <w:rsid w:val="00581796"/>
    <w:rsid w:val="0058195C"/>
    <w:rsid w:val="00581B45"/>
    <w:rsid w:val="00581D95"/>
    <w:rsid w:val="00582480"/>
    <w:rsid w:val="00582805"/>
    <w:rsid w:val="0058290E"/>
    <w:rsid w:val="00582CAB"/>
    <w:rsid w:val="00582DCD"/>
    <w:rsid w:val="00582FA6"/>
    <w:rsid w:val="005836D5"/>
    <w:rsid w:val="0058375E"/>
    <w:rsid w:val="0058394B"/>
    <w:rsid w:val="00584233"/>
    <w:rsid w:val="0058426B"/>
    <w:rsid w:val="005842D0"/>
    <w:rsid w:val="005845FB"/>
    <w:rsid w:val="005855AE"/>
    <w:rsid w:val="00585829"/>
    <w:rsid w:val="00585CA8"/>
    <w:rsid w:val="00586412"/>
    <w:rsid w:val="005864B9"/>
    <w:rsid w:val="00586564"/>
    <w:rsid w:val="005866C4"/>
    <w:rsid w:val="00590F1A"/>
    <w:rsid w:val="00591C03"/>
    <w:rsid w:val="00591E2A"/>
    <w:rsid w:val="005923C4"/>
    <w:rsid w:val="0059397D"/>
    <w:rsid w:val="00593EA2"/>
    <w:rsid w:val="00593F75"/>
    <w:rsid w:val="005940A0"/>
    <w:rsid w:val="0059429A"/>
    <w:rsid w:val="00594CBE"/>
    <w:rsid w:val="00595197"/>
    <w:rsid w:val="00595561"/>
    <w:rsid w:val="00596AF7"/>
    <w:rsid w:val="00596CCE"/>
    <w:rsid w:val="00597516"/>
    <w:rsid w:val="005A1976"/>
    <w:rsid w:val="005A1F51"/>
    <w:rsid w:val="005A2120"/>
    <w:rsid w:val="005A2501"/>
    <w:rsid w:val="005A2C80"/>
    <w:rsid w:val="005A3066"/>
    <w:rsid w:val="005A3B35"/>
    <w:rsid w:val="005A3C4B"/>
    <w:rsid w:val="005A3E5A"/>
    <w:rsid w:val="005A43F3"/>
    <w:rsid w:val="005A496F"/>
    <w:rsid w:val="005A4A56"/>
    <w:rsid w:val="005A5608"/>
    <w:rsid w:val="005A5A3D"/>
    <w:rsid w:val="005A6035"/>
    <w:rsid w:val="005A6B75"/>
    <w:rsid w:val="005A6E00"/>
    <w:rsid w:val="005A718A"/>
    <w:rsid w:val="005A72DD"/>
    <w:rsid w:val="005A7885"/>
    <w:rsid w:val="005B12B2"/>
    <w:rsid w:val="005B143B"/>
    <w:rsid w:val="005B19BD"/>
    <w:rsid w:val="005B1E45"/>
    <w:rsid w:val="005B21C4"/>
    <w:rsid w:val="005B2A28"/>
    <w:rsid w:val="005B35AB"/>
    <w:rsid w:val="005B3621"/>
    <w:rsid w:val="005B3EBE"/>
    <w:rsid w:val="005B4948"/>
    <w:rsid w:val="005B501D"/>
    <w:rsid w:val="005B54CC"/>
    <w:rsid w:val="005B71BB"/>
    <w:rsid w:val="005B741C"/>
    <w:rsid w:val="005B74AD"/>
    <w:rsid w:val="005B7E96"/>
    <w:rsid w:val="005C0429"/>
    <w:rsid w:val="005C06A5"/>
    <w:rsid w:val="005C084F"/>
    <w:rsid w:val="005C0EE9"/>
    <w:rsid w:val="005C169F"/>
    <w:rsid w:val="005C16A8"/>
    <w:rsid w:val="005C1716"/>
    <w:rsid w:val="005C1954"/>
    <w:rsid w:val="005C1C0B"/>
    <w:rsid w:val="005C2011"/>
    <w:rsid w:val="005C3EA3"/>
    <w:rsid w:val="005C44DE"/>
    <w:rsid w:val="005C5011"/>
    <w:rsid w:val="005C506F"/>
    <w:rsid w:val="005C5241"/>
    <w:rsid w:val="005C529E"/>
    <w:rsid w:val="005C57BA"/>
    <w:rsid w:val="005C5C52"/>
    <w:rsid w:val="005C5D3D"/>
    <w:rsid w:val="005C5F05"/>
    <w:rsid w:val="005C6186"/>
    <w:rsid w:val="005C6397"/>
    <w:rsid w:val="005C6CF7"/>
    <w:rsid w:val="005C6D19"/>
    <w:rsid w:val="005C721D"/>
    <w:rsid w:val="005C7E45"/>
    <w:rsid w:val="005C7F3E"/>
    <w:rsid w:val="005D06D3"/>
    <w:rsid w:val="005D0C3B"/>
    <w:rsid w:val="005D103E"/>
    <w:rsid w:val="005D1051"/>
    <w:rsid w:val="005D1606"/>
    <w:rsid w:val="005D1D10"/>
    <w:rsid w:val="005D2044"/>
    <w:rsid w:val="005D209E"/>
    <w:rsid w:val="005D2917"/>
    <w:rsid w:val="005D2EB2"/>
    <w:rsid w:val="005D2F48"/>
    <w:rsid w:val="005D3B32"/>
    <w:rsid w:val="005D464B"/>
    <w:rsid w:val="005D466F"/>
    <w:rsid w:val="005D49F0"/>
    <w:rsid w:val="005D51F7"/>
    <w:rsid w:val="005D51FA"/>
    <w:rsid w:val="005D53E8"/>
    <w:rsid w:val="005D5A9D"/>
    <w:rsid w:val="005D5D15"/>
    <w:rsid w:val="005D6651"/>
    <w:rsid w:val="005D691D"/>
    <w:rsid w:val="005D6A72"/>
    <w:rsid w:val="005D6F38"/>
    <w:rsid w:val="005D791B"/>
    <w:rsid w:val="005D7CF2"/>
    <w:rsid w:val="005D7F92"/>
    <w:rsid w:val="005E062C"/>
    <w:rsid w:val="005E0D7B"/>
    <w:rsid w:val="005E1595"/>
    <w:rsid w:val="005E1F1D"/>
    <w:rsid w:val="005E273D"/>
    <w:rsid w:val="005E3278"/>
    <w:rsid w:val="005E363B"/>
    <w:rsid w:val="005E3736"/>
    <w:rsid w:val="005E4B72"/>
    <w:rsid w:val="005E52C9"/>
    <w:rsid w:val="005E665F"/>
    <w:rsid w:val="005E781C"/>
    <w:rsid w:val="005F0B10"/>
    <w:rsid w:val="005F2D8B"/>
    <w:rsid w:val="005F305B"/>
    <w:rsid w:val="005F3361"/>
    <w:rsid w:val="005F361A"/>
    <w:rsid w:val="005F3B47"/>
    <w:rsid w:val="005F4481"/>
    <w:rsid w:val="005F47AC"/>
    <w:rsid w:val="005F49AF"/>
    <w:rsid w:val="005F4A58"/>
    <w:rsid w:val="005F54DF"/>
    <w:rsid w:val="005F5888"/>
    <w:rsid w:val="005F5984"/>
    <w:rsid w:val="005F5EAB"/>
    <w:rsid w:val="005F6CE2"/>
    <w:rsid w:val="005F6EC8"/>
    <w:rsid w:val="005F6F24"/>
    <w:rsid w:val="005F72E9"/>
    <w:rsid w:val="005F780B"/>
    <w:rsid w:val="005F7DE2"/>
    <w:rsid w:val="0060009C"/>
    <w:rsid w:val="00600473"/>
    <w:rsid w:val="0060139A"/>
    <w:rsid w:val="006013C9"/>
    <w:rsid w:val="00602931"/>
    <w:rsid w:val="00602B45"/>
    <w:rsid w:val="00603499"/>
    <w:rsid w:val="006035F5"/>
    <w:rsid w:val="00603CC2"/>
    <w:rsid w:val="006047D1"/>
    <w:rsid w:val="006048A4"/>
    <w:rsid w:val="00604A55"/>
    <w:rsid w:val="00604D4E"/>
    <w:rsid w:val="00604E3E"/>
    <w:rsid w:val="00605AC3"/>
    <w:rsid w:val="00606908"/>
    <w:rsid w:val="00607860"/>
    <w:rsid w:val="00607996"/>
    <w:rsid w:val="00607A37"/>
    <w:rsid w:val="00607E9F"/>
    <w:rsid w:val="0061085E"/>
    <w:rsid w:val="006112A7"/>
    <w:rsid w:val="00611398"/>
    <w:rsid w:val="006113B4"/>
    <w:rsid w:val="0061186D"/>
    <w:rsid w:val="00612322"/>
    <w:rsid w:val="006123C0"/>
    <w:rsid w:val="006129AB"/>
    <w:rsid w:val="00613191"/>
    <w:rsid w:val="006133F9"/>
    <w:rsid w:val="006134B3"/>
    <w:rsid w:val="00613DE1"/>
    <w:rsid w:val="0061401F"/>
    <w:rsid w:val="00614166"/>
    <w:rsid w:val="00614817"/>
    <w:rsid w:val="006149CC"/>
    <w:rsid w:val="006157A9"/>
    <w:rsid w:val="0061591D"/>
    <w:rsid w:val="00615ED0"/>
    <w:rsid w:val="0061604C"/>
    <w:rsid w:val="00616C2B"/>
    <w:rsid w:val="00616D7F"/>
    <w:rsid w:val="006178D1"/>
    <w:rsid w:val="00620719"/>
    <w:rsid w:val="006212C9"/>
    <w:rsid w:val="0062131B"/>
    <w:rsid w:val="00621D0C"/>
    <w:rsid w:val="00622229"/>
    <w:rsid w:val="00622470"/>
    <w:rsid w:val="0062267E"/>
    <w:rsid w:val="00622725"/>
    <w:rsid w:val="00622785"/>
    <w:rsid w:val="0062293F"/>
    <w:rsid w:val="00622B63"/>
    <w:rsid w:val="006231AA"/>
    <w:rsid w:val="00623482"/>
    <w:rsid w:val="00623AC2"/>
    <w:rsid w:val="00623EBC"/>
    <w:rsid w:val="0062475D"/>
    <w:rsid w:val="00625642"/>
    <w:rsid w:val="00625DF2"/>
    <w:rsid w:val="006266D7"/>
    <w:rsid w:val="00626D42"/>
    <w:rsid w:val="00626EE3"/>
    <w:rsid w:val="006274AD"/>
    <w:rsid w:val="00627519"/>
    <w:rsid w:val="00627532"/>
    <w:rsid w:val="006302AA"/>
    <w:rsid w:val="006310C3"/>
    <w:rsid w:val="006312E2"/>
    <w:rsid w:val="0063161E"/>
    <w:rsid w:val="00631BB5"/>
    <w:rsid w:val="00631DD0"/>
    <w:rsid w:val="0063247E"/>
    <w:rsid w:val="00632CE0"/>
    <w:rsid w:val="00633DBF"/>
    <w:rsid w:val="00634122"/>
    <w:rsid w:val="0063444B"/>
    <w:rsid w:val="00634BEF"/>
    <w:rsid w:val="00635E32"/>
    <w:rsid w:val="006360FC"/>
    <w:rsid w:val="006361C9"/>
    <w:rsid w:val="00636405"/>
    <w:rsid w:val="006365DE"/>
    <w:rsid w:val="00636BE4"/>
    <w:rsid w:val="00636C0C"/>
    <w:rsid w:val="00636F88"/>
    <w:rsid w:val="0063732C"/>
    <w:rsid w:val="00637802"/>
    <w:rsid w:val="00637836"/>
    <w:rsid w:val="00637C26"/>
    <w:rsid w:val="00637F44"/>
    <w:rsid w:val="00640680"/>
    <w:rsid w:val="00641078"/>
    <w:rsid w:val="00641242"/>
    <w:rsid w:val="00641761"/>
    <w:rsid w:val="00641899"/>
    <w:rsid w:val="00642126"/>
    <w:rsid w:val="00642A32"/>
    <w:rsid w:val="00642B8E"/>
    <w:rsid w:val="00642F7C"/>
    <w:rsid w:val="006433D5"/>
    <w:rsid w:val="00643412"/>
    <w:rsid w:val="00643CF5"/>
    <w:rsid w:val="00645844"/>
    <w:rsid w:val="00645CEB"/>
    <w:rsid w:val="00645E63"/>
    <w:rsid w:val="00646B20"/>
    <w:rsid w:val="00646D0F"/>
    <w:rsid w:val="00647A36"/>
    <w:rsid w:val="00647DCC"/>
    <w:rsid w:val="00647E8E"/>
    <w:rsid w:val="00647EFA"/>
    <w:rsid w:val="00647F14"/>
    <w:rsid w:val="00650027"/>
    <w:rsid w:val="00650E89"/>
    <w:rsid w:val="006516E6"/>
    <w:rsid w:val="00651B9C"/>
    <w:rsid w:val="00651C47"/>
    <w:rsid w:val="00652E70"/>
    <w:rsid w:val="0065339A"/>
    <w:rsid w:val="00653469"/>
    <w:rsid w:val="0065443A"/>
    <w:rsid w:val="00654A38"/>
    <w:rsid w:val="00655301"/>
    <w:rsid w:val="00655371"/>
    <w:rsid w:val="00655507"/>
    <w:rsid w:val="006564A5"/>
    <w:rsid w:val="00656C4B"/>
    <w:rsid w:val="006572A7"/>
    <w:rsid w:val="006573EA"/>
    <w:rsid w:val="006577C9"/>
    <w:rsid w:val="006606A4"/>
    <w:rsid w:val="00661029"/>
    <w:rsid w:val="006610C3"/>
    <w:rsid w:val="0066135A"/>
    <w:rsid w:val="00661A38"/>
    <w:rsid w:val="0066272D"/>
    <w:rsid w:val="00662E58"/>
    <w:rsid w:val="00662F39"/>
    <w:rsid w:val="0066352A"/>
    <w:rsid w:val="006635A0"/>
    <w:rsid w:val="00663D26"/>
    <w:rsid w:val="00664351"/>
    <w:rsid w:val="00665968"/>
    <w:rsid w:val="00665BF7"/>
    <w:rsid w:val="00665E65"/>
    <w:rsid w:val="006660F0"/>
    <w:rsid w:val="00666178"/>
    <w:rsid w:val="0066639E"/>
    <w:rsid w:val="00666473"/>
    <w:rsid w:val="00666B49"/>
    <w:rsid w:val="00666C72"/>
    <w:rsid w:val="00666E6C"/>
    <w:rsid w:val="0066707F"/>
    <w:rsid w:val="00667ED8"/>
    <w:rsid w:val="0067064C"/>
    <w:rsid w:val="00670B20"/>
    <w:rsid w:val="00670E12"/>
    <w:rsid w:val="00670F27"/>
    <w:rsid w:val="00672E80"/>
    <w:rsid w:val="0067333F"/>
    <w:rsid w:val="006739E4"/>
    <w:rsid w:val="00673ECF"/>
    <w:rsid w:val="0067426B"/>
    <w:rsid w:val="00674A1B"/>
    <w:rsid w:val="00674D08"/>
    <w:rsid w:val="00674F1C"/>
    <w:rsid w:val="006754F8"/>
    <w:rsid w:val="00676127"/>
    <w:rsid w:val="00676AED"/>
    <w:rsid w:val="00677212"/>
    <w:rsid w:val="00677F26"/>
    <w:rsid w:val="006800EE"/>
    <w:rsid w:val="006802A7"/>
    <w:rsid w:val="00680A86"/>
    <w:rsid w:val="00680FBE"/>
    <w:rsid w:val="006811C9"/>
    <w:rsid w:val="006812CE"/>
    <w:rsid w:val="00681DD7"/>
    <w:rsid w:val="006826C1"/>
    <w:rsid w:val="00682C89"/>
    <w:rsid w:val="006832B8"/>
    <w:rsid w:val="00683329"/>
    <w:rsid w:val="006837B2"/>
    <w:rsid w:val="00683800"/>
    <w:rsid w:val="0068420B"/>
    <w:rsid w:val="00684462"/>
    <w:rsid w:val="00684C0D"/>
    <w:rsid w:val="00684C8A"/>
    <w:rsid w:val="00684CF5"/>
    <w:rsid w:val="0068553E"/>
    <w:rsid w:val="00685D37"/>
    <w:rsid w:val="00685E7B"/>
    <w:rsid w:val="00686551"/>
    <w:rsid w:val="00686CAB"/>
    <w:rsid w:val="0068717F"/>
    <w:rsid w:val="0068730C"/>
    <w:rsid w:val="00687504"/>
    <w:rsid w:val="00687A14"/>
    <w:rsid w:val="00687A8C"/>
    <w:rsid w:val="00690839"/>
    <w:rsid w:val="006908DB"/>
    <w:rsid w:val="00690DE9"/>
    <w:rsid w:val="00691563"/>
    <w:rsid w:val="00691DE9"/>
    <w:rsid w:val="00691EAA"/>
    <w:rsid w:val="00692245"/>
    <w:rsid w:val="00692745"/>
    <w:rsid w:val="00692FFA"/>
    <w:rsid w:val="00693772"/>
    <w:rsid w:val="006937EA"/>
    <w:rsid w:val="00693984"/>
    <w:rsid w:val="00693B77"/>
    <w:rsid w:val="00694156"/>
    <w:rsid w:val="00694160"/>
    <w:rsid w:val="00694E8B"/>
    <w:rsid w:val="006959A5"/>
    <w:rsid w:val="00695C0C"/>
    <w:rsid w:val="00696736"/>
    <w:rsid w:val="00696A05"/>
    <w:rsid w:val="00697665"/>
    <w:rsid w:val="00697C9A"/>
    <w:rsid w:val="00697E68"/>
    <w:rsid w:val="00697FC1"/>
    <w:rsid w:val="006A0274"/>
    <w:rsid w:val="006A27BC"/>
    <w:rsid w:val="006A2A43"/>
    <w:rsid w:val="006A2BF1"/>
    <w:rsid w:val="006A2F9A"/>
    <w:rsid w:val="006A34E4"/>
    <w:rsid w:val="006A35AC"/>
    <w:rsid w:val="006A3A5A"/>
    <w:rsid w:val="006A4249"/>
    <w:rsid w:val="006A44CF"/>
    <w:rsid w:val="006A457D"/>
    <w:rsid w:val="006A4B5A"/>
    <w:rsid w:val="006A4C06"/>
    <w:rsid w:val="006A55EE"/>
    <w:rsid w:val="006A575B"/>
    <w:rsid w:val="006A59DE"/>
    <w:rsid w:val="006A64C6"/>
    <w:rsid w:val="006A6655"/>
    <w:rsid w:val="006A6BF9"/>
    <w:rsid w:val="006A6D7B"/>
    <w:rsid w:val="006A7AB8"/>
    <w:rsid w:val="006A7CB5"/>
    <w:rsid w:val="006A7FD0"/>
    <w:rsid w:val="006B025C"/>
    <w:rsid w:val="006B04DB"/>
    <w:rsid w:val="006B08ED"/>
    <w:rsid w:val="006B2170"/>
    <w:rsid w:val="006B2534"/>
    <w:rsid w:val="006B2CB2"/>
    <w:rsid w:val="006B309E"/>
    <w:rsid w:val="006B347D"/>
    <w:rsid w:val="006B3E19"/>
    <w:rsid w:val="006B4488"/>
    <w:rsid w:val="006B4D5D"/>
    <w:rsid w:val="006B50C4"/>
    <w:rsid w:val="006B53AE"/>
    <w:rsid w:val="006B58B4"/>
    <w:rsid w:val="006B67AC"/>
    <w:rsid w:val="006B786A"/>
    <w:rsid w:val="006B7E4E"/>
    <w:rsid w:val="006C003A"/>
    <w:rsid w:val="006C107C"/>
    <w:rsid w:val="006C189C"/>
    <w:rsid w:val="006C2454"/>
    <w:rsid w:val="006C2551"/>
    <w:rsid w:val="006C27B9"/>
    <w:rsid w:val="006C2CC0"/>
    <w:rsid w:val="006C32CF"/>
    <w:rsid w:val="006C37CA"/>
    <w:rsid w:val="006C39AE"/>
    <w:rsid w:val="006C40D2"/>
    <w:rsid w:val="006C4B85"/>
    <w:rsid w:val="006C4BBD"/>
    <w:rsid w:val="006C551E"/>
    <w:rsid w:val="006C5B15"/>
    <w:rsid w:val="006C5D32"/>
    <w:rsid w:val="006C5DCB"/>
    <w:rsid w:val="006C6475"/>
    <w:rsid w:val="006C70C4"/>
    <w:rsid w:val="006C741F"/>
    <w:rsid w:val="006D04DA"/>
    <w:rsid w:val="006D10F6"/>
    <w:rsid w:val="006D1544"/>
    <w:rsid w:val="006D1688"/>
    <w:rsid w:val="006D1BE1"/>
    <w:rsid w:val="006D1DD3"/>
    <w:rsid w:val="006D1FF3"/>
    <w:rsid w:val="006D2C65"/>
    <w:rsid w:val="006D32C6"/>
    <w:rsid w:val="006D360E"/>
    <w:rsid w:val="006D3697"/>
    <w:rsid w:val="006D39D2"/>
    <w:rsid w:val="006D3A94"/>
    <w:rsid w:val="006D3F2A"/>
    <w:rsid w:val="006D4370"/>
    <w:rsid w:val="006D46A3"/>
    <w:rsid w:val="006D58F2"/>
    <w:rsid w:val="006D5DCB"/>
    <w:rsid w:val="006D62E0"/>
    <w:rsid w:val="006D62EA"/>
    <w:rsid w:val="006D658F"/>
    <w:rsid w:val="006D66B2"/>
    <w:rsid w:val="006D6A12"/>
    <w:rsid w:val="006D712D"/>
    <w:rsid w:val="006D7687"/>
    <w:rsid w:val="006D7D1F"/>
    <w:rsid w:val="006D7D8A"/>
    <w:rsid w:val="006E046C"/>
    <w:rsid w:val="006E0572"/>
    <w:rsid w:val="006E05D8"/>
    <w:rsid w:val="006E08EE"/>
    <w:rsid w:val="006E0F32"/>
    <w:rsid w:val="006E155A"/>
    <w:rsid w:val="006E2C34"/>
    <w:rsid w:val="006E359B"/>
    <w:rsid w:val="006E39D1"/>
    <w:rsid w:val="006E3B05"/>
    <w:rsid w:val="006E437F"/>
    <w:rsid w:val="006E4D5B"/>
    <w:rsid w:val="006E602F"/>
    <w:rsid w:val="006E6720"/>
    <w:rsid w:val="006E7275"/>
    <w:rsid w:val="006E77B8"/>
    <w:rsid w:val="006E7AAF"/>
    <w:rsid w:val="006F0397"/>
    <w:rsid w:val="006F0F74"/>
    <w:rsid w:val="006F13BA"/>
    <w:rsid w:val="006F15CC"/>
    <w:rsid w:val="006F15F6"/>
    <w:rsid w:val="006F36EA"/>
    <w:rsid w:val="006F4147"/>
    <w:rsid w:val="006F4315"/>
    <w:rsid w:val="006F47A7"/>
    <w:rsid w:val="006F4CB0"/>
    <w:rsid w:val="006F4F78"/>
    <w:rsid w:val="006F50C2"/>
    <w:rsid w:val="006F5389"/>
    <w:rsid w:val="006F547E"/>
    <w:rsid w:val="006F5CCF"/>
    <w:rsid w:val="006F6F04"/>
    <w:rsid w:val="006F71F5"/>
    <w:rsid w:val="006F72A8"/>
    <w:rsid w:val="006F79BB"/>
    <w:rsid w:val="007000A6"/>
    <w:rsid w:val="00700610"/>
    <w:rsid w:val="0070138A"/>
    <w:rsid w:val="0070157E"/>
    <w:rsid w:val="007030D4"/>
    <w:rsid w:val="00703279"/>
    <w:rsid w:val="007034D9"/>
    <w:rsid w:val="00703B61"/>
    <w:rsid w:val="00703E11"/>
    <w:rsid w:val="00704102"/>
    <w:rsid w:val="0070437C"/>
    <w:rsid w:val="0070461C"/>
    <w:rsid w:val="00704F37"/>
    <w:rsid w:val="00705631"/>
    <w:rsid w:val="00705818"/>
    <w:rsid w:val="00705F62"/>
    <w:rsid w:val="00706813"/>
    <w:rsid w:val="0070773F"/>
    <w:rsid w:val="00707A2E"/>
    <w:rsid w:val="00707ED3"/>
    <w:rsid w:val="007101B7"/>
    <w:rsid w:val="00710668"/>
    <w:rsid w:val="00711019"/>
    <w:rsid w:val="007110F4"/>
    <w:rsid w:val="007112B1"/>
    <w:rsid w:val="0071130F"/>
    <w:rsid w:val="00712044"/>
    <w:rsid w:val="00712507"/>
    <w:rsid w:val="00712714"/>
    <w:rsid w:val="007129AB"/>
    <w:rsid w:val="00712B63"/>
    <w:rsid w:val="00712E5F"/>
    <w:rsid w:val="00713526"/>
    <w:rsid w:val="00713FC5"/>
    <w:rsid w:val="00714BB9"/>
    <w:rsid w:val="00714DCA"/>
    <w:rsid w:val="007150F3"/>
    <w:rsid w:val="00715BBF"/>
    <w:rsid w:val="00715C29"/>
    <w:rsid w:val="00715CBD"/>
    <w:rsid w:val="00715EAA"/>
    <w:rsid w:val="00716119"/>
    <w:rsid w:val="00716630"/>
    <w:rsid w:val="00716BB0"/>
    <w:rsid w:val="00716CAD"/>
    <w:rsid w:val="00716CD3"/>
    <w:rsid w:val="00716F18"/>
    <w:rsid w:val="00717363"/>
    <w:rsid w:val="00717786"/>
    <w:rsid w:val="00717ACB"/>
    <w:rsid w:val="00717F8F"/>
    <w:rsid w:val="0072138B"/>
    <w:rsid w:val="00721BFF"/>
    <w:rsid w:val="007227EB"/>
    <w:rsid w:val="007232EE"/>
    <w:rsid w:val="00723475"/>
    <w:rsid w:val="007236C4"/>
    <w:rsid w:val="00724635"/>
    <w:rsid w:val="00724F21"/>
    <w:rsid w:val="00725134"/>
    <w:rsid w:val="0072554B"/>
    <w:rsid w:val="0072571F"/>
    <w:rsid w:val="00725AFD"/>
    <w:rsid w:val="00726603"/>
    <w:rsid w:val="007266AC"/>
    <w:rsid w:val="00727B1D"/>
    <w:rsid w:val="00727DDC"/>
    <w:rsid w:val="00730CD6"/>
    <w:rsid w:val="00730F74"/>
    <w:rsid w:val="0073114B"/>
    <w:rsid w:val="00732151"/>
    <w:rsid w:val="00732EBC"/>
    <w:rsid w:val="00734952"/>
    <w:rsid w:val="00734987"/>
    <w:rsid w:val="00734990"/>
    <w:rsid w:val="00734FF5"/>
    <w:rsid w:val="00735B78"/>
    <w:rsid w:val="00735CA5"/>
    <w:rsid w:val="00735DA7"/>
    <w:rsid w:val="00736700"/>
    <w:rsid w:val="007368B4"/>
    <w:rsid w:val="007378E0"/>
    <w:rsid w:val="0074040E"/>
    <w:rsid w:val="00740529"/>
    <w:rsid w:val="00740876"/>
    <w:rsid w:val="00741358"/>
    <w:rsid w:val="00741626"/>
    <w:rsid w:val="00741B0C"/>
    <w:rsid w:val="00742332"/>
    <w:rsid w:val="00742886"/>
    <w:rsid w:val="00742A3A"/>
    <w:rsid w:val="00742DD2"/>
    <w:rsid w:val="007437C6"/>
    <w:rsid w:val="007441A2"/>
    <w:rsid w:val="00744273"/>
    <w:rsid w:val="00744E80"/>
    <w:rsid w:val="00745035"/>
    <w:rsid w:val="0074531C"/>
    <w:rsid w:val="00745547"/>
    <w:rsid w:val="007459D0"/>
    <w:rsid w:val="0074623A"/>
    <w:rsid w:val="00746420"/>
    <w:rsid w:val="00746A60"/>
    <w:rsid w:val="00746E04"/>
    <w:rsid w:val="00746E08"/>
    <w:rsid w:val="00746E3D"/>
    <w:rsid w:val="007473B9"/>
    <w:rsid w:val="00747C96"/>
    <w:rsid w:val="00750075"/>
    <w:rsid w:val="0075022F"/>
    <w:rsid w:val="007502EC"/>
    <w:rsid w:val="00750382"/>
    <w:rsid w:val="0075094E"/>
    <w:rsid w:val="00750FA8"/>
    <w:rsid w:val="00750FB5"/>
    <w:rsid w:val="007520F0"/>
    <w:rsid w:val="0075226F"/>
    <w:rsid w:val="007522E8"/>
    <w:rsid w:val="007529DB"/>
    <w:rsid w:val="007534AD"/>
    <w:rsid w:val="00753BAC"/>
    <w:rsid w:val="00753E86"/>
    <w:rsid w:val="00754A0B"/>
    <w:rsid w:val="00755229"/>
    <w:rsid w:val="007552DB"/>
    <w:rsid w:val="0075549F"/>
    <w:rsid w:val="00755B08"/>
    <w:rsid w:val="00755DD0"/>
    <w:rsid w:val="0075647A"/>
    <w:rsid w:val="00756A2F"/>
    <w:rsid w:val="007573E1"/>
    <w:rsid w:val="0075749E"/>
    <w:rsid w:val="00757722"/>
    <w:rsid w:val="00757B2D"/>
    <w:rsid w:val="00757BAD"/>
    <w:rsid w:val="00757D62"/>
    <w:rsid w:val="00760021"/>
    <w:rsid w:val="00760561"/>
    <w:rsid w:val="00760867"/>
    <w:rsid w:val="00760EB6"/>
    <w:rsid w:val="007616DB"/>
    <w:rsid w:val="00761AB7"/>
    <w:rsid w:val="00761CE6"/>
    <w:rsid w:val="0076228A"/>
    <w:rsid w:val="00762440"/>
    <w:rsid w:val="00762499"/>
    <w:rsid w:val="0076275B"/>
    <w:rsid w:val="007629B7"/>
    <w:rsid w:val="00762E60"/>
    <w:rsid w:val="00762E6C"/>
    <w:rsid w:val="00762F54"/>
    <w:rsid w:val="007634AD"/>
    <w:rsid w:val="0076445F"/>
    <w:rsid w:val="00764EC5"/>
    <w:rsid w:val="007651EF"/>
    <w:rsid w:val="00766D49"/>
    <w:rsid w:val="00766ECC"/>
    <w:rsid w:val="007672F3"/>
    <w:rsid w:val="007677B5"/>
    <w:rsid w:val="007678B1"/>
    <w:rsid w:val="007708A8"/>
    <w:rsid w:val="00772100"/>
    <w:rsid w:val="00772275"/>
    <w:rsid w:val="00772AAF"/>
    <w:rsid w:val="00772C9A"/>
    <w:rsid w:val="00772E2A"/>
    <w:rsid w:val="00773131"/>
    <w:rsid w:val="007734E4"/>
    <w:rsid w:val="0077380D"/>
    <w:rsid w:val="00773BC8"/>
    <w:rsid w:val="00774337"/>
    <w:rsid w:val="00774549"/>
    <w:rsid w:val="0077466F"/>
    <w:rsid w:val="007752B7"/>
    <w:rsid w:val="007759A8"/>
    <w:rsid w:val="00775C27"/>
    <w:rsid w:val="00775D98"/>
    <w:rsid w:val="0077651F"/>
    <w:rsid w:val="00776B93"/>
    <w:rsid w:val="00776FE5"/>
    <w:rsid w:val="00777101"/>
    <w:rsid w:val="007774E7"/>
    <w:rsid w:val="0077768C"/>
    <w:rsid w:val="00777696"/>
    <w:rsid w:val="00777EDF"/>
    <w:rsid w:val="00777FF4"/>
    <w:rsid w:val="00780251"/>
    <w:rsid w:val="007804FE"/>
    <w:rsid w:val="00780F32"/>
    <w:rsid w:val="00781049"/>
    <w:rsid w:val="0078122E"/>
    <w:rsid w:val="00781939"/>
    <w:rsid w:val="00781D29"/>
    <w:rsid w:val="007825EF"/>
    <w:rsid w:val="0078286B"/>
    <w:rsid w:val="00782D2C"/>
    <w:rsid w:val="00782FC2"/>
    <w:rsid w:val="0078347A"/>
    <w:rsid w:val="0078410A"/>
    <w:rsid w:val="00784938"/>
    <w:rsid w:val="00784FC4"/>
    <w:rsid w:val="00785BBB"/>
    <w:rsid w:val="00785FB2"/>
    <w:rsid w:val="00786937"/>
    <w:rsid w:val="00786FAD"/>
    <w:rsid w:val="00787B1B"/>
    <w:rsid w:val="00787CCC"/>
    <w:rsid w:val="00787D90"/>
    <w:rsid w:val="00787F5E"/>
    <w:rsid w:val="00790164"/>
    <w:rsid w:val="0079041B"/>
    <w:rsid w:val="007905C6"/>
    <w:rsid w:val="00790A24"/>
    <w:rsid w:val="00790A37"/>
    <w:rsid w:val="00790A60"/>
    <w:rsid w:val="0079131A"/>
    <w:rsid w:val="0079146D"/>
    <w:rsid w:val="00791C32"/>
    <w:rsid w:val="00791FF0"/>
    <w:rsid w:val="007923D0"/>
    <w:rsid w:val="007930D3"/>
    <w:rsid w:val="007936E2"/>
    <w:rsid w:val="0079381F"/>
    <w:rsid w:val="00793A57"/>
    <w:rsid w:val="00793B2E"/>
    <w:rsid w:val="007948F5"/>
    <w:rsid w:val="00795647"/>
    <w:rsid w:val="007963F6"/>
    <w:rsid w:val="00796DC8"/>
    <w:rsid w:val="00796E80"/>
    <w:rsid w:val="0079744F"/>
    <w:rsid w:val="0079776F"/>
    <w:rsid w:val="007979AD"/>
    <w:rsid w:val="00797A9C"/>
    <w:rsid w:val="007A0502"/>
    <w:rsid w:val="007A0EAB"/>
    <w:rsid w:val="007A2341"/>
    <w:rsid w:val="007A2754"/>
    <w:rsid w:val="007A38A1"/>
    <w:rsid w:val="007A3BBE"/>
    <w:rsid w:val="007A4766"/>
    <w:rsid w:val="007A5947"/>
    <w:rsid w:val="007A717B"/>
    <w:rsid w:val="007A7714"/>
    <w:rsid w:val="007A7775"/>
    <w:rsid w:val="007B0302"/>
    <w:rsid w:val="007B0313"/>
    <w:rsid w:val="007B0854"/>
    <w:rsid w:val="007B0E48"/>
    <w:rsid w:val="007B1D1B"/>
    <w:rsid w:val="007B21AA"/>
    <w:rsid w:val="007B2504"/>
    <w:rsid w:val="007B2549"/>
    <w:rsid w:val="007B303E"/>
    <w:rsid w:val="007B32C0"/>
    <w:rsid w:val="007B32F7"/>
    <w:rsid w:val="007B3659"/>
    <w:rsid w:val="007B38B5"/>
    <w:rsid w:val="007B3BF3"/>
    <w:rsid w:val="007B431B"/>
    <w:rsid w:val="007B4558"/>
    <w:rsid w:val="007B4632"/>
    <w:rsid w:val="007B46A2"/>
    <w:rsid w:val="007B4828"/>
    <w:rsid w:val="007B4B2D"/>
    <w:rsid w:val="007B4D4A"/>
    <w:rsid w:val="007B5428"/>
    <w:rsid w:val="007B59B7"/>
    <w:rsid w:val="007B6C64"/>
    <w:rsid w:val="007B6EC8"/>
    <w:rsid w:val="007B6F81"/>
    <w:rsid w:val="007B7EA2"/>
    <w:rsid w:val="007C097D"/>
    <w:rsid w:val="007C0AF2"/>
    <w:rsid w:val="007C1672"/>
    <w:rsid w:val="007C17AE"/>
    <w:rsid w:val="007C21E1"/>
    <w:rsid w:val="007C227C"/>
    <w:rsid w:val="007C24EE"/>
    <w:rsid w:val="007C312A"/>
    <w:rsid w:val="007C3538"/>
    <w:rsid w:val="007C3570"/>
    <w:rsid w:val="007C3F3B"/>
    <w:rsid w:val="007C4097"/>
    <w:rsid w:val="007C4241"/>
    <w:rsid w:val="007C425E"/>
    <w:rsid w:val="007C55FF"/>
    <w:rsid w:val="007C6339"/>
    <w:rsid w:val="007C753F"/>
    <w:rsid w:val="007C7C43"/>
    <w:rsid w:val="007C7E15"/>
    <w:rsid w:val="007C7F0D"/>
    <w:rsid w:val="007D06E3"/>
    <w:rsid w:val="007D09E4"/>
    <w:rsid w:val="007D1134"/>
    <w:rsid w:val="007D231B"/>
    <w:rsid w:val="007D23F7"/>
    <w:rsid w:val="007D2566"/>
    <w:rsid w:val="007D2C18"/>
    <w:rsid w:val="007D2D74"/>
    <w:rsid w:val="007D3693"/>
    <w:rsid w:val="007D3C6D"/>
    <w:rsid w:val="007D481A"/>
    <w:rsid w:val="007D4B96"/>
    <w:rsid w:val="007D4ED0"/>
    <w:rsid w:val="007D5648"/>
    <w:rsid w:val="007D58C5"/>
    <w:rsid w:val="007D5DE8"/>
    <w:rsid w:val="007D7CFC"/>
    <w:rsid w:val="007E0812"/>
    <w:rsid w:val="007E0825"/>
    <w:rsid w:val="007E18DF"/>
    <w:rsid w:val="007E1E45"/>
    <w:rsid w:val="007E214A"/>
    <w:rsid w:val="007E238D"/>
    <w:rsid w:val="007E2C36"/>
    <w:rsid w:val="007E350D"/>
    <w:rsid w:val="007E3ACA"/>
    <w:rsid w:val="007E3F4A"/>
    <w:rsid w:val="007E564D"/>
    <w:rsid w:val="007E5C4A"/>
    <w:rsid w:val="007E64D4"/>
    <w:rsid w:val="007E66E9"/>
    <w:rsid w:val="007E69F2"/>
    <w:rsid w:val="007E7432"/>
    <w:rsid w:val="007E74BF"/>
    <w:rsid w:val="007E7657"/>
    <w:rsid w:val="007E7B55"/>
    <w:rsid w:val="007E7D2E"/>
    <w:rsid w:val="007E7E80"/>
    <w:rsid w:val="007F14D3"/>
    <w:rsid w:val="007F1655"/>
    <w:rsid w:val="007F1814"/>
    <w:rsid w:val="007F1D9D"/>
    <w:rsid w:val="007F1E28"/>
    <w:rsid w:val="007F1F63"/>
    <w:rsid w:val="007F22A0"/>
    <w:rsid w:val="007F2902"/>
    <w:rsid w:val="007F2903"/>
    <w:rsid w:val="007F2F90"/>
    <w:rsid w:val="007F3320"/>
    <w:rsid w:val="007F3AC1"/>
    <w:rsid w:val="007F4976"/>
    <w:rsid w:val="007F4B40"/>
    <w:rsid w:val="007F5A56"/>
    <w:rsid w:val="007F5D42"/>
    <w:rsid w:val="007F616E"/>
    <w:rsid w:val="007F6B46"/>
    <w:rsid w:val="007F72CB"/>
    <w:rsid w:val="007F736A"/>
    <w:rsid w:val="007F7635"/>
    <w:rsid w:val="007F785F"/>
    <w:rsid w:val="007F7961"/>
    <w:rsid w:val="007F7AF6"/>
    <w:rsid w:val="007F7E36"/>
    <w:rsid w:val="00800E6D"/>
    <w:rsid w:val="008014D9"/>
    <w:rsid w:val="0080150F"/>
    <w:rsid w:val="0080153A"/>
    <w:rsid w:val="00801A2A"/>
    <w:rsid w:val="00802041"/>
    <w:rsid w:val="008022C9"/>
    <w:rsid w:val="00802605"/>
    <w:rsid w:val="00802F9E"/>
    <w:rsid w:val="00803566"/>
    <w:rsid w:val="00803700"/>
    <w:rsid w:val="0080376A"/>
    <w:rsid w:val="00803D9D"/>
    <w:rsid w:val="008059C6"/>
    <w:rsid w:val="00805AD7"/>
    <w:rsid w:val="00805BD6"/>
    <w:rsid w:val="00805DE3"/>
    <w:rsid w:val="00807C35"/>
    <w:rsid w:val="00807F35"/>
    <w:rsid w:val="00807F69"/>
    <w:rsid w:val="008100F7"/>
    <w:rsid w:val="00810206"/>
    <w:rsid w:val="0081022B"/>
    <w:rsid w:val="00810A15"/>
    <w:rsid w:val="00811898"/>
    <w:rsid w:val="00811CDC"/>
    <w:rsid w:val="008124D8"/>
    <w:rsid w:val="00813A7B"/>
    <w:rsid w:val="00813F04"/>
    <w:rsid w:val="0081513E"/>
    <w:rsid w:val="00815DA5"/>
    <w:rsid w:val="00816221"/>
    <w:rsid w:val="0081749A"/>
    <w:rsid w:val="008174F3"/>
    <w:rsid w:val="0081766B"/>
    <w:rsid w:val="008201DE"/>
    <w:rsid w:val="008205AC"/>
    <w:rsid w:val="00820705"/>
    <w:rsid w:val="00820CBF"/>
    <w:rsid w:val="00820FA8"/>
    <w:rsid w:val="008212FD"/>
    <w:rsid w:val="00821489"/>
    <w:rsid w:val="0082168D"/>
    <w:rsid w:val="008217B7"/>
    <w:rsid w:val="0082239B"/>
    <w:rsid w:val="0082292E"/>
    <w:rsid w:val="00822D06"/>
    <w:rsid w:val="00822EC4"/>
    <w:rsid w:val="0082348D"/>
    <w:rsid w:val="008236BE"/>
    <w:rsid w:val="008241CE"/>
    <w:rsid w:val="0082520B"/>
    <w:rsid w:val="00825240"/>
    <w:rsid w:val="00825B43"/>
    <w:rsid w:val="00826F71"/>
    <w:rsid w:val="008273EC"/>
    <w:rsid w:val="00827CC0"/>
    <w:rsid w:val="008306AB"/>
    <w:rsid w:val="00831026"/>
    <w:rsid w:val="0083119B"/>
    <w:rsid w:val="00831BAE"/>
    <w:rsid w:val="00832216"/>
    <w:rsid w:val="00832513"/>
    <w:rsid w:val="00832CD0"/>
    <w:rsid w:val="00833430"/>
    <w:rsid w:val="00833ADA"/>
    <w:rsid w:val="00834128"/>
    <w:rsid w:val="0083417F"/>
    <w:rsid w:val="00835143"/>
    <w:rsid w:val="0083569B"/>
    <w:rsid w:val="00835741"/>
    <w:rsid w:val="00836E74"/>
    <w:rsid w:val="00836EAB"/>
    <w:rsid w:val="00837673"/>
    <w:rsid w:val="00837937"/>
    <w:rsid w:val="00837D82"/>
    <w:rsid w:val="00840893"/>
    <w:rsid w:val="00840E88"/>
    <w:rsid w:val="008410B1"/>
    <w:rsid w:val="00841515"/>
    <w:rsid w:val="008423EC"/>
    <w:rsid w:val="008429A6"/>
    <w:rsid w:val="00843615"/>
    <w:rsid w:val="00843698"/>
    <w:rsid w:val="00843A4B"/>
    <w:rsid w:val="00843B57"/>
    <w:rsid w:val="00843B60"/>
    <w:rsid w:val="00843D33"/>
    <w:rsid w:val="008444F0"/>
    <w:rsid w:val="00844D4F"/>
    <w:rsid w:val="00844F38"/>
    <w:rsid w:val="00845AE3"/>
    <w:rsid w:val="008466A0"/>
    <w:rsid w:val="00847535"/>
    <w:rsid w:val="00847B6D"/>
    <w:rsid w:val="0085092D"/>
    <w:rsid w:val="008509A5"/>
    <w:rsid w:val="00850C79"/>
    <w:rsid w:val="00850D82"/>
    <w:rsid w:val="00850F79"/>
    <w:rsid w:val="0085100B"/>
    <w:rsid w:val="008510A1"/>
    <w:rsid w:val="00851D77"/>
    <w:rsid w:val="0085304C"/>
    <w:rsid w:val="008536BB"/>
    <w:rsid w:val="00853A3C"/>
    <w:rsid w:val="008548CA"/>
    <w:rsid w:val="008563B0"/>
    <w:rsid w:val="00856C06"/>
    <w:rsid w:val="00857638"/>
    <w:rsid w:val="0085790B"/>
    <w:rsid w:val="008579B9"/>
    <w:rsid w:val="00857C95"/>
    <w:rsid w:val="00857E78"/>
    <w:rsid w:val="00860AEF"/>
    <w:rsid w:val="00860B18"/>
    <w:rsid w:val="00860D5E"/>
    <w:rsid w:val="0086122C"/>
    <w:rsid w:val="00861310"/>
    <w:rsid w:val="00861C4D"/>
    <w:rsid w:val="00861F53"/>
    <w:rsid w:val="0086289E"/>
    <w:rsid w:val="008629CB"/>
    <w:rsid w:val="0086394E"/>
    <w:rsid w:val="00863F8A"/>
    <w:rsid w:val="00863FE3"/>
    <w:rsid w:val="008640C4"/>
    <w:rsid w:val="00864241"/>
    <w:rsid w:val="008645AA"/>
    <w:rsid w:val="0086468A"/>
    <w:rsid w:val="008650BE"/>
    <w:rsid w:val="00865EAF"/>
    <w:rsid w:val="0086633B"/>
    <w:rsid w:val="00866495"/>
    <w:rsid w:val="00866881"/>
    <w:rsid w:val="00866931"/>
    <w:rsid w:val="008673AE"/>
    <w:rsid w:val="00867512"/>
    <w:rsid w:val="008678A3"/>
    <w:rsid w:val="00867C13"/>
    <w:rsid w:val="00867C1D"/>
    <w:rsid w:val="0087033C"/>
    <w:rsid w:val="008715ED"/>
    <w:rsid w:val="008717D8"/>
    <w:rsid w:val="00871E3C"/>
    <w:rsid w:val="00872F97"/>
    <w:rsid w:val="00874607"/>
    <w:rsid w:val="008747E9"/>
    <w:rsid w:val="00874915"/>
    <w:rsid w:val="00874B89"/>
    <w:rsid w:val="00875403"/>
    <w:rsid w:val="00875434"/>
    <w:rsid w:val="008758E0"/>
    <w:rsid w:val="00875C1F"/>
    <w:rsid w:val="00876215"/>
    <w:rsid w:val="0087646C"/>
    <w:rsid w:val="00876815"/>
    <w:rsid w:val="00877932"/>
    <w:rsid w:val="008808C7"/>
    <w:rsid w:val="0088106B"/>
    <w:rsid w:val="0088107D"/>
    <w:rsid w:val="0088187A"/>
    <w:rsid w:val="00881E64"/>
    <w:rsid w:val="00882E39"/>
    <w:rsid w:val="00883559"/>
    <w:rsid w:val="008850EB"/>
    <w:rsid w:val="00885228"/>
    <w:rsid w:val="008857E3"/>
    <w:rsid w:val="00886DF2"/>
    <w:rsid w:val="00886FB9"/>
    <w:rsid w:val="00887057"/>
    <w:rsid w:val="00887080"/>
    <w:rsid w:val="00887C79"/>
    <w:rsid w:val="008908DC"/>
    <w:rsid w:val="0089107B"/>
    <w:rsid w:val="008913CC"/>
    <w:rsid w:val="008914AE"/>
    <w:rsid w:val="008919CF"/>
    <w:rsid w:val="00891F84"/>
    <w:rsid w:val="00891FC3"/>
    <w:rsid w:val="008928EC"/>
    <w:rsid w:val="00892A15"/>
    <w:rsid w:val="00892E5D"/>
    <w:rsid w:val="008935CF"/>
    <w:rsid w:val="0089436B"/>
    <w:rsid w:val="00894436"/>
    <w:rsid w:val="00894BB1"/>
    <w:rsid w:val="008951D0"/>
    <w:rsid w:val="00895442"/>
    <w:rsid w:val="0089582D"/>
    <w:rsid w:val="008959C6"/>
    <w:rsid w:val="0089606D"/>
    <w:rsid w:val="00896129"/>
    <w:rsid w:val="00896316"/>
    <w:rsid w:val="00896B51"/>
    <w:rsid w:val="0089774F"/>
    <w:rsid w:val="00897875"/>
    <w:rsid w:val="00897B8F"/>
    <w:rsid w:val="008A00D9"/>
    <w:rsid w:val="008A07D5"/>
    <w:rsid w:val="008A1C96"/>
    <w:rsid w:val="008A1FB7"/>
    <w:rsid w:val="008A229A"/>
    <w:rsid w:val="008A2A23"/>
    <w:rsid w:val="008A2AF5"/>
    <w:rsid w:val="008A2B5A"/>
    <w:rsid w:val="008A3F9D"/>
    <w:rsid w:val="008A41F8"/>
    <w:rsid w:val="008A5474"/>
    <w:rsid w:val="008A5C9A"/>
    <w:rsid w:val="008A6005"/>
    <w:rsid w:val="008A614F"/>
    <w:rsid w:val="008A6A55"/>
    <w:rsid w:val="008A6DF0"/>
    <w:rsid w:val="008A6F6E"/>
    <w:rsid w:val="008A7888"/>
    <w:rsid w:val="008A796E"/>
    <w:rsid w:val="008B0862"/>
    <w:rsid w:val="008B088C"/>
    <w:rsid w:val="008B1BF5"/>
    <w:rsid w:val="008B263F"/>
    <w:rsid w:val="008B3045"/>
    <w:rsid w:val="008B47A6"/>
    <w:rsid w:val="008B5C7C"/>
    <w:rsid w:val="008B63FE"/>
    <w:rsid w:val="008B672C"/>
    <w:rsid w:val="008B7108"/>
    <w:rsid w:val="008C065F"/>
    <w:rsid w:val="008C0743"/>
    <w:rsid w:val="008C0B4C"/>
    <w:rsid w:val="008C11F0"/>
    <w:rsid w:val="008C1918"/>
    <w:rsid w:val="008C1DBA"/>
    <w:rsid w:val="008C24E7"/>
    <w:rsid w:val="008C2500"/>
    <w:rsid w:val="008C2CAC"/>
    <w:rsid w:val="008C3C57"/>
    <w:rsid w:val="008C3E2A"/>
    <w:rsid w:val="008C45BD"/>
    <w:rsid w:val="008C4B19"/>
    <w:rsid w:val="008C5983"/>
    <w:rsid w:val="008C62D4"/>
    <w:rsid w:val="008C6B89"/>
    <w:rsid w:val="008C6B97"/>
    <w:rsid w:val="008C7EF7"/>
    <w:rsid w:val="008C7F13"/>
    <w:rsid w:val="008D094D"/>
    <w:rsid w:val="008D0ECE"/>
    <w:rsid w:val="008D18AA"/>
    <w:rsid w:val="008D1A2A"/>
    <w:rsid w:val="008D1ADE"/>
    <w:rsid w:val="008D3199"/>
    <w:rsid w:val="008D35D9"/>
    <w:rsid w:val="008D3B36"/>
    <w:rsid w:val="008D3B85"/>
    <w:rsid w:val="008D42D2"/>
    <w:rsid w:val="008D4596"/>
    <w:rsid w:val="008D462D"/>
    <w:rsid w:val="008D6084"/>
    <w:rsid w:val="008D64AC"/>
    <w:rsid w:val="008D656F"/>
    <w:rsid w:val="008D66CA"/>
    <w:rsid w:val="008D69B1"/>
    <w:rsid w:val="008D7338"/>
    <w:rsid w:val="008D785E"/>
    <w:rsid w:val="008D7D66"/>
    <w:rsid w:val="008E0012"/>
    <w:rsid w:val="008E0DF7"/>
    <w:rsid w:val="008E0FAD"/>
    <w:rsid w:val="008E11E4"/>
    <w:rsid w:val="008E1252"/>
    <w:rsid w:val="008E1347"/>
    <w:rsid w:val="008E16E0"/>
    <w:rsid w:val="008E1C15"/>
    <w:rsid w:val="008E1C9A"/>
    <w:rsid w:val="008E28BD"/>
    <w:rsid w:val="008E2BE6"/>
    <w:rsid w:val="008E30C4"/>
    <w:rsid w:val="008E38B4"/>
    <w:rsid w:val="008E3BA4"/>
    <w:rsid w:val="008E3F17"/>
    <w:rsid w:val="008E44AB"/>
    <w:rsid w:val="008E4CAE"/>
    <w:rsid w:val="008E5179"/>
    <w:rsid w:val="008E57FE"/>
    <w:rsid w:val="008E6598"/>
    <w:rsid w:val="008E710F"/>
    <w:rsid w:val="008E7214"/>
    <w:rsid w:val="008E7471"/>
    <w:rsid w:val="008E7497"/>
    <w:rsid w:val="008E7884"/>
    <w:rsid w:val="008E7D6E"/>
    <w:rsid w:val="008F1056"/>
    <w:rsid w:val="008F2E8D"/>
    <w:rsid w:val="008F361D"/>
    <w:rsid w:val="008F387B"/>
    <w:rsid w:val="008F3DD9"/>
    <w:rsid w:val="008F40DC"/>
    <w:rsid w:val="008F4163"/>
    <w:rsid w:val="008F4814"/>
    <w:rsid w:val="008F4B18"/>
    <w:rsid w:val="008F4DA6"/>
    <w:rsid w:val="008F538E"/>
    <w:rsid w:val="008F5A20"/>
    <w:rsid w:val="008F5ABA"/>
    <w:rsid w:val="008F6157"/>
    <w:rsid w:val="008F71AB"/>
    <w:rsid w:val="008F7905"/>
    <w:rsid w:val="008F7989"/>
    <w:rsid w:val="00900912"/>
    <w:rsid w:val="009013B8"/>
    <w:rsid w:val="00901F1D"/>
    <w:rsid w:val="009028E8"/>
    <w:rsid w:val="00902E5C"/>
    <w:rsid w:val="0090363E"/>
    <w:rsid w:val="00903788"/>
    <w:rsid w:val="00903C57"/>
    <w:rsid w:val="009046E5"/>
    <w:rsid w:val="009047C5"/>
    <w:rsid w:val="009100A1"/>
    <w:rsid w:val="00910683"/>
    <w:rsid w:val="00910E00"/>
    <w:rsid w:val="00910E04"/>
    <w:rsid w:val="009116CE"/>
    <w:rsid w:val="00911714"/>
    <w:rsid w:val="00911D04"/>
    <w:rsid w:val="00911EFF"/>
    <w:rsid w:val="0091310F"/>
    <w:rsid w:val="009136D4"/>
    <w:rsid w:val="00914B9A"/>
    <w:rsid w:val="00914C3F"/>
    <w:rsid w:val="00914F33"/>
    <w:rsid w:val="00915EFE"/>
    <w:rsid w:val="00915FCE"/>
    <w:rsid w:val="00916907"/>
    <w:rsid w:val="00916AFE"/>
    <w:rsid w:val="00916FC8"/>
    <w:rsid w:val="009170D3"/>
    <w:rsid w:val="0091759C"/>
    <w:rsid w:val="00917CBE"/>
    <w:rsid w:val="00920026"/>
    <w:rsid w:val="009203E2"/>
    <w:rsid w:val="00920BF5"/>
    <w:rsid w:val="00920F61"/>
    <w:rsid w:val="00921304"/>
    <w:rsid w:val="00921395"/>
    <w:rsid w:val="00921805"/>
    <w:rsid w:val="00921E63"/>
    <w:rsid w:val="009220F6"/>
    <w:rsid w:val="00923396"/>
    <w:rsid w:val="00923F56"/>
    <w:rsid w:val="009242A6"/>
    <w:rsid w:val="00924770"/>
    <w:rsid w:val="00925346"/>
    <w:rsid w:val="00925743"/>
    <w:rsid w:val="0092579F"/>
    <w:rsid w:val="00927E8D"/>
    <w:rsid w:val="00927F23"/>
    <w:rsid w:val="009307CD"/>
    <w:rsid w:val="00931364"/>
    <w:rsid w:val="00931365"/>
    <w:rsid w:val="00931451"/>
    <w:rsid w:val="009314FA"/>
    <w:rsid w:val="0093194F"/>
    <w:rsid w:val="00931BF3"/>
    <w:rsid w:val="00931C55"/>
    <w:rsid w:val="0093228F"/>
    <w:rsid w:val="00933333"/>
    <w:rsid w:val="0093349A"/>
    <w:rsid w:val="0093360C"/>
    <w:rsid w:val="009338BA"/>
    <w:rsid w:val="00933FCB"/>
    <w:rsid w:val="009346C8"/>
    <w:rsid w:val="00934CEC"/>
    <w:rsid w:val="00934E69"/>
    <w:rsid w:val="0093576F"/>
    <w:rsid w:val="00935E70"/>
    <w:rsid w:val="0093609A"/>
    <w:rsid w:val="00937401"/>
    <w:rsid w:val="009376FB"/>
    <w:rsid w:val="00937D6B"/>
    <w:rsid w:val="00940207"/>
    <w:rsid w:val="00940477"/>
    <w:rsid w:val="00940876"/>
    <w:rsid w:val="00940A53"/>
    <w:rsid w:val="00940F3C"/>
    <w:rsid w:val="009410E0"/>
    <w:rsid w:val="00941FA9"/>
    <w:rsid w:val="009439B6"/>
    <w:rsid w:val="009444B4"/>
    <w:rsid w:val="00944644"/>
    <w:rsid w:val="00946A24"/>
    <w:rsid w:val="009470D4"/>
    <w:rsid w:val="00947337"/>
    <w:rsid w:val="009477BD"/>
    <w:rsid w:val="00947E6E"/>
    <w:rsid w:val="009512FA"/>
    <w:rsid w:val="009516A9"/>
    <w:rsid w:val="00951E57"/>
    <w:rsid w:val="00952350"/>
    <w:rsid w:val="00952505"/>
    <w:rsid w:val="00953018"/>
    <w:rsid w:val="009533E2"/>
    <w:rsid w:val="00953554"/>
    <w:rsid w:val="0095385A"/>
    <w:rsid w:val="00954F3A"/>
    <w:rsid w:val="00955541"/>
    <w:rsid w:val="00955DFD"/>
    <w:rsid w:val="0095674F"/>
    <w:rsid w:val="0095780A"/>
    <w:rsid w:val="009578C3"/>
    <w:rsid w:val="009579E4"/>
    <w:rsid w:val="00957AA4"/>
    <w:rsid w:val="00957ACB"/>
    <w:rsid w:val="00957F27"/>
    <w:rsid w:val="00960BDB"/>
    <w:rsid w:val="0096105C"/>
    <w:rsid w:val="0096147D"/>
    <w:rsid w:val="00961C14"/>
    <w:rsid w:val="00961D53"/>
    <w:rsid w:val="00961E5F"/>
    <w:rsid w:val="009625C6"/>
    <w:rsid w:val="009629B5"/>
    <w:rsid w:val="00962A50"/>
    <w:rsid w:val="00962C93"/>
    <w:rsid w:val="00963550"/>
    <w:rsid w:val="00964138"/>
    <w:rsid w:val="009648D6"/>
    <w:rsid w:val="00964B3F"/>
    <w:rsid w:val="00964C98"/>
    <w:rsid w:val="00971441"/>
    <w:rsid w:val="00971555"/>
    <w:rsid w:val="009715D4"/>
    <w:rsid w:val="009715E1"/>
    <w:rsid w:val="0097179A"/>
    <w:rsid w:val="00971B0A"/>
    <w:rsid w:val="009731F4"/>
    <w:rsid w:val="009732A4"/>
    <w:rsid w:val="00973AB3"/>
    <w:rsid w:val="00973C05"/>
    <w:rsid w:val="0097494E"/>
    <w:rsid w:val="00974999"/>
    <w:rsid w:val="00974B58"/>
    <w:rsid w:val="00974CBD"/>
    <w:rsid w:val="00975445"/>
    <w:rsid w:val="009761ED"/>
    <w:rsid w:val="00977F52"/>
    <w:rsid w:val="0098022F"/>
    <w:rsid w:val="009810DE"/>
    <w:rsid w:val="00981B91"/>
    <w:rsid w:val="009822D7"/>
    <w:rsid w:val="009827E6"/>
    <w:rsid w:val="00982F84"/>
    <w:rsid w:val="009831C3"/>
    <w:rsid w:val="009838C1"/>
    <w:rsid w:val="0098427D"/>
    <w:rsid w:val="00984567"/>
    <w:rsid w:val="00985102"/>
    <w:rsid w:val="009854BC"/>
    <w:rsid w:val="00985A66"/>
    <w:rsid w:val="0098606C"/>
    <w:rsid w:val="009865D5"/>
    <w:rsid w:val="009866A4"/>
    <w:rsid w:val="00986CD7"/>
    <w:rsid w:val="009876F2"/>
    <w:rsid w:val="00987C77"/>
    <w:rsid w:val="00987FED"/>
    <w:rsid w:val="00990345"/>
    <w:rsid w:val="00990701"/>
    <w:rsid w:val="0099119C"/>
    <w:rsid w:val="0099137A"/>
    <w:rsid w:val="0099211C"/>
    <w:rsid w:val="00993013"/>
    <w:rsid w:val="009930AB"/>
    <w:rsid w:val="00993125"/>
    <w:rsid w:val="00993B78"/>
    <w:rsid w:val="00994F3F"/>
    <w:rsid w:val="00995119"/>
    <w:rsid w:val="0099531F"/>
    <w:rsid w:val="009953AD"/>
    <w:rsid w:val="009957D7"/>
    <w:rsid w:val="0099583D"/>
    <w:rsid w:val="00996020"/>
    <w:rsid w:val="0099629E"/>
    <w:rsid w:val="00996992"/>
    <w:rsid w:val="00996E1E"/>
    <w:rsid w:val="00997148"/>
    <w:rsid w:val="00997254"/>
    <w:rsid w:val="00997392"/>
    <w:rsid w:val="0099747C"/>
    <w:rsid w:val="0099771C"/>
    <w:rsid w:val="009A01E4"/>
    <w:rsid w:val="009A0917"/>
    <w:rsid w:val="009A0A33"/>
    <w:rsid w:val="009A10B2"/>
    <w:rsid w:val="009A1351"/>
    <w:rsid w:val="009A2041"/>
    <w:rsid w:val="009A2435"/>
    <w:rsid w:val="009A2B60"/>
    <w:rsid w:val="009A2D3B"/>
    <w:rsid w:val="009A35DC"/>
    <w:rsid w:val="009A38AB"/>
    <w:rsid w:val="009A39EE"/>
    <w:rsid w:val="009A3A33"/>
    <w:rsid w:val="009A3D47"/>
    <w:rsid w:val="009A4D63"/>
    <w:rsid w:val="009A5356"/>
    <w:rsid w:val="009A5468"/>
    <w:rsid w:val="009A55D8"/>
    <w:rsid w:val="009A5D99"/>
    <w:rsid w:val="009A608C"/>
    <w:rsid w:val="009A6FDF"/>
    <w:rsid w:val="009A715F"/>
    <w:rsid w:val="009A76D6"/>
    <w:rsid w:val="009B03F1"/>
    <w:rsid w:val="009B2374"/>
    <w:rsid w:val="009B28D6"/>
    <w:rsid w:val="009B2E29"/>
    <w:rsid w:val="009B3163"/>
    <w:rsid w:val="009B422F"/>
    <w:rsid w:val="009B46BC"/>
    <w:rsid w:val="009B4D1A"/>
    <w:rsid w:val="009B519D"/>
    <w:rsid w:val="009B558B"/>
    <w:rsid w:val="009B663F"/>
    <w:rsid w:val="009B6D21"/>
    <w:rsid w:val="009B78ED"/>
    <w:rsid w:val="009C181C"/>
    <w:rsid w:val="009C1A44"/>
    <w:rsid w:val="009C1C7F"/>
    <w:rsid w:val="009C1EC7"/>
    <w:rsid w:val="009C2210"/>
    <w:rsid w:val="009C28A2"/>
    <w:rsid w:val="009C3239"/>
    <w:rsid w:val="009C3828"/>
    <w:rsid w:val="009C3AD3"/>
    <w:rsid w:val="009C3AF4"/>
    <w:rsid w:val="009C3D2C"/>
    <w:rsid w:val="009C4987"/>
    <w:rsid w:val="009C4FDE"/>
    <w:rsid w:val="009C523F"/>
    <w:rsid w:val="009C59BF"/>
    <w:rsid w:val="009C5E4F"/>
    <w:rsid w:val="009C5F64"/>
    <w:rsid w:val="009C5F82"/>
    <w:rsid w:val="009C60EA"/>
    <w:rsid w:val="009C6BFC"/>
    <w:rsid w:val="009C70F8"/>
    <w:rsid w:val="009C78A3"/>
    <w:rsid w:val="009C7E68"/>
    <w:rsid w:val="009D00D7"/>
    <w:rsid w:val="009D0156"/>
    <w:rsid w:val="009D03B4"/>
    <w:rsid w:val="009D05DA"/>
    <w:rsid w:val="009D11F6"/>
    <w:rsid w:val="009D1A14"/>
    <w:rsid w:val="009D1E2A"/>
    <w:rsid w:val="009D1FA0"/>
    <w:rsid w:val="009D2BDF"/>
    <w:rsid w:val="009D3736"/>
    <w:rsid w:val="009D4529"/>
    <w:rsid w:val="009D460F"/>
    <w:rsid w:val="009D604F"/>
    <w:rsid w:val="009D61BB"/>
    <w:rsid w:val="009D6410"/>
    <w:rsid w:val="009D68BB"/>
    <w:rsid w:val="009D6909"/>
    <w:rsid w:val="009D6CC6"/>
    <w:rsid w:val="009D700F"/>
    <w:rsid w:val="009D70C2"/>
    <w:rsid w:val="009D7244"/>
    <w:rsid w:val="009D7ADB"/>
    <w:rsid w:val="009D7B33"/>
    <w:rsid w:val="009E0490"/>
    <w:rsid w:val="009E06C3"/>
    <w:rsid w:val="009E0703"/>
    <w:rsid w:val="009E1035"/>
    <w:rsid w:val="009E13D2"/>
    <w:rsid w:val="009E16DA"/>
    <w:rsid w:val="009E1CD4"/>
    <w:rsid w:val="009E2391"/>
    <w:rsid w:val="009E2A11"/>
    <w:rsid w:val="009E476A"/>
    <w:rsid w:val="009E4A16"/>
    <w:rsid w:val="009E4E05"/>
    <w:rsid w:val="009E56FF"/>
    <w:rsid w:val="009E5CB1"/>
    <w:rsid w:val="009E5E56"/>
    <w:rsid w:val="009E61EA"/>
    <w:rsid w:val="009E6990"/>
    <w:rsid w:val="009E6FEE"/>
    <w:rsid w:val="009E7068"/>
    <w:rsid w:val="009F00B9"/>
    <w:rsid w:val="009F060F"/>
    <w:rsid w:val="009F0781"/>
    <w:rsid w:val="009F0850"/>
    <w:rsid w:val="009F14D0"/>
    <w:rsid w:val="009F15A8"/>
    <w:rsid w:val="009F1950"/>
    <w:rsid w:val="009F1BDF"/>
    <w:rsid w:val="009F1EAE"/>
    <w:rsid w:val="009F210A"/>
    <w:rsid w:val="009F2732"/>
    <w:rsid w:val="009F2848"/>
    <w:rsid w:val="009F369D"/>
    <w:rsid w:val="009F36FE"/>
    <w:rsid w:val="009F4990"/>
    <w:rsid w:val="009F4F25"/>
    <w:rsid w:val="009F59C2"/>
    <w:rsid w:val="009F6DD3"/>
    <w:rsid w:val="009F7263"/>
    <w:rsid w:val="009F76EA"/>
    <w:rsid w:val="009F78EB"/>
    <w:rsid w:val="009F7DB2"/>
    <w:rsid w:val="009F7F32"/>
    <w:rsid w:val="009F7FEB"/>
    <w:rsid w:val="00A003D5"/>
    <w:rsid w:val="00A0056C"/>
    <w:rsid w:val="00A00F5E"/>
    <w:rsid w:val="00A0120D"/>
    <w:rsid w:val="00A01852"/>
    <w:rsid w:val="00A0188B"/>
    <w:rsid w:val="00A01C35"/>
    <w:rsid w:val="00A01E73"/>
    <w:rsid w:val="00A023E7"/>
    <w:rsid w:val="00A02B88"/>
    <w:rsid w:val="00A02EF9"/>
    <w:rsid w:val="00A03160"/>
    <w:rsid w:val="00A036AC"/>
    <w:rsid w:val="00A03C54"/>
    <w:rsid w:val="00A03DE5"/>
    <w:rsid w:val="00A041BC"/>
    <w:rsid w:val="00A0447F"/>
    <w:rsid w:val="00A04532"/>
    <w:rsid w:val="00A046D2"/>
    <w:rsid w:val="00A04A54"/>
    <w:rsid w:val="00A058B8"/>
    <w:rsid w:val="00A05B4B"/>
    <w:rsid w:val="00A066C3"/>
    <w:rsid w:val="00A06754"/>
    <w:rsid w:val="00A069E0"/>
    <w:rsid w:val="00A06E4A"/>
    <w:rsid w:val="00A06EB6"/>
    <w:rsid w:val="00A070E9"/>
    <w:rsid w:val="00A078FB"/>
    <w:rsid w:val="00A10209"/>
    <w:rsid w:val="00A1036D"/>
    <w:rsid w:val="00A1069F"/>
    <w:rsid w:val="00A10ACA"/>
    <w:rsid w:val="00A10D08"/>
    <w:rsid w:val="00A11720"/>
    <w:rsid w:val="00A11E78"/>
    <w:rsid w:val="00A12355"/>
    <w:rsid w:val="00A12574"/>
    <w:rsid w:val="00A127D2"/>
    <w:rsid w:val="00A1284E"/>
    <w:rsid w:val="00A13CF5"/>
    <w:rsid w:val="00A143EC"/>
    <w:rsid w:val="00A149E8"/>
    <w:rsid w:val="00A1500F"/>
    <w:rsid w:val="00A15621"/>
    <w:rsid w:val="00A15670"/>
    <w:rsid w:val="00A157A0"/>
    <w:rsid w:val="00A1585B"/>
    <w:rsid w:val="00A15C19"/>
    <w:rsid w:val="00A15FE9"/>
    <w:rsid w:val="00A16809"/>
    <w:rsid w:val="00A17584"/>
    <w:rsid w:val="00A17769"/>
    <w:rsid w:val="00A17EA2"/>
    <w:rsid w:val="00A20264"/>
    <w:rsid w:val="00A20997"/>
    <w:rsid w:val="00A210D4"/>
    <w:rsid w:val="00A213DD"/>
    <w:rsid w:val="00A21454"/>
    <w:rsid w:val="00A216CE"/>
    <w:rsid w:val="00A22025"/>
    <w:rsid w:val="00A22498"/>
    <w:rsid w:val="00A22571"/>
    <w:rsid w:val="00A2298D"/>
    <w:rsid w:val="00A235E1"/>
    <w:rsid w:val="00A24560"/>
    <w:rsid w:val="00A25B0F"/>
    <w:rsid w:val="00A25BBB"/>
    <w:rsid w:val="00A27FB6"/>
    <w:rsid w:val="00A30121"/>
    <w:rsid w:val="00A30368"/>
    <w:rsid w:val="00A3043A"/>
    <w:rsid w:val="00A30E02"/>
    <w:rsid w:val="00A30F6A"/>
    <w:rsid w:val="00A31060"/>
    <w:rsid w:val="00A31C3E"/>
    <w:rsid w:val="00A34538"/>
    <w:rsid w:val="00A34677"/>
    <w:rsid w:val="00A3540F"/>
    <w:rsid w:val="00A35630"/>
    <w:rsid w:val="00A35914"/>
    <w:rsid w:val="00A36189"/>
    <w:rsid w:val="00A3677A"/>
    <w:rsid w:val="00A37E73"/>
    <w:rsid w:val="00A37FB6"/>
    <w:rsid w:val="00A409E2"/>
    <w:rsid w:val="00A4104A"/>
    <w:rsid w:val="00A41081"/>
    <w:rsid w:val="00A411CA"/>
    <w:rsid w:val="00A42080"/>
    <w:rsid w:val="00A42096"/>
    <w:rsid w:val="00A426F3"/>
    <w:rsid w:val="00A42FDF"/>
    <w:rsid w:val="00A430A9"/>
    <w:rsid w:val="00A431FE"/>
    <w:rsid w:val="00A4384F"/>
    <w:rsid w:val="00A439E5"/>
    <w:rsid w:val="00A4414E"/>
    <w:rsid w:val="00A4497A"/>
    <w:rsid w:val="00A44AB5"/>
    <w:rsid w:val="00A44BE8"/>
    <w:rsid w:val="00A44C96"/>
    <w:rsid w:val="00A44CDD"/>
    <w:rsid w:val="00A44F54"/>
    <w:rsid w:val="00A45F9B"/>
    <w:rsid w:val="00A46574"/>
    <w:rsid w:val="00A46A5F"/>
    <w:rsid w:val="00A47701"/>
    <w:rsid w:val="00A47849"/>
    <w:rsid w:val="00A500B1"/>
    <w:rsid w:val="00A51D65"/>
    <w:rsid w:val="00A52A53"/>
    <w:rsid w:val="00A52EE5"/>
    <w:rsid w:val="00A53037"/>
    <w:rsid w:val="00A532B9"/>
    <w:rsid w:val="00A5351D"/>
    <w:rsid w:val="00A53E79"/>
    <w:rsid w:val="00A5402C"/>
    <w:rsid w:val="00A54031"/>
    <w:rsid w:val="00A5426D"/>
    <w:rsid w:val="00A54FC2"/>
    <w:rsid w:val="00A55122"/>
    <w:rsid w:val="00A55806"/>
    <w:rsid w:val="00A55CEA"/>
    <w:rsid w:val="00A560A9"/>
    <w:rsid w:val="00A56DE7"/>
    <w:rsid w:val="00A57EB2"/>
    <w:rsid w:val="00A6009E"/>
    <w:rsid w:val="00A60265"/>
    <w:rsid w:val="00A60540"/>
    <w:rsid w:val="00A60B1F"/>
    <w:rsid w:val="00A611B1"/>
    <w:rsid w:val="00A6144B"/>
    <w:rsid w:val="00A61C60"/>
    <w:rsid w:val="00A62589"/>
    <w:rsid w:val="00A62AD0"/>
    <w:rsid w:val="00A62C3A"/>
    <w:rsid w:val="00A6319C"/>
    <w:rsid w:val="00A63812"/>
    <w:rsid w:val="00A63DF7"/>
    <w:rsid w:val="00A6454D"/>
    <w:rsid w:val="00A64767"/>
    <w:rsid w:val="00A64F2F"/>
    <w:rsid w:val="00A6611E"/>
    <w:rsid w:val="00A6662C"/>
    <w:rsid w:val="00A668BA"/>
    <w:rsid w:val="00A66FA7"/>
    <w:rsid w:val="00A67170"/>
    <w:rsid w:val="00A67E16"/>
    <w:rsid w:val="00A67EB1"/>
    <w:rsid w:val="00A67F1C"/>
    <w:rsid w:val="00A703CC"/>
    <w:rsid w:val="00A70C5C"/>
    <w:rsid w:val="00A710A2"/>
    <w:rsid w:val="00A71EA7"/>
    <w:rsid w:val="00A730AD"/>
    <w:rsid w:val="00A73855"/>
    <w:rsid w:val="00A73D64"/>
    <w:rsid w:val="00A74216"/>
    <w:rsid w:val="00A74360"/>
    <w:rsid w:val="00A744B4"/>
    <w:rsid w:val="00A751E3"/>
    <w:rsid w:val="00A7536B"/>
    <w:rsid w:val="00A753B9"/>
    <w:rsid w:val="00A7549A"/>
    <w:rsid w:val="00A75504"/>
    <w:rsid w:val="00A75FD7"/>
    <w:rsid w:val="00A77168"/>
    <w:rsid w:val="00A7723B"/>
    <w:rsid w:val="00A773C3"/>
    <w:rsid w:val="00A7793C"/>
    <w:rsid w:val="00A77D21"/>
    <w:rsid w:val="00A80085"/>
    <w:rsid w:val="00A8043B"/>
    <w:rsid w:val="00A80DA0"/>
    <w:rsid w:val="00A81323"/>
    <w:rsid w:val="00A820CB"/>
    <w:rsid w:val="00A82342"/>
    <w:rsid w:val="00A8236F"/>
    <w:rsid w:val="00A82D06"/>
    <w:rsid w:val="00A83BEF"/>
    <w:rsid w:val="00A84443"/>
    <w:rsid w:val="00A8487F"/>
    <w:rsid w:val="00A84935"/>
    <w:rsid w:val="00A849A3"/>
    <w:rsid w:val="00A84A0E"/>
    <w:rsid w:val="00A8575D"/>
    <w:rsid w:val="00A861F4"/>
    <w:rsid w:val="00A86E0B"/>
    <w:rsid w:val="00A90F12"/>
    <w:rsid w:val="00A91DAA"/>
    <w:rsid w:val="00A93101"/>
    <w:rsid w:val="00A93239"/>
    <w:rsid w:val="00A9413E"/>
    <w:rsid w:val="00A94293"/>
    <w:rsid w:val="00A9496E"/>
    <w:rsid w:val="00A949F0"/>
    <w:rsid w:val="00A94BDE"/>
    <w:rsid w:val="00A94FCA"/>
    <w:rsid w:val="00A95E4C"/>
    <w:rsid w:val="00A96C60"/>
    <w:rsid w:val="00A9740B"/>
    <w:rsid w:val="00A9766C"/>
    <w:rsid w:val="00A977F8"/>
    <w:rsid w:val="00A979DB"/>
    <w:rsid w:val="00A97A40"/>
    <w:rsid w:val="00A97C93"/>
    <w:rsid w:val="00AA06C6"/>
    <w:rsid w:val="00AA08E7"/>
    <w:rsid w:val="00AA0A06"/>
    <w:rsid w:val="00AA1351"/>
    <w:rsid w:val="00AA184C"/>
    <w:rsid w:val="00AA1AF4"/>
    <w:rsid w:val="00AA1C84"/>
    <w:rsid w:val="00AA31C5"/>
    <w:rsid w:val="00AA3D7B"/>
    <w:rsid w:val="00AA42A0"/>
    <w:rsid w:val="00AA442B"/>
    <w:rsid w:val="00AA46A4"/>
    <w:rsid w:val="00AA47FA"/>
    <w:rsid w:val="00AA5779"/>
    <w:rsid w:val="00AA58A1"/>
    <w:rsid w:val="00AA61C7"/>
    <w:rsid w:val="00AA669D"/>
    <w:rsid w:val="00AA66ED"/>
    <w:rsid w:val="00AA6B59"/>
    <w:rsid w:val="00AA6BE1"/>
    <w:rsid w:val="00AA7416"/>
    <w:rsid w:val="00AA7A60"/>
    <w:rsid w:val="00AA7B42"/>
    <w:rsid w:val="00AB041C"/>
    <w:rsid w:val="00AB14E8"/>
    <w:rsid w:val="00AB1B1D"/>
    <w:rsid w:val="00AB1CD8"/>
    <w:rsid w:val="00AB2216"/>
    <w:rsid w:val="00AB358D"/>
    <w:rsid w:val="00AB37A1"/>
    <w:rsid w:val="00AB3BAD"/>
    <w:rsid w:val="00AB3CFD"/>
    <w:rsid w:val="00AB49BC"/>
    <w:rsid w:val="00AB4DEE"/>
    <w:rsid w:val="00AB4E32"/>
    <w:rsid w:val="00AB5C19"/>
    <w:rsid w:val="00AB724B"/>
    <w:rsid w:val="00AB726C"/>
    <w:rsid w:val="00AB72B4"/>
    <w:rsid w:val="00AB7549"/>
    <w:rsid w:val="00AB7A7A"/>
    <w:rsid w:val="00AC02AA"/>
    <w:rsid w:val="00AC0537"/>
    <w:rsid w:val="00AC0A84"/>
    <w:rsid w:val="00AC1508"/>
    <w:rsid w:val="00AC2A0B"/>
    <w:rsid w:val="00AC2BEE"/>
    <w:rsid w:val="00AC2E53"/>
    <w:rsid w:val="00AC484F"/>
    <w:rsid w:val="00AC4AD2"/>
    <w:rsid w:val="00AC4B20"/>
    <w:rsid w:val="00AC5395"/>
    <w:rsid w:val="00AC55C7"/>
    <w:rsid w:val="00AC56F2"/>
    <w:rsid w:val="00AC5D9D"/>
    <w:rsid w:val="00AC71C3"/>
    <w:rsid w:val="00AD0861"/>
    <w:rsid w:val="00AD09F7"/>
    <w:rsid w:val="00AD1EFA"/>
    <w:rsid w:val="00AD2072"/>
    <w:rsid w:val="00AD2DBD"/>
    <w:rsid w:val="00AD2FBF"/>
    <w:rsid w:val="00AD30DB"/>
    <w:rsid w:val="00AD33A1"/>
    <w:rsid w:val="00AD340E"/>
    <w:rsid w:val="00AD455D"/>
    <w:rsid w:val="00AD463C"/>
    <w:rsid w:val="00AD4F60"/>
    <w:rsid w:val="00AD5044"/>
    <w:rsid w:val="00AD5114"/>
    <w:rsid w:val="00AD5740"/>
    <w:rsid w:val="00AD6236"/>
    <w:rsid w:val="00AD69D5"/>
    <w:rsid w:val="00AD7619"/>
    <w:rsid w:val="00AD7770"/>
    <w:rsid w:val="00AE1713"/>
    <w:rsid w:val="00AE1772"/>
    <w:rsid w:val="00AE1990"/>
    <w:rsid w:val="00AE25E8"/>
    <w:rsid w:val="00AE2AD4"/>
    <w:rsid w:val="00AE2CA7"/>
    <w:rsid w:val="00AE2F1D"/>
    <w:rsid w:val="00AE4C81"/>
    <w:rsid w:val="00AE586F"/>
    <w:rsid w:val="00AE62FE"/>
    <w:rsid w:val="00AE6582"/>
    <w:rsid w:val="00AE6DC5"/>
    <w:rsid w:val="00AE7686"/>
    <w:rsid w:val="00AE799A"/>
    <w:rsid w:val="00AF0E81"/>
    <w:rsid w:val="00AF117A"/>
    <w:rsid w:val="00AF134E"/>
    <w:rsid w:val="00AF16CA"/>
    <w:rsid w:val="00AF186E"/>
    <w:rsid w:val="00AF19DF"/>
    <w:rsid w:val="00AF1D41"/>
    <w:rsid w:val="00AF26CF"/>
    <w:rsid w:val="00AF3124"/>
    <w:rsid w:val="00AF344D"/>
    <w:rsid w:val="00AF39B3"/>
    <w:rsid w:val="00AF3C1F"/>
    <w:rsid w:val="00AF3FED"/>
    <w:rsid w:val="00AF4402"/>
    <w:rsid w:val="00AF4639"/>
    <w:rsid w:val="00AF4E92"/>
    <w:rsid w:val="00AF554B"/>
    <w:rsid w:val="00AF5C9B"/>
    <w:rsid w:val="00AF5D53"/>
    <w:rsid w:val="00AF5E2D"/>
    <w:rsid w:val="00AF644B"/>
    <w:rsid w:val="00AF69EB"/>
    <w:rsid w:val="00AF6CA6"/>
    <w:rsid w:val="00AF6DEC"/>
    <w:rsid w:val="00AF6EB6"/>
    <w:rsid w:val="00AF7796"/>
    <w:rsid w:val="00AF7E8F"/>
    <w:rsid w:val="00B011A9"/>
    <w:rsid w:val="00B01BAF"/>
    <w:rsid w:val="00B024ED"/>
    <w:rsid w:val="00B026B8"/>
    <w:rsid w:val="00B02EB3"/>
    <w:rsid w:val="00B02F7C"/>
    <w:rsid w:val="00B02FCB"/>
    <w:rsid w:val="00B033F8"/>
    <w:rsid w:val="00B0343B"/>
    <w:rsid w:val="00B03C1E"/>
    <w:rsid w:val="00B04400"/>
    <w:rsid w:val="00B04835"/>
    <w:rsid w:val="00B05A55"/>
    <w:rsid w:val="00B05DE1"/>
    <w:rsid w:val="00B06595"/>
    <w:rsid w:val="00B06862"/>
    <w:rsid w:val="00B10109"/>
    <w:rsid w:val="00B1085E"/>
    <w:rsid w:val="00B10FD1"/>
    <w:rsid w:val="00B112D5"/>
    <w:rsid w:val="00B11378"/>
    <w:rsid w:val="00B1219D"/>
    <w:rsid w:val="00B12735"/>
    <w:rsid w:val="00B12F44"/>
    <w:rsid w:val="00B12FBB"/>
    <w:rsid w:val="00B13C48"/>
    <w:rsid w:val="00B13E35"/>
    <w:rsid w:val="00B13EC0"/>
    <w:rsid w:val="00B14102"/>
    <w:rsid w:val="00B14771"/>
    <w:rsid w:val="00B14D32"/>
    <w:rsid w:val="00B1507C"/>
    <w:rsid w:val="00B1557C"/>
    <w:rsid w:val="00B155DC"/>
    <w:rsid w:val="00B15766"/>
    <w:rsid w:val="00B15E4A"/>
    <w:rsid w:val="00B1666A"/>
    <w:rsid w:val="00B167C8"/>
    <w:rsid w:val="00B1686D"/>
    <w:rsid w:val="00B16BF7"/>
    <w:rsid w:val="00B17129"/>
    <w:rsid w:val="00B1741D"/>
    <w:rsid w:val="00B17447"/>
    <w:rsid w:val="00B17719"/>
    <w:rsid w:val="00B1771D"/>
    <w:rsid w:val="00B17B91"/>
    <w:rsid w:val="00B20209"/>
    <w:rsid w:val="00B203C9"/>
    <w:rsid w:val="00B2088D"/>
    <w:rsid w:val="00B208FF"/>
    <w:rsid w:val="00B21271"/>
    <w:rsid w:val="00B22E22"/>
    <w:rsid w:val="00B22F5F"/>
    <w:rsid w:val="00B23353"/>
    <w:rsid w:val="00B237E6"/>
    <w:rsid w:val="00B23813"/>
    <w:rsid w:val="00B23FD9"/>
    <w:rsid w:val="00B24591"/>
    <w:rsid w:val="00B245D5"/>
    <w:rsid w:val="00B245EF"/>
    <w:rsid w:val="00B24C36"/>
    <w:rsid w:val="00B24D9F"/>
    <w:rsid w:val="00B24F94"/>
    <w:rsid w:val="00B25126"/>
    <w:rsid w:val="00B25703"/>
    <w:rsid w:val="00B25A52"/>
    <w:rsid w:val="00B25EAF"/>
    <w:rsid w:val="00B25FC3"/>
    <w:rsid w:val="00B2692F"/>
    <w:rsid w:val="00B27875"/>
    <w:rsid w:val="00B3008D"/>
    <w:rsid w:val="00B30884"/>
    <w:rsid w:val="00B30E11"/>
    <w:rsid w:val="00B30EAE"/>
    <w:rsid w:val="00B30EEB"/>
    <w:rsid w:val="00B31423"/>
    <w:rsid w:val="00B317AE"/>
    <w:rsid w:val="00B323E0"/>
    <w:rsid w:val="00B32DC0"/>
    <w:rsid w:val="00B32E31"/>
    <w:rsid w:val="00B3346C"/>
    <w:rsid w:val="00B335E4"/>
    <w:rsid w:val="00B33C23"/>
    <w:rsid w:val="00B345B4"/>
    <w:rsid w:val="00B348B1"/>
    <w:rsid w:val="00B34A28"/>
    <w:rsid w:val="00B35046"/>
    <w:rsid w:val="00B357F4"/>
    <w:rsid w:val="00B35B6A"/>
    <w:rsid w:val="00B3692A"/>
    <w:rsid w:val="00B36D2B"/>
    <w:rsid w:val="00B37657"/>
    <w:rsid w:val="00B37AFD"/>
    <w:rsid w:val="00B37B07"/>
    <w:rsid w:val="00B4046F"/>
    <w:rsid w:val="00B406B3"/>
    <w:rsid w:val="00B40A36"/>
    <w:rsid w:val="00B4119B"/>
    <w:rsid w:val="00B41BCA"/>
    <w:rsid w:val="00B41D39"/>
    <w:rsid w:val="00B41E2B"/>
    <w:rsid w:val="00B422C0"/>
    <w:rsid w:val="00B426CA"/>
    <w:rsid w:val="00B426E1"/>
    <w:rsid w:val="00B434C1"/>
    <w:rsid w:val="00B43718"/>
    <w:rsid w:val="00B4387A"/>
    <w:rsid w:val="00B43A29"/>
    <w:rsid w:val="00B44746"/>
    <w:rsid w:val="00B44854"/>
    <w:rsid w:val="00B44BA5"/>
    <w:rsid w:val="00B458D0"/>
    <w:rsid w:val="00B4792C"/>
    <w:rsid w:val="00B50CAE"/>
    <w:rsid w:val="00B512AD"/>
    <w:rsid w:val="00B5196C"/>
    <w:rsid w:val="00B525CB"/>
    <w:rsid w:val="00B52697"/>
    <w:rsid w:val="00B53D1A"/>
    <w:rsid w:val="00B54215"/>
    <w:rsid w:val="00B54D8F"/>
    <w:rsid w:val="00B55857"/>
    <w:rsid w:val="00B55C69"/>
    <w:rsid w:val="00B56851"/>
    <w:rsid w:val="00B56D6E"/>
    <w:rsid w:val="00B572F7"/>
    <w:rsid w:val="00B57B9D"/>
    <w:rsid w:val="00B57DAF"/>
    <w:rsid w:val="00B60094"/>
    <w:rsid w:val="00B6022C"/>
    <w:rsid w:val="00B6040C"/>
    <w:rsid w:val="00B614F8"/>
    <w:rsid w:val="00B61994"/>
    <w:rsid w:val="00B61B18"/>
    <w:rsid w:val="00B61FD4"/>
    <w:rsid w:val="00B6235B"/>
    <w:rsid w:val="00B62880"/>
    <w:rsid w:val="00B63872"/>
    <w:rsid w:val="00B63CB2"/>
    <w:rsid w:val="00B64246"/>
    <w:rsid w:val="00B64EDB"/>
    <w:rsid w:val="00B65938"/>
    <w:rsid w:val="00B65C8A"/>
    <w:rsid w:val="00B65CE2"/>
    <w:rsid w:val="00B660AD"/>
    <w:rsid w:val="00B66109"/>
    <w:rsid w:val="00B66349"/>
    <w:rsid w:val="00B669B3"/>
    <w:rsid w:val="00B67FBF"/>
    <w:rsid w:val="00B70832"/>
    <w:rsid w:val="00B71376"/>
    <w:rsid w:val="00B716D7"/>
    <w:rsid w:val="00B72110"/>
    <w:rsid w:val="00B72B91"/>
    <w:rsid w:val="00B73019"/>
    <w:rsid w:val="00B7315F"/>
    <w:rsid w:val="00B7323A"/>
    <w:rsid w:val="00B7353B"/>
    <w:rsid w:val="00B737FB"/>
    <w:rsid w:val="00B73E5D"/>
    <w:rsid w:val="00B73EF3"/>
    <w:rsid w:val="00B7423D"/>
    <w:rsid w:val="00B74D05"/>
    <w:rsid w:val="00B74EF8"/>
    <w:rsid w:val="00B75893"/>
    <w:rsid w:val="00B771F4"/>
    <w:rsid w:val="00B7762A"/>
    <w:rsid w:val="00B777FA"/>
    <w:rsid w:val="00B77850"/>
    <w:rsid w:val="00B7796B"/>
    <w:rsid w:val="00B80C72"/>
    <w:rsid w:val="00B8101E"/>
    <w:rsid w:val="00B81964"/>
    <w:rsid w:val="00B81E6F"/>
    <w:rsid w:val="00B82123"/>
    <w:rsid w:val="00B8225B"/>
    <w:rsid w:val="00B82BB5"/>
    <w:rsid w:val="00B83182"/>
    <w:rsid w:val="00B839F0"/>
    <w:rsid w:val="00B851E4"/>
    <w:rsid w:val="00B8535C"/>
    <w:rsid w:val="00B854CE"/>
    <w:rsid w:val="00B85681"/>
    <w:rsid w:val="00B857EB"/>
    <w:rsid w:val="00B858AD"/>
    <w:rsid w:val="00B86162"/>
    <w:rsid w:val="00B86877"/>
    <w:rsid w:val="00B8695D"/>
    <w:rsid w:val="00B86E66"/>
    <w:rsid w:val="00B873BA"/>
    <w:rsid w:val="00B8746F"/>
    <w:rsid w:val="00B8760D"/>
    <w:rsid w:val="00B87706"/>
    <w:rsid w:val="00B90A49"/>
    <w:rsid w:val="00B90A73"/>
    <w:rsid w:val="00B91B8E"/>
    <w:rsid w:val="00B92531"/>
    <w:rsid w:val="00B92618"/>
    <w:rsid w:val="00B92751"/>
    <w:rsid w:val="00B92B69"/>
    <w:rsid w:val="00B92CC6"/>
    <w:rsid w:val="00B935C9"/>
    <w:rsid w:val="00B93E3D"/>
    <w:rsid w:val="00B95464"/>
    <w:rsid w:val="00B95C30"/>
    <w:rsid w:val="00B95E3D"/>
    <w:rsid w:val="00B9691F"/>
    <w:rsid w:val="00B96EEC"/>
    <w:rsid w:val="00B97392"/>
    <w:rsid w:val="00B976C7"/>
    <w:rsid w:val="00B97A73"/>
    <w:rsid w:val="00BA0C54"/>
    <w:rsid w:val="00BA1382"/>
    <w:rsid w:val="00BA15E3"/>
    <w:rsid w:val="00BA1A8C"/>
    <w:rsid w:val="00BA1D07"/>
    <w:rsid w:val="00BA20B6"/>
    <w:rsid w:val="00BA20D8"/>
    <w:rsid w:val="00BA22FC"/>
    <w:rsid w:val="00BA2C2A"/>
    <w:rsid w:val="00BA2F30"/>
    <w:rsid w:val="00BA3982"/>
    <w:rsid w:val="00BA405F"/>
    <w:rsid w:val="00BA4771"/>
    <w:rsid w:val="00BA482B"/>
    <w:rsid w:val="00BA5027"/>
    <w:rsid w:val="00BA55E0"/>
    <w:rsid w:val="00BA665B"/>
    <w:rsid w:val="00BA6FE8"/>
    <w:rsid w:val="00BA732D"/>
    <w:rsid w:val="00BA7370"/>
    <w:rsid w:val="00BA778B"/>
    <w:rsid w:val="00BB0888"/>
    <w:rsid w:val="00BB0DF1"/>
    <w:rsid w:val="00BB0E49"/>
    <w:rsid w:val="00BB0E9B"/>
    <w:rsid w:val="00BB2841"/>
    <w:rsid w:val="00BB300F"/>
    <w:rsid w:val="00BB32C9"/>
    <w:rsid w:val="00BB35C5"/>
    <w:rsid w:val="00BB4048"/>
    <w:rsid w:val="00BB4C8E"/>
    <w:rsid w:val="00BB5324"/>
    <w:rsid w:val="00BB57ED"/>
    <w:rsid w:val="00BB5A2D"/>
    <w:rsid w:val="00BB606C"/>
    <w:rsid w:val="00BB65C3"/>
    <w:rsid w:val="00BB662E"/>
    <w:rsid w:val="00BB67A9"/>
    <w:rsid w:val="00BB6979"/>
    <w:rsid w:val="00BB6C01"/>
    <w:rsid w:val="00BB7942"/>
    <w:rsid w:val="00BB7B13"/>
    <w:rsid w:val="00BB7CD1"/>
    <w:rsid w:val="00BC0F33"/>
    <w:rsid w:val="00BC14A7"/>
    <w:rsid w:val="00BC17CC"/>
    <w:rsid w:val="00BC209F"/>
    <w:rsid w:val="00BC24AD"/>
    <w:rsid w:val="00BC2898"/>
    <w:rsid w:val="00BC2928"/>
    <w:rsid w:val="00BC29BD"/>
    <w:rsid w:val="00BC2BB1"/>
    <w:rsid w:val="00BC30B3"/>
    <w:rsid w:val="00BC34A3"/>
    <w:rsid w:val="00BC3DD4"/>
    <w:rsid w:val="00BC3FF9"/>
    <w:rsid w:val="00BC4834"/>
    <w:rsid w:val="00BC4A97"/>
    <w:rsid w:val="00BC5A25"/>
    <w:rsid w:val="00BC5FDD"/>
    <w:rsid w:val="00BC68B4"/>
    <w:rsid w:val="00BC7277"/>
    <w:rsid w:val="00BD0140"/>
    <w:rsid w:val="00BD02CC"/>
    <w:rsid w:val="00BD088E"/>
    <w:rsid w:val="00BD0F18"/>
    <w:rsid w:val="00BD182E"/>
    <w:rsid w:val="00BD2063"/>
    <w:rsid w:val="00BD2950"/>
    <w:rsid w:val="00BD337A"/>
    <w:rsid w:val="00BD33D9"/>
    <w:rsid w:val="00BD38C5"/>
    <w:rsid w:val="00BD3A6D"/>
    <w:rsid w:val="00BD3AF1"/>
    <w:rsid w:val="00BD3DEA"/>
    <w:rsid w:val="00BD3E97"/>
    <w:rsid w:val="00BD40E4"/>
    <w:rsid w:val="00BD52FE"/>
    <w:rsid w:val="00BD62CF"/>
    <w:rsid w:val="00BD67B2"/>
    <w:rsid w:val="00BD68E2"/>
    <w:rsid w:val="00BD6D41"/>
    <w:rsid w:val="00BD732C"/>
    <w:rsid w:val="00BD76E5"/>
    <w:rsid w:val="00BD78FE"/>
    <w:rsid w:val="00BE0149"/>
    <w:rsid w:val="00BE0767"/>
    <w:rsid w:val="00BE07A6"/>
    <w:rsid w:val="00BE0CDF"/>
    <w:rsid w:val="00BE0F24"/>
    <w:rsid w:val="00BE12D7"/>
    <w:rsid w:val="00BE1372"/>
    <w:rsid w:val="00BE1775"/>
    <w:rsid w:val="00BE18DA"/>
    <w:rsid w:val="00BE26C0"/>
    <w:rsid w:val="00BE3442"/>
    <w:rsid w:val="00BE37CD"/>
    <w:rsid w:val="00BE47B2"/>
    <w:rsid w:val="00BE4881"/>
    <w:rsid w:val="00BE48C7"/>
    <w:rsid w:val="00BE4F66"/>
    <w:rsid w:val="00BE4FBF"/>
    <w:rsid w:val="00BE5238"/>
    <w:rsid w:val="00BE5742"/>
    <w:rsid w:val="00BE6074"/>
    <w:rsid w:val="00BE6D73"/>
    <w:rsid w:val="00BE7257"/>
    <w:rsid w:val="00BF020D"/>
    <w:rsid w:val="00BF0532"/>
    <w:rsid w:val="00BF0609"/>
    <w:rsid w:val="00BF067A"/>
    <w:rsid w:val="00BF0B32"/>
    <w:rsid w:val="00BF0EE8"/>
    <w:rsid w:val="00BF10ED"/>
    <w:rsid w:val="00BF1DD2"/>
    <w:rsid w:val="00BF23A3"/>
    <w:rsid w:val="00BF2A7E"/>
    <w:rsid w:val="00BF3331"/>
    <w:rsid w:val="00BF3A45"/>
    <w:rsid w:val="00BF436F"/>
    <w:rsid w:val="00BF5C05"/>
    <w:rsid w:val="00BF6A12"/>
    <w:rsid w:val="00BF6FC6"/>
    <w:rsid w:val="00BF775D"/>
    <w:rsid w:val="00BF7C52"/>
    <w:rsid w:val="00BF7F99"/>
    <w:rsid w:val="00C00713"/>
    <w:rsid w:val="00C009A0"/>
    <w:rsid w:val="00C01F74"/>
    <w:rsid w:val="00C020C1"/>
    <w:rsid w:val="00C02558"/>
    <w:rsid w:val="00C025FE"/>
    <w:rsid w:val="00C0285F"/>
    <w:rsid w:val="00C028F5"/>
    <w:rsid w:val="00C02F35"/>
    <w:rsid w:val="00C03305"/>
    <w:rsid w:val="00C03515"/>
    <w:rsid w:val="00C03738"/>
    <w:rsid w:val="00C037A6"/>
    <w:rsid w:val="00C04221"/>
    <w:rsid w:val="00C043F5"/>
    <w:rsid w:val="00C044E3"/>
    <w:rsid w:val="00C04607"/>
    <w:rsid w:val="00C04BDB"/>
    <w:rsid w:val="00C04F1B"/>
    <w:rsid w:val="00C052C6"/>
    <w:rsid w:val="00C05A61"/>
    <w:rsid w:val="00C05FBA"/>
    <w:rsid w:val="00C05FEE"/>
    <w:rsid w:val="00C066B4"/>
    <w:rsid w:val="00C06CCF"/>
    <w:rsid w:val="00C0794D"/>
    <w:rsid w:val="00C10E78"/>
    <w:rsid w:val="00C1159D"/>
    <w:rsid w:val="00C1233E"/>
    <w:rsid w:val="00C1276C"/>
    <w:rsid w:val="00C12FB3"/>
    <w:rsid w:val="00C138BC"/>
    <w:rsid w:val="00C13D85"/>
    <w:rsid w:val="00C14575"/>
    <w:rsid w:val="00C14639"/>
    <w:rsid w:val="00C14E82"/>
    <w:rsid w:val="00C14FF6"/>
    <w:rsid w:val="00C15A85"/>
    <w:rsid w:val="00C1637C"/>
    <w:rsid w:val="00C1641B"/>
    <w:rsid w:val="00C165FC"/>
    <w:rsid w:val="00C167F7"/>
    <w:rsid w:val="00C16DCE"/>
    <w:rsid w:val="00C176D5"/>
    <w:rsid w:val="00C17D24"/>
    <w:rsid w:val="00C2082C"/>
    <w:rsid w:val="00C20EB0"/>
    <w:rsid w:val="00C21004"/>
    <w:rsid w:val="00C21005"/>
    <w:rsid w:val="00C2186B"/>
    <w:rsid w:val="00C218DF"/>
    <w:rsid w:val="00C21F0C"/>
    <w:rsid w:val="00C220B6"/>
    <w:rsid w:val="00C22D7C"/>
    <w:rsid w:val="00C22DDE"/>
    <w:rsid w:val="00C2338B"/>
    <w:rsid w:val="00C233CE"/>
    <w:rsid w:val="00C237DD"/>
    <w:rsid w:val="00C238F4"/>
    <w:rsid w:val="00C2393A"/>
    <w:rsid w:val="00C23A99"/>
    <w:rsid w:val="00C23AB5"/>
    <w:rsid w:val="00C245EE"/>
    <w:rsid w:val="00C24AE1"/>
    <w:rsid w:val="00C24B8D"/>
    <w:rsid w:val="00C24BD7"/>
    <w:rsid w:val="00C24EE2"/>
    <w:rsid w:val="00C24F7A"/>
    <w:rsid w:val="00C25813"/>
    <w:rsid w:val="00C26C71"/>
    <w:rsid w:val="00C27143"/>
    <w:rsid w:val="00C27490"/>
    <w:rsid w:val="00C27D37"/>
    <w:rsid w:val="00C309E8"/>
    <w:rsid w:val="00C30C6E"/>
    <w:rsid w:val="00C32017"/>
    <w:rsid w:val="00C32571"/>
    <w:rsid w:val="00C325CD"/>
    <w:rsid w:val="00C3322E"/>
    <w:rsid w:val="00C337F5"/>
    <w:rsid w:val="00C3383E"/>
    <w:rsid w:val="00C33B90"/>
    <w:rsid w:val="00C34161"/>
    <w:rsid w:val="00C34B5F"/>
    <w:rsid w:val="00C358D4"/>
    <w:rsid w:val="00C365C6"/>
    <w:rsid w:val="00C366F4"/>
    <w:rsid w:val="00C36785"/>
    <w:rsid w:val="00C3711C"/>
    <w:rsid w:val="00C37256"/>
    <w:rsid w:val="00C37A7B"/>
    <w:rsid w:val="00C37DC1"/>
    <w:rsid w:val="00C37FFE"/>
    <w:rsid w:val="00C40B50"/>
    <w:rsid w:val="00C419E3"/>
    <w:rsid w:val="00C419F4"/>
    <w:rsid w:val="00C41E6A"/>
    <w:rsid w:val="00C42247"/>
    <w:rsid w:val="00C428E7"/>
    <w:rsid w:val="00C4317B"/>
    <w:rsid w:val="00C438A2"/>
    <w:rsid w:val="00C439BE"/>
    <w:rsid w:val="00C43E53"/>
    <w:rsid w:val="00C451B2"/>
    <w:rsid w:val="00C4539B"/>
    <w:rsid w:val="00C45466"/>
    <w:rsid w:val="00C455C1"/>
    <w:rsid w:val="00C4581D"/>
    <w:rsid w:val="00C47472"/>
    <w:rsid w:val="00C47F18"/>
    <w:rsid w:val="00C500F0"/>
    <w:rsid w:val="00C504A7"/>
    <w:rsid w:val="00C506C9"/>
    <w:rsid w:val="00C50A16"/>
    <w:rsid w:val="00C51C9A"/>
    <w:rsid w:val="00C52C68"/>
    <w:rsid w:val="00C52D98"/>
    <w:rsid w:val="00C52DA1"/>
    <w:rsid w:val="00C53D24"/>
    <w:rsid w:val="00C53ED1"/>
    <w:rsid w:val="00C54640"/>
    <w:rsid w:val="00C547A6"/>
    <w:rsid w:val="00C54A3A"/>
    <w:rsid w:val="00C55C32"/>
    <w:rsid w:val="00C56A67"/>
    <w:rsid w:val="00C56CC2"/>
    <w:rsid w:val="00C56D8D"/>
    <w:rsid w:val="00C57498"/>
    <w:rsid w:val="00C5763C"/>
    <w:rsid w:val="00C5780C"/>
    <w:rsid w:val="00C5796B"/>
    <w:rsid w:val="00C57C64"/>
    <w:rsid w:val="00C6031F"/>
    <w:rsid w:val="00C612C4"/>
    <w:rsid w:val="00C619A1"/>
    <w:rsid w:val="00C62370"/>
    <w:rsid w:val="00C62BBB"/>
    <w:rsid w:val="00C6305F"/>
    <w:rsid w:val="00C6325B"/>
    <w:rsid w:val="00C63DDD"/>
    <w:rsid w:val="00C63E99"/>
    <w:rsid w:val="00C649B8"/>
    <w:rsid w:val="00C64A64"/>
    <w:rsid w:val="00C65151"/>
    <w:rsid w:val="00C657F4"/>
    <w:rsid w:val="00C6598D"/>
    <w:rsid w:val="00C660FE"/>
    <w:rsid w:val="00C66119"/>
    <w:rsid w:val="00C66292"/>
    <w:rsid w:val="00C672A3"/>
    <w:rsid w:val="00C672F1"/>
    <w:rsid w:val="00C673D0"/>
    <w:rsid w:val="00C6742E"/>
    <w:rsid w:val="00C67B0B"/>
    <w:rsid w:val="00C67C0E"/>
    <w:rsid w:val="00C70012"/>
    <w:rsid w:val="00C71E2A"/>
    <w:rsid w:val="00C733BA"/>
    <w:rsid w:val="00C742F6"/>
    <w:rsid w:val="00C760DC"/>
    <w:rsid w:val="00C77777"/>
    <w:rsid w:val="00C77D00"/>
    <w:rsid w:val="00C8082B"/>
    <w:rsid w:val="00C80C6B"/>
    <w:rsid w:val="00C81A88"/>
    <w:rsid w:val="00C81D46"/>
    <w:rsid w:val="00C82298"/>
    <w:rsid w:val="00C82DC7"/>
    <w:rsid w:val="00C8331F"/>
    <w:rsid w:val="00C833B4"/>
    <w:rsid w:val="00C84284"/>
    <w:rsid w:val="00C84E33"/>
    <w:rsid w:val="00C85528"/>
    <w:rsid w:val="00C85FFC"/>
    <w:rsid w:val="00C861FC"/>
    <w:rsid w:val="00C86C87"/>
    <w:rsid w:val="00C9005E"/>
    <w:rsid w:val="00C90111"/>
    <w:rsid w:val="00C9038E"/>
    <w:rsid w:val="00C9077B"/>
    <w:rsid w:val="00C90CA9"/>
    <w:rsid w:val="00C90F88"/>
    <w:rsid w:val="00C915F2"/>
    <w:rsid w:val="00C917B1"/>
    <w:rsid w:val="00C9193C"/>
    <w:rsid w:val="00C91B77"/>
    <w:rsid w:val="00C920E2"/>
    <w:rsid w:val="00C9370F"/>
    <w:rsid w:val="00C93765"/>
    <w:rsid w:val="00C93877"/>
    <w:rsid w:val="00C93D8C"/>
    <w:rsid w:val="00C93E07"/>
    <w:rsid w:val="00C94065"/>
    <w:rsid w:val="00C946CC"/>
    <w:rsid w:val="00C959BD"/>
    <w:rsid w:val="00C95DFE"/>
    <w:rsid w:val="00C95F44"/>
    <w:rsid w:val="00C96331"/>
    <w:rsid w:val="00C96D1B"/>
    <w:rsid w:val="00C97106"/>
    <w:rsid w:val="00C978D4"/>
    <w:rsid w:val="00CA0031"/>
    <w:rsid w:val="00CA0413"/>
    <w:rsid w:val="00CA043A"/>
    <w:rsid w:val="00CA0E51"/>
    <w:rsid w:val="00CA1691"/>
    <w:rsid w:val="00CA41E7"/>
    <w:rsid w:val="00CA4A99"/>
    <w:rsid w:val="00CA4CCC"/>
    <w:rsid w:val="00CA5520"/>
    <w:rsid w:val="00CA5812"/>
    <w:rsid w:val="00CA5984"/>
    <w:rsid w:val="00CA5BD4"/>
    <w:rsid w:val="00CA5C14"/>
    <w:rsid w:val="00CA7019"/>
    <w:rsid w:val="00CA76FC"/>
    <w:rsid w:val="00CA7E7B"/>
    <w:rsid w:val="00CB0236"/>
    <w:rsid w:val="00CB0CB1"/>
    <w:rsid w:val="00CB137C"/>
    <w:rsid w:val="00CB1881"/>
    <w:rsid w:val="00CB1969"/>
    <w:rsid w:val="00CB19E3"/>
    <w:rsid w:val="00CB2C3A"/>
    <w:rsid w:val="00CB2D38"/>
    <w:rsid w:val="00CB2F5E"/>
    <w:rsid w:val="00CB4137"/>
    <w:rsid w:val="00CB50D0"/>
    <w:rsid w:val="00CB52D0"/>
    <w:rsid w:val="00CB5578"/>
    <w:rsid w:val="00CB5671"/>
    <w:rsid w:val="00CB591C"/>
    <w:rsid w:val="00CB5943"/>
    <w:rsid w:val="00CB61B3"/>
    <w:rsid w:val="00CB6801"/>
    <w:rsid w:val="00CB6F83"/>
    <w:rsid w:val="00CB72AE"/>
    <w:rsid w:val="00CC00CD"/>
    <w:rsid w:val="00CC0579"/>
    <w:rsid w:val="00CC0AF3"/>
    <w:rsid w:val="00CC0BC6"/>
    <w:rsid w:val="00CC0E68"/>
    <w:rsid w:val="00CC1780"/>
    <w:rsid w:val="00CC194E"/>
    <w:rsid w:val="00CC21AC"/>
    <w:rsid w:val="00CC232E"/>
    <w:rsid w:val="00CC2514"/>
    <w:rsid w:val="00CC2D34"/>
    <w:rsid w:val="00CC2F69"/>
    <w:rsid w:val="00CC315F"/>
    <w:rsid w:val="00CC3D38"/>
    <w:rsid w:val="00CC3F2F"/>
    <w:rsid w:val="00CC40C3"/>
    <w:rsid w:val="00CC45A5"/>
    <w:rsid w:val="00CC4CB4"/>
    <w:rsid w:val="00CC4E5D"/>
    <w:rsid w:val="00CC4EF4"/>
    <w:rsid w:val="00CC50AE"/>
    <w:rsid w:val="00CC5FFE"/>
    <w:rsid w:val="00CC61B7"/>
    <w:rsid w:val="00CC61CA"/>
    <w:rsid w:val="00CC69EC"/>
    <w:rsid w:val="00CC71D3"/>
    <w:rsid w:val="00CC743D"/>
    <w:rsid w:val="00CD02ED"/>
    <w:rsid w:val="00CD050A"/>
    <w:rsid w:val="00CD1017"/>
    <w:rsid w:val="00CD205D"/>
    <w:rsid w:val="00CD2A22"/>
    <w:rsid w:val="00CD2B50"/>
    <w:rsid w:val="00CD3172"/>
    <w:rsid w:val="00CD4506"/>
    <w:rsid w:val="00CD520B"/>
    <w:rsid w:val="00CD592E"/>
    <w:rsid w:val="00CD5982"/>
    <w:rsid w:val="00CD5A1A"/>
    <w:rsid w:val="00CD7EFA"/>
    <w:rsid w:val="00CE020E"/>
    <w:rsid w:val="00CE0566"/>
    <w:rsid w:val="00CE1CD4"/>
    <w:rsid w:val="00CE2761"/>
    <w:rsid w:val="00CE28FC"/>
    <w:rsid w:val="00CE314E"/>
    <w:rsid w:val="00CE3A85"/>
    <w:rsid w:val="00CE3D5C"/>
    <w:rsid w:val="00CE3E09"/>
    <w:rsid w:val="00CE3E14"/>
    <w:rsid w:val="00CE44C7"/>
    <w:rsid w:val="00CE53CC"/>
    <w:rsid w:val="00CE5F60"/>
    <w:rsid w:val="00CE65A7"/>
    <w:rsid w:val="00CE68FE"/>
    <w:rsid w:val="00CE69CC"/>
    <w:rsid w:val="00CE6EC4"/>
    <w:rsid w:val="00CE7F26"/>
    <w:rsid w:val="00CF1226"/>
    <w:rsid w:val="00CF1ABB"/>
    <w:rsid w:val="00CF1E1D"/>
    <w:rsid w:val="00CF24FE"/>
    <w:rsid w:val="00CF287F"/>
    <w:rsid w:val="00CF35D0"/>
    <w:rsid w:val="00CF3B57"/>
    <w:rsid w:val="00CF3DD5"/>
    <w:rsid w:val="00CF43E7"/>
    <w:rsid w:val="00CF4AF7"/>
    <w:rsid w:val="00CF4D20"/>
    <w:rsid w:val="00CF73F8"/>
    <w:rsid w:val="00CF7928"/>
    <w:rsid w:val="00CF7CA2"/>
    <w:rsid w:val="00D00911"/>
    <w:rsid w:val="00D00A8E"/>
    <w:rsid w:val="00D00DE0"/>
    <w:rsid w:val="00D00F79"/>
    <w:rsid w:val="00D012BF"/>
    <w:rsid w:val="00D01760"/>
    <w:rsid w:val="00D01838"/>
    <w:rsid w:val="00D0368E"/>
    <w:rsid w:val="00D03AC3"/>
    <w:rsid w:val="00D03D2D"/>
    <w:rsid w:val="00D03E7B"/>
    <w:rsid w:val="00D0401A"/>
    <w:rsid w:val="00D047E0"/>
    <w:rsid w:val="00D04B9F"/>
    <w:rsid w:val="00D04D43"/>
    <w:rsid w:val="00D04FFB"/>
    <w:rsid w:val="00D055FE"/>
    <w:rsid w:val="00D058E9"/>
    <w:rsid w:val="00D0612A"/>
    <w:rsid w:val="00D06C35"/>
    <w:rsid w:val="00D10219"/>
    <w:rsid w:val="00D1060D"/>
    <w:rsid w:val="00D10D14"/>
    <w:rsid w:val="00D10E7C"/>
    <w:rsid w:val="00D11182"/>
    <w:rsid w:val="00D1137B"/>
    <w:rsid w:val="00D11508"/>
    <w:rsid w:val="00D11687"/>
    <w:rsid w:val="00D11807"/>
    <w:rsid w:val="00D11DB3"/>
    <w:rsid w:val="00D12D82"/>
    <w:rsid w:val="00D12F77"/>
    <w:rsid w:val="00D1306E"/>
    <w:rsid w:val="00D130B7"/>
    <w:rsid w:val="00D134CD"/>
    <w:rsid w:val="00D1401E"/>
    <w:rsid w:val="00D14B5F"/>
    <w:rsid w:val="00D14E13"/>
    <w:rsid w:val="00D14F23"/>
    <w:rsid w:val="00D160F6"/>
    <w:rsid w:val="00D165EE"/>
    <w:rsid w:val="00D16740"/>
    <w:rsid w:val="00D16A8B"/>
    <w:rsid w:val="00D16E39"/>
    <w:rsid w:val="00D171DE"/>
    <w:rsid w:val="00D172A4"/>
    <w:rsid w:val="00D175B2"/>
    <w:rsid w:val="00D17951"/>
    <w:rsid w:val="00D17AD8"/>
    <w:rsid w:val="00D17E47"/>
    <w:rsid w:val="00D2104A"/>
    <w:rsid w:val="00D21A58"/>
    <w:rsid w:val="00D21BB5"/>
    <w:rsid w:val="00D21FFC"/>
    <w:rsid w:val="00D223B6"/>
    <w:rsid w:val="00D223E8"/>
    <w:rsid w:val="00D224E1"/>
    <w:rsid w:val="00D22B0F"/>
    <w:rsid w:val="00D22BDD"/>
    <w:rsid w:val="00D22DC8"/>
    <w:rsid w:val="00D2477B"/>
    <w:rsid w:val="00D2522A"/>
    <w:rsid w:val="00D2531C"/>
    <w:rsid w:val="00D25428"/>
    <w:rsid w:val="00D2553E"/>
    <w:rsid w:val="00D2587F"/>
    <w:rsid w:val="00D26DE7"/>
    <w:rsid w:val="00D2742F"/>
    <w:rsid w:val="00D2754F"/>
    <w:rsid w:val="00D277C5"/>
    <w:rsid w:val="00D279D9"/>
    <w:rsid w:val="00D312DC"/>
    <w:rsid w:val="00D31B84"/>
    <w:rsid w:val="00D31C6A"/>
    <w:rsid w:val="00D31EDF"/>
    <w:rsid w:val="00D31FF9"/>
    <w:rsid w:val="00D32149"/>
    <w:rsid w:val="00D32256"/>
    <w:rsid w:val="00D32A27"/>
    <w:rsid w:val="00D32ABC"/>
    <w:rsid w:val="00D33FA4"/>
    <w:rsid w:val="00D34B25"/>
    <w:rsid w:val="00D34C7F"/>
    <w:rsid w:val="00D34F4E"/>
    <w:rsid w:val="00D357F3"/>
    <w:rsid w:val="00D35C0E"/>
    <w:rsid w:val="00D36FBF"/>
    <w:rsid w:val="00D373A8"/>
    <w:rsid w:val="00D379A5"/>
    <w:rsid w:val="00D37BB3"/>
    <w:rsid w:val="00D401BE"/>
    <w:rsid w:val="00D4043A"/>
    <w:rsid w:val="00D40DB0"/>
    <w:rsid w:val="00D41093"/>
    <w:rsid w:val="00D41858"/>
    <w:rsid w:val="00D41EEB"/>
    <w:rsid w:val="00D422DB"/>
    <w:rsid w:val="00D42AC2"/>
    <w:rsid w:val="00D4498E"/>
    <w:rsid w:val="00D4515F"/>
    <w:rsid w:val="00D451E8"/>
    <w:rsid w:val="00D466C9"/>
    <w:rsid w:val="00D47275"/>
    <w:rsid w:val="00D500ED"/>
    <w:rsid w:val="00D5054C"/>
    <w:rsid w:val="00D50DB9"/>
    <w:rsid w:val="00D517F6"/>
    <w:rsid w:val="00D51AB7"/>
    <w:rsid w:val="00D51E15"/>
    <w:rsid w:val="00D52B7E"/>
    <w:rsid w:val="00D52E2F"/>
    <w:rsid w:val="00D52F59"/>
    <w:rsid w:val="00D53445"/>
    <w:rsid w:val="00D53E3E"/>
    <w:rsid w:val="00D54620"/>
    <w:rsid w:val="00D555B4"/>
    <w:rsid w:val="00D55904"/>
    <w:rsid w:val="00D55DFF"/>
    <w:rsid w:val="00D5614E"/>
    <w:rsid w:val="00D5616F"/>
    <w:rsid w:val="00D57940"/>
    <w:rsid w:val="00D60327"/>
    <w:rsid w:val="00D61384"/>
    <w:rsid w:val="00D61526"/>
    <w:rsid w:val="00D61C39"/>
    <w:rsid w:val="00D61F81"/>
    <w:rsid w:val="00D620A6"/>
    <w:rsid w:val="00D623C0"/>
    <w:rsid w:val="00D62BE6"/>
    <w:rsid w:val="00D63359"/>
    <w:rsid w:val="00D63766"/>
    <w:rsid w:val="00D63912"/>
    <w:rsid w:val="00D63923"/>
    <w:rsid w:val="00D6451B"/>
    <w:rsid w:val="00D64B57"/>
    <w:rsid w:val="00D64FF1"/>
    <w:rsid w:val="00D651A1"/>
    <w:rsid w:val="00D65DEA"/>
    <w:rsid w:val="00D6650F"/>
    <w:rsid w:val="00D66579"/>
    <w:rsid w:val="00D66CF2"/>
    <w:rsid w:val="00D676D3"/>
    <w:rsid w:val="00D67B06"/>
    <w:rsid w:val="00D67BC7"/>
    <w:rsid w:val="00D67C3B"/>
    <w:rsid w:val="00D701F1"/>
    <w:rsid w:val="00D705D3"/>
    <w:rsid w:val="00D70E00"/>
    <w:rsid w:val="00D70F7C"/>
    <w:rsid w:val="00D715AC"/>
    <w:rsid w:val="00D71851"/>
    <w:rsid w:val="00D718CF"/>
    <w:rsid w:val="00D71B68"/>
    <w:rsid w:val="00D728F5"/>
    <w:rsid w:val="00D72E9D"/>
    <w:rsid w:val="00D73249"/>
    <w:rsid w:val="00D73419"/>
    <w:rsid w:val="00D73881"/>
    <w:rsid w:val="00D73CA9"/>
    <w:rsid w:val="00D751B7"/>
    <w:rsid w:val="00D7524B"/>
    <w:rsid w:val="00D75396"/>
    <w:rsid w:val="00D755C6"/>
    <w:rsid w:val="00D759C0"/>
    <w:rsid w:val="00D75E99"/>
    <w:rsid w:val="00D765CE"/>
    <w:rsid w:val="00D766C7"/>
    <w:rsid w:val="00D7692B"/>
    <w:rsid w:val="00D7734F"/>
    <w:rsid w:val="00D7791D"/>
    <w:rsid w:val="00D8039E"/>
    <w:rsid w:val="00D8044C"/>
    <w:rsid w:val="00D805D6"/>
    <w:rsid w:val="00D8075E"/>
    <w:rsid w:val="00D80860"/>
    <w:rsid w:val="00D80D4C"/>
    <w:rsid w:val="00D8184D"/>
    <w:rsid w:val="00D81A7B"/>
    <w:rsid w:val="00D8223C"/>
    <w:rsid w:val="00D82A7D"/>
    <w:rsid w:val="00D82B57"/>
    <w:rsid w:val="00D82CE5"/>
    <w:rsid w:val="00D831E3"/>
    <w:rsid w:val="00D8342C"/>
    <w:rsid w:val="00D83D08"/>
    <w:rsid w:val="00D84983"/>
    <w:rsid w:val="00D84C00"/>
    <w:rsid w:val="00D85494"/>
    <w:rsid w:val="00D8582C"/>
    <w:rsid w:val="00D85D61"/>
    <w:rsid w:val="00D8616D"/>
    <w:rsid w:val="00D8711B"/>
    <w:rsid w:val="00D871DB"/>
    <w:rsid w:val="00D87384"/>
    <w:rsid w:val="00D9015D"/>
    <w:rsid w:val="00D90683"/>
    <w:rsid w:val="00D90B2A"/>
    <w:rsid w:val="00D91483"/>
    <w:rsid w:val="00D915C8"/>
    <w:rsid w:val="00D9310B"/>
    <w:rsid w:val="00D931F3"/>
    <w:rsid w:val="00D93726"/>
    <w:rsid w:val="00D93F3E"/>
    <w:rsid w:val="00D9405B"/>
    <w:rsid w:val="00D94942"/>
    <w:rsid w:val="00D95145"/>
    <w:rsid w:val="00D96594"/>
    <w:rsid w:val="00D967CB"/>
    <w:rsid w:val="00D968D4"/>
    <w:rsid w:val="00D96E12"/>
    <w:rsid w:val="00D96EE0"/>
    <w:rsid w:val="00D97BD1"/>
    <w:rsid w:val="00D97EF0"/>
    <w:rsid w:val="00DA00C3"/>
    <w:rsid w:val="00DA01E9"/>
    <w:rsid w:val="00DA06B8"/>
    <w:rsid w:val="00DA14A9"/>
    <w:rsid w:val="00DA286D"/>
    <w:rsid w:val="00DA2969"/>
    <w:rsid w:val="00DA29B7"/>
    <w:rsid w:val="00DA2E5F"/>
    <w:rsid w:val="00DA337C"/>
    <w:rsid w:val="00DA36B3"/>
    <w:rsid w:val="00DA40C1"/>
    <w:rsid w:val="00DA422F"/>
    <w:rsid w:val="00DA4842"/>
    <w:rsid w:val="00DA4C97"/>
    <w:rsid w:val="00DA5989"/>
    <w:rsid w:val="00DA5AB1"/>
    <w:rsid w:val="00DA5F9D"/>
    <w:rsid w:val="00DA6719"/>
    <w:rsid w:val="00DA69B2"/>
    <w:rsid w:val="00DA7462"/>
    <w:rsid w:val="00DA7AD0"/>
    <w:rsid w:val="00DB02D7"/>
    <w:rsid w:val="00DB03CC"/>
    <w:rsid w:val="00DB03F3"/>
    <w:rsid w:val="00DB12D4"/>
    <w:rsid w:val="00DB14F0"/>
    <w:rsid w:val="00DB1745"/>
    <w:rsid w:val="00DB19BB"/>
    <w:rsid w:val="00DB1A00"/>
    <w:rsid w:val="00DB1AFF"/>
    <w:rsid w:val="00DB219A"/>
    <w:rsid w:val="00DB244C"/>
    <w:rsid w:val="00DB3024"/>
    <w:rsid w:val="00DB3165"/>
    <w:rsid w:val="00DB387B"/>
    <w:rsid w:val="00DB39DE"/>
    <w:rsid w:val="00DB4292"/>
    <w:rsid w:val="00DB4DF0"/>
    <w:rsid w:val="00DB5023"/>
    <w:rsid w:val="00DB6E46"/>
    <w:rsid w:val="00DB7117"/>
    <w:rsid w:val="00DB7760"/>
    <w:rsid w:val="00DB7DD4"/>
    <w:rsid w:val="00DC00B4"/>
    <w:rsid w:val="00DC0954"/>
    <w:rsid w:val="00DC0DF8"/>
    <w:rsid w:val="00DC15BA"/>
    <w:rsid w:val="00DC18CD"/>
    <w:rsid w:val="00DC1A68"/>
    <w:rsid w:val="00DC30B8"/>
    <w:rsid w:val="00DC478F"/>
    <w:rsid w:val="00DC50AA"/>
    <w:rsid w:val="00DC61AC"/>
    <w:rsid w:val="00DC62E5"/>
    <w:rsid w:val="00DC6D70"/>
    <w:rsid w:val="00DC6DAA"/>
    <w:rsid w:val="00DC6F33"/>
    <w:rsid w:val="00DC7349"/>
    <w:rsid w:val="00DC7389"/>
    <w:rsid w:val="00DD0EA9"/>
    <w:rsid w:val="00DD14D8"/>
    <w:rsid w:val="00DD1599"/>
    <w:rsid w:val="00DD16F1"/>
    <w:rsid w:val="00DD1B03"/>
    <w:rsid w:val="00DD1E43"/>
    <w:rsid w:val="00DD1EDF"/>
    <w:rsid w:val="00DD1FF6"/>
    <w:rsid w:val="00DD2A62"/>
    <w:rsid w:val="00DD2F2F"/>
    <w:rsid w:val="00DD2F7A"/>
    <w:rsid w:val="00DD36D2"/>
    <w:rsid w:val="00DD37C4"/>
    <w:rsid w:val="00DD3885"/>
    <w:rsid w:val="00DD5808"/>
    <w:rsid w:val="00DD5946"/>
    <w:rsid w:val="00DD5B04"/>
    <w:rsid w:val="00DD5DAE"/>
    <w:rsid w:val="00DD5EC6"/>
    <w:rsid w:val="00DD605F"/>
    <w:rsid w:val="00DD6A79"/>
    <w:rsid w:val="00DD72A0"/>
    <w:rsid w:val="00DD735D"/>
    <w:rsid w:val="00DD7F7D"/>
    <w:rsid w:val="00DD7FBE"/>
    <w:rsid w:val="00DE0159"/>
    <w:rsid w:val="00DE064A"/>
    <w:rsid w:val="00DE082D"/>
    <w:rsid w:val="00DE1410"/>
    <w:rsid w:val="00DE20C6"/>
    <w:rsid w:val="00DE3119"/>
    <w:rsid w:val="00DE3C24"/>
    <w:rsid w:val="00DE3FF0"/>
    <w:rsid w:val="00DE4105"/>
    <w:rsid w:val="00DE4BEA"/>
    <w:rsid w:val="00DE4E67"/>
    <w:rsid w:val="00DE5189"/>
    <w:rsid w:val="00DE7108"/>
    <w:rsid w:val="00DE78D1"/>
    <w:rsid w:val="00DE78FF"/>
    <w:rsid w:val="00DE7C6E"/>
    <w:rsid w:val="00DF0263"/>
    <w:rsid w:val="00DF0EB4"/>
    <w:rsid w:val="00DF158B"/>
    <w:rsid w:val="00DF170E"/>
    <w:rsid w:val="00DF193C"/>
    <w:rsid w:val="00DF1E36"/>
    <w:rsid w:val="00DF236B"/>
    <w:rsid w:val="00DF258A"/>
    <w:rsid w:val="00DF2A91"/>
    <w:rsid w:val="00DF3889"/>
    <w:rsid w:val="00DF3CC9"/>
    <w:rsid w:val="00DF4451"/>
    <w:rsid w:val="00DF49FF"/>
    <w:rsid w:val="00DF4FFB"/>
    <w:rsid w:val="00DF5236"/>
    <w:rsid w:val="00DF651F"/>
    <w:rsid w:val="00DF6F43"/>
    <w:rsid w:val="00DF71EA"/>
    <w:rsid w:val="00DF752F"/>
    <w:rsid w:val="00DF76A2"/>
    <w:rsid w:val="00E00B25"/>
    <w:rsid w:val="00E00B7A"/>
    <w:rsid w:val="00E01677"/>
    <w:rsid w:val="00E02186"/>
    <w:rsid w:val="00E025C2"/>
    <w:rsid w:val="00E026BB"/>
    <w:rsid w:val="00E027C5"/>
    <w:rsid w:val="00E03124"/>
    <w:rsid w:val="00E031C3"/>
    <w:rsid w:val="00E03951"/>
    <w:rsid w:val="00E03DB8"/>
    <w:rsid w:val="00E03F17"/>
    <w:rsid w:val="00E0420C"/>
    <w:rsid w:val="00E04EDD"/>
    <w:rsid w:val="00E05E70"/>
    <w:rsid w:val="00E064BC"/>
    <w:rsid w:val="00E070C1"/>
    <w:rsid w:val="00E07225"/>
    <w:rsid w:val="00E076B4"/>
    <w:rsid w:val="00E07B55"/>
    <w:rsid w:val="00E10579"/>
    <w:rsid w:val="00E109DD"/>
    <w:rsid w:val="00E11229"/>
    <w:rsid w:val="00E114CA"/>
    <w:rsid w:val="00E127D1"/>
    <w:rsid w:val="00E13867"/>
    <w:rsid w:val="00E1397F"/>
    <w:rsid w:val="00E13AB8"/>
    <w:rsid w:val="00E1482E"/>
    <w:rsid w:val="00E16382"/>
    <w:rsid w:val="00E1699C"/>
    <w:rsid w:val="00E16E75"/>
    <w:rsid w:val="00E1746D"/>
    <w:rsid w:val="00E17CAC"/>
    <w:rsid w:val="00E2012A"/>
    <w:rsid w:val="00E205A2"/>
    <w:rsid w:val="00E20BA4"/>
    <w:rsid w:val="00E210D0"/>
    <w:rsid w:val="00E21887"/>
    <w:rsid w:val="00E21CC0"/>
    <w:rsid w:val="00E23137"/>
    <w:rsid w:val="00E23980"/>
    <w:rsid w:val="00E23AB0"/>
    <w:rsid w:val="00E241E9"/>
    <w:rsid w:val="00E257C3"/>
    <w:rsid w:val="00E25CB3"/>
    <w:rsid w:val="00E25DA4"/>
    <w:rsid w:val="00E26237"/>
    <w:rsid w:val="00E2628C"/>
    <w:rsid w:val="00E26CB8"/>
    <w:rsid w:val="00E26D16"/>
    <w:rsid w:val="00E26FCF"/>
    <w:rsid w:val="00E27165"/>
    <w:rsid w:val="00E275D9"/>
    <w:rsid w:val="00E3044A"/>
    <w:rsid w:val="00E30E49"/>
    <w:rsid w:val="00E31A4A"/>
    <w:rsid w:val="00E3212A"/>
    <w:rsid w:val="00E3344A"/>
    <w:rsid w:val="00E33B29"/>
    <w:rsid w:val="00E33B62"/>
    <w:rsid w:val="00E3403D"/>
    <w:rsid w:val="00E344BD"/>
    <w:rsid w:val="00E34548"/>
    <w:rsid w:val="00E34E6C"/>
    <w:rsid w:val="00E353E2"/>
    <w:rsid w:val="00E36345"/>
    <w:rsid w:val="00E36C86"/>
    <w:rsid w:val="00E36CEB"/>
    <w:rsid w:val="00E37A28"/>
    <w:rsid w:val="00E400C7"/>
    <w:rsid w:val="00E40430"/>
    <w:rsid w:val="00E40690"/>
    <w:rsid w:val="00E40AEB"/>
    <w:rsid w:val="00E40E82"/>
    <w:rsid w:val="00E40FB8"/>
    <w:rsid w:val="00E41141"/>
    <w:rsid w:val="00E4143A"/>
    <w:rsid w:val="00E420B7"/>
    <w:rsid w:val="00E424C8"/>
    <w:rsid w:val="00E4251D"/>
    <w:rsid w:val="00E427EF"/>
    <w:rsid w:val="00E43C35"/>
    <w:rsid w:val="00E43D00"/>
    <w:rsid w:val="00E443B4"/>
    <w:rsid w:val="00E445E4"/>
    <w:rsid w:val="00E457CB"/>
    <w:rsid w:val="00E45D47"/>
    <w:rsid w:val="00E45DE4"/>
    <w:rsid w:val="00E45E63"/>
    <w:rsid w:val="00E4759C"/>
    <w:rsid w:val="00E5017C"/>
    <w:rsid w:val="00E50A7B"/>
    <w:rsid w:val="00E50B0B"/>
    <w:rsid w:val="00E50C57"/>
    <w:rsid w:val="00E510FE"/>
    <w:rsid w:val="00E514BA"/>
    <w:rsid w:val="00E51513"/>
    <w:rsid w:val="00E51E25"/>
    <w:rsid w:val="00E5205B"/>
    <w:rsid w:val="00E521AE"/>
    <w:rsid w:val="00E529A3"/>
    <w:rsid w:val="00E533EE"/>
    <w:rsid w:val="00E53A21"/>
    <w:rsid w:val="00E53BCA"/>
    <w:rsid w:val="00E53DE2"/>
    <w:rsid w:val="00E53F02"/>
    <w:rsid w:val="00E5428D"/>
    <w:rsid w:val="00E54534"/>
    <w:rsid w:val="00E548C3"/>
    <w:rsid w:val="00E54F27"/>
    <w:rsid w:val="00E55FF1"/>
    <w:rsid w:val="00E56090"/>
    <w:rsid w:val="00E56408"/>
    <w:rsid w:val="00E565B9"/>
    <w:rsid w:val="00E56E7B"/>
    <w:rsid w:val="00E5733B"/>
    <w:rsid w:val="00E5756C"/>
    <w:rsid w:val="00E5768D"/>
    <w:rsid w:val="00E57811"/>
    <w:rsid w:val="00E57FB0"/>
    <w:rsid w:val="00E601BE"/>
    <w:rsid w:val="00E60A44"/>
    <w:rsid w:val="00E60B5F"/>
    <w:rsid w:val="00E613AE"/>
    <w:rsid w:val="00E61429"/>
    <w:rsid w:val="00E61ABB"/>
    <w:rsid w:val="00E61FD7"/>
    <w:rsid w:val="00E623E6"/>
    <w:rsid w:val="00E62BBF"/>
    <w:rsid w:val="00E62C76"/>
    <w:rsid w:val="00E630A2"/>
    <w:rsid w:val="00E630C0"/>
    <w:rsid w:val="00E63107"/>
    <w:rsid w:val="00E6312C"/>
    <w:rsid w:val="00E634E6"/>
    <w:rsid w:val="00E63DCE"/>
    <w:rsid w:val="00E642EF"/>
    <w:rsid w:val="00E645CF"/>
    <w:rsid w:val="00E64700"/>
    <w:rsid w:val="00E65074"/>
    <w:rsid w:val="00E65857"/>
    <w:rsid w:val="00E65E70"/>
    <w:rsid w:val="00E66087"/>
    <w:rsid w:val="00E66D79"/>
    <w:rsid w:val="00E66FF9"/>
    <w:rsid w:val="00E6706F"/>
    <w:rsid w:val="00E673A2"/>
    <w:rsid w:val="00E67856"/>
    <w:rsid w:val="00E679C8"/>
    <w:rsid w:val="00E70314"/>
    <w:rsid w:val="00E724E7"/>
    <w:rsid w:val="00E72B41"/>
    <w:rsid w:val="00E7347B"/>
    <w:rsid w:val="00E73792"/>
    <w:rsid w:val="00E73D03"/>
    <w:rsid w:val="00E7471C"/>
    <w:rsid w:val="00E7498A"/>
    <w:rsid w:val="00E7514E"/>
    <w:rsid w:val="00E76537"/>
    <w:rsid w:val="00E77784"/>
    <w:rsid w:val="00E77AF5"/>
    <w:rsid w:val="00E8035B"/>
    <w:rsid w:val="00E820F4"/>
    <w:rsid w:val="00E82263"/>
    <w:rsid w:val="00E823F9"/>
    <w:rsid w:val="00E82C1F"/>
    <w:rsid w:val="00E83671"/>
    <w:rsid w:val="00E83D1E"/>
    <w:rsid w:val="00E840EE"/>
    <w:rsid w:val="00E84314"/>
    <w:rsid w:val="00E849CA"/>
    <w:rsid w:val="00E84A71"/>
    <w:rsid w:val="00E853F3"/>
    <w:rsid w:val="00E8556F"/>
    <w:rsid w:val="00E86556"/>
    <w:rsid w:val="00E86D35"/>
    <w:rsid w:val="00E86DC2"/>
    <w:rsid w:val="00E86E32"/>
    <w:rsid w:val="00E86F2E"/>
    <w:rsid w:val="00E8732E"/>
    <w:rsid w:val="00E879C7"/>
    <w:rsid w:val="00E90067"/>
    <w:rsid w:val="00E9011F"/>
    <w:rsid w:val="00E906EB"/>
    <w:rsid w:val="00E90CE2"/>
    <w:rsid w:val="00E9170E"/>
    <w:rsid w:val="00E919FB"/>
    <w:rsid w:val="00E9241E"/>
    <w:rsid w:val="00E92460"/>
    <w:rsid w:val="00E92E62"/>
    <w:rsid w:val="00E93804"/>
    <w:rsid w:val="00E9429D"/>
    <w:rsid w:val="00E95434"/>
    <w:rsid w:val="00E96467"/>
    <w:rsid w:val="00E966DA"/>
    <w:rsid w:val="00E96948"/>
    <w:rsid w:val="00E9737B"/>
    <w:rsid w:val="00E97A3F"/>
    <w:rsid w:val="00E97F0A"/>
    <w:rsid w:val="00EA0100"/>
    <w:rsid w:val="00EA0455"/>
    <w:rsid w:val="00EA0BCE"/>
    <w:rsid w:val="00EA10E4"/>
    <w:rsid w:val="00EA17BC"/>
    <w:rsid w:val="00EA2744"/>
    <w:rsid w:val="00EA37B9"/>
    <w:rsid w:val="00EA39F7"/>
    <w:rsid w:val="00EA3DC2"/>
    <w:rsid w:val="00EA434E"/>
    <w:rsid w:val="00EA4757"/>
    <w:rsid w:val="00EA560B"/>
    <w:rsid w:val="00EA5669"/>
    <w:rsid w:val="00EA5CC6"/>
    <w:rsid w:val="00EA63EF"/>
    <w:rsid w:val="00EA7CBF"/>
    <w:rsid w:val="00EB0A89"/>
    <w:rsid w:val="00EB0BD8"/>
    <w:rsid w:val="00EB1573"/>
    <w:rsid w:val="00EB1910"/>
    <w:rsid w:val="00EB2564"/>
    <w:rsid w:val="00EB2D83"/>
    <w:rsid w:val="00EB2E97"/>
    <w:rsid w:val="00EB3416"/>
    <w:rsid w:val="00EB4AE1"/>
    <w:rsid w:val="00EB52F4"/>
    <w:rsid w:val="00EB5694"/>
    <w:rsid w:val="00EB5779"/>
    <w:rsid w:val="00EB5D2F"/>
    <w:rsid w:val="00EB61CC"/>
    <w:rsid w:val="00EB67F1"/>
    <w:rsid w:val="00EB6ADA"/>
    <w:rsid w:val="00EB7132"/>
    <w:rsid w:val="00EB72CD"/>
    <w:rsid w:val="00EB749A"/>
    <w:rsid w:val="00EB76B6"/>
    <w:rsid w:val="00EB7D8A"/>
    <w:rsid w:val="00EC0487"/>
    <w:rsid w:val="00EC04F7"/>
    <w:rsid w:val="00EC05E2"/>
    <w:rsid w:val="00EC0E84"/>
    <w:rsid w:val="00EC16E2"/>
    <w:rsid w:val="00EC1CE7"/>
    <w:rsid w:val="00EC1DAE"/>
    <w:rsid w:val="00EC224E"/>
    <w:rsid w:val="00EC26F1"/>
    <w:rsid w:val="00EC33A8"/>
    <w:rsid w:val="00EC3ABE"/>
    <w:rsid w:val="00EC3BA2"/>
    <w:rsid w:val="00EC3C94"/>
    <w:rsid w:val="00EC44DF"/>
    <w:rsid w:val="00EC4FB9"/>
    <w:rsid w:val="00EC5393"/>
    <w:rsid w:val="00EC5741"/>
    <w:rsid w:val="00EC5DA3"/>
    <w:rsid w:val="00EC6014"/>
    <w:rsid w:val="00EC6565"/>
    <w:rsid w:val="00EC6B3E"/>
    <w:rsid w:val="00EC73DE"/>
    <w:rsid w:val="00EC7637"/>
    <w:rsid w:val="00EC7C07"/>
    <w:rsid w:val="00EC7CF2"/>
    <w:rsid w:val="00ED046C"/>
    <w:rsid w:val="00ED053A"/>
    <w:rsid w:val="00ED1F03"/>
    <w:rsid w:val="00ED249D"/>
    <w:rsid w:val="00ED2D27"/>
    <w:rsid w:val="00ED3347"/>
    <w:rsid w:val="00ED3441"/>
    <w:rsid w:val="00ED3860"/>
    <w:rsid w:val="00ED3954"/>
    <w:rsid w:val="00ED39AC"/>
    <w:rsid w:val="00ED43A2"/>
    <w:rsid w:val="00ED4967"/>
    <w:rsid w:val="00ED5140"/>
    <w:rsid w:val="00ED538C"/>
    <w:rsid w:val="00ED572F"/>
    <w:rsid w:val="00ED5771"/>
    <w:rsid w:val="00ED587F"/>
    <w:rsid w:val="00ED5964"/>
    <w:rsid w:val="00ED623F"/>
    <w:rsid w:val="00ED63A5"/>
    <w:rsid w:val="00ED69BA"/>
    <w:rsid w:val="00ED6D1A"/>
    <w:rsid w:val="00ED72E9"/>
    <w:rsid w:val="00ED732E"/>
    <w:rsid w:val="00ED74B3"/>
    <w:rsid w:val="00ED77F0"/>
    <w:rsid w:val="00ED7FBC"/>
    <w:rsid w:val="00EE0253"/>
    <w:rsid w:val="00EE0297"/>
    <w:rsid w:val="00EE1258"/>
    <w:rsid w:val="00EE13DA"/>
    <w:rsid w:val="00EE1668"/>
    <w:rsid w:val="00EE1EDB"/>
    <w:rsid w:val="00EE24E2"/>
    <w:rsid w:val="00EE2A20"/>
    <w:rsid w:val="00EE366D"/>
    <w:rsid w:val="00EE40A4"/>
    <w:rsid w:val="00EE41AA"/>
    <w:rsid w:val="00EE5454"/>
    <w:rsid w:val="00EE59B5"/>
    <w:rsid w:val="00EE5FB7"/>
    <w:rsid w:val="00EE6783"/>
    <w:rsid w:val="00EE678B"/>
    <w:rsid w:val="00EE7B54"/>
    <w:rsid w:val="00EE7C47"/>
    <w:rsid w:val="00EE7C88"/>
    <w:rsid w:val="00EE7C8B"/>
    <w:rsid w:val="00EF0209"/>
    <w:rsid w:val="00EF0EA4"/>
    <w:rsid w:val="00EF19A5"/>
    <w:rsid w:val="00EF1E97"/>
    <w:rsid w:val="00EF2436"/>
    <w:rsid w:val="00EF2547"/>
    <w:rsid w:val="00EF26F4"/>
    <w:rsid w:val="00EF28D8"/>
    <w:rsid w:val="00EF2B2B"/>
    <w:rsid w:val="00EF2E1C"/>
    <w:rsid w:val="00EF2FD6"/>
    <w:rsid w:val="00EF326A"/>
    <w:rsid w:val="00EF397D"/>
    <w:rsid w:val="00EF427A"/>
    <w:rsid w:val="00EF45DF"/>
    <w:rsid w:val="00EF4944"/>
    <w:rsid w:val="00EF4952"/>
    <w:rsid w:val="00EF498F"/>
    <w:rsid w:val="00EF4A42"/>
    <w:rsid w:val="00EF510C"/>
    <w:rsid w:val="00EF55C4"/>
    <w:rsid w:val="00EF57BC"/>
    <w:rsid w:val="00EF5CA8"/>
    <w:rsid w:val="00EF6784"/>
    <w:rsid w:val="00EF688A"/>
    <w:rsid w:val="00EF6A03"/>
    <w:rsid w:val="00EF6DC2"/>
    <w:rsid w:val="00EF7506"/>
    <w:rsid w:val="00EF760B"/>
    <w:rsid w:val="00EF7BF4"/>
    <w:rsid w:val="00F0030F"/>
    <w:rsid w:val="00F00674"/>
    <w:rsid w:val="00F01657"/>
    <w:rsid w:val="00F01E67"/>
    <w:rsid w:val="00F02744"/>
    <w:rsid w:val="00F02BFD"/>
    <w:rsid w:val="00F02D25"/>
    <w:rsid w:val="00F03C3D"/>
    <w:rsid w:val="00F0435D"/>
    <w:rsid w:val="00F04580"/>
    <w:rsid w:val="00F04986"/>
    <w:rsid w:val="00F04ECA"/>
    <w:rsid w:val="00F04F8B"/>
    <w:rsid w:val="00F06CA4"/>
    <w:rsid w:val="00F06E19"/>
    <w:rsid w:val="00F06F84"/>
    <w:rsid w:val="00F0749E"/>
    <w:rsid w:val="00F076E7"/>
    <w:rsid w:val="00F07A86"/>
    <w:rsid w:val="00F07AA1"/>
    <w:rsid w:val="00F105AE"/>
    <w:rsid w:val="00F10618"/>
    <w:rsid w:val="00F10E7D"/>
    <w:rsid w:val="00F1108B"/>
    <w:rsid w:val="00F114FA"/>
    <w:rsid w:val="00F11768"/>
    <w:rsid w:val="00F11951"/>
    <w:rsid w:val="00F12262"/>
    <w:rsid w:val="00F12564"/>
    <w:rsid w:val="00F128D9"/>
    <w:rsid w:val="00F12AF8"/>
    <w:rsid w:val="00F12C52"/>
    <w:rsid w:val="00F13381"/>
    <w:rsid w:val="00F13828"/>
    <w:rsid w:val="00F13E62"/>
    <w:rsid w:val="00F13F51"/>
    <w:rsid w:val="00F148B7"/>
    <w:rsid w:val="00F14EA9"/>
    <w:rsid w:val="00F15505"/>
    <w:rsid w:val="00F15BFF"/>
    <w:rsid w:val="00F1634B"/>
    <w:rsid w:val="00F16E4F"/>
    <w:rsid w:val="00F171B2"/>
    <w:rsid w:val="00F17244"/>
    <w:rsid w:val="00F20931"/>
    <w:rsid w:val="00F20ECE"/>
    <w:rsid w:val="00F213A0"/>
    <w:rsid w:val="00F21D54"/>
    <w:rsid w:val="00F21EF4"/>
    <w:rsid w:val="00F221A2"/>
    <w:rsid w:val="00F23113"/>
    <w:rsid w:val="00F23255"/>
    <w:rsid w:val="00F23393"/>
    <w:rsid w:val="00F2348B"/>
    <w:rsid w:val="00F23759"/>
    <w:rsid w:val="00F24644"/>
    <w:rsid w:val="00F24BB1"/>
    <w:rsid w:val="00F25947"/>
    <w:rsid w:val="00F262D6"/>
    <w:rsid w:val="00F26F33"/>
    <w:rsid w:val="00F273D5"/>
    <w:rsid w:val="00F2748A"/>
    <w:rsid w:val="00F2786C"/>
    <w:rsid w:val="00F300A8"/>
    <w:rsid w:val="00F302C6"/>
    <w:rsid w:val="00F30400"/>
    <w:rsid w:val="00F3079E"/>
    <w:rsid w:val="00F31289"/>
    <w:rsid w:val="00F3232D"/>
    <w:rsid w:val="00F32356"/>
    <w:rsid w:val="00F32F80"/>
    <w:rsid w:val="00F3399B"/>
    <w:rsid w:val="00F33F4B"/>
    <w:rsid w:val="00F346ED"/>
    <w:rsid w:val="00F34945"/>
    <w:rsid w:val="00F34E1E"/>
    <w:rsid w:val="00F3570C"/>
    <w:rsid w:val="00F363A4"/>
    <w:rsid w:val="00F36765"/>
    <w:rsid w:val="00F368FF"/>
    <w:rsid w:val="00F37068"/>
    <w:rsid w:val="00F37E5F"/>
    <w:rsid w:val="00F37F3F"/>
    <w:rsid w:val="00F40190"/>
    <w:rsid w:val="00F40992"/>
    <w:rsid w:val="00F40F72"/>
    <w:rsid w:val="00F41596"/>
    <w:rsid w:val="00F41D8B"/>
    <w:rsid w:val="00F42121"/>
    <w:rsid w:val="00F424B3"/>
    <w:rsid w:val="00F428B1"/>
    <w:rsid w:val="00F428B4"/>
    <w:rsid w:val="00F4345D"/>
    <w:rsid w:val="00F4387B"/>
    <w:rsid w:val="00F45921"/>
    <w:rsid w:val="00F45B91"/>
    <w:rsid w:val="00F46639"/>
    <w:rsid w:val="00F47026"/>
    <w:rsid w:val="00F476FD"/>
    <w:rsid w:val="00F50183"/>
    <w:rsid w:val="00F50D92"/>
    <w:rsid w:val="00F51765"/>
    <w:rsid w:val="00F51A51"/>
    <w:rsid w:val="00F51BC6"/>
    <w:rsid w:val="00F51CB4"/>
    <w:rsid w:val="00F52200"/>
    <w:rsid w:val="00F52324"/>
    <w:rsid w:val="00F52950"/>
    <w:rsid w:val="00F52C9D"/>
    <w:rsid w:val="00F533F1"/>
    <w:rsid w:val="00F53F4F"/>
    <w:rsid w:val="00F55185"/>
    <w:rsid w:val="00F55679"/>
    <w:rsid w:val="00F561E3"/>
    <w:rsid w:val="00F565E6"/>
    <w:rsid w:val="00F56AFA"/>
    <w:rsid w:val="00F575E2"/>
    <w:rsid w:val="00F579FF"/>
    <w:rsid w:val="00F600E0"/>
    <w:rsid w:val="00F605EC"/>
    <w:rsid w:val="00F60F60"/>
    <w:rsid w:val="00F612CE"/>
    <w:rsid w:val="00F6133C"/>
    <w:rsid w:val="00F61405"/>
    <w:rsid w:val="00F62227"/>
    <w:rsid w:val="00F624A7"/>
    <w:rsid w:val="00F62AB6"/>
    <w:rsid w:val="00F65A3C"/>
    <w:rsid w:val="00F66009"/>
    <w:rsid w:val="00F66282"/>
    <w:rsid w:val="00F6639E"/>
    <w:rsid w:val="00F670E9"/>
    <w:rsid w:val="00F6749F"/>
    <w:rsid w:val="00F67AF1"/>
    <w:rsid w:val="00F67D8B"/>
    <w:rsid w:val="00F700CD"/>
    <w:rsid w:val="00F701C5"/>
    <w:rsid w:val="00F70961"/>
    <w:rsid w:val="00F70A8F"/>
    <w:rsid w:val="00F71397"/>
    <w:rsid w:val="00F72389"/>
    <w:rsid w:val="00F72516"/>
    <w:rsid w:val="00F72FB4"/>
    <w:rsid w:val="00F732CF"/>
    <w:rsid w:val="00F735E5"/>
    <w:rsid w:val="00F73B82"/>
    <w:rsid w:val="00F73E80"/>
    <w:rsid w:val="00F7469C"/>
    <w:rsid w:val="00F7492E"/>
    <w:rsid w:val="00F74945"/>
    <w:rsid w:val="00F749A3"/>
    <w:rsid w:val="00F74AE8"/>
    <w:rsid w:val="00F76768"/>
    <w:rsid w:val="00F76C11"/>
    <w:rsid w:val="00F77021"/>
    <w:rsid w:val="00F770AB"/>
    <w:rsid w:val="00F77E61"/>
    <w:rsid w:val="00F80221"/>
    <w:rsid w:val="00F802B0"/>
    <w:rsid w:val="00F80A0A"/>
    <w:rsid w:val="00F80C81"/>
    <w:rsid w:val="00F815AC"/>
    <w:rsid w:val="00F82E28"/>
    <w:rsid w:val="00F83B33"/>
    <w:rsid w:val="00F83CAE"/>
    <w:rsid w:val="00F840BF"/>
    <w:rsid w:val="00F8427A"/>
    <w:rsid w:val="00F843DF"/>
    <w:rsid w:val="00F84646"/>
    <w:rsid w:val="00F84899"/>
    <w:rsid w:val="00F85585"/>
    <w:rsid w:val="00F859F0"/>
    <w:rsid w:val="00F85CC1"/>
    <w:rsid w:val="00F86B5D"/>
    <w:rsid w:val="00F87634"/>
    <w:rsid w:val="00F87C13"/>
    <w:rsid w:val="00F87C5A"/>
    <w:rsid w:val="00F87E29"/>
    <w:rsid w:val="00F87F18"/>
    <w:rsid w:val="00F87F37"/>
    <w:rsid w:val="00F87F68"/>
    <w:rsid w:val="00F90C4D"/>
    <w:rsid w:val="00F9165C"/>
    <w:rsid w:val="00F9167D"/>
    <w:rsid w:val="00F91CB2"/>
    <w:rsid w:val="00F927E8"/>
    <w:rsid w:val="00F9289C"/>
    <w:rsid w:val="00F92FC1"/>
    <w:rsid w:val="00F932D1"/>
    <w:rsid w:val="00F93DBC"/>
    <w:rsid w:val="00F93E41"/>
    <w:rsid w:val="00F94644"/>
    <w:rsid w:val="00F952E4"/>
    <w:rsid w:val="00F9537B"/>
    <w:rsid w:val="00F96079"/>
    <w:rsid w:val="00F963FC"/>
    <w:rsid w:val="00F97CF1"/>
    <w:rsid w:val="00FA015F"/>
    <w:rsid w:val="00FA0FAC"/>
    <w:rsid w:val="00FA10F7"/>
    <w:rsid w:val="00FA1817"/>
    <w:rsid w:val="00FA1DA2"/>
    <w:rsid w:val="00FA313F"/>
    <w:rsid w:val="00FA3414"/>
    <w:rsid w:val="00FA347A"/>
    <w:rsid w:val="00FA3CDE"/>
    <w:rsid w:val="00FA49B7"/>
    <w:rsid w:val="00FA5043"/>
    <w:rsid w:val="00FA60C1"/>
    <w:rsid w:val="00FA63DD"/>
    <w:rsid w:val="00FA65A3"/>
    <w:rsid w:val="00FA66F9"/>
    <w:rsid w:val="00FA6BCA"/>
    <w:rsid w:val="00FA6F8B"/>
    <w:rsid w:val="00FA727C"/>
    <w:rsid w:val="00FA7A30"/>
    <w:rsid w:val="00FB033F"/>
    <w:rsid w:val="00FB0880"/>
    <w:rsid w:val="00FB12E3"/>
    <w:rsid w:val="00FB1570"/>
    <w:rsid w:val="00FB193B"/>
    <w:rsid w:val="00FB1FBC"/>
    <w:rsid w:val="00FB27B7"/>
    <w:rsid w:val="00FB35E3"/>
    <w:rsid w:val="00FB3A24"/>
    <w:rsid w:val="00FB4743"/>
    <w:rsid w:val="00FB4C98"/>
    <w:rsid w:val="00FB4CE3"/>
    <w:rsid w:val="00FB583C"/>
    <w:rsid w:val="00FB630E"/>
    <w:rsid w:val="00FB6738"/>
    <w:rsid w:val="00FB691B"/>
    <w:rsid w:val="00FB6BE6"/>
    <w:rsid w:val="00FB731C"/>
    <w:rsid w:val="00FB7628"/>
    <w:rsid w:val="00FC0363"/>
    <w:rsid w:val="00FC05A0"/>
    <w:rsid w:val="00FC0811"/>
    <w:rsid w:val="00FC09B3"/>
    <w:rsid w:val="00FC1196"/>
    <w:rsid w:val="00FC15EB"/>
    <w:rsid w:val="00FC162C"/>
    <w:rsid w:val="00FC18DC"/>
    <w:rsid w:val="00FC2477"/>
    <w:rsid w:val="00FC2AC4"/>
    <w:rsid w:val="00FC2D17"/>
    <w:rsid w:val="00FC2E7C"/>
    <w:rsid w:val="00FC2F73"/>
    <w:rsid w:val="00FC3A9B"/>
    <w:rsid w:val="00FC3AE1"/>
    <w:rsid w:val="00FC3DFC"/>
    <w:rsid w:val="00FC3EF4"/>
    <w:rsid w:val="00FC431B"/>
    <w:rsid w:val="00FC434C"/>
    <w:rsid w:val="00FC472C"/>
    <w:rsid w:val="00FC4FDF"/>
    <w:rsid w:val="00FC5CF4"/>
    <w:rsid w:val="00FC5D64"/>
    <w:rsid w:val="00FC61D6"/>
    <w:rsid w:val="00FC6A39"/>
    <w:rsid w:val="00FC6DB9"/>
    <w:rsid w:val="00FC76A9"/>
    <w:rsid w:val="00FC79AB"/>
    <w:rsid w:val="00FC7BE7"/>
    <w:rsid w:val="00FC7DAC"/>
    <w:rsid w:val="00FD005D"/>
    <w:rsid w:val="00FD0216"/>
    <w:rsid w:val="00FD04AE"/>
    <w:rsid w:val="00FD0DFA"/>
    <w:rsid w:val="00FD1890"/>
    <w:rsid w:val="00FD1994"/>
    <w:rsid w:val="00FD3508"/>
    <w:rsid w:val="00FD393C"/>
    <w:rsid w:val="00FD3AFF"/>
    <w:rsid w:val="00FD43BB"/>
    <w:rsid w:val="00FD4AF3"/>
    <w:rsid w:val="00FD5443"/>
    <w:rsid w:val="00FD6675"/>
    <w:rsid w:val="00FD6DC5"/>
    <w:rsid w:val="00FD72B1"/>
    <w:rsid w:val="00FD798D"/>
    <w:rsid w:val="00FE141E"/>
    <w:rsid w:val="00FE144E"/>
    <w:rsid w:val="00FE1768"/>
    <w:rsid w:val="00FE1DD5"/>
    <w:rsid w:val="00FE1E8C"/>
    <w:rsid w:val="00FE24F4"/>
    <w:rsid w:val="00FE2560"/>
    <w:rsid w:val="00FE35D0"/>
    <w:rsid w:val="00FE42ED"/>
    <w:rsid w:val="00FE4E06"/>
    <w:rsid w:val="00FE55A7"/>
    <w:rsid w:val="00FE5C5A"/>
    <w:rsid w:val="00FE601E"/>
    <w:rsid w:val="00FE6432"/>
    <w:rsid w:val="00FE72A0"/>
    <w:rsid w:val="00FF0050"/>
    <w:rsid w:val="00FF03EA"/>
    <w:rsid w:val="00FF045F"/>
    <w:rsid w:val="00FF0777"/>
    <w:rsid w:val="00FF0816"/>
    <w:rsid w:val="00FF13D4"/>
    <w:rsid w:val="00FF2053"/>
    <w:rsid w:val="00FF3B37"/>
    <w:rsid w:val="00FF3CC7"/>
    <w:rsid w:val="00FF3D6F"/>
    <w:rsid w:val="00FF441A"/>
    <w:rsid w:val="00FF44D7"/>
    <w:rsid w:val="00FF4BD8"/>
    <w:rsid w:val="00FF4D11"/>
    <w:rsid w:val="00FF5214"/>
    <w:rsid w:val="00FF596E"/>
    <w:rsid w:val="00FF5B59"/>
    <w:rsid w:val="00FF5BFD"/>
    <w:rsid w:val="00FF6095"/>
    <w:rsid w:val="00FF62FE"/>
    <w:rsid w:val="00FF6553"/>
    <w:rsid w:val="00FF70BD"/>
    <w:rsid w:val="00FF7124"/>
    <w:rsid w:val="00FF7A39"/>
    <w:rsid w:val="029BC757"/>
    <w:rsid w:val="3569F5A8"/>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54FC2"/>
    <w:pPr>
      <w:spacing w:after="0" w:line="240" w:lineRule="auto"/>
    </w:pPr>
    <w:rPr>
      <w:rFonts w:ascii="Times New Roman" w:eastAsia="Times New Roman" w:hAnsi="Times New Roman" w:cs="Times New Roman"/>
      <w:sz w:val="24"/>
      <w:szCs w:val="24"/>
      <w:lang w:eastAsia="es-ES_tradnl"/>
    </w:rPr>
  </w:style>
  <w:style w:type="paragraph" w:styleId="Ttulo1">
    <w:name w:val="heading 1"/>
    <w:basedOn w:val="Normal"/>
    <w:link w:val="Ttulo1Car"/>
    <w:uiPriority w:val="1"/>
    <w:qFormat/>
    <w:rsid w:val="006D712D"/>
    <w:pPr>
      <w:widowControl w:val="0"/>
      <w:autoSpaceDE w:val="0"/>
      <w:autoSpaceDN w:val="0"/>
      <w:ind w:left="660" w:hanging="366"/>
      <w:outlineLvl w:val="0"/>
    </w:pPr>
    <w:rPr>
      <w:rFonts w:ascii="Arial" w:eastAsia="Arial" w:hAnsi="Arial" w:cs="Arial"/>
      <w:b/>
      <w:bCs/>
      <w:sz w:val="22"/>
      <w:szCs w:val="22"/>
      <w:lang w:val="es-ES" w:eastAsia="en-US"/>
    </w:rPr>
  </w:style>
  <w:style w:type="paragraph" w:styleId="Ttulo2">
    <w:name w:val="heading 2"/>
    <w:basedOn w:val="Normal"/>
    <w:next w:val="Normal"/>
    <w:link w:val="Ttulo2Car"/>
    <w:uiPriority w:val="9"/>
    <w:semiHidden/>
    <w:unhideWhenUsed/>
    <w:qFormat/>
    <w:rsid w:val="00E84314"/>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eastAsiaTheme="minorHAnsi" w:hAnsi="Tahoma" w:cs="Tahoma"/>
      <w:sz w:val="16"/>
      <w:szCs w:val="16"/>
      <w:lang w:val="es-MX" w:eastAsia="en-US"/>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rPr>
      <w:rFonts w:asciiTheme="minorHAnsi" w:eastAsiaTheme="minorHAnsi" w:hAnsiTheme="minorHAnsi" w:cstheme="minorBidi"/>
      <w:szCs w:val="22"/>
      <w:lang w:val="es-MX" w:eastAsia="en-US"/>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rFonts w:asciiTheme="minorHAnsi" w:eastAsiaTheme="minorHAnsi" w:hAnsiTheme="minorHAnsi" w:cstheme="minorBidi"/>
      <w:sz w:val="20"/>
      <w:szCs w:val="20"/>
      <w:lang w:val="es-MX" w:eastAsia="en-US"/>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lang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F1108B"/>
    <w:pPr>
      <w:spacing w:after="120" w:line="276" w:lineRule="auto"/>
    </w:pPr>
    <w:rPr>
      <w:rFonts w:asciiTheme="minorHAnsi" w:eastAsiaTheme="minorEastAsia" w:hAnsiTheme="minorHAnsi" w:cstheme="minorBidi"/>
      <w:sz w:val="22"/>
      <w:szCs w:val="22"/>
      <w:lang w:eastAsia="es-CO"/>
    </w:rPr>
  </w:style>
  <w:style w:type="character" w:customStyle="1" w:styleId="TextoindependienteCar">
    <w:name w:val="Texto independiente Car"/>
    <w:basedOn w:val="Fuentedeprrafopredeter"/>
    <w:link w:val="Textoindependiente"/>
    <w:uiPriority w:val="99"/>
    <w:rsid w:val="00F1108B"/>
    <w:rPr>
      <w:rFonts w:eastAsiaTheme="minorEastAsia"/>
      <w:lang w:eastAsia="es-CO"/>
    </w:rPr>
  </w:style>
  <w:style w:type="character" w:customStyle="1" w:styleId="Mencinsinresolver1">
    <w:name w:val="Mención sin resolver1"/>
    <w:basedOn w:val="Fuentedeprrafopredeter"/>
    <w:uiPriority w:val="99"/>
    <w:semiHidden/>
    <w:unhideWhenUsed/>
    <w:rsid w:val="00247712"/>
    <w:rPr>
      <w:color w:val="605E5C"/>
      <w:shd w:val="clear" w:color="auto" w:fill="E1DFDD"/>
    </w:rPr>
  </w:style>
  <w:style w:type="character" w:customStyle="1" w:styleId="Mencinsinresolver2">
    <w:name w:val="Mención sin resolver2"/>
    <w:basedOn w:val="Fuentedeprrafopredeter"/>
    <w:uiPriority w:val="99"/>
    <w:semiHidden/>
    <w:unhideWhenUsed/>
    <w:rsid w:val="00717ACB"/>
    <w:rPr>
      <w:color w:val="605E5C"/>
      <w:shd w:val="clear" w:color="auto" w:fill="E1DFDD"/>
    </w:rPr>
  </w:style>
  <w:style w:type="character" w:styleId="Mencinsinresolver">
    <w:name w:val="Unresolved Mention"/>
    <w:basedOn w:val="Fuentedeprrafopredeter"/>
    <w:uiPriority w:val="99"/>
    <w:rsid w:val="00517CFB"/>
    <w:rPr>
      <w:color w:val="605E5C"/>
      <w:shd w:val="clear" w:color="auto" w:fill="E1DFDD"/>
    </w:rPr>
  </w:style>
  <w:style w:type="paragraph" w:customStyle="1" w:styleId="Default">
    <w:name w:val="Default"/>
    <w:rsid w:val="008919CF"/>
    <w:pPr>
      <w:autoSpaceDE w:val="0"/>
      <w:autoSpaceDN w:val="0"/>
      <w:adjustRightInd w:val="0"/>
      <w:spacing w:after="0" w:line="240" w:lineRule="auto"/>
    </w:pPr>
    <w:rPr>
      <w:rFonts w:ascii="Arial" w:hAnsi="Arial" w:cs="Arial"/>
      <w:color w:val="000000"/>
      <w:sz w:val="24"/>
      <w:szCs w:val="24"/>
    </w:rPr>
  </w:style>
  <w:style w:type="paragraph" w:customStyle="1" w:styleId="paragraph">
    <w:name w:val="paragraph"/>
    <w:basedOn w:val="Normal"/>
    <w:rsid w:val="00DD5B04"/>
    <w:pPr>
      <w:spacing w:before="100" w:beforeAutospacing="1" w:after="100" w:afterAutospacing="1"/>
    </w:pPr>
    <w:rPr>
      <w:lang w:eastAsia="es-CO"/>
    </w:rPr>
  </w:style>
  <w:style w:type="character" w:customStyle="1" w:styleId="textrun">
    <w:name w:val="textrun"/>
    <w:basedOn w:val="Fuentedeprrafopredeter"/>
    <w:rsid w:val="00DD5B04"/>
  </w:style>
  <w:style w:type="character" w:customStyle="1" w:styleId="normaltextrun">
    <w:name w:val="normaltextrun"/>
    <w:basedOn w:val="Fuentedeprrafopredeter"/>
    <w:rsid w:val="00DD5B04"/>
  </w:style>
  <w:style w:type="character" w:customStyle="1" w:styleId="eop">
    <w:name w:val="eop"/>
    <w:basedOn w:val="Fuentedeprrafopredeter"/>
    <w:rsid w:val="00DD5B04"/>
  </w:style>
  <w:style w:type="character" w:customStyle="1" w:styleId="spellingerror">
    <w:name w:val="spellingerror"/>
    <w:basedOn w:val="Fuentedeprrafopredeter"/>
    <w:rsid w:val="00DD5B04"/>
  </w:style>
  <w:style w:type="character" w:styleId="Nmerodepgina">
    <w:name w:val="page number"/>
    <w:basedOn w:val="Fuentedeprrafopredeter"/>
    <w:uiPriority w:val="99"/>
    <w:semiHidden/>
    <w:unhideWhenUsed/>
    <w:rsid w:val="00DD5B04"/>
  </w:style>
  <w:style w:type="character" w:customStyle="1" w:styleId="Ttulo1Car">
    <w:name w:val="Título 1 Car"/>
    <w:basedOn w:val="Fuentedeprrafopredeter"/>
    <w:link w:val="Ttulo1"/>
    <w:uiPriority w:val="1"/>
    <w:rsid w:val="006D712D"/>
    <w:rPr>
      <w:rFonts w:ascii="Arial" w:eastAsia="Arial" w:hAnsi="Arial" w:cs="Arial"/>
      <w:b/>
      <w:bCs/>
      <w:lang w:val="es-ES"/>
    </w:rPr>
  </w:style>
  <w:style w:type="paragraph" w:customStyle="1" w:styleId="Appelnotedebasde">
    <w:name w:val="Appel note de bas de..."/>
    <w:basedOn w:val="Normal"/>
    <w:link w:val="Refdenotaalpie"/>
    <w:uiPriority w:val="99"/>
    <w:rsid w:val="00477C5F"/>
    <w:pPr>
      <w:spacing w:after="160" w:line="240" w:lineRule="exact"/>
    </w:pPr>
    <w:rPr>
      <w:rFonts w:asciiTheme="minorHAnsi" w:eastAsiaTheme="minorHAnsi" w:hAnsiTheme="minorHAnsi" w:cstheme="minorBidi"/>
      <w:sz w:val="22"/>
      <w:szCs w:val="22"/>
      <w:vertAlign w:val="superscript"/>
      <w:lang w:eastAsia="en-US"/>
    </w:rPr>
  </w:style>
  <w:style w:type="paragraph" w:styleId="Sangradetextonormal">
    <w:name w:val="Body Text Indent"/>
    <w:basedOn w:val="Normal"/>
    <w:link w:val="SangradetextonormalCar"/>
    <w:uiPriority w:val="99"/>
    <w:semiHidden/>
    <w:unhideWhenUsed/>
    <w:rsid w:val="006B7E4E"/>
    <w:pPr>
      <w:spacing w:after="120"/>
      <w:ind w:left="283"/>
    </w:pPr>
    <w:rPr>
      <w:rFonts w:asciiTheme="minorHAnsi" w:eastAsiaTheme="minorHAnsi" w:hAnsiTheme="minorHAnsi" w:cstheme="minorBidi"/>
      <w:szCs w:val="22"/>
      <w:lang w:val="es-MX" w:eastAsia="en-US"/>
    </w:rPr>
  </w:style>
  <w:style w:type="character" w:customStyle="1" w:styleId="SangradetextonormalCar">
    <w:name w:val="Sangría de texto normal Car"/>
    <w:basedOn w:val="Fuentedeprrafopredeter"/>
    <w:link w:val="Sangradetextonormal"/>
    <w:uiPriority w:val="99"/>
    <w:semiHidden/>
    <w:rsid w:val="006B7E4E"/>
    <w:rPr>
      <w:sz w:val="24"/>
      <w:lang w:val="es-MX"/>
    </w:rPr>
  </w:style>
  <w:style w:type="character" w:styleId="Textoennegrita">
    <w:name w:val="Strong"/>
    <w:basedOn w:val="Fuentedeprrafopredeter"/>
    <w:uiPriority w:val="22"/>
    <w:qFormat/>
    <w:rsid w:val="00F3570C"/>
    <w:rPr>
      <w:b/>
      <w:bCs/>
    </w:rPr>
  </w:style>
  <w:style w:type="character" w:styleId="nfasis">
    <w:name w:val="Emphasis"/>
    <w:basedOn w:val="Fuentedeprrafopredeter"/>
    <w:uiPriority w:val="20"/>
    <w:qFormat/>
    <w:rsid w:val="00F3570C"/>
    <w:rPr>
      <w:i/>
      <w:iCs/>
    </w:rPr>
  </w:style>
  <w:style w:type="character" w:customStyle="1" w:styleId="NormalWebCar">
    <w:name w:val="Normal (Web) Car"/>
    <w:link w:val="NormalWeb"/>
    <w:uiPriority w:val="99"/>
    <w:rsid w:val="00F3570C"/>
    <w:rPr>
      <w:rFonts w:ascii="Times New Roman" w:eastAsia="Times New Roman" w:hAnsi="Times New Roman" w:cs="Times New Roman"/>
      <w:sz w:val="24"/>
      <w:szCs w:val="24"/>
      <w:lang w:eastAsia="es-CO"/>
    </w:rPr>
  </w:style>
  <w:style w:type="character" w:customStyle="1" w:styleId="baj">
    <w:name w:val="b_aj"/>
    <w:basedOn w:val="Fuentedeprrafopredeter"/>
    <w:rsid w:val="00470D73"/>
  </w:style>
  <w:style w:type="character" w:customStyle="1" w:styleId="Ttulo2Car">
    <w:name w:val="Título 2 Car"/>
    <w:basedOn w:val="Fuentedeprrafopredeter"/>
    <w:link w:val="Ttulo2"/>
    <w:uiPriority w:val="9"/>
    <w:semiHidden/>
    <w:rsid w:val="00E84314"/>
    <w:rPr>
      <w:rFonts w:asciiTheme="majorHAnsi" w:eastAsiaTheme="majorEastAsia" w:hAnsiTheme="majorHAnsi" w:cstheme="majorBidi"/>
      <w:color w:val="365F91" w:themeColor="accent1" w:themeShade="BF"/>
      <w:sz w:val="26"/>
      <w:szCs w:val="26"/>
      <w:lang w:eastAsia="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12666">
      <w:bodyDiv w:val="1"/>
      <w:marLeft w:val="0"/>
      <w:marRight w:val="0"/>
      <w:marTop w:val="0"/>
      <w:marBottom w:val="0"/>
      <w:divBdr>
        <w:top w:val="none" w:sz="0" w:space="0" w:color="auto"/>
        <w:left w:val="none" w:sz="0" w:space="0" w:color="auto"/>
        <w:bottom w:val="none" w:sz="0" w:space="0" w:color="auto"/>
        <w:right w:val="none" w:sz="0" w:space="0" w:color="auto"/>
      </w:divBdr>
    </w:div>
    <w:div w:id="16934018">
      <w:bodyDiv w:val="1"/>
      <w:marLeft w:val="0"/>
      <w:marRight w:val="0"/>
      <w:marTop w:val="0"/>
      <w:marBottom w:val="0"/>
      <w:divBdr>
        <w:top w:val="none" w:sz="0" w:space="0" w:color="auto"/>
        <w:left w:val="none" w:sz="0" w:space="0" w:color="auto"/>
        <w:bottom w:val="none" w:sz="0" w:space="0" w:color="auto"/>
        <w:right w:val="none" w:sz="0" w:space="0" w:color="auto"/>
      </w:divBdr>
    </w:div>
    <w:div w:id="27144344">
      <w:bodyDiv w:val="1"/>
      <w:marLeft w:val="0"/>
      <w:marRight w:val="0"/>
      <w:marTop w:val="0"/>
      <w:marBottom w:val="0"/>
      <w:divBdr>
        <w:top w:val="none" w:sz="0" w:space="0" w:color="auto"/>
        <w:left w:val="none" w:sz="0" w:space="0" w:color="auto"/>
        <w:bottom w:val="none" w:sz="0" w:space="0" w:color="auto"/>
        <w:right w:val="none" w:sz="0" w:space="0" w:color="auto"/>
      </w:divBdr>
      <w:divsChild>
        <w:div w:id="1610551597">
          <w:marLeft w:val="0"/>
          <w:marRight w:val="0"/>
          <w:marTop w:val="0"/>
          <w:marBottom w:val="0"/>
          <w:divBdr>
            <w:top w:val="none" w:sz="0" w:space="0" w:color="auto"/>
            <w:left w:val="none" w:sz="0" w:space="0" w:color="auto"/>
            <w:bottom w:val="none" w:sz="0" w:space="0" w:color="auto"/>
            <w:right w:val="none" w:sz="0" w:space="0" w:color="auto"/>
          </w:divBdr>
          <w:divsChild>
            <w:div w:id="2038459412">
              <w:marLeft w:val="0"/>
              <w:marRight w:val="0"/>
              <w:marTop w:val="0"/>
              <w:marBottom w:val="0"/>
              <w:divBdr>
                <w:top w:val="none" w:sz="0" w:space="0" w:color="auto"/>
                <w:left w:val="none" w:sz="0" w:space="0" w:color="auto"/>
                <w:bottom w:val="none" w:sz="0" w:space="0" w:color="auto"/>
                <w:right w:val="none" w:sz="0" w:space="0" w:color="auto"/>
              </w:divBdr>
              <w:divsChild>
                <w:div w:id="206068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223948">
      <w:bodyDiv w:val="1"/>
      <w:marLeft w:val="0"/>
      <w:marRight w:val="0"/>
      <w:marTop w:val="0"/>
      <w:marBottom w:val="0"/>
      <w:divBdr>
        <w:top w:val="none" w:sz="0" w:space="0" w:color="auto"/>
        <w:left w:val="none" w:sz="0" w:space="0" w:color="auto"/>
        <w:bottom w:val="none" w:sz="0" w:space="0" w:color="auto"/>
        <w:right w:val="none" w:sz="0" w:space="0" w:color="auto"/>
      </w:divBdr>
    </w:div>
    <w:div w:id="35281481">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1826938">
      <w:bodyDiv w:val="1"/>
      <w:marLeft w:val="0"/>
      <w:marRight w:val="0"/>
      <w:marTop w:val="0"/>
      <w:marBottom w:val="0"/>
      <w:divBdr>
        <w:top w:val="none" w:sz="0" w:space="0" w:color="auto"/>
        <w:left w:val="none" w:sz="0" w:space="0" w:color="auto"/>
        <w:bottom w:val="none" w:sz="0" w:space="0" w:color="auto"/>
        <w:right w:val="none" w:sz="0" w:space="0" w:color="auto"/>
      </w:divBdr>
    </w:div>
    <w:div w:id="42021781">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48305046">
      <w:bodyDiv w:val="1"/>
      <w:marLeft w:val="0"/>
      <w:marRight w:val="0"/>
      <w:marTop w:val="0"/>
      <w:marBottom w:val="0"/>
      <w:divBdr>
        <w:top w:val="none" w:sz="0" w:space="0" w:color="auto"/>
        <w:left w:val="none" w:sz="0" w:space="0" w:color="auto"/>
        <w:bottom w:val="none" w:sz="0" w:space="0" w:color="auto"/>
        <w:right w:val="none" w:sz="0" w:space="0" w:color="auto"/>
      </w:divBdr>
      <w:divsChild>
        <w:div w:id="262299518">
          <w:marLeft w:val="0"/>
          <w:marRight w:val="0"/>
          <w:marTop w:val="0"/>
          <w:marBottom w:val="0"/>
          <w:divBdr>
            <w:top w:val="none" w:sz="0" w:space="0" w:color="auto"/>
            <w:left w:val="none" w:sz="0" w:space="0" w:color="auto"/>
            <w:bottom w:val="none" w:sz="0" w:space="0" w:color="auto"/>
            <w:right w:val="none" w:sz="0" w:space="0" w:color="auto"/>
          </w:divBdr>
          <w:divsChild>
            <w:div w:id="1744986443">
              <w:marLeft w:val="0"/>
              <w:marRight w:val="0"/>
              <w:marTop w:val="0"/>
              <w:marBottom w:val="0"/>
              <w:divBdr>
                <w:top w:val="none" w:sz="0" w:space="0" w:color="auto"/>
                <w:left w:val="none" w:sz="0" w:space="0" w:color="auto"/>
                <w:bottom w:val="none" w:sz="0" w:space="0" w:color="auto"/>
                <w:right w:val="none" w:sz="0" w:space="0" w:color="auto"/>
              </w:divBdr>
              <w:divsChild>
                <w:div w:id="1957247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780109">
      <w:bodyDiv w:val="1"/>
      <w:marLeft w:val="0"/>
      <w:marRight w:val="0"/>
      <w:marTop w:val="0"/>
      <w:marBottom w:val="0"/>
      <w:divBdr>
        <w:top w:val="none" w:sz="0" w:space="0" w:color="auto"/>
        <w:left w:val="none" w:sz="0" w:space="0" w:color="auto"/>
        <w:bottom w:val="none" w:sz="0" w:space="0" w:color="auto"/>
        <w:right w:val="none" w:sz="0" w:space="0" w:color="auto"/>
      </w:divBdr>
      <w:divsChild>
        <w:div w:id="952639156">
          <w:marLeft w:val="0"/>
          <w:marRight w:val="0"/>
          <w:marTop w:val="0"/>
          <w:marBottom w:val="0"/>
          <w:divBdr>
            <w:top w:val="none" w:sz="0" w:space="0" w:color="auto"/>
            <w:left w:val="none" w:sz="0" w:space="0" w:color="auto"/>
            <w:bottom w:val="none" w:sz="0" w:space="0" w:color="auto"/>
            <w:right w:val="none" w:sz="0" w:space="0" w:color="auto"/>
          </w:divBdr>
          <w:divsChild>
            <w:div w:id="1324165564">
              <w:marLeft w:val="0"/>
              <w:marRight w:val="0"/>
              <w:marTop w:val="0"/>
              <w:marBottom w:val="0"/>
              <w:divBdr>
                <w:top w:val="none" w:sz="0" w:space="0" w:color="auto"/>
                <w:left w:val="none" w:sz="0" w:space="0" w:color="auto"/>
                <w:bottom w:val="none" w:sz="0" w:space="0" w:color="auto"/>
                <w:right w:val="none" w:sz="0" w:space="0" w:color="auto"/>
              </w:divBdr>
              <w:divsChild>
                <w:div w:id="15946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938803">
      <w:bodyDiv w:val="1"/>
      <w:marLeft w:val="0"/>
      <w:marRight w:val="0"/>
      <w:marTop w:val="0"/>
      <w:marBottom w:val="0"/>
      <w:divBdr>
        <w:top w:val="none" w:sz="0" w:space="0" w:color="auto"/>
        <w:left w:val="none" w:sz="0" w:space="0" w:color="auto"/>
        <w:bottom w:val="none" w:sz="0" w:space="0" w:color="auto"/>
        <w:right w:val="none" w:sz="0" w:space="0" w:color="auto"/>
      </w:divBdr>
    </w:div>
    <w:div w:id="75637734">
      <w:bodyDiv w:val="1"/>
      <w:marLeft w:val="0"/>
      <w:marRight w:val="0"/>
      <w:marTop w:val="0"/>
      <w:marBottom w:val="0"/>
      <w:divBdr>
        <w:top w:val="none" w:sz="0" w:space="0" w:color="auto"/>
        <w:left w:val="none" w:sz="0" w:space="0" w:color="auto"/>
        <w:bottom w:val="none" w:sz="0" w:space="0" w:color="auto"/>
        <w:right w:val="none" w:sz="0" w:space="0" w:color="auto"/>
      </w:divBdr>
      <w:divsChild>
        <w:div w:id="2103181439">
          <w:marLeft w:val="0"/>
          <w:marRight w:val="0"/>
          <w:marTop w:val="0"/>
          <w:marBottom w:val="0"/>
          <w:divBdr>
            <w:top w:val="none" w:sz="0" w:space="0" w:color="auto"/>
            <w:left w:val="none" w:sz="0" w:space="0" w:color="auto"/>
            <w:bottom w:val="none" w:sz="0" w:space="0" w:color="auto"/>
            <w:right w:val="none" w:sz="0" w:space="0" w:color="auto"/>
          </w:divBdr>
          <w:divsChild>
            <w:div w:id="2070616539">
              <w:marLeft w:val="0"/>
              <w:marRight w:val="0"/>
              <w:marTop w:val="0"/>
              <w:marBottom w:val="0"/>
              <w:divBdr>
                <w:top w:val="none" w:sz="0" w:space="0" w:color="auto"/>
                <w:left w:val="none" w:sz="0" w:space="0" w:color="auto"/>
                <w:bottom w:val="none" w:sz="0" w:space="0" w:color="auto"/>
                <w:right w:val="none" w:sz="0" w:space="0" w:color="auto"/>
              </w:divBdr>
              <w:divsChild>
                <w:div w:id="758605140">
                  <w:marLeft w:val="0"/>
                  <w:marRight w:val="0"/>
                  <w:marTop w:val="0"/>
                  <w:marBottom w:val="0"/>
                  <w:divBdr>
                    <w:top w:val="none" w:sz="0" w:space="0" w:color="auto"/>
                    <w:left w:val="none" w:sz="0" w:space="0" w:color="auto"/>
                    <w:bottom w:val="none" w:sz="0" w:space="0" w:color="auto"/>
                    <w:right w:val="none" w:sz="0" w:space="0" w:color="auto"/>
                  </w:divBdr>
                  <w:divsChild>
                    <w:div w:id="1845318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330360">
      <w:bodyDiv w:val="1"/>
      <w:marLeft w:val="0"/>
      <w:marRight w:val="0"/>
      <w:marTop w:val="0"/>
      <w:marBottom w:val="0"/>
      <w:divBdr>
        <w:top w:val="none" w:sz="0" w:space="0" w:color="auto"/>
        <w:left w:val="none" w:sz="0" w:space="0" w:color="auto"/>
        <w:bottom w:val="none" w:sz="0" w:space="0" w:color="auto"/>
        <w:right w:val="none" w:sz="0" w:space="0" w:color="auto"/>
      </w:divBdr>
    </w:div>
    <w:div w:id="79496941">
      <w:bodyDiv w:val="1"/>
      <w:marLeft w:val="0"/>
      <w:marRight w:val="0"/>
      <w:marTop w:val="0"/>
      <w:marBottom w:val="0"/>
      <w:divBdr>
        <w:top w:val="none" w:sz="0" w:space="0" w:color="auto"/>
        <w:left w:val="none" w:sz="0" w:space="0" w:color="auto"/>
        <w:bottom w:val="none" w:sz="0" w:space="0" w:color="auto"/>
        <w:right w:val="none" w:sz="0" w:space="0" w:color="auto"/>
      </w:divBdr>
      <w:divsChild>
        <w:div w:id="689528428">
          <w:marLeft w:val="0"/>
          <w:marRight w:val="0"/>
          <w:marTop w:val="0"/>
          <w:marBottom w:val="0"/>
          <w:divBdr>
            <w:top w:val="none" w:sz="0" w:space="0" w:color="auto"/>
            <w:left w:val="none" w:sz="0" w:space="0" w:color="auto"/>
            <w:bottom w:val="none" w:sz="0" w:space="0" w:color="auto"/>
            <w:right w:val="none" w:sz="0" w:space="0" w:color="auto"/>
          </w:divBdr>
          <w:divsChild>
            <w:div w:id="237062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037725">
      <w:bodyDiv w:val="1"/>
      <w:marLeft w:val="0"/>
      <w:marRight w:val="0"/>
      <w:marTop w:val="0"/>
      <w:marBottom w:val="0"/>
      <w:divBdr>
        <w:top w:val="none" w:sz="0" w:space="0" w:color="auto"/>
        <w:left w:val="none" w:sz="0" w:space="0" w:color="auto"/>
        <w:bottom w:val="none" w:sz="0" w:space="0" w:color="auto"/>
        <w:right w:val="none" w:sz="0" w:space="0" w:color="auto"/>
      </w:divBdr>
    </w:div>
    <w:div w:id="85270241">
      <w:bodyDiv w:val="1"/>
      <w:marLeft w:val="0"/>
      <w:marRight w:val="0"/>
      <w:marTop w:val="0"/>
      <w:marBottom w:val="0"/>
      <w:divBdr>
        <w:top w:val="none" w:sz="0" w:space="0" w:color="auto"/>
        <w:left w:val="none" w:sz="0" w:space="0" w:color="auto"/>
        <w:bottom w:val="none" w:sz="0" w:space="0" w:color="auto"/>
        <w:right w:val="none" w:sz="0" w:space="0" w:color="auto"/>
      </w:divBdr>
    </w:div>
    <w:div w:id="94449001">
      <w:bodyDiv w:val="1"/>
      <w:marLeft w:val="0"/>
      <w:marRight w:val="0"/>
      <w:marTop w:val="0"/>
      <w:marBottom w:val="0"/>
      <w:divBdr>
        <w:top w:val="none" w:sz="0" w:space="0" w:color="auto"/>
        <w:left w:val="none" w:sz="0" w:space="0" w:color="auto"/>
        <w:bottom w:val="none" w:sz="0" w:space="0" w:color="auto"/>
        <w:right w:val="none" w:sz="0" w:space="0" w:color="auto"/>
      </w:divBdr>
    </w:div>
    <w:div w:id="94985693">
      <w:bodyDiv w:val="1"/>
      <w:marLeft w:val="0"/>
      <w:marRight w:val="0"/>
      <w:marTop w:val="0"/>
      <w:marBottom w:val="0"/>
      <w:divBdr>
        <w:top w:val="none" w:sz="0" w:space="0" w:color="auto"/>
        <w:left w:val="none" w:sz="0" w:space="0" w:color="auto"/>
        <w:bottom w:val="none" w:sz="0" w:space="0" w:color="auto"/>
        <w:right w:val="none" w:sz="0" w:space="0" w:color="auto"/>
      </w:divBdr>
    </w:div>
    <w:div w:id="110173570">
      <w:bodyDiv w:val="1"/>
      <w:marLeft w:val="0"/>
      <w:marRight w:val="0"/>
      <w:marTop w:val="0"/>
      <w:marBottom w:val="0"/>
      <w:divBdr>
        <w:top w:val="none" w:sz="0" w:space="0" w:color="auto"/>
        <w:left w:val="none" w:sz="0" w:space="0" w:color="auto"/>
        <w:bottom w:val="none" w:sz="0" w:space="0" w:color="auto"/>
        <w:right w:val="none" w:sz="0" w:space="0" w:color="auto"/>
      </w:divBdr>
    </w:div>
    <w:div w:id="122775619">
      <w:bodyDiv w:val="1"/>
      <w:marLeft w:val="0"/>
      <w:marRight w:val="0"/>
      <w:marTop w:val="0"/>
      <w:marBottom w:val="0"/>
      <w:divBdr>
        <w:top w:val="none" w:sz="0" w:space="0" w:color="auto"/>
        <w:left w:val="none" w:sz="0" w:space="0" w:color="auto"/>
        <w:bottom w:val="none" w:sz="0" w:space="0" w:color="auto"/>
        <w:right w:val="none" w:sz="0" w:space="0" w:color="auto"/>
      </w:divBdr>
      <w:divsChild>
        <w:div w:id="2062821963">
          <w:marLeft w:val="0"/>
          <w:marRight w:val="0"/>
          <w:marTop w:val="0"/>
          <w:marBottom w:val="0"/>
          <w:divBdr>
            <w:top w:val="none" w:sz="0" w:space="0" w:color="auto"/>
            <w:left w:val="none" w:sz="0" w:space="0" w:color="auto"/>
            <w:bottom w:val="none" w:sz="0" w:space="0" w:color="auto"/>
            <w:right w:val="none" w:sz="0" w:space="0" w:color="auto"/>
          </w:divBdr>
        </w:div>
      </w:divsChild>
    </w:div>
    <w:div w:id="129980973">
      <w:bodyDiv w:val="1"/>
      <w:marLeft w:val="0"/>
      <w:marRight w:val="0"/>
      <w:marTop w:val="0"/>
      <w:marBottom w:val="0"/>
      <w:divBdr>
        <w:top w:val="none" w:sz="0" w:space="0" w:color="auto"/>
        <w:left w:val="none" w:sz="0" w:space="0" w:color="auto"/>
        <w:bottom w:val="none" w:sz="0" w:space="0" w:color="auto"/>
        <w:right w:val="none" w:sz="0" w:space="0" w:color="auto"/>
      </w:divBdr>
      <w:divsChild>
        <w:div w:id="522939710">
          <w:marLeft w:val="0"/>
          <w:marRight w:val="0"/>
          <w:marTop w:val="0"/>
          <w:marBottom w:val="0"/>
          <w:divBdr>
            <w:top w:val="none" w:sz="0" w:space="0" w:color="auto"/>
            <w:left w:val="none" w:sz="0" w:space="0" w:color="auto"/>
            <w:bottom w:val="none" w:sz="0" w:space="0" w:color="auto"/>
            <w:right w:val="none" w:sz="0" w:space="0" w:color="auto"/>
          </w:divBdr>
          <w:divsChild>
            <w:div w:id="1560894338">
              <w:marLeft w:val="0"/>
              <w:marRight w:val="0"/>
              <w:marTop w:val="0"/>
              <w:marBottom w:val="0"/>
              <w:divBdr>
                <w:top w:val="none" w:sz="0" w:space="0" w:color="auto"/>
                <w:left w:val="none" w:sz="0" w:space="0" w:color="auto"/>
                <w:bottom w:val="none" w:sz="0" w:space="0" w:color="auto"/>
                <w:right w:val="none" w:sz="0" w:space="0" w:color="auto"/>
              </w:divBdr>
              <w:divsChild>
                <w:div w:id="110832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290619">
      <w:bodyDiv w:val="1"/>
      <w:marLeft w:val="0"/>
      <w:marRight w:val="0"/>
      <w:marTop w:val="0"/>
      <w:marBottom w:val="0"/>
      <w:divBdr>
        <w:top w:val="none" w:sz="0" w:space="0" w:color="auto"/>
        <w:left w:val="none" w:sz="0" w:space="0" w:color="auto"/>
        <w:bottom w:val="none" w:sz="0" w:space="0" w:color="auto"/>
        <w:right w:val="none" w:sz="0" w:space="0" w:color="auto"/>
      </w:divBdr>
    </w:div>
    <w:div w:id="138035677">
      <w:bodyDiv w:val="1"/>
      <w:marLeft w:val="0"/>
      <w:marRight w:val="0"/>
      <w:marTop w:val="0"/>
      <w:marBottom w:val="0"/>
      <w:divBdr>
        <w:top w:val="none" w:sz="0" w:space="0" w:color="auto"/>
        <w:left w:val="none" w:sz="0" w:space="0" w:color="auto"/>
        <w:bottom w:val="none" w:sz="0" w:space="0" w:color="auto"/>
        <w:right w:val="none" w:sz="0" w:space="0" w:color="auto"/>
      </w:divBdr>
    </w:div>
    <w:div w:id="154615700">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69032022">
      <w:bodyDiv w:val="1"/>
      <w:marLeft w:val="0"/>
      <w:marRight w:val="0"/>
      <w:marTop w:val="0"/>
      <w:marBottom w:val="0"/>
      <w:divBdr>
        <w:top w:val="none" w:sz="0" w:space="0" w:color="auto"/>
        <w:left w:val="none" w:sz="0" w:space="0" w:color="auto"/>
        <w:bottom w:val="none" w:sz="0" w:space="0" w:color="auto"/>
        <w:right w:val="none" w:sz="0" w:space="0" w:color="auto"/>
      </w:divBdr>
    </w:div>
    <w:div w:id="199707491">
      <w:bodyDiv w:val="1"/>
      <w:marLeft w:val="0"/>
      <w:marRight w:val="0"/>
      <w:marTop w:val="0"/>
      <w:marBottom w:val="0"/>
      <w:divBdr>
        <w:top w:val="none" w:sz="0" w:space="0" w:color="auto"/>
        <w:left w:val="none" w:sz="0" w:space="0" w:color="auto"/>
        <w:bottom w:val="none" w:sz="0" w:space="0" w:color="auto"/>
        <w:right w:val="none" w:sz="0" w:space="0" w:color="auto"/>
      </w:divBdr>
    </w:div>
    <w:div w:id="208033545">
      <w:bodyDiv w:val="1"/>
      <w:marLeft w:val="0"/>
      <w:marRight w:val="0"/>
      <w:marTop w:val="0"/>
      <w:marBottom w:val="0"/>
      <w:divBdr>
        <w:top w:val="none" w:sz="0" w:space="0" w:color="auto"/>
        <w:left w:val="none" w:sz="0" w:space="0" w:color="auto"/>
        <w:bottom w:val="none" w:sz="0" w:space="0" w:color="auto"/>
        <w:right w:val="none" w:sz="0" w:space="0" w:color="auto"/>
      </w:divBdr>
    </w:div>
    <w:div w:id="208080400">
      <w:bodyDiv w:val="1"/>
      <w:marLeft w:val="0"/>
      <w:marRight w:val="0"/>
      <w:marTop w:val="0"/>
      <w:marBottom w:val="0"/>
      <w:divBdr>
        <w:top w:val="none" w:sz="0" w:space="0" w:color="auto"/>
        <w:left w:val="none" w:sz="0" w:space="0" w:color="auto"/>
        <w:bottom w:val="none" w:sz="0" w:space="0" w:color="auto"/>
        <w:right w:val="none" w:sz="0" w:space="0" w:color="auto"/>
      </w:divBdr>
    </w:div>
    <w:div w:id="215430727">
      <w:bodyDiv w:val="1"/>
      <w:marLeft w:val="0"/>
      <w:marRight w:val="0"/>
      <w:marTop w:val="0"/>
      <w:marBottom w:val="0"/>
      <w:divBdr>
        <w:top w:val="none" w:sz="0" w:space="0" w:color="auto"/>
        <w:left w:val="none" w:sz="0" w:space="0" w:color="auto"/>
        <w:bottom w:val="none" w:sz="0" w:space="0" w:color="auto"/>
        <w:right w:val="none" w:sz="0" w:space="0" w:color="auto"/>
      </w:divBdr>
    </w:div>
    <w:div w:id="235555305">
      <w:bodyDiv w:val="1"/>
      <w:marLeft w:val="0"/>
      <w:marRight w:val="0"/>
      <w:marTop w:val="0"/>
      <w:marBottom w:val="0"/>
      <w:divBdr>
        <w:top w:val="none" w:sz="0" w:space="0" w:color="auto"/>
        <w:left w:val="none" w:sz="0" w:space="0" w:color="auto"/>
        <w:bottom w:val="none" w:sz="0" w:space="0" w:color="auto"/>
        <w:right w:val="none" w:sz="0" w:space="0" w:color="auto"/>
      </w:divBdr>
      <w:divsChild>
        <w:div w:id="1294293439">
          <w:marLeft w:val="0"/>
          <w:marRight w:val="0"/>
          <w:marTop w:val="0"/>
          <w:marBottom w:val="0"/>
          <w:divBdr>
            <w:top w:val="none" w:sz="0" w:space="0" w:color="auto"/>
            <w:left w:val="none" w:sz="0" w:space="0" w:color="auto"/>
            <w:bottom w:val="none" w:sz="0" w:space="0" w:color="auto"/>
            <w:right w:val="none" w:sz="0" w:space="0" w:color="auto"/>
          </w:divBdr>
          <w:divsChild>
            <w:div w:id="150484144">
              <w:marLeft w:val="0"/>
              <w:marRight w:val="0"/>
              <w:marTop w:val="0"/>
              <w:marBottom w:val="0"/>
              <w:divBdr>
                <w:top w:val="none" w:sz="0" w:space="0" w:color="auto"/>
                <w:left w:val="none" w:sz="0" w:space="0" w:color="auto"/>
                <w:bottom w:val="none" w:sz="0" w:space="0" w:color="auto"/>
                <w:right w:val="none" w:sz="0" w:space="0" w:color="auto"/>
              </w:divBdr>
              <w:divsChild>
                <w:div w:id="74175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8056181">
      <w:bodyDiv w:val="1"/>
      <w:marLeft w:val="0"/>
      <w:marRight w:val="0"/>
      <w:marTop w:val="0"/>
      <w:marBottom w:val="0"/>
      <w:divBdr>
        <w:top w:val="none" w:sz="0" w:space="0" w:color="auto"/>
        <w:left w:val="none" w:sz="0" w:space="0" w:color="auto"/>
        <w:bottom w:val="none" w:sz="0" w:space="0" w:color="auto"/>
        <w:right w:val="none" w:sz="0" w:space="0" w:color="auto"/>
      </w:divBdr>
    </w:div>
    <w:div w:id="245386739">
      <w:bodyDiv w:val="1"/>
      <w:marLeft w:val="0"/>
      <w:marRight w:val="0"/>
      <w:marTop w:val="0"/>
      <w:marBottom w:val="0"/>
      <w:divBdr>
        <w:top w:val="none" w:sz="0" w:space="0" w:color="auto"/>
        <w:left w:val="none" w:sz="0" w:space="0" w:color="auto"/>
        <w:bottom w:val="none" w:sz="0" w:space="0" w:color="auto"/>
        <w:right w:val="none" w:sz="0" w:space="0" w:color="auto"/>
      </w:divBdr>
    </w:div>
    <w:div w:id="258679361">
      <w:bodyDiv w:val="1"/>
      <w:marLeft w:val="0"/>
      <w:marRight w:val="0"/>
      <w:marTop w:val="0"/>
      <w:marBottom w:val="0"/>
      <w:divBdr>
        <w:top w:val="none" w:sz="0" w:space="0" w:color="auto"/>
        <w:left w:val="none" w:sz="0" w:space="0" w:color="auto"/>
        <w:bottom w:val="none" w:sz="0" w:space="0" w:color="auto"/>
        <w:right w:val="none" w:sz="0" w:space="0" w:color="auto"/>
      </w:divBdr>
    </w:div>
    <w:div w:id="264926424">
      <w:bodyDiv w:val="1"/>
      <w:marLeft w:val="0"/>
      <w:marRight w:val="0"/>
      <w:marTop w:val="0"/>
      <w:marBottom w:val="0"/>
      <w:divBdr>
        <w:top w:val="none" w:sz="0" w:space="0" w:color="auto"/>
        <w:left w:val="none" w:sz="0" w:space="0" w:color="auto"/>
        <w:bottom w:val="none" w:sz="0" w:space="0" w:color="auto"/>
        <w:right w:val="none" w:sz="0" w:space="0" w:color="auto"/>
      </w:divBdr>
    </w:div>
    <w:div w:id="284427149">
      <w:bodyDiv w:val="1"/>
      <w:marLeft w:val="0"/>
      <w:marRight w:val="0"/>
      <w:marTop w:val="0"/>
      <w:marBottom w:val="0"/>
      <w:divBdr>
        <w:top w:val="none" w:sz="0" w:space="0" w:color="auto"/>
        <w:left w:val="none" w:sz="0" w:space="0" w:color="auto"/>
        <w:bottom w:val="none" w:sz="0" w:space="0" w:color="auto"/>
        <w:right w:val="none" w:sz="0" w:space="0" w:color="auto"/>
      </w:divBdr>
    </w:div>
    <w:div w:id="287053986">
      <w:bodyDiv w:val="1"/>
      <w:marLeft w:val="0"/>
      <w:marRight w:val="0"/>
      <w:marTop w:val="0"/>
      <w:marBottom w:val="0"/>
      <w:divBdr>
        <w:top w:val="none" w:sz="0" w:space="0" w:color="auto"/>
        <w:left w:val="none" w:sz="0" w:space="0" w:color="auto"/>
        <w:bottom w:val="none" w:sz="0" w:space="0" w:color="auto"/>
        <w:right w:val="none" w:sz="0" w:space="0" w:color="auto"/>
      </w:divBdr>
    </w:div>
    <w:div w:id="288053694">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2759390">
      <w:bodyDiv w:val="1"/>
      <w:marLeft w:val="0"/>
      <w:marRight w:val="0"/>
      <w:marTop w:val="0"/>
      <w:marBottom w:val="0"/>
      <w:divBdr>
        <w:top w:val="none" w:sz="0" w:space="0" w:color="auto"/>
        <w:left w:val="none" w:sz="0" w:space="0" w:color="auto"/>
        <w:bottom w:val="none" w:sz="0" w:space="0" w:color="auto"/>
        <w:right w:val="none" w:sz="0" w:space="0" w:color="auto"/>
      </w:divBdr>
    </w:div>
    <w:div w:id="310133555">
      <w:bodyDiv w:val="1"/>
      <w:marLeft w:val="0"/>
      <w:marRight w:val="0"/>
      <w:marTop w:val="0"/>
      <w:marBottom w:val="0"/>
      <w:divBdr>
        <w:top w:val="none" w:sz="0" w:space="0" w:color="auto"/>
        <w:left w:val="none" w:sz="0" w:space="0" w:color="auto"/>
        <w:bottom w:val="none" w:sz="0" w:space="0" w:color="auto"/>
        <w:right w:val="none" w:sz="0" w:space="0" w:color="auto"/>
      </w:divBdr>
    </w:div>
    <w:div w:id="310521259">
      <w:bodyDiv w:val="1"/>
      <w:marLeft w:val="0"/>
      <w:marRight w:val="0"/>
      <w:marTop w:val="0"/>
      <w:marBottom w:val="0"/>
      <w:divBdr>
        <w:top w:val="none" w:sz="0" w:space="0" w:color="auto"/>
        <w:left w:val="none" w:sz="0" w:space="0" w:color="auto"/>
        <w:bottom w:val="none" w:sz="0" w:space="0" w:color="auto"/>
        <w:right w:val="none" w:sz="0" w:space="0" w:color="auto"/>
      </w:divBdr>
    </w:div>
    <w:div w:id="312223570">
      <w:bodyDiv w:val="1"/>
      <w:marLeft w:val="0"/>
      <w:marRight w:val="0"/>
      <w:marTop w:val="0"/>
      <w:marBottom w:val="0"/>
      <w:divBdr>
        <w:top w:val="none" w:sz="0" w:space="0" w:color="auto"/>
        <w:left w:val="none" w:sz="0" w:space="0" w:color="auto"/>
        <w:bottom w:val="none" w:sz="0" w:space="0" w:color="auto"/>
        <w:right w:val="none" w:sz="0" w:space="0" w:color="auto"/>
      </w:divBdr>
    </w:div>
    <w:div w:id="314844853">
      <w:bodyDiv w:val="1"/>
      <w:marLeft w:val="0"/>
      <w:marRight w:val="0"/>
      <w:marTop w:val="0"/>
      <w:marBottom w:val="0"/>
      <w:divBdr>
        <w:top w:val="none" w:sz="0" w:space="0" w:color="auto"/>
        <w:left w:val="none" w:sz="0" w:space="0" w:color="auto"/>
        <w:bottom w:val="none" w:sz="0" w:space="0" w:color="auto"/>
        <w:right w:val="none" w:sz="0" w:space="0" w:color="auto"/>
      </w:divBdr>
    </w:div>
    <w:div w:id="322202786">
      <w:bodyDiv w:val="1"/>
      <w:marLeft w:val="0"/>
      <w:marRight w:val="0"/>
      <w:marTop w:val="0"/>
      <w:marBottom w:val="0"/>
      <w:divBdr>
        <w:top w:val="none" w:sz="0" w:space="0" w:color="auto"/>
        <w:left w:val="none" w:sz="0" w:space="0" w:color="auto"/>
        <w:bottom w:val="none" w:sz="0" w:space="0" w:color="auto"/>
        <w:right w:val="none" w:sz="0" w:space="0" w:color="auto"/>
      </w:divBdr>
    </w:div>
    <w:div w:id="331881237">
      <w:bodyDiv w:val="1"/>
      <w:marLeft w:val="0"/>
      <w:marRight w:val="0"/>
      <w:marTop w:val="0"/>
      <w:marBottom w:val="0"/>
      <w:divBdr>
        <w:top w:val="none" w:sz="0" w:space="0" w:color="auto"/>
        <w:left w:val="none" w:sz="0" w:space="0" w:color="auto"/>
        <w:bottom w:val="none" w:sz="0" w:space="0" w:color="auto"/>
        <w:right w:val="none" w:sz="0" w:space="0" w:color="auto"/>
      </w:divBdr>
    </w:div>
    <w:div w:id="334965764">
      <w:bodyDiv w:val="1"/>
      <w:marLeft w:val="0"/>
      <w:marRight w:val="0"/>
      <w:marTop w:val="0"/>
      <w:marBottom w:val="0"/>
      <w:divBdr>
        <w:top w:val="none" w:sz="0" w:space="0" w:color="auto"/>
        <w:left w:val="none" w:sz="0" w:space="0" w:color="auto"/>
        <w:bottom w:val="none" w:sz="0" w:space="0" w:color="auto"/>
        <w:right w:val="none" w:sz="0" w:space="0" w:color="auto"/>
      </w:divBdr>
    </w:div>
    <w:div w:id="337391810">
      <w:bodyDiv w:val="1"/>
      <w:marLeft w:val="0"/>
      <w:marRight w:val="0"/>
      <w:marTop w:val="0"/>
      <w:marBottom w:val="0"/>
      <w:divBdr>
        <w:top w:val="none" w:sz="0" w:space="0" w:color="auto"/>
        <w:left w:val="none" w:sz="0" w:space="0" w:color="auto"/>
        <w:bottom w:val="none" w:sz="0" w:space="0" w:color="auto"/>
        <w:right w:val="none" w:sz="0" w:space="0" w:color="auto"/>
      </w:divBdr>
    </w:div>
    <w:div w:id="339620751">
      <w:bodyDiv w:val="1"/>
      <w:marLeft w:val="0"/>
      <w:marRight w:val="0"/>
      <w:marTop w:val="0"/>
      <w:marBottom w:val="0"/>
      <w:divBdr>
        <w:top w:val="none" w:sz="0" w:space="0" w:color="auto"/>
        <w:left w:val="none" w:sz="0" w:space="0" w:color="auto"/>
        <w:bottom w:val="none" w:sz="0" w:space="0" w:color="auto"/>
        <w:right w:val="none" w:sz="0" w:space="0" w:color="auto"/>
      </w:divBdr>
    </w:div>
    <w:div w:id="344946704">
      <w:bodyDiv w:val="1"/>
      <w:marLeft w:val="0"/>
      <w:marRight w:val="0"/>
      <w:marTop w:val="0"/>
      <w:marBottom w:val="0"/>
      <w:divBdr>
        <w:top w:val="none" w:sz="0" w:space="0" w:color="auto"/>
        <w:left w:val="none" w:sz="0" w:space="0" w:color="auto"/>
        <w:bottom w:val="none" w:sz="0" w:space="0" w:color="auto"/>
        <w:right w:val="none" w:sz="0" w:space="0" w:color="auto"/>
      </w:divBdr>
      <w:divsChild>
        <w:div w:id="1496412692">
          <w:marLeft w:val="0"/>
          <w:marRight w:val="0"/>
          <w:marTop w:val="0"/>
          <w:marBottom w:val="0"/>
          <w:divBdr>
            <w:top w:val="none" w:sz="0" w:space="0" w:color="auto"/>
            <w:left w:val="none" w:sz="0" w:space="0" w:color="auto"/>
            <w:bottom w:val="none" w:sz="0" w:space="0" w:color="auto"/>
            <w:right w:val="none" w:sz="0" w:space="0" w:color="auto"/>
          </w:divBdr>
          <w:divsChild>
            <w:div w:id="1121000746">
              <w:marLeft w:val="0"/>
              <w:marRight w:val="0"/>
              <w:marTop w:val="0"/>
              <w:marBottom w:val="0"/>
              <w:divBdr>
                <w:top w:val="none" w:sz="0" w:space="0" w:color="auto"/>
                <w:left w:val="none" w:sz="0" w:space="0" w:color="auto"/>
                <w:bottom w:val="none" w:sz="0" w:space="0" w:color="auto"/>
                <w:right w:val="none" w:sz="0" w:space="0" w:color="auto"/>
              </w:divBdr>
              <w:divsChild>
                <w:div w:id="136447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522120">
      <w:bodyDiv w:val="1"/>
      <w:marLeft w:val="0"/>
      <w:marRight w:val="0"/>
      <w:marTop w:val="0"/>
      <w:marBottom w:val="0"/>
      <w:divBdr>
        <w:top w:val="none" w:sz="0" w:space="0" w:color="auto"/>
        <w:left w:val="none" w:sz="0" w:space="0" w:color="auto"/>
        <w:bottom w:val="none" w:sz="0" w:space="0" w:color="auto"/>
        <w:right w:val="none" w:sz="0" w:space="0" w:color="auto"/>
      </w:divBdr>
    </w:div>
    <w:div w:id="348802467">
      <w:bodyDiv w:val="1"/>
      <w:marLeft w:val="0"/>
      <w:marRight w:val="0"/>
      <w:marTop w:val="0"/>
      <w:marBottom w:val="0"/>
      <w:divBdr>
        <w:top w:val="none" w:sz="0" w:space="0" w:color="auto"/>
        <w:left w:val="none" w:sz="0" w:space="0" w:color="auto"/>
        <w:bottom w:val="none" w:sz="0" w:space="0" w:color="auto"/>
        <w:right w:val="none" w:sz="0" w:space="0" w:color="auto"/>
      </w:divBdr>
    </w:div>
    <w:div w:id="351734920">
      <w:bodyDiv w:val="1"/>
      <w:marLeft w:val="0"/>
      <w:marRight w:val="0"/>
      <w:marTop w:val="0"/>
      <w:marBottom w:val="0"/>
      <w:divBdr>
        <w:top w:val="none" w:sz="0" w:space="0" w:color="auto"/>
        <w:left w:val="none" w:sz="0" w:space="0" w:color="auto"/>
        <w:bottom w:val="none" w:sz="0" w:space="0" w:color="auto"/>
        <w:right w:val="none" w:sz="0" w:space="0" w:color="auto"/>
      </w:divBdr>
    </w:div>
    <w:div w:id="387266119">
      <w:bodyDiv w:val="1"/>
      <w:marLeft w:val="0"/>
      <w:marRight w:val="0"/>
      <w:marTop w:val="0"/>
      <w:marBottom w:val="0"/>
      <w:divBdr>
        <w:top w:val="none" w:sz="0" w:space="0" w:color="auto"/>
        <w:left w:val="none" w:sz="0" w:space="0" w:color="auto"/>
        <w:bottom w:val="none" w:sz="0" w:space="0" w:color="auto"/>
        <w:right w:val="none" w:sz="0" w:space="0" w:color="auto"/>
      </w:divBdr>
      <w:divsChild>
        <w:div w:id="2039088259">
          <w:marLeft w:val="0"/>
          <w:marRight w:val="0"/>
          <w:marTop w:val="0"/>
          <w:marBottom w:val="0"/>
          <w:divBdr>
            <w:top w:val="none" w:sz="0" w:space="0" w:color="auto"/>
            <w:left w:val="none" w:sz="0" w:space="0" w:color="auto"/>
            <w:bottom w:val="none" w:sz="0" w:space="0" w:color="auto"/>
            <w:right w:val="none" w:sz="0" w:space="0" w:color="auto"/>
          </w:divBdr>
          <w:divsChild>
            <w:div w:id="551431865">
              <w:marLeft w:val="0"/>
              <w:marRight w:val="0"/>
              <w:marTop w:val="0"/>
              <w:marBottom w:val="0"/>
              <w:divBdr>
                <w:top w:val="none" w:sz="0" w:space="0" w:color="auto"/>
                <w:left w:val="none" w:sz="0" w:space="0" w:color="auto"/>
                <w:bottom w:val="none" w:sz="0" w:space="0" w:color="auto"/>
                <w:right w:val="none" w:sz="0" w:space="0" w:color="auto"/>
              </w:divBdr>
              <w:divsChild>
                <w:div w:id="1777408383">
                  <w:marLeft w:val="0"/>
                  <w:marRight w:val="0"/>
                  <w:marTop w:val="0"/>
                  <w:marBottom w:val="0"/>
                  <w:divBdr>
                    <w:top w:val="none" w:sz="0" w:space="0" w:color="auto"/>
                    <w:left w:val="none" w:sz="0" w:space="0" w:color="auto"/>
                    <w:bottom w:val="none" w:sz="0" w:space="0" w:color="auto"/>
                    <w:right w:val="none" w:sz="0" w:space="0" w:color="auto"/>
                  </w:divBdr>
                  <w:divsChild>
                    <w:div w:id="70996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5511658">
      <w:bodyDiv w:val="1"/>
      <w:marLeft w:val="0"/>
      <w:marRight w:val="0"/>
      <w:marTop w:val="0"/>
      <w:marBottom w:val="0"/>
      <w:divBdr>
        <w:top w:val="none" w:sz="0" w:space="0" w:color="auto"/>
        <w:left w:val="none" w:sz="0" w:space="0" w:color="auto"/>
        <w:bottom w:val="none" w:sz="0" w:space="0" w:color="auto"/>
        <w:right w:val="none" w:sz="0" w:space="0" w:color="auto"/>
      </w:divBdr>
    </w:div>
    <w:div w:id="398670483">
      <w:bodyDiv w:val="1"/>
      <w:marLeft w:val="0"/>
      <w:marRight w:val="0"/>
      <w:marTop w:val="0"/>
      <w:marBottom w:val="0"/>
      <w:divBdr>
        <w:top w:val="none" w:sz="0" w:space="0" w:color="auto"/>
        <w:left w:val="none" w:sz="0" w:space="0" w:color="auto"/>
        <w:bottom w:val="none" w:sz="0" w:space="0" w:color="auto"/>
        <w:right w:val="none" w:sz="0" w:space="0" w:color="auto"/>
      </w:divBdr>
    </w:div>
    <w:div w:id="402992273">
      <w:bodyDiv w:val="1"/>
      <w:marLeft w:val="0"/>
      <w:marRight w:val="0"/>
      <w:marTop w:val="0"/>
      <w:marBottom w:val="0"/>
      <w:divBdr>
        <w:top w:val="none" w:sz="0" w:space="0" w:color="auto"/>
        <w:left w:val="none" w:sz="0" w:space="0" w:color="auto"/>
        <w:bottom w:val="none" w:sz="0" w:space="0" w:color="auto"/>
        <w:right w:val="none" w:sz="0" w:space="0" w:color="auto"/>
      </w:divBdr>
    </w:div>
    <w:div w:id="410320993">
      <w:bodyDiv w:val="1"/>
      <w:marLeft w:val="0"/>
      <w:marRight w:val="0"/>
      <w:marTop w:val="0"/>
      <w:marBottom w:val="0"/>
      <w:divBdr>
        <w:top w:val="none" w:sz="0" w:space="0" w:color="auto"/>
        <w:left w:val="none" w:sz="0" w:space="0" w:color="auto"/>
        <w:bottom w:val="none" w:sz="0" w:space="0" w:color="auto"/>
        <w:right w:val="none" w:sz="0" w:space="0" w:color="auto"/>
      </w:divBdr>
    </w:div>
    <w:div w:id="415446229">
      <w:bodyDiv w:val="1"/>
      <w:marLeft w:val="0"/>
      <w:marRight w:val="0"/>
      <w:marTop w:val="0"/>
      <w:marBottom w:val="0"/>
      <w:divBdr>
        <w:top w:val="none" w:sz="0" w:space="0" w:color="auto"/>
        <w:left w:val="none" w:sz="0" w:space="0" w:color="auto"/>
        <w:bottom w:val="none" w:sz="0" w:space="0" w:color="auto"/>
        <w:right w:val="none" w:sz="0" w:space="0" w:color="auto"/>
      </w:divBdr>
      <w:divsChild>
        <w:div w:id="1042360156">
          <w:marLeft w:val="0"/>
          <w:marRight w:val="0"/>
          <w:marTop w:val="0"/>
          <w:marBottom w:val="0"/>
          <w:divBdr>
            <w:top w:val="none" w:sz="0" w:space="0" w:color="auto"/>
            <w:left w:val="none" w:sz="0" w:space="0" w:color="auto"/>
            <w:bottom w:val="none" w:sz="0" w:space="0" w:color="auto"/>
            <w:right w:val="none" w:sz="0" w:space="0" w:color="auto"/>
          </w:divBdr>
          <w:divsChild>
            <w:div w:id="469910124">
              <w:marLeft w:val="0"/>
              <w:marRight w:val="0"/>
              <w:marTop w:val="0"/>
              <w:marBottom w:val="0"/>
              <w:divBdr>
                <w:top w:val="none" w:sz="0" w:space="0" w:color="auto"/>
                <w:left w:val="none" w:sz="0" w:space="0" w:color="auto"/>
                <w:bottom w:val="none" w:sz="0" w:space="0" w:color="auto"/>
                <w:right w:val="none" w:sz="0" w:space="0" w:color="auto"/>
              </w:divBdr>
              <w:divsChild>
                <w:div w:id="1034884912">
                  <w:marLeft w:val="0"/>
                  <w:marRight w:val="0"/>
                  <w:marTop w:val="0"/>
                  <w:marBottom w:val="0"/>
                  <w:divBdr>
                    <w:top w:val="none" w:sz="0" w:space="0" w:color="auto"/>
                    <w:left w:val="none" w:sz="0" w:space="0" w:color="auto"/>
                    <w:bottom w:val="none" w:sz="0" w:space="0" w:color="auto"/>
                    <w:right w:val="none" w:sz="0" w:space="0" w:color="auto"/>
                  </w:divBdr>
                  <w:divsChild>
                    <w:div w:id="1721662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6829350">
      <w:bodyDiv w:val="1"/>
      <w:marLeft w:val="0"/>
      <w:marRight w:val="0"/>
      <w:marTop w:val="0"/>
      <w:marBottom w:val="0"/>
      <w:divBdr>
        <w:top w:val="none" w:sz="0" w:space="0" w:color="auto"/>
        <w:left w:val="none" w:sz="0" w:space="0" w:color="auto"/>
        <w:bottom w:val="none" w:sz="0" w:space="0" w:color="auto"/>
        <w:right w:val="none" w:sz="0" w:space="0" w:color="auto"/>
      </w:divBdr>
    </w:div>
    <w:div w:id="445349329">
      <w:bodyDiv w:val="1"/>
      <w:marLeft w:val="0"/>
      <w:marRight w:val="0"/>
      <w:marTop w:val="0"/>
      <w:marBottom w:val="0"/>
      <w:divBdr>
        <w:top w:val="none" w:sz="0" w:space="0" w:color="auto"/>
        <w:left w:val="none" w:sz="0" w:space="0" w:color="auto"/>
        <w:bottom w:val="none" w:sz="0" w:space="0" w:color="auto"/>
        <w:right w:val="none" w:sz="0" w:space="0" w:color="auto"/>
      </w:divBdr>
    </w:div>
    <w:div w:id="461339907">
      <w:bodyDiv w:val="1"/>
      <w:marLeft w:val="0"/>
      <w:marRight w:val="0"/>
      <w:marTop w:val="0"/>
      <w:marBottom w:val="0"/>
      <w:divBdr>
        <w:top w:val="none" w:sz="0" w:space="0" w:color="auto"/>
        <w:left w:val="none" w:sz="0" w:space="0" w:color="auto"/>
        <w:bottom w:val="none" w:sz="0" w:space="0" w:color="auto"/>
        <w:right w:val="none" w:sz="0" w:space="0" w:color="auto"/>
      </w:divBdr>
      <w:divsChild>
        <w:div w:id="1982536059">
          <w:marLeft w:val="0"/>
          <w:marRight w:val="0"/>
          <w:marTop w:val="0"/>
          <w:marBottom w:val="0"/>
          <w:divBdr>
            <w:top w:val="none" w:sz="0" w:space="0" w:color="auto"/>
            <w:left w:val="none" w:sz="0" w:space="0" w:color="auto"/>
            <w:bottom w:val="none" w:sz="0" w:space="0" w:color="auto"/>
            <w:right w:val="none" w:sz="0" w:space="0" w:color="auto"/>
          </w:divBdr>
          <w:divsChild>
            <w:div w:id="2022706307">
              <w:marLeft w:val="0"/>
              <w:marRight w:val="0"/>
              <w:marTop w:val="0"/>
              <w:marBottom w:val="0"/>
              <w:divBdr>
                <w:top w:val="none" w:sz="0" w:space="0" w:color="auto"/>
                <w:left w:val="none" w:sz="0" w:space="0" w:color="auto"/>
                <w:bottom w:val="none" w:sz="0" w:space="0" w:color="auto"/>
                <w:right w:val="none" w:sz="0" w:space="0" w:color="auto"/>
              </w:divBdr>
              <w:divsChild>
                <w:div w:id="894196165">
                  <w:marLeft w:val="0"/>
                  <w:marRight w:val="0"/>
                  <w:marTop w:val="0"/>
                  <w:marBottom w:val="0"/>
                  <w:divBdr>
                    <w:top w:val="none" w:sz="0" w:space="0" w:color="auto"/>
                    <w:left w:val="none" w:sz="0" w:space="0" w:color="auto"/>
                    <w:bottom w:val="none" w:sz="0" w:space="0" w:color="auto"/>
                    <w:right w:val="none" w:sz="0" w:space="0" w:color="auto"/>
                  </w:divBdr>
                  <w:divsChild>
                    <w:div w:id="38015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0680369">
      <w:bodyDiv w:val="1"/>
      <w:marLeft w:val="0"/>
      <w:marRight w:val="0"/>
      <w:marTop w:val="0"/>
      <w:marBottom w:val="0"/>
      <w:divBdr>
        <w:top w:val="none" w:sz="0" w:space="0" w:color="auto"/>
        <w:left w:val="none" w:sz="0" w:space="0" w:color="auto"/>
        <w:bottom w:val="none" w:sz="0" w:space="0" w:color="auto"/>
        <w:right w:val="none" w:sz="0" w:space="0" w:color="auto"/>
      </w:divBdr>
    </w:div>
    <w:div w:id="474681217">
      <w:bodyDiv w:val="1"/>
      <w:marLeft w:val="0"/>
      <w:marRight w:val="0"/>
      <w:marTop w:val="0"/>
      <w:marBottom w:val="0"/>
      <w:divBdr>
        <w:top w:val="none" w:sz="0" w:space="0" w:color="auto"/>
        <w:left w:val="none" w:sz="0" w:space="0" w:color="auto"/>
        <w:bottom w:val="none" w:sz="0" w:space="0" w:color="auto"/>
        <w:right w:val="none" w:sz="0" w:space="0" w:color="auto"/>
      </w:divBdr>
    </w:div>
    <w:div w:id="478150842">
      <w:bodyDiv w:val="1"/>
      <w:marLeft w:val="0"/>
      <w:marRight w:val="0"/>
      <w:marTop w:val="0"/>
      <w:marBottom w:val="0"/>
      <w:divBdr>
        <w:top w:val="none" w:sz="0" w:space="0" w:color="auto"/>
        <w:left w:val="none" w:sz="0" w:space="0" w:color="auto"/>
        <w:bottom w:val="none" w:sz="0" w:space="0" w:color="auto"/>
        <w:right w:val="none" w:sz="0" w:space="0" w:color="auto"/>
      </w:divBdr>
    </w:div>
    <w:div w:id="480733979">
      <w:bodyDiv w:val="1"/>
      <w:marLeft w:val="0"/>
      <w:marRight w:val="0"/>
      <w:marTop w:val="0"/>
      <w:marBottom w:val="0"/>
      <w:divBdr>
        <w:top w:val="none" w:sz="0" w:space="0" w:color="auto"/>
        <w:left w:val="none" w:sz="0" w:space="0" w:color="auto"/>
        <w:bottom w:val="none" w:sz="0" w:space="0" w:color="auto"/>
        <w:right w:val="none" w:sz="0" w:space="0" w:color="auto"/>
      </w:divBdr>
    </w:div>
    <w:div w:id="488137663">
      <w:bodyDiv w:val="1"/>
      <w:marLeft w:val="0"/>
      <w:marRight w:val="0"/>
      <w:marTop w:val="0"/>
      <w:marBottom w:val="0"/>
      <w:divBdr>
        <w:top w:val="none" w:sz="0" w:space="0" w:color="auto"/>
        <w:left w:val="none" w:sz="0" w:space="0" w:color="auto"/>
        <w:bottom w:val="none" w:sz="0" w:space="0" w:color="auto"/>
        <w:right w:val="none" w:sz="0" w:space="0" w:color="auto"/>
      </w:divBdr>
      <w:divsChild>
        <w:div w:id="173151323">
          <w:marLeft w:val="0"/>
          <w:marRight w:val="0"/>
          <w:marTop w:val="0"/>
          <w:marBottom w:val="0"/>
          <w:divBdr>
            <w:top w:val="none" w:sz="0" w:space="0" w:color="auto"/>
            <w:left w:val="none" w:sz="0" w:space="0" w:color="auto"/>
            <w:bottom w:val="none" w:sz="0" w:space="0" w:color="auto"/>
            <w:right w:val="none" w:sz="0" w:space="0" w:color="auto"/>
          </w:divBdr>
          <w:divsChild>
            <w:div w:id="1997612402">
              <w:marLeft w:val="0"/>
              <w:marRight w:val="0"/>
              <w:marTop w:val="0"/>
              <w:marBottom w:val="0"/>
              <w:divBdr>
                <w:top w:val="none" w:sz="0" w:space="0" w:color="auto"/>
                <w:left w:val="none" w:sz="0" w:space="0" w:color="auto"/>
                <w:bottom w:val="none" w:sz="0" w:space="0" w:color="auto"/>
                <w:right w:val="none" w:sz="0" w:space="0" w:color="auto"/>
              </w:divBdr>
              <w:divsChild>
                <w:div w:id="1496068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325819">
          <w:marLeft w:val="0"/>
          <w:marRight w:val="0"/>
          <w:marTop w:val="0"/>
          <w:marBottom w:val="0"/>
          <w:divBdr>
            <w:top w:val="none" w:sz="0" w:space="0" w:color="auto"/>
            <w:left w:val="none" w:sz="0" w:space="0" w:color="auto"/>
            <w:bottom w:val="none" w:sz="0" w:space="0" w:color="auto"/>
            <w:right w:val="none" w:sz="0" w:space="0" w:color="auto"/>
          </w:divBdr>
          <w:divsChild>
            <w:div w:id="526329996">
              <w:marLeft w:val="0"/>
              <w:marRight w:val="0"/>
              <w:marTop w:val="0"/>
              <w:marBottom w:val="0"/>
              <w:divBdr>
                <w:top w:val="none" w:sz="0" w:space="0" w:color="auto"/>
                <w:left w:val="none" w:sz="0" w:space="0" w:color="auto"/>
                <w:bottom w:val="none" w:sz="0" w:space="0" w:color="auto"/>
                <w:right w:val="none" w:sz="0" w:space="0" w:color="auto"/>
              </w:divBdr>
              <w:divsChild>
                <w:div w:id="52779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04751">
          <w:marLeft w:val="0"/>
          <w:marRight w:val="0"/>
          <w:marTop w:val="0"/>
          <w:marBottom w:val="0"/>
          <w:divBdr>
            <w:top w:val="none" w:sz="0" w:space="0" w:color="auto"/>
            <w:left w:val="none" w:sz="0" w:space="0" w:color="auto"/>
            <w:bottom w:val="none" w:sz="0" w:space="0" w:color="auto"/>
            <w:right w:val="none" w:sz="0" w:space="0" w:color="auto"/>
          </w:divBdr>
          <w:divsChild>
            <w:div w:id="1757092539">
              <w:marLeft w:val="0"/>
              <w:marRight w:val="0"/>
              <w:marTop w:val="0"/>
              <w:marBottom w:val="0"/>
              <w:divBdr>
                <w:top w:val="none" w:sz="0" w:space="0" w:color="auto"/>
                <w:left w:val="none" w:sz="0" w:space="0" w:color="auto"/>
                <w:bottom w:val="none" w:sz="0" w:space="0" w:color="auto"/>
                <w:right w:val="none" w:sz="0" w:space="0" w:color="auto"/>
              </w:divBdr>
              <w:divsChild>
                <w:div w:id="905916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3641010">
      <w:bodyDiv w:val="1"/>
      <w:marLeft w:val="0"/>
      <w:marRight w:val="0"/>
      <w:marTop w:val="0"/>
      <w:marBottom w:val="0"/>
      <w:divBdr>
        <w:top w:val="none" w:sz="0" w:space="0" w:color="auto"/>
        <w:left w:val="none" w:sz="0" w:space="0" w:color="auto"/>
        <w:bottom w:val="none" w:sz="0" w:space="0" w:color="auto"/>
        <w:right w:val="none" w:sz="0" w:space="0" w:color="auto"/>
      </w:divBdr>
      <w:divsChild>
        <w:div w:id="2075425971">
          <w:marLeft w:val="0"/>
          <w:marRight w:val="0"/>
          <w:marTop w:val="0"/>
          <w:marBottom w:val="0"/>
          <w:divBdr>
            <w:top w:val="none" w:sz="0" w:space="0" w:color="auto"/>
            <w:left w:val="none" w:sz="0" w:space="0" w:color="auto"/>
            <w:bottom w:val="none" w:sz="0" w:space="0" w:color="auto"/>
            <w:right w:val="none" w:sz="0" w:space="0" w:color="auto"/>
          </w:divBdr>
          <w:divsChild>
            <w:div w:id="205337403">
              <w:marLeft w:val="0"/>
              <w:marRight w:val="0"/>
              <w:marTop w:val="0"/>
              <w:marBottom w:val="0"/>
              <w:divBdr>
                <w:top w:val="none" w:sz="0" w:space="0" w:color="auto"/>
                <w:left w:val="none" w:sz="0" w:space="0" w:color="auto"/>
                <w:bottom w:val="none" w:sz="0" w:space="0" w:color="auto"/>
                <w:right w:val="none" w:sz="0" w:space="0" w:color="auto"/>
              </w:divBdr>
              <w:divsChild>
                <w:div w:id="1457597653">
                  <w:marLeft w:val="0"/>
                  <w:marRight w:val="0"/>
                  <w:marTop w:val="0"/>
                  <w:marBottom w:val="0"/>
                  <w:divBdr>
                    <w:top w:val="none" w:sz="0" w:space="0" w:color="auto"/>
                    <w:left w:val="none" w:sz="0" w:space="0" w:color="auto"/>
                    <w:bottom w:val="none" w:sz="0" w:space="0" w:color="auto"/>
                    <w:right w:val="none" w:sz="0" w:space="0" w:color="auto"/>
                  </w:divBdr>
                  <w:divsChild>
                    <w:div w:id="1452169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9274498">
      <w:bodyDiv w:val="1"/>
      <w:marLeft w:val="0"/>
      <w:marRight w:val="0"/>
      <w:marTop w:val="0"/>
      <w:marBottom w:val="0"/>
      <w:divBdr>
        <w:top w:val="none" w:sz="0" w:space="0" w:color="auto"/>
        <w:left w:val="none" w:sz="0" w:space="0" w:color="auto"/>
        <w:bottom w:val="none" w:sz="0" w:space="0" w:color="auto"/>
        <w:right w:val="none" w:sz="0" w:space="0" w:color="auto"/>
      </w:divBdr>
    </w:div>
    <w:div w:id="503477703">
      <w:bodyDiv w:val="1"/>
      <w:marLeft w:val="0"/>
      <w:marRight w:val="0"/>
      <w:marTop w:val="0"/>
      <w:marBottom w:val="0"/>
      <w:divBdr>
        <w:top w:val="none" w:sz="0" w:space="0" w:color="auto"/>
        <w:left w:val="none" w:sz="0" w:space="0" w:color="auto"/>
        <w:bottom w:val="none" w:sz="0" w:space="0" w:color="auto"/>
        <w:right w:val="none" w:sz="0" w:space="0" w:color="auto"/>
      </w:divBdr>
      <w:divsChild>
        <w:div w:id="1621301682">
          <w:marLeft w:val="0"/>
          <w:marRight w:val="0"/>
          <w:marTop w:val="0"/>
          <w:marBottom w:val="0"/>
          <w:divBdr>
            <w:top w:val="none" w:sz="0" w:space="0" w:color="auto"/>
            <w:left w:val="none" w:sz="0" w:space="0" w:color="auto"/>
            <w:bottom w:val="none" w:sz="0" w:space="0" w:color="auto"/>
            <w:right w:val="none" w:sz="0" w:space="0" w:color="auto"/>
          </w:divBdr>
        </w:div>
        <w:div w:id="1260329733">
          <w:marLeft w:val="0"/>
          <w:marRight w:val="0"/>
          <w:marTop w:val="0"/>
          <w:marBottom w:val="0"/>
          <w:divBdr>
            <w:top w:val="none" w:sz="0" w:space="0" w:color="auto"/>
            <w:left w:val="none" w:sz="0" w:space="0" w:color="auto"/>
            <w:bottom w:val="none" w:sz="0" w:space="0" w:color="auto"/>
            <w:right w:val="none" w:sz="0" w:space="0" w:color="auto"/>
          </w:divBdr>
        </w:div>
        <w:div w:id="782308504">
          <w:marLeft w:val="0"/>
          <w:marRight w:val="0"/>
          <w:marTop w:val="0"/>
          <w:marBottom w:val="0"/>
          <w:divBdr>
            <w:top w:val="none" w:sz="0" w:space="0" w:color="auto"/>
            <w:left w:val="none" w:sz="0" w:space="0" w:color="auto"/>
            <w:bottom w:val="none" w:sz="0" w:space="0" w:color="auto"/>
            <w:right w:val="none" w:sz="0" w:space="0" w:color="auto"/>
          </w:divBdr>
        </w:div>
        <w:div w:id="431245799">
          <w:marLeft w:val="0"/>
          <w:marRight w:val="0"/>
          <w:marTop w:val="0"/>
          <w:marBottom w:val="0"/>
          <w:divBdr>
            <w:top w:val="none" w:sz="0" w:space="0" w:color="auto"/>
            <w:left w:val="none" w:sz="0" w:space="0" w:color="auto"/>
            <w:bottom w:val="none" w:sz="0" w:space="0" w:color="auto"/>
            <w:right w:val="none" w:sz="0" w:space="0" w:color="auto"/>
          </w:divBdr>
        </w:div>
        <w:div w:id="1074623503">
          <w:marLeft w:val="0"/>
          <w:marRight w:val="0"/>
          <w:marTop w:val="0"/>
          <w:marBottom w:val="0"/>
          <w:divBdr>
            <w:top w:val="none" w:sz="0" w:space="0" w:color="auto"/>
            <w:left w:val="none" w:sz="0" w:space="0" w:color="auto"/>
            <w:bottom w:val="none" w:sz="0" w:space="0" w:color="auto"/>
            <w:right w:val="none" w:sz="0" w:space="0" w:color="auto"/>
          </w:divBdr>
        </w:div>
        <w:div w:id="13383649">
          <w:marLeft w:val="0"/>
          <w:marRight w:val="0"/>
          <w:marTop w:val="0"/>
          <w:marBottom w:val="0"/>
          <w:divBdr>
            <w:top w:val="none" w:sz="0" w:space="0" w:color="auto"/>
            <w:left w:val="none" w:sz="0" w:space="0" w:color="auto"/>
            <w:bottom w:val="none" w:sz="0" w:space="0" w:color="auto"/>
            <w:right w:val="none" w:sz="0" w:space="0" w:color="auto"/>
          </w:divBdr>
        </w:div>
        <w:div w:id="1382483288">
          <w:marLeft w:val="0"/>
          <w:marRight w:val="0"/>
          <w:marTop w:val="0"/>
          <w:marBottom w:val="0"/>
          <w:divBdr>
            <w:top w:val="none" w:sz="0" w:space="0" w:color="auto"/>
            <w:left w:val="none" w:sz="0" w:space="0" w:color="auto"/>
            <w:bottom w:val="none" w:sz="0" w:space="0" w:color="auto"/>
            <w:right w:val="none" w:sz="0" w:space="0" w:color="auto"/>
          </w:divBdr>
        </w:div>
        <w:div w:id="266305046">
          <w:marLeft w:val="0"/>
          <w:marRight w:val="0"/>
          <w:marTop w:val="0"/>
          <w:marBottom w:val="0"/>
          <w:divBdr>
            <w:top w:val="none" w:sz="0" w:space="0" w:color="auto"/>
            <w:left w:val="none" w:sz="0" w:space="0" w:color="auto"/>
            <w:bottom w:val="none" w:sz="0" w:space="0" w:color="auto"/>
            <w:right w:val="none" w:sz="0" w:space="0" w:color="auto"/>
          </w:divBdr>
        </w:div>
        <w:div w:id="1387794770">
          <w:marLeft w:val="0"/>
          <w:marRight w:val="0"/>
          <w:marTop w:val="0"/>
          <w:marBottom w:val="0"/>
          <w:divBdr>
            <w:top w:val="none" w:sz="0" w:space="0" w:color="auto"/>
            <w:left w:val="none" w:sz="0" w:space="0" w:color="auto"/>
            <w:bottom w:val="none" w:sz="0" w:space="0" w:color="auto"/>
            <w:right w:val="none" w:sz="0" w:space="0" w:color="auto"/>
          </w:divBdr>
        </w:div>
        <w:div w:id="134836591">
          <w:marLeft w:val="0"/>
          <w:marRight w:val="0"/>
          <w:marTop w:val="0"/>
          <w:marBottom w:val="0"/>
          <w:divBdr>
            <w:top w:val="none" w:sz="0" w:space="0" w:color="auto"/>
            <w:left w:val="none" w:sz="0" w:space="0" w:color="auto"/>
            <w:bottom w:val="none" w:sz="0" w:space="0" w:color="auto"/>
            <w:right w:val="none" w:sz="0" w:space="0" w:color="auto"/>
          </w:divBdr>
        </w:div>
        <w:div w:id="1592815413">
          <w:marLeft w:val="0"/>
          <w:marRight w:val="0"/>
          <w:marTop w:val="0"/>
          <w:marBottom w:val="0"/>
          <w:divBdr>
            <w:top w:val="none" w:sz="0" w:space="0" w:color="auto"/>
            <w:left w:val="none" w:sz="0" w:space="0" w:color="auto"/>
            <w:bottom w:val="none" w:sz="0" w:space="0" w:color="auto"/>
            <w:right w:val="none" w:sz="0" w:space="0" w:color="auto"/>
          </w:divBdr>
        </w:div>
        <w:div w:id="1658653047">
          <w:marLeft w:val="0"/>
          <w:marRight w:val="0"/>
          <w:marTop w:val="0"/>
          <w:marBottom w:val="0"/>
          <w:divBdr>
            <w:top w:val="none" w:sz="0" w:space="0" w:color="auto"/>
            <w:left w:val="none" w:sz="0" w:space="0" w:color="auto"/>
            <w:bottom w:val="none" w:sz="0" w:space="0" w:color="auto"/>
            <w:right w:val="none" w:sz="0" w:space="0" w:color="auto"/>
          </w:divBdr>
          <w:divsChild>
            <w:div w:id="1518734532">
              <w:marLeft w:val="0"/>
              <w:marRight w:val="0"/>
              <w:marTop w:val="0"/>
              <w:marBottom w:val="0"/>
              <w:divBdr>
                <w:top w:val="none" w:sz="0" w:space="0" w:color="auto"/>
                <w:left w:val="none" w:sz="0" w:space="0" w:color="auto"/>
                <w:bottom w:val="none" w:sz="0" w:space="0" w:color="auto"/>
                <w:right w:val="none" w:sz="0" w:space="0" w:color="auto"/>
              </w:divBdr>
            </w:div>
            <w:div w:id="1074164726">
              <w:marLeft w:val="0"/>
              <w:marRight w:val="0"/>
              <w:marTop w:val="0"/>
              <w:marBottom w:val="0"/>
              <w:divBdr>
                <w:top w:val="none" w:sz="0" w:space="0" w:color="auto"/>
                <w:left w:val="none" w:sz="0" w:space="0" w:color="auto"/>
                <w:bottom w:val="none" w:sz="0" w:space="0" w:color="auto"/>
                <w:right w:val="none" w:sz="0" w:space="0" w:color="auto"/>
              </w:divBdr>
            </w:div>
            <w:div w:id="1446727815">
              <w:marLeft w:val="0"/>
              <w:marRight w:val="0"/>
              <w:marTop w:val="0"/>
              <w:marBottom w:val="0"/>
              <w:divBdr>
                <w:top w:val="none" w:sz="0" w:space="0" w:color="auto"/>
                <w:left w:val="none" w:sz="0" w:space="0" w:color="auto"/>
                <w:bottom w:val="none" w:sz="0" w:space="0" w:color="auto"/>
                <w:right w:val="none" w:sz="0" w:space="0" w:color="auto"/>
              </w:divBdr>
            </w:div>
            <w:div w:id="1541358686">
              <w:marLeft w:val="0"/>
              <w:marRight w:val="0"/>
              <w:marTop w:val="0"/>
              <w:marBottom w:val="0"/>
              <w:divBdr>
                <w:top w:val="none" w:sz="0" w:space="0" w:color="auto"/>
                <w:left w:val="none" w:sz="0" w:space="0" w:color="auto"/>
                <w:bottom w:val="none" w:sz="0" w:space="0" w:color="auto"/>
                <w:right w:val="none" w:sz="0" w:space="0" w:color="auto"/>
              </w:divBdr>
            </w:div>
            <w:div w:id="1401363937">
              <w:marLeft w:val="0"/>
              <w:marRight w:val="0"/>
              <w:marTop w:val="0"/>
              <w:marBottom w:val="0"/>
              <w:divBdr>
                <w:top w:val="none" w:sz="0" w:space="0" w:color="auto"/>
                <w:left w:val="none" w:sz="0" w:space="0" w:color="auto"/>
                <w:bottom w:val="none" w:sz="0" w:space="0" w:color="auto"/>
                <w:right w:val="none" w:sz="0" w:space="0" w:color="auto"/>
              </w:divBdr>
            </w:div>
            <w:div w:id="1163861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948642">
      <w:bodyDiv w:val="1"/>
      <w:marLeft w:val="0"/>
      <w:marRight w:val="0"/>
      <w:marTop w:val="0"/>
      <w:marBottom w:val="0"/>
      <w:divBdr>
        <w:top w:val="none" w:sz="0" w:space="0" w:color="auto"/>
        <w:left w:val="none" w:sz="0" w:space="0" w:color="auto"/>
        <w:bottom w:val="none" w:sz="0" w:space="0" w:color="auto"/>
        <w:right w:val="none" w:sz="0" w:space="0" w:color="auto"/>
      </w:divBdr>
      <w:divsChild>
        <w:div w:id="819537707">
          <w:marLeft w:val="0"/>
          <w:marRight w:val="0"/>
          <w:marTop w:val="0"/>
          <w:marBottom w:val="0"/>
          <w:divBdr>
            <w:top w:val="none" w:sz="0" w:space="0" w:color="auto"/>
            <w:left w:val="none" w:sz="0" w:space="0" w:color="auto"/>
            <w:bottom w:val="none" w:sz="0" w:space="0" w:color="auto"/>
            <w:right w:val="none" w:sz="0" w:space="0" w:color="auto"/>
          </w:divBdr>
          <w:divsChild>
            <w:div w:id="1409890136">
              <w:marLeft w:val="0"/>
              <w:marRight w:val="0"/>
              <w:marTop w:val="0"/>
              <w:marBottom w:val="0"/>
              <w:divBdr>
                <w:top w:val="none" w:sz="0" w:space="0" w:color="auto"/>
                <w:left w:val="none" w:sz="0" w:space="0" w:color="auto"/>
                <w:bottom w:val="none" w:sz="0" w:space="0" w:color="auto"/>
                <w:right w:val="none" w:sz="0" w:space="0" w:color="auto"/>
              </w:divBdr>
              <w:divsChild>
                <w:div w:id="69195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563369">
      <w:bodyDiv w:val="1"/>
      <w:marLeft w:val="0"/>
      <w:marRight w:val="0"/>
      <w:marTop w:val="0"/>
      <w:marBottom w:val="0"/>
      <w:divBdr>
        <w:top w:val="none" w:sz="0" w:space="0" w:color="auto"/>
        <w:left w:val="none" w:sz="0" w:space="0" w:color="auto"/>
        <w:bottom w:val="none" w:sz="0" w:space="0" w:color="auto"/>
        <w:right w:val="none" w:sz="0" w:space="0" w:color="auto"/>
      </w:divBdr>
    </w:div>
    <w:div w:id="512232293">
      <w:bodyDiv w:val="1"/>
      <w:marLeft w:val="0"/>
      <w:marRight w:val="0"/>
      <w:marTop w:val="0"/>
      <w:marBottom w:val="0"/>
      <w:divBdr>
        <w:top w:val="none" w:sz="0" w:space="0" w:color="auto"/>
        <w:left w:val="none" w:sz="0" w:space="0" w:color="auto"/>
        <w:bottom w:val="none" w:sz="0" w:space="0" w:color="auto"/>
        <w:right w:val="none" w:sz="0" w:space="0" w:color="auto"/>
      </w:divBdr>
    </w:div>
    <w:div w:id="512846565">
      <w:bodyDiv w:val="1"/>
      <w:marLeft w:val="0"/>
      <w:marRight w:val="0"/>
      <w:marTop w:val="0"/>
      <w:marBottom w:val="0"/>
      <w:divBdr>
        <w:top w:val="none" w:sz="0" w:space="0" w:color="auto"/>
        <w:left w:val="none" w:sz="0" w:space="0" w:color="auto"/>
        <w:bottom w:val="none" w:sz="0" w:space="0" w:color="auto"/>
        <w:right w:val="none" w:sz="0" w:space="0" w:color="auto"/>
      </w:divBdr>
    </w:div>
    <w:div w:id="512959422">
      <w:bodyDiv w:val="1"/>
      <w:marLeft w:val="0"/>
      <w:marRight w:val="0"/>
      <w:marTop w:val="0"/>
      <w:marBottom w:val="0"/>
      <w:divBdr>
        <w:top w:val="none" w:sz="0" w:space="0" w:color="auto"/>
        <w:left w:val="none" w:sz="0" w:space="0" w:color="auto"/>
        <w:bottom w:val="none" w:sz="0" w:space="0" w:color="auto"/>
        <w:right w:val="none" w:sz="0" w:space="0" w:color="auto"/>
      </w:divBdr>
    </w:div>
    <w:div w:id="519860012">
      <w:bodyDiv w:val="1"/>
      <w:marLeft w:val="0"/>
      <w:marRight w:val="0"/>
      <w:marTop w:val="0"/>
      <w:marBottom w:val="0"/>
      <w:divBdr>
        <w:top w:val="none" w:sz="0" w:space="0" w:color="auto"/>
        <w:left w:val="none" w:sz="0" w:space="0" w:color="auto"/>
        <w:bottom w:val="none" w:sz="0" w:space="0" w:color="auto"/>
        <w:right w:val="none" w:sz="0" w:space="0" w:color="auto"/>
      </w:divBdr>
      <w:divsChild>
        <w:div w:id="935869752">
          <w:marLeft w:val="0"/>
          <w:marRight w:val="0"/>
          <w:marTop w:val="0"/>
          <w:marBottom w:val="0"/>
          <w:divBdr>
            <w:top w:val="none" w:sz="0" w:space="0" w:color="auto"/>
            <w:left w:val="none" w:sz="0" w:space="0" w:color="auto"/>
            <w:bottom w:val="none" w:sz="0" w:space="0" w:color="auto"/>
            <w:right w:val="none" w:sz="0" w:space="0" w:color="auto"/>
          </w:divBdr>
          <w:divsChild>
            <w:div w:id="1469087117">
              <w:marLeft w:val="0"/>
              <w:marRight w:val="0"/>
              <w:marTop w:val="0"/>
              <w:marBottom w:val="0"/>
              <w:divBdr>
                <w:top w:val="none" w:sz="0" w:space="0" w:color="auto"/>
                <w:left w:val="none" w:sz="0" w:space="0" w:color="auto"/>
                <w:bottom w:val="none" w:sz="0" w:space="0" w:color="auto"/>
                <w:right w:val="none" w:sz="0" w:space="0" w:color="auto"/>
              </w:divBdr>
              <w:divsChild>
                <w:div w:id="1080370908">
                  <w:marLeft w:val="0"/>
                  <w:marRight w:val="0"/>
                  <w:marTop w:val="0"/>
                  <w:marBottom w:val="0"/>
                  <w:divBdr>
                    <w:top w:val="none" w:sz="0" w:space="0" w:color="auto"/>
                    <w:left w:val="none" w:sz="0" w:space="0" w:color="auto"/>
                    <w:bottom w:val="none" w:sz="0" w:space="0" w:color="auto"/>
                    <w:right w:val="none" w:sz="0" w:space="0" w:color="auto"/>
                  </w:divBdr>
                  <w:divsChild>
                    <w:div w:id="1690063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3522132">
      <w:bodyDiv w:val="1"/>
      <w:marLeft w:val="0"/>
      <w:marRight w:val="0"/>
      <w:marTop w:val="0"/>
      <w:marBottom w:val="0"/>
      <w:divBdr>
        <w:top w:val="none" w:sz="0" w:space="0" w:color="auto"/>
        <w:left w:val="none" w:sz="0" w:space="0" w:color="auto"/>
        <w:bottom w:val="none" w:sz="0" w:space="0" w:color="auto"/>
        <w:right w:val="none" w:sz="0" w:space="0" w:color="auto"/>
      </w:divBdr>
      <w:divsChild>
        <w:div w:id="2082553411">
          <w:marLeft w:val="0"/>
          <w:marRight w:val="0"/>
          <w:marTop w:val="0"/>
          <w:marBottom w:val="0"/>
          <w:divBdr>
            <w:top w:val="none" w:sz="0" w:space="0" w:color="auto"/>
            <w:left w:val="none" w:sz="0" w:space="0" w:color="auto"/>
            <w:bottom w:val="none" w:sz="0" w:space="0" w:color="auto"/>
            <w:right w:val="none" w:sz="0" w:space="0" w:color="auto"/>
          </w:divBdr>
          <w:divsChild>
            <w:div w:id="1893226138">
              <w:marLeft w:val="0"/>
              <w:marRight w:val="0"/>
              <w:marTop w:val="0"/>
              <w:marBottom w:val="0"/>
              <w:divBdr>
                <w:top w:val="none" w:sz="0" w:space="0" w:color="auto"/>
                <w:left w:val="none" w:sz="0" w:space="0" w:color="auto"/>
                <w:bottom w:val="none" w:sz="0" w:space="0" w:color="auto"/>
                <w:right w:val="none" w:sz="0" w:space="0" w:color="auto"/>
              </w:divBdr>
              <w:divsChild>
                <w:div w:id="108862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212153">
      <w:bodyDiv w:val="1"/>
      <w:marLeft w:val="0"/>
      <w:marRight w:val="0"/>
      <w:marTop w:val="0"/>
      <w:marBottom w:val="0"/>
      <w:divBdr>
        <w:top w:val="none" w:sz="0" w:space="0" w:color="auto"/>
        <w:left w:val="none" w:sz="0" w:space="0" w:color="auto"/>
        <w:bottom w:val="none" w:sz="0" w:space="0" w:color="auto"/>
        <w:right w:val="none" w:sz="0" w:space="0" w:color="auto"/>
      </w:divBdr>
      <w:divsChild>
        <w:div w:id="1701324343">
          <w:marLeft w:val="0"/>
          <w:marRight w:val="0"/>
          <w:marTop w:val="0"/>
          <w:marBottom w:val="0"/>
          <w:divBdr>
            <w:top w:val="none" w:sz="0" w:space="0" w:color="auto"/>
            <w:left w:val="none" w:sz="0" w:space="0" w:color="auto"/>
            <w:bottom w:val="none" w:sz="0" w:space="0" w:color="auto"/>
            <w:right w:val="none" w:sz="0" w:space="0" w:color="auto"/>
          </w:divBdr>
        </w:div>
        <w:div w:id="939409035">
          <w:marLeft w:val="0"/>
          <w:marRight w:val="0"/>
          <w:marTop w:val="0"/>
          <w:marBottom w:val="0"/>
          <w:divBdr>
            <w:top w:val="none" w:sz="0" w:space="0" w:color="auto"/>
            <w:left w:val="none" w:sz="0" w:space="0" w:color="auto"/>
            <w:bottom w:val="none" w:sz="0" w:space="0" w:color="auto"/>
            <w:right w:val="none" w:sz="0" w:space="0" w:color="auto"/>
          </w:divBdr>
          <w:divsChild>
            <w:div w:id="705133314">
              <w:marLeft w:val="0"/>
              <w:marRight w:val="0"/>
              <w:marTop w:val="0"/>
              <w:marBottom w:val="0"/>
              <w:divBdr>
                <w:top w:val="none" w:sz="0" w:space="0" w:color="auto"/>
                <w:left w:val="none" w:sz="0" w:space="0" w:color="auto"/>
                <w:bottom w:val="none" w:sz="0" w:space="0" w:color="auto"/>
                <w:right w:val="none" w:sz="0" w:space="0" w:color="auto"/>
              </w:divBdr>
            </w:div>
          </w:divsChild>
        </w:div>
        <w:div w:id="1115977753">
          <w:marLeft w:val="0"/>
          <w:marRight w:val="0"/>
          <w:marTop w:val="0"/>
          <w:marBottom w:val="0"/>
          <w:divBdr>
            <w:top w:val="none" w:sz="0" w:space="0" w:color="auto"/>
            <w:left w:val="none" w:sz="0" w:space="0" w:color="auto"/>
            <w:bottom w:val="none" w:sz="0" w:space="0" w:color="auto"/>
            <w:right w:val="none" w:sz="0" w:space="0" w:color="auto"/>
          </w:divBdr>
          <w:divsChild>
            <w:div w:id="1978945567">
              <w:marLeft w:val="0"/>
              <w:marRight w:val="0"/>
              <w:marTop w:val="0"/>
              <w:marBottom w:val="0"/>
              <w:divBdr>
                <w:top w:val="none" w:sz="0" w:space="0" w:color="auto"/>
                <w:left w:val="none" w:sz="0" w:space="0" w:color="auto"/>
                <w:bottom w:val="none" w:sz="0" w:space="0" w:color="auto"/>
                <w:right w:val="none" w:sz="0" w:space="0" w:color="auto"/>
              </w:divBdr>
            </w:div>
          </w:divsChild>
        </w:div>
        <w:div w:id="1854880431">
          <w:marLeft w:val="0"/>
          <w:marRight w:val="0"/>
          <w:marTop w:val="0"/>
          <w:marBottom w:val="0"/>
          <w:divBdr>
            <w:top w:val="none" w:sz="0" w:space="0" w:color="auto"/>
            <w:left w:val="none" w:sz="0" w:space="0" w:color="auto"/>
            <w:bottom w:val="none" w:sz="0" w:space="0" w:color="auto"/>
            <w:right w:val="none" w:sz="0" w:space="0" w:color="auto"/>
          </w:divBdr>
          <w:divsChild>
            <w:div w:id="2146005046">
              <w:marLeft w:val="0"/>
              <w:marRight w:val="0"/>
              <w:marTop w:val="0"/>
              <w:marBottom w:val="0"/>
              <w:divBdr>
                <w:top w:val="none" w:sz="0" w:space="0" w:color="auto"/>
                <w:left w:val="none" w:sz="0" w:space="0" w:color="auto"/>
                <w:bottom w:val="none" w:sz="0" w:space="0" w:color="auto"/>
                <w:right w:val="none" w:sz="0" w:space="0" w:color="auto"/>
              </w:divBdr>
            </w:div>
          </w:divsChild>
        </w:div>
        <w:div w:id="45107511">
          <w:marLeft w:val="0"/>
          <w:marRight w:val="0"/>
          <w:marTop w:val="0"/>
          <w:marBottom w:val="0"/>
          <w:divBdr>
            <w:top w:val="none" w:sz="0" w:space="0" w:color="auto"/>
            <w:left w:val="none" w:sz="0" w:space="0" w:color="auto"/>
            <w:bottom w:val="none" w:sz="0" w:space="0" w:color="auto"/>
            <w:right w:val="none" w:sz="0" w:space="0" w:color="auto"/>
          </w:divBdr>
          <w:divsChild>
            <w:div w:id="1398819625">
              <w:marLeft w:val="0"/>
              <w:marRight w:val="0"/>
              <w:marTop w:val="0"/>
              <w:marBottom w:val="0"/>
              <w:divBdr>
                <w:top w:val="none" w:sz="0" w:space="0" w:color="auto"/>
                <w:left w:val="none" w:sz="0" w:space="0" w:color="auto"/>
                <w:bottom w:val="none" w:sz="0" w:space="0" w:color="auto"/>
                <w:right w:val="none" w:sz="0" w:space="0" w:color="auto"/>
              </w:divBdr>
            </w:div>
          </w:divsChild>
        </w:div>
        <w:div w:id="300186750">
          <w:marLeft w:val="0"/>
          <w:marRight w:val="0"/>
          <w:marTop w:val="0"/>
          <w:marBottom w:val="0"/>
          <w:divBdr>
            <w:top w:val="none" w:sz="0" w:space="0" w:color="auto"/>
            <w:left w:val="none" w:sz="0" w:space="0" w:color="auto"/>
            <w:bottom w:val="none" w:sz="0" w:space="0" w:color="auto"/>
            <w:right w:val="none" w:sz="0" w:space="0" w:color="auto"/>
          </w:divBdr>
          <w:divsChild>
            <w:div w:id="1866674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8228779">
      <w:bodyDiv w:val="1"/>
      <w:marLeft w:val="0"/>
      <w:marRight w:val="0"/>
      <w:marTop w:val="0"/>
      <w:marBottom w:val="0"/>
      <w:divBdr>
        <w:top w:val="none" w:sz="0" w:space="0" w:color="auto"/>
        <w:left w:val="none" w:sz="0" w:space="0" w:color="auto"/>
        <w:bottom w:val="none" w:sz="0" w:space="0" w:color="auto"/>
        <w:right w:val="none" w:sz="0" w:space="0" w:color="auto"/>
      </w:divBdr>
    </w:div>
    <w:div w:id="536508678">
      <w:bodyDiv w:val="1"/>
      <w:marLeft w:val="0"/>
      <w:marRight w:val="0"/>
      <w:marTop w:val="0"/>
      <w:marBottom w:val="0"/>
      <w:divBdr>
        <w:top w:val="none" w:sz="0" w:space="0" w:color="auto"/>
        <w:left w:val="none" w:sz="0" w:space="0" w:color="auto"/>
        <w:bottom w:val="none" w:sz="0" w:space="0" w:color="auto"/>
        <w:right w:val="none" w:sz="0" w:space="0" w:color="auto"/>
      </w:divBdr>
    </w:div>
    <w:div w:id="542449049">
      <w:bodyDiv w:val="1"/>
      <w:marLeft w:val="0"/>
      <w:marRight w:val="0"/>
      <w:marTop w:val="0"/>
      <w:marBottom w:val="0"/>
      <w:divBdr>
        <w:top w:val="none" w:sz="0" w:space="0" w:color="auto"/>
        <w:left w:val="none" w:sz="0" w:space="0" w:color="auto"/>
        <w:bottom w:val="none" w:sz="0" w:space="0" w:color="auto"/>
        <w:right w:val="none" w:sz="0" w:space="0" w:color="auto"/>
      </w:divBdr>
    </w:div>
    <w:div w:id="548765488">
      <w:bodyDiv w:val="1"/>
      <w:marLeft w:val="0"/>
      <w:marRight w:val="0"/>
      <w:marTop w:val="0"/>
      <w:marBottom w:val="0"/>
      <w:divBdr>
        <w:top w:val="none" w:sz="0" w:space="0" w:color="auto"/>
        <w:left w:val="none" w:sz="0" w:space="0" w:color="auto"/>
        <w:bottom w:val="none" w:sz="0" w:space="0" w:color="auto"/>
        <w:right w:val="none" w:sz="0" w:space="0" w:color="auto"/>
      </w:divBdr>
    </w:div>
    <w:div w:id="550195590">
      <w:bodyDiv w:val="1"/>
      <w:marLeft w:val="0"/>
      <w:marRight w:val="0"/>
      <w:marTop w:val="0"/>
      <w:marBottom w:val="0"/>
      <w:divBdr>
        <w:top w:val="none" w:sz="0" w:space="0" w:color="auto"/>
        <w:left w:val="none" w:sz="0" w:space="0" w:color="auto"/>
        <w:bottom w:val="none" w:sz="0" w:space="0" w:color="auto"/>
        <w:right w:val="none" w:sz="0" w:space="0" w:color="auto"/>
      </w:divBdr>
    </w:div>
    <w:div w:id="555747437">
      <w:bodyDiv w:val="1"/>
      <w:marLeft w:val="0"/>
      <w:marRight w:val="0"/>
      <w:marTop w:val="0"/>
      <w:marBottom w:val="0"/>
      <w:divBdr>
        <w:top w:val="none" w:sz="0" w:space="0" w:color="auto"/>
        <w:left w:val="none" w:sz="0" w:space="0" w:color="auto"/>
        <w:bottom w:val="none" w:sz="0" w:space="0" w:color="auto"/>
        <w:right w:val="none" w:sz="0" w:space="0" w:color="auto"/>
      </w:divBdr>
    </w:div>
    <w:div w:id="559361122">
      <w:bodyDiv w:val="1"/>
      <w:marLeft w:val="0"/>
      <w:marRight w:val="0"/>
      <w:marTop w:val="0"/>
      <w:marBottom w:val="0"/>
      <w:divBdr>
        <w:top w:val="none" w:sz="0" w:space="0" w:color="auto"/>
        <w:left w:val="none" w:sz="0" w:space="0" w:color="auto"/>
        <w:bottom w:val="none" w:sz="0" w:space="0" w:color="auto"/>
        <w:right w:val="none" w:sz="0" w:space="0" w:color="auto"/>
      </w:divBdr>
    </w:div>
    <w:div w:id="564877999">
      <w:bodyDiv w:val="1"/>
      <w:marLeft w:val="0"/>
      <w:marRight w:val="0"/>
      <w:marTop w:val="0"/>
      <w:marBottom w:val="0"/>
      <w:divBdr>
        <w:top w:val="none" w:sz="0" w:space="0" w:color="auto"/>
        <w:left w:val="none" w:sz="0" w:space="0" w:color="auto"/>
        <w:bottom w:val="none" w:sz="0" w:space="0" w:color="auto"/>
        <w:right w:val="none" w:sz="0" w:space="0" w:color="auto"/>
      </w:divBdr>
    </w:div>
    <w:div w:id="565189982">
      <w:bodyDiv w:val="1"/>
      <w:marLeft w:val="0"/>
      <w:marRight w:val="0"/>
      <w:marTop w:val="0"/>
      <w:marBottom w:val="0"/>
      <w:divBdr>
        <w:top w:val="none" w:sz="0" w:space="0" w:color="auto"/>
        <w:left w:val="none" w:sz="0" w:space="0" w:color="auto"/>
        <w:bottom w:val="none" w:sz="0" w:space="0" w:color="auto"/>
        <w:right w:val="none" w:sz="0" w:space="0" w:color="auto"/>
      </w:divBdr>
    </w:div>
    <w:div w:id="569076510">
      <w:bodyDiv w:val="1"/>
      <w:marLeft w:val="0"/>
      <w:marRight w:val="0"/>
      <w:marTop w:val="0"/>
      <w:marBottom w:val="0"/>
      <w:divBdr>
        <w:top w:val="none" w:sz="0" w:space="0" w:color="auto"/>
        <w:left w:val="none" w:sz="0" w:space="0" w:color="auto"/>
        <w:bottom w:val="none" w:sz="0" w:space="0" w:color="auto"/>
        <w:right w:val="none" w:sz="0" w:space="0" w:color="auto"/>
      </w:divBdr>
    </w:div>
    <w:div w:id="581140375">
      <w:bodyDiv w:val="1"/>
      <w:marLeft w:val="0"/>
      <w:marRight w:val="0"/>
      <w:marTop w:val="0"/>
      <w:marBottom w:val="0"/>
      <w:divBdr>
        <w:top w:val="none" w:sz="0" w:space="0" w:color="auto"/>
        <w:left w:val="none" w:sz="0" w:space="0" w:color="auto"/>
        <w:bottom w:val="none" w:sz="0" w:space="0" w:color="auto"/>
        <w:right w:val="none" w:sz="0" w:space="0" w:color="auto"/>
      </w:divBdr>
    </w:div>
    <w:div w:id="581647154">
      <w:bodyDiv w:val="1"/>
      <w:marLeft w:val="0"/>
      <w:marRight w:val="0"/>
      <w:marTop w:val="0"/>
      <w:marBottom w:val="0"/>
      <w:divBdr>
        <w:top w:val="none" w:sz="0" w:space="0" w:color="auto"/>
        <w:left w:val="none" w:sz="0" w:space="0" w:color="auto"/>
        <w:bottom w:val="none" w:sz="0" w:space="0" w:color="auto"/>
        <w:right w:val="none" w:sz="0" w:space="0" w:color="auto"/>
      </w:divBdr>
      <w:divsChild>
        <w:div w:id="931744464">
          <w:marLeft w:val="0"/>
          <w:marRight w:val="0"/>
          <w:marTop w:val="0"/>
          <w:marBottom w:val="0"/>
          <w:divBdr>
            <w:top w:val="none" w:sz="0" w:space="0" w:color="auto"/>
            <w:left w:val="none" w:sz="0" w:space="0" w:color="auto"/>
            <w:bottom w:val="none" w:sz="0" w:space="0" w:color="auto"/>
            <w:right w:val="none" w:sz="0" w:space="0" w:color="auto"/>
          </w:divBdr>
          <w:divsChild>
            <w:div w:id="1924414980">
              <w:marLeft w:val="0"/>
              <w:marRight w:val="0"/>
              <w:marTop w:val="0"/>
              <w:marBottom w:val="0"/>
              <w:divBdr>
                <w:top w:val="none" w:sz="0" w:space="0" w:color="auto"/>
                <w:left w:val="none" w:sz="0" w:space="0" w:color="auto"/>
                <w:bottom w:val="none" w:sz="0" w:space="0" w:color="auto"/>
                <w:right w:val="none" w:sz="0" w:space="0" w:color="auto"/>
              </w:divBdr>
              <w:divsChild>
                <w:div w:id="101615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5214150">
      <w:bodyDiv w:val="1"/>
      <w:marLeft w:val="0"/>
      <w:marRight w:val="0"/>
      <w:marTop w:val="0"/>
      <w:marBottom w:val="0"/>
      <w:divBdr>
        <w:top w:val="none" w:sz="0" w:space="0" w:color="auto"/>
        <w:left w:val="none" w:sz="0" w:space="0" w:color="auto"/>
        <w:bottom w:val="none" w:sz="0" w:space="0" w:color="auto"/>
        <w:right w:val="none" w:sz="0" w:space="0" w:color="auto"/>
      </w:divBdr>
      <w:divsChild>
        <w:div w:id="1768114359">
          <w:marLeft w:val="0"/>
          <w:marRight w:val="0"/>
          <w:marTop w:val="0"/>
          <w:marBottom w:val="0"/>
          <w:divBdr>
            <w:top w:val="none" w:sz="0" w:space="0" w:color="auto"/>
            <w:left w:val="none" w:sz="0" w:space="0" w:color="auto"/>
            <w:bottom w:val="none" w:sz="0" w:space="0" w:color="auto"/>
            <w:right w:val="none" w:sz="0" w:space="0" w:color="auto"/>
          </w:divBdr>
          <w:divsChild>
            <w:div w:id="1456832263">
              <w:marLeft w:val="0"/>
              <w:marRight w:val="0"/>
              <w:marTop w:val="0"/>
              <w:marBottom w:val="0"/>
              <w:divBdr>
                <w:top w:val="none" w:sz="0" w:space="0" w:color="auto"/>
                <w:left w:val="none" w:sz="0" w:space="0" w:color="auto"/>
                <w:bottom w:val="none" w:sz="0" w:space="0" w:color="auto"/>
                <w:right w:val="none" w:sz="0" w:space="0" w:color="auto"/>
              </w:divBdr>
              <w:divsChild>
                <w:div w:id="401178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407505">
      <w:bodyDiv w:val="1"/>
      <w:marLeft w:val="0"/>
      <w:marRight w:val="0"/>
      <w:marTop w:val="0"/>
      <w:marBottom w:val="0"/>
      <w:divBdr>
        <w:top w:val="none" w:sz="0" w:space="0" w:color="auto"/>
        <w:left w:val="none" w:sz="0" w:space="0" w:color="auto"/>
        <w:bottom w:val="none" w:sz="0" w:space="0" w:color="auto"/>
        <w:right w:val="none" w:sz="0" w:space="0" w:color="auto"/>
      </w:divBdr>
    </w:div>
    <w:div w:id="601642539">
      <w:bodyDiv w:val="1"/>
      <w:marLeft w:val="0"/>
      <w:marRight w:val="0"/>
      <w:marTop w:val="0"/>
      <w:marBottom w:val="0"/>
      <w:divBdr>
        <w:top w:val="none" w:sz="0" w:space="0" w:color="auto"/>
        <w:left w:val="none" w:sz="0" w:space="0" w:color="auto"/>
        <w:bottom w:val="none" w:sz="0" w:space="0" w:color="auto"/>
        <w:right w:val="none" w:sz="0" w:space="0" w:color="auto"/>
      </w:divBdr>
      <w:divsChild>
        <w:div w:id="951015221">
          <w:marLeft w:val="0"/>
          <w:marRight w:val="0"/>
          <w:marTop w:val="0"/>
          <w:marBottom w:val="0"/>
          <w:divBdr>
            <w:top w:val="none" w:sz="0" w:space="0" w:color="auto"/>
            <w:left w:val="none" w:sz="0" w:space="0" w:color="auto"/>
            <w:bottom w:val="none" w:sz="0" w:space="0" w:color="auto"/>
            <w:right w:val="none" w:sz="0" w:space="0" w:color="auto"/>
          </w:divBdr>
          <w:divsChild>
            <w:div w:id="629288895">
              <w:marLeft w:val="0"/>
              <w:marRight w:val="0"/>
              <w:marTop w:val="0"/>
              <w:marBottom w:val="0"/>
              <w:divBdr>
                <w:top w:val="none" w:sz="0" w:space="0" w:color="auto"/>
                <w:left w:val="none" w:sz="0" w:space="0" w:color="auto"/>
                <w:bottom w:val="none" w:sz="0" w:space="0" w:color="auto"/>
                <w:right w:val="none" w:sz="0" w:space="0" w:color="auto"/>
              </w:divBdr>
              <w:divsChild>
                <w:div w:id="121785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689616">
      <w:bodyDiv w:val="1"/>
      <w:marLeft w:val="0"/>
      <w:marRight w:val="0"/>
      <w:marTop w:val="0"/>
      <w:marBottom w:val="0"/>
      <w:divBdr>
        <w:top w:val="none" w:sz="0" w:space="0" w:color="auto"/>
        <w:left w:val="none" w:sz="0" w:space="0" w:color="auto"/>
        <w:bottom w:val="none" w:sz="0" w:space="0" w:color="auto"/>
        <w:right w:val="none" w:sz="0" w:space="0" w:color="auto"/>
      </w:divBdr>
      <w:divsChild>
        <w:div w:id="460417649">
          <w:marLeft w:val="0"/>
          <w:marRight w:val="0"/>
          <w:marTop w:val="0"/>
          <w:marBottom w:val="0"/>
          <w:divBdr>
            <w:top w:val="none" w:sz="0" w:space="0" w:color="auto"/>
            <w:left w:val="none" w:sz="0" w:space="0" w:color="auto"/>
            <w:bottom w:val="none" w:sz="0" w:space="0" w:color="auto"/>
            <w:right w:val="none" w:sz="0" w:space="0" w:color="auto"/>
          </w:divBdr>
          <w:divsChild>
            <w:div w:id="386799191">
              <w:marLeft w:val="0"/>
              <w:marRight w:val="0"/>
              <w:marTop w:val="0"/>
              <w:marBottom w:val="0"/>
              <w:divBdr>
                <w:top w:val="none" w:sz="0" w:space="0" w:color="auto"/>
                <w:left w:val="none" w:sz="0" w:space="0" w:color="auto"/>
                <w:bottom w:val="none" w:sz="0" w:space="0" w:color="auto"/>
                <w:right w:val="none" w:sz="0" w:space="0" w:color="auto"/>
              </w:divBdr>
              <w:divsChild>
                <w:div w:id="353116446">
                  <w:marLeft w:val="0"/>
                  <w:marRight w:val="0"/>
                  <w:marTop w:val="0"/>
                  <w:marBottom w:val="0"/>
                  <w:divBdr>
                    <w:top w:val="none" w:sz="0" w:space="0" w:color="auto"/>
                    <w:left w:val="none" w:sz="0" w:space="0" w:color="auto"/>
                    <w:bottom w:val="none" w:sz="0" w:space="0" w:color="auto"/>
                    <w:right w:val="none" w:sz="0" w:space="0" w:color="auto"/>
                  </w:divBdr>
                  <w:divsChild>
                    <w:div w:id="86718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5119038">
      <w:bodyDiv w:val="1"/>
      <w:marLeft w:val="0"/>
      <w:marRight w:val="0"/>
      <w:marTop w:val="0"/>
      <w:marBottom w:val="0"/>
      <w:divBdr>
        <w:top w:val="none" w:sz="0" w:space="0" w:color="auto"/>
        <w:left w:val="none" w:sz="0" w:space="0" w:color="auto"/>
        <w:bottom w:val="none" w:sz="0" w:space="0" w:color="auto"/>
        <w:right w:val="none" w:sz="0" w:space="0" w:color="auto"/>
      </w:divBdr>
    </w:div>
    <w:div w:id="608127359">
      <w:bodyDiv w:val="1"/>
      <w:marLeft w:val="0"/>
      <w:marRight w:val="0"/>
      <w:marTop w:val="0"/>
      <w:marBottom w:val="0"/>
      <w:divBdr>
        <w:top w:val="none" w:sz="0" w:space="0" w:color="auto"/>
        <w:left w:val="none" w:sz="0" w:space="0" w:color="auto"/>
        <w:bottom w:val="none" w:sz="0" w:space="0" w:color="auto"/>
        <w:right w:val="none" w:sz="0" w:space="0" w:color="auto"/>
      </w:divBdr>
      <w:divsChild>
        <w:div w:id="1523393933">
          <w:marLeft w:val="0"/>
          <w:marRight w:val="0"/>
          <w:marTop w:val="0"/>
          <w:marBottom w:val="0"/>
          <w:divBdr>
            <w:top w:val="none" w:sz="0" w:space="0" w:color="auto"/>
            <w:left w:val="none" w:sz="0" w:space="0" w:color="auto"/>
            <w:bottom w:val="none" w:sz="0" w:space="0" w:color="auto"/>
            <w:right w:val="none" w:sz="0" w:space="0" w:color="auto"/>
          </w:divBdr>
          <w:divsChild>
            <w:div w:id="668682271">
              <w:marLeft w:val="0"/>
              <w:marRight w:val="0"/>
              <w:marTop w:val="0"/>
              <w:marBottom w:val="0"/>
              <w:divBdr>
                <w:top w:val="none" w:sz="0" w:space="0" w:color="auto"/>
                <w:left w:val="none" w:sz="0" w:space="0" w:color="auto"/>
                <w:bottom w:val="none" w:sz="0" w:space="0" w:color="auto"/>
                <w:right w:val="none" w:sz="0" w:space="0" w:color="auto"/>
              </w:divBdr>
              <w:divsChild>
                <w:div w:id="899948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1151310">
      <w:bodyDiv w:val="1"/>
      <w:marLeft w:val="0"/>
      <w:marRight w:val="0"/>
      <w:marTop w:val="0"/>
      <w:marBottom w:val="0"/>
      <w:divBdr>
        <w:top w:val="none" w:sz="0" w:space="0" w:color="auto"/>
        <w:left w:val="none" w:sz="0" w:space="0" w:color="auto"/>
        <w:bottom w:val="none" w:sz="0" w:space="0" w:color="auto"/>
        <w:right w:val="none" w:sz="0" w:space="0" w:color="auto"/>
      </w:divBdr>
      <w:divsChild>
        <w:div w:id="546725902">
          <w:marLeft w:val="0"/>
          <w:marRight w:val="0"/>
          <w:marTop w:val="0"/>
          <w:marBottom w:val="0"/>
          <w:divBdr>
            <w:top w:val="none" w:sz="0" w:space="0" w:color="auto"/>
            <w:left w:val="none" w:sz="0" w:space="0" w:color="auto"/>
            <w:bottom w:val="none" w:sz="0" w:space="0" w:color="auto"/>
            <w:right w:val="none" w:sz="0" w:space="0" w:color="auto"/>
          </w:divBdr>
        </w:div>
      </w:divsChild>
    </w:div>
    <w:div w:id="635645677">
      <w:bodyDiv w:val="1"/>
      <w:marLeft w:val="0"/>
      <w:marRight w:val="0"/>
      <w:marTop w:val="0"/>
      <w:marBottom w:val="0"/>
      <w:divBdr>
        <w:top w:val="none" w:sz="0" w:space="0" w:color="auto"/>
        <w:left w:val="none" w:sz="0" w:space="0" w:color="auto"/>
        <w:bottom w:val="none" w:sz="0" w:space="0" w:color="auto"/>
        <w:right w:val="none" w:sz="0" w:space="0" w:color="auto"/>
      </w:divBdr>
    </w:div>
    <w:div w:id="640422574">
      <w:bodyDiv w:val="1"/>
      <w:marLeft w:val="0"/>
      <w:marRight w:val="0"/>
      <w:marTop w:val="0"/>
      <w:marBottom w:val="0"/>
      <w:divBdr>
        <w:top w:val="none" w:sz="0" w:space="0" w:color="auto"/>
        <w:left w:val="none" w:sz="0" w:space="0" w:color="auto"/>
        <w:bottom w:val="none" w:sz="0" w:space="0" w:color="auto"/>
        <w:right w:val="none" w:sz="0" w:space="0" w:color="auto"/>
      </w:divBdr>
    </w:div>
    <w:div w:id="651719913">
      <w:bodyDiv w:val="1"/>
      <w:marLeft w:val="0"/>
      <w:marRight w:val="0"/>
      <w:marTop w:val="0"/>
      <w:marBottom w:val="0"/>
      <w:divBdr>
        <w:top w:val="none" w:sz="0" w:space="0" w:color="auto"/>
        <w:left w:val="none" w:sz="0" w:space="0" w:color="auto"/>
        <w:bottom w:val="none" w:sz="0" w:space="0" w:color="auto"/>
        <w:right w:val="none" w:sz="0" w:space="0" w:color="auto"/>
      </w:divBdr>
      <w:divsChild>
        <w:div w:id="1786146688">
          <w:marLeft w:val="0"/>
          <w:marRight w:val="0"/>
          <w:marTop w:val="0"/>
          <w:marBottom w:val="0"/>
          <w:divBdr>
            <w:top w:val="none" w:sz="0" w:space="0" w:color="auto"/>
            <w:left w:val="none" w:sz="0" w:space="0" w:color="auto"/>
            <w:bottom w:val="none" w:sz="0" w:space="0" w:color="auto"/>
            <w:right w:val="none" w:sz="0" w:space="0" w:color="auto"/>
          </w:divBdr>
          <w:divsChild>
            <w:div w:id="1689477566">
              <w:marLeft w:val="0"/>
              <w:marRight w:val="0"/>
              <w:marTop w:val="0"/>
              <w:marBottom w:val="0"/>
              <w:divBdr>
                <w:top w:val="none" w:sz="0" w:space="0" w:color="auto"/>
                <w:left w:val="none" w:sz="0" w:space="0" w:color="auto"/>
                <w:bottom w:val="none" w:sz="0" w:space="0" w:color="auto"/>
                <w:right w:val="none" w:sz="0" w:space="0" w:color="auto"/>
              </w:divBdr>
              <w:divsChild>
                <w:div w:id="83973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2374189">
      <w:bodyDiv w:val="1"/>
      <w:marLeft w:val="0"/>
      <w:marRight w:val="0"/>
      <w:marTop w:val="0"/>
      <w:marBottom w:val="0"/>
      <w:divBdr>
        <w:top w:val="none" w:sz="0" w:space="0" w:color="auto"/>
        <w:left w:val="none" w:sz="0" w:space="0" w:color="auto"/>
        <w:bottom w:val="none" w:sz="0" w:space="0" w:color="auto"/>
        <w:right w:val="none" w:sz="0" w:space="0" w:color="auto"/>
      </w:divBdr>
    </w:div>
    <w:div w:id="656878456">
      <w:bodyDiv w:val="1"/>
      <w:marLeft w:val="0"/>
      <w:marRight w:val="0"/>
      <w:marTop w:val="0"/>
      <w:marBottom w:val="0"/>
      <w:divBdr>
        <w:top w:val="none" w:sz="0" w:space="0" w:color="auto"/>
        <w:left w:val="none" w:sz="0" w:space="0" w:color="auto"/>
        <w:bottom w:val="none" w:sz="0" w:space="0" w:color="auto"/>
        <w:right w:val="none" w:sz="0" w:space="0" w:color="auto"/>
      </w:divBdr>
      <w:divsChild>
        <w:div w:id="776287984">
          <w:marLeft w:val="0"/>
          <w:marRight w:val="0"/>
          <w:marTop w:val="0"/>
          <w:marBottom w:val="0"/>
          <w:divBdr>
            <w:top w:val="none" w:sz="0" w:space="0" w:color="auto"/>
            <w:left w:val="none" w:sz="0" w:space="0" w:color="auto"/>
            <w:bottom w:val="none" w:sz="0" w:space="0" w:color="auto"/>
            <w:right w:val="none" w:sz="0" w:space="0" w:color="auto"/>
          </w:divBdr>
          <w:divsChild>
            <w:div w:id="500966907">
              <w:marLeft w:val="0"/>
              <w:marRight w:val="0"/>
              <w:marTop w:val="0"/>
              <w:marBottom w:val="0"/>
              <w:divBdr>
                <w:top w:val="none" w:sz="0" w:space="0" w:color="auto"/>
                <w:left w:val="none" w:sz="0" w:space="0" w:color="auto"/>
                <w:bottom w:val="none" w:sz="0" w:space="0" w:color="auto"/>
                <w:right w:val="none" w:sz="0" w:space="0" w:color="auto"/>
              </w:divBdr>
              <w:divsChild>
                <w:div w:id="170047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3321897">
      <w:bodyDiv w:val="1"/>
      <w:marLeft w:val="0"/>
      <w:marRight w:val="0"/>
      <w:marTop w:val="0"/>
      <w:marBottom w:val="0"/>
      <w:divBdr>
        <w:top w:val="none" w:sz="0" w:space="0" w:color="auto"/>
        <w:left w:val="none" w:sz="0" w:space="0" w:color="auto"/>
        <w:bottom w:val="none" w:sz="0" w:space="0" w:color="auto"/>
        <w:right w:val="none" w:sz="0" w:space="0" w:color="auto"/>
      </w:divBdr>
    </w:div>
    <w:div w:id="665477078">
      <w:bodyDiv w:val="1"/>
      <w:marLeft w:val="0"/>
      <w:marRight w:val="0"/>
      <w:marTop w:val="0"/>
      <w:marBottom w:val="0"/>
      <w:divBdr>
        <w:top w:val="none" w:sz="0" w:space="0" w:color="auto"/>
        <w:left w:val="none" w:sz="0" w:space="0" w:color="auto"/>
        <w:bottom w:val="none" w:sz="0" w:space="0" w:color="auto"/>
        <w:right w:val="none" w:sz="0" w:space="0" w:color="auto"/>
      </w:divBdr>
    </w:div>
    <w:div w:id="666786160">
      <w:bodyDiv w:val="1"/>
      <w:marLeft w:val="0"/>
      <w:marRight w:val="0"/>
      <w:marTop w:val="0"/>
      <w:marBottom w:val="0"/>
      <w:divBdr>
        <w:top w:val="none" w:sz="0" w:space="0" w:color="auto"/>
        <w:left w:val="none" w:sz="0" w:space="0" w:color="auto"/>
        <w:bottom w:val="none" w:sz="0" w:space="0" w:color="auto"/>
        <w:right w:val="none" w:sz="0" w:space="0" w:color="auto"/>
      </w:divBdr>
    </w:div>
    <w:div w:id="670984687">
      <w:bodyDiv w:val="1"/>
      <w:marLeft w:val="0"/>
      <w:marRight w:val="0"/>
      <w:marTop w:val="0"/>
      <w:marBottom w:val="0"/>
      <w:divBdr>
        <w:top w:val="none" w:sz="0" w:space="0" w:color="auto"/>
        <w:left w:val="none" w:sz="0" w:space="0" w:color="auto"/>
        <w:bottom w:val="none" w:sz="0" w:space="0" w:color="auto"/>
        <w:right w:val="none" w:sz="0" w:space="0" w:color="auto"/>
      </w:divBdr>
    </w:div>
    <w:div w:id="673848130">
      <w:bodyDiv w:val="1"/>
      <w:marLeft w:val="0"/>
      <w:marRight w:val="0"/>
      <w:marTop w:val="0"/>
      <w:marBottom w:val="0"/>
      <w:divBdr>
        <w:top w:val="none" w:sz="0" w:space="0" w:color="auto"/>
        <w:left w:val="none" w:sz="0" w:space="0" w:color="auto"/>
        <w:bottom w:val="none" w:sz="0" w:space="0" w:color="auto"/>
        <w:right w:val="none" w:sz="0" w:space="0" w:color="auto"/>
      </w:divBdr>
    </w:div>
    <w:div w:id="682512875">
      <w:bodyDiv w:val="1"/>
      <w:marLeft w:val="0"/>
      <w:marRight w:val="0"/>
      <w:marTop w:val="0"/>
      <w:marBottom w:val="0"/>
      <w:divBdr>
        <w:top w:val="none" w:sz="0" w:space="0" w:color="auto"/>
        <w:left w:val="none" w:sz="0" w:space="0" w:color="auto"/>
        <w:bottom w:val="none" w:sz="0" w:space="0" w:color="auto"/>
        <w:right w:val="none" w:sz="0" w:space="0" w:color="auto"/>
      </w:divBdr>
    </w:div>
    <w:div w:id="702438844">
      <w:bodyDiv w:val="1"/>
      <w:marLeft w:val="0"/>
      <w:marRight w:val="0"/>
      <w:marTop w:val="0"/>
      <w:marBottom w:val="0"/>
      <w:divBdr>
        <w:top w:val="none" w:sz="0" w:space="0" w:color="auto"/>
        <w:left w:val="none" w:sz="0" w:space="0" w:color="auto"/>
        <w:bottom w:val="none" w:sz="0" w:space="0" w:color="auto"/>
        <w:right w:val="none" w:sz="0" w:space="0" w:color="auto"/>
      </w:divBdr>
    </w:div>
    <w:div w:id="718632788">
      <w:bodyDiv w:val="1"/>
      <w:marLeft w:val="0"/>
      <w:marRight w:val="0"/>
      <w:marTop w:val="0"/>
      <w:marBottom w:val="0"/>
      <w:divBdr>
        <w:top w:val="none" w:sz="0" w:space="0" w:color="auto"/>
        <w:left w:val="none" w:sz="0" w:space="0" w:color="auto"/>
        <w:bottom w:val="none" w:sz="0" w:space="0" w:color="auto"/>
        <w:right w:val="none" w:sz="0" w:space="0" w:color="auto"/>
      </w:divBdr>
    </w:div>
    <w:div w:id="719519927">
      <w:bodyDiv w:val="1"/>
      <w:marLeft w:val="0"/>
      <w:marRight w:val="0"/>
      <w:marTop w:val="0"/>
      <w:marBottom w:val="0"/>
      <w:divBdr>
        <w:top w:val="none" w:sz="0" w:space="0" w:color="auto"/>
        <w:left w:val="none" w:sz="0" w:space="0" w:color="auto"/>
        <w:bottom w:val="none" w:sz="0" w:space="0" w:color="auto"/>
        <w:right w:val="none" w:sz="0" w:space="0" w:color="auto"/>
      </w:divBdr>
    </w:div>
    <w:div w:id="720329030">
      <w:bodyDiv w:val="1"/>
      <w:marLeft w:val="0"/>
      <w:marRight w:val="0"/>
      <w:marTop w:val="0"/>
      <w:marBottom w:val="0"/>
      <w:divBdr>
        <w:top w:val="none" w:sz="0" w:space="0" w:color="auto"/>
        <w:left w:val="none" w:sz="0" w:space="0" w:color="auto"/>
        <w:bottom w:val="none" w:sz="0" w:space="0" w:color="auto"/>
        <w:right w:val="none" w:sz="0" w:space="0" w:color="auto"/>
      </w:divBdr>
    </w:div>
    <w:div w:id="721296423">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727996429">
      <w:bodyDiv w:val="1"/>
      <w:marLeft w:val="0"/>
      <w:marRight w:val="0"/>
      <w:marTop w:val="0"/>
      <w:marBottom w:val="0"/>
      <w:divBdr>
        <w:top w:val="none" w:sz="0" w:space="0" w:color="auto"/>
        <w:left w:val="none" w:sz="0" w:space="0" w:color="auto"/>
        <w:bottom w:val="none" w:sz="0" w:space="0" w:color="auto"/>
        <w:right w:val="none" w:sz="0" w:space="0" w:color="auto"/>
      </w:divBdr>
      <w:divsChild>
        <w:div w:id="1994790054">
          <w:marLeft w:val="0"/>
          <w:marRight w:val="0"/>
          <w:marTop w:val="0"/>
          <w:marBottom w:val="0"/>
          <w:divBdr>
            <w:top w:val="none" w:sz="0" w:space="0" w:color="auto"/>
            <w:left w:val="none" w:sz="0" w:space="0" w:color="auto"/>
            <w:bottom w:val="none" w:sz="0" w:space="0" w:color="auto"/>
            <w:right w:val="none" w:sz="0" w:space="0" w:color="auto"/>
          </w:divBdr>
          <w:divsChild>
            <w:div w:id="1492988414">
              <w:marLeft w:val="0"/>
              <w:marRight w:val="0"/>
              <w:marTop w:val="0"/>
              <w:marBottom w:val="0"/>
              <w:divBdr>
                <w:top w:val="none" w:sz="0" w:space="0" w:color="auto"/>
                <w:left w:val="none" w:sz="0" w:space="0" w:color="auto"/>
                <w:bottom w:val="none" w:sz="0" w:space="0" w:color="auto"/>
                <w:right w:val="none" w:sz="0" w:space="0" w:color="auto"/>
              </w:divBdr>
              <w:divsChild>
                <w:div w:id="63457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4670572">
      <w:bodyDiv w:val="1"/>
      <w:marLeft w:val="0"/>
      <w:marRight w:val="0"/>
      <w:marTop w:val="0"/>
      <w:marBottom w:val="0"/>
      <w:divBdr>
        <w:top w:val="none" w:sz="0" w:space="0" w:color="auto"/>
        <w:left w:val="none" w:sz="0" w:space="0" w:color="auto"/>
        <w:bottom w:val="none" w:sz="0" w:space="0" w:color="auto"/>
        <w:right w:val="none" w:sz="0" w:space="0" w:color="auto"/>
      </w:divBdr>
    </w:div>
    <w:div w:id="747657133">
      <w:bodyDiv w:val="1"/>
      <w:marLeft w:val="0"/>
      <w:marRight w:val="0"/>
      <w:marTop w:val="0"/>
      <w:marBottom w:val="0"/>
      <w:divBdr>
        <w:top w:val="none" w:sz="0" w:space="0" w:color="auto"/>
        <w:left w:val="none" w:sz="0" w:space="0" w:color="auto"/>
        <w:bottom w:val="none" w:sz="0" w:space="0" w:color="auto"/>
        <w:right w:val="none" w:sz="0" w:space="0" w:color="auto"/>
      </w:divBdr>
    </w:div>
    <w:div w:id="749233610">
      <w:bodyDiv w:val="1"/>
      <w:marLeft w:val="0"/>
      <w:marRight w:val="0"/>
      <w:marTop w:val="0"/>
      <w:marBottom w:val="0"/>
      <w:divBdr>
        <w:top w:val="none" w:sz="0" w:space="0" w:color="auto"/>
        <w:left w:val="none" w:sz="0" w:space="0" w:color="auto"/>
        <w:bottom w:val="none" w:sz="0" w:space="0" w:color="auto"/>
        <w:right w:val="none" w:sz="0" w:space="0" w:color="auto"/>
      </w:divBdr>
    </w:div>
    <w:div w:id="750279955">
      <w:bodyDiv w:val="1"/>
      <w:marLeft w:val="0"/>
      <w:marRight w:val="0"/>
      <w:marTop w:val="0"/>
      <w:marBottom w:val="0"/>
      <w:divBdr>
        <w:top w:val="none" w:sz="0" w:space="0" w:color="auto"/>
        <w:left w:val="none" w:sz="0" w:space="0" w:color="auto"/>
        <w:bottom w:val="none" w:sz="0" w:space="0" w:color="auto"/>
        <w:right w:val="none" w:sz="0" w:space="0" w:color="auto"/>
      </w:divBdr>
    </w:div>
    <w:div w:id="752238690">
      <w:bodyDiv w:val="1"/>
      <w:marLeft w:val="0"/>
      <w:marRight w:val="0"/>
      <w:marTop w:val="0"/>
      <w:marBottom w:val="0"/>
      <w:divBdr>
        <w:top w:val="none" w:sz="0" w:space="0" w:color="auto"/>
        <w:left w:val="none" w:sz="0" w:space="0" w:color="auto"/>
        <w:bottom w:val="none" w:sz="0" w:space="0" w:color="auto"/>
        <w:right w:val="none" w:sz="0" w:space="0" w:color="auto"/>
      </w:divBdr>
      <w:divsChild>
        <w:div w:id="1005858410">
          <w:marLeft w:val="0"/>
          <w:marRight w:val="0"/>
          <w:marTop w:val="0"/>
          <w:marBottom w:val="0"/>
          <w:divBdr>
            <w:top w:val="none" w:sz="0" w:space="0" w:color="auto"/>
            <w:left w:val="none" w:sz="0" w:space="0" w:color="auto"/>
            <w:bottom w:val="none" w:sz="0" w:space="0" w:color="auto"/>
            <w:right w:val="none" w:sz="0" w:space="0" w:color="auto"/>
          </w:divBdr>
          <w:divsChild>
            <w:div w:id="874081206">
              <w:marLeft w:val="0"/>
              <w:marRight w:val="0"/>
              <w:marTop w:val="0"/>
              <w:marBottom w:val="0"/>
              <w:divBdr>
                <w:top w:val="none" w:sz="0" w:space="0" w:color="auto"/>
                <w:left w:val="none" w:sz="0" w:space="0" w:color="auto"/>
                <w:bottom w:val="none" w:sz="0" w:space="0" w:color="auto"/>
                <w:right w:val="none" w:sz="0" w:space="0" w:color="auto"/>
              </w:divBdr>
              <w:divsChild>
                <w:div w:id="1299800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6950394">
      <w:bodyDiv w:val="1"/>
      <w:marLeft w:val="0"/>
      <w:marRight w:val="0"/>
      <w:marTop w:val="0"/>
      <w:marBottom w:val="0"/>
      <w:divBdr>
        <w:top w:val="none" w:sz="0" w:space="0" w:color="auto"/>
        <w:left w:val="none" w:sz="0" w:space="0" w:color="auto"/>
        <w:bottom w:val="none" w:sz="0" w:space="0" w:color="auto"/>
        <w:right w:val="none" w:sz="0" w:space="0" w:color="auto"/>
      </w:divBdr>
    </w:div>
    <w:div w:id="776798332">
      <w:bodyDiv w:val="1"/>
      <w:marLeft w:val="0"/>
      <w:marRight w:val="0"/>
      <w:marTop w:val="0"/>
      <w:marBottom w:val="0"/>
      <w:divBdr>
        <w:top w:val="none" w:sz="0" w:space="0" w:color="auto"/>
        <w:left w:val="none" w:sz="0" w:space="0" w:color="auto"/>
        <w:bottom w:val="none" w:sz="0" w:space="0" w:color="auto"/>
        <w:right w:val="none" w:sz="0" w:space="0" w:color="auto"/>
      </w:divBdr>
      <w:divsChild>
        <w:div w:id="642001577">
          <w:marLeft w:val="0"/>
          <w:marRight w:val="0"/>
          <w:marTop w:val="0"/>
          <w:marBottom w:val="0"/>
          <w:divBdr>
            <w:top w:val="none" w:sz="0" w:space="0" w:color="auto"/>
            <w:left w:val="none" w:sz="0" w:space="0" w:color="auto"/>
            <w:bottom w:val="none" w:sz="0" w:space="0" w:color="auto"/>
            <w:right w:val="none" w:sz="0" w:space="0" w:color="auto"/>
          </w:divBdr>
          <w:divsChild>
            <w:div w:id="1454715168">
              <w:marLeft w:val="0"/>
              <w:marRight w:val="0"/>
              <w:marTop w:val="0"/>
              <w:marBottom w:val="0"/>
              <w:divBdr>
                <w:top w:val="none" w:sz="0" w:space="0" w:color="auto"/>
                <w:left w:val="none" w:sz="0" w:space="0" w:color="auto"/>
                <w:bottom w:val="none" w:sz="0" w:space="0" w:color="auto"/>
                <w:right w:val="none" w:sz="0" w:space="0" w:color="auto"/>
              </w:divBdr>
              <w:divsChild>
                <w:div w:id="973949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0364717">
      <w:bodyDiv w:val="1"/>
      <w:marLeft w:val="0"/>
      <w:marRight w:val="0"/>
      <w:marTop w:val="0"/>
      <w:marBottom w:val="0"/>
      <w:divBdr>
        <w:top w:val="none" w:sz="0" w:space="0" w:color="auto"/>
        <w:left w:val="none" w:sz="0" w:space="0" w:color="auto"/>
        <w:bottom w:val="none" w:sz="0" w:space="0" w:color="auto"/>
        <w:right w:val="none" w:sz="0" w:space="0" w:color="auto"/>
      </w:divBdr>
      <w:divsChild>
        <w:div w:id="183327756">
          <w:marLeft w:val="0"/>
          <w:marRight w:val="0"/>
          <w:marTop w:val="0"/>
          <w:marBottom w:val="0"/>
          <w:divBdr>
            <w:top w:val="none" w:sz="0" w:space="0" w:color="auto"/>
            <w:left w:val="none" w:sz="0" w:space="0" w:color="auto"/>
            <w:bottom w:val="none" w:sz="0" w:space="0" w:color="auto"/>
            <w:right w:val="none" w:sz="0" w:space="0" w:color="auto"/>
          </w:divBdr>
        </w:div>
        <w:div w:id="1425998901">
          <w:marLeft w:val="0"/>
          <w:marRight w:val="0"/>
          <w:marTop w:val="0"/>
          <w:marBottom w:val="0"/>
          <w:divBdr>
            <w:top w:val="none" w:sz="0" w:space="0" w:color="auto"/>
            <w:left w:val="none" w:sz="0" w:space="0" w:color="auto"/>
            <w:bottom w:val="none" w:sz="0" w:space="0" w:color="auto"/>
            <w:right w:val="none" w:sz="0" w:space="0" w:color="auto"/>
          </w:divBdr>
        </w:div>
        <w:div w:id="2001812772">
          <w:marLeft w:val="0"/>
          <w:marRight w:val="0"/>
          <w:marTop w:val="0"/>
          <w:marBottom w:val="0"/>
          <w:divBdr>
            <w:top w:val="none" w:sz="0" w:space="0" w:color="auto"/>
            <w:left w:val="none" w:sz="0" w:space="0" w:color="auto"/>
            <w:bottom w:val="none" w:sz="0" w:space="0" w:color="auto"/>
            <w:right w:val="none" w:sz="0" w:space="0" w:color="auto"/>
          </w:divBdr>
        </w:div>
        <w:div w:id="583104398">
          <w:marLeft w:val="0"/>
          <w:marRight w:val="0"/>
          <w:marTop w:val="0"/>
          <w:marBottom w:val="0"/>
          <w:divBdr>
            <w:top w:val="none" w:sz="0" w:space="0" w:color="auto"/>
            <w:left w:val="none" w:sz="0" w:space="0" w:color="auto"/>
            <w:bottom w:val="none" w:sz="0" w:space="0" w:color="auto"/>
            <w:right w:val="none" w:sz="0" w:space="0" w:color="auto"/>
          </w:divBdr>
        </w:div>
        <w:div w:id="1095589364">
          <w:marLeft w:val="0"/>
          <w:marRight w:val="0"/>
          <w:marTop w:val="0"/>
          <w:marBottom w:val="0"/>
          <w:divBdr>
            <w:top w:val="none" w:sz="0" w:space="0" w:color="auto"/>
            <w:left w:val="none" w:sz="0" w:space="0" w:color="auto"/>
            <w:bottom w:val="none" w:sz="0" w:space="0" w:color="auto"/>
            <w:right w:val="none" w:sz="0" w:space="0" w:color="auto"/>
          </w:divBdr>
        </w:div>
        <w:div w:id="2131043697">
          <w:marLeft w:val="0"/>
          <w:marRight w:val="0"/>
          <w:marTop w:val="0"/>
          <w:marBottom w:val="0"/>
          <w:divBdr>
            <w:top w:val="none" w:sz="0" w:space="0" w:color="auto"/>
            <w:left w:val="none" w:sz="0" w:space="0" w:color="auto"/>
            <w:bottom w:val="none" w:sz="0" w:space="0" w:color="auto"/>
            <w:right w:val="none" w:sz="0" w:space="0" w:color="auto"/>
          </w:divBdr>
        </w:div>
        <w:div w:id="1856578142">
          <w:marLeft w:val="0"/>
          <w:marRight w:val="0"/>
          <w:marTop w:val="0"/>
          <w:marBottom w:val="0"/>
          <w:divBdr>
            <w:top w:val="none" w:sz="0" w:space="0" w:color="auto"/>
            <w:left w:val="none" w:sz="0" w:space="0" w:color="auto"/>
            <w:bottom w:val="none" w:sz="0" w:space="0" w:color="auto"/>
            <w:right w:val="none" w:sz="0" w:space="0" w:color="auto"/>
          </w:divBdr>
        </w:div>
        <w:div w:id="266427108">
          <w:marLeft w:val="0"/>
          <w:marRight w:val="0"/>
          <w:marTop w:val="0"/>
          <w:marBottom w:val="0"/>
          <w:divBdr>
            <w:top w:val="none" w:sz="0" w:space="0" w:color="auto"/>
            <w:left w:val="none" w:sz="0" w:space="0" w:color="auto"/>
            <w:bottom w:val="none" w:sz="0" w:space="0" w:color="auto"/>
            <w:right w:val="none" w:sz="0" w:space="0" w:color="auto"/>
          </w:divBdr>
        </w:div>
        <w:div w:id="134757641">
          <w:marLeft w:val="0"/>
          <w:marRight w:val="0"/>
          <w:marTop w:val="0"/>
          <w:marBottom w:val="0"/>
          <w:divBdr>
            <w:top w:val="none" w:sz="0" w:space="0" w:color="auto"/>
            <w:left w:val="none" w:sz="0" w:space="0" w:color="auto"/>
            <w:bottom w:val="none" w:sz="0" w:space="0" w:color="auto"/>
            <w:right w:val="none" w:sz="0" w:space="0" w:color="auto"/>
          </w:divBdr>
        </w:div>
        <w:div w:id="204758753">
          <w:marLeft w:val="0"/>
          <w:marRight w:val="0"/>
          <w:marTop w:val="0"/>
          <w:marBottom w:val="0"/>
          <w:divBdr>
            <w:top w:val="none" w:sz="0" w:space="0" w:color="auto"/>
            <w:left w:val="none" w:sz="0" w:space="0" w:color="auto"/>
            <w:bottom w:val="none" w:sz="0" w:space="0" w:color="auto"/>
            <w:right w:val="none" w:sz="0" w:space="0" w:color="auto"/>
          </w:divBdr>
        </w:div>
        <w:div w:id="279536753">
          <w:marLeft w:val="0"/>
          <w:marRight w:val="0"/>
          <w:marTop w:val="0"/>
          <w:marBottom w:val="0"/>
          <w:divBdr>
            <w:top w:val="none" w:sz="0" w:space="0" w:color="auto"/>
            <w:left w:val="none" w:sz="0" w:space="0" w:color="auto"/>
            <w:bottom w:val="none" w:sz="0" w:space="0" w:color="auto"/>
            <w:right w:val="none" w:sz="0" w:space="0" w:color="auto"/>
          </w:divBdr>
        </w:div>
        <w:div w:id="1802655067">
          <w:marLeft w:val="0"/>
          <w:marRight w:val="0"/>
          <w:marTop w:val="0"/>
          <w:marBottom w:val="0"/>
          <w:divBdr>
            <w:top w:val="none" w:sz="0" w:space="0" w:color="auto"/>
            <w:left w:val="none" w:sz="0" w:space="0" w:color="auto"/>
            <w:bottom w:val="none" w:sz="0" w:space="0" w:color="auto"/>
            <w:right w:val="none" w:sz="0" w:space="0" w:color="auto"/>
          </w:divBdr>
          <w:divsChild>
            <w:div w:id="1640528279">
              <w:marLeft w:val="0"/>
              <w:marRight w:val="0"/>
              <w:marTop w:val="0"/>
              <w:marBottom w:val="0"/>
              <w:divBdr>
                <w:top w:val="none" w:sz="0" w:space="0" w:color="auto"/>
                <w:left w:val="none" w:sz="0" w:space="0" w:color="auto"/>
                <w:bottom w:val="none" w:sz="0" w:space="0" w:color="auto"/>
                <w:right w:val="none" w:sz="0" w:space="0" w:color="auto"/>
              </w:divBdr>
            </w:div>
            <w:div w:id="1068842159">
              <w:marLeft w:val="0"/>
              <w:marRight w:val="0"/>
              <w:marTop w:val="0"/>
              <w:marBottom w:val="0"/>
              <w:divBdr>
                <w:top w:val="none" w:sz="0" w:space="0" w:color="auto"/>
                <w:left w:val="none" w:sz="0" w:space="0" w:color="auto"/>
                <w:bottom w:val="none" w:sz="0" w:space="0" w:color="auto"/>
                <w:right w:val="none" w:sz="0" w:space="0" w:color="auto"/>
              </w:divBdr>
            </w:div>
            <w:div w:id="339895951">
              <w:marLeft w:val="0"/>
              <w:marRight w:val="0"/>
              <w:marTop w:val="0"/>
              <w:marBottom w:val="0"/>
              <w:divBdr>
                <w:top w:val="none" w:sz="0" w:space="0" w:color="auto"/>
                <w:left w:val="none" w:sz="0" w:space="0" w:color="auto"/>
                <w:bottom w:val="none" w:sz="0" w:space="0" w:color="auto"/>
                <w:right w:val="none" w:sz="0" w:space="0" w:color="auto"/>
              </w:divBdr>
            </w:div>
            <w:div w:id="315379722">
              <w:marLeft w:val="0"/>
              <w:marRight w:val="0"/>
              <w:marTop w:val="0"/>
              <w:marBottom w:val="0"/>
              <w:divBdr>
                <w:top w:val="none" w:sz="0" w:space="0" w:color="auto"/>
                <w:left w:val="none" w:sz="0" w:space="0" w:color="auto"/>
                <w:bottom w:val="none" w:sz="0" w:space="0" w:color="auto"/>
                <w:right w:val="none" w:sz="0" w:space="0" w:color="auto"/>
              </w:divBdr>
            </w:div>
            <w:div w:id="580674459">
              <w:marLeft w:val="0"/>
              <w:marRight w:val="0"/>
              <w:marTop w:val="0"/>
              <w:marBottom w:val="0"/>
              <w:divBdr>
                <w:top w:val="none" w:sz="0" w:space="0" w:color="auto"/>
                <w:left w:val="none" w:sz="0" w:space="0" w:color="auto"/>
                <w:bottom w:val="none" w:sz="0" w:space="0" w:color="auto"/>
                <w:right w:val="none" w:sz="0" w:space="0" w:color="auto"/>
              </w:divBdr>
            </w:div>
            <w:div w:id="1599949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224000">
      <w:bodyDiv w:val="1"/>
      <w:marLeft w:val="0"/>
      <w:marRight w:val="0"/>
      <w:marTop w:val="0"/>
      <w:marBottom w:val="0"/>
      <w:divBdr>
        <w:top w:val="none" w:sz="0" w:space="0" w:color="auto"/>
        <w:left w:val="none" w:sz="0" w:space="0" w:color="auto"/>
        <w:bottom w:val="none" w:sz="0" w:space="0" w:color="auto"/>
        <w:right w:val="none" w:sz="0" w:space="0" w:color="auto"/>
      </w:divBdr>
      <w:divsChild>
        <w:div w:id="1455633750">
          <w:marLeft w:val="0"/>
          <w:marRight w:val="0"/>
          <w:marTop w:val="0"/>
          <w:marBottom w:val="0"/>
          <w:divBdr>
            <w:top w:val="none" w:sz="0" w:space="0" w:color="auto"/>
            <w:left w:val="none" w:sz="0" w:space="0" w:color="auto"/>
            <w:bottom w:val="none" w:sz="0" w:space="0" w:color="auto"/>
            <w:right w:val="none" w:sz="0" w:space="0" w:color="auto"/>
          </w:divBdr>
          <w:divsChild>
            <w:div w:id="1362852875">
              <w:marLeft w:val="0"/>
              <w:marRight w:val="0"/>
              <w:marTop w:val="0"/>
              <w:marBottom w:val="0"/>
              <w:divBdr>
                <w:top w:val="none" w:sz="0" w:space="0" w:color="auto"/>
                <w:left w:val="none" w:sz="0" w:space="0" w:color="auto"/>
                <w:bottom w:val="none" w:sz="0" w:space="0" w:color="auto"/>
                <w:right w:val="none" w:sz="0" w:space="0" w:color="auto"/>
              </w:divBdr>
              <w:divsChild>
                <w:div w:id="113668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010957">
      <w:bodyDiv w:val="1"/>
      <w:marLeft w:val="0"/>
      <w:marRight w:val="0"/>
      <w:marTop w:val="0"/>
      <w:marBottom w:val="0"/>
      <w:divBdr>
        <w:top w:val="none" w:sz="0" w:space="0" w:color="auto"/>
        <w:left w:val="none" w:sz="0" w:space="0" w:color="auto"/>
        <w:bottom w:val="none" w:sz="0" w:space="0" w:color="auto"/>
        <w:right w:val="none" w:sz="0" w:space="0" w:color="auto"/>
      </w:divBdr>
    </w:div>
    <w:div w:id="808321035">
      <w:bodyDiv w:val="1"/>
      <w:marLeft w:val="0"/>
      <w:marRight w:val="0"/>
      <w:marTop w:val="0"/>
      <w:marBottom w:val="0"/>
      <w:divBdr>
        <w:top w:val="none" w:sz="0" w:space="0" w:color="auto"/>
        <w:left w:val="none" w:sz="0" w:space="0" w:color="auto"/>
        <w:bottom w:val="none" w:sz="0" w:space="0" w:color="auto"/>
        <w:right w:val="none" w:sz="0" w:space="0" w:color="auto"/>
      </w:divBdr>
    </w:div>
    <w:div w:id="810562591">
      <w:bodyDiv w:val="1"/>
      <w:marLeft w:val="0"/>
      <w:marRight w:val="0"/>
      <w:marTop w:val="0"/>
      <w:marBottom w:val="0"/>
      <w:divBdr>
        <w:top w:val="none" w:sz="0" w:space="0" w:color="auto"/>
        <w:left w:val="none" w:sz="0" w:space="0" w:color="auto"/>
        <w:bottom w:val="none" w:sz="0" w:space="0" w:color="auto"/>
        <w:right w:val="none" w:sz="0" w:space="0" w:color="auto"/>
      </w:divBdr>
    </w:div>
    <w:div w:id="815535933">
      <w:bodyDiv w:val="1"/>
      <w:marLeft w:val="0"/>
      <w:marRight w:val="0"/>
      <w:marTop w:val="0"/>
      <w:marBottom w:val="0"/>
      <w:divBdr>
        <w:top w:val="none" w:sz="0" w:space="0" w:color="auto"/>
        <w:left w:val="none" w:sz="0" w:space="0" w:color="auto"/>
        <w:bottom w:val="none" w:sz="0" w:space="0" w:color="auto"/>
        <w:right w:val="none" w:sz="0" w:space="0" w:color="auto"/>
      </w:divBdr>
    </w:div>
    <w:div w:id="834998343">
      <w:bodyDiv w:val="1"/>
      <w:marLeft w:val="0"/>
      <w:marRight w:val="0"/>
      <w:marTop w:val="0"/>
      <w:marBottom w:val="0"/>
      <w:divBdr>
        <w:top w:val="none" w:sz="0" w:space="0" w:color="auto"/>
        <w:left w:val="none" w:sz="0" w:space="0" w:color="auto"/>
        <w:bottom w:val="none" w:sz="0" w:space="0" w:color="auto"/>
        <w:right w:val="none" w:sz="0" w:space="0" w:color="auto"/>
      </w:divBdr>
    </w:div>
    <w:div w:id="838158970">
      <w:bodyDiv w:val="1"/>
      <w:marLeft w:val="0"/>
      <w:marRight w:val="0"/>
      <w:marTop w:val="0"/>
      <w:marBottom w:val="0"/>
      <w:divBdr>
        <w:top w:val="none" w:sz="0" w:space="0" w:color="auto"/>
        <w:left w:val="none" w:sz="0" w:space="0" w:color="auto"/>
        <w:bottom w:val="none" w:sz="0" w:space="0" w:color="auto"/>
        <w:right w:val="none" w:sz="0" w:space="0" w:color="auto"/>
      </w:divBdr>
    </w:div>
    <w:div w:id="841503518">
      <w:bodyDiv w:val="1"/>
      <w:marLeft w:val="0"/>
      <w:marRight w:val="0"/>
      <w:marTop w:val="0"/>
      <w:marBottom w:val="0"/>
      <w:divBdr>
        <w:top w:val="none" w:sz="0" w:space="0" w:color="auto"/>
        <w:left w:val="none" w:sz="0" w:space="0" w:color="auto"/>
        <w:bottom w:val="none" w:sz="0" w:space="0" w:color="auto"/>
        <w:right w:val="none" w:sz="0" w:space="0" w:color="auto"/>
      </w:divBdr>
      <w:divsChild>
        <w:div w:id="1472594732">
          <w:marLeft w:val="0"/>
          <w:marRight w:val="0"/>
          <w:marTop w:val="0"/>
          <w:marBottom w:val="0"/>
          <w:divBdr>
            <w:top w:val="none" w:sz="0" w:space="0" w:color="auto"/>
            <w:left w:val="none" w:sz="0" w:space="0" w:color="auto"/>
            <w:bottom w:val="none" w:sz="0" w:space="0" w:color="auto"/>
            <w:right w:val="none" w:sz="0" w:space="0" w:color="auto"/>
          </w:divBdr>
          <w:divsChild>
            <w:div w:id="558857304">
              <w:marLeft w:val="0"/>
              <w:marRight w:val="0"/>
              <w:marTop w:val="0"/>
              <w:marBottom w:val="0"/>
              <w:divBdr>
                <w:top w:val="none" w:sz="0" w:space="0" w:color="auto"/>
                <w:left w:val="none" w:sz="0" w:space="0" w:color="auto"/>
                <w:bottom w:val="none" w:sz="0" w:space="0" w:color="auto"/>
                <w:right w:val="none" w:sz="0" w:space="0" w:color="auto"/>
              </w:divBdr>
              <w:divsChild>
                <w:div w:id="1644502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5830520">
      <w:bodyDiv w:val="1"/>
      <w:marLeft w:val="0"/>
      <w:marRight w:val="0"/>
      <w:marTop w:val="0"/>
      <w:marBottom w:val="0"/>
      <w:divBdr>
        <w:top w:val="none" w:sz="0" w:space="0" w:color="auto"/>
        <w:left w:val="none" w:sz="0" w:space="0" w:color="auto"/>
        <w:bottom w:val="none" w:sz="0" w:space="0" w:color="auto"/>
        <w:right w:val="none" w:sz="0" w:space="0" w:color="auto"/>
      </w:divBdr>
    </w:div>
    <w:div w:id="850337716">
      <w:bodyDiv w:val="1"/>
      <w:marLeft w:val="0"/>
      <w:marRight w:val="0"/>
      <w:marTop w:val="0"/>
      <w:marBottom w:val="0"/>
      <w:divBdr>
        <w:top w:val="none" w:sz="0" w:space="0" w:color="auto"/>
        <w:left w:val="none" w:sz="0" w:space="0" w:color="auto"/>
        <w:bottom w:val="none" w:sz="0" w:space="0" w:color="auto"/>
        <w:right w:val="none" w:sz="0" w:space="0" w:color="auto"/>
      </w:divBdr>
      <w:divsChild>
        <w:div w:id="1303539871">
          <w:marLeft w:val="0"/>
          <w:marRight w:val="0"/>
          <w:marTop w:val="0"/>
          <w:marBottom w:val="0"/>
          <w:divBdr>
            <w:top w:val="none" w:sz="0" w:space="0" w:color="auto"/>
            <w:left w:val="none" w:sz="0" w:space="0" w:color="auto"/>
            <w:bottom w:val="none" w:sz="0" w:space="0" w:color="auto"/>
            <w:right w:val="none" w:sz="0" w:space="0" w:color="auto"/>
          </w:divBdr>
          <w:divsChild>
            <w:div w:id="494688211">
              <w:marLeft w:val="0"/>
              <w:marRight w:val="0"/>
              <w:marTop w:val="0"/>
              <w:marBottom w:val="0"/>
              <w:divBdr>
                <w:top w:val="none" w:sz="0" w:space="0" w:color="auto"/>
                <w:left w:val="none" w:sz="0" w:space="0" w:color="auto"/>
                <w:bottom w:val="none" w:sz="0" w:space="0" w:color="auto"/>
                <w:right w:val="none" w:sz="0" w:space="0" w:color="auto"/>
              </w:divBdr>
              <w:divsChild>
                <w:div w:id="1644038439">
                  <w:marLeft w:val="0"/>
                  <w:marRight w:val="0"/>
                  <w:marTop w:val="0"/>
                  <w:marBottom w:val="0"/>
                  <w:divBdr>
                    <w:top w:val="none" w:sz="0" w:space="0" w:color="auto"/>
                    <w:left w:val="none" w:sz="0" w:space="0" w:color="auto"/>
                    <w:bottom w:val="none" w:sz="0" w:space="0" w:color="auto"/>
                    <w:right w:val="none" w:sz="0" w:space="0" w:color="auto"/>
                  </w:divBdr>
                  <w:divsChild>
                    <w:div w:id="932401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4560965">
      <w:bodyDiv w:val="1"/>
      <w:marLeft w:val="0"/>
      <w:marRight w:val="0"/>
      <w:marTop w:val="0"/>
      <w:marBottom w:val="0"/>
      <w:divBdr>
        <w:top w:val="none" w:sz="0" w:space="0" w:color="auto"/>
        <w:left w:val="none" w:sz="0" w:space="0" w:color="auto"/>
        <w:bottom w:val="none" w:sz="0" w:space="0" w:color="auto"/>
        <w:right w:val="none" w:sz="0" w:space="0" w:color="auto"/>
      </w:divBdr>
    </w:div>
    <w:div w:id="874853581">
      <w:bodyDiv w:val="1"/>
      <w:marLeft w:val="0"/>
      <w:marRight w:val="0"/>
      <w:marTop w:val="0"/>
      <w:marBottom w:val="0"/>
      <w:divBdr>
        <w:top w:val="none" w:sz="0" w:space="0" w:color="auto"/>
        <w:left w:val="none" w:sz="0" w:space="0" w:color="auto"/>
        <w:bottom w:val="none" w:sz="0" w:space="0" w:color="auto"/>
        <w:right w:val="none" w:sz="0" w:space="0" w:color="auto"/>
      </w:divBdr>
      <w:divsChild>
        <w:div w:id="362367890">
          <w:marLeft w:val="0"/>
          <w:marRight w:val="0"/>
          <w:marTop w:val="0"/>
          <w:marBottom w:val="0"/>
          <w:divBdr>
            <w:top w:val="none" w:sz="0" w:space="0" w:color="auto"/>
            <w:left w:val="none" w:sz="0" w:space="0" w:color="auto"/>
            <w:bottom w:val="none" w:sz="0" w:space="0" w:color="auto"/>
            <w:right w:val="none" w:sz="0" w:space="0" w:color="auto"/>
          </w:divBdr>
          <w:divsChild>
            <w:div w:id="1518420670">
              <w:marLeft w:val="0"/>
              <w:marRight w:val="0"/>
              <w:marTop w:val="0"/>
              <w:marBottom w:val="0"/>
              <w:divBdr>
                <w:top w:val="none" w:sz="0" w:space="0" w:color="auto"/>
                <w:left w:val="none" w:sz="0" w:space="0" w:color="auto"/>
                <w:bottom w:val="none" w:sz="0" w:space="0" w:color="auto"/>
                <w:right w:val="none" w:sz="0" w:space="0" w:color="auto"/>
              </w:divBdr>
              <w:divsChild>
                <w:div w:id="46912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5048670">
      <w:bodyDiv w:val="1"/>
      <w:marLeft w:val="0"/>
      <w:marRight w:val="0"/>
      <w:marTop w:val="0"/>
      <w:marBottom w:val="0"/>
      <w:divBdr>
        <w:top w:val="none" w:sz="0" w:space="0" w:color="auto"/>
        <w:left w:val="none" w:sz="0" w:space="0" w:color="auto"/>
        <w:bottom w:val="none" w:sz="0" w:space="0" w:color="auto"/>
        <w:right w:val="none" w:sz="0" w:space="0" w:color="auto"/>
      </w:divBdr>
    </w:div>
    <w:div w:id="880828216">
      <w:bodyDiv w:val="1"/>
      <w:marLeft w:val="0"/>
      <w:marRight w:val="0"/>
      <w:marTop w:val="0"/>
      <w:marBottom w:val="0"/>
      <w:divBdr>
        <w:top w:val="none" w:sz="0" w:space="0" w:color="auto"/>
        <w:left w:val="none" w:sz="0" w:space="0" w:color="auto"/>
        <w:bottom w:val="none" w:sz="0" w:space="0" w:color="auto"/>
        <w:right w:val="none" w:sz="0" w:space="0" w:color="auto"/>
      </w:divBdr>
    </w:div>
    <w:div w:id="894200762">
      <w:bodyDiv w:val="1"/>
      <w:marLeft w:val="0"/>
      <w:marRight w:val="0"/>
      <w:marTop w:val="0"/>
      <w:marBottom w:val="0"/>
      <w:divBdr>
        <w:top w:val="none" w:sz="0" w:space="0" w:color="auto"/>
        <w:left w:val="none" w:sz="0" w:space="0" w:color="auto"/>
        <w:bottom w:val="none" w:sz="0" w:space="0" w:color="auto"/>
        <w:right w:val="none" w:sz="0" w:space="0" w:color="auto"/>
      </w:divBdr>
    </w:div>
    <w:div w:id="894463004">
      <w:bodyDiv w:val="1"/>
      <w:marLeft w:val="0"/>
      <w:marRight w:val="0"/>
      <w:marTop w:val="0"/>
      <w:marBottom w:val="0"/>
      <w:divBdr>
        <w:top w:val="none" w:sz="0" w:space="0" w:color="auto"/>
        <w:left w:val="none" w:sz="0" w:space="0" w:color="auto"/>
        <w:bottom w:val="none" w:sz="0" w:space="0" w:color="auto"/>
        <w:right w:val="none" w:sz="0" w:space="0" w:color="auto"/>
      </w:divBdr>
      <w:divsChild>
        <w:div w:id="68617061">
          <w:marLeft w:val="0"/>
          <w:marRight w:val="0"/>
          <w:marTop w:val="0"/>
          <w:marBottom w:val="0"/>
          <w:divBdr>
            <w:top w:val="none" w:sz="0" w:space="0" w:color="auto"/>
            <w:left w:val="none" w:sz="0" w:space="0" w:color="auto"/>
            <w:bottom w:val="none" w:sz="0" w:space="0" w:color="auto"/>
            <w:right w:val="none" w:sz="0" w:space="0" w:color="auto"/>
          </w:divBdr>
          <w:divsChild>
            <w:div w:id="1053651746">
              <w:marLeft w:val="0"/>
              <w:marRight w:val="0"/>
              <w:marTop w:val="0"/>
              <w:marBottom w:val="0"/>
              <w:divBdr>
                <w:top w:val="none" w:sz="0" w:space="0" w:color="auto"/>
                <w:left w:val="none" w:sz="0" w:space="0" w:color="auto"/>
                <w:bottom w:val="none" w:sz="0" w:space="0" w:color="auto"/>
                <w:right w:val="none" w:sz="0" w:space="0" w:color="auto"/>
              </w:divBdr>
              <w:divsChild>
                <w:div w:id="443117741">
                  <w:marLeft w:val="0"/>
                  <w:marRight w:val="0"/>
                  <w:marTop w:val="0"/>
                  <w:marBottom w:val="0"/>
                  <w:divBdr>
                    <w:top w:val="none" w:sz="0" w:space="0" w:color="auto"/>
                    <w:left w:val="none" w:sz="0" w:space="0" w:color="auto"/>
                    <w:bottom w:val="none" w:sz="0" w:space="0" w:color="auto"/>
                    <w:right w:val="none" w:sz="0" w:space="0" w:color="auto"/>
                  </w:divBdr>
                  <w:divsChild>
                    <w:div w:id="302927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3639335">
      <w:bodyDiv w:val="1"/>
      <w:marLeft w:val="0"/>
      <w:marRight w:val="0"/>
      <w:marTop w:val="0"/>
      <w:marBottom w:val="0"/>
      <w:divBdr>
        <w:top w:val="none" w:sz="0" w:space="0" w:color="auto"/>
        <w:left w:val="none" w:sz="0" w:space="0" w:color="auto"/>
        <w:bottom w:val="none" w:sz="0" w:space="0" w:color="auto"/>
        <w:right w:val="none" w:sz="0" w:space="0" w:color="auto"/>
      </w:divBdr>
    </w:div>
    <w:div w:id="908031242">
      <w:bodyDiv w:val="1"/>
      <w:marLeft w:val="0"/>
      <w:marRight w:val="0"/>
      <w:marTop w:val="0"/>
      <w:marBottom w:val="0"/>
      <w:divBdr>
        <w:top w:val="none" w:sz="0" w:space="0" w:color="auto"/>
        <w:left w:val="none" w:sz="0" w:space="0" w:color="auto"/>
        <w:bottom w:val="none" w:sz="0" w:space="0" w:color="auto"/>
        <w:right w:val="none" w:sz="0" w:space="0" w:color="auto"/>
      </w:divBdr>
    </w:div>
    <w:div w:id="908077233">
      <w:bodyDiv w:val="1"/>
      <w:marLeft w:val="0"/>
      <w:marRight w:val="0"/>
      <w:marTop w:val="0"/>
      <w:marBottom w:val="0"/>
      <w:divBdr>
        <w:top w:val="none" w:sz="0" w:space="0" w:color="auto"/>
        <w:left w:val="none" w:sz="0" w:space="0" w:color="auto"/>
        <w:bottom w:val="none" w:sz="0" w:space="0" w:color="auto"/>
        <w:right w:val="none" w:sz="0" w:space="0" w:color="auto"/>
      </w:divBdr>
      <w:divsChild>
        <w:div w:id="107049868">
          <w:marLeft w:val="0"/>
          <w:marRight w:val="0"/>
          <w:marTop w:val="0"/>
          <w:marBottom w:val="0"/>
          <w:divBdr>
            <w:top w:val="none" w:sz="0" w:space="0" w:color="auto"/>
            <w:left w:val="none" w:sz="0" w:space="0" w:color="auto"/>
            <w:bottom w:val="none" w:sz="0" w:space="0" w:color="auto"/>
            <w:right w:val="none" w:sz="0" w:space="0" w:color="auto"/>
          </w:divBdr>
        </w:div>
        <w:div w:id="1616597316">
          <w:marLeft w:val="0"/>
          <w:marRight w:val="0"/>
          <w:marTop w:val="0"/>
          <w:marBottom w:val="0"/>
          <w:divBdr>
            <w:top w:val="none" w:sz="0" w:space="0" w:color="auto"/>
            <w:left w:val="none" w:sz="0" w:space="0" w:color="auto"/>
            <w:bottom w:val="none" w:sz="0" w:space="0" w:color="auto"/>
            <w:right w:val="none" w:sz="0" w:space="0" w:color="auto"/>
          </w:divBdr>
        </w:div>
        <w:div w:id="1344017402">
          <w:marLeft w:val="0"/>
          <w:marRight w:val="0"/>
          <w:marTop w:val="0"/>
          <w:marBottom w:val="0"/>
          <w:divBdr>
            <w:top w:val="none" w:sz="0" w:space="0" w:color="auto"/>
            <w:left w:val="none" w:sz="0" w:space="0" w:color="auto"/>
            <w:bottom w:val="none" w:sz="0" w:space="0" w:color="auto"/>
            <w:right w:val="none" w:sz="0" w:space="0" w:color="auto"/>
          </w:divBdr>
        </w:div>
        <w:div w:id="1737241934">
          <w:marLeft w:val="0"/>
          <w:marRight w:val="0"/>
          <w:marTop w:val="0"/>
          <w:marBottom w:val="0"/>
          <w:divBdr>
            <w:top w:val="none" w:sz="0" w:space="0" w:color="auto"/>
            <w:left w:val="none" w:sz="0" w:space="0" w:color="auto"/>
            <w:bottom w:val="none" w:sz="0" w:space="0" w:color="auto"/>
            <w:right w:val="none" w:sz="0" w:space="0" w:color="auto"/>
          </w:divBdr>
        </w:div>
        <w:div w:id="156195889">
          <w:marLeft w:val="0"/>
          <w:marRight w:val="0"/>
          <w:marTop w:val="0"/>
          <w:marBottom w:val="0"/>
          <w:divBdr>
            <w:top w:val="none" w:sz="0" w:space="0" w:color="auto"/>
            <w:left w:val="none" w:sz="0" w:space="0" w:color="auto"/>
            <w:bottom w:val="none" w:sz="0" w:space="0" w:color="auto"/>
            <w:right w:val="none" w:sz="0" w:space="0" w:color="auto"/>
          </w:divBdr>
        </w:div>
        <w:div w:id="2001617834">
          <w:marLeft w:val="0"/>
          <w:marRight w:val="0"/>
          <w:marTop w:val="0"/>
          <w:marBottom w:val="0"/>
          <w:divBdr>
            <w:top w:val="none" w:sz="0" w:space="0" w:color="auto"/>
            <w:left w:val="none" w:sz="0" w:space="0" w:color="auto"/>
            <w:bottom w:val="none" w:sz="0" w:space="0" w:color="auto"/>
            <w:right w:val="none" w:sz="0" w:space="0" w:color="auto"/>
          </w:divBdr>
        </w:div>
        <w:div w:id="1879929432">
          <w:blockQuote w:val="1"/>
          <w:marLeft w:val="600"/>
          <w:marRight w:val="0"/>
          <w:marTop w:val="0"/>
          <w:marBottom w:val="0"/>
          <w:divBdr>
            <w:top w:val="none" w:sz="0" w:space="0" w:color="auto"/>
            <w:left w:val="none" w:sz="0" w:space="0" w:color="auto"/>
            <w:bottom w:val="none" w:sz="0" w:space="0" w:color="auto"/>
            <w:right w:val="none" w:sz="0" w:space="0" w:color="auto"/>
          </w:divBdr>
          <w:divsChild>
            <w:div w:id="1840196297">
              <w:blockQuote w:val="1"/>
              <w:marLeft w:val="600"/>
              <w:marRight w:val="0"/>
              <w:marTop w:val="0"/>
              <w:marBottom w:val="0"/>
              <w:divBdr>
                <w:top w:val="none" w:sz="0" w:space="0" w:color="auto"/>
                <w:left w:val="none" w:sz="0" w:space="0" w:color="auto"/>
                <w:bottom w:val="none" w:sz="0" w:space="0" w:color="auto"/>
                <w:right w:val="none" w:sz="0" w:space="0" w:color="auto"/>
              </w:divBdr>
              <w:divsChild>
                <w:div w:id="213058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198083">
          <w:marLeft w:val="0"/>
          <w:marRight w:val="0"/>
          <w:marTop w:val="0"/>
          <w:marBottom w:val="0"/>
          <w:divBdr>
            <w:top w:val="none" w:sz="0" w:space="0" w:color="auto"/>
            <w:left w:val="none" w:sz="0" w:space="0" w:color="auto"/>
            <w:bottom w:val="none" w:sz="0" w:space="0" w:color="auto"/>
            <w:right w:val="none" w:sz="0" w:space="0" w:color="auto"/>
          </w:divBdr>
          <w:divsChild>
            <w:div w:id="976565194">
              <w:marLeft w:val="0"/>
              <w:marRight w:val="0"/>
              <w:marTop w:val="0"/>
              <w:marBottom w:val="0"/>
              <w:divBdr>
                <w:top w:val="none" w:sz="0" w:space="0" w:color="auto"/>
                <w:left w:val="none" w:sz="0" w:space="0" w:color="auto"/>
                <w:bottom w:val="none" w:sz="0" w:space="0" w:color="auto"/>
                <w:right w:val="none" w:sz="0" w:space="0" w:color="auto"/>
              </w:divBdr>
            </w:div>
          </w:divsChild>
        </w:div>
        <w:div w:id="430862631">
          <w:marLeft w:val="0"/>
          <w:marRight w:val="0"/>
          <w:marTop w:val="0"/>
          <w:marBottom w:val="0"/>
          <w:divBdr>
            <w:top w:val="none" w:sz="0" w:space="0" w:color="auto"/>
            <w:left w:val="none" w:sz="0" w:space="0" w:color="auto"/>
            <w:bottom w:val="none" w:sz="0" w:space="0" w:color="auto"/>
            <w:right w:val="none" w:sz="0" w:space="0" w:color="auto"/>
          </w:divBdr>
        </w:div>
        <w:div w:id="326515371">
          <w:marLeft w:val="0"/>
          <w:marRight w:val="0"/>
          <w:marTop w:val="0"/>
          <w:marBottom w:val="0"/>
          <w:divBdr>
            <w:top w:val="none" w:sz="0" w:space="0" w:color="auto"/>
            <w:left w:val="none" w:sz="0" w:space="0" w:color="auto"/>
            <w:bottom w:val="none" w:sz="0" w:space="0" w:color="auto"/>
            <w:right w:val="none" w:sz="0" w:space="0" w:color="auto"/>
          </w:divBdr>
        </w:div>
        <w:div w:id="1324821586">
          <w:marLeft w:val="0"/>
          <w:marRight w:val="0"/>
          <w:marTop w:val="0"/>
          <w:marBottom w:val="0"/>
          <w:divBdr>
            <w:top w:val="none" w:sz="0" w:space="0" w:color="auto"/>
            <w:left w:val="none" w:sz="0" w:space="0" w:color="auto"/>
            <w:bottom w:val="none" w:sz="0" w:space="0" w:color="auto"/>
            <w:right w:val="none" w:sz="0" w:space="0" w:color="auto"/>
          </w:divBdr>
        </w:div>
        <w:div w:id="1307587085">
          <w:marLeft w:val="0"/>
          <w:marRight w:val="0"/>
          <w:marTop w:val="0"/>
          <w:marBottom w:val="0"/>
          <w:divBdr>
            <w:top w:val="none" w:sz="0" w:space="0" w:color="auto"/>
            <w:left w:val="none" w:sz="0" w:space="0" w:color="auto"/>
            <w:bottom w:val="none" w:sz="0" w:space="0" w:color="auto"/>
            <w:right w:val="none" w:sz="0" w:space="0" w:color="auto"/>
          </w:divBdr>
        </w:div>
        <w:div w:id="1286736096">
          <w:blockQuote w:val="1"/>
          <w:marLeft w:val="600"/>
          <w:marRight w:val="0"/>
          <w:marTop w:val="0"/>
          <w:marBottom w:val="0"/>
          <w:divBdr>
            <w:top w:val="none" w:sz="0" w:space="0" w:color="auto"/>
            <w:left w:val="none" w:sz="0" w:space="0" w:color="auto"/>
            <w:bottom w:val="none" w:sz="0" w:space="0" w:color="auto"/>
            <w:right w:val="none" w:sz="0" w:space="0" w:color="auto"/>
          </w:divBdr>
          <w:divsChild>
            <w:div w:id="1149979592">
              <w:marLeft w:val="0"/>
              <w:marRight w:val="0"/>
              <w:marTop w:val="0"/>
              <w:marBottom w:val="0"/>
              <w:divBdr>
                <w:top w:val="none" w:sz="0" w:space="0" w:color="auto"/>
                <w:left w:val="none" w:sz="0" w:space="0" w:color="auto"/>
                <w:bottom w:val="none" w:sz="0" w:space="0" w:color="auto"/>
                <w:right w:val="none" w:sz="0" w:space="0" w:color="auto"/>
              </w:divBdr>
            </w:div>
            <w:div w:id="1956398870">
              <w:marLeft w:val="0"/>
              <w:marRight w:val="0"/>
              <w:marTop w:val="0"/>
              <w:marBottom w:val="0"/>
              <w:divBdr>
                <w:top w:val="none" w:sz="0" w:space="0" w:color="auto"/>
                <w:left w:val="none" w:sz="0" w:space="0" w:color="auto"/>
                <w:bottom w:val="none" w:sz="0" w:space="0" w:color="auto"/>
                <w:right w:val="none" w:sz="0" w:space="0" w:color="auto"/>
              </w:divBdr>
              <w:divsChild>
                <w:div w:id="1161695763">
                  <w:marLeft w:val="0"/>
                  <w:marRight w:val="0"/>
                  <w:marTop w:val="0"/>
                  <w:marBottom w:val="0"/>
                  <w:divBdr>
                    <w:top w:val="none" w:sz="0" w:space="0" w:color="auto"/>
                    <w:left w:val="none" w:sz="0" w:space="0" w:color="auto"/>
                    <w:bottom w:val="none" w:sz="0" w:space="0" w:color="auto"/>
                    <w:right w:val="none" w:sz="0" w:space="0" w:color="auto"/>
                  </w:divBdr>
                </w:div>
              </w:divsChild>
            </w:div>
            <w:div w:id="1202983241">
              <w:marLeft w:val="0"/>
              <w:marRight w:val="0"/>
              <w:marTop w:val="0"/>
              <w:marBottom w:val="0"/>
              <w:divBdr>
                <w:top w:val="none" w:sz="0" w:space="0" w:color="auto"/>
                <w:left w:val="none" w:sz="0" w:space="0" w:color="auto"/>
                <w:bottom w:val="none" w:sz="0" w:space="0" w:color="auto"/>
                <w:right w:val="none" w:sz="0" w:space="0" w:color="auto"/>
              </w:divBdr>
              <w:divsChild>
                <w:div w:id="870260073">
                  <w:marLeft w:val="0"/>
                  <w:marRight w:val="0"/>
                  <w:marTop w:val="0"/>
                  <w:marBottom w:val="0"/>
                  <w:divBdr>
                    <w:top w:val="none" w:sz="0" w:space="0" w:color="auto"/>
                    <w:left w:val="none" w:sz="0" w:space="0" w:color="auto"/>
                    <w:bottom w:val="none" w:sz="0" w:space="0" w:color="auto"/>
                    <w:right w:val="none" w:sz="0" w:space="0" w:color="auto"/>
                  </w:divBdr>
                </w:div>
              </w:divsChild>
            </w:div>
            <w:div w:id="160315264">
              <w:marLeft w:val="0"/>
              <w:marRight w:val="0"/>
              <w:marTop w:val="0"/>
              <w:marBottom w:val="0"/>
              <w:divBdr>
                <w:top w:val="none" w:sz="0" w:space="0" w:color="auto"/>
                <w:left w:val="none" w:sz="0" w:space="0" w:color="auto"/>
                <w:bottom w:val="none" w:sz="0" w:space="0" w:color="auto"/>
                <w:right w:val="none" w:sz="0" w:space="0" w:color="auto"/>
              </w:divBdr>
              <w:divsChild>
                <w:div w:id="537858833">
                  <w:marLeft w:val="0"/>
                  <w:marRight w:val="0"/>
                  <w:marTop w:val="0"/>
                  <w:marBottom w:val="0"/>
                  <w:divBdr>
                    <w:top w:val="none" w:sz="0" w:space="0" w:color="auto"/>
                    <w:left w:val="none" w:sz="0" w:space="0" w:color="auto"/>
                    <w:bottom w:val="none" w:sz="0" w:space="0" w:color="auto"/>
                    <w:right w:val="none" w:sz="0" w:space="0" w:color="auto"/>
                  </w:divBdr>
                </w:div>
              </w:divsChild>
            </w:div>
            <w:div w:id="1490824001">
              <w:marLeft w:val="0"/>
              <w:marRight w:val="0"/>
              <w:marTop w:val="0"/>
              <w:marBottom w:val="0"/>
              <w:divBdr>
                <w:top w:val="none" w:sz="0" w:space="0" w:color="auto"/>
                <w:left w:val="none" w:sz="0" w:space="0" w:color="auto"/>
                <w:bottom w:val="none" w:sz="0" w:space="0" w:color="auto"/>
                <w:right w:val="none" w:sz="0" w:space="0" w:color="auto"/>
              </w:divBdr>
              <w:divsChild>
                <w:div w:id="950283583">
                  <w:marLeft w:val="0"/>
                  <w:marRight w:val="0"/>
                  <w:marTop w:val="0"/>
                  <w:marBottom w:val="0"/>
                  <w:divBdr>
                    <w:top w:val="none" w:sz="0" w:space="0" w:color="auto"/>
                    <w:left w:val="none" w:sz="0" w:space="0" w:color="auto"/>
                    <w:bottom w:val="none" w:sz="0" w:space="0" w:color="auto"/>
                    <w:right w:val="none" w:sz="0" w:space="0" w:color="auto"/>
                  </w:divBdr>
                </w:div>
              </w:divsChild>
            </w:div>
            <w:div w:id="1152714880">
              <w:marLeft w:val="0"/>
              <w:marRight w:val="0"/>
              <w:marTop w:val="0"/>
              <w:marBottom w:val="0"/>
              <w:divBdr>
                <w:top w:val="none" w:sz="0" w:space="0" w:color="auto"/>
                <w:left w:val="none" w:sz="0" w:space="0" w:color="auto"/>
                <w:bottom w:val="none" w:sz="0" w:space="0" w:color="auto"/>
                <w:right w:val="none" w:sz="0" w:space="0" w:color="auto"/>
              </w:divBdr>
              <w:divsChild>
                <w:div w:id="1967663148">
                  <w:marLeft w:val="0"/>
                  <w:marRight w:val="0"/>
                  <w:marTop w:val="0"/>
                  <w:marBottom w:val="0"/>
                  <w:divBdr>
                    <w:top w:val="none" w:sz="0" w:space="0" w:color="auto"/>
                    <w:left w:val="none" w:sz="0" w:space="0" w:color="auto"/>
                    <w:bottom w:val="none" w:sz="0" w:space="0" w:color="auto"/>
                    <w:right w:val="none" w:sz="0" w:space="0" w:color="auto"/>
                  </w:divBdr>
                </w:div>
              </w:divsChild>
            </w:div>
            <w:div w:id="1668971667">
              <w:marLeft w:val="0"/>
              <w:marRight w:val="0"/>
              <w:marTop w:val="0"/>
              <w:marBottom w:val="0"/>
              <w:divBdr>
                <w:top w:val="none" w:sz="0" w:space="0" w:color="auto"/>
                <w:left w:val="none" w:sz="0" w:space="0" w:color="auto"/>
                <w:bottom w:val="none" w:sz="0" w:space="0" w:color="auto"/>
                <w:right w:val="none" w:sz="0" w:space="0" w:color="auto"/>
              </w:divBdr>
              <w:divsChild>
                <w:div w:id="440272178">
                  <w:marLeft w:val="0"/>
                  <w:marRight w:val="0"/>
                  <w:marTop w:val="0"/>
                  <w:marBottom w:val="0"/>
                  <w:divBdr>
                    <w:top w:val="none" w:sz="0" w:space="0" w:color="auto"/>
                    <w:left w:val="none" w:sz="0" w:space="0" w:color="auto"/>
                    <w:bottom w:val="none" w:sz="0" w:space="0" w:color="auto"/>
                    <w:right w:val="none" w:sz="0" w:space="0" w:color="auto"/>
                  </w:divBdr>
                </w:div>
              </w:divsChild>
            </w:div>
            <w:div w:id="1186940294">
              <w:marLeft w:val="0"/>
              <w:marRight w:val="0"/>
              <w:marTop w:val="0"/>
              <w:marBottom w:val="0"/>
              <w:divBdr>
                <w:top w:val="none" w:sz="0" w:space="0" w:color="auto"/>
                <w:left w:val="none" w:sz="0" w:space="0" w:color="auto"/>
                <w:bottom w:val="none" w:sz="0" w:space="0" w:color="auto"/>
                <w:right w:val="none" w:sz="0" w:space="0" w:color="auto"/>
              </w:divBdr>
              <w:divsChild>
                <w:div w:id="1047024097">
                  <w:marLeft w:val="0"/>
                  <w:marRight w:val="0"/>
                  <w:marTop w:val="0"/>
                  <w:marBottom w:val="0"/>
                  <w:divBdr>
                    <w:top w:val="none" w:sz="0" w:space="0" w:color="auto"/>
                    <w:left w:val="none" w:sz="0" w:space="0" w:color="auto"/>
                    <w:bottom w:val="none" w:sz="0" w:space="0" w:color="auto"/>
                    <w:right w:val="none" w:sz="0" w:space="0" w:color="auto"/>
                  </w:divBdr>
                </w:div>
              </w:divsChild>
            </w:div>
            <w:div w:id="1456099100">
              <w:marLeft w:val="0"/>
              <w:marRight w:val="0"/>
              <w:marTop w:val="0"/>
              <w:marBottom w:val="0"/>
              <w:divBdr>
                <w:top w:val="none" w:sz="0" w:space="0" w:color="auto"/>
                <w:left w:val="none" w:sz="0" w:space="0" w:color="auto"/>
                <w:bottom w:val="none" w:sz="0" w:space="0" w:color="auto"/>
                <w:right w:val="none" w:sz="0" w:space="0" w:color="auto"/>
              </w:divBdr>
              <w:divsChild>
                <w:div w:id="1202792286">
                  <w:marLeft w:val="0"/>
                  <w:marRight w:val="0"/>
                  <w:marTop w:val="0"/>
                  <w:marBottom w:val="0"/>
                  <w:divBdr>
                    <w:top w:val="none" w:sz="0" w:space="0" w:color="auto"/>
                    <w:left w:val="none" w:sz="0" w:space="0" w:color="auto"/>
                    <w:bottom w:val="none" w:sz="0" w:space="0" w:color="auto"/>
                    <w:right w:val="none" w:sz="0" w:space="0" w:color="auto"/>
                  </w:divBdr>
                </w:div>
              </w:divsChild>
            </w:div>
            <w:div w:id="374240490">
              <w:marLeft w:val="0"/>
              <w:marRight w:val="0"/>
              <w:marTop w:val="0"/>
              <w:marBottom w:val="0"/>
              <w:divBdr>
                <w:top w:val="none" w:sz="0" w:space="0" w:color="auto"/>
                <w:left w:val="none" w:sz="0" w:space="0" w:color="auto"/>
                <w:bottom w:val="none" w:sz="0" w:space="0" w:color="auto"/>
                <w:right w:val="none" w:sz="0" w:space="0" w:color="auto"/>
              </w:divBdr>
              <w:divsChild>
                <w:div w:id="197670843">
                  <w:marLeft w:val="0"/>
                  <w:marRight w:val="0"/>
                  <w:marTop w:val="0"/>
                  <w:marBottom w:val="0"/>
                  <w:divBdr>
                    <w:top w:val="none" w:sz="0" w:space="0" w:color="auto"/>
                    <w:left w:val="none" w:sz="0" w:space="0" w:color="auto"/>
                    <w:bottom w:val="none" w:sz="0" w:space="0" w:color="auto"/>
                    <w:right w:val="none" w:sz="0" w:space="0" w:color="auto"/>
                  </w:divBdr>
                </w:div>
              </w:divsChild>
            </w:div>
            <w:div w:id="1424649863">
              <w:marLeft w:val="0"/>
              <w:marRight w:val="0"/>
              <w:marTop w:val="0"/>
              <w:marBottom w:val="0"/>
              <w:divBdr>
                <w:top w:val="none" w:sz="0" w:space="0" w:color="auto"/>
                <w:left w:val="none" w:sz="0" w:space="0" w:color="auto"/>
                <w:bottom w:val="none" w:sz="0" w:space="0" w:color="auto"/>
                <w:right w:val="none" w:sz="0" w:space="0" w:color="auto"/>
              </w:divBdr>
            </w:div>
          </w:divsChild>
        </w:div>
        <w:div w:id="2016032639">
          <w:marLeft w:val="0"/>
          <w:marRight w:val="0"/>
          <w:marTop w:val="0"/>
          <w:marBottom w:val="0"/>
          <w:divBdr>
            <w:top w:val="none" w:sz="0" w:space="0" w:color="auto"/>
            <w:left w:val="none" w:sz="0" w:space="0" w:color="auto"/>
            <w:bottom w:val="none" w:sz="0" w:space="0" w:color="auto"/>
            <w:right w:val="none" w:sz="0" w:space="0" w:color="auto"/>
          </w:divBdr>
        </w:div>
        <w:div w:id="661616329">
          <w:marLeft w:val="0"/>
          <w:marRight w:val="0"/>
          <w:marTop w:val="0"/>
          <w:marBottom w:val="0"/>
          <w:divBdr>
            <w:top w:val="none" w:sz="0" w:space="0" w:color="auto"/>
            <w:left w:val="none" w:sz="0" w:space="0" w:color="auto"/>
            <w:bottom w:val="none" w:sz="0" w:space="0" w:color="auto"/>
            <w:right w:val="none" w:sz="0" w:space="0" w:color="auto"/>
          </w:divBdr>
        </w:div>
      </w:divsChild>
    </w:div>
    <w:div w:id="912814326">
      <w:bodyDiv w:val="1"/>
      <w:marLeft w:val="0"/>
      <w:marRight w:val="0"/>
      <w:marTop w:val="0"/>
      <w:marBottom w:val="0"/>
      <w:divBdr>
        <w:top w:val="none" w:sz="0" w:space="0" w:color="auto"/>
        <w:left w:val="none" w:sz="0" w:space="0" w:color="auto"/>
        <w:bottom w:val="none" w:sz="0" w:space="0" w:color="auto"/>
        <w:right w:val="none" w:sz="0" w:space="0" w:color="auto"/>
      </w:divBdr>
    </w:div>
    <w:div w:id="914507731">
      <w:bodyDiv w:val="1"/>
      <w:marLeft w:val="0"/>
      <w:marRight w:val="0"/>
      <w:marTop w:val="0"/>
      <w:marBottom w:val="0"/>
      <w:divBdr>
        <w:top w:val="none" w:sz="0" w:space="0" w:color="auto"/>
        <w:left w:val="none" w:sz="0" w:space="0" w:color="auto"/>
        <w:bottom w:val="none" w:sz="0" w:space="0" w:color="auto"/>
        <w:right w:val="none" w:sz="0" w:space="0" w:color="auto"/>
      </w:divBdr>
    </w:div>
    <w:div w:id="923296817">
      <w:bodyDiv w:val="1"/>
      <w:marLeft w:val="0"/>
      <w:marRight w:val="0"/>
      <w:marTop w:val="0"/>
      <w:marBottom w:val="0"/>
      <w:divBdr>
        <w:top w:val="none" w:sz="0" w:space="0" w:color="auto"/>
        <w:left w:val="none" w:sz="0" w:space="0" w:color="auto"/>
        <w:bottom w:val="none" w:sz="0" w:space="0" w:color="auto"/>
        <w:right w:val="none" w:sz="0" w:space="0" w:color="auto"/>
      </w:divBdr>
    </w:div>
    <w:div w:id="925843760">
      <w:bodyDiv w:val="1"/>
      <w:marLeft w:val="0"/>
      <w:marRight w:val="0"/>
      <w:marTop w:val="0"/>
      <w:marBottom w:val="0"/>
      <w:divBdr>
        <w:top w:val="none" w:sz="0" w:space="0" w:color="auto"/>
        <w:left w:val="none" w:sz="0" w:space="0" w:color="auto"/>
        <w:bottom w:val="none" w:sz="0" w:space="0" w:color="auto"/>
        <w:right w:val="none" w:sz="0" w:space="0" w:color="auto"/>
      </w:divBdr>
    </w:div>
    <w:div w:id="926963219">
      <w:bodyDiv w:val="1"/>
      <w:marLeft w:val="0"/>
      <w:marRight w:val="0"/>
      <w:marTop w:val="0"/>
      <w:marBottom w:val="0"/>
      <w:divBdr>
        <w:top w:val="none" w:sz="0" w:space="0" w:color="auto"/>
        <w:left w:val="none" w:sz="0" w:space="0" w:color="auto"/>
        <w:bottom w:val="none" w:sz="0" w:space="0" w:color="auto"/>
        <w:right w:val="none" w:sz="0" w:space="0" w:color="auto"/>
      </w:divBdr>
    </w:div>
    <w:div w:id="929391487">
      <w:bodyDiv w:val="1"/>
      <w:marLeft w:val="0"/>
      <w:marRight w:val="0"/>
      <w:marTop w:val="0"/>
      <w:marBottom w:val="0"/>
      <w:divBdr>
        <w:top w:val="none" w:sz="0" w:space="0" w:color="auto"/>
        <w:left w:val="none" w:sz="0" w:space="0" w:color="auto"/>
        <w:bottom w:val="none" w:sz="0" w:space="0" w:color="auto"/>
        <w:right w:val="none" w:sz="0" w:space="0" w:color="auto"/>
      </w:divBdr>
    </w:div>
    <w:div w:id="936907508">
      <w:bodyDiv w:val="1"/>
      <w:marLeft w:val="0"/>
      <w:marRight w:val="0"/>
      <w:marTop w:val="0"/>
      <w:marBottom w:val="0"/>
      <w:divBdr>
        <w:top w:val="none" w:sz="0" w:space="0" w:color="auto"/>
        <w:left w:val="none" w:sz="0" w:space="0" w:color="auto"/>
        <w:bottom w:val="none" w:sz="0" w:space="0" w:color="auto"/>
        <w:right w:val="none" w:sz="0" w:space="0" w:color="auto"/>
      </w:divBdr>
    </w:div>
    <w:div w:id="937761289">
      <w:bodyDiv w:val="1"/>
      <w:marLeft w:val="0"/>
      <w:marRight w:val="0"/>
      <w:marTop w:val="0"/>
      <w:marBottom w:val="0"/>
      <w:divBdr>
        <w:top w:val="none" w:sz="0" w:space="0" w:color="auto"/>
        <w:left w:val="none" w:sz="0" w:space="0" w:color="auto"/>
        <w:bottom w:val="none" w:sz="0" w:space="0" w:color="auto"/>
        <w:right w:val="none" w:sz="0" w:space="0" w:color="auto"/>
      </w:divBdr>
    </w:div>
    <w:div w:id="950555619">
      <w:bodyDiv w:val="1"/>
      <w:marLeft w:val="0"/>
      <w:marRight w:val="0"/>
      <w:marTop w:val="0"/>
      <w:marBottom w:val="0"/>
      <w:divBdr>
        <w:top w:val="none" w:sz="0" w:space="0" w:color="auto"/>
        <w:left w:val="none" w:sz="0" w:space="0" w:color="auto"/>
        <w:bottom w:val="none" w:sz="0" w:space="0" w:color="auto"/>
        <w:right w:val="none" w:sz="0" w:space="0" w:color="auto"/>
      </w:divBdr>
      <w:divsChild>
        <w:div w:id="1951550144">
          <w:marLeft w:val="0"/>
          <w:marRight w:val="0"/>
          <w:marTop w:val="0"/>
          <w:marBottom w:val="0"/>
          <w:divBdr>
            <w:top w:val="none" w:sz="0" w:space="0" w:color="auto"/>
            <w:left w:val="none" w:sz="0" w:space="0" w:color="auto"/>
            <w:bottom w:val="none" w:sz="0" w:space="0" w:color="auto"/>
            <w:right w:val="none" w:sz="0" w:space="0" w:color="auto"/>
          </w:divBdr>
        </w:div>
      </w:divsChild>
    </w:div>
    <w:div w:id="951285824">
      <w:bodyDiv w:val="1"/>
      <w:marLeft w:val="0"/>
      <w:marRight w:val="0"/>
      <w:marTop w:val="0"/>
      <w:marBottom w:val="0"/>
      <w:divBdr>
        <w:top w:val="none" w:sz="0" w:space="0" w:color="auto"/>
        <w:left w:val="none" w:sz="0" w:space="0" w:color="auto"/>
        <w:bottom w:val="none" w:sz="0" w:space="0" w:color="auto"/>
        <w:right w:val="none" w:sz="0" w:space="0" w:color="auto"/>
      </w:divBdr>
    </w:div>
    <w:div w:id="961688723">
      <w:bodyDiv w:val="1"/>
      <w:marLeft w:val="0"/>
      <w:marRight w:val="0"/>
      <w:marTop w:val="0"/>
      <w:marBottom w:val="0"/>
      <w:divBdr>
        <w:top w:val="none" w:sz="0" w:space="0" w:color="auto"/>
        <w:left w:val="none" w:sz="0" w:space="0" w:color="auto"/>
        <w:bottom w:val="none" w:sz="0" w:space="0" w:color="auto"/>
        <w:right w:val="none" w:sz="0" w:space="0" w:color="auto"/>
      </w:divBdr>
    </w:div>
    <w:div w:id="971322482">
      <w:bodyDiv w:val="1"/>
      <w:marLeft w:val="0"/>
      <w:marRight w:val="0"/>
      <w:marTop w:val="0"/>
      <w:marBottom w:val="0"/>
      <w:divBdr>
        <w:top w:val="none" w:sz="0" w:space="0" w:color="auto"/>
        <w:left w:val="none" w:sz="0" w:space="0" w:color="auto"/>
        <w:bottom w:val="none" w:sz="0" w:space="0" w:color="auto"/>
        <w:right w:val="none" w:sz="0" w:space="0" w:color="auto"/>
      </w:divBdr>
    </w:div>
    <w:div w:id="976226310">
      <w:bodyDiv w:val="1"/>
      <w:marLeft w:val="0"/>
      <w:marRight w:val="0"/>
      <w:marTop w:val="0"/>
      <w:marBottom w:val="0"/>
      <w:divBdr>
        <w:top w:val="none" w:sz="0" w:space="0" w:color="auto"/>
        <w:left w:val="none" w:sz="0" w:space="0" w:color="auto"/>
        <w:bottom w:val="none" w:sz="0" w:space="0" w:color="auto"/>
        <w:right w:val="none" w:sz="0" w:space="0" w:color="auto"/>
      </w:divBdr>
    </w:div>
    <w:div w:id="978649649">
      <w:bodyDiv w:val="1"/>
      <w:marLeft w:val="0"/>
      <w:marRight w:val="0"/>
      <w:marTop w:val="0"/>
      <w:marBottom w:val="0"/>
      <w:divBdr>
        <w:top w:val="none" w:sz="0" w:space="0" w:color="auto"/>
        <w:left w:val="none" w:sz="0" w:space="0" w:color="auto"/>
        <w:bottom w:val="none" w:sz="0" w:space="0" w:color="auto"/>
        <w:right w:val="none" w:sz="0" w:space="0" w:color="auto"/>
      </w:divBdr>
      <w:divsChild>
        <w:div w:id="533228353">
          <w:marLeft w:val="0"/>
          <w:marRight w:val="0"/>
          <w:marTop w:val="0"/>
          <w:marBottom w:val="0"/>
          <w:divBdr>
            <w:top w:val="none" w:sz="0" w:space="0" w:color="auto"/>
            <w:left w:val="none" w:sz="0" w:space="0" w:color="auto"/>
            <w:bottom w:val="none" w:sz="0" w:space="0" w:color="auto"/>
            <w:right w:val="none" w:sz="0" w:space="0" w:color="auto"/>
          </w:divBdr>
          <w:divsChild>
            <w:div w:id="1335378469">
              <w:marLeft w:val="0"/>
              <w:marRight w:val="0"/>
              <w:marTop w:val="0"/>
              <w:marBottom w:val="0"/>
              <w:divBdr>
                <w:top w:val="none" w:sz="0" w:space="0" w:color="auto"/>
                <w:left w:val="none" w:sz="0" w:space="0" w:color="auto"/>
                <w:bottom w:val="none" w:sz="0" w:space="0" w:color="auto"/>
                <w:right w:val="none" w:sz="0" w:space="0" w:color="auto"/>
              </w:divBdr>
              <w:divsChild>
                <w:div w:id="125883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9262557">
      <w:bodyDiv w:val="1"/>
      <w:marLeft w:val="0"/>
      <w:marRight w:val="0"/>
      <w:marTop w:val="0"/>
      <w:marBottom w:val="0"/>
      <w:divBdr>
        <w:top w:val="none" w:sz="0" w:space="0" w:color="auto"/>
        <w:left w:val="none" w:sz="0" w:space="0" w:color="auto"/>
        <w:bottom w:val="none" w:sz="0" w:space="0" w:color="auto"/>
        <w:right w:val="none" w:sz="0" w:space="0" w:color="auto"/>
      </w:divBdr>
    </w:div>
    <w:div w:id="988940388">
      <w:bodyDiv w:val="1"/>
      <w:marLeft w:val="0"/>
      <w:marRight w:val="0"/>
      <w:marTop w:val="0"/>
      <w:marBottom w:val="0"/>
      <w:divBdr>
        <w:top w:val="none" w:sz="0" w:space="0" w:color="auto"/>
        <w:left w:val="none" w:sz="0" w:space="0" w:color="auto"/>
        <w:bottom w:val="none" w:sz="0" w:space="0" w:color="auto"/>
        <w:right w:val="none" w:sz="0" w:space="0" w:color="auto"/>
      </w:divBdr>
    </w:div>
    <w:div w:id="991757469">
      <w:bodyDiv w:val="1"/>
      <w:marLeft w:val="0"/>
      <w:marRight w:val="0"/>
      <w:marTop w:val="0"/>
      <w:marBottom w:val="0"/>
      <w:divBdr>
        <w:top w:val="none" w:sz="0" w:space="0" w:color="auto"/>
        <w:left w:val="none" w:sz="0" w:space="0" w:color="auto"/>
        <w:bottom w:val="none" w:sz="0" w:space="0" w:color="auto"/>
        <w:right w:val="none" w:sz="0" w:space="0" w:color="auto"/>
      </w:divBdr>
    </w:div>
    <w:div w:id="1006009464">
      <w:bodyDiv w:val="1"/>
      <w:marLeft w:val="0"/>
      <w:marRight w:val="0"/>
      <w:marTop w:val="0"/>
      <w:marBottom w:val="0"/>
      <w:divBdr>
        <w:top w:val="none" w:sz="0" w:space="0" w:color="auto"/>
        <w:left w:val="none" w:sz="0" w:space="0" w:color="auto"/>
        <w:bottom w:val="none" w:sz="0" w:space="0" w:color="auto"/>
        <w:right w:val="none" w:sz="0" w:space="0" w:color="auto"/>
      </w:divBdr>
      <w:divsChild>
        <w:div w:id="1228147876">
          <w:marLeft w:val="0"/>
          <w:marRight w:val="0"/>
          <w:marTop w:val="0"/>
          <w:marBottom w:val="0"/>
          <w:divBdr>
            <w:top w:val="none" w:sz="0" w:space="0" w:color="auto"/>
            <w:left w:val="none" w:sz="0" w:space="0" w:color="auto"/>
            <w:bottom w:val="none" w:sz="0" w:space="0" w:color="auto"/>
            <w:right w:val="none" w:sz="0" w:space="0" w:color="auto"/>
          </w:divBdr>
          <w:divsChild>
            <w:div w:id="1104544632">
              <w:marLeft w:val="0"/>
              <w:marRight w:val="0"/>
              <w:marTop w:val="0"/>
              <w:marBottom w:val="0"/>
              <w:divBdr>
                <w:top w:val="none" w:sz="0" w:space="0" w:color="auto"/>
                <w:left w:val="none" w:sz="0" w:space="0" w:color="auto"/>
                <w:bottom w:val="none" w:sz="0" w:space="0" w:color="auto"/>
                <w:right w:val="none" w:sz="0" w:space="0" w:color="auto"/>
              </w:divBdr>
              <w:divsChild>
                <w:div w:id="1115947508">
                  <w:marLeft w:val="0"/>
                  <w:marRight w:val="0"/>
                  <w:marTop w:val="0"/>
                  <w:marBottom w:val="0"/>
                  <w:divBdr>
                    <w:top w:val="none" w:sz="0" w:space="0" w:color="auto"/>
                    <w:left w:val="none" w:sz="0" w:space="0" w:color="auto"/>
                    <w:bottom w:val="none" w:sz="0" w:space="0" w:color="auto"/>
                    <w:right w:val="none" w:sz="0" w:space="0" w:color="auto"/>
                  </w:divBdr>
                </w:div>
                <w:div w:id="1944338690">
                  <w:marLeft w:val="0"/>
                  <w:marRight w:val="0"/>
                  <w:marTop w:val="0"/>
                  <w:marBottom w:val="0"/>
                  <w:divBdr>
                    <w:top w:val="none" w:sz="0" w:space="0" w:color="auto"/>
                    <w:left w:val="none" w:sz="0" w:space="0" w:color="auto"/>
                    <w:bottom w:val="none" w:sz="0" w:space="0" w:color="auto"/>
                    <w:right w:val="none" w:sz="0" w:space="0" w:color="auto"/>
                  </w:divBdr>
                </w:div>
                <w:div w:id="2110196357">
                  <w:marLeft w:val="0"/>
                  <w:marRight w:val="0"/>
                  <w:marTop w:val="0"/>
                  <w:marBottom w:val="0"/>
                  <w:divBdr>
                    <w:top w:val="none" w:sz="0" w:space="0" w:color="auto"/>
                    <w:left w:val="none" w:sz="0" w:space="0" w:color="auto"/>
                    <w:bottom w:val="none" w:sz="0" w:space="0" w:color="auto"/>
                    <w:right w:val="none" w:sz="0" w:space="0" w:color="auto"/>
                  </w:divBdr>
                </w:div>
                <w:div w:id="244340040">
                  <w:marLeft w:val="0"/>
                  <w:marRight w:val="0"/>
                  <w:marTop w:val="0"/>
                  <w:marBottom w:val="0"/>
                  <w:divBdr>
                    <w:top w:val="none" w:sz="0" w:space="0" w:color="auto"/>
                    <w:left w:val="none" w:sz="0" w:space="0" w:color="auto"/>
                    <w:bottom w:val="none" w:sz="0" w:space="0" w:color="auto"/>
                    <w:right w:val="none" w:sz="0" w:space="0" w:color="auto"/>
                  </w:divBdr>
                </w:div>
              </w:divsChild>
            </w:div>
            <w:div w:id="1845853470">
              <w:marLeft w:val="0"/>
              <w:marRight w:val="0"/>
              <w:marTop w:val="0"/>
              <w:marBottom w:val="0"/>
              <w:divBdr>
                <w:top w:val="none" w:sz="0" w:space="0" w:color="auto"/>
                <w:left w:val="none" w:sz="0" w:space="0" w:color="auto"/>
                <w:bottom w:val="none" w:sz="0" w:space="0" w:color="auto"/>
                <w:right w:val="none" w:sz="0" w:space="0" w:color="auto"/>
              </w:divBdr>
              <w:divsChild>
                <w:div w:id="544874625">
                  <w:marLeft w:val="0"/>
                  <w:marRight w:val="0"/>
                  <w:marTop w:val="0"/>
                  <w:marBottom w:val="0"/>
                  <w:divBdr>
                    <w:top w:val="none" w:sz="0" w:space="0" w:color="auto"/>
                    <w:left w:val="none" w:sz="0" w:space="0" w:color="auto"/>
                    <w:bottom w:val="none" w:sz="0" w:space="0" w:color="auto"/>
                    <w:right w:val="none" w:sz="0" w:space="0" w:color="auto"/>
                  </w:divBdr>
                </w:div>
                <w:div w:id="30421742">
                  <w:marLeft w:val="0"/>
                  <w:marRight w:val="0"/>
                  <w:marTop w:val="0"/>
                  <w:marBottom w:val="0"/>
                  <w:divBdr>
                    <w:top w:val="none" w:sz="0" w:space="0" w:color="auto"/>
                    <w:left w:val="none" w:sz="0" w:space="0" w:color="auto"/>
                    <w:bottom w:val="none" w:sz="0" w:space="0" w:color="auto"/>
                    <w:right w:val="none" w:sz="0" w:space="0" w:color="auto"/>
                  </w:divBdr>
                </w:div>
                <w:div w:id="1559899053">
                  <w:marLeft w:val="0"/>
                  <w:marRight w:val="0"/>
                  <w:marTop w:val="0"/>
                  <w:marBottom w:val="0"/>
                  <w:divBdr>
                    <w:top w:val="none" w:sz="0" w:space="0" w:color="auto"/>
                    <w:left w:val="none" w:sz="0" w:space="0" w:color="auto"/>
                    <w:bottom w:val="none" w:sz="0" w:space="0" w:color="auto"/>
                    <w:right w:val="none" w:sz="0" w:space="0" w:color="auto"/>
                  </w:divBdr>
                </w:div>
                <w:div w:id="646007733">
                  <w:marLeft w:val="0"/>
                  <w:marRight w:val="0"/>
                  <w:marTop w:val="0"/>
                  <w:marBottom w:val="0"/>
                  <w:divBdr>
                    <w:top w:val="none" w:sz="0" w:space="0" w:color="auto"/>
                    <w:left w:val="none" w:sz="0" w:space="0" w:color="auto"/>
                    <w:bottom w:val="none" w:sz="0" w:space="0" w:color="auto"/>
                    <w:right w:val="none" w:sz="0" w:space="0" w:color="auto"/>
                  </w:divBdr>
                </w:div>
              </w:divsChild>
            </w:div>
            <w:div w:id="97680798">
              <w:marLeft w:val="0"/>
              <w:marRight w:val="0"/>
              <w:marTop w:val="0"/>
              <w:marBottom w:val="0"/>
              <w:divBdr>
                <w:top w:val="none" w:sz="0" w:space="0" w:color="auto"/>
                <w:left w:val="none" w:sz="0" w:space="0" w:color="auto"/>
                <w:bottom w:val="none" w:sz="0" w:space="0" w:color="auto"/>
                <w:right w:val="none" w:sz="0" w:space="0" w:color="auto"/>
              </w:divBdr>
            </w:div>
          </w:divsChild>
        </w:div>
        <w:div w:id="1807232305">
          <w:marLeft w:val="0"/>
          <w:marRight w:val="0"/>
          <w:marTop w:val="0"/>
          <w:marBottom w:val="0"/>
          <w:divBdr>
            <w:top w:val="none" w:sz="0" w:space="0" w:color="auto"/>
            <w:left w:val="none" w:sz="0" w:space="0" w:color="auto"/>
            <w:bottom w:val="none" w:sz="0" w:space="0" w:color="auto"/>
            <w:right w:val="none" w:sz="0" w:space="0" w:color="auto"/>
          </w:divBdr>
        </w:div>
      </w:divsChild>
    </w:div>
    <w:div w:id="1012952161">
      <w:bodyDiv w:val="1"/>
      <w:marLeft w:val="0"/>
      <w:marRight w:val="0"/>
      <w:marTop w:val="0"/>
      <w:marBottom w:val="0"/>
      <w:divBdr>
        <w:top w:val="none" w:sz="0" w:space="0" w:color="auto"/>
        <w:left w:val="none" w:sz="0" w:space="0" w:color="auto"/>
        <w:bottom w:val="none" w:sz="0" w:space="0" w:color="auto"/>
        <w:right w:val="none" w:sz="0" w:space="0" w:color="auto"/>
      </w:divBdr>
    </w:div>
    <w:div w:id="1015225945">
      <w:bodyDiv w:val="1"/>
      <w:marLeft w:val="0"/>
      <w:marRight w:val="0"/>
      <w:marTop w:val="0"/>
      <w:marBottom w:val="0"/>
      <w:divBdr>
        <w:top w:val="none" w:sz="0" w:space="0" w:color="auto"/>
        <w:left w:val="none" w:sz="0" w:space="0" w:color="auto"/>
        <w:bottom w:val="none" w:sz="0" w:space="0" w:color="auto"/>
        <w:right w:val="none" w:sz="0" w:space="0" w:color="auto"/>
      </w:divBdr>
    </w:div>
    <w:div w:id="1017316827">
      <w:bodyDiv w:val="1"/>
      <w:marLeft w:val="0"/>
      <w:marRight w:val="0"/>
      <w:marTop w:val="0"/>
      <w:marBottom w:val="0"/>
      <w:divBdr>
        <w:top w:val="none" w:sz="0" w:space="0" w:color="auto"/>
        <w:left w:val="none" w:sz="0" w:space="0" w:color="auto"/>
        <w:bottom w:val="none" w:sz="0" w:space="0" w:color="auto"/>
        <w:right w:val="none" w:sz="0" w:space="0" w:color="auto"/>
      </w:divBdr>
      <w:divsChild>
        <w:div w:id="2098666566">
          <w:marLeft w:val="0"/>
          <w:marRight w:val="0"/>
          <w:marTop w:val="0"/>
          <w:marBottom w:val="0"/>
          <w:divBdr>
            <w:top w:val="none" w:sz="0" w:space="0" w:color="auto"/>
            <w:left w:val="none" w:sz="0" w:space="0" w:color="auto"/>
            <w:bottom w:val="none" w:sz="0" w:space="0" w:color="auto"/>
            <w:right w:val="none" w:sz="0" w:space="0" w:color="auto"/>
          </w:divBdr>
          <w:divsChild>
            <w:div w:id="269631556">
              <w:marLeft w:val="0"/>
              <w:marRight w:val="0"/>
              <w:marTop w:val="0"/>
              <w:marBottom w:val="0"/>
              <w:divBdr>
                <w:top w:val="none" w:sz="0" w:space="0" w:color="auto"/>
                <w:left w:val="none" w:sz="0" w:space="0" w:color="auto"/>
                <w:bottom w:val="none" w:sz="0" w:space="0" w:color="auto"/>
                <w:right w:val="none" w:sz="0" w:space="0" w:color="auto"/>
              </w:divBdr>
              <w:divsChild>
                <w:div w:id="1943219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156536">
      <w:bodyDiv w:val="1"/>
      <w:marLeft w:val="0"/>
      <w:marRight w:val="0"/>
      <w:marTop w:val="0"/>
      <w:marBottom w:val="0"/>
      <w:divBdr>
        <w:top w:val="none" w:sz="0" w:space="0" w:color="auto"/>
        <w:left w:val="none" w:sz="0" w:space="0" w:color="auto"/>
        <w:bottom w:val="none" w:sz="0" w:space="0" w:color="auto"/>
        <w:right w:val="none" w:sz="0" w:space="0" w:color="auto"/>
      </w:divBdr>
    </w:div>
    <w:div w:id="1021518321">
      <w:bodyDiv w:val="1"/>
      <w:marLeft w:val="0"/>
      <w:marRight w:val="0"/>
      <w:marTop w:val="0"/>
      <w:marBottom w:val="0"/>
      <w:divBdr>
        <w:top w:val="none" w:sz="0" w:space="0" w:color="auto"/>
        <w:left w:val="none" w:sz="0" w:space="0" w:color="auto"/>
        <w:bottom w:val="none" w:sz="0" w:space="0" w:color="auto"/>
        <w:right w:val="none" w:sz="0" w:space="0" w:color="auto"/>
      </w:divBdr>
      <w:divsChild>
        <w:div w:id="586426412">
          <w:marLeft w:val="0"/>
          <w:marRight w:val="0"/>
          <w:marTop w:val="0"/>
          <w:marBottom w:val="0"/>
          <w:divBdr>
            <w:top w:val="none" w:sz="0" w:space="0" w:color="auto"/>
            <w:left w:val="none" w:sz="0" w:space="0" w:color="auto"/>
            <w:bottom w:val="none" w:sz="0" w:space="0" w:color="auto"/>
            <w:right w:val="none" w:sz="0" w:space="0" w:color="auto"/>
          </w:divBdr>
          <w:divsChild>
            <w:div w:id="804350087">
              <w:marLeft w:val="0"/>
              <w:marRight w:val="0"/>
              <w:marTop w:val="0"/>
              <w:marBottom w:val="0"/>
              <w:divBdr>
                <w:top w:val="none" w:sz="0" w:space="0" w:color="auto"/>
                <w:left w:val="none" w:sz="0" w:space="0" w:color="auto"/>
                <w:bottom w:val="none" w:sz="0" w:space="0" w:color="auto"/>
                <w:right w:val="none" w:sz="0" w:space="0" w:color="auto"/>
              </w:divBdr>
              <w:divsChild>
                <w:div w:id="210190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323131">
      <w:bodyDiv w:val="1"/>
      <w:marLeft w:val="0"/>
      <w:marRight w:val="0"/>
      <w:marTop w:val="0"/>
      <w:marBottom w:val="0"/>
      <w:divBdr>
        <w:top w:val="none" w:sz="0" w:space="0" w:color="auto"/>
        <w:left w:val="none" w:sz="0" w:space="0" w:color="auto"/>
        <w:bottom w:val="none" w:sz="0" w:space="0" w:color="auto"/>
        <w:right w:val="none" w:sz="0" w:space="0" w:color="auto"/>
      </w:divBdr>
      <w:divsChild>
        <w:div w:id="187260892">
          <w:marLeft w:val="0"/>
          <w:marRight w:val="0"/>
          <w:marTop w:val="0"/>
          <w:marBottom w:val="0"/>
          <w:divBdr>
            <w:top w:val="none" w:sz="0" w:space="0" w:color="auto"/>
            <w:left w:val="none" w:sz="0" w:space="0" w:color="auto"/>
            <w:bottom w:val="none" w:sz="0" w:space="0" w:color="auto"/>
            <w:right w:val="none" w:sz="0" w:space="0" w:color="auto"/>
          </w:divBdr>
        </w:div>
        <w:div w:id="760293576">
          <w:marLeft w:val="0"/>
          <w:marRight w:val="0"/>
          <w:marTop w:val="0"/>
          <w:marBottom w:val="0"/>
          <w:divBdr>
            <w:top w:val="none" w:sz="0" w:space="0" w:color="auto"/>
            <w:left w:val="none" w:sz="0" w:space="0" w:color="auto"/>
            <w:bottom w:val="none" w:sz="0" w:space="0" w:color="auto"/>
            <w:right w:val="none" w:sz="0" w:space="0" w:color="auto"/>
          </w:divBdr>
        </w:div>
        <w:div w:id="166478522">
          <w:marLeft w:val="0"/>
          <w:marRight w:val="0"/>
          <w:marTop w:val="0"/>
          <w:marBottom w:val="0"/>
          <w:divBdr>
            <w:top w:val="none" w:sz="0" w:space="0" w:color="auto"/>
            <w:left w:val="none" w:sz="0" w:space="0" w:color="auto"/>
            <w:bottom w:val="none" w:sz="0" w:space="0" w:color="auto"/>
            <w:right w:val="none" w:sz="0" w:space="0" w:color="auto"/>
          </w:divBdr>
        </w:div>
        <w:div w:id="1858227813">
          <w:marLeft w:val="0"/>
          <w:marRight w:val="0"/>
          <w:marTop w:val="0"/>
          <w:marBottom w:val="0"/>
          <w:divBdr>
            <w:top w:val="none" w:sz="0" w:space="0" w:color="auto"/>
            <w:left w:val="none" w:sz="0" w:space="0" w:color="auto"/>
            <w:bottom w:val="none" w:sz="0" w:space="0" w:color="auto"/>
            <w:right w:val="none" w:sz="0" w:space="0" w:color="auto"/>
          </w:divBdr>
        </w:div>
        <w:div w:id="429815403">
          <w:marLeft w:val="0"/>
          <w:marRight w:val="0"/>
          <w:marTop w:val="0"/>
          <w:marBottom w:val="0"/>
          <w:divBdr>
            <w:top w:val="none" w:sz="0" w:space="0" w:color="auto"/>
            <w:left w:val="none" w:sz="0" w:space="0" w:color="auto"/>
            <w:bottom w:val="none" w:sz="0" w:space="0" w:color="auto"/>
            <w:right w:val="none" w:sz="0" w:space="0" w:color="auto"/>
          </w:divBdr>
        </w:div>
        <w:div w:id="91754144">
          <w:marLeft w:val="0"/>
          <w:marRight w:val="0"/>
          <w:marTop w:val="0"/>
          <w:marBottom w:val="0"/>
          <w:divBdr>
            <w:top w:val="none" w:sz="0" w:space="0" w:color="auto"/>
            <w:left w:val="none" w:sz="0" w:space="0" w:color="auto"/>
            <w:bottom w:val="none" w:sz="0" w:space="0" w:color="auto"/>
            <w:right w:val="none" w:sz="0" w:space="0" w:color="auto"/>
          </w:divBdr>
        </w:div>
        <w:div w:id="663629065">
          <w:marLeft w:val="0"/>
          <w:marRight w:val="0"/>
          <w:marTop w:val="0"/>
          <w:marBottom w:val="0"/>
          <w:divBdr>
            <w:top w:val="none" w:sz="0" w:space="0" w:color="auto"/>
            <w:left w:val="none" w:sz="0" w:space="0" w:color="auto"/>
            <w:bottom w:val="none" w:sz="0" w:space="0" w:color="auto"/>
            <w:right w:val="none" w:sz="0" w:space="0" w:color="auto"/>
          </w:divBdr>
        </w:div>
      </w:divsChild>
    </w:div>
    <w:div w:id="1025904290">
      <w:bodyDiv w:val="1"/>
      <w:marLeft w:val="0"/>
      <w:marRight w:val="0"/>
      <w:marTop w:val="0"/>
      <w:marBottom w:val="0"/>
      <w:divBdr>
        <w:top w:val="none" w:sz="0" w:space="0" w:color="auto"/>
        <w:left w:val="none" w:sz="0" w:space="0" w:color="auto"/>
        <w:bottom w:val="none" w:sz="0" w:space="0" w:color="auto"/>
        <w:right w:val="none" w:sz="0" w:space="0" w:color="auto"/>
      </w:divBdr>
    </w:div>
    <w:div w:id="1041858281">
      <w:bodyDiv w:val="1"/>
      <w:marLeft w:val="0"/>
      <w:marRight w:val="0"/>
      <w:marTop w:val="0"/>
      <w:marBottom w:val="0"/>
      <w:divBdr>
        <w:top w:val="none" w:sz="0" w:space="0" w:color="auto"/>
        <w:left w:val="none" w:sz="0" w:space="0" w:color="auto"/>
        <w:bottom w:val="none" w:sz="0" w:space="0" w:color="auto"/>
        <w:right w:val="none" w:sz="0" w:space="0" w:color="auto"/>
      </w:divBdr>
    </w:div>
    <w:div w:id="1046682328">
      <w:bodyDiv w:val="1"/>
      <w:marLeft w:val="0"/>
      <w:marRight w:val="0"/>
      <w:marTop w:val="0"/>
      <w:marBottom w:val="0"/>
      <w:divBdr>
        <w:top w:val="none" w:sz="0" w:space="0" w:color="auto"/>
        <w:left w:val="none" w:sz="0" w:space="0" w:color="auto"/>
        <w:bottom w:val="none" w:sz="0" w:space="0" w:color="auto"/>
        <w:right w:val="none" w:sz="0" w:space="0" w:color="auto"/>
      </w:divBdr>
    </w:div>
    <w:div w:id="1048455914">
      <w:bodyDiv w:val="1"/>
      <w:marLeft w:val="0"/>
      <w:marRight w:val="0"/>
      <w:marTop w:val="0"/>
      <w:marBottom w:val="0"/>
      <w:divBdr>
        <w:top w:val="none" w:sz="0" w:space="0" w:color="auto"/>
        <w:left w:val="none" w:sz="0" w:space="0" w:color="auto"/>
        <w:bottom w:val="none" w:sz="0" w:space="0" w:color="auto"/>
        <w:right w:val="none" w:sz="0" w:space="0" w:color="auto"/>
      </w:divBdr>
      <w:divsChild>
        <w:div w:id="1593466034">
          <w:marLeft w:val="0"/>
          <w:marRight w:val="0"/>
          <w:marTop w:val="0"/>
          <w:marBottom w:val="0"/>
          <w:divBdr>
            <w:top w:val="none" w:sz="0" w:space="0" w:color="auto"/>
            <w:left w:val="none" w:sz="0" w:space="0" w:color="auto"/>
            <w:bottom w:val="none" w:sz="0" w:space="0" w:color="auto"/>
            <w:right w:val="none" w:sz="0" w:space="0" w:color="auto"/>
          </w:divBdr>
        </w:div>
      </w:divsChild>
    </w:div>
    <w:div w:id="1048801666">
      <w:bodyDiv w:val="1"/>
      <w:marLeft w:val="0"/>
      <w:marRight w:val="0"/>
      <w:marTop w:val="0"/>
      <w:marBottom w:val="0"/>
      <w:divBdr>
        <w:top w:val="none" w:sz="0" w:space="0" w:color="auto"/>
        <w:left w:val="none" w:sz="0" w:space="0" w:color="auto"/>
        <w:bottom w:val="none" w:sz="0" w:space="0" w:color="auto"/>
        <w:right w:val="none" w:sz="0" w:space="0" w:color="auto"/>
      </w:divBdr>
    </w:div>
    <w:div w:id="1074934493">
      <w:bodyDiv w:val="1"/>
      <w:marLeft w:val="0"/>
      <w:marRight w:val="0"/>
      <w:marTop w:val="0"/>
      <w:marBottom w:val="0"/>
      <w:divBdr>
        <w:top w:val="none" w:sz="0" w:space="0" w:color="auto"/>
        <w:left w:val="none" w:sz="0" w:space="0" w:color="auto"/>
        <w:bottom w:val="none" w:sz="0" w:space="0" w:color="auto"/>
        <w:right w:val="none" w:sz="0" w:space="0" w:color="auto"/>
      </w:divBdr>
      <w:divsChild>
        <w:div w:id="1916239075">
          <w:marLeft w:val="0"/>
          <w:marRight w:val="0"/>
          <w:marTop w:val="0"/>
          <w:marBottom w:val="0"/>
          <w:divBdr>
            <w:top w:val="none" w:sz="0" w:space="0" w:color="auto"/>
            <w:left w:val="none" w:sz="0" w:space="0" w:color="auto"/>
            <w:bottom w:val="none" w:sz="0" w:space="0" w:color="auto"/>
            <w:right w:val="none" w:sz="0" w:space="0" w:color="auto"/>
          </w:divBdr>
          <w:divsChild>
            <w:div w:id="485584476">
              <w:marLeft w:val="0"/>
              <w:marRight w:val="0"/>
              <w:marTop w:val="0"/>
              <w:marBottom w:val="0"/>
              <w:divBdr>
                <w:top w:val="none" w:sz="0" w:space="0" w:color="auto"/>
                <w:left w:val="none" w:sz="0" w:space="0" w:color="auto"/>
                <w:bottom w:val="none" w:sz="0" w:space="0" w:color="auto"/>
                <w:right w:val="none" w:sz="0" w:space="0" w:color="auto"/>
              </w:divBdr>
              <w:divsChild>
                <w:div w:id="166173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282045">
      <w:bodyDiv w:val="1"/>
      <w:marLeft w:val="0"/>
      <w:marRight w:val="0"/>
      <w:marTop w:val="0"/>
      <w:marBottom w:val="0"/>
      <w:divBdr>
        <w:top w:val="none" w:sz="0" w:space="0" w:color="auto"/>
        <w:left w:val="none" w:sz="0" w:space="0" w:color="auto"/>
        <w:bottom w:val="none" w:sz="0" w:space="0" w:color="auto"/>
        <w:right w:val="none" w:sz="0" w:space="0" w:color="auto"/>
      </w:divBdr>
    </w:div>
    <w:div w:id="1086416888">
      <w:bodyDiv w:val="1"/>
      <w:marLeft w:val="0"/>
      <w:marRight w:val="0"/>
      <w:marTop w:val="0"/>
      <w:marBottom w:val="0"/>
      <w:divBdr>
        <w:top w:val="none" w:sz="0" w:space="0" w:color="auto"/>
        <w:left w:val="none" w:sz="0" w:space="0" w:color="auto"/>
        <w:bottom w:val="none" w:sz="0" w:space="0" w:color="auto"/>
        <w:right w:val="none" w:sz="0" w:space="0" w:color="auto"/>
      </w:divBdr>
    </w:div>
    <w:div w:id="1102533683">
      <w:bodyDiv w:val="1"/>
      <w:marLeft w:val="0"/>
      <w:marRight w:val="0"/>
      <w:marTop w:val="0"/>
      <w:marBottom w:val="0"/>
      <w:divBdr>
        <w:top w:val="none" w:sz="0" w:space="0" w:color="auto"/>
        <w:left w:val="none" w:sz="0" w:space="0" w:color="auto"/>
        <w:bottom w:val="none" w:sz="0" w:space="0" w:color="auto"/>
        <w:right w:val="none" w:sz="0" w:space="0" w:color="auto"/>
      </w:divBdr>
      <w:divsChild>
        <w:div w:id="937952928">
          <w:marLeft w:val="0"/>
          <w:marRight w:val="0"/>
          <w:marTop w:val="0"/>
          <w:marBottom w:val="0"/>
          <w:divBdr>
            <w:top w:val="none" w:sz="0" w:space="0" w:color="auto"/>
            <w:left w:val="none" w:sz="0" w:space="0" w:color="auto"/>
            <w:bottom w:val="none" w:sz="0" w:space="0" w:color="auto"/>
            <w:right w:val="none" w:sz="0" w:space="0" w:color="auto"/>
          </w:divBdr>
          <w:divsChild>
            <w:div w:id="266161672">
              <w:marLeft w:val="0"/>
              <w:marRight w:val="0"/>
              <w:marTop w:val="0"/>
              <w:marBottom w:val="0"/>
              <w:divBdr>
                <w:top w:val="none" w:sz="0" w:space="0" w:color="auto"/>
                <w:left w:val="none" w:sz="0" w:space="0" w:color="auto"/>
                <w:bottom w:val="none" w:sz="0" w:space="0" w:color="auto"/>
                <w:right w:val="none" w:sz="0" w:space="0" w:color="auto"/>
              </w:divBdr>
              <w:divsChild>
                <w:div w:id="1082483636">
                  <w:marLeft w:val="0"/>
                  <w:marRight w:val="0"/>
                  <w:marTop w:val="0"/>
                  <w:marBottom w:val="0"/>
                  <w:divBdr>
                    <w:top w:val="none" w:sz="0" w:space="0" w:color="auto"/>
                    <w:left w:val="none" w:sz="0" w:space="0" w:color="auto"/>
                    <w:bottom w:val="none" w:sz="0" w:space="0" w:color="auto"/>
                    <w:right w:val="none" w:sz="0" w:space="0" w:color="auto"/>
                  </w:divBdr>
                  <w:divsChild>
                    <w:div w:id="1671371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4495200">
      <w:bodyDiv w:val="1"/>
      <w:marLeft w:val="0"/>
      <w:marRight w:val="0"/>
      <w:marTop w:val="0"/>
      <w:marBottom w:val="0"/>
      <w:divBdr>
        <w:top w:val="none" w:sz="0" w:space="0" w:color="auto"/>
        <w:left w:val="none" w:sz="0" w:space="0" w:color="auto"/>
        <w:bottom w:val="none" w:sz="0" w:space="0" w:color="auto"/>
        <w:right w:val="none" w:sz="0" w:space="0" w:color="auto"/>
      </w:divBdr>
    </w:div>
    <w:div w:id="1108046331">
      <w:bodyDiv w:val="1"/>
      <w:marLeft w:val="0"/>
      <w:marRight w:val="0"/>
      <w:marTop w:val="0"/>
      <w:marBottom w:val="0"/>
      <w:divBdr>
        <w:top w:val="none" w:sz="0" w:space="0" w:color="auto"/>
        <w:left w:val="none" w:sz="0" w:space="0" w:color="auto"/>
        <w:bottom w:val="none" w:sz="0" w:space="0" w:color="auto"/>
        <w:right w:val="none" w:sz="0" w:space="0" w:color="auto"/>
      </w:divBdr>
      <w:divsChild>
        <w:div w:id="1363172650">
          <w:marLeft w:val="0"/>
          <w:marRight w:val="0"/>
          <w:marTop w:val="0"/>
          <w:marBottom w:val="0"/>
          <w:divBdr>
            <w:top w:val="none" w:sz="0" w:space="0" w:color="auto"/>
            <w:left w:val="none" w:sz="0" w:space="0" w:color="auto"/>
            <w:bottom w:val="none" w:sz="0" w:space="0" w:color="auto"/>
            <w:right w:val="none" w:sz="0" w:space="0" w:color="auto"/>
          </w:divBdr>
          <w:divsChild>
            <w:div w:id="1155224784">
              <w:marLeft w:val="0"/>
              <w:marRight w:val="0"/>
              <w:marTop w:val="0"/>
              <w:marBottom w:val="0"/>
              <w:divBdr>
                <w:top w:val="none" w:sz="0" w:space="0" w:color="auto"/>
                <w:left w:val="none" w:sz="0" w:space="0" w:color="auto"/>
                <w:bottom w:val="none" w:sz="0" w:space="0" w:color="auto"/>
                <w:right w:val="none" w:sz="0" w:space="0" w:color="auto"/>
              </w:divBdr>
              <w:divsChild>
                <w:div w:id="1605845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5715178">
      <w:bodyDiv w:val="1"/>
      <w:marLeft w:val="0"/>
      <w:marRight w:val="0"/>
      <w:marTop w:val="0"/>
      <w:marBottom w:val="0"/>
      <w:divBdr>
        <w:top w:val="none" w:sz="0" w:space="0" w:color="auto"/>
        <w:left w:val="none" w:sz="0" w:space="0" w:color="auto"/>
        <w:bottom w:val="none" w:sz="0" w:space="0" w:color="auto"/>
        <w:right w:val="none" w:sz="0" w:space="0" w:color="auto"/>
      </w:divBdr>
    </w:div>
    <w:div w:id="1135179992">
      <w:bodyDiv w:val="1"/>
      <w:marLeft w:val="0"/>
      <w:marRight w:val="0"/>
      <w:marTop w:val="0"/>
      <w:marBottom w:val="0"/>
      <w:divBdr>
        <w:top w:val="none" w:sz="0" w:space="0" w:color="auto"/>
        <w:left w:val="none" w:sz="0" w:space="0" w:color="auto"/>
        <w:bottom w:val="none" w:sz="0" w:space="0" w:color="auto"/>
        <w:right w:val="none" w:sz="0" w:space="0" w:color="auto"/>
      </w:divBdr>
    </w:div>
    <w:div w:id="1147093852">
      <w:bodyDiv w:val="1"/>
      <w:marLeft w:val="0"/>
      <w:marRight w:val="0"/>
      <w:marTop w:val="0"/>
      <w:marBottom w:val="0"/>
      <w:divBdr>
        <w:top w:val="none" w:sz="0" w:space="0" w:color="auto"/>
        <w:left w:val="none" w:sz="0" w:space="0" w:color="auto"/>
        <w:bottom w:val="none" w:sz="0" w:space="0" w:color="auto"/>
        <w:right w:val="none" w:sz="0" w:space="0" w:color="auto"/>
      </w:divBdr>
    </w:div>
    <w:div w:id="1150174265">
      <w:bodyDiv w:val="1"/>
      <w:marLeft w:val="0"/>
      <w:marRight w:val="0"/>
      <w:marTop w:val="0"/>
      <w:marBottom w:val="0"/>
      <w:divBdr>
        <w:top w:val="none" w:sz="0" w:space="0" w:color="auto"/>
        <w:left w:val="none" w:sz="0" w:space="0" w:color="auto"/>
        <w:bottom w:val="none" w:sz="0" w:space="0" w:color="auto"/>
        <w:right w:val="none" w:sz="0" w:space="0" w:color="auto"/>
      </w:divBdr>
    </w:div>
    <w:div w:id="1169297104">
      <w:bodyDiv w:val="1"/>
      <w:marLeft w:val="0"/>
      <w:marRight w:val="0"/>
      <w:marTop w:val="0"/>
      <w:marBottom w:val="0"/>
      <w:divBdr>
        <w:top w:val="none" w:sz="0" w:space="0" w:color="auto"/>
        <w:left w:val="none" w:sz="0" w:space="0" w:color="auto"/>
        <w:bottom w:val="none" w:sz="0" w:space="0" w:color="auto"/>
        <w:right w:val="none" w:sz="0" w:space="0" w:color="auto"/>
      </w:divBdr>
      <w:divsChild>
        <w:div w:id="929966418">
          <w:marLeft w:val="0"/>
          <w:marRight w:val="0"/>
          <w:marTop w:val="0"/>
          <w:marBottom w:val="0"/>
          <w:divBdr>
            <w:top w:val="none" w:sz="0" w:space="0" w:color="auto"/>
            <w:left w:val="none" w:sz="0" w:space="0" w:color="auto"/>
            <w:bottom w:val="none" w:sz="0" w:space="0" w:color="auto"/>
            <w:right w:val="none" w:sz="0" w:space="0" w:color="auto"/>
          </w:divBdr>
          <w:divsChild>
            <w:div w:id="477848648">
              <w:marLeft w:val="0"/>
              <w:marRight w:val="0"/>
              <w:marTop w:val="0"/>
              <w:marBottom w:val="0"/>
              <w:divBdr>
                <w:top w:val="none" w:sz="0" w:space="0" w:color="auto"/>
                <w:left w:val="none" w:sz="0" w:space="0" w:color="auto"/>
                <w:bottom w:val="none" w:sz="0" w:space="0" w:color="auto"/>
                <w:right w:val="none" w:sz="0" w:space="0" w:color="auto"/>
              </w:divBdr>
              <w:divsChild>
                <w:div w:id="111706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902100">
      <w:bodyDiv w:val="1"/>
      <w:marLeft w:val="0"/>
      <w:marRight w:val="0"/>
      <w:marTop w:val="0"/>
      <w:marBottom w:val="0"/>
      <w:divBdr>
        <w:top w:val="none" w:sz="0" w:space="0" w:color="auto"/>
        <w:left w:val="none" w:sz="0" w:space="0" w:color="auto"/>
        <w:bottom w:val="none" w:sz="0" w:space="0" w:color="auto"/>
        <w:right w:val="none" w:sz="0" w:space="0" w:color="auto"/>
      </w:divBdr>
    </w:div>
    <w:div w:id="1172912102">
      <w:bodyDiv w:val="1"/>
      <w:marLeft w:val="0"/>
      <w:marRight w:val="0"/>
      <w:marTop w:val="0"/>
      <w:marBottom w:val="0"/>
      <w:divBdr>
        <w:top w:val="none" w:sz="0" w:space="0" w:color="auto"/>
        <w:left w:val="none" w:sz="0" w:space="0" w:color="auto"/>
        <w:bottom w:val="none" w:sz="0" w:space="0" w:color="auto"/>
        <w:right w:val="none" w:sz="0" w:space="0" w:color="auto"/>
      </w:divBdr>
    </w:div>
    <w:div w:id="1180585647">
      <w:bodyDiv w:val="1"/>
      <w:marLeft w:val="0"/>
      <w:marRight w:val="0"/>
      <w:marTop w:val="0"/>
      <w:marBottom w:val="0"/>
      <w:divBdr>
        <w:top w:val="none" w:sz="0" w:space="0" w:color="auto"/>
        <w:left w:val="none" w:sz="0" w:space="0" w:color="auto"/>
        <w:bottom w:val="none" w:sz="0" w:space="0" w:color="auto"/>
        <w:right w:val="none" w:sz="0" w:space="0" w:color="auto"/>
      </w:divBdr>
    </w:div>
    <w:div w:id="1191649574">
      <w:bodyDiv w:val="1"/>
      <w:marLeft w:val="0"/>
      <w:marRight w:val="0"/>
      <w:marTop w:val="0"/>
      <w:marBottom w:val="0"/>
      <w:divBdr>
        <w:top w:val="none" w:sz="0" w:space="0" w:color="auto"/>
        <w:left w:val="none" w:sz="0" w:space="0" w:color="auto"/>
        <w:bottom w:val="none" w:sz="0" w:space="0" w:color="auto"/>
        <w:right w:val="none" w:sz="0" w:space="0" w:color="auto"/>
      </w:divBdr>
    </w:div>
    <w:div w:id="1197700471">
      <w:bodyDiv w:val="1"/>
      <w:marLeft w:val="0"/>
      <w:marRight w:val="0"/>
      <w:marTop w:val="0"/>
      <w:marBottom w:val="0"/>
      <w:divBdr>
        <w:top w:val="none" w:sz="0" w:space="0" w:color="auto"/>
        <w:left w:val="none" w:sz="0" w:space="0" w:color="auto"/>
        <w:bottom w:val="none" w:sz="0" w:space="0" w:color="auto"/>
        <w:right w:val="none" w:sz="0" w:space="0" w:color="auto"/>
      </w:divBdr>
    </w:div>
    <w:div w:id="1212572790">
      <w:bodyDiv w:val="1"/>
      <w:marLeft w:val="0"/>
      <w:marRight w:val="0"/>
      <w:marTop w:val="0"/>
      <w:marBottom w:val="0"/>
      <w:divBdr>
        <w:top w:val="none" w:sz="0" w:space="0" w:color="auto"/>
        <w:left w:val="none" w:sz="0" w:space="0" w:color="auto"/>
        <w:bottom w:val="none" w:sz="0" w:space="0" w:color="auto"/>
        <w:right w:val="none" w:sz="0" w:space="0" w:color="auto"/>
      </w:divBdr>
    </w:div>
    <w:div w:id="1213425965">
      <w:bodyDiv w:val="1"/>
      <w:marLeft w:val="0"/>
      <w:marRight w:val="0"/>
      <w:marTop w:val="0"/>
      <w:marBottom w:val="0"/>
      <w:divBdr>
        <w:top w:val="none" w:sz="0" w:space="0" w:color="auto"/>
        <w:left w:val="none" w:sz="0" w:space="0" w:color="auto"/>
        <w:bottom w:val="none" w:sz="0" w:space="0" w:color="auto"/>
        <w:right w:val="none" w:sz="0" w:space="0" w:color="auto"/>
      </w:divBdr>
      <w:divsChild>
        <w:div w:id="1898123514">
          <w:marLeft w:val="0"/>
          <w:marRight w:val="0"/>
          <w:marTop w:val="0"/>
          <w:marBottom w:val="0"/>
          <w:divBdr>
            <w:top w:val="none" w:sz="0" w:space="0" w:color="auto"/>
            <w:left w:val="none" w:sz="0" w:space="0" w:color="auto"/>
            <w:bottom w:val="none" w:sz="0" w:space="0" w:color="auto"/>
            <w:right w:val="none" w:sz="0" w:space="0" w:color="auto"/>
          </w:divBdr>
          <w:divsChild>
            <w:div w:id="577178891">
              <w:marLeft w:val="0"/>
              <w:marRight w:val="0"/>
              <w:marTop w:val="0"/>
              <w:marBottom w:val="0"/>
              <w:divBdr>
                <w:top w:val="none" w:sz="0" w:space="0" w:color="auto"/>
                <w:left w:val="none" w:sz="0" w:space="0" w:color="auto"/>
                <w:bottom w:val="none" w:sz="0" w:space="0" w:color="auto"/>
                <w:right w:val="none" w:sz="0" w:space="0" w:color="auto"/>
              </w:divBdr>
              <w:divsChild>
                <w:div w:id="1346323552">
                  <w:marLeft w:val="0"/>
                  <w:marRight w:val="0"/>
                  <w:marTop w:val="0"/>
                  <w:marBottom w:val="0"/>
                  <w:divBdr>
                    <w:top w:val="none" w:sz="0" w:space="0" w:color="auto"/>
                    <w:left w:val="none" w:sz="0" w:space="0" w:color="auto"/>
                    <w:bottom w:val="none" w:sz="0" w:space="0" w:color="auto"/>
                    <w:right w:val="none" w:sz="0" w:space="0" w:color="auto"/>
                  </w:divBdr>
                  <w:divsChild>
                    <w:div w:id="536163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7623671">
      <w:bodyDiv w:val="1"/>
      <w:marLeft w:val="0"/>
      <w:marRight w:val="0"/>
      <w:marTop w:val="0"/>
      <w:marBottom w:val="0"/>
      <w:divBdr>
        <w:top w:val="none" w:sz="0" w:space="0" w:color="auto"/>
        <w:left w:val="none" w:sz="0" w:space="0" w:color="auto"/>
        <w:bottom w:val="none" w:sz="0" w:space="0" w:color="auto"/>
        <w:right w:val="none" w:sz="0" w:space="0" w:color="auto"/>
      </w:divBdr>
    </w:div>
    <w:div w:id="1227375474">
      <w:bodyDiv w:val="1"/>
      <w:marLeft w:val="0"/>
      <w:marRight w:val="0"/>
      <w:marTop w:val="0"/>
      <w:marBottom w:val="0"/>
      <w:divBdr>
        <w:top w:val="none" w:sz="0" w:space="0" w:color="auto"/>
        <w:left w:val="none" w:sz="0" w:space="0" w:color="auto"/>
        <w:bottom w:val="none" w:sz="0" w:space="0" w:color="auto"/>
        <w:right w:val="none" w:sz="0" w:space="0" w:color="auto"/>
      </w:divBdr>
    </w:div>
    <w:div w:id="1246646857">
      <w:bodyDiv w:val="1"/>
      <w:marLeft w:val="0"/>
      <w:marRight w:val="0"/>
      <w:marTop w:val="0"/>
      <w:marBottom w:val="0"/>
      <w:divBdr>
        <w:top w:val="none" w:sz="0" w:space="0" w:color="auto"/>
        <w:left w:val="none" w:sz="0" w:space="0" w:color="auto"/>
        <w:bottom w:val="none" w:sz="0" w:space="0" w:color="auto"/>
        <w:right w:val="none" w:sz="0" w:space="0" w:color="auto"/>
      </w:divBdr>
    </w:div>
    <w:div w:id="1282954539">
      <w:bodyDiv w:val="1"/>
      <w:marLeft w:val="0"/>
      <w:marRight w:val="0"/>
      <w:marTop w:val="0"/>
      <w:marBottom w:val="0"/>
      <w:divBdr>
        <w:top w:val="none" w:sz="0" w:space="0" w:color="auto"/>
        <w:left w:val="none" w:sz="0" w:space="0" w:color="auto"/>
        <w:bottom w:val="none" w:sz="0" w:space="0" w:color="auto"/>
        <w:right w:val="none" w:sz="0" w:space="0" w:color="auto"/>
      </w:divBdr>
    </w:div>
    <w:div w:id="1284074161">
      <w:bodyDiv w:val="1"/>
      <w:marLeft w:val="0"/>
      <w:marRight w:val="0"/>
      <w:marTop w:val="0"/>
      <w:marBottom w:val="0"/>
      <w:divBdr>
        <w:top w:val="none" w:sz="0" w:space="0" w:color="auto"/>
        <w:left w:val="none" w:sz="0" w:space="0" w:color="auto"/>
        <w:bottom w:val="none" w:sz="0" w:space="0" w:color="auto"/>
        <w:right w:val="none" w:sz="0" w:space="0" w:color="auto"/>
      </w:divBdr>
    </w:div>
    <w:div w:id="1287808495">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298490824">
      <w:bodyDiv w:val="1"/>
      <w:marLeft w:val="0"/>
      <w:marRight w:val="0"/>
      <w:marTop w:val="0"/>
      <w:marBottom w:val="0"/>
      <w:divBdr>
        <w:top w:val="none" w:sz="0" w:space="0" w:color="auto"/>
        <w:left w:val="none" w:sz="0" w:space="0" w:color="auto"/>
        <w:bottom w:val="none" w:sz="0" w:space="0" w:color="auto"/>
        <w:right w:val="none" w:sz="0" w:space="0" w:color="auto"/>
      </w:divBdr>
    </w:div>
    <w:div w:id="1303191416">
      <w:bodyDiv w:val="1"/>
      <w:marLeft w:val="0"/>
      <w:marRight w:val="0"/>
      <w:marTop w:val="0"/>
      <w:marBottom w:val="0"/>
      <w:divBdr>
        <w:top w:val="none" w:sz="0" w:space="0" w:color="auto"/>
        <w:left w:val="none" w:sz="0" w:space="0" w:color="auto"/>
        <w:bottom w:val="none" w:sz="0" w:space="0" w:color="auto"/>
        <w:right w:val="none" w:sz="0" w:space="0" w:color="auto"/>
      </w:divBdr>
      <w:divsChild>
        <w:div w:id="1287545821">
          <w:marLeft w:val="0"/>
          <w:marRight w:val="0"/>
          <w:marTop w:val="0"/>
          <w:marBottom w:val="0"/>
          <w:divBdr>
            <w:top w:val="none" w:sz="0" w:space="0" w:color="auto"/>
            <w:left w:val="none" w:sz="0" w:space="0" w:color="auto"/>
            <w:bottom w:val="none" w:sz="0" w:space="0" w:color="auto"/>
            <w:right w:val="none" w:sz="0" w:space="0" w:color="auto"/>
          </w:divBdr>
          <w:divsChild>
            <w:div w:id="669679267">
              <w:marLeft w:val="0"/>
              <w:marRight w:val="0"/>
              <w:marTop w:val="0"/>
              <w:marBottom w:val="0"/>
              <w:divBdr>
                <w:top w:val="none" w:sz="0" w:space="0" w:color="auto"/>
                <w:left w:val="none" w:sz="0" w:space="0" w:color="auto"/>
                <w:bottom w:val="none" w:sz="0" w:space="0" w:color="auto"/>
                <w:right w:val="none" w:sz="0" w:space="0" w:color="auto"/>
              </w:divBdr>
            </w:div>
            <w:div w:id="155223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197030">
      <w:bodyDiv w:val="1"/>
      <w:marLeft w:val="0"/>
      <w:marRight w:val="0"/>
      <w:marTop w:val="0"/>
      <w:marBottom w:val="0"/>
      <w:divBdr>
        <w:top w:val="none" w:sz="0" w:space="0" w:color="auto"/>
        <w:left w:val="none" w:sz="0" w:space="0" w:color="auto"/>
        <w:bottom w:val="none" w:sz="0" w:space="0" w:color="auto"/>
        <w:right w:val="none" w:sz="0" w:space="0" w:color="auto"/>
      </w:divBdr>
    </w:div>
    <w:div w:id="1309088797">
      <w:bodyDiv w:val="1"/>
      <w:marLeft w:val="0"/>
      <w:marRight w:val="0"/>
      <w:marTop w:val="0"/>
      <w:marBottom w:val="0"/>
      <w:divBdr>
        <w:top w:val="none" w:sz="0" w:space="0" w:color="auto"/>
        <w:left w:val="none" w:sz="0" w:space="0" w:color="auto"/>
        <w:bottom w:val="none" w:sz="0" w:space="0" w:color="auto"/>
        <w:right w:val="none" w:sz="0" w:space="0" w:color="auto"/>
      </w:divBdr>
    </w:div>
    <w:div w:id="1312295347">
      <w:bodyDiv w:val="1"/>
      <w:marLeft w:val="0"/>
      <w:marRight w:val="0"/>
      <w:marTop w:val="0"/>
      <w:marBottom w:val="0"/>
      <w:divBdr>
        <w:top w:val="none" w:sz="0" w:space="0" w:color="auto"/>
        <w:left w:val="none" w:sz="0" w:space="0" w:color="auto"/>
        <w:bottom w:val="none" w:sz="0" w:space="0" w:color="auto"/>
        <w:right w:val="none" w:sz="0" w:space="0" w:color="auto"/>
      </w:divBdr>
    </w:div>
    <w:div w:id="1314288308">
      <w:bodyDiv w:val="1"/>
      <w:marLeft w:val="0"/>
      <w:marRight w:val="0"/>
      <w:marTop w:val="0"/>
      <w:marBottom w:val="0"/>
      <w:divBdr>
        <w:top w:val="none" w:sz="0" w:space="0" w:color="auto"/>
        <w:left w:val="none" w:sz="0" w:space="0" w:color="auto"/>
        <w:bottom w:val="none" w:sz="0" w:space="0" w:color="auto"/>
        <w:right w:val="none" w:sz="0" w:space="0" w:color="auto"/>
      </w:divBdr>
    </w:div>
    <w:div w:id="1318338374">
      <w:bodyDiv w:val="1"/>
      <w:marLeft w:val="0"/>
      <w:marRight w:val="0"/>
      <w:marTop w:val="0"/>
      <w:marBottom w:val="0"/>
      <w:divBdr>
        <w:top w:val="none" w:sz="0" w:space="0" w:color="auto"/>
        <w:left w:val="none" w:sz="0" w:space="0" w:color="auto"/>
        <w:bottom w:val="none" w:sz="0" w:space="0" w:color="auto"/>
        <w:right w:val="none" w:sz="0" w:space="0" w:color="auto"/>
      </w:divBdr>
    </w:div>
    <w:div w:id="1320426134">
      <w:bodyDiv w:val="1"/>
      <w:marLeft w:val="0"/>
      <w:marRight w:val="0"/>
      <w:marTop w:val="0"/>
      <w:marBottom w:val="0"/>
      <w:divBdr>
        <w:top w:val="none" w:sz="0" w:space="0" w:color="auto"/>
        <w:left w:val="none" w:sz="0" w:space="0" w:color="auto"/>
        <w:bottom w:val="none" w:sz="0" w:space="0" w:color="auto"/>
        <w:right w:val="none" w:sz="0" w:space="0" w:color="auto"/>
      </w:divBdr>
    </w:div>
    <w:div w:id="1327973237">
      <w:bodyDiv w:val="1"/>
      <w:marLeft w:val="0"/>
      <w:marRight w:val="0"/>
      <w:marTop w:val="0"/>
      <w:marBottom w:val="0"/>
      <w:divBdr>
        <w:top w:val="none" w:sz="0" w:space="0" w:color="auto"/>
        <w:left w:val="none" w:sz="0" w:space="0" w:color="auto"/>
        <w:bottom w:val="none" w:sz="0" w:space="0" w:color="auto"/>
        <w:right w:val="none" w:sz="0" w:space="0" w:color="auto"/>
      </w:divBdr>
    </w:div>
    <w:div w:id="1329864676">
      <w:bodyDiv w:val="1"/>
      <w:marLeft w:val="0"/>
      <w:marRight w:val="0"/>
      <w:marTop w:val="0"/>
      <w:marBottom w:val="0"/>
      <w:divBdr>
        <w:top w:val="none" w:sz="0" w:space="0" w:color="auto"/>
        <w:left w:val="none" w:sz="0" w:space="0" w:color="auto"/>
        <w:bottom w:val="none" w:sz="0" w:space="0" w:color="auto"/>
        <w:right w:val="none" w:sz="0" w:space="0" w:color="auto"/>
      </w:divBdr>
      <w:divsChild>
        <w:div w:id="385421705">
          <w:marLeft w:val="0"/>
          <w:marRight w:val="0"/>
          <w:marTop w:val="0"/>
          <w:marBottom w:val="0"/>
          <w:divBdr>
            <w:top w:val="none" w:sz="0" w:space="0" w:color="auto"/>
            <w:left w:val="none" w:sz="0" w:space="0" w:color="auto"/>
            <w:bottom w:val="none" w:sz="0" w:space="0" w:color="auto"/>
            <w:right w:val="none" w:sz="0" w:space="0" w:color="auto"/>
          </w:divBdr>
          <w:divsChild>
            <w:div w:id="179666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6880476">
      <w:bodyDiv w:val="1"/>
      <w:marLeft w:val="0"/>
      <w:marRight w:val="0"/>
      <w:marTop w:val="0"/>
      <w:marBottom w:val="0"/>
      <w:divBdr>
        <w:top w:val="none" w:sz="0" w:space="0" w:color="auto"/>
        <w:left w:val="none" w:sz="0" w:space="0" w:color="auto"/>
        <w:bottom w:val="none" w:sz="0" w:space="0" w:color="auto"/>
        <w:right w:val="none" w:sz="0" w:space="0" w:color="auto"/>
      </w:divBdr>
    </w:div>
    <w:div w:id="1341352103">
      <w:bodyDiv w:val="1"/>
      <w:marLeft w:val="0"/>
      <w:marRight w:val="0"/>
      <w:marTop w:val="0"/>
      <w:marBottom w:val="0"/>
      <w:divBdr>
        <w:top w:val="none" w:sz="0" w:space="0" w:color="auto"/>
        <w:left w:val="none" w:sz="0" w:space="0" w:color="auto"/>
        <w:bottom w:val="none" w:sz="0" w:space="0" w:color="auto"/>
        <w:right w:val="none" w:sz="0" w:space="0" w:color="auto"/>
      </w:divBdr>
    </w:div>
    <w:div w:id="1348172573">
      <w:bodyDiv w:val="1"/>
      <w:marLeft w:val="0"/>
      <w:marRight w:val="0"/>
      <w:marTop w:val="0"/>
      <w:marBottom w:val="0"/>
      <w:divBdr>
        <w:top w:val="none" w:sz="0" w:space="0" w:color="auto"/>
        <w:left w:val="none" w:sz="0" w:space="0" w:color="auto"/>
        <w:bottom w:val="none" w:sz="0" w:space="0" w:color="auto"/>
        <w:right w:val="none" w:sz="0" w:space="0" w:color="auto"/>
      </w:divBdr>
    </w:div>
    <w:div w:id="1352102807">
      <w:bodyDiv w:val="1"/>
      <w:marLeft w:val="0"/>
      <w:marRight w:val="0"/>
      <w:marTop w:val="0"/>
      <w:marBottom w:val="0"/>
      <w:divBdr>
        <w:top w:val="none" w:sz="0" w:space="0" w:color="auto"/>
        <w:left w:val="none" w:sz="0" w:space="0" w:color="auto"/>
        <w:bottom w:val="none" w:sz="0" w:space="0" w:color="auto"/>
        <w:right w:val="none" w:sz="0" w:space="0" w:color="auto"/>
      </w:divBdr>
    </w:div>
    <w:div w:id="1359504855">
      <w:bodyDiv w:val="1"/>
      <w:marLeft w:val="0"/>
      <w:marRight w:val="0"/>
      <w:marTop w:val="0"/>
      <w:marBottom w:val="0"/>
      <w:divBdr>
        <w:top w:val="none" w:sz="0" w:space="0" w:color="auto"/>
        <w:left w:val="none" w:sz="0" w:space="0" w:color="auto"/>
        <w:bottom w:val="none" w:sz="0" w:space="0" w:color="auto"/>
        <w:right w:val="none" w:sz="0" w:space="0" w:color="auto"/>
      </w:divBdr>
    </w:div>
    <w:div w:id="1361666678">
      <w:bodyDiv w:val="1"/>
      <w:marLeft w:val="0"/>
      <w:marRight w:val="0"/>
      <w:marTop w:val="0"/>
      <w:marBottom w:val="0"/>
      <w:divBdr>
        <w:top w:val="none" w:sz="0" w:space="0" w:color="auto"/>
        <w:left w:val="none" w:sz="0" w:space="0" w:color="auto"/>
        <w:bottom w:val="none" w:sz="0" w:space="0" w:color="auto"/>
        <w:right w:val="none" w:sz="0" w:space="0" w:color="auto"/>
      </w:divBdr>
      <w:divsChild>
        <w:div w:id="1027023326">
          <w:marLeft w:val="0"/>
          <w:marRight w:val="0"/>
          <w:marTop w:val="0"/>
          <w:marBottom w:val="0"/>
          <w:divBdr>
            <w:top w:val="none" w:sz="0" w:space="0" w:color="auto"/>
            <w:left w:val="none" w:sz="0" w:space="0" w:color="auto"/>
            <w:bottom w:val="none" w:sz="0" w:space="0" w:color="auto"/>
            <w:right w:val="none" w:sz="0" w:space="0" w:color="auto"/>
          </w:divBdr>
          <w:divsChild>
            <w:div w:id="2137526825">
              <w:marLeft w:val="0"/>
              <w:marRight w:val="0"/>
              <w:marTop w:val="0"/>
              <w:marBottom w:val="0"/>
              <w:divBdr>
                <w:top w:val="none" w:sz="0" w:space="0" w:color="auto"/>
                <w:left w:val="none" w:sz="0" w:space="0" w:color="auto"/>
                <w:bottom w:val="none" w:sz="0" w:space="0" w:color="auto"/>
                <w:right w:val="none" w:sz="0" w:space="0" w:color="auto"/>
              </w:divBdr>
              <w:divsChild>
                <w:div w:id="1553811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4213872">
      <w:bodyDiv w:val="1"/>
      <w:marLeft w:val="0"/>
      <w:marRight w:val="0"/>
      <w:marTop w:val="0"/>
      <w:marBottom w:val="0"/>
      <w:divBdr>
        <w:top w:val="none" w:sz="0" w:space="0" w:color="auto"/>
        <w:left w:val="none" w:sz="0" w:space="0" w:color="auto"/>
        <w:bottom w:val="none" w:sz="0" w:space="0" w:color="auto"/>
        <w:right w:val="none" w:sz="0" w:space="0" w:color="auto"/>
      </w:divBdr>
      <w:divsChild>
        <w:div w:id="694817135">
          <w:marLeft w:val="0"/>
          <w:marRight w:val="0"/>
          <w:marTop w:val="0"/>
          <w:marBottom w:val="0"/>
          <w:divBdr>
            <w:top w:val="none" w:sz="0" w:space="0" w:color="auto"/>
            <w:left w:val="none" w:sz="0" w:space="0" w:color="auto"/>
            <w:bottom w:val="none" w:sz="0" w:space="0" w:color="auto"/>
            <w:right w:val="none" w:sz="0" w:space="0" w:color="auto"/>
          </w:divBdr>
          <w:divsChild>
            <w:div w:id="1524246835">
              <w:marLeft w:val="0"/>
              <w:marRight w:val="0"/>
              <w:marTop w:val="0"/>
              <w:marBottom w:val="0"/>
              <w:divBdr>
                <w:top w:val="none" w:sz="0" w:space="0" w:color="auto"/>
                <w:left w:val="none" w:sz="0" w:space="0" w:color="auto"/>
                <w:bottom w:val="none" w:sz="0" w:space="0" w:color="auto"/>
                <w:right w:val="none" w:sz="0" w:space="0" w:color="auto"/>
              </w:divBdr>
              <w:divsChild>
                <w:div w:id="667445988">
                  <w:marLeft w:val="0"/>
                  <w:marRight w:val="0"/>
                  <w:marTop w:val="0"/>
                  <w:marBottom w:val="0"/>
                  <w:divBdr>
                    <w:top w:val="none" w:sz="0" w:space="0" w:color="auto"/>
                    <w:left w:val="none" w:sz="0" w:space="0" w:color="auto"/>
                    <w:bottom w:val="none" w:sz="0" w:space="0" w:color="auto"/>
                    <w:right w:val="none" w:sz="0" w:space="0" w:color="auto"/>
                  </w:divBdr>
                  <w:divsChild>
                    <w:div w:id="1787580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8334555">
      <w:bodyDiv w:val="1"/>
      <w:marLeft w:val="0"/>
      <w:marRight w:val="0"/>
      <w:marTop w:val="0"/>
      <w:marBottom w:val="0"/>
      <w:divBdr>
        <w:top w:val="none" w:sz="0" w:space="0" w:color="auto"/>
        <w:left w:val="none" w:sz="0" w:space="0" w:color="auto"/>
        <w:bottom w:val="none" w:sz="0" w:space="0" w:color="auto"/>
        <w:right w:val="none" w:sz="0" w:space="0" w:color="auto"/>
      </w:divBdr>
    </w:div>
    <w:div w:id="1377435975">
      <w:bodyDiv w:val="1"/>
      <w:marLeft w:val="0"/>
      <w:marRight w:val="0"/>
      <w:marTop w:val="0"/>
      <w:marBottom w:val="0"/>
      <w:divBdr>
        <w:top w:val="none" w:sz="0" w:space="0" w:color="auto"/>
        <w:left w:val="none" w:sz="0" w:space="0" w:color="auto"/>
        <w:bottom w:val="none" w:sz="0" w:space="0" w:color="auto"/>
        <w:right w:val="none" w:sz="0" w:space="0" w:color="auto"/>
      </w:divBdr>
    </w:div>
    <w:div w:id="1381711996">
      <w:bodyDiv w:val="1"/>
      <w:marLeft w:val="0"/>
      <w:marRight w:val="0"/>
      <w:marTop w:val="0"/>
      <w:marBottom w:val="0"/>
      <w:divBdr>
        <w:top w:val="none" w:sz="0" w:space="0" w:color="auto"/>
        <w:left w:val="none" w:sz="0" w:space="0" w:color="auto"/>
        <w:bottom w:val="none" w:sz="0" w:space="0" w:color="auto"/>
        <w:right w:val="none" w:sz="0" w:space="0" w:color="auto"/>
      </w:divBdr>
    </w:div>
    <w:div w:id="1392583059">
      <w:bodyDiv w:val="1"/>
      <w:marLeft w:val="0"/>
      <w:marRight w:val="0"/>
      <w:marTop w:val="0"/>
      <w:marBottom w:val="0"/>
      <w:divBdr>
        <w:top w:val="none" w:sz="0" w:space="0" w:color="auto"/>
        <w:left w:val="none" w:sz="0" w:space="0" w:color="auto"/>
        <w:bottom w:val="none" w:sz="0" w:space="0" w:color="auto"/>
        <w:right w:val="none" w:sz="0" w:space="0" w:color="auto"/>
      </w:divBdr>
      <w:divsChild>
        <w:div w:id="631448889">
          <w:marLeft w:val="0"/>
          <w:marRight w:val="0"/>
          <w:marTop w:val="0"/>
          <w:marBottom w:val="0"/>
          <w:divBdr>
            <w:top w:val="none" w:sz="0" w:space="0" w:color="auto"/>
            <w:left w:val="none" w:sz="0" w:space="0" w:color="auto"/>
            <w:bottom w:val="none" w:sz="0" w:space="0" w:color="auto"/>
            <w:right w:val="none" w:sz="0" w:space="0" w:color="auto"/>
          </w:divBdr>
        </w:div>
        <w:div w:id="2094813180">
          <w:marLeft w:val="0"/>
          <w:marRight w:val="0"/>
          <w:marTop w:val="0"/>
          <w:marBottom w:val="0"/>
          <w:divBdr>
            <w:top w:val="none" w:sz="0" w:space="0" w:color="auto"/>
            <w:left w:val="none" w:sz="0" w:space="0" w:color="auto"/>
            <w:bottom w:val="none" w:sz="0" w:space="0" w:color="auto"/>
            <w:right w:val="none" w:sz="0" w:space="0" w:color="auto"/>
          </w:divBdr>
        </w:div>
        <w:div w:id="299575668">
          <w:marLeft w:val="0"/>
          <w:marRight w:val="0"/>
          <w:marTop w:val="0"/>
          <w:marBottom w:val="0"/>
          <w:divBdr>
            <w:top w:val="none" w:sz="0" w:space="0" w:color="auto"/>
            <w:left w:val="none" w:sz="0" w:space="0" w:color="auto"/>
            <w:bottom w:val="none" w:sz="0" w:space="0" w:color="auto"/>
            <w:right w:val="none" w:sz="0" w:space="0" w:color="auto"/>
          </w:divBdr>
        </w:div>
        <w:div w:id="1637224702">
          <w:marLeft w:val="0"/>
          <w:marRight w:val="0"/>
          <w:marTop w:val="0"/>
          <w:marBottom w:val="0"/>
          <w:divBdr>
            <w:top w:val="none" w:sz="0" w:space="0" w:color="auto"/>
            <w:left w:val="none" w:sz="0" w:space="0" w:color="auto"/>
            <w:bottom w:val="none" w:sz="0" w:space="0" w:color="auto"/>
            <w:right w:val="none" w:sz="0" w:space="0" w:color="auto"/>
          </w:divBdr>
        </w:div>
        <w:div w:id="2122066486">
          <w:marLeft w:val="0"/>
          <w:marRight w:val="0"/>
          <w:marTop w:val="0"/>
          <w:marBottom w:val="0"/>
          <w:divBdr>
            <w:top w:val="none" w:sz="0" w:space="0" w:color="auto"/>
            <w:left w:val="none" w:sz="0" w:space="0" w:color="auto"/>
            <w:bottom w:val="none" w:sz="0" w:space="0" w:color="auto"/>
            <w:right w:val="none" w:sz="0" w:space="0" w:color="auto"/>
          </w:divBdr>
        </w:div>
        <w:div w:id="1595702896">
          <w:marLeft w:val="0"/>
          <w:marRight w:val="0"/>
          <w:marTop w:val="0"/>
          <w:marBottom w:val="0"/>
          <w:divBdr>
            <w:top w:val="none" w:sz="0" w:space="0" w:color="auto"/>
            <w:left w:val="none" w:sz="0" w:space="0" w:color="auto"/>
            <w:bottom w:val="none" w:sz="0" w:space="0" w:color="auto"/>
            <w:right w:val="none" w:sz="0" w:space="0" w:color="auto"/>
          </w:divBdr>
        </w:div>
        <w:div w:id="388765461">
          <w:blockQuote w:val="1"/>
          <w:marLeft w:val="600"/>
          <w:marRight w:val="0"/>
          <w:marTop w:val="0"/>
          <w:marBottom w:val="0"/>
          <w:divBdr>
            <w:top w:val="none" w:sz="0" w:space="0" w:color="auto"/>
            <w:left w:val="none" w:sz="0" w:space="0" w:color="auto"/>
            <w:bottom w:val="none" w:sz="0" w:space="0" w:color="auto"/>
            <w:right w:val="none" w:sz="0" w:space="0" w:color="auto"/>
          </w:divBdr>
          <w:divsChild>
            <w:div w:id="1466659308">
              <w:blockQuote w:val="1"/>
              <w:marLeft w:val="600"/>
              <w:marRight w:val="0"/>
              <w:marTop w:val="0"/>
              <w:marBottom w:val="0"/>
              <w:divBdr>
                <w:top w:val="none" w:sz="0" w:space="0" w:color="auto"/>
                <w:left w:val="none" w:sz="0" w:space="0" w:color="auto"/>
                <w:bottom w:val="none" w:sz="0" w:space="0" w:color="auto"/>
                <w:right w:val="none" w:sz="0" w:space="0" w:color="auto"/>
              </w:divBdr>
              <w:divsChild>
                <w:div w:id="89446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877583">
          <w:marLeft w:val="0"/>
          <w:marRight w:val="0"/>
          <w:marTop w:val="0"/>
          <w:marBottom w:val="0"/>
          <w:divBdr>
            <w:top w:val="none" w:sz="0" w:space="0" w:color="auto"/>
            <w:left w:val="none" w:sz="0" w:space="0" w:color="auto"/>
            <w:bottom w:val="none" w:sz="0" w:space="0" w:color="auto"/>
            <w:right w:val="none" w:sz="0" w:space="0" w:color="auto"/>
          </w:divBdr>
          <w:divsChild>
            <w:div w:id="95178062">
              <w:marLeft w:val="0"/>
              <w:marRight w:val="0"/>
              <w:marTop w:val="0"/>
              <w:marBottom w:val="0"/>
              <w:divBdr>
                <w:top w:val="none" w:sz="0" w:space="0" w:color="auto"/>
                <w:left w:val="none" w:sz="0" w:space="0" w:color="auto"/>
                <w:bottom w:val="none" w:sz="0" w:space="0" w:color="auto"/>
                <w:right w:val="none" w:sz="0" w:space="0" w:color="auto"/>
              </w:divBdr>
            </w:div>
          </w:divsChild>
        </w:div>
        <w:div w:id="1951744706">
          <w:marLeft w:val="0"/>
          <w:marRight w:val="0"/>
          <w:marTop w:val="0"/>
          <w:marBottom w:val="0"/>
          <w:divBdr>
            <w:top w:val="none" w:sz="0" w:space="0" w:color="auto"/>
            <w:left w:val="none" w:sz="0" w:space="0" w:color="auto"/>
            <w:bottom w:val="none" w:sz="0" w:space="0" w:color="auto"/>
            <w:right w:val="none" w:sz="0" w:space="0" w:color="auto"/>
          </w:divBdr>
        </w:div>
        <w:div w:id="867913962">
          <w:marLeft w:val="0"/>
          <w:marRight w:val="0"/>
          <w:marTop w:val="0"/>
          <w:marBottom w:val="0"/>
          <w:divBdr>
            <w:top w:val="none" w:sz="0" w:space="0" w:color="auto"/>
            <w:left w:val="none" w:sz="0" w:space="0" w:color="auto"/>
            <w:bottom w:val="none" w:sz="0" w:space="0" w:color="auto"/>
            <w:right w:val="none" w:sz="0" w:space="0" w:color="auto"/>
          </w:divBdr>
        </w:div>
        <w:div w:id="1015375896">
          <w:marLeft w:val="0"/>
          <w:marRight w:val="0"/>
          <w:marTop w:val="0"/>
          <w:marBottom w:val="0"/>
          <w:divBdr>
            <w:top w:val="none" w:sz="0" w:space="0" w:color="auto"/>
            <w:left w:val="none" w:sz="0" w:space="0" w:color="auto"/>
            <w:bottom w:val="none" w:sz="0" w:space="0" w:color="auto"/>
            <w:right w:val="none" w:sz="0" w:space="0" w:color="auto"/>
          </w:divBdr>
        </w:div>
        <w:div w:id="2142651145">
          <w:marLeft w:val="0"/>
          <w:marRight w:val="0"/>
          <w:marTop w:val="0"/>
          <w:marBottom w:val="0"/>
          <w:divBdr>
            <w:top w:val="none" w:sz="0" w:space="0" w:color="auto"/>
            <w:left w:val="none" w:sz="0" w:space="0" w:color="auto"/>
            <w:bottom w:val="none" w:sz="0" w:space="0" w:color="auto"/>
            <w:right w:val="none" w:sz="0" w:space="0" w:color="auto"/>
          </w:divBdr>
        </w:div>
        <w:div w:id="1800806113">
          <w:blockQuote w:val="1"/>
          <w:marLeft w:val="600"/>
          <w:marRight w:val="0"/>
          <w:marTop w:val="0"/>
          <w:marBottom w:val="0"/>
          <w:divBdr>
            <w:top w:val="none" w:sz="0" w:space="0" w:color="auto"/>
            <w:left w:val="none" w:sz="0" w:space="0" w:color="auto"/>
            <w:bottom w:val="none" w:sz="0" w:space="0" w:color="auto"/>
            <w:right w:val="none" w:sz="0" w:space="0" w:color="auto"/>
          </w:divBdr>
          <w:divsChild>
            <w:div w:id="1266958615">
              <w:marLeft w:val="0"/>
              <w:marRight w:val="0"/>
              <w:marTop w:val="0"/>
              <w:marBottom w:val="0"/>
              <w:divBdr>
                <w:top w:val="none" w:sz="0" w:space="0" w:color="auto"/>
                <w:left w:val="none" w:sz="0" w:space="0" w:color="auto"/>
                <w:bottom w:val="none" w:sz="0" w:space="0" w:color="auto"/>
                <w:right w:val="none" w:sz="0" w:space="0" w:color="auto"/>
              </w:divBdr>
            </w:div>
            <w:div w:id="1356228646">
              <w:marLeft w:val="0"/>
              <w:marRight w:val="0"/>
              <w:marTop w:val="0"/>
              <w:marBottom w:val="0"/>
              <w:divBdr>
                <w:top w:val="none" w:sz="0" w:space="0" w:color="auto"/>
                <w:left w:val="none" w:sz="0" w:space="0" w:color="auto"/>
                <w:bottom w:val="none" w:sz="0" w:space="0" w:color="auto"/>
                <w:right w:val="none" w:sz="0" w:space="0" w:color="auto"/>
              </w:divBdr>
              <w:divsChild>
                <w:div w:id="978219662">
                  <w:marLeft w:val="0"/>
                  <w:marRight w:val="0"/>
                  <w:marTop w:val="0"/>
                  <w:marBottom w:val="0"/>
                  <w:divBdr>
                    <w:top w:val="none" w:sz="0" w:space="0" w:color="auto"/>
                    <w:left w:val="none" w:sz="0" w:space="0" w:color="auto"/>
                    <w:bottom w:val="none" w:sz="0" w:space="0" w:color="auto"/>
                    <w:right w:val="none" w:sz="0" w:space="0" w:color="auto"/>
                  </w:divBdr>
                </w:div>
              </w:divsChild>
            </w:div>
            <w:div w:id="283997368">
              <w:marLeft w:val="0"/>
              <w:marRight w:val="0"/>
              <w:marTop w:val="0"/>
              <w:marBottom w:val="0"/>
              <w:divBdr>
                <w:top w:val="none" w:sz="0" w:space="0" w:color="auto"/>
                <w:left w:val="none" w:sz="0" w:space="0" w:color="auto"/>
                <w:bottom w:val="none" w:sz="0" w:space="0" w:color="auto"/>
                <w:right w:val="none" w:sz="0" w:space="0" w:color="auto"/>
              </w:divBdr>
              <w:divsChild>
                <w:div w:id="489909169">
                  <w:marLeft w:val="0"/>
                  <w:marRight w:val="0"/>
                  <w:marTop w:val="0"/>
                  <w:marBottom w:val="0"/>
                  <w:divBdr>
                    <w:top w:val="none" w:sz="0" w:space="0" w:color="auto"/>
                    <w:left w:val="none" w:sz="0" w:space="0" w:color="auto"/>
                    <w:bottom w:val="none" w:sz="0" w:space="0" w:color="auto"/>
                    <w:right w:val="none" w:sz="0" w:space="0" w:color="auto"/>
                  </w:divBdr>
                </w:div>
              </w:divsChild>
            </w:div>
            <w:div w:id="293870811">
              <w:marLeft w:val="0"/>
              <w:marRight w:val="0"/>
              <w:marTop w:val="0"/>
              <w:marBottom w:val="0"/>
              <w:divBdr>
                <w:top w:val="none" w:sz="0" w:space="0" w:color="auto"/>
                <w:left w:val="none" w:sz="0" w:space="0" w:color="auto"/>
                <w:bottom w:val="none" w:sz="0" w:space="0" w:color="auto"/>
                <w:right w:val="none" w:sz="0" w:space="0" w:color="auto"/>
              </w:divBdr>
              <w:divsChild>
                <w:div w:id="1913923243">
                  <w:marLeft w:val="0"/>
                  <w:marRight w:val="0"/>
                  <w:marTop w:val="0"/>
                  <w:marBottom w:val="0"/>
                  <w:divBdr>
                    <w:top w:val="none" w:sz="0" w:space="0" w:color="auto"/>
                    <w:left w:val="none" w:sz="0" w:space="0" w:color="auto"/>
                    <w:bottom w:val="none" w:sz="0" w:space="0" w:color="auto"/>
                    <w:right w:val="none" w:sz="0" w:space="0" w:color="auto"/>
                  </w:divBdr>
                </w:div>
              </w:divsChild>
            </w:div>
            <w:div w:id="659620232">
              <w:marLeft w:val="0"/>
              <w:marRight w:val="0"/>
              <w:marTop w:val="0"/>
              <w:marBottom w:val="0"/>
              <w:divBdr>
                <w:top w:val="none" w:sz="0" w:space="0" w:color="auto"/>
                <w:left w:val="none" w:sz="0" w:space="0" w:color="auto"/>
                <w:bottom w:val="none" w:sz="0" w:space="0" w:color="auto"/>
                <w:right w:val="none" w:sz="0" w:space="0" w:color="auto"/>
              </w:divBdr>
              <w:divsChild>
                <w:div w:id="2115401260">
                  <w:marLeft w:val="0"/>
                  <w:marRight w:val="0"/>
                  <w:marTop w:val="0"/>
                  <w:marBottom w:val="0"/>
                  <w:divBdr>
                    <w:top w:val="none" w:sz="0" w:space="0" w:color="auto"/>
                    <w:left w:val="none" w:sz="0" w:space="0" w:color="auto"/>
                    <w:bottom w:val="none" w:sz="0" w:space="0" w:color="auto"/>
                    <w:right w:val="none" w:sz="0" w:space="0" w:color="auto"/>
                  </w:divBdr>
                </w:div>
              </w:divsChild>
            </w:div>
            <w:div w:id="1406995952">
              <w:marLeft w:val="0"/>
              <w:marRight w:val="0"/>
              <w:marTop w:val="0"/>
              <w:marBottom w:val="0"/>
              <w:divBdr>
                <w:top w:val="none" w:sz="0" w:space="0" w:color="auto"/>
                <w:left w:val="none" w:sz="0" w:space="0" w:color="auto"/>
                <w:bottom w:val="none" w:sz="0" w:space="0" w:color="auto"/>
                <w:right w:val="none" w:sz="0" w:space="0" w:color="auto"/>
              </w:divBdr>
              <w:divsChild>
                <w:div w:id="1470974409">
                  <w:marLeft w:val="0"/>
                  <w:marRight w:val="0"/>
                  <w:marTop w:val="0"/>
                  <w:marBottom w:val="0"/>
                  <w:divBdr>
                    <w:top w:val="none" w:sz="0" w:space="0" w:color="auto"/>
                    <w:left w:val="none" w:sz="0" w:space="0" w:color="auto"/>
                    <w:bottom w:val="none" w:sz="0" w:space="0" w:color="auto"/>
                    <w:right w:val="none" w:sz="0" w:space="0" w:color="auto"/>
                  </w:divBdr>
                </w:div>
              </w:divsChild>
            </w:div>
            <w:div w:id="1185291643">
              <w:marLeft w:val="0"/>
              <w:marRight w:val="0"/>
              <w:marTop w:val="0"/>
              <w:marBottom w:val="0"/>
              <w:divBdr>
                <w:top w:val="none" w:sz="0" w:space="0" w:color="auto"/>
                <w:left w:val="none" w:sz="0" w:space="0" w:color="auto"/>
                <w:bottom w:val="none" w:sz="0" w:space="0" w:color="auto"/>
                <w:right w:val="none" w:sz="0" w:space="0" w:color="auto"/>
              </w:divBdr>
              <w:divsChild>
                <w:div w:id="836313365">
                  <w:marLeft w:val="0"/>
                  <w:marRight w:val="0"/>
                  <w:marTop w:val="0"/>
                  <w:marBottom w:val="0"/>
                  <w:divBdr>
                    <w:top w:val="none" w:sz="0" w:space="0" w:color="auto"/>
                    <w:left w:val="none" w:sz="0" w:space="0" w:color="auto"/>
                    <w:bottom w:val="none" w:sz="0" w:space="0" w:color="auto"/>
                    <w:right w:val="none" w:sz="0" w:space="0" w:color="auto"/>
                  </w:divBdr>
                </w:div>
              </w:divsChild>
            </w:div>
            <w:div w:id="1168595334">
              <w:marLeft w:val="0"/>
              <w:marRight w:val="0"/>
              <w:marTop w:val="0"/>
              <w:marBottom w:val="0"/>
              <w:divBdr>
                <w:top w:val="none" w:sz="0" w:space="0" w:color="auto"/>
                <w:left w:val="none" w:sz="0" w:space="0" w:color="auto"/>
                <w:bottom w:val="none" w:sz="0" w:space="0" w:color="auto"/>
                <w:right w:val="none" w:sz="0" w:space="0" w:color="auto"/>
              </w:divBdr>
              <w:divsChild>
                <w:div w:id="399526645">
                  <w:marLeft w:val="0"/>
                  <w:marRight w:val="0"/>
                  <w:marTop w:val="0"/>
                  <w:marBottom w:val="0"/>
                  <w:divBdr>
                    <w:top w:val="none" w:sz="0" w:space="0" w:color="auto"/>
                    <w:left w:val="none" w:sz="0" w:space="0" w:color="auto"/>
                    <w:bottom w:val="none" w:sz="0" w:space="0" w:color="auto"/>
                    <w:right w:val="none" w:sz="0" w:space="0" w:color="auto"/>
                  </w:divBdr>
                </w:div>
              </w:divsChild>
            </w:div>
            <w:div w:id="1325357856">
              <w:marLeft w:val="0"/>
              <w:marRight w:val="0"/>
              <w:marTop w:val="0"/>
              <w:marBottom w:val="0"/>
              <w:divBdr>
                <w:top w:val="none" w:sz="0" w:space="0" w:color="auto"/>
                <w:left w:val="none" w:sz="0" w:space="0" w:color="auto"/>
                <w:bottom w:val="none" w:sz="0" w:space="0" w:color="auto"/>
                <w:right w:val="none" w:sz="0" w:space="0" w:color="auto"/>
              </w:divBdr>
              <w:divsChild>
                <w:div w:id="406343014">
                  <w:marLeft w:val="0"/>
                  <w:marRight w:val="0"/>
                  <w:marTop w:val="0"/>
                  <w:marBottom w:val="0"/>
                  <w:divBdr>
                    <w:top w:val="none" w:sz="0" w:space="0" w:color="auto"/>
                    <w:left w:val="none" w:sz="0" w:space="0" w:color="auto"/>
                    <w:bottom w:val="none" w:sz="0" w:space="0" w:color="auto"/>
                    <w:right w:val="none" w:sz="0" w:space="0" w:color="auto"/>
                  </w:divBdr>
                </w:div>
              </w:divsChild>
            </w:div>
            <w:div w:id="1059937072">
              <w:marLeft w:val="0"/>
              <w:marRight w:val="0"/>
              <w:marTop w:val="0"/>
              <w:marBottom w:val="0"/>
              <w:divBdr>
                <w:top w:val="none" w:sz="0" w:space="0" w:color="auto"/>
                <w:left w:val="none" w:sz="0" w:space="0" w:color="auto"/>
                <w:bottom w:val="none" w:sz="0" w:space="0" w:color="auto"/>
                <w:right w:val="none" w:sz="0" w:space="0" w:color="auto"/>
              </w:divBdr>
              <w:divsChild>
                <w:div w:id="47996853">
                  <w:marLeft w:val="0"/>
                  <w:marRight w:val="0"/>
                  <w:marTop w:val="0"/>
                  <w:marBottom w:val="0"/>
                  <w:divBdr>
                    <w:top w:val="none" w:sz="0" w:space="0" w:color="auto"/>
                    <w:left w:val="none" w:sz="0" w:space="0" w:color="auto"/>
                    <w:bottom w:val="none" w:sz="0" w:space="0" w:color="auto"/>
                    <w:right w:val="none" w:sz="0" w:space="0" w:color="auto"/>
                  </w:divBdr>
                </w:div>
              </w:divsChild>
            </w:div>
            <w:div w:id="1369603911">
              <w:marLeft w:val="0"/>
              <w:marRight w:val="0"/>
              <w:marTop w:val="0"/>
              <w:marBottom w:val="0"/>
              <w:divBdr>
                <w:top w:val="none" w:sz="0" w:space="0" w:color="auto"/>
                <w:left w:val="none" w:sz="0" w:space="0" w:color="auto"/>
                <w:bottom w:val="none" w:sz="0" w:space="0" w:color="auto"/>
                <w:right w:val="none" w:sz="0" w:space="0" w:color="auto"/>
              </w:divBdr>
            </w:div>
          </w:divsChild>
        </w:div>
        <w:div w:id="546340606">
          <w:marLeft w:val="0"/>
          <w:marRight w:val="0"/>
          <w:marTop w:val="0"/>
          <w:marBottom w:val="0"/>
          <w:divBdr>
            <w:top w:val="none" w:sz="0" w:space="0" w:color="auto"/>
            <w:left w:val="none" w:sz="0" w:space="0" w:color="auto"/>
            <w:bottom w:val="none" w:sz="0" w:space="0" w:color="auto"/>
            <w:right w:val="none" w:sz="0" w:space="0" w:color="auto"/>
          </w:divBdr>
        </w:div>
        <w:div w:id="135342158">
          <w:marLeft w:val="0"/>
          <w:marRight w:val="0"/>
          <w:marTop w:val="0"/>
          <w:marBottom w:val="0"/>
          <w:divBdr>
            <w:top w:val="none" w:sz="0" w:space="0" w:color="auto"/>
            <w:left w:val="none" w:sz="0" w:space="0" w:color="auto"/>
            <w:bottom w:val="none" w:sz="0" w:space="0" w:color="auto"/>
            <w:right w:val="none" w:sz="0" w:space="0" w:color="auto"/>
          </w:divBdr>
        </w:div>
      </w:divsChild>
    </w:div>
    <w:div w:id="1396245835">
      <w:bodyDiv w:val="1"/>
      <w:marLeft w:val="0"/>
      <w:marRight w:val="0"/>
      <w:marTop w:val="0"/>
      <w:marBottom w:val="0"/>
      <w:divBdr>
        <w:top w:val="none" w:sz="0" w:space="0" w:color="auto"/>
        <w:left w:val="none" w:sz="0" w:space="0" w:color="auto"/>
        <w:bottom w:val="none" w:sz="0" w:space="0" w:color="auto"/>
        <w:right w:val="none" w:sz="0" w:space="0" w:color="auto"/>
      </w:divBdr>
    </w:div>
    <w:div w:id="1401757857">
      <w:bodyDiv w:val="1"/>
      <w:marLeft w:val="0"/>
      <w:marRight w:val="0"/>
      <w:marTop w:val="0"/>
      <w:marBottom w:val="0"/>
      <w:divBdr>
        <w:top w:val="none" w:sz="0" w:space="0" w:color="auto"/>
        <w:left w:val="none" w:sz="0" w:space="0" w:color="auto"/>
        <w:bottom w:val="none" w:sz="0" w:space="0" w:color="auto"/>
        <w:right w:val="none" w:sz="0" w:space="0" w:color="auto"/>
      </w:divBdr>
    </w:div>
    <w:div w:id="1402215439">
      <w:bodyDiv w:val="1"/>
      <w:marLeft w:val="0"/>
      <w:marRight w:val="0"/>
      <w:marTop w:val="0"/>
      <w:marBottom w:val="0"/>
      <w:divBdr>
        <w:top w:val="none" w:sz="0" w:space="0" w:color="auto"/>
        <w:left w:val="none" w:sz="0" w:space="0" w:color="auto"/>
        <w:bottom w:val="none" w:sz="0" w:space="0" w:color="auto"/>
        <w:right w:val="none" w:sz="0" w:space="0" w:color="auto"/>
      </w:divBdr>
    </w:div>
    <w:div w:id="1409226291">
      <w:bodyDiv w:val="1"/>
      <w:marLeft w:val="0"/>
      <w:marRight w:val="0"/>
      <w:marTop w:val="0"/>
      <w:marBottom w:val="0"/>
      <w:divBdr>
        <w:top w:val="none" w:sz="0" w:space="0" w:color="auto"/>
        <w:left w:val="none" w:sz="0" w:space="0" w:color="auto"/>
        <w:bottom w:val="none" w:sz="0" w:space="0" w:color="auto"/>
        <w:right w:val="none" w:sz="0" w:space="0" w:color="auto"/>
      </w:divBdr>
      <w:divsChild>
        <w:div w:id="1531456924">
          <w:marLeft w:val="0"/>
          <w:marRight w:val="0"/>
          <w:marTop w:val="0"/>
          <w:marBottom w:val="0"/>
          <w:divBdr>
            <w:top w:val="none" w:sz="0" w:space="0" w:color="auto"/>
            <w:left w:val="none" w:sz="0" w:space="0" w:color="auto"/>
            <w:bottom w:val="none" w:sz="0" w:space="0" w:color="auto"/>
            <w:right w:val="none" w:sz="0" w:space="0" w:color="auto"/>
          </w:divBdr>
          <w:divsChild>
            <w:div w:id="2141605472">
              <w:marLeft w:val="0"/>
              <w:marRight w:val="0"/>
              <w:marTop w:val="0"/>
              <w:marBottom w:val="0"/>
              <w:divBdr>
                <w:top w:val="none" w:sz="0" w:space="0" w:color="auto"/>
                <w:left w:val="none" w:sz="0" w:space="0" w:color="auto"/>
                <w:bottom w:val="none" w:sz="0" w:space="0" w:color="auto"/>
                <w:right w:val="none" w:sz="0" w:space="0" w:color="auto"/>
              </w:divBdr>
              <w:divsChild>
                <w:div w:id="166018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4376343">
      <w:bodyDiv w:val="1"/>
      <w:marLeft w:val="0"/>
      <w:marRight w:val="0"/>
      <w:marTop w:val="0"/>
      <w:marBottom w:val="0"/>
      <w:divBdr>
        <w:top w:val="none" w:sz="0" w:space="0" w:color="auto"/>
        <w:left w:val="none" w:sz="0" w:space="0" w:color="auto"/>
        <w:bottom w:val="none" w:sz="0" w:space="0" w:color="auto"/>
        <w:right w:val="none" w:sz="0" w:space="0" w:color="auto"/>
      </w:divBdr>
    </w:div>
    <w:div w:id="1445684569">
      <w:bodyDiv w:val="1"/>
      <w:marLeft w:val="0"/>
      <w:marRight w:val="0"/>
      <w:marTop w:val="0"/>
      <w:marBottom w:val="0"/>
      <w:divBdr>
        <w:top w:val="none" w:sz="0" w:space="0" w:color="auto"/>
        <w:left w:val="none" w:sz="0" w:space="0" w:color="auto"/>
        <w:bottom w:val="none" w:sz="0" w:space="0" w:color="auto"/>
        <w:right w:val="none" w:sz="0" w:space="0" w:color="auto"/>
      </w:divBdr>
    </w:div>
    <w:div w:id="1448960988">
      <w:bodyDiv w:val="1"/>
      <w:marLeft w:val="0"/>
      <w:marRight w:val="0"/>
      <w:marTop w:val="0"/>
      <w:marBottom w:val="0"/>
      <w:divBdr>
        <w:top w:val="none" w:sz="0" w:space="0" w:color="auto"/>
        <w:left w:val="none" w:sz="0" w:space="0" w:color="auto"/>
        <w:bottom w:val="none" w:sz="0" w:space="0" w:color="auto"/>
        <w:right w:val="none" w:sz="0" w:space="0" w:color="auto"/>
      </w:divBdr>
    </w:div>
    <w:div w:id="1468235361">
      <w:bodyDiv w:val="1"/>
      <w:marLeft w:val="0"/>
      <w:marRight w:val="0"/>
      <w:marTop w:val="0"/>
      <w:marBottom w:val="0"/>
      <w:divBdr>
        <w:top w:val="none" w:sz="0" w:space="0" w:color="auto"/>
        <w:left w:val="none" w:sz="0" w:space="0" w:color="auto"/>
        <w:bottom w:val="none" w:sz="0" w:space="0" w:color="auto"/>
        <w:right w:val="none" w:sz="0" w:space="0" w:color="auto"/>
      </w:divBdr>
      <w:divsChild>
        <w:div w:id="1906338342">
          <w:marLeft w:val="0"/>
          <w:marRight w:val="0"/>
          <w:marTop w:val="0"/>
          <w:marBottom w:val="0"/>
          <w:divBdr>
            <w:top w:val="none" w:sz="0" w:space="0" w:color="auto"/>
            <w:left w:val="none" w:sz="0" w:space="0" w:color="auto"/>
            <w:bottom w:val="none" w:sz="0" w:space="0" w:color="auto"/>
            <w:right w:val="none" w:sz="0" w:space="0" w:color="auto"/>
          </w:divBdr>
          <w:divsChild>
            <w:div w:id="1761372157">
              <w:marLeft w:val="0"/>
              <w:marRight w:val="0"/>
              <w:marTop w:val="0"/>
              <w:marBottom w:val="0"/>
              <w:divBdr>
                <w:top w:val="none" w:sz="0" w:space="0" w:color="auto"/>
                <w:left w:val="none" w:sz="0" w:space="0" w:color="auto"/>
                <w:bottom w:val="none" w:sz="0" w:space="0" w:color="auto"/>
                <w:right w:val="none" w:sz="0" w:space="0" w:color="auto"/>
              </w:divBdr>
              <w:divsChild>
                <w:div w:id="50235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096601">
      <w:bodyDiv w:val="1"/>
      <w:marLeft w:val="0"/>
      <w:marRight w:val="0"/>
      <w:marTop w:val="0"/>
      <w:marBottom w:val="0"/>
      <w:divBdr>
        <w:top w:val="none" w:sz="0" w:space="0" w:color="auto"/>
        <w:left w:val="none" w:sz="0" w:space="0" w:color="auto"/>
        <w:bottom w:val="none" w:sz="0" w:space="0" w:color="auto"/>
        <w:right w:val="none" w:sz="0" w:space="0" w:color="auto"/>
      </w:divBdr>
    </w:div>
    <w:div w:id="1471750840">
      <w:bodyDiv w:val="1"/>
      <w:marLeft w:val="0"/>
      <w:marRight w:val="0"/>
      <w:marTop w:val="0"/>
      <w:marBottom w:val="0"/>
      <w:divBdr>
        <w:top w:val="none" w:sz="0" w:space="0" w:color="auto"/>
        <w:left w:val="none" w:sz="0" w:space="0" w:color="auto"/>
        <w:bottom w:val="none" w:sz="0" w:space="0" w:color="auto"/>
        <w:right w:val="none" w:sz="0" w:space="0" w:color="auto"/>
      </w:divBdr>
    </w:div>
    <w:div w:id="1473327929">
      <w:bodyDiv w:val="1"/>
      <w:marLeft w:val="0"/>
      <w:marRight w:val="0"/>
      <w:marTop w:val="0"/>
      <w:marBottom w:val="0"/>
      <w:divBdr>
        <w:top w:val="none" w:sz="0" w:space="0" w:color="auto"/>
        <w:left w:val="none" w:sz="0" w:space="0" w:color="auto"/>
        <w:bottom w:val="none" w:sz="0" w:space="0" w:color="auto"/>
        <w:right w:val="none" w:sz="0" w:space="0" w:color="auto"/>
      </w:divBdr>
    </w:div>
    <w:div w:id="1476143989">
      <w:bodyDiv w:val="1"/>
      <w:marLeft w:val="0"/>
      <w:marRight w:val="0"/>
      <w:marTop w:val="0"/>
      <w:marBottom w:val="0"/>
      <w:divBdr>
        <w:top w:val="none" w:sz="0" w:space="0" w:color="auto"/>
        <w:left w:val="none" w:sz="0" w:space="0" w:color="auto"/>
        <w:bottom w:val="none" w:sz="0" w:space="0" w:color="auto"/>
        <w:right w:val="none" w:sz="0" w:space="0" w:color="auto"/>
      </w:divBdr>
    </w:div>
    <w:div w:id="1482842812">
      <w:bodyDiv w:val="1"/>
      <w:marLeft w:val="0"/>
      <w:marRight w:val="0"/>
      <w:marTop w:val="0"/>
      <w:marBottom w:val="0"/>
      <w:divBdr>
        <w:top w:val="none" w:sz="0" w:space="0" w:color="auto"/>
        <w:left w:val="none" w:sz="0" w:space="0" w:color="auto"/>
        <w:bottom w:val="none" w:sz="0" w:space="0" w:color="auto"/>
        <w:right w:val="none" w:sz="0" w:space="0" w:color="auto"/>
      </w:divBdr>
    </w:div>
    <w:div w:id="1489908005">
      <w:bodyDiv w:val="1"/>
      <w:marLeft w:val="0"/>
      <w:marRight w:val="0"/>
      <w:marTop w:val="0"/>
      <w:marBottom w:val="0"/>
      <w:divBdr>
        <w:top w:val="none" w:sz="0" w:space="0" w:color="auto"/>
        <w:left w:val="none" w:sz="0" w:space="0" w:color="auto"/>
        <w:bottom w:val="none" w:sz="0" w:space="0" w:color="auto"/>
        <w:right w:val="none" w:sz="0" w:space="0" w:color="auto"/>
      </w:divBdr>
    </w:div>
    <w:div w:id="1495340837">
      <w:bodyDiv w:val="1"/>
      <w:marLeft w:val="0"/>
      <w:marRight w:val="0"/>
      <w:marTop w:val="0"/>
      <w:marBottom w:val="0"/>
      <w:divBdr>
        <w:top w:val="none" w:sz="0" w:space="0" w:color="auto"/>
        <w:left w:val="none" w:sz="0" w:space="0" w:color="auto"/>
        <w:bottom w:val="none" w:sz="0" w:space="0" w:color="auto"/>
        <w:right w:val="none" w:sz="0" w:space="0" w:color="auto"/>
      </w:divBdr>
    </w:div>
    <w:div w:id="1507138254">
      <w:bodyDiv w:val="1"/>
      <w:marLeft w:val="0"/>
      <w:marRight w:val="0"/>
      <w:marTop w:val="0"/>
      <w:marBottom w:val="0"/>
      <w:divBdr>
        <w:top w:val="none" w:sz="0" w:space="0" w:color="auto"/>
        <w:left w:val="none" w:sz="0" w:space="0" w:color="auto"/>
        <w:bottom w:val="none" w:sz="0" w:space="0" w:color="auto"/>
        <w:right w:val="none" w:sz="0" w:space="0" w:color="auto"/>
      </w:divBdr>
    </w:div>
    <w:div w:id="1508133523">
      <w:bodyDiv w:val="1"/>
      <w:marLeft w:val="0"/>
      <w:marRight w:val="0"/>
      <w:marTop w:val="0"/>
      <w:marBottom w:val="0"/>
      <w:divBdr>
        <w:top w:val="none" w:sz="0" w:space="0" w:color="auto"/>
        <w:left w:val="none" w:sz="0" w:space="0" w:color="auto"/>
        <w:bottom w:val="none" w:sz="0" w:space="0" w:color="auto"/>
        <w:right w:val="none" w:sz="0" w:space="0" w:color="auto"/>
      </w:divBdr>
    </w:div>
    <w:div w:id="1509515959">
      <w:bodyDiv w:val="1"/>
      <w:marLeft w:val="0"/>
      <w:marRight w:val="0"/>
      <w:marTop w:val="0"/>
      <w:marBottom w:val="0"/>
      <w:divBdr>
        <w:top w:val="none" w:sz="0" w:space="0" w:color="auto"/>
        <w:left w:val="none" w:sz="0" w:space="0" w:color="auto"/>
        <w:bottom w:val="none" w:sz="0" w:space="0" w:color="auto"/>
        <w:right w:val="none" w:sz="0" w:space="0" w:color="auto"/>
      </w:divBdr>
    </w:div>
    <w:div w:id="1517885818">
      <w:bodyDiv w:val="1"/>
      <w:marLeft w:val="0"/>
      <w:marRight w:val="0"/>
      <w:marTop w:val="0"/>
      <w:marBottom w:val="0"/>
      <w:divBdr>
        <w:top w:val="none" w:sz="0" w:space="0" w:color="auto"/>
        <w:left w:val="none" w:sz="0" w:space="0" w:color="auto"/>
        <w:bottom w:val="none" w:sz="0" w:space="0" w:color="auto"/>
        <w:right w:val="none" w:sz="0" w:space="0" w:color="auto"/>
      </w:divBdr>
    </w:div>
    <w:div w:id="1533960343">
      <w:bodyDiv w:val="1"/>
      <w:marLeft w:val="0"/>
      <w:marRight w:val="0"/>
      <w:marTop w:val="0"/>
      <w:marBottom w:val="0"/>
      <w:divBdr>
        <w:top w:val="none" w:sz="0" w:space="0" w:color="auto"/>
        <w:left w:val="none" w:sz="0" w:space="0" w:color="auto"/>
        <w:bottom w:val="none" w:sz="0" w:space="0" w:color="auto"/>
        <w:right w:val="none" w:sz="0" w:space="0" w:color="auto"/>
      </w:divBdr>
    </w:div>
    <w:div w:id="1539202002">
      <w:bodyDiv w:val="1"/>
      <w:marLeft w:val="0"/>
      <w:marRight w:val="0"/>
      <w:marTop w:val="0"/>
      <w:marBottom w:val="0"/>
      <w:divBdr>
        <w:top w:val="none" w:sz="0" w:space="0" w:color="auto"/>
        <w:left w:val="none" w:sz="0" w:space="0" w:color="auto"/>
        <w:bottom w:val="none" w:sz="0" w:space="0" w:color="auto"/>
        <w:right w:val="none" w:sz="0" w:space="0" w:color="auto"/>
      </w:divBdr>
      <w:divsChild>
        <w:div w:id="289094325">
          <w:marLeft w:val="0"/>
          <w:marRight w:val="0"/>
          <w:marTop w:val="0"/>
          <w:marBottom w:val="0"/>
          <w:divBdr>
            <w:top w:val="none" w:sz="0" w:space="0" w:color="auto"/>
            <w:left w:val="none" w:sz="0" w:space="0" w:color="auto"/>
            <w:bottom w:val="none" w:sz="0" w:space="0" w:color="auto"/>
            <w:right w:val="none" w:sz="0" w:space="0" w:color="auto"/>
          </w:divBdr>
          <w:divsChild>
            <w:div w:id="101149594">
              <w:marLeft w:val="0"/>
              <w:marRight w:val="0"/>
              <w:marTop w:val="0"/>
              <w:marBottom w:val="0"/>
              <w:divBdr>
                <w:top w:val="none" w:sz="0" w:space="0" w:color="auto"/>
                <w:left w:val="none" w:sz="0" w:space="0" w:color="auto"/>
                <w:bottom w:val="none" w:sz="0" w:space="0" w:color="auto"/>
                <w:right w:val="none" w:sz="0" w:space="0" w:color="auto"/>
              </w:divBdr>
              <w:divsChild>
                <w:div w:id="565646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4555537">
      <w:bodyDiv w:val="1"/>
      <w:marLeft w:val="0"/>
      <w:marRight w:val="0"/>
      <w:marTop w:val="0"/>
      <w:marBottom w:val="0"/>
      <w:divBdr>
        <w:top w:val="none" w:sz="0" w:space="0" w:color="auto"/>
        <w:left w:val="none" w:sz="0" w:space="0" w:color="auto"/>
        <w:bottom w:val="none" w:sz="0" w:space="0" w:color="auto"/>
        <w:right w:val="none" w:sz="0" w:space="0" w:color="auto"/>
      </w:divBdr>
    </w:div>
    <w:div w:id="1558973653">
      <w:bodyDiv w:val="1"/>
      <w:marLeft w:val="0"/>
      <w:marRight w:val="0"/>
      <w:marTop w:val="0"/>
      <w:marBottom w:val="0"/>
      <w:divBdr>
        <w:top w:val="none" w:sz="0" w:space="0" w:color="auto"/>
        <w:left w:val="none" w:sz="0" w:space="0" w:color="auto"/>
        <w:bottom w:val="none" w:sz="0" w:space="0" w:color="auto"/>
        <w:right w:val="none" w:sz="0" w:space="0" w:color="auto"/>
      </w:divBdr>
    </w:div>
    <w:div w:id="1566140219">
      <w:bodyDiv w:val="1"/>
      <w:marLeft w:val="0"/>
      <w:marRight w:val="0"/>
      <w:marTop w:val="0"/>
      <w:marBottom w:val="0"/>
      <w:divBdr>
        <w:top w:val="none" w:sz="0" w:space="0" w:color="auto"/>
        <w:left w:val="none" w:sz="0" w:space="0" w:color="auto"/>
        <w:bottom w:val="none" w:sz="0" w:space="0" w:color="auto"/>
        <w:right w:val="none" w:sz="0" w:space="0" w:color="auto"/>
      </w:divBdr>
    </w:div>
    <w:div w:id="1573925530">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582181728">
      <w:bodyDiv w:val="1"/>
      <w:marLeft w:val="0"/>
      <w:marRight w:val="0"/>
      <w:marTop w:val="0"/>
      <w:marBottom w:val="0"/>
      <w:divBdr>
        <w:top w:val="none" w:sz="0" w:space="0" w:color="auto"/>
        <w:left w:val="none" w:sz="0" w:space="0" w:color="auto"/>
        <w:bottom w:val="none" w:sz="0" w:space="0" w:color="auto"/>
        <w:right w:val="none" w:sz="0" w:space="0" w:color="auto"/>
      </w:divBdr>
    </w:div>
    <w:div w:id="1583367298">
      <w:bodyDiv w:val="1"/>
      <w:marLeft w:val="0"/>
      <w:marRight w:val="0"/>
      <w:marTop w:val="0"/>
      <w:marBottom w:val="0"/>
      <w:divBdr>
        <w:top w:val="none" w:sz="0" w:space="0" w:color="auto"/>
        <w:left w:val="none" w:sz="0" w:space="0" w:color="auto"/>
        <w:bottom w:val="none" w:sz="0" w:space="0" w:color="auto"/>
        <w:right w:val="none" w:sz="0" w:space="0" w:color="auto"/>
      </w:divBdr>
    </w:div>
    <w:div w:id="1584801515">
      <w:bodyDiv w:val="1"/>
      <w:marLeft w:val="0"/>
      <w:marRight w:val="0"/>
      <w:marTop w:val="0"/>
      <w:marBottom w:val="0"/>
      <w:divBdr>
        <w:top w:val="none" w:sz="0" w:space="0" w:color="auto"/>
        <w:left w:val="none" w:sz="0" w:space="0" w:color="auto"/>
        <w:bottom w:val="none" w:sz="0" w:space="0" w:color="auto"/>
        <w:right w:val="none" w:sz="0" w:space="0" w:color="auto"/>
      </w:divBdr>
      <w:divsChild>
        <w:div w:id="2100515590">
          <w:marLeft w:val="0"/>
          <w:marRight w:val="0"/>
          <w:marTop w:val="0"/>
          <w:marBottom w:val="0"/>
          <w:divBdr>
            <w:top w:val="none" w:sz="0" w:space="0" w:color="auto"/>
            <w:left w:val="none" w:sz="0" w:space="0" w:color="auto"/>
            <w:bottom w:val="none" w:sz="0" w:space="0" w:color="auto"/>
            <w:right w:val="none" w:sz="0" w:space="0" w:color="auto"/>
          </w:divBdr>
          <w:divsChild>
            <w:div w:id="578245821">
              <w:marLeft w:val="0"/>
              <w:marRight w:val="0"/>
              <w:marTop w:val="0"/>
              <w:marBottom w:val="0"/>
              <w:divBdr>
                <w:top w:val="none" w:sz="0" w:space="0" w:color="auto"/>
                <w:left w:val="none" w:sz="0" w:space="0" w:color="auto"/>
                <w:bottom w:val="none" w:sz="0" w:space="0" w:color="auto"/>
                <w:right w:val="none" w:sz="0" w:space="0" w:color="auto"/>
              </w:divBdr>
            </w:div>
          </w:divsChild>
        </w:div>
        <w:div w:id="656375238">
          <w:blockQuote w:val="1"/>
          <w:marLeft w:val="600"/>
          <w:marRight w:val="0"/>
          <w:marTop w:val="0"/>
          <w:marBottom w:val="0"/>
          <w:divBdr>
            <w:top w:val="none" w:sz="0" w:space="0" w:color="auto"/>
            <w:left w:val="none" w:sz="0" w:space="0" w:color="auto"/>
            <w:bottom w:val="none" w:sz="0" w:space="0" w:color="auto"/>
            <w:right w:val="none" w:sz="0" w:space="0" w:color="auto"/>
          </w:divBdr>
          <w:divsChild>
            <w:div w:id="111873826">
              <w:blockQuote w:val="1"/>
              <w:marLeft w:val="600"/>
              <w:marRight w:val="0"/>
              <w:marTop w:val="0"/>
              <w:marBottom w:val="0"/>
              <w:divBdr>
                <w:top w:val="none" w:sz="0" w:space="0" w:color="auto"/>
                <w:left w:val="none" w:sz="0" w:space="0" w:color="auto"/>
                <w:bottom w:val="none" w:sz="0" w:space="0" w:color="auto"/>
                <w:right w:val="none" w:sz="0" w:space="0" w:color="auto"/>
              </w:divBdr>
              <w:divsChild>
                <w:div w:id="1589343954">
                  <w:marLeft w:val="0"/>
                  <w:marRight w:val="0"/>
                  <w:marTop w:val="0"/>
                  <w:marBottom w:val="0"/>
                  <w:divBdr>
                    <w:top w:val="none" w:sz="0" w:space="0" w:color="auto"/>
                    <w:left w:val="none" w:sz="0" w:space="0" w:color="auto"/>
                    <w:bottom w:val="none" w:sz="0" w:space="0" w:color="auto"/>
                    <w:right w:val="none" w:sz="0" w:space="0" w:color="auto"/>
                  </w:divBdr>
                  <w:divsChild>
                    <w:div w:id="1706711345">
                      <w:marLeft w:val="0"/>
                      <w:marRight w:val="0"/>
                      <w:marTop w:val="0"/>
                      <w:marBottom w:val="0"/>
                      <w:divBdr>
                        <w:top w:val="none" w:sz="0" w:space="0" w:color="auto"/>
                        <w:left w:val="none" w:sz="0" w:space="0" w:color="auto"/>
                        <w:bottom w:val="none" w:sz="0" w:space="0" w:color="auto"/>
                        <w:right w:val="none" w:sz="0" w:space="0" w:color="auto"/>
                      </w:divBdr>
                      <w:divsChild>
                        <w:div w:id="46643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95029">
              <w:blockQuote w:val="1"/>
              <w:marLeft w:val="600"/>
              <w:marRight w:val="0"/>
              <w:marTop w:val="0"/>
              <w:marBottom w:val="0"/>
              <w:divBdr>
                <w:top w:val="none" w:sz="0" w:space="0" w:color="auto"/>
                <w:left w:val="none" w:sz="0" w:space="0" w:color="auto"/>
                <w:bottom w:val="none" w:sz="0" w:space="0" w:color="auto"/>
                <w:right w:val="none" w:sz="0" w:space="0" w:color="auto"/>
              </w:divBdr>
              <w:divsChild>
                <w:div w:id="1015233140">
                  <w:marLeft w:val="0"/>
                  <w:marRight w:val="0"/>
                  <w:marTop w:val="0"/>
                  <w:marBottom w:val="0"/>
                  <w:divBdr>
                    <w:top w:val="none" w:sz="0" w:space="0" w:color="auto"/>
                    <w:left w:val="none" w:sz="0" w:space="0" w:color="auto"/>
                    <w:bottom w:val="none" w:sz="0" w:space="0" w:color="auto"/>
                    <w:right w:val="none" w:sz="0" w:space="0" w:color="auto"/>
                  </w:divBdr>
                  <w:divsChild>
                    <w:div w:id="62550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275740">
              <w:blockQuote w:val="1"/>
              <w:marLeft w:val="600"/>
              <w:marRight w:val="0"/>
              <w:marTop w:val="0"/>
              <w:marBottom w:val="0"/>
              <w:divBdr>
                <w:top w:val="none" w:sz="0" w:space="0" w:color="auto"/>
                <w:left w:val="none" w:sz="0" w:space="0" w:color="auto"/>
                <w:bottom w:val="none" w:sz="0" w:space="0" w:color="auto"/>
                <w:right w:val="none" w:sz="0" w:space="0" w:color="auto"/>
              </w:divBdr>
              <w:divsChild>
                <w:div w:id="466514030">
                  <w:marLeft w:val="0"/>
                  <w:marRight w:val="0"/>
                  <w:marTop w:val="0"/>
                  <w:marBottom w:val="0"/>
                  <w:divBdr>
                    <w:top w:val="none" w:sz="0" w:space="0" w:color="auto"/>
                    <w:left w:val="none" w:sz="0" w:space="0" w:color="auto"/>
                    <w:bottom w:val="none" w:sz="0" w:space="0" w:color="auto"/>
                    <w:right w:val="none" w:sz="0" w:space="0" w:color="auto"/>
                  </w:divBdr>
                  <w:divsChild>
                    <w:div w:id="51531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967127">
              <w:blockQuote w:val="1"/>
              <w:marLeft w:val="600"/>
              <w:marRight w:val="0"/>
              <w:marTop w:val="0"/>
              <w:marBottom w:val="0"/>
              <w:divBdr>
                <w:top w:val="none" w:sz="0" w:space="0" w:color="auto"/>
                <w:left w:val="none" w:sz="0" w:space="0" w:color="auto"/>
                <w:bottom w:val="none" w:sz="0" w:space="0" w:color="auto"/>
                <w:right w:val="none" w:sz="0" w:space="0" w:color="auto"/>
              </w:divBdr>
              <w:divsChild>
                <w:div w:id="162167416">
                  <w:marLeft w:val="0"/>
                  <w:marRight w:val="0"/>
                  <w:marTop w:val="0"/>
                  <w:marBottom w:val="0"/>
                  <w:divBdr>
                    <w:top w:val="none" w:sz="0" w:space="0" w:color="auto"/>
                    <w:left w:val="none" w:sz="0" w:space="0" w:color="auto"/>
                    <w:bottom w:val="none" w:sz="0" w:space="0" w:color="auto"/>
                    <w:right w:val="none" w:sz="0" w:space="0" w:color="auto"/>
                  </w:divBdr>
                  <w:divsChild>
                    <w:div w:id="142927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0653390">
          <w:marLeft w:val="0"/>
          <w:marRight w:val="0"/>
          <w:marTop w:val="0"/>
          <w:marBottom w:val="0"/>
          <w:divBdr>
            <w:top w:val="none" w:sz="0" w:space="0" w:color="auto"/>
            <w:left w:val="none" w:sz="0" w:space="0" w:color="auto"/>
            <w:bottom w:val="none" w:sz="0" w:space="0" w:color="auto"/>
            <w:right w:val="none" w:sz="0" w:space="0" w:color="auto"/>
          </w:divBdr>
          <w:divsChild>
            <w:div w:id="1351490709">
              <w:marLeft w:val="0"/>
              <w:marRight w:val="0"/>
              <w:marTop w:val="0"/>
              <w:marBottom w:val="0"/>
              <w:divBdr>
                <w:top w:val="none" w:sz="0" w:space="0" w:color="auto"/>
                <w:left w:val="none" w:sz="0" w:space="0" w:color="auto"/>
                <w:bottom w:val="none" w:sz="0" w:space="0" w:color="auto"/>
                <w:right w:val="none" w:sz="0" w:space="0" w:color="auto"/>
              </w:divBdr>
            </w:div>
            <w:div w:id="1651326834">
              <w:marLeft w:val="0"/>
              <w:marRight w:val="0"/>
              <w:marTop w:val="0"/>
              <w:marBottom w:val="0"/>
              <w:divBdr>
                <w:top w:val="none" w:sz="0" w:space="0" w:color="auto"/>
                <w:left w:val="none" w:sz="0" w:space="0" w:color="auto"/>
                <w:bottom w:val="none" w:sz="0" w:space="0" w:color="auto"/>
                <w:right w:val="none" w:sz="0" w:space="0" w:color="auto"/>
              </w:divBdr>
              <w:divsChild>
                <w:div w:id="113845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726234">
          <w:blockQuote w:val="1"/>
          <w:marLeft w:val="600"/>
          <w:marRight w:val="0"/>
          <w:marTop w:val="0"/>
          <w:marBottom w:val="0"/>
          <w:divBdr>
            <w:top w:val="none" w:sz="0" w:space="0" w:color="auto"/>
            <w:left w:val="none" w:sz="0" w:space="0" w:color="auto"/>
            <w:bottom w:val="none" w:sz="0" w:space="0" w:color="auto"/>
            <w:right w:val="none" w:sz="0" w:space="0" w:color="auto"/>
          </w:divBdr>
          <w:divsChild>
            <w:div w:id="1259144194">
              <w:blockQuote w:val="1"/>
              <w:marLeft w:val="600"/>
              <w:marRight w:val="0"/>
              <w:marTop w:val="0"/>
              <w:marBottom w:val="0"/>
              <w:divBdr>
                <w:top w:val="none" w:sz="0" w:space="0" w:color="auto"/>
                <w:left w:val="none" w:sz="0" w:space="0" w:color="auto"/>
                <w:bottom w:val="none" w:sz="0" w:space="0" w:color="auto"/>
                <w:right w:val="none" w:sz="0" w:space="0" w:color="auto"/>
              </w:divBdr>
              <w:divsChild>
                <w:div w:id="2044284275">
                  <w:marLeft w:val="0"/>
                  <w:marRight w:val="0"/>
                  <w:marTop w:val="0"/>
                  <w:marBottom w:val="0"/>
                  <w:divBdr>
                    <w:top w:val="none" w:sz="0" w:space="0" w:color="auto"/>
                    <w:left w:val="none" w:sz="0" w:space="0" w:color="auto"/>
                    <w:bottom w:val="none" w:sz="0" w:space="0" w:color="auto"/>
                    <w:right w:val="none" w:sz="0" w:space="0" w:color="auto"/>
                  </w:divBdr>
                  <w:divsChild>
                    <w:div w:id="291834744">
                      <w:marLeft w:val="0"/>
                      <w:marRight w:val="0"/>
                      <w:marTop w:val="0"/>
                      <w:marBottom w:val="0"/>
                      <w:divBdr>
                        <w:top w:val="none" w:sz="0" w:space="0" w:color="auto"/>
                        <w:left w:val="none" w:sz="0" w:space="0" w:color="auto"/>
                        <w:bottom w:val="none" w:sz="0" w:space="0" w:color="auto"/>
                        <w:right w:val="none" w:sz="0" w:space="0" w:color="auto"/>
                      </w:divBdr>
                      <w:divsChild>
                        <w:div w:id="771052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631407">
              <w:blockQuote w:val="1"/>
              <w:marLeft w:val="600"/>
              <w:marRight w:val="0"/>
              <w:marTop w:val="0"/>
              <w:marBottom w:val="0"/>
              <w:divBdr>
                <w:top w:val="none" w:sz="0" w:space="0" w:color="auto"/>
                <w:left w:val="none" w:sz="0" w:space="0" w:color="auto"/>
                <w:bottom w:val="none" w:sz="0" w:space="0" w:color="auto"/>
                <w:right w:val="none" w:sz="0" w:space="0" w:color="auto"/>
              </w:divBdr>
              <w:divsChild>
                <w:div w:id="573317683">
                  <w:marLeft w:val="0"/>
                  <w:marRight w:val="0"/>
                  <w:marTop w:val="0"/>
                  <w:marBottom w:val="0"/>
                  <w:divBdr>
                    <w:top w:val="none" w:sz="0" w:space="0" w:color="auto"/>
                    <w:left w:val="none" w:sz="0" w:space="0" w:color="auto"/>
                    <w:bottom w:val="none" w:sz="0" w:space="0" w:color="auto"/>
                    <w:right w:val="none" w:sz="0" w:space="0" w:color="auto"/>
                  </w:divBdr>
                  <w:divsChild>
                    <w:div w:id="775247382">
                      <w:marLeft w:val="0"/>
                      <w:marRight w:val="0"/>
                      <w:marTop w:val="0"/>
                      <w:marBottom w:val="0"/>
                      <w:divBdr>
                        <w:top w:val="none" w:sz="0" w:space="0" w:color="auto"/>
                        <w:left w:val="none" w:sz="0" w:space="0" w:color="auto"/>
                        <w:bottom w:val="none" w:sz="0" w:space="0" w:color="auto"/>
                        <w:right w:val="none" w:sz="0" w:space="0" w:color="auto"/>
                      </w:divBdr>
                      <w:divsChild>
                        <w:div w:id="107003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099228">
              <w:blockQuote w:val="1"/>
              <w:marLeft w:val="600"/>
              <w:marRight w:val="0"/>
              <w:marTop w:val="0"/>
              <w:marBottom w:val="0"/>
              <w:divBdr>
                <w:top w:val="none" w:sz="0" w:space="0" w:color="auto"/>
                <w:left w:val="none" w:sz="0" w:space="0" w:color="auto"/>
                <w:bottom w:val="none" w:sz="0" w:space="0" w:color="auto"/>
                <w:right w:val="none" w:sz="0" w:space="0" w:color="auto"/>
              </w:divBdr>
              <w:divsChild>
                <w:div w:id="1055665066">
                  <w:marLeft w:val="0"/>
                  <w:marRight w:val="0"/>
                  <w:marTop w:val="0"/>
                  <w:marBottom w:val="0"/>
                  <w:divBdr>
                    <w:top w:val="none" w:sz="0" w:space="0" w:color="auto"/>
                    <w:left w:val="none" w:sz="0" w:space="0" w:color="auto"/>
                    <w:bottom w:val="none" w:sz="0" w:space="0" w:color="auto"/>
                    <w:right w:val="none" w:sz="0" w:space="0" w:color="auto"/>
                  </w:divBdr>
                  <w:divsChild>
                    <w:div w:id="1645770345">
                      <w:marLeft w:val="0"/>
                      <w:marRight w:val="0"/>
                      <w:marTop w:val="0"/>
                      <w:marBottom w:val="0"/>
                      <w:divBdr>
                        <w:top w:val="none" w:sz="0" w:space="0" w:color="auto"/>
                        <w:left w:val="none" w:sz="0" w:space="0" w:color="auto"/>
                        <w:bottom w:val="none" w:sz="0" w:space="0" w:color="auto"/>
                        <w:right w:val="none" w:sz="0" w:space="0" w:color="auto"/>
                      </w:divBdr>
                      <w:divsChild>
                        <w:div w:id="65792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2751451">
          <w:marLeft w:val="0"/>
          <w:marRight w:val="0"/>
          <w:marTop w:val="0"/>
          <w:marBottom w:val="0"/>
          <w:divBdr>
            <w:top w:val="none" w:sz="0" w:space="0" w:color="auto"/>
            <w:left w:val="none" w:sz="0" w:space="0" w:color="auto"/>
            <w:bottom w:val="none" w:sz="0" w:space="0" w:color="auto"/>
            <w:right w:val="none" w:sz="0" w:space="0" w:color="auto"/>
          </w:divBdr>
          <w:divsChild>
            <w:div w:id="340665066">
              <w:marLeft w:val="0"/>
              <w:marRight w:val="0"/>
              <w:marTop w:val="0"/>
              <w:marBottom w:val="0"/>
              <w:divBdr>
                <w:top w:val="none" w:sz="0" w:space="0" w:color="auto"/>
                <w:left w:val="none" w:sz="0" w:space="0" w:color="auto"/>
                <w:bottom w:val="none" w:sz="0" w:space="0" w:color="auto"/>
                <w:right w:val="none" w:sz="0" w:space="0" w:color="auto"/>
              </w:divBdr>
              <w:divsChild>
                <w:div w:id="319770305">
                  <w:marLeft w:val="0"/>
                  <w:marRight w:val="0"/>
                  <w:marTop w:val="0"/>
                  <w:marBottom w:val="0"/>
                  <w:divBdr>
                    <w:top w:val="none" w:sz="0" w:space="0" w:color="auto"/>
                    <w:left w:val="none" w:sz="0" w:space="0" w:color="auto"/>
                    <w:bottom w:val="none" w:sz="0" w:space="0" w:color="auto"/>
                    <w:right w:val="none" w:sz="0" w:space="0" w:color="auto"/>
                  </w:divBdr>
                </w:div>
                <w:div w:id="121466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356945">
          <w:blockQuote w:val="1"/>
          <w:marLeft w:val="600"/>
          <w:marRight w:val="0"/>
          <w:marTop w:val="0"/>
          <w:marBottom w:val="0"/>
          <w:divBdr>
            <w:top w:val="none" w:sz="0" w:space="0" w:color="auto"/>
            <w:left w:val="none" w:sz="0" w:space="0" w:color="auto"/>
            <w:bottom w:val="none" w:sz="0" w:space="0" w:color="auto"/>
            <w:right w:val="none" w:sz="0" w:space="0" w:color="auto"/>
          </w:divBdr>
          <w:divsChild>
            <w:div w:id="922497293">
              <w:blockQuote w:val="1"/>
              <w:marLeft w:val="600"/>
              <w:marRight w:val="0"/>
              <w:marTop w:val="0"/>
              <w:marBottom w:val="0"/>
              <w:divBdr>
                <w:top w:val="none" w:sz="0" w:space="0" w:color="auto"/>
                <w:left w:val="none" w:sz="0" w:space="0" w:color="auto"/>
                <w:bottom w:val="none" w:sz="0" w:space="0" w:color="auto"/>
                <w:right w:val="none" w:sz="0" w:space="0" w:color="auto"/>
              </w:divBdr>
              <w:divsChild>
                <w:div w:id="2027629095">
                  <w:marLeft w:val="0"/>
                  <w:marRight w:val="0"/>
                  <w:marTop w:val="0"/>
                  <w:marBottom w:val="0"/>
                  <w:divBdr>
                    <w:top w:val="none" w:sz="0" w:space="0" w:color="auto"/>
                    <w:left w:val="none" w:sz="0" w:space="0" w:color="auto"/>
                    <w:bottom w:val="none" w:sz="0" w:space="0" w:color="auto"/>
                    <w:right w:val="none" w:sz="0" w:space="0" w:color="auto"/>
                  </w:divBdr>
                  <w:divsChild>
                    <w:div w:id="395055555">
                      <w:marLeft w:val="0"/>
                      <w:marRight w:val="0"/>
                      <w:marTop w:val="0"/>
                      <w:marBottom w:val="0"/>
                      <w:divBdr>
                        <w:top w:val="none" w:sz="0" w:space="0" w:color="auto"/>
                        <w:left w:val="none" w:sz="0" w:space="0" w:color="auto"/>
                        <w:bottom w:val="none" w:sz="0" w:space="0" w:color="auto"/>
                        <w:right w:val="none" w:sz="0" w:space="0" w:color="auto"/>
                      </w:divBdr>
                      <w:divsChild>
                        <w:div w:id="32146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266369">
              <w:blockQuote w:val="1"/>
              <w:marLeft w:val="600"/>
              <w:marRight w:val="0"/>
              <w:marTop w:val="0"/>
              <w:marBottom w:val="0"/>
              <w:divBdr>
                <w:top w:val="none" w:sz="0" w:space="0" w:color="auto"/>
                <w:left w:val="none" w:sz="0" w:space="0" w:color="auto"/>
                <w:bottom w:val="none" w:sz="0" w:space="0" w:color="auto"/>
                <w:right w:val="none" w:sz="0" w:space="0" w:color="auto"/>
              </w:divBdr>
              <w:divsChild>
                <w:div w:id="9649936">
                  <w:marLeft w:val="0"/>
                  <w:marRight w:val="0"/>
                  <w:marTop w:val="0"/>
                  <w:marBottom w:val="0"/>
                  <w:divBdr>
                    <w:top w:val="none" w:sz="0" w:space="0" w:color="auto"/>
                    <w:left w:val="none" w:sz="0" w:space="0" w:color="auto"/>
                    <w:bottom w:val="none" w:sz="0" w:space="0" w:color="auto"/>
                    <w:right w:val="none" w:sz="0" w:space="0" w:color="auto"/>
                  </w:divBdr>
                  <w:divsChild>
                    <w:div w:id="829978519">
                      <w:marLeft w:val="0"/>
                      <w:marRight w:val="0"/>
                      <w:marTop w:val="0"/>
                      <w:marBottom w:val="0"/>
                      <w:divBdr>
                        <w:top w:val="none" w:sz="0" w:space="0" w:color="auto"/>
                        <w:left w:val="none" w:sz="0" w:space="0" w:color="auto"/>
                        <w:bottom w:val="none" w:sz="0" w:space="0" w:color="auto"/>
                        <w:right w:val="none" w:sz="0" w:space="0" w:color="auto"/>
                      </w:divBdr>
                      <w:divsChild>
                        <w:div w:id="126749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0201762">
              <w:blockQuote w:val="1"/>
              <w:marLeft w:val="600"/>
              <w:marRight w:val="0"/>
              <w:marTop w:val="0"/>
              <w:marBottom w:val="0"/>
              <w:divBdr>
                <w:top w:val="none" w:sz="0" w:space="0" w:color="auto"/>
                <w:left w:val="none" w:sz="0" w:space="0" w:color="auto"/>
                <w:bottom w:val="none" w:sz="0" w:space="0" w:color="auto"/>
                <w:right w:val="none" w:sz="0" w:space="0" w:color="auto"/>
              </w:divBdr>
              <w:divsChild>
                <w:div w:id="2140800441">
                  <w:marLeft w:val="0"/>
                  <w:marRight w:val="0"/>
                  <w:marTop w:val="0"/>
                  <w:marBottom w:val="0"/>
                  <w:divBdr>
                    <w:top w:val="none" w:sz="0" w:space="0" w:color="auto"/>
                    <w:left w:val="none" w:sz="0" w:space="0" w:color="auto"/>
                    <w:bottom w:val="none" w:sz="0" w:space="0" w:color="auto"/>
                    <w:right w:val="none" w:sz="0" w:space="0" w:color="auto"/>
                  </w:divBdr>
                  <w:divsChild>
                    <w:div w:id="2041663527">
                      <w:marLeft w:val="0"/>
                      <w:marRight w:val="0"/>
                      <w:marTop w:val="0"/>
                      <w:marBottom w:val="0"/>
                      <w:divBdr>
                        <w:top w:val="none" w:sz="0" w:space="0" w:color="auto"/>
                        <w:left w:val="none" w:sz="0" w:space="0" w:color="auto"/>
                        <w:bottom w:val="none" w:sz="0" w:space="0" w:color="auto"/>
                        <w:right w:val="none" w:sz="0" w:space="0" w:color="auto"/>
                      </w:divBdr>
                      <w:divsChild>
                        <w:div w:id="121381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110700">
              <w:blockQuote w:val="1"/>
              <w:marLeft w:val="600"/>
              <w:marRight w:val="0"/>
              <w:marTop w:val="0"/>
              <w:marBottom w:val="0"/>
              <w:divBdr>
                <w:top w:val="none" w:sz="0" w:space="0" w:color="auto"/>
                <w:left w:val="none" w:sz="0" w:space="0" w:color="auto"/>
                <w:bottom w:val="none" w:sz="0" w:space="0" w:color="auto"/>
                <w:right w:val="none" w:sz="0" w:space="0" w:color="auto"/>
              </w:divBdr>
              <w:divsChild>
                <w:div w:id="1698654640">
                  <w:marLeft w:val="0"/>
                  <w:marRight w:val="0"/>
                  <w:marTop w:val="0"/>
                  <w:marBottom w:val="0"/>
                  <w:divBdr>
                    <w:top w:val="none" w:sz="0" w:space="0" w:color="auto"/>
                    <w:left w:val="none" w:sz="0" w:space="0" w:color="auto"/>
                    <w:bottom w:val="none" w:sz="0" w:space="0" w:color="auto"/>
                    <w:right w:val="none" w:sz="0" w:space="0" w:color="auto"/>
                  </w:divBdr>
                  <w:divsChild>
                    <w:div w:id="1273512223">
                      <w:marLeft w:val="0"/>
                      <w:marRight w:val="0"/>
                      <w:marTop w:val="0"/>
                      <w:marBottom w:val="0"/>
                      <w:divBdr>
                        <w:top w:val="none" w:sz="0" w:space="0" w:color="auto"/>
                        <w:left w:val="none" w:sz="0" w:space="0" w:color="auto"/>
                        <w:bottom w:val="none" w:sz="0" w:space="0" w:color="auto"/>
                        <w:right w:val="none" w:sz="0" w:space="0" w:color="auto"/>
                      </w:divBdr>
                      <w:divsChild>
                        <w:div w:id="121296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448796">
              <w:blockQuote w:val="1"/>
              <w:marLeft w:val="600"/>
              <w:marRight w:val="0"/>
              <w:marTop w:val="0"/>
              <w:marBottom w:val="0"/>
              <w:divBdr>
                <w:top w:val="none" w:sz="0" w:space="0" w:color="auto"/>
                <w:left w:val="none" w:sz="0" w:space="0" w:color="auto"/>
                <w:bottom w:val="none" w:sz="0" w:space="0" w:color="auto"/>
                <w:right w:val="none" w:sz="0" w:space="0" w:color="auto"/>
              </w:divBdr>
              <w:divsChild>
                <w:div w:id="1538352236">
                  <w:marLeft w:val="0"/>
                  <w:marRight w:val="0"/>
                  <w:marTop w:val="0"/>
                  <w:marBottom w:val="0"/>
                  <w:divBdr>
                    <w:top w:val="none" w:sz="0" w:space="0" w:color="auto"/>
                    <w:left w:val="none" w:sz="0" w:space="0" w:color="auto"/>
                    <w:bottom w:val="none" w:sz="0" w:space="0" w:color="auto"/>
                    <w:right w:val="none" w:sz="0" w:space="0" w:color="auto"/>
                  </w:divBdr>
                  <w:divsChild>
                    <w:div w:id="331304187">
                      <w:marLeft w:val="0"/>
                      <w:marRight w:val="0"/>
                      <w:marTop w:val="0"/>
                      <w:marBottom w:val="0"/>
                      <w:divBdr>
                        <w:top w:val="none" w:sz="0" w:space="0" w:color="auto"/>
                        <w:left w:val="none" w:sz="0" w:space="0" w:color="auto"/>
                        <w:bottom w:val="none" w:sz="0" w:space="0" w:color="auto"/>
                        <w:right w:val="none" w:sz="0" w:space="0" w:color="auto"/>
                      </w:divBdr>
                      <w:divsChild>
                        <w:div w:id="24846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296555">
              <w:blockQuote w:val="1"/>
              <w:marLeft w:val="600"/>
              <w:marRight w:val="0"/>
              <w:marTop w:val="0"/>
              <w:marBottom w:val="0"/>
              <w:divBdr>
                <w:top w:val="none" w:sz="0" w:space="0" w:color="auto"/>
                <w:left w:val="none" w:sz="0" w:space="0" w:color="auto"/>
                <w:bottom w:val="none" w:sz="0" w:space="0" w:color="auto"/>
                <w:right w:val="none" w:sz="0" w:space="0" w:color="auto"/>
              </w:divBdr>
              <w:divsChild>
                <w:div w:id="330068688">
                  <w:marLeft w:val="0"/>
                  <w:marRight w:val="0"/>
                  <w:marTop w:val="0"/>
                  <w:marBottom w:val="0"/>
                  <w:divBdr>
                    <w:top w:val="none" w:sz="0" w:space="0" w:color="auto"/>
                    <w:left w:val="none" w:sz="0" w:space="0" w:color="auto"/>
                    <w:bottom w:val="none" w:sz="0" w:space="0" w:color="auto"/>
                    <w:right w:val="none" w:sz="0" w:space="0" w:color="auto"/>
                  </w:divBdr>
                  <w:divsChild>
                    <w:div w:id="1293709020">
                      <w:marLeft w:val="0"/>
                      <w:marRight w:val="0"/>
                      <w:marTop w:val="0"/>
                      <w:marBottom w:val="0"/>
                      <w:divBdr>
                        <w:top w:val="none" w:sz="0" w:space="0" w:color="auto"/>
                        <w:left w:val="none" w:sz="0" w:space="0" w:color="auto"/>
                        <w:bottom w:val="none" w:sz="0" w:space="0" w:color="auto"/>
                        <w:right w:val="none" w:sz="0" w:space="0" w:color="auto"/>
                      </w:divBdr>
                      <w:divsChild>
                        <w:div w:id="2113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350270">
          <w:marLeft w:val="0"/>
          <w:marRight w:val="0"/>
          <w:marTop w:val="0"/>
          <w:marBottom w:val="0"/>
          <w:divBdr>
            <w:top w:val="none" w:sz="0" w:space="0" w:color="auto"/>
            <w:left w:val="none" w:sz="0" w:space="0" w:color="auto"/>
            <w:bottom w:val="none" w:sz="0" w:space="0" w:color="auto"/>
            <w:right w:val="none" w:sz="0" w:space="0" w:color="auto"/>
          </w:divBdr>
          <w:divsChild>
            <w:div w:id="1696081931">
              <w:marLeft w:val="0"/>
              <w:marRight w:val="0"/>
              <w:marTop w:val="0"/>
              <w:marBottom w:val="0"/>
              <w:divBdr>
                <w:top w:val="none" w:sz="0" w:space="0" w:color="auto"/>
                <w:left w:val="none" w:sz="0" w:space="0" w:color="auto"/>
                <w:bottom w:val="none" w:sz="0" w:space="0" w:color="auto"/>
                <w:right w:val="none" w:sz="0" w:space="0" w:color="auto"/>
              </w:divBdr>
              <w:divsChild>
                <w:div w:id="1980762812">
                  <w:marLeft w:val="0"/>
                  <w:marRight w:val="0"/>
                  <w:marTop w:val="0"/>
                  <w:marBottom w:val="0"/>
                  <w:divBdr>
                    <w:top w:val="none" w:sz="0" w:space="0" w:color="auto"/>
                    <w:left w:val="none" w:sz="0" w:space="0" w:color="auto"/>
                    <w:bottom w:val="none" w:sz="0" w:space="0" w:color="auto"/>
                    <w:right w:val="none" w:sz="0" w:space="0" w:color="auto"/>
                  </w:divBdr>
                </w:div>
                <w:div w:id="1627735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6207592">
      <w:bodyDiv w:val="1"/>
      <w:marLeft w:val="0"/>
      <w:marRight w:val="0"/>
      <w:marTop w:val="0"/>
      <w:marBottom w:val="0"/>
      <w:divBdr>
        <w:top w:val="none" w:sz="0" w:space="0" w:color="auto"/>
        <w:left w:val="none" w:sz="0" w:space="0" w:color="auto"/>
        <w:bottom w:val="none" w:sz="0" w:space="0" w:color="auto"/>
        <w:right w:val="none" w:sz="0" w:space="0" w:color="auto"/>
      </w:divBdr>
    </w:div>
    <w:div w:id="1601329495">
      <w:bodyDiv w:val="1"/>
      <w:marLeft w:val="0"/>
      <w:marRight w:val="0"/>
      <w:marTop w:val="0"/>
      <w:marBottom w:val="0"/>
      <w:divBdr>
        <w:top w:val="none" w:sz="0" w:space="0" w:color="auto"/>
        <w:left w:val="none" w:sz="0" w:space="0" w:color="auto"/>
        <w:bottom w:val="none" w:sz="0" w:space="0" w:color="auto"/>
        <w:right w:val="none" w:sz="0" w:space="0" w:color="auto"/>
      </w:divBdr>
    </w:div>
    <w:div w:id="1614094287">
      <w:bodyDiv w:val="1"/>
      <w:marLeft w:val="0"/>
      <w:marRight w:val="0"/>
      <w:marTop w:val="0"/>
      <w:marBottom w:val="0"/>
      <w:divBdr>
        <w:top w:val="none" w:sz="0" w:space="0" w:color="auto"/>
        <w:left w:val="none" w:sz="0" w:space="0" w:color="auto"/>
        <w:bottom w:val="none" w:sz="0" w:space="0" w:color="auto"/>
        <w:right w:val="none" w:sz="0" w:space="0" w:color="auto"/>
      </w:divBdr>
    </w:div>
    <w:div w:id="1614901134">
      <w:bodyDiv w:val="1"/>
      <w:marLeft w:val="0"/>
      <w:marRight w:val="0"/>
      <w:marTop w:val="0"/>
      <w:marBottom w:val="0"/>
      <w:divBdr>
        <w:top w:val="none" w:sz="0" w:space="0" w:color="auto"/>
        <w:left w:val="none" w:sz="0" w:space="0" w:color="auto"/>
        <w:bottom w:val="none" w:sz="0" w:space="0" w:color="auto"/>
        <w:right w:val="none" w:sz="0" w:space="0" w:color="auto"/>
      </w:divBdr>
    </w:div>
    <w:div w:id="1619067109">
      <w:bodyDiv w:val="1"/>
      <w:marLeft w:val="0"/>
      <w:marRight w:val="0"/>
      <w:marTop w:val="0"/>
      <w:marBottom w:val="0"/>
      <w:divBdr>
        <w:top w:val="none" w:sz="0" w:space="0" w:color="auto"/>
        <w:left w:val="none" w:sz="0" w:space="0" w:color="auto"/>
        <w:bottom w:val="none" w:sz="0" w:space="0" w:color="auto"/>
        <w:right w:val="none" w:sz="0" w:space="0" w:color="auto"/>
      </w:divBdr>
    </w:div>
    <w:div w:id="1627735456">
      <w:bodyDiv w:val="1"/>
      <w:marLeft w:val="0"/>
      <w:marRight w:val="0"/>
      <w:marTop w:val="0"/>
      <w:marBottom w:val="0"/>
      <w:divBdr>
        <w:top w:val="none" w:sz="0" w:space="0" w:color="auto"/>
        <w:left w:val="none" w:sz="0" w:space="0" w:color="auto"/>
        <w:bottom w:val="none" w:sz="0" w:space="0" w:color="auto"/>
        <w:right w:val="none" w:sz="0" w:space="0" w:color="auto"/>
      </w:divBdr>
    </w:div>
    <w:div w:id="1640381770">
      <w:bodyDiv w:val="1"/>
      <w:marLeft w:val="0"/>
      <w:marRight w:val="0"/>
      <w:marTop w:val="0"/>
      <w:marBottom w:val="0"/>
      <w:divBdr>
        <w:top w:val="none" w:sz="0" w:space="0" w:color="auto"/>
        <w:left w:val="none" w:sz="0" w:space="0" w:color="auto"/>
        <w:bottom w:val="none" w:sz="0" w:space="0" w:color="auto"/>
        <w:right w:val="none" w:sz="0" w:space="0" w:color="auto"/>
      </w:divBdr>
      <w:divsChild>
        <w:div w:id="1062412720">
          <w:marLeft w:val="0"/>
          <w:marRight w:val="0"/>
          <w:marTop w:val="0"/>
          <w:marBottom w:val="0"/>
          <w:divBdr>
            <w:top w:val="none" w:sz="0" w:space="0" w:color="auto"/>
            <w:left w:val="none" w:sz="0" w:space="0" w:color="auto"/>
            <w:bottom w:val="none" w:sz="0" w:space="0" w:color="auto"/>
            <w:right w:val="none" w:sz="0" w:space="0" w:color="auto"/>
          </w:divBdr>
          <w:divsChild>
            <w:div w:id="1170370396">
              <w:marLeft w:val="0"/>
              <w:marRight w:val="0"/>
              <w:marTop w:val="0"/>
              <w:marBottom w:val="0"/>
              <w:divBdr>
                <w:top w:val="none" w:sz="0" w:space="0" w:color="auto"/>
                <w:left w:val="none" w:sz="0" w:space="0" w:color="auto"/>
                <w:bottom w:val="none" w:sz="0" w:space="0" w:color="auto"/>
                <w:right w:val="none" w:sz="0" w:space="0" w:color="auto"/>
              </w:divBdr>
              <w:divsChild>
                <w:div w:id="1142693034">
                  <w:marLeft w:val="0"/>
                  <w:marRight w:val="0"/>
                  <w:marTop w:val="0"/>
                  <w:marBottom w:val="0"/>
                  <w:divBdr>
                    <w:top w:val="none" w:sz="0" w:space="0" w:color="auto"/>
                    <w:left w:val="none" w:sz="0" w:space="0" w:color="auto"/>
                    <w:bottom w:val="none" w:sz="0" w:space="0" w:color="auto"/>
                    <w:right w:val="none" w:sz="0" w:space="0" w:color="auto"/>
                  </w:divBdr>
                  <w:divsChild>
                    <w:div w:id="95533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395981">
      <w:bodyDiv w:val="1"/>
      <w:marLeft w:val="0"/>
      <w:marRight w:val="0"/>
      <w:marTop w:val="0"/>
      <w:marBottom w:val="0"/>
      <w:divBdr>
        <w:top w:val="none" w:sz="0" w:space="0" w:color="auto"/>
        <w:left w:val="none" w:sz="0" w:space="0" w:color="auto"/>
        <w:bottom w:val="none" w:sz="0" w:space="0" w:color="auto"/>
        <w:right w:val="none" w:sz="0" w:space="0" w:color="auto"/>
      </w:divBdr>
    </w:div>
    <w:div w:id="1650284887">
      <w:bodyDiv w:val="1"/>
      <w:marLeft w:val="0"/>
      <w:marRight w:val="0"/>
      <w:marTop w:val="0"/>
      <w:marBottom w:val="0"/>
      <w:divBdr>
        <w:top w:val="none" w:sz="0" w:space="0" w:color="auto"/>
        <w:left w:val="none" w:sz="0" w:space="0" w:color="auto"/>
        <w:bottom w:val="none" w:sz="0" w:space="0" w:color="auto"/>
        <w:right w:val="none" w:sz="0" w:space="0" w:color="auto"/>
      </w:divBdr>
      <w:divsChild>
        <w:div w:id="927079769">
          <w:marLeft w:val="0"/>
          <w:marRight w:val="0"/>
          <w:marTop w:val="0"/>
          <w:marBottom w:val="0"/>
          <w:divBdr>
            <w:top w:val="none" w:sz="0" w:space="0" w:color="auto"/>
            <w:left w:val="none" w:sz="0" w:space="0" w:color="auto"/>
            <w:bottom w:val="none" w:sz="0" w:space="0" w:color="auto"/>
            <w:right w:val="none" w:sz="0" w:space="0" w:color="auto"/>
          </w:divBdr>
          <w:divsChild>
            <w:div w:id="1644701967">
              <w:marLeft w:val="0"/>
              <w:marRight w:val="0"/>
              <w:marTop w:val="0"/>
              <w:marBottom w:val="0"/>
              <w:divBdr>
                <w:top w:val="none" w:sz="0" w:space="0" w:color="auto"/>
                <w:left w:val="none" w:sz="0" w:space="0" w:color="auto"/>
                <w:bottom w:val="none" w:sz="0" w:space="0" w:color="auto"/>
                <w:right w:val="none" w:sz="0" w:space="0" w:color="auto"/>
              </w:divBdr>
              <w:divsChild>
                <w:div w:id="371923142">
                  <w:marLeft w:val="0"/>
                  <w:marRight w:val="0"/>
                  <w:marTop w:val="0"/>
                  <w:marBottom w:val="0"/>
                  <w:divBdr>
                    <w:top w:val="none" w:sz="0" w:space="0" w:color="auto"/>
                    <w:left w:val="none" w:sz="0" w:space="0" w:color="auto"/>
                    <w:bottom w:val="none" w:sz="0" w:space="0" w:color="auto"/>
                    <w:right w:val="none" w:sz="0" w:space="0" w:color="auto"/>
                  </w:divBdr>
                  <w:divsChild>
                    <w:div w:id="1952516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3413945">
      <w:bodyDiv w:val="1"/>
      <w:marLeft w:val="0"/>
      <w:marRight w:val="0"/>
      <w:marTop w:val="0"/>
      <w:marBottom w:val="0"/>
      <w:divBdr>
        <w:top w:val="none" w:sz="0" w:space="0" w:color="auto"/>
        <w:left w:val="none" w:sz="0" w:space="0" w:color="auto"/>
        <w:bottom w:val="none" w:sz="0" w:space="0" w:color="auto"/>
        <w:right w:val="none" w:sz="0" w:space="0" w:color="auto"/>
      </w:divBdr>
    </w:div>
    <w:div w:id="1661037553">
      <w:bodyDiv w:val="1"/>
      <w:marLeft w:val="0"/>
      <w:marRight w:val="0"/>
      <w:marTop w:val="0"/>
      <w:marBottom w:val="0"/>
      <w:divBdr>
        <w:top w:val="none" w:sz="0" w:space="0" w:color="auto"/>
        <w:left w:val="none" w:sz="0" w:space="0" w:color="auto"/>
        <w:bottom w:val="none" w:sz="0" w:space="0" w:color="auto"/>
        <w:right w:val="none" w:sz="0" w:space="0" w:color="auto"/>
      </w:divBdr>
    </w:div>
    <w:div w:id="1663193784">
      <w:bodyDiv w:val="1"/>
      <w:marLeft w:val="0"/>
      <w:marRight w:val="0"/>
      <w:marTop w:val="0"/>
      <w:marBottom w:val="0"/>
      <w:divBdr>
        <w:top w:val="none" w:sz="0" w:space="0" w:color="auto"/>
        <w:left w:val="none" w:sz="0" w:space="0" w:color="auto"/>
        <w:bottom w:val="none" w:sz="0" w:space="0" w:color="auto"/>
        <w:right w:val="none" w:sz="0" w:space="0" w:color="auto"/>
      </w:divBdr>
      <w:divsChild>
        <w:div w:id="1417903108">
          <w:marLeft w:val="0"/>
          <w:marRight w:val="0"/>
          <w:marTop w:val="0"/>
          <w:marBottom w:val="0"/>
          <w:divBdr>
            <w:top w:val="none" w:sz="0" w:space="0" w:color="auto"/>
            <w:left w:val="none" w:sz="0" w:space="0" w:color="auto"/>
            <w:bottom w:val="none" w:sz="0" w:space="0" w:color="auto"/>
            <w:right w:val="none" w:sz="0" w:space="0" w:color="auto"/>
          </w:divBdr>
          <w:divsChild>
            <w:div w:id="1264530621">
              <w:marLeft w:val="0"/>
              <w:marRight w:val="0"/>
              <w:marTop w:val="0"/>
              <w:marBottom w:val="0"/>
              <w:divBdr>
                <w:top w:val="none" w:sz="0" w:space="0" w:color="auto"/>
                <w:left w:val="none" w:sz="0" w:space="0" w:color="auto"/>
                <w:bottom w:val="none" w:sz="0" w:space="0" w:color="auto"/>
                <w:right w:val="none" w:sz="0" w:space="0" w:color="auto"/>
              </w:divBdr>
              <w:divsChild>
                <w:div w:id="1960649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6104541">
      <w:bodyDiv w:val="1"/>
      <w:marLeft w:val="0"/>
      <w:marRight w:val="0"/>
      <w:marTop w:val="0"/>
      <w:marBottom w:val="0"/>
      <w:divBdr>
        <w:top w:val="none" w:sz="0" w:space="0" w:color="auto"/>
        <w:left w:val="none" w:sz="0" w:space="0" w:color="auto"/>
        <w:bottom w:val="none" w:sz="0" w:space="0" w:color="auto"/>
        <w:right w:val="none" w:sz="0" w:space="0" w:color="auto"/>
      </w:divBdr>
    </w:div>
    <w:div w:id="1677803638">
      <w:bodyDiv w:val="1"/>
      <w:marLeft w:val="0"/>
      <w:marRight w:val="0"/>
      <w:marTop w:val="0"/>
      <w:marBottom w:val="0"/>
      <w:divBdr>
        <w:top w:val="none" w:sz="0" w:space="0" w:color="auto"/>
        <w:left w:val="none" w:sz="0" w:space="0" w:color="auto"/>
        <w:bottom w:val="none" w:sz="0" w:space="0" w:color="auto"/>
        <w:right w:val="none" w:sz="0" w:space="0" w:color="auto"/>
      </w:divBdr>
    </w:div>
    <w:div w:id="1678800704">
      <w:bodyDiv w:val="1"/>
      <w:marLeft w:val="0"/>
      <w:marRight w:val="0"/>
      <w:marTop w:val="0"/>
      <w:marBottom w:val="0"/>
      <w:divBdr>
        <w:top w:val="none" w:sz="0" w:space="0" w:color="auto"/>
        <w:left w:val="none" w:sz="0" w:space="0" w:color="auto"/>
        <w:bottom w:val="none" w:sz="0" w:space="0" w:color="auto"/>
        <w:right w:val="none" w:sz="0" w:space="0" w:color="auto"/>
      </w:divBdr>
      <w:divsChild>
        <w:div w:id="572349956">
          <w:marLeft w:val="0"/>
          <w:marRight w:val="0"/>
          <w:marTop w:val="0"/>
          <w:marBottom w:val="0"/>
          <w:divBdr>
            <w:top w:val="none" w:sz="0" w:space="0" w:color="auto"/>
            <w:left w:val="none" w:sz="0" w:space="0" w:color="auto"/>
            <w:bottom w:val="none" w:sz="0" w:space="0" w:color="auto"/>
            <w:right w:val="none" w:sz="0" w:space="0" w:color="auto"/>
          </w:divBdr>
        </w:div>
      </w:divsChild>
    </w:div>
    <w:div w:id="1686708605">
      <w:bodyDiv w:val="1"/>
      <w:marLeft w:val="0"/>
      <w:marRight w:val="0"/>
      <w:marTop w:val="0"/>
      <w:marBottom w:val="0"/>
      <w:divBdr>
        <w:top w:val="none" w:sz="0" w:space="0" w:color="auto"/>
        <w:left w:val="none" w:sz="0" w:space="0" w:color="auto"/>
        <w:bottom w:val="none" w:sz="0" w:space="0" w:color="auto"/>
        <w:right w:val="none" w:sz="0" w:space="0" w:color="auto"/>
      </w:divBdr>
    </w:div>
    <w:div w:id="1695114957">
      <w:bodyDiv w:val="1"/>
      <w:marLeft w:val="0"/>
      <w:marRight w:val="0"/>
      <w:marTop w:val="0"/>
      <w:marBottom w:val="0"/>
      <w:divBdr>
        <w:top w:val="none" w:sz="0" w:space="0" w:color="auto"/>
        <w:left w:val="none" w:sz="0" w:space="0" w:color="auto"/>
        <w:bottom w:val="none" w:sz="0" w:space="0" w:color="auto"/>
        <w:right w:val="none" w:sz="0" w:space="0" w:color="auto"/>
      </w:divBdr>
    </w:div>
    <w:div w:id="1695423701">
      <w:bodyDiv w:val="1"/>
      <w:marLeft w:val="0"/>
      <w:marRight w:val="0"/>
      <w:marTop w:val="0"/>
      <w:marBottom w:val="0"/>
      <w:divBdr>
        <w:top w:val="none" w:sz="0" w:space="0" w:color="auto"/>
        <w:left w:val="none" w:sz="0" w:space="0" w:color="auto"/>
        <w:bottom w:val="none" w:sz="0" w:space="0" w:color="auto"/>
        <w:right w:val="none" w:sz="0" w:space="0" w:color="auto"/>
      </w:divBdr>
    </w:div>
    <w:div w:id="1696418799">
      <w:bodyDiv w:val="1"/>
      <w:marLeft w:val="0"/>
      <w:marRight w:val="0"/>
      <w:marTop w:val="0"/>
      <w:marBottom w:val="0"/>
      <w:divBdr>
        <w:top w:val="none" w:sz="0" w:space="0" w:color="auto"/>
        <w:left w:val="none" w:sz="0" w:space="0" w:color="auto"/>
        <w:bottom w:val="none" w:sz="0" w:space="0" w:color="auto"/>
        <w:right w:val="none" w:sz="0" w:space="0" w:color="auto"/>
      </w:divBdr>
    </w:div>
    <w:div w:id="1699309261">
      <w:bodyDiv w:val="1"/>
      <w:marLeft w:val="0"/>
      <w:marRight w:val="0"/>
      <w:marTop w:val="0"/>
      <w:marBottom w:val="0"/>
      <w:divBdr>
        <w:top w:val="none" w:sz="0" w:space="0" w:color="auto"/>
        <w:left w:val="none" w:sz="0" w:space="0" w:color="auto"/>
        <w:bottom w:val="none" w:sz="0" w:space="0" w:color="auto"/>
        <w:right w:val="none" w:sz="0" w:space="0" w:color="auto"/>
      </w:divBdr>
      <w:divsChild>
        <w:div w:id="49155790">
          <w:marLeft w:val="0"/>
          <w:marRight w:val="0"/>
          <w:marTop w:val="0"/>
          <w:marBottom w:val="0"/>
          <w:divBdr>
            <w:top w:val="none" w:sz="0" w:space="0" w:color="auto"/>
            <w:left w:val="none" w:sz="0" w:space="0" w:color="auto"/>
            <w:bottom w:val="none" w:sz="0" w:space="0" w:color="auto"/>
            <w:right w:val="none" w:sz="0" w:space="0" w:color="auto"/>
          </w:divBdr>
        </w:div>
        <w:div w:id="61605767">
          <w:marLeft w:val="0"/>
          <w:marRight w:val="0"/>
          <w:marTop w:val="0"/>
          <w:marBottom w:val="0"/>
          <w:divBdr>
            <w:top w:val="none" w:sz="0" w:space="0" w:color="auto"/>
            <w:left w:val="none" w:sz="0" w:space="0" w:color="auto"/>
            <w:bottom w:val="none" w:sz="0" w:space="0" w:color="auto"/>
            <w:right w:val="none" w:sz="0" w:space="0" w:color="auto"/>
          </w:divBdr>
        </w:div>
        <w:div w:id="1204562006">
          <w:marLeft w:val="0"/>
          <w:marRight w:val="0"/>
          <w:marTop w:val="0"/>
          <w:marBottom w:val="0"/>
          <w:divBdr>
            <w:top w:val="none" w:sz="0" w:space="0" w:color="auto"/>
            <w:left w:val="none" w:sz="0" w:space="0" w:color="auto"/>
            <w:bottom w:val="none" w:sz="0" w:space="0" w:color="auto"/>
            <w:right w:val="none" w:sz="0" w:space="0" w:color="auto"/>
          </w:divBdr>
        </w:div>
        <w:div w:id="99838859">
          <w:marLeft w:val="0"/>
          <w:marRight w:val="0"/>
          <w:marTop w:val="0"/>
          <w:marBottom w:val="0"/>
          <w:divBdr>
            <w:top w:val="none" w:sz="0" w:space="0" w:color="auto"/>
            <w:left w:val="none" w:sz="0" w:space="0" w:color="auto"/>
            <w:bottom w:val="none" w:sz="0" w:space="0" w:color="auto"/>
            <w:right w:val="none" w:sz="0" w:space="0" w:color="auto"/>
          </w:divBdr>
        </w:div>
        <w:div w:id="1508212349">
          <w:marLeft w:val="0"/>
          <w:marRight w:val="0"/>
          <w:marTop w:val="0"/>
          <w:marBottom w:val="0"/>
          <w:divBdr>
            <w:top w:val="none" w:sz="0" w:space="0" w:color="auto"/>
            <w:left w:val="none" w:sz="0" w:space="0" w:color="auto"/>
            <w:bottom w:val="none" w:sz="0" w:space="0" w:color="auto"/>
            <w:right w:val="none" w:sz="0" w:space="0" w:color="auto"/>
          </w:divBdr>
        </w:div>
        <w:div w:id="697050822">
          <w:marLeft w:val="0"/>
          <w:marRight w:val="0"/>
          <w:marTop w:val="0"/>
          <w:marBottom w:val="0"/>
          <w:divBdr>
            <w:top w:val="none" w:sz="0" w:space="0" w:color="auto"/>
            <w:left w:val="none" w:sz="0" w:space="0" w:color="auto"/>
            <w:bottom w:val="none" w:sz="0" w:space="0" w:color="auto"/>
            <w:right w:val="none" w:sz="0" w:space="0" w:color="auto"/>
          </w:divBdr>
        </w:div>
        <w:div w:id="468282290">
          <w:marLeft w:val="0"/>
          <w:marRight w:val="0"/>
          <w:marTop w:val="0"/>
          <w:marBottom w:val="0"/>
          <w:divBdr>
            <w:top w:val="none" w:sz="0" w:space="0" w:color="auto"/>
            <w:left w:val="none" w:sz="0" w:space="0" w:color="auto"/>
            <w:bottom w:val="none" w:sz="0" w:space="0" w:color="auto"/>
            <w:right w:val="none" w:sz="0" w:space="0" w:color="auto"/>
          </w:divBdr>
        </w:div>
        <w:div w:id="1156186221">
          <w:marLeft w:val="0"/>
          <w:marRight w:val="0"/>
          <w:marTop w:val="0"/>
          <w:marBottom w:val="0"/>
          <w:divBdr>
            <w:top w:val="none" w:sz="0" w:space="0" w:color="auto"/>
            <w:left w:val="none" w:sz="0" w:space="0" w:color="auto"/>
            <w:bottom w:val="none" w:sz="0" w:space="0" w:color="auto"/>
            <w:right w:val="none" w:sz="0" w:space="0" w:color="auto"/>
          </w:divBdr>
        </w:div>
        <w:div w:id="1479225221">
          <w:marLeft w:val="0"/>
          <w:marRight w:val="0"/>
          <w:marTop w:val="0"/>
          <w:marBottom w:val="0"/>
          <w:divBdr>
            <w:top w:val="none" w:sz="0" w:space="0" w:color="auto"/>
            <w:left w:val="none" w:sz="0" w:space="0" w:color="auto"/>
            <w:bottom w:val="none" w:sz="0" w:space="0" w:color="auto"/>
            <w:right w:val="none" w:sz="0" w:space="0" w:color="auto"/>
          </w:divBdr>
        </w:div>
        <w:div w:id="554896857">
          <w:marLeft w:val="0"/>
          <w:marRight w:val="0"/>
          <w:marTop w:val="0"/>
          <w:marBottom w:val="0"/>
          <w:divBdr>
            <w:top w:val="none" w:sz="0" w:space="0" w:color="auto"/>
            <w:left w:val="none" w:sz="0" w:space="0" w:color="auto"/>
            <w:bottom w:val="none" w:sz="0" w:space="0" w:color="auto"/>
            <w:right w:val="none" w:sz="0" w:space="0" w:color="auto"/>
          </w:divBdr>
        </w:div>
        <w:div w:id="1322924310">
          <w:marLeft w:val="0"/>
          <w:marRight w:val="0"/>
          <w:marTop w:val="0"/>
          <w:marBottom w:val="0"/>
          <w:divBdr>
            <w:top w:val="none" w:sz="0" w:space="0" w:color="auto"/>
            <w:left w:val="none" w:sz="0" w:space="0" w:color="auto"/>
            <w:bottom w:val="none" w:sz="0" w:space="0" w:color="auto"/>
            <w:right w:val="none" w:sz="0" w:space="0" w:color="auto"/>
          </w:divBdr>
        </w:div>
        <w:div w:id="1379668816">
          <w:marLeft w:val="0"/>
          <w:marRight w:val="0"/>
          <w:marTop w:val="0"/>
          <w:marBottom w:val="0"/>
          <w:divBdr>
            <w:top w:val="none" w:sz="0" w:space="0" w:color="auto"/>
            <w:left w:val="none" w:sz="0" w:space="0" w:color="auto"/>
            <w:bottom w:val="none" w:sz="0" w:space="0" w:color="auto"/>
            <w:right w:val="none" w:sz="0" w:space="0" w:color="auto"/>
          </w:divBdr>
          <w:divsChild>
            <w:div w:id="258952796">
              <w:marLeft w:val="0"/>
              <w:marRight w:val="0"/>
              <w:marTop w:val="0"/>
              <w:marBottom w:val="0"/>
              <w:divBdr>
                <w:top w:val="none" w:sz="0" w:space="0" w:color="auto"/>
                <w:left w:val="none" w:sz="0" w:space="0" w:color="auto"/>
                <w:bottom w:val="none" w:sz="0" w:space="0" w:color="auto"/>
                <w:right w:val="none" w:sz="0" w:space="0" w:color="auto"/>
              </w:divBdr>
            </w:div>
            <w:div w:id="1319922405">
              <w:marLeft w:val="0"/>
              <w:marRight w:val="0"/>
              <w:marTop w:val="0"/>
              <w:marBottom w:val="0"/>
              <w:divBdr>
                <w:top w:val="none" w:sz="0" w:space="0" w:color="auto"/>
                <w:left w:val="none" w:sz="0" w:space="0" w:color="auto"/>
                <w:bottom w:val="none" w:sz="0" w:space="0" w:color="auto"/>
                <w:right w:val="none" w:sz="0" w:space="0" w:color="auto"/>
              </w:divBdr>
            </w:div>
            <w:div w:id="139924342">
              <w:marLeft w:val="0"/>
              <w:marRight w:val="0"/>
              <w:marTop w:val="0"/>
              <w:marBottom w:val="0"/>
              <w:divBdr>
                <w:top w:val="none" w:sz="0" w:space="0" w:color="auto"/>
                <w:left w:val="none" w:sz="0" w:space="0" w:color="auto"/>
                <w:bottom w:val="none" w:sz="0" w:space="0" w:color="auto"/>
                <w:right w:val="none" w:sz="0" w:space="0" w:color="auto"/>
              </w:divBdr>
            </w:div>
            <w:div w:id="294458136">
              <w:marLeft w:val="0"/>
              <w:marRight w:val="0"/>
              <w:marTop w:val="0"/>
              <w:marBottom w:val="0"/>
              <w:divBdr>
                <w:top w:val="none" w:sz="0" w:space="0" w:color="auto"/>
                <w:left w:val="none" w:sz="0" w:space="0" w:color="auto"/>
                <w:bottom w:val="none" w:sz="0" w:space="0" w:color="auto"/>
                <w:right w:val="none" w:sz="0" w:space="0" w:color="auto"/>
              </w:divBdr>
            </w:div>
            <w:div w:id="351732758">
              <w:marLeft w:val="0"/>
              <w:marRight w:val="0"/>
              <w:marTop w:val="0"/>
              <w:marBottom w:val="0"/>
              <w:divBdr>
                <w:top w:val="none" w:sz="0" w:space="0" w:color="auto"/>
                <w:left w:val="none" w:sz="0" w:space="0" w:color="auto"/>
                <w:bottom w:val="none" w:sz="0" w:space="0" w:color="auto"/>
                <w:right w:val="none" w:sz="0" w:space="0" w:color="auto"/>
              </w:divBdr>
            </w:div>
            <w:div w:id="928000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8410328">
      <w:bodyDiv w:val="1"/>
      <w:marLeft w:val="0"/>
      <w:marRight w:val="0"/>
      <w:marTop w:val="0"/>
      <w:marBottom w:val="0"/>
      <w:divBdr>
        <w:top w:val="none" w:sz="0" w:space="0" w:color="auto"/>
        <w:left w:val="none" w:sz="0" w:space="0" w:color="auto"/>
        <w:bottom w:val="none" w:sz="0" w:space="0" w:color="auto"/>
        <w:right w:val="none" w:sz="0" w:space="0" w:color="auto"/>
      </w:divBdr>
      <w:divsChild>
        <w:div w:id="932855324">
          <w:marLeft w:val="0"/>
          <w:marRight w:val="0"/>
          <w:marTop w:val="0"/>
          <w:marBottom w:val="0"/>
          <w:divBdr>
            <w:top w:val="none" w:sz="0" w:space="0" w:color="auto"/>
            <w:left w:val="none" w:sz="0" w:space="0" w:color="auto"/>
            <w:bottom w:val="none" w:sz="0" w:space="0" w:color="auto"/>
            <w:right w:val="none" w:sz="0" w:space="0" w:color="auto"/>
          </w:divBdr>
          <w:divsChild>
            <w:div w:id="984509499">
              <w:marLeft w:val="0"/>
              <w:marRight w:val="0"/>
              <w:marTop w:val="0"/>
              <w:marBottom w:val="0"/>
              <w:divBdr>
                <w:top w:val="none" w:sz="0" w:space="0" w:color="auto"/>
                <w:left w:val="none" w:sz="0" w:space="0" w:color="auto"/>
                <w:bottom w:val="none" w:sz="0" w:space="0" w:color="auto"/>
                <w:right w:val="none" w:sz="0" w:space="0" w:color="auto"/>
              </w:divBdr>
              <w:divsChild>
                <w:div w:id="1891262088">
                  <w:marLeft w:val="0"/>
                  <w:marRight w:val="0"/>
                  <w:marTop w:val="0"/>
                  <w:marBottom w:val="0"/>
                  <w:divBdr>
                    <w:top w:val="none" w:sz="0" w:space="0" w:color="auto"/>
                    <w:left w:val="none" w:sz="0" w:space="0" w:color="auto"/>
                    <w:bottom w:val="none" w:sz="0" w:space="0" w:color="auto"/>
                    <w:right w:val="none" w:sz="0" w:space="0" w:color="auto"/>
                  </w:divBdr>
                  <w:divsChild>
                    <w:div w:id="691953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2072321">
      <w:bodyDiv w:val="1"/>
      <w:marLeft w:val="0"/>
      <w:marRight w:val="0"/>
      <w:marTop w:val="0"/>
      <w:marBottom w:val="0"/>
      <w:divBdr>
        <w:top w:val="none" w:sz="0" w:space="0" w:color="auto"/>
        <w:left w:val="none" w:sz="0" w:space="0" w:color="auto"/>
        <w:bottom w:val="none" w:sz="0" w:space="0" w:color="auto"/>
        <w:right w:val="none" w:sz="0" w:space="0" w:color="auto"/>
      </w:divBdr>
    </w:div>
    <w:div w:id="1723167071">
      <w:bodyDiv w:val="1"/>
      <w:marLeft w:val="0"/>
      <w:marRight w:val="0"/>
      <w:marTop w:val="0"/>
      <w:marBottom w:val="0"/>
      <w:divBdr>
        <w:top w:val="none" w:sz="0" w:space="0" w:color="auto"/>
        <w:left w:val="none" w:sz="0" w:space="0" w:color="auto"/>
        <w:bottom w:val="none" w:sz="0" w:space="0" w:color="auto"/>
        <w:right w:val="none" w:sz="0" w:space="0" w:color="auto"/>
      </w:divBdr>
    </w:div>
    <w:div w:id="1725911871">
      <w:bodyDiv w:val="1"/>
      <w:marLeft w:val="0"/>
      <w:marRight w:val="0"/>
      <w:marTop w:val="0"/>
      <w:marBottom w:val="0"/>
      <w:divBdr>
        <w:top w:val="none" w:sz="0" w:space="0" w:color="auto"/>
        <w:left w:val="none" w:sz="0" w:space="0" w:color="auto"/>
        <w:bottom w:val="none" w:sz="0" w:space="0" w:color="auto"/>
        <w:right w:val="none" w:sz="0" w:space="0" w:color="auto"/>
      </w:divBdr>
    </w:div>
    <w:div w:id="1730305638">
      <w:bodyDiv w:val="1"/>
      <w:marLeft w:val="0"/>
      <w:marRight w:val="0"/>
      <w:marTop w:val="0"/>
      <w:marBottom w:val="0"/>
      <w:divBdr>
        <w:top w:val="none" w:sz="0" w:space="0" w:color="auto"/>
        <w:left w:val="none" w:sz="0" w:space="0" w:color="auto"/>
        <w:bottom w:val="none" w:sz="0" w:space="0" w:color="auto"/>
        <w:right w:val="none" w:sz="0" w:space="0" w:color="auto"/>
      </w:divBdr>
    </w:div>
    <w:div w:id="1740060056">
      <w:bodyDiv w:val="1"/>
      <w:marLeft w:val="0"/>
      <w:marRight w:val="0"/>
      <w:marTop w:val="0"/>
      <w:marBottom w:val="0"/>
      <w:divBdr>
        <w:top w:val="none" w:sz="0" w:space="0" w:color="auto"/>
        <w:left w:val="none" w:sz="0" w:space="0" w:color="auto"/>
        <w:bottom w:val="none" w:sz="0" w:space="0" w:color="auto"/>
        <w:right w:val="none" w:sz="0" w:space="0" w:color="auto"/>
      </w:divBdr>
    </w:div>
    <w:div w:id="1748769308">
      <w:bodyDiv w:val="1"/>
      <w:marLeft w:val="0"/>
      <w:marRight w:val="0"/>
      <w:marTop w:val="0"/>
      <w:marBottom w:val="0"/>
      <w:divBdr>
        <w:top w:val="none" w:sz="0" w:space="0" w:color="auto"/>
        <w:left w:val="none" w:sz="0" w:space="0" w:color="auto"/>
        <w:bottom w:val="none" w:sz="0" w:space="0" w:color="auto"/>
        <w:right w:val="none" w:sz="0" w:space="0" w:color="auto"/>
      </w:divBdr>
      <w:divsChild>
        <w:div w:id="849875501">
          <w:marLeft w:val="0"/>
          <w:marRight w:val="0"/>
          <w:marTop w:val="0"/>
          <w:marBottom w:val="0"/>
          <w:divBdr>
            <w:top w:val="none" w:sz="0" w:space="0" w:color="auto"/>
            <w:left w:val="none" w:sz="0" w:space="0" w:color="auto"/>
            <w:bottom w:val="none" w:sz="0" w:space="0" w:color="auto"/>
            <w:right w:val="none" w:sz="0" w:space="0" w:color="auto"/>
          </w:divBdr>
          <w:divsChild>
            <w:div w:id="627515589">
              <w:marLeft w:val="0"/>
              <w:marRight w:val="0"/>
              <w:marTop w:val="0"/>
              <w:marBottom w:val="0"/>
              <w:divBdr>
                <w:top w:val="none" w:sz="0" w:space="0" w:color="auto"/>
                <w:left w:val="none" w:sz="0" w:space="0" w:color="auto"/>
                <w:bottom w:val="none" w:sz="0" w:space="0" w:color="auto"/>
                <w:right w:val="none" w:sz="0" w:space="0" w:color="auto"/>
              </w:divBdr>
              <w:divsChild>
                <w:div w:id="2104102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9400849">
      <w:bodyDiv w:val="1"/>
      <w:marLeft w:val="0"/>
      <w:marRight w:val="0"/>
      <w:marTop w:val="0"/>
      <w:marBottom w:val="0"/>
      <w:divBdr>
        <w:top w:val="none" w:sz="0" w:space="0" w:color="auto"/>
        <w:left w:val="none" w:sz="0" w:space="0" w:color="auto"/>
        <w:bottom w:val="none" w:sz="0" w:space="0" w:color="auto"/>
        <w:right w:val="none" w:sz="0" w:space="0" w:color="auto"/>
      </w:divBdr>
      <w:divsChild>
        <w:div w:id="2108649876">
          <w:marLeft w:val="0"/>
          <w:marRight w:val="0"/>
          <w:marTop w:val="0"/>
          <w:marBottom w:val="0"/>
          <w:divBdr>
            <w:top w:val="none" w:sz="0" w:space="0" w:color="auto"/>
            <w:left w:val="none" w:sz="0" w:space="0" w:color="auto"/>
            <w:bottom w:val="none" w:sz="0" w:space="0" w:color="auto"/>
            <w:right w:val="none" w:sz="0" w:space="0" w:color="auto"/>
          </w:divBdr>
          <w:divsChild>
            <w:div w:id="955403916">
              <w:marLeft w:val="0"/>
              <w:marRight w:val="0"/>
              <w:marTop w:val="0"/>
              <w:marBottom w:val="0"/>
              <w:divBdr>
                <w:top w:val="none" w:sz="0" w:space="0" w:color="auto"/>
                <w:left w:val="none" w:sz="0" w:space="0" w:color="auto"/>
                <w:bottom w:val="none" w:sz="0" w:space="0" w:color="auto"/>
                <w:right w:val="none" w:sz="0" w:space="0" w:color="auto"/>
              </w:divBdr>
              <w:divsChild>
                <w:div w:id="933324785">
                  <w:marLeft w:val="0"/>
                  <w:marRight w:val="0"/>
                  <w:marTop w:val="0"/>
                  <w:marBottom w:val="0"/>
                  <w:divBdr>
                    <w:top w:val="none" w:sz="0" w:space="0" w:color="auto"/>
                    <w:left w:val="none" w:sz="0" w:space="0" w:color="auto"/>
                    <w:bottom w:val="none" w:sz="0" w:space="0" w:color="auto"/>
                    <w:right w:val="none" w:sz="0" w:space="0" w:color="auto"/>
                  </w:divBdr>
                  <w:divsChild>
                    <w:div w:id="316761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3064628">
      <w:bodyDiv w:val="1"/>
      <w:marLeft w:val="0"/>
      <w:marRight w:val="0"/>
      <w:marTop w:val="0"/>
      <w:marBottom w:val="0"/>
      <w:divBdr>
        <w:top w:val="none" w:sz="0" w:space="0" w:color="auto"/>
        <w:left w:val="none" w:sz="0" w:space="0" w:color="auto"/>
        <w:bottom w:val="none" w:sz="0" w:space="0" w:color="auto"/>
        <w:right w:val="none" w:sz="0" w:space="0" w:color="auto"/>
      </w:divBdr>
    </w:div>
    <w:div w:id="1768117168">
      <w:bodyDiv w:val="1"/>
      <w:marLeft w:val="0"/>
      <w:marRight w:val="0"/>
      <w:marTop w:val="0"/>
      <w:marBottom w:val="0"/>
      <w:divBdr>
        <w:top w:val="none" w:sz="0" w:space="0" w:color="auto"/>
        <w:left w:val="none" w:sz="0" w:space="0" w:color="auto"/>
        <w:bottom w:val="none" w:sz="0" w:space="0" w:color="auto"/>
        <w:right w:val="none" w:sz="0" w:space="0" w:color="auto"/>
      </w:divBdr>
      <w:divsChild>
        <w:div w:id="390735324">
          <w:marLeft w:val="0"/>
          <w:marRight w:val="0"/>
          <w:marTop w:val="0"/>
          <w:marBottom w:val="0"/>
          <w:divBdr>
            <w:top w:val="none" w:sz="0" w:space="0" w:color="auto"/>
            <w:left w:val="none" w:sz="0" w:space="0" w:color="auto"/>
            <w:bottom w:val="none" w:sz="0" w:space="0" w:color="auto"/>
            <w:right w:val="none" w:sz="0" w:space="0" w:color="auto"/>
          </w:divBdr>
          <w:divsChild>
            <w:div w:id="1250307359">
              <w:marLeft w:val="0"/>
              <w:marRight w:val="0"/>
              <w:marTop w:val="0"/>
              <w:marBottom w:val="0"/>
              <w:divBdr>
                <w:top w:val="none" w:sz="0" w:space="0" w:color="auto"/>
                <w:left w:val="none" w:sz="0" w:space="0" w:color="auto"/>
                <w:bottom w:val="none" w:sz="0" w:space="0" w:color="auto"/>
                <w:right w:val="none" w:sz="0" w:space="0" w:color="auto"/>
              </w:divBdr>
              <w:divsChild>
                <w:div w:id="1462576246">
                  <w:marLeft w:val="0"/>
                  <w:marRight w:val="0"/>
                  <w:marTop w:val="0"/>
                  <w:marBottom w:val="0"/>
                  <w:divBdr>
                    <w:top w:val="none" w:sz="0" w:space="0" w:color="auto"/>
                    <w:left w:val="none" w:sz="0" w:space="0" w:color="auto"/>
                    <w:bottom w:val="none" w:sz="0" w:space="0" w:color="auto"/>
                    <w:right w:val="none" w:sz="0" w:space="0" w:color="auto"/>
                  </w:divBdr>
                  <w:divsChild>
                    <w:div w:id="77583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4474261">
      <w:bodyDiv w:val="1"/>
      <w:marLeft w:val="0"/>
      <w:marRight w:val="0"/>
      <w:marTop w:val="0"/>
      <w:marBottom w:val="0"/>
      <w:divBdr>
        <w:top w:val="none" w:sz="0" w:space="0" w:color="auto"/>
        <w:left w:val="none" w:sz="0" w:space="0" w:color="auto"/>
        <w:bottom w:val="none" w:sz="0" w:space="0" w:color="auto"/>
        <w:right w:val="none" w:sz="0" w:space="0" w:color="auto"/>
      </w:divBdr>
    </w:div>
    <w:div w:id="1776827981">
      <w:bodyDiv w:val="1"/>
      <w:marLeft w:val="0"/>
      <w:marRight w:val="0"/>
      <w:marTop w:val="0"/>
      <w:marBottom w:val="0"/>
      <w:divBdr>
        <w:top w:val="none" w:sz="0" w:space="0" w:color="auto"/>
        <w:left w:val="none" w:sz="0" w:space="0" w:color="auto"/>
        <w:bottom w:val="none" w:sz="0" w:space="0" w:color="auto"/>
        <w:right w:val="none" w:sz="0" w:space="0" w:color="auto"/>
      </w:divBdr>
    </w:div>
    <w:div w:id="1777670519">
      <w:bodyDiv w:val="1"/>
      <w:marLeft w:val="0"/>
      <w:marRight w:val="0"/>
      <w:marTop w:val="0"/>
      <w:marBottom w:val="0"/>
      <w:divBdr>
        <w:top w:val="none" w:sz="0" w:space="0" w:color="auto"/>
        <w:left w:val="none" w:sz="0" w:space="0" w:color="auto"/>
        <w:bottom w:val="none" w:sz="0" w:space="0" w:color="auto"/>
        <w:right w:val="none" w:sz="0" w:space="0" w:color="auto"/>
      </w:divBdr>
      <w:divsChild>
        <w:div w:id="1409115302">
          <w:marLeft w:val="0"/>
          <w:marRight w:val="0"/>
          <w:marTop w:val="0"/>
          <w:marBottom w:val="0"/>
          <w:divBdr>
            <w:top w:val="none" w:sz="0" w:space="0" w:color="auto"/>
            <w:left w:val="none" w:sz="0" w:space="0" w:color="auto"/>
            <w:bottom w:val="none" w:sz="0" w:space="0" w:color="auto"/>
            <w:right w:val="none" w:sz="0" w:space="0" w:color="auto"/>
          </w:divBdr>
          <w:divsChild>
            <w:div w:id="409740510">
              <w:marLeft w:val="0"/>
              <w:marRight w:val="0"/>
              <w:marTop w:val="0"/>
              <w:marBottom w:val="0"/>
              <w:divBdr>
                <w:top w:val="none" w:sz="0" w:space="0" w:color="auto"/>
                <w:left w:val="none" w:sz="0" w:space="0" w:color="auto"/>
                <w:bottom w:val="none" w:sz="0" w:space="0" w:color="auto"/>
                <w:right w:val="none" w:sz="0" w:space="0" w:color="auto"/>
              </w:divBdr>
            </w:div>
            <w:div w:id="199426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0946305">
      <w:bodyDiv w:val="1"/>
      <w:marLeft w:val="0"/>
      <w:marRight w:val="0"/>
      <w:marTop w:val="0"/>
      <w:marBottom w:val="0"/>
      <w:divBdr>
        <w:top w:val="none" w:sz="0" w:space="0" w:color="auto"/>
        <w:left w:val="none" w:sz="0" w:space="0" w:color="auto"/>
        <w:bottom w:val="none" w:sz="0" w:space="0" w:color="auto"/>
        <w:right w:val="none" w:sz="0" w:space="0" w:color="auto"/>
      </w:divBdr>
    </w:div>
    <w:div w:id="1789466845">
      <w:bodyDiv w:val="1"/>
      <w:marLeft w:val="0"/>
      <w:marRight w:val="0"/>
      <w:marTop w:val="0"/>
      <w:marBottom w:val="0"/>
      <w:divBdr>
        <w:top w:val="none" w:sz="0" w:space="0" w:color="auto"/>
        <w:left w:val="none" w:sz="0" w:space="0" w:color="auto"/>
        <w:bottom w:val="none" w:sz="0" w:space="0" w:color="auto"/>
        <w:right w:val="none" w:sz="0" w:space="0" w:color="auto"/>
      </w:divBdr>
    </w:div>
    <w:div w:id="1792086599">
      <w:bodyDiv w:val="1"/>
      <w:marLeft w:val="0"/>
      <w:marRight w:val="0"/>
      <w:marTop w:val="0"/>
      <w:marBottom w:val="0"/>
      <w:divBdr>
        <w:top w:val="none" w:sz="0" w:space="0" w:color="auto"/>
        <w:left w:val="none" w:sz="0" w:space="0" w:color="auto"/>
        <w:bottom w:val="none" w:sz="0" w:space="0" w:color="auto"/>
        <w:right w:val="none" w:sz="0" w:space="0" w:color="auto"/>
      </w:divBdr>
    </w:div>
    <w:div w:id="1798525125">
      <w:bodyDiv w:val="1"/>
      <w:marLeft w:val="0"/>
      <w:marRight w:val="0"/>
      <w:marTop w:val="0"/>
      <w:marBottom w:val="0"/>
      <w:divBdr>
        <w:top w:val="none" w:sz="0" w:space="0" w:color="auto"/>
        <w:left w:val="none" w:sz="0" w:space="0" w:color="auto"/>
        <w:bottom w:val="none" w:sz="0" w:space="0" w:color="auto"/>
        <w:right w:val="none" w:sz="0" w:space="0" w:color="auto"/>
      </w:divBdr>
    </w:div>
    <w:div w:id="1801071208">
      <w:bodyDiv w:val="1"/>
      <w:marLeft w:val="0"/>
      <w:marRight w:val="0"/>
      <w:marTop w:val="0"/>
      <w:marBottom w:val="0"/>
      <w:divBdr>
        <w:top w:val="none" w:sz="0" w:space="0" w:color="auto"/>
        <w:left w:val="none" w:sz="0" w:space="0" w:color="auto"/>
        <w:bottom w:val="none" w:sz="0" w:space="0" w:color="auto"/>
        <w:right w:val="none" w:sz="0" w:space="0" w:color="auto"/>
      </w:divBdr>
    </w:div>
    <w:div w:id="1806503978">
      <w:bodyDiv w:val="1"/>
      <w:marLeft w:val="0"/>
      <w:marRight w:val="0"/>
      <w:marTop w:val="0"/>
      <w:marBottom w:val="0"/>
      <w:divBdr>
        <w:top w:val="none" w:sz="0" w:space="0" w:color="auto"/>
        <w:left w:val="none" w:sz="0" w:space="0" w:color="auto"/>
        <w:bottom w:val="none" w:sz="0" w:space="0" w:color="auto"/>
        <w:right w:val="none" w:sz="0" w:space="0" w:color="auto"/>
      </w:divBdr>
    </w:div>
    <w:div w:id="1806777416">
      <w:bodyDiv w:val="1"/>
      <w:marLeft w:val="0"/>
      <w:marRight w:val="0"/>
      <w:marTop w:val="0"/>
      <w:marBottom w:val="0"/>
      <w:divBdr>
        <w:top w:val="none" w:sz="0" w:space="0" w:color="auto"/>
        <w:left w:val="none" w:sz="0" w:space="0" w:color="auto"/>
        <w:bottom w:val="none" w:sz="0" w:space="0" w:color="auto"/>
        <w:right w:val="none" w:sz="0" w:space="0" w:color="auto"/>
      </w:divBdr>
      <w:divsChild>
        <w:div w:id="878473400">
          <w:marLeft w:val="0"/>
          <w:marRight w:val="0"/>
          <w:marTop w:val="0"/>
          <w:marBottom w:val="0"/>
          <w:divBdr>
            <w:top w:val="none" w:sz="0" w:space="0" w:color="auto"/>
            <w:left w:val="none" w:sz="0" w:space="0" w:color="auto"/>
            <w:bottom w:val="none" w:sz="0" w:space="0" w:color="auto"/>
            <w:right w:val="none" w:sz="0" w:space="0" w:color="auto"/>
          </w:divBdr>
          <w:divsChild>
            <w:div w:id="636031269">
              <w:marLeft w:val="0"/>
              <w:marRight w:val="0"/>
              <w:marTop w:val="0"/>
              <w:marBottom w:val="0"/>
              <w:divBdr>
                <w:top w:val="none" w:sz="0" w:space="0" w:color="auto"/>
                <w:left w:val="none" w:sz="0" w:space="0" w:color="auto"/>
                <w:bottom w:val="none" w:sz="0" w:space="0" w:color="auto"/>
                <w:right w:val="none" w:sz="0" w:space="0" w:color="auto"/>
              </w:divBdr>
              <w:divsChild>
                <w:div w:id="990787999">
                  <w:marLeft w:val="0"/>
                  <w:marRight w:val="0"/>
                  <w:marTop w:val="0"/>
                  <w:marBottom w:val="0"/>
                  <w:divBdr>
                    <w:top w:val="none" w:sz="0" w:space="0" w:color="auto"/>
                    <w:left w:val="none" w:sz="0" w:space="0" w:color="auto"/>
                    <w:bottom w:val="none" w:sz="0" w:space="0" w:color="auto"/>
                    <w:right w:val="none" w:sz="0" w:space="0" w:color="auto"/>
                  </w:divBdr>
                  <w:divsChild>
                    <w:div w:id="210045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8664058">
      <w:bodyDiv w:val="1"/>
      <w:marLeft w:val="0"/>
      <w:marRight w:val="0"/>
      <w:marTop w:val="0"/>
      <w:marBottom w:val="0"/>
      <w:divBdr>
        <w:top w:val="none" w:sz="0" w:space="0" w:color="auto"/>
        <w:left w:val="none" w:sz="0" w:space="0" w:color="auto"/>
        <w:bottom w:val="none" w:sz="0" w:space="0" w:color="auto"/>
        <w:right w:val="none" w:sz="0" w:space="0" w:color="auto"/>
      </w:divBdr>
    </w:div>
    <w:div w:id="1813790686">
      <w:bodyDiv w:val="1"/>
      <w:marLeft w:val="0"/>
      <w:marRight w:val="0"/>
      <w:marTop w:val="0"/>
      <w:marBottom w:val="0"/>
      <w:divBdr>
        <w:top w:val="none" w:sz="0" w:space="0" w:color="auto"/>
        <w:left w:val="none" w:sz="0" w:space="0" w:color="auto"/>
        <w:bottom w:val="none" w:sz="0" w:space="0" w:color="auto"/>
        <w:right w:val="none" w:sz="0" w:space="0" w:color="auto"/>
      </w:divBdr>
    </w:div>
    <w:div w:id="1821539483">
      <w:bodyDiv w:val="1"/>
      <w:marLeft w:val="0"/>
      <w:marRight w:val="0"/>
      <w:marTop w:val="0"/>
      <w:marBottom w:val="0"/>
      <w:divBdr>
        <w:top w:val="none" w:sz="0" w:space="0" w:color="auto"/>
        <w:left w:val="none" w:sz="0" w:space="0" w:color="auto"/>
        <w:bottom w:val="none" w:sz="0" w:space="0" w:color="auto"/>
        <w:right w:val="none" w:sz="0" w:space="0" w:color="auto"/>
      </w:divBdr>
    </w:div>
    <w:div w:id="1823085538">
      <w:bodyDiv w:val="1"/>
      <w:marLeft w:val="0"/>
      <w:marRight w:val="0"/>
      <w:marTop w:val="0"/>
      <w:marBottom w:val="0"/>
      <w:divBdr>
        <w:top w:val="none" w:sz="0" w:space="0" w:color="auto"/>
        <w:left w:val="none" w:sz="0" w:space="0" w:color="auto"/>
        <w:bottom w:val="none" w:sz="0" w:space="0" w:color="auto"/>
        <w:right w:val="none" w:sz="0" w:space="0" w:color="auto"/>
      </w:divBdr>
    </w:div>
    <w:div w:id="1823693036">
      <w:bodyDiv w:val="1"/>
      <w:marLeft w:val="0"/>
      <w:marRight w:val="0"/>
      <w:marTop w:val="0"/>
      <w:marBottom w:val="0"/>
      <w:divBdr>
        <w:top w:val="none" w:sz="0" w:space="0" w:color="auto"/>
        <w:left w:val="none" w:sz="0" w:space="0" w:color="auto"/>
        <w:bottom w:val="none" w:sz="0" w:space="0" w:color="auto"/>
        <w:right w:val="none" w:sz="0" w:space="0" w:color="auto"/>
      </w:divBdr>
    </w:div>
    <w:div w:id="1834027268">
      <w:bodyDiv w:val="1"/>
      <w:marLeft w:val="0"/>
      <w:marRight w:val="0"/>
      <w:marTop w:val="0"/>
      <w:marBottom w:val="0"/>
      <w:divBdr>
        <w:top w:val="none" w:sz="0" w:space="0" w:color="auto"/>
        <w:left w:val="none" w:sz="0" w:space="0" w:color="auto"/>
        <w:bottom w:val="none" w:sz="0" w:space="0" w:color="auto"/>
        <w:right w:val="none" w:sz="0" w:space="0" w:color="auto"/>
      </w:divBdr>
      <w:divsChild>
        <w:div w:id="1686783447">
          <w:marLeft w:val="0"/>
          <w:marRight w:val="0"/>
          <w:marTop w:val="0"/>
          <w:marBottom w:val="0"/>
          <w:divBdr>
            <w:top w:val="none" w:sz="0" w:space="0" w:color="auto"/>
            <w:left w:val="none" w:sz="0" w:space="0" w:color="auto"/>
            <w:bottom w:val="none" w:sz="0" w:space="0" w:color="auto"/>
            <w:right w:val="none" w:sz="0" w:space="0" w:color="auto"/>
          </w:divBdr>
          <w:divsChild>
            <w:div w:id="369959757">
              <w:marLeft w:val="0"/>
              <w:marRight w:val="0"/>
              <w:marTop w:val="0"/>
              <w:marBottom w:val="0"/>
              <w:divBdr>
                <w:top w:val="none" w:sz="0" w:space="0" w:color="auto"/>
                <w:left w:val="none" w:sz="0" w:space="0" w:color="auto"/>
                <w:bottom w:val="none" w:sz="0" w:space="0" w:color="auto"/>
                <w:right w:val="none" w:sz="0" w:space="0" w:color="auto"/>
              </w:divBdr>
              <w:divsChild>
                <w:div w:id="46624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2810420">
      <w:bodyDiv w:val="1"/>
      <w:marLeft w:val="0"/>
      <w:marRight w:val="0"/>
      <w:marTop w:val="0"/>
      <w:marBottom w:val="0"/>
      <w:divBdr>
        <w:top w:val="none" w:sz="0" w:space="0" w:color="auto"/>
        <w:left w:val="none" w:sz="0" w:space="0" w:color="auto"/>
        <w:bottom w:val="none" w:sz="0" w:space="0" w:color="auto"/>
        <w:right w:val="none" w:sz="0" w:space="0" w:color="auto"/>
      </w:divBdr>
    </w:div>
    <w:div w:id="1845901462">
      <w:bodyDiv w:val="1"/>
      <w:marLeft w:val="0"/>
      <w:marRight w:val="0"/>
      <w:marTop w:val="0"/>
      <w:marBottom w:val="0"/>
      <w:divBdr>
        <w:top w:val="none" w:sz="0" w:space="0" w:color="auto"/>
        <w:left w:val="none" w:sz="0" w:space="0" w:color="auto"/>
        <w:bottom w:val="none" w:sz="0" w:space="0" w:color="auto"/>
        <w:right w:val="none" w:sz="0" w:space="0" w:color="auto"/>
      </w:divBdr>
    </w:div>
    <w:div w:id="1857767044">
      <w:bodyDiv w:val="1"/>
      <w:marLeft w:val="0"/>
      <w:marRight w:val="0"/>
      <w:marTop w:val="0"/>
      <w:marBottom w:val="0"/>
      <w:divBdr>
        <w:top w:val="none" w:sz="0" w:space="0" w:color="auto"/>
        <w:left w:val="none" w:sz="0" w:space="0" w:color="auto"/>
        <w:bottom w:val="none" w:sz="0" w:space="0" w:color="auto"/>
        <w:right w:val="none" w:sz="0" w:space="0" w:color="auto"/>
      </w:divBdr>
    </w:div>
    <w:div w:id="1864857320">
      <w:bodyDiv w:val="1"/>
      <w:marLeft w:val="0"/>
      <w:marRight w:val="0"/>
      <w:marTop w:val="0"/>
      <w:marBottom w:val="0"/>
      <w:divBdr>
        <w:top w:val="none" w:sz="0" w:space="0" w:color="auto"/>
        <w:left w:val="none" w:sz="0" w:space="0" w:color="auto"/>
        <w:bottom w:val="none" w:sz="0" w:space="0" w:color="auto"/>
        <w:right w:val="none" w:sz="0" w:space="0" w:color="auto"/>
      </w:divBdr>
    </w:div>
    <w:div w:id="1866940184">
      <w:bodyDiv w:val="1"/>
      <w:marLeft w:val="0"/>
      <w:marRight w:val="0"/>
      <w:marTop w:val="0"/>
      <w:marBottom w:val="0"/>
      <w:divBdr>
        <w:top w:val="none" w:sz="0" w:space="0" w:color="auto"/>
        <w:left w:val="none" w:sz="0" w:space="0" w:color="auto"/>
        <w:bottom w:val="none" w:sz="0" w:space="0" w:color="auto"/>
        <w:right w:val="none" w:sz="0" w:space="0" w:color="auto"/>
      </w:divBdr>
    </w:div>
    <w:div w:id="1867523954">
      <w:bodyDiv w:val="1"/>
      <w:marLeft w:val="0"/>
      <w:marRight w:val="0"/>
      <w:marTop w:val="0"/>
      <w:marBottom w:val="0"/>
      <w:divBdr>
        <w:top w:val="none" w:sz="0" w:space="0" w:color="auto"/>
        <w:left w:val="none" w:sz="0" w:space="0" w:color="auto"/>
        <w:bottom w:val="none" w:sz="0" w:space="0" w:color="auto"/>
        <w:right w:val="none" w:sz="0" w:space="0" w:color="auto"/>
      </w:divBdr>
      <w:divsChild>
        <w:div w:id="1252204489">
          <w:marLeft w:val="0"/>
          <w:marRight w:val="0"/>
          <w:marTop w:val="0"/>
          <w:marBottom w:val="0"/>
          <w:divBdr>
            <w:top w:val="none" w:sz="0" w:space="0" w:color="auto"/>
            <w:left w:val="none" w:sz="0" w:space="0" w:color="auto"/>
            <w:bottom w:val="none" w:sz="0" w:space="0" w:color="auto"/>
            <w:right w:val="none" w:sz="0" w:space="0" w:color="auto"/>
          </w:divBdr>
        </w:div>
        <w:div w:id="494733641">
          <w:marLeft w:val="0"/>
          <w:marRight w:val="0"/>
          <w:marTop w:val="0"/>
          <w:marBottom w:val="0"/>
          <w:divBdr>
            <w:top w:val="none" w:sz="0" w:space="0" w:color="auto"/>
            <w:left w:val="none" w:sz="0" w:space="0" w:color="auto"/>
            <w:bottom w:val="none" w:sz="0" w:space="0" w:color="auto"/>
            <w:right w:val="none" w:sz="0" w:space="0" w:color="auto"/>
          </w:divBdr>
          <w:divsChild>
            <w:div w:id="1764109376">
              <w:marLeft w:val="0"/>
              <w:marRight w:val="0"/>
              <w:marTop w:val="0"/>
              <w:marBottom w:val="0"/>
              <w:divBdr>
                <w:top w:val="none" w:sz="0" w:space="0" w:color="auto"/>
                <w:left w:val="none" w:sz="0" w:space="0" w:color="auto"/>
                <w:bottom w:val="none" w:sz="0" w:space="0" w:color="auto"/>
                <w:right w:val="none" w:sz="0" w:space="0" w:color="auto"/>
              </w:divBdr>
            </w:div>
          </w:divsChild>
        </w:div>
        <w:div w:id="1937667535">
          <w:marLeft w:val="0"/>
          <w:marRight w:val="0"/>
          <w:marTop w:val="0"/>
          <w:marBottom w:val="0"/>
          <w:divBdr>
            <w:top w:val="none" w:sz="0" w:space="0" w:color="auto"/>
            <w:left w:val="none" w:sz="0" w:space="0" w:color="auto"/>
            <w:bottom w:val="none" w:sz="0" w:space="0" w:color="auto"/>
            <w:right w:val="none" w:sz="0" w:space="0" w:color="auto"/>
          </w:divBdr>
          <w:divsChild>
            <w:div w:id="814376730">
              <w:marLeft w:val="0"/>
              <w:marRight w:val="0"/>
              <w:marTop w:val="0"/>
              <w:marBottom w:val="0"/>
              <w:divBdr>
                <w:top w:val="none" w:sz="0" w:space="0" w:color="auto"/>
                <w:left w:val="none" w:sz="0" w:space="0" w:color="auto"/>
                <w:bottom w:val="none" w:sz="0" w:space="0" w:color="auto"/>
                <w:right w:val="none" w:sz="0" w:space="0" w:color="auto"/>
              </w:divBdr>
            </w:div>
          </w:divsChild>
        </w:div>
        <w:div w:id="1550649739">
          <w:marLeft w:val="0"/>
          <w:marRight w:val="0"/>
          <w:marTop w:val="0"/>
          <w:marBottom w:val="0"/>
          <w:divBdr>
            <w:top w:val="none" w:sz="0" w:space="0" w:color="auto"/>
            <w:left w:val="none" w:sz="0" w:space="0" w:color="auto"/>
            <w:bottom w:val="none" w:sz="0" w:space="0" w:color="auto"/>
            <w:right w:val="none" w:sz="0" w:space="0" w:color="auto"/>
          </w:divBdr>
          <w:divsChild>
            <w:div w:id="880629919">
              <w:marLeft w:val="0"/>
              <w:marRight w:val="0"/>
              <w:marTop w:val="0"/>
              <w:marBottom w:val="0"/>
              <w:divBdr>
                <w:top w:val="none" w:sz="0" w:space="0" w:color="auto"/>
                <w:left w:val="none" w:sz="0" w:space="0" w:color="auto"/>
                <w:bottom w:val="none" w:sz="0" w:space="0" w:color="auto"/>
                <w:right w:val="none" w:sz="0" w:space="0" w:color="auto"/>
              </w:divBdr>
            </w:div>
          </w:divsChild>
        </w:div>
        <w:div w:id="327903512">
          <w:marLeft w:val="0"/>
          <w:marRight w:val="0"/>
          <w:marTop w:val="0"/>
          <w:marBottom w:val="0"/>
          <w:divBdr>
            <w:top w:val="none" w:sz="0" w:space="0" w:color="auto"/>
            <w:left w:val="none" w:sz="0" w:space="0" w:color="auto"/>
            <w:bottom w:val="none" w:sz="0" w:space="0" w:color="auto"/>
            <w:right w:val="none" w:sz="0" w:space="0" w:color="auto"/>
          </w:divBdr>
        </w:div>
      </w:divsChild>
    </w:div>
    <w:div w:id="1867600373">
      <w:bodyDiv w:val="1"/>
      <w:marLeft w:val="0"/>
      <w:marRight w:val="0"/>
      <w:marTop w:val="0"/>
      <w:marBottom w:val="0"/>
      <w:divBdr>
        <w:top w:val="none" w:sz="0" w:space="0" w:color="auto"/>
        <w:left w:val="none" w:sz="0" w:space="0" w:color="auto"/>
        <w:bottom w:val="none" w:sz="0" w:space="0" w:color="auto"/>
        <w:right w:val="none" w:sz="0" w:space="0" w:color="auto"/>
      </w:divBdr>
    </w:div>
    <w:div w:id="1867719164">
      <w:bodyDiv w:val="1"/>
      <w:marLeft w:val="0"/>
      <w:marRight w:val="0"/>
      <w:marTop w:val="0"/>
      <w:marBottom w:val="0"/>
      <w:divBdr>
        <w:top w:val="none" w:sz="0" w:space="0" w:color="auto"/>
        <w:left w:val="none" w:sz="0" w:space="0" w:color="auto"/>
        <w:bottom w:val="none" w:sz="0" w:space="0" w:color="auto"/>
        <w:right w:val="none" w:sz="0" w:space="0" w:color="auto"/>
      </w:divBdr>
    </w:div>
    <w:div w:id="1873223146">
      <w:bodyDiv w:val="1"/>
      <w:marLeft w:val="0"/>
      <w:marRight w:val="0"/>
      <w:marTop w:val="0"/>
      <w:marBottom w:val="0"/>
      <w:divBdr>
        <w:top w:val="none" w:sz="0" w:space="0" w:color="auto"/>
        <w:left w:val="none" w:sz="0" w:space="0" w:color="auto"/>
        <w:bottom w:val="none" w:sz="0" w:space="0" w:color="auto"/>
        <w:right w:val="none" w:sz="0" w:space="0" w:color="auto"/>
      </w:divBdr>
    </w:div>
    <w:div w:id="1873372197">
      <w:bodyDiv w:val="1"/>
      <w:marLeft w:val="0"/>
      <w:marRight w:val="0"/>
      <w:marTop w:val="0"/>
      <w:marBottom w:val="0"/>
      <w:divBdr>
        <w:top w:val="none" w:sz="0" w:space="0" w:color="auto"/>
        <w:left w:val="none" w:sz="0" w:space="0" w:color="auto"/>
        <w:bottom w:val="none" w:sz="0" w:space="0" w:color="auto"/>
        <w:right w:val="none" w:sz="0" w:space="0" w:color="auto"/>
      </w:divBdr>
    </w:div>
    <w:div w:id="1906792117">
      <w:bodyDiv w:val="1"/>
      <w:marLeft w:val="0"/>
      <w:marRight w:val="0"/>
      <w:marTop w:val="0"/>
      <w:marBottom w:val="0"/>
      <w:divBdr>
        <w:top w:val="none" w:sz="0" w:space="0" w:color="auto"/>
        <w:left w:val="none" w:sz="0" w:space="0" w:color="auto"/>
        <w:bottom w:val="none" w:sz="0" w:space="0" w:color="auto"/>
        <w:right w:val="none" w:sz="0" w:space="0" w:color="auto"/>
      </w:divBdr>
      <w:divsChild>
        <w:div w:id="643392868">
          <w:marLeft w:val="0"/>
          <w:marRight w:val="0"/>
          <w:marTop w:val="0"/>
          <w:marBottom w:val="0"/>
          <w:divBdr>
            <w:top w:val="none" w:sz="0" w:space="0" w:color="auto"/>
            <w:left w:val="none" w:sz="0" w:space="0" w:color="auto"/>
            <w:bottom w:val="none" w:sz="0" w:space="0" w:color="auto"/>
            <w:right w:val="none" w:sz="0" w:space="0" w:color="auto"/>
          </w:divBdr>
        </w:div>
        <w:div w:id="1612132357">
          <w:marLeft w:val="0"/>
          <w:marRight w:val="0"/>
          <w:marTop w:val="0"/>
          <w:marBottom w:val="0"/>
          <w:divBdr>
            <w:top w:val="none" w:sz="0" w:space="0" w:color="auto"/>
            <w:left w:val="none" w:sz="0" w:space="0" w:color="auto"/>
            <w:bottom w:val="none" w:sz="0" w:space="0" w:color="auto"/>
            <w:right w:val="none" w:sz="0" w:space="0" w:color="auto"/>
          </w:divBdr>
        </w:div>
        <w:div w:id="1303848299">
          <w:marLeft w:val="0"/>
          <w:marRight w:val="0"/>
          <w:marTop w:val="0"/>
          <w:marBottom w:val="0"/>
          <w:divBdr>
            <w:top w:val="none" w:sz="0" w:space="0" w:color="auto"/>
            <w:left w:val="none" w:sz="0" w:space="0" w:color="auto"/>
            <w:bottom w:val="none" w:sz="0" w:space="0" w:color="auto"/>
            <w:right w:val="none" w:sz="0" w:space="0" w:color="auto"/>
          </w:divBdr>
        </w:div>
        <w:div w:id="159733033">
          <w:marLeft w:val="0"/>
          <w:marRight w:val="0"/>
          <w:marTop w:val="0"/>
          <w:marBottom w:val="0"/>
          <w:divBdr>
            <w:top w:val="none" w:sz="0" w:space="0" w:color="auto"/>
            <w:left w:val="none" w:sz="0" w:space="0" w:color="auto"/>
            <w:bottom w:val="none" w:sz="0" w:space="0" w:color="auto"/>
            <w:right w:val="none" w:sz="0" w:space="0" w:color="auto"/>
          </w:divBdr>
        </w:div>
        <w:div w:id="705568579">
          <w:marLeft w:val="0"/>
          <w:marRight w:val="0"/>
          <w:marTop w:val="0"/>
          <w:marBottom w:val="0"/>
          <w:divBdr>
            <w:top w:val="none" w:sz="0" w:space="0" w:color="auto"/>
            <w:left w:val="none" w:sz="0" w:space="0" w:color="auto"/>
            <w:bottom w:val="none" w:sz="0" w:space="0" w:color="auto"/>
            <w:right w:val="none" w:sz="0" w:space="0" w:color="auto"/>
          </w:divBdr>
        </w:div>
      </w:divsChild>
    </w:div>
    <w:div w:id="1911116059">
      <w:bodyDiv w:val="1"/>
      <w:marLeft w:val="0"/>
      <w:marRight w:val="0"/>
      <w:marTop w:val="0"/>
      <w:marBottom w:val="0"/>
      <w:divBdr>
        <w:top w:val="none" w:sz="0" w:space="0" w:color="auto"/>
        <w:left w:val="none" w:sz="0" w:space="0" w:color="auto"/>
        <w:bottom w:val="none" w:sz="0" w:space="0" w:color="auto"/>
        <w:right w:val="none" w:sz="0" w:space="0" w:color="auto"/>
      </w:divBdr>
    </w:div>
    <w:div w:id="1913540016">
      <w:bodyDiv w:val="1"/>
      <w:marLeft w:val="0"/>
      <w:marRight w:val="0"/>
      <w:marTop w:val="0"/>
      <w:marBottom w:val="0"/>
      <w:divBdr>
        <w:top w:val="none" w:sz="0" w:space="0" w:color="auto"/>
        <w:left w:val="none" w:sz="0" w:space="0" w:color="auto"/>
        <w:bottom w:val="none" w:sz="0" w:space="0" w:color="auto"/>
        <w:right w:val="none" w:sz="0" w:space="0" w:color="auto"/>
      </w:divBdr>
    </w:div>
    <w:div w:id="1921058229">
      <w:bodyDiv w:val="1"/>
      <w:marLeft w:val="0"/>
      <w:marRight w:val="0"/>
      <w:marTop w:val="0"/>
      <w:marBottom w:val="0"/>
      <w:divBdr>
        <w:top w:val="none" w:sz="0" w:space="0" w:color="auto"/>
        <w:left w:val="none" w:sz="0" w:space="0" w:color="auto"/>
        <w:bottom w:val="none" w:sz="0" w:space="0" w:color="auto"/>
        <w:right w:val="none" w:sz="0" w:space="0" w:color="auto"/>
      </w:divBdr>
    </w:div>
    <w:div w:id="1929579584">
      <w:bodyDiv w:val="1"/>
      <w:marLeft w:val="0"/>
      <w:marRight w:val="0"/>
      <w:marTop w:val="0"/>
      <w:marBottom w:val="0"/>
      <w:divBdr>
        <w:top w:val="none" w:sz="0" w:space="0" w:color="auto"/>
        <w:left w:val="none" w:sz="0" w:space="0" w:color="auto"/>
        <w:bottom w:val="none" w:sz="0" w:space="0" w:color="auto"/>
        <w:right w:val="none" w:sz="0" w:space="0" w:color="auto"/>
      </w:divBdr>
    </w:div>
    <w:div w:id="1932736748">
      <w:bodyDiv w:val="1"/>
      <w:marLeft w:val="0"/>
      <w:marRight w:val="0"/>
      <w:marTop w:val="0"/>
      <w:marBottom w:val="0"/>
      <w:divBdr>
        <w:top w:val="none" w:sz="0" w:space="0" w:color="auto"/>
        <w:left w:val="none" w:sz="0" w:space="0" w:color="auto"/>
        <w:bottom w:val="none" w:sz="0" w:space="0" w:color="auto"/>
        <w:right w:val="none" w:sz="0" w:space="0" w:color="auto"/>
      </w:divBdr>
    </w:div>
    <w:div w:id="1934704738">
      <w:bodyDiv w:val="1"/>
      <w:marLeft w:val="0"/>
      <w:marRight w:val="0"/>
      <w:marTop w:val="0"/>
      <w:marBottom w:val="0"/>
      <w:divBdr>
        <w:top w:val="none" w:sz="0" w:space="0" w:color="auto"/>
        <w:left w:val="none" w:sz="0" w:space="0" w:color="auto"/>
        <w:bottom w:val="none" w:sz="0" w:space="0" w:color="auto"/>
        <w:right w:val="none" w:sz="0" w:space="0" w:color="auto"/>
      </w:divBdr>
    </w:div>
    <w:div w:id="1935505187">
      <w:bodyDiv w:val="1"/>
      <w:marLeft w:val="0"/>
      <w:marRight w:val="0"/>
      <w:marTop w:val="0"/>
      <w:marBottom w:val="0"/>
      <w:divBdr>
        <w:top w:val="none" w:sz="0" w:space="0" w:color="auto"/>
        <w:left w:val="none" w:sz="0" w:space="0" w:color="auto"/>
        <w:bottom w:val="none" w:sz="0" w:space="0" w:color="auto"/>
        <w:right w:val="none" w:sz="0" w:space="0" w:color="auto"/>
      </w:divBdr>
    </w:div>
    <w:div w:id="1941404354">
      <w:bodyDiv w:val="1"/>
      <w:marLeft w:val="0"/>
      <w:marRight w:val="0"/>
      <w:marTop w:val="0"/>
      <w:marBottom w:val="0"/>
      <w:divBdr>
        <w:top w:val="none" w:sz="0" w:space="0" w:color="auto"/>
        <w:left w:val="none" w:sz="0" w:space="0" w:color="auto"/>
        <w:bottom w:val="none" w:sz="0" w:space="0" w:color="auto"/>
        <w:right w:val="none" w:sz="0" w:space="0" w:color="auto"/>
      </w:divBdr>
      <w:divsChild>
        <w:div w:id="872156104">
          <w:marLeft w:val="0"/>
          <w:marRight w:val="0"/>
          <w:marTop w:val="0"/>
          <w:marBottom w:val="0"/>
          <w:divBdr>
            <w:top w:val="none" w:sz="0" w:space="0" w:color="auto"/>
            <w:left w:val="none" w:sz="0" w:space="0" w:color="auto"/>
            <w:bottom w:val="none" w:sz="0" w:space="0" w:color="auto"/>
            <w:right w:val="none" w:sz="0" w:space="0" w:color="auto"/>
          </w:divBdr>
          <w:divsChild>
            <w:div w:id="1985967145">
              <w:marLeft w:val="0"/>
              <w:marRight w:val="0"/>
              <w:marTop w:val="0"/>
              <w:marBottom w:val="0"/>
              <w:divBdr>
                <w:top w:val="none" w:sz="0" w:space="0" w:color="auto"/>
                <w:left w:val="none" w:sz="0" w:space="0" w:color="auto"/>
                <w:bottom w:val="none" w:sz="0" w:space="0" w:color="auto"/>
                <w:right w:val="none" w:sz="0" w:space="0" w:color="auto"/>
              </w:divBdr>
            </w:div>
            <w:div w:id="174962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5333555">
      <w:bodyDiv w:val="1"/>
      <w:marLeft w:val="0"/>
      <w:marRight w:val="0"/>
      <w:marTop w:val="0"/>
      <w:marBottom w:val="0"/>
      <w:divBdr>
        <w:top w:val="none" w:sz="0" w:space="0" w:color="auto"/>
        <w:left w:val="none" w:sz="0" w:space="0" w:color="auto"/>
        <w:bottom w:val="none" w:sz="0" w:space="0" w:color="auto"/>
        <w:right w:val="none" w:sz="0" w:space="0" w:color="auto"/>
      </w:divBdr>
      <w:divsChild>
        <w:div w:id="1618832351">
          <w:marLeft w:val="0"/>
          <w:marRight w:val="0"/>
          <w:marTop w:val="0"/>
          <w:marBottom w:val="0"/>
          <w:divBdr>
            <w:top w:val="none" w:sz="0" w:space="0" w:color="auto"/>
            <w:left w:val="none" w:sz="0" w:space="0" w:color="auto"/>
            <w:bottom w:val="none" w:sz="0" w:space="0" w:color="auto"/>
            <w:right w:val="none" w:sz="0" w:space="0" w:color="auto"/>
          </w:divBdr>
          <w:divsChild>
            <w:div w:id="438573280">
              <w:marLeft w:val="0"/>
              <w:marRight w:val="0"/>
              <w:marTop w:val="0"/>
              <w:marBottom w:val="0"/>
              <w:divBdr>
                <w:top w:val="none" w:sz="0" w:space="0" w:color="auto"/>
                <w:left w:val="none" w:sz="0" w:space="0" w:color="auto"/>
                <w:bottom w:val="none" w:sz="0" w:space="0" w:color="auto"/>
                <w:right w:val="none" w:sz="0" w:space="0" w:color="auto"/>
              </w:divBdr>
              <w:divsChild>
                <w:div w:id="371198100">
                  <w:marLeft w:val="0"/>
                  <w:marRight w:val="0"/>
                  <w:marTop w:val="0"/>
                  <w:marBottom w:val="0"/>
                  <w:divBdr>
                    <w:top w:val="none" w:sz="0" w:space="0" w:color="auto"/>
                    <w:left w:val="none" w:sz="0" w:space="0" w:color="auto"/>
                    <w:bottom w:val="none" w:sz="0" w:space="0" w:color="auto"/>
                    <w:right w:val="none" w:sz="0" w:space="0" w:color="auto"/>
                  </w:divBdr>
                  <w:divsChild>
                    <w:div w:id="915288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2276439">
      <w:bodyDiv w:val="1"/>
      <w:marLeft w:val="0"/>
      <w:marRight w:val="0"/>
      <w:marTop w:val="0"/>
      <w:marBottom w:val="0"/>
      <w:divBdr>
        <w:top w:val="none" w:sz="0" w:space="0" w:color="auto"/>
        <w:left w:val="none" w:sz="0" w:space="0" w:color="auto"/>
        <w:bottom w:val="none" w:sz="0" w:space="0" w:color="auto"/>
        <w:right w:val="none" w:sz="0" w:space="0" w:color="auto"/>
      </w:divBdr>
    </w:div>
    <w:div w:id="1954163343">
      <w:bodyDiv w:val="1"/>
      <w:marLeft w:val="0"/>
      <w:marRight w:val="0"/>
      <w:marTop w:val="0"/>
      <w:marBottom w:val="0"/>
      <w:divBdr>
        <w:top w:val="none" w:sz="0" w:space="0" w:color="auto"/>
        <w:left w:val="none" w:sz="0" w:space="0" w:color="auto"/>
        <w:bottom w:val="none" w:sz="0" w:space="0" w:color="auto"/>
        <w:right w:val="none" w:sz="0" w:space="0" w:color="auto"/>
      </w:divBdr>
    </w:div>
    <w:div w:id="1967008671">
      <w:bodyDiv w:val="1"/>
      <w:marLeft w:val="0"/>
      <w:marRight w:val="0"/>
      <w:marTop w:val="0"/>
      <w:marBottom w:val="0"/>
      <w:divBdr>
        <w:top w:val="none" w:sz="0" w:space="0" w:color="auto"/>
        <w:left w:val="none" w:sz="0" w:space="0" w:color="auto"/>
        <w:bottom w:val="none" w:sz="0" w:space="0" w:color="auto"/>
        <w:right w:val="none" w:sz="0" w:space="0" w:color="auto"/>
      </w:divBdr>
    </w:div>
    <w:div w:id="1986928666">
      <w:bodyDiv w:val="1"/>
      <w:marLeft w:val="0"/>
      <w:marRight w:val="0"/>
      <w:marTop w:val="0"/>
      <w:marBottom w:val="0"/>
      <w:divBdr>
        <w:top w:val="none" w:sz="0" w:space="0" w:color="auto"/>
        <w:left w:val="none" w:sz="0" w:space="0" w:color="auto"/>
        <w:bottom w:val="none" w:sz="0" w:space="0" w:color="auto"/>
        <w:right w:val="none" w:sz="0" w:space="0" w:color="auto"/>
      </w:divBdr>
    </w:div>
    <w:div w:id="2000964369">
      <w:bodyDiv w:val="1"/>
      <w:marLeft w:val="0"/>
      <w:marRight w:val="0"/>
      <w:marTop w:val="0"/>
      <w:marBottom w:val="0"/>
      <w:divBdr>
        <w:top w:val="none" w:sz="0" w:space="0" w:color="auto"/>
        <w:left w:val="none" w:sz="0" w:space="0" w:color="auto"/>
        <w:bottom w:val="none" w:sz="0" w:space="0" w:color="auto"/>
        <w:right w:val="none" w:sz="0" w:space="0" w:color="auto"/>
      </w:divBdr>
    </w:div>
    <w:div w:id="2007396015">
      <w:bodyDiv w:val="1"/>
      <w:marLeft w:val="0"/>
      <w:marRight w:val="0"/>
      <w:marTop w:val="0"/>
      <w:marBottom w:val="0"/>
      <w:divBdr>
        <w:top w:val="none" w:sz="0" w:space="0" w:color="auto"/>
        <w:left w:val="none" w:sz="0" w:space="0" w:color="auto"/>
        <w:bottom w:val="none" w:sz="0" w:space="0" w:color="auto"/>
        <w:right w:val="none" w:sz="0" w:space="0" w:color="auto"/>
      </w:divBdr>
    </w:div>
    <w:div w:id="2008048514">
      <w:bodyDiv w:val="1"/>
      <w:marLeft w:val="0"/>
      <w:marRight w:val="0"/>
      <w:marTop w:val="0"/>
      <w:marBottom w:val="0"/>
      <w:divBdr>
        <w:top w:val="none" w:sz="0" w:space="0" w:color="auto"/>
        <w:left w:val="none" w:sz="0" w:space="0" w:color="auto"/>
        <w:bottom w:val="none" w:sz="0" w:space="0" w:color="auto"/>
        <w:right w:val="none" w:sz="0" w:space="0" w:color="auto"/>
      </w:divBdr>
    </w:div>
    <w:div w:id="2009597345">
      <w:bodyDiv w:val="1"/>
      <w:marLeft w:val="0"/>
      <w:marRight w:val="0"/>
      <w:marTop w:val="0"/>
      <w:marBottom w:val="0"/>
      <w:divBdr>
        <w:top w:val="none" w:sz="0" w:space="0" w:color="auto"/>
        <w:left w:val="none" w:sz="0" w:space="0" w:color="auto"/>
        <w:bottom w:val="none" w:sz="0" w:space="0" w:color="auto"/>
        <w:right w:val="none" w:sz="0" w:space="0" w:color="auto"/>
      </w:divBdr>
    </w:div>
    <w:div w:id="2012828402">
      <w:bodyDiv w:val="1"/>
      <w:marLeft w:val="0"/>
      <w:marRight w:val="0"/>
      <w:marTop w:val="0"/>
      <w:marBottom w:val="0"/>
      <w:divBdr>
        <w:top w:val="none" w:sz="0" w:space="0" w:color="auto"/>
        <w:left w:val="none" w:sz="0" w:space="0" w:color="auto"/>
        <w:bottom w:val="none" w:sz="0" w:space="0" w:color="auto"/>
        <w:right w:val="none" w:sz="0" w:space="0" w:color="auto"/>
      </w:divBdr>
    </w:div>
    <w:div w:id="2017071947">
      <w:bodyDiv w:val="1"/>
      <w:marLeft w:val="0"/>
      <w:marRight w:val="0"/>
      <w:marTop w:val="0"/>
      <w:marBottom w:val="0"/>
      <w:divBdr>
        <w:top w:val="none" w:sz="0" w:space="0" w:color="auto"/>
        <w:left w:val="none" w:sz="0" w:space="0" w:color="auto"/>
        <w:bottom w:val="none" w:sz="0" w:space="0" w:color="auto"/>
        <w:right w:val="none" w:sz="0" w:space="0" w:color="auto"/>
      </w:divBdr>
    </w:div>
    <w:div w:id="2031298367">
      <w:bodyDiv w:val="1"/>
      <w:marLeft w:val="0"/>
      <w:marRight w:val="0"/>
      <w:marTop w:val="0"/>
      <w:marBottom w:val="0"/>
      <w:divBdr>
        <w:top w:val="none" w:sz="0" w:space="0" w:color="auto"/>
        <w:left w:val="none" w:sz="0" w:space="0" w:color="auto"/>
        <w:bottom w:val="none" w:sz="0" w:space="0" w:color="auto"/>
        <w:right w:val="none" w:sz="0" w:space="0" w:color="auto"/>
      </w:divBdr>
      <w:divsChild>
        <w:div w:id="541938974">
          <w:marLeft w:val="0"/>
          <w:marRight w:val="0"/>
          <w:marTop w:val="0"/>
          <w:marBottom w:val="0"/>
          <w:divBdr>
            <w:top w:val="none" w:sz="0" w:space="0" w:color="auto"/>
            <w:left w:val="none" w:sz="0" w:space="0" w:color="auto"/>
            <w:bottom w:val="none" w:sz="0" w:space="0" w:color="auto"/>
            <w:right w:val="none" w:sz="0" w:space="0" w:color="auto"/>
          </w:divBdr>
        </w:div>
        <w:div w:id="285818572">
          <w:marLeft w:val="0"/>
          <w:marRight w:val="0"/>
          <w:marTop w:val="0"/>
          <w:marBottom w:val="0"/>
          <w:divBdr>
            <w:top w:val="none" w:sz="0" w:space="0" w:color="auto"/>
            <w:left w:val="none" w:sz="0" w:space="0" w:color="auto"/>
            <w:bottom w:val="none" w:sz="0" w:space="0" w:color="auto"/>
            <w:right w:val="none" w:sz="0" w:space="0" w:color="auto"/>
          </w:divBdr>
        </w:div>
        <w:div w:id="1105534937">
          <w:marLeft w:val="0"/>
          <w:marRight w:val="0"/>
          <w:marTop w:val="0"/>
          <w:marBottom w:val="0"/>
          <w:divBdr>
            <w:top w:val="none" w:sz="0" w:space="0" w:color="auto"/>
            <w:left w:val="none" w:sz="0" w:space="0" w:color="auto"/>
            <w:bottom w:val="none" w:sz="0" w:space="0" w:color="auto"/>
            <w:right w:val="none" w:sz="0" w:space="0" w:color="auto"/>
          </w:divBdr>
        </w:div>
        <w:div w:id="1508639918">
          <w:marLeft w:val="0"/>
          <w:marRight w:val="0"/>
          <w:marTop w:val="0"/>
          <w:marBottom w:val="0"/>
          <w:divBdr>
            <w:top w:val="none" w:sz="0" w:space="0" w:color="auto"/>
            <w:left w:val="none" w:sz="0" w:space="0" w:color="auto"/>
            <w:bottom w:val="none" w:sz="0" w:space="0" w:color="auto"/>
            <w:right w:val="none" w:sz="0" w:space="0" w:color="auto"/>
          </w:divBdr>
        </w:div>
        <w:div w:id="543521751">
          <w:marLeft w:val="0"/>
          <w:marRight w:val="0"/>
          <w:marTop w:val="0"/>
          <w:marBottom w:val="0"/>
          <w:divBdr>
            <w:top w:val="none" w:sz="0" w:space="0" w:color="auto"/>
            <w:left w:val="none" w:sz="0" w:space="0" w:color="auto"/>
            <w:bottom w:val="none" w:sz="0" w:space="0" w:color="auto"/>
            <w:right w:val="none" w:sz="0" w:space="0" w:color="auto"/>
          </w:divBdr>
        </w:div>
        <w:div w:id="299725883">
          <w:marLeft w:val="0"/>
          <w:marRight w:val="0"/>
          <w:marTop w:val="0"/>
          <w:marBottom w:val="0"/>
          <w:divBdr>
            <w:top w:val="none" w:sz="0" w:space="0" w:color="auto"/>
            <w:left w:val="none" w:sz="0" w:space="0" w:color="auto"/>
            <w:bottom w:val="none" w:sz="0" w:space="0" w:color="auto"/>
            <w:right w:val="none" w:sz="0" w:space="0" w:color="auto"/>
          </w:divBdr>
        </w:div>
        <w:div w:id="786199838">
          <w:marLeft w:val="0"/>
          <w:marRight w:val="0"/>
          <w:marTop w:val="0"/>
          <w:marBottom w:val="0"/>
          <w:divBdr>
            <w:top w:val="none" w:sz="0" w:space="0" w:color="auto"/>
            <w:left w:val="none" w:sz="0" w:space="0" w:color="auto"/>
            <w:bottom w:val="none" w:sz="0" w:space="0" w:color="auto"/>
            <w:right w:val="none" w:sz="0" w:space="0" w:color="auto"/>
          </w:divBdr>
        </w:div>
        <w:div w:id="478884183">
          <w:marLeft w:val="0"/>
          <w:marRight w:val="0"/>
          <w:marTop w:val="0"/>
          <w:marBottom w:val="0"/>
          <w:divBdr>
            <w:top w:val="none" w:sz="0" w:space="0" w:color="auto"/>
            <w:left w:val="none" w:sz="0" w:space="0" w:color="auto"/>
            <w:bottom w:val="none" w:sz="0" w:space="0" w:color="auto"/>
            <w:right w:val="none" w:sz="0" w:space="0" w:color="auto"/>
          </w:divBdr>
        </w:div>
        <w:div w:id="1618442465">
          <w:marLeft w:val="0"/>
          <w:marRight w:val="0"/>
          <w:marTop w:val="0"/>
          <w:marBottom w:val="0"/>
          <w:divBdr>
            <w:top w:val="none" w:sz="0" w:space="0" w:color="auto"/>
            <w:left w:val="none" w:sz="0" w:space="0" w:color="auto"/>
            <w:bottom w:val="none" w:sz="0" w:space="0" w:color="auto"/>
            <w:right w:val="none" w:sz="0" w:space="0" w:color="auto"/>
          </w:divBdr>
        </w:div>
        <w:div w:id="2124106103">
          <w:marLeft w:val="0"/>
          <w:marRight w:val="0"/>
          <w:marTop w:val="0"/>
          <w:marBottom w:val="0"/>
          <w:divBdr>
            <w:top w:val="none" w:sz="0" w:space="0" w:color="auto"/>
            <w:left w:val="none" w:sz="0" w:space="0" w:color="auto"/>
            <w:bottom w:val="none" w:sz="0" w:space="0" w:color="auto"/>
            <w:right w:val="none" w:sz="0" w:space="0" w:color="auto"/>
          </w:divBdr>
        </w:div>
        <w:div w:id="1928536324">
          <w:marLeft w:val="0"/>
          <w:marRight w:val="0"/>
          <w:marTop w:val="0"/>
          <w:marBottom w:val="0"/>
          <w:divBdr>
            <w:top w:val="none" w:sz="0" w:space="0" w:color="auto"/>
            <w:left w:val="none" w:sz="0" w:space="0" w:color="auto"/>
            <w:bottom w:val="none" w:sz="0" w:space="0" w:color="auto"/>
            <w:right w:val="none" w:sz="0" w:space="0" w:color="auto"/>
          </w:divBdr>
        </w:div>
        <w:div w:id="1986160463">
          <w:marLeft w:val="0"/>
          <w:marRight w:val="0"/>
          <w:marTop w:val="0"/>
          <w:marBottom w:val="0"/>
          <w:divBdr>
            <w:top w:val="none" w:sz="0" w:space="0" w:color="auto"/>
            <w:left w:val="none" w:sz="0" w:space="0" w:color="auto"/>
            <w:bottom w:val="none" w:sz="0" w:space="0" w:color="auto"/>
            <w:right w:val="none" w:sz="0" w:space="0" w:color="auto"/>
          </w:divBdr>
          <w:divsChild>
            <w:div w:id="699627192">
              <w:marLeft w:val="0"/>
              <w:marRight w:val="0"/>
              <w:marTop w:val="0"/>
              <w:marBottom w:val="0"/>
              <w:divBdr>
                <w:top w:val="none" w:sz="0" w:space="0" w:color="auto"/>
                <w:left w:val="none" w:sz="0" w:space="0" w:color="auto"/>
                <w:bottom w:val="none" w:sz="0" w:space="0" w:color="auto"/>
                <w:right w:val="none" w:sz="0" w:space="0" w:color="auto"/>
              </w:divBdr>
            </w:div>
            <w:div w:id="230431282">
              <w:marLeft w:val="0"/>
              <w:marRight w:val="0"/>
              <w:marTop w:val="0"/>
              <w:marBottom w:val="0"/>
              <w:divBdr>
                <w:top w:val="none" w:sz="0" w:space="0" w:color="auto"/>
                <w:left w:val="none" w:sz="0" w:space="0" w:color="auto"/>
                <w:bottom w:val="none" w:sz="0" w:space="0" w:color="auto"/>
                <w:right w:val="none" w:sz="0" w:space="0" w:color="auto"/>
              </w:divBdr>
            </w:div>
            <w:div w:id="31392902">
              <w:marLeft w:val="0"/>
              <w:marRight w:val="0"/>
              <w:marTop w:val="0"/>
              <w:marBottom w:val="0"/>
              <w:divBdr>
                <w:top w:val="none" w:sz="0" w:space="0" w:color="auto"/>
                <w:left w:val="none" w:sz="0" w:space="0" w:color="auto"/>
                <w:bottom w:val="none" w:sz="0" w:space="0" w:color="auto"/>
                <w:right w:val="none" w:sz="0" w:space="0" w:color="auto"/>
              </w:divBdr>
            </w:div>
            <w:div w:id="2144039143">
              <w:marLeft w:val="0"/>
              <w:marRight w:val="0"/>
              <w:marTop w:val="0"/>
              <w:marBottom w:val="0"/>
              <w:divBdr>
                <w:top w:val="none" w:sz="0" w:space="0" w:color="auto"/>
                <w:left w:val="none" w:sz="0" w:space="0" w:color="auto"/>
                <w:bottom w:val="none" w:sz="0" w:space="0" w:color="auto"/>
                <w:right w:val="none" w:sz="0" w:space="0" w:color="auto"/>
              </w:divBdr>
            </w:div>
            <w:div w:id="119109522">
              <w:marLeft w:val="0"/>
              <w:marRight w:val="0"/>
              <w:marTop w:val="0"/>
              <w:marBottom w:val="0"/>
              <w:divBdr>
                <w:top w:val="none" w:sz="0" w:space="0" w:color="auto"/>
                <w:left w:val="none" w:sz="0" w:space="0" w:color="auto"/>
                <w:bottom w:val="none" w:sz="0" w:space="0" w:color="auto"/>
                <w:right w:val="none" w:sz="0" w:space="0" w:color="auto"/>
              </w:divBdr>
            </w:div>
            <w:div w:id="120208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605535">
      <w:bodyDiv w:val="1"/>
      <w:marLeft w:val="0"/>
      <w:marRight w:val="0"/>
      <w:marTop w:val="0"/>
      <w:marBottom w:val="0"/>
      <w:divBdr>
        <w:top w:val="none" w:sz="0" w:space="0" w:color="auto"/>
        <w:left w:val="none" w:sz="0" w:space="0" w:color="auto"/>
        <w:bottom w:val="none" w:sz="0" w:space="0" w:color="auto"/>
        <w:right w:val="none" w:sz="0" w:space="0" w:color="auto"/>
      </w:divBdr>
    </w:div>
    <w:div w:id="2037349399">
      <w:bodyDiv w:val="1"/>
      <w:marLeft w:val="0"/>
      <w:marRight w:val="0"/>
      <w:marTop w:val="0"/>
      <w:marBottom w:val="0"/>
      <w:divBdr>
        <w:top w:val="none" w:sz="0" w:space="0" w:color="auto"/>
        <w:left w:val="none" w:sz="0" w:space="0" w:color="auto"/>
        <w:bottom w:val="none" w:sz="0" w:space="0" w:color="auto"/>
        <w:right w:val="none" w:sz="0" w:space="0" w:color="auto"/>
      </w:divBdr>
      <w:divsChild>
        <w:div w:id="1359241146">
          <w:marLeft w:val="0"/>
          <w:marRight w:val="0"/>
          <w:marTop w:val="0"/>
          <w:marBottom w:val="0"/>
          <w:divBdr>
            <w:top w:val="none" w:sz="0" w:space="0" w:color="auto"/>
            <w:left w:val="none" w:sz="0" w:space="0" w:color="auto"/>
            <w:bottom w:val="none" w:sz="0" w:space="0" w:color="auto"/>
            <w:right w:val="none" w:sz="0" w:space="0" w:color="auto"/>
          </w:divBdr>
          <w:divsChild>
            <w:div w:id="158204934">
              <w:marLeft w:val="0"/>
              <w:marRight w:val="0"/>
              <w:marTop w:val="0"/>
              <w:marBottom w:val="0"/>
              <w:divBdr>
                <w:top w:val="none" w:sz="0" w:space="0" w:color="auto"/>
                <w:left w:val="none" w:sz="0" w:space="0" w:color="auto"/>
                <w:bottom w:val="none" w:sz="0" w:space="0" w:color="auto"/>
                <w:right w:val="none" w:sz="0" w:space="0" w:color="auto"/>
              </w:divBdr>
              <w:divsChild>
                <w:div w:id="149430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135181">
      <w:bodyDiv w:val="1"/>
      <w:marLeft w:val="0"/>
      <w:marRight w:val="0"/>
      <w:marTop w:val="0"/>
      <w:marBottom w:val="0"/>
      <w:divBdr>
        <w:top w:val="none" w:sz="0" w:space="0" w:color="auto"/>
        <w:left w:val="none" w:sz="0" w:space="0" w:color="auto"/>
        <w:bottom w:val="none" w:sz="0" w:space="0" w:color="auto"/>
        <w:right w:val="none" w:sz="0" w:space="0" w:color="auto"/>
      </w:divBdr>
    </w:div>
    <w:div w:id="2045056635">
      <w:bodyDiv w:val="1"/>
      <w:marLeft w:val="0"/>
      <w:marRight w:val="0"/>
      <w:marTop w:val="0"/>
      <w:marBottom w:val="0"/>
      <w:divBdr>
        <w:top w:val="none" w:sz="0" w:space="0" w:color="auto"/>
        <w:left w:val="none" w:sz="0" w:space="0" w:color="auto"/>
        <w:bottom w:val="none" w:sz="0" w:space="0" w:color="auto"/>
        <w:right w:val="none" w:sz="0" w:space="0" w:color="auto"/>
      </w:divBdr>
    </w:div>
    <w:div w:id="2074280334">
      <w:bodyDiv w:val="1"/>
      <w:marLeft w:val="0"/>
      <w:marRight w:val="0"/>
      <w:marTop w:val="0"/>
      <w:marBottom w:val="0"/>
      <w:divBdr>
        <w:top w:val="none" w:sz="0" w:space="0" w:color="auto"/>
        <w:left w:val="none" w:sz="0" w:space="0" w:color="auto"/>
        <w:bottom w:val="none" w:sz="0" w:space="0" w:color="auto"/>
        <w:right w:val="none" w:sz="0" w:space="0" w:color="auto"/>
      </w:divBdr>
      <w:divsChild>
        <w:div w:id="1647590097">
          <w:marLeft w:val="0"/>
          <w:marRight w:val="0"/>
          <w:marTop w:val="0"/>
          <w:marBottom w:val="0"/>
          <w:divBdr>
            <w:top w:val="none" w:sz="0" w:space="0" w:color="auto"/>
            <w:left w:val="none" w:sz="0" w:space="0" w:color="auto"/>
            <w:bottom w:val="none" w:sz="0" w:space="0" w:color="auto"/>
            <w:right w:val="none" w:sz="0" w:space="0" w:color="auto"/>
          </w:divBdr>
          <w:divsChild>
            <w:div w:id="1266306079">
              <w:marLeft w:val="0"/>
              <w:marRight w:val="0"/>
              <w:marTop w:val="0"/>
              <w:marBottom w:val="0"/>
              <w:divBdr>
                <w:top w:val="none" w:sz="0" w:space="0" w:color="auto"/>
                <w:left w:val="none" w:sz="0" w:space="0" w:color="auto"/>
                <w:bottom w:val="none" w:sz="0" w:space="0" w:color="auto"/>
                <w:right w:val="none" w:sz="0" w:space="0" w:color="auto"/>
              </w:divBdr>
              <w:divsChild>
                <w:div w:id="92283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2555456">
      <w:bodyDiv w:val="1"/>
      <w:marLeft w:val="0"/>
      <w:marRight w:val="0"/>
      <w:marTop w:val="0"/>
      <w:marBottom w:val="0"/>
      <w:divBdr>
        <w:top w:val="none" w:sz="0" w:space="0" w:color="auto"/>
        <w:left w:val="none" w:sz="0" w:space="0" w:color="auto"/>
        <w:bottom w:val="none" w:sz="0" w:space="0" w:color="auto"/>
        <w:right w:val="none" w:sz="0" w:space="0" w:color="auto"/>
      </w:divBdr>
    </w:div>
    <w:div w:id="2086803058">
      <w:bodyDiv w:val="1"/>
      <w:marLeft w:val="0"/>
      <w:marRight w:val="0"/>
      <w:marTop w:val="0"/>
      <w:marBottom w:val="0"/>
      <w:divBdr>
        <w:top w:val="none" w:sz="0" w:space="0" w:color="auto"/>
        <w:left w:val="none" w:sz="0" w:space="0" w:color="auto"/>
        <w:bottom w:val="none" w:sz="0" w:space="0" w:color="auto"/>
        <w:right w:val="none" w:sz="0" w:space="0" w:color="auto"/>
      </w:divBdr>
      <w:divsChild>
        <w:div w:id="177240049">
          <w:marLeft w:val="0"/>
          <w:marRight w:val="0"/>
          <w:marTop w:val="0"/>
          <w:marBottom w:val="0"/>
          <w:divBdr>
            <w:top w:val="none" w:sz="0" w:space="0" w:color="auto"/>
            <w:left w:val="none" w:sz="0" w:space="0" w:color="auto"/>
            <w:bottom w:val="none" w:sz="0" w:space="0" w:color="auto"/>
            <w:right w:val="none" w:sz="0" w:space="0" w:color="auto"/>
          </w:divBdr>
          <w:divsChild>
            <w:div w:id="1581257025">
              <w:marLeft w:val="0"/>
              <w:marRight w:val="0"/>
              <w:marTop w:val="0"/>
              <w:marBottom w:val="0"/>
              <w:divBdr>
                <w:top w:val="none" w:sz="0" w:space="0" w:color="auto"/>
                <w:left w:val="none" w:sz="0" w:space="0" w:color="auto"/>
                <w:bottom w:val="none" w:sz="0" w:space="0" w:color="auto"/>
                <w:right w:val="none" w:sz="0" w:space="0" w:color="auto"/>
              </w:divBdr>
              <w:divsChild>
                <w:div w:id="810488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2702304">
      <w:bodyDiv w:val="1"/>
      <w:marLeft w:val="0"/>
      <w:marRight w:val="0"/>
      <w:marTop w:val="0"/>
      <w:marBottom w:val="0"/>
      <w:divBdr>
        <w:top w:val="none" w:sz="0" w:space="0" w:color="auto"/>
        <w:left w:val="none" w:sz="0" w:space="0" w:color="auto"/>
        <w:bottom w:val="none" w:sz="0" w:space="0" w:color="auto"/>
        <w:right w:val="none" w:sz="0" w:space="0" w:color="auto"/>
      </w:divBdr>
    </w:div>
    <w:div w:id="2095398012">
      <w:bodyDiv w:val="1"/>
      <w:marLeft w:val="0"/>
      <w:marRight w:val="0"/>
      <w:marTop w:val="0"/>
      <w:marBottom w:val="0"/>
      <w:divBdr>
        <w:top w:val="none" w:sz="0" w:space="0" w:color="auto"/>
        <w:left w:val="none" w:sz="0" w:space="0" w:color="auto"/>
        <w:bottom w:val="none" w:sz="0" w:space="0" w:color="auto"/>
        <w:right w:val="none" w:sz="0" w:space="0" w:color="auto"/>
      </w:divBdr>
    </w:div>
    <w:div w:id="2098744137">
      <w:bodyDiv w:val="1"/>
      <w:marLeft w:val="0"/>
      <w:marRight w:val="0"/>
      <w:marTop w:val="0"/>
      <w:marBottom w:val="0"/>
      <w:divBdr>
        <w:top w:val="none" w:sz="0" w:space="0" w:color="auto"/>
        <w:left w:val="none" w:sz="0" w:space="0" w:color="auto"/>
        <w:bottom w:val="none" w:sz="0" w:space="0" w:color="auto"/>
        <w:right w:val="none" w:sz="0" w:space="0" w:color="auto"/>
      </w:divBdr>
    </w:div>
    <w:div w:id="2102950099">
      <w:bodyDiv w:val="1"/>
      <w:marLeft w:val="0"/>
      <w:marRight w:val="0"/>
      <w:marTop w:val="0"/>
      <w:marBottom w:val="0"/>
      <w:divBdr>
        <w:top w:val="none" w:sz="0" w:space="0" w:color="auto"/>
        <w:left w:val="none" w:sz="0" w:space="0" w:color="auto"/>
        <w:bottom w:val="none" w:sz="0" w:space="0" w:color="auto"/>
        <w:right w:val="none" w:sz="0" w:space="0" w:color="auto"/>
      </w:divBdr>
      <w:divsChild>
        <w:div w:id="610279058">
          <w:marLeft w:val="0"/>
          <w:marRight w:val="0"/>
          <w:marTop w:val="0"/>
          <w:marBottom w:val="0"/>
          <w:divBdr>
            <w:top w:val="none" w:sz="0" w:space="0" w:color="auto"/>
            <w:left w:val="none" w:sz="0" w:space="0" w:color="auto"/>
            <w:bottom w:val="none" w:sz="0" w:space="0" w:color="auto"/>
            <w:right w:val="none" w:sz="0" w:space="0" w:color="auto"/>
          </w:divBdr>
        </w:div>
        <w:div w:id="1544902233">
          <w:marLeft w:val="0"/>
          <w:marRight w:val="0"/>
          <w:marTop w:val="0"/>
          <w:marBottom w:val="0"/>
          <w:divBdr>
            <w:top w:val="none" w:sz="0" w:space="0" w:color="auto"/>
            <w:left w:val="none" w:sz="0" w:space="0" w:color="auto"/>
            <w:bottom w:val="none" w:sz="0" w:space="0" w:color="auto"/>
            <w:right w:val="none" w:sz="0" w:space="0" w:color="auto"/>
          </w:divBdr>
        </w:div>
        <w:div w:id="919755521">
          <w:marLeft w:val="0"/>
          <w:marRight w:val="0"/>
          <w:marTop w:val="0"/>
          <w:marBottom w:val="0"/>
          <w:divBdr>
            <w:top w:val="none" w:sz="0" w:space="0" w:color="auto"/>
            <w:left w:val="none" w:sz="0" w:space="0" w:color="auto"/>
            <w:bottom w:val="none" w:sz="0" w:space="0" w:color="auto"/>
            <w:right w:val="none" w:sz="0" w:space="0" w:color="auto"/>
          </w:divBdr>
        </w:div>
        <w:div w:id="1393038040">
          <w:marLeft w:val="0"/>
          <w:marRight w:val="0"/>
          <w:marTop w:val="0"/>
          <w:marBottom w:val="0"/>
          <w:divBdr>
            <w:top w:val="none" w:sz="0" w:space="0" w:color="auto"/>
            <w:left w:val="none" w:sz="0" w:space="0" w:color="auto"/>
            <w:bottom w:val="none" w:sz="0" w:space="0" w:color="auto"/>
            <w:right w:val="none" w:sz="0" w:space="0" w:color="auto"/>
          </w:divBdr>
        </w:div>
        <w:div w:id="1708673901">
          <w:marLeft w:val="0"/>
          <w:marRight w:val="0"/>
          <w:marTop w:val="0"/>
          <w:marBottom w:val="0"/>
          <w:divBdr>
            <w:top w:val="none" w:sz="0" w:space="0" w:color="auto"/>
            <w:left w:val="none" w:sz="0" w:space="0" w:color="auto"/>
            <w:bottom w:val="none" w:sz="0" w:space="0" w:color="auto"/>
            <w:right w:val="none" w:sz="0" w:space="0" w:color="auto"/>
          </w:divBdr>
        </w:div>
        <w:div w:id="570193454">
          <w:marLeft w:val="0"/>
          <w:marRight w:val="0"/>
          <w:marTop w:val="0"/>
          <w:marBottom w:val="0"/>
          <w:divBdr>
            <w:top w:val="none" w:sz="0" w:space="0" w:color="auto"/>
            <w:left w:val="none" w:sz="0" w:space="0" w:color="auto"/>
            <w:bottom w:val="none" w:sz="0" w:space="0" w:color="auto"/>
            <w:right w:val="none" w:sz="0" w:space="0" w:color="auto"/>
          </w:divBdr>
        </w:div>
      </w:divsChild>
    </w:div>
    <w:div w:id="2123109624">
      <w:bodyDiv w:val="1"/>
      <w:marLeft w:val="0"/>
      <w:marRight w:val="0"/>
      <w:marTop w:val="0"/>
      <w:marBottom w:val="0"/>
      <w:divBdr>
        <w:top w:val="none" w:sz="0" w:space="0" w:color="auto"/>
        <w:left w:val="none" w:sz="0" w:space="0" w:color="auto"/>
        <w:bottom w:val="none" w:sz="0" w:space="0" w:color="auto"/>
        <w:right w:val="none" w:sz="0" w:space="0" w:color="auto"/>
      </w:divBdr>
      <w:divsChild>
        <w:div w:id="2065980699">
          <w:marLeft w:val="0"/>
          <w:marRight w:val="0"/>
          <w:marTop w:val="0"/>
          <w:marBottom w:val="0"/>
          <w:divBdr>
            <w:top w:val="none" w:sz="0" w:space="0" w:color="auto"/>
            <w:left w:val="none" w:sz="0" w:space="0" w:color="auto"/>
            <w:bottom w:val="none" w:sz="0" w:space="0" w:color="auto"/>
            <w:right w:val="none" w:sz="0" w:space="0" w:color="auto"/>
          </w:divBdr>
          <w:divsChild>
            <w:div w:id="349992134">
              <w:marLeft w:val="0"/>
              <w:marRight w:val="0"/>
              <w:marTop w:val="0"/>
              <w:marBottom w:val="0"/>
              <w:divBdr>
                <w:top w:val="none" w:sz="0" w:space="0" w:color="auto"/>
                <w:left w:val="none" w:sz="0" w:space="0" w:color="auto"/>
                <w:bottom w:val="none" w:sz="0" w:space="0" w:color="auto"/>
                <w:right w:val="none" w:sz="0" w:space="0" w:color="auto"/>
              </w:divBdr>
              <w:divsChild>
                <w:div w:id="109825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7650556">
      <w:bodyDiv w:val="1"/>
      <w:marLeft w:val="0"/>
      <w:marRight w:val="0"/>
      <w:marTop w:val="0"/>
      <w:marBottom w:val="0"/>
      <w:divBdr>
        <w:top w:val="none" w:sz="0" w:space="0" w:color="auto"/>
        <w:left w:val="none" w:sz="0" w:space="0" w:color="auto"/>
        <w:bottom w:val="none" w:sz="0" w:space="0" w:color="auto"/>
        <w:right w:val="none" w:sz="0" w:space="0" w:color="auto"/>
      </w:divBdr>
    </w:div>
    <w:div w:id="2131393228">
      <w:bodyDiv w:val="1"/>
      <w:marLeft w:val="0"/>
      <w:marRight w:val="0"/>
      <w:marTop w:val="0"/>
      <w:marBottom w:val="0"/>
      <w:divBdr>
        <w:top w:val="none" w:sz="0" w:space="0" w:color="auto"/>
        <w:left w:val="none" w:sz="0" w:space="0" w:color="auto"/>
        <w:bottom w:val="none" w:sz="0" w:space="0" w:color="auto"/>
        <w:right w:val="none" w:sz="0" w:space="0" w:color="auto"/>
      </w:divBdr>
      <w:divsChild>
        <w:div w:id="1693536321">
          <w:marLeft w:val="0"/>
          <w:marRight w:val="0"/>
          <w:marTop w:val="0"/>
          <w:marBottom w:val="0"/>
          <w:divBdr>
            <w:top w:val="none" w:sz="0" w:space="0" w:color="auto"/>
            <w:left w:val="none" w:sz="0" w:space="0" w:color="auto"/>
            <w:bottom w:val="none" w:sz="0" w:space="0" w:color="auto"/>
            <w:right w:val="none" w:sz="0" w:space="0" w:color="auto"/>
          </w:divBdr>
        </w:div>
      </w:divsChild>
    </w:div>
    <w:div w:id="2133672778">
      <w:bodyDiv w:val="1"/>
      <w:marLeft w:val="0"/>
      <w:marRight w:val="0"/>
      <w:marTop w:val="0"/>
      <w:marBottom w:val="0"/>
      <w:divBdr>
        <w:top w:val="none" w:sz="0" w:space="0" w:color="auto"/>
        <w:left w:val="none" w:sz="0" w:space="0" w:color="auto"/>
        <w:bottom w:val="none" w:sz="0" w:space="0" w:color="auto"/>
        <w:right w:val="none" w:sz="0" w:space="0" w:color="auto"/>
      </w:divBdr>
    </w:div>
    <w:div w:id="2134514882">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38184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notes.xml.rels><?xml version="1.0" encoding="UTF-8" standalone="yes"?>
<Relationships xmlns="http://schemas.openxmlformats.org/package/2006/relationships"><Relationship Id="rId2" Type="http://schemas.openxmlformats.org/officeDocument/2006/relationships/hyperlink" Target="https://www.beltranpardo.com/wp-content/uploads/2021/02/CorteConstitucional_Inexequibilidadpar%C3%A1grafo2Art6L2014.pdf" TargetMode="External"/><Relationship Id="rId1" Type="http://schemas.openxmlformats.org/officeDocument/2006/relationships/hyperlink" Target="https://colaboracion.dnp.gov.co/CDT/Conpes/Econ%C3%B3micos/3956.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D4414C5-DEED-4B13-A7CA-6B19E7E10D7B}">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F8521671-D56A-F342-8BC5-FA15744391E7}">
  <ds:schemaRefs>
    <ds:schemaRef ds:uri="http://schemas.openxmlformats.org/officeDocument/2006/bibliography"/>
  </ds:schemaRefs>
</ds:datastoreItem>
</file>

<file path=customXml/itemProps3.xml><?xml version="1.0" encoding="utf-8"?>
<ds:datastoreItem xmlns:ds="http://schemas.openxmlformats.org/officeDocument/2006/customXml" ds:itemID="{8F4A4FA1-0EE5-42C4-8F7E-C4FC32C637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08AACCB-338D-4E1C-91B3-8763C3BB18F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2</TotalTime>
  <Pages>21</Pages>
  <Words>7140</Words>
  <Characters>39270</Characters>
  <Application>Microsoft Office Word</Application>
  <DocSecurity>0</DocSecurity>
  <Lines>327</Lines>
  <Paragraphs>92</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46318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Martin Rojas Mejia</cp:lastModifiedBy>
  <cp:revision>2</cp:revision>
  <cp:lastPrinted>2020-01-30T15:05:00Z</cp:lastPrinted>
  <dcterms:created xsi:type="dcterms:W3CDTF">2022-04-05T16:21:00Z</dcterms:created>
  <dcterms:modified xsi:type="dcterms:W3CDTF">2022-04-05T16:21:00Z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