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3157" w14:textId="164B9AA3" w:rsidR="00B570E4" w:rsidRPr="00D256C6" w:rsidRDefault="00B570E4" w:rsidP="00B570E4">
      <w:pPr>
        <w:jc w:val="both"/>
        <w:rPr>
          <w:rFonts w:ascii="Verdana" w:eastAsia="Geomanist Light" w:hAnsi="Verdana" w:cs="Arial"/>
          <w:b/>
          <w:bCs/>
          <w:lang w:val="es-MX"/>
        </w:rPr>
      </w:pPr>
      <w:r w:rsidRPr="0099286A">
        <w:rPr>
          <w:rFonts w:ascii="Verdana" w:eastAsia="Geomanist Light" w:hAnsi="Verdana" w:cs="Arial"/>
          <w:b/>
          <w:bCs/>
          <w:lang w:val="es-MX"/>
        </w:rPr>
        <w:t xml:space="preserve">EMPRESAS INDUSTRIALES Y COMERCIALES DEL ESTADO – Naturaleza jurídica – Régimen de contratación  </w:t>
      </w:r>
    </w:p>
    <w:p w14:paraId="1864F63D" w14:textId="04F288A2"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t xml:space="preserve">[…] 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Empresas Industriales y Comerciales del Estado que: i) desarrollen actividades comerciales en competencia con el sector privado y/o público, nacional o internacional o </w:t>
      </w:r>
      <w:proofErr w:type="spellStart"/>
      <w:r w:rsidRPr="00D256C6">
        <w:rPr>
          <w:rFonts w:ascii="Verdana" w:eastAsia="Geomanist Light" w:hAnsi="Verdana" w:cs="Arial"/>
          <w:sz w:val="20"/>
          <w:szCs w:val="20"/>
          <w:lang w:val="es-MX"/>
        </w:rPr>
        <w:t>ii</w:t>
      </w:r>
      <w:proofErr w:type="spellEnd"/>
      <w:r w:rsidRPr="00D256C6">
        <w:rPr>
          <w:rFonts w:ascii="Verdana" w:eastAsia="Geomanist Light" w:hAnsi="Verdana" w:cs="Arial"/>
          <w:sz w:val="20"/>
          <w:szCs w:val="20"/>
          <w:lang w:val="es-MX"/>
        </w:rPr>
        <w:t>) desarrollen actividades en mercados regulados, eventos en los cuales ellas se rigen por las disposiciones que regulen su actividad.</w:t>
      </w:r>
    </w:p>
    <w:p w14:paraId="6EEC5154" w14:textId="2F5E8022"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t>Respecto de las Sociedades de Economía Mixta, lo anterior se complementa con el parágrafo único del artículo 97 de la Ley 489 de 1998, en la medida que dicho parágrafo remite al régimen de las actividades y los servidores públicos de las empresas industriales y comerciales en aquellos eventos en los que 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y Comerciales del Estado como para Sociedades de Economía Mixta en las que el Estado tenga una participación mayor al cincuenta por ciento (50%).</w:t>
      </w:r>
    </w:p>
    <w:p w14:paraId="3A282899" w14:textId="2E035DC6" w:rsidR="00B570E4" w:rsidRPr="00D256C6" w:rsidRDefault="00B570E4" w:rsidP="00B570E4">
      <w:pPr>
        <w:jc w:val="both"/>
        <w:rPr>
          <w:rFonts w:ascii="Verdana" w:eastAsia="Geomanist Light" w:hAnsi="Verdana" w:cs="Arial"/>
          <w:b/>
          <w:bCs/>
          <w:lang w:val="es-MX"/>
        </w:rPr>
      </w:pPr>
      <w:r w:rsidRPr="0099286A">
        <w:rPr>
          <w:rFonts w:ascii="Verdana" w:eastAsia="Geomanist Light" w:hAnsi="Verdana" w:cs="Arial"/>
          <w:b/>
          <w:bCs/>
          <w:lang w:val="es-MX"/>
        </w:rPr>
        <w:t>EMPRESAS INDUSTRIALES Y COMERCIALES DEL ESTADO – RUP – Obligados – Contratistas</w:t>
      </w:r>
    </w:p>
    <w:p w14:paraId="6B265164" w14:textId="0ACDCCFD"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t>[…] las Empresas Industriales y Comerciales del Estado que pretendan participar y las Sociedades de Economía Mixta, en calidad de oferentes, en los procesos de selección abiertos por las entidades estatales que se rigen por el Estatuto General de Contratación de la Administración Pública, en principio, deben estar inscritas en el RUP, salvo que el contrato que vayan a celebrar, como contratistas, esté exceptuado por el segundo inciso del artículo 6 de la Ley 1150 de 2007. Por ejemplo, si la Empresa Industrial y Comercial del Estado quiere participar en un procedimiento de licitación pública convocado por una entidad estatal sometida al Estatuto General de Contratación de la Administración Pública, aquella debe estar inscrita en el RUP. En cambio, si desea participar en un procedimiento de selección de mínima cuantía o celebrar un contrato interadministrativo de manera directa, no está obligada a estar inscrita en el RUP, porque el segundo inciso del artículo 6 de la Ley 1150 de 2007 dispone que “No se requerirá de este registro, ni de clasificación, en los casos de contratación directa; […]; contratos de mínima cuantía; […]”, entre otros eventos.</w:t>
      </w:r>
    </w:p>
    <w:p w14:paraId="380D559A" w14:textId="77777777" w:rsidR="00B570E4" w:rsidRPr="0099286A" w:rsidRDefault="00B570E4" w:rsidP="00B570E4">
      <w:pPr>
        <w:jc w:val="both"/>
        <w:rPr>
          <w:rFonts w:ascii="Verdana" w:eastAsia="Geomanist Light" w:hAnsi="Verdana" w:cs="Arial"/>
          <w:b/>
          <w:bCs/>
          <w:lang w:val="es-MX"/>
        </w:rPr>
      </w:pPr>
      <w:r w:rsidRPr="0099286A">
        <w:rPr>
          <w:rFonts w:ascii="Verdana" w:eastAsia="Geomanist Light" w:hAnsi="Verdana" w:cs="Arial"/>
          <w:b/>
          <w:bCs/>
          <w:lang w:val="es-MX"/>
        </w:rPr>
        <w:t>EMPRESAS INDUSTRIALES Y COMERCIALES DEL ESTADO – RUP – Contratantes – Eximidas</w:t>
      </w:r>
    </w:p>
    <w:p w14:paraId="7299BA8D" w14:textId="77777777"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lastRenderedPageBreak/>
        <w:t xml:space="preserve">El segundo inciso del artículo 6 de la Ley 1150 de 2007 consagra una excepción al deber de inscripción en el RUP, que menciona a las Empresas Industriales y Comerciales del Estado y a las Sociedades de Economía Mixta, en los siguientes términos: “No se requerirá de este registro, ni de clasificación, en […] los actos y contratos que tengan por objeto directo las actividades comerciales e industriales propias de las Empresas Industriales y Comerciales del Estado y las Sociedades de Economía Mixta”. Sin embargo, el alcance de tal excepción debe interpretarse en armonía con la causal de contratación de selección abreviada contenida en el artículo 2, numeral 2, literal g) de la misma ley, que está redactada en los mismos términos, pues dice que debe implementarse tal modalidad de selección para “Los actos y contratos que tengan por objeto directo las actividades comerciales e industriales propias de las Empresas Industriales y Comerciales Estatales  y de las Sociedades de Economía Mixta […]”. </w:t>
      </w:r>
    </w:p>
    <w:p w14:paraId="44F59F36" w14:textId="30E3CE76"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t xml:space="preserve"> […]</w:t>
      </w:r>
    </w:p>
    <w:p w14:paraId="1DE9B6C8" w14:textId="77777777" w:rsidR="00B570E4" w:rsidRPr="00D256C6" w:rsidRDefault="00B570E4" w:rsidP="00B570E4">
      <w:pPr>
        <w:jc w:val="both"/>
        <w:rPr>
          <w:rFonts w:ascii="Verdana" w:eastAsia="Geomanist Light" w:hAnsi="Verdana" w:cs="Arial"/>
          <w:sz w:val="20"/>
          <w:szCs w:val="20"/>
          <w:lang w:val="es-MX"/>
        </w:rPr>
      </w:pPr>
      <w:r w:rsidRPr="00D256C6">
        <w:rPr>
          <w:rFonts w:ascii="Verdana" w:eastAsia="Geomanist Light" w:hAnsi="Verdana" w:cs="Arial"/>
          <w:sz w:val="20"/>
          <w:szCs w:val="20"/>
          <w:lang w:val="es-MX"/>
        </w:rPr>
        <w:t>Se concluye que el alcance del inciso 2 del artículo 6 de la Ley 1150 de 2007, se encuentra determinado por el artículo 2, numeral 2, literal g) de la Ley 1150 de 2007, en el entendido en que su aplicación procede cuando a las Empresas Industriales y Comerciales del Estado y las Sociedades de Economía Mixta se encuentran sometidas al Estatuto General de Contratación de la Administración Pública y estas actúan como contratantes. Por tanto, al encontrarse sometidas al EGCAP deberán acudir a la causal de contratación de selección abreviada para la celebración de los contratos que tengan por objeto directo las actividades comerciales e industriales propias de la Empresas Industriales y Comerciales del Estado y las Sociedades de Economía Mixta, con excepción de los contratos que a título enunciativo identifica el artículo 32 de la Ley 80 de 1993. Teniendo en cuenta que la norma se refiere de forma general a los actividades comerciales e industriales propias de las Empresas Industriales y Comerciales del Estado y las Sociedades de Economía Mixta, se colige que se trata de todas aquellas actividades de tal naturaleza que desarrollan en el marco de su objeto social. En tal caso, no podrán solicitar la presentación del RUP por cuanto estos actos y contratos se encuentran cobijados por la excepción del inciso 2 del artículo 6 de la Ley 1150 de 2007.</w:t>
      </w:r>
    </w:p>
    <w:p w14:paraId="2A15DA2B" w14:textId="77777777" w:rsidR="00B570E4" w:rsidRPr="0099286A" w:rsidRDefault="00B570E4" w:rsidP="00B570E4">
      <w:pPr>
        <w:jc w:val="both"/>
        <w:rPr>
          <w:rFonts w:ascii="Verdana" w:eastAsia="Geomanist Light" w:hAnsi="Verdana" w:cs="Arial"/>
          <w:lang w:val="es-MX"/>
        </w:rPr>
      </w:pPr>
    </w:p>
    <w:p w14:paraId="235F705A" w14:textId="77777777" w:rsidR="00B570E4" w:rsidRPr="0099286A" w:rsidRDefault="00B570E4" w:rsidP="00B570E4">
      <w:pPr>
        <w:rPr>
          <w:rFonts w:ascii="Verdana" w:eastAsia="Geomanist Light" w:hAnsi="Verdana" w:cs="Arial"/>
          <w:lang w:val="es-MX"/>
        </w:rPr>
      </w:pPr>
    </w:p>
    <w:p w14:paraId="1F65E02C" w14:textId="77777777" w:rsidR="00B570E4" w:rsidRDefault="00B570E4" w:rsidP="00B570E4">
      <w:pPr>
        <w:rPr>
          <w:rFonts w:ascii="Verdana" w:eastAsia="Geomanist Light" w:hAnsi="Verdana" w:cs="Arial"/>
          <w:lang w:val="es-MX"/>
        </w:rPr>
      </w:pPr>
    </w:p>
    <w:p w14:paraId="2255C9A9" w14:textId="77777777" w:rsidR="00B570E4" w:rsidRDefault="00B570E4" w:rsidP="00B570E4">
      <w:pPr>
        <w:rPr>
          <w:rFonts w:ascii="Verdana" w:eastAsia="Geomanist Light" w:hAnsi="Verdana" w:cs="Arial"/>
          <w:lang w:val="es-MX"/>
        </w:rPr>
      </w:pPr>
    </w:p>
    <w:p w14:paraId="50260B6C" w14:textId="77777777" w:rsidR="00B570E4" w:rsidRDefault="00B570E4" w:rsidP="00B570E4">
      <w:pPr>
        <w:rPr>
          <w:rFonts w:ascii="Verdana" w:eastAsia="Geomanist Light" w:hAnsi="Verdana" w:cs="Arial"/>
          <w:lang w:val="es-MX"/>
        </w:rPr>
      </w:pPr>
    </w:p>
    <w:p w14:paraId="5E90FC75" w14:textId="77777777" w:rsidR="00B570E4" w:rsidRDefault="00B570E4" w:rsidP="00B570E4">
      <w:pPr>
        <w:rPr>
          <w:rFonts w:ascii="Verdana" w:eastAsia="Geomanist Light" w:hAnsi="Verdana" w:cs="Arial"/>
          <w:lang w:val="es-MX"/>
        </w:rPr>
      </w:pPr>
    </w:p>
    <w:p w14:paraId="7B32069E" w14:textId="77777777" w:rsidR="00B570E4" w:rsidRDefault="00B570E4" w:rsidP="00B570E4">
      <w:pPr>
        <w:rPr>
          <w:rFonts w:ascii="Verdana" w:eastAsia="Geomanist Light" w:hAnsi="Verdana" w:cs="Arial"/>
          <w:lang w:val="es-MX"/>
        </w:rPr>
      </w:pPr>
    </w:p>
    <w:p w14:paraId="1CAA4CB0" w14:textId="77777777" w:rsidR="00D256C6" w:rsidRDefault="00D256C6" w:rsidP="00B570E4">
      <w:pPr>
        <w:rPr>
          <w:rFonts w:ascii="Verdana" w:eastAsia="Geomanist Light" w:hAnsi="Verdana" w:cs="Arial"/>
          <w:lang w:val="es-MX"/>
        </w:rPr>
      </w:pPr>
    </w:p>
    <w:p w14:paraId="2DD6E442" w14:textId="50926E9D" w:rsidR="00B570E4" w:rsidRPr="00EA7EA8" w:rsidRDefault="00B570E4" w:rsidP="00B570E4">
      <w:pPr>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27FF842E" w14:textId="28453161" w:rsidR="00B570E4" w:rsidRDefault="00B570E4" w:rsidP="00B570E4">
      <w:pPr>
        <w:spacing w:after="0" w:line="240" w:lineRule="auto"/>
        <w:jc w:val="both"/>
        <w:rPr>
          <w:rFonts w:ascii="Verdana" w:eastAsia="Calibri" w:hAnsi="Verdana" w:cs="Arial"/>
          <w:lang w:val="es-ES"/>
        </w:rPr>
      </w:pPr>
    </w:p>
    <w:p w14:paraId="107EA823" w14:textId="1E86A06F" w:rsidR="00B570E4" w:rsidRPr="00EA7EA8" w:rsidRDefault="00B570E4" w:rsidP="00B570E4">
      <w:pPr>
        <w:spacing w:after="0" w:line="240" w:lineRule="auto"/>
        <w:jc w:val="both"/>
        <w:rPr>
          <w:rFonts w:ascii="Verdana" w:eastAsia="Calibri" w:hAnsi="Verdana" w:cs="Arial"/>
          <w:lang w:val="es-ES"/>
        </w:rPr>
      </w:pPr>
    </w:p>
    <w:p w14:paraId="66050EDE" w14:textId="01841C13" w:rsidR="00B570E4" w:rsidRPr="00EA7EA8" w:rsidRDefault="00D256C6" w:rsidP="00B570E4">
      <w:pPr>
        <w:spacing w:after="0" w:line="240" w:lineRule="auto"/>
        <w:jc w:val="both"/>
        <w:rPr>
          <w:rFonts w:ascii="Verdana" w:eastAsia="Calibri" w:hAnsi="Verdana" w:cs="Arial"/>
          <w:lang w:val="es-ES" w:eastAsia="es-ES"/>
        </w:rPr>
      </w:pPr>
      <w:r w:rsidRPr="00ED0467">
        <w:rPr>
          <w:rFonts w:ascii="Verdana" w:eastAsia="Calibri" w:hAnsi="Verdana" w:cs="Arial"/>
          <w:b/>
          <w:noProof/>
          <w:lang w:val="es-ES_tradnl" w:eastAsia="es-ES_tradnl"/>
        </w:rPr>
        <w:drawing>
          <wp:anchor distT="0" distB="0" distL="114300" distR="114300" simplePos="0" relativeHeight="251658240" behindDoc="1" locked="0" layoutInCell="1" allowOverlap="1" wp14:anchorId="3EB44B90" wp14:editId="4435C378">
            <wp:simplePos x="0" y="0"/>
            <wp:positionH relativeFrom="margin">
              <wp:align>right</wp:align>
            </wp:positionH>
            <wp:positionV relativeFrom="paragraph">
              <wp:posOffset>9525</wp:posOffset>
            </wp:positionV>
            <wp:extent cx="3014980" cy="808990"/>
            <wp:effectExtent l="0" t="0" r="0" b="0"/>
            <wp:wrapSquare wrapText="bothSides"/>
            <wp:docPr id="105670474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0474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14980" cy="808990"/>
                    </a:xfrm>
                    <a:prstGeom prst="rect">
                      <a:avLst/>
                    </a:prstGeom>
                  </pic:spPr>
                </pic:pic>
              </a:graphicData>
            </a:graphic>
            <wp14:sizeRelH relativeFrom="page">
              <wp14:pctWidth>0</wp14:pctWidth>
            </wp14:sizeRelH>
            <wp14:sizeRelV relativeFrom="page">
              <wp14:pctHeight>0</wp14:pctHeight>
            </wp14:sizeRelV>
          </wp:anchor>
        </w:drawing>
      </w:r>
      <w:r w:rsidR="00B570E4" w:rsidRPr="00EA7EA8">
        <w:rPr>
          <w:rFonts w:ascii="Verdana" w:eastAsia="Calibri" w:hAnsi="Verdana" w:cs="Arial"/>
          <w:lang w:val="es-ES" w:eastAsia="es-ES"/>
        </w:rPr>
        <w:t>Señor</w:t>
      </w:r>
    </w:p>
    <w:p w14:paraId="6B1857C7" w14:textId="63FC116F" w:rsidR="00B570E4" w:rsidRPr="00EA7EA8" w:rsidRDefault="00B570E4" w:rsidP="00B570E4">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Andrés Felipe Tenjo Aguilar</w:t>
      </w:r>
    </w:p>
    <w:p w14:paraId="1FEC542C" w14:textId="13FCD4E6" w:rsidR="00B570E4" w:rsidRPr="00EA7EA8" w:rsidRDefault="00B570E4" w:rsidP="00B570E4">
      <w:pPr>
        <w:spacing w:after="0" w:line="240" w:lineRule="auto"/>
        <w:rPr>
          <w:rFonts w:ascii="Verdana" w:eastAsia="Calibri" w:hAnsi="Verdana" w:cs="Arial"/>
          <w:u w:val="single"/>
          <w:lang w:val="es-ES" w:eastAsia="es-ES"/>
        </w:rPr>
      </w:pPr>
      <w:r>
        <w:rPr>
          <w:rFonts w:ascii="Verdana" w:eastAsia="Calibri" w:hAnsi="Verdana" w:cs="Arial"/>
          <w:lang w:val="es-ES" w:eastAsia="es-ES"/>
        </w:rPr>
        <w:t>Andres.tenjoaguilar@gmail.com</w:t>
      </w:r>
    </w:p>
    <w:p w14:paraId="4865DE98" w14:textId="77777777" w:rsidR="00B570E4" w:rsidRPr="00EA7EA8" w:rsidRDefault="00B570E4" w:rsidP="00B570E4">
      <w:pPr>
        <w:spacing w:after="0" w:line="240" w:lineRule="auto"/>
        <w:rPr>
          <w:rFonts w:ascii="Verdana" w:eastAsia="Calibri" w:hAnsi="Verdana" w:cs="Arial"/>
          <w:b/>
          <w:bCs/>
          <w:lang w:val="es-ES" w:eastAsia="es-ES"/>
        </w:rPr>
      </w:pPr>
      <w:r w:rsidRPr="00EA7EA8">
        <w:rPr>
          <w:rFonts w:ascii="Verdana" w:eastAsia="Calibri" w:hAnsi="Verdana" w:cs="Arial"/>
          <w:lang w:val="es-ES" w:eastAsia="es-ES"/>
        </w:rPr>
        <w:t>Bogotá</w:t>
      </w:r>
      <w:r>
        <w:rPr>
          <w:rFonts w:ascii="Verdana" w:eastAsia="Calibri" w:hAnsi="Verdana" w:cs="Arial"/>
          <w:lang w:val="es-ES" w:eastAsia="es-ES"/>
        </w:rPr>
        <w:t xml:space="preserve"> D.C.</w:t>
      </w:r>
      <w:r w:rsidRPr="00780323">
        <w:rPr>
          <w:rFonts w:ascii="Verdana" w:eastAsia="Calibri" w:hAnsi="Verdana" w:cs="Arial"/>
          <w:lang w:val="es-ES" w:eastAsia="es-ES"/>
        </w:rPr>
        <w:t>,</w:t>
      </w:r>
      <w:r w:rsidRPr="00EA7EA8">
        <w:rPr>
          <w:rFonts w:ascii="Verdana" w:eastAsia="Calibri" w:hAnsi="Verdana" w:cs="Arial"/>
          <w:lang w:val="es-ES" w:eastAsia="es-ES"/>
        </w:rPr>
        <w:t xml:space="preserve"> Cundinamarca</w:t>
      </w:r>
    </w:p>
    <w:p w14:paraId="0719596B" w14:textId="77777777" w:rsidR="00B570E4" w:rsidRPr="00EA7EA8" w:rsidRDefault="00B570E4" w:rsidP="00B570E4">
      <w:pPr>
        <w:spacing w:after="0" w:line="240" w:lineRule="auto"/>
        <w:rPr>
          <w:rFonts w:ascii="Verdana" w:eastAsia="Calibri" w:hAnsi="Verdana" w:cs="Arial"/>
          <w:b/>
          <w:bCs/>
          <w:lang w:val="es-ES_tradnl" w:eastAsia="es-ES_tradnl"/>
        </w:rPr>
      </w:pPr>
    </w:p>
    <w:p w14:paraId="72881C6F" w14:textId="77777777" w:rsidR="00B570E4" w:rsidRPr="00EA7EA8" w:rsidRDefault="00B570E4" w:rsidP="00B570E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570E4" w:rsidRPr="00EA7EA8" w14:paraId="418E9DC0" w14:textId="77777777" w:rsidTr="00BB539A">
        <w:trPr>
          <w:trHeight w:val="190"/>
        </w:trPr>
        <w:tc>
          <w:tcPr>
            <w:tcW w:w="2689" w:type="dxa"/>
          </w:tcPr>
          <w:p w14:paraId="6AB7C1DD" w14:textId="77777777" w:rsidR="00B570E4" w:rsidRPr="00EA7EA8" w:rsidRDefault="00B570E4" w:rsidP="00BB539A">
            <w:pPr>
              <w:jc w:val="both"/>
              <w:rPr>
                <w:rFonts w:ascii="Verdana" w:eastAsia="Calibri" w:hAnsi="Verdana" w:cs="Arial"/>
                <w:b/>
                <w:bCs/>
                <w:lang w:val="es-ES_tradnl" w:eastAsia="es-ES_tradnl"/>
              </w:rPr>
            </w:pPr>
          </w:p>
        </w:tc>
        <w:tc>
          <w:tcPr>
            <w:tcW w:w="6100" w:type="dxa"/>
          </w:tcPr>
          <w:p w14:paraId="269518B9" w14:textId="77777777" w:rsidR="00B570E4" w:rsidRPr="00780323" w:rsidRDefault="00B570E4" w:rsidP="00BB539A">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1140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40E23817" w14:textId="77777777" w:rsidR="00B570E4" w:rsidRPr="00EA7EA8" w:rsidRDefault="00B570E4" w:rsidP="00BB539A">
            <w:pPr>
              <w:jc w:val="both"/>
              <w:rPr>
                <w:rFonts w:ascii="Verdana" w:eastAsia="Calibri" w:hAnsi="Verdana" w:cs="Arial"/>
                <w:b/>
                <w:bCs/>
                <w:lang w:val="es-ES" w:eastAsia="es-ES"/>
              </w:rPr>
            </w:pPr>
          </w:p>
        </w:tc>
      </w:tr>
      <w:tr w:rsidR="00B570E4" w:rsidRPr="00EA7EA8" w14:paraId="1F101FC9" w14:textId="77777777" w:rsidTr="00BB539A">
        <w:trPr>
          <w:trHeight w:val="884"/>
        </w:trPr>
        <w:tc>
          <w:tcPr>
            <w:tcW w:w="2689" w:type="dxa"/>
          </w:tcPr>
          <w:p w14:paraId="1746AEF6" w14:textId="77777777" w:rsidR="00B570E4" w:rsidRPr="00EA7EA8" w:rsidRDefault="00B570E4" w:rsidP="00BB539A">
            <w:pPr>
              <w:jc w:val="both"/>
              <w:rPr>
                <w:rFonts w:ascii="Verdana" w:eastAsia="Calibri" w:hAnsi="Verdana" w:cs="Arial"/>
                <w:lang w:val="es-ES_tradnl" w:eastAsia="es-ES_tradnl"/>
              </w:rPr>
            </w:pPr>
            <w:r w:rsidRPr="00EA7EA8">
              <w:rPr>
                <w:rFonts w:ascii="Verdana" w:eastAsia="Calibri" w:hAnsi="Verdana" w:cs="Arial"/>
                <w:b/>
                <w:lang w:val="es-ES_tradnl" w:eastAsia="es-ES_tradnl"/>
              </w:rPr>
              <w:t>Temas:</w:t>
            </w:r>
            <w:r w:rsidRPr="00EA7EA8">
              <w:rPr>
                <w:rFonts w:ascii="Verdana" w:eastAsia="Calibri" w:hAnsi="Verdana" w:cs="Arial"/>
                <w:lang w:val="es-ES_tradnl" w:eastAsia="es-ES_tradnl"/>
              </w:rPr>
              <w:t xml:space="preserve">                   </w:t>
            </w:r>
          </w:p>
        </w:tc>
        <w:tc>
          <w:tcPr>
            <w:tcW w:w="6100" w:type="dxa"/>
          </w:tcPr>
          <w:p w14:paraId="0DB2CF8A" w14:textId="77777777" w:rsidR="00B570E4" w:rsidRDefault="00B570E4" w:rsidP="00BB539A">
            <w:pPr>
              <w:jc w:val="both"/>
              <w:rPr>
                <w:rFonts w:ascii="Verdana" w:eastAsia="Calibri" w:hAnsi="Verdana" w:cs="Arial"/>
                <w:color w:val="000000"/>
                <w:szCs w:val="24"/>
                <w:lang w:val="es-ES_tradnl" w:eastAsia="es-ES_tradnl"/>
              </w:rPr>
            </w:pPr>
            <w:r>
              <w:rPr>
                <w:rFonts w:ascii="Verdana" w:eastAsia="Geomanist Light" w:hAnsi="Verdana" w:cs="Arial"/>
                <w:color w:val="000000"/>
                <w:lang w:val="es-MX"/>
              </w:rPr>
              <w:t xml:space="preserve">EMPRESAS INDUSTRIALES Y COMERCIALES DEL ESTADO – Naturaleza jurídica – Régimen de contratación </w:t>
            </w:r>
            <w:r w:rsidRPr="00D20014">
              <w:rPr>
                <w:rFonts w:ascii="Verdana" w:eastAsia="Calibri" w:hAnsi="Verdana" w:cs="Arial"/>
                <w:color w:val="000000"/>
                <w:szCs w:val="24"/>
                <w:lang w:val="es-ES_tradnl" w:eastAsia="es-ES_tradnl"/>
              </w:rPr>
              <w:t xml:space="preserve">/ </w:t>
            </w:r>
            <w:r>
              <w:rPr>
                <w:rFonts w:ascii="Verdana" w:eastAsia="Calibri" w:hAnsi="Verdana" w:cs="Arial"/>
                <w:color w:val="000000"/>
                <w:szCs w:val="24"/>
                <w:lang w:val="es-ES_tradnl" w:eastAsia="es-ES_tradnl"/>
              </w:rPr>
              <w:t>EMPRESAS INDUSTRIALES Y COMERCIALES DEL ESTADO</w:t>
            </w:r>
            <w:r w:rsidRPr="008E50D9">
              <w:rPr>
                <w:rFonts w:ascii="Verdana" w:eastAsia="Calibri" w:hAnsi="Verdana" w:cs="Arial"/>
                <w:color w:val="000000"/>
                <w:szCs w:val="24"/>
                <w:lang w:val="es-ES_tradnl" w:eastAsia="es-ES_tradnl"/>
              </w:rPr>
              <w:t xml:space="preserve"> – RUP – Obligados – Contratistas</w:t>
            </w:r>
            <w:r>
              <w:t xml:space="preserve"> </w:t>
            </w:r>
            <w:r w:rsidRPr="00D20014">
              <w:rPr>
                <w:rFonts w:ascii="Verdana" w:eastAsia="Calibri" w:hAnsi="Verdana" w:cs="Arial"/>
                <w:color w:val="000000"/>
                <w:szCs w:val="24"/>
                <w:lang w:val="es-ES_tradnl" w:eastAsia="es-ES_tradnl"/>
              </w:rPr>
              <w:t>/</w:t>
            </w:r>
            <w:r>
              <w:rPr>
                <w:rFonts w:ascii="Verdana" w:eastAsia="Calibri" w:hAnsi="Verdana" w:cs="Arial"/>
                <w:color w:val="000000"/>
                <w:szCs w:val="24"/>
                <w:lang w:val="es-ES_tradnl" w:eastAsia="es-ES_tradnl"/>
              </w:rPr>
              <w:t xml:space="preserve"> EMPRESAS INDUSTRIALES Y COMERCIALES DEL ESTADO</w:t>
            </w:r>
            <w:r w:rsidRPr="00FE26AE">
              <w:rPr>
                <w:rFonts w:ascii="Verdana" w:eastAsia="Calibri" w:hAnsi="Verdana" w:cs="Arial"/>
                <w:color w:val="000000"/>
                <w:szCs w:val="24"/>
                <w:lang w:val="es-ES_tradnl" w:eastAsia="es-ES_tradnl"/>
              </w:rPr>
              <w:t xml:space="preserve"> – RUP – Contratantes – Eximidas</w:t>
            </w:r>
          </w:p>
          <w:p w14:paraId="1FD08F24" w14:textId="77777777" w:rsidR="00B570E4" w:rsidRPr="00EA7EA8" w:rsidRDefault="00B570E4" w:rsidP="00BB539A">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B570E4" w:rsidRPr="00EA7EA8" w14:paraId="230AFC1F" w14:textId="77777777" w:rsidTr="00BB539A">
        <w:tc>
          <w:tcPr>
            <w:tcW w:w="2689" w:type="dxa"/>
          </w:tcPr>
          <w:p w14:paraId="48A03557" w14:textId="77777777" w:rsidR="00B570E4" w:rsidRPr="00EA7EA8" w:rsidRDefault="00B570E4" w:rsidP="00BB539A">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452B23D8" w14:textId="77777777" w:rsidR="00B570E4" w:rsidRPr="00EA7EA8" w:rsidRDefault="00B570E4" w:rsidP="00BB539A">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Pr="00780323">
              <w:rPr>
                <w:rFonts w:ascii="Verdana" w:eastAsia="Calibri" w:hAnsi="Verdana" w:cs="Arial"/>
                <w:lang w:val="es-ES_tradnl" w:eastAsia="es-ES_tradnl"/>
              </w:rPr>
              <w:t xml:space="preserve">No. </w:t>
            </w:r>
            <w:r w:rsidRPr="0099286A">
              <w:rPr>
                <w:rFonts w:ascii="Verdana" w:eastAsia="Calibri" w:hAnsi="Verdana" w:cs="Arial"/>
                <w:lang w:eastAsia="es-ES_tradnl"/>
              </w:rPr>
              <w:t>1_2025_08_14_008521</w:t>
            </w:r>
          </w:p>
        </w:tc>
      </w:tr>
    </w:tbl>
    <w:p w14:paraId="77770541" w14:textId="77777777" w:rsidR="00B570E4" w:rsidRPr="00EA7EA8" w:rsidRDefault="00B570E4" w:rsidP="00B570E4">
      <w:pPr>
        <w:spacing w:after="0" w:line="240" w:lineRule="auto"/>
        <w:jc w:val="both"/>
        <w:rPr>
          <w:rFonts w:ascii="Verdana" w:eastAsia="Calibri" w:hAnsi="Verdana" w:cs="Arial"/>
          <w:lang w:val="es-ES_tradnl" w:eastAsia="es-ES_tradnl"/>
        </w:rPr>
      </w:pPr>
    </w:p>
    <w:p w14:paraId="2C118035" w14:textId="77777777" w:rsidR="00B570E4" w:rsidRPr="00EA7EA8" w:rsidRDefault="00B570E4" w:rsidP="00B570E4">
      <w:pPr>
        <w:spacing w:after="0" w:line="240" w:lineRule="auto"/>
        <w:jc w:val="both"/>
        <w:rPr>
          <w:rFonts w:ascii="Verdana" w:eastAsia="Calibri" w:hAnsi="Verdana" w:cs="Arial"/>
          <w:lang w:val="es-ES_tradnl" w:eastAsia="es-ES_tradnl"/>
        </w:rPr>
      </w:pPr>
    </w:p>
    <w:p w14:paraId="367032D1" w14:textId="77777777" w:rsidR="00B570E4" w:rsidRPr="00EA7EA8" w:rsidRDefault="00B570E4" w:rsidP="00B570E4">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Tenjo</w:t>
      </w:r>
      <w:r w:rsidRPr="00EA7EA8">
        <w:rPr>
          <w:rFonts w:ascii="Verdana" w:eastAsia="Calibri" w:hAnsi="Verdana" w:cs="Arial"/>
          <w:lang w:val="es-ES" w:eastAsia="es-ES"/>
        </w:rPr>
        <w:t xml:space="preserve">: </w:t>
      </w:r>
    </w:p>
    <w:p w14:paraId="095A534C" w14:textId="77777777" w:rsidR="00B570E4" w:rsidRPr="00EA7EA8" w:rsidRDefault="00B570E4" w:rsidP="00B570E4">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693A3624" w14:textId="77777777" w:rsidR="00B570E4" w:rsidRPr="00EA7EA8" w:rsidRDefault="00B570E4" w:rsidP="00B570E4">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la Agencia Nacional de Contratación Pública – Colombia Compra Eficiente– responde su solicitud de consulta</w:t>
      </w:r>
      <w:r w:rsidRPr="00797A11">
        <w:rPr>
          <w:rFonts w:ascii="Verdana" w:eastAsia="Calibri" w:hAnsi="Verdana" w:cs="Arial"/>
          <w:lang w:val="es-ES" w:eastAsia="es-ES"/>
        </w:rPr>
        <w:t>, remitida por el Depa</w:t>
      </w:r>
      <w:r w:rsidRPr="00891B72">
        <w:rPr>
          <w:rFonts w:ascii="Verdana" w:eastAsia="Calibri" w:hAnsi="Verdana" w:cs="Arial"/>
          <w:lang w:val="es-ES" w:eastAsia="es-ES"/>
        </w:rPr>
        <w:t>rtamento Administrativo</w:t>
      </w:r>
      <w:r w:rsidRPr="00EA7EA8">
        <w:rPr>
          <w:rFonts w:ascii="Verdana" w:eastAsia="Calibri" w:hAnsi="Verdana" w:cs="Arial"/>
          <w:lang w:val="es-ES" w:eastAsia="es-ES"/>
        </w:rPr>
        <w:t xml:space="preserve"> de </w:t>
      </w:r>
      <w:r w:rsidRPr="00891B72">
        <w:rPr>
          <w:rFonts w:ascii="Verdana" w:eastAsia="Calibri" w:hAnsi="Verdana" w:cs="Arial"/>
          <w:lang w:val="es-ES" w:eastAsia="es-ES"/>
        </w:rPr>
        <w:t>la Función Pública, el</w:t>
      </w:r>
      <w:r w:rsidRPr="00EA7EA8">
        <w:rPr>
          <w:rFonts w:ascii="Verdana" w:eastAsia="Calibri" w:hAnsi="Verdana" w:cs="Arial"/>
          <w:lang w:val="es-ES" w:eastAsia="es-ES"/>
        </w:rPr>
        <w:t xml:space="preserve"> </w:t>
      </w:r>
      <w:r>
        <w:rPr>
          <w:rFonts w:ascii="Verdana" w:eastAsia="Calibri" w:hAnsi="Verdana" w:cs="Arial"/>
          <w:lang w:val="es-ES" w:eastAsia="es-ES"/>
        </w:rPr>
        <w:t>14</w:t>
      </w:r>
      <w:r w:rsidRPr="00EA7EA8">
        <w:rPr>
          <w:rFonts w:ascii="Verdana" w:eastAsia="Calibri" w:hAnsi="Verdana" w:cs="Arial"/>
          <w:lang w:val="es-ES" w:eastAsia="es-ES"/>
        </w:rPr>
        <w:t xml:space="preserve"> de </w:t>
      </w:r>
      <w:r>
        <w:rPr>
          <w:rFonts w:ascii="Verdana" w:eastAsia="Calibri" w:hAnsi="Verdana" w:cs="Arial"/>
          <w:lang w:val="es-ES" w:eastAsia="es-ES"/>
        </w:rPr>
        <w:t>agosto</w:t>
      </w:r>
      <w:r w:rsidRPr="00EA7EA8">
        <w:rPr>
          <w:rFonts w:ascii="Verdana" w:eastAsia="Calibri" w:hAnsi="Verdana" w:cs="Arial"/>
          <w:lang w:val="es-ES" w:eastAsia="es-ES"/>
        </w:rPr>
        <w:t xml:space="preserve"> de 2025, en la cual manifiesta lo siguiente: </w:t>
      </w:r>
    </w:p>
    <w:p w14:paraId="793BF15F" w14:textId="77777777" w:rsidR="00B570E4" w:rsidRPr="00EA7EA8" w:rsidRDefault="00B570E4" w:rsidP="00B570E4">
      <w:pPr>
        <w:spacing w:after="0" w:line="276" w:lineRule="auto"/>
        <w:jc w:val="both"/>
      </w:pPr>
    </w:p>
    <w:p w14:paraId="0BA7B1BE" w14:textId="77777777" w:rsidR="00B570E4" w:rsidRPr="0062317C" w:rsidRDefault="00B570E4" w:rsidP="00B570E4">
      <w:pPr>
        <w:spacing w:after="0" w:line="240" w:lineRule="auto"/>
        <w:ind w:left="709" w:right="709"/>
        <w:jc w:val="both"/>
        <w:rPr>
          <w:rFonts w:ascii="Verdana" w:eastAsia="Century Gothic" w:hAnsi="Verdana" w:cs="Century Gothic"/>
          <w:sz w:val="20"/>
          <w:szCs w:val="20"/>
          <w:lang w:val="es-ES"/>
        </w:rPr>
      </w:pPr>
      <w:bookmarkStart w:id="0" w:name="_Hlk95313578"/>
      <w:r w:rsidRPr="0062317C">
        <w:rPr>
          <w:rFonts w:ascii="Verdana" w:eastAsia="Century Gothic" w:hAnsi="Verdana" w:cs="Century Gothic"/>
          <w:sz w:val="20"/>
          <w:szCs w:val="20"/>
          <w:lang w:val="es-ES"/>
        </w:rPr>
        <w:t>“</w:t>
      </w:r>
      <w:r w:rsidRPr="0099286A">
        <w:rPr>
          <w:rFonts w:ascii="Verdana" w:eastAsia="Century Gothic" w:hAnsi="Verdana" w:cs="Century Gothic"/>
          <w:sz w:val="20"/>
          <w:szCs w:val="20"/>
          <w:lang w:val="es-ES"/>
        </w:rPr>
        <w:t>Teniendo en cuenta lo consagrado en el artículo 6 de la Ley 1150 de 2007, donde</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establece en su segundo párrafo las causales eximentes para no requerir el</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 xml:space="preserve">Registro Único de Proponentes, </w:t>
      </w:r>
      <w:r>
        <w:rPr>
          <w:rFonts w:ascii="Verdana" w:eastAsia="Century Gothic" w:hAnsi="Verdana" w:cs="Century Gothic"/>
          <w:sz w:val="20"/>
          <w:szCs w:val="20"/>
          <w:lang w:val="es-ES"/>
        </w:rPr>
        <w:t>¿</w:t>
      </w:r>
      <w:r w:rsidRPr="0099286A">
        <w:rPr>
          <w:rFonts w:ascii="Verdana" w:eastAsia="Century Gothic" w:hAnsi="Verdana" w:cs="Century Gothic"/>
          <w:sz w:val="20"/>
          <w:szCs w:val="20"/>
          <w:lang w:val="es-ES"/>
        </w:rPr>
        <w:t>cuáles son los criterios que se deben tener en</w:t>
      </w:r>
      <w:r>
        <w:rPr>
          <w:rFonts w:ascii="Verdana" w:eastAsia="Century Gothic" w:hAnsi="Verdana" w:cs="Century Gothic"/>
          <w:sz w:val="20"/>
          <w:szCs w:val="20"/>
          <w:lang w:val="es-ES"/>
        </w:rPr>
        <w:t xml:space="preserve"> c</w:t>
      </w:r>
      <w:r w:rsidRPr="0099286A">
        <w:rPr>
          <w:rFonts w:ascii="Verdana" w:eastAsia="Century Gothic" w:hAnsi="Verdana" w:cs="Century Gothic"/>
          <w:sz w:val="20"/>
          <w:szCs w:val="20"/>
          <w:lang w:val="es-ES"/>
        </w:rPr>
        <w:t>uenta para aplicar la causal sobre las empresas industriales y comerciales del</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Estado y las sociedades de economía mixta? ¿Solamente es aplicable para los</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procesos de selección abreviada numeral g o aplica para todas las modalidades de</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selección teniendo en cuenta que la naturaleza del contrato a celebrar sea objeto</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directo de las actividades comerciales e industriales propias de las Empresas</w:t>
      </w:r>
      <w:r>
        <w:rPr>
          <w:rFonts w:ascii="Verdana" w:eastAsia="Century Gothic" w:hAnsi="Verdana" w:cs="Century Gothic"/>
          <w:sz w:val="20"/>
          <w:szCs w:val="20"/>
          <w:lang w:val="es-ES"/>
        </w:rPr>
        <w:t xml:space="preserve"> </w:t>
      </w:r>
      <w:r w:rsidRPr="0099286A">
        <w:rPr>
          <w:rFonts w:ascii="Verdana" w:eastAsia="Century Gothic" w:hAnsi="Verdana" w:cs="Century Gothic"/>
          <w:sz w:val="20"/>
          <w:szCs w:val="20"/>
          <w:lang w:val="es-ES"/>
        </w:rPr>
        <w:t>Industriales y Comerciales Estatales y de las Sociedades de Economía Mixta?</w:t>
      </w:r>
      <w:r w:rsidRPr="0062317C">
        <w:rPr>
          <w:rFonts w:ascii="Verdana" w:eastAsia="Century Gothic" w:hAnsi="Verdana" w:cs="Century Gothic"/>
          <w:sz w:val="20"/>
          <w:szCs w:val="20"/>
          <w:lang w:val="es-ES"/>
        </w:rPr>
        <w:t>”</w:t>
      </w:r>
      <w:bookmarkEnd w:id="0"/>
      <w:r w:rsidRPr="0062317C">
        <w:rPr>
          <w:rFonts w:ascii="Verdana" w:eastAsia="Century Gothic" w:hAnsi="Verdana" w:cs="Century Gothic"/>
          <w:sz w:val="20"/>
          <w:szCs w:val="20"/>
          <w:lang w:val="es-ES"/>
        </w:rPr>
        <w:t>.</w:t>
      </w:r>
    </w:p>
    <w:p w14:paraId="3B5A6C9D" w14:textId="77777777" w:rsidR="00B570E4" w:rsidRDefault="00B570E4" w:rsidP="00B570E4">
      <w:pPr>
        <w:spacing w:after="0" w:line="276" w:lineRule="auto"/>
        <w:ind w:firstLine="709"/>
        <w:jc w:val="both"/>
        <w:rPr>
          <w:rFonts w:ascii="Verdana" w:eastAsia="Calibri" w:hAnsi="Verdana" w:cs="Arial"/>
          <w:lang w:val="es-ES" w:eastAsia="es-ES"/>
        </w:rPr>
      </w:pPr>
    </w:p>
    <w:p w14:paraId="17058B6B" w14:textId="77777777" w:rsidR="00B570E4" w:rsidRPr="00EA7EA8" w:rsidRDefault="00B570E4" w:rsidP="00B570E4">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4AC24D2E" w14:textId="77777777" w:rsidR="00B570E4" w:rsidRPr="00EA7EA8" w:rsidRDefault="00B570E4" w:rsidP="00B570E4">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EA7EA8">
        <w:rPr>
          <w:rFonts w:ascii="Verdana" w:eastAsia="Calibri" w:hAnsi="Verdana" w:cs="Arial"/>
          <w:lang w:val="es-ES" w:eastAsia="es-ES"/>
        </w:rPr>
        <w:t xml:space="preserve"> </w:t>
      </w:r>
      <w:r>
        <w:rPr>
          <w:rFonts w:ascii="Verdana" w:eastAsia="Calibri" w:hAnsi="Verdana" w:cs="Arial"/>
          <w:lang w:val="es-ES" w:eastAsia="es-ES"/>
        </w:rPr>
        <w:t>alg</w:t>
      </w:r>
      <w:r w:rsidRPr="00EA7EA8">
        <w:rPr>
          <w:rFonts w:ascii="Verdana" w:eastAsia="Calibri" w:hAnsi="Verdana" w:cs="Arial"/>
          <w:lang w:val="es-ES" w:eastAsia="es-ES"/>
        </w:rPr>
        <w:t>unas consideraciones sobre las normas generales relacionadas con l</w:t>
      </w:r>
      <w:r>
        <w:rPr>
          <w:rFonts w:ascii="Verdana" w:eastAsia="Calibri" w:hAnsi="Verdana" w:cs="Arial"/>
          <w:lang w:val="es-ES" w:eastAsia="es-ES"/>
        </w:rPr>
        <w:t>os</w:t>
      </w:r>
      <w:r w:rsidRPr="00EA7EA8">
        <w:rPr>
          <w:rFonts w:ascii="Verdana" w:eastAsia="Calibri" w:hAnsi="Verdana" w:cs="Arial"/>
          <w:lang w:val="es-ES" w:eastAsia="es-ES"/>
        </w:rPr>
        <w:t xml:space="preserve"> problema</w:t>
      </w:r>
      <w:r>
        <w:rPr>
          <w:rFonts w:ascii="Verdana" w:eastAsia="Calibri" w:hAnsi="Verdana" w:cs="Arial"/>
          <w:lang w:val="es-ES" w:eastAsia="es-ES"/>
        </w:rPr>
        <w:t>s</w:t>
      </w:r>
      <w:r w:rsidRPr="00EA7EA8">
        <w:rPr>
          <w:rFonts w:ascii="Verdana" w:eastAsia="Calibri" w:hAnsi="Verdana" w:cs="Arial"/>
          <w:lang w:val="es-ES" w:eastAsia="es-ES"/>
        </w:rPr>
        <w:t xml:space="preserve"> jurídico</w:t>
      </w:r>
      <w:r>
        <w:rPr>
          <w:rFonts w:ascii="Verdana" w:eastAsia="Calibri" w:hAnsi="Verdana" w:cs="Arial"/>
          <w:lang w:val="es-ES" w:eastAsia="es-ES"/>
        </w:rPr>
        <w:t>s</w:t>
      </w:r>
      <w:r w:rsidRPr="00EA7EA8">
        <w:rPr>
          <w:rFonts w:ascii="Verdana" w:eastAsia="Calibri" w:hAnsi="Verdana" w:cs="Arial"/>
          <w:lang w:val="es-ES" w:eastAsia="es-ES"/>
        </w:rPr>
        <w:t xml:space="preserve"> de su consulta. </w:t>
      </w:r>
    </w:p>
    <w:p w14:paraId="1B17B83A" w14:textId="77777777" w:rsidR="00B570E4" w:rsidRPr="00EA7EA8" w:rsidRDefault="00B570E4" w:rsidP="00B570E4">
      <w:pPr>
        <w:spacing w:after="0" w:line="276" w:lineRule="auto"/>
        <w:ind w:firstLine="709"/>
        <w:jc w:val="both"/>
        <w:rPr>
          <w:rFonts w:ascii="Verdana" w:eastAsia="Calibri" w:hAnsi="Verdana" w:cs="Arial"/>
          <w:lang w:val="es-ES" w:eastAsia="es-ES"/>
        </w:rPr>
      </w:pPr>
    </w:p>
    <w:p w14:paraId="78034CBA" w14:textId="77777777" w:rsidR="00B570E4" w:rsidRPr="00EA7EA8" w:rsidRDefault="00B570E4" w:rsidP="00B570E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Problema planteado:</w:t>
      </w:r>
    </w:p>
    <w:p w14:paraId="31A37C99" w14:textId="77777777" w:rsidR="00B570E4" w:rsidRDefault="00B570E4" w:rsidP="00B570E4">
      <w:pPr>
        <w:tabs>
          <w:tab w:val="left" w:pos="426"/>
        </w:tabs>
        <w:spacing w:after="0" w:line="276" w:lineRule="auto"/>
        <w:jc w:val="both"/>
        <w:rPr>
          <w:rFonts w:ascii="Verdana" w:eastAsia="Century Gothic" w:hAnsi="Verdana" w:cs="Century Gothic"/>
          <w:lang w:val="es-ES"/>
        </w:rPr>
      </w:pPr>
    </w:p>
    <w:p w14:paraId="67EFCB54" w14:textId="77777777" w:rsidR="00B570E4" w:rsidRPr="00D20014" w:rsidRDefault="00B570E4" w:rsidP="00B570E4">
      <w:pPr>
        <w:spacing w:after="0"/>
        <w:jc w:val="both"/>
        <w:rPr>
          <w:rFonts w:ascii="Verdana" w:eastAsia="Century Gothic" w:hAnsi="Verdana" w:cs="Century Gothic"/>
        </w:rPr>
      </w:pPr>
      <w:r w:rsidRPr="00EA7EA8">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4303B0">
        <w:rPr>
          <w:rFonts w:ascii="Verdana" w:eastAsia="Century Gothic" w:hAnsi="Verdana" w:cs="Century Gothic"/>
        </w:rPr>
        <w:t>¿Cuál es el alcance del inciso 2 del artículo 6 de la Ley 1150 de 2007 respecto de la exigencia del Registro Único de Proponentes (RUP), en particular frente a los actos y contratos cuyo objeto directo corresponde al desarrollo de las actividades comerciales e industriales propias de las Empresas Industriales y Comerciales del Estado y de las Sociedades de Economía Mixta? Asimismo, ¿existen excepciones a la aplicación de dicha regla?</w:t>
      </w:r>
    </w:p>
    <w:p w14:paraId="755835DF" w14:textId="77777777" w:rsidR="00B570E4" w:rsidRPr="00EA7EA8" w:rsidRDefault="00B570E4" w:rsidP="00B570E4">
      <w:pPr>
        <w:spacing w:after="0" w:line="276" w:lineRule="auto"/>
        <w:jc w:val="both"/>
        <w:rPr>
          <w:rFonts w:ascii="Verdana" w:eastAsia="Calibri" w:hAnsi="Verdana" w:cs="Arial"/>
          <w:lang w:val="es-ES"/>
        </w:rPr>
      </w:pPr>
    </w:p>
    <w:p w14:paraId="54179C7A" w14:textId="77777777" w:rsidR="00B570E4" w:rsidRPr="00EA7EA8" w:rsidRDefault="00B570E4" w:rsidP="00B570E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28DAE6E3" w14:textId="77777777" w:rsidR="00B570E4" w:rsidRPr="00EA7EA8" w:rsidRDefault="00B570E4" w:rsidP="00B570E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570E4" w:rsidRPr="00EA7EA8" w14:paraId="640B7D6C" w14:textId="77777777" w:rsidTr="00BB539A">
        <w:tc>
          <w:tcPr>
            <w:tcW w:w="8828" w:type="dxa"/>
          </w:tcPr>
          <w:p w14:paraId="70D861E3" w14:textId="77777777" w:rsidR="00B570E4" w:rsidRPr="004303B0" w:rsidRDefault="00B570E4" w:rsidP="00BB539A">
            <w:pPr>
              <w:spacing w:after="120" w:line="276" w:lineRule="auto"/>
              <w:ind w:firstLine="709"/>
              <w:jc w:val="both"/>
              <w:rPr>
                <w:rFonts w:ascii="Verdana" w:eastAsia="Batang" w:hAnsi="Verdana" w:cs="Arial"/>
              </w:rPr>
            </w:pPr>
            <w:r w:rsidRPr="004303B0">
              <w:rPr>
                <w:rFonts w:ascii="Verdana" w:eastAsia="Batang" w:hAnsi="Verdana" w:cs="Arial"/>
              </w:rPr>
              <w:t xml:space="preserve">El inciso 2 del artículo 6 de la Ley 1150 de 2007 establece una excepción al deber de inscripción en el Registro Único de Proponentes (RUP), al disponer que: </w:t>
            </w:r>
            <w:r w:rsidRPr="004303B0">
              <w:rPr>
                <w:rFonts w:ascii="Verdana" w:eastAsia="Batang" w:hAnsi="Verdana" w:cs="Arial"/>
                <w:i/>
                <w:iCs/>
              </w:rPr>
              <w:t xml:space="preserve">“No se requerirá de este registro, ni de clasificación, en […] los actos y contratos que tengan por objeto directo las actividades comerciales e </w:t>
            </w:r>
            <w:r w:rsidRPr="004303B0">
              <w:rPr>
                <w:rFonts w:ascii="Verdana" w:eastAsia="Batang" w:hAnsi="Verdana" w:cs="Arial"/>
                <w:i/>
                <w:iCs/>
              </w:rPr>
              <w:lastRenderedPageBreak/>
              <w:t>industriales propias de las Empresas Industriales y Comerciales del Estado y las Sociedades de Economía Mixta”</w:t>
            </w:r>
            <w:r w:rsidRPr="004303B0">
              <w:rPr>
                <w:rFonts w:ascii="Verdana" w:eastAsia="Batang" w:hAnsi="Verdana" w:cs="Arial"/>
              </w:rPr>
              <w:t>.</w:t>
            </w:r>
          </w:p>
          <w:p w14:paraId="38302FFC" w14:textId="77777777" w:rsidR="00B570E4" w:rsidRPr="004303B0" w:rsidRDefault="00B570E4" w:rsidP="00BB539A">
            <w:pPr>
              <w:spacing w:after="120" w:line="276" w:lineRule="auto"/>
              <w:ind w:firstLine="709"/>
              <w:jc w:val="both"/>
              <w:rPr>
                <w:rFonts w:ascii="Verdana" w:eastAsia="Batang" w:hAnsi="Verdana" w:cs="Arial"/>
              </w:rPr>
            </w:pPr>
            <w:r w:rsidRPr="004303B0">
              <w:rPr>
                <w:rFonts w:ascii="Verdana" w:eastAsia="Batang" w:hAnsi="Verdana" w:cs="Arial"/>
              </w:rPr>
              <w:t xml:space="preserve">El alcance de esta excepción debe interpretarse de manera armónica con la causal de selección abreviada prevista en el artículo 2, numeral 2, literal g) de la misma ley, la cual está redactada en idénticos términos. Dicha disposición ordena aplicar la modalidad de selección abreviada para </w:t>
            </w:r>
            <w:r w:rsidRPr="004303B0">
              <w:rPr>
                <w:rFonts w:ascii="Verdana" w:eastAsia="Batang" w:hAnsi="Verdana" w:cs="Arial"/>
                <w:i/>
                <w:iCs/>
              </w:rPr>
              <w:t>“los actos y contratos que tengan por objeto directo las actividades comerciales e industriales propias de las Empresas Industriales y Comerciales del Estado y de las Sociedades de Economía Mixta”</w:t>
            </w:r>
            <w:r w:rsidRPr="004303B0">
              <w:rPr>
                <w:rFonts w:ascii="Verdana" w:eastAsia="Batang" w:hAnsi="Verdana" w:cs="Arial"/>
              </w:rPr>
              <w:t>.</w:t>
            </w:r>
          </w:p>
          <w:p w14:paraId="2BADAD64" w14:textId="77777777" w:rsidR="00B570E4" w:rsidRPr="001A447D" w:rsidRDefault="00B570E4" w:rsidP="00BB539A">
            <w:pPr>
              <w:spacing w:after="120" w:line="276" w:lineRule="auto"/>
              <w:ind w:firstLine="709"/>
              <w:jc w:val="both"/>
              <w:rPr>
                <w:rFonts w:ascii="Verdana" w:eastAsia="Batang" w:hAnsi="Verdana" w:cs="Arial"/>
              </w:rPr>
            </w:pPr>
            <w:r w:rsidRPr="001A447D">
              <w:rPr>
                <w:rFonts w:ascii="Verdana" w:eastAsia="Batang" w:hAnsi="Verdana" w:cs="Arial"/>
              </w:rPr>
              <w:t xml:space="preserve">El hecho de que el inciso 2 del artículo 6 y el artículo 2, numeral 2, literal g) de la Ley 1150 de 2007 utilicen exactamente la misma expresión evidencia que la excepción prevista frente a la exigencia del RUP fue concebida por el legislador para situaciones en las que las Empresas Industriales y Comerciales del Estado y las Sociedades de Economía Mixta actúan en calidad de entidades contratantes, y no cuando participan como contratistas. Esto se explica </w:t>
            </w:r>
            <w:r>
              <w:rPr>
                <w:rFonts w:ascii="Verdana" w:eastAsia="Batang" w:hAnsi="Verdana" w:cs="Arial"/>
              </w:rPr>
              <w:t>debido a que</w:t>
            </w:r>
            <w:r w:rsidRPr="001A447D">
              <w:rPr>
                <w:rFonts w:ascii="Verdana" w:eastAsia="Batang" w:hAnsi="Verdana" w:cs="Arial"/>
              </w:rPr>
              <w:t xml:space="preserve"> las causales de selección reguladas en el artículo 2 de la Ley 1150 de 2007 están dirigidas a las entidades sometidas al Estatuto General de Contratación de la Administración Pública, esto es, a los órganos señalados en el artículo 2 de la Ley 80 de 1993, en su condición de sujetos estatales que adelantan procesos de selección plural</w:t>
            </w:r>
            <w:r>
              <w:rPr>
                <w:rFonts w:ascii="Verdana" w:eastAsia="Batang" w:hAnsi="Verdana" w:cs="Arial"/>
              </w:rPr>
              <w:t xml:space="preserve">, </w:t>
            </w:r>
            <w:r w:rsidRPr="001A447D">
              <w:rPr>
                <w:rFonts w:ascii="Verdana" w:eastAsia="Batang" w:hAnsi="Verdana" w:cs="Arial"/>
              </w:rPr>
              <w:t>como la licitación pública, la selección abreviada, el concurso de méritos o la mínima cuantía</w:t>
            </w:r>
            <w:r>
              <w:rPr>
                <w:rFonts w:ascii="Verdana" w:eastAsia="Batang" w:hAnsi="Verdana" w:cs="Arial"/>
              </w:rPr>
              <w:t>,</w:t>
            </w:r>
            <w:r w:rsidRPr="001A447D">
              <w:rPr>
                <w:rFonts w:ascii="Verdana" w:eastAsia="Batang" w:hAnsi="Verdana" w:cs="Arial"/>
              </w:rPr>
              <w:t xml:space="preserve"> o de contratación directa. En consecuencia, la excepción al deber de acreditar inscripción, clasificación y calificación en el RUP aplica únicamente cuando estas empresas ejercen su función de contratantes bajo el marco del Estatuto General de Contratación, y no cuando concurren como oferentes en procesos de selección adelantados por otras entidades públicas.</w:t>
            </w:r>
          </w:p>
          <w:p w14:paraId="40E19CCF" w14:textId="77777777" w:rsidR="00B570E4" w:rsidRPr="004303B0" w:rsidRDefault="00B570E4" w:rsidP="00BB539A">
            <w:pPr>
              <w:spacing w:after="120" w:line="276" w:lineRule="auto"/>
              <w:ind w:firstLine="709"/>
              <w:jc w:val="both"/>
              <w:rPr>
                <w:rFonts w:ascii="Verdana" w:eastAsia="Batang" w:hAnsi="Verdana" w:cs="Arial"/>
              </w:rPr>
            </w:pPr>
            <w:r w:rsidRPr="004303B0">
              <w:rPr>
                <w:rFonts w:ascii="Verdana" w:eastAsia="Batang" w:hAnsi="Verdana" w:cs="Arial"/>
              </w:rPr>
              <w:t>Por lo tanto, el inciso 2 del artículo 6 de la Ley 1150 de 2007 resulta aplicable cuando las Empresas Industriales y Comerciales del Estado y las Sociedades de Economía Mixta están sometidas al EGCAP y actúan como entidades contratantes. En estos casos, deberán acudir a la causal de selección abreviada para celebrar contratos cuyo objeto directo corresponda a las actividades comerciales e industriales propias de su objeto social. Como consecuencia, en estos procesos no será exigible la inscripción, clasificación ni calificación en el RUP, en virtud de la excepción legal.</w:t>
            </w:r>
          </w:p>
          <w:p w14:paraId="2A4995FB" w14:textId="40C98505" w:rsidR="00B570E4" w:rsidRPr="008B47F5" w:rsidRDefault="00C66FCE" w:rsidP="00BB539A">
            <w:pPr>
              <w:spacing w:after="120" w:line="276" w:lineRule="auto"/>
              <w:ind w:firstLine="709"/>
              <w:jc w:val="both"/>
              <w:rPr>
                <w:rFonts w:ascii="Verdana" w:eastAsia="Batang" w:hAnsi="Verdana" w:cs="Arial"/>
              </w:rPr>
            </w:pPr>
            <w:r w:rsidRPr="00C66FCE">
              <w:rPr>
                <w:rFonts w:ascii="Verdana" w:eastAsia="Batang" w:hAnsi="Verdana" w:cs="Arial"/>
              </w:rPr>
              <w:lastRenderedPageBreak/>
              <w:t>La excepción tiene límites definidos. No aplica a los contratos que la Ley 80 de 1993 excluye expresamente de su régimen, como los señalados en el artículo 32. Tampoco procede cuando el contrato no esté relacionado directamente con la actividad comercial o industrial propia de la entidad. En estos casos, sigue vigente la regla general de exigir la inscripción en el RUP</w:t>
            </w:r>
            <w:r w:rsidR="00B570E4" w:rsidRPr="004303B0">
              <w:rPr>
                <w:rFonts w:ascii="Verdana" w:eastAsia="Batang" w:hAnsi="Verdana" w:cs="Arial"/>
              </w:rPr>
              <w:t>.</w:t>
            </w:r>
          </w:p>
        </w:tc>
      </w:tr>
    </w:tbl>
    <w:p w14:paraId="27D77DC4" w14:textId="77777777" w:rsidR="00B570E4" w:rsidRPr="00EA7EA8" w:rsidRDefault="00B570E4" w:rsidP="00B570E4">
      <w:pPr>
        <w:tabs>
          <w:tab w:val="left" w:pos="142"/>
          <w:tab w:val="left" w:pos="284"/>
        </w:tabs>
        <w:spacing w:after="0" w:line="276" w:lineRule="auto"/>
        <w:jc w:val="both"/>
        <w:rPr>
          <w:rFonts w:ascii="Verdana" w:eastAsia="Century Gothic" w:hAnsi="Verdana" w:cs="Century Gothic"/>
          <w:b/>
          <w:bCs/>
          <w:lang w:val="es-ES"/>
        </w:rPr>
      </w:pPr>
    </w:p>
    <w:p w14:paraId="11008067" w14:textId="77777777" w:rsidR="00B570E4" w:rsidRPr="00EA7EA8" w:rsidRDefault="00B570E4" w:rsidP="00B570E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Razones de la respuesta:</w:t>
      </w:r>
    </w:p>
    <w:p w14:paraId="5B4AABBC" w14:textId="77777777" w:rsidR="00B570E4" w:rsidRPr="00EA7EA8" w:rsidRDefault="00B570E4" w:rsidP="00B570E4">
      <w:pPr>
        <w:spacing w:after="0" w:line="276" w:lineRule="auto"/>
        <w:jc w:val="both"/>
        <w:rPr>
          <w:rFonts w:ascii="Verdana" w:eastAsia="Calibri" w:hAnsi="Verdana" w:cs="Arial"/>
          <w:lang w:val="es-ES"/>
        </w:rPr>
      </w:pPr>
    </w:p>
    <w:p w14:paraId="5AAB2D9A" w14:textId="77777777" w:rsidR="00B570E4" w:rsidRPr="00EA7EA8" w:rsidRDefault="00B570E4" w:rsidP="00B570E4">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740152C5" w14:textId="77777777" w:rsidR="00B570E4" w:rsidRPr="00EA7EA8" w:rsidRDefault="00B570E4" w:rsidP="00B570E4">
      <w:pPr>
        <w:spacing w:after="0" w:line="276" w:lineRule="auto"/>
        <w:jc w:val="both"/>
        <w:rPr>
          <w:rFonts w:ascii="Verdana" w:eastAsia="Calibri" w:hAnsi="Verdana" w:cs="Arial"/>
        </w:rPr>
      </w:pPr>
      <w:r w:rsidRPr="00EA7EA8">
        <w:rPr>
          <w:rFonts w:ascii="Verdana" w:eastAsia="Calibri" w:hAnsi="Verdana" w:cs="Arial"/>
        </w:rPr>
        <w:t xml:space="preserve"> </w:t>
      </w:r>
    </w:p>
    <w:p w14:paraId="71D149FF" w14:textId="77777777" w:rsidR="00B570E4" w:rsidRPr="00B238E1" w:rsidRDefault="00B570E4" w:rsidP="00B570E4">
      <w:pPr>
        <w:spacing w:before="120" w:after="120" w:line="276" w:lineRule="auto"/>
        <w:jc w:val="both"/>
        <w:rPr>
          <w:rFonts w:ascii="Verdana" w:eastAsia="Calibri" w:hAnsi="Verdana" w:cs="Arial"/>
          <w:lang w:val="es-ES_tradnl" w:eastAsia="es-ES"/>
        </w:rPr>
      </w:pPr>
      <w:r>
        <w:rPr>
          <w:rFonts w:ascii="Verdana" w:eastAsia="Calibri" w:hAnsi="Verdana" w:cs="Arial"/>
          <w:lang w:val="es-ES_tradnl" w:eastAsia="es-ES"/>
        </w:rPr>
        <w:t>Para efectos de dar respuesta al problema jurídico planteado, resulta necesario realizar algunas precisiones respecto al régimen de contratación aplicable a las Empresas Industriales y Comerciales del Estado y las Sociedades de Economía Mixta. D</w:t>
      </w:r>
      <w:r>
        <w:rPr>
          <w:rFonts w:ascii="Verdana" w:eastAsia="Calibri" w:hAnsi="Verdana" w:cs="Arial"/>
          <w:lang w:val="es-ES"/>
        </w:rPr>
        <w:t xml:space="preserve">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 </w:t>
      </w:r>
      <w:r>
        <w:rPr>
          <w:rFonts w:ascii="Verdana" w:eastAsia="Calibri" w:hAnsi="Verdana" w:cs="Arial"/>
          <w:color w:val="000000" w:themeColor="text1"/>
        </w:rPr>
        <w:t>Así, por ejemplo, son Empresas Industriales y Comerciales del Estado la Imprenta Nacional de Colombia, Coljuegos, Indumil, la Caja Promotora de Vivienda Militar y de Policía, Colpensiones, entre otras</w:t>
      </w:r>
      <w:r>
        <w:rPr>
          <w:rFonts w:ascii="Verdana" w:hAnsi="Verdana"/>
          <w:vertAlign w:val="superscript"/>
        </w:rPr>
        <w:footnoteReference w:id="2"/>
      </w:r>
      <w:r>
        <w:rPr>
          <w:rFonts w:ascii="Verdana" w:eastAsia="Calibri" w:hAnsi="Verdana" w:cs="Arial"/>
          <w:color w:val="000000" w:themeColor="text1"/>
        </w:rPr>
        <w:t>.</w:t>
      </w:r>
    </w:p>
    <w:p w14:paraId="0510B45A" w14:textId="77777777" w:rsidR="00B570E4" w:rsidRDefault="00B570E4" w:rsidP="00B570E4">
      <w:pPr>
        <w:spacing w:after="0" w:line="276" w:lineRule="auto"/>
        <w:ind w:firstLine="708"/>
        <w:jc w:val="both"/>
        <w:rPr>
          <w:rFonts w:ascii="Verdana" w:eastAsia="Calibri" w:hAnsi="Verdana" w:cs="Arial"/>
          <w:lang w:val="es-ES"/>
        </w:rPr>
      </w:pPr>
      <w:r>
        <w:rPr>
          <w:rFonts w:ascii="Verdana" w:eastAsia="Calibri" w:hAnsi="Verdana" w:cs="Arial"/>
          <w:lang w:val="es-ES"/>
        </w:rPr>
        <w:t xml:space="preserve">Las Empresas Industriales y Comerciales del Estado, bajo la denominación de Entidades Estatales, quedaron sometidas al Estatuto General de Contratación </w:t>
      </w:r>
      <w:r>
        <w:rPr>
          <w:rFonts w:ascii="Verdana" w:eastAsia="Calibri" w:hAnsi="Verdana" w:cs="Arial"/>
          <w:lang w:val="es-ES"/>
        </w:rPr>
        <w:lastRenderedPageBreak/>
        <w:t>de la Administración Pública –Ley 80 de 1993, artículo 2, numeral 1, literal a</w:t>
      </w:r>
      <w:r>
        <w:rPr>
          <w:rFonts w:ascii="Verdana" w:eastAsia="Calibri" w:hAnsi="Verdana" w:cs="Arial"/>
          <w:vertAlign w:val="superscript"/>
          <w:lang w:val="es-ES"/>
        </w:rPr>
        <w:footnoteReference w:id="3"/>
      </w:r>
      <w:r>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6CE385C8" w14:textId="77777777" w:rsidR="00B570E4" w:rsidRDefault="00B570E4" w:rsidP="00B570E4">
      <w:pPr>
        <w:spacing w:after="0" w:line="276" w:lineRule="auto"/>
        <w:ind w:firstLine="708"/>
        <w:jc w:val="both"/>
        <w:rPr>
          <w:rFonts w:ascii="Verdana" w:eastAsia="Calibri" w:hAnsi="Verdana" w:cs="Arial"/>
          <w:lang w:val="es-ES"/>
        </w:rPr>
      </w:pPr>
    </w:p>
    <w:p w14:paraId="6F90467C" w14:textId="77777777" w:rsidR="00B570E4" w:rsidRDefault="00B570E4" w:rsidP="00B570E4">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0CECF491" w14:textId="77777777" w:rsidR="00B570E4" w:rsidRDefault="00B570E4" w:rsidP="00B570E4">
      <w:pPr>
        <w:widowControl w:val="0"/>
        <w:autoSpaceDE w:val="0"/>
        <w:autoSpaceDN w:val="0"/>
        <w:spacing w:after="0" w:line="276" w:lineRule="auto"/>
        <w:rPr>
          <w:rFonts w:ascii="Verdana" w:eastAsia="Verdana" w:hAnsi="Verdana" w:cs="Verdana"/>
          <w:sz w:val="20"/>
        </w:rPr>
      </w:pPr>
    </w:p>
    <w:p w14:paraId="796F1957" w14:textId="77777777" w:rsidR="00B570E4" w:rsidRDefault="00B570E4" w:rsidP="00B570E4">
      <w:pPr>
        <w:widowControl w:val="0"/>
        <w:autoSpaceDE w:val="0"/>
        <w:autoSpaceDN w:val="0"/>
        <w:spacing w:after="0" w:line="276" w:lineRule="auto"/>
        <w:ind w:right="49" w:firstLine="708"/>
        <w:jc w:val="both"/>
        <w:rPr>
          <w:rFonts w:ascii="Verdana" w:eastAsia="Verdana" w:hAnsi="Verdana" w:cs="Verdana"/>
          <w:lang w:val="es-ES"/>
        </w:rPr>
      </w:pPr>
      <w:bookmarkStart w:id="1" w:name="_bookmark7"/>
      <w:bookmarkEnd w:id="1"/>
      <w:r>
        <w:rPr>
          <w:rFonts w:ascii="Verdana" w:eastAsia="Verdana" w:hAnsi="Verdana" w:cs="Verdana"/>
          <w:lang w:val="es-ES"/>
        </w:rPr>
        <w:t>No obstante las dificultades hermenéuticas que suscitaba la disposición anterior,</w:t>
      </w:r>
      <w:r>
        <w:rPr>
          <w:rFonts w:ascii="Verdana" w:eastAsia="Verdana" w:hAnsi="Verdana" w:cs="Verdana"/>
          <w:spacing w:val="-8"/>
          <w:lang w:val="es-ES"/>
        </w:rPr>
        <w:t xml:space="preserve"> </w:t>
      </w:r>
      <w:r>
        <w:rPr>
          <w:rFonts w:ascii="Verdana" w:eastAsia="Verdana" w:hAnsi="Verdana" w:cs="Verdana"/>
          <w:lang w:val="es-ES"/>
        </w:rPr>
        <w:t>el</w:t>
      </w:r>
      <w:r>
        <w:rPr>
          <w:rFonts w:ascii="Verdana" w:eastAsia="Verdana" w:hAnsi="Verdana" w:cs="Verdana"/>
          <w:spacing w:val="-8"/>
          <w:lang w:val="es-ES"/>
        </w:rPr>
        <w:t xml:space="preserve"> </w:t>
      </w:r>
      <w:r>
        <w:rPr>
          <w:rFonts w:ascii="Verdana" w:eastAsia="Verdana" w:hAnsi="Verdana" w:cs="Verdana"/>
          <w:lang w:val="es-ES"/>
        </w:rPr>
        <w:t>artículo</w:t>
      </w:r>
      <w:r>
        <w:rPr>
          <w:rFonts w:ascii="Verdana" w:eastAsia="Verdana" w:hAnsi="Verdana" w:cs="Verdana"/>
          <w:spacing w:val="-7"/>
          <w:lang w:val="es-ES"/>
        </w:rPr>
        <w:t xml:space="preserve"> </w:t>
      </w:r>
      <w:r>
        <w:rPr>
          <w:rFonts w:ascii="Verdana" w:eastAsia="Verdana" w:hAnsi="Verdana" w:cs="Verdana"/>
          <w:lang w:val="es-ES"/>
        </w:rPr>
        <w:t>14</w:t>
      </w:r>
      <w:r>
        <w:rPr>
          <w:rFonts w:ascii="Verdana" w:eastAsia="Verdana" w:hAnsi="Verdana" w:cs="Verdana"/>
          <w:spacing w:val="-8"/>
          <w:lang w:val="es-ES"/>
        </w:rPr>
        <w:t xml:space="preserve"> </w:t>
      </w:r>
      <w:r>
        <w:rPr>
          <w:rFonts w:ascii="Verdana" w:eastAsia="Verdana" w:hAnsi="Verdana" w:cs="Verdana"/>
          <w:lang w:val="es-ES"/>
        </w:rPr>
        <w:t>de</w:t>
      </w:r>
      <w:r>
        <w:rPr>
          <w:rFonts w:ascii="Verdana" w:eastAsia="Verdana" w:hAnsi="Verdana" w:cs="Verdana"/>
          <w:spacing w:val="-9"/>
          <w:lang w:val="es-ES"/>
        </w:rPr>
        <w:t xml:space="preserve"> </w:t>
      </w:r>
      <w:r>
        <w:rPr>
          <w:rFonts w:ascii="Verdana" w:eastAsia="Verdana" w:hAnsi="Verdana" w:cs="Verdana"/>
          <w:lang w:val="es-ES"/>
        </w:rPr>
        <w:t>la</w:t>
      </w:r>
      <w:r>
        <w:rPr>
          <w:rFonts w:ascii="Verdana" w:eastAsia="Verdana" w:hAnsi="Verdana" w:cs="Verdana"/>
          <w:spacing w:val="-10"/>
          <w:lang w:val="es-ES"/>
        </w:rPr>
        <w:t xml:space="preserve"> </w:t>
      </w:r>
      <w:r>
        <w:rPr>
          <w:rFonts w:ascii="Verdana" w:eastAsia="Verdana" w:hAnsi="Verdana" w:cs="Verdana"/>
          <w:lang w:val="es-ES"/>
        </w:rPr>
        <w:t>Ley</w:t>
      </w:r>
      <w:r>
        <w:rPr>
          <w:rFonts w:ascii="Verdana" w:eastAsia="Verdana" w:hAnsi="Verdana" w:cs="Verdana"/>
          <w:spacing w:val="-8"/>
          <w:lang w:val="es-ES"/>
        </w:rPr>
        <w:t xml:space="preserve"> </w:t>
      </w:r>
      <w:r>
        <w:rPr>
          <w:rFonts w:ascii="Verdana" w:eastAsia="Verdana" w:hAnsi="Verdana" w:cs="Verdana"/>
          <w:lang w:val="es-ES"/>
        </w:rPr>
        <w:t>1150</w:t>
      </w:r>
      <w:r>
        <w:rPr>
          <w:rFonts w:ascii="Verdana" w:eastAsia="Verdana" w:hAnsi="Verdana" w:cs="Verdana"/>
          <w:spacing w:val="-8"/>
          <w:lang w:val="es-ES"/>
        </w:rPr>
        <w:t xml:space="preserve"> </w:t>
      </w:r>
      <w:r>
        <w:rPr>
          <w:rFonts w:ascii="Verdana" w:eastAsia="Verdana" w:hAnsi="Verdana" w:cs="Verdana"/>
          <w:lang w:val="es-ES"/>
        </w:rPr>
        <w:t>de</w:t>
      </w:r>
      <w:r>
        <w:rPr>
          <w:rFonts w:ascii="Verdana" w:eastAsia="Verdana" w:hAnsi="Verdana" w:cs="Verdana"/>
          <w:spacing w:val="-9"/>
          <w:lang w:val="es-ES"/>
        </w:rPr>
        <w:t xml:space="preserve"> </w:t>
      </w:r>
      <w:r>
        <w:rPr>
          <w:rFonts w:ascii="Verdana" w:eastAsia="Verdana" w:hAnsi="Verdana" w:cs="Verdana"/>
          <w:lang w:val="es-ES"/>
        </w:rPr>
        <w:t>2007 –modificado</w:t>
      </w:r>
      <w:r>
        <w:rPr>
          <w:rFonts w:ascii="Verdana" w:eastAsia="Verdana" w:hAnsi="Verdana" w:cs="Verdana"/>
          <w:spacing w:val="-7"/>
          <w:lang w:val="es-ES"/>
        </w:rPr>
        <w:t xml:space="preserve"> </w:t>
      </w:r>
      <w:r>
        <w:rPr>
          <w:rFonts w:ascii="Verdana" w:eastAsia="Verdana" w:hAnsi="Verdana" w:cs="Verdana"/>
          <w:lang w:val="es-ES"/>
        </w:rPr>
        <w:t>por</w:t>
      </w:r>
      <w:r>
        <w:rPr>
          <w:rFonts w:ascii="Verdana" w:eastAsia="Verdana" w:hAnsi="Verdana" w:cs="Verdana"/>
          <w:spacing w:val="-7"/>
          <w:lang w:val="es-ES"/>
        </w:rPr>
        <w:t xml:space="preserve"> </w:t>
      </w:r>
      <w:r>
        <w:rPr>
          <w:rFonts w:ascii="Verdana" w:eastAsia="Verdana" w:hAnsi="Verdana" w:cs="Verdana"/>
          <w:lang w:val="es-ES"/>
        </w:rPr>
        <w:t>el</w:t>
      </w:r>
      <w:r>
        <w:rPr>
          <w:rFonts w:ascii="Verdana" w:eastAsia="Verdana" w:hAnsi="Verdana" w:cs="Verdana"/>
          <w:spacing w:val="-8"/>
          <w:lang w:val="es-ES"/>
        </w:rPr>
        <w:t xml:space="preserve"> </w:t>
      </w:r>
      <w:r>
        <w:rPr>
          <w:rFonts w:ascii="Verdana" w:eastAsia="Verdana" w:hAnsi="Verdana" w:cs="Verdana"/>
          <w:lang w:val="es-ES"/>
        </w:rPr>
        <w:t>artículo</w:t>
      </w:r>
      <w:r>
        <w:rPr>
          <w:rFonts w:ascii="Verdana" w:eastAsia="Verdana" w:hAnsi="Verdana" w:cs="Verdana"/>
          <w:spacing w:val="-7"/>
          <w:lang w:val="es-ES"/>
        </w:rPr>
        <w:t xml:space="preserve"> </w:t>
      </w:r>
      <w:r>
        <w:rPr>
          <w:rFonts w:ascii="Verdana" w:eastAsia="Verdana" w:hAnsi="Verdana" w:cs="Verdana"/>
          <w:lang w:val="es-ES"/>
        </w:rPr>
        <w:t>93</w:t>
      </w:r>
      <w:r>
        <w:rPr>
          <w:rFonts w:ascii="Verdana" w:eastAsia="Verdana" w:hAnsi="Verdana" w:cs="Verdana"/>
          <w:spacing w:val="-12"/>
          <w:lang w:val="es-ES"/>
        </w:rPr>
        <w:t xml:space="preserve"> </w:t>
      </w:r>
      <w:r>
        <w:rPr>
          <w:rFonts w:ascii="Verdana" w:eastAsia="Verdana" w:hAnsi="Verdana" w:cs="Verdana"/>
          <w:lang w:val="es-ES"/>
        </w:rPr>
        <w:t>de la Ley 1474 de 2011– dispuso un régimen exceptivo de aplicación del derecho privado para la actividad contractual de las Empresas Industriales y Comerciales del Estado que ejercen su actividad en competencia</w:t>
      </w:r>
      <w:r>
        <w:rPr>
          <w:rFonts w:ascii="Verdana" w:eastAsia="Verdana" w:hAnsi="Verdana" w:cs="Verdana"/>
          <w:spacing w:val="-20"/>
          <w:lang w:val="es-ES"/>
        </w:rPr>
        <w:t xml:space="preserve"> </w:t>
      </w:r>
      <w:r>
        <w:rPr>
          <w:rFonts w:ascii="Verdana" w:eastAsia="Verdana" w:hAnsi="Verdana" w:cs="Verdana"/>
          <w:lang w:val="es-ES"/>
        </w:rPr>
        <w:t>con</w:t>
      </w:r>
      <w:r>
        <w:rPr>
          <w:rFonts w:ascii="Verdana" w:eastAsia="Verdana" w:hAnsi="Verdana" w:cs="Verdana"/>
          <w:spacing w:val="-19"/>
          <w:lang w:val="es-ES"/>
        </w:rPr>
        <w:t xml:space="preserve"> </w:t>
      </w:r>
      <w:r>
        <w:rPr>
          <w:rFonts w:ascii="Verdana" w:eastAsia="Verdana" w:hAnsi="Verdana" w:cs="Verdana"/>
          <w:lang w:val="es-ES"/>
        </w:rPr>
        <w:t>el</w:t>
      </w:r>
      <w:r>
        <w:rPr>
          <w:rFonts w:ascii="Verdana" w:eastAsia="Verdana" w:hAnsi="Verdana" w:cs="Verdana"/>
          <w:spacing w:val="-19"/>
          <w:lang w:val="es-ES"/>
        </w:rPr>
        <w:t xml:space="preserve"> </w:t>
      </w:r>
      <w:r>
        <w:rPr>
          <w:rFonts w:ascii="Verdana" w:eastAsia="Verdana" w:hAnsi="Verdana" w:cs="Verdana"/>
          <w:lang w:val="es-ES"/>
        </w:rPr>
        <w:t>sector</w:t>
      </w:r>
      <w:r>
        <w:rPr>
          <w:rFonts w:ascii="Verdana" w:eastAsia="Verdana" w:hAnsi="Verdana" w:cs="Verdana"/>
          <w:spacing w:val="-20"/>
          <w:lang w:val="es-ES"/>
        </w:rPr>
        <w:t xml:space="preserve"> </w:t>
      </w:r>
      <w:r>
        <w:rPr>
          <w:rFonts w:ascii="Verdana" w:eastAsia="Verdana" w:hAnsi="Verdana" w:cs="Verdana"/>
          <w:lang w:val="es-ES"/>
        </w:rPr>
        <w:t>público</w:t>
      </w:r>
      <w:r>
        <w:rPr>
          <w:rFonts w:ascii="Verdana" w:eastAsia="Verdana" w:hAnsi="Verdana" w:cs="Verdana"/>
          <w:spacing w:val="-19"/>
          <w:lang w:val="es-ES"/>
        </w:rPr>
        <w:t xml:space="preserve"> </w:t>
      </w:r>
      <w:r>
        <w:rPr>
          <w:rFonts w:ascii="Verdana" w:eastAsia="Verdana" w:hAnsi="Verdana" w:cs="Verdana"/>
          <w:lang w:val="es-ES"/>
        </w:rPr>
        <w:t>o</w:t>
      </w:r>
      <w:r>
        <w:rPr>
          <w:rFonts w:ascii="Verdana" w:eastAsia="Verdana" w:hAnsi="Verdana" w:cs="Verdana"/>
          <w:spacing w:val="-20"/>
          <w:lang w:val="es-ES"/>
        </w:rPr>
        <w:t xml:space="preserve"> </w:t>
      </w:r>
      <w:r>
        <w:rPr>
          <w:rFonts w:ascii="Verdana" w:eastAsia="Verdana" w:hAnsi="Verdana" w:cs="Verdana"/>
          <w:lang w:val="es-ES"/>
        </w:rPr>
        <w:t>privado,</w:t>
      </w:r>
      <w:r>
        <w:rPr>
          <w:rFonts w:ascii="Verdana" w:eastAsia="Verdana" w:hAnsi="Verdana" w:cs="Verdana"/>
          <w:spacing w:val="-19"/>
          <w:lang w:val="es-ES"/>
        </w:rPr>
        <w:t xml:space="preserve"> </w:t>
      </w:r>
      <w:r>
        <w:rPr>
          <w:rFonts w:ascii="Verdana" w:eastAsia="Verdana" w:hAnsi="Verdana" w:cs="Verdana"/>
          <w:lang w:val="es-ES"/>
        </w:rPr>
        <w:t>o</w:t>
      </w:r>
      <w:r>
        <w:rPr>
          <w:rFonts w:ascii="Verdana" w:eastAsia="Verdana" w:hAnsi="Verdana" w:cs="Verdana"/>
          <w:spacing w:val="-19"/>
          <w:lang w:val="es-ES"/>
        </w:rPr>
        <w:t xml:space="preserve"> </w:t>
      </w:r>
      <w:r>
        <w:rPr>
          <w:rFonts w:ascii="Verdana" w:eastAsia="Verdana" w:hAnsi="Verdana" w:cs="Verdana"/>
          <w:lang w:val="es-ES"/>
        </w:rPr>
        <w:t>en</w:t>
      </w:r>
      <w:r>
        <w:rPr>
          <w:rFonts w:ascii="Verdana" w:eastAsia="Verdana" w:hAnsi="Verdana" w:cs="Verdana"/>
          <w:spacing w:val="-20"/>
          <w:lang w:val="es-ES"/>
        </w:rPr>
        <w:t xml:space="preserve"> </w:t>
      </w:r>
      <w:r>
        <w:rPr>
          <w:rFonts w:ascii="Verdana" w:eastAsia="Verdana" w:hAnsi="Verdana" w:cs="Verdana"/>
          <w:lang w:val="es-ES"/>
        </w:rPr>
        <w:t>mercados</w:t>
      </w:r>
      <w:r>
        <w:rPr>
          <w:rFonts w:ascii="Verdana" w:eastAsia="Verdana" w:hAnsi="Verdana" w:cs="Verdana"/>
          <w:spacing w:val="-19"/>
          <w:lang w:val="es-ES"/>
        </w:rPr>
        <w:t xml:space="preserve"> </w:t>
      </w:r>
      <w:r>
        <w:rPr>
          <w:rFonts w:ascii="Verdana" w:eastAsia="Verdana" w:hAnsi="Verdana" w:cs="Verdana"/>
          <w:lang w:val="es-ES"/>
        </w:rPr>
        <w:t>regulados,</w:t>
      </w:r>
      <w:r>
        <w:rPr>
          <w:rFonts w:ascii="Verdana" w:eastAsia="Verdana" w:hAnsi="Verdana" w:cs="Verdana"/>
          <w:spacing w:val="-19"/>
          <w:lang w:val="es-ES"/>
        </w:rPr>
        <w:t xml:space="preserve"> </w:t>
      </w:r>
      <w:r>
        <w:rPr>
          <w:rFonts w:ascii="Verdana" w:eastAsia="Verdana" w:hAnsi="Verdana" w:cs="Verdana"/>
          <w:lang w:val="es-ES"/>
        </w:rPr>
        <w:t>quedando las otras empresas de esta índole dentro del ámbito de aplicación del Estatuto General de Contratación de la Administración Pública</w:t>
      </w:r>
      <w:r>
        <w:rPr>
          <w:rFonts w:ascii="Verdana" w:eastAsia="Verdana" w:hAnsi="Verdana" w:cs="Verdana"/>
          <w:vertAlign w:val="superscript"/>
          <w:lang w:val="es-ES"/>
        </w:rPr>
        <w:footnoteReference w:id="4"/>
      </w:r>
      <w:r>
        <w:rPr>
          <w:rFonts w:ascii="Verdana" w:eastAsia="Verdana" w:hAnsi="Verdana" w:cs="Verdana"/>
          <w:lang w:val="es-ES"/>
        </w:rPr>
        <w:t>. Así, la norma</w:t>
      </w:r>
      <w:r>
        <w:rPr>
          <w:rFonts w:ascii="Verdana" w:eastAsia="Verdana" w:hAnsi="Verdana" w:cs="Verdana"/>
          <w:spacing w:val="-1"/>
          <w:lang w:val="es-ES"/>
        </w:rPr>
        <w:t xml:space="preserve"> </w:t>
      </w:r>
      <w:r>
        <w:rPr>
          <w:rFonts w:ascii="Verdana" w:eastAsia="Verdana" w:hAnsi="Verdana" w:cs="Verdana"/>
          <w:lang w:val="es-ES"/>
        </w:rPr>
        <w:t>vigente respecto a</w:t>
      </w:r>
      <w:r>
        <w:rPr>
          <w:rFonts w:ascii="Verdana" w:eastAsia="Verdana" w:hAnsi="Verdana" w:cs="Verdana"/>
          <w:spacing w:val="-1"/>
          <w:lang w:val="es-ES"/>
        </w:rPr>
        <w:t xml:space="preserve"> </w:t>
      </w:r>
      <w:r>
        <w:rPr>
          <w:rFonts w:ascii="Verdana" w:eastAsia="Verdana" w:hAnsi="Verdana" w:cs="Verdana"/>
          <w:lang w:val="es-ES"/>
        </w:rPr>
        <w:t>su régimen contractual establece:</w:t>
      </w:r>
    </w:p>
    <w:p w14:paraId="362C276D" w14:textId="77777777" w:rsidR="00B570E4" w:rsidRDefault="00B570E4" w:rsidP="00B570E4">
      <w:pPr>
        <w:widowControl w:val="0"/>
        <w:autoSpaceDE w:val="0"/>
        <w:autoSpaceDN w:val="0"/>
        <w:spacing w:after="0" w:line="276" w:lineRule="auto"/>
        <w:ind w:firstLine="709"/>
        <w:jc w:val="both"/>
        <w:rPr>
          <w:rFonts w:ascii="Verdana" w:eastAsia="Arial" w:hAnsi="Verdana" w:cs="Arial"/>
          <w:color w:val="EE0000"/>
          <w:lang w:val="es-ES"/>
        </w:rPr>
      </w:pPr>
    </w:p>
    <w:p w14:paraId="56F14E26" w14:textId="77777777" w:rsidR="00B570E4" w:rsidRDefault="00B570E4" w:rsidP="00B570E4">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“Artículo 14. Del régimen contractual de las Empresas Industriales y Comerciales del Estado, las Sociedades de Economía Mixta, sus filiales y </w:t>
      </w:r>
      <w:r>
        <w:rPr>
          <w:rFonts w:ascii="Verdana" w:eastAsia="Times New Roman" w:hAnsi="Verdana" w:cs="Arial"/>
          <w:sz w:val="20"/>
          <w:szCs w:val="20"/>
          <w:lang w:eastAsia="es-ES_tradnl"/>
        </w:rPr>
        <w:lastRenderedPageBreak/>
        <w:t>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Calibri" w:eastAsia="Times New Roman" w:hAnsi="Calibri" w:cs="Arial"/>
          <w:sz w:val="20"/>
          <w:szCs w:val="20"/>
          <w:vertAlign w:val="superscript"/>
          <w:lang w:eastAsia="es-ES_tradnl"/>
        </w:rPr>
        <w:footnoteReference w:id="5"/>
      </w:r>
      <w:r>
        <w:rPr>
          <w:rFonts w:ascii="Verdana" w:eastAsia="Times New Roman" w:hAnsi="Verdana" w:cs="Arial"/>
          <w:sz w:val="20"/>
          <w:szCs w:val="20"/>
          <w:lang w:eastAsia="es-ES_tradnl"/>
        </w:rPr>
        <w:t>.</w:t>
      </w:r>
    </w:p>
    <w:p w14:paraId="024FE193" w14:textId="77777777" w:rsidR="00B570E4" w:rsidRDefault="00B570E4" w:rsidP="00B570E4">
      <w:pPr>
        <w:spacing w:after="0"/>
        <w:ind w:left="709" w:right="709"/>
        <w:jc w:val="both"/>
        <w:rPr>
          <w:rFonts w:ascii="Verdana" w:eastAsia="Calibri" w:hAnsi="Verdana" w:cs="Times New Roman"/>
          <w:sz w:val="21"/>
          <w:szCs w:val="21"/>
        </w:rPr>
      </w:pPr>
    </w:p>
    <w:p w14:paraId="4D8D68BE" w14:textId="77777777" w:rsidR="00B570E4" w:rsidRDefault="00B570E4" w:rsidP="00B570E4">
      <w:pPr>
        <w:widowControl w:val="0"/>
        <w:autoSpaceDE w:val="0"/>
        <w:autoSpaceDN w:val="0"/>
        <w:spacing w:after="120" w:line="276" w:lineRule="auto"/>
        <w:ind w:right="51" w:firstLine="709"/>
        <w:jc w:val="both"/>
        <w:rPr>
          <w:rFonts w:ascii="Verdana" w:hAnsi="Verdana" w:cs="Arial"/>
        </w:rPr>
      </w:pPr>
      <w:r>
        <w:rPr>
          <w:rFonts w:ascii="Verdana" w:eastAsia="Verdana" w:hAnsi="Verdana" w:cs="Verdana"/>
          <w:lang w:val="es-ES"/>
        </w:rPr>
        <w:t>El sometimiento parcial de las Empresas Industriales y Comerciales del Estado</w:t>
      </w:r>
      <w:r>
        <w:rPr>
          <w:rFonts w:ascii="Verdana" w:eastAsia="Verdana" w:hAnsi="Verdana" w:cs="Verdana"/>
          <w:spacing w:val="-14"/>
          <w:lang w:val="es-ES"/>
        </w:rPr>
        <w:t xml:space="preserve"> </w:t>
      </w:r>
      <w:r>
        <w:rPr>
          <w:rFonts w:ascii="Verdana" w:eastAsia="Verdana" w:hAnsi="Verdana" w:cs="Verdana"/>
          <w:lang w:val="es-ES"/>
        </w:rPr>
        <w:t>al</w:t>
      </w:r>
      <w:r>
        <w:rPr>
          <w:rFonts w:ascii="Verdana" w:eastAsia="Verdana" w:hAnsi="Verdana" w:cs="Verdana"/>
          <w:spacing w:val="-14"/>
          <w:lang w:val="es-ES"/>
        </w:rPr>
        <w:t xml:space="preserve"> </w:t>
      </w:r>
      <w:r>
        <w:rPr>
          <w:rFonts w:ascii="Verdana" w:eastAsia="Verdana" w:hAnsi="Verdana" w:cs="Verdana"/>
          <w:lang w:val="es-ES"/>
        </w:rPr>
        <w:t>régimen</w:t>
      </w:r>
      <w:r>
        <w:rPr>
          <w:rFonts w:ascii="Verdana" w:eastAsia="Verdana" w:hAnsi="Verdana" w:cs="Verdana"/>
          <w:spacing w:val="-14"/>
          <w:lang w:val="es-ES"/>
        </w:rPr>
        <w:t xml:space="preserve"> </w:t>
      </w:r>
      <w:r>
        <w:rPr>
          <w:rFonts w:ascii="Verdana" w:eastAsia="Verdana" w:hAnsi="Verdana" w:cs="Verdana"/>
          <w:lang w:val="es-ES"/>
        </w:rPr>
        <w:t>de</w:t>
      </w:r>
      <w:r>
        <w:rPr>
          <w:rFonts w:ascii="Verdana" w:eastAsia="Verdana" w:hAnsi="Verdana" w:cs="Verdana"/>
          <w:spacing w:val="-15"/>
          <w:lang w:val="es-ES"/>
        </w:rPr>
        <w:t xml:space="preserve"> </w:t>
      </w:r>
      <w:r>
        <w:rPr>
          <w:rFonts w:ascii="Verdana" w:eastAsia="Verdana" w:hAnsi="Verdana" w:cs="Verdana"/>
          <w:lang w:val="es-ES"/>
        </w:rPr>
        <w:t>derecho</w:t>
      </w:r>
      <w:r>
        <w:rPr>
          <w:rFonts w:ascii="Verdana" w:eastAsia="Verdana" w:hAnsi="Verdana" w:cs="Verdana"/>
          <w:spacing w:val="-13"/>
          <w:lang w:val="es-ES"/>
        </w:rPr>
        <w:t xml:space="preserve"> </w:t>
      </w:r>
      <w:r>
        <w:rPr>
          <w:rFonts w:ascii="Verdana" w:eastAsia="Verdana" w:hAnsi="Verdana" w:cs="Verdana"/>
          <w:lang w:val="es-ES"/>
        </w:rPr>
        <w:t>privado,</w:t>
      </w:r>
      <w:r>
        <w:rPr>
          <w:rFonts w:ascii="Verdana" w:eastAsia="Verdana" w:hAnsi="Verdana" w:cs="Verdana"/>
          <w:spacing w:val="-14"/>
          <w:lang w:val="es-ES"/>
        </w:rPr>
        <w:t xml:space="preserve"> </w:t>
      </w:r>
      <w:r>
        <w:rPr>
          <w:rFonts w:ascii="Verdana" w:eastAsia="Verdana" w:hAnsi="Verdana" w:cs="Verdana"/>
          <w:lang w:val="es-ES"/>
        </w:rPr>
        <w:t>se</w:t>
      </w:r>
      <w:r>
        <w:rPr>
          <w:rFonts w:ascii="Verdana" w:eastAsia="Verdana" w:hAnsi="Verdana" w:cs="Verdana"/>
          <w:spacing w:val="-20"/>
          <w:lang w:val="es-ES"/>
        </w:rPr>
        <w:t xml:space="preserve"> </w:t>
      </w:r>
      <w:r>
        <w:rPr>
          <w:rFonts w:ascii="Verdana" w:eastAsia="Verdana" w:hAnsi="Verdana" w:cs="Verdana"/>
          <w:lang w:val="es-ES"/>
        </w:rPr>
        <w:t>ha</w:t>
      </w:r>
      <w:r>
        <w:rPr>
          <w:rFonts w:ascii="Verdana" w:eastAsia="Verdana" w:hAnsi="Verdana" w:cs="Verdana"/>
          <w:spacing w:val="-15"/>
          <w:lang w:val="es-ES"/>
        </w:rPr>
        <w:t xml:space="preserve"> </w:t>
      </w:r>
      <w:r>
        <w:rPr>
          <w:rFonts w:ascii="Verdana" w:eastAsia="Verdana" w:hAnsi="Verdana" w:cs="Verdana"/>
          <w:lang w:val="es-ES"/>
        </w:rPr>
        <w:t>justificado</w:t>
      </w:r>
      <w:r>
        <w:rPr>
          <w:rFonts w:ascii="Verdana" w:eastAsia="Verdana" w:hAnsi="Verdana" w:cs="Verdana"/>
          <w:spacing w:val="-13"/>
          <w:lang w:val="es-ES"/>
        </w:rPr>
        <w:t xml:space="preserve"> </w:t>
      </w:r>
      <w:r>
        <w:rPr>
          <w:rFonts w:ascii="Verdana" w:eastAsia="Verdana" w:hAnsi="Verdana" w:cs="Verdana"/>
          <w:lang w:val="es-ES"/>
        </w:rPr>
        <w:t>por “la</w:t>
      </w:r>
      <w:r>
        <w:rPr>
          <w:rFonts w:ascii="Verdana" w:eastAsia="Verdana" w:hAnsi="Verdana" w:cs="Verdana"/>
          <w:spacing w:val="-20"/>
          <w:lang w:val="es-ES"/>
        </w:rPr>
        <w:t xml:space="preserve"> </w:t>
      </w:r>
      <w:r>
        <w:rPr>
          <w:rFonts w:ascii="Verdana" w:eastAsia="Verdana" w:hAnsi="Verdana" w:cs="Verdana"/>
          <w:lang w:val="es-ES"/>
        </w:rPr>
        <w:t>necesidad</w:t>
      </w:r>
      <w:r>
        <w:rPr>
          <w:rFonts w:ascii="Verdana" w:eastAsia="Verdana" w:hAnsi="Verdana" w:cs="Verdana"/>
          <w:spacing w:val="-15"/>
          <w:lang w:val="es-ES"/>
        </w:rPr>
        <w:t xml:space="preserve"> </w:t>
      </w:r>
      <w:r>
        <w:rPr>
          <w:rFonts w:ascii="Verdana" w:eastAsia="Verdana" w:hAnsi="Verdana" w:cs="Verdana"/>
          <w:lang w:val="es-ES"/>
        </w:rPr>
        <w:t>de</w:t>
      </w:r>
      <w:r>
        <w:rPr>
          <w:rFonts w:ascii="Verdana" w:eastAsia="Verdana" w:hAnsi="Verdana" w:cs="Verdana"/>
          <w:spacing w:val="-15"/>
          <w:lang w:val="es-ES"/>
        </w:rPr>
        <w:t xml:space="preserve"> </w:t>
      </w:r>
      <w:r>
        <w:rPr>
          <w:rFonts w:ascii="Verdana" w:eastAsia="Verdana" w:hAnsi="Verdana" w:cs="Verdana"/>
          <w:lang w:val="es-ES"/>
        </w:rPr>
        <w:t>que en</w:t>
      </w:r>
      <w:r>
        <w:rPr>
          <w:rFonts w:ascii="Verdana" w:eastAsia="Verdana" w:hAnsi="Verdana" w:cs="Verdana"/>
          <w:spacing w:val="-7"/>
          <w:lang w:val="es-ES"/>
        </w:rPr>
        <w:t xml:space="preserve"> </w:t>
      </w:r>
      <w:r>
        <w:rPr>
          <w:rFonts w:ascii="Verdana" w:eastAsia="Verdana" w:hAnsi="Verdana" w:cs="Verdana"/>
          <w:lang w:val="es-ES"/>
        </w:rPr>
        <w:t>su</w:t>
      </w:r>
      <w:r>
        <w:rPr>
          <w:rFonts w:ascii="Verdana" w:eastAsia="Verdana" w:hAnsi="Verdana" w:cs="Verdana"/>
          <w:spacing w:val="-6"/>
          <w:lang w:val="es-ES"/>
        </w:rPr>
        <w:t xml:space="preserve"> </w:t>
      </w:r>
      <w:r>
        <w:rPr>
          <w:rFonts w:ascii="Verdana" w:eastAsia="Verdana" w:hAnsi="Verdana" w:cs="Verdana"/>
          <w:lang w:val="es-ES"/>
        </w:rPr>
        <w:t>actividad</w:t>
      </w:r>
      <w:r>
        <w:rPr>
          <w:rFonts w:ascii="Verdana" w:eastAsia="Verdana" w:hAnsi="Verdana" w:cs="Verdana"/>
          <w:spacing w:val="-9"/>
          <w:lang w:val="es-ES"/>
        </w:rPr>
        <w:t xml:space="preserve"> </w:t>
      </w:r>
      <w:r>
        <w:rPr>
          <w:rFonts w:ascii="Verdana" w:eastAsia="Verdana" w:hAnsi="Verdana" w:cs="Verdana"/>
          <w:lang w:val="es-ES"/>
        </w:rPr>
        <w:t>industrial</w:t>
      </w:r>
      <w:r>
        <w:rPr>
          <w:rFonts w:ascii="Verdana" w:eastAsia="Verdana" w:hAnsi="Verdana" w:cs="Verdana"/>
          <w:spacing w:val="-7"/>
          <w:lang w:val="es-ES"/>
        </w:rPr>
        <w:t xml:space="preserve"> </w:t>
      </w:r>
      <w:r>
        <w:rPr>
          <w:rFonts w:ascii="Verdana" w:eastAsia="Verdana" w:hAnsi="Verdana" w:cs="Verdana"/>
          <w:lang w:val="es-ES"/>
        </w:rPr>
        <w:t>y</w:t>
      </w:r>
      <w:r>
        <w:rPr>
          <w:rFonts w:ascii="Verdana" w:eastAsia="Verdana" w:hAnsi="Verdana" w:cs="Verdana"/>
          <w:spacing w:val="-7"/>
          <w:lang w:val="es-ES"/>
        </w:rPr>
        <w:t xml:space="preserve"> </w:t>
      </w:r>
      <w:r>
        <w:rPr>
          <w:rFonts w:ascii="Verdana" w:eastAsia="Verdana" w:hAnsi="Verdana" w:cs="Verdana"/>
          <w:lang w:val="es-ES"/>
        </w:rPr>
        <w:t>comercial,</w:t>
      </w:r>
      <w:r>
        <w:rPr>
          <w:rFonts w:ascii="Verdana" w:eastAsia="Verdana" w:hAnsi="Verdana" w:cs="Verdana"/>
          <w:spacing w:val="-7"/>
          <w:lang w:val="es-ES"/>
        </w:rPr>
        <w:t xml:space="preserve"> </w:t>
      </w:r>
      <w:r>
        <w:rPr>
          <w:rFonts w:ascii="Verdana" w:eastAsia="Verdana" w:hAnsi="Verdana" w:cs="Verdana"/>
          <w:lang w:val="es-ES"/>
        </w:rPr>
        <w:t>tradicionalmente</w:t>
      </w:r>
      <w:r>
        <w:rPr>
          <w:rFonts w:ascii="Verdana" w:eastAsia="Verdana" w:hAnsi="Verdana" w:cs="Verdana"/>
          <w:spacing w:val="-8"/>
          <w:lang w:val="es-ES"/>
        </w:rPr>
        <w:t xml:space="preserve"> </w:t>
      </w:r>
      <w:r>
        <w:rPr>
          <w:rFonts w:ascii="Verdana" w:eastAsia="Verdana" w:hAnsi="Verdana" w:cs="Verdana"/>
          <w:lang w:val="es-ES"/>
        </w:rPr>
        <w:t>ajena</w:t>
      </w:r>
      <w:r>
        <w:rPr>
          <w:rFonts w:ascii="Verdana" w:eastAsia="Verdana" w:hAnsi="Verdana" w:cs="Verdana"/>
          <w:spacing w:val="-9"/>
          <w:lang w:val="es-ES"/>
        </w:rPr>
        <w:t xml:space="preserve"> </w:t>
      </w:r>
      <w:r>
        <w:rPr>
          <w:rFonts w:ascii="Verdana" w:eastAsia="Verdana" w:hAnsi="Verdana" w:cs="Verdana"/>
          <w:lang w:val="es-ES"/>
        </w:rPr>
        <w:t>al</w:t>
      </w:r>
      <w:r>
        <w:rPr>
          <w:rFonts w:ascii="Verdana" w:eastAsia="Verdana" w:hAnsi="Verdana" w:cs="Verdana"/>
          <w:spacing w:val="-7"/>
          <w:lang w:val="es-ES"/>
        </w:rPr>
        <w:t xml:space="preserve"> </w:t>
      </w:r>
      <w:r>
        <w:rPr>
          <w:rFonts w:ascii="Verdana" w:eastAsia="Verdana" w:hAnsi="Verdana" w:cs="Verdana"/>
          <w:lang w:val="es-ES"/>
        </w:rPr>
        <w:t>Estado</w:t>
      </w:r>
      <w:r>
        <w:rPr>
          <w:rFonts w:ascii="Verdana" w:eastAsia="Verdana" w:hAnsi="Verdana" w:cs="Verdana"/>
          <w:spacing w:val="-6"/>
          <w:lang w:val="es-ES"/>
        </w:rPr>
        <w:t xml:space="preserve"> </w:t>
      </w:r>
      <w:r>
        <w:rPr>
          <w:rFonts w:ascii="Verdana" w:eastAsia="Verdana" w:hAnsi="Verdana" w:cs="Verdana"/>
          <w:lang w:val="es-ES"/>
        </w:rPr>
        <w:t>y</w:t>
      </w:r>
      <w:r>
        <w:rPr>
          <w:rFonts w:ascii="Verdana" w:eastAsia="Verdana" w:hAnsi="Verdana" w:cs="Verdana"/>
          <w:spacing w:val="-7"/>
          <w:lang w:val="es-ES"/>
        </w:rPr>
        <w:t xml:space="preserve"> </w:t>
      </w:r>
      <w:r>
        <w:rPr>
          <w:rFonts w:ascii="Verdana" w:eastAsia="Verdana" w:hAnsi="Verdana" w:cs="Verdana"/>
          <w:lang w:val="es-ES"/>
        </w:rPr>
        <w:t>propia de los particulares, ellas actúen en términos equivalentes a éstos cuando realicen actividades similares, sin tener prerrogativas exorbitantes que atenten contra</w:t>
      </w:r>
      <w:r>
        <w:rPr>
          <w:rFonts w:ascii="Verdana" w:eastAsia="Verdana" w:hAnsi="Verdana" w:cs="Verdana"/>
          <w:spacing w:val="-15"/>
          <w:lang w:val="es-ES"/>
        </w:rPr>
        <w:t xml:space="preserve"> </w:t>
      </w:r>
      <w:r>
        <w:rPr>
          <w:rFonts w:ascii="Verdana" w:eastAsia="Verdana" w:hAnsi="Verdana" w:cs="Verdana"/>
          <w:lang w:val="es-ES"/>
        </w:rPr>
        <w:t>el</w:t>
      </w:r>
      <w:r>
        <w:rPr>
          <w:rFonts w:ascii="Verdana" w:eastAsia="Verdana" w:hAnsi="Verdana" w:cs="Verdana"/>
          <w:spacing w:val="-13"/>
          <w:lang w:val="es-ES"/>
        </w:rPr>
        <w:t xml:space="preserve"> </w:t>
      </w:r>
      <w:r>
        <w:rPr>
          <w:rFonts w:ascii="Verdana" w:eastAsia="Verdana" w:hAnsi="Verdana" w:cs="Verdana"/>
          <w:lang w:val="es-ES"/>
        </w:rPr>
        <w:t>derecho</w:t>
      </w:r>
      <w:r>
        <w:rPr>
          <w:rFonts w:ascii="Verdana" w:eastAsia="Verdana" w:hAnsi="Verdana" w:cs="Verdana"/>
          <w:spacing w:val="-12"/>
          <w:lang w:val="es-ES"/>
        </w:rPr>
        <w:t xml:space="preserve"> </w:t>
      </w:r>
      <w:r>
        <w:rPr>
          <w:rFonts w:ascii="Verdana" w:eastAsia="Verdana" w:hAnsi="Verdana" w:cs="Verdana"/>
          <w:lang w:val="es-ES"/>
        </w:rPr>
        <w:t>a</w:t>
      </w:r>
      <w:r>
        <w:rPr>
          <w:rFonts w:ascii="Verdana" w:eastAsia="Verdana" w:hAnsi="Verdana" w:cs="Verdana"/>
          <w:spacing w:val="-15"/>
          <w:lang w:val="es-ES"/>
        </w:rPr>
        <w:t xml:space="preserve"> </w:t>
      </w:r>
      <w:r>
        <w:rPr>
          <w:rFonts w:ascii="Verdana" w:eastAsia="Verdana" w:hAnsi="Verdana" w:cs="Verdana"/>
          <w:lang w:val="es-ES"/>
        </w:rPr>
        <w:t>la</w:t>
      </w:r>
      <w:r>
        <w:rPr>
          <w:rFonts w:ascii="Verdana" w:eastAsia="Verdana" w:hAnsi="Verdana" w:cs="Verdana"/>
          <w:spacing w:val="-19"/>
          <w:lang w:val="es-ES"/>
        </w:rPr>
        <w:t xml:space="preserve"> </w:t>
      </w:r>
      <w:r>
        <w:rPr>
          <w:rFonts w:ascii="Verdana" w:eastAsia="Verdana" w:hAnsi="Verdana" w:cs="Verdana"/>
          <w:lang w:val="es-ES"/>
        </w:rPr>
        <w:t>igualdad</w:t>
      </w:r>
      <w:r>
        <w:rPr>
          <w:rFonts w:ascii="Verdana" w:eastAsia="Verdana" w:hAnsi="Verdana" w:cs="Verdana"/>
          <w:spacing w:val="-15"/>
          <w:lang w:val="es-ES"/>
        </w:rPr>
        <w:t xml:space="preserve"> </w:t>
      </w:r>
      <w:r>
        <w:rPr>
          <w:rFonts w:ascii="Verdana" w:eastAsia="Verdana" w:hAnsi="Verdana" w:cs="Verdana"/>
          <w:lang w:val="es-ES"/>
        </w:rPr>
        <w:t>ni</w:t>
      </w:r>
      <w:r>
        <w:rPr>
          <w:rFonts w:ascii="Verdana" w:eastAsia="Verdana" w:hAnsi="Verdana" w:cs="Verdana"/>
          <w:spacing w:val="-13"/>
          <w:lang w:val="es-ES"/>
        </w:rPr>
        <w:t xml:space="preserve"> </w:t>
      </w:r>
      <w:r>
        <w:rPr>
          <w:rFonts w:ascii="Verdana" w:eastAsia="Verdana" w:hAnsi="Verdana" w:cs="Verdana"/>
          <w:lang w:val="es-ES"/>
        </w:rPr>
        <w:t>estar</w:t>
      </w:r>
      <w:r>
        <w:rPr>
          <w:rFonts w:ascii="Verdana" w:eastAsia="Verdana" w:hAnsi="Verdana" w:cs="Verdana"/>
          <w:spacing w:val="-12"/>
          <w:lang w:val="es-ES"/>
        </w:rPr>
        <w:t xml:space="preserve"> </w:t>
      </w:r>
      <w:r>
        <w:rPr>
          <w:rFonts w:ascii="Verdana" w:eastAsia="Verdana" w:hAnsi="Verdana" w:cs="Verdana"/>
          <w:lang w:val="es-ES"/>
        </w:rPr>
        <w:t>sujetas</w:t>
      </w:r>
      <w:r>
        <w:rPr>
          <w:rFonts w:ascii="Verdana" w:eastAsia="Verdana" w:hAnsi="Verdana" w:cs="Verdana"/>
          <w:spacing w:val="-13"/>
          <w:lang w:val="es-ES"/>
        </w:rPr>
        <w:t xml:space="preserve"> </w:t>
      </w:r>
      <w:r>
        <w:rPr>
          <w:rFonts w:ascii="Verdana" w:eastAsia="Verdana" w:hAnsi="Verdana" w:cs="Verdana"/>
          <w:lang w:val="es-ES"/>
        </w:rPr>
        <w:t>a</w:t>
      </w:r>
      <w:r>
        <w:rPr>
          <w:rFonts w:ascii="Verdana" w:eastAsia="Verdana" w:hAnsi="Verdana" w:cs="Verdana"/>
          <w:spacing w:val="-15"/>
          <w:lang w:val="es-ES"/>
        </w:rPr>
        <w:t xml:space="preserve"> </w:t>
      </w:r>
      <w:r>
        <w:rPr>
          <w:rFonts w:ascii="Verdana" w:eastAsia="Verdana" w:hAnsi="Verdana" w:cs="Verdana"/>
          <w:lang w:val="es-ES"/>
        </w:rPr>
        <w:t>procedimientos</w:t>
      </w:r>
      <w:r>
        <w:rPr>
          <w:rFonts w:ascii="Verdana" w:eastAsia="Verdana" w:hAnsi="Verdana" w:cs="Verdana"/>
          <w:spacing w:val="-13"/>
          <w:lang w:val="es-ES"/>
        </w:rPr>
        <w:t xml:space="preserve"> </w:t>
      </w:r>
      <w:r>
        <w:rPr>
          <w:rFonts w:ascii="Verdana" w:eastAsia="Verdana" w:hAnsi="Verdana" w:cs="Verdana"/>
          <w:lang w:val="es-ES"/>
        </w:rPr>
        <w:t>administrativos que entraben sus actuaciones y las pongan en situación de desventaja</w:t>
      </w:r>
      <w:r>
        <w:rPr>
          <w:rFonts w:ascii="Verdana" w:eastAsia="Verdana" w:hAnsi="Verdana" w:cs="Verdana"/>
          <w:spacing w:val="-1"/>
          <w:lang w:val="es-ES"/>
        </w:rPr>
        <w:t xml:space="preserve"> </w:t>
      </w:r>
      <w:r>
        <w:rPr>
          <w:rFonts w:ascii="Verdana" w:eastAsia="Verdana" w:hAnsi="Verdana" w:cs="Verdana"/>
          <w:lang w:val="es-ES"/>
        </w:rPr>
        <w:t>frente a sus</w:t>
      </w:r>
      <w:r>
        <w:rPr>
          <w:rFonts w:ascii="Verdana" w:eastAsia="Verdana" w:hAnsi="Verdana" w:cs="Verdana"/>
          <w:spacing w:val="-1"/>
          <w:lang w:val="es-ES"/>
        </w:rPr>
        <w:t xml:space="preserve"> </w:t>
      </w:r>
      <w:r>
        <w:rPr>
          <w:rFonts w:ascii="Verdana" w:eastAsia="Verdana" w:hAnsi="Verdana" w:cs="Verdana"/>
          <w:lang w:val="es-ES"/>
        </w:rPr>
        <w:t>competidores</w:t>
      </w:r>
      <w:r>
        <w:rPr>
          <w:rFonts w:ascii="Verdana" w:eastAsia="Verdana" w:hAnsi="Verdana" w:cs="Verdana"/>
          <w:spacing w:val="-1"/>
          <w:lang w:val="es-ES"/>
        </w:rPr>
        <w:t xml:space="preserve"> </w:t>
      </w:r>
      <w:r>
        <w:rPr>
          <w:rFonts w:ascii="Verdana" w:eastAsia="Verdana" w:hAnsi="Verdana" w:cs="Verdana"/>
          <w:lang w:val="es-ES"/>
        </w:rPr>
        <w:t>(…).</w:t>
      </w:r>
      <w:r>
        <w:rPr>
          <w:rFonts w:ascii="Verdana" w:eastAsia="Verdana" w:hAnsi="Verdana" w:cs="Verdana"/>
          <w:spacing w:val="-6"/>
          <w:lang w:val="es-ES"/>
        </w:rPr>
        <w:t xml:space="preserve"> </w:t>
      </w:r>
      <w:r>
        <w:rPr>
          <w:rFonts w:ascii="Verdana" w:eastAsia="Verdana" w:hAnsi="Verdana" w:cs="Verdana"/>
          <w:lang w:val="es-ES"/>
        </w:rPr>
        <w:t>Por</w:t>
      </w:r>
      <w:r>
        <w:rPr>
          <w:rFonts w:ascii="Verdana" w:eastAsia="Verdana" w:hAnsi="Verdana" w:cs="Verdana"/>
          <w:spacing w:val="-5"/>
          <w:lang w:val="es-ES"/>
        </w:rPr>
        <w:t xml:space="preserve"> </w:t>
      </w:r>
      <w:r>
        <w:rPr>
          <w:rFonts w:ascii="Verdana" w:eastAsia="Verdana" w:hAnsi="Verdana" w:cs="Verdana"/>
          <w:lang w:val="es-ES"/>
        </w:rPr>
        <w:t>ello,</w:t>
      </w:r>
      <w:r>
        <w:rPr>
          <w:rFonts w:ascii="Verdana" w:eastAsia="Verdana" w:hAnsi="Verdana" w:cs="Verdana"/>
          <w:spacing w:val="-2"/>
          <w:lang w:val="es-ES"/>
        </w:rPr>
        <w:t xml:space="preserve"> </w:t>
      </w:r>
      <w:r>
        <w:rPr>
          <w:rFonts w:ascii="Verdana" w:eastAsia="Verdana" w:hAnsi="Verdana" w:cs="Verdana"/>
          <w:lang w:val="es-ES"/>
        </w:rPr>
        <w:t>la</w:t>
      </w:r>
      <w:r>
        <w:rPr>
          <w:rFonts w:ascii="Verdana" w:eastAsia="Verdana" w:hAnsi="Verdana" w:cs="Verdana"/>
          <w:spacing w:val="-3"/>
          <w:lang w:val="es-ES"/>
        </w:rPr>
        <w:t xml:space="preserve"> </w:t>
      </w:r>
      <w:r>
        <w:rPr>
          <w:rFonts w:ascii="Verdana" w:eastAsia="Verdana" w:hAnsi="Verdana" w:cs="Verdana"/>
          <w:lang w:val="es-ES"/>
        </w:rPr>
        <w:t>regla</w:t>
      </w:r>
      <w:r>
        <w:rPr>
          <w:rFonts w:ascii="Verdana" w:eastAsia="Verdana" w:hAnsi="Verdana" w:cs="Verdana"/>
          <w:spacing w:val="-3"/>
          <w:lang w:val="es-ES"/>
        </w:rPr>
        <w:t xml:space="preserve"> </w:t>
      </w:r>
      <w:r>
        <w:rPr>
          <w:rFonts w:ascii="Verdana" w:eastAsia="Verdana" w:hAnsi="Verdana" w:cs="Verdana"/>
          <w:lang w:val="es-ES"/>
        </w:rPr>
        <w:t>general</w:t>
      </w:r>
      <w:r>
        <w:rPr>
          <w:rFonts w:ascii="Verdana" w:eastAsia="Verdana" w:hAnsi="Verdana" w:cs="Verdana"/>
          <w:spacing w:val="-1"/>
          <w:lang w:val="es-ES"/>
        </w:rPr>
        <w:t xml:space="preserve"> </w:t>
      </w:r>
      <w:r>
        <w:rPr>
          <w:rFonts w:ascii="Verdana" w:eastAsia="Verdana" w:hAnsi="Verdana" w:cs="Verdana"/>
          <w:lang w:val="es-ES"/>
        </w:rPr>
        <w:t>es</w:t>
      </w:r>
      <w:r>
        <w:rPr>
          <w:rFonts w:ascii="Verdana" w:eastAsia="Verdana" w:hAnsi="Verdana" w:cs="Verdana"/>
          <w:spacing w:val="-1"/>
          <w:lang w:val="es-ES"/>
        </w:rPr>
        <w:t xml:space="preserve"> </w:t>
      </w:r>
      <w:r>
        <w:rPr>
          <w:rFonts w:ascii="Verdana" w:eastAsia="Verdana" w:hAnsi="Verdana" w:cs="Verdana"/>
          <w:lang w:val="es-ES"/>
        </w:rPr>
        <w:t>que</w:t>
      </w:r>
      <w:r>
        <w:rPr>
          <w:rFonts w:ascii="Verdana" w:eastAsia="Verdana" w:hAnsi="Verdana" w:cs="Verdana"/>
          <w:spacing w:val="-2"/>
          <w:lang w:val="es-ES"/>
        </w:rPr>
        <w:t xml:space="preserve"> </w:t>
      </w:r>
      <w:r>
        <w:rPr>
          <w:rFonts w:ascii="Verdana" w:eastAsia="Verdana" w:hAnsi="Verdana" w:cs="Verdana"/>
          <w:lang w:val="es-ES"/>
        </w:rPr>
        <w:t>en</w:t>
      </w:r>
      <w:r>
        <w:rPr>
          <w:rFonts w:ascii="Verdana" w:eastAsia="Verdana" w:hAnsi="Verdana" w:cs="Verdana"/>
          <w:spacing w:val="-1"/>
          <w:lang w:val="es-ES"/>
        </w:rPr>
        <w:t xml:space="preserve"> </w:t>
      </w:r>
      <w:r>
        <w:rPr>
          <w:rFonts w:ascii="Verdana" w:eastAsia="Verdana" w:hAnsi="Verdana" w:cs="Verdana"/>
          <w:lang w:val="es-ES"/>
        </w:rPr>
        <w:t>sus</w:t>
      </w:r>
      <w:r>
        <w:rPr>
          <w:rFonts w:ascii="Verdana" w:eastAsia="Verdana" w:hAnsi="Verdana" w:cs="Verdana"/>
          <w:spacing w:val="-6"/>
          <w:lang w:val="es-ES"/>
        </w:rPr>
        <w:t xml:space="preserve"> </w:t>
      </w:r>
      <w:r>
        <w:rPr>
          <w:rFonts w:ascii="Verdana" w:eastAsia="Verdana" w:hAnsi="Verdana" w:cs="Verdana"/>
          <w:lang w:val="es-ES"/>
        </w:rPr>
        <w:t>actos</w:t>
      </w:r>
      <w:r>
        <w:rPr>
          <w:rFonts w:ascii="Verdana" w:eastAsia="Verdana" w:hAnsi="Verdana" w:cs="Verdana"/>
          <w:spacing w:val="-1"/>
          <w:lang w:val="es-ES"/>
        </w:rPr>
        <w:t xml:space="preserve"> </w:t>
      </w:r>
      <w:r>
        <w:rPr>
          <w:rFonts w:ascii="Verdana" w:eastAsia="Verdana" w:hAnsi="Verdana" w:cs="Verdana"/>
          <w:lang w:val="es-ES"/>
        </w:rPr>
        <w:t>y</w:t>
      </w:r>
      <w:r>
        <w:rPr>
          <w:rFonts w:ascii="Verdana" w:eastAsia="Verdana" w:hAnsi="Verdana" w:cs="Verdana"/>
          <w:spacing w:val="-2"/>
          <w:lang w:val="es-ES"/>
        </w:rPr>
        <w:t xml:space="preserve"> </w:t>
      </w:r>
      <w:r>
        <w:rPr>
          <w:rFonts w:ascii="Verdana" w:eastAsia="Verdana" w:hAnsi="Verdana" w:cs="Verdana"/>
          <w:lang w:val="es-ES"/>
        </w:rPr>
        <w:t>contratos rijan las normas de derecho privado, salvo en cuanto a sus relaciones con la Administración y en aquellos casos en los que por expresa disposición legal ejerzan</w:t>
      </w:r>
      <w:r>
        <w:rPr>
          <w:rFonts w:ascii="Verdana" w:eastAsia="Verdana" w:hAnsi="Verdana" w:cs="Verdana"/>
          <w:spacing w:val="-4"/>
          <w:lang w:val="es-ES"/>
        </w:rPr>
        <w:t xml:space="preserve"> </w:t>
      </w:r>
      <w:r>
        <w:rPr>
          <w:rFonts w:ascii="Verdana" w:eastAsia="Verdana" w:hAnsi="Verdana" w:cs="Verdana"/>
          <w:lang w:val="es-ES"/>
        </w:rPr>
        <w:t>alguna</w:t>
      </w:r>
      <w:r>
        <w:rPr>
          <w:rFonts w:ascii="Verdana" w:eastAsia="Verdana" w:hAnsi="Verdana" w:cs="Verdana"/>
          <w:spacing w:val="-7"/>
          <w:lang w:val="es-ES"/>
        </w:rPr>
        <w:t xml:space="preserve"> </w:t>
      </w:r>
      <w:r>
        <w:rPr>
          <w:rFonts w:ascii="Verdana" w:eastAsia="Verdana" w:hAnsi="Verdana" w:cs="Verdana"/>
          <w:lang w:val="es-ES"/>
        </w:rPr>
        <w:t>función</w:t>
      </w:r>
      <w:r>
        <w:rPr>
          <w:rFonts w:ascii="Verdana" w:eastAsia="Verdana" w:hAnsi="Verdana" w:cs="Verdana"/>
          <w:spacing w:val="-9"/>
          <w:lang w:val="es-ES"/>
        </w:rPr>
        <w:t xml:space="preserve"> </w:t>
      </w:r>
      <w:r>
        <w:rPr>
          <w:rFonts w:ascii="Verdana" w:eastAsia="Verdana" w:hAnsi="Verdana" w:cs="Verdana"/>
          <w:lang w:val="es-ES"/>
        </w:rPr>
        <w:t>administrativa,</w:t>
      </w:r>
      <w:r>
        <w:rPr>
          <w:rFonts w:ascii="Verdana" w:eastAsia="Verdana" w:hAnsi="Verdana" w:cs="Verdana"/>
          <w:spacing w:val="-5"/>
          <w:lang w:val="es-ES"/>
        </w:rPr>
        <w:t xml:space="preserve"> </w:t>
      </w:r>
      <w:r>
        <w:rPr>
          <w:rFonts w:ascii="Verdana" w:eastAsia="Verdana" w:hAnsi="Verdana" w:cs="Verdana"/>
          <w:lang w:val="es-ES"/>
        </w:rPr>
        <w:t>puesto que</w:t>
      </w:r>
      <w:r>
        <w:rPr>
          <w:rFonts w:ascii="Verdana" w:eastAsia="Verdana" w:hAnsi="Verdana" w:cs="Verdana"/>
          <w:spacing w:val="-5"/>
          <w:lang w:val="es-ES"/>
        </w:rPr>
        <w:t xml:space="preserve"> </w:t>
      </w:r>
      <w:r>
        <w:rPr>
          <w:rFonts w:ascii="Verdana" w:eastAsia="Verdana" w:hAnsi="Verdana" w:cs="Verdana"/>
          <w:lang w:val="es-ES"/>
        </w:rPr>
        <w:t>allí</w:t>
      </w:r>
      <w:r>
        <w:rPr>
          <w:rFonts w:ascii="Verdana" w:eastAsia="Verdana" w:hAnsi="Verdana" w:cs="Verdana"/>
          <w:spacing w:val="-4"/>
          <w:lang w:val="es-ES"/>
        </w:rPr>
        <w:t xml:space="preserve"> </w:t>
      </w:r>
      <w:r>
        <w:rPr>
          <w:rFonts w:ascii="Verdana" w:eastAsia="Verdana" w:hAnsi="Verdana" w:cs="Verdana"/>
          <w:lang w:val="es-ES"/>
        </w:rPr>
        <w:t>sí</w:t>
      </w:r>
      <w:r>
        <w:rPr>
          <w:rFonts w:ascii="Verdana" w:eastAsia="Verdana" w:hAnsi="Verdana" w:cs="Verdana"/>
          <w:spacing w:val="-9"/>
          <w:lang w:val="es-ES"/>
        </w:rPr>
        <w:t xml:space="preserve"> </w:t>
      </w:r>
      <w:r>
        <w:rPr>
          <w:rFonts w:ascii="Verdana" w:eastAsia="Verdana" w:hAnsi="Verdana" w:cs="Verdana"/>
          <w:lang w:val="es-ES"/>
        </w:rPr>
        <w:t>deberá</w:t>
      </w:r>
      <w:r>
        <w:rPr>
          <w:rFonts w:ascii="Verdana" w:eastAsia="Verdana" w:hAnsi="Verdana" w:cs="Verdana"/>
          <w:spacing w:val="-7"/>
          <w:lang w:val="es-ES"/>
        </w:rPr>
        <w:t xml:space="preserve"> </w:t>
      </w:r>
      <w:r>
        <w:rPr>
          <w:rFonts w:ascii="Verdana" w:eastAsia="Verdana" w:hAnsi="Verdana" w:cs="Verdana"/>
          <w:lang w:val="es-ES"/>
        </w:rPr>
        <w:t>dar</w:t>
      </w:r>
      <w:r>
        <w:rPr>
          <w:rFonts w:ascii="Verdana" w:eastAsia="Verdana" w:hAnsi="Verdana" w:cs="Verdana"/>
          <w:spacing w:val="-3"/>
          <w:lang w:val="es-ES"/>
        </w:rPr>
        <w:t xml:space="preserve"> </w:t>
      </w:r>
      <w:r>
        <w:rPr>
          <w:rFonts w:ascii="Verdana" w:eastAsia="Verdana" w:hAnsi="Verdana" w:cs="Verdana"/>
          <w:lang w:val="es-ES"/>
        </w:rPr>
        <w:t>aplicación</w:t>
      </w:r>
      <w:r>
        <w:rPr>
          <w:rFonts w:ascii="Verdana" w:eastAsia="Verdana" w:hAnsi="Verdana" w:cs="Verdana"/>
          <w:spacing w:val="-4"/>
          <w:lang w:val="es-ES"/>
        </w:rPr>
        <w:t xml:space="preserve"> </w:t>
      </w:r>
      <w:r>
        <w:rPr>
          <w:rFonts w:ascii="Verdana" w:eastAsia="Verdana" w:hAnsi="Verdana" w:cs="Verdana"/>
          <w:lang w:val="es-ES"/>
        </w:rPr>
        <w:t>a las reglas de derecho público pertinentes (…)”</w:t>
      </w:r>
      <w:r>
        <w:rPr>
          <w:rFonts w:ascii="Verdana" w:eastAsia="Verdana" w:hAnsi="Verdana" w:cs="Verdana"/>
          <w:vertAlign w:val="superscript"/>
          <w:lang w:val="es-ES"/>
        </w:rPr>
        <w:footnoteReference w:id="6"/>
      </w:r>
      <w:r>
        <w:rPr>
          <w:rFonts w:ascii="Verdana" w:eastAsia="Verdana" w:hAnsi="Verdana" w:cs="Verdana"/>
          <w:lang w:val="es-ES"/>
        </w:rPr>
        <w:t xml:space="preserve">. </w:t>
      </w:r>
    </w:p>
    <w:p w14:paraId="44F81E89" w14:textId="77777777" w:rsidR="00B570E4" w:rsidRDefault="00B570E4" w:rsidP="00B570E4">
      <w:pPr>
        <w:widowControl w:val="0"/>
        <w:autoSpaceDE w:val="0"/>
        <w:autoSpaceDN w:val="0"/>
        <w:spacing w:after="0" w:line="276" w:lineRule="auto"/>
        <w:ind w:right="51" w:firstLine="709"/>
        <w:jc w:val="both"/>
        <w:rPr>
          <w:rFonts w:ascii="Verdana" w:hAnsi="Verdana" w:cs="Arial"/>
        </w:rPr>
      </w:pPr>
      <w:r>
        <w:rPr>
          <w:rFonts w:ascii="Verdana" w:hAnsi="Verdana" w:cs="Arial"/>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7DB8529F" w14:textId="77777777" w:rsidR="00B570E4" w:rsidRDefault="00B570E4" w:rsidP="00B570E4">
      <w:pPr>
        <w:spacing w:after="0" w:line="276" w:lineRule="auto"/>
        <w:ind w:firstLine="709"/>
        <w:jc w:val="both"/>
        <w:rPr>
          <w:rFonts w:ascii="Verdana" w:eastAsia="Calibri" w:hAnsi="Verdana" w:cs="Arial"/>
          <w:color w:val="000000" w:themeColor="text1"/>
        </w:rPr>
      </w:pPr>
    </w:p>
    <w:p w14:paraId="23468A56" w14:textId="77777777" w:rsidR="00B570E4" w:rsidRDefault="00B570E4" w:rsidP="00B570E4">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w:t>
      </w:r>
      <w:r>
        <w:rPr>
          <w:rFonts w:ascii="Verdana" w:eastAsia="Calibri" w:hAnsi="Verdana" w:cs="Arial"/>
          <w:color w:val="000000" w:themeColor="text1"/>
          <w:sz w:val="20"/>
          <w:szCs w:val="20"/>
        </w:rPr>
        <w:lastRenderedPageBreak/>
        <w:t>similares, sin tener prerrogativas exorbitantes que atenten contra el derecho a la igualdad ni estar sujetas a procedimientos administrativos que entraben sus actuaciones y las pongan en situación de desventaja frente a sus competidores.</w:t>
      </w:r>
    </w:p>
    <w:p w14:paraId="6435C05C" w14:textId="77777777" w:rsidR="00B570E4" w:rsidRDefault="00B570E4" w:rsidP="00B570E4">
      <w:pPr>
        <w:spacing w:after="0" w:line="240" w:lineRule="auto"/>
        <w:ind w:left="709" w:right="709"/>
        <w:jc w:val="both"/>
        <w:rPr>
          <w:rFonts w:ascii="Verdana" w:eastAsia="Calibri" w:hAnsi="Verdana" w:cs="Arial"/>
          <w:color w:val="000000" w:themeColor="text1"/>
          <w:sz w:val="20"/>
          <w:szCs w:val="20"/>
        </w:rPr>
      </w:pPr>
    </w:p>
    <w:p w14:paraId="7D216F52" w14:textId="77777777" w:rsidR="00B570E4" w:rsidRDefault="00B570E4" w:rsidP="00B570E4">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Pr>
          <w:rFonts w:ascii="Verdana" w:eastAsia="Calibri" w:hAnsi="Verdana" w:cs="Arial"/>
          <w:color w:val="000000" w:themeColor="text1"/>
          <w:sz w:val="20"/>
          <w:szCs w:val="20"/>
        </w:rPr>
        <w:t>mismas oportunidades y las mismas ventajas</w:t>
      </w:r>
      <w:proofErr w:type="gramEnd"/>
      <w:r>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14:paraId="06B89E32" w14:textId="77777777" w:rsidR="00B570E4" w:rsidRDefault="00B570E4" w:rsidP="00B570E4">
      <w:pPr>
        <w:widowControl w:val="0"/>
        <w:autoSpaceDE w:val="0"/>
        <w:autoSpaceDN w:val="0"/>
        <w:spacing w:after="0" w:line="276" w:lineRule="auto"/>
        <w:ind w:right="51" w:firstLine="709"/>
        <w:jc w:val="both"/>
        <w:rPr>
          <w:rFonts w:ascii="Verdana" w:eastAsia="Verdana" w:hAnsi="Verdana" w:cs="Verdana"/>
        </w:rPr>
      </w:pPr>
    </w:p>
    <w:p w14:paraId="73998BF3" w14:textId="77777777" w:rsidR="00B570E4" w:rsidRDefault="00B570E4" w:rsidP="00B570E4">
      <w:pPr>
        <w:widowControl w:val="0"/>
        <w:autoSpaceDE w:val="0"/>
        <w:autoSpaceDN w:val="0"/>
        <w:spacing w:after="120" w:line="276" w:lineRule="auto"/>
        <w:ind w:right="51" w:firstLine="709"/>
        <w:jc w:val="both"/>
        <w:rPr>
          <w:rFonts w:ascii="Verdana" w:eastAsia="Verdana" w:hAnsi="Verdana" w:cs="Verdana"/>
          <w:lang w:val="es-ES"/>
        </w:rPr>
      </w:pPr>
      <w:r>
        <w:rPr>
          <w:rFonts w:ascii="Verdana" w:eastAsia="Verdana" w:hAnsi="Verdana" w:cs="Verdana"/>
          <w:lang w:val="es-ES"/>
        </w:rPr>
        <w:t>Ahora bien, es importante destacar, entonces, que el artículo 14 de la Ley 1150 de 2007,</w:t>
      </w:r>
      <w:r>
        <w:rPr>
          <w:rFonts w:ascii="Verdana" w:eastAsia="Verdana" w:hAnsi="Verdana" w:cs="Verdana"/>
          <w:spacing w:val="-11"/>
          <w:lang w:val="es-ES"/>
        </w:rPr>
        <w:t xml:space="preserve"> </w:t>
      </w:r>
      <w:r>
        <w:rPr>
          <w:rFonts w:ascii="Verdana" w:eastAsia="Verdana" w:hAnsi="Verdana" w:cs="Verdana"/>
          <w:lang w:val="es-ES"/>
        </w:rPr>
        <w:t>modificado</w:t>
      </w:r>
      <w:r>
        <w:rPr>
          <w:rFonts w:ascii="Verdana" w:eastAsia="Verdana" w:hAnsi="Verdana" w:cs="Verdana"/>
          <w:spacing w:val="-10"/>
          <w:lang w:val="es-ES"/>
        </w:rPr>
        <w:t xml:space="preserve"> </w:t>
      </w:r>
      <w:r>
        <w:rPr>
          <w:rFonts w:ascii="Verdana" w:eastAsia="Verdana" w:hAnsi="Verdana" w:cs="Verdana"/>
          <w:lang w:val="es-ES"/>
        </w:rPr>
        <w:t>por</w:t>
      </w:r>
      <w:r>
        <w:rPr>
          <w:rFonts w:ascii="Verdana" w:eastAsia="Verdana" w:hAnsi="Verdana" w:cs="Verdana"/>
          <w:spacing w:val="-10"/>
          <w:lang w:val="es-ES"/>
        </w:rPr>
        <w:t xml:space="preserve"> </w:t>
      </w:r>
      <w:r>
        <w:rPr>
          <w:rFonts w:ascii="Verdana" w:eastAsia="Verdana" w:hAnsi="Verdana" w:cs="Verdana"/>
          <w:lang w:val="es-ES"/>
        </w:rPr>
        <w:t>el</w:t>
      </w:r>
      <w:r>
        <w:rPr>
          <w:rFonts w:ascii="Verdana" w:eastAsia="Verdana" w:hAnsi="Verdana" w:cs="Verdana"/>
          <w:spacing w:val="-11"/>
          <w:lang w:val="es-ES"/>
        </w:rPr>
        <w:t xml:space="preserve"> </w:t>
      </w:r>
      <w:r>
        <w:rPr>
          <w:rFonts w:ascii="Verdana" w:eastAsia="Verdana" w:hAnsi="Verdana" w:cs="Verdana"/>
          <w:lang w:val="es-ES"/>
        </w:rPr>
        <w:t>artículo</w:t>
      </w:r>
      <w:r>
        <w:rPr>
          <w:rFonts w:ascii="Verdana" w:eastAsia="Verdana" w:hAnsi="Verdana" w:cs="Verdana"/>
          <w:spacing w:val="-10"/>
          <w:lang w:val="es-ES"/>
        </w:rPr>
        <w:t xml:space="preserve"> </w:t>
      </w:r>
      <w:r>
        <w:rPr>
          <w:rFonts w:ascii="Verdana" w:eastAsia="Verdana" w:hAnsi="Verdana" w:cs="Verdana"/>
          <w:lang w:val="es-ES"/>
        </w:rPr>
        <w:t>93</w:t>
      </w:r>
      <w:r>
        <w:rPr>
          <w:rFonts w:ascii="Verdana" w:eastAsia="Verdana" w:hAnsi="Verdana" w:cs="Verdana"/>
          <w:spacing w:val="-11"/>
          <w:lang w:val="es-ES"/>
        </w:rPr>
        <w:t xml:space="preserve"> </w:t>
      </w:r>
      <w:r>
        <w:rPr>
          <w:rFonts w:ascii="Verdana" w:eastAsia="Verdana" w:hAnsi="Verdana" w:cs="Verdana"/>
          <w:lang w:val="es-ES"/>
        </w:rPr>
        <w:t>de</w:t>
      </w:r>
      <w:r>
        <w:rPr>
          <w:rFonts w:ascii="Verdana" w:eastAsia="Verdana" w:hAnsi="Verdana" w:cs="Verdana"/>
          <w:spacing w:val="-12"/>
          <w:lang w:val="es-ES"/>
        </w:rPr>
        <w:t xml:space="preserve"> </w:t>
      </w:r>
      <w:r>
        <w:rPr>
          <w:rFonts w:ascii="Verdana" w:eastAsia="Verdana" w:hAnsi="Verdana" w:cs="Verdana"/>
          <w:lang w:val="es-ES"/>
        </w:rPr>
        <w:t>la</w:t>
      </w:r>
      <w:r>
        <w:rPr>
          <w:rFonts w:ascii="Verdana" w:eastAsia="Verdana" w:hAnsi="Verdana" w:cs="Verdana"/>
          <w:spacing w:val="-13"/>
          <w:lang w:val="es-ES"/>
        </w:rPr>
        <w:t xml:space="preserve"> </w:t>
      </w:r>
      <w:r>
        <w:rPr>
          <w:rFonts w:ascii="Verdana" w:eastAsia="Verdana" w:hAnsi="Verdana" w:cs="Verdana"/>
          <w:lang w:val="es-ES"/>
        </w:rPr>
        <w:t>Ley</w:t>
      </w:r>
      <w:r>
        <w:rPr>
          <w:rFonts w:ascii="Verdana" w:eastAsia="Verdana" w:hAnsi="Verdana" w:cs="Verdana"/>
          <w:spacing w:val="-11"/>
          <w:lang w:val="es-ES"/>
        </w:rPr>
        <w:t xml:space="preserve"> </w:t>
      </w:r>
      <w:r>
        <w:rPr>
          <w:rFonts w:ascii="Verdana" w:eastAsia="Verdana" w:hAnsi="Verdana" w:cs="Verdana"/>
          <w:lang w:val="es-ES"/>
        </w:rPr>
        <w:t>1474</w:t>
      </w:r>
      <w:r>
        <w:rPr>
          <w:rFonts w:ascii="Verdana" w:eastAsia="Verdana" w:hAnsi="Verdana" w:cs="Verdana"/>
          <w:spacing w:val="-11"/>
          <w:lang w:val="es-ES"/>
        </w:rPr>
        <w:t xml:space="preserve"> </w:t>
      </w:r>
      <w:r>
        <w:rPr>
          <w:rFonts w:ascii="Verdana" w:eastAsia="Verdana" w:hAnsi="Verdana" w:cs="Verdana"/>
          <w:lang w:val="es-ES"/>
        </w:rPr>
        <w:t>de</w:t>
      </w:r>
      <w:r>
        <w:rPr>
          <w:rFonts w:ascii="Verdana" w:eastAsia="Verdana" w:hAnsi="Verdana" w:cs="Verdana"/>
          <w:spacing w:val="-12"/>
          <w:lang w:val="es-ES"/>
        </w:rPr>
        <w:t xml:space="preserve"> </w:t>
      </w:r>
      <w:r>
        <w:rPr>
          <w:rFonts w:ascii="Verdana" w:eastAsia="Verdana" w:hAnsi="Verdana" w:cs="Verdana"/>
          <w:lang w:val="es-ES"/>
        </w:rPr>
        <w:t>2011,</w:t>
      </w:r>
      <w:r>
        <w:rPr>
          <w:rFonts w:ascii="Verdana" w:eastAsia="Verdana" w:hAnsi="Verdana" w:cs="Verdana"/>
          <w:spacing w:val="-11"/>
          <w:lang w:val="es-ES"/>
        </w:rPr>
        <w:t xml:space="preserve"> </w:t>
      </w:r>
      <w:r>
        <w:rPr>
          <w:rFonts w:ascii="Verdana" w:eastAsia="Verdana" w:hAnsi="Verdana" w:cs="Verdana"/>
          <w:lang w:val="es-ES"/>
        </w:rPr>
        <w:t>esclareció</w:t>
      </w:r>
      <w:r>
        <w:rPr>
          <w:rFonts w:ascii="Verdana" w:eastAsia="Verdana" w:hAnsi="Verdana" w:cs="Verdana"/>
          <w:spacing w:val="-10"/>
          <w:lang w:val="es-ES"/>
        </w:rPr>
        <w:t xml:space="preserve"> </w:t>
      </w:r>
      <w:r>
        <w:rPr>
          <w:rFonts w:ascii="Verdana" w:eastAsia="Verdana" w:hAnsi="Verdana" w:cs="Verdana"/>
          <w:lang w:val="es-ES"/>
        </w:rPr>
        <w:t>las</w:t>
      </w:r>
      <w:r>
        <w:rPr>
          <w:rFonts w:ascii="Verdana" w:eastAsia="Verdana" w:hAnsi="Verdana" w:cs="Verdana"/>
          <w:spacing w:val="-11"/>
          <w:lang w:val="es-ES"/>
        </w:rPr>
        <w:t xml:space="preserve"> </w:t>
      </w:r>
      <w:r>
        <w:rPr>
          <w:rFonts w:ascii="Verdana" w:eastAsia="Verdana" w:hAnsi="Verdana" w:cs="Verdana"/>
          <w:lang w:val="es-ES"/>
        </w:rPr>
        <w:t>dudas que producía el confuso artículo 93 de la Ley 489 de 1998 a propósito del régimen contractual de estas 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Pr>
          <w:rFonts w:ascii="Verdana" w:eastAsia="Verdana" w:hAnsi="Verdana" w:cs="Verdana"/>
          <w:spacing w:val="-8"/>
          <w:lang w:val="es-ES"/>
        </w:rPr>
        <w:t xml:space="preserve"> </w:t>
      </w:r>
      <w:r>
        <w:rPr>
          <w:rFonts w:ascii="Verdana" w:eastAsia="Verdana" w:hAnsi="Verdana" w:cs="Verdana"/>
          <w:lang w:val="es-ES"/>
        </w:rPr>
        <w:t>General</w:t>
      </w:r>
      <w:r>
        <w:rPr>
          <w:rFonts w:ascii="Verdana" w:eastAsia="Verdana" w:hAnsi="Verdana" w:cs="Verdana"/>
          <w:spacing w:val="-9"/>
          <w:lang w:val="es-ES"/>
        </w:rPr>
        <w:t xml:space="preserve"> </w:t>
      </w:r>
      <w:r>
        <w:rPr>
          <w:rFonts w:ascii="Verdana" w:eastAsia="Verdana" w:hAnsi="Verdana" w:cs="Verdana"/>
          <w:lang w:val="es-ES"/>
        </w:rPr>
        <w:t>de</w:t>
      </w:r>
      <w:r>
        <w:rPr>
          <w:rFonts w:ascii="Verdana" w:eastAsia="Verdana" w:hAnsi="Verdana" w:cs="Verdana"/>
          <w:spacing w:val="-10"/>
          <w:lang w:val="es-ES"/>
        </w:rPr>
        <w:t xml:space="preserve"> </w:t>
      </w:r>
      <w:r>
        <w:rPr>
          <w:rFonts w:ascii="Verdana" w:eastAsia="Verdana" w:hAnsi="Verdana" w:cs="Verdana"/>
          <w:lang w:val="es-ES"/>
        </w:rPr>
        <w:t>Contratación</w:t>
      </w:r>
      <w:r>
        <w:rPr>
          <w:rFonts w:ascii="Verdana" w:eastAsia="Verdana" w:hAnsi="Verdana" w:cs="Verdana"/>
          <w:spacing w:val="-9"/>
          <w:lang w:val="es-ES"/>
        </w:rPr>
        <w:t xml:space="preserve"> </w:t>
      </w:r>
      <w:r>
        <w:rPr>
          <w:rFonts w:ascii="Verdana" w:eastAsia="Verdana" w:hAnsi="Verdana" w:cs="Verdana"/>
          <w:lang w:val="es-ES"/>
        </w:rPr>
        <w:t>de</w:t>
      </w:r>
      <w:r>
        <w:rPr>
          <w:rFonts w:ascii="Verdana" w:eastAsia="Verdana" w:hAnsi="Verdana" w:cs="Verdana"/>
          <w:spacing w:val="-10"/>
          <w:lang w:val="es-ES"/>
        </w:rPr>
        <w:t xml:space="preserve"> </w:t>
      </w:r>
      <w:r>
        <w:rPr>
          <w:rFonts w:ascii="Verdana" w:eastAsia="Verdana" w:hAnsi="Verdana" w:cs="Verdana"/>
          <w:lang w:val="es-ES"/>
        </w:rPr>
        <w:t>la</w:t>
      </w:r>
      <w:r>
        <w:rPr>
          <w:rFonts w:ascii="Verdana" w:eastAsia="Verdana" w:hAnsi="Verdana" w:cs="Verdana"/>
          <w:spacing w:val="-11"/>
          <w:lang w:val="es-ES"/>
        </w:rPr>
        <w:t xml:space="preserve"> </w:t>
      </w:r>
      <w:r>
        <w:rPr>
          <w:rFonts w:ascii="Verdana" w:eastAsia="Verdana" w:hAnsi="Verdana" w:cs="Verdana"/>
          <w:lang w:val="es-ES"/>
        </w:rPr>
        <w:t>Administración</w:t>
      </w:r>
      <w:r>
        <w:rPr>
          <w:rFonts w:ascii="Verdana" w:eastAsia="Verdana" w:hAnsi="Verdana" w:cs="Verdana"/>
          <w:spacing w:val="-9"/>
          <w:lang w:val="es-ES"/>
        </w:rPr>
        <w:t xml:space="preserve"> </w:t>
      </w:r>
      <w:r>
        <w:rPr>
          <w:rFonts w:ascii="Verdana" w:eastAsia="Verdana" w:hAnsi="Verdana" w:cs="Verdana"/>
          <w:lang w:val="es-ES"/>
        </w:rPr>
        <w:t>Pública,</w:t>
      </w:r>
      <w:r>
        <w:rPr>
          <w:rFonts w:ascii="Verdana" w:eastAsia="Verdana" w:hAnsi="Verdana" w:cs="Verdana"/>
          <w:spacing w:val="-9"/>
          <w:lang w:val="es-ES"/>
        </w:rPr>
        <w:t xml:space="preserve"> </w:t>
      </w:r>
      <w:r>
        <w:rPr>
          <w:rFonts w:ascii="Verdana" w:eastAsia="Verdana" w:hAnsi="Verdana" w:cs="Verdana"/>
          <w:lang w:val="es-ES"/>
        </w:rPr>
        <w:t>excepto</w:t>
      </w:r>
      <w:r>
        <w:rPr>
          <w:rFonts w:ascii="Verdana" w:eastAsia="Verdana" w:hAnsi="Verdana" w:cs="Verdana"/>
          <w:spacing w:val="-8"/>
          <w:lang w:val="es-ES"/>
        </w:rPr>
        <w:t xml:space="preserve"> </w:t>
      </w:r>
      <w:r>
        <w:rPr>
          <w:rFonts w:ascii="Verdana" w:eastAsia="Verdana" w:hAnsi="Verdana" w:cs="Verdana"/>
          <w:lang w:val="es-ES"/>
        </w:rPr>
        <w:t xml:space="preserve">aquellas Empresas Industriales y Comerciales del Estado que: i) desarrollen actividades comerciales en competencia con el sector privado y/o público, nacional o internacional o </w:t>
      </w:r>
      <w:proofErr w:type="spellStart"/>
      <w:r>
        <w:rPr>
          <w:rFonts w:ascii="Verdana" w:eastAsia="Verdana" w:hAnsi="Verdana" w:cs="Verdana"/>
          <w:lang w:val="es-ES"/>
        </w:rPr>
        <w:t>ii</w:t>
      </w:r>
      <w:proofErr w:type="spellEnd"/>
      <w:r>
        <w:rPr>
          <w:rFonts w:ascii="Verdana" w:eastAsia="Verdana" w:hAnsi="Verdana" w:cs="Verdana"/>
          <w:lang w:val="es-ES"/>
        </w:rPr>
        <w:t>) desarrollen actividades en mercados regulados, eventos en los cuales</w:t>
      </w:r>
      <w:r>
        <w:rPr>
          <w:rFonts w:ascii="Verdana" w:eastAsia="Verdana" w:hAnsi="Verdana" w:cs="Verdana"/>
          <w:spacing w:val="-19"/>
          <w:lang w:val="es-ES"/>
        </w:rPr>
        <w:t xml:space="preserve"> </w:t>
      </w:r>
      <w:r>
        <w:rPr>
          <w:rFonts w:ascii="Verdana" w:eastAsia="Verdana" w:hAnsi="Verdana" w:cs="Verdana"/>
          <w:lang w:val="es-ES"/>
        </w:rPr>
        <w:t>ellas</w:t>
      </w:r>
      <w:r>
        <w:rPr>
          <w:rFonts w:ascii="Verdana" w:eastAsia="Verdana" w:hAnsi="Verdana" w:cs="Verdana"/>
          <w:spacing w:val="-19"/>
          <w:lang w:val="es-ES"/>
        </w:rPr>
        <w:t xml:space="preserve"> </w:t>
      </w:r>
      <w:r>
        <w:rPr>
          <w:rFonts w:ascii="Verdana" w:eastAsia="Verdana" w:hAnsi="Verdana" w:cs="Verdana"/>
          <w:lang w:val="es-ES"/>
        </w:rPr>
        <w:t>se</w:t>
      </w:r>
      <w:r>
        <w:rPr>
          <w:rFonts w:ascii="Verdana" w:eastAsia="Verdana" w:hAnsi="Verdana" w:cs="Verdana"/>
          <w:spacing w:val="-20"/>
          <w:lang w:val="es-ES"/>
        </w:rPr>
        <w:t xml:space="preserve"> </w:t>
      </w:r>
      <w:r>
        <w:rPr>
          <w:rFonts w:ascii="Verdana" w:eastAsia="Verdana" w:hAnsi="Verdana" w:cs="Verdana"/>
          <w:lang w:val="es-ES"/>
        </w:rPr>
        <w:t>rigen</w:t>
      </w:r>
      <w:r>
        <w:rPr>
          <w:rFonts w:ascii="Verdana" w:eastAsia="Verdana" w:hAnsi="Verdana" w:cs="Verdana"/>
          <w:spacing w:val="-14"/>
          <w:lang w:val="es-ES"/>
        </w:rPr>
        <w:t xml:space="preserve"> </w:t>
      </w:r>
      <w:r>
        <w:rPr>
          <w:rFonts w:ascii="Verdana" w:eastAsia="Verdana" w:hAnsi="Verdana" w:cs="Verdana"/>
          <w:lang w:val="es-ES"/>
        </w:rPr>
        <w:t>por</w:t>
      </w:r>
      <w:r>
        <w:rPr>
          <w:rFonts w:ascii="Verdana" w:eastAsia="Verdana" w:hAnsi="Verdana" w:cs="Verdana"/>
          <w:spacing w:val="-18"/>
          <w:lang w:val="es-ES"/>
        </w:rPr>
        <w:t xml:space="preserve"> </w:t>
      </w:r>
      <w:r>
        <w:rPr>
          <w:rFonts w:ascii="Verdana" w:eastAsia="Verdana" w:hAnsi="Verdana" w:cs="Verdana"/>
          <w:lang w:val="es-ES"/>
        </w:rPr>
        <w:t>las</w:t>
      </w:r>
      <w:r>
        <w:rPr>
          <w:rFonts w:ascii="Verdana" w:eastAsia="Verdana" w:hAnsi="Verdana" w:cs="Verdana"/>
          <w:spacing w:val="-19"/>
          <w:lang w:val="es-ES"/>
        </w:rPr>
        <w:t xml:space="preserve"> </w:t>
      </w:r>
      <w:r>
        <w:rPr>
          <w:rFonts w:ascii="Verdana" w:eastAsia="Verdana" w:hAnsi="Verdana" w:cs="Verdana"/>
          <w:lang w:val="es-ES"/>
        </w:rPr>
        <w:t>disposiciones</w:t>
      </w:r>
      <w:r>
        <w:rPr>
          <w:rFonts w:ascii="Verdana" w:eastAsia="Verdana" w:hAnsi="Verdana" w:cs="Verdana"/>
          <w:spacing w:val="-19"/>
          <w:lang w:val="es-ES"/>
        </w:rPr>
        <w:t xml:space="preserve"> </w:t>
      </w:r>
      <w:r>
        <w:rPr>
          <w:rFonts w:ascii="Verdana" w:eastAsia="Verdana" w:hAnsi="Verdana" w:cs="Verdana"/>
          <w:lang w:val="es-ES"/>
        </w:rPr>
        <w:t>que</w:t>
      </w:r>
      <w:r>
        <w:rPr>
          <w:rFonts w:ascii="Verdana" w:eastAsia="Verdana" w:hAnsi="Verdana" w:cs="Verdana"/>
          <w:spacing w:val="-15"/>
          <w:lang w:val="es-ES"/>
        </w:rPr>
        <w:t xml:space="preserve"> </w:t>
      </w:r>
      <w:r>
        <w:rPr>
          <w:rFonts w:ascii="Verdana" w:eastAsia="Verdana" w:hAnsi="Verdana" w:cs="Verdana"/>
          <w:lang w:val="es-ES"/>
        </w:rPr>
        <w:t>regulen</w:t>
      </w:r>
      <w:r>
        <w:rPr>
          <w:rFonts w:ascii="Verdana" w:eastAsia="Verdana" w:hAnsi="Verdana" w:cs="Verdana"/>
          <w:spacing w:val="-19"/>
          <w:lang w:val="es-ES"/>
        </w:rPr>
        <w:t xml:space="preserve"> </w:t>
      </w:r>
      <w:r>
        <w:rPr>
          <w:rFonts w:ascii="Verdana" w:eastAsia="Verdana" w:hAnsi="Verdana" w:cs="Verdana"/>
          <w:lang w:val="es-ES"/>
        </w:rPr>
        <w:t>su</w:t>
      </w:r>
      <w:r>
        <w:rPr>
          <w:rFonts w:ascii="Verdana" w:eastAsia="Verdana" w:hAnsi="Verdana" w:cs="Verdana"/>
          <w:spacing w:val="-18"/>
          <w:lang w:val="es-ES"/>
        </w:rPr>
        <w:t xml:space="preserve"> </w:t>
      </w:r>
      <w:r>
        <w:rPr>
          <w:rFonts w:ascii="Verdana" w:eastAsia="Verdana" w:hAnsi="Verdana" w:cs="Verdana"/>
          <w:lang w:val="es-ES"/>
        </w:rPr>
        <w:t>actividad.</w:t>
      </w:r>
    </w:p>
    <w:p w14:paraId="649AD46C" w14:textId="77777777" w:rsidR="00B570E4" w:rsidRPr="00912014" w:rsidRDefault="00B570E4" w:rsidP="00B570E4">
      <w:pPr>
        <w:spacing w:after="120" w:line="276" w:lineRule="auto"/>
        <w:ind w:firstLine="709"/>
        <w:jc w:val="both"/>
        <w:rPr>
          <w:rFonts w:ascii="Verdana" w:eastAsia="Calibri" w:hAnsi="Verdana" w:cs="Arial"/>
          <w:color w:val="000000"/>
          <w:lang w:val="es-ES_tradnl" w:eastAsia="es-ES_tradnl"/>
        </w:rPr>
      </w:pPr>
      <w:r>
        <w:rPr>
          <w:rFonts w:ascii="Verdana" w:eastAsia="Calibri" w:hAnsi="Verdana" w:cs="Arial"/>
          <w:color w:val="000000"/>
          <w:lang w:val="es-ES_tradnl" w:eastAsia="es-ES_tradnl"/>
        </w:rPr>
        <w:t>Respecto de las Sociedades de Economía Mixta, l</w:t>
      </w:r>
      <w:r w:rsidRPr="007D55EC">
        <w:rPr>
          <w:rFonts w:ascii="Verdana" w:eastAsia="Calibri" w:hAnsi="Verdana" w:cs="Arial"/>
          <w:color w:val="000000"/>
          <w:lang w:val="es-ES_tradnl" w:eastAsia="es-ES_tradnl"/>
        </w:rPr>
        <w:t>o anterior se complementa con el parágrafo único del artículo 97 de la Ley 489 de 1998</w:t>
      </w:r>
      <w:r w:rsidRPr="007D55EC">
        <w:rPr>
          <w:rFonts w:ascii="Verdana" w:eastAsia="Calibri" w:hAnsi="Verdana" w:cs="Arial"/>
          <w:color w:val="000000"/>
          <w:vertAlign w:val="superscript"/>
          <w:lang w:val="es-ES_tradnl" w:eastAsia="es-ES_tradnl"/>
        </w:rPr>
        <w:footnoteReference w:id="7"/>
      </w:r>
      <w:r w:rsidRPr="007D55EC">
        <w:rPr>
          <w:rFonts w:ascii="Verdana" w:eastAsia="Calibri" w:hAnsi="Verdana" w:cs="Arial"/>
          <w:color w:val="000000"/>
          <w:lang w:val="es-ES_tradnl" w:eastAsia="es-ES_tradnl"/>
        </w:rPr>
        <w:t xml:space="preserve">, en la medida que dicho parágrafo remite al régimen de las actividades y los servidores públicos de las empresas industriales y comerciales en aquellos eventos en los que </w:t>
      </w:r>
      <w:r w:rsidRPr="007D55EC">
        <w:rPr>
          <w:rFonts w:ascii="Verdana" w:hAnsi="Verdana" w:cs="Arial"/>
          <w:lang w:eastAsia="es-MX"/>
        </w:rPr>
        <w:t xml:space="preserve">las </w:t>
      </w:r>
      <w:r>
        <w:rPr>
          <w:rFonts w:ascii="Verdana" w:hAnsi="Verdana" w:cs="Arial"/>
          <w:lang w:eastAsia="es-MX"/>
        </w:rPr>
        <w:t>Sociedades de Economía Mixta</w:t>
      </w:r>
      <w:r w:rsidRPr="007D55EC">
        <w:rPr>
          <w:rFonts w:ascii="Verdana" w:hAnsi="Verdana" w:cs="Arial"/>
          <w:lang w:eastAsia="es-MX"/>
        </w:rPr>
        <w:t xml:space="preserve">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w:t>
      </w:r>
      <w:r>
        <w:rPr>
          <w:rFonts w:ascii="Verdana" w:hAnsi="Verdana" w:cs="Arial"/>
          <w:lang w:eastAsia="es-MX"/>
        </w:rPr>
        <w:t>Empresas Industriales y Comerciales del Estado</w:t>
      </w:r>
      <w:r w:rsidRPr="007D55EC">
        <w:rPr>
          <w:rFonts w:ascii="Verdana" w:hAnsi="Verdana" w:cs="Arial"/>
          <w:lang w:eastAsia="es-MX"/>
        </w:rPr>
        <w:t xml:space="preserve"> como para </w:t>
      </w:r>
      <w:r>
        <w:rPr>
          <w:rFonts w:ascii="Verdana" w:hAnsi="Verdana" w:cs="Arial"/>
          <w:lang w:eastAsia="es-MX"/>
        </w:rPr>
        <w:t>Sociedades de Economía Mixta</w:t>
      </w:r>
      <w:r w:rsidRPr="007D55EC">
        <w:rPr>
          <w:rFonts w:ascii="Verdana" w:hAnsi="Verdana" w:cs="Arial"/>
          <w:lang w:eastAsia="es-MX"/>
        </w:rPr>
        <w:t xml:space="preserve"> en las que el Estado tenga una participación mayor al cincuenta por ciento (50%).</w:t>
      </w:r>
    </w:p>
    <w:p w14:paraId="22D429D9" w14:textId="77777777" w:rsidR="00B570E4" w:rsidRPr="00D3378D" w:rsidRDefault="00B570E4" w:rsidP="00B570E4">
      <w:pPr>
        <w:spacing w:after="120" w:line="276" w:lineRule="auto"/>
        <w:jc w:val="both"/>
        <w:rPr>
          <w:rFonts w:ascii="Verdana" w:hAnsi="Verdana" w:cs="Arial"/>
          <w:lang w:val="es-ES"/>
        </w:rPr>
      </w:pPr>
      <w:proofErr w:type="spellStart"/>
      <w:r w:rsidRPr="13F13DAC">
        <w:rPr>
          <w:rFonts w:ascii="Verdana" w:eastAsia="Calibri" w:hAnsi="Verdana" w:cs="Arial"/>
          <w:lang w:val="es-ES" w:eastAsia="es-ES"/>
        </w:rPr>
        <w:lastRenderedPageBreak/>
        <w:t>ii</w:t>
      </w:r>
      <w:proofErr w:type="spellEnd"/>
      <w:r w:rsidRPr="13F13DAC">
        <w:rPr>
          <w:rFonts w:ascii="Verdana" w:eastAsia="Calibri" w:hAnsi="Verdana" w:cs="Arial"/>
          <w:lang w:val="es-ES" w:eastAsia="es-ES"/>
        </w:rPr>
        <w:t xml:space="preserve">. Ahora bien, en relación con la exigencia del RUP, es pertinente indicar que </w:t>
      </w:r>
      <w:r w:rsidRPr="13F13DAC">
        <w:rPr>
          <w:rFonts w:ascii="Verdana" w:hAnsi="Verdana" w:cs="Arial"/>
          <w:lang w:val="es-ES"/>
        </w:rPr>
        <w:t>aunque el artículo 6 de la Ley 1150 de 2007, modificado por el artículo 221 del Decreto 19 de 2012, establece la regla general de que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asimismo incorpora algunas excepciones en el segundo inciso. Sin embargo, tales excepciones a la obligación de inscribirse en el RUP son taxativas y se rigen por una interpretación restrictiva. Así lo establece el artículo 2.2.1.1.1.5.1 del Decreto 1082 de 2015, al disponer que la inscripción en el RUP es imperativa para los sujetos mencionados en el primer inciso del artículo 6 de la Ley 1150 de 2007, “[…] salvo las excepciones previstas de forma taxativa en la ley”.</w:t>
      </w:r>
    </w:p>
    <w:p w14:paraId="405631EA" w14:textId="77777777" w:rsidR="00B570E4" w:rsidRPr="00D3378D" w:rsidRDefault="00B570E4" w:rsidP="00B570E4">
      <w:pPr>
        <w:spacing w:after="120" w:line="276" w:lineRule="auto"/>
        <w:ind w:firstLine="709"/>
        <w:jc w:val="both"/>
        <w:rPr>
          <w:rFonts w:ascii="Verdana" w:hAnsi="Verdana" w:cs="Arial"/>
          <w:lang w:val="es-ES"/>
        </w:rPr>
      </w:pPr>
      <w:r w:rsidRPr="13F13DAC">
        <w:rPr>
          <w:rFonts w:ascii="Verdana" w:hAnsi="Verdana" w:cs="Arial"/>
          <w:lang w:val="es-ES"/>
        </w:rPr>
        <w:t xml:space="preserve">En este sentido, </w:t>
      </w:r>
      <w:bookmarkStart w:id="3" w:name="_Hlk135067620"/>
      <w:r w:rsidRPr="13F13DAC">
        <w:rPr>
          <w:rFonts w:ascii="Verdana" w:hAnsi="Verdana" w:cs="Arial"/>
          <w:lang w:val="es-ES"/>
        </w:rPr>
        <w:t xml:space="preserve">las Empresas Industriales y Comerciales del Estado que pretendan participar y las Sociedades de Economía Mixta, en calidad de oferentes, en los procesos de selección abiertos por las entidades estatales que se rigen por el Estatuto General de Contratación de la Administración Pública, en principio, deben estar inscritas en el RUP, salvo que el contrato que vayan a celebrar, como contratistas, esté exceptuado por el segundo inciso del artículo 6 de la Ley 1150 de 2007. Por ejemplo, si la Empresa Industrial y Comercial del Estado quiere participar en un procedimiento de licitación pública convocado por una entidad estatal sometida al Estatuto General de Contratación de la Administración Pública, aquella debe estar inscrita en el RUP. En cambio, si desea participar en un procedimiento de selección de </w:t>
      </w:r>
      <w:r w:rsidRPr="13F13DAC">
        <w:rPr>
          <w:rFonts w:ascii="Verdana" w:hAnsi="Verdana" w:cs="Arial"/>
          <w:i/>
          <w:lang w:val="es-ES"/>
        </w:rPr>
        <w:t>mínima cuantía</w:t>
      </w:r>
      <w:r w:rsidRPr="13F13DAC">
        <w:rPr>
          <w:rFonts w:ascii="Verdana" w:hAnsi="Verdana" w:cs="Arial"/>
          <w:lang w:val="es-ES"/>
        </w:rPr>
        <w:t xml:space="preserve"> o celebrar un contrato interadministrativo de manera </w:t>
      </w:r>
      <w:r w:rsidRPr="13F13DAC">
        <w:rPr>
          <w:rFonts w:ascii="Verdana" w:hAnsi="Verdana" w:cs="Arial"/>
          <w:i/>
          <w:lang w:val="es-ES"/>
        </w:rPr>
        <w:t>directa</w:t>
      </w:r>
      <w:r w:rsidRPr="13F13DAC">
        <w:rPr>
          <w:rFonts w:ascii="Verdana" w:hAnsi="Verdana" w:cs="Arial"/>
          <w:lang w:val="es-ES"/>
        </w:rPr>
        <w:t>, no está obligada a estar inscrita en el RUP, porque el segundo inciso del artículo 6 de la Ley 1150 de 2007 dispone que “No se requerirá de este registro, ni de clasificación, en los casos de contratación directa; […]; contratos de mínima cuantía; […]”, entre otros eventos.</w:t>
      </w:r>
      <w:bookmarkEnd w:id="3"/>
    </w:p>
    <w:p w14:paraId="45C5ADCE" w14:textId="77777777" w:rsidR="00B570E4" w:rsidRPr="00D3378D" w:rsidRDefault="00B570E4" w:rsidP="00B570E4">
      <w:pPr>
        <w:spacing w:after="120" w:line="276" w:lineRule="auto"/>
        <w:ind w:firstLine="709"/>
        <w:jc w:val="both"/>
        <w:rPr>
          <w:rFonts w:ascii="Verdana" w:hAnsi="Verdana" w:cs="Arial"/>
          <w:lang w:val="es-ES"/>
        </w:rPr>
      </w:pPr>
      <w:r w:rsidRPr="13F13DAC">
        <w:rPr>
          <w:rFonts w:ascii="Verdana" w:hAnsi="Verdana" w:cs="Arial"/>
          <w:lang w:val="es-ES"/>
        </w:rPr>
        <w:t xml:space="preserve">Por ello, las Empresas Industriales y Comerciales del Estado, que tengan el propósito de actuar como oferentes y eventuales contratistas de las entidades estatales que se rigen por la Ley 80 de 1993, la Ley 1150 de 2007 y demás disposiciones normativas complementarias, deben –salvo excepción legal– estar inscritas en el RUP, pues dichas empresas son personas jurídicas domiciliadas en Colombia. Esto por cuanto una empresa industrial y comercial del Estado es una entidad descentralizada por servicios y, en consecuencia, reúne los tres </w:t>
      </w:r>
      <w:r w:rsidRPr="13F13DAC">
        <w:rPr>
          <w:rFonts w:ascii="Verdana" w:hAnsi="Verdana" w:cs="Arial"/>
          <w:lang w:val="es-ES"/>
        </w:rPr>
        <w:lastRenderedPageBreak/>
        <w:t xml:space="preserve">atributos principales de la descentralización: i) personería jurídica, </w:t>
      </w:r>
      <w:proofErr w:type="spellStart"/>
      <w:r w:rsidRPr="13F13DAC">
        <w:rPr>
          <w:rFonts w:ascii="Verdana" w:hAnsi="Verdana" w:cs="Arial"/>
          <w:lang w:val="es-ES"/>
        </w:rPr>
        <w:t>ii</w:t>
      </w:r>
      <w:proofErr w:type="spellEnd"/>
      <w:r w:rsidRPr="13F13DAC">
        <w:rPr>
          <w:rFonts w:ascii="Verdana" w:hAnsi="Verdana" w:cs="Arial"/>
          <w:lang w:val="es-ES"/>
        </w:rPr>
        <w:t xml:space="preserve">) autonomía administrativa y financiera, y </w:t>
      </w:r>
      <w:proofErr w:type="spellStart"/>
      <w:r w:rsidRPr="13F13DAC">
        <w:rPr>
          <w:rFonts w:ascii="Verdana" w:hAnsi="Verdana" w:cs="Arial"/>
          <w:lang w:val="es-ES"/>
        </w:rPr>
        <w:t>iii</w:t>
      </w:r>
      <w:proofErr w:type="spellEnd"/>
      <w:r w:rsidRPr="13F13DAC">
        <w:rPr>
          <w:rFonts w:ascii="Verdana" w:hAnsi="Verdana" w:cs="Arial"/>
          <w:lang w:val="es-ES"/>
        </w:rPr>
        <w:t xml:space="preserve">) patrimonio propio. En efecto, el artículo 85 de la Ley 489 de 1998 expresa que: </w:t>
      </w:r>
    </w:p>
    <w:p w14:paraId="4BA9A2D5" w14:textId="77777777" w:rsidR="00B570E4" w:rsidRPr="00D3378D" w:rsidRDefault="00B570E4" w:rsidP="00B570E4">
      <w:pPr>
        <w:spacing w:after="0" w:line="276" w:lineRule="auto"/>
        <w:ind w:firstLine="709"/>
        <w:jc w:val="both"/>
        <w:rPr>
          <w:rFonts w:ascii="Verdana" w:hAnsi="Verdana" w:cs="Arial"/>
          <w:lang w:val="es-ES_tradnl"/>
        </w:rPr>
      </w:pPr>
    </w:p>
    <w:p w14:paraId="45D8ADE7" w14:textId="77777777" w:rsidR="00B570E4" w:rsidRPr="001E68A8" w:rsidRDefault="00B570E4" w:rsidP="00B570E4">
      <w:pPr>
        <w:spacing w:after="120" w:line="240" w:lineRule="auto"/>
        <w:ind w:left="709" w:right="709"/>
        <w:jc w:val="both"/>
        <w:rPr>
          <w:rFonts w:ascii="Verdana" w:hAnsi="Verdana" w:cs="Arial"/>
          <w:sz w:val="20"/>
          <w:szCs w:val="20"/>
          <w:lang w:val="es-ES_tradnl"/>
        </w:rPr>
      </w:pPr>
      <w:r w:rsidRPr="001E68A8">
        <w:rPr>
          <w:rFonts w:ascii="Verdana" w:hAnsi="Verdana" w:cs="Arial"/>
          <w:sz w:val="20"/>
          <w:szCs w:val="20"/>
          <w:lang w:val="es-ES_tradnl"/>
        </w:rPr>
        <w:t xml:space="preserve">“Las </w:t>
      </w:r>
      <w:r>
        <w:rPr>
          <w:rFonts w:ascii="Verdana" w:hAnsi="Verdana" w:cs="Arial"/>
          <w:sz w:val="20"/>
          <w:szCs w:val="20"/>
          <w:lang w:val="es-ES_tradnl"/>
        </w:rPr>
        <w:t>Empresas Industriales y Comerciales del Estado</w:t>
      </w:r>
      <w:r w:rsidRPr="001E68A8">
        <w:rPr>
          <w:rFonts w:ascii="Verdana" w:hAnsi="Verdana" w:cs="Arial"/>
          <w:sz w:val="20"/>
          <w:szCs w:val="20"/>
          <w:lang w:val="es-ES_tradnl"/>
        </w:rPr>
        <w:t xml:space="preserve"> son organismos creados por la ley o autorizados por ésta, que desarrollan actividades de naturaleza industrial o comercial y de gestión económica conforme a las reglas del Derecho Privado, salvo las excepciones que consagra la ley, y que reúnen las siguientes características:</w:t>
      </w:r>
    </w:p>
    <w:p w14:paraId="24945FAB" w14:textId="77777777" w:rsidR="00B570E4" w:rsidRPr="001E68A8" w:rsidRDefault="00B570E4" w:rsidP="00B570E4">
      <w:pPr>
        <w:spacing w:after="120" w:line="240" w:lineRule="auto"/>
        <w:ind w:left="709" w:right="709"/>
        <w:jc w:val="both"/>
        <w:rPr>
          <w:rFonts w:ascii="Verdana" w:hAnsi="Verdana" w:cs="Arial"/>
          <w:sz w:val="20"/>
          <w:szCs w:val="20"/>
          <w:lang w:val="es-ES_tradnl"/>
        </w:rPr>
      </w:pPr>
      <w:r w:rsidRPr="001E68A8">
        <w:rPr>
          <w:rFonts w:ascii="Verdana" w:hAnsi="Verdana" w:cs="Arial"/>
          <w:sz w:val="20"/>
          <w:szCs w:val="20"/>
          <w:lang w:val="es-ES_tradnl"/>
        </w:rPr>
        <w:t>a) Personería jurídica;</w:t>
      </w:r>
    </w:p>
    <w:p w14:paraId="6B26FA69" w14:textId="77777777" w:rsidR="00B570E4" w:rsidRPr="001E68A8" w:rsidRDefault="00B570E4" w:rsidP="00B570E4">
      <w:pPr>
        <w:spacing w:after="120" w:line="240" w:lineRule="auto"/>
        <w:ind w:left="709" w:right="709"/>
        <w:jc w:val="both"/>
        <w:rPr>
          <w:rFonts w:ascii="Verdana" w:hAnsi="Verdana" w:cs="Arial"/>
          <w:sz w:val="20"/>
          <w:szCs w:val="20"/>
          <w:lang w:val="es-ES_tradnl"/>
        </w:rPr>
      </w:pPr>
      <w:r w:rsidRPr="001E68A8">
        <w:rPr>
          <w:rFonts w:ascii="Verdana" w:hAnsi="Verdana" w:cs="Arial"/>
          <w:sz w:val="20"/>
          <w:szCs w:val="20"/>
          <w:lang w:val="es-ES_tradnl"/>
        </w:rPr>
        <w:t>b) Autonomía administrativa y financiera;</w:t>
      </w:r>
    </w:p>
    <w:p w14:paraId="51617F6F" w14:textId="77777777" w:rsidR="00B570E4" w:rsidRPr="001E68A8" w:rsidRDefault="00B570E4" w:rsidP="00B570E4">
      <w:pPr>
        <w:spacing w:after="0" w:line="240" w:lineRule="auto"/>
        <w:ind w:left="709" w:right="709"/>
        <w:jc w:val="both"/>
        <w:rPr>
          <w:rFonts w:ascii="Verdana" w:hAnsi="Verdana" w:cs="Arial"/>
          <w:sz w:val="20"/>
          <w:szCs w:val="20"/>
          <w:lang w:val="es-ES_tradnl"/>
        </w:rPr>
      </w:pPr>
      <w:r w:rsidRPr="001E68A8">
        <w:rPr>
          <w:rFonts w:ascii="Verdana" w:hAnsi="Verdana" w:cs="Arial"/>
          <w:sz w:val="20"/>
          <w:szCs w:val="20"/>
          <w:lang w:val="es-ES_tradnl"/>
        </w:rPr>
        <w:t>c) Capital independiente, constituido totalmente con bienes o fondos públicos comunes, los productos de ellos, o el rendimiento de tasas que perciban por las funciones o servicios, y contribuciones de destinación especial en los casos autorizados por la Constitución.</w:t>
      </w:r>
    </w:p>
    <w:p w14:paraId="2462B7BE" w14:textId="77777777" w:rsidR="00B570E4" w:rsidRPr="001E68A8" w:rsidRDefault="00B570E4" w:rsidP="00B570E4">
      <w:pPr>
        <w:spacing w:after="0" w:line="240" w:lineRule="auto"/>
        <w:ind w:left="709" w:right="709"/>
        <w:jc w:val="both"/>
        <w:rPr>
          <w:rFonts w:ascii="Verdana" w:hAnsi="Verdana" w:cs="Arial"/>
          <w:sz w:val="20"/>
          <w:szCs w:val="20"/>
          <w:lang w:val="es-ES_tradnl"/>
        </w:rPr>
      </w:pPr>
      <w:r w:rsidRPr="001E68A8">
        <w:rPr>
          <w:rFonts w:ascii="Verdana" w:hAnsi="Verdana" w:cs="Arial"/>
          <w:sz w:val="20"/>
          <w:szCs w:val="20"/>
          <w:lang w:val="es-ES_tradnl"/>
        </w:rPr>
        <w:t>[…]”.</w:t>
      </w:r>
    </w:p>
    <w:p w14:paraId="7A2FB582" w14:textId="77777777" w:rsidR="00B570E4" w:rsidRPr="00D3378D" w:rsidRDefault="00B570E4" w:rsidP="00B570E4">
      <w:pPr>
        <w:spacing w:after="0" w:line="276" w:lineRule="auto"/>
        <w:ind w:firstLine="709"/>
        <w:jc w:val="both"/>
        <w:rPr>
          <w:rFonts w:ascii="Verdana" w:hAnsi="Verdana" w:cs="Arial"/>
          <w:lang w:val="es-ES_tradnl"/>
        </w:rPr>
      </w:pPr>
    </w:p>
    <w:p w14:paraId="135332FE" w14:textId="77777777" w:rsidR="00B570E4" w:rsidRPr="00D3378D" w:rsidRDefault="00B570E4" w:rsidP="00B570E4">
      <w:pPr>
        <w:spacing w:after="120" w:line="276" w:lineRule="auto"/>
        <w:ind w:firstLine="709"/>
        <w:jc w:val="both"/>
        <w:rPr>
          <w:rFonts w:ascii="Verdana" w:hAnsi="Verdana" w:cs="Arial"/>
          <w:lang w:val="es-ES"/>
        </w:rPr>
      </w:pPr>
      <w:r w:rsidRPr="13F13DAC">
        <w:rPr>
          <w:rFonts w:ascii="Verdana" w:hAnsi="Verdana" w:cs="Arial"/>
          <w:lang w:val="es-ES"/>
        </w:rPr>
        <w:t xml:space="preserve">Por consiguiente, si no cabe duda de que las Empresas Industriales y Comerciales del Estado son personas jurídicas domiciliadas en Colombia, están dentro del alcance de la regla general prevista en el primer inciso del artículo 6 de la Ley 1150 de 2007, que como se indicó, exige la inscripción en el RUP a las personas jurídicas domiciliadas en el país. Tal inciso no distingue entre personas jurídicas </w:t>
      </w:r>
      <w:r w:rsidRPr="13F13DAC">
        <w:rPr>
          <w:rFonts w:ascii="Verdana" w:hAnsi="Verdana" w:cs="Arial"/>
          <w:i/>
          <w:lang w:val="es-ES"/>
        </w:rPr>
        <w:t>de derecho público</w:t>
      </w:r>
      <w:r w:rsidRPr="13F13DAC">
        <w:rPr>
          <w:rFonts w:ascii="Verdana" w:hAnsi="Verdana" w:cs="Arial"/>
          <w:lang w:val="es-ES"/>
        </w:rPr>
        <w:t xml:space="preserve"> y </w:t>
      </w:r>
      <w:r w:rsidRPr="13F13DAC">
        <w:rPr>
          <w:rFonts w:ascii="Verdana" w:hAnsi="Verdana" w:cs="Arial"/>
          <w:i/>
          <w:lang w:val="es-ES"/>
        </w:rPr>
        <w:t>de derecho privado</w:t>
      </w:r>
      <w:r w:rsidRPr="13F13DAC">
        <w:rPr>
          <w:rFonts w:ascii="Verdana" w:hAnsi="Verdana" w:cs="Arial"/>
          <w:lang w:val="es-ES"/>
        </w:rPr>
        <w:t xml:space="preserve">. En consecuencia, no podría decirse que como las Empresas Industriales y Comerciales del Estado son personas jurídicas de derecho público, no están obligadas a inscribirse en el RUP. En otras palabras, dichas empresas pueden actuar como oferentes en los procesos de selección, pero cuando asuman dicha calidad, deberán estar inscritos en el RUP salvo excepción legal. </w:t>
      </w:r>
    </w:p>
    <w:p w14:paraId="79D7EA00" w14:textId="77777777" w:rsidR="00B570E4" w:rsidRPr="00D3378D" w:rsidRDefault="00B570E4" w:rsidP="00B570E4">
      <w:pPr>
        <w:spacing w:after="120" w:line="276" w:lineRule="auto"/>
        <w:ind w:firstLine="709"/>
        <w:jc w:val="both"/>
        <w:rPr>
          <w:rFonts w:ascii="Verdana" w:hAnsi="Verdana" w:cs="Arial"/>
          <w:lang w:val="es-ES_tradnl"/>
        </w:rPr>
      </w:pPr>
      <w:r w:rsidRPr="00D3378D">
        <w:rPr>
          <w:rFonts w:ascii="Verdana" w:hAnsi="Verdana" w:cs="Arial"/>
          <w:lang w:val="es-ES_tradnl"/>
        </w:rPr>
        <w:t xml:space="preserve">Ahora bien, el segundo inciso del artículo 6 de la Ley 1150 de 2007 consagra una excepción al deber de inscripción en el RUP, que menciona a las </w:t>
      </w:r>
      <w:r>
        <w:rPr>
          <w:rFonts w:ascii="Verdana" w:hAnsi="Verdana" w:cs="Arial"/>
          <w:lang w:val="es-ES_tradnl"/>
        </w:rPr>
        <w:t>Empresas Industriales y Comerciales del Estado y a las Sociedades de Economía Mixta</w:t>
      </w:r>
      <w:r w:rsidRPr="00D3378D">
        <w:rPr>
          <w:rFonts w:ascii="Verdana" w:hAnsi="Verdana" w:cs="Arial"/>
          <w:lang w:val="es-ES_tradnl"/>
        </w:rPr>
        <w:t xml:space="preserve">, en los siguientes términos: “No se requerirá de este registro, ni de clasificación, en […] </w:t>
      </w:r>
      <w:r w:rsidRPr="00300A4B">
        <w:rPr>
          <w:rFonts w:ascii="Verdana" w:hAnsi="Verdana" w:cs="Arial"/>
          <w:i/>
          <w:iCs/>
          <w:lang w:val="es-ES_tradnl"/>
        </w:rPr>
        <w:t xml:space="preserve">los actos y contratos que tengan por objeto directo las actividades comerciales e industriales propias de las </w:t>
      </w:r>
      <w:r>
        <w:rPr>
          <w:rFonts w:ascii="Verdana" w:hAnsi="Verdana" w:cs="Arial"/>
          <w:i/>
          <w:iCs/>
          <w:lang w:val="es-ES_tradnl"/>
        </w:rPr>
        <w:t>Empresas Industriales y Comerciales del Estado y las Sociedades de Economía Mixta</w:t>
      </w:r>
      <w:r w:rsidRPr="00D3378D">
        <w:rPr>
          <w:rFonts w:ascii="Verdana" w:hAnsi="Verdana" w:cs="Arial"/>
          <w:lang w:val="es-ES_tradnl"/>
        </w:rPr>
        <w:t xml:space="preserve">”. </w:t>
      </w:r>
      <w:r>
        <w:rPr>
          <w:rFonts w:ascii="Verdana" w:hAnsi="Verdana" w:cs="Arial"/>
          <w:lang w:val="es-ES_tradnl"/>
        </w:rPr>
        <w:t>Sin embargo</w:t>
      </w:r>
      <w:r w:rsidRPr="00D3378D">
        <w:rPr>
          <w:rFonts w:ascii="Verdana" w:hAnsi="Verdana" w:cs="Arial"/>
          <w:lang w:val="es-ES_tradnl"/>
        </w:rPr>
        <w:t>,</w:t>
      </w:r>
      <w:r>
        <w:rPr>
          <w:rFonts w:ascii="Verdana" w:hAnsi="Verdana" w:cs="Arial"/>
          <w:lang w:val="es-ES_tradnl"/>
        </w:rPr>
        <w:t xml:space="preserve"> el alcance de t</w:t>
      </w:r>
      <w:r w:rsidRPr="00D3378D">
        <w:rPr>
          <w:rFonts w:ascii="Verdana" w:hAnsi="Verdana" w:cs="Arial"/>
          <w:lang w:val="es-ES_tradnl"/>
        </w:rPr>
        <w:t xml:space="preserve">al excepción debe interpretarse en armonía con la causal de contratación de selección abreviada contenida en el artículo 2, numeral 2, literal g) de la misma ley, que está redactada en los mismos términos, pues dice que </w:t>
      </w:r>
      <w:r w:rsidRPr="00D3378D">
        <w:rPr>
          <w:rFonts w:ascii="Verdana" w:hAnsi="Verdana" w:cs="Arial"/>
          <w:lang w:val="es-ES_tradnl"/>
        </w:rPr>
        <w:lastRenderedPageBreak/>
        <w:t xml:space="preserve">debe implementarse tal modalidad de selección para “Los actos y contratos que tengan por objeto directo las actividades comerciales e industriales propias de las Empresas Industriales y Comerciales Estatales </w:t>
      </w:r>
      <w:r>
        <w:rPr>
          <w:rFonts w:ascii="Verdana" w:hAnsi="Verdana" w:cs="Arial"/>
          <w:lang w:val="es-ES_tradnl"/>
        </w:rPr>
        <w:t xml:space="preserve"> y de las Sociedades de Economía Mixta </w:t>
      </w:r>
      <w:r w:rsidRPr="00D3378D">
        <w:rPr>
          <w:rFonts w:ascii="Verdana" w:hAnsi="Verdana" w:cs="Arial"/>
          <w:lang w:val="es-ES_tradnl"/>
        </w:rPr>
        <w:t xml:space="preserve">[…]”. </w:t>
      </w:r>
    </w:p>
    <w:p w14:paraId="6B38F6E3" w14:textId="77777777" w:rsidR="00B570E4" w:rsidRPr="00D3378D" w:rsidRDefault="00B570E4" w:rsidP="00B570E4">
      <w:pPr>
        <w:spacing w:after="120" w:line="276" w:lineRule="auto"/>
        <w:ind w:firstLine="709"/>
        <w:jc w:val="both"/>
        <w:rPr>
          <w:rFonts w:ascii="Verdana" w:hAnsi="Verdana" w:cs="Arial"/>
          <w:lang w:val="es-ES_tradnl"/>
        </w:rPr>
      </w:pPr>
      <w:r w:rsidRPr="00D3378D">
        <w:rPr>
          <w:rFonts w:ascii="Verdana" w:hAnsi="Verdana" w:cs="Arial"/>
          <w:lang w:val="es-ES_tradnl"/>
        </w:rPr>
        <w:t xml:space="preserve">Obsérvese que el artículo precitado utiliza, textualmente, la misma oración. Esto significa que, cuando el legislador utilizó dicha frase, lo hizo concibiendo a las </w:t>
      </w:r>
      <w:r>
        <w:rPr>
          <w:rFonts w:ascii="Verdana" w:hAnsi="Verdana" w:cs="Arial"/>
          <w:lang w:val="es-ES_tradnl"/>
        </w:rPr>
        <w:t>Empresas Industriales y Comerciales del Estado y las de economía mixta</w:t>
      </w:r>
      <w:r w:rsidRPr="00D3378D">
        <w:rPr>
          <w:rFonts w:ascii="Verdana" w:hAnsi="Verdana" w:cs="Arial"/>
          <w:lang w:val="es-ES_tradnl"/>
        </w:rPr>
        <w:t xml:space="preserve"> como </w:t>
      </w:r>
      <w:r w:rsidRPr="00D3378D">
        <w:rPr>
          <w:rFonts w:ascii="Verdana" w:hAnsi="Verdana" w:cs="Arial"/>
          <w:i/>
          <w:iCs/>
          <w:lang w:val="es-ES_tradnl"/>
        </w:rPr>
        <w:t>contratantes</w:t>
      </w:r>
      <w:r w:rsidRPr="00D3378D">
        <w:rPr>
          <w:rFonts w:ascii="Verdana" w:hAnsi="Verdana" w:cs="Arial"/>
          <w:lang w:val="es-ES_tradnl"/>
        </w:rPr>
        <w:t xml:space="preserve"> y no como </w:t>
      </w:r>
      <w:r w:rsidRPr="00D3378D">
        <w:rPr>
          <w:rFonts w:ascii="Verdana" w:hAnsi="Verdana" w:cs="Arial"/>
          <w:i/>
          <w:iCs/>
          <w:lang w:val="es-ES_tradnl"/>
        </w:rPr>
        <w:t>contratistas</w:t>
      </w:r>
      <w:r w:rsidRPr="00D3378D">
        <w:rPr>
          <w:rFonts w:ascii="Verdana" w:hAnsi="Verdana" w:cs="Arial"/>
          <w:lang w:val="es-ES_tradnl"/>
        </w:rPr>
        <w:t>, pues las causales de selección establecidas en el artículo 2 de la Ley 1150 de 2007 se dirigen a las entidades estatales contratantes, es decir, a los órganos del Estado señalados en el artículo 2 de la Ley 80 de 1993 que pretendan convocar un procedimiento de selección plural –licitación pública, selección abreviada, concurso de méritos, mínima cuantía– o de contratación directa.</w:t>
      </w:r>
    </w:p>
    <w:p w14:paraId="03644A18" w14:textId="77777777" w:rsidR="00B570E4" w:rsidRDefault="00B570E4" w:rsidP="00B570E4">
      <w:pPr>
        <w:spacing w:after="120" w:line="276" w:lineRule="auto"/>
        <w:ind w:firstLine="709"/>
        <w:jc w:val="both"/>
        <w:rPr>
          <w:rFonts w:ascii="Verdana" w:hAnsi="Verdana" w:cs="Arial"/>
          <w:lang w:val="es-ES_tradnl"/>
        </w:rPr>
      </w:pPr>
      <w:r w:rsidRPr="00D3378D">
        <w:rPr>
          <w:rFonts w:ascii="Verdana" w:hAnsi="Verdana" w:cs="Arial"/>
          <w:lang w:val="es-ES_tradnl"/>
        </w:rPr>
        <w:t xml:space="preserve">Bajo este entendido, cuando el segundo inciso del artículo 6 de la Ley 1150 de 2007 indica que “No se requerirá de este registro, ni de clasificación, en […] los actos y contratos que tengan por objeto directo las actividades comerciales e industriales propias de las </w:t>
      </w:r>
      <w:r>
        <w:rPr>
          <w:rFonts w:ascii="Verdana" w:hAnsi="Verdana" w:cs="Arial"/>
          <w:lang w:val="es-ES_tradnl"/>
        </w:rPr>
        <w:t>Empresas Industriales y Comerciales del Estado y las Sociedades de Economía Mixta</w:t>
      </w:r>
      <w:r w:rsidRPr="00D3378D">
        <w:rPr>
          <w:rFonts w:ascii="Verdana" w:hAnsi="Verdana" w:cs="Arial"/>
          <w:lang w:val="es-ES_tradnl"/>
        </w:rPr>
        <w:t xml:space="preserve">”, debe interpretarse, en armonía con el artículo 2, numeral 2, literal g) de la Ley 1150 de 2007, </w:t>
      </w:r>
      <w:r>
        <w:rPr>
          <w:rFonts w:ascii="Verdana" w:hAnsi="Verdana" w:cs="Arial"/>
          <w:lang w:val="es-ES_tradnl"/>
        </w:rPr>
        <w:t xml:space="preserve">en el entendido en </w:t>
      </w:r>
      <w:r w:rsidRPr="00D3378D">
        <w:rPr>
          <w:rFonts w:ascii="Verdana" w:hAnsi="Verdana" w:cs="Arial"/>
          <w:lang w:val="es-ES_tradnl"/>
        </w:rPr>
        <w:t>que si una empresa industrial y comercial del Estado</w:t>
      </w:r>
      <w:r>
        <w:rPr>
          <w:rFonts w:ascii="Verdana" w:hAnsi="Verdana" w:cs="Arial"/>
          <w:lang w:val="es-ES_tradnl"/>
        </w:rPr>
        <w:t xml:space="preserve"> y las Sociedades de Economía Mixta</w:t>
      </w:r>
      <w:r w:rsidRPr="00D3378D">
        <w:rPr>
          <w:rFonts w:ascii="Verdana" w:hAnsi="Verdana" w:cs="Arial"/>
          <w:lang w:val="es-ES_tradnl"/>
        </w:rPr>
        <w:t xml:space="preserve"> sometida</w:t>
      </w:r>
      <w:r>
        <w:rPr>
          <w:rFonts w:ascii="Verdana" w:hAnsi="Verdana" w:cs="Arial"/>
          <w:lang w:val="es-ES_tradnl"/>
        </w:rPr>
        <w:t>s</w:t>
      </w:r>
      <w:r w:rsidRPr="00D3378D">
        <w:rPr>
          <w:rFonts w:ascii="Verdana" w:hAnsi="Verdana" w:cs="Arial"/>
          <w:lang w:val="es-ES_tradnl"/>
        </w:rPr>
        <w:t xml:space="preserve"> al Estatuto General de Contratación de la Administración Pública –en virtud del artículo 2, numeral 1, literal a) de la Ley 80 de 1993–</w:t>
      </w:r>
      <w:r w:rsidRPr="00D3378D">
        <w:rPr>
          <w:rStyle w:val="Refdenotaalpie"/>
          <w:rFonts w:ascii="Verdana" w:hAnsi="Verdana" w:cs="Arial"/>
          <w:lang w:val="es-ES_tradnl"/>
        </w:rPr>
        <w:footnoteReference w:id="8"/>
      </w:r>
      <w:r w:rsidRPr="00D3378D">
        <w:rPr>
          <w:rFonts w:ascii="Verdana" w:hAnsi="Verdana" w:cs="Arial"/>
          <w:lang w:val="es-ES_tradnl"/>
        </w:rPr>
        <w:t xml:space="preserve"> abre un proceso de selección abreviada, actuando en calidad de contratante, no puede exigir que los oferentes estén inscritos en el RUP, como requisito habilitante. </w:t>
      </w:r>
    </w:p>
    <w:p w14:paraId="397B364A" w14:textId="77777777" w:rsidR="00B570E4" w:rsidRPr="00D3378D" w:rsidRDefault="00B570E4" w:rsidP="00B570E4">
      <w:pPr>
        <w:spacing w:after="120" w:line="276" w:lineRule="auto"/>
        <w:ind w:firstLine="709"/>
        <w:jc w:val="both"/>
        <w:rPr>
          <w:rFonts w:ascii="Verdana" w:hAnsi="Verdana" w:cs="Arial"/>
          <w:lang w:val="es-ES_tradnl"/>
        </w:rPr>
      </w:pPr>
      <w:r w:rsidRPr="00D3378D">
        <w:rPr>
          <w:rFonts w:ascii="Verdana" w:hAnsi="Verdana" w:cs="Arial"/>
          <w:lang w:val="es-ES_tradnl"/>
        </w:rPr>
        <w:t xml:space="preserve">En tal caso, la </w:t>
      </w:r>
      <w:r>
        <w:rPr>
          <w:rFonts w:ascii="Verdana" w:hAnsi="Verdana" w:cs="Arial"/>
          <w:lang w:val="es-ES_tradnl"/>
        </w:rPr>
        <w:t>E</w:t>
      </w:r>
      <w:r w:rsidRPr="00D3378D">
        <w:rPr>
          <w:rFonts w:ascii="Verdana" w:hAnsi="Verdana" w:cs="Arial"/>
          <w:lang w:val="es-ES_tradnl"/>
        </w:rPr>
        <w:t xml:space="preserve">mpresa </w:t>
      </w:r>
      <w:r>
        <w:rPr>
          <w:rFonts w:ascii="Verdana" w:hAnsi="Verdana" w:cs="Arial"/>
          <w:lang w:val="es-ES_tradnl"/>
        </w:rPr>
        <w:t>I</w:t>
      </w:r>
      <w:r w:rsidRPr="00D3378D">
        <w:rPr>
          <w:rFonts w:ascii="Verdana" w:hAnsi="Verdana" w:cs="Arial"/>
          <w:lang w:val="es-ES_tradnl"/>
        </w:rPr>
        <w:t xml:space="preserve">ndustrial y </w:t>
      </w:r>
      <w:r>
        <w:rPr>
          <w:rFonts w:ascii="Verdana" w:hAnsi="Verdana" w:cs="Arial"/>
          <w:lang w:val="es-ES_tradnl"/>
        </w:rPr>
        <w:t>C</w:t>
      </w:r>
      <w:r w:rsidRPr="00D3378D">
        <w:rPr>
          <w:rFonts w:ascii="Verdana" w:hAnsi="Verdana" w:cs="Arial"/>
          <w:lang w:val="es-ES_tradnl"/>
        </w:rPr>
        <w:t>omercial del Estado</w:t>
      </w:r>
      <w:r>
        <w:rPr>
          <w:rFonts w:ascii="Verdana" w:hAnsi="Verdana" w:cs="Arial"/>
          <w:lang w:val="es-ES_tradnl"/>
        </w:rPr>
        <w:t xml:space="preserve"> y la Sociedad de Economía Mixta</w:t>
      </w:r>
      <w:r w:rsidRPr="00D3378D">
        <w:rPr>
          <w:rFonts w:ascii="Verdana" w:hAnsi="Verdana" w:cs="Arial"/>
          <w:lang w:val="es-ES_tradnl"/>
        </w:rPr>
        <w:t xml:space="preserve"> que efectúa</w:t>
      </w:r>
      <w:r>
        <w:rPr>
          <w:rFonts w:ascii="Verdana" w:hAnsi="Verdana" w:cs="Arial"/>
          <w:lang w:val="es-ES_tradnl"/>
        </w:rPr>
        <w:t>n</w:t>
      </w:r>
      <w:r w:rsidRPr="00D3378D">
        <w:rPr>
          <w:rFonts w:ascii="Verdana" w:hAnsi="Verdana" w:cs="Arial"/>
          <w:lang w:val="es-ES_tradnl"/>
        </w:rPr>
        <w:t xml:space="preserve"> la convocatoria pública –es decir, a través del acto administrativo de apertura de la selección abreviada–, debe</w:t>
      </w:r>
      <w:r>
        <w:rPr>
          <w:rFonts w:ascii="Verdana" w:hAnsi="Verdana" w:cs="Arial"/>
          <w:lang w:val="es-ES_tradnl"/>
        </w:rPr>
        <w:t>n</w:t>
      </w:r>
      <w:r w:rsidRPr="00D3378D">
        <w:rPr>
          <w:rFonts w:ascii="Verdana" w:hAnsi="Verdana" w:cs="Arial"/>
          <w:lang w:val="es-ES_tradnl"/>
        </w:rPr>
        <w:t xml:space="preserve"> aplicar lo dispuesto en la parte final del segundo inciso del artículo 6 de la Ley 1150 de 2007. En efecto, allí se establece que </w:t>
      </w:r>
      <w:r>
        <w:rPr>
          <w:rFonts w:ascii="Verdana" w:hAnsi="Verdana" w:cs="Arial"/>
          <w:lang w:val="es-ES_tradnl"/>
        </w:rPr>
        <w:t xml:space="preserve">a estas </w:t>
      </w:r>
      <w:r w:rsidRPr="00D3378D">
        <w:rPr>
          <w:rFonts w:ascii="Verdana" w:hAnsi="Verdana" w:cs="Arial"/>
          <w:lang w:val="es-ES_tradnl"/>
        </w:rPr>
        <w:t>le corresponde en ese evento “[…] cumplir con la labor de verificación de las condiciones de los proponentes”. Así lo ha interpretado la doctrina:</w:t>
      </w:r>
    </w:p>
    <w:p w14:paraId="46DE77DE" w14:textId="77777777" w:rsidR="00B570E4" w:rsidRPr="00D3378D" w:rsidRDefault="00B570E4" w:rsidP="00B570E4">
      <w:pPr>
        <w:spacing w:after="0"/>
        <w:ind w:left="709" w:right="709"/>
        <w:jc w:val="both"/>
        <w:rPr>
          <w:rFonts w:ascii="Verdana" w:hAnsi="Verdana" w:cs="Arial"/>
          <w:lang w:val="es-ES_tradnl"/>
        </w:rPr>
      </w:pPr>
    </w:p>
    <w:p w14:paraId="5FA96852" w14:textId="77777777" w:rsidR="00B570E4" w:rsidRPr="00D3378D" w:rsidRDefault="00B570E4" w:rsidP="00B570E4">
      <w:pPr>
        <w:spacing w:after="0" w:line="240" w:lineRule="auto"/>
        <w:ind w:left="709" w:right="709"/>
        <w:jc w:val="both"/>
        <w:rPr>
          <w:rFonts w:ascii="Verdana" w:hAnsi="Verdana" w:cs="Arial"/>
          <w:lang w:val="es-ES"/>
        </w:rPr>
      </w:pPr>
      <w:r w:rsidRPr="13F13DAC">
        <w:rPr>
          <w:rFonts w:ascii="Verdana" w:hAnsi="Verdana" w:cs="Arial"/>
          <w:sz w:val="20"/>
          <w:szCs w:val="20"/>
          <w:lang w:val="es-ES"/>
        </w:rPr>
        <w:t>Lo anterior traduce que: (i) el oferente y contratista que caiga respecto de alguno de esos eventos, no necesita estar inscrito en el RUP sino que puede presentar la oferta y/o celebrar el contrato sin ese requisito; (</w:t>
      </w:r>
      <w:proofErr w:type="spellStart"/>
      <w:r w:rsidRPr="13F13DAC">
        <w:rPr>
          <w:rFonts w:ascii="Verdana" w:hAnsi="Verdana" w:cs="Arial"/>
          <w:sz w:val="20"/>
          <w:szCs w:val="20"/>
          <w:lang w:val="es-ES"/>
        </w:rPr>
        <w:t>ii</w:t>
      </w:r>
      <w:proofErr w:type="spellEnd"/>
      <w:r w:rsidRPr="13F13DAC">
        <w:rPr>
          <w:rFonts w:ascii="Verdana" w:hAnsi="Verdana" w:cs="Arial"/>
          <w:sz w:val="20"/>
          <w:szCs w:val="20"/>
          <w:lang w:val="es-ES"/>
        </w:rPr>
        <w:t>) en tales eventos la entidad no podrá exigir la previa inscripción so pena de violar la ley; (</w:t>
      </w:r>
      <w:proofErr w:type="spellStart"/>
      <w:r w:rsidRPr="13F13DAC">
        <w:rPr>
          <w:rFonts w:ascii="Verdana" w:hAnsi="Verdana" w:cs="Arial"/>
          <w:sz w:val="20"/>
          <w:szCs w:val="20"/>
          <w:lang w:val="es-ES"/>
        </w:rPr>
        <w:t>iii</w:t>
      </w:r>
      <w:proofErr w:type="spellEnd"/>
      <w:r w:rsidRPr="13F13DAC">
        <w:rPr>
          <w:rFonts w:ascii="Verdana" w:hAnsi="Verdana" w:cs="Arial"/>
          <w:sz w:val="20"/>
          <w:szCs w:val="20"/>
          <w:lang w:val="es-ES"/>
        </w:rPr>
        <w:t>) en los pliegos de condiciones de los procesos de selección que tengan por objeto alguno de ellos, se debe regular lo concerniente a los requisitos habilitantes y la manera de su acreditación, indicando los documentos precisos y concretos, así como su forma de presentación, por tratarse de los únicos casos en que el pliego puede solicitar documentos distintos al certificado de inscripción en el RUP para comprobar lo atinente a dichos requisitos (capacidad jurídica, experiencia, capacidad financiera y de organización). Esto es que será la entidad estatal contratante la que cumple en cada proceso de selección la función verificadora que está normalmente a cargo de las cámaras de comercio</w:t>
      </w:r>
      <w:r w:rsidRPr="13F13DAC">
        <w:rPr>
          <w:rStyle w:val="Refdenotaalpie"/>
          <w:rFonts w:ascii="Verdana" w:hAnsi="Verdana" w:cs="Arial"/>
          <w:lang w:val="es-ES"/>
        </w:rPr>
        <w:footnoteReference w:id="9"/>
      </w:r>
      <w:r w:rsidRPr="13F13DAC">
        <w:rPr>
          <w:rFonts w:ascii="Verdana" w:hAnsi="Verdana" w:cs="Arial"/>
          <w:lang w:val="es-ES"/>
        </w:rPr>
        <w:t>.</w:t>
      </w:r>
    </w:p>
    <w:p w14:paraId="0114087B" w14:textId="77777777" w:rsidR="00B570E4" w:rsidRDefault="00B570E4" w:rsidP="00B570E4">
      <w:pPr>
        <w:spacing w:after="0" w:line="276" w:lineRule="auto"/>
        <w:jc w:val="both"/>
        <w:rPr>
          <w:rFonts w:ascii="Verdana" w:hAnsi="Verdana" w:cs="Arial"/>
          <w:lang w:val="es-ES_tradnl"/>
        </w:rPr>
      </w:pPr>
    </w:p>
    <w:p w14:paraId="7895FF5E" w14:textId="77777777" w:rsidR="00B570E4" w:rsidRPr="00D3378D" w:rsidRDefault="00B570E4" w:rsidP="00B570E4">
      <w:pPr>
        <w:spacing w:after="120" w:line="276" w:lineRule="auto"/>
        <w:ind w:firstLine="709"/>
        <w:jc w:val="both"/>
        <w:rPr>
          <w:rFonts w:ascii="Verdana" w:hAnsi="Verdana" w:cs="Arial"/>
          <w:lang w:val="es-ES"/>
        </w:rPr>
      </w:pPr>
      <w:r w:rsidRPr="13F13DAC">
        <w:rPr>
          <w:rFonts w:ascii="Verdana" w:hAnsi="Verdana" w:cs="Arial"/>
          <w:lang w:val="es-ES"/>
        </w:rPr>
        <w:t xml:space="preserve">Situación distinta se presenta si una Empresa Industrial y Comercial del Estado o una Sociedad de Economía Mixta actuarán como </w:t>
      </w:r>
      <w:r w:rsidRPr="13F13DAC">
        <w:rPr>
          <w:rFonts w:ascii="Verdana" w:hAnsi="Verdana" w:cs="Arial"/>
          <w:i/>
          <w:lang w:val="es-ES"/>
        </w:rPr>
        <w:t>oferentes</w:t>
      </w:r>
      <w:r w:rsidRPr="13F13DAC">
        <w:rPr>
          <w:rFonts w:ascii="Verdana" w:hAnsi="Verdana" w:cs="Arial"/>
          <w:lang w:val="es-ES"/>
        </w:rPr>
        <w:t xml:space="preserve"> y eventuales </w:t>
      </w:r>
      <w:r w:rsidRPr="13F13DAC">
        <w:rPr>
          <w:rFonts w:ascii="Verdana" w:hAnsi="Verdana" w:cs="Arial"/>
          <w:i/>
          <w:lang w:val="es-ES"/>
        </w:rPr>
        <w:t>contratistas</w:t>
      </w:r>
      <w:r w:rsidRPr="13F13DAC">
        <w:rPr>
          <w:rFonts w:ascii="Verdana" w:hAnsi="Verdana" w:cs="Arial"/>
          <w:lang w:val="es-ES"/>
        </w:rPr>
        <w:t xml:space="preserve"> de una entidad estatal sometida al Estatuto General de Contratación de la Administración Pública. Si para el procedimiento contractual en el que estas entidades presentaran su oferta no cabe ninguna de las excepciones del artículo 6, inciso 2, de la Ley 1150 de 2007, entonces debe estar inscrita en el RUP como requisito para participar. </w:t>
      </w:r>
    </w:p>
    <w:p w14:paraId="2D72AB31" w14:textId="77777777" w:rsidR="00B570E4" w:rsidRDefault="00B570E4" w:rsidP="00B570E4">
      <w:pPr>
        <w:spacing w:after="120" w:line="276" w:lineRule="auto"/>
        <w:ind w:firstLine="709"/>
        <w:jc w:val="both"/>
        <w:rPr>
          <w:rFonts w:ascii="Verdana" w:hAnsi="Verdana" w:cs="Arial"/>
          <w:color w:val="000000" w:themeColor="text1"/>
        </w:rPr>
      </w:pPr>
      <w:r w:rsidRPr="00D3378D">
        <w:rPr>
          <w:rFonts w:ascii="Verdana" w:hAnsi="Verdana" w:cs="Arial"/>
          <w:lang w:val="es-ES_tradnl"/>
        </w:rPr>
        <w:t xml:space="preserve">En </w:t>
      </w:r>
      <w:r>
        <w:rPr>
          <w:rFonts w:ascii="Verdana" w:hAnsi="Verdana" w:cs="Arial"/>
          <w:lang w:val="es-ES_tradnl"/>
        </w:rPr>
        <w:t xml:space="preserve">este sentido, se concluye que el alcance del </w:t>
      </w:r>
      <w:r w:rsidRPr="00D3378D">
        <w:rPr>
          <w:rFonts w:ascii="Verdana" w:hAnsi="Verdana" w:cs="Arial"/>
          <w:lang w:val="es-ES_tradnl"/>
        </w:rPr>
        <w:t xml:space="preserve">inciso </w:t>
      </w:r>
      <w:r>
        <w:rPr>
          <w:rFonts w:ascii="Verdana" w:hAnsi="Verdana" w:cs="Arial"/>
          <w:lang w:val="es-ES_tradnl"/>
        </w:rPr>
        <w:t xml:space="preserve">2 </w:t>
      </w:r>
      <w:r w:rsidRPr="00D3378D">
        <w:rPr>
          <w:rFonts w:ascii="Verdana" w:hAnsi="Verdana" w:cs="Arial"/>
          <w:lang w:val="es-ES_tradnl"/>
        </w:rPr>
        <w:t>del artículo 6 de la Ley 1150 de 2007</w:t>
      </w:r>
      <w:r>
        <w:rPr>
          <w:rFonts w:ascii="Verdana" w:hAnsi="Verdana" w:cs="Arial"/>
          <w:lang w:val="es-ES_tradnl"/>
        </w:rPr>
        <w:t xml:space="preserve">, se encuentra determinado por el </w:t>
      </w:r>
      <w:r w:rsidRPr="00D3378D">
        <w:rPr>
          <w:rFonts w:ascii="Verdana" w:hAnsi="Verdana" w:cs="Arial"/>
          <w:lang w:val="es-ES_tradnl"/>
        </w:rPr>
        <w:t>artículo 2, numeral 2, literal g) de la Ley 1150 de 2007</w:t>
      </w:r>
      <w:r>
        <w:rPr>
          <w:rFonts w:ascii="Verdana" w:hAnsi="Verdana" w:cs="Arial"/>
          <w:lang w:val="es-ES_tradnl"/>
        </w:rPr>
        <w:t xml:space="preserve">, en el entendido en que su aplicación procede cuando a </w:t>
      </w:r>
      <w:r w:rsidRPr="00D3378D">
        <w:rPr>
          <w:rFonts w:ascii="Verdana" w:hAnsi="Verdana" w:cs="Arial"/>
          <w:lang w:val="es-ES_tradnl"/>
        </w:rPr>
        <w:t xml:space="preserve">las </w:t>
      </w:r>
      <w:r>
        <w:rPr>
          <w:rFonts w:ascii="Verdana" w:hAnsi="Verdana" w:cs="Arial"/>
          <w:lang w:val="es-ES_tradnl"/>
        </w:rPr>
        <w:t xml:space="preserve">Empresas Industriales y Comerciales del Estado y las Sociedades de Economía Mixta se encuentran </w:t>
      </w:r>
      <w:r>
        <w:rPr>
          <w:rFonts w:ascii="Verdana" w:eastAsia="Verdana" w:hAnsi="Verdana" w:cs="Verdana"/>
          <w:lang w:val="es-ES"/>
        </w:rPr>
        <w:t>sometidas al Estatuto</w:t>
      </w:r>
      <w:r>
        <w:rPr>
          <w:rFonts w:ascii="Verdana" w:eastAsia="Verdana" w:hAnsi="Verdana" w:cs="Verdana"/>
          <w:spacing w:val="-8"/>
          <w:lang w:val="es-ES"/>
        </w:rPr>
        <w:t xml:space="preserve"> </w:t>
      </w:r>
      <w:r>
        <w:rPr>
          <w:rFonts w:ascii="Verdana" w:eastAsia="Verdana" w:hAnsi="Verdana" w:cs="Verdana"/>
          <w:lang w:val="es-ES"/>
        </w:rPr>
        <w:t>General</w:t>
      </w:r>
      <w:r>
        <w:rPr>
          <w:rFonts w:ascii="Verdana" w:eastAsia="Verdana" w:hAnsi="Verdana" w:cs="Verdana"/>
          <w:spacing w:val="-9"/>
          <w:lang w:val="es-ES"/>
        </w:rPr>
        <w:t xml:space="preserve"> </w:t>
      </w:r>
      <w:r>
        <w:rPr>
          <w:rFonts w:ascii="Verdana" w:eastAsia="Verdana" w:hAnsi="Verdana" w:cs="Verdana"/>
          <w:lang w:val="es-ES"/>
        </w:rPr>
        <w:t>de</w:t>
      </w:r>
      <w:r>
        <w:rPr>
          <w:rFonts w:ascii="Verdana" w:eastAsia="Verdana" w:hAnsi="Verdana" w:cs="Verdana"/>
          <w:spacing w:val="-10"/>
          <w:lang w:val="es-ES"/>
        </w:rPr>
        <w:t xml:space="preserve"> </w:t>
      </w:r>
      <w:r>
        <w:rPr>
          <w:rFonts w:ascii="Verdana" w:eastAsia="Verdana" w:hAnsi="Verdana" w:cs="Verdana"/>
          <w:lang w:val="es-ES"/>
        </w:rPr>
        <w:t>Contratación</w:t>
      </w:r>
      <w:r>
        <w:rPr>
          <w:rFonts w:ascii="Verdana" w:eastAsia="Verdana" w:hAnsi="Verdana" w:cs="Verdana"/>
          <w:spacing w:val="-9"/>
          <w:lang w:val="es-ES"/>
        </w:rPr>
        <w:t xml:space="preserve"> </w:t>
      </w:r>
      <w:r>
        <w:rPr>
          <w:rFonts w:ascii="Verdana" w:eastAsia="Verdana" w:hAnsi="Verdana" w:cs="Verdana"/>
          <w:lang w:val="es-ES"/>
        </w:rPr>
        <w:t>de</w:t>
      </w:r>
      <w:r>
        <w:rPr>
          <w:rFonts w:ascii="Verdana" w:eastAsia="Verdana" w:hAnsi="Verdana" w:cs="Verdana"/>
          <w:spacing w:val="-10"/>
          <w:lang w:val="es-ES"/>
        </w:rPr>
        <w:t xml:space="preserve"> </w:t>
      </w:r>
      <w:r>
        <w:rPr>
          <w:rFonts w:ascii="Verdana" w:eastAsia="Verdana" w:hAnsi="Verdana" w:cs="Verdana"/>
          <w:lang w:val="es-ES"/>
        </w:rPr>
        <w:t>la</w:t>
      </w:r>
      <w:r>
        <w:rPr>
          <w:rFonts w:ascii="Verdana" w:eastAsia="Verdana" w:hAnsi="Verdana" w:cs="Verdana"/>
          <w:spacing w:val="-11"/>
          <w:lang w:val="es-ES"/>
        </w:rPr>
        <w:t xml:space="preserve"> </w:t>
      </w:r>
      <w:r>
        <w:rPr>
          <w:rFonts w:ascii="Verdana" w:eastAsia="Verdana" w:hAnsi="Verdana" w:cs="Verdana"/>
          <w:lang w:val="es-ES"/>
        </w:rPr>
        <w:t>Administración</w:t>
      </w:r>
      <w:r>
        <w:rPr>
          <w:rFonts w:ascii="Verdana" w:eastAsia="Verdana" w:hAnsi="Verdana" w:cs="Verdana"/>
          <w:spacing w:val="-9"/>
          <w:lang w:val="es-ES"/>
        </w:rPr>
        <w:t xml:space="preserve"> </w:t>
      </w:r>
      <w:r>
        <w:rPr>
          <w:rFonts w:ascii="Verdana" w:eastAsia="Verdana" w:hAnsi="Verdana" w:cs="Verdana"/>
          <w:lang w:val="es-ES"/>
        </w:rPr>
        <w:t xml:space="preserve">Pública y estas actúan como contratantes. Por tanto, al encontrarse sometidas al EGCAP deberán acudir a la causal de contratación de selección abreviada para la celebración de los contratos que tengan por objeto directo las actividades comerciales e industriales propias de la </w:t>
      </w:r>
      <w:r>
        <w:rPr>
          <w:rFonts w:ascii="Verdana" w:hAnsi="Verdana" w:cs="Arial"/>
          <w:lang w:val="es-ES_tradnl"/>
        </w:rPr>
        <w:t xml:space="preserve">Empresas Industriales y Comerciales del Estado y las Sociedades de Economía Mixta, </w:t>
      </w:r>
      <w:r w:rsidRPr="00F67526">
        <w:rPr>
          <w:rFonts w:ascii="Verdana" w:hAnsi="Verdana" w:cs="Arial"/>
          <w:color w:val="000000" w:themeColor="text1"/>
        </w:rPr>
        <w:t>con excepción de los contratos que a título enunciativo identifica el artículo </w:t>
      </w:r>
      <w:hyperlink r:id="rId11" w:anchor="32" w:history="1">
        <w:r w:rsidRPr="00F67526">
          <w:rPr>
            <w:rStyle w:val="Hipervnculo"/>
            <w:rFonts w:ascii="Verdana" w:hAnsi="Verdana" w:cs="Arial"/>
            <w:color w:val="000000" w:themeColor="text1"/>
            <w:u w:val="none"/>
          </w:rPr>
          <w:t>32</w:t>
        </w:r>
      </w:hyperlink>
      <w:r w:rsidRPr="00F67526">
        <w:rPr>
          <w:rFonts w:ascii="Verdana" w:hAnsi="Verdana" w:cs="Arial"/>
          <w:color w:val="000000" w:themeColor="text1"/>
        </w:rPr>
        <w:t> de la Ley 80 de 1993.</w:t>
      </w:r>
      <w:r>
        <w:rPr>
          <w:rFonts w:ascii="Verdana" w:hAnsi="Verdana" w:cs="Arial"/>
          <w:color w:val="000000" w:themeColor="text1"/>
        </w:rPr>
        <w:t xml:space="preserve"> Teniendo en cuenta que la norma se refiere de forma general a </w:t>
      </w:r>
      <w:r w:rsidRPr="0021379B">
        <w:rPr>
          <w:rFonts w:ascii="Verdana" w:hAnsi="Verdana" w:cs="Arial"/>
          <w:i/>
          <w:iCs/>
          <w:color w:val="000000" w:themeColor="text1"/>
        </w:rPr>
        <w:t>los actividades comerciales e industriales</w:t>
      </w:r>
      <w:r>
        <w:rPr>
          <w:rFonts w:ascii="Verdana" w:hAnsi="Verdana" w:cs="Arial"/>
          <w:color w:val="000000" w:themeColor="text1"/>
        </w:rPr>
        <w:t xml:space="preserve"> propias de</w:t>
      </w:r>
      <w:r w:rsidRPr="00252BB9">
        <w:rPr>
          <w:rFonts w:ascii="Verdana" w:eastAsia="Verdana" w:hAnsi="Verdana" w:cs="Verdana"/>
          <w:lang w:val="es-ES"/>
        </w:rPr>
        <w:t xml:space="preserve"> </w:t>
      </w:r>
      <w:r>
        <w:rPr>
          <w:rFonts w:ascii="Verdana" w:eastAsia="Verdana" w:hAnsi="Verdana" w:cs="Verdana"/>
          <w:lang w:val="es-ES"/>
        </w:rPr>
        <w:t xml:space="preserve">las </w:t>
      </w:r>
      <w:r>
        <w:rPr>
          <w:rFonts w:ascii="Verdana" w:hAnsi="Verdana" w:cs="Arial"/>
          <w:lang w:val="es-ES_tradnl"/>
        </w:rPr>
        <w:t>Empresas Industriales y Comerciales del Estado y las Sociedades de Economía Mixta</w:t>
      </w:r>
      <w:r>
        <w:rPr>
          <w:rFonts w:ascii="Verdana" w:hAnsi="Verdana" w:cs="Arial"/>
          <w:color w:val="000000" w:themeColor="text1"/>
        </w:rPr>
        <w:t xml:space="preserve">, se colige que se </w:t>
      </w:r>
      <w:r>
        <w:rPr>
          <w:rFonts w:ascii="Verdana" w:hAnsi="Verdana" w:cs="Arial"/>
          <w:color w:val="000000" w:themeColor="text1"/>
        </w:rPr>
        <w:lastRenderedPageBreak/>
        <w:t>trata de todas aquellas actividades de tal naturaleza que desarrollan en el marco de su objeto social. En tal caso, no podrán solicitar la presentación del RUP por cuanto estos actos y contratos se encuentran cobijados por la excepción del inciso 2 del artículo 6 de la Ley 1150 de 2007.</w:t>
      </w:r>
    </w:p>
    <w:p w14:paraId="231E475A" w14:textId="77777777" w:rsidR="00B570E4" w:rsidRPr="00203320" w:rsidRDefault="00B570E4" w:rsidP="00B570E4">
      <w:pPr>
        <w:spacing w:after="120" w:line="276" w:lineRule="auto"/>
        <w:ind w:firstLine="709"/>
        <w:jc w:val="both"/>
        <w:rPr>
          <w:rFonts w:ascii="Verdana" w:eastAsia="Verdana" w:hAnsi="Verdana" w:cs="Verdana"/>
          <w:lang w:val="es-ES"/>
        </w:rPr>
      </w:pPr>
      <w:r>
        <w:rPr>
          <w:rFonts w:ascii="Verdana" w:eastAsia="Verdana" w:hAnsi="Verdana" w:cs="Verdana"/>
          <w:lang w:val="es-ES"/>
        </w:rPr>
        <w:t>En suma, a cada Entidad Estatal le corresponde</w:t>
      </w:r>
      <w:r>
        <w:rPr>
          <w:rFonts w:ascii="Verdana" w:eastAsia="Verdana" w:hAnsi="Verdana" w:cs="Verdana"/>
          <w:spacing w:val="-12"/>
          <w:lang w:val="es-ES"/>
        </w:rPr>
        <w:t xml:space="preserve"> </w:t>
      </w:r>
      <w:r>
        <w:rPr>
          <w:rFonts w:ascii="Verdana" w:eastAsia="Verdana" w:hAnsi="Verdana" w:cs="Verdana"/>
          <w:lang w:val="es-ES"/>
        </w:rPr>
        <w:t>analizar</w:t>
      </w:r>
      <w:r>
        <w:rPr>
          <w:rFonts w:ascii="Verdana" w:eastAsia="Verdana" w:hAnsi="Verdana" w:cs="Verdana"/>
          <w:spacing w:val="-10"/>
          <w:lang w:val="es-ES"/>
        </w:rPr>
        <w:t xml:space="preserve"> </w:t>
      </w:r>
      <w:r>
        <w:rPr>
          <w:rFonts w:ascii="Verdana" w:eastAsia="Verdana" w:hAnsi="Verdana" w:cs="Verdana"/>
          <w:lang w:val="es-ES"/>
        </w:rPr>
        <w:t>si</w:t>
      </w:r>
      <w:r>
        <w:rPr>
          <w:rFonts w:ascii="Verdana" w:eastAsia="Verdana" w:hAnsi="Verdana" w:cs="Verdana"/>
          <w:spacing w:val="-11"/>
          <w:lang w:val="es-ES"/>
        </w:rPr>
        <w:t xml:space="preserve"> </w:t>
      </w:r>
      <w:r>
        <w:rPr>
          <w:rFonts w:ascii="Verdana" w:eastAsia="Verdana" w:hAnsi="Verdana" w:cs="Verdana"/>
          <w:lang w:val="es-ES"/>
        </w:rPr>
        <w:t>se</w:t>
      </w:r>
      <w:r>
        <w:rPr>
          <w:rFonts w:ascii="Verdana" w:eastAsia="Verdana" w:hAnsi="Verdana" w:cs="Verdana"/>
          <w:spacing w:val="-12"/>
          <w:lang w:val="es-ES"/>
        </w:rPr>
        <w:t xml:space="preserve"> </w:t>
      </w:r>
      <w:r>
        <w:rPr>
          <w:rFonts w:ascii="Verdana" w:eastAsia="Verdana" w:hAnsi="Verdana" w:cs="Verdana"/>
          <w:lang w:val="es-ES"/>
        </w:rPr>
        <w:t>encuentra</w:t>
      </w:r>
      <w:r>
        <w:rPr>
          <w:rFonts w:ascii="Verdana" w:eastAsia="Verdana" w:hAnsi="Verdana" w:cs="Verdana"/>
          <w:spacing w:val="-13"/>
          <w:lang w:val="es-ES"/>
        </w:rPr>
        <w:t xml:space="preserve"> </w:t>
      </w:r>
      <w:r>
        <w:rPr>
          <w:rFonts w:ascii="Verdana" w:eastAsia="Verdana" w:hAnsi="Verdana" w:cs="Verdana"/>
          <w:lang w:val="es-ES"/>
        </w:rPr>
        <w:t>en</w:t>
      </w:r>
      <w:r>
        <w:rPr>
          <w:rFonts w:ascii="Verdana" w:eastAsia="Verdana" w:hAnsi="Verdana" w:cs="Verdana"/>
          <w:spacing w:val="-11"/>
          <w:lang w:val="es-ES"/>
        </w:rPr>
        <w:t xml:space="preserve"> </w:t>
      </w:r>
      <w:r>
        <w:rPr>
          <w:rFonts w:ascii="Verdana" w:eastAsia="Verdana" w:hAnsi="Verdana" w:cs="Verdana"/>
          <w:lang w:val="es-ES"/>
        </w:rPr>
        <w:t>alguno</w:t>
      </w:r>
      <w:r>
        <w:rPr>
          <w:rFonts w:ascii="Verdana" w:eastAsia="Verdana" w:hAnsi="Verdana" w:cs="Verdana"/>
          <w:spacing w:val="-10"/>
          <w:lang w:val="es-ES"/>
        </w:rPr>
        <w:t xml:space="preserve"> </w:t>
      </w:r>
      <w:r>
        <w:rPr>
          <w:rFonts w:ascii="Verdana" w:eastAsia="Verdana" w:hAnsi="Verdana" w:cs="Verdana"/>
          <w:lang w:val="es-ES"/>
        </w:rPr>
        <w:t>de</w:t>
      </w:r>
      <w:r>
        <w:rPr>
          <w:rFonts w:ascii="Verdana" w:eastAsia="Verdana" w:hAnsi="Verdana" w:cs="Verdana"/>
          <w:spacing w:val="-12"/>
          <w:lang w:val="es-ES"/>
        </w:rPr>
        <w:t xml:space="preserve"> </w:t>
      </w:r>
      <w:r>
        <w:rPr>
          <w:rFonts w:ascii="Verdana" w:eastAsia="Verdana" w:hAnsi="Verdana" w:cs="Verdana"/>
          <w:lang w:val="es-ES"/>
        </w:rPr>
        <w:t>los</w:t>
      </w:r>
      <w:r>
        <w:rPr>
          <w:rFonts w:ascii="Verdana" w:eastAsia="Verdana" w:hAnsi="Verdana" w:cs="Verdana"/>
          <w:spacing w:val="-11"/>
          <w:lang w:val="es-ES"/>
        </w:rPr>
        <w:t xml:space="preserve"> </w:t>
      </w:r>
      <w:r>
        <w:rPr>
          <w:rFonts w:ascii="Verdana" w:eastAsia="Verdana" w:hAnsi="Verdana" w:cs="Verdana"/>
          <w:lang w:val="es-ES"/>
        </w:rPr>
        <w:t>supuestos</w:t>
      </w:r>
      <w:r>
        <w:rPr>
          <w:rFonts w:ascii="Verdana" w:eastAsia="Verdana" w:hAnsi="Verdana" w:cs="Verdana"/>
          <w:spacing w:val="-11"/>
          <w:lang w:val="es-ES"/>
        </w:rPr>
        <w:t xml:space="preserve"> </w:t>
      </w:r>
      <w:r>
        <w:rPr>
          <w:rFonts w:ascii="Verdana" w:eastAsia="Verdana" w:hAnsi="Verdana" w:cs="Verdana"/>
          <w:lang w:val="es-ES"/>
        </w:rPr>
        <w:t>establecidos</w:t>
      </w:r>
      <w:r>
        <w:rPr>
          <w:rFonts w:ascii="Verdana" w:eastAsia="Verdana" w:hAnsi="Verdana" w:cs="Verdana"/>
          <w:spacing w:val="-11"/>
          <w:lang w:val="es-ES"/>
        </w:rPr>
        <w:t xml:space="preserve"> </w:t>
      </w:r>
      <w:r>
        <w:rPr>
          <w:rFonts w:ascii="Verdana" w:eastAsia="Verdana" w:hAnsi="Verdana" w:cs="Verdana"/>
          <w:lang w:val="es-ES"/>
        </w:rPr>
        <w:t>en el artículo 14</w:t>
      </w:r>
      <w:r>
        <w:rPr>
          <w:rFonts w:ascii="Verdana" w:eastAsia="Verdana" w:hAnsi="Verdana" w:cs="Verdana"/>
          <w:spacing w:val="-1"/>
          <w:lang w:val="es-ES"/>
        </w:rPr>
        <w:t xml:space="preserve"> </w:t>
      </w:r>
      <w:r>
        <w:rPr>
          <w:rFonts w:ascii="Verdana" w:eastAsia="Verdana" w:hAnsi="Verdana" w:cs="Verdana"/>
          <w:lang w:val="es-ES"/>
        </w:rPr>
        <w:t>de la Ley</w:t>
      </w:r>
      <w:r>
        <w:rPr>
          <w:rFonts w:ascii="Verdana" w:eastAsia="Verdana" w:hAnsi="Verdana" w:cs="Verdana"/>
          <w:spacing w:val="-2"/>
          <w:lang w:val="es-ES"/>
        </w:rPr>
        <w:t xml:space="preserve"> </w:t>
      </w:r>
      <w:r>
        <w:rPr>
          <w:rFonts w:ascii="Verdana" w:eastAsia="Verdana" w:hAnsi="Verdana" w:cs="Verdana"/>
          <w:lang w:val="es-ES"/>
        </w:rPr>
        <w:t>1150 de 2007, para definir si</w:t>
      </w:r>
      <w:r>
        <w:rPr>
          <w:rFonts w:ascii="Verdana" w:eastAsia="Verdana" w:hAnsi="Verdana" w:cs="Verdana"/>
          <w:spacing w:val="-1"/>
          <w:lang w:val="es-ES"/>
        </w:rPr>
        <w:t xml:space="preserve"> </w:t>
      </w:r>
      <w:r>
        <w:rPr>
          <w:rFonts w:ascii="Verdana" w:eastAsia="Verdana" w:hAnsi="Verdana" w:cs="Verdana"/>
          <w:lang w:val="es-ES"/>
        </w:rPr>
        <w:t>su</w:t>
      </w:r>
      <w:r>
        <w:rPr>
          <w:rFonts w:ascii="Verdana" w:eastAsia="Verdana" w:hAnsi="Verdana" w:cs="Verdana"/>
          <w:spacing w:val="-1"/>
          <w:lang w:val="es-ES"/>
        </w:rPr>
        <w:t xml:space="preserve"> </w:t>
      </w:r>
      <w:r>
        <w:rPr>
          <w:rFonts w:ascii="Verdana" w:eastAsia="Verdana" w:hAnsi="Verdana" w:cs="Verdana"/>
          <w:lang w:val="es-ES"/>
        </w:rPr>
        <w:t>régimen contractual es el Estatuto General de Contratación de la Administración Pública o si están exceptuadas</w:t>
      </w:r>
      <w:r>
        <w:rPr>
          <w:rFonts w:ascii="Verdana" w:eastAsia="Verdana" w:hAnsi="Verdana" w:cs="Verdana"/>
          <w:spacing w:val="-20"/>
          <w:lang w:val="es-ES"/>
        </w:rPr>
        <w:t xml:space="preserve"> </w:t>
      </w:r>
      <w:r>
        <w:rPr>
          <w:rFonts w:ascii="Verdana" w:eastAsia="Verdana" w:hAnsi="Verdana" w:cs="Verdana"/>
          <w:lang w:val="es-ES"/>
        </w:rPr>
        <w:t>de</w:t>
      </w:r>
      <w:r>
        <w:rPr>
          <w:rFonts w:ascii="Verdana" w:eastAsia="Verdana" w:hAnsi="Verdana" w:cs="Verdana"/>
          <w:spacing w:val="-17"/>
          <w:lang w:val="es-ES"/>
        </w:rPr>
        <w:t xml:space="preserve"> </w:t>
      </w:r>
      <w:r>
        <w:rPr>
          <w:rFonts w:ascii="Verdana" w:eastAsia="Verdana" w:hAnsi="Verdana" w:cs="Verdana"/>
          <w:lang w:val="es-ES"/>
        </w:rPr>
        <w:t>él y, por</w:t>
      </w:r>
      <w:r>
        <w:rPr>
          <w:rFonts w:ascii="Verdana" w:eastAsia="Verdana" w:hAnsi="Verdana" w:cs="Verdana"/>
          <w:spacing w:val="-3"/>
          <w:lang w:val="es-ES"/>
        </w:rPr>
        <w:t xml:space="preserve"> </w:t>
      </w:r>
      <w:r>
        <w:rPr>
          <w:rFonts w:ascii="Verdana" w:eastAsia="Verdana" w:hAnsi="Verdana" w:cs="Verdana"/>
          <w:lang w:val="es-ES"/>
        </w:rPr>
        <w:t>tanto, si</w:t>
      </w:r>
      <w:r>
        <w:rPr>
          <w:rFonts w:ascii="Verdana" w:eastAsia="Verdana" w:hAnsi="Verdana" w:cs="Verdana"/>
          <w:spacing w:val="-4"/>
          <w:lang w:val="es-ES"/>
        </w:rPr>
        <w:t xml:space="preserve"> </w:t>
      </w:r>
      <w:r>
        <w:rPr>
          <w:rFonts w:ascii="Verdana" w:eastAsia="Verdana" w:hAnsi="Verdana" w:cs="Verdana"/>
          <w:lang w:val="es-ES"/>
        </w:rPr>
        <w:t>se rigen por un</w:t>
      </w:r>
      <w:r>
        <w:rPr>
          <w:rFonts w:ascii="Verdana" w:eastAsia="Verdana" w:hAnsi="Verdana" w:cs="Verdana"/>
          <w:spacing w:val="-4"/>
          <w:lang w:val="es-ES"/>
        </w:rPr>
        <w:t xml:space="preserve"> </w:t>
      </w:r>
      <w:r>
        <w:rPr>
          <w:rFonts w:ascii="Verdana" w:eastAsia="Verdana" w:hAnsi="Verdana" w:cs="Verdana"/>
          <w:lang w:val="es-ES"/>
        </w:rPr>
        <w:t>régimen especial, como</w:t>
      </w:r>
      <w:r>
        <w:rPr>
          <w:rFonts w:ascii="Verdana" w:eastAsia="Verdana" w:hAnsi="Verdana" w:cs="Verdana"/>
          <w:spacing w:val="-3"/>
          <w:lang w:val="es-ES"/>
        </w:rPr>
        <w:t xml:space="preserve"> </w:t>
      </w:r>
      <w:r>
        <w:rPr>
          <w:rFonts w:ascii="Verdana" w:eastAsia="Verdana" w:hAnsi="Verdana" w:cs="Verdana"/>
          <w:lang w:val="es-ES"/>
        </w:rPr>
        <w:t xml:space="preserve">sería el derecho privado. En caso de que la Empresa Industrial y Comercial del Estado y la Sociedad de Economía Mixta se rijan por el Estatuto General de Contratación de la Administración Pública le resultará aplicable el Decreto 1082 de 2015 y por ende adelantará el procedimiento de contratación en los términos del </w:t>
      </w:r>
      <w:r w:rsidRPr="00D3378D">
        <w:rPr>
          <w:rFonts w:ascii="Verdana" w:hAnsi="Verdana" w:cs="Arial"/>
          <w:lang w:val="es-ES_tradnl"/>
        </w:rPr>
        <w:t>artículo 2, numeral 2, literal g) de la Ley 1150 de 2007</w:t>
      </w:r>
      <w:r>
        <w:rPr>
          <w:rFonts w:ascii="Verdana" w:hAnsi="Verdana" w:cs="Arial"/>
          <w:lang w:val="es-ES_tradnl"/>
        </w:rPr>
        <w:t xml:space="preserve"> aplicando el alcance interpretativo del </w:t>
      </w:r>
      <w:r w:rsidRPr="00D3378D">
        <w:rPr>
          <w:rFonts w:ascii="Verdana" w:hAnsi="Verdana" w:cs="Arial"/>
          <w:lang w:val="es-ES_tradnl"/>
        </w:rPr>
        <w:t xml:space="preserve">inciso </w:t>
      </w:r>
      <w:r>
        <w:rPr>
          <w:rFonts w:ascii="Verdana" w:hAnsi="Verdana" w:cs="Arial"/>
          <w:lang w:val="es-ES_tradnl"/>
        </w:rPr>
        <w:t xml:space="preserve">2 </w:t>
      </w:r>
      <w:r w:rsidRPr="00D3378D">
        <w:rPr>
          <w:rFonts w:ascii="Verdana" w:hAnsi="Verdana" w:cs="Arial"/>
          <w:lang w:val="es-ES_tradnl"/>
        </w:rPr>
        <w:t>del artículo 6 de la Ley 1150 de 2007</w:t>
      </w:r>
      <w:r>
        <w:rPr>
          <w:rFonts w:ascii="Verdana" w:eastAsia="Verdana" w:hAnsi="Verdana" w:cs="Verdana"/>
          <w:lang w:val="es-ES"/>
        </w:rPr>
        <w:t>, por lo que no será exigible el RUP en estos casos.</w:t>
      </w:r>
    </w:p>
    <w:p w14:paraId="5BA40549" w14:textId="77777777" w:rsidR="00B570E4" w:rsidRPr="00D20014" w:rsidRDefault="00B570E4" w:rsidP="00B570E4">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Referencias normativas, jurisprudenciales y otras fuentes:</w:t>
      </w:r>
    </w:p>
    <w:p w14:paraId="3E6BA733" w14:textId="77777777" w:rsidR="00B570E4" w:rsidRPr="00D20014" w:rsidRDefault="00B570E4" w:rsidP="00B570E4">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570E4" w:rsidRPr="00D20014" w14:paraId="3275151C" w14:textId="77777777" w:rsidTr="00BB539A">
        <w:trPr>
          <w:trHeight w:val="440"/>
        </w:trPr>
        <w:tc>
          <w:tcPr>
            <w:tcW w:w="8647" w:type="dxa"/>
          </w:tcPr>
          <w:p w14:paraId="42FA15A9" w14:textId="77777777" w:rsidR="00B570E4" w:rsidRDefault="00B570E4" w:rsidP="00BB539A">
            <w:pPr>
              <w:widowControl w:val="0"/>
              <w:numPr>
                <w:ilvl w:val="0"/>
                <w:numId w:val="17"/>
              </w:numPr>
              <w:autoSpaceDE w:val="0"/>
              <w:autoSpaceDN w:val="0"/>
              <w:spacing w:line="276" w:lineRule="auto"/>
              <w:ind w:left="720"/>
              <w:jc w:val="both"/>
              <w:rPr>
                <w:rFonts w:ascii="Verdana" w:eastAsia="Calibri" w:hAnsi="Verdana" w:cs="Arial"/>
              </w:rPr>
            </w:pPr>
            <w:r>
              <w:rPr>
                <w:rFonts w:ascii="Verdana" w:eastAsia="Calibri" w:hAnsi="Verdana" w:cs="Arial"/>
              </w:rPr>
              <w:t>Ley 80 de 1993, artículo 2 y 3.</w:t>
            </w:r>
          </w:p>
          <w:p w14:paraId="0F1DCED6" w14:textId="77777777" w:rsidR="00B570E4" w:rsidRPr="005654AD" w:rsidRDefault="00B570E4" w:rsidP="00BB539A">
            <w:pPr>
              <w:widowControl w:val="0"/>
              <w:numPr>
                <w:ilvl w:val="0"/>
                <w:numId w:val="17"/>
              </w:numPr>
              <w:autoSpaceDE w:val="0"/>
              <w:autoSpaceDN w:val="0"/>
              <w:spacing w:line="276" w:lineRule="auto"/>
              <w:ind w:left="720"/>
              <w:jc w:val="both"/>
              <w:rPr>
                <w:rFonts w:ascii="Verdana" w:eastAsia="Calibri" w:hAnsi="Verdana" w:cs="Arial"/>
              </w:rPr>
            </w:pPr>
            <w:r>
              <w:rPr>
                <w:rFonts w:ascii="Verdana" w:eastAsia="Calibri" w:hAnsi="Verdana" w:cs="Arial"/>
              </w:rPr>
              <w:t xml:space="preserve">Ley 1150 de 2007, </w:t>
            </w:r>
            <w:r w:rsidRPr="00D3378D">
              <w:rPr>
                <w:rFonts w:ascii="Verdana" w:hAnsi="Verdana" w:cs="Arial"/>
                <w:lang w:val="es-ES_tradnl"/>
              </w:rPr>
              <w:t>artículo</w:t>
            </w:r>
            <w:r>
              <w:rPr>
                <w:rFonts w:ascii="Verdana" w:hAnsi="Verdana" w:cs="Arial"/>
                <w:lang w:val="es-ES_tradnl"/>
              </w:rPr>
              <w:t>s</w:t>
            </w:r>
            <w:r w:rsidRPr="00D3378D">
              <w:rPr>
                <w:rFonts w:ascii="Verdana" w:hAnsi="Verdana" w:cs="Arial"/>
                <w:lang w:val="es-ES_tradnl"/>
              </w:rPr>
              <w:t xml:space="preserve"> 2, numeral 2, literal g)</w:t>
            </w:r>
            <w:r>
              <w:rPr>
                <w:rFonts w:ascii="Verdana" w:hAnsi="Verdana" w:cs="Arial"/>
                <w:lang w:val="es-ES_tradnl"/>
              </w:rPr>
              <w:t>, 6 y 14.</w:t>
            </w:r>
          </w:p>
          <w:p w14:paraId="0594A470" w14:textId="77777777" w:rsidR="00B570E4" w:rsidRPr="007B2598" w:rsidRDefault="00B570E4" w:rsidP="00BB539A">
            <w:pPr>
              <w:widowControl w:val="0"/>
              <w:numPr>
                <w:ilvl w:val="0"/>
                <w:numId w:val="17"/>
              </w:numPr>
              <w:autoSpaceDE w:val="0"/>
              <w:autoSpaceDN w:val="0"/>
              <w:spacing w:line="276" w:lineRule="auto"/>
              <w:ind w:left="720"/>
              <w:jc w:val="both"/>
              <w:rPr>
                <w:rFonts w:ascii="Verdana" w:eastAsia="Calibri" w:hAnsi="Verdana" w:cs="Arial"/>
              </w:rPr>
            </w:pPr>
            <w:r w:rsidRPr="007D55EC">
              <w:rPr>
                <w:rFonts w:ascii="Verdana" w:eastAsia="Calibri" w:hAnsi="Verdana" w:cs="Arial"/>
                <w:color w:val="000000"/>
                <w:lang w:val="es-ES_tradnl" w:eastAsia="es-ES_tradnl"/>
              </w:rPr>
              <w:t>Ley 489 de 1998</w:t>
            </w:r>
            <w:r>
              <w:rPr>
                <w:rFonts w:ascii="Verdana" w:eastAsia="Calibri" w:hAnsi="Verdana" w:cs="Arial"/>
                <w:color w:val="000000"/>
                <w:lang w:val="es-ES_tradnl" w:eastAsia="es-ES_tradnl"/>
              </w:rPr>
              <w:t>, artículo 97</w:t>
            </w:r>
          </w:p>
        </w:tc>
      </w:tr>
    </w:tbl>
    <w:p w14:paraId="50B7A465" w14:textId="77777777" w:rsidR="00B570E4" w:rsidRPr="00D20014" w:rsidRDefault="00B570E4" w:rsidP="00B570E4">
      <w:pPr>
        <w:widowControl w:val="0"/>
        <w:autoSpaceDE w:val="0"/>
        <w:autoSpaceDN w:val="0"/>
        <w:spacing w:after="0" w:line="276" w:lineRule="auto"/>
        <w:jc w:val="both"/>
        <w:rPr>
          <w:rFonts w:ascii="Verdana" w:eastAsia="Aptos" w:hAnsi="Verdana" w:cs="Arial"/>
        </w:rPr>
      </w:pPr>
    </w:p>
    <w:p w14:paraId="302A8CA3" w14:textId="77777777" w:rsidR="00B570E4" w:rsidRPr="00D20014" w:rsidRDefault="00B570E4" w:rsidP="00B570E4">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Doctrina de la Agencia Nacional de Contratación Pública:</w:t>
      </w:r>
    </w:p>
    <w:p w14:paraId="6B6209CD" w14:textId="77777777" w:rsidR="00B570E4" w:rsidRPr="00D20014" w:rsidRDefault="00B570E4" w:rsidP="00B570E4">
      <w:pPr>
        <w:widowControl w:val="0"/>
        <w:autoSpaceDE w:val="0"/>
        <w:autoSpaceDN w:val="0"/>
        <w:spacing w:after="0" w:line="276" w:lineRule="auto"/>
        <w:jc w:val="both"/>
        <w:rPr>
          <w:rFonts w:ascii="Verdana" w:eastAsia="Aptos" w:hAnsi="Verdana" w:cs="Arial"/>
        </w:rPr>
      </w:pPr>
    </w:p>
    <w:p w14:paraId="2B1EED58" w14:textId="77777777" w:rsidR="00B570E4" w:rsidRPr="00F214C5" w:rsidRDefault="00B570E4" w:rsidP="00B570E4">
      <w:pPr>
        <w:spacing w:after="0" w:line="276" w:lineRule="auto"/>
        <w:jc w:val="both"/>
        <w:rPr>
          <w:rFonts w:ascii="Verdana" w:eastAsia="Calibri" w:hAnsi="Verdana" w:cs="Times New Roman"/>
          <w:color w:val="000000"/>
        </w:rPr>
      </w:pPr>
      <w:r>
        <w:rPr>
          <w:rFonts w:ascii="Verdana" w:eastAsia="Calibri" w:hAnsi="Verdana" w:cs="Times New Roman"/>
          <w:color w:val="000000"/>
        </w:rPr>
        <w:t xml:space="preserve">La Agencia Nacional de Contratación Pública − Colombia Compra Eficiente se pronunció sobre la naturaleza jurídica y el régimen de contratación de las Empresas Industriales y Comerciales del Estado en los conceptos 2201913000009314 del 17 de diciembre de 2019 –dentro del radicado 4201913000001662–, C-251 del 27 de mayo de 2020, C–253 de 2 de junio de 2021 , C-280 del 6 de julio de 2020, C-616 de 3 de noviembre de 2021, C-176 del 6 de abril de 2022 , C-857 de 13 diciembre de 2022, C-501 de 30 de septiembre de 2024, C-424 del 13 de mayo de 2025 y 973 de 2025. Asimismo, </w:t>
      </w:r>
      <w:r w:rsidRPr="00D20014">
        <w:rPr>
          <w:rFonts w:ascii="Verdana" w:eastAsia="Times New Roman" w:hAnsi="Verdana" w:cs="Arial"/>
          <w:lang w:val="es-ES_tradnl" w:eastAsia="es-ES_tradnl"/>
        </w:rPr>
        <w:t xml:space="preserve">se ha pronunciado sobre </w:t>
      </w:r>
      <w:r w:rsidRPr="00D20014">
        <w:rPr>
          <w:rFonts w:ascii="Verdana" w:eastAsia="Times New Roman" w:hAnsi="Verdana" w:cs="Arial"/>
          <w:lang w:eastAsia="es-ES_tradnl"/>
        </w:rPr>
        <w:t>el alcance del</w:t>
      </w:r>
      <w:r>
        <w:rPr>
          <w:rFonts w:ascii="Verdana" w:eastAsia="Times New Roman" w:hAnsi="Verdana" w:cs="Arial"/>
          <w:lang w:eastAsia="es-ES_tradnl"/>
        </w:rPr>
        <w:t xml:space="preserve"> inciso segundo del artículo 6 de la Ley 1150 de 2007 respecto de las Empresas Industriales y Comerciales del Estado y las Sociedades de Economía Mixta en los conceptos </w:t>
      </w:r>
      <w:r w:rsidRPr="00D9087C">
        <w:rPr>
          <w:rFonts w:ascii="Verdana" w:hAnsi="Verdana" w:cs="Arial"/>
          <w:color w:val="000000" w:themeColor="text1"/>
          <w:lang w:val="es-ES_tradnl"/>
        </w:rPr>
        <w:t>C-133 del 7 de abril de 2021 y C-416 del 18 de agosto de 2021 y C-205 del 20 de junio de 2023</w:t>
      </w:r>
      <w:r w:rsidRPr="00D9087C">
        <w:rPr>
          <w:rFonts w:ascii="Verdana" w:hAnsi="Verdana"/>
        </w:rPr>
        <w:t xml:space="preserve">. </w:t>
      </w:r>
      <w:r w:rsidRPr="00D9087C">
        <w:rPr>
          <w:rFonts w:ascii="Verdana" w:eastAsia="Aptos" w:hAnsi="Verdana" w:cs="Arial"/>
          <w:shd w:val="clear" w:color="auto" w:fill="FFFFFF"/>
          <w:lang w:val="es-ES"/>
        </w:rPr>
        <w:t>Es</w:t>
      </w:r>
      <w:r w:rsidRPr="00D9087C">
        <w:rPr>
          <w:rFonts w:ascii="Verdana" w:eastAsia="Aptos" w:hAnsi="Verdana" w:cs="Times New Roman"/>
        </w:rPr>
        <w:t xml:space="preserve">tos </w:t>
      </w:r>
      <w:r w:rsidRPr="00D9087C">
        <w:rPr>
          <w:rFonts w:ascii="Verdana" w:eastAsia="Aptos" w:hAnsi="Verdana" w:cs="Times New Roman"/>
        </w:rPr>
        <w:lastRenderedPageBreak/>
        <w:t>conceptos se encuentran disponibles para consulta en el Sistema de relatoría</w:t>
      </w:r>
      <w:r w:rsidRPr="00D20014">
        <w:rPr>
          <w:rFonts w:ascii="Verdana" w:eastAsia="Aptos" w:hAnsi="Verdana" w:cs="Times New Roman"/>
        </w:rPr>
        <w:t xml:space="preserve"> de la Agencia, al cual se puede acceder a través del siguiente enlace:</w:t>
      </w:r>
      <w:r w:rsidRPr="00D20014">
        <w:rPr>
          <w:rFonts w:ascii="Verdana" w:eastAsia="Aptos" w:hAnsi="Verdana" w:cs="Arial"/>
          <w:shd w:val="clear" w:color="auto" w:fill="FFFFFF"/>
          <w:lang w:val="es-ES"/>
        </w:rPr>
        <w:t xml:space="preserve"> </w:t>
      </w:r>
      <w:hyperlink r:id="rId12" w:history="1">
        <w:r w:rsidRPr="00D20014">
          <w:rPr>
            <w:rFonts w:ascii="Verdana" w:eastAsia="Aptos" w:hAnsi="Verdana" w:cs="Arial"/>
            <w:color w:val="0000FF"/>
            <w:u w:val="single"/>
            <w:shd w:val="clear" w:color="auto" w:fill="FFFFFF"/>
            <w:lang w:val="es-ES"/>
          </w:rPr>
          <w:t>https://relatoria.colombiacompra.gov.co/busqueda/conceptos</w:t>
        </w:r>
      </w:hyperlink>
      <w:r w:rsidRPr="00D20014">
        <w:rPr>
          <w:rFonts w:ascii="Verdana" w:eastAsia="Aptos" w:hAnsi="Verdana" w:cs="Arial"/>
          <w:color w:val="FF0000"/>
          <w:shd w:val="clear" w:color="auto" w:fill="FFFFFF"/>
          <w:lang w:val="es-ES"/>
        </w:rPr>
        <w:t xml:space="preserve">. </w:t>
      </w:r>
    </w:p>
    <w:p w14:paraId="5C8403C9" w14:textId="77777777" w:rsidR="00B570E4" w:rsidRPr="00D20014" w:rsidRDefault="00B570E4" w:rsidP="00B570E4">
      <w:pPr>
        <w:spacing w:after="0" w:line="240" w:lineRule="auto"/>
        <w:jc w:val="both"/>
        <w:rPr>
          <w:rFonts w:ascii="Verdana" w:eastAsia="Calibri" w:hAnsi="Verdana" w:cs="Arial"/>
          <w:color w:val="000000"/>
          <w:shd w:val="clear" w:color="auto" w:fill="FFFFFF"/>
        </w:rPr>
      </w:pPr>
    </w:p>
    <w:p w14:paraId="4F922669" w14:textId="77777777" w:rsidR="00B570E4" w:rsidRPr="0097735F" w:rsidRDefault="00B570E4" w:rsidP="00B570E4">
      <w:pPr>
        <w:shd w:val="clear" w:color="auto" w:fill="FFFFFF"/>
        <w:spacing w:after="0" w:line="276" w:lineRule="auto"/>
        <w:jc w:val="both"/>
        <w:rPr>
          <w:rFonts w:ascii="Verdana" w:hAnsi="Verdana"/>
          <w:color w:val="467886"/>
          <w:u w:val="single"/>
        </w:rPr>
      </w:pPr>
      <w:r w:rsidRPr="0097735F">
        <w:rPr>
          <w:rFonts w:ascii="Verdana" w:hAnsi="Verdana"/>
          <w:color w:val="000000"/>
        </w:rPr>
        <w:t>Te informamos que ya se encuentra disponible la </w:t>
      </w:r>
      <w:r w:rsidRPr="0097735F">
        <w:rPr>
          <w:rFonts w:ascii="Verdana" w:hAnsi="Verdana"/>
          <w:b/>
          <w:bCs/>
          <w:color w:val="000000"/>
        </w:rPr>
        <w:t>Guía de lineamientos de transparencia y selección objetiva para el departamento de La Guajira – Objetivo sexto constitucional de la Sentencia T-302 del 2017. </w:t>
      </w:r>
      <w:r w:rsidRPr="0097735F">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7735F">
        <w:rPr>
          <w:rFonts w:ascii="Verdana" w:hAnsi="Verdana"/>
          <w:color w:val="000000"/>
        </w:rPr>
        <w:t>Wayúu</w:t>
      </w:r>
      <w:proofErr w:type="spellEnd"/>
      <w:r w:rsidRPr="0097735F">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97735F">
          <w:rPr>
            <w:rFonts w:ascii="Verdana" w:hAnsi="Verdana"/>
            <w:color w:val="0000FF"/>
            <w:u w:val="single"/>
          </w:rPr>
          <w:t>Guía de lineamientos de transparencia y selección objetiva para el departamento de La Guajira – Objetivo sexto constitucional de la Sentencia T-302 del 2017</w:t>
        </w:r>
      </w:hyperlink>
      <w:r w:rsidRPr="0097735F">
        <w:rPr>
          <w:rFonts w:ascii="Verdana" w:hAnsi="Verdana"/>
          <w:color w:val="000000"/>
          <w:u w:val="single"/>
        </w:rPr>
        <w:t>".</w:t>
      </w:r>
    </w:p>
    <w:p w14:paraId="34D875AB" w14:textId="77777777" w:rsidR="00B570E4" w:rsidRPr="00D20014" w:rsidRDefault="00B570E4" w:rsidP="00B570E4">
      <w:pPr>
        <w:widowControl w:val="0"/>
        <w:autoSpaceDE w:val="0"/>
        <w:autoSpaceDN w:val="0"/>
        <w:spacing w:after="0" w:line="276" w:lineRule="auto"/>
        <w:jc w:val="both"/>
        <w:rPr>
          <w:rFonts w:ascii="Verdana" w:eastAsia="Aptos" w:hAnsi="Verdana" w:cs="Arial"/>
          <w:color w:val="FF0000"/>
          <w:shd w:val="clear" w:color="auto" w:fill="FFFFFF"/>
          <w:lang w:val="es-ES"/>
        </w:rPr>
      </w:pPr>
    </w:p>
    <w:p w14:paraId="6F26EDB2" w14:textId="77777777" w:rsidR="00B570E4" w:rsidRPr="00D20014" w:rsidRDefault="00B570E4" w:rsidP="00B570E4">
      <w:pPr>
        <w:widowControl w:val="0"/>
        <w:autoSpaceDE w:val="0"/>
        <w:autoSpaceDN w:val="0"/>
        <w:spacing w:after="0" w:line="276" w:lineRule="auto"/>
        <w:jc w:val="both"/>
        <w:rPr>
          <w:rFonts w:ascii="Verdana" w:eastAsia="Aptos" w:hAnsi="Verdana" w:cs="Arial"/>
          <w:lang w:val="es-ES_tradnl"/>
        </w:rPr>
      </w:pPr>
      <w:r w:rsidRPr="00D20014">
        <w:rPr>
          <w:rFonts w:ascii="Verdana" w:eastAsia="Aptos" w:hAnsi="Verdana" w:cs="Arial"/>
        </w:rPr>
        <w:t xml:space="preserve">Este concepto tiene el alcance previsto en el artículo 28 del Código de Procedimiento Administrativo y de lo Contencioso Administrativo </w:t>
      </w:r>
      <w:r w:rsidRPr="00D20014">
        <w:rPr>
          <w:rFonts w:ascii="Verdana" w:eastAsia="Aptos" w:hAnsi="Verdana" w:cs="Arial"/>
          <w:lang w:val="es-ES_tradnl"/>
        </w:rPr>
        <w:t>y las expresiones aquí utilizadas con mayúscula inicial deben ser entendidas con el significado que les otorga el artículo 2.2.1.1.1.3.1. del Decreto 1082 de 2015.</w:t>
      </w:r>
    </w:p>
    <w:p w14:paraId="4379B7EE" w14:textId="77777777" w:rsidR="00B570E4" w:rsidRPr="00D20014" w:rsidRDefault="00B570E4" w:rsidP="00B570E4">
      <w:pPr>
        <w:widowControl w:val="0"/>
        <w:autoSpaceDE w:val="0"/>
        <w:autoSpaceDN w:val="0"/>
        <w:spacing w:after="0" w:line="276" w:lineRule="auto"/>
        <w:jc w:val="both"/>
        <w:rPr>
          <w:rFonts w:ascii="Verdana" w:eastAsia="Aptos" w:hAnsi="Verdana" w:cs="Arial"/>
        </w:rPr>
      </w:pPr>
    </w:p>
    <w:p w14:paraId="2F91FF73" w14:textId="77777777" w:rsidR="00B570E4" w:rsidRDefault="00B570E4" w:rsidP="00B570E4">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F01BE64" w14:textId="46F8EDA8" w:rsidR="00B570E4" w:rsidRPr="00AC6E46" w:rsidRDefault="00ED0467" w:rsidP="00B570E4">
      <w:pPr>
        <w:spacing w:line="276" w:lineRule="auto"/>
        <w:jc w:val="center"/>
        <w:rPr>
          <w:rFonts w:ascii="Verdana" w:hAnsi="Verdana"/>
          <w:noProof/>
        </w:rPr>
      </w:pPr>
      <w:r>
        <w:rPr>
          <w:rFonts w:ascii="Verdana" w:hAnsi="Verdana"/>
          <w:noProof/>
        </w:rPr>
        <w:drawing>
          <wp:inline distT="0" distB="0" distL="0" distR="0" wp14:anchorId="56C214DB" wp14:editId="50E1A2FD">
            <wp:extent cx="3639058" cy="1343212"/>
            <wp:effectExtent l="0" t="0" r="0" b="0"/>
            <wp:docPr id="4543082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08234"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570E4" w:rsidRPr="00593A5F" w14:paraId="4324611A" w14:textId="77777777" w:rsidTr="00BB539A">
        <w:trPr>
          <w:trHeight w:val="315"/>
        </w:trPr>
        <w:tc>
          <w:tcPr>
            <w:tcW w:w="893" w:type="dxa"/>
            <w:vAlign w:val="center"/>
            <w:hideMark/>
          </w:tcPr>
          <w:p w14:paraId="50F1AD1D" w14:textId="77777777" w:rsidR="00B570E4" w:rsidRPr="003751C7" w:rsidRDefault="00B570E4" w:rsidP="00BB539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28B0082" w14:textId="77777777" w:rsidR="00B570E4" w:rsidRPr="007911EE" w:rsidRDefault="00B570E4" w:rsidP="00BB539A">
            <w:pPr>
              <w:contextualSpacing/>
              <w:rPr>
                <w:rFonts w:ascii="Verdana" w:hAnsi="Verdana"/>
                <w:sz w:val="16"/>
                <w:szCs w:val="16"/>
              </w:rPr>
            </w:pPr>
            <w:r>
              <w:rPr>
                <w:rFonts w:ascii="Verdana" w:hAnsi="Verdana"/>
                <w:sz w:val="16"/>
                <w:szCs w:val="16"/>
              </w:rPr>
              <w:t>Gloria Elizabeth Arango Builes</w:t>
            </w:r>
          </w:p>
          <w:p w14:paraId="099F664E" w14:textId="77777777" w:rsidR="00B570E4" w:rsidRPr="007911EE" w:rsidRDefault="00B570E4" w:rsidP="00BB539A">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B570E4" w:rsidRPr="00593A5F" w14:paraId="76C44E39" w14:textId="77777777" w:rsidTr="00BB539A">
        <w:trPr>
          <w:trHeight w:val="330"/>
        </w:trPr>
        <w:tc>
          <w:tcPr>
            <w:tcW w:w="893" w:type="dxa"/>
            <w:vAlign w:val="center"/>
            <w:hideMark/>
          </w:tcPr>
          <w:p w14:paraId="65AE0712" w14:textId="77777777" w:rsidR="00B570E4" w:rsidRPr="003751C7" w:rsidRDefault="00B570E4" w:rsidP="00BB539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523B91" w14:textId="77777777" w:rsidR="00B570E4" w:rsidRDefault="00B570E4" w:rsidP="00BB539A">
            <w:pPr>
              <w:spacing w:line="276" w:lineRule="auto"/>
              <w:contextualSpacing/>
              <w:jc w:val="both"/>
              <w:rPr>
                <w:rFonts w:ascii="Verdana" w:hAnsi="Verdana"/>
                <w:sz w:val="16"/>
                <w:szCs w:val="16"/>
              </w:rPr>
            </w:pPr>
            <w:r>
              <w:rPr>
                <w:rFonts w:ascii="Verdana" w:hAnsi="Verdana"/>
                <w:sz w:val="16"/>
                <w:szCs w:val="16"/>
              </w:rPr>
              <w:t xml:space="preserve">Juan Carlos González Vásquez </w:t>
            </w:r>
          </w:p>
          <w:p w14:paraId="4DC41772" w14:textId="77777777" w:rsidR="00B570E4" w:rsidRPr="007911EE" w:rsidRDefault="00B570E4" w:rsidP="00BB539A">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B570E4" w:rsidRPr="00593A5F" w14:paraId="5EA81536" w14:textId="77777777" w:rsidTr="00BB539A">
        <w:trPr>
          <w:trHeight w:val="330"/>
        </w:trPr>
        <w:tc>
          <w:tcPr>
            <w:tcW w:w="893" w:type="dxa"/>
            <w:vAlign w:val="center"/>
          </w:tcPr>
          <w:p w14:paraId="63F9CA6E" w14:textId="77777777" w:rsidR="00B570E4" w:rsidRPr="003751C7" w:rsidRDefault="00B570E4" w:rsidP="00BB539A">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D7C331" w14:textId="77777777" w:rsidR="00B570E4" w:rsidRPr="00EB1CF7" w:rsidRDefault="00B570E4" w:rsidP="00BB539A">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067F17C" w14:textId="77777777" w:rsidR="00B570E4" w:rsidRDefault="00B570E4" w:rsidP="00BB539A">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 xml:space="preserve"> ANCP – CCE</w:t>
            </w:r>
          </w:p>
        </w:tc>
      </w:tr>
    </w:tbl>
    <w:p w14:paraId="7142A509" w14:textId="77777777" w:rsidR="00B570E4" w:rsidRPr="00EA6F8B" w:rsidRDefault="00B570E4" w:rsidP="00B570E4"/>
    <w:p w14:paraId="24C2441B" w14:textId="77777777" w:rsidR="00B570E4" w:rsidRPr="00EA7EA8" w:rsidRDefault="00B570E4" w:rsidP="00B570E4"/>
    <w:sectPr w:rsidR="00B570E4" w:rsidRPr="00EA7EA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8C44A" w14:textId="77777777" w:rsidR="00EF0F1D" w:rsidRDefault="00EF0F1D" w:rsidP="004A1847">
      <w:pPr>
        <w:spacing w:after="0" w:line="240" w:lineRule="auto"/>
      </w:pPr>
      <w:r>
        <w:separator/>
      </w:r>
    </w:p>
  </w:endnote>
  <w:endnote w:type="continuationSeparator" w:id="0">
    <w:p w14:paraId="301FAC46" w14:textId="77777777" w:rsidR="00EF0F1D" w:rsidRDefault="00EF0F1D" w:rsidP="004A1847">
      <w:pPr>
        <w:spacing w:after="0" w:line="240" w:lineRule="auto"/>
      </w:pPr>
      <w:r>
        <w:continuationSeparator/>
      </w:r>
    </w:p>
  </w:endnote>
  <w:endnote w:type="continuationNotice" w:id="1">
    <w:p w14:paraId="6692840A" w14:textId="77777777" w:rsidR="00EF0F1D" w:rsidRDefault="00EF0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8053" w14:textId="77777777" w:rsidR="00EF0F1D" w:rsidRDefault="00EF0F1D" w:rsidP="004A1847">
      <w:pPr>
        <w:spacing w:after="0" w:line="240" w:lineRule="auto"/>
      </w:pPr>
      <w:r>
        <w:separator/>
      </w:r>
    </w:p>
  </w:footnote>
  <w:footnote w:type="continuationSeparator" w:id="0">
    <w:p w14:paraId="3F303594" w14:textId="77777777" w:rsidR="00EF0F1D" w:rsidRDefault="00EF0F1D" w:rsidP="004A1847">
      <w:pPr>
        <w:spacing w:after="0" w:line="240" w:lineRule="auto"/>
      </w:pPr>
      <w:r>
        <w:continuationSeparator/>
      </w:r>
    </w:p>
  </w:footnote>
  <w:footnote w:type="continuationNotice" w:id="1">
    <w:p w14:paraId="684F9A93" w14:textId="77777777" w:rsidR="00EF0F1D" w:rsidRDefault="00EF0F1D">
      <w:pPr>
        <w:spacing w:after="0" w:line="240" w:lineRule="auto"/>
      </w:pPr>
    </w:p>
  </w:footnote>
  <w:footnote w:id="2">
    <w:p w14:paraId="6E7A1A95" w14:textId="77777777" w:rsidR="00B570E4" w:rsidRPr="000B6999" w:rsidRDefault="00B570E4" w:rsidP="00B570E4">
      <w:pPr>
        <w:pStyle w:val="Textonotapie"/>
        <w:ind w:firstLine="708"/>
        <w:jc w:val="both"/>
        <w:rPr>
          <w:rFonts w:ascii="Verdana" w:hAnsi="Verdana" w:cs="Arial"/>
          <w:sz w:val="16"/>
          <w:szCs w:val="16"/>
        </w:rPr>
      </w:pPr>
      <w:r w:rsidRPr="000B6999">
        <w:rPr>
          <w:rStyle w:val="Refdenotaalpie"/>
          <w:rFonts w:ascii="Verdana" w:hAnsi="Verdana" w:cs="Arial"/>
          <w:sz w:val="16"/>
          <w:szCs w:val="16"/>
        </w:rPr>
        <w:footnoteRef/>
      </w:r>
      <w:r w:rsidRPr="000B6999">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5D5AC0A3"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a) Personería jurídica; </w:t>
      </w:r>
    </w:p>
    <w:p w14:paraId="7D9D0673"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b) Autonomía administrativa y financiera; </w:t>
      </w:r>
    </w:p>
    <w:p w14:paraId="0C0D76CC"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7B931DE3"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El capital de las empresas industriales y comerciales del Estado podrá estar representado en cuotas o acciones de igual valor nominal. </w:t>
      </w:r>
    </w:p>
    <w:p w14:paraId="55EE8CFE"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14:paraId="3BA3CC1B" w14:textId="77777777" w:rsidR="00B570E4" w:rsidRPr="000B6999" w:rsidRDefault="00B570E4" w:rsidP="00B570E4">
      <w:pPr>
        <w:pStyle w:val="Textonotapie"/>
        <w:ind w:firstLine="708"/>
        <w:jc w:val="both"/>
        <w:rPr>
          <w:rFonts w:ascii="Verdana" w:hAnsi="Verdana" w:cs="Arial"/>
          <w:sz w:val="16"/>
          <w:szCs w:val="16"/>
        </w:rPr>
      </w:pPr>
      <w:r w:rsidRPr="000B6999">
        <w:rPr>
          <w:rFonts w:ascii="Verdana" w:hAnsi="Verdana"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3">
    <w:p w14:paraId="15DA0DDD" w14:textId="77777777" w:rsidR="00B570E4" w:rsidRPr="000B6999" w:rsidRDefault="00B570E4" w:rsidP="00B570E4">
      <w:pPr>
        <w:spacing w:after="0" w:line="240" w:lineRule="auto"/>
        <w:ind w:right="49" w:firstLine="709"/>
        <w:contextualSpacing/>
        <w:jc w:val="both"/>
        <w:rPr>
          <w:rFonts w:ascii="Verdana" w:hAnsi="Verdana"/>
          <w:sz w:val="16"/>
          <w:szCs w:val="16"/>
        </w:rPr>
      </w:pPr>
      <w:r w:rsidRPr="000B6999">
        <w:rPr>
          <w:rStyle w:val="Refdenotaalpie"/>
          <w:rFonts w:ascii="Verdana" w:hAnsi="Verdana"/>
          <w:sz w:val="16"/>
          <w:szCs w:val="16"/>
        </w:rPr>
        <w:footnoteRef/>
      </w:r>
      <w:r w:rsidRPr="000B6999">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0B6999">
        <w:rPr>
          <w:rFonts w:ascii="Verdana" w:hAnsi="Verdana"/>
          <w:spacing w:val="-15"/>
          <w:sz w:val="16"/>
          <w:szCs w:val="16"/>
        </w:rPr>
        <w:t xml:space="preserve"> </w:t>
      </w:r>
      <w:r w:rsidRPr="000B6999">
        <w:rPr>
          <w:rFonts w:ascii="Verdana" w:hAnsi="Verdana"/>
          <w:sz w:val="16"/>
          <w:szCs w:val="16"/>
        </w:rPr>
        <w:t>y comerciales estatales y de las sociedades de economía mixta, con excepción de los contratos que a título enunciativo identifica el artículo 32 de esta ley”, o sea, los de obra, consultoría, prestación de servicios,</w:t>
      </w:r>
      <w:r w:rsidRPr="000B6999">
        <w:rPr>
          <w:rFonts w:ascii="Verdana" w:hAnsi="Verdana"/>
          <w:spacing w:val="-7"/>
          <w:sz w:val="16"/>
          <w:szCs w:val="16"/>
        </w:rPr>
        <w:t xml:space="preserve"> </w:t>
      </w:r>
      <w:r w:rsidRPr="000B6999">
        <w:rPr>
          <w:rFonts w:ascii="Verdana" w:hAnsi="Verdana"/>
          <w:sz w:val="16"/>
          <w:szCs w:val="16"/>
        </w:rPr>
        <w:t>concesión,</w:t>
      </w:r>
      <w:r w:rsidRPr="000B6999">
        <w:rPr>
          <w:rFonts w:ascii="Verdana" w:hAnsi="Verdana"/>
          <w:spacing w:val="-7"/>
          <w:sz w:val="16"/>
          <w:szCs w:val="16"/>
        </w:rPr>
        <w:t xml:space="preserve"> </w:t>
      </w:r>
      <w:r w:rsidRPr="000B6999">
        <w:rPr>
          <w:rFonts w:ascii="Verdana" w:hAnsi="Verdana"/>
          <w:sz w:val="16"/>
          <w:szCs w:val="16"/>
        </w:rPr>
        <w:t>encargos</w:t>
      </w:r>
      <w:r w:rsidRPr="000B6999">
        <w:rPr>
          <w:rFonts w:ascii="Verdana" w:hAnsi="Verdana"/>
          <w:spacing w:val="-7"/>
          <w:sz w:val="16"/>
          <w:szCs w:val="16"/>
        </w:rPr>
        <w:t xml:space="preserve"> </w:t>
      </w:r>
      <w:r w:rsidRPr="000B6999">
        <w:rPr>
          <w:rFonts w:ascii="Verdana" w:hAnsi="Verdana"/>
          <w:sz w:val="16"/>
          <w:szCs w:val="16"/>
        </w:rPr>
        <w:t>fiduciarios</w:t>
      </w:r>
      <w:r w:rsidRPr="000B6999">
        <w:rPr>
          <w:rFonts w:ascii="Verdana" w:hAnsi="Verdana"/>
          <w:spacing w:val="-7"/>
          <w:sz w:val="16"/>
          <w:szCs w:val="16"/>
        </w:rPr>
        <w:t xml:space="preserve"> </w:t>
      </w:r>
      <w:r w:rsidRPr="000B6999">
        <w:rPr>
          <w:rFonts w:ascii="Verdana" w:hAnsi="Verdana"/>
          <w:sz w:val="16"/>
          <w:szCs w:val="16"/>
        </w:rPr>
        <w:t>y</w:t>
      </w:r>
      <w:r w:rsidRPr="000B6999">
        <w:rPr>
          <w:rFonts w:ascii="Verdana" w:hAnsi="Verdana"/>
          <w:spacing w:val="-8"/>
          <w:sz w:val="16"/>
          <w:szCs w:val="16"/>
        </w:rPr>
        <w:t xml:space="preserve"> </w:t>
      </w:r>
      <w:r w:rsidRPr="000B6999">
        <w:rPr>
          <w:rFonts w:ascii="Verdana" w:hAnsi="Verdana"/>
          <w:sz w:val="16"/>
          <w:szCs w:val="16"/>
        </w:rPr>
        <w:t>fiducia</w:t>
      </w:r>
      <w:r w:rsidRPr="000B6999">
        <w:rPr>
          <w:rFonts w:ascii="Verdana" w:hAnsi="Verdana"/>
          <w:spacing w:val="-9"/>
          <w:sz w:val="16"/>
          <w:szCs w:val="16"/>
        </w:rPr>
        <w:t xml:space="preserve"> </w:t>
      </w:r>
      <w:r w:rsidRPr="000B6999">
        <w:rPr>
          <w:rFonts w:ascii="Verdana" w:hAnsi="Verdana"/>
          <w:sz w:val="16"/>
          <w:szCs w:val="16"/>
        </w:rPr>
        <w:t>pública,</w:t>
      </w:r>
      <w:r w:rsidRPr="000B6999">
        <w:rPr>
          <w:rFonts w:ascii="Verdana" w:hAnsi="Verdana"/>
          <w:spacing w:val="-7"/>
          <w:sz w:val="16"/>
          <w:szCs w:val="16"/>
        </w:rPr>
        <w:t xml:space="preserve"> </w:t>
      </w:r>
      <w:r w:rsidRPr="000B6999">
        <w:rPr>
          <w:rFonts w:ascii="Verdana" w:hAnsi="Verdana"/>
          <w:sz w:val="16"/>
          <w:szCs w:val="16"/>
        </w:rPr>
        <w:t>que</w:t>
      </w:r>
      <w:r w:rsidRPr="000B6999">
        <w:rPr>
          <w:rFonts w:ascii="Verdana" w:hAnsi="Verdana"/>
          <w:spacing w:val="-13"/>
          <w:sz w:val="16"/>
          <w:szCs w:val="16"/>
        </w:rPr>
        <w:t xml:space="preserve"> </w:t>
      </w:r>
      <w:r w:rsidRPr="000B6999">
        <w:rPr>
          <w:rFonts w:ascii="Verdana" w:hAnsi="Verdana"/>
          <w:sz w:val="16"/>
          <w:szCs w:val="16"/>
        </w:rPr>
        <w:t>se</w:t>
      </w:r>
      <w:r w:rsidRPr="000B6999">
        <w:rPr>
          <w:rFonts w:ascii="Verdana" w:hAnsi="Verdana"/>
          <w:spacing w:val="-8"/>
          <w:sz w:val="16"/>
          <w:szCs w:val="16"/>
        </w:rPr>
        <w:t xml:space="preserve"> </w:t>
      </w:r>
      <w:r w:rsidRPr="000B6999">
        <w:rPr>
          <w:rFonts w:ascii="Verdana" w:hAnsi="Verdana"/>
          <w:sz w:val="16"/>
          <w:szCs w:val="16"/>
        </w:rPr>
        <w:t>regirían</w:t>
      </w:r>
      <w:r w:rsidRPr="000B6999">
        <w:rPr>
          <w:rFonts w:ascii="Verdana" w:hAnsi="Verdana"/>
          <w:spacing w:val="-9"/>
          <w:sz w:val="16"/>
          <w:szCs w:val="16"/>
        </w:rPr>
        <w:t xml:space="preserve"> </w:t>
      </w:r>
      <w:r w:rsidRPr="000B6999">
        <w:rPr>
          <w:rFonts w:ascii="Verdana" w:hAnsi="Verdana"/>
          <w:sz w:val="16"/>
          <w:szCs w:val="16"/>
        </w:rPr>
        <w:t>por</w:t>
      </w:r>
      <w:r w:rsidRPr="000B6999">
        <w:rPr>
          <w:rFonts w:ascii="Verdana" w:hAnsi="Verdana"/>
          <w:spacing w:val="-7"/>
          <w:sz w:val="16"/>
          <w:szCs w:val="16"/>
        </w:rPr>
        <w:t xml:space="preserve"> </w:t>
      </w:r>
      <w:r w:rsidRPr="000B6999">
        <w:rPr>
          <w:rFonts w:ascii="Verdana" w:hAnsi="Verdana"/>
          <w:sz w:val="16"/>
          <w:szCs w:val="16"/>
        </w:rPr>
        <w:t>la</w:t>
      </w:r>
      <w:r w:rsidRPr="000B6999">
        <w:rPr>
          <w:rFonts w:ascii="Verdana" w:hAnsi="Verdana"/>
          <w:spacing w:val="-9"/>
          <w:sz w:val="16"/>
          <w:szCs w:val="16"/>
        </w:rPr>
        <w:t xml:space="preserve"> </w:t>
      </w:r>
      <w:r w:rsidRPr="000B6999">
        <w:rPr>
          <w:rFonts w:ascii="Verdana" w:hAnsi="Verdana"/>
          <w:sz w:val="16"/>
          <w:szCs w:val="16"/>
        </w:rPr>
        <w:t>regla</w:t>
      </w:r>
      <w:r w:rsidRPr="000B6999">
        <w:rPr>
          <w:rFonts w:ascii="Verdana" w:hAnsi="Verdana"/>
          <w:spacing w:val="-9"/>
          <w:sz w:val="16"/>
          <w:szCs w:val="16"/>
        </w:rPr>
        <w:t xml:space="preserve"> </w:t>
      </w:r>
      <w:r w:rsidRPr="000B6999">
        <w:rPr>
          <w:rFonts w:ascii="Verdana" w:hAnsi="Verdana"/>
          <w:sz w:val="16"/>
          <w:szCs w:val="16"/>
        </w:rPr>
        <w:t>general,</w:t>
      </w:r>
      <w:r w:rsidRPr="000B6999">
        <w:rPr>
          <w:rFonts w:ascii="Verdana" w:hAnsi="Verdana"/>
          <w:spacing w:val="-7"/>
          <w:sz w:val="16"/>
          <w:szCs w:val="16"/>
        </w:rPr>
        <w:t xml:space="preserve"> </w:t>
      </w:r>
      <w:r w:rsidRPr="000B6999">
        <w:rPr>
          <w:rFonts w:ascii="Verdana" w:hAnsi="Verdana"/>
          <w:sz w:val="16"/>
          <w:szCs w:val="16"/>
        </w:rPr>
        <w:t>salvo</w:t>
      </w:r>
      <w:r w:rsidRPr="000B6999">
        <w:rPr>
          <w:rFonts w:ascii="Verdana" w:hAnsi="Verdana"/>
          <w:spacing w:val="-10"/>
          <w:sz w:val="16"/>
          <w:szCs w:val="16"/>
        </w:rPr>
        <w:t xml:space="preserve"> </w:t>
      </w:r>
      <w:r w:rsidRPr="000B6999">
        <w:rPr>
          <w:rFonts w:ascii="Verdana" w:hAnsi="Verdana"/>
          <w:sz w:val="16"/>
          <w:szCs w:val="16"/>
        </w:rPr>
        <w:t>los</w:t>
      </w:r>
      <w:r w:rsidRPr="000B6999">
        <w:rPr>
          <w:rFonts w:ascii="Verdana" w:hAnsi="Verdana"/>
          <w:spacing w:val="-7"/>
          <w:sz w:val="16"/>
          <w:szCs w:val="16"/>
        </w:rPr>
        <w:t xml:space="preserve"> </w:t>
      </w:r>
      <w:r w:rsidRPr="000B6999">
        <w:rPr>
          <w:rFonts w:ascii="Verdana" w:hAnsi="Verdana"/>
          <w:sz w:val="16"/>
          <w:szCs w:val="16"/>
        </w:rPr>
        <w:t>casos de</w:t>
      </w:r>
      <w:r w:rsidRPr="000B6999">
        <w:rPr>
          <w:rFonts w:ascii="Verdana" w:hAnsi="Verdana"/>
          <w:spacing w:val="-2"/>
          <w:sz w:val="16"/>
          <w:szCs w:val="16"/>
        </w:rPr>
        <w:t xml:space="preserve"> </w:t>
      </w:r>
      <w:r w:rsidRPr="000B6999">
        <w:rPr>
          <w:rFonts w:ascii="Verdana" w:hAnsi="Verdana"/>
          <w:sz w:val="16"/>
          <w:szCs w:val="16"/>
        </w:rPr>
        <w:t>menor cuantía –previstos en el ordinal a), numeral 1 del artículo 24, original, de la Ley 80 de 1993</w:t>
      </w:r>
      <w:r w:rsidRPr="000B6999">
        <w:rPr>
          <w:rFonts w:ascii="Verdana" w:hAnsi="Verdana"/>
          <w:spacing w:val="-15"/>
          <w:sz w:val="16"/>
          <w:szCs w:val="16"/>
        </w:rPr>
        <w:t xml:space="preserve"> </w:t>
      </w:r>
      <w:r w:rsidRPr="000B6999">
        <w:rPr>
          <w:rFonts w:ascii="Verdana" w:hAnsi="Verdana"/>
          <w:sz w:val="16"/>
          <w:szCs w:val="16"/>
        </w:rPr>
        <w:t>–. Además,</w:t>
      </w:r>
      <w:r w:rsidRPr="000B6999">
        <w:rPr>
          <w:rFonts w:ascii="Verdana" w:hAnsi="Verdana"/>
          <w:spacing w:val="-1"/>
          <w:sz w:val="16"/>
          <w:szCs w:val="16"/>
        </w:rPr>
        <w:t xml:space="preserve"> </w:t>
      </w:r>
      <w:r w:rsidRPr="000B6999">
        <w:rPr>
          <w:rFonts w:ascii="Verdana" w:hAnsi="Verdana"/>
          <w:sz w:val="16"/>
          <w:szCs w:val="16"/>
        </w:rPr>
        <w:t>en</w:t>
      </w:r>
      <w:r w:rsidRPr="000B6999">
        <w:rPr>
          <w:rFonts w:ascii="Verdana" w:hAnsi="Verdana"/>
          <w:spacing w:val="-5"/>
          <w:sz w:val="16"/>
          <w:szCs w:val="16"/>
        </w:rPr>
        <w:t xml:space="preserve"> </w:t>
      </w:r>
      <w:r w:rsidRPr="000B6999">
        <w:rPr>
          <w:rFonts w:ascii="Verdana" w:hAnsi="Verdana"/>
          <w:sz w:val="16"/>
          <w:szCs w:val="16"/>
        </w:rPr>
        <w:t>el</w:t>
      </w:r>
      <w:r w:rsidRPr="000B6999">
        <w:rPr>
          <w:rFonts w:ascii="Verdana" w:hAnsi="Verdana"/>
          <w:spacing w:val="-2"/>
          <w:sz w:val="16"/>
          <w:szCs w:val="16"/>
        </w:rPr>
        <w:t xml:space="preserve"> </w:t>
      </w:r>
      <w:r w:rsidRPr="000B6999">
        <w:rPr>
          <w:rFonts w:ascii="Verdana" w:hAnsi="Verdana"/>
          <w:sz w:val="16"/>
          <w:szCs w:val="16"/>
        </w:rPr>
        <w:t>parágrafo</w:t>
      </w:r>
      <w:r w:rsidRPr="000B6999">
        <w:rPr>
          <w:rFonts w:ascii="Verdana" w:hAnsi="Verdana"/>
          <w:spacing w:val="-5"/>
          <w:sz w:val="16"/>
          <w:szCs w:val="16"/>
        </w:rPr>
        <w:t xml:space="preserve"> </w:t>
      </w:r>
      <w:r w:rsidRPr="000B6999">
        <w:rPr>
          <w:rFonts w:ascii="Verdana" w:hAnsi="Verdana"/>
          <w:sz w:val="16"/>
          <w:szCs w:val="16"/>
        </w:rPr>
        <w:t>del</w:t>
      </w:r>
      <w:r w:rsidRPr="000B6999">
        <w:rPr>
          <w:rFonts w:ascii="Verdana" w:hAnsi="Verdana"/>
          <w:spacing w:val="-2"/>
          <w:sz w:val="16"/>
          <w:szCs w:val="16"/>
        </w:rPr>
        <w:t xml:space="preserve"> </w:t>
      </w:r>
      <w:r w:rsidRPr="000B6999">
        <w:rPr>
          <w:rFonts w:ascii="Verdana" w:hAnsi="Verdana"/>
          <w:sz w:val="16"/>
          <w:szCs w:val="16"/>
        </w:rPr>
        <w:t>artículo</w:t>
      </w:r>
      <w:r w:rsidRPr="000B6999">
        <w:rPr>
          <w:rFonts w:ascii="Verdana" w:hAnsi="Verdana"/>
          <w:spacing w:val="-5"/>
          <w:sz w:val="16"/>
          <w:szCs w:val="16"/>
        </w:rPr>
        <w:t xml:space="preserve"> </w:t>
      </w:r>
      <w:r w:rsidRPr="000B6999">
        <w:rPr>
          <w:rFonts w:ascii="Verdana" w:hAnsi="Verdana"/>
          <w:sz w:val="16"/>
          <w:szCs w:val="16"/>
        </w:rPr>
        <w:t>14</w:t>
      </w:r>
      <w:r w:rsidRPr="000B6999">
        <w:rPr>
          <w:rFonts w:ascii="Verdana" w:hAnsi="Verdana"/>
          <w:spacing w:val="-5"/>
          <w:sz w:val="16"/>
          <w:szCs w:val="16"/>
        </w:rPr>
        <w:t xml:space="preserve"> </w:t>
      </w:r>
      <w:r w:rsidRPr="000B6999">
        <w:rPr>
          <w:rFonts w:ascii="Verdana" w:hAnsi="Verdana"/>
          <w:sz w:val="16"/>
          <w:szCs w:val="16"/>
        </w:rPr>
        <w:t>de</w:t>
      </w:r>
      <w:r w:rsidRPr="000B6999">
        <w:rPr>
          <w:rFonts w:ascii="Verdana" w:hAnsi="Verdana"/>
          <w:spacing w:val="-3"/>
          <w:sz w:val="16"/>
          <w:szCs w:val="16"/>
        </w:rPr>
        <w:t xml:space="preserve"> </w:t>
      </w:r>
      <w:r w:rsidRPr="000B6999">
        <w:rPr>
          <w:rFonts w:ascii="Verdana" w:hAnsi="Verdana"/>
          <w:sz w:val="16"/>
          <w:szCs w:val="16"/>
        </w:rPr>
        <w:t>la</w:t>
      </w:r>
      <w:r w:rsidRPr="000B6999">
        <w:rPr>
          <w:rFonts w:ascii="Verdana" w:hAnsi="Verdana"/>
          <w:spacing w:val="-4"/>
          <w:sz w:val="16"/>
          <w:szCs w:val="16"/>
        </w:rPr>
        <w:t xml:space="preserve"> </w:t>
      </w:r>
      <w:r w:rsidRPr="000B6999">
        <w:rPr>
          <w:rFonts w:ascii="Verdana" w:hAnsi="Verdana"/>
          <w:sz w:val="16"/>
          <w:szCs w:val="16"/>
        </w:rPr>
        <w:t>Ley</w:t>
      </w:r>
      <w:r w:rsidRPr="000B6999">
        <w:rPr>
          <w:rFonts w:ascii="Verdana" w:hAnsi="Verdana"/>
          <w:spacing w:val="-3"/>
          <w:sz w:val="16"/>
          <w:szCs w:val="16"/>
        </w:rPr>
        <w:t xml:space="preserve"> </w:t>
      </w:r>
      <w:r w:rsidRPr="000B6999">
        <w:rPr>
          <w:rFonts w:ascii="Verdana" w:hAnsi="Verdana"/>
          <w:sz w:val="16"/>
          <w:szCs w:val="16"/>
        </w:rPr>
        <w:t>80</w:t>
      </w:r>
      <w:r w:rsidRPr="000B6999">
        <w:rPr>
          <w:rFonts w:ascii="Verdana" w:hAnsi="Verdana"/>
          <w:spacing w:val="-5"/>
          <w:sz w:val="16"/>
          <w:szCs w:val="16"/>
        </w:rPr>
        <w:t xml:space="preserve"> </w:t>
      </w:r>
      <w:r w:rsidRPr="000B6999">
        <w:rPr>
          <w:rFonts w:ascii="Verdana" w:hAnsi="Verdana"/>
          <w:sz w:val="16"/>
          <w:szCs w:val="16"/>
        </w:rPr>
        <w:t>de</w:t>
      </w:r>
      <w:r w:rsidRPr="000B6999">
        <w:rPr>
          <w:rFonts w:ascii="Verdana" w:hAnsi="Verdana"/>
          <w:spacing w:val="-3"/>
          <w:sz w:val="16"/>
          <w:szCs w:val="16"/>
        </w:rPr>
        <w:t xml:space="preserve"> </w:t>
      </w:r>
      <w:r w:rsidRPr="000B6999">
        <w:rPr>
          <w:rFonts w:ascii="Verdana" w:hAnsi="Verdana"/>
          <w:sz w:val="16"/>
          <w:szCs w:val="16"/>
        </w:rPr>
        <w:t>1993,</w:t>
      </w:r>
      <w:r w:rsidRPr="000B6999">
        <w:rPr>
          <w:rFonts w:ascii="Verdana" w:hAnsi="Verdana"/>
          <w:spacing w:val="-1"/>
          <w:sz w:val="16"/>
          <w:szCs w:val="16"/>
        </w:rPr>
        <w:t xml:space="preserve"> </w:t>
      </w:r>
      <w:r w:rsidRPr="000B6999">
        <w:rPr>
          <w:rFonts w:ascii="Verdana" w:hAnsi="Verdana"/>
          <w:sz w:val="16"/>
          <w:szCs w:val="16"/>
        </w:rPr>
        <w:t>se</w:t>
      </w:r>
      <w:r w:rsidRPr="000B6999">
        <w:rPr>
          <w:rFonts w:ascii="Verdana" w:hAnsi="Verdana"/>
          <w:spacing w:val="-3"/>
          <w:sz w:val="16"/>
          <w:szCs w:val="16"/>
        </w:rPr>
        <w:t xml:space="preserve"> </w:t>
      </w:r>
      <w:r w:rsidRPr="000B6999">
        <w:rPr>
          <w:rFonts w:ascii="Verdana" w:hAnsi="Verdana"/>
          <w:sz w:val="16"/>
          <w:szCs w:val="16"/>
        </w:rPr>
        <w:t>señaló</w:t>
      </w:r>
      <w:r w:rsidRPr="000B6999">
        <w:rPr>
          <w:rFonts w:ascii="Verdana" w:hAnsi="Verdana"/>
          <w:spacing w:val="-5"/>
          <w:sz w:val="16"/>
          <w:szCs w:val="16"/>
        </w:rPr>
        <w:t xml:space="preserve"> </w:t>
      </w:r>
      <w:r w:rsidRPr="000B6999">
        <w:rPr>
          <w:rFonts w:ascii="Verdana" w:hAnsi="Verdana"/>
          <w:sz w:val="16"/>
          <w:szCs w:val="16"/>
        </w:rPr>
        <w:t>que</w:t>
      </w:r>
      <w:r w:rsidRPr="000B6999">
        <w:rPr>
          <w:rFonts w:ascii="Verdana" w:hAnsi="Verdana"/>
          <w:spacing w:val="-3"/>
          <w:sz w:val="16"/>
          <w:szCs w:val="16"/>
        </w:rPr>
        <w:t xml:space="preserve"> </w:t>
      </w:r>
      <w:r w:rsidRPr="000B6999">
        <w:rPr>
          <w:rFonts w:ascii="Verdana" w:hAnsi="Verdana"/>
          <w:sz w:val="16"/>
          <w:szCs w:val="16"/>
        </w:rPr>
        <w:t>“en</w:t>
      </w:r>
      <w:r w:rsidRPr="000B6999">
        <w:rPr>
          <w:rFonts w:ascii="Verdana" w:hAnsi="Verdana"/>
          <w:spacing w:val="-5"/>
          <w:sz w:val="16"/>
          <w:szCs w:val="16"/>
        </w:rPr>
        <w:t xml:space="preserve"> </w:t>
      </w:r>
      <w:r w:rsidRPr="000B6999">
        <w:rPr>
          <w:rFonts w:ascii="Verdana" w:hAnsi="Verdana"/>
          <w:sz w:val="16"/>
          <w:szCs w:val="16"/>
        </w:rPr>
        <w:t>los</w:t>
      </w:r>
      <w:r w:rsidRPr="000B6999">
        <w:rPr>
          <w:rFonts w:ascii="Verdana" w:hAnsi="Verdana"/>
          <w:spacing w:val="-2"/>
          <w:sz w:val="16"/>
          <w:szCs w:val="16"/>
        </w:rPr>
        <w:t xml:space="preserve"> </w:t>
      </w:r>
      <w:r w:rsidRPr="000B6999">
        <w:rPr>
          <w:rFonts w:ascii="Verdana" w:hAnsi="Verdana"/>
          <w:sz w:val="16"/>
          <w:szCs w:val="16"/>
        </w:rPr>
        <w:t>contratos</w:t>
      </w:r>
      <w:r w:rsidRPr="000B6999">
        <w:rPr>
          <w:rFonts w:ascii="Verdana" w:hAnsi="Verdana"/>
          <w:spacing w:val="-2"/>
          <w:sz w:val="16"/>
          <w:szCs w:val="16"/>
        </w:rPr>
        <w:t xml:space="preserve"> </w:t>
      </w:r>
      <w:r w:rsidRPr="000B6999">
        <w:rPr>
          <w:rFonts w:ascii="Verdana" w:hAnsi="Verdana"/>
          <w:sz w:val="16"/>
          <w:szCs w:val="16"/>
        </w:rPr>
        <w:t>que</w:t>
      </w:r>
      <w:r w:rsidRPr="000B6999">
        <w:rPr>
          <w:rFonts w:ascii="Verdana" w:hAnsi="Verdana"/>
          <w:spacing w:val="-3"/>
          <w:sz w:val="16"/>
          <w:szCs w:val="16"/>
        </w:rPr>
        <w:t xml:space="preserve"> </w:t>
      </w:r>
      <w:r w:rsidRPr="000B6999">
        <w:rPr>
          <w:rFonts w:ascii="Verdana" w:hAnsi="Verdana"/>
          <w:sz w:val="16"/>
          <w:szCs w:val="16"/>
        </w:rPr>
        <w:t>tengan</w:t>
      </w:r>
      <w:r w:rsidRPr="000B6999">
        <w:rPr>
          <w:rFonts w:ascii="Verdana" w:hAnsi="Verdana"/>
          <w:spacing w:val="-4"/>
          <w:sz w:val="16"/>
          <w:szCs w:val="16"/>
        </w:rPr>
        <w:t xml:space="preserve"> </w:t>
      </w:r>
      <w:r w:rsidRPr="000B6999">
        <w:rPr>
          <w:rFonts w:ascii="Verdana" w:hAnsi="Verdana"/>
          <w:sz w:val="16"/>
          <w:szCs w:val="16"/>
        </w:rPr>
        <w:t>por objeto</w:t>
      </w:r>
      <w:r w:rsidRPr="000B6999">
        <w:rPr>
          <w:rFonts w:ascii="Verdana" w:hAnsi="Verdana"/>
          <w:spacing w:val="-1"/>
          <w:sz w:val="16"/>
          <w:szCs w:val="16"/>
        </w:rPr>
        <w:t xml:space="preserve"> </w:t>
      </w:r>
      <w:r w:rsidRPr="000B6999">
        <w:rPr>
          <w:rFonts w:ascii="Verdana" w:hAnsi="Verdana"/>
          <w:sz w:val="16"/>
          <w:szCs w:val="16"/>
        </w:rPr>
        <w:t>actividades comerciales o</w:t>
      </w:r>
      <w:r w:rsidRPr="000B6999">
        <w:rPr>
          <w:rFonts w:ascii="Verdana" w:hAnsi="Verdana"/>
          <w:spacing w:val="-1"/>
          <w:sz w:val="16"/>
          <w:szCs w:val="16"/>
        </w:rPr>
        <w:t xml:space="preserve"> </w:t>
      </w:r>
      <w:r w:rsidRPr="000B6999">
        <w:rPr>
          <w:rFonts w:ascii="Verdana" w:hAnsi="Verdana"/>
          <w:sz w:val="16"/>
          <w:szCs w:val="16"/>
        </w:rPr>
        <w:t>industriales de las entidades</w:t>
      </w:r>
      <w:r w:rsidRPr="000B6999">
        <w:rPr>
          <w:rFonts w:ascii="Verdana" w:hAnsi="Verdana"/>
          <w:spacing w:val="-3"/>
          <w:sz w:val="16"/>
          <w:szCs w:val="16"/>
        </w:rPr>
        <w:t xml:space="preserve"> </w:t>
      </w:r>
      <w:r w:rsidRPr="000B6999">
        <w:rPr>
          <w:rFonts w:ascii="Verdana" w:hAnsi="Verdana"/>
          <w:sz w:val="16"/>
          <w:szCs w:val="16"/>
        </w:rPr>
        <w:t>estatales que no</w:t>
      </w:r>
      <w:r w:rsidRPr="000B6999">
        <w:rPr>
          <w:rFonts w:ascii="Verdana" w:hAnsi="Verdana"/>
          <w:spacing w:val="-1"/>
          <w:sz w:val="16"/>
          <w:szCs w:val="16"/>
        </w:rPr>
        <w:t xml:space="preserve"> </w:t>
      </w:r>
      <w:r w:rsidRPr="000B6999">
        <w:rPr>
          <w:rFonts w:ascii="Verdana" w:hAnsi="Verdana"/>
          <w:sz w:val="16"/>
          <w:szCs w:val="16"/>
        </w:rPr>
        <w:t xml:space="preserve">correspondan a las señaladas en el numeral 2º de este artículo (…) se prescindirá de la utilización de las cláusulas o estipulaciones </w:t>
      </w:r>
      <w:r w:rsidRPr="000B6999">
        <w:rPr>
          <w:rFonts w:ascii="Verdana" w:hAnsi="Verdana"/>
          <w:spacing w:val="-2"/>
          <w:sz w:val="16"/>
          <w:szCs w:val="16"/>
        </w:rPr>
        <w:t>excepcionales”.</w:t>
      </w:r>
    </w:p>
  </w:footnote>
  <w:footnote w:id="4">
    <w:p w14:paraId="695299E5" w14:textId="77777777" w:rsidR="00B570E4" w:rsidRPr="000B6999" w:rsidRDefault="00B570E4" w:rsidP="00B570E4">
      <w:pPr>
        <w:tabs>
          <w:tab w:val="left" w:pos="142"/>
          <w:tab w:val="left" w:pos="8789"/>
        </w:tabs>
        <w:spacing w:after="0" w:line="240" w:lineRule="auto"/>
        <w:ind w:right="49" w:firstLine="709"/>
        <w:contextualSpacing/>
        <w:jc w:val="both"/>
        <w:rPr>
          <w:rFonts w:ascii="Verdana" w:hAnsi="Verdana"/>
          <w:sz w:val="16"/>
          <w:szCs w:val="16"/>
        </w:rPr>
      </w:pPr>
      <w:r w:rsidRPr="000B6999">
        <w:rPr>
          <w:rStyle w:val="Refdenotaalpie"/>
          <w:rFonts w:ascii="Verdana" w:hAnsi="Verdana"/>
          <w:sz w:val="16"/>
          <w:szCs w:val="16"/>
        </w:rPr>
        <w:footnoteRef/>
      </w:r>
      <w:r w:rsidRPr="000B6999">
        <w:rPr>
          <w:rFonts w:ascii="Verdana" w:hAnsi="Verdana"/>
          <w:sz w:val="16"/>
          <w:szCs w:val="16"/>
        </w:rPr>
        <w:t xml:space="preserve"> </w:t>
      </w:r>
      <w:bookmarkStart w:id="2" w:name="_Hlk199860326"/>
      <w:r w:rsidRPr="000B6999">
        <w:rPr>
          <w:rFonts w:ascii="Verdana" w:hAnsi="Verdana"/>
          <w:sz w:val="16"/>
          <w:szCs w:val="16"/>
        </w:rPr>
        <w:t>Sin perjuicio</w:t>
      </w:r>
      <w:r w:rsidRPr="000B6999">
        <w:rPr>
          <w:rFonts w:ascii="Verdana" w:hAnsi="Verdana"/>
          <w:spacing w:val="-1"/>
          <w:sz w:val="16"/>
          <w:szCs w:val="16"/>
        </w:rPr>
        <w:t xml:space="preserve"> </w:t>
      </w:r>
      <w:r w:rsidRPr="000B6999">
        <w:rPr>
          <w:rFonts w:ascii="Verdana" w:hAnsi="Verdana"/>
          <w:sz w:val="16"/>
          <w:szCs w:val="16"/>
        </w:rPr>
        <w:t>de la regla indicada, es importante</w:t>
      </w:r>
      <w:r w:rsidRPr="000B6999">
        <w:rPr>
          <w:rFonts w:ascii="Verdana" w:hAnsi="Verdana"/>
          <w:spacing w:val="-4"/>
          <w:sz w:val="16"/>
          <w:szCs w:val="16"/>
        </w:rPr>
        <w:t xml:space="preserve"> </w:t>
      </w:r>
      <w:r w:rsidRPr="000B6999">
        <w:rPr>
          <w:rFonts w:ascii="Verdana" w:hAnsi="Verdana"/>
          <w:sz w:val="16"/>
          <w:szCs w:val="16"/>
        </w:rPr>
        <w:t>señalar que el literal</w:t>
      </w:r>
      <w:r w:rsidRPr="000B6999">
        <w:rPr>
          <w:rFonts w:ascii="Verdana" w:hAnsi="Verdana"/>
          <w:spacing w:val="-3"/>
          <w:sz w:val="16"/>
          <w:szCs w:val="16"/>
        </w:rPr>
        <w:t xml:space="preserve"> </w:t>
      </w:r>
      <w:r w:rsidRPr="000B6999">
        <w:rPr>
          <w:rFonts w:ascii="Verdana" w:hAnsi="Verdana"/>
          <w:sz w:val="16"/>
          <w:szCs w:val="16"/>
        </w:rPr>
        <w:t>g, numeral 2, artículo</w:t>
      </w:r>
      <w:r w:rsidRPr="000B6999">
        <w:rPr>
          <w:rFonts w:ascii="Verdana" w:hAnsi="Verdana"/>
          <w:spacing w:val="-1"/>
          <w:sz w:val="16"/>
          <w:szCs w:val="16"/>
        </w:rPr>
        <w:t xml:space="preserve"> </w:t>
      </w:r>
      <w:r w:rsidRPr="000B6999">
        <w:rPr>
          <w:rFonts w:ascii="Verdana" w:hAnsi="Verdana"/>
          <w:sz w:val="16"/>
          <w:szCs w:val="16"/>
        </w:rPr>
        <w:t>2</w:t>
      </w:r>
      <w:r w:rsidRPr="000B6999">
        <w:rPr>
          <w:rFonts w:ascii="Verdana" w:hAnsi="Verdana"/>
          <w:spacing w:val="-1"/>
          <w:sz w:val="16"/>
          <w:szCs w:val="16"/>
        </w:rPr>
        <w:t xml:space="preserve"> </w:t>
      </w:r>
      <w:r w:rsidRPr="000B6999">
        <w:rPr>
          <w:rFonts w:ascii="Verdana" w:hAnsi="Verdana"/>
          <w:sz w:val="16"/>
          <w:szCs w:val="16"/>
        </w:rPr>
        <w:t>de la Ley 1150 de 2007, prevé como causal de selección abreviada: “Los actos y contratos que tengan por objeto directo</w:t>
      </w:r>
      <w:r w:rsidRPr="000B6999">
        <w:rPr>
          <w:rFonts w:ascii="Verdana" w:hAnsi="Verdana"/>
          <w:spacing w:val="-10"/>
          <w:sz w:val="16"/>
          <w:szCs w:val="16"/>
        </w:rPr>
        <w:t xml:space="preserve"> </w:t>
      </w:r>
      <w:r w:rsidRPr="000B6999">
        <w:rPr>
          <w:rFonts w:ascii="Verdana" w:hAnsi="Verdana"/>
          <w:sz w:val="16"/>
          <w:szCs w:val="16"/>
        </w:rPr>
        <w:t>las</w:t>
      </w:r>
      <w:r w:rsidRPr="000B6999">
        <w:rPr>
          <w:rFonts w:ascii="Verdana" w:hAnsi="Verdana"/>
          <w:spacing w:val="-7"/>
          <w:sz w:val="16"/>
          <w:szCs w:val="16"/>
        </w:rPr>
        <w:t xml:space="preserve"> </w:t>
      </w:r>
      <w:r w:rsidRPr="000B6999">
        <w:rPr>
          <w:rFonts w:ascii="Verdana" w:hAnsi="Verdana"/>
          <w:sz w:val="16"/>
          <w:szCs w:val="16"/>
        </w:rPr>
        <w:t>actividades</w:t>
      </w:r>
      <w:r w:rsidRPr="000B6999">
        <w:rPr>
          <w:rFonts w:ascii="Verdana" w:hAnsi="Verdana"/>
          <w:spacing w:val="-7"/>
          <w:sz w:val="16"/>
          <w:szCs w:val="16"/>
        </w:rPr>
        <w:t xml:space="preserve"> </w:t>
      </w:r>
      <w:r w:rsidRPr="000B6999">
        <w:rPr>
          <w:rFonts w:ascii="Verdana" w:hAnsi="Verdana"/>
          <w:sz w:val="16"/>
          <w:szCs w:val="16"/>
        </w:rPr>
        <w:t>comerciales</w:t>
      </w:r>
      <w:r w:rsidRPr="000B6999">
        <w:rPr>
          <w:rFonts w:ascii="Verdana" w:hAnsi="Verdana"/>
          <w:spacing w:val="-7"/>
          <w:sz w:val="16"/>
          <w:szCs w:val="16"/>
        </w:rPr>
        <w:t xml:space="preserve"> </w:t>
      </w:r>
      <w:r w:rsidRPr="000B6999">
        <w:rPr>
          <w:rFonts w:ascii="Verdana" w:hAnsi="Verdana"/>
          <w:sz w:val="16"/>
          <w:szCs w:val="16"/>
        </w:rPr>
        <w:t>e</w:t>
      </w:r>
      <w:r w:rsidRPr="000B6999">
        <w:rPr>
          <w:rFonts w:ascii="Verdana" w:hAnsi="Verdana"/>
          <w:spacing w:val="-8"/>
          <w:sz w:val="16"/>
          <w:szCs w:val="16"/>
        </w:rPr>
        <w:t xml:space="preserve"> </w:t>
      </w:r>
      <w:r w:rsidRPr="000B6999">
        <w:rPr>
          <w:rFonts w:ascii="Verdana" w:hAnsi="Verdana"/>
          <w:sz w:val="16"/>
          <w:szCs w:val="16"/>
        </w:rPr>
        <w:t>industriales</w:t>
      </w:r>
      <w:r w:rsidRPr="000B6999">
        <w:rPr>
          <w:rFonts w:ascii="Verdana" w:hAnsi="Verdana"/>
          <w:spacing w:val="-7"/>
          <w:sz w:val="16"/>
          <w:szCs w:val="16"/>
        </w:rPr>
        <w:t xml:space="preserve"> </w:t>
      </w:r>
      <w:r w:rsidRPr="000B6999">
        <w:rPr>
          <w:rFonts w:ascii="Verdana" w:hAnsi="Verdana"/>
          <w:sz w:val="16"/>
          <w:szCs w:val="16"/>
        </w:rPr>
        <w:t>propias</w:t>
      </w:r>
      <w:r w:rsidRPr="000B6999">
        <w:rPr>
          <w:rFonts w:ascii="Verdana" w:hAnsi="Verdana"/>
          <w:spacing w:val="-7"/>
          <w:sz w:val="16"/>
          <w:szCs w:val="16"/>
        </w:rPr>
        <w:t xml:space="preserve"> </w:t>
      </w:r>
      <w:r w:rsidRPr="000B6999">
        <w:rPr>
          <w:rFonts w:ascii="Verdana" w:hAnsi="Verdana"/>
          <w:sz w:val="16"/>
          <w:szCs w:val="16"/>
        </w:rPr>
        <w:t>de</w:t>
      </w:r>
      <w:r w:rsidRPr="000B6999">
        <w:rPr>
          <w:rFonts w:ascii="Verdana" w:hAnsi="Verdana"/>
          <w:spacing w:val="-8"/>
          <w:sz w:val="16"/>
          <w:szCs w:val="16"/>
        </w:rPr>
        <w:t xml:space="preserve"> </w:t>
      </w:r>
      <w:r w:rsidRPr="000B6999">
        <w:rPr>
          <w:rFonts w:ascii="Verdana" w:hAnsi="Verdana"/>
          <w:sz w:val="16"/>
          <w:szCs w:val="16"/>
        </w:rPr>
        <w:t>las</w:t>
      </w:r>
      <w:r w:rsidRPr="000B6999">
        <w:rPr>
          <w:rFonts w:ascii="Verdana" w:hAnsi="Verdana"/>
          <w:spacing w:val="-7"/>
          <w:sz w:val="16"/>
          <w:szCs w:val="16"/>
        </w:rPr>
        <w:t xml:space="preserve"> </w:t>
      </w:r>
      <w:r w:rsidRPr="000B6999">
        <w:rPr>
          <w:rFonts w:ascii="Verdana" w:hAnsi="Verdana"/>
          <w:sz w:val="16"/>
          <w:szCs w:val="16"/>
        </w:rPr>
        <w:t>Empresas</w:t>
      </w:r>
      <w:r w:rsidRPr="000B6999">
        <w:rPr>
          <w:rFonts w:ascii="Verdana" w:hAnsi="Verdana"/>
          <w:spacing w:val="-7"/>
          <w:sz w:val="16"/>
          <w:szCs w:val="16"/>
        </w:rPr>
        <w:t xml:space="preserve"> </w:t>
      </w:r>
      <w:r w:rsidRPr="000B6999">
        <w:rPr>
          <w:rFonts w:ascii="Verdana" w:hAnsi="Verdana"/>
          <w:sz w:val="16"/>
          <w:szCs w:val="16"/>
        </w:rPr>
        <w:t>Industriales</w:t>
      </w:r>
      <w:r w:rsidRPr="000B6999">
        <w:rPr>
          <w:rFonts w:ascii="Verdana" w:hAnsi="Verdana"/>
          <w:spacing w:val="-7"/>
          <w:sz w:val="16"/>
          <w:szCs w:val="16"/>
        </w:rPr>
        <w:t xml:space="preserve"> </w:t>
      </w:r>
      <w:r w:rsidRPr="000B6999">
        <w:rPr>
          <w:rFonts w:ascii="Verdana" w:hAnsi="Verdana"/>
          <w:sz w:val="16"/>
          <w:szCs w:val="16"/>
        </w:rPr>
        <w:t>y</w:t>
      </w:r>
      <w:r w:rsidRPr="000B6999">
        <w:rPr>
          <w:rFonts w:ascii="Verdana" w:hAnsi="Verdana"/>
          <w:spacing w:val="-8"/>
          <w:sz w:val="16"/>
          <w:szCs w:val="16"/>
        </w:rPr>
        <w:t xml:space="preserve"> </w:t>
      </w:r>
      <w:r w:rsidRPr="000B6999">
        <w:rPr>
          <w:rFonts w:ascii="Verdana" w:hAnsi="Verdana"/>
          <w:sz w:val="16"/>
          <w:szCs w:val="16"/>
        </w:rPr>
        <w:t>Comerciales</w:t>
      </w:r>
      <w:r w:rsidRPr="000B6999">
        <w:rPr>
          <w:rFonts w:ascii="Verdana" w:hAnsi="Verdana"/>
          <w:spacing w:val="-7"/>
          <w:sz w:val="16"/>
          <w:szCs w:val="16"/>
        </w:rPr>
        <w:t xml:space="preserve"> </w:t>
      </w:r>
      <w:r w:rsidRPr="000B6999">
        <w:rPr>
          <w:rFonts w:ascii="Verdana" w:hAnsi="Verdana"/>
          <w:sz w:val="16"/>
          <w:szCs w:val="16"/>
        </w:rPr>
        <w:t>Estatales y de las Sociedades de Economía Mixta, con excepción de los contratos que a título enunciativo identifica el artículo</w:t>
      </w:r>
      <w:r w:rsidRPr="000B6999">
        <w:rPr>
          <w:rFonts w:ascii="Verdana" w:hAnsi="Verdana"/>
          <w:spacing w:val="-15"/>
          <w:sz w:val="16"/>
          <w:szCs w:val="16"/>
        </w:rPr>
        <w:t xml:space="preserve"> </w:t>
      </w:r>
      <w:r w:rsidRPr="000B6999">
        <w:rPr>
          <w:rFonts w:ascii="Verdana" w:hAnsi="Verdana"/>
          <w:sz w:val="16"/>
          <w:szCs w:val="16"/>
        </w:rPr>
        <w:t>32</w:t>
      </w:r>
      <w:r w:rsidRPr="000B6999">
        <w:rPr>
          <w:rFonts w:ascii="Verdana" w:hAnsi="Verdana"/>
          <w:spacing w:val="-14"/>
          <w:sz w:val="16"/>
          <w:szCs w:val="16"/>
        </w:rPr>
        <w:t xml:space="preserve"> </w:t>
      </w:r>
      <w:r w:rsidRPr="000B6999">
        <w:rPr>
          <w:rFonts w:ascii="Verdana" w:hAnsi="Verdana"/>
          <w:sz w:val="16"/>
          <w:szCs w:val="16"/>
        </w:rPr>
        <w:t>de</w:t>
      </w:r>
      <w:r w:rsidRPr="000B6999">
        <w:rPr>
          <w:rFonts w:ascii="Verdana" w:hAnsi="Verdana"/>
          <w:spacing w:val="-14"/>
          <w:sz w:val="16"/>
          <w:szCs w:val="16"/>
        </w:rPr>
        <w:t xml:space="preserve"> </w:t>
      </w:r>
      <w:r w:rsidRPr="000B6999">
        <w:rPr>
          <w:rFonts w:ascii="Verdana" w:hAnsi="Verdana"/>
          <w:sz w:val="16"/>
          <w:szCs w:val="16"/>
        </w:rPr>
        <w:t>la</w:t>
      </w:r>
      <w:r w:rsidRPr="000B6999">
        <w:rPr>
          <w:rFonts w:ascii="Verdana" w:hAnsi="Verdana"/>
          <w:spacing w:val="-14"/>
          <w:sz w:val="16"/>
          <w:szCs w:val="16"/>
        </w:rPr>
        <w:t xml:space="preserve"> </w:t>
      </w:r>
      <w:r w:rsidRPr="000B6999">
        <w:rPr>
          <w:rFonts w:ascii="Verdana" w:hAnsi="Verdana"/>
          <w:sz w:val="16"/>
          <w:szCs w:val="16"/>
        </w:rPr>
        <w:t>Ley</w:t>
      </w:r>
      <w:r w:rsidRPr="000B6999">
        <w:rPr>
          <w:rFonts w:ascii="Verdana" w:hAnsi="Verdana"/>
          <w:spacing w:val="-14"/>
          <w:sz w:val="16"/>
          <w:szCs w:val="16"/>
        </w:rPr>
        <w:t xml:space="preserve"> </w:t>
      </w:r>
      <w:r w:rsidRPr="000B6999">
        <w:rPr>
          <w:rFonts w:ascii="Verdana" w:hAnsi="Verdana"/>
          <w:sz w:val="16"/>
          <w:szCs w:val="16"/>
        </w:rPr>
        <w:t>80</w:t>
      </w:r>
      <w:r w:rsidRPr="000B6999">
        <w:rPr>
          <w:rFonts w:ascii="Verdana" w:hAnsi="Verdana"/>
          <w:spacing w:val="-14"/>
          <w:sz w:val="16"/>
          <w:szCs w:val="16"/>
        </w:rPr>
        <w:t xml:space="preserve"> </w:t>
      </w:r>
      <w:r w:rsidRPr="000B6999">
        <w:rPr>
          <w:rFonts w:ascii="Verdana" w:hAnsi="Verdana"/>
          <w:sz w:val="16"/>
          <w:szCs w:val="16"/>
        </w:rPr>
        <w:t>de</w:t>
      </w:r>
      <w:r w:rsidRPr="000B6999">
        <w:rPr>
          <w:rFonts w:ascii="Verdana" w:hAnsi="Verdana"/>
          <w:spacing w:val="-14"/>
          <w:sz w:val="16"/>
          <w:szCs w:val="16"/>
        </w:rPr>
        <w:t xml:space="preserve"> </w:t>
      </w:r>
      <w:r w:rsidRPr="000B6999">
        <w:rPr>
          <w:rFonts w:ascii="Verdana" w:hAnsi="Verdana"/>
          <w:sz w:val="16"/>
          <w:szCs w:val="16"/>
        </w:rPr>
        <w:t>1993</w:t>
      </w:r>
      <w:r w:rsidRPr="000B6999">
        <w:rPr>
          <w:rFonts w:ascii="Verdana" w:hAnsi="Verdana"/>
          <w:spacing w:val="-14"/>
          <w:sz w:val="16"/>
          <w:szCs w:val="16"/>
        </w:rPr>
        <w:t xml:space="preserve"> </w:t>
      </w:r>
      <w:r w:rsidRPr="000B6999">
        <w:rPr>
          <w:rFonts w:ascii="Verdana" w:hAnsi="Verdana"/>
          <w:sz w:val="16"/>
          <w:szCs w:val="16"/>
        </w:rPr>
        <w:t>[obra,</w:t>
      </w:r>
      <w:r w:rsidRPr="000B6999">
        <w:rPr>
          <w:rFonts w:ascii="Verdana" w:hAnsi="Verdana"/>
          <w:spacing w:val="-14"/>
          <w:sz w:val="16"/>
          <w:szCs w:val="16"/>
        </w:rPr>
        <w:t xml:space="preserve"> </w:t>
      </w:r>
      <w:r w:rsidRPr="000B6999">
        <w:rPr>
          <w:rFonts w:ascii="Verdana" w:hAnsi="Verdana"/>
          <w:sz w:val="16"/>
          <w:szCs w:val="16"/>
        </w:rPr>
        <w:t>concesión,</w:t>
      </w:r>
      <w:r w:rsidRPr="000B6999">
        <w:rPr>
          <w:rFonts w:ascii="Verdana" w:hAnsi="Verdana"/>
          <w:spacing w:val="-14"/>
          <w:sz w:val="16"/>
          <w:szCs w:val="16"/>
        </w:rPr>
        <w:t xml:space="preserve"> </w:t>
      </w:r>
      <w:r w:rsidRPr="000B6999">
        <w:rPr>
          <w:rFonts w:ascii="Verdana" w:hAnsi="Verdana"/>
          <w:sz w:val="16"/>
          <w:szCs w:val="16"/>
        </w:rPr>
        <w:t>prestación</w:t>
      </w:r>
      <w:r w:rsidRPr="000B6999">
        <w:rPr>
          <w:rFonts w:ascii="Verdana" w:hAnsi="Verdana"/>
          <w:spacing w:val="-14"/>
          <w:sz w:val="16"/>
          <w:szCs w:val="16"/>
        </w:rPr>
        <w:t xml:space="preserve"> </w:t>
      </w:r>
      <w:r w:rsidRPr="000B6999">
        <w:rPr>
          <w:rFonts w:ascii="Verdana" w:hAnsi="Verdana"/>
          <w:sz w:val="16"/>
          <w:szCs w:val="16"/>
        </w:rPr>
        <w:t>de</w:t>
      </w:r>
      <w:r w:rsidRPr="000B6999">
        <w:rPr>
          <w:rFonts w:ascii="Verdana" w:hAnsi="Verdana"/>
          <w:spacing w:val="-14"/>
          <w:sz w:val="16"/>
          <w:szCs w:val="16"/>
        </w:rPr>
        <w:t xml:space="preserve"> </w:t>
      </w:r>
      <w:r w:rsidRPr="000B6999">
        <w:rPr>
          <w:rFonts w:ascii="Verdana" w:hAnsi="Verdana"/>
          <w:sz w:val="16"/>
          <w:szCs w:val="16"/>
        </w:rPr>
        <w:t>servicios,</w:t>
      </w:r>
      <w:r w:rsidRPr="000B6999">
        <w:rPr>
          <w:rFonts w:ascii="Verdana" w:hAnsi="Verdana"/>
          <w:spacing w:val="-14"/>
          <w:sz w:val="16"/>
          <w:szCs w:val="16"/>
        </w:rPr>
        <w:t xml:space="preserve"> </w:t>
      </w:r>
      <w:r w:rsidRPr="000B6999">
        <w:rPr>
          <w:rFonts w:ascii="Verdana" w:hAnsi="Verdana"/>
          <w:sz w:val="16"/>
          <w:szCs w:val="16"/>
        </w:rPr>
        <w:t>consultoría,</w:t>
      </w:r>
      <w:r w:rsidRPr="000B6999">
        <w:rPr>
          <w:rFonts w:ascii="Verdana" w:hAnsi="Verdana"/>
          <w:spacing w:val="-14"/>
          <w:sz w:val="16"/>
          <w:szCs w:val="16"/>
        </w:rPr>
        <w:t xml:space="preserve"> </w:t>
      </w:r>
      <w:r w:rsidRPr="000B6999">
        <w:rPr>
          <w:rFonts w:ascii="Verdana" w:hAnsi="Verdana"/>
          <w:sz w:val="16"/>
          <w:szCs w:val="16"/>
        </w:rPr>
        <w:t>fiducia</w:t>
      </w:r>
      <w:r w:rsidRPr="000B6999">
        <w:rPr>
          <w:rFonts w:ascii="Verdana" w:hAnsi="Verdana"/>
          <w:spacing w:val="-14"/>
          <w:sz w:val="16"/>
          <w:szCs w:val="16"/>
        </w:rPr>
        <w:t xml:space="preserve"> </w:t>
      </w:r>
      <w:r w:rsidRPr="000B6999">
        <w:rPr>
          <w:rFonts w:ascii="Verdana" w:hAnsi="Verdana"/>
          <w:sz w:val="16"/>
          <w:szCs w:val="16"/>
        </w:rPr>
        <w:t>pública]”.</w:t>
      </w:r>
      <w:r w:rsidRPr="000B6999">
        <w:rPr>
          <w:rFonts w:ascii="Verdana" w:hAnsi="Verdana"/>
          <w:spacing w:val="-15"/>
          <w:sz w:val="16"/>
          <w:szCs w:val="16"/>
        </w:rPr>
        <w:t xml:space="preserve"> </w:t>
      </w:r>
      <w:r w:rsidRPr="000B6999">
        <w:rPr>
          <w:rFonts w:ascii="Verdana" w:hAnsi="Verdana"/>
          <w:sz w:val="16"/>
          <w:szCs w:val="16"/>
        </w:rPr>
        <w:t>g)</w:t>
      </w:r>
      <w:r w:rsidRPr="000B6999">
        <w:rPr>
          <w:rFonts w:ascii="Verdana" w:hAnsi="Verdana"/>
          <w:spacing w:val="23"/>
          <w:sz w:val="16"/>
          <w:szCs w:val="16"/>
        </w:rPr>
        <w:t xml:space="preserve"> </w:t>
      </w:r>
      <w:r w:rsidRPr="000B6999">
        <w:rPr>
          <w:rFonts w:ascii="Verdana" w:hAnsi="Verdana"/>
          <w:sz w:val="16"/>
          <w:szCs w:val="16"/>
        </w:rPr>
        <w:t>Los actos y contratos que tengan por objeto directo las actividades comerciales e industriales propias de las Empresas Industriales y Comerciales Estatales y de las Sociedades de Economía Mixta, con excepción de los contratos</w:t>
      </w:r>
      <w:r w:rsidRPr="000B6999">
        <w:rPr>
          <w:rFonts w:ascii="Verdana" w:hAnsi="Verdana"/>
          <w:spacing w:val="-6"/>
          <w:sz w:val="16"/>
          <w:szCs w:val="16"/>
        </w:rPr>
        <w:t xml:space="preserve"> </w:t>
      </w:r>
      <w:r w:rsidRPr="000B6999">
        <w:rPr>
          <w:rFonts w:ascii="Verdana" w:hAnsi="Verdana"/>
          <w:sz w:val="16"/>
          <w:szCs w:val="16"/>
        </w:rPr>
        <w:t>que</w:t>
      </w:r>
      <w:r w:rsidRPr="000B6999">
        <w:rPr>
          <w:rFonts w:ascii="Verdana" w:hAnsi="Verdana"/>
          <w:spacing w:val="-7"/>
          <w:sz w:val="16"/>
          <w:szCs w:val="16"/>
        </w:rPr>
        <w:t xml:space="preserve"> </w:t>
      </w:r>
      <w:r w:rsidRPr="000B6999">
        <w:rPr>
          <w:rFonts w:ascii="Verdana" w:hAnsi="Verdana"/>
          <w:sz w:val="16"/>
          <w:szCs w:val="16"/>
        </w:rPr>
        <w:t>a</w:t>
      </w:r>
      <w:r w:rsidRPr="000B6999">
        <w:rPr>
          <w:rFonts w:ascii="Verdana" w:hAnsi="Verdana"/>
          <w:spacing w:val="-3"/>
          <w:sz w:val="16"/>
          <w:szCs w:val="16"/>
        </w:rPr>
        <w:t xml:space="preserve"> </w:t>
      </w:r>
      <w:r w:rsidRPr="000B6999">
        <w:rPr>
          <w:rFonts w:ascii="Verdana" w:hAnsi="Verdana"/>
          <w:sz w:val="16"/>
          <w:szCs w:val="16"/>
        </w:rPr>
        <w:t>título</w:t>
      </w:r>
      <w:r w:rsidRPr="000B6999">
        <w:rPr>
          <w:rFonts w:ascii="Verdana" w:hAnsi="Verdana"/>
          <w:spacing w:val="-9"/>
          <w:sz w:val="16"/>
          <w:szCs w:val="16"/>
        </w:rPr>
        <w:t xml:space="preserve"> </w:t>
      </w:r>
      <w:r w:rsidRPr="000B6999">
        <w:rPr>
          <w:rFonts w:ascii="Verdana" w:hAnsi="Verdana"/>
          <w:sz w:val="16"/>
          <w:szCs w:val="16"/>
        </w:rPr>
        <w:t>enunciativo</w:t>
      </w:r>
      <w:r w:rsidRPr="000B6999">
        <w:rPr>
          <w:rFonts w:ascii="Verdana" w:hAnsi="Verdana"/>
          <w:spacing w:val="-9"/>
          <w:sz w:val="16"/>
          <w:szCs w:val="16"/>
        </w:rPr>
        <w:t xml:space="preserve"> </w:t>
      </w:r>
      <w:r w:rsidRPr="000B6999">
        <w:rPr>
          <w:rFonts w:ascii="Verdana" w:hAnsi="Verdana"/>
          <w:sz w:val="16"/>
          <w:szCs w:val="16"/>
        </w:rPr>
        <w:t>identifica</w:t>
      </w:r>
      <w:r w:rsidRPr="000B6999">
        <w:rPr>
          <w:rFonts w:ascii="Verdana" w:hAnsi="Verdana"/>
          <w:spacing w:val="-8"/>
          <w:sz w:val="16"/>
          <w:szCs w:val="16"/>
        </w:rPr>
        <w:t xml:space="preserve"> </w:t>
      </w:r>
      <w:r w:rsidRPr="000B6999">
        <w:rPr>
          <w:rFonts w:ascii="Verdana" w:hAnsi="Verdana"/>
          <w:sz w:val="16"/>
          <w:szCs w:val="16"/>
        </w:rPr>
        <w:t>el</w:t>
      </w:r>
      <w:r w:rsidRPr="000B6999">
        <w:rPr>
          <w:rFonts w:ascii="Verdana" w:hAnsi="Verdana"/>
          <w:spacing w:val="-1"/>
          <w:sz w:val="16"/>
          <w:szCs w:val="16"/>
        </w:rPr>
        <w:t xml:space="preserve"> </w:t>
      </w:r>
      <w:r w:rsidRPr="000B6999">
        <w:rPr>
          <w:rFonts w:ascii="Verdana" w:hAnsi="Verdana"/>
          <w:sz w:val="16"/>
          <w:szCs w:val="16"/>
        </w:rPr>
        <w:t>artículo</w:t>
      </w:r>
      <w:r w:rsidRPr="000B6999">
        <w:rPr>
          <w:rFonts w:ascii="Verdana" w:hAnsi="Verdana"/>
          <w:spacing w:val="-9"/>
          <w:sz w:val="16"/>
          <w:szCs w:val="16"/>
        </w:rPr>
        <w:t xml:space="preserve"> </w:t>
      </w:r>
      <w:r w:rsidRPr="000B6999">
        <w:rPr>
          <w:rFonts w:ascii="Verdana" w:hAnsi="Verdana"/>
          <w:sz w:val="16"/>
          <w:szCs w:val="16"/>
        </w:rPr>
        <w:t>32</w:t>
      </w:r>
      <w:r w:rsidRPr="000B6999">
        <w:rPr>
          <w:rFonts w:ascii="Verdana" w:hAnsi="Verdana"/>
          <w:spacing w:val="-4"/>
          <w:sz w:val="16"/>
          <w:szCs w:val="16"/>
        </w:rPr>
        <w:t xml:space="preserve"> </w:t>
      </w:r>
      <w:r w:rsidRPr="000B6999">
        <w:rPr>
          <w:rFonts w:ascii="Verdana" w:hAnsi="Verdana"/>
          <w:sz w:val="16"/>
          <w:szCs w:val="16"/>
        </w:rPr>
        <w:t>de</w:t>
      </w:r>
      <w:r w:rsidRPr="000B6999">
        <w:rPr>
          <w:rFonts w:ascii="Verdana" w:hAnsi="Verdana"/>
          <w:spacing w:val="-7"/>
          <w:sz w:val="16"/>
          <w:szCs w:val="16"/>
        </w:rPr>
        <w:t xml:space="preserve"> </w:t>
      </w:r>
      <w:r w:rsidRPr="000B6999">
        <w:rPr>
          <w:rFonts w:ascii="Verdana" w:hAnsi="Verdana"/>
          <w:sz w:val="16"/>
          <w:szCs w:val="16"/>
        </w:rPr>
        <w:t>la Ley</w:t>
      </w:r>
      <w:r w:rsidRPr="000B6999">
        <w:rPr>
          <w:rFonts w:ascii="Verdana" w:hAnsi="Verdana"/>
          <w:spacing w:val="-7"/>
          <w:sz w:val="16"/>
          <w:szCs w:val="16"/>
        </w:rPr>
        <w:t xml:space="preserve"> </w:t>
      </w:r>
      <w:r w:rsidRPr="000B6999">
        <w:rPr>
          <w:rFonts w:ascii="Verdana" w:hAnsi="Verdana"/>
          <w:sz w:val="16"/>
          <w:szCs w:val="16"/>
        </w:rPr>
        <w:t>80</w:t>
      </w:r>
      <w:r w:rsidRPr="000B6999">
        <w:rPr>
          <w:rFonts w:ascii="Verdana" w:hAnsi="Verdana"/>
          <w:spacing w:val="-4"/>
          <w:sz w:val="16"/>
          <w:szCs w:val="16"/>
        </w:rPr>
        <w:t xml:space="preserve"> </w:t>
      </w:r>
      <w:r w:rsidRPr="000B6999">
        <w:rPr>
          <w:rFonts w:ascii="Verdana" w:hAnsi="Verdana"/>
          <w:sz w:val="16"/>
          <w:szCs w:val="16"/>
        </w:rPr>
        <w:t>de</w:t>
      </w:r>
      <w:r w:rsidRPr="000B6999">
        <w:rPr>
          <w:rFonts w:ascii="Verdana" w:hAnsi="Verdana"/>
          <w:spacing w:val="-2"/>
          <w:sz w:val="16"/>
          <w:szCs w:val="16"/>
        </w:rPr>
        <w:t xml:space="preserve"> </w:t>
      </w:r>
      <w:r w:rsidRPr="000B6999">
        <w:rPr>
          <w:rFonts w:ascii="Verdana" w:hAnsi="Verdana"/>
          <w:sz w:val="16"/>
          <w:szCs w:val="16"/>
        </w:rPr>
        <w:t>1993.</w:t>
      </w:r>
      <w:bookmarkEnd w:id="2"/>
    </w:p>
  </w:footnote>
  <w:footnote w:id="5">
    <w:p w14:paraId="20E6D264" w14:textId="77777777" w:rsidR="00B570E4" w:rsidRPr="000B6999" w:rsidRDefault="00B570E4" w:rsidP="00B570E4">
      <w:pPr>
        <w:pStyle w:val="Textonotapie"/>
        <w:ind w:right="49" w:firstLine="709"/>
        <w:contextualSpacing/>
        <w:jc w:val="both"/>
        <w:rPr>
          <w:rFonts w:ascii="Verdana" w:hAnsi="Verdana"/>
          <w:sz w:val="16"/>
          <w:szCs w:val="16"/>
        </w:rPr>
      </w:pPr>
      <w:r w:rsidRPr="000B6999">
        <w:rPr>
          <w:rStyle w:val="Refdenotaalpie"/>
          <w:rFonts w:ascii="Verdana" w:hAnsi="Verdana"/>
          <w:sz w:val="16"/>
          <w:szCs w:val="16"/>
        </w:rPr>
        <w:footnoteRef/>
      </w:r>
      <w:r w:rsidRPr="000B6999">
        <w:rPr>
          <w:rFonts w:ascii="Verdana" w:hAnsi="Verdana"/>
          <w:sz w:val="16"/>
          <w:szCs w:val="16"/>
        </w:rPr>
        <w:t xml:space="preserve"> El artículo</w:t>
      </w:r>
      <w:r w:rsidRPr="000B6999">
        <w:rPr>
          <w:rFonts w:ascii="Verdana" w:hAnsi="Verdana"/>
          <w:spacing w:val="-2"/>
          <w:sz w:val="16"/>
          <w:szCs w:val="16"/>
        </w:rPr>
        <w:t xml:space="preserve"> </w:t>
      </w:r>
      <w:r w:rsidRPr="000B6999">
        <w:rPr>
          <w:rFonts w:ascii="Verdana" w:hAnsi="Verdana"/>
          <w:sz w:val="16"/>
          <w:szCs w:val="16"/>
        </w:rPr>
        <w:t>14</w:t>
      </w:r>
      <w:r w:rsidRPr="000B6999">
        <w:rPr>
          <w:rFonts w:ascii="Verdana" w:hAnsi="Verdana"/>
          <w:spacing w:val="-2"/>
          <w:sz w:val="16"/>
          <w:szCs w:val="16"/>
        </w:rPr>
        <w:t xml:space="preserve"> </w:t>
      </w:r>
      <w:r w:rsidRPr="000B6999">
        <w:rPr>
          <w:rFonts w:ascii="Verdana" w:hAnsi="Verdana"/>
          <w:sz w:val="16"/>
          <w:szCs w:val="16"/>
        </w:rPr>
        <w:t>original de la</w:t>
      </w:r>
      <w:r w:rsidRPr="000B6999">
        <w:rPr>
          <w:rFonts w:ascii="Verdana" w:hAnsi="Verdana"/>
          <w:spacing w:val="-1"/>
          <w:sz w:val="16"/>
          <w:szCs w:val="16"/>
        </w:rPr>
        <w:t xml:space="preserve"> </w:t>
      </w:r>
      <w:r w:rsidRPr="000B6999">
        <w:rPr>
          <w:rFonts w:ascii="Verdana" w:hAnsi="Verdana"/>
          <w:sz w:val="16"/>
          <w:szCs w:val="16"/>
        </w:rPr>
        <w:t>Ley 1150</w:t>
      </w:r>
      <w:r w:rsidRPr="000B6999">
        <w:rPr>
          <w:rFonts w:ascii="Verdana" w:hAnsi="Verdana"/>
          <w:spacing w:val="-2"/>
          <w:sz w:val="16"/>
          <w:szCs w:val="16"/>
        </w:rPr>
        <w:t xml:space="preserve"> </w:t>
      </w:r>
      <w:r w:rsidRPr="000B6999">
        <w:rPr>
          <w:rFonts w:ascii="Verdana" w:hAnsi="Verdana"/>
          <w:sz w:val="16"/>
          <w:szCs w:val="16"/>
        </w:rPr>
        <w:t>de 2007</w:t>
      </w:r>
      <w:r w:rsidRPr="000B6999">
        <w:rPr>
          <w:rFonts w:ascii="Verdana" w:hAnsi="Verdana"/>
          <w:spacing w:val="-2"/>
          <w:sz w:val="16"/>
          <w:szCs w:val="16"/>
        </w:rPr>
        <w:t xml:space="preserve"> </w:t>
      </w:r>
      <w:r w:rsidRPr="000B6999">
        <w:rPr>
          <w:rFonts w:ascii="Verdana" w:hAnsi="Verdana"/>
          <w:sz w:val="16"/>
          <w:szCs w:val="16"/>
        </w:rPr>
        <w:t>excluía</w:t>
      </w:r>
      <w:r w:rsidRPr="000B6999">
        <w:rPr>
          <w:rFonts w:ascii="Verdana" w:hAnsi="Verdana"/>
          <w:spacing w:val="-1"/>
          <w:sz w:val="16"/>
          <w:szCs w:val="16"/>
        </w:rPr>
        <w:t xml:space="preserve"> </w:t>
      </w:r>
      <w:r w:rsidRPr="000B6999">
        <w:rPr>
          <w:rFonts w:ascii="Verdana" w:hAnsi="Verdana"/>
          <w:sz w:val="16"/>
          <w:szCs w:val="16"/>
        </w:rPr>
        <w:t>además aquellas cuya</w:t>
      </w:r>
      <w:r w:rsidRPr="000B6999">
        <w:rPr>
          <w:rFonts w:ascii="Verdana" w:hAnsi="Verdana"/>
          <w:spacing w:val="-1"/>
          <w:sz w:val="16"/>
          <w:szCs w:val="16"/>
        </w:rPr>
        <w:t xml:space="preserve"> </w:t>
      </w:r>
      <w:r w:rsidRPr="000B6999">
        <w:rPr>
          <w:rFonts w:ascii="Verdana" w:hAnsi="Verdana"/>
          <w:sz w:val="16"/>
          <w:szCs w:val="16"/>
        </w:rPr>
        <w:t>actividad</w:t>
      </w:r>
      <w:r w:rsidRPr="000B6999">
        <w:rPr>
          <w:rFonts w:ascii="Verdana" w:hAnsi="Verdana"/>
          <w:spacing w:val="-5"/>
          <w:sz w:val="16"/>
          <w:szCs w:val="16"/>
        </w:rPr>
        <w:t xml:space="preserve"> </w:t>
      </w:r>
      <w:r w:rsidRPr="000B6999">
        <w:rPr>
          <w:rFonts w:ascii="Verdana" w:hAnsi="Verdana"/>
          <w:sz w:val="16"/>
          <w:szCs w:val="16"/>
        </w:rPr>
        <w:t>se realizaba en</w:t>
      </w:r>
      <w:r w:rsidRPr="000B6999">
        <w:rPr>
          <w:rFonts w:ascii="Verdana" w:hAnsi="Verdana"/>
          <w:spacing w:val="-6"/>
          <w:sz w:val="16"/>
          <w:szCs w:val="16"/>
        </w:rPr>
        <w:t xml:space="preserve"> </w:t>
      </w:r>
      <w:r w:rsidRPr="000B6999">
        <w:rPr>
          <w:rFonts w:ascii="Verdana" w:hAnsi="Verdana"/>
          <w:sz w:val="16"/>
          <w:szCs w:val="16"/>
        </w:rPr>
        <w:t>“mercados</w:t>
      </w:r>
      <w:r w:rsidRPr="000B6999">
        <w:rPr>
          <w:rFonts w:ascii="Verdana" w:hAnsi="Verdana"/>
          <w:spacing w:val="-3"/>
          <w:sz w:val="16"/>
          <w:szCs w:val="16"/>
        </w:rPr>
        <w:t xml:space="preserve"> </w:t>
      </w:r>
      <w:r w:rsidRPr="000B6999">
        <w:rPr>
          <w:rFonts w:ascii="Verdana" w:hAnsi="Verdana"/>
          <w:sz w:val="16"/>
          <w:szCs w:val="16"/>
        </w:rPr>
        <w:t>monopolísticos”,</w:t>
      </w:r>
      <w:r w:rsidRPr="000B6999">
        <w:rPr>
          <w:rFonts w:ascii="Verdana" w:hAnsi="Verdana"/>
          <w:spacing w:val="-2"/>
          <w:sz w:val="16"/>
          <w:szCs w:val="16"/>
        </w:rPr>
        <w:t xml:space="preserve"> </w:t>
      </w:r>
      <w:r w:rsidRPr="000B6999">
        <w:rPr>
          <w:rFonts w:ascii="Verdana" w:hAnsi="Verdana"/>
          <w:sz w:val="16"/>
          <w:szCs w:val="16"/>
        </w:rPr>
        <w:t>pero,</w:t>
      </w:r>
      <w:r w:rsidRPr="000B6999">
        <w:rPr>
          <w:rFonts w:ascii="Verdana" w:hAnsi="Verdana"/>
          <w:spacing w:val="-2"/>
          <w:sz w:val="16"/>
          <w:szCs w:val="16"/>
        </w:rPr>
        <w:t xml:space="preserve"> </w:t>
      </w:r>
      <w:r w:rsidRPr="000B6999">
        <w:rPr>
          <w:rFonts w:ascii="Verdana" w:hAnsi="Verdana"/>
          <w:sz w:val="16"/>
          <w:szCs w:val="16"/>
        </w:rPr>
        <w:t>con</w:t>
      </w:r>
      <w:r w:rsidRPr="000B6999">
        <w:rPr>
          <w:rFonts w:ascii="Verdana" w:hAnsi="Verdana"/>
          <w:spacing w:val="-5"/>
          <w:sz w:val="16"/>
          <w:szCs w:val="16"/>
        </w:rPr>
        <w:t xml:space="preserve"> </w:t>
      </w:r>
      <w:r w:rsidRPr="000B6999">
        <w:rPr>
          <w:rFonts w:ascii="Verdana" w:hAnsi="Verdana"/>
          <w:sz w:val="16"/>
          <w:szCs w:val="16"/>
        </w:rPr>
        <w:t>buen</w:t>
      </w:r>
      <w:r w:rsidRPr="000B6999">
        <w:rPr>
          <w:rFonts w:ascii="Verdana" w:hAnsi="Verdana"/>
          <w:spacing w:val="-6"/>
          <w:sz w:val="16"/>
          <w:szCs w:val="16"/>
        </w:rPr>
        <w:t xml:space="preserve"> </w:t>
      </w:r>
      <w:r w:rsidRPr="000B6999">
        <w:rPr>
          <w:rFonts w:ascii="Verdana" w:hAnsi="Verdana"/>
          <w:sz w:val="16"/>
          <w:szCs w:val="16"/>
        </w:rPr>
        <w:t>tino,</w:t>
      </w:r>
      <w:r w:rsidRPr="000B6999">
        <w:rPr>
          <w:rFonts w:ascii="Verdana" w:hAnsi="Verdana"/>
          <w:spacing w:val="-2"/>
          <w:sz w:val="16"/>
          <w:szCs w:val="16"/>
        </w:rPr>
        <w:t xml:space="preserve"> </w:t>
      </w:r>
      <w:r w:rsidRPr="000B6999">
        <w:rPr>
          <w:rFonts w:ascii="Verdana" w:hAnsi="Verdana"/>
          <w:sz w:val="16"/>
          <w:szCs w:val="16"/>
        </w:rPr>
        <w:t>se</w:t>
      </w:r>
      <w:r w:rsidRPr="000B6999">
        <w:rPr>
          <w:rFonts w:ascii="Verdana" w:hAnsi="Verdana"/>
          <w:spacing w:val="-4"/>
          <w:sz w:val="16"/>
          <w:szCs w:val="16"/>
        </w:rPr>
        <w:t xml:space="preserve"> </w:t>
      </w:r>
      <w:r w:rsidRPr="000B6999">
        <w:rPr>
          <w:rFonts w:ascii="Verdana" w:hAnsi="Verdana"/>
          <w:sz w:val="16"/>
          <w:szCs w:val="16"/>
        </w:rPr>
        <w:t>eliminó</w:t>
      </w:r>
      <w:r w:rsidRPr="000B6999">
        <w:rPr>
          <w:rFonts w:ascii="Verdana" w:hAnsi="Verdana"/>
          <w:spacing w:val="-6"/>
          <w:sz w:val="16"/>
          <w:szCs w:val="16"/>
        </w:rPr>
        <w:t xml:space="preserve"> </w:t>
      </w:r>
      <w:r w:rsidRPr="000B6999">
        <w:rPr>
          <w:rFonts w:ascii="Verdana" w:hAnsi="Verdana"/>
          <w:sz w:val="16"/>
          <w:szCs w:val="16"/>
        </w:rPr>
        <w:t>en</w:t>
      </w:r>
      <w:r w:rsidRPr="000B6999">
        <w:rPr>
          <w:rFonts w:ascii="Verdana" w:hAnsi="Verdana"/>
          <w:spacing w:val="-6"/>
          <w:sz w:val="16"/>
          <w:szCs w:val="16"/>
        </w:rPr>
        <w:t xml:space="preserve"> </w:t>
      </w:r>
      <w:r w:rsidRPr="000B6999">
        <w:rPr>
          <w:rFonts w:ascii="Verdana" w:hAnsi="Verdana"/>
          <w:sz w:val="16"/>
          <w:szCs w:val="16"/>
        </w:rPr>
        <w:t>el</w:t>
      </w:r>
      <w:r w:rsidRPr="000B6999">
        <w:rPr>
          <w:rFonts w:ascii="Verdana" w:hAnsi="Verdana"/>
          <w:spacing w:val="-3"/>
          <w:sz w:val="16"/>
          <w:szCs w:val="16"/>
        </w:rPr>
        <w:t xml:space="preserve"> </w:t>
      </w:r>
      <w:r w:rsidRPr="000B6999">
        <w:rPr>
          <w:rFonts w:ascii="Verdana" w:hAnsi="Verdana"/>
          <w:sz w:val="16"/>
          <w:szCs w:val="16"/>
        </w:rPr>
        <w:t>artículo</w:t>
      </w:r>
      <w:r w:rsidRPr="000B6999">
        <w:rPr>
          <w:rFonts w:ascii="Verdana" w:hAnsi="Verdana"/>
          <w:spacing w:val="-6"/>
          <w:sz w:val="16"/>
          <w:szCs w:val="16"/>
        </w:rPr>
        <w:t xml:space="preserve"> </w:t>
      </w:r>
      <w:r w:rsidRPr="000B6999">
        <w:rPr>
          <w:rFonts w:ascii="Verdana" w:hAnsi="Verdana"/>
          <w:sz w:val="16"/>
          <w:szCs w:val="16"/>
        </w:rPr>
        <w:t>93</w:t>
      </w:r>
      <w:r w:rsidRPr="000B6999">
        <w:rPr>
          <w:rFonts w:ascii="Verdana" w:hAnsi="Verdana"/>
          <w:spacing w:val="-6"/>
          <w:sz w:val="16"/>
          <w:szCs w:val="16"/>
        </w:rPr>
        <w:t xml:space="preserve"> </w:t>
      </w:r>
      <w:r w:rsidRPr="000B6999">
        <w:rPr>
          <w:rFonts w:ascii="Verdana" w:hAnsi="Verdana"/>
          <w:sz w:val="16"/>
          <w:szCs w:val="16"/>
        </w:rPr>
        <w:t>de</w:t>
      </w:r>
      <w:r w:rsidRPr="000B6999">
        <w:rPr>
          <w:rFonts w:ascii="Verdana" w:hAnsi="Verdana"/>
          <w:spacing w:val="-4"/>
          <w:sz w:val="16"/>
          <w:szCs w:val="16"/>
        </w:rPr>
        <w:t xml:space="preserve"> </w:t>
      </w:r>
      <w:r w:rsidRPr="000B6999">
        <w:rPr>
          <w:rFonts w:ascii="Verdana" w:hAnsi="Verdana"/>
          <w:sz w:val="16"/>
          <w:szCs w:val="16"/>
        </w:rPr>
        <w:t>la</w:t>
      </w:r>
      <w:r w:rsidRPr="000B6999">
        <w:rPr>
          <w:rFonts w:ascii="Verdana" w:hAnsi="Verdana"/>
          <w:spacing w:val="-5"/>
          <w:sz w:val="16"/>
          <w:szCs w:val="16"/>
        </w:rPr>
        <w:t xml:space="preserve"> </w:t>
      </w:r>
      <w:r w:rsidRPr="000B6999">
        <w:rPr>
          <w:rFonts w:ascii="Verdana" w:hAnsi="Verdana"/>
          <w:sz w:val="16"/>
          <w:szCs w:val="16"/>
        </w:rPr>
        <w:t>Ley</w:t>
      </w:r>
      <w:r w:rsidRPr="000B6999">
        <w:rPr>
          <w:rFonts w:ascii="Verdana" w:hAnsi="Verdana"/>
          <w:spacing w:val="-4"/>
          <w:sz w:val="16"/>
          <w:szCs w:val="16"/>
        </w:rPr>
        <w:t xml:space="preserve"> </w:t>
      </w:r>
      <w:r w:rsidRPr="000B6999">
        <w:rPr>
          <w:rFonts w:ascii="Verdana" w:hAnsi="Verdana"/>
          <w:sz w:val="16"/>
          <w:szCs w:val="16"/>
        </w:rPr>
        <w:t>1474</w:t>
      </w:r>
      <w:r w:rsidRPr="000B6999">
        <w:rPr>
          <w:rFonts w:ascii="Verdana" w:hAnsi="Verdana"/>
          <w:spacing w:val="-6"/>
          <w:sz w:val="16"/>
          <w:szCs w:val="16"/>
        </w:rPr>
        <w:t xml:space="preserve"> </w:t>
      </w:r>
      <w:r w:rsidRPr="000B6999">
        <w:rPr>
          <w:rFonts w:ascii="Verdana" w:hAnsi="Verdana"/>
          <w:sz w:val="16"/>
          <w:szCs w:val="16"/>
        </w:rPr>
        <w:t>de</w:t>
      </w:r>
      <w:r w:rsidRPr="000B6999">
        <w:rPr>
          <w:rFonts w:ascii="Verdana" w:hAnsi="Verdana"/>
          <w:spacing w:val="-4"/>
          <w:sz w:val="16"/>
          <w:szCs w:val="16"/>
        </w:rPr>
        <w:t xml:space="preserve"> </w:t>
      </w:r>
      <w:r w:rsidRPr="000B6999">
        <w:rPr>
          <w:rFonts w:ascii="Verdana" w:hAnsi="Verdana"/>
          <w:sz w:val="16"/>
          <w:szCs w:val="16"/>
        </w:rPr>
        <w:t>2011,</w:t>
      </w:r>
      <w:r w:rsidRPr="000B6999">
        <w:rPr>
          <w:rFonts w:ascii="Verdana" w:hAnsi="Verdana"/>
          <w:spacing w:val="-2"/>
          <w:sz w:val="16"/>
          <w:szCs w:val="16"/>
        </w:rPr>
        <w:t xml:space="preserve"> </w:t>
      </w:r>
      <w:r w:rsidRPr="000B6999">
        <w:rPr>
          <w:rFonts w:ascii="Verdana" w:hAnsi="Verdana"/>
          <w:sz w:val="16"/>
          <w:szCs w:val="16"/>
        </w:rPr>
        <w:t>pues en ese caso no se está en presencia de los fundamentos que soportan la excepción de no aplicar el Estatuto General de Contratación de la Administración Pública, cual es la “competencia y el libre juego del mercado”.</w:t>
      </w:r>
    </w:p>
  </w:footnote>
  <w:footnote w:id="6">
    <w:p w14:paraId="522204E4" w14:textId="77777777" w:rsidR="00B570E4" w:rsidRPr="000B6999" w:rsidRDefault="00B570E4" w:rsidP="00B570E4">
      <w:pPr>
        <w:pStyle w:val="Textonotapie"/>
        <w:tabs>
          <w:tab w:val="left" w:pos="993"/>
        </w:tabs>
        <w:ind w:right="333" w:firstLine="709"/>
        <w:contextualSpacing/>
        <w:jc w:val="both"/>
        <w:rPr>
          <w:rFonts w:ascii="Verdana" w:hAnsi="Verdana"/>
          <w:spacing w:val="-7"/>
          <w:sz w:val="16"/>
          <w:szCs w:val="16"/>
        </w:rPr>
      </w:pPr>
      <w:r w:rsidRPr="000B6999">
        <w:rPr>
          <w:rStyle w:val="Refdenotaalpie"/>
          <w:rFonts w:ascii="Verdana" w:hAnsi="Verdana"/>
          <w:sz w:val="16"/>
          <w:szCs w:val="16"/>
        </w:rPr>
        <w:footnoteRef/>
      </w:r>
      <w:r w:rsidRPr="000B6999">
        <w:rPr>
          <w:rFonts w:ascii="Verdana" w:hAnsi="Verdana"/>
          <w:sz w:val="16"/>
          <w:szCs w:val="16"/>
        </w:rPr>
        <w:t xml:space="preserve"> Consejo</w:t>
      </w:r>
      <w:r w:rsidRPr="000B6999">
        <w:rPr>
          <w:rFonts w:ascii="Verdana" w:hAnsi="Verdana"/>
          <w:spacing w:val="-8"/>
          <w:sz w:val="16"/>
          <w:szCs w:val="16"/>
        </w:rPr>
        <w:t xml:space="preserve"> </w:t>
      </w:r>
      <w:r w:rsidRPr="000B6999">
        <w:rPr>
          <w:rFonts w:ascii="Verdana" w:hAnsi="Verdana"/>
          <w:sz w:val="16"/>
          <w:szCs w:val="16"/>
        </w:rPr>
        <w:t>de</w:t>
      </w:r>
      <w:r w:rsidRPr="000B6999">
        <w:rPr>
          <w:rFonts w:ascii="Verdana" w:hAnsi="Verdana"/>
          <w:spacing w:val="-10"/>
          <w:sz w:val="16"/>
          <w:szCs w:val="16"/>
        </w:rPr>
        <w:t xml:space="preserve"> </w:t>
      </w:r>
      <w:r w:rsidRPr="000B6999">
        <w:rPr>
          <w:rFonts w:ascii="Verdana" w:hAnsi="Verdana"/>
          <w:sz w:val="16"/>
          <w:szCs w:val="16"/>
        </w:rPr>
        <w:t>Estado.</w:t>
      </w:r>
      <w:r w:rsidRPr="000B6999">
        <w:rPr>
          <w:rFonts w:ascii="Verdana" w:hAnsi="Verdana"/>
          <w:spacing w:val="-9"/>
          <w:sz w:val="16"/>
          <w:szCs w:val="16"/>
        </w:rPr>
        <w:t xml:space="preserve"> </w:t>
      </w:r>
      <w:r w:rsidRPr="000B6999">
        <w:rPr>
          <w:rFonts w:ascii="Verdana" w:hAnsi="Verdana"/>
          <w:sz w:val="16"/>
          <w:szCs w:val="16"/>
        </w:rPr>
        <w:t>Sección</w:t>
      </w:r>
      <w:r w:rsidRPr="000B6999">
        <w:rPr>
          <w:rFonts w:ascii="Verdana" w:hAnsi="Verdana"/>
          <w:spacing w:val="-10"/>
          <w:sz w:val="16"/>
          <w:szCs w:val="16"/>
        </w:rPr>
        <w:t xml:space="preserve"> </w:t>
      </w:r>
      <w:r w:rsidRPr="000B6999">
        <w:rPr>
          <w:rFonts w:ascii="Verdana" w:hAnsi="Verdana"/>
          <w:sz w:val="16"/>
          <w:szCs w:val="16"/>
        </w:rPr>
        <w:t>Tercera,</w:t>
      </w:r>
      <w:r w:rsidRPr="000B6999">
        <w:rPr>
          <w:rFonts w:ascii="Verdana" w:hAnsi="Verdana"/>
          <w:spacing w:val="-9"/>
          <w:sz w:val="16"/>
          <w:szCs w:val="16"/>
        </w:rPr>
        <w:t xml:space="preserve"> </w:t>
      </w:r>
      <w:r w:rsidRPr="000B6999">
        <w:rPr>
          <w:rFonts w:ascii="Verdana" w:hAnsi="Verdana"/>
          <w:sz w:val="16"/>
          <w:szCs w:val="16"/>
        </w:rPr>
        <w:t>Sentencia</w:t>
      </w:r>
      <w:r w:rsidRPr="000B6999">
        <w:rPr>
          <w:rFonts w:ascii="Verdana" w:hAnsi="Verdana"/>
          <w:spacing w:val="-10"/>
          <w:sz w:val="16"/>
          <w:szCs w:val="16"/>
        </w:rPr>
        <w:t xml:space="preserve"> </w:t>
      </w:r>
      <w:r w:rsidRPr="000B6999">
        <w:rPr>
          <w:rFonts w:ascii="Verdana" w:hAnsi="Verdana"/>
          <w:sz w:val="16"/>
          <w:szCs w:val="16"/>
        </w:rPr>
        <w:t>del</w:t>
      </w:r>
      <w:r w:rsidRPr="000B6999">
        <w:rPr>
          <w:rFonts w:ascii="Verdana" w:hAnsi="Verdana"/>
          <w:spacing w:val="-9"/>
          <w:sz w:val="16"/>
          <w:szCs w:val="16"/>
        </w:rPr>
        <w:t xml:space="preserve"> </w:t>
      </w:r>
      <w:r w:rsidRPr="000B6999">
        <w:rPr>
          <w:rFonts w:ascii="Verdana" w:hAnsi="Verdana"/>
          <w:sz w:val="16"/>
          <w:szCs w:val="16"/>
        </w:rPr>
        <w:t>19</w:t>
      </w:r>
      <w:r w:rsidRPr="000B6999">
        <w:rPr>
          <w:rFonts w:ascii="Verdana" w:hAnsi="Verdana"/>
          <w:spacing w:val="-11"/>
          <w:sz w:val="16"/>
          <w:szCs w:val="16"/>
        </w:rPr>
        <w:t xml:space="preserve"> </w:t>
      </w:r>
      <w:r w:rsidRPr="000B6999">
        <w:rPr>
          <w:rFonts w:ascii="Verdana" w:hAnsi="Verdana"/>
          <w:sz w:val="16"/>
          <w:szCs w:val="16"/>
        </w:rPr>
        <w:t>de</w:t>
      </w:r>
      <w:r w:rsidRPr="000B6999">
        <w:rPr>
          <w:rFonts w:ascii="Verdana" w:hAnsi="Verdana"/>
          <w:spacing w:val="-5"/>
          <w:sz w:val="16"/>
          <w:szCs w:val="16"/>
        </w:rPr>
        <w:t xml:space="preserve"> </w:t>
      </w:r>
      <w:r w:rsidRPr="000B6999">
        <w:rPr>
          <w:rFonts w:ascii="Verdana" w:hAnsi="Verdana"/>
          <w:sz w:val="16"/>
          <w:szCs w:val="16"/>
        </w:rPr>
        <w:t>agosto</w:t>
      </w:r>
      <w:r w:rsidRPr="000B6999">
        <w:rPr>
          <w:rFonts w:ascii="Verdana" w:hAnsi="Verdana"/>
          <w:spacing w:val="-11"/>
          <w:sz w:val="16"/>
          <w:szCs w:val="16"/>
        </w:rPr>
        <w:t xml:space="preserve"> </w:t>
      </w:r>
      <w:r w:rsidRPr="000B6999">
        <w:rPr>
          <w:rFonts w:ascii="Verdana" w:hAnsi="Verdana"/>
          <w:sz w:val="16"/>
          <w:szCs w:val="16"/>
        </w:rPr>
        <w:t>de</w:t>
      </w:r>
      <w:r w:rsidRPr="000B6999">
        <w:rPr>
          <w:rFonts w:ascii="Verdana" w:hAnsi="Verdana"/>
          <w:spacing w:val="-10"/>
          <w:sz w:val="16"/>
          <w:szCs w:val="16"/>
        </w:rPr>
        <w:t xml:space="preserve"> </w:t>
      </w:r>
      <w:r w:rsidRPr="000B6999">
        <w:rPr>
          <w:rFonts w:ascii="Verdana" w:hAnsi="Verdana"/>
          <w:sz w:val="16"/>
          <w:szCs w:val="16"/>
        </w:rPr>
        <w:t>2004</w:t>
      </w:r>
      <w:r w:rsidRPr="000B6999">
        <w:rPr>
          <w:rFonts w:ascii="Verdana" w:hAnsi="Verdana"/>
          <w:spacing w:val="-7"/>
          <w:sz w:val="16"/>
          <w:szCs w:val="16"/>
        </w:rPr>
        <w:t xml:space="preserve"> </w:t>
      </w:r>
      <w:r w:rsidRPr="000B6999">
        <w:rPr>
          <w:rFonts w:ascii="Verdana" w:hAnsi="Verdana"/>
          <w:sz w:val="16"/>
          <w:szCs w:val="16"/>
        </w:rPr>
        <w:t>Exp.</w:t>
      </w:r>
      <w:r w:rsidRPr="000B6999">
        <w:rPr>
          <w:rFonts w:ascii="Verdana" w:hAnsi="Verdana"/>
          <w:spacing w:val="-9"/>
          <w:sz w:val="16"/>
          <w:szCs w:val="16"/>
        </w:rPr>
        <w:t xml:space="preserve"> </w:t>
      </w:r>
      <w:r w:rsidRPr="000B6999">
        <w:rPr>
          <w:rFonts w:ascii="Verdana" w:hAnsi="Verdana"/>
          <w:sz w:val="16"/>
          <w:szCs w:val="16"/>
        </w:rPr>
        <w:t>12.342,</w:t>
      </w:r>
      <w:r w:rsidRPr="000B6999">
        <w:rPr>
          <w:rFonts w:ascii="Verdana" w:hAnsi="Verdana"/>
          <w:spacing w:val="-9"/>
          <w:sz w:val="16"/>
          <w:szCs w:val="16"/>
        </w:rPr>
        <w:t xml:space="preserve"> </w:t>
      </w:r>
      <w:r w:rsidRPr="000B6999">
        <w:rPr>
          <w:rFonts w:ascii="Verdana" w:hAnsi="Verdana"/>
          <w:sz w:val="16"/>
          <w:szCs w:val="16"/>
        </w:rPr>
        <w:t>reiterada</w:t>
      </w:r>
      <w:r w:rsidRPr="000B6999">
        <w:rPr>
          <w:rFonts w:ascii="Verdana" w:hAnsi="Verdana"/>
          <w:spacing w:val="-10"/>
          <w:sz w:val="16"/>
          <w:szCs w:val="16"/>
        </w:rPr>
        <w:t xml:space="preserve"> </w:t>
      </w:r>
      <w:r w:rsidRPr="000B6999">
        <w:rPr>
          <w:rFonts w:ascii="Verdana" w:hAnsi="Verdana"/>
          <w:sz w:val="16"/>
          <w:szCs w:val="16"/>
        </w:rPr>
        <w:t>en sentencia de 6 de febrero de 2006, Exp. 13.414.</w:t>
      </w:r>
    </w:p>
  </w:footnote>
  <w:footnote w:id="7">
    <w:p w14:paraId="7E22925D" w14:textId="77777777" w:rsidR="00B570E4" w:rsidRPr="000B6999" w:rsidRDefault="00B570E4" w:rsidP="00B570E4">
      <w:pPr>
        <w:pStyle w:val="Textonotapie"/>
        <w:ind w:firstLine="709"/>
        <w:jc w:val="both"/>
        <w:rPr>
          <w:rFonts w:ascii="Verdana" w:hAnsi="Verdana"/>
          <w:sz w:val="16"/>
          <w:szCs w:val="16"/>
          <w:lang w:val="es-CO"/>
        </w:rPr>
      </w:pPr>
      <w:r w:rsidRPr="000B6999">
        <w:rPr>
          <w:rStyle w:val="Refdenotaalpie"/>
          <w:rFonts w:ascii="Verdana" w:hAnsi="Verdana"/>
          <w:sz w:val="16"/>
          <w:szCs w:val="16"/>
        </w:rPr>
        <w:footnoteRef/>
      </w:r>
      <w:r w:rsidRPr="000B6999">
        <w:rPr>
          <w:rFonts w:ascii="Verdana" w:hAnsi="Verdana"/>
          <w:sz w:val="16"/>
          <w:szCs w:val="16"/>
        </w:rPr>
        <w:t xml:space="preserve"> </w:t>
      </w:r>
      <w:r w:rsidRPr="000B6999">
        <w:rPr>
          <w:rFonts w:ascii="Verdana" w:eastAsia="Calibri" w:hAnsi="Verdana" w:cs="Arial"/>
          <w:color w:val="000000"/>
          <w:sz w:val="16"/>
          <w:szCs w:val="16"/>
          <w:lang w:val="es-ES_tradnl" w:eastAsia="es-ES_tradnl"/>
        </w:rPr>
        <w:t>“</w:t>
      </w:r>
      <w:r w:rsidRPr="000B6999">
        <w:rPr>
          <w:rFonts w:ascii="Verdana" w:hAnsi="Verdana" w:cs="Arial"/>
          <w:sz w:val="16"/>
          <w:szCs w:val="16"/>
          <w:lang w:eastAsia="es-MX"/>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w:t>
      </w:r>
    </w:p>
  </w:footnote>
  <w:footnote w:id="8">
    <w:p w14:paraId="0F55FD70" w14:textId="77777777" w:rsidR="00B570E4" w:rsidRPr="000B6999" w:rsidRDefault="00B570E4" w:rsidP="00B570E4">
      <w:pPr>
        <w:pStyle w:val="Textonotapie"/>
        <w:ind w:firstLine="709"/>
        <w:jc w:val="both"/>
        <w:rPr>
          <w:rFonts w:ascii="Verdana" w:hAnsi="Verdana" w:cs="Arial"/>
          <w:color w:val="000000" w:themeColor="text1"/>
          <w:sz w:val="16"/>
          <w:szCs w:val="16"/>
          <w:lang w:val="es-ES"/>
        </w:rPr>
      </w:pPr>
      <w:r w:rsidRPr="000B6999">
        <w:rPr>
          <w:rStyle w:val="Refdenotaalpie"/>
          <w:rFonts w:ascii="Verdana" w:hAnsi="Verdana" w:cs="Arial"/>
          <w:color w:val="000000" w:themeColor="text1"/>
          <w:sz w:val="16"/>
          <w:szCs w:val="16"/>
        </w:rPr>
        <w:footnoteRef/>
      </w:r>
      <w:r w:rsidRPr="000B6999">
        <w:rPr>
          <w:rFonts w:ascii="Verdana" w:hAnsi="Verdana" w:cs="Arial"/>
          <w:color w:val="000000" w:themeColor="text1"/>
          <w:sz w:val="16"/>
          <w:szCs w:val="16"/>
        </w:rPr>
        <w:t xml:space="preserve"> </w:t>
      </w:r>
      <w:r w:rsidRPr="000B6999">
        <w:rPr>
          <w:rFonts w:ascii="Verdana" w:hAnsi="Verdana" w:cs="Arial"/>
          <w:color w:val="000000" w:themeColor="text1"/>
          <w:sz w:val="16"/>
          <w:szCs w:val="16"/>
          <w:lang w:val="es-ES"/>
        </w:rPr>
        <w:t>Evento especial es el de las empresas industriales y comerciales del Estado que actúan en competencia con el sector público o privado, del nivel nacional o internacional, o que ejercen su actividad en un mercado regulado, pues en este caso, al tenor del artículo 14 de la Ley 1150 de 2007, se encuentran exceptuadas de la aplicación del Estatuto General de Contratación de la Administración Pública.</w:t>
      </w:r>
    </w:p>
  </w:footnote>
  <w:footnote w:id="9">
    <w:p w14:paraId="70E86AB5" w14:textId="77777777" w:rsidR="00B570E4" w:rsidRPr="000B6999" w:rsidRDefault="00B570E4" w:rsidP="00B570E4">
      <w:pPr>
        <w:pStyle w:val="Textonotapie"/>
        <w:ind w:firstLine="709"/>
        <w:jc w:val="both"/>
        <w:rPr>
          <w:rFonts w:ascii="Verdana" w:hAnsi="Verdana" w:cs="Arial"/>
          <w:color w:val="000000" w:themeColor="text1"/>
          <w:sz w:val="16"/>
          <w:szCs w:val="16"/>
          <w:lang w:val="es-ES"/>
        </w:rPr>
      </w:pPr>
      <w:r w:rsidRPr="000B6999">
        <w:rPr>
          <w:rStyle w:val="Refdenotaalpie"/>
          <w:rFonts w:ascii="Verdana" w:hAnsi="Verdana" w:cs="Arial"/>
          <w:color w:val="000000" w:themeColor="text1"/>
          <w:sz w:val="16"/>
          <w:szCs w:val="16"/>
        </w:rPr>
        <w:footnoteRef/>
      </w:r>
      <w:r w:rsidRPr="000B6999">
        <w:rPr>
          <w:rFonts w:ascii="Verdana" w:hAnsi="Verdana" w:cs="Arial"/>
          <w:color w:val="000000" w:themeColor="text1"/>
          <w:sz w:val="16"/>
          <w:szCs w:val="16"/>
        </w:rPr>
        <w:t xml:space="preserve"> </w:t>
      </w:r>
      <w:r w:rsidRPr="000B6999">
        <w:rPr>
          <w:rFonts w:ascii="Verdana" w:hAnsi="Verdana" w:cs="Arial"/>
          <w:color w:val="000000" w:themeColor="text1"/>
          <w:sz w:val="16"/>
          <w:szCs w:val="16"/>
          <w:lang w:val="es-ES"/>
        </w:rPr>
        <w:t>DÁVILA VINUEZA, Luis Guillermo. Régimen jurídico de la contratación estatal, 3ª ed. Bogotá: Legis, 2016. p. 200.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72E8"/>
    <w:rsid w:val="000D0334"/>
    <w:rsid w:val="000F6486"/>
    <w:rsid w:val="00125105"/>
    <w:rsid w:val="00127233"/>
    <w:rsid w:val="001D6C0C"/>
    <w:rsid w:val="001E4177"/>
    <w:rsid w:val="001F7DC6"/>
    <w:rsid w:val="002421BB"/>
    <w:rsid w:val="00256688"/>
    <w:rsid w:val="0025796E"/>
    <w:rsid w:val="002707A2"/>
    <w:rsid w:val="00294F54"/>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D77D2"/>
    <w:rsid w:val="004F21C4"/>
    <w:rsid w:val="004F685F"/>
    <w:rsid w:val="005566E8"/>
    <w:rsid w:val="00574867"/>
    <w:rsid w:val="00591460"/>
    <w:rsid w:val="005A6800"/>
    <w:rsid w:val="005C13D5"/>
    <w:rsid w:val="005C3777"/>
    <w:rsid w:val="005C5CDC"/>
    <w:rsid w:val="005D476C"/>
    <w:rsid w:val="006219F8"/>
    <w:rsid w:val="006302F7"/>
    <w:rsid w:val="00665D70"/>
    <w:rsid w:val="006900D9"/>
    <w:rsid w:val="006A760C"/>
    <w:rsid w:val="00706233"/>
    <w:rsid w:val="00706C16"/>
    <w:rsid w:val="0074564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3235"/>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36443"/>
    <w:rsid w:val="00AB0ADB"/>
    <w:rsid w:val="00B00C0E"/>
    <w:rsid w:val="00B01B1A"/>
    <w:rsid w:val="00B44A47"/>
    <w:rsid w:val="00B570E4"/>
    <w:rsid w:val="00B72CD3"/>
    <w:rsid w:val="00B72FFF"/>
    <w:rsid w:val="00BC3D36"/>
    <w:rsid w:val="00BD7F72"/>
    <w:rsid w:val="00C04FB3"/>
    <w:rsid w:val="00C330EB"/>
    <w:rsid w:val="00C66FCE"/>
    <w:rsid w:val="00C754BE"/>
    <w:rsid w:val="00C76B1C"/>
    <w:rsid w:val="00CB6357"/>
    <w:rsid w:val="00CC1B26"/>
    <w:rsid w:val="00D256C6"/>
    <w:rsid w:val="00D423A2"/>
    <w:rsid w:val="00D520D8"/>
    <w:rsid w:val="00D63AC2"/>
    <w:rsid w:val="00D7383B"/>
    <w:rsid w:val="00DA231B"/>
    <w:rsid w:val="00DA5D0A"/>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0467"/>
    <w:rsid w:val="00EE1AA8"/>
    <w:rsid w:val="00EF0F1D"/>
    <w:rsid w:val="00EF3F2C"/>
    <w:rsid w:val="00F31EDC"/>
    <w:rsid w:val="00F462B3"/>
    <w:rsid w:val="00F5664F"/>
    <w:rsid w:val="00F666C4"/>
    <w:rsid w:val="00F76AFC"/>
    <w:rsid w:val="00FA47C0"/>
    <w:rsid w:val="00FB5DD1"/>
    <w:rsid w:val="00FC2B5D"/>
    <w:rsid w:val="00FF1449"/>
    <w:rsid w:val="11F885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570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570E4"/>
    <w:rPr>
      <w:rFonts w:ascii="Geomanist Light" w:hAnsi="Geomanist Light"/>
      <w:lang w:val="es-ES"/>
    </w:rPr>
  </w:style>
  <w:style w:type="paragraph" w:styleId="Textocomentario">
    <w:name w:val="annotation text"/>
    <w:basedOn w:val="Normal"/>
    <w:link w:val="TextocomentarioCar"/>
    <w:uiPriority w:val="99"/>
    <w:semiHidden/>
    <w:unhideWhenUsed/>
    <w:rsid w:val="005A68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A6800"/>
    <w:rPr>
      <w:sz w:val="20"/>
      <w:szCs w:val="20"/>
    </w:rPr>
  </w:style>
  <w:style w:type="character" w:styleId="Refdecomentario">
    <w:name w:val="annotation reference"/>
    <w:basedOn w:val="Fuentedeprrafopredeter"/>
    <w:uiPriority w:val="99"/>
    <w:semiHidden/>
    <w:unhideWhenUsed/>
    <w:rsid w:val="005A68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CA06E61-A546-4FC5-80CF-B7BB18EAC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9d85dbaf-23eb-4e57-a637-93dcacc8b1a1"/>
    <ds:schemaRef ds:uri="http://purl.org/dc/term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5297</Words>
  <Characters>29135</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2025-09-23T18:55:00Z</dcterms:created>
  <dcterms:modified xsi:type="dcterms:W3CDTF">2025-09-23T18:55:00Z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