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598B3E" w14:textId="24F42365" w:rsidR="00CD656C" w:rsidRPr="004F28F3" w:rsidRDefault="00CD656C" w:rsidP="00CD656C">
      <w:pPr>
        <w:spacing w:after="0" w:line="240" w:lineRule="auto"/>
        <w:contextualSpacing/>
        <w:jc w:val="both"/>
        <w:rPr>
          <w:rFonts w:ascii="Arial" w:eastAsia="Calibri" w:hAnsi="Arial" w:cs="Arial"/>
          <w:b/>
          <w:lang w:val="es-MX" w:eastAsia="es-MX"/>
        </w:rPr>
      </w:pPr>
      <w:r w:rsidRPr="004F28F3">
        <w:rPr>
          <w:rFonts w:ascii="Arial" w:eastAsia="Calibri" w:hAnsi="Arial" w:cs="Arial"/>
          <w:b/>
          <w:lang w:val="es-MX" w:eastAsia="es-MX"/>
        </w:rPr>
        <w:t xml:space="preserve">LEY DE GARANTÍAS ELECTORALES – Naturaleza Jurídica </w:t>
      </w:r>
    </w:p>
    <w:p w14:paraId="3A3F97C0" w14:textId="77777777" w:rsidR="00CD656C" w:rsidRPr="004F28F3" w:rsidRDefault="00CD656C" w:rsidP="00CD656C">
      <w:pPr>
        <w:spacing w:after="0" w:line="240" w:lineRule="auto"/>
        <w:contextualSpacing/>
        <w:jc w:val="both"/>
        <w:rPr>
          <w:rFonts w:ascii="Arial" w:eastAsia="Calibri" w:hAnsi="Arial" w:cs="Arial"/>
          <w:b/>
          <w:sz w:val="20"/>
          <w:szCs w:val="20"/>
          <w:lang w:val="es-MX" w:eastAsia="es-MX"/>
        </w:rPr>
      </w:pPr>
    </w:p>
    <w:p w14:paraId="34AD6C81" w14:textId="77777777" w:rsidR="00CD656C" w:rsidRPr="004F28F3" w:rsidRDefault="00CD656C" w:rsidP="00CD656C">
      <w:pPr>
        <w:spacing w:after="0" w:line="240" w:lineRule="auto"/>
        <w:contextualSpacing/>
        <w:jc w:val="both"/>
        <w:rPr>
          <w:rFonts w:ascii="Arial" w:eastAsia="Times New Roman" w:hAnsi="Arial" w:cs="Arial"/>
          <w:bCs/>
          <w:sz w:val="20"/>
          <w:szCs w:val="20"/>
          <w:lang w:val="es-MX" w:eastAsia="es-CO"/>
        </w:rPr>
      </w:pPr>
      <w:r w:rsidRPr="004F28F3">
        <w:rPr>
          <w:rFonts w:ascii="Arial" w:eastAsia="Times New Roman" w:hAnsi="Arial" w:cs="Arial"/>
          <w:bCs/>
          <w:sz w:val="20"/>
          <w:szCs w:val="20"/>
          <w:lang w:val="es-MX" w:eastAsia="es-CO"/>
        </w:rPr>
        <w:t>[…] la Ley 996 de 2005, conocida como «Ley de Garantías Electorales», se suma al andamiaje de orden constitucional y legal que se ha ocupado de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 En esta medida, la citada ley introduce limitaciones para realizar nombramientos, postulaciones, contrataciones o cualquier otro tipo de actividad que implique destinación de recursos públicos bajo el devenir propio de las entidades estatales.</w:t>
      </w:r>
    </w:p>
    <w:p w14:paraId="7C285CD6" w14:textId="77777777" w:rsidR="00CD656C" w:rsidRPr="004F28F3" w:rsidRDefault="00CD656C" w:rsidP="00CD656C">
      <w:pPr>
        <w:spacing w:after="0" w:line="240" w:lineRule="auto"/>
        <w:contextualSpacing/>
        <w:jc w:val="both"/>
        <w:rPr>
          <w:rFonts w:ascii="Arial" w:eastAsia="Calibri" w:hAnsi="Arial" w:cs="Arial"/>
          <w:b/>
          <w:sz w:val="20"/>
          <w:szCs w:val="20"/>
          <w:lang w:val="es-MX" w:eastAsia="es-MX"/>
        </w:rPr>
      </w:pPr>
    </w:p>
    <w:p w14:paraId="337E84FD" w14:textId="77777777" w:rsidR="00CD656C" w:rsidRPr="004F28F3" w:rsidRDefault="00CD656C" w:rsidP="00CD656C">
      <w:pPr>
        <w:spacing w:after="0" w:line="240" w:lineRule="auto"/>
        <w:contextualSpacing/>
        <w:jc w:val="both"/>
        <w:rPr>
          <w:rFonts w:ascii="Arial" w:eastAsia="Calibri" w:hAnsi="Arial" w:cs="Arial"/>
          <w:b/>
          <w:sz w:val="20"/>
          <w:szCs w:val="20"/>
          <w:lang w:val="es-MX" w:eastAsia="es-MX"/>
        </w:rPr>
      </w:pPr>
      <w:r w:rsidRPr="004F28F3">
        <w:rPr>
          <w:rFonts w:ascii="Arial" w:eastAsia="Calibri" w:hAnsi="Arial" w:cs="Arial"/>
          <w:b/>
          <w:lang w:val="es-MX" w:eastAsia="es-MX"/>
        </w:rPr>
        <w:t>LEY DE GARANTÍAS ELECTORALES – Prohibiciones</w:t>
      </w:r>
      <w:r w:rsidRPr="004F28F3">
        <w:rPr>
          <w:rFonts w:ascii="Arial" w:eastAsia="Calibri" w:hAnsi="Arial" w:cs="Arial"/>
          <w:b/>
          <w:sz w:val="20"/>
          <w:szCs w:val="20"/>
          <w:lang w:val="es-MX" w:eastAsia="es-MX"/>
        </w:rPr>
        <w:t xml:space="preserve"> </w:t>
      </w:r>
    </w:p>
    <w:p w14:paraId="17C0B282" w14:textId="77777777" w:rsidR="00CD656C" w:rsidRPr="004F28F3" w:rsidRDefault="00CD656C" w:rsidP="00CD656C">
      <w:pPr>
        <w:spacing w:after="0" w:line="240" w:lineRule="auto"/>
        <w:contextualSpacing/>
        <w:jc w:val="both"/>
        <w:rPr>
          <w:rFonts w:ascii="Arial" w:eastAsia="Calibri" w:hAnsi="Arial" w:cs="Arial"/>
          <w:b/>
          <w:sz w:val="20"/>
          <w:szCs w:val="20"/>
          <w:lang w:val="es-MX" w:eastAsia="es-MX"/>
        </w:rPr>
      </w:pPr>
    </w:p>
    <w:p w14:paraId="568CDB79" w14:textId="77777777" w:rsidR="00CD656C" w:rsidRPr="004F28F3" w:rsidRDefault="00CD656C" w:rsidP="00CD656C">
      <w:pPr>
        <w:spacing w:after="0" w:line="240" w:lineRule="auto"/>
        <w:contextualSpacing/>
        <w:jc w:val="both"/>
        <w:rPr>
          <w:rFonts w:ascii="Arial" w:eastAsia="Times New Roman" w:hAnsi="Arial" w:cs="Arial"/>
          <w:bCs/>
          <w:sz w:val="20"/>
          <w:szCs w:val="20"/>
          <w:lang w:val="es-MX" w:eastAsia="es-CO"/>
        </w:rPr>
      </w:pPr>
      <w:r w:rsidRPr="004F28F3">
        <w:rPr>
          <w:rFonts w:ascii="Arial" w:eastAsia="Times New Roman" w:hAnsi="Arial" w:cs="Arial"/>
          <w:bCs/>
          <w:sz w:val="20"/>
          <w:szCs w:val="20"/>
          <w:lang w:val="es-MX" w:eastAsia="es-CO"/>
        </w:rPr>
        <w:t>De conformidad con lo anterior, la Ley de Garantías Electorales fijó una serie de regulaciones y prohibiciones dirigidas a los servidores públicos. Así, con la finalidad de preservar la igualdad entre los candidatos en las elecciones, aumentó las garantías en materia de contratación, de forma que no exista siquiera sospecha de que, por ese medio, en los periodos previos a la contienda electoral, se altere las condiciones de igualdad entre los candidatos. Específicamente, las restricciones consagradas en la citada ley se dirigen a dos (2) tipos de campañas electorales claramente diferenciadas: las presidenciales y las demás que se adelanten para la elección de los demás cargos de elección popular, tanto a nivel nacional como a nivel territorial.</w:t>
      </w:r>
    </w:p>
    <w:p w14:paraId="74CC9E46" w14:textId="77777777" w:rsidR="00CD656C" w:rsidRPr="004F28F3" w:rsidRDefault="00CD656C" w:rsidP="00CD656C">
      <w:pPr>
        <w:spacing w:after="0" w:line="240" w:lineRule="auto"/>
        <w:contextualSpacing/>
        <w:jc w:val="both"/>
        <w:rPr>
          <w:rFonts w:ascii="Arial" w:eastAsia="Times New Roman" w:hAnsi="Arial" w:cs="Arial"/>
          <w:bCs/>
          <w:sz w:val="20"/>
          <w:szCs w:val="20"/>
          <w:lang w:val="es-MX" w:eastAsia="es-CO"/>
        </w:rPr>
      </w:pPr>
    </w:p>
    <w:p w14:paraId="68E0E428" w14:textId="77777777" w:rsidR="00CD656C" w:rsidRPr="004F28F3" w:rsidRDefault="00CD656C" w:rsidP="00CD656C">
      <w:pPr>
        <w:spacing w:after="0" w:line="240" w:lineRule="auto"/>
        <w:contextualSpacing/>
        <w:jc w:val="both"/>
        <w:rPr>
          <w:rFonts w:ascii="Arial" w:eastAsia="Times New Roman" w:hAnsi="Arial" w:cs="Arial"/>
          <w:bCs/>
          <w:sz w:val="20"/>
          <w:szCs w:val="20"/>
          <w:lang w:val="es-MX" w:eastAsia="es-CO"/>
        </w:rPr>
      </w:pPr>
      <w:r w:rsidRPr="004F28F3">
        <w:rPr>
          <w:rFonts w:ascii="Arial" w:eastAsia="Times New Roman" w:hAnsi="Arial" w:cs="Arial"/>
          <w:bCs/>
          <w:sz w:val="20"/>
          <w:szCs w:val="20"/>
          <w:lang w:val="es-MX" w:eastAsia="es-CO"/>
        </w:rPr>
        <w:t>Por un lado, el artículo 33 de la Ley 996 de 2005 prohíbe «[…] la contratación directa por parte de todos los entes del Estado» durante los cuatro (4) meses anteriores a las elecciones presidenciales, salvo «[…]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p>
    <w:p w14:paraId="169DAEC5" w14:textId="77777777" w:rsidR="00CD656C" w:rsidRPr="004F28F3" w:rsidRDefault="00CD656C" w:rsidP="00CD656C">
      <w:pPr>
        <w:tabs>
          <w:tab w:val="left" w:pos="0"/>
        </w:tabs>
        <w:spacing w:after="0" w:line="240" w:lineRule="auto"/>
        <w:contextualSpacing/>
        <w:jc w:val="both"/>
        <w:rPr>
          <w:rFonts w:ascii="Arial" w:eastAsia="Calibri" w:hAnsi="Arial" w:cs="Arial"/>
          <w:b/>
          <w:sz w:val="20"/>
          <w:szCs w:val="20"/>
          <w:lang w:val="es-ES" w:eastAsia="es-MX"/>
        </w:rPr>
      </w:pPr>
    </w:p>
    <w:p w14:paraId="3A46860C" w14:textId="77777777" w:rsidR="00CD656C" w:rsidRPr="004F28F3" w:rsidRDefault="00CD656C" w:rsidP="00CD656C">
      <w:pPr>
        <w:tabs>
          <w:tab w:val="left" w:pos="426"/>
        </w:tabs>
        <w:spacing w:after="0" w:line="240" w:lineRule="auto"/>
        <w:contextualSpacing/>
        <w:jc w:val="both"/>
        <w:rPr>
          <w:rFonts w:ascii="Arial" w:eastAsia="Calibri" w:hAnsi="Arial" w:cs="Arial"/>
          <w:b/>
          <w:bCs/>
          <w:lang w:val="es-MX"/>
        </w:rPr>
      </w:pPr>
      <w:r w:rsidRPr="004F28F3">
        <w:rPr>
          <w:rFonts w:ascii="Arial" w:eastAsia="Calibri" w:hAnsi="Arial" w:cs="Arial"/>
          <w:b/>
          <w:bCs/>
          <w:lang w:val="es-MX"/>
        </w:rPr>
        <w:t xml:space="preserve">LEY DE GARANTÍAS ELECTORALES ─ Prohibición artículo 33 ‒ Contratación directa ‒ Alcance </w:t>
      </w:r>
    </w:p>
    <w:p w14:paraId="3E9142F7" w14:textId="77777777" w:rsidR="00CD656C" w:rsidRPr="004F28F3" w:rsidRDefault="00CD656C" w:rsidP="00CD656C">
      <w:pPr>
        <w:tabs>
          <w:tab w:val="left" w:pos="426"/>
        </w:tabs>
        <w:spacing w:after="0" w:line="240" w:lineRule="auto"/>
        <w:contextualSpacing/>
        <w:jc w:val="both"/>
        <w:rPr>
          <w:rFonts w:ascii="Arial" w:eastAsia="Calibri" w:hAnsi="Arial" w:cs="Arial"/>
          <w:noProof/>
          <w:sz w:val="20"/>
          <w:szCs w:val="20"/>
          <w:lang w:val="es-MX"/>
        </w:rPr>
      </w:pPr>
    </w:p>
    <w:p w14:paraId="65C2D7F1" w14:textId="77777777" w:rsidR="00CD656C" w:rsidRPr="004F28F3" w:rsidRDefault="00CD656C" w:rsidP="00CD656C">
      <w:pPr>
        <w:spacing w:after="0" w:line="240" w:lineRule="auto"/>
        <w:contextualSpacing/>
        <w:jc w:val="both"/>
        <w:rPr>
          <w:rFonts w:ascii="Arial" w:eastAsia="Times New Roman" w:hAnsi="Arial" w:cs="Arial"/>
          <w:bCs/>
          <w:sz w:val="20"/>
          <w:szCs w:val="20"/>
          <w:lang w:val="es-MX" w:eastAsia="es-CO"/>
        </w:rPr>
      </w:pPr>
      <w:r w:rsidRPr="004F28F3">
        <w:rPr>
          <w:rFonts w:ascii="Arial" w:eastAsia="Times New Roman" w:hAnsi="Arial" w:cs="Arial"/>
          <w:bCs/>
          <w:sz w:val="20"/>
          <w:szCs w:val="20"/>
          <w:lang w:val="es-MX" w:eastAsia="es-CO"/>
        </w:rPr>
        <w:t>[…] para los efectos de la Ley de Garantías Electorales y, en particular, para la prohibición o restricción temporal contenida en su artículo 33, «contratación directa» es cualquier sistema de selección o procedimiento de contratación utilizado por las entidades estatales que no incluya la convocatoria pública en alguna de sus etapas, ni permita la participación de una pluralidad de oferentes.</w:t>
      </w:r>
    </w:p>
    <w:p w14:paraId="7EE32D10" w14:textId="77777777" w:rsidR="00CD656C" w:rsidRPr="004F28F3" w:rsidRDefault="00CD656C" w:rsidP="00CD656C">
      <w:pPr>
        <w:spacing w:after="0" w:line="240" w:lineRule="auto"/>
        <w:contextualSpacing/>
        <w:jc w:val="both"/>
        <w:rPr>
          <w:rFonts w:ascii="Arial" w:eastAsia="Times New Roman" w:hAnsi="Arial" w:cs="Arial"/>
          <w:bCs/>
          <w:sz w:val="20"/>
          <w:szCs w:val="20"/>
          <w:lang w:val="es-MX" w:eastAsia="es-CO"/>
        </w:rPr>
      </w:pPr>
      <w:r w:rsidRPr="004F28F3">
        <w:rPr>
          <w:rFonts w:ascii="Arial" w:eastAsia="Times New Roman" w:hAnsi="Arial" w:cs="Arial"/>
          <w:bCs/>
          <w:sz w:val="20"/>
          <w:szCs w:val="20"/>
          <w:lang w:val="es-MX" w:eastAsia="es-CO"/>
        </w:rPr>
        <w:t xml:space="preserve"> </w:t>
      </w:r>
    </w:p>
    <w:p w14:paraId="6C44A9F5" w14:textId="77777777" w:rsidR="00CD656C" w:rsidRPr="004F28F3" w:rsidRDefault="00CD656C" w:rsidP="00CD656C">
      <w:pPr>
        <w:spacing w:after="0" w:line="240" w:lineRule="auto"/>
        <w:contextualSpacing/>
        <w:jc w:val="both"/>
        <w:rPr>
          <w:rFonts w:ascii="Arial" w:eastAsia="Times New Roman" w:hAnsi="Arial" w:cs="Arial"/>
          <w:bCs/>
          <w:sz w:val="20"/>
          <w:szCs w:val="20"/>
          <w:lang w:val="es-MX" w:eastAsia="es-CO"/>
        </w:rPr>
      </w:pPr>
      <w:r w:rsidRPr="004F28F3">
        <w:rPr>
          <w:rFonts w:ascii="Arial" w:eastAsia="Times New Roman" w:hAnsi="Arial" w:cs="Arial"/>
          <w:bCs/>
          <w:sz w:val="20"/>
          <w:szCs w:val="20"/>
          <w:lang w:val="es-MX" w:eastAsia="es-CO"/>
        </w:rPr>
        <w:t xml:space="preserve">De lo anterior se desprende que la restricción aplica, sin perjuicio de las excepciones establecidas en la misma ley, para celebrar cualquier contrato de forma directa, esto es, sin que exista un proceso abierto y competitivo. Por tanto, no son materia de la prohibición las demás modalidades de selección previstas en la Ley 1150 de 2007, es decir, la licitación pública, el concurso de méritos y la selección abreviada, razón por la cual en ese período </w:t>
      </w:r>
      <w:r w:rsidRPr="004F28F3">
        <w:rPr>
          <w:rFonts w:ascii="Arial" w:eastAsia="Times New Roman" w:hAnsi="Arial" w:cs="Arial"/>
          <w:bCs/>
          <w:sz w:val="20"/>
          <w:szCs w:val="20"/>
          <w:lang w:val="es-MX" w:eastAsia="es-CO"/>
        </w:rPr>
        <w:lastRenderedPageBreak/>
        <w:t>preelectoral de que trata la disposición pueden las entidades públicas seguir contratando bajo estos sistemas.</w:t>
      </w:r>
    </w:p>
    <w:p w14:paraId="2139129E" w14:textId="77777777" w:rsidR="00CD656C" w:rsidRPr="004F28F3" w:rsidRDefault="00CD656C" w:rsidP="00CD656C">
      <w:pPr>
        <w:spacing w:after="0" w:line="240" w:lineRule="auto"/>
        <w:contextualSpacing/>
        <w:jc w:val="both"/>
        <w:rPr>
          <w:rFonts w:ascii="Arial" w:eastAsia="Times New Roman" w:hAnsi="Arial" w:cs="Arial"/>
          <w:b/>
          <w:bCs/>
          <w:sz w:val="20"/>
          <w:szCs w:val="20"/>
          <w:lang w:val="es-MX" w:eastAsia="es-ES"/>
        </w:rPr>
      </w:pPr>
    </w:p>
    <w:p w14:paraId="258BFF8E" w14:textId="77777777" w:rsidR="00CD656C" w:rsidRPr="004F28F3" w:rsidRDefault="00CD656C" w:rsidP="00CD656C">
      <w:pPr>
        <w:shd w:val="clear" w:color="auto" w:fill="FFFFFF"/>
        <w:spacing w:after="0" w:line="240" w:lineRule="auto"/>
        <w:contextualSpacing/>
        <w:jc w:val="both"/>
        <w:rPr>
          <w:rFonts w:ascii="Arial" w:eastAsia="Times New Roman" w:hAnsi="Arial" w:cs="Arial"/>
          <w:b/>
          <w:bCs/>
          <w:lang w:eastAsia="es-CO"/>
        </w:rPr>
      </w:pPr>
      <w:bookmarkStart w:id="0" w:name="_Hlk98480479"/>
      <w:r w:rsidRPr="004F28F3">
        <w:rPr>
          <w:rFonts w:ascii="Arial" w:eastAsia="Times New Roman" w:hAnsi="Arial" w:cs="Arial"/>
          <w:b/>
          <w:bCs/>
          <w:lang w:eastAsia="es-CO"/>
        </w:rPr>
        <w:t xml:space="preserve">LEY DE GARANTÍAS ELECTORALES </w:t>
      </w:r>
      <w:r w:rsidRPr="004F28F3">
        <w:rPr>
          <w:rFonts w:ascii="Arial" w:eastAsia="Calibri" w:hAnsi="Arial" w:cs="Arial"/>
          <w:b/>
          <w:bCs/>
          <w:lang w:val="es-MX"/>
        </w:rPr>
        <w:t xml:space="preserve">─ Prohibición artículo 33 ‒ </w:t>
      </w:r>
      <w:r w:rsidRPr="004F28F3">
        <w:rPr>
          <w:rFonts w:ascii="Arial" w:eastAsia="Times New Roman" w:hAnsi="Arial" w:cs="Arial"/>
          <w:b/>
          <w:bCs/>
          <w:lang w:eastAsia="es-CO"/>
        </w:rPr>
        <w:t>Excepciones</w:t>
      </w:r>
    </w:p>
    <w:p w14:paraId="06D7C15B" w14:textId="77777777" w:rsidR="00CD656C" w:rsidRPr="004F28F3" w:rsidRDefault="00CD656C" w:rsidP="00CD656C">
      <w:pPr>
        <w:shd w:val="clear" w:color="auto" w:fill="FFFFFF"/>
        <w:spacing w:after="0" w:line="240" w:lineRule="auto"/>
        <w:contextualSpacing/>
        <w:jc w:val="both"/>
        <w:rPr>
          <w:rFonts w:ascii="Arial" w:eastAsia="Times New Roman" w:hAnsi="Arial" w:cs="Arial"/>
          <w:b/>
          <w:lang w:eastAsia="es-CO"/>
        </w:rPr>
      </w:pPr>
    </w:p>
    <w:bookmarkEnd w:id="0"/>
    <w:p w14:paraId="1E218093" w14:textId="77777777" w:rsidR="00CD656C" w:rsidRPr="004F28F3" w:rsidRDefault="00CD656C" w:rsidP="00CD656C">
      <w:pPr>
        <w:spacing w:after="0" w:line="240" w:lineRule="auto"/>
        <w:contextualSpacing/>
        <w:jc w:val="both"/>
        <w:rPr>
          <w:rFonts w:ascii="Arial" w:eastAsia="Times New Roman" w:hAnsi="Arial" w:cs="Arial"/>
          <w:bCs/>
          <w:sz w:val="20"/>
          <w:szCs w:val="20"/>
          <w:lang w:val="es-MX" w:eastAsia="es-CO"/>
        </w:rPr>
      </w:pPr>
      <w:r w:rsidRPr="004F28F3">
        <w:rPr>
          <w:rFonts w:ascii="Arial" w:eastAsia="Times New Roman" w:hAnsi="Arial" w:cs="Arial"/>
          <w:bCs/>
          <w:sz w:val="20"/>
          <w:szCs w:val="20"/>
          <w:lang w:val="es-MX" w:eastAsia="es-CO"/>
        </w:rPr>
        <w:t xml:space="preserve">[…] , De otro lado, las excepciones a la restricción prevista en la Ley de Garantías, con fundamento en las cuales podrán las entidades públicas adelantar procedimientos de selección directa en períodos previos a la contienda electoral por la Presidencia, se encuentran consagradas de manera taxativa en el inciso final del citado artículo 33 de la Ley 996 de 2005 en lo referente a: i) la defensa y seguridad del Estado; </w:t>
      </w:r>
      <w:proofErr w:type="spellStart"/>
      <w:r w:rsidRPr="004F28F3">
        <w:rPr>
          <w:rFonts w:ascii="Arial" w:eastAsia="Times New Roman" w:hAnsi="Arial" w:cs="Arial"/>
          <w:bCs/>
          <w:sz w:val="20"/>
          <w:szCs w:val="20"/>
          <w:lang w:val="es-MX" w:eastAsia="es-CO"/>
        </w:rPr>
        <w:t>ii</w:t>
      </w:r>
      <w:proofErr w:type="spellEnd"/>
      <w:r w:rsidRPr="004F28F3">
        <w:rPr>
          <w:rFonts w:ascii="Arial" w:eastAsia="Times New Roman" w:hAnsi="Arial" w:cs="Arial"/>
          <w:bCs/>
          <w:sz w:val="20"/>
          <w:szCs w:val="20"/>
          <w:lang w:val="es-MX" w:eastAsia="es-CO"/>
        </w:rPr>
        <w:t xml:space="preserve">) los contratos de crédito público; </w:t>
      </w:r>
      <w:proofErr w:type="spellStart"/>
      <w:r w:rsidRPr="004F28F3">
        <w:rPr>
          <w:rFonts w:ascii="Arial" w:eastAsia="Times New Roman" w:hAnsi="Arial" w:cs="Arial"/>
          <w:bCs/>
          <w:sz w:val="20"/>
          <w:szCs w:val="20"/>
          <w:lang w:val="es-MX" w:eastAsia="es-CO"/>
        </w:rPr>
        <w:t>iii</w:t>
      </w:r>
      <w:proofErr w:type="spellEnd"/>
      <w:r w:rsidRPr="004F28F3">
        <w:rPr>
          <w:rFonts w:ascii="Arial" w:eastAsia="Times New Roman" w:hAnsi="Arial" w:cs="Arial"/>
          <w:bCs/>
          <w:sz w:val="20"/>
          <w:szCs w:val="20"/>
          <w:lang w:val="es-MX" w:eastAsia="es-CO"/>
        </w:rPr>
        <w:t xml:space="preserve">) los requeridos para cubrir las emergencias educativas, sanitarias y desastres; </w:t>
      </w:r>
      <w:proofErr w:type="spellStart"/>
      <w:r w:rsidRPr="004F28F3">
        <w:rPr>
          <w:rFonts w:ascii="Arial" w:eastAsia="Times New Roman" w:hAnsi="Arial" w:cs="Arial"/>
          <w:bCs/>
          <w:sz w:val="20"/>
          <w:szCs w:val="20"/>
          <w:lang w:val="es-MX" w:eastAsia="es-CO"/>
        </w:rPr>
        <w:t>iv</w:t>
      </w:r>
      <w:proofErr w:type="spellEnd"/>
      <w:r w:rsidRPr="004F28F3">
        <w:rPr>
          <w:rFonts w:ascii="Arial" w:eastAsia="Times New Roman" w:hAnsi="Arial" w:cs="Arial"/>
          <w:bCs/>
          <w:sz w:val="20"/>
          <w:szCs w:val="20"/>
          <w:lang w:val="es-MX" w:eastAsia="es-CO"/>
        </w:rPr>
        <w:t>)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 El mismo inciso señala que es responsabilidad del respectivo ente del Estado, examinar en cada caso la naturaleza de las actividades que adelanta y determinar si las mismas se enmarcan en alguna de las mencionadas excepciones, de manera que se le permita realizar la contratación que necesite en forma directa.</w:t>
      </w:r>
    </w:p>
    <w:p w14:paraId="064E49F1" w14:textId="77777777" w:rsidR="00CD656C" w:rsidRPr="004F28F3" w:rsidRDefault="00CD656C" w:rsidP="00CD656C">
      <w:pPr>
        <w:spacing w:after="0" w:line="240" w:lineRule="auto"/>
        <w:contextualSpacing/>
        <w:jc w:val="both"/>
        <w:rPr>
          <w:rFonts w:ascii="Arial" w:eastAsia="Times New Roman" w:hAnsi="Arial" w:cs="Arial"/>
          <w:bCs/>
          <w:sz w:val="20"/>
          <w:szCs w:val="20"/>
          <w:lang w:val="es-MX" w:eastAsia="es-CO"/>
        </w:rPr>
      </w:pPr>
    </w:p>
    <w:p w14:paraId="0477616B" w14:textId="77777777" w:rsidR="00CD656C" w:rsidRPr="004F28F3" w:rsidRDefault="00CD656C" w:rsidP="00CD656C">
      <w:pPr>
        <w:spacing w:after="0" w:line="240" w:lineRule="auto"/>
        <w:contextualSpacing/>
        <w:jc w:val="both"/>
        <w:rPr>
          <w:rFonts w:ascii="Arial" w:eastAsia="Times New Roman" w:hAnsi="Arial" w:cs="Arial"/>
          <w:b/>
          <w:lang w:val="es-ES" w:eastAsia="es-CO"/>
        </w:rPr>
      </w:pPr>
      <w:r w:rsidRPr="004F28F3">
        <w:rPr>
          <w:rFonts w:ascii="Arial" w:eastAsia="Times New Roman" w:hAnsi="Arial" w:cs="Arial"/>
          <w:b/>
          <w:bCs/>
          <w:lang w:eastAsia="es-CO"/>
        </w:rPr>
        <w:t xml:space="preserve">LEY DE GARANTÍAS ELECTORALES ‒ </w:t>
      </w:r>
      <w:r w:rsidRPr="004F28F3">
        <w:rPr>
          <w:rFonts w:ascii="Arial" w:eastAsia="Times New Roman" w:hAnsi="Arial" w:cs="Arial"/>
          <w:b/>
          <w:lang w:val="es-ES" w:eastAsia="es-CO"/>
        </w:rPr>
        <w:t xml:space="preserve">Prohibición del artículo 33 </w:t>
      </w:r>
      <w:r w:rsidRPr="004F28F3">
        <w:rPr>
          <w:rFonts w:ascii="Arial" w:eastAsia="Times New Roman" w:hAnsi="Arial" w:cs="Arial"/>
          <w:b/>
          <w:bCs/>
          <w:lang w:eastAsia="es-CO"/>
        </w:rPr>
        <w:t>‒ Destinatarios</w:t>
      </w:r>
    </w:p>
    <w:p w14:paraId="72E1088E" w14:textId="77777777" w:rsidR="00CD656C" w:rsidRPr="004F28F3" w:rsidRDefault="00CD656C" w:rsidP="00CD656C">
      <w:pPr>
        <w:tabs>
          <w:tab w:val="left" w:pos="426"/>
        </w:tabs>
        <w:spacing w:after="0" w:line="240" w:lineRule="auto"/>
        <w:contextualSpacing/>
        <w:jc w:val="both"/>
        <w:rPr>
          <w:rFonts w:ascii="Arial" w:eastAsia="Calibri" w:hAnsi="Arial" w:cs="Arial"/>
          <w:noProof/>
          <w:lang w:val="es-ES"/>
        </w:rPr>
      </w:pPr>
    </w:p>
    <w:p w14:paraId="3E1222C0" w14:textId="77777777" w:rsidR="00CD656C" w:rsidRPr="004F28F3" w:rsidRDefault="00CD656C" w:rsidP="00CD656C">
      <w:pPr>
        <w:spacing w:after="0" w:line="240" w:lineRule="auto"/>
        <w:contextualSpacing/>
        <w:jc w:val="both"/>
        <w:rPr>
          <w:rFonts w:ascii="Arial" w:eastAsia="Times New Roman" w:hAnsi="Arial" w:cs="Arial"/>
          <w:bCs/>
          <w:sz w:val="20"/>
          <w:szCs w:val="20"/>
          <w:lang w:val="es-MX" w:eastAsia="es-CO"/>
        </w:rPr>
      </w:pPr>
      <w:r w:rsidRPr="004F28F3">
        <w:rPr>
          <w:rFonts w:ascii="Arial" w:eastAsia="Times New Roman" w:hAnsi="Arial" w:cs="Arial"/>
          <w:bCs/>
          <w:sz w:val="20"/>
          <w:szCs w:val="20"/>
          <w:lang w:val="es-MX" w:eastAsia="es-CO"/>
        </w:rPr>
        <w:t>El artículo 33 de la Ley 996 de 2005 señala expresamente a los destinatarios de la prohibición, en el sentido de que son «todos los entes del Estado», expresión que contempla a los diferentes organismos o entidades autorizadas por la ley para suscribir contratos. En efecto, tal como lo ha sostenido el Consejo de Estado, el vocablo «todos» utilizado por el legislador comprende a la totalidad de los entes del Estado, sin distinción del régimen jurídico, forma de organización o naturaleza, su pertenencia a una u otra rama del poder público o su autonomía, e incluso si las entidades estatales tienen régimen especial de contratación y están exceptuadas del ámbito de aplicación del Estatuto General de Contratación de la Administración Pública.</w:t>
      </w:r>
    </w:p>
    <w:p w14:paraId="58CC00A2" w14:textId="77777777" w:rsidR="00CD656C" w:rsidRPr="004F28F3" w:rsidRDefault="00CD656C" w:rsidP="00CD656C">
      <w:pPr>
        <w:spacing w:after="0" w:line="240" w:lineRule="auto"/>
        <w:contextualSpacing/>
        <w:jc w:val="both"/>
        <w:rPr>
          <w:rFonts w:ascii="Arial" w:eastAsia="Times New Roman" w:hAnsi="Arial" w:cs="Arial"/>
          <w:bCs/>
          <w:sz w:val="20"/>
          <w:szCs w:val="20"/>
          <w:lang w:val="es-MX" w:eastAsia="es-CO"/>
        </w:rPr>
      </w:pPr>
    </w:p>
    <w:p w14:paraId="25411B5F" w14:textId="77777777" w:rsidR="00CD656C" w:rsidRPr="004F28F3" w:rsidRDefault="00CD656C" w:rsidP="00CD656C">
      <w:pPr>
        <w:spacing w:after="0" w:line="240" w:lineRule="auto"/>
        <w:contextualSpacing/>
        <w:jc w:val="both"/>
        <w:rPr>
          <w:rFonts w:ascii="Arial" w:eastAsia="Times New Roman" w:hAnsi="Arial" w:cs="Arial"/>
          <w:bCs/>
          <w:sz w:val="20"/>
          <w:szCs w:val="20"/>
          <w:lang w:val="es-MX" w:eastAsia="es-CO"/>
        </w:rPr>
      </w:pPr>
      <w:r w:rsidRPr="004F28F3">
        <w:rPr>
          <w:rFonts w:ascii="Arial" w:eastAsia="Times New Roman" w:hAnsi="Arial" w:cs="Arial"/>
          <w:bCs/>
          <w:sz w:val="20"/>
          <w:szCs w:val="20"/>
          <w:lang w:val="es-MX" w:eastAsia="es-CO"/>
        </w:rPr>
        <w:t>Por lo tanto, la restricción prevista en la Ley 996 de 2005, teniendo en cuenta la finalidad de la ley de garantías electorales, cobija a cualquier ente público que pueda a través de la contratación directa romper el equilibrio entre los partidos y los candidatos en las elecciones presidenciales. Tampoco existe un supuesto de exoneración a la prohibición por tener un régimen especial de los actos o contratos, pues, la posibilidad de que los entes del Estado utilicen la contratación con fines políticos, esto es, con la intención de influir a los electores y alterar la voluntad popular en las contiendas electorales, se puede presentar tanto en la contratación regulada por la Ley 80 de 1993 como en la regida por el derecho privado.</w:t>
      </w:r>
    </w:p>
    <w:p w14:paraId="4DC3E127" w14:textId="77777777" w:rsidR="00CD656C" w:rsidRPr="004F28F3" w:rsidRDefault="00CD656C" w:rsidP="00CD656C">
      <w:pPr>
        <w:spacing w:after="0" w:line="240" w:lineRule="auto"/>
        <w:contextualSpacing/>
        <w:jc w:val="both"/>
        <w:rPr>
          <w:rFonts w:ascii="Arial" w:eastAsia="Times New Roman" w:hAnsi="Arial" w:cs="Arial"/>
          <w:bCs/>
          <w:sz w:val="20"/>
          <w:szCs w:val="20"/>
          <w:lang w:val="es-MX" w:eastAsia="es-CO"/>
        </w:rPr>
      </w:pPr>
    </w:p>
    <w:p w14:paraId="6EA1869B" w14:textId="12AFE029" w:rsidR="00CD656C" w:rsidRPr="004F28F3" w:rsidRDefault="00CD656C" w:rsidP="00CD656C">
      <w:pPr>
        <w:tabs>
          <w:tab w:val="left" w:pos="426"/>
        </w:tabs>
        <w:spacing w:after="0" w:line="240" w:lineRule="auto"/>
        <w:contextualSpacing/>
        <w:jc w:val="both"/>
        <w:rPr>
          <w:rFonts w:ascii="Arial" w:eastAsia="Times New Roman" w:hAnsi="Arial" w:cs="Arial"/>
          <w:b/>
          <w:bCs/>
          <w:lang w:eastAsia="es-CO"/>
        </w:rPr>
      </w:pPr>
      <w:r w:rsidRPr="004F28F3">
        <w:rPr>
          <w:rFonts w:ascii="Arial" w:eastAsia="Times New Roman" w:hAnsi="Arial" w:cs="Arial"/>
          <w:b/>
          <w:bCs/>
          <w:lang w:eastAsia="es-CO"/>
        </w:rPr>
        <w:t xml:space="preserve">LEY DE GARANTÍAS ELECTORALES </w:t>
      </w:r>
      <w:r w:rsidRPr="004F28F3">
        <w:rPr>
          <w:rFonts w:ascii="Arial" w:eastAsia="Calibri" w:hAnsi="Arial" w:cs="Arial"/>
          <w:b/>
          <w:bCs/>
          <w:lang w:val="es-MX"/>
        </w:rPr>
        <w:t xml:space="preserve">─ Prohibición artículo 33 ‒ </w:t>
      </w:r>
      <w:r w:rsidRPr="004F28F3">
        <w:rPr>
          <w:rFonts w:ascii="Arial" w:eastAsia="Times New Roman" w:hAnsi="Arial" w:cs="Arial"/>
          <w:b/>
          <w:bCs/>
          <w:lang w:eastAsia="es-CO"/>
        </w:rPr>
        <w:t xml:space="preserve">Excepciones – Defensa </w:t>
      </w:r>
      <w:r w:rsidR="0077465E">
        <w:rPr>
          <w:rFonts w:ascii="Arial" w:eastAsia="Times New Roman" w:hAnsi="Arial" w:cs="Arial"/>
          <w:b/>
          <w:bCs/>
          <w:lang w:eastAsia="es-CO"/>
        </w:rPr>
        <w:t>Civil Colombiana</w:t>
      </w:r>
    </w:p>
    <w:p w14:paraId="45B5E8A9" w14:textId="77777777" w:rsidR="00CD656C" w:rsidRPr="004F28F3" w:rsidRDefault="00CD656C" w:rsidP="00CD656C">
      <w:pPr>
        <w:spacing w:after="0" w:line="240" w:lineRule="auto"/>
        <w:contextualSpacing/>
        <w:jc w:val="both"/>
        <w:rPr>
          <w:rFonts w:ascii="Arial" w:eastAsia="Times New Roman" w:hAnsi="Arial" w:cs="Arial"/>
          <w:bCs/>
          <w:sz w:val="20"/>
          <w:szCs w:val="20"/>
          <w:lang w:val="es-MX" w:eastAsia="es-CO"/>
        </w:rPr>
      </w:pPr>
    </w:p>
    <w:p w14:paraId="6EAB7B13" w14:textId="77777777" w:rsidR="00CD656C" w:rsidRPr="004F28F3" w:rsidRDefault="00CD656C" w:rsidP="00CD656C">
      <w:pPr>
        <w:spacing w:after="0" w:line="240" w:lineRule="auto"/>
        <w:contextualSpacing/>
        <w:jc w:val="both"/>
        <w:rPr>
          <w:rFonts w:ascii="Arial" w:eastAsia="Times New Roman" w:hAnsi="Arial" w:cs="Arial"/>
          <w:bCs/>
          <w:sz w:val="20"/>
          <w:szCs w:val="20"/>
          <w:lang w:val="es-MX" w:eastAsia="es-CO"/>
        </w:rPr>
      </w:pPr>
      <w:r w:rsidRPr="004F28F3">
        <w:rPr>
          <w:rFonts w:ascii="Arial" w:eastAsia="Times New Roman" w:hAnsi="Arial" w:cs="Arial"/>
          <w:bCs/>
          <w:sz w:val="20"/>
          <w:szCs w:val="20"/>
          <w:lang w:val="es-MX" w:eastAsia="es-CO"/>
        </w:rPr>
        <w:t xml:space="preserve">Ahora bien, de conformidad con el artículo 2 Decreto 1997 de 1998, la Defensa Civil Colombiana es un establecimiento público de orden nacional, dotado con personería </w:t>
      </w:r>
      <w:r w:rsidRPr="004F28F3">
        <w:rPr>
          <w:rFonts w:ascii="Arial" w:eastAsia="Times New Roman" w:hAnsi="Arial" w:cs="Arial"/>
          <w:bCs/>
          <w:sz w:val="20"/>
          <w:szCs w:val="20"/>
          <w:lang w:val="es-MX" w:eastAsia="es-CO"/>
        </w:rPr>
        <w:lastRenderedPageBreak/>
        <w:t xml:space="preserve">jurídica, autonomía administrativa y patrimonio propio, adscrito al Ministerio de Defensa Nacional, cuyo objeto es la prevención inminente y atención inmediata de los desastres, y como integrante del Sistema Nacional para la Prevención y Atención de Desastres, ejecutar los planes, programas, proyectos y acciones específicas que se le atribuyan en el Plan Nacional para la Prevención y Atención de Desastres, así como participar en las actividades de Atención de Desastres o calamidades declaradas, en los términos que se definan en las declaratorias correspondientes y, especialmente, en la fase primaria de atención y control.   </w:t>
      </w:r>
    </w:p>
    <w:p w14:paraId="439D8662" w14:textId="77777777" w:rsidR="00CD656C" w:rsidRPr="004F28F3" w:rsidRDefault="00CD656C" w:rsidP="00CD656C">
      <w:pPr>
        <w:spacing w:after="0" w:line="240" w:lineRule="auto"/>
        <w:contextualSpacing/>
        <w:jc w:val="both"/>
        <w:rPr>
          <w:rFonts w:ascii="Arial" w:eastAsia="Times New Roman" w:hAnsi="Arial" w:cs="Arial"/>
          <w:bCs/>
          <w:sz w:val="20"/>
          <w:szCs w:val="20"/>
          <w:lang w:val="es-MX" w:eastAsia="es-CO"/>
        </w:rPr>
      </w:pPr>
    </w:p>
    <w:p w14:paraId="0D392875" w14:textId="77777777" w:rsidR="00CD656C" w:rsidRPr="004F28F3" w:rsidRDefault="00CD656C" w:rsidP="00CD656C">
      <w:pPr>
        <w:spacing w:after="0" w:line="240" w:lineRule="auto"/>
        <w:contextualSpacing/>
        <w:jc w:val="both"/>
        <w:rPr>
          <w:rFonts w:ascii="Arial" w:eastAsia="Times New Roman" w:hAnsi="Arial" w:cs="Arial"/>
          <w:bCs/>
          <w:sz w:val="20"/>
          <w:szCs w:val="20"/>
          <w:lang w:val="es-MX" w:eastAsia="es-CO"/>
        </w:rPr>
      </w:pPr>
      <w:r w:rsidRPr="004F28F3">
        <w:rPr>
          <w:rFonts w:ascii="Arial" w:eastAsia="Times New Roman" w:hAnsi="Arial" w:cs="Arial"/>
          <w:bCs/>
          <w:sz w:val="20"/>
          <w:szCs w:val="20"/>
          <w:lang w:val="es-MX" w:eastAsia="es-CO"/>
        </w:rPr>
        <w:t xml:space="preserve">Teniendo en cuenta el análisis precedente, de cara a la aplicación de la Ley de Garantías Electorales, los establecimientos públicos, dada su calidad de entes del Estado, durante el periodo de aplicación de la prohibición establecida en el artículo 33 de la Ley 996 de 2005, podrán celebrar contratos siempre que se realice un procedimiento competitivo, que permita la participación de pluralidad de oferentes. Por el contrario, no le será posible celebrar contratos a través de una contratación directa, entendiendo esta como aquel sistema de selección de contratistas en el que no exista convocatoria pública, ni sea posible la participación de pluralidad de oferentes. </w:t>
      </w:r>
    </w:p>
    <w:p w14:paraId="64D1D596" w14:textId="77777777" w:rsidR="00CD656C" w:rsidRPr="004F28F3" w:rsidRDefault="00CD656C" w:rsidP="00CD656C">
      <w:pPr>
        <w:spacing w:after="0" w:line="240" w:lineRule="auto"/>
        <w:contextualSpacing/>
        <w:jc w:val="both"/>
        <w:rPr>
          <w:rFonts w:ascii="Arial" w:eastAsia="Times New Roman" w:hAnsi="Arial" w:cs="Arial"/>
          <w:bCs/>
          <w:sz w:val="20"/>
          <w:szCs w:val="20"/>
          <w:lang w:val="es-MX" w:eastAsia="es-CO"/>
        </w:rPr>
      </w:pPr>
    </w:p>
    <w:p w14:paraId="60FBC776" w14:textId="77777777" w:rsidR="00CD656C" w:rsidRPr="004F28F3" w:rsidRDefault="00CD656C" w:rsidP="00CD656C">
      <w:pPr>
        <w:spacing w:after="0" w:line="240" w:lineRule="auto"/>
        <w:contextualSpacing/>
        <w:jc w:val="both"/>
        <w:rPr>
          <w:rFonts w:ascii="Arial" w:eastAsia="Times New Roman" w:hAnsi="Arial" w:cs="Arial"/>
          <w:bCs/>
          <w:sz w:val="20"/>
          <w:szCs w:val="20"/>
          <w:lang w:val="es-MX" w:eastAsia="es-CO"/>
        </w:rPr>
      </w:pPr>
      <w:r w:rsidRPr="004F28F3">
        <w:rPr>
          <w:rFonts w:ascii="Arial" w:eastAsia="Times New Roman" w:hAnsi="Arial" w:cs="Arial"/>
          <w:bCs/>
          <w:sz w:val="20"/>
          <w:szCs w:val="20"/>
          <w:lang w:val="es-MX" w:eastAsia="es-CO"/>
        </w:rPr>
        <w:t xml:space="preserve">Ahora bien, las entidades públicas, de acuerdo con el inciso final del artículo 33 de la Ley 996 de 2005 –Ley de Garantías Electorales–, y previo análisis de la naturaleza de las actividades que adelantan, podrán realizar procedimientos de selección directa en períodos previos a la contienda electoral por la Presidencia, cuando el contrato a celebrar </w:t>
      </w:r>
      <w:proofErr w:type="gramStart"/>
      <w:r w:rsidRPr="004F28F3">
        <w:rPr>
          <w:rFonts w:ascii="Arial" w:eastAsia="Times New Roman" w:hAnsi="Arial" w:cs="Arial"/>
          <w:bCs/>
          <w:sz w:val="20"/>
          <w:szCs w:val="20"/>
          <w:lang w:val="es-MX" w:eastAsia="es-CO"/>
        </w:rPr>
        <w:t>se enmarque dentro de</w:t>
      </w:r>
      <w:proofErr w:type="gramEnd"/>
      <w:r w:rsidRPr="004F28F3">
        <w:rPr>
          <w:rFonts w:ascii="Arial" w:eastAsia="Times New Roman" w:hAnsi="Arial" w:cs="Arial"/>
          <w:bCs/>
          <w:sz w:val="20"/>
          <w:szCs w:val="20"/>
          <w:lang w:val="es-MX" w:eastAsia="es-CO"/>
        </w:rPr>
        <w:t xml:space="preserve"> algunas de las excepciones consagradas en dicha disposición</w:t>
      </w:r>
    </w:p>
    <w:p w14:paraId="3A8967A2" w14:textId="361FF041" w:rsidR="00CD656C" w:rsidRDefault="00CD656C">
      <w:pPr>
        <w:rPr>
          <w:rFonts w:ascii="Arial" w:eastAsia="Times New Roman" w:hAnsi="Arial" w:cs="Arial"/>
          <w:b/>
          <w:bCs/>
          <w:lang w:eastAsia="es-ES"/>
        </w:rPr>
      </w:pPr>
    </w:p>
    <w:p w14:paraId="75F5EB38" w14:textId="77777777" w:rsidR="00CD656C" w:rsidRDefault="00CD656C">
      <w:pPr>
        <w:rPr>
          <w:rFonts w:ascii="Arial" w:eastAsia="Times New Roman" w:hAnsi="Arial" w:cs="Arial"/>
          <w:b/>
          <w:bCs/>
          <w:lang w:eastAsia="es-ES"/>
        </w:rPr>
      </w:pPr>
      <w:r>
        <w:rPr>
          <w:rFonts w:ascii="Arial" w:eastAsia="Times New Roman" w:hAnsi="Arial" w:cs="Arial"/>
          <w:b/>
          <w:bCs/>
          <w:lang w:eastAsia="es-ES"/>
        </w:rPr>
        <w:br w:type="page"/>
      </w:r>
    </w:p>
    <w:p w14:paraId="50C8F538" w14:textId="44FE970F" w:rsidR="00420C9F" w:rsidRPr="00921225" w:rsidRDefault="00420C9F" w:rsidP="00420C9F">
      <w:pPr>
        <w:spacing w:after="0" w:line="276" w:lineRule="auto"/>
        <w:jc w:val="right"/>
        <w:rPr>
          <w:rFonts w:ascii="Arial" w:eastAsia="Calibri" w:hAnsi="Arial" w:cs="Arial"/>
          <w:b/>
          <w:bCs/>
        </w:rPr>
      </w:pPr>
      <w:r w:rsidRPr="00921225">
        <w:rPr>
          <w:rFonts w:ascii="Arial" w:eastAsia="Times New Roman" w:hAnsi="Arial" w:cs="Arial"/>
          <w:b/>
          <w:bCs/>
          <w:lang w:eastAsia="es-ES"/>
        </w:rPr>
        <w:lastRenderedPageBreak/>
        <w:t>CCE-DES-FM-17</w:t>
      </w:r>
    </w:p>
    <w:p w14:paraId="48744DDE" w14:textId="77777777" w:rsidR="00420C9F" w:rsidRPr="00921225" w:rsidRDefault="00420C9F" w:rsidP="00420C9F">
      <w:pPr>
        <w:tabs>
          <w:tab w:val="left" w:pos="3374"/>
        </w:tabs>
        <w:spacing w:after="0" w:line="240" w:lineRule="auto"/>
        <w:jc w:val="right"/>
        <w:rPr>
          <w:rFonts w:ascii="Arial" w:eastAsia="Calibri" w:hAnsi="Arial" w:cs="Arial"/>
          <w:lang w:val="es-MX"/>
        </w:rPr>
      </w:pPr>
    </w:p>
    <w:p w14:paraId="052CB165" w14:textId="382300EF" w:rsidR="00420C9F" w:rsidRDefault="00BD066D" w:rsidP="00420C9F">
      <w:pPr>
        <w:spacing w:after="0" w:line="240" w:lineRule="auto"/>
        <w:jc w:val="right"/>
        <w:rPr>
          <w:rFonts w:ascii="Arial" w:eastAsia="Calibri" w:hAnsi="Arial" w:cs="Arial"/>
          <w:noProof/>
        </w:rPr>
      </w:pPr>
      <w:r>
        <w:rPr>
          <w:noProof/>
        </w:rPr>
        <w:drawing>
          <wp:inline distT="0" distB="0" distL="0" distR="0" wp14:anchorId="31E79E3A" wp14:editId="1DADE2E6">
            <wp:extent cx="2562225" cy="714375"/>
            <wp:effectExtent l="0" t="0" r="9525" b="9525"/>
            <wp:docPr id="1"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Texto&#10;&#10;Descripción generada automáticamente"/>
                    <pic:cNvPicPr/>
                  </pic:nvPicPr>
                  <pic:blipFill>
                    <a:blip r:embed="rId8"/>
                    <a:stretch>
                      <a:fillRect/>
                    </a:stretch>
                  </pic:blipFill>
                  <pic:spPr>
                    <a:xfrm>
                      <a:off x="0" y="0"/>
                      <a:ext cx="2562225" cy="714375"/>
                    </a:xfrm>
                    <a:prstGeom prst="rect">
                      <a:avLst/>
                    </a:prstGeom>
                  </pic:spPr>
                </pic:pic>
              </a:graphicData>
            </a:graphic>
          </wp:inline>
        </w:drawing>
      </w:r>
    </w:p>
    <w:p w14:paraId="1F39F048" w14:textId="3CCF2B89" w:rsidR="00CD656C" w:rsidRDefault="00CD656C" w:rsidP="00420C9F">
      <w:pPr>
        <w:spacing w:after="0" w:line="240" w:lineRule="auto"/>
        <w:jc w:val="right"/>
        <w:rPr>
          <w:rFonts w:ascii="Arial" w:eastAsia="Calibri" w:hAnsi="Arial" w:cs="Arial"/>
          <w:noProof/>
        </w:rPr>
      </w:pPr>
    </w:p>
    <w:p w14:paraId="4DEE0339" w14:textId="77777777" w:rsidR="00CD656C" w:rsidRPr="00E91049" w:rsidRDefault="00CD656C" w:rsidP="00420C9F">
      <w:pPr>
        <w:spacing w:after="0" w:line="240" w:lineRule="auto"/>
        <w:jc w:val="right"/>
        <w:rPr>
          <w:rFonts w:ascii="Arial" w:eastAsia="Calibri" w:hAnsi="Arial" w:cs="Arial"/>
          <w:noProof/>
        </w:rPr>
      </w:pPr>
    </w:p>
    <w:p w14:paraId="1E9E312E" w14:textId="7B6892A3" w:rsidR="00420C9F" w:rsidRPr="00E91049" w:rsidRDefault="00BD066D" w:rsidP="00BD066D">
      <w:pPr>
        <w:spacing w:after="0" w:line="240" w:lineRule="auto"/>
        <w:rPr>
          <w:rFonts w:ascii="Arial" w:eastAsia="Calibri" w:hAnsi="Arial" w:cs="Arial"/>
          <w:noProof/>
        </w:rPr>
      </w:pPr>
      <w:r>
        <w:rPr>
          <w:rFonts w:ascii="Arial" w:eastAsia="Calibri" w:hAnsi="Arial" w:cs="Arial"/>
          <w:noProof/>
        </w:rPr>
        <w:t xml:space="preserve">Bogotá, </w:t>
      </w:r>
      <w:r w:rsidR="007D2243">
        <w:rPr>
          <w:rFonts w:ascii="Arial" w:eastAsia="Calibri" w:hAnsi="Arial" w:cs="Arial"/>
          <w:noProof/>
        </w:rPr>
        <w:t>22 de Marzo de 2022</w:t>
      </w:r>
    </w:p>
    <w:p w14:paraId="35D1821C" w14:textId="77777777" w:rsidR="00420C9F" w:rsidRPr="00E91049" w:rsidRDefault="00420C9F" w:rsidP="00420C9F">
      <w:pPr>
        <w:spacing w:after="0" w:line="240" w:lineRule="auto"/>
        <w:jc w:val="right"/>
        <w:rPr>
          <w:rFonts w:ascii="Arial" w:eastAsia="Calibri" w:hAnsi="Arial" w:cs="Arial"/>
          <w:noProof/>
        </w:rPr>
      </w:pPr>
    </w:p>
    <w:p w14:paraId="41794231" w14:textId="77777777" w:rsidR="00420C9F" w:rsidRDefault="00420C9F" w:rsidP="00420C9F">
      <w:pPr>
        <w:spacing w:after="0" w:line="240" w:lineRule="auto"/>
        <w:jc w:val="right"/>
        <w:rPr>
          <w:rFonts w:ascii="Arial" w:eastAsia="Calibri" w:hAnsi="Arial" w:cs="Arial"/>
        </w:rPr>
      </w:pPr>
    </w:p>
    <w:p w14:paraId="63ED195B" w14:textId="77777777" w:rsidR="00420C9F" w:rsidRPr="00921225" w:rsidRDefault="00420C9F" w:rsidP="00420C9F">
      <w:pPr>
        <w:spacing w:after="0" w:line="240" w:lineRule="auto"/>
        <w:jc w:val="right"/>
        <w:rPr>
          <w:rFonts w:ascii="Arial" w:eastAsia="Calibri" w:hAnsi="Arial" w:cs="Arial"/>
        </w:rPr>
      </w:pPr>
    </w:p>
    <w:p w14:paraId="19F2A3CF" w14:textId="33931307" w:rsidR="00420C9F" w:rsidRPr="00921225" w:rsidRDefault="00420C9F" w:rsidP="00420C9F">
      <w:pPr>
        <w:spacing w:after="0" w:line="240" w:lineRule="auto"/>
        <w:jc w:val="both"/>
        <w:rPr>
          <w:rFonts w:ascii="Arial" w:eastAsia="Calibri" w:hAnsi="Arial" w:cs="Arial"/>
        </w:rPr>
      </w:pPr>
      <w:bookmarkStart w:id="1" w:name="_Hlk96417464"/>
      <w:bookmarkStart w:id="2" w:name="_Hlk98860684"/>
      <w:r w:rsidRPr="00921225">
        <w:rPr>
          <w:rFonts w:ascii="Arial" w:eastAsia="Calibri" w:hAnsi="Arial" w:cs="Arial"/>
        </w:rPr>
        <w:t>Señor</w:t>
      </w:r>
      <w:r w:rsidRPr="00E91049">
        <w:rPr>
          <w:rFonts w:ascii="Arial" w:eastAsia="Calibri" w:hAnsi="Arial" w:cs="Arial"/>
        </w:rPr>
        <w:t>:</w:t>
      </w:r>
    </w:p>
    <w:p w14:paraId="0C82F752" w14:textId="14C58C26" w:rsidR="00420C9F" w:rsidRPr="00E91049" w:rsidRDefault="007D6DE8" w:rsidP="00420C9F">
      <w:pPr>
        <w:spacing w:after="0" w:line="240" w:lineRule="auto"/>
        <w:jc w:val="both"/>
        <w:rPr>
          <w:rFonts w:ascii="Arial" w:hAnsi="Arial" w:cs="Arial"/>
          <w:b/>
          <w:bCs/>
          <w:lang w:eastAsia="es-CO"/>
        </w:rPr>
      </w:pPr>
      <w:r>
        <w:rPr>
          <w:rFonts w:ascii="Arial" w:hAnsi="Arial" w:cs="Arial"/>
          <w:b/>
          <w:bCs/>
          <w:lang w:eastAsia="es-CO"/>
        </w:rPr>
        <w:t>EDWIN TORRES POVEDA</w:t>
      </w:r>
    </w:p>
    <w:p w14:paraId="1756C455" w14:textId="137FA53B" w:rsidR="00420C9F" w:rsidRDefault="007D6DE8" w:rsidP="00420C9F">
      <w:pPr>
        <w:spacing w:after="0" w:line="240" w:lineRule="auto"/>
        <w:jc w:val="both"/>
        <w:rPr>
          <w:rFonts w:ascii="Arial" w:hAnsi="Arial" w:cs="Arial"/>
          <w:b/>
          <w:bCs/>
          <w:lang w:eastAsia="es-CO"/>
        </w:rPr>
      </w:pPr>
      <w:r>
        <w:rPr>
          <w:rFonts w:ascii="Arial" w:hAnsi="Arial" w:cs="Arial"/>
          <w:b/>
          <w:bCs/>
          <w:lang w:eastAsia="es-CO"/>
        </w:rPr>
        <w:t xml:space="preserve">Secretario de Gobierno </w:t>
      </w:r>
    </w:p>
    <w:p w14:paraId="22F28D4B" w14:textId="2573C347" w:rsidR="007D6DE8" w:rsidRPr="00E91049" w:rsidRDefault="007D6DE8" w:rsidP="00420C9F">
      <w:pPr>
        <w:spacing w:after="0" w:line="240" w:lineRule="auto"/>
        <w:jc w:val="both"/>
        <w:rPr>
          <w:rFonts w:ascii="Arial" w:hAnsi="Arial" w:cs="Arial"/>
          <w:b/>
          <w:bCs/>
          <w:lang w:eastAsia="es-CO"/>
        </w:rPr>
      </w:pPr>
      <w:r>
        <w:rPr>
          <w:rFonts w:ascii="Arial" w:hAnsi="Arial" w:cs="Arial"/>
          <w:b/>
          <w:bCs/>
          <w:lang w:eastAsia="es-CO"/>
        </w:rPr>
        <w:t>Coordinador Municipal de Gestión de Riesgo</w:t>
      </w:r>
    </w:p>
    <w:p w14:paraId="76B6A58D" w14:textId="7A0DF58A" w:rsidR="00420C9F" w:rsidRPr="00921225" w:rsidRDefault="007D6DE8" w:rsidP="00420C9F">
      <w:pPr>
        <w:spacing w:after="0" w:line="240" w:lineRule="auto"/>
        <w:jc w:val="both"/>
        <w:rPr>
          <w:rFonts w:ascii="Arial" w:eastAsia="Calibri" w:hAnsi="Arial" w:cs="Arial"/>
        </w:rPr>
      </w:pPr>
      <w:r>
        <w:rPr>
          <w:rFonts w:ascii="Arial" w:eastAsia="Calibri" w:hAnsi="Arial" w:cs="Arial"/>
        </w:rPr>
        <w:t>Chía – Cundinamarca</w:t>
      </w:r>
    </w:p>
    <w:p w14:paraId="57FA06A9" w14:textId="77777777" w:rsidR="00420C9F" w:rsidRPr="00921225" w:rsidRDefault="00420C9F" w:rsidP="00420C9F">
      <w:pPr>
        <w:spacing w:after="0" w:line="240" w:lineRule="auto"/>
        <w:jc w:val="both"/>
        <w:rPr>
          <w:rFonts w:ascii="Arial" w:eastAsia="Calibri" w:hAnsi="Arial" w:cs="Arial"/>
        </w:rPr>
      </w:pPr>
    </w:p>
    <w:p w14:paraId="2DDE65BA" w14:textId="77777777" w:rsidR="00420C9F" w:rsidRPr="00921225" w:rsidRDefault="00420C9F" w:rsidP="00420C9F">
      <w:pPr>
        <w:spacing w:after="0" w:line="240" w:lineRule="auto"/>
        <w:jc w:val="both"/>
        <w:rPr>
          <w:rFonts w:ascii="Arial" w:eastAsia="Calibri" w:hAnsi="Arial" w:cs="Arial"/>
        </w:rPr>
      </w:pPr>
    </w:p>
    <w:p w14:paraId="47F14C5D" w14:textId="6AEA1847" w:rsidR="00420C9F" w:rsidRPr="00921225" w:rsidRDefault="00420C9F" w:rsidP="00420C9F">
      <w:pPr>
        <w:spacing w:after="0" w:line="240" w:lineRule="auto"/>
        <w:jc w:val="both"/>
        <w:rPr>
          <w:rFonts w:ascii="Arial" w:eastAsia="Calibri" w:hAnsi="Arial" w:cs="Arial"/>
        </w:rPr>
      </w:pPr>
      <w:r w:rsidRPr="00921225">
        <w:rPr>
          <w:rFonts w:ascii="Arial" w:eastAsia="Calibri" w:hAnsi="Arial" w:cs="Arial"/>
        </w:rPr>
        <w:t xml:space="preserve">                                            </w:t>
      </w:r>
      <w:r w:rsidRPr="00921225">
        <w:rPr>
          <w:rFonts w:ascii="Arial" w:eastAsia="Calibri" w:hAnsi="Arial" w:cs="Arial"/>
          <w:b/>
        </w:rPr>
        <w:t xml:space="preserve">Concepto C – </w:t>
      </w:r>
      <w:r w:rsidR="007D6DE8">
        <w:rPr>
          <w:rFonts w:ascii="Arial" w:eastAsia="Calibri" w:hAnsi="Arial" w:cs="Arial"/>
          <w:b/>
        </w:rPr>
        <w:t>11</w:t>
      </w:r>
      <w:r w:rsidR="00654E02">
        <w:rPr>
          <w:rFonts w:ascii="Arial" w:eastAsia="Calibri" w:hAnsi="Arial" w:cs="Arial"/>
          <w:b/>
        </w:rPr>
        <w:t>5</w:t>
      </w:r>
      <w:r w:rsidRPr="00921225">
        <w:rPr>
          <w:rFonts w:ascii="Arial" w:eastAsia="Calibri" w:hAnsi="Arial" w:cs="Arial"/>
          <w:b/>
        </w:rPr>
        <w:t xml:space="preserve"> de 2022</w:t>
      </w:r>
      <w:r w:rsidRPr="00921225">
        <w:rPr>
          <w:rFonts w:ascii="Arial" w:eastAsia="Calibri" w:hAnsi="Arial" w:cs="Arial"/>
        </w:rPr>
        <w:t xml:space="preserve"> </w:t>
      </w:r>
    </w:p>
    <w:p w14:paraId="0F0B63AE" w14:textId="77777777" w:rsidR="00420C9F" w:rsidRPr="004437F0" w:rsidRDefault="00420C9F" w:rsidP="00420C9F">
      <w:pPr>
        <w:spacing w:after="0" w:line="240" w:lineRule="auto"/>
        <w:jc w:val="both"/>
        <w:rPr>
          <w:rFonts w:ascii="Arial" w:eastAsia="Calibri" w:hAnsi="Arial" w:cs="Arial"/>
          <w:b/>
        </w:rPr>
      </w:pPr>
    </w:p>
    <w:tbl>
      <w:tblPr>
        <w:tblStyle w:val="Tablaconcuadrcula1"/>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420C9F" w:rsidRPr="004437F0" w14:paraId="01E7BEA4" w14:textId="77777777" w:rsidTr="008319F4">
        <w:trPr>
          <w:trHeight w:val="485"/>
        </w:trPr>
        <w:tc>
          <w:tcPr>
            <w:tcW w:w="2689" w:type="dxa"/>
            <w:hideMark/>
          </w:tcPr>
          <w:p w14:paraId="42FBC029" w14:textId="77777777" w:rsidR="00420C9F" w:rsidRPr="004437F0" w:rsidRDefault="00420C9F" w:rsidP="008319F4">
            <w:pPr>
              <w:contextualSpacing/>
              <w:rPr>
                <w:rFonts w:ascii="Arial" w:eastAsia="Calibri" w:hAnsi="Arial" w:cs="Arial"/>
                <w:noProof/>
                <w:highlight w:val="yellow"/>
                <w:lang w:val="es-ES_tradnl"/>
              </w:rPr>
            </w:pPr>
            <w:r w:rsidRPr="004437F0">
              <w:rPr>
                <w:rFonts w:ascii="Arial" w:eastAsia="Calibri" w:hAnsi="Arial" w:cs="Arial"/>
                <w:b/>
                <w:noProof/>
                <w:lang w:val="es-ES_tradnl"/>
              </w:rPr>
              <w:t>Temas:</w:t>
            </w:r>
            <w:r w:rsidRPr="004437F0">
              <w:rPr>
                <w:rFonts w:ascii="Arial" w:eastAsia="Calibri" w:hAnsi="Arial" w:cs="Arial"/>
                <w:noProof/>
                <w:lang w:val="es-ES_tradnl"/>
              </w:rPr>
              <w:t xml:space="preserve">        </w:t>
            </w:r>
          </w:p>
        </w:tc>
        <w:tc>
          <w:tcPr>
            <w:tcW w:w="6237" w:type="dxa"/>
            <w:hideMark/>
          </w:tcPr>
          <w:p w14:paraId="6A0945E9" w14:textId="6EE949EC" w:rsidR="006F35D4" w:rsidRDefault="006F35D4" w:rsidP="0077465E">
            <w:pPr>
              <w:tabs>
                <w:tab w:val="left" w:pos="426"/>
              </w:tabs>
              <w:contextualSpacing/>
              <w:jc w:val="both"/>
              <w:rPr>
                <w:rFonts w:ascii="Arial" w:eastAsia="Times New Roman" w:hAnsi="Arial" w:cs="Arial"/>
                <w:b/>
                <w:lang w:val="es-ES" w:eastAsia="es-CO"/>
              </w:rPr>
            </w:pPr>
            <w:r w:rsidRPr="005747DA">
              <w:rPr>
                <w:rFonts w:ascii="Arial" w:eastAsia="Calibri" w:hAnsi="Arial" w:cs="Arial"/>
                <w:b/>
                <w:lang w:val="es-MX" w:eastAsia="es-MX"/>
              </w:rPr>
              <w:t>LEY DE GARANTÍAS ELECTORALES – Naturaleza Jurídica</w:t>
            </w:r>
            <w:r>
              <w:rPr>
                <w:rFonts w:ascii="Arial" w:eastAsia="Calibri" w:hAnsi="Arial" w:cs="Arial"/>
                <w:b/>
                <w:lang w:val="es-MX" w:eastAsia="es-MX"/>
              </w:rPr>
              <w:t xml:space="preserve"> / </w:t>
            </w:r>
            <w:r w:rsidRPr="004A75D8">
              <w:rPr>
                <w:rFonts w:ascii="Arial" w:eastAsia="Calibri" w:hAnsi="Arial" w:cs="Arial"/>
                <w:b/>
                <w:lang w:val="es-MX" w:eastAsia="es-MX"/>
              </w:rPr>
              <w:t>LEY DE GARANTÍAS ELECTORALES – Prohibiciones</w:t>
            </w:r>
            <w:r w:rsidRPr="00F010A2">
              <w:rPr>
                <w:rFonts w:ascii="Arial" w:eastAsia="Calibri" w:hAnsi="Arial" w:cs="Arial"/>
                <w:b/>
                <w:sz w:val="20"/>
                <w:szCs w:val="20"/>
                <w:lang w:val="es-MX" w:eastAsia="es-MX"/>
              </w:rPr>
              <w:t xml:space="preserve"> </w:t>
            </w:r>
            <w:r>
              <w:rPr>
                <w:rFonts w:ascii="Arial" w:eastAsia="Calibri" w:hAnsi="Arial" w:cs="Arial"/>
                <w:b/>
                <w:sz w:val="20"/>
                <w:szCs w:val="20"/>
                <w:lang w:val="es-MX" w:eastAsia="es-MX"/>
              </w:rPr>
              <w:t xml:space="preserve">/ </w:t>
            </w:r>
            <w:r w:rsidRPr="00020476">
              <w:rPr>
                <w:rFonts w:ascii="Arial" w:eastAsia="Calibri" w:hAnsi="Arial" w:cs="Arial"/>
                <w:b/>
                <w:bCs/>
                <w:lang w:val="es-MX"/>
              </w:rPr>
              <w:t xml:space="preserve">LEY DE GARANTÍAS ELECTORALES ─ Prohibición artículo 33 ‒ Contratación directa ‒ Alcance </w:t>
            </w:r>
            <w:r>
              <w:rPr>
                <w:rFonts w:ascii="Arial" w:eastAsia="Calibri" w:hAnsi="Arial" w:cs="Arial"/>
                <w:b/>
                <w:bCs/>
                <w:lang w:val="es-MX"/>
              </w:rPr>
              <w:t xml:space="preserve">/ </w:t>
            </w:r>
            <w:r w:rsidRPr="00020476">
              <w:rPr>
                <w:rFonts w:ascii="Arial" w:eastAsia="Times New Roman" w:hAnsi="Arial" w:cs="Arial"/>
                <w:b/>
                <w:bCs/>
                <w:lang w:eastAsia="es-CO"/>
              </w:rPr>
              <w:t xml:space="preserve">LEY DE GARANTÍAS ELECTORALES </w:t>
            </w:r>
            <w:r w:rsidRPr="00020476">
              <w:rPr>
                <w:rFonts w:ascii="Arial" w:eastAsia="Calibri" w:hAnsi="Arial" w:cs="Arial"/>
                <w:b/>
                <w:bCs/>
                <w:lang w:val="es-MX"/>
              </w:rPr>
              <w:t xml:space="preserve">─ Prohibición artículo 33 ‒ </w:t>
            </w:r>
            <w:r w:rsidRPr="00020476">
              <w:rPr>
                <w:rFonts w:ascii="Arial" w:eastAsia="Times New Roman" w:hAnsi="Arial" w:cs="Arial"/>
                <w:b/>
                <w:bCs/>
                <w:lang w:eastAsia="es-CO"/>
              </w:rPr>
              <w:t>Excepciones</w:t>
            </w:r>
            <w:r>
              <w:rPr>
                <w:rFonts w:ascii="Arial" w:eastAsia="Times New Roman" w:hAnsi="Arial" w:cs="Arial"/>
                <w:b/>
                <w:bCs/>
                <w:lang w:eastAsia="es-CO"/>
              </w:rPr>
              <w:t xml:space="preserve"> </w:t>
            </w:r>
            <w:r w:rsidR="00CD656C">
              <w:rPr>
                <w:rFonts w:ascii="Arial" w:eastAsia="Times New Roman" w:hAnsi="Arial" w:cs="Arial"/>
                <w:b/>
                <w:bCs/>
                <w:lang w:eastAsia="es-CO"/>
              </w:rPr>
              <w:t xml:space="preserve">/ </w:t>
            </w:r>
            <w:r w:rsidR="00CD656C">
              <w:rPr>
                <w:rFonts w:ascii="Arial" w:eastAsia="Times New Roman" w:hAnsi="Arial" w:cs="Arial"/>
                <w:b/>
                <w:bCs/>
                <w:lang w:eastAsia="es-CO"/>
              </w:rPr>
              <w:t>L</w:t>
            </w:r>
            <w:r w:rsidR="00CD656C" w:rsidRPr="00020476">
              <w:rPr>
                <w:rFonts w:ascii="Arial" w:eastAsia="Times New Roman" w:hAnsi="Arial" w:cs="Arial"/>
                <w:b/>
                <w:bCs/>
                <w:lang w:eastAsia="es-CO"/>
              </w:rPr>
              <w:t>EY DE GARANTÍAS ELECTORALES</w:t>
            </w:r>
            <w:r w:rsidR="0077465E">
              <w:rPr>
                <w:rFonts w:ascii="Arial" w:eastAsia="Times New Roman" w:hAnsi="Arial" w:cs="Arial"/>
                <w:b/>
                <w:bCs/>
                <w:lang w:eastAsia="es-CO"/>
              </w:rPr>
              <w:t xml:space="preserve"> </w:t>
            </w:r>
            <w:r w:rsidR="0077465E" w:rsidRPr="00020476">
              <w:rPr>
                <w:rFonts w:ascii="Arial" w:eastAsia="Calibri" w:hAnsi="Arial" w:cs="Arial"/>
                <w:b/>
                <w:bCs/>
                <w:lang w:val="es-MX"/>
              </w:rPr>
              <w:t xml:space="preserve">─ Prohibición artículo </w:t>
            </w:r>
            <w:r w:rsidR="0077465E" w:rsidRPr="00020476">
              <w:rPr>
                <w:rFonts w:ascii="Arial" w:eastAsia="Calibri" w:hAnsi="Arial" w:cs="Arial"/>
                <w:b/>
                <w:bCs/>
                <w:lang w:val="es-MX"/>
              </w:rPr>
              <w:t xml:space="preserve">33 </w:t>
            </w:r>
            <w:r w:rsidR="0077465E" w:rsidRPr="00020476">
              <w:rPr>
                <w:rFonts w:ascii="Arial" w:eastAsia="Times New Roman" w:hAnsi="Arial" w:cs="Arial"/>
                <w:b/>
                <w:bCs/>
                <w:lang w:eastAsia="es-CO"/>
              </w:rPr>
              <w:t>─</w:t>
            </w:r>
            <w:r w:rsidR="00CD656C">
              <w:rPr>
                <w:rFonts w:ascii="Arial" w:eastAsia="Calibri" w:hAnsi="Arial" w:cs="Arial"/>
                <w:b/>
                <w:bCs/>
                <w:lang w:val="es-MX"/>
              </w:rPr>
              <w:t xml:space="preserve"> Destinatarios / </w:t>
            </w:r>
            <w:r w:rsidR="0077465E" w:rsidRPr="004F28F3">
              <w:rPr>
                <w:rFonts w:ascii="Arial" w:eastAsia="Times New Roman" w:hAnsi="Arial" w:cs="Arial"/>
                <w:b/>
                <w:bCs/>
                <w:lang w:eastAsia="es-CO"/>
              </w:rPr>
              <w:t xml:space="preserve">LEY DE GARANTÍAS ELECTORALES </w:t>
            </w:r>
            <w:r w:rsidR="0077465E" w:rsidRPr="004F28F3">
              <w:rPr>
                <w:rFonts w:ascii="Arial" w:eastAsia="Calibri" w:hAnsi="Arial" w:cs="Arial"/>
                <w:b/>
                <w:bCs/>
                <w:lang w:val="es-MX"/>
              </w:rPr>
              <w:t xml:space="preserve">─ Prohibición artículo 33 ‒ </w:t>
            </w:r>
            <w:r w:rsidR="0077465E" w:rsidRPr="004F28F3">
              <w:rPr>
                <w:rFonts w:ascii="Arial" w:eastAsia="Times New Roman" w:hAnsi="Arial" w:cs="Arial"/>
                <w:b/>
                <w:bCs/>
                <w:lang w:eastAsia="es-CO"/>
              </w:rPr>
              <w:t xml:space="preserve">Excepciones – Defensa </w:t>
            </w:r>
            <w:r>
              <w:rPr>
                <w:rFonts w:ascii="Arial" w:eastAsia="Times New Roman" w:hAnsi="Arial" w:cs="Arial"/>
                <w:b/>
                <w:lang w:val="es-ES" w:eastAsia="es-CO"/>
              </w:rPr>
              <w:t>Civil Colombiana</w:t>
            </w:r>
          </w:p>
          <w:p w14:paraId="75EB1273" w14:textId="77777777" w:rsidR="00420C9F" w:rsidRPr="004437F0" w:rsidRDefault="00420C9F" w:rsidP="008319F4">
            <w:pPr>
              <w:tabs>
                <w:tab w:val="left" w:pos="426"/>
              </w:tabs>
              <w:contextualSpacing/>
              <w:jc w:val="both"/>
              <w:rPr>
                <w:rFonts w:ascii="Arial" w:eastAsia="Calibri" w:hAnsi="Arial" w:cs="Arial"/>
                <w:b/>
                <w:bCs/>
                <w:lang w:val="es-MX"/>
              </w:rPr>
            </w:pPr>
          </w:p>
          <w:p w14:paraId="562FC6BA" w14:textId="77777777" w:rsidR="00420C9F" w:rsidRPr="004437F0" w:rsidRDefault="00420C9F" w:rsidP="008319F4">
            <w:pPr>
              <w:spacing w:after="120"/>
              <w:ind w:right="703"/>
              <w:jc w:val="both"/>
              <w:rPr>
                <w:rFonts w:ascii="Arial" w:eastAsia="Calibri" w:hAnsi="Arial" w:cs="Arial"/>
                <w:bCs/>
                <w:highlight w:val="yellow"/>
                <w:lang w:val="es-MX"/>
              </w:rPr>
            </w:pPr>
          </w:p>
        </w:tc>
      </w:tr>
      <w:tr w:rsidR="00420C9F" w:rsidRPr="003A0F48" w14:paraId="4071BE83" w14:textId="77777777" w:rsidTr="008319F4">
        <w:tc>
          <w:tcPr>
            <w:tcW w:w="2689" w:type="dxa"/>
          </w:tcPr>
          <w:p w14:paraId="328950BA" w14:textId="1D812E12" w:rsidR="00420C9F" w:rsidRPr="00921225" w:rsidRDefault="006F35D4" w:rsidP="008319F4">
            <w:pPr>
              <w:contextualSpacing/>
              <w:rPr>
                <w:rFonts w:ascii="Arial" w:eastAsia="Calibri" w:hAnsi="Arial" w:cs="Arial"/>
                <w:b/>
                <w:noProof/>
                <w:lang w:val="es-ES_tradnl"/>
              </w:rPr>
            </w:pPr>
            <w:r>
              <w:rPr>
                <w:rFonts w:ascii="Arial" w:eastAsia="Calibri" w:hAnsi="Arial" w:cs="Arial"/>
                <w:b/>
                <w:noProof/>
                <w:lang w:val="es-ES_tradnl"/>
              </w:rPr>
              <w:t xml:space="preserve"> </w:t>
            </w:r>
            <w:r w:rsidR="00420C9F" w:rsidRPr="00921225">
              <w:rPr>
                <w:rFonts w:ascii="Arial" w:eastAsia="Calibri" w:hAnsi="Arial" w:cs="Arial"/>
                <w:b/>
                <w:noProof/>
                <w:lang w:val="es-ES_tradnl"/>
              </w:rPr>
              <w:t>Radicación:</w:t>
            </w:r>
            <w:r w:rsidR="00420C9F" w:rsidRPr="00921225">
              <w:rPr>
                <w:rFonts w:ascii="Arial" w:eastAsia="Calibri" w:hAnsi="Arial" w:cs="Arial"/>
                <w:noProof/>
                <w:lang w:val="es-ES_tradnl"/>
              </w:rPr>
              <w:t xml:space="preserve">                              </w:t>
            </w:r>
          </w:p>
        </w:tc>
        <w:tc>
          <w:tcPr>
            <w:tcW w:w="6237" w:type="dxa"/>
          </w:tcPr>
          <w:p w14:paraId="58EABD6C" w14:textId="081D9428" w:rsidR="00420C9F" w:rsidRPr="00921225" w:rsidRDefault="00420C9F" w:rsidP="008319F4">
            <w:pPr>
              <w:contextualSpacing/>
              <w:jc w:val="both"/>
              <w:rPr>
                <w:rFonts w:ascii="Arial" w:eastAsia="Calibri" w:hAnsi="Arial" w:cs="Arial"/>
                <w:noProof/>
                <w:lang w:val="es-ES_tradnl"/>
              </w:rPr>
            </w:pPr>
            <w:r w:rsidRPr="00921225">
              <w:rPr>
                <w:rFonts w:ascii="Arial" w:eastAsia="Calibri" w:hAnsi="Arial" w:cs="Arial"/>
                <w:noProof/>
                <w:lang w:val="es-ES_tradnl"/>
              </w:rPr>
              <w:t>Respuesta a consulta</w:t>
            </w:r>
            <w:r w:rsidR="00654E02">
              <w:rPr>
                <w:rFonts w:ascii="Segoe UI" w:hAnsi="Segoe UI" w:cs="Segoe UI"/>
                <w:b/>
                <w:bCs/>
                <w:color w:val="323130"/>
                <w:sz w:val="32"/>
                <w:szCs w:val="32"/>
                <w:shd w:val="clear" w:color="auto" w:fill="FFFFFF"/>
              </w:rPr>
              <w:t xml:space="preserve"> </w:t>
            </w:r>
            <w:r w:rsidR="00654E02" w:rsidRPr="00654E02">
              <w:rPr>
                <w:rFonts w:ascii="Arial" w:eastAsia="Calibri" w:hAnsi="Arial" w:cs="Arial"/>
                <w:noProof/>
                <w:lang w:val="es-ES_tradnl"/>
              </w:rPr>
              <w:t>P20220209001272</w:t>
            </w:r>
          </w:p>
        </w:tc>
      </w:tr>
    </w:tbl>
    <w:p w14:paraId="66A67F1B" w14:textId="77777777" w:rsidR="00420C9F" w:rsidRPr="00921225" w:rsidRDefault="00420C9F" w:rsidP="00420C9F">
      <w:pPr>
        <w:spacing w:after="0" w:line="240" w:lineRule="auto"/>
        <w:jc w:val="both"/>
        <w:rPr>
          <w:rFonts w:ascii="Arial" w:eastAsia="Calibri" w:hAnsi="Arial" w:cs="Arial"/>
        </w:rPr>
      </w:pPr>
    </w:p>
    <w:p w14:paraId="1C670EA5" w14:textId="77777777" w:rsidR="00420C9F" w:rsidRPr="00921225" w:rsidRDefault="00420C9F" w:rsidP="00420C9F">
      <w:pPr>
        <w:spacing w:after="0" w:line="240" w:lineRule="auto"/>
        <w:jc w:val="both"/>
        <w:rPr>
          <w:rFonts w:ascii="Arial" w:eastAsia="Calibri" w:hAnsi="Arial" w:cs="Arial"/>
        </w:rPr>
      </w:pPr>
    </w:p>
    <w:p w14:paraId="38A98FA2" w14:textId="29B480A0" w:rsidR="00420C9F" w:rsidRPr="00921225" w:rsidRDefault="00420C9F" w:rsidP="00420C9F">
      <w:pPr>
        <w:spacing w:after="0" w:line="276" w:lineRule="auto"/>
        <w:jc w:val="both"/>
        <w:rPr>
          <w:rFonts w:ascii="Arial" w:eastAsia="Calibri" w:hAnsi="Arial" w:cs="Arial"/>
        </w:rPr>
      </w:pPr>
      <w:r w:rsidRPr="00921225">
        <w:rPr>
          <w:rFonts w:ascii="Arial" w:eastAsia="Calibri" w:hAnsi="Arial" w:cs="Arial"/>
        </w:rPr>
        <w:t>Estimado</w:t>
      </w:r>
      <w:r w:rsidRPr="003A0F48">
        <w:rPr>
          <w:rFonts w:ascii="Arial" w:eastAsia="Calibri" w:hAnsi="Arial" w:cs="Arial"/>
        </w:rPr>
        <w:t xml:space="preserve"> </w:t>
      </w:r>
      <w:r w:rsidRPr="00921225">
        <w:rPr>
          <w:rFonts w:ascii="Arial" w:eastAsia="Calibri" w:hAnsi="Arial" w:cs="Arial"/>
        </w:rPr>
        <w:t>señor</w:t>
      </w:r>
      <w:r w:rsidRPr="003A0F48">
        <w:rPr>
          <w:rFonts w:ascii="Arial" w:eastAsia="Calibri" w:hAnsi="Arial" w:cs="Arial"/>
        </w:rPr>
        <w:t xml:space="preserve"> </w:t>
      </w:r>
      <w:r w:rsidR="00654E02">
        <w:rPr>
          <w:rFonts w:ascii="Arial" w:eastAsia="Calibri" w:hAnsi="Arial" w:cs="Arial"/>
        </w:rPr>
        <w:t>Torres</w:t>
      </w:r>
      <w:r w:rsidRPr="00921225">
        <w:rPr>
          <w:rFonts w:ascii="Arial" w:eastAsia="Calibri" w:hAnsi="Arial" w:cs="Arial"/>
        </w:rPr>
        <w:t>:</w:t>
      </w:r>
    </w:p>
    <w:p w14:paraId="5BF7FC76" w14:textId="77777777" w:rsidR="00420C9F" w:rsidRPr="00921225" w:rsidRDefault="00420C9F" w:rsidP="00420C9F">
      <w:pPr>
        <w:spacing w:after="0" w:line="276" w:lineRule="auto"/>
        <w:ind w:firstLine="709"/>
        <w:jc w:val="both"/>
        <w:rPr>
          <w:rFonts w:ascii="Arial" w:eastAsia="Calibri" w:hAnsi="Arial" w:cs="Arial"/>
        </w:rPr>
      </w:pPr>
    </w:p>
    <w:p w14:paraId="539D2710" w14:textId="20EAC9B2" w:rsidR="00420C9F" w:rsidRPr="00921225" w:rsidRDefault="00420C9F" w:rsidP="00420C9F">
      <w:pPr>
        <w:spacing w:after="0" w:line="276" w:lineRule="auto"/>
        <w:ind w:right="51"/>
        <w:contextualSpacing/>
        <w:jc w:val="both"/>
        <w:rPr>
          <w:rFonts w:ascii="Arial" w:eastAsia="Calibri" w:hAnsi="Arial" w:cs="Arial"/>
        </w:rPr>
      </w:pPr>
      <w:r w:rsidRPr="00921225">
        <w:rPr>
          <w:rFonts w:ascii="Arial" w:eastAsia="Calibri" w:hAnsi="Arial" w:cs="Arial"/>
        </w:rPr>
        <w:t xml:space="preserve">En ejercicio de la competencia otorgada por el numeral 8 del artículo 11 y el numeral 5 del artículo 3 del Decreto Ley 4170 de 2011, la Agencia Nacional de Contratación Pública – Colombia Compra Eficiente responde la consulta radicada el </w:t>
      </w:r>
      <w:r w:rsidR="00654E02">
        <w:rPr>
          <w:rFonts w:ascii="Arial" w:eastAsia="Calibri" w:hAnsi="Arial" w:cs="Arial"/>
        </w:rPr>
        <w:t>9</w:t>
      </w:r>
      <w:r w:rsidRPr="003A0F48">
        <w:rPr>
          <w:rFonts w:ascii="Arial" w:eastAsia="Calibri" w:hAnsi="Arial" w:cs="Arial"/>
        </w:rPr>
        <w:t xml:space="preserve"> de febrero</w:t>
      </w:r>
      <w:r w:rsidRPr="00921225">
        <w:rPr>
          <w:rFonts w:ascii="Arial" w:eastAsia="Calibri" w:hAnsi="Arial" w:cs="Arial"/>
        </w:rPr>
        <w:t xml:space="preserve"> de 2022. </w:t>
      </w:r>
    </w:p>
    <w:p w14:paraId="4EF075BE" w14:textId="77777777" w:rsidR="00420C9F" w:rsidRPr="00921225" w:rsidRDefault="00420C9F" w:rsidP="00420C9F">
      <w:pPr>
        <w:spacing w:after="0" w:line="276" w:lineRule="auto"/>
        <w:contextualSpacing/>
        <w:jc w:val="both"/>
        <w:rPr>
          <w:rFonts w:ascii="Arial" w:eastAsia="Calibri" w:hAnsi="Arial" w:cs="Arial"/>
        </w:rPr>
      </w:pPr>
    </w:p>
    <w:p w14:paraId="79E1C732" w14:textId="77777777" w:rsidR="00420C9F" w:rsidRPr="00921225" w:rsidRDefault="00420C9F" w:rsidP="00420C9F">
      <w:pPr>
        <w:tabs>
          <w:tab w:val="left" w:pos="284"/>
        </w:tabs>
        <w:spacing w:after="0" w:line="276" w:lineRule="auto"/>
        <w:contextualSpacing/>
        <w:jc w:val="both"/>
        <w:rPr>
          <w:rFonts w:ascii="Arial" w:eastAsia="Calibri" w:hAnsi="Arial" w:cs="Arial"/>
          <w:b/>
        </w:rPr>
      </w:pPr>
      <w:r w:rsidRPr="00921225">
        <w:rPr>
          <w:rFonts w:ascii="Arial" w:eastAsia="Calibri" w:hAnsi="Arial" w:cs="Arial"/>
          <w:b/>
        </w:rPr>
        <w:t xml:space="preserve">1. Problema planteado </w:t>
      </w:r>
    </w:p>
    <w:p w14:paraId="65A3CCD0" w14:textId="77777777" w:rsidR="00420C9F" w:rsidRPr="00921225" w:rsidRDefault="00420C9F" w:rsidP="00420C9F">
      <w:pPr>
        <w:tabs>
          <w:tab w:val="left" w:pos="284"/>
        </w:tabs>
        <w:spacing w:after="0" w:line="276" w:lineRule="auto"/>
        <w:ind w:firstLine="709"/>
        <w:contextualSpacing/>
        <w:jc w:val="both"/>
        <w:rPr>
          <w:rFonts w:ascii="Arial" w:eastAsia="Calibri" w:hAnsi="Arial" w:cs="Arial"/>
          <w:b/>
        </w:rPr>
      </w:pPr>
    </w:p>
    <w:p w14:paraId="57F526F2" w14:textId="5CF3A526" w:rsidR="00420C9F" w:rsidRDefault="00654E02" w:rsidP="00420C9F">
      <w:pPr>
        <w:spacing w:after="0" w:line="276" w:lineRule="auto"/>
        <w:contextualSpacing/>
        <w:jc w:val="both"/>
        <w:rPr>
          <w:rFonts w:ascii="Arial" w:eastAsia="Times New Roman" w:hAnsi="Arial" w:cs="Arial"/>
          <w:lang w:eastAsia="es-ES_tradnl"/>
        </w:rPr>
      </w:pPr>
      <w:bookmarkStart w:id="3" w:name="_Hlk58917991"/>
      <w:bookmarkStart w:id="4" w:name="_Hlk56103000"/>
      <w:r>
        <w:rPr>
          <w:rFonts w:ascii="Arial" w:eastAsia="Times New Roman" w:hAnsi="Arial" w:cs="Arial"/>
          <w:lang w:eastAsia="es-ES_tradnl"/>
        </w:rPr>
        <w:t xml:space="preserve">Respecto de la Ley de Garantías Electorales, usted plantea la siguiente pregunta: </w:t>
      </w:r>
    </w:p>
    <w:p w14:paraId="0A139BD1" w14:textId="2D4D61D1" w:rsidR="00654E02" w:rsidRDefault="00654E02" w:rsidP="00420C9F">
      <w:pPr>
        <w:spacing w:after="0" w:line="276" w:lineRule="auto"/>
        <w:contextualSpacing/>
        <w:jc w:val="both"/>
        <w:rPr>
          <w:rFonts w:ascii="Arial" w:eastAsia="Times New Roman" w:hAnsi="Arial" w:cs="Arial"/>
          <w:lang w:eastAsia="es-ES_tradnl"/>
        </w:rPr>
      </w:pPr>
    </w:p>
    <w:p w14:paraId="0CAE4DF2" w14:textId="17D98328" w:rsidR="00654E02" w:rsidRPr="0049494F" w:rsidRDefault="00D12980" w:rsidP="0049494F">
      <w:pPr>
        <w:spacing w:after="0" w:line="276" w:lineRule="auto"/>
        <w:ind w:left="709" w:right="709"/>
        <w:contextualSpacing/>
        <w:jc w:val="both"/>
        <w:rPr>
          <w:rFonts w:ascii="Arial" w:eastAsia="Times New Roman" w:hAnsi="Arial" w:cs="Arial"/>
          <w:sz w:val="21"/>
          <w:szCs w:val="21"/>
          <w:lang w:eastAsia="es-ES_tradnl"/>
        </w:rPr>
      </w:pPr>
      <w:r w:rsidRPr="0049494F">
        <w:rPr>
          <w:rFonts w:ascii="Arial" w:eastAsia="Times New Roman" w:hAnsi="Arial" w:cs="Arial"/>
          <w:sz w:val="21"/>
          <w:szCs w:val="21"/>
          <w:lang w:eastAsia="es-ES_tradnl"/>
        </w:rPr>
        <w:t>«[…]</w:t>
      </w:r>
    </w:p>
    <w:p w14:paraId="0E8947A9" w14:textId="438710BF" w:rsidR="00D12980" w:rsidRPr="0049494F" w:rsidRDefault="00D12980" w:rsidP="0049494F">
      <w:pPr>
        <w:pStyle w:val="Prrafodelista"/>
        <w:numPr>
          <w:ilvl w:val="0"/>
          <w:numId w:val="1"/>
        </w:numPr>
        <w:spacing w:after="0" w:line="276" w:lineRule="auto"/>
        <w:ind w:left="709" w:right="709"/>
        <w:jc w:val="both"/>
        <w:rPr>
          <w:rFonts w:ascii="Arial" w:eastAsia="Times New Roman" w:hAnsi="Arial" w:cs="Arial"/>
          <w:sz w:val="21"/>
          <w:szCs w:val="21"/>
          <w:lang w:eastAsia="es-ES_tradnl"/>
        </w:rPr>
      </w:pPr>
      <w:r w:rsidRPr="0049494F">
        <w:rPr>
          <w:rFonts w:ascii="Arial" w:eastAsia="Times New Roman" w:hAnsi="Arial" w:cs="Arial"/>
          <w:sz w:val="21"/>
          <w:szCs w:val="21"/>
          <w:lang w:eastAsia="es-ES_tradnl"/>
        </w:rPr>
        <w:t xml:space="preserve">De acuerdo con al Decreto 606 del 6 de abril de 1967 de la Presidencia de la Republica se reguló el funcionamiento de la Defensa Civil Colombiana. </w:t>
      </w:r>
    </w:p>
    <w:p w14:paraId="7F8172B7" w14:textId="77777777" w:rsidR="004232E8" w:rsidRPr="0049494F" w:rsidRDefault="00D12980" w:rsidP="0049494F">
      <w:pPr>
        <w:pStyle w:val="Prrafodelista"/>
        <w:numPr>
          <w:ilvl w:val="0"/>
          <w:numId w:val="1"/>
        </w:numPr>
        <w:spacing w:after="0" w:line="276" w:lineRule="auto"/>
        <w:ind w:left="709" w:right="709"/>
        <w:jc w:val="both"/>
        <w:rPr>
          <w:rFonts w:ascii="Arial" w:eastAsia="Times New Roman" w:hAnsi="Arial" w:cs="Arial"/>
          <w:sz w:val="21"/>
          <w:szCs w:val="21"/>
          <w:lang w:eastAsia="es-ES_tradnl"/>
        </w:rPr>
      </w:pPr>
      <w:r w:rsidRPr="0049494F">
        <w:rPr>
          <w:rFonts w:ascii="Arial" w:eastAsia="Times New Roman" w:hAnsi="Arial" w:cs="Arial"/>
          <w:sz w:val="21"/>
          <w:szCs w:val="21"/>
          <w:lang w:eastAsia="es-ES_tradnl"/>
        </w:rPr>
        <w:t>La ley 1523 de 2012 “Por el cual se adopta la política nacional de gestión del riesgo de desastres y se establece el Sistema Nacional de Gestión Del Riesgo de Desastres y se dictan otras disposiciones” en el capítulo 2 artículo 12 refiere “LOS GOBERNADORES Y ALCALDES. Son conductores del sistema nacional en su nivel territorial y están investidos con las competencias necesarias para conservar la seguridad, la tranquilidad y la salubridad en el ámbito de su jurisdicción</w:t>
      </w:r>
      <w:r w:rsidR="004232E8" w:rsidRPr="0049494F">
        <w:rPr>
          <w:rFonts w:ascii="Arial" w:eastAsia="Times New Roman" w:hAnsi="Arial" w:cs="Arial"/>
          <w:sz w:val="21"/>
          <w:szCs w:val="21"/>
          <w:lang w:eastAsia="es-ES_tradnl"/>
        </w:rPr>
        <w:t>. e conformidad en la ley 1523 de 2012 en el capítulo 2 ARTÍCULO 27. “INSTANCIAS DE COORDINACIÓN TERRITORIAL. Créanse los Consejos departamentales, distritales y municipales de Gestión del Riesgo de Desastres, como instancias de coordinación, asesoría, planeación y seguimiento, destinados a garantizar la efectividad y articulación de los procesos de conocimiento del riesgo, de reducción del riesgo y de manejo de desastres en la entidad territorial correspondiente.”</w:t>
      </w:r>
    </w:p>
    <w:p w14:paraId="16161EF4" w14:textId="5BD178B4" w:rsidR="004232E8" w:rsidRPr="0049494F" w:rsidRDefault="004232E8" w:rsidP="0049494F">
      <w:pPr>
        <w:pStyle w:val="Prrafodelista"/>
        <w:numPr>
          <w:ilvl w:val="0"/>
          <w:numId w:val="1"/>
        </w:numPr>
        <w:spacing w:after="0" w:line="276" w:lineRule="auto"/>
        <w:ind w:left="709" w:right="709"/>
        <w:jc w:val="both"/>
        <w:rPr>
          <w:rFonts w:ascii="Arial" w:eastAsia="Times New Roman" w:hAnsi="Arial" w:cs="Arial"/>
          <w:sz w:val="21"/>
          <w:szCs w:val="21"/>
          <w:lang w:eastAsia="es-ES_tradnl"/>
        </w:rPr>
      </w:pPr>
      <w:r w:rsidRPr="0049494F">
        <w:rPr>
          <w:rFonts w:ascii="Arial" w:eastAsia="Times New Roman" w:hAnsi="Arial" w:cs="Arial"/>
          <w:sz w:val="21"/>
          <w:szCs w:val="21"/>
          <w:lang w:eastAsia="es-ES_tradnl"/>
        </w:rPr>
        <w:t xml:space="preserve">La Defensa Civil Colombiana en el marco de su competencia desarrolla procesos de gestión del riesgo de desastres, acción social y gestión ambiental, para contribuir a la seguridad, el bienestar y la calidad de vida de la población en el territorio nacional. </w:t>
      </w:r>
    </w:p>
    <w:p w14:paraId="44099866" w14:textId="77777777" w:rsidR="00A61928" w:rsidRPr="0049494F" w:rsidRDefault="00A61928" w:rsidP="0049494F">
      <w:pPr>
        <w:pStyle w:val="Prrafodelista"/>
        <w:numPr>
          <w:ilvl w:val="0"/>
          <w:numId w:val="1"/>
        </w:numPr>
        <w:spacing w:after="0" w:line="276" w:lineRule="auto"/>
        <w:ind w:left="709" w:right="709"/>
        <w:jc w:val="both"/>
        <w:rPr>
          <w:rFonts w:ascii="Arial" w:eastAsia="Times New Roman" w:hAnsi="Arial" w:cs="Arial"/>
          <w:sz w:val="21"/>
          <w:szCs w:val="21"/>
          <w:lang w:eastAsia="es-ES_tradnl"/>
        </w:rPr>
      </w:pPr>
      <w:r w:rsidRPr="0049494F">
        <w:rPr>
          <w:rFonts w:ascii="Arial" w:eastAsia="Times New Roman" w:hAnsi="Arial" w:cs="Arial"/>
          <w:sz w:val="21"/>
          <w:szCs w:val="21"/>
          <w:lang w:eastAsia="es-ES_tradnl"/>
        </w:rPr>
        <w:t>La Defensa Civil Colombiana es integrante del CMGRD (Comité Municipal de Gestión del Riesgo y Desastres), por lo cual su participación, asesoría técnica y operativa se hace indispensable en la jurisdicción del municipio. Lo anterior en virtud de los resultados en materia de conocimiento reducción y manejo de desastres (ley 1523 de 2012)</w:t>
      </w:r>
    </w:p>
    <w:p w14:paraId="7D6BC7C4" w14:textId="77777777" w:rsidR="00A61928" w:rsidRPr="0049494F" w:rsidRDefault="00A61928" w:rsidP="0049494F">
      <w:pPr>
        <w:pStyle w:val="Prrafodelista"/>
        <w:numPr>
          <w:ilvl w:val="0"/>
          <w:numId w:val="1"/>
        </w:numPr>
        <w:spacing w:after="0" w:line="276" w:lineRule="auto"/>
        <w:ind w:left="709" w:right="709"/>
        <w:jc w:val="both"/>
        <w:rPr>
          <w:rFonts w:ascii="Arial" w:eastAsia="Times New Roman" w:hAnsi="Arial" w:cs="Arial"/>
          <w:sz w:val="21"/>
          <w:szCs w:val="21"/>
          <w:lang w:eastAsia="es-ES_tradnl"/>
        </w:rPr>
      </w:pPr>
      <w:r w:rsidRPr="0049494F">
        <w:rPr>
          <w:rFonts w:ascii="Arial" w:eastAsia="Times New Roman" w:hAnsi="Arial" w:cs="Arial"/>
          <w:sz w:val="21"/>
          <w:szCs w:val="21"/>
          <w:lang w:eastAsia="es-ES_tradnl"/>
        </w:rPr>
        <w:t xml:space="preserve">La Defensa Civil Colombiana en el marco de su competencia, desarrolla procesos de gestión del riesgo de desastres, acción social y gestión ambiental, para contribuir a la seguridad, el bienestar y la calidad de vida de la población en el territorio nacional. </w:t>
      </w:r>
    </w:p>
    <w:p w14:paraId="5F8E77A3" w14:textId="77777777" w:rsidR="00A61928" w:rsidRPr="0049494F" w:rsidRDefault="00A61928" w:rsidP="0049494F">
      <w:pPr>
        <w:pStyle w:val="Prrafodelista"/>
        <w:numPr>
          <w:ilvl w:val="0"/>
          <w:numId w:val="1"/>
        </w:numPr>
        <w:spacing w:after="0" w:line="276" w:lineRule="auto"/>
        <w:ind w:left="709" w:right="709"/>
        <w:jc w:val="both"/>
        <w:rPr>
          <w:rFonts w:ascii="Arial" w:eastAsia="Times New Roman" w:hAnsi="Arial" w:cs="Arial"/>
          <w:sz w:val="21"/>
          <w:szCs w:val="21"/>
          <w:lang w:eastAsia="es-ES_tradnl"/>
        </w:rPr>
      </w:pPr>
      <w:r w:rsidRPr="0049494F">
        <w:rPr>
          <w:rFonts w:ascii="Arial" w:eastAsia="Times New Roman" w:hAnsi="Arial" w:cs="Arial"/>
          <w:sz w:val="21"/>
          <w:szCs w:val="21"/>
          <w:lang w:eastAsia="es-ES_tradnl"/>
        </w:rPr>
        <w:t xml:space="preserve">Las diferentes situaciones de riesgo (inundaciones, incendios, desastres naturales) expuestas en el municipio requiere la presencia de un organismo de rescate como la Defensa Civil Colombiana para su atención oportuna y adecuada. </w:t>
      </w:r>
    </w:p>
    <w:p w14:paraId="0F098854" w14:textId="77777777" w:rsidR="00331472" w:rsidRPr="0049494F" w:rsidRDefault="00A61928" w:rsidP="0049494F">
      <w:pPr>
        <w:pStyle w:val="Prrafodelista"/>
        <w:numPr>
          <w:ilvl w:val="0"/>
          <w:numId w:val="1"/>
        </w:numPr>
        <w:spacing w:after="0" w:line="276" w:lineRule="auto"/>
        <w:ind w:left="709" w:right="709"/>
        <w:jc w:val="both"/>
        <w:rPr>
          <w:rFonts w:ascii="Arial" w:eastAsia="Times New Roman" w:hAnsi="Arial" w:cs="Arial"/>
          <w:sz w:val="21"/>
          <w:szCs w:val="21"/>
          <w:lang w:eastAsia="es-ES_tradnl"/>
        </w:rPr>
      </w:pPr>
      <w:r w:rsidRPr="0049494F">
        <w:rPr>
          <w:rFonts w:ascii="Arial" w:eastAsia="Times New Roman" w:hAnsi="Arial" w:cs="Arial"/>
          <w:sz w:val="21"/>
          <w:szCs w:val="21"/>
          <w:lang w:eastAsia="es-ES_tradnl"/>
        </w:rPr>
        <w:lastRenderedPageBreak/>
        <w:t>De conformidad en la CIRCULAR CONJUNTA 100-006 DE 2021 de 16 de noviembre de 2021 de la Presidencia de la Rep</w:t>
      </w:r>
      <w:r w:rsidR="00331472" w:rsidRPr="0049494F">
        <w:rPr>
          <w:rFonts w:ascii="Arial" w:eastAsia="Times New Roman" w:hAnsi="Arial" w:cs="Arial"/>
          <w:sz w:val="21"/>
          <w:szCs w:val="21"/>
          <w:lang w:eastAsia="es-ES_tradnl"/>
        </w:rPr>
        <w:t>ú</w:t>
      </w:r>
      <w:r w:rsidRPr="0049494F">
        <w:rPr>
          <w:rFonts w:ascii="Arial" w:eastAsia="Times New Roman" w:hAnsi="Arial" w:cs="Arial"/>
          <w:sz w:val="21"/>
          <w:szCs w:val="21"/>
          <w:lang w:eastAsia="es-ES_tradnl"/>
        </w:rPr>
        <w:t>blica</w:t>
      </w:r>
      <w:r w:rsidR="00331472" w:rsidRPr="0049494F">
        <w:rPr>
          <w:rFonts w:ascii="Arial" w:eastAsia="Times New Roman" w:hAnsi="Arial" w:cs="Arial"/>
          <w:sz w:val="21"/>
          <w:szCs w:val="21"/>
          <w:lang w:eastAsia="es-ES_tradnl"/>
        </w:rPr>
        <w:t>, “Queda exceptuado lo referente a la defensa y seguridad del Estado, los contratos de créditos público, los requeridos para cubrir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p>
    <w:p w14:paraId="17F27F96" w14:textId="77777777" w:rsidR="00331472" w:rsidRPr="0049494F" w:rsidRDefault="00331472" w:rsidP="0049494F">
      <w:pPr>
        <w:spacing w:after="0" w:line="276" w:lineRule="auto"/>
        <w:ind w:left="709" w:right="709"/>
        <w:jc w:val="both"/>
        <w:rPr>
          <w:rFonts w:ascii="Arial" w:eastAsia="Times New Roman" w:hAnsi="Arial" w:cs="Arial"/>
          <w:b/>
          <w:bCs/>
          <w:sz w:val="21"/>
          <w:szCs w:val="21"/>
          <w:u w:val="single"/>
          <w:lang w:eastAsia="es-ES_tradnl"/>
        </w:rPr>
      </w:pPr>
    </w:p>
    <w:p w14:paraId="2F9A3C31" w14:textId="7F0EFA98" w:rsidR="00D12980" w:rsidRPr="0049494F" w:rsidRDefault="00331472" w:rsidP="0049494F">
      <w:pPr>
        <w:spacing w:after="0" w:line="276" w:lineRule="auto"/>
        <w:ind w:left="709" w:right="709"/>
        <w:jc w:val="both"/>
        <w:rPr>
          <w:rFonts w:ascii="Arial" w:eastAsia="Times New Roman" w:hAnsi="Arial" w:cs="Arial"/>
          <w:sz w:val="21"/>
          <w:szCs w:val="21"/>
          <w:lang w:eastAsia="es-ES_tradnl"/>
        </w:rPr>
      </w:pPr>
      <w:r w:rsidRPr="0049494F">
        <w:rPr>
          <w:rFonts w:ascii="Arial" w:eastAsia="Times New Roman" w:hAnsi="Arial" w:cs="Arial"/>
          <w:b/>
          <w:bCs/>
          <w:sz w:val="21"/>
          <w:szCs w:val="21"/>
          <w:u w:val="single"/>
          <w:lang w:eastAsia="es-ES_tradnl"/>
        </w:rPr>
        <w:t>Sírvase aclarar si es posible que una Entidad</w:t>
      </w:r>
      <w:r w:rsidR="001D68A0" w:rsidRPr="0049494F">
        <w:rPr>
          <w:rFonts w:ascii="Arial" w:eastAsia="Times New Roman" w:hAnsi="Arial" w:cs="Arial"/>
          <w:b/>
          <w:bCs/>
          <w:sz w:val="21"/>
          <w:szCs w:val="21"/>
          <w:u w:val="single"/>
          <w:lang w:eastAsia="es-ES_tradnl"/>
        </w:rPr>
        <w:t xml:space="preserve"> Estatal</w:t>
      </w:r>
      <w:r w:rsidRPr="0049494F">
        <w:rPr>
          <w:rFonts w:ascii="Arial" w:eastAsia="Times New Roman" w:hAnsi="Arial" w:cs="Arial"/>
          <w:b/>
          <w:bCs/>
          <w:sz w:val="21"/>
          <w:szCs w:val="21"/>
          <w:u w:val="single"/>
          <w:lang w:eastAsia="es-ES_tradnl"/>
        </w:rPr>
        <w:t xml:space="preserve"> celebre contratos con una Junta de Defensa Civil (Defensa Civil Colombiana), aun cuando la ley de garantías, en vigencia desde el 29 de enero de 2022, prohíbe la celebración de contratos bajo la modalidad de contratación directa</w:t>
      </w:r>
      <w:r w:rsidR="004719D7" w:rsidRPr="0049494F">
        <w:rPr>
          <w:rFonts w:ascii="Arial" w:eastAsia="Times New Roman" w:hAnsi="Arial" w:cs="Arial"/>
          <w:b/>
          <w:bCs/>
          <w:sz w:val="21"/>
          <w:szCs w:val="21"/>
          <w:u w:val="single"/>
          <w:lang w:eastAsia="es-ES_tradnl"/>
        </w:rPr>
        <w:t>.</w:t>
      </w:r>
      <w:r w:rsidR="001D68A0" w:rsidRPr="0049494F">
        <w:rPr>
          <w:rFonts w:ascii="Arial" w:eastAsia="Times New Roman" w:hAnsi="Arial" w:cs="Arial"/>
          <w:sz w:val="21"/>
          <w:szCs w:val="21"/>
          <w:lang w:eastAsia="es-ES_tradnl"/>
        </w:rPr>
        <w:t>».</w:t>
      </w:r>
      <w:r w:rsidRPr="0049494F">
        <w:rPr>
          <w:rFonts w:ascii="Arial" w:eastAsia="Times New Roman" w:hAnsi="Arial" w:cs="Arial"/>
          <w:b/>
          <w:bCs/>
          <w:sz w:val="21"/>
          <w:szCs w:val="21"/>
          <w:u w:val="single"/>
          <w:lang w:eastAsia="es-ES_tradnl"/>
        </w:rPr>
        <w:t xml:space="preserve"> </w:t>
      </w:r>
      <w:r w:rsidRPr="0049494F">
        <w:rPr>
          <w:rFonts w:ascii="Arial" w:eastAsia="Times New Roman" w:hAnsi="Arial" w:cs="Arial"/>
          <w:sz w:val="21"/>
          <w:szCs w:val="21"/>
          <w:lang w:eastAsia="es-ES_tradnl"/>
        </w:rPr>
        <w:t xml:space="preserve"> </w:t>
      </w:r>
      <w:r w:rsidR="00A61928" w:rsidRPr="0049494F">
        <w:rPr>
          <w:rFonts w:ascii="Arial" w:eastAsia="Times New Roman" w:hAnsi="Arial" w:cs="Arial"/>
          <w:sz w:val="21"/>
          <w:szCs w:val="21"/>
          <w:lang w:eastAsia="es-ES_tradnl"/>
        </w:rPr>
        <w:t xml:space="preserve">  </w:t>
      </w:r>
      <w:r w:rsidR="00D12980" w:rsidRPr="0049494F">
        <w:rPr>
          <w:rFonts w:ascii="Arial" w:eastAsia="Times New Roman" w:hAnsi="Arial" w:cs="Arial"/>
          <w:sz w:val="21"/>
          <w:szCs w:val="21"/>
          <w:lang w:eastAsia="es-ES_tradnl"/>
        </w:rPr>
        <w:t xml:space="preserve"> </w:t>
      </w:r>
    </w:p>
    <w:p w14:paraId="72E3F484" w14:textId="77777777" w:rsidR="00420C9F" w:rsidRPr="00921225" w:rsidRDefault="00420C9F" w:rsidP="00420C9F">
      <w:pPr>
        <w:tabs>
          <w:tab w:val="left" w:pos="426"/>
        </w:tabs>
        <w:spacing w:after="0" w:line="276" w:lineRule="auto"/>
        <w:contextualSpacing/>
        <w:jc w:val="both"/>
        <w:rPr>
          <w:rFonts w:ascii="Arial" w:eastAsia="Calibri" w:hAnsi="Arial" w:cs="Arial"/>
        </w:rPr>
      </w:pPr>
    </w:p>
    <w:bookmarkEnd w:id="3"/>
    <w:bookmarkEnd w:id="4"/>
    <w:p w14:paraId="2E286DA8" w14:textId="77777777" w:rsidR="00420C9F" w:rsidRDefault="00420C9F" w:rsidP="00420C9F">
      <w:pPr>
        <w:tabs>
          <w:tab w:val="left" w:pos="284"/>
        </w:tabs>
        <w:spacing w:after="0" w:line="276" w:lineRule="auto"/>
        <w:contextualSpacing/>
        <w:jc w:val="both"/>
        <w:rPr>
          <w:rFonts w:ascii="Arial" w:eastAsia="Calibri" w:hAnsi="Arial" w:cs="Arial"/>
          <w:b/>
        </w:rPr>
      </w:pPr>
      <w:r w:rsidRPr="00921225">
        <w:rPr>
          <w:rFonts w:ascii="Arial" w:eastAsia="Calibri" w:hAnsi="Arial" w:cs="Arial"/>
          <w:b/>
        </w:rPr>
        <w:t>2. Consideraciones</w:t>
      </w:r>
    </w:p>
    <w:p w14:paraId="600389B1" w14:textId="77777777" w:rsidR="00420C9F" w:rsidRPr="00921225" w:rsidRDefault="00420C9F" w:rsidP="00420C9F">
      <w:pPr>
        <w:tabs>
          <w:tab w:val="left" w:pos="284"/>
        </w:tabs>
        <w:spacing w:after="0" w:line="276" w:lineRule="auto"/>
        <w:contextualSpacing/>
        <w:jc w:val="both"/>
        <w:rPr>
          <w:rFonts w:ascii="Arial" w:eastAsia="Calibri" w:hAnsi="Arial" w:cs="Arial"/>
          <w:b/>
        </w:rPr>
      </w:pPr>
    </w:p>
    <w:p w14:paraId="06AB4655" w14:textId="4484376C" w:rsidR="00420C9F" w:rsidRPr="00C512B3" w:rsidRDefault="00420C9F" w:rsidP="0049494F">
      <w:pPr>
        <w:spacing w:after="120" w:line="276" w:lineRule="auto"/>
        <w:jc w:val="both"/>
        <w:rPr>
          <w:rFonts w:ascii="Arial" w:eastAsia="Calibri" w:hAnsi="Arial" w:cs="Arial"/>
          <w:lang w:val="es-ES_tradnl"/>
        </w:rPr>
      </w:pPr>
      <w:r w:rsidRPr="00C512B3">
        <w:rPr>
          <w:rFonts w:ascii="Arial" w:eastAsia="Calibri" w:hAnsi="Arial" w:cs="Arial"/>
          <w:lang w:val="es-ES_tradnl"/>
        </w:rPr>
        <w:t>En ejercicio de las competencias establecidas en los artículos 3.5 y 11.8 del Decreto 4170 de 2011, la Agencia Nacional de Contratación Pública – Colombia Compra Eficiente resuelve las consultas sobre los asuntos de su competencia, esto es, sobre las temáticas de la contratación estatal y compras públicas relacionadas en los artículos citados</w:t>
      </w:r>
      <w:r w:rsidRPr="00C512B3">
        <w:rPr>
          <w:rStyle w:val="Refdenotaalpie"/>
          <w:rFonts w:ascii="Arial" w:eastAsia="Calibri" w:hAnsi="Arial" w:cs="Arial"/>
          <w:lang w:val="es-ES_tradnl"/>
        </w:rPr>
        <w:footnoteReference w:id="1"/>
      </w:r>
      <w:r w:rsidRPr="00C512B3">
        <w:rPr>
          <w:rFonts w:ascii="Arial" w:eastAsia="Calibri" w:hAnsi="Arial" w:cs="Arial"/>
          <w:lang w:val="es-ES_tradnl"/>
        </w:rPr>
        <w:t>.</w:t>
      </w:r>
      <w:r w:rsidR="00F4516D">
        <w:rPr>
          <w:rFonts w:ascii="Arial" w:eastAsia="Calibri" w:hAnsi="Arial" w:cs="Arial"/>
          <w:lang w:val="es-ES_tradnl"/>
        </w:rPr>
        <w:t xml:space="preserve"> </w:t>
      </w:r>
      <w:r w:rsidRPr="00C512B3">
        <w:rPr>
          <w:rFonts w:ascii="Arial" w:eastAsia="Calibri" w:hAnsi="Arial" w:cs="Arial"/>
          <w:lang w:val="es-ES_tradnl"/>
        </w:rPr>
        <w:t>Es necesario tener en cuenta que esta entidad solo tiene competencia 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 la contratación estatal.</w:t>
      </w:r>
    </w:p>
    <w:p w14:paraId="73B5D6F0" w14:textId="77777777" w:rsidR="00420C9F" w:rsidRPr="006F35D4" w:rsidRDefault="00420C9F" w:rsidP="00420C9F">
      <w:pPr>
        <w:spacing w:after="120" w:line="276" w:lineRule="auto"/>
        <w:ind w:firstLine="709"/>
        <w:jc w:val="both"/>
        <w:rPr>
          <w:rFonts w:ascii="Arial" w:eastAsia="Calibri" w:hAnsi="Arial" w:cs="Arial"/>
          <w:lang w:val="es-ES_tradnl"/>
        </w:rPr>
      </w:pPr>
      <w:r w:rsidRPr="00C512B3">
        <w:rPr>
          <w:rFonts w:ascii="Arial" w:eastAsia="Calibri" w:hAnsi="Arial" w:cs="Arial"/>
          <w:lang w:val="es-ES_tradnl"/>
        </w:rPr>
        <w:lastRenderedPageBreak/>
        <w:t xml:space="preserve">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Esto en la medida en que, para resolver una consulta de carácter particular, además de conocer un sinnúmero de detalles de la actuación administrativa, es necesario acceder al expediente y a los documentos del procedimiento contractual donde surge la inquietud. Por lo anterior, previo concepto de sus órganos asesores, la solución de estos temas corresponde a la entidad que adelanta el procedimiento de selección y, en caso de conflicto, a las autoridades </w:t>
      </w:r>
      <w:r w:rsidRPr="006F35D4">
        <w:rPr>
          <w:rFonts w:ascii="Arial" w:eastAsia="Calibri" w:hAnsi="Arial" w:cs="Arial"/>
          <w:lang w:val="es-ES_tradnl"/>
        </w:rPr>
        <w:t>judiciales, fiscales y disciplinarias.</w:t>
      </w:r>
    </w:p>
    <w:p w14:paraId="22039E88" w14:textId="2139C33B" w:rsidR="00420C9F" w:rsidRPr="00C512B3" w:rsidRDefault="00420C9F" w:rsidP="00420C9F">
      <w:pPr>
        <w:spacing w:after="120" w:line="276" w:lineRule="auto"/>
        <w:ind w:firstLine="709"/>
        <w:jc w:val="both"/>
        <w:rPr>
          <w:rFonts w:ascii="Arial" w:eastAsia="Calibri" w:hAnsi="Arial" w:cs="Arial"/>
          <w:lang w:val="es-ES_tradnl"/>
        </w:rPr>
      </w:pPr>
      <w:r w:rsidRPr="006F35D4">
        <w:rPr>
          <w:rFonts w:ascii="Arial" w:eastAsia="Calibri" w:hAnsi="Arial" w:cs="Arial"/>
          <w:lang w:val="es-ES_tradnl"/>
        </w:rPr>
        <w:t xml:space="preserve">En atención a lo anterior, </w:t>
      </w:r>
      <w:r w:rsidRPr="006F35D4">
        <w:rPr>
          <w:rFonts w:ascii="Arial" w:eastAsia="Calibri" w:hAnsi="Arial" w:cs="Arial"/>
          <w:lang w:val="es-ES"/>
        </w:rPr>
        <w:t>la Subdirección</w:t>
      </w:r>
      <w:r w:rsidRPr="006F35D4">
        <w:rPr>
          <w:rFonts w:ascii="Arial" w:eastAsia="Calibri" w:hAnsi="Arial" w:cs="Arial"/>
          <w:lang w:val="es-ES_tradnl"/>
        </w:rPr>
        <w:t xml:space="preserve"> responderá su consulta dentro de los límites de su competencia, previo análisis de los siguientes temas: i) definición y finalidad de la Ley de Garantías Electorales; ii) las restricciones en elecciones presidenciales, donde se desarrollará la prohibición del artículo 33 de la Ley 996 de 2005; iii) </w:t>
      </w:r>
      <w:r w:rsidR="006F35D4" w:rsidRPr="006F35D4">
        <w:rPr>
          <w:rFonts w:ascii="Arial" w:eastAsia="Calibri" w:hAnsi="Arial" w:cs="Arial"/>
          <w:lang w:val="es-ES_tradnl"/>
        </w:rPr>
        <w:t xml:space="preserve">excepciones a la prohibición del artículo 33 de la Ley 996 de 2005; iv) </w:t>
      </w:r>
      <w:r w:rsidRPr="006F35D4">
        <w:rPr>
          <w:rFonts w:ascii="Arial" w:eastAsia="Calibri" w:hAnsi="Arial" w:cs="Arial"/>
          <w:lang w:val="es-ES_tradnl"/>
        </w:rPr>
        <w:t xml:space="preserve">las restricciones para la celebración de contratos y convenios interadministrativos en los comicios de cargos de elección popular, donde se analizará la prohibición del parágrafo del artículo 38 de la Ley 996 de 2005; y iv) la aplicación de la Ley de Garantías </w:t>
      </w:r>
      <w:r w:rsidR="006F35D4" w:rsidRPr="006F35D4">
        <w:rPr>
          <w:rFonts w:ascii="Arial" w:eastAsia="Calibri" w:hAnsi="Arial" w:cs="Arial"/>
          <w:lang w:val="es-ES_tradnl"/>
        </w:rPr>
        <w:t>Electorales a los contratos con la Defensa Nacional Colombiana.</w:t>
      </w:r>
      <w:r w:rsidR="006F35D4">
        <w:rPr>
          <w:rFonts w:ascii="Arial" w:eastAsia="Calibri" w:hAnsi="Arial" w:cs="Arial"/>
          <w:lang w:val="es-ES_tradnl"/>
        </w:rPr>
        <w:t xml:space="preserve"> </w:t>
      </w:r>
    </w:p>
    <w:p w14:paraId="7FE57A94" w14:textId="77777777" w:rsidR="00420C9F" w:rsidRDefault="00420C9F" w:rsidP="00420C9F">
      <w:pPr>
        <w:spacing w:after="0" w:line="276" w:lineRule="auto"/>
        <w:ind w:firstLine="709"/>
        <w:contextualSpacing/>
        <w:jc w:val="both"/>
        <w:rPr>
          <w:rFonts w:ascii="Arial" w:eastAsia="Calibri" w:hAnsi="Arial" w:cs="Arial"/>
        </w:rPr>
      </w:pPr>
      <w:r w:rsidRPr="00C512B3">
        <w:rPr>
          <w:rFonts w:ascii="Arial" w:eastAsia="Calibri" w:hAnsi="Arial" w:cs="Arial"/>
          <w:lang w:val="es-ES_tradnl"/>
        </w:rPr>
        <w:t xml:space="preserve"> La Agencia Nacional de Contratación Pública – Colombia Compra Eficiente</w:t>
      </w:r>
      <w:r w:rsidRPr="00C512B3">
        <w:rPr>
          <w:rFonts w:ascii="Arial" w:eastAsia="Calibri" w:hAnsi="Arial" w:cs="Arial"/>
        </w:rPr>
        <w:t xml:space="preserve"> se ha pronunciado en diferentes ocasiones sobre la Ley de Garantías Electorales, entre otros, en los Conceptos 4201913000004536 de 17 de julio de 2019, 4201912000005556 del 12 de septiembre de 2019, 4201913000005175 del 13 de septiembre de 2019, 4201913000006452 del 07 de octubre de 2019, 4201913000005082 del 17 de octubre de 2019, 4201913000006306 del 21 de octubre de 2019, 4201912000006552 del 07 de noviembre de 2019, 4201913000006604 del 17 de diciembre de 2019,  C-227 del 24 de mayo de 2021 y 396 del 13 de agosto de 2021, C-429 del 27 de agosto de 2021, C-456 del 3 de septiembre, C-481 del 9 de septiembre de 2021, C- 528 del 27 de septiembre de 2021, C-550 del 5 de octubre de 2021,  C-523 del 10 de octubre de 2021, C-614 del 2 de noviembre de 2021 y C-543 del 11 de noviembre de 2021, C-633 del 11 de noviembre de 2021, 681 del 7 de diciembre de 2021, C-686 del 21 de diciembre de 2021, C-697 del 3 de enero de 2022, C-009 del 15 de febrero de 2022, C-005 del 16 de febrero de  2022, C-014 del 18 de febrero de 2022, C- 022 del 21 de febrero de 2022, C-045 del 3 de marzo de 2022, C-064 del 8 de marzo de 2022, C-072 del 11 </w:t>
      </w:r>
      <w:r w:rsidRPr="00C512B3">
        <w:rPr>
          <w:rFonts w:ascii="Arial" w:eastAsia="Calibri" w:hAnsi="Arial" w:cs="Arial"/>
        </w:rPr>
        <w:lastRenderedPageBreak/>
        <w:t>de marzo de 2022, C- 097 del 18 de febrero de 2022 y C-116 del 18 de febrero de 2022, entre otros. Teniendo en cuenta los conceptos anteriores y analizando la pregunta en cuestión se realizan las siguientes consideraciones.</w:t>
      </w:r>
    </w:p>
    <w:p w14:paraId="219C824B" w14:textId="77777777" w:rsidR="00420C9F" w:rsidRPr="00C512B3" w:rsidRDefault="00420C9F" w:rsidP="00420C9F">
      <w:pPr>
        <w:spacing w:after="0" w:line="276" w:lineRule="auto"/>
        <w:ind w:firstLine="709"/>
        <w:contextualSpacing/>
        <w:jc w:val="both"/>
        <w:rPr>
          <w:rFonts w:ascii="Arial" w:eastAsia="Calibri" w:hAnsi="Arial" w:cs="Arial"/>
        </w:rPr>
      </w:pPr>
    </w:p>
    <w:p w14:paraId="0C3F3AE9" w14:textId="77777777" w:rsidR="00420C9F" w:rsidRPr="00E46F3D" w:rsidRDefault="00420C9F" w:rsidP="00420C9F">
      <w:pPr>
        <w:tabs>
          <w:tab w:val="left" w:pos="426"/>
        </w:tabs>
        <w:spacing w:after="0" w:line="276" w:lineRule="auto"/>
        <w:contextualSpacing/>
        <w:jc w:val="both"/>
        <w:rPr>
          <w:rFonts w:ascii="Arial" w:eastAsia="Calibri" w:hAnsi="Arial" w:cs="Arial"/>
          <w:b/>
          <w:bCs/>
        </w:rPr>
      </w:pPr>
      <w:r w:rsidRPr="00E46F3D">
        <w:rPr>
          <w:rFonts w:ascii="Arial" w:eastAsia="Calibri" w:hAnsi="Arial" w:cs="Arial"/>
          <w:b/>
          <w:bCs/>
        </w:rPr>
        <w:t>2.1. Definición y finalidad de la Ley de Garantías Electorales</w:t>
      </w:r>
    </w:p>
    <w:p w14:paraId="70C3B0F1" w14:textId="77777777" w:rsidR="00420C9F" w:rsidRPr="00982FBE" w:rsidRDefault="00420C9F" w:rsidP="00420C9F">
      <w:pPr>
        <w:tabs>
          <w:tab w:val="left" w:pos="426"/>
        </w:tabs>
        <w:spacing w:after="0" w:line="276" w:lineRule="auto"/>
        <w:contextualSpacing/>
        <w:jc w:val="both"/>
        <w:rPr>
          <w:rFonts w:ascii="Arial" w:eastAsia="Calibri" w:hAnsi="Arial" w:cs="Arial"/>
          <w:bCs/>
        </w:rPr>
      </w:pPr>
    </w:p>
    <w:p w14:paraId="1E680583" w14:textId="77777777" w:rsidR="00420C9F" w:rsidRPr="00921225" w:rsidRDefault="00420C9F" w:rsidP="00420C9F">
      <w:pPr>
        <w:tabs>
          <w:tab w:val="left" w:pos="426"/>
        </w:tabs>
        <w:spacing w:after="120" w:line="276" w:lineRule="auto"/>
        <w:jc w:val="both"/>
        <w:rPr>
          <w:rFonts w:ascii="Arial" w:eastAsia="Times New Roman" w:hAnsi="Arial" w:cs="Arial"/>
          <w:bCs/>
          <w:lang w:eastAsia="es-CO"/>
        </w:rPr>
      </w:pPr>
      <w:r w:rsidRPr="00921225">
        <w:rPr>
          <w:rFonts w:ascii="Arial" w:eastAsia="Calibri" w:hAnsi="Arial" w:cs="Arial"/>
          <w:bCs/>
        </w:rPr>
        <w:t>El ordenamiento jurídico colombiano contempla previsiones claras para evitar la obtención de beneficios personales en asuntos propios de la administración pública</w:t>
      </w:r>
      <w:r w:rsidRPr="00921225">
        <w:rPr>
          <w:rFonts w:ascii="Arial" w:eastAsia="Calibri" w:hAnsi="Arial" w:cs="Arial"/>
          <w:bCs/>
          <w:i/>
          <w:iCs/>
        </w:rPr>
        <w:t xml:space="preserve">. </w:t>
      </w:r>
      <w:r w:rsidRPr="00921225">
        <w:rPr>
          <w:rFonts w:ascii="Arial" w:eastAsia="Calibri" w:hAnsi="Arial" w:cs="Arial"/>
          <w:bCs/>
        </w:rPr>
        <w:t>Por ejemplo, el artículo 127 de la Constitución Política establece una prohibición contractual a los servidores públicos y</w:t>
      </w:r>
      <w:r>
        <w:rPr>
          <w:rFonts w:ascii="Arial" w:eastAsia="Calibri" w:hAnsi="Arial" w:cs="Arial"/>
          <w:bCs/>
        </w:rPr>
        <w:t>,</w:t>
      </w:r>
      <w:r w:rsidRPr="00921225">
        <w:rPr>
          <w:rFonts w:ascii="Arial" w:eastAsia="Calibri" w:hAnsi="Arial" w:cs="Arial"/>
          <w:bCs/>
        </w:rPr>
        <w:t xml:space="preserve"> en cuanto a aspectos políticos</w:t>
      </w:r>
      <w:r>
        <w:rPr>
          <w:rFonts w:ascii="Arial" w:eastAsia="Calibri" w:hAnsi="Arial" w:cs="Arial"/>
          <w:bCs/>
        </w:rPr>
        <w:t>,</w:t>
      </w:r>
      <w:r w:rsidRPr="00921225">
        <w:rPr>
          <w:rFonts w:ascii="Arial" w:eastAsia="Calibri" w:hAnsi="Arial" w:cs="Arial"/>
          <w:bCs/>
        </w:rPr>
        <w:t xml:space="preserve"> establece restricciones a ciertos empleados del Estado, incluso en época no electoral</w:t>
      </w:r>
      <w:r w:rsidRPr="00921225">
        <w:rPr>
          <w:rFonts w:ascii="Arial" w:eastAsia="Calibri" w:hAnsi="Arial" w:cs="Arial"/>
          <w:bCs/>
          <w:vertAlign w:val="superscript"/>
        </w:rPr>
        <w:footnoteReference w:id="2"/>
      </w:r>
      <w:r w:rsidRPr="00921225">
        <w:rPr>
          <w:rFonts w:ascii="Arial" w:eastAsia="Calibri" w:hAnsi="Arial" w:cs="Arial"/>
          <w:bCs/>
        </w:rPr>
        <w:t xml:space="preserve">. </w:t>
      </w:r>
    </w:p>
    <w:p w14:paraId="17A84517" w14:textId="77777777" w:rsidR="00420C9F" w:rsidRPr="00921225" w:rsidRDefault="00420C9F" w:rsidP="00420C9F">
      <w:pPr>
        <w:tabs>
          <w:tab w:val="left" w:pos="426"/>
        </w:tabs>
        <w:spacing w:after="0" w:line="276" w:lineRule="auto"/>
        <w:ind w:firstLine="709"/>
        <w:contextualSpacing/>
        <w:jc w:val="both"/>
        <w:rPr>
          <w:rFonts w:ascii="Arial" w:eastAsia="Times New Roman" w:hAnsi="Arial" w:cs="Arial"/>
          <w:bCs/>
          <w:lang w:val="es-MX" w:eastAsia="es-CO"/>
        </w:rPr>
      </w:pPr>
      <w:r w:rsidRPr="00921225">
        <w:rPr>
          <w:rFonts w:ascii="Arial" w:eastAsia="Times New Roman" w:hAnsi="Arial" w:cs="Arial"/>
          <w:bCs/>
          <w:lang w:eastAsia="es-CO"/>
        </w:rPr>
        <w:t>En el mismo sentido</w:t>
      </w:r>
      <w:r w:rsidRPr="00921225">
        <w:rPr>
          <w:rFonts w:ascii="Arial" w:eastAsia="Times New Roman" w:hAnsi="Arial" w:cs="Arial"/>
          <w:bCs/>
          <w:lang w:val="es-MX" w:eastAsia="es-CO"/>
        </w:rPr>
        <w:t>, la Ley 996 de 2005, conocida como «Ley de Garantías Electorales», se suma al andamiaje de orden constitucional y legal que se ha ocupado de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w:t>
      </w:r>
      <w:r w:rsidRPr="00921225">
        <w:rPr>
          <w:rFonts w:ascii="Arial" w:eastAsia="Times New Roman" w:hAnsi="Arial" w:cs="Arial"/>
          <w:bCs/>
          <w:vertAlign w:val="superscript"/>
          <w:lang w:val="es-MX" w:eastAsia="es-CO"/>
        </w:rPr>
        <w:footnoteReference w:id="3"/>
      </w:r>
      <w:r w:rsidRPr="00921225">
        <w:rPr>
          <w:rFonts w:ascii="Arial" w:eastAsia="Times New Roman" w:hAnsi="Arial" w:cs="Arial"/>
          <w:bCs/>
          <w:lang w:val="es-MX" w:eastAsia="es-CO"/>
        </w:rPr>
        <w:t>. En esta medida, introduce limitaciones para realizar nombramientos, postulaciones, contrataciones o cualquier otro tipo de actividad que implique destinación de recursos públicos bajo el devenir propio de las entidades estatales.</w:t>
      </w:r>
      <w:r w:rsidRPr="00921225">
        <w:rPr>
          <w:rFonts w:ascii="Arial" w:eastAsia="Calibri" w:hAnsi="Arial" w:cs="Arial"/>
          <w:noProof/>
          <w:lang w:val="es-ES_tradnl"/>
        </w:rPr>
        <w:t xml:space="preserve"> </w:t>
      </w:r>
      <w:r w:rsidRPr="00921225">
        <w:rPr>
          <w:rFonts w:ascii="Arial" w:eastAsia="Times New Roman" w:hAnsi="Arial" w:cs="Arial"/>
          <w:bCs/>
          <w:lang w:val="es-MX" w:eastAsia="es-CO"/>
        </w:rPr>
        <w:t>En armonía con lo anterior, la Corte Constitucional ha abordado la definición de la Ley de Garantías Electorales. De esta manera, explica que tiene como propósito:</w:t>
      </w:r>
    </w:p>
    <w:p w14:paraId="2D6F364F" w14:textId="77777777" w:rsidR="00420C9F" w:rsidRPr="00921225" w:rsidRDefault="00420C9F" w:rsidP="00420C9F">
      <w:pPr>
        <w:spacing w:after="0" w:line="276" w:lineRule="auto"/>
        <w:ind w:right="709"/>
        <w:contextualSpacing/>
        <w:jc w:val="both"/>
        <w:rPr>
          <w:rFonts w:ascii="Arial" w:eastAsia="Times New Roman" w:hAnsi="Arial" w:cs="Arial"/>
          <w:sz w:val="21"/>
          <w:szCs w:val="21"/>
          <w:lang w:val="es-ES" w:eastAsia="es-CO"/>
        </w:rPr>
      </w:pPr>
    </w:p>
    <w:p w14:paraId="1E833BF5" w14:textId="77777777" w:rsidR="00420C9F" w:rsidRPr="00921225" w:rsidRDefault="00420C9F" w:rsidP="000F06A4">
      <w:pPr>
        <w:spacing w:after="0" w:line="240" w:lineRule="auto"/>
        <w:ind w:left="709" w:right="709"/>
        <w:contextualSpacing/>
        <w:jc w:val="both"/>
        <w:rPr>
          <w:rFonts w:ascii="Arial" w:eastAsia="Times New Roman" w:hAnsi="Arial" w:cs="Arial"/>
          <w:bCs/>
          <w:sz w:val="21"/>
          <w:szCs w:val="21"/>
          <w:lang w:val="es-MX" w:eastAsia="es-CO"/>
        </w:rPr>
      </w:pPr>
      <w:r w:rsidRPr="00921225">
        <w:rPr>
          <w:rFonts w:ascii="Arial" w:eastAsia="Times New Roman" w:hAnsi="Arial" w:cs="Arial"/>
          <w:sz w:val="21"/>
          <w:szCs w:val="21"/>
          <w:lang w:val="es-ES" w:eastAsia="es-CO"/>
        </w:rPr>
        <w:t xml:space="preserve">[…] </w:t>
      </w:r>
      <w:r w:rsidRPr="00921225">
        <w:rPr>
          <w:rFonts w:ascii="Arial" w:eastAsia="Times New Roman" w:hAnsi="Arial" w:cs="Arial"/>
          <w:bCs/>
          <w:sz w:val="21"/>
          <w:szCs w:val="21"/>
          <w:lang w:val="es-MX" w:eastAsia="es-CO"/>
        </w:rPr>
        <w:t>la definición de reglas claras que permitan acceder a los canales de expresión democrática de manera efectiva e igualitaria. El objetivo de una ley de garantías es definir esas reglas.</w:t>
      </w:r>
    </w:p>
    <w:p w14:paraId="2B9FF5E1" w14:textId="77777777" w:rsidR="00420C9F" w:rsidRPr="00921225" w:rsidRDefault="00420C9F" w:rsidP="000F06A4">
      <w:pPr>
        <w:spacing w:after="0" w:line="240" w:lineRule="auto"/>
        <w:ind w:left="709" w:right="709"/>
        <w:contextualSpacing/>
        <w:jc w:val="both"/>
        <w:rPr>
          <w:rFonts w:ascii="Arial" w:eastAsia="Times New Roman" w:hAnsi="Arial" w:cs="Arial"/>
          <w:bCs/>
          <w:sz w:val="21"/>
          <w:szCs w:val="21"/>
          <w:lang w:val="es-MX" w:eastAsia="es-CO"/>
        </w:rPr>
      </w:pPr>
      <w:r w:rsidRPr="00921225">
        <w:rPr>
          <w:rFonts w:ascii="Arial" w:eastAsia="Times New Roman" w:hAnsi="Arial" w:cs="Arial"/>
          <w:bCs/>
          <w:sz w:val="21"/>
          <w:szCs w:val="21"/>
          <w:lang w:val="es-MX" w:eastAsia="es-CO"/>
        </w:rPr>
        <w:t xml:space="preserve">[…] </w:t>
      </w:r>
    </w:p>
    <w:p w14:paraId="32A88458" w14:textId="77777777" w:rsidR="00420C9F" w:rsidRPr="00921225" w:rsidRDefault="00420C9F" w:rsidP="000F06A4">
      <w:pPr>
        <w:spacing w:after="0" w:line="240" w:lineRule="auto"/>
        <w:ind w:left="709" w:right="709"/>
        <w:contextualSpacing/>
        <w:jc w:val="both"/>
        <w:rPr>
          <w:rFonts w:ascii="Arial" w:eastAsia="Times New Roman" w:hAnsi="Arial" w:cs="Arial"/>
          <w:bCs/>
          <w:sz w:val="21"/>
          <w:szCs w:val="21"/>
          <w:lang w:val="es-MX" w:eastAsia="es-CO"/>
        </w:rPr>
      </w:pPr>
      <w:r w:rsidRPr="00921225">
        <w:rPr>
          <w:rFonts w:ascii="Arial" w:eastAsia="Times New Roman" w:hAnsi="Arial" w:cs="Arial"/>
          <w:bCs/>
          <w:sz w:val="21"/>
          <w:szCs w:val="21"/>
          <w:lang w:val="es-MX" w:eastAsia="es-CO"/>
        </w:rPr>
        <w:lastRenderedPageBreak/>
        <w:t>Una ley de garantías electorales es una guía para el ejercicio equitativo y transparente de la democracia representativa. Un estatuto diseñado para asegurar que la contienda democrática se cumpla en condiciones igualitarias y transparentes para a los electores. Una ley de garantías busca afianzar la neutralidad de los servidores públicos que organizan y supervisan las disputas electorales, e intenta garantizar el acceso igualitario a los canales de comunicación de los candidatos. Igualmente, una ley de garantías debe permitir que, en el debate democrático, sean las ideas y las propuestas las que definan el ascenso al poder, y no el músculo económico de los que se lo disputan.</w:t>
      </w:r>
      <w:r w:rsidRPr="00921225">
        <w:rPr>
          <w:rFonts w:ascii="Arial" w:eastAsia="Calibri" w:hAnsi="Arial" w:cs="Arial"/>
          <w:sz w:val="20"/>
          <w:szCs w:val="20"/>
          <w:vertAlign w:val="superscript"/>
          <w:lang w:val="es-MX"/>
        </w:rPr>
        <w:footnoteReference w:id="4"/>
      </w:r>
      <w:r>
        <w:rPr>
          <w:rFonts w:ascii="Arial" w:eastAsia="Times New Roman" w:hAnsi="Arial" w:cs="Arial"/>
          <w:bCs/>
          <w:sz w:val="21"/>
          <w:szCs w:val="21"/>
          <w:lang w:val="es-MX" w:eastAsia="es-CO"/>
        </w:rPr>
        <w:t xml:space="preserve"> </w:t>
      </w:r>
      <w:r>
        <w:rPr>
          <w:rStyle w:val="Refdenotaalpie"/>
          <w:rFonts w:ascii="Arial" w:eastAsia="Times New Roman" w:hAnsi="Arial" w:cs="Arial"/>
          <w:bCs/>
          <w:sz w:val="21"/>
          <w:szCs w:val="21"/>
          <w:lang w:val="es-MX" w:eastAsia="es-CO"/>
        </w:rPr>
        <w:footnoteReference w:id="5"/>
      </w:r>
    </w:p>
    <w:p w14:paraId="05E9E203" w14:textId="77777777" w:rsidR="00420C9F" w:rsidRPr="00921225" w:rsidRDefault="00420C9F" w:rsidP="00420C9F">
      <w:pPr>
        <w:spacing w:after="0" w:line="276" w:lineRule="auto"/>
        <w:ind w:left="709" w:right="709"/>
        <w:contextualSpacing/>
        <w:jc w:val="both"/>
        <w:rPr>
          <w:rFonts w:ascii="Arial" w:eastAsia="Times New Roman" w:hAnsi="Arial" w:cs="Arial"/>
          <w:bCs/>
          <w:sz w:val="21"/>
          <w:szCs w:val="21"/>
          <w:lang w:val="es-MX" w:eastAsia="es-CO"/>
        </w:rPr>
      </w:pPr>
    </w:p>
    <w:p w14:paraId="78904FD9" w14:textId="77777777" w:rsidR="00420C9F" w:rsidRPr="00921225" w:rsidRDefault="00420C9F" w:rsidP="00420C9F">
      <w:pPr>
        <w:spacing w:after="0" w:line="276" w:lineRule="auto"/>
        <w:ind w:firstLine="709"/>
        <w:contextualSpacing/>
        <w:jc w:val="both"/>
        <w:rPr>
          <w:rFonts w:ascii="Arial" w:eastAsia="Times New Roman" w:hAnsi="Arial" w:cs="Arial"/>
          <w:bCs/>
          <w:lang w:val="es-MX" w:eastAsia="es-CO"/>
        </w:rPr>
      </w:pPr>
      <w:bookmarkStart w:id="5" w:name="_Hlk78818186"/>
      <w:r w:rsidRPr="00921225">
        <w:rPr>
          <w:rFonts w:ascii="Arial" w:eastAsia="Times New Roman" w:hAnsi="Arial" w:cs="Arial"/>
          <w:bCs/>
          <w:lang w:val="es-MX" w:eastAsia="es-CO"/>
        </w:rPr>
        <w:t>En este contexto, la Ley de Garantías Electorales establece el marco jurídico para el desarrollo de las elecciones, procurando condiciones de igualdad y transparencia para los aspirantes y</w:t>
      </w:r>
      <w:r w:rsidRPr="00CA3EBB">
        <w:rPr>
          <w:rFonts w:ascii="Arial" w:eastAsia="Times New Roman" w:hAnsi="Arial" w:cs="Arial"/>
          <w:bCs/>
          <w:lang w:val="es-MX" w:eastAsia="es-CO"/>
        </w:rPr>
        <w:t>,</w:t>
      </w:r>
      <w:r w:rsidRPr="00921225">
        <w:rPr>
          <w:rFonts w:ascii="Arial" w:eastAsia="Times New Roman" w:hAnsi="Arial" w:cs="Arial"/>
          <w:bCs/>
          <w:lang w:val="es-MX" w:eastAsia="es-CO"/>
        </w:rPr>
        <w:t xml:space="preserve"> paralelamente</w:t>
      </w:r>
      <w:r w:rsidRPr="00CA3EBB">
        <w:rPr>
          <w:rFonts w:ascii="Arial" w:eastAsia="Times New Roman" w:hAnsi="Arial" w:cs="Arial"/>
          <w:bCs/>
          <w:lang w:val="es-MX" w:eastAsia="es-CO"/>
        </w:rPr>
        <w:t>,</w:t>
      </w:r>
      <w:r w:rsidRPr="00921225">
        <w:rPr>
          <w:rFonts w:ascii="Arial" w:eastAsia="Times New Roman" w:hAnsi="Arial" w:cs="Arial"/>
          <w:bCs/>
          <w:lang w:val="es-MX" w:eastAsia="es-CO"/>
        </w:rPr>
        <w:t xml:space="preserve"> </w:t>
      </w:r>
      <w:r w:rsidRPr="00CA3EBB">
        <w:rPr>
          <w:rFonts w:ascii="Arial" w:eastAsia="Times New Roman" w:hAnsi="Arial" w:cs="Arial"/>
          <w:bCs/>
          <w:lang w:val="es-MX" w:eastAsia="es-CO"/>
        </w:rPr>
        <w:t>incluyendo</w:t>
      </w:r>
      <w:r w:rsidRPr="00921225">
        <w:rPr>
          <w:rFonts w:ascii="Arial" w:eastAsia="Times New Roman" w:hAnsi="Arial" w:cs="Arial"/>
          <w:bCs/>
          <w:lang w:val="es-MX" w:eastAsia="es-CO"/>
        </w:rPr>
        <w:t xml:space="preserve"> restricciones en el actuar de los servidores públicos, evitando interferencias en la contienda electoral, así como la posible desviación de recursos públicos en aspiraciones electorales. </w:t>
      </w:r>
      <w:bookmarkEnd w:id="5"/>
      <w:r w:rsidRPr="00921225">
        <w:rPr>
          <w:rFonts w:ascii="Arial" w:eastAsia="Times New Roman" w:hAnsi="Arial" w:cs="Arial"/>
          <w:bCs/>
          <w:lang w:val="es-MX" w:eastAsia="es-CO"/>
        </w:rPr>
        <w:t>Por ello, varias de las disposiciones de la Ley 996 de 2005, al contener normas prohibitivas, no admiten una interpretación amplia, sino que deben interpretarse restrictivamente. En efecto, la Sala de Consulta y Servicio Civil del Consejo de Estado al analizar la referida ley, precisó lo siguiente:</w:t>
      </w:r>
    </w:p>
    <w:p w14:paraId="535431F7" w14:textId="77777777" w:rsidR="00420C9F" w:rsidRPr="00921225" w:rsidRDefault="00420C9F" w:rsidP="00420C9F">
      <w:pPr>
        <w:spacing w:after="0" w:line="276" w:lineRule="auto"/>
        <w:ind w:firstLine="709"/>
        <w:contextualSpacing/>
        <w:jc w:val="both"/>
        <w:rPr>
          <w:rFonts w:ascii="Arial" w:eastAsia="Times New Roman" w:hAnsi="Arial" w:cs="Arial"/>
          <w:bCs/>
          <w:lang w:val="es-MX" w:eastAsia="es-CO"/>
        </w:rPr>
      </w:pPr>
    </w:p>
    <w:p w14:paraId="600DAD91" w14:textId="77777777" w:rsidR="00420C9F" w:rsidRPr="00921225" w:rsidRDefault="00420C9F" w:rsidP="00420C9F">
      <w:pPr>
        <w:spacing w:after="0" w:line="240" w:lineRule="auto"/>
        <w:ind w:left="709" w:right="709"/>
        <w:contextualSpacing/>
        <w:jc w:val="both"/>
        <w:rPr>
          <w:rFonts w:ascii="Arial" w:eastAsia="Times New Roman" w:hAnsi="Arial" w:cs="Arial"/>
          <w:bCs/>
          <w:sz w:val="21"/>
          <w:szCs w:val="21"/>
          <w:lang w:val="es-MX" w:eastAsia="es-CO"/>
        </w:rPr>
      </w:pPr>
      <w:r w:rsidRPr="00921225">
        <w:rPr>
          <w:rFonts w:ascii="Arial" w:eastAsia="Times New Roman" w:hAnsi="Arial" w:cs="Arial"/>
          <w:bCs/>
          <w:sz w:val="21"/>
          <w:szCs w:val="21"/>
          <w:lang w:val="es-MX" w:eastAsia="es-CO"/>
        </w:rPr>
        <w:t>No está de más recordar que las prohibiciones, en tanto limitan la libertad y los derechos de las personas, son de origen constitucional y legal; la tipificación de sus causas, vigencia, naturaleza y efectos es rígida y taxativa; y su aplicación es restrictiva, de manera que excluye la analogía legis o iuris y la interpretación extensiva. Las normas legales de contenido prohibitivo hacen parte de un conjunto de disposiciones que integran un régimen jurídico imperativo y de orden público, razón por la cual no son disponibles ni pueden ser derogadas, modificadas, ampliadas o adicionadas por acuerdo o convenio o acto unilateral.</w:t>
      </w:r>
    </w:p>
    <w:p w14:paraId="07C86F8B" w14:textId="77777777" w:rsidR="00420C9F" w:rsidRPr="00921225" w:rsidRDefault="00420C9F" w:rsidP="00420C9F">
      <w:pPr>
        <w:spacing w:after="0" w:line="240" w:lineRule="auto"/>
        <w:ind w:left="709" w:right="709"/>
        <w:contextualSpacing/>
        <w:jc w:val="both"/>
        <w:rPr>
          <w:rFonts w:ascii="Arial" w:eastAsia="Times New Roman" w:hAnsi="Arial" w:cs="Arial"/>
          <w:bCs/>
          <w:sz w:val="21"/>
          <w:szCs w:val="21"/>
          <w:lang w:val="es-MX" w:eastAsia="es-CO"/>
        </w:rPr>
      </w:pPr>
      <w:r w:rsidRPr="00921225">
        <w:rPr>
          <w:rFonts w:ascii="Arial" w:eastAsia="Times New Roman" w:hAnsi="Arial" w:cs="Arial"/>
          <w:bCs/>
          <w:sz w:val="21"/>
          <w:szCs w:val="21"/>
          <w:lang w:val="es-MX" w:eastAsia="es-CO"/>
        </w:rPr>
        <w:lastRenderedPageBreak/>
        <w:t>La jurisprudencia de la Corte Constitucional</w:t>
      </w:r>
      <w:r w:rsidRPr="00921225">
        <w:rPr>
          <w:rFonts w:ascii="Arial" w:eastAsia="Times New Roman" w:hAnsi="Arial" w:cs="Arial"/>
          <w:bCs/>
          <w:sz w:val="21"/>
          <w:szCs w:val="21"/>
          <w:vertAlign w:val="superscript"/>
          <w:lang w:val="es-MX" w:eastAsia="es-CO"/>
        </w:rPr>
        <w:footnoteReference w:id="6"/>
      </w:r>
      <w:r w:rsidRPr="00921225">
        <w:rPr>
          <w:rFonts w:ascii="Arial" w:eastAsia="Times New Roman" w:hAnsi="Arial" w:cs="Arial"/>
          <w:bCs/>
          <w:sz w:val="21"/>
          <w:szCs w:val="21"/>
          <w:lang w:val="es-MX" w:eastAsia="es-CO"/>
        </w:rPr>
        <w:t> y del Consejo de Estado</w:t>
      </w:r>
      <w:r w:rsidRPr="00921225">
        <w:rPr>
          <w:rFonts w:ascii="Arial" w:eastAsia="Times New Roman" w:hAnsi="Arial" w:cs="Arial"/>
          <w:bCs/>
          <w:sz w:val="21"/>
          <w:szCs w:val="21"/>
          <w:vertAlign w:val="superscript"/>
          <w:lang w:val="es-MX" w:eastAsia="es-CO"/>
        </w:rPr>
        <w:footnoteReference w:id="7"/>
      </w:r>
      <w:r w:rsidRPr="00921225">
        <w:rPr>
          <w:rFonts w:ascii="Arial" w:eastAsia="Times New Roman" w:hAnsi="Arial" w:cs="Arial"/>
          <w:bCs/>
          <w:sz w:val="21"/>
          <w:szCs w:val="21"/>
          <w:lang w:val="es-MX" w:eastAsia="es-CO"/>
        </w:rPr>
        <w:t>, coinciden en que las normas que establecen prohibiciones deben estar de manera explícita en la Constitución o en la ley y no podrán ser excesivas ni desproporcionadas. No pueden interpretarse extensivamente sino siempre en forma restrictiva o estricta; es decir, en la aplicación de las normas prohibitivas, el intérprete solamente habrá de tener en cuenta lo que en ellas expresamente se menciona y, por tanto, no le es permitido ampliar el natural y obvio alcance de los supuestos que contemplan, pues como entrañan una limitación -así fuere justificada- a la libertad de actuar o capacidad de obrar, sobrepasar sus precisos términos comporta el desconocimiento de la voluntad del legislador</w:t>
      </w:r>
      <w:r w:rsidRPr="00921225">
        <w:rPr>
          <w:rFonts w:ascii="Arial" w:eastAsia="Times New Roman" w:hAnsi="Arial" w:cs="Arial"/>
          <w:bCs/>
          <w:vertAlign w:val="superscript"/>
          <w:lang w:val="es-MX" w:eastAsia="es-CO"/>
        </w:rPr>
        <w:footnoteReference w:id="8"/>
      </w:r>
      <w:r w:rsidRPr="00921225">
        <w:rPr>
          <w:rFonts w:ascii="Arial" w:eastAsia="Times New Roman" w:hAnsi="Arial" w:cs="Arial"/>
          <w:bCs/>
          <w:sz w:val="21"/>
          <w:szCs w:val="21"/>
          <w:lang w:val="es-MX" w:eastAsia="es-CO"/>
        </w:rPr>
        <w:t>.</w:t>
      </w:r>
    </w:p>
    <w:p w14:paraId="2F6BCF22" w14:textId="77777777" w:rsidR="00420C9F" w:rsidRPr="00921225" w:rsidRDefault="00420C9F" w:rsidP="00420C9F">
      <w:pPr>
        <w:spacing w:after="0" w:line="276" w:lineRule="auto"/>
        <w:ind w:right="709"/>
        <w:contextualSpacing/>
        <w:jc w:val="both"/>
        <w:rPr>
          <w:rFonts w:ascii="Arial" w:eastAsia="Times New Roman" w:hAnsi="Arial" w:cs="Arial"/>
          <w:bCs/>
          <w:sz w:val="21"/>
          <w:szCs w:val="21"/>
          <w:lang w:val="es-MX" w:eastAsia="es-CO"/>
        </w:rPr>
      </w:pPr>
    </w:p>
    <w:p w14:paraId="55F62890" w14:textId="77777777" w:rsidR="00420C9F" w:rsidRPr="00921225" w:rsidRDefault="00420C9F" w:rsidP="00420C9F">
      <w:pPr>
        <w:spacing w:after="120" w:line="276" w:lineRule="auto"/>
        <w:jc w:val="both"/>
        <w:rPr>
          <w:rFonts w:ascii="Arial" w:eastAsia="Arial" w:hAnsi="Arial" w:cs="Arial"/>
          <w:lang w:val="es-ES" w:eastAsia="es-ES" w:bidi="es-ES"/>
        </w:rPr>
      </w:pPr>
      <w:r w:rsidRPr="00921225">
        <w:rPr>
          <w:rFonts w:ascii="Arial" w:eastAsia="Times New Roman" w:hAnsi="Arial" w:cs="Arial"/>
          <w:bCs/>
          <w:lang w:val="es-MX" w:eastAsia="es-CO"/>
        </w:rPr>
        <w:tab/>
      </w:r>
      <w:bookmarkStart w:id="6" w:name="_Hlk98859730"/>
      <w:r w:rsidRPr="00921225">
        <w:rPr>
          <w:rFonts w:ascii="Arial" w:eastAsia="Times New Roman" w:hAnsi="Arial" w:cs="Arial"/>
          <w:bCs/>
          <w:lang w:val="es-MX" w:eastAsia="es-CO"/>
        </w:rPr>
        <w:t>De</w:t>
      </w:r>
      <w:r w:rsidRPr="00921225">
        <w:rPr>
          <w:rFonts w:ascii="Arial" w:eastAsia="Arial" w:hAnsi="Arial" w:cs="Arial"/>
          <w:lang w:val="es-ES" w:eastAsia="es-ES" w:bidi="es-ES"/>
        </w:rPr>
        <w:t xml:space="preserve"> conformidad con lo anterior, </w:t>
      </w:r>
      <w:bookmarkStart w:id="7" w:name="_Hlk77236098"/>
      <w:r w:rsidRPr="00921225">
        <w:rPr>
          <w:rFonts w:ascii="Arial" w:eastAsia="Arial" w:hAnsi="Arial" w:cs="Arial"/>
          <w:lang w:val="es-ES" w:eastAsia="es-ES" w:bidi="es-ES"/>
        </w:rPr>
        <w:t>la Ley de Garantías Electorales fijó una serie de regulaciones y prohibiciones dirigidas a los servidores públicos. Así, con la finalidad de preservar la igualdad entre los candidatos en las elecciones, aumentó las garantías en materia de contratación, de forma que no exista siquiera sospecha de que, por ese medio, en los periodos previos a la contienda electoral, se altere las condiciones de igualdad entre los candidatos. Específicamente, las restricciones consagradas en la citada ley se dirigen a dos (2) tipos de campañas electorales claramente diferenciadas: las presidenciales y las demás que se adelanten para la elección de los demás cargos de elección popular, tanto a nivel nacional como a nivel territorial.</w:t>
      </w:r>
      <w:bookmarkEnd w:id="7"/>
    </w:p>
    <w:p w14:paraId="5F7EF4A7" w14:textId="77777777" w:rsidR="00420C9F" w:rsidRPr="00921225" w:rsidRDefault="00420C9F" w:rsidP="00420C9F">
      <w:pPr>
        <w:spacing w:after="120" w:line="276" w:lineRule="auto"/>
        <w:ind w:firstLine="708"/>
        <w:jc w:val="both"/>
        <w:rPr>
          <w:rFonts w:ascii="Arial" w:eastAsia="Calibri" w:hAnsi="Arial" w:cs="Arial"/>
        </w:rPr>
      </w:pPr>
      <w:r w:rsidRPr="00921225">
        <w:rPr>
          <w:rFonts w:ascii="Arial" w:eastAsia="Calibri" w:hAnsi="Arial" w:cs="Arial"/>
        </w:rPr>
        <w:t xml:space="preserve">Por un lado, el artículo 33 de la Ley 996 de 2005 prohíbe </w:t>
      </w:r>
      <w:r w:rsidRPr="00921225">
        <w:rPr>
          <w:rFonts w:ascii="Arial" w:eastAsia="Calibri" w:hAnsi="Arial" w:cs="Arial"/>
          <w:bCs/>
        </w:rPr>
        <w:t xml:space="preserve">«[…] </w:t>
      </w:r>
      <w:r w:rsidRPr="00921225">
        <w:rPr>
          <w:rFonts w:ascii="Arial" w:eastAsia="Calibri" w:hAnsi="Arial" w:cs="Arial"/>
        </w:rPr>
        <w:t>la contratación directa por parte de todos los entes del Estado</w:t>
      </w:r>
      <w:r w:rsidRPr="00921225">
        <w:rPr>
          <w:rFonts w:ascii="Arial" w:eastAsia="Calibri" w:hAnsi="Arial" w:cs="Arial"/>
          <w:bCs/>
        </w:rPr>
        <w:t>»</w:t>
      </w:r>
      <w:r w:rsidRPr="00921225">
        <w:rPr>
          <w:rFonts w:ascii="Arial" w:eastAsia="Calibri" w:hAnsi="Arial" w:cs="Arial"/>
        </w:rPr>
        <w:t xml:space="preserve"> durante los cuatro (4) meses anteriores a las elecciones presidenciales, salvo </w:t>
      </w:r>
      <w:r w:rsidRPr="00921225">
        <w:rPr>
          <w:rFonts w:ascii="Arial" w:eastAsia="Calibri" w:hAnsi="Arial" w:cs="Arial"/>
          <w:bCs/>
        </w:rPr>
        <w:t xml:space="preserve">«[…] </w:t>
      </w:r>
      <w:r w:rsidRPr="00921225">
        <w:rPr>
          <w:rFonts w:ascii="Arial" w:eastAsia="Calibri" w:hAnsi="Arial" w:cs="Arial"/>
        </w:rPr>
        <w:t xml:space="preserve">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w:t>
      </w:r>
      <w:r w:rsidRPr="00921225">
        <w:rPr>
          <w:rFonts w:ascii="Arial" w:eastAsia="Calibri" w:hAnsi="Arial" w:cs="Arial"/>
        </w:rPr>
        <w:lastRenderedPageBreak/>
        <w:t>acciones terroristas, desastres naturales o casos de fuerza mayor, y los que deban realizar las entidades sanitarias y hospitalarias</w:t>
      </w:r>
      <w:r w:rsidRPr="00921225">
        <w:rPr>
          <w:rFonts w:ascii="Arial" w:eastAsia="Calibri" w:hAnsi="Arial" w:cs="Arial"/>
          <w:bCs/>
        </w:rPr>
        <w:t>»</w:t>
      </w:r>
      <w:bookmarkEnd w:id="6"/>
      <w:r w:rsidRPr="00921225">
        <w:rPr>
          <w:rFonts w:ascii="Arial" w:eastAsia="Calibri" w:hAnsi="Arial" w:cs="Arial"/>
          <w:bCs/>
          <w:vertAlign w:val="superscript"/>
        </w:rPr>
        <w:footnoteReference w:id="9"/>
      </w:r>
      <w:r w:rsidRPr="00921225">
        <w:rPr>
          <w:rFonts w:ascii="Arial" w:eastAsia="Calibri" w:hAnsi="Arial" w:cs="Arial"/>
        </w:rPr>
        <w:t>.</w:t>
      </w:r>
    </w:p>
    <w:p w14:paraId="247C8A6E" w14:textId="77777777" w:rsidR="00420C9F" w:rsidRPr="00921225" w:rsidRDefault="00420C9F" w:rsidP="00420C9F">
      <w:pPr>
        <w:widowControl w:val="0"/>
        <w:autoSpaceDE w:val="0"/>
        <w:autoSpaceDN w:val="0"/>
        <w:spacing w:after="0" w:line="276" w:lineRule="auto"/>
        <w:ind w:right="113" w:firstLine="708"/>
        <w:contextualSpacing/>
        <w:jc w:val="both"/>
        <w:rPr>
          <w:rFonts w:ascii="Arial" w:eastAsia="Arial" w:hAnsi="Arial" w:cs="Arial"/>
          <w:lang w:val="es-ES" w:eastAsia="es-ES" w:bidi="es-ES"/>
        </w:rPr>
      </w:pPr>
      <w:r w:rsidRPr="00921225">
        <w:rPr>
          <w:rFonts w:ascii="Arial" w:eastAsia="Calibri" w:hAnsi="Arial" w:cs="Arial"/>
        </w:rPr>
        <w:t xml:space="preserve">Por otro lado, el parágrafo del artículo 38 de la Ley 996 de 2005 prevé una restricción, aplicable respecto de cualquier tipo de contienda electoral, que prohíbe a los gobernadores, alcaldes municipales o distritales, secretarios, gerentes y directores de entidades descentralizadas del orden municipal, departamental o distrital </w:t>
      </w:r>
      <w:r w:rsidRPr="00921225">
        <w:rPr>
          <w:rFonts w:ascii="Arial" w:eastAsia="Calibri" w:hAnsi="Arial" w:cs="Arial"/>
          <w:bCs/>
        </w:rPr>
        <w:t xml:space="preserve">«[…] </w:t>
      </w:r>
      <w:r w:rsidRPr="00921225">
        <w:rPr>
          <w:rFonts w:ascii="Arial" w:eastAsia="Calibri" w:hAnsi="Arial" w:cs="Arial"/>
          <w:lang w:val="es-MX"/>
        </w:rPr>
        <w:t>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921225">
        <w:rPr>
          <w:rFonts w:ascii="Arial" w:eastAsia="Calibri" w:hAnsi="Arial" w:cs="Arial"/>
          <w:bCs/>
          <w:sz w:val="19"/>
          <w:szCs w:val="19"/>
        </w:rPr>
        <w:t>»</w:t>
      </w:r>
      <w:r w:rsidRPr="00921225">
        <w:rPr>
          <w:rFonts w:ascii="Arial" w:eastAsia="Calibri" w:hAnsi="Arial" w:cs="Arial"/>
          <w:bCs/>
          <w:sz w:val="19"/>
          <w:szCs w:val="19"/>
          <w:vertAlign w:val="superscript"/>
        </w:rPr>
        <w:footnoteReference w:id="10"/>
      </w:r>
      <w:r w:rsidRPr="00921225">
        <w:rPr>
          <w:rFonts w:ascii="Arial" w:eastAsia="Calibri" w:hAnsi="Arial" w:cs="Arial"/>
          <w:lang w:val="es-MX"/>
        </w:rPr>
        <w:t>.</w:t>
      </w:r>
      <w:r w:rsidRPr="00921225">
        <w:rPr>
          <w:rFonts w:ascii="Arial" w:eastAsia="Arial" w:hAnsi="Arial" w:cs="Arial"/>
          <w:lang w:val="es-ES" w:eastAsia="es-ES" w:bidi="es-ES"/>
        </w:rPr>
        <w:t xml:space="preserve"> La Sala de Consulta y Servicio Civil del Consejo de Estado ha aclarado la distinción en la aplicación de las prohibiciones de la Ley 996 de 2005, dependiendo del tipo de elección que se trate. Al respecto, considera que:</w:t>
      </w:r>
    </w:p>
    <w:p w14:paraId="58D756AE" w14:textId="77777777" w:rsidR="00420C9F" w:rsidRPr="00921225" w:rsidRDefault="00420C9F" w:rsidP="00420C9F">
      <w:pPr>
        <w:widowControl w:val="0"/>
        <w:autoSpaceDE w:val="0"/>
        <w:autoSpaceDN w:val="0"/>
        <w:spacing w:after="0" w:line="276" w:lineRule="auto"/>
        <w:ind w:left="805" w:right="812"/>
        <w:contextualSpacing/>
        <w:jc w:val="both"/>
        <w:rPr>
          <w:rFonts w:ascii="Arial" w:eastAsia="Arial" w:hAnsi="Arial" w:cs="Arial"/>
          <w:lang w:val="es-ES" w:eastAsia="es-ES" w:bidi="es-ES"/>
        </w:rPr>
      </w:pPr>
    </w:p>
    <w:p w14:paraId="58253E4E" w14:textId="77777777" w:rsidR="00420C9F" w:rsidRPr="00921225" w:rsidRDefault="00420C9F" w:rsidP="00420C9F">
      <w:pPr>
        <w:widowControl w:val="0"/>
        <w:autoSpaceDE w:val="0"/>
        <w:autoSpaceDN w:val="0"/>
        <w:spacing w:after="0" w:line="240" w:lineRule="auto"/>
        <w:ind w:left="709" w:right="709"/>
        <w:contextualSpacing/>
        <w:jc w:val="both"/>
        <w:rPr>
          <w:rFonts w:ascii="Arial" w:eastAsia="Arial" w:hAnsi="Arial" w:cs="Arial"/>
          <w:sz w:val="21"/>
          <w:szCs w:val="21"/>
          <w:lang w:val="es-ES" w:eastAsia="es-ES" w:bidi="es-ES"/>
        </w:rPr>
      </w:pPr>
      <w:r w:rsidRPr="00921225">
        <w:rPr>
          <w:rFonts w:ascii="Arial" w:eastAsia="Arial" w:hAnsi="Arial" w:cs="Arial"/>
          <w:sz w:val="21"/>
          <w:szCs w:val="21"/>
          <w:lang w:val="es-ES" w:eastAsia="es-ES" w:bidi="es-ES"/>
        </w:rPr>
        <w:t xml:space="preserve">La interpretación sistemática de las disposiciones consagradas en los artículos 32, 33 y el parágrafo del artículo 38 de la ley 996 de 2.005 lleva a concluir que dichas normas contienen restricciones y prohibiciones para periodos preelectorales diferentes; las dos primeras, de manera específica para los cuatro meses anteriores a la elección presidencial; el último, de manera más genérica para los cuatro meses anteriores a las elecciones  para cualquier cargo de elección popular a que se refiere la ley –incluido el de Presidente de la República-; de manera que dichas restricciones no se excluyen sino que </w:t>
      </w:r>
      <w:bookmarkStart w:id="10" w:name="_Hlk76109421"/>
      <w:r w:rsidRPr="00921225">
        <w:rPr>
          <w:rFonts w:ascii="Arial" w:eastAsia="Arial" w:hAnsi="Arial" w:cs="Arial"/>
          <w:sz w:val="21"/>
          <w:szCs w:val="21"/>
          <w:lang w:val="es-ES" w:eastAsia="es-ES" w:bidi="es-ES"/>
        </w:rPr>
        <w:t>se integran parcialmente</w:t>
      </w:r>
      <w:bookmarkEnd w:id="10"/>
      <w:r w:rsidRPr="00921225">
        <w:rPr>
          <w:rFonts w:ascii="Arial" w:eastAsia="Arial" w:hAnsi="Arial" w:cs="Arial"/>
          <w:sz w:val="21"/>
          <w:szCs w:val="21"/>
          <w:lang w:val="es-ES" w:eastAsia="es-ES" w:bidi="es-ES"/>
        </w:rPr>
        <w:t xml:space="preserve">, lo que permite concluir que en periodo preelectoral para elección de Presidente de la República, a todos los entes del Estado, incluidos los territoriales, se aplican las restricciones de los artículos 32 y 33 con sus excepciones, </w:t>
      </w:r>
      <w:r w:rsidRPr="00921225">
        <w:rPr>
          <w:rFonts w:ascii="Arial" w:eastAsia="Arial" w:hAnsi="Arial" w:cs="Arial"/>
          <w:sz w:val="21"/>
          <w:szCs w:val="21"/>
          <w:lang w:val="es-ES" w:eastAsia="es-ES" w:bidi="es-ES"/>
        </w:rPr>
        <w:lastRenderedPageBreak/>
        <w:t xml:space="preserve">así como las del parágrafo del artículo 38. </w:t>
      </w:r>
      <w:r w:rsidRPr="00921225">
        <w:rPr>
          <w:rFonts w:ascii="Arial" w:eastAsia="Arial" w:hAnsi="Arial" w:cs="Arial"/>
          <w:bCs/>
          <w:sz w:val="21"/>
          <w:szCs w:val="21"/>
          <w:lang w:val="es-ES" w:eastAsia="es-ES" w:bidi="es-ES"/>
        </w:rPr>
        <w:t xml:space="preserve">En cambio, para elecciones en general, excluyendo las correspondientes a </w:t>
      </w:r>
      <w:proofErr w:type="gramStart"/>
      <w:r w:rsidRPr="00921225">
        <w:rPr>
          <w:rFonts w:ascii="Arial" w:eastAsia="Arial" w:hAnsi="Arial" w:cs="Arial"/>
          <w:bCs/>
          <w:sz w:val="21"/>
          <w:szCs w:val="21"/>
          <w:lang w:val="es-ES" w:eastAsia="es-ES" w:bidi="es-ES"/>
        </w:rPr>
        <w:t>Presidente</w:t>
      </w:r>
      <w:proofErr w:type="gramEnd"/>
      <w:r w:rsidRPr="00921225">
        <w:rPr>
          <w:rFonts w:ascii="Arial" w:eastAsia="Arial" w:hAnsi="Arial" w:cs="Arial"/>
          <w:bCs/>
          <w:sz w:val="21"/>
          <w:szCs w:val="21"/>
          <w:lang w:val="es-ES" w:eastAsia="es-ES" w:bidi="es-ES"/>
        </w:rPr>
        <w:t xml:space="preserve"> de la República, a las autoridades territoriales allí mencionadas sólo se aplican las restricciones contenidas en el parágrafo del artículo 38</w:t>
      </w:r>
      <w:r w:rsidRPr="00921225">
        <w:rPr>
          <w:rFonts w:ascii="Arial" w:eastAsia="Arial" w:hAnsi="Arial" w:cs="Arial"/>
          <w:sz w:val="21"/>
          <w:szCs w:val="21"/>
          <w:lang w:val="es-ES" w:eastAsia="es-ES" w:bidi="es-ES"/>
        </w:rPr>
        <w:t>.</w:t>
      </w:r>
      <w:r w:rsidRPr="00921225">
        <w:rPr>
          <w:rFonts w:ascii="Arial" w:eastAsia="Arial" w:hAnsi="Arial" w:cs="Arial"/>
          <w:sz w:val="21"/>
          <w:szCs w:val="21"/>
          <w:vertAlign w:val="superscript"/>
          <w:lang w:val="es-ES" w:eastAsia="es-ES" w:bidi="es-ES"/>
        </w:rPr>
        <w:footnoteReference w:id="11"/>
      </w:r>
    </w:p>
    <w:p w14:paraId="27D42229" w14:textId="77777777" w:rsidR="00420C9F" w:rsidRPr="00921225" w:rsidRDefault="00420C9F" w:rsidP="00420C9F">
      <w:pPr>
        <w:widowControl w:val="0"/>
        <w:autoSpaceDE w:val="0"/>
        <w:autoSpaceDN w:val="0"/>
        <w:spacing w:after="0" w:line="276" w:lineRule="auto"/>
        <w:contextualSpacing/>
        <w:rPr>
          <w:rFonts w:ascii="Arial" w:eastAsia="Arial" w:hAnsi="Arial" w:cs="Arial"/>
          <w:lang w:val="es-ES" w:eastAsia="es-ES" w:bidi="es-ES"/>
        </w:rPr>
      </w:pPr>
    </w:p>
    <w:p w14:paraId="102F40FC" w14:textId="0491A5E6" w:rsidR="00420C9F" w:rsidRPr="00921225" w:rsidRDefault="00420C9F" w:rsidP="00420C9F">
      <w:pPr>
        <w:spacing w:after="120" w:line="276" w:lineRule="auto"/>
        <w:ind w:firstLine="709"/>
        <w:jc w:val="both"/>
        <w:rPr>
          <w:rFonts w:ascii="Arial" w:eastAsia="Arial" w:hAnsi="Arial" w:cs="Arial"/>
          <w:lang w:val="es-ES" w:eastAsia="es-ES" w:bidi="es-ES"/>
        </w:rPr>
      </w:pPr>
      <w:r>
        <w:rPr>
          <w:rFonts w:ascii="Arial" w:eastAsia="Arial" w:hAnsi="Arial" w:cs="Arial"/>
          <w:lang w:val="es-ES" w:eastAsia="es-ES" w:bidi="es-ES"/>
        </w:rPr>
        <w:t>De lo anterior se de</w:t>
      </w:r>
      <w:r w:rsidR="008C5144">
        <w:rPr>
          <w:rFonts w:ascii="Arial" w:eastAsia="Arial" w:hAnsi="Arial" w:cs="Arial"/>
          <w:lang w:val="es-ES" w:eastAsia="es-ES" w:bidi="es-ES"/>
        </w:rPr>
        <w:t>s</w:t>
      </w:r>
      <w:r>
        <w:rPr>
          <w:rFonts w:ascii="Arial" w:eastAsia="Arial" w:hAnsi="Arial" w:cs="Arial"/>
          <w:lang w:val="es-ES" w:eastAsia="es-ES" w:bidi="es-ES"/>
        </w:rPr>
        <w:t>prende que</w:t>
      </w:r>
      <w:r w:rsidRPr="00921225">
        <w:rPr>
          <w:rFonts w:ascii="Arial" w:eastAsia="Arial" w:hAnsi="Arial" w:cs="Arial"/>
          <w:lang w:val="es-ES" w:eastAsia="es-ES" w:bidi="es-ES"/>
        </w:rPr>
        <w:t xml:space="preserve"> </w:t>
      </w:r>
      <w:bookmarkStart w:id="11" w:name="_Hlk77236420"/>
      <w:bookmarkStart w:id="12" w:name="_Hlk78818435"/>
      <w:bookmarkStart w:id="13" w:name="_Hlk75780333"/>
      <w:r w:rsidRPr="00921225">
        <w:rPr>
          <w:rFonts w:ascii="Arial" w:eastAsia="Arial" w:hAnsi="Arial" w:cs="Arial"/>
          <w:lang w:val="es-ES" w:eastAsia="es-ES" w:bidi="es-ES"/>
        </w:rPr>
        <w:t xml:space="preserve">la Ley 996 de 2005 establece dos (2) tipos de restricciones en materia de contratación, las cuales coinciden parcialmente. </w:t>
      </w:r>
      <w:r w:rsidRPr="00921225">
        <w:rPr>
          <w:rFonts w:ascii="Arial" w:eastAsia="Arial" w:hAnsi="Arial" w:cs="Arial"/>
          <w:i/>
          <w:iCs/>
          <w:lang w:val="es-ES" w:eastAsia="es-ES" w:bidi="es-ES"/>
        </w:rPr>
        <w:t>En primer lugar</w:t>
      </w:r>
      <w:r w:rsidRPr="00921225">
        <w:rPr>
          <w:rFonts w:ascii="Arial" w:eastAsia="Arial" w:hAnsi="Arial" w:cs="Arial"/>
          <w:lang w:val="es-ES" w:eastAsia="es-ES" w:bidi="es-ES"/>
        </w:rPr>
        <w:t xml:space="preserve">, la del artículo 33 que opera solo respecto de las elecciones presidenciales, en virtud de la cual queda proscrita la contratación directa dentro de los cuatro (4) meses anteriores a la celebración de los comicios, salvo las citadas excepciones. Sin embargo, si ningún candidato obtiene la mitad más uno de los votos que, de manera secreta y directa, depositen los ciudadanos, se celebrará una nueva votación que tendrá lugar tres semanas más tarde, en la que sólo participarán los dos candidatos que hubieren obtenido las votaciones más altas, de conformidad con el artículo 190 de la Constitución Política. Para estos efectos, la restricción se extenderá hasta la fecha en la que se realice la segunda vuelta. </w:t>
      </w:r>
      <w:r w:rsidRPr="00921225">
        <w:rPr>
          <w:rFonts w:ascii="Arial" w:eastAsia="Arial" w:hAnsi="Arial" w:cs="Arial"/>
          <w:i/>
          <w:iCs/>
          <w:lang w:val="es-ES" w:eastAsia="es-ES" w:bidi="es-ES"/>
        </w:rPr>
        <w:t>En segundo lugar</w:t>
      </w:r>
      <w:r w:rsidRPr="00921225">
        <w:rPr>
          <w:rFonts w:ascii="Arial" w:eastAsia="Arial" w:hAnsi="Arial" w:cs="Arial"/>
          <w:lang w:val="es-ES" w:eastAsia="es-ES" w:bidi="es-ES"/>
        </w:rPr>
        <w:t>, también se encuentra la prohibición del parágrafo del artículo 38, el cual debe aplicarse respecto de cualquier tipo de contienda electoral, y que prohíbe la celebración de convenios interadministrativos que impliquen la ejecución de recursos públicos dentro de los cuatro (4) meses anteriores a la respectiva jornada de votaciones.</w:t>
      </w:r>
      <w:bookmarkEnd w:id="11"/>
    </w:p>
    <w:bookmarkEnd w:id="12"/>
    <w:p w14:paraId="7FDCBEF6" w14:textId="77777777" w:rsidR="00420C9F" w:rsidRPr="00921225" w:rsidRDefault="00420C9F" w:rsidP="00420C9F">
      <w:pPr>
        <w:spacing w:after="120" w:line="276" w:lineRule="auto"/>
        <w:ind w:firstLine="709"/>
        <w:jc w:val="both"/>
        <w:rPr>
          <w:rFonts w:ascii="Arial" w:eastAsia="Arial" w:hAnsi="Arial" w:cs="Arial"/>
          <w:lang w:val="es-ES" w:eastAsia="es-ES" w:bidi="es-ES"/>
        </w:rPr>
      </w:pPr>
      <w:r w:rsidRPr="00921225">
        <w:rPr>
          <w:rFonts w:ascii="Arial" w:eastAsia="Arial" w:hAnsi="Arial" w:cs="Arial"/>
          <w:lang w:val="es-ES" w:eastAsia="es-ES" w:bidi="es-ES"/>
        </w:rPr>
        <w:t xml:space="preserve">Ambas restricciones no son excluyentes, lo que permite concluir que en el período preelectoral para elección de </w:t>
      </w:r>
      <w:proofErr w:type="gramStart"/>
      <w:r w:rsidRPr="00921225">
        <w:rPr>
          <w:rFonts w:ascii="Arial" w:eastAsia="Arial" w:hAnsi="Arial" w:cs="Arial"/>
          <w:lang w:val="es-ES" w:eastAsia="es-ES" w:bidi="es-ES"/>
        </w:rPr>
        <w:t>Presidente</w:t>
      </w:r>
      <w:proofErr w:type="gramEnd"/>
      <w:r w:rsidRPr="00921225">
        <w:rPr>
          <w:rFonts w:ascii="Arial" w:eastAsia="Arial" w:hAnsi="Arial" w:cs="Arial"/>
          <w:lang w:val="es-ES" w:eastAsia="es-ES" w:bidi="es-ES"/>
        </w:rPr>
        <w:t xml:space="preserve"> de la República, a todos los entes del Estado, incluidos los territoriales, aplican las restricciones del artículo 33 con sus excepciones, así como las del parágrafo del artículo 38. En cambio, tratándose de elecciones en general, excluyendo las correspondientes al </w:t>
      </w:r>
      <w:proofErr w:type="gramStart"/>
      <w:r w:rsidRPr="00921225">
        <w:rPr>
          <w:rFonts w:ascii="Arial" w:eastAsia="Arial" w:hAnsi="Arial" w:cs="Arial"/>
          <w:lang w:val="es-ES" w:eastAsia="es-ES" w:bidi="es-ES"/>
        </w:rPr>
        <w:t>Presidente</w:t>
      </w:r>
      <w:proofErr w:type="gramEnd"/>
      <w:r w:rsidRPr="00921225">
        <w:rPr>
          <w:rFonts w:ascii="Arial" w:eastAsia="Arial" w:hAnsi="Arial" w:cs="Arial"/>
          <w:lang w:val="es-ES" w:eastAsia="es-ES" w:bidi="es-ES"/>
        </w:rPr>
        <w:t xml:space="preserve"> de la República, las autoridades allí mencionadas sólo deben aplicar las restricciones contenidas en el parágrafo del artículo 38.</w:t>
      </w:r>
    </w:p>
    <w:bookmarkEnd w:id="13"/>
    <w:p w14:paraId="5296E524" w14:textId="77777777" w:rsidR="00420C9F" w:rsidRPr="00921225" w:rsidRDefault="00420C9F" w:rsidP="00420C9F">
      <w:pPr>
        <w:spacing w:after="0" w:line="276" w:lineRule="auto"/>
        <w:ind w:firstLine="708"/>
        <w:contextualSpacing/>
        <w:jc w:val="both"/>
        <w:rPr>
          <w:rFonts w:ascii="Arial" w:eastAsia="Arial" w:hAnsi="Arial" w:cs="Arial"/>
          <w:lang w:val="es-ES" w:eastAsia="es-ES" w:bidi="es-ES"/>
        </w:rPr>
      </w:pPr>
      <w:r w:rsidRPr="00921225">
        <w:rPr>
          <w:rFonts w:ascii="Arial" w:eastAsia="Arial" w:hAnsi="Arial" w:cs="Arial"/>
          <w:lang w:val="es-ES" w:eastAsia="es-ES" w:bidi="es-ES"/>
        </w:rPr>
        <w:t xml:space="preserve">La Corte Constitucional, en la Sentencia C-1153 del 11 de noviembre de 2005, señaló que, para que la garantía sea plena, era necesario que la prohibición se aplicara para el </w:t>
      </w:r>
      <w:proofErr w:type="gramStart"/>
      <w:r w:rsidRPr="00921225">
        <w:rPr>
          <w:rFonts w:ascii="Arial" w:eastAsia="Arial" w:hAnsi="Arial" w:cs="Arial"/>
          <w:lang w:val="es-ES" w:eastAsia="es-ES" w:bidi="es-ES"/>
        </w:rPr>
        <w:t>Presidente</w:t>
      </w:r>
      <w:proofErr w:type="gramEnd"/>
      <w:r w:rsidRPr="00921225">
        <w:rPr>
          <w:rFonts w:ascii="Arial" w:eastAsia="Arial" w:hAnsi="Arial" w:cs="Arial"/>
          <w:lang w:val="es-ES" w:eastAsia="es-ES" w:bidi="es-ES"/>
        </w:rPr>
        <w:t xml:space="preserve"> o el Vicepresidente desde que éstos –estando en ejercicio de su cargo– manifiesten el interés de ser candidato presidencial, lo cual debe ocurrir seis meses antes de la elección en primera vuelta, de acuerdo con el artículo 9 de la Ley 996 de 2005. Sin embargo, el condicionamiento impuesto por la Corte Constitucional, relacionado con el momento en que estas restricciones </w:t>
      </w:r>
      <w:r w:rsidRPr="00921225">
        <w:rPr>
          <w:rFonts w:ascii="Arial" w:eastAsia="Arial" w:hAnsi="Arial" w:cs="Arial"/>
          <w:lang w:val="es-ES" w:eastAsia="es-ES" w:bidi="es-ES"/>
        </w:rPr>
        <w:lastRenderedPageBreak/>
        <w:t xml:space="preserve">empiezan a regir para el Presidente y el Vicepresidente de la República, ha perdido vigencia ante la prohibición de la reelección presidencial, restablecida por el Acto Legislativo 2 de 2015, excepto para el Vicepresidente que no haya ejercido la presidencia o que la haya ejercido por un tiempo inferior a tres (3) meses durante el respectivo cuatrienio, en forma continua o discontinua, conforme al artículo 197 de la Constitución Política.  </w:t>
      </w:r>
    </w:p>
    <w:p w14:paraId="01E18700" w14:textId="77777777" w:rsidR="00420C9F" w:rsidRPr="00921225" w:rsidRDefault="00420C9F" w:rsidP="00420C9F">
      <w:pPr>
        <w:spacing w:after="0" w:line="276" w:lineRule="auto"/>
        <w:contextualSpacing/>
        <w:jc w:val="both"/>
        <w:rPr>
          <w:rFonts w:ascii="Arial" w:eastAsia="Times New Roman" w:hAnsi="Arial" w:cs="Arial"/>
          <w:bCs/>
          <w:lang w:val="es-ES" w:eastAsia="es-CO"/>
        </w:rPr>
      </w:pPr>
    </w:p>
    <w:p w14:paraId="4404B436" w14:textId="77777777" w:rsidR="00420C9F" w:rsidRPr="00C512B3" w:rsidRDefault="00420C9F" w:rsidP="00420C9F">
      <w:pPr>
        <w:spacing w:after="0" w:line="276" w:lineRule="auto"/>
        <w:jc w:val="both"/>
        <w:rPr>
          <w:rFonts w:ascii="Arial" w:eastAsia="Times New Roman" w:hAnsi="Arial" w:cs="Arial"/>
          <w:b/>
          <w:lang w:val="es-ES" w:eastAsia="es-CO"/>
        </w:rPr>
      </w:pPr>
      <w:r w:rsidRPr="00921225">
        <w:rPr>
          <w:rFonts w:ascii="Arial" w:eastAsia="Times New Roman" w:hAnsi="Arial" w:cs="Arial"/>
          <w:b/>
          <w:lang w:val="es-ES" w:eastAsia="es-CO"/>
        </w:rPr>
        <w:t xml:space="preserve">2.2. </w:t>
      </w:r>
      <w:r w:rsidRPr="00C512B3">
        <w:rPr>
          <w:rFonts w:ascii="Arial" w:hAnsi="Arial" w:cs="Arial"/>
          <w:b/>
          <w:bCs/>
          <w:lang w:val="es-MX" w:eastAsia="es-CO"/>
        </w:rPr>
        <w:t xml:space="preserve">Restricciones en elecciones presidenciales: </w:t>
      </w:r>
      <w:r>
        <w:rPr>
          <w:rFonts w:ascii="Arial" w:hAnsi="Arial" w:cs="Arial"/>
          <w:b/>
          <w:bCs/>
          <w:lang w:val="es-ES_tradnl" w:eastAsia="es-CO"/>
        </w:rPr>
        <w:t>p</w:t>
      </w:r>
      <w:r w:rsidRPr="00C512B3">
        <w:rPr>
          <w:rFonts w:ascii="Arial" w:hAnsi="Arial" w:cs="Arial"/>
          <w:b/>
          <w:bCs/>
          <w:lang w:val="es-ES_tradnl" w:eastAsia="es-CO"/>
        </w:rPr>
        <w:t>rohibición del artículo 33 de la Ley 996 de 2005</w:t>
      </w:r>
    </w:p>
    <w:p w14:paraId="038251B7" w14:textId="77777777" w:rsidR="00420C9F" w:rsidRPr="00921225" w:rsidRDefault="00420C9F" w:rsidP="00420C9F">
      <w:pPr>
        <w:spacing w:after="0" w:line="276" w:lineRule="auto"/>
        <w:contextualSpacing/>
        <w:jc w:val="both"/>
        <w:rPr>
          <w:rFonts w:ascii="Arial" w:eastAsia="Times New Roman" w:hAnsi="Arial" w:cs="Arial"/>
          <w:bCs/>
          <w:lang w:val="es-MX" w:eastAsia="x-none"/>
        </w:rPr>
      </w:pPr>
    </w:p>
    <w:p w14:paraId="398598A5" w14:textId="77777777" w:rsidR="00420C9F" w:rsidRPr="00921225" w:rsidRDefault="00420C9F" w:rsidP="00420C9F">
      <w:pPr>
        <w:spacing w:after="0" w:line="276" w:lineRule="auto"/>
        <w:contextualSpacing/>
        <w:jc w:val="both"/>
        <w:rPr>
          <w:rFonts w:ascii="Arial" w:eastAsia="Times New Roman" w:hAnsi="Arial" w:cs="Arial"/>
          <w:bCs/>
          <w:lang w:val="es-MX" w:eastAsia="es-CO"/>
        </w:rPr>
      </w:pPr>
      <w:r w:rsidRPr="00921225">
        <w:rPr>
          <w:rFonts w:ascii="Arial" w:eastAsia="Times New Roman" w:hAnsi="Arial" w:cs="Arial"/>
          <w:bCs/>
          <w:lang w:val="es-MX" w:eastAsia="x-none"/>
        </w:rPr>
        <w:t xml:space="preserve">El ámbito material de la prohibición contenida </w:t>
      </w:r>
      <w:bookmarkStart w:id="14" w:name="_Hlk75628761"/>
      <w:r w:rsidRPr="00921225">
        <w:rPr>
          <w:rFonts w:ascii="Arial" w:eastAsia="Times New Roman" w:hAnsi="Arial" w:cs="Arial"/>
          <w:bCs/>
          <w:lang w:val="es-MX" w:eastAsia="x-none"/>
        </w:rPr>
        <w:t xml:space="preserve">en el artículo 33 de la </w:t>
      </w:r>
      <w:r w:rsidRPr="00EA54E8">
        <w:rPr>
          <w:rFonts w:ascii="Arial" w:eastAsia="Times New Roman" w:hAnsi="Arial" w:cs="Arial"/>
          <w:bCs/>
          <w:lang w:val="es-MX" w:eastAsia="x-none"/>
        </w:rPr>
        <w:t xml:space="preserve">Ley </w:t>
      </w:r>
      <w:r w:rsidRPr="00921225">
        <w:rPr>
          <w:rFonts w:ascii="Arial" w:eastAsia="Times New Roman" w:hAnsi="Arial" w:cs="Arial"/>
          <w:bCs/>
          <w:lang w:val="es-MX" w:eastAsia="x-none"/>
        </w:rPr>
        <w:t xml:space="preserve">996 de 2005 </w:t>
      </w:r>
      <w:bookmarkEnd w:id="14"/>
      <w:r w:rsidRPr="00921225">
        <w:rPr>
          <w:rFonts w:ascii="Arial" w:eastAsia="Times New Roman" w:hAnsi="Arial" w:cs="Arial"/>
          <w:bCs/>
          <w:lang w:val="es-MX" w:eastAsia="x-none"/>
        </w:rPr>
        <w:t xml:space="preserve">está delimitado por la expresión </w:t>
      </w:r>
      <w:r w:rsidRPr="00921225">
        <w:rPr>
          <w:rFonts w:ascii="Arial" w:eastAsia="Calibri" w:hAnsi="Arial" w:cs="Arial"/>
          <w:bCs/>
          <w:sz w:val="20"/>
          <w:szCs w:val="20"/>
          <w:lang w:val="es-MX"/>
        </w:rPr>
        <w:t>«</w:t>
      </w:r>
      <w:r w:rsidRPr="00921225">
        <w:rPr>
          <w:rFonts w:ascii="Arial" w:eastAsia="Times New Roman" w:hAnsi="Arial" w:cs="Arial"/>
          <w:bCs/>
          <w:lang w:val="es-MX" w:eastAsia="x-none"/>
        </w:rPr>
        <w:t>queda prohibida la contratación directa</w:t>
      </w:r>
      <w:r w:rsidRPr="00921225">
        <w:rPr>
          <w:rFonts w:ascii="Arial" w:eastAsia="Calibri" w:hAnsi="Arial" w:cs="Arial"/>
          <w:sz w:val="20"/>
          <w:szCs w:val="20"/>
          <w:lang w:val="es-MX"/>
        </w:rPr>
        <w:t>»</w:t>
      </w:r>
      <w:r w:rsidRPr="00921225">
        <w:rPr>
          <w:rFonts w:ascii="Arial" w:eastAsia="Times New Roman" w:hAnsi="Arial" w:cs="Arial"/>
          <w:bCs/>
          <w:lang w:val="es-MX" w:eastAsia="x-none"/>
        </w:rPr>
        <w:t>.</w:t>
      </w:r>
      <w:r w:rsidRPr="00921225">
        <w:rPr>
          <w:rFonts w:ascii="Arial" w:eastAsia="Times New Roman" w:hAnsi="Arial" w:cs="Arial"/>
          <w:lang w:val="es-MX" w:eastAsia="es-CO"/>
        </w:rPr>
        <w:t xml:space="preserve"> A propósito de </w:t>
      </w:r>
      <w:r w:rsidRPr="00921225">
        <w:rPr>
          <w:rFonts w:ascii="Arial" w:eastAsia="Times New Roman" w:hAnsi="Arial" w:cs="Arial"/>
          <w:lang w:eastAsia="es-CO"/>
        </w:rPr>
        <w:t>esta restricción de la Ley de Garantías Electorales, la Sala de Consulta y Servicio Civil del Consejo de Estado ha considerado que:</w:t>
      </w:r>
    </w:p>
    <w:p w14:paraId="553DD080" w14:textId="77777777" w:rsidR="00420C9F" w:rsidRPr="00921225" w:rsidRDefault="00420C9F" w:rsidP="00420C9F">
      <w:pPr>
        <w:spacing w:after="0" w:line="276" w:lineRule="auto"/>
        <w:ind w:left="708" w:right="709"/>
        <w:contextualSpacing/>
        <w:jc w:val="both"/>
        <w:rPr>
          <w:rFonts w:ascii="Arial" w:eastAsia="Calibri" w:hAnsi="Arial" w:cs="Arial"/>
          <w:sz w:val="21"/>
          <w:szCs w:val="21"/>
          <w:lang w:val="es-MX"/>
        </w:rPr>
      </w:pPr>
    </w:p>
    <w:p w14:paraId="3F74A12E" w14:textId="77777777" w:rsidR="00420C9F" w:rsidRPr="00EA54E8" w:rsidRDefault="00420C9F" w:rsidP="00420C9F">
      <w:pPr>
        <w:spacing w:after="0" w:line="240" w:lineRule="auto"/>
        <w:ind w:left="709" w:right="709"/>
        <w:contextualSpacing/>
        <w:jc w:val="both"/>
        <w:rPr>
          <w:rFonts w:ascii="Arial" w:eastAsia="Calibri" w:hAnsi="Arial" w:cs="Arial"/>
          <w:sz w:val="21"/>
          <w:szCs w:val="21"/>
          <w:lang w:val="es-MX"/>
        </w:rPr>
      </w:pPr>
      <w:r w:rsidRPr="00921225">
        <w:rPr>
          <w:rFonts w:ascii="Arial" w:eastAsia="Calibri" w:hAnsi="Arial" w:cs="Arial"/>
          <w:sz w:val="21"/>
          <w:szCs w:val="21"/>
          <w:lang w:val="es-MX"/>
        </w:rPr>
        <w:t>La contratación directa es un mecanismo de selección de carácter excepcional, en virtud del cual las entidades públicas pueden contratar mediante un trámite simplificado, ágil y expedito sin necesidad de realizar previamente un proceso de licitación pública o concurso, únicamente en los casos en que expresa y taxativamente señale la ley (numeral 4, artículo 2, ley 1150 de 2007), y cumpliendo siempre los principios que rigen la contratación pública</w:t>
      </w:r>
      <w:r w:rsidRPr="00921225">
        <w:rPr>
          <w:rFonts w:ascii="Arial" w:eastAsia="Times New Roman" w:hAnsi="Arial" w:cs="Arial"/>
          <w:vertAlign w:val="superscript"/>
          <w:lang w:eastAsia="es-CO"/>
        </w:rPr>
        <w:footnoteReference w:id="12"/>
      </w:r>
      <w:r w:rsidRPr="00921225">
        <w:rPr>
          <w:rFonts w:ascii="Arial" w:eastAsia="Calibri" w:hAnsi="Arial" w:cs="Arial"/>
          <w:sz w:val="21"/>
          <w:szCs w:val="21"/>
          <w:lang w:val="es-MX"/>
        </w:rPr>
        <w:t>.</w:t>
      </w:r>
    </w:p>
    <w:p w14:paraId="78584404" w14:textId="77777777" w:rsidR="00420C9F" w:rsidRPr="00921225" w:rsidRDefault="00420C9F" w:rsidP="00420C9F">
      <w:pPr>
        <w:spacing w:after="0" w:line="240" w:lineRule="auto"/>
        <w:ind w:left="709" w:right="709"/>
        <w:contextualSpacing/>
        <w:jc w:val="both"/>
        <w:rPr>
          <w:rFonts w:ascii="Arial" w:eastAsia="Calibri" w:hAnsi="Arial" w:cs="Arial"/>
          <w:sz w:val="21"/>
          <w:szCs w:val="21"/>
          <w:lang w:val="es-MX"/>
        </w:rPr>
      </w:pPr>
    </w:p>
    <w:p w14:paraId="6D363347" w14:textId="77777777" w:rsidR="00420C9F" w:rsidRPr="00921225" w:rsidRDefault="00420C9F" w:rsidP="00420C9F">
      <w:pPr>
        <w:spacing w:after="0" w:line="240" w:lineRule="auto"/>
        <w:ind w:left="708" w:right="709"/>
        <w:contextualSpacing/>
        <w:jc w:val="both"/>
        <w:rPr>
          <w:rFonts w:ascii="Arial" w:eastAsia="Calibri" w:hAnsi="Arial" w:cs="Arial"/>
          <w:sz w:val="21"/>
          <w:szCs w:val="21"/>
          <w:lang w:val="es-MX"/>
        </w:rPr>
      </w:pPr>
      <w:r w:rsidRPr="00921225">
        <w:rPr>
          <w:rFonts w:ascii="Arial" w:eastAsia="Calibri" w:hAnsi="Arial" w:cs="Arial"/>
          <w:sz w:val="21"/>
          <w:szCs w:val="21"/>
          <w:lang w:val="es-MX"/>
        </w:rPr>
        <w:t xml:space="preserve">Esta Sala ha entendido </w:t>
      </w:r>
      <w:proofErr w:type="gramStart"/>
      <w:r w:rsidRPr="00921225">
        <w:rPr>
          <w:rFonts w:ascii="Arial" w:eastAsia="Calibri" w:hAnsi="Arial" w:cs="Arial"/>
          <w:sz w:val="21"/>
          <w:szCs w:val="21"/>
          <w:lang w:val="es-MX"/>
        </w:rPr>
        <w:t>que</w:t>
      </w:r>
      <w:proofErr w:type="gramEnd"/>
      <w:r w:rsidRPr="00921225">
        <w:rPr>
          <w:rFonts w:ascii="Arial" w:eastAsia="Calibri" w:hAnsi="Arial" w:cs="Arial"/>
          <w:sz w:val="21"/>
          <w:szCs w:val="21"/>
          <w:lang w:val="es-MX"/>
        </w:rPr>
        <w:t xml:space="preserve"> para los efectos de la ley de garantías, y dada su finalidad, el enunciado ´contratación directa´ es sinónimo </w:t>
      </w:r>
      <w:bookmarkStart w:id="17" w:name="_Hlk75741738"/>
      <w:r w:rsidRPr="00921225">
        <w:rPr>
          <w:rFonts w:ascii="Arial" w:eastAsia="Calibri" w:hAnsi="Arial" w:cs="Arial"/>
          <w:sz w:val="21"/>
          <w:szCs w:val="21"/>
          <w:lang w:val="es-MX"/>
        </w:rPr>
        <w:t xml:space="preserve">de cualquier sistema que no implique convocatoria pública y posibilidad de pluralidad de oferentes, </w:t>
      </w:r>
      <w:bookmarkEnd w:id="17"/>
      <w:r w:rsidRPr="00921225">
        <w:rPr>
          <w:rFonts w:ascii="Arial" w:eastAsia="Calibri" w:hAnsi="Arial" w:cs="Arial"/>
          <w:sz w:val="21"/>
          <w:szCs w:val="21"/>
          <w:lang w:val="es-MX"/>
        </w:rPr>
        <w:t>y que, además, no necesariamente hace referencia al procedimiento especial regulado por la ley de contratación estatal, sino a cualquier otro que prescinda de un proceso de licitación pública o concurso</w:t>
      </w:r>
      <w:r w:rsidRPr="00921225">
        <w:rPr>
          <w:rFonts w:ascii="Arial" w:eastAsia="Times New Roman" w:hAnsi="Arial" w:cs="Arial"/>
          <w:sz w:val="21"/>
          <w:szCs w:val="21"/>
          <w:vertAlign w:val="superscript"/>
          <w:lang w:val="es-MX"/>
        </w:rPr>
        <w:footnoteReference w:id="13"/>
      </w:r>
      <w:r w:rsidRPr="00921225">
        <w:rPr>
          <w:rFonts w:ascii="Arial" w:eastAsia="Times New Roman" w:hAnsi="Arial" w:cs="Arial"/>
          <w:sz w:val="21"/>
          <w:szCs w:val="21"/>
          <w:vertAlign w:val="superscript"/>
          <w:lang w:val="es-MX"/>
        </w:rPr>
        <w:t>.</w:t>
      </w:r>
      <w:r w:rsidRPr="00921225">
        <w:rPr>
          <w:rFonts w:ascii="Arial" w:eastAsia="Calibri" w:hAnsi="Arial" w:cs="Arial"/>
          <w:sz w:val="21"/>
          <w:szCs w:val="21"/>
          <w:lang w:val="es-MX"/>
        </w:rPr>
        <w:t xml:space="preserve"> Por tanto, no son materia de la prohibición las demás modalidades de selección previstas en la ley 1150 de 2007, siendo estas, la licitación pública, el concurso de méritos y la selección abreviada, razón por la cual en ese periodo preelectoral de que trata la disposición pueden las entidades públicas seguir contratando bajo estos sistemas. [...]</w:t>
      </w:r>
      <w:r w:rsidRPr="00921225">
        <w:rPr>
          <w:rFonts w:ascii="Arial" w:eastAsia="Times New Roman" w:hAnsi="Arial" w:cs="Arial"/>
          <w:vertAlign w:val="superscript"/>
          <w:lang w:eastAsia="es-CO"/>
        </w:rPr>
        <w:footnoteReference w:id="14"/>
      </w:r>
      <w:r w:rsidRPr="00921225">
        <w:rPr>
          <w:rFonts w:ascii="Arial" w:eastAsia="Calibri" w:hAnsi="Arial" w:cs="Arial"/>
          <w:sz w:val="21"/>
          <w:szCs w:val="21"/>
          <w:lang w:val="es-MX"/>
        </w:rPr>
        <w:t xml:space="preserve"> .</w:t>
      </w:r>
    </w:p>
    <w:p w14:paraId="535A254D" w14:textId="77777777" w:rsidR="00420C9F" w:rsidRPr="00921225" w:rsidRDefault="00420C9F" w:rsidP="00420C9F">
      <w:pPr>
        <w:shd w:val="clear" w:color="auto" w:fill="FFFFFF"/>
        <w:spacing w:after="0" w:line="276" w:lineRule="auto"/>
        <w:ind w:firstLine="709"/>
        <w:jc w:val="both"/>
        <w:rPr>
          <w:rFonts w:ascii="Arial" w:eastAsia="Times New Roman" w:hAnsi="Arial" w:cs="Arial"/>
          <w:color w:val="FF0000"/>
          <w:lang w:eastAsia="x-none"/>
        </w:rPr>
      </w:pPr>
    </w:p>
    <w:p w14:paraId="4455D436" w14:textId="77777777" w:rsidR="00420C9F" w:rsidRPr="00921225" w:rsidRDefault="00420C9F" w:rsidP="00420C9F">
      <w:pPr>
        <w:spacing w:after="120" w:line="276" w:lineRule="auto"/>
        <w:ind w:firstLine="709"/>
        <w:jc w:val="both"/>
        <w:rPr>
          <w:rFonts w:ascii="Arial" w:eastAsia="Times New Roman" w:hAnsi="Arial" w:cs="Arial"/>
          <w:bCs/>
          <w:lang w:eastAsia="x-none"/>
        </w:rPr>
      </w:pPr>
      <w:bookmarkStart w:id="19" w:name="_Hlk94521748"/>
      <w:r w:rsidRPr="00921225">
        <w:rPr>
          <w:rFonts w:ascii="Arial" w:eastAsia="Times New Roman" w:hAnsi="Arial" w:cs="Arial"/>
          <w:lang w:eastAsia="x-none"/>
        </w:rPr>
        <w:t xml:space="preserve">De conformidad con el citado concepto, </w:t>
      </w:r>
      <w:bookmarkStart w:id="20" w:name="_Hlk78818702"/>
      <w:r w:rsidRPr="00921225">
        <w:rPr>
          <w:rFonts w:ascii="Arial" w:eastAsia="Times New Roman" w:hAnsi="Arial" w:cs="Arial"/>
          <w:lang w:eastAsia="x-none"/>
        </w:rPr>
        <w:t xml:space="preserve">la prohibición del artículo 33 de la Ley de Garantías Electorales se refiere a </w:t>
      </w:r>
      <w:bookmarkStart w:id="21" w:name="_Hlk74294635"/>
      <w:r w:rsidRPr="00921225">
        <w:rPr>
          <w:rFonts w:ascii="Arial" w:eastAsia="Times New Roman" w:hAnsi="Arial" w:cs="Arial"/>
          <w:sz w:val="19"/>
          <w:szCs w:val="19"/>
          <w:lang w:eastAsia="en-GB"/>
        </w:rPr>
        <w:t>«</w:t>
      </w:r>
      <w:bookmarkEnd w:id="21"/>
      <w:r w:rsidRPr="00921225">
        <w:rPr>
          <w:rFonts w:ascii="Arial" w:eastAsia="Times New Roman" w:hAnsi="Arial" w:cs="Arial"/>
          <w:lang w:eastAsia="x-none"/>
        </w:rPr>
        <w:t>cualquier sistema que no implique convocatoria pública y posibilidad de pluralidad de oferentes</w:t>
      </w:r>
      <w:bookmarkStart w:id="22" w:name="_Hlk74404754"/>
      <w:r w:rsidRPr="00921225">
        <w:rPr>
          <w:rFonts w:ascii="Arial" w:eastAsia="Times New Roman" w:hAnsi="Arial" w:cs="Arial"/>
          <w:lang w:eastAsia="en-GB"/>
        </w:rPr>
        <w:t>»</w:t>
      </w:r>
      <w:bookmarkEnd w:id="22"/>
      <w:r w:rsidRPr="00921225">
        <w:rPr>
          <w:rFonts w:ascii="Arial" w:eastAsia="Times New Roman" w:hAnsi="Arial" w:cs="Arial"/>
          <w:lang w:eastAsia="x-none"/>
        </w:rPr>
        <w:t xml:space="preserve">, por lo que excluye las demás modalidades de contratación previstas en la Ley 1150 de 2007, es decir, la licitación pública, la selección abreviada y el concurso de méritos u otros previstos en normas especiales. </w:t>
      </w:r>
      <w:bookmarkEnd w:id="19"/>
      <w:bookmarkEnd w:id="20"/>
      <w:r w:rsidRPr="00921225">
        <w:rPr>
          <w:rFonts w:ascii="Arial" w:eastAsia="Times New Roman" w:hAnsi="Arial" w:cs="Arial"/>
          <w:lang w:eastAsia="x-none"/>
        </w:rPr>
        <w:t>Esta posición es congruente con la expedición de la Ley 1150 de 2007 que, entre otras reformas, introdujo la selección abreviada, rediseñó el concurso de méritos</w:t>
      </w:r>
      <w:r w:rsidRPr="00921225">
        <w:rPr>
          <w:rFonts w:ascii="Arial" w:eastAsia="Times New Roman" w:hAnsi="Arial" w:cs="Arial"/>
          <w:vertAlign w:val="superscript"/>
          <w:lang w:val="en-GB" w:eastAsia="x-none"/>
        </w:rPr>
        <w:footnoteReference w:id="15"/>
      </w:r>
      <w:r w:rsidRPr="00921225">
        <w:rPr>
          <w:rFonts w:ascii="Arial" w:eastAsia="Times New Roman" w:hAnsi="Arial" w:cs="Arial"/>
          <w:lang w:eastAsia="x-none"/>
        </w:rPr>
        <w:t xml:space="preserve"> y sistematizó las causales de contratación directa</w:t>
      </w:r>
      <w:r w:rsidRPr="00921225">
        <w:rPr>
          <w:rFonts w:ascii="Arial" w:eastAsia="Times New Roman" w:hAnsi="Arial" w:cs="Arial"/>
          <w:vertAlign w:val="superscript"/>
          <w:lang w:val="en-GB" w:eastAsia="x-none"/>
        </w:rPr>
        <w:footnoteReference w:id="16"/>
      </w:r>
      <w:r w:rsidRPr="00921225">
        <w:rPr>
          <w:rFonts w:ascii="Arial" w:eastAsia="Times New Roman" w:hAnsi="Arial" w:cs="Arial"/>
          <w:lang w:eastAsia="x-none"/>
        </w:rPr>
        <w:t xml:space="preserve">. </w:t>
      </w:r>
    </w:p>
    <w:p w14:paraId="2BBB0245" w14:textId="77777777" w:rsidR="00420C9F" w:rsidRPr="00921225" w:rsidRDefault="00420C9F" w:rsidP="00420C9F">
      <w:pPr>
        <w:spacing w:after="120" w:line="276" w:lineRule="auto"/>
        <w:ind w:firstLine="709"/>
        <w:jc w:val="both"/>
        <w:rPr>
          <w:rFonts w:ascii="Arial" w:eastAsia="Times New Roman" w:hAnsi="Arial" w:cs="Arial"/>
          <w:lang w:val="es-MX" w:eastAsia="x-none"/>
        </w:rPr>
      </w:pPr>
      <w:r w:rsidRPr="00921225">
        <w:rPr>
          <w:rFonts w:ascii="Arial" w:eastAsia="Times New Roman" w:hAnsi="Arial" w:cs="Arial"/>
          <w:lang w:eastAsia="x-none"/>
        </w:rPr>
        <w:t xml:space="preserve">De esta forma, se ha depurado la noción de </w:t>
      </w:r>
      <w:r w:rsidRPr="00921225">
        <w:rPr>
          <w:rFonts w:ascii="Arial" w:eastAsia="Times New Roman" w:hAnsi="Arial" w:cs="Arial"/>
          <w:sz w:val="19"/>
          <w:szCs w:val="19"/>
          <w:lang w:eastAsia="en-GB"/>
        </w:rPr>
        <w:t>«</w:t>
      </w:r>
      <w:r w:rsidRPr="00921225">
        <w:rPr>
          <w:rFonts w:ascii="Arial" w:eastAsia="Times New Roman" w:hAnsi="Arial" w:cs="Arial"/>
          <w:lang w:eastAsia="x-none"/>
        </w:rPr>
        <w:t>contratación directa</w:t>
      </w:r>
      <w:r w:rsidRPr="00921225">
        <w:rPr>
          <w:rFonts w:ascii="Arial" w:eastAsia="Times New Roman" w:hAnsi="Arial" w:cs="Arial"/>
          <w:lang w:eastAsia="en-GB"/>
        </w:rPr>
        <w:t>»</w:t>
      </w:r>
      <w:r w:rsidRPr="00921225">
        <w:rPr>
          <w:rFonts w:ascii="Arial" w:eastAsia="Times New Roman" w:hAnsi="Arial" w:cs="Arial"/>
          <w:lang w:eastAsia="x-none"/>
        </w:rPr>
        <w:t>, precisando el Consejo de Estado –en el concepto citado– que, «aun cuando no coincide única y exactamente con la regulación que de dicho sistema de selección hace el artículo 2º de la Ley 1150 de 2007, tampoco puede afirmarse que sea cualquier procedimiento de contratación distinto de la licitación pública, pues esto sería tanto como desconocer que el legislador, no solo en el Estatuto General de la Contratación de la Administración Pública, sino también en leyes especiales e, incluso, en el derecho privado</w:t>
      </w:r>
      <w:r w:rsidRPr="00921225">
        <w:rPr>
          <w:rFonts w:ascii="Arial" w:eastAsia="Times New Roman" w:hAnsi="Arial" w:cs="Arial"/>
          <w:vertAlign w:val="superscript"/>
          <w:lang w:val="en-GB" w:eastAsia="x-none"/>
        </w:rPr>
        <w:footnoteReference w:id="17"/>
      </w:r>
      <w:r w:rsidRPr="00921225">
        <w:rPr>
          <w:rFonts w:ascii="Arial" w:eastAsia="Times New Roman" w:hAnsi="Arial" w:cs="Arial"/>
          <w:lang w:eastAsia="x-none"/>
        </w:rPr>
        <w:t>, han establecido sistemas de contratación que implican convocatoria pública y participación de varios oferentes</w:t>
      </w:r>
      <w:r w:rsidRPr="00921225">
        <w:rPr>
          <w:rFonts w:ascii="Arial" w:eastAsia="Times New Roman" w:hAnsi="Arial" w:cs="Arial"/>
          <w:lang w:eastAsia="en-GB"/>
        </w:rPr>
        <w:t>»</w:t>
      </w:r>
      <w:r w:rsidRPr="00921225">
        <w:rPr>
          <w:rFonts w:ascii="Arial" w:eastAsia="Times New Roman" w:hAnsi="Arial" w:cs="Arial"/>
          <w:lang w:eastAsia="x-none"/>
        </w:rPr>
        <w:t xml:space="preserve">. </w:t>
      </w:r>
    </w:p>
    <w:p w14:paraId="4052E510" w14:textId="77777777" w:rsidR="00420C9F" w:rsidRPr="00921225" w:rsidRDefault="00420C9F" w:rsidP="00420C9F">
      <w:pPr>
        <w:spacing w:after="120" w:line="276" w:lineRule="auto"/>
        <w:ind w:firstLine="709"/>
        <w:jc w:val="both"/>
        <w:rPr>
          <w:rFonts w:ascii="Arial" w:eastAsia="Times New Roman" w:hAnsi="Arial" w:cs="Arial"/>
          <w:bCs/>
          <w:lang w:val="es-MX" w:eastAsia="es-CO"/>
        </w:rPr>
      </w:pPr>
      <w:r w:rsidRPr="00921225">
        <w:rPr>
          <w:rFonts w:ascii="Arial" w:eastAsia="Times New Roman" w:hAnsi="Arial" w:cs="Arial"/>
          <w:bCs/>
          <w:lang w:val="es-MX" w:eastAsia="x-none"/>
        </w:rPr>
        <w:t>E</w:t>
      </w:r>
      <w:r w:rsidRPr="00921225">
        <w:rPr>
          <w:rFonts w:ascii="Arial" w:eastAsia="Times New Roman" w:hAnsi="Arial" w:cs="Arial"/>
          <w:lang w:eastAsia="x-none"/>
        </w:rPr>
        <w:t xml:space="preserve">n efecto, vale la pena mencionar que, </w:t>
      </w:r>
      <w:bookmarkStart w:id="24" w:name="_Hlk75636073"/>
      <w:r w:rsidRPr="00921225">
        <w:rPr>
          <w:rFonts w:ascii="Arial" w:eastAsia="Times New Roman" w:hAnsi="Arial" w:cs="Arial"/>
          <w:lang w:eastAsia="x-none"/>
        </w:rPr>
        <w:t>en algunos sistemas de contratación, utilizados por entidades públicas con regímenes especiales, o sujetas al derecho privado, la convocatoria o invitación para contratar puede limitarse a aquellas personas que previamente se hayan inscrito en una lista de precalificados o de simples interesados, o en un determinado registro o banco de datos de proveedores. En estos casos, lo determinante para considerar que dicho sistema no constituye «contratación directa», es que la convocatoria para inscribirse en forma previa se haga de manera pública, y que se permita la participación de una pluralidad de oferentes</w:t>
      </w:r>
      <w:bookmarkEnd w:id="24"/>
      <w:r w:rsidRPr="00921225">
        <w:rPr>
          <w:rFonts w:ascii="Arial" w:eastAsia="Times New Roman" w:hAnsi="Arial" w:cs="Arial"/>
          <w:vertAlign w:val="superscript"/>
          <w:lang w:eastAsia="x-none"/>
        </w:rPr>
        <w:footnoteReference w:id="18"/>
      </w:r>
      <w:r w:rsidRPr="00921225">
        <w:rPr>
          <w:rFonts w:ascii="Arial" w:eastAsia="Times New Roman" w:hAnsi="Arial" w:cs="Arial"/>
          <w:lang w:eastAsia="x-none"/>
        </w:rPr>
        <w:t xml:space="preserve">. </w:t>
      </w:r>
    </w:p>
    <w:p w14:paraId="472A620A" w14:textId="77777777" w:rsidR="00420C9F" w:rsidRPr="00921225" w:rsidRDefault="00420C9F" w:rsidP="00420C9F">
      <w:pPr>
        <w:spacing w:after="120" w:line="276" w:lineRule="auto"/>
        <w:ind w:firstLine="709"/>
        <w:jc w:val="both"/>
        <w:rPr>
          <w:rFonts w:ascii="Arial" w:eastAsia="Times New Roman" w:hAnsi="Arial" w:cs="Arial"/>
          <w:bCs/>
          <w:lang w:val="es-MX" w:eastAsia="es-CO"/>
        </w:rPr>
      </w:pPr>
      <w:r w:rsidRPr="00921225">
        <w:rPr>
          <w:rFonts w:ascii="Arial" w:eastAsia="Times New Roman" w:hAnsi="Arial" w:cs="Arial"/>
          <w:bCs/>
          <w:lang w:val="es-MX" w:eastAsia="es-CO"/>
        </w:rPr>
        <w:t xml:space="preserve">Como se advierte de lo anterior, el Consejo de Estado realiza una interpretación amplia de la contratación directa, para efectos de aplicar las </w:t>
      </w:r>
      <w:r w:rsidRPr="00921225">
        <w:rPr>
          <w:rFonts w:ascii="Arial" w:eastAsia="Times New Roman" w:hAnsi="Arial" w:cs="Arial"/>
          <w:bCs/>
          <w:lang w:val="es-MX" w:eastAsia="es-CO"/>
        </w:rPr>
        <w:lastRenderedPageBreak/>
        <w:t>restricciones establecidas en la Ley de Garantías, al señalar que no solo aplica frente a las entidades sometidas al Estatuto General de Contratación de la Administración Pública, sino también frente a las entidades que tengan un régimen especial de contratación. No obstante, también se observa que luego de la expedición de Ley 1150 de 2007, el Consejo de Estado comenzó a delimitar con mayor precisión el término de «contratación directa».</w:t>
      </w:r>
    </w:p>
    <w:p w14:paraId="4000018F" w14:textId="77777777" w:rsidR="00420C9F" w:rsidRPr="00921225" w:rsidRDefault="00420C9F" w:rsidP="00420C9F">
      <w:pPr>
        <w:spacing w:after="120" w:line="276" w:lineRule="auto"/>
        <w:ind w:firstLine="709"/>
        <w:jc w:val="both"/>
        <w:rPr>
          <w:rFonts w:ascii="Arial" w:eastAsia="Times New Roman" w:hAnsi="Arial" w:cs="Arial"/>
          <w:bCs/>
          <w:lang w:val="es-MX" w:eastAsia="x-none"/>
        </w:rPr>
      </w:pPr>
      <w:bookmarkStart w:id="25" w:name="_Hlk78818796"/>
      <w:r w:rsidRPr="00921225">
        <w:rPr>
          <w:rFonts w:ascii="Arial" w:eastAsia="Times New Roman" w:hAnsi="Arial" w:cs="Arial"/>
          <w:bCs/>
          <w:lang w:val="es-MX" w:eastAsia="x-none"/>
        </w:rPr>
        <w:t xml:space="preserve"> Así las cosas, ha de entenderse que, </w:t>
      </w:r>
      <w:bookmarkStart w:id="26" w:name="_Hlk98859806"/>
      <w:r w:rsidRPr="00921225">
        <w:rPr>
          <w:rFonts w:ascii="Arial" w:eastAsia="Times New Roman" w:hAnsi="Arial" w:cs="Arial"/>
          <w:bCs/>
          <w:lang w:val="es-MX" w:eastAsia="x-none"/>
        </w:rPr>
        <w:t>para los efectos de la Ley de Garantías Electorales y, en particular, para la prohibición o restricción temporal contenida en su artículo 33, «contratación directa» es cualquier sistema de selección o procedimiento de contratación utilizado por las entidades estatales que no incluya la convocatoria pública en alguna de sus etapas, ni permita la participación de una pluralidad de oferentes</w:t>
      </w:r>
      <w:r w:rsidRPr="00921225">
        <w:rPr>
          <w:rFonts w:ascii="Arial" w:eastAsia="Times New Roman" w:hAnsi="Arial" w:cs="Arial"/>
          <w:vertAlign w:val="superscript"/>
          <w:lang w:eastAsia="x-none"/>
        </w:rPr>
        <w:footnoteReference w:id="19"/>
      </w:r>
      <w:r w:rsidRPr="00921225">
        <w:rPr>
          <w:rFonts w:ascii="Arial" w:eastAsia="Times New Roman" w:hAnsi="Arial" w:cs="Arial"/>
          <w:bCs/>
          <w:lang w:val="es-MX" w:eastAsia="x-none"/>
        </w:rPr>
        <w:t>.</w:t>
      </w:r>
      <w:r w:rsidRPr="00921225">
        <w:rPr>
          <w:rFonts w:ascii="Arial" w:eastAsia="Times New Roman" w:hAnsi="Arial" w:cs="Arial"/>
          <w:vertAlign w:val="superscript"/>
          <w:lang w:eastAsia="x-none"/>
        </w:rPr>
        <w:t xml:space="preserve"> </w:t>
      </w:r>
    </w:p>
    <w:bookmarkEnd w:id="25"/>
    <w:p w14:paraId="5B48A250" w14:textId="77777777" w:rsidR="00420C9F" w:rsidRPr="00921225" w:rsidRDefault="00420C9F" w:rsidP="00420C9F">
      <w:pPr>
        <w:spacing w:after="120" w:line="276" w:lineRule="auto"/>
        <w:ind w:firstLine="709"/>
        <w:jc w:val="both"/>
        <w:rPr>
          <w:rFonts w:ascii="Arial" w:eastAsia="Times New Roman" w:hAnsi="Arial" w:cs="Arial"/>
          <w:lang w:eastAsia="x-none"/>
        </w:rPr>
      </w:pPr>
      <w:r w:rsidRPr="00921225">
        <w:rPr>
          <w:rFonts w:ascii="Arial" w:eastAsia="Times New Roman" w:hAnsi="Arial" w:cs="Arial"/>
          <w:bCs/>
          <w:lang w:val="es-MX" w:eastAsia="x-none"/>
        </w:rPr>
        <w:t>De lo anterior se desprende que la restricción aplica, sin perjuicio de las excepciones establecidas en la misma ley, para celebrar cualquier contrato de forma directa, esto es, sin que exista un proceso abierto y competitivo.</w:t>
      </w:r>
      <w:r w:rsidRPr="00921225">
        <w:rPr>
          <w:rFonts w:ascii="Arial" w:eastAsia="Times New Roman" w:hAnsi="Arial" w:cs="Arial"/>
          <w:lang w:eastAsia="x-none"/>
        </w:rPr>
        <w:t xml:space="preserve"> Por tanto, no son materia de la prohibición las demás modalidades de selección previstas en la Ley 1150 de 2007, es decir, la licitación pública, el concurso de méritos y la selección abreviada, razón por la cual en ese período preelectoral de que trata la disposición pueden las entidades públicas seguir contratando bajo estos sistemas.</w:t>
      </w:r>
    </w:p>
    <w:p w14:paraId="0C87CF53" w14:textId="72F60637" w:rsidR="00420C9F" w:rsidRDefault="00420C9F" w:rsidP="00E20AA3">
      <w:pPr>
        <w:spacing w:after="0" w:line="276" w:lineRule="auto"/>
        <w:ind w:firstLine="709"/>
        <w:contextualSpacing/>
        <w:jc w:val="both"/>
        <w:rPr>
          <w:rFonts w:ascii="Arial" w:eastAsia="Times New Roman" w:hAnsi="Arial" w:cs="Arial"/>
          <w:bCs/>
          <w:lang w:val="es-MX" w:eastAsia="es-CO"/>
        </w:rPr>
      </w:pPr>
      <w:bookmarkStart w:id="27" w:name="_Hlk77237094"/>
      <w:bookmarkEnd w:id="26"/>
      <w:r w:rsidRPr="00921225">
        <w:rPr>
          <w:rFonts w:ascii="Arial" w:eastAsia="Times New Roman" w:hAnsi="Arial" w:cs="Arial"/>
          <w:bCs/>
          <w:lang w:val="es-MX" w:eastAsia="es-CO"/>
        </w:rPr>
        <w:t xml:space="preserve">Como en otras oportunidades lo ha manifestado esta Agencia, las prórrogas, modificaciones o adiciones de los contratos suscritos antes de la </w:t>
      </w:r>
      <w:proofErr w:type="gramStart"/>
      <w:r w:rsidRPr="00921225">
        <w:rPr>
          <w:rFonts w:ascii="Arial" w:eastAsia="Times New Roman" w:hAnsi="Arial" w:cs="Arial"/>
          <w:bCs/>
          <w:lang w:val="es-MX" w:eastAsia="es-CO"/>
        </w:rPr>
        <w:t>entrada en vigencia</w:t>
      </w:r>
      <w:proofErr w:type="gramEnd"/>
      <w:r w:rsidRPr="00921225">
        <w:rPr>
          <w:rFonts w:ascii="Arial" w:eastAsia="Times New Roman" w:hAnsi="Arial" w:cs="Arial"/>
          <w:bCs/>
          <w:lang w:val="es-MX" w:eastAsia="es-CO"/>
        </w:rPr>
        <w:t xml:space="preserve"> de las prohibiciones anotadas, así como la cesión de los mismos, pueden tener lugar en el período de aplicación de la Ley de Garantías, sin que ello haga nugatoria la restricción de la contratación directa y siempre que cumplan los principios de planeación, transparencia y responsabilidad.</w:t>
      </w:r>
      <w:bookmarkEnd w:id="27"/>
    </w:p>
    <w:p w14:paraId="63594F69" w14:textId="77777777" w:rsidR="00E20AA3" w:rsidRPr="00921225" w:rsidRDefault="00E20AA3" w:rsidP="00E20AA3">
      <w:pPr>
        <w:spacing w:after="0" w:line="276" w:lineRule="auto"/>
        <w:ind w:firstLine="709"/>
        <w:contextualSpacing/>
        <w:jc w:val="both"/>
        <w:rPr>
          <w:rFonts w:ascii="Arial" w:eastAsia="Times New Roman" w:hAnsi="Arial" w:cs="Arial"/>
          <w:bCs/>
          <w:lang w:val="es-MX" w:eastAsia="x-none"/>
        </w:rPr>
      </w:pPr>
    </w:p>
    <w:p w14:paraId="7BA44B9B" w14:textId="77777777" w:rsidR="00EB4EC1" w:rsidRDefault="00E20AA3" w:rsidP="00EB4EC1">
      <w:pPr>
        <w:spacing w:after="0" w:line="276" w:lineRule="auto"/>
        <w:contextualSpacing/>
        <w:jc w:val="both"/>
        <w:rPr>
          <w:rFonts w:ascii="Arial" w:eastAsia="Times New Roman" w:hAnsi="Arial" w:cs="Arial"/>
          <w:b/>
          <w:lang w:val="es-ES" w:eastAsia="es-CO"/>
        </w:rPr>
      </w:pPr>
      <w:r w:rsidRPr="00921225">
        <w:rPr>
          <w:rFonts w:ascii="Arial" w:eastAsia="Times New Roman" w:hAnsi="Arial" w:cs="Arial"/>
          <w:b/>
          <w:lang w:val="es-ES" w:eastAsia="es-CO"/>
        </w:rPr>
        <w:t>2.</w:t>
      </w:r>
      <w:r w:rsidR="005B307B">
        <w:rPr>
          <w:rFonts w:ascii="Arial" w:eastAsia="Times New Roman" w:hAnsi="Arial" w:cs="Arial"/>
          <w:b/>
          <w:lang w:val="es-ES" w:eastAsia="es-CO"/>
        </w:rPr>
        <w:t>3</w:t>
      </w:r>
      <w:r w:rsidRPr="00921225">
        <w:rPr>
          <w:rFonts w:ascii="Arial" w:eastAsia="Times New Roman" w:hAnsi="Arial" w:cs="Arial"/>
          <w:b/>
          <w:lang w:val="es-ES" w:eastAsia="es-CO"/>
        </w:rPr>
        <w:t xml:space="preserve">. </w:t>
      </w:r>
      <w:r>
        <w:rPr>
          <w:rFonts w:ascii="Arial" w:hAnsi="Arial" w:cs="Arial"/>
          <w:b/>
          <w:bCs/>
          <w:lang w:val="es-MX" w:eastAsia="es-CO"/>
        </w:rPr>
        <w:t>Excepciones a la</w:t>
      </w:r>
      <w:r w:rsidRPr="00C512B3">
        <w:rPr>
          <w:rFonts w:ascii="Arial" w:hAnsi="Arial" w:cs="Arial"/>
          <w:b/>
          <w:bCs/>
          <w:lang w:val="es-MX" w:eastAsia="es-CO"/>
        </w:rPr>
        <w:t xml:space="preserve"> </w:t>
      </w:r>
      <w:r>
        <w:rPr>
          <w:rFonts w:ascii="Arial" w:hAnsi="Arial" w:cs="Arial"/>
          <w:b/>
          <w:bCs/>
          <w:lang w:val="es-ES_tradnl" w:eastAsia="es-CO"/>
        </w:rPr>
        <w:t>p</w:t>
      </w:r>
      <w:r w:rsidRPr="00C512B3">
        <w:rPr>
          <w:rFonts w:ascii="Arial" w:hAnsi="Arial" w:cs="Arial"/>
          <w:b/>
          <w:bCs/>
          <w:lang w:val="es-ES_tradnl" w:eastAsia="es-CO"/>
        </w:rPr>
        <w:t>rohibición del artículo 33 de la Ley 996 de 2005</w:t>
      </w:r>
    </w:p>
    <w:p w14:paraId="2A43BF5C" w14:textId="77777777" w:rsidR="00EB4EC1" w:rsidRDefault="00EB4EC1" w:rsidP="00EB4EC1">
      <w:pPr>
        <w:spacing w:after="0" w:line="276" w:lineRule="auto"/>
        <w:contextualSpacing/>
        <w:jc w:val="both"/>
        <w:rPr>
          <w:rFonts w:ascii="Arial" w:eastAsia="Times New Roman" w:hAnsi="Arial" w:cs="Arial"/>
          <w:b/>
          <w:lang w:val="es-ES" w:eastAsia="es-CO"/>
        </w:rPr>
      </w:pPr>
    </w:p>
    <w:p w14:paraId="51296B15" w14:textId="68F56C2C" w:rsidR="00420C9F" w:rsidRPr="00EB4EC1" w:rsidRDefault="00420C9F" w:rsidP="00EB4EC1">
      <w:pPr>
        <w:spacing w:after="0" w:line="276" w:lineRule="auto"/>
        <w:contextualSpacing/>
        <w:jc w:val="both"/>
        <w:rPr>
          <w:rFonts w:ascii="Arial" w:eastAsia="Times New Roman" w:hAnsi="Arial" w:cs="Arial"/>
          <w:b/>
          <w:lang w:val="es-ES" w:eastAsia="es-CO"/>
        </w:rPr>
      </w:pPr>
      <w:bookmarkStart w:id="28" w:name="_Hlk98859950"/>
      <w:r w:rsidRPr="00921225">
        <w:rPr>
          <w:rFonts w:ascii="Arial" w:eastAsia="Times New Roman" w:hAnsi="Arial" w:cs="Arial"/>
          <w:bCs/>
          <w:lang w:val="es-MX" w:eastAsia="x-none"/>
        </w:rPr>
        <w:t>De otro lado, las excepciones a la restricción prevista en la Ley de Garantías, con fundamento en las cuales podrán las entidades públicas adelantar procedimientos de selección directa en períodos previos a la contienda electoral por la Presidencia, se encuentran consagradas de manera taxativa en el inciso final del citado artículo 33 de la Ley 996 de 2005 en lo referente a</w:t>
      </w:r>
      <w:r>
        <w:rPr>
          <w:rFonts w:ascii="Arial" w:eastAsia="Times New Roman" w:hAnsi="Arial" w:cs="Arial"/>
          <w:bCs/>
          <w:lang w:val="es-MX" w:eastAsia="x-none"/>
        </w:rPr>
        <w:t>:</w:t>
      </w:r>
      <w:r w:rsidRPr="00921225">
        <w:rPr>
          <w:rFonts w:ascii="Arial" w:eastAsia="Times New Roman" w:hAnsi="Arial" w:cs="Arial"/>
          <w:bCs/>
          <w:lang w:val="es-MX" w:eastAsia="x-none"/>
        </w:rPr>
        <w:t xml:space="preserve"> i) </w:t>
      </w:r>
      <w:r w:rsidRPr="00EB4EC1">
        <w:rPr>
          <w:rFonts w:ascii="Arial" w:eastAsia="Times New Roman" w:hAnsi="Arial" w:cs="Arial"/>
          <w:bCs/>
          <w:i/>
          <w:iCs/>
          <w:lang w:val="es-MX" w:eastAsia="x-none"/>
        </w:rPr>
        <w:t>la defensa y seguridad del Estado</w:t>
      </w:r>
      <w:r w:rsidRPr="00921225">
        <w:rPr>
          <w:rFonts w:ascii="Arial" w:eastAsia="Times New Roman" w:hAnsi="Arial" w:cs="Arial"/>
          <w:bCs/>
          <w:lang w:val="es-MX" w:eastAsia="x-none"/>
        </w:rPr>
        <w:t xml:space="preserve">; ii) los contratos de crédito público; iii) los requeridos para cubrir las emergencias </w:t>
      </w:r>
      <w:r w:rsidRPr="00921225">
        <w:rPr>
          <w:rFonts w:ascii="Arial" w:eastAsia="Times New Roman" w:hAnsi="Arial" w:cs="Arial"/>
          <w:bCs/>
          <w:lang w:val="es-MX" w:eastAsia="x-none"/>
        </w:rPr>
        <w:lastRenderedPageBreak/>
        <w:t>educativas, sanitarias y desastres; iv)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w:t>
      </w:r>
      <w:r w:rsidRPr="00921225">
        <w:rPr>
          <w:rFonts w:ascii="Arial" w:eastAsia="Times New Roman" w:hAnsi="Arial" w:cs="Arial"/>
          <w:bCs/>
          <w:lang w:val="es-MX" w:eastAsia="es-CO"/>
        </w:rPr>
        <w:t xml:space="preserve"> </w:t>
      </w:r>
      <w:r>
        <w:rPr>
          <w:rFonts w:ascii="Arial" w:eastAsia="Times New Roman" w:hAnsi="Arial" w:cs="Arial"/>
          <w:bCs/>
          <w:lang w:val="es-MX" w:eastAsia="es-CO"/>
        </w:rPr>
        <w:t>El mismo inciso señala que e</w:t>
      </w:r>
      <w:r w:rsidRPr="00921225">
        <w:rPr>
          <w:rFonts w:ascii="Arial" w:eastAsia="Times New Roman" w:hAnsi="Arial" w:cs="Arial"/>
          <w:bCs/>
          <w:lang w:val="es-MX" w:eastAsia="es-CO"/>
        </w:rPr>
        <w:t>s responsabilidad del respectivo ente del Estado, examinar en cada caso la naturaleza de las actividades que adelanta y determinar si las mismas se enmarcan en alguna de las mencionadas excepciones, de manera que se le permita realizar la contratación que necesite en forma directa.</w:t>
      </w:r>
    </w:p>
    <w:bookmarkEnd w:id="28"/>
    <w:p w14:paraId="3CFDECDB" w14:textId="40E96561" w:rsidR="00420C9F" w:rsidRPr="00E91A24" w:rsidRDefault="00420C9F" w:rsidP="00EB4EC1">
      <w:pPr>
        <w:spacing w:after="120" w:line="276" w:lineRule="auto"/>
        <w:ind w:firstLine="709"/>
        <w:jc w:val="both"/>
        <w:rPr>
          <w:rFonts w:ascii="Arial" w:eastAsia="Times New Roman" w:hAnsi="Arial" w:cs="Arial"/>
          <w:bCs/>
          <w:lang w:val="es-MX" w:eastAsia="x-none"/>
        </w:rPr>
      </w:pPr>
      <w:r w:rsidRPr="00921225">
        <w:rPr>
          <w:rFonts w:ascii="Arial" w:eastAsia="Times New Roman" w:hAnsi="Arial" w:cs="Arial"/>
          <w:bCs/>
          <w:lang w:val="es-MX" w:eastAsia="x-none"/>
        </w:rPr>
        <w:t>En esta labor es importante tener en cuenta, como lo anotó la Corte Constitucional, en Sentencia C-1153 de noviembre 11 de 2005</w:t>
      </w:r>
      <w:r w:rsidRPr="00921225">
        <w:rPr>
          <w:rFonts w:ascii="Calibri" w:eastAsia="Calibri" w:hAnsi="Calibri" w:cs="Times New Roman"/>
          <w:sz w:val="24"/>
          <w:vertAlign w:val="superscript"/>
          <w:lang w:val="es-MX"/>
        </w:rPr>
        <w:t>,</w:t>
      </w:r>
      <w:r w:rsidRPr="00921225">
        <w:rPr>
          <w:rFonts w:ascii="Arial" w:eastAsia="Times New Roman" w:hAnsi="Arial" w:cs="Arial"/>
          <w:bCs/>
          <w:lang w:val="es-MX" w:eastAsia="x-none"/>
        </w:rPr>
        <w:t xml:space="preserve"> </w:t>
      </w:r>
      <w:bookmarkStart w:id="29" w:name="_Hlk74309042"/>
      <w:r w:rsidRPr="00921225">
        <w:rPr>
          <w:rFonts w:ascii="Arial" w:eastAsia="Times New Roman" w:hAnsi="Arial" w:cs="Arial"/>
          <w:bCs/>
          <w:lang w:val="es-MX" w:eastAsia="x-none"/>
        </w:rPr>
        <w:t>que «</w:t>
      </w:r>
      <w:bookmarkEnd w:id="29"/>
      <w:r w:rsidRPr="00921225">
        <w:rPr>
          <w:rFonts w:ascii="Arial" w:eastAsia="Times New Roman" w:hAnsi="Arial" w:cs="Arial"/>
          <w:bCs/>
          <w:lang w:val="es-MX" w:eastAsia="x-none"/>
        </w:rPr>
        <w:t xml:space="preserve">si bien la limitación garantiza la igualdad de condiciones, también es necesario que tal limitación que pretende la igualdad </w:t>
      </w:r>
      <w:bookmarkStart w:id="30" w:name="_Hlk75768308"/>
      <w:r w:rsidRPr="00921225">
        <w:rPr>
          <w:rFonts w:ascii="Arial" w:eastAsia="Times New Roman" w:hAnsi="Arial" w:cs="Arial"/>
          <w:bCs/>
          <w:lang w:val="es-MX" w:eastAsia="x-none"/>
        </w:rPr>
        <w:t>no termine yendo en detrimento de intereses públicos, cuya garantía está en cabeza del ejecutivo, como son los inmersos en las excepciones para la prohibición de contratación</w:t>
      </w:r>
      <w:bookmarkStart w:id="31" w:name="_Hlk74309060"/>
      <w:r w:rsidRPr="00921225">
        <w:rPr>
          <w:rFonts w:ascii="Arial" w:eastAsia="Times New Roman" w:hAnsi="Arial" w:cs="Arial"/>
          <w:bCs/>
          <w:lang w:val="es-MX" w:eastAsia="x-none"/>
        </w:rPr>
        <w:t>»</w:t>
      </w:r>
      <w:bookmarkEnd w:id="31"/>
      <w:r w:rsidRPr="00921225">
        <w:rPr>
          <w:rFonts w:ascii="Arial" w:eastAsia="Calibri" w:hAnsi="Arial" w:cs="Arial"/>
          <w:vertAlign w:val="superscript"/>
          <w:lang w:val="es-MX"/>
        </w:rPr>
        <w:footnoteReference w:id="20"/>
      </w:r>
      <w:r w:rsidRPr="00921225">
        <w:rPr>
          <w:rFonts w:ascii="Arial" w:eastAsia="Times New Roman" w:hAnsi="Arial" w:cs="Arial"/>
          <w:bCs/>
          <w:lang w:val="es-MX" w:eastAsia="x-none"/>
        </w:rPr>
        <w:t xml:space="preserve">. De ahí que la Corte haya hecho particular énfasis en que las excepciones a la restricción protegen diversos tipos de urgencias de defensa, salud, educación, infraestructura vial y de servicios públicos y ecológicas, que tienden a no limitar desproporcionadamente la acción del Estado en el cumplimiento de sus fines, en procura de la igualdad entre los candidatos como </w:t>
      </w:r>
      <w:r w:rsidRPr="00E91A24">
        <w:rPr>
          <w:rFonts w:ascii="Arial" w:eastAsia="Times New Roman" w:hAnsi="Arial" w:cs="Arial"/>
          <w:bCs/>
          <w:lang w:val="es-MX" w:eastAsia="x-none"/>
        </w:rPr>
        <w:t>garantía electoral.</w:t>
      </w:r>
      <w:bookmarkStart w:id="32" w:name="_Hlk75783800"/>
      <w:bookmarkEnd w:id="30"/>
    </w:p>
    <w:p w14:paraId="78467BE9" w14:textId="34401E1E" w:rsidR="00E91A24" w:rsidRPr="00E91A24" w:rsidRDefault="00E91A24" w:rsidP="00EB4EC1">
      <w:pPr>
        <w:tabs>
          <w:tab w:val="left" w:pos="426"/>
        </w:tabs>
        <w:spacing w:after="120" w:line="276" w:lineRule="auto"/>
        <w:ind w:firstLine="709"/>
        <w:jc w:val="both"/>
        <w:rPr>
          <w:rFonts w:ascii="Arial" w:hAnsi="Arial" w:cs="Arial"/>
          <w:bCs/>
          <w:lang w:val="es-ES_tradnl"/>
        </w:rPr>
      </w:pPr>
      <w:r w:rsidRPr="00E91A24">
        <w:rPr>
          <w:rFonts w:ascii="Arial" w:eastAsia="Times New Roman" w:hAnsi="Arial" w:cs="Arial"/>
          <w:bCs/>
          <w:lang w:val="es-MX" w:eastAsia="x-none"/>
        </w:rPr>
        <w:t xml:space="preserve">Así mismo, la </w:t>
      </w:r>
      <w:r w:rsidRPr="00E91A24">
        <w:rPr>
          <w:rFonts w:ascii="Arial" w:hAnsi="Arial" w:cs="Arial"/>
          <w:bCs/>
          <w:lang w:val="es-ES_tradnl"/>
        </w:rPr>
        <w:t xml:space="preserve">Sala de Consulta y Servicio Civil del Consejo de Estado, en concepto del 4 de febrero de 2010, se pronunció frente a las razones por las que el legislador consagró excepciones al artículo 33 de la Ley de Garantías Electorales: </w:t>
      </w:r>
    </w:p>
    <w:p w14:paraId="430C7F19" w14:textId="77777777" w:rsidR="00E91A24" w:rsidRPr="00E91A24" w:rsidRDefault="00E91A24" w:rsidP="00E91A24">
      <w:pPr>
        <w:tabs>
          <w:tab w:val="left" w:pos="426"/>
        </w:tabs>
        <w:spacing w:after="0"/>
        <w:ind w:firstLine="709"/>
        <w:contextualSpacing/>
        <w:jc w:val="both"/>
        <w:rPr>
          <w:rFonts w:ascii="Arial" w:hAnsi="Arial" w:cs="Arial"/>
          <w:bCs/>
          <w:lang w:val="es-ES_tradnl"/>
        </w:rPr>
      </w:pPr>
    </w:p>
    <w:p w14:paraId="5174B9D3" w14:textId="77777777" w:rsidR="00E91A24" w:rsidRPr="00E91A24" w:rsidRDefault="00E91A24" w:rsidP="00EE6A00">
      <w:pPr>
        <w:shd w:val="clear" w:color="auto" w:fill="FFFFFF"/>
        <w:spacing w:after="120"/>
        <w:ind w:left="709" w:right="709"/>
        <w:jc w:val="both"/>
        <w:rPr>
          <w:rFonts w:ascii="Arial" w:hAnsi="Arial" w:cs="Arial"/>
          <w:sz w:val="21"/>
          <w:szCs w:val="21"/>
          <w:lang w:val="es-ES_tradnl" w:eastAsia="es-CO"/>
        </w:rPr>
      </w:pPr>
      <w:r w:rsidRPr="00E91A24">
        <w:rPr>
          <w:rFonts w:ascii="Arial" w:hAnsi="Arial" w:cs="Arial"/>
          <w:sz w:val="21"/>
          <w:szCs w:val="21"/>
          <w:lang w:val="es-ES_tradnl" w:eastAsia="es-CO"/>
        </w:rPr>
        <w:t>[…] Las excepciones establecidas en los artículos 32 y 33 en comento, guardan relación, exclusivamente, con algunos servicios públicos que por su naturaleza no admiten postergaciones en la atención de sus necesidades de personal, bienes y servicios [...]</w:t>
      </w:r>
      <w:r w:rsidRPr="00E91A24">
        <w:rPr>
          <w:rStyle w:val="Refdenotaalpie"/>
          <w:rFonts w:ascii="Arial" w:hAnsi="Arial" w:cs="Arial"/>
          <w:sz w:val="21"/>
          <w:szCs w:val="21"/>
          <w:lang w:val="es-ES_tradnl" w:eastAsia="es-CO"/>
        </w:rPr>
        <w:footnoteReference w:id="21"/>
      </w:r>
      <w:r w:rsidRPr="00E91A24">
        <w:rPr>
          <w:rFonts w:ascii="Arial" w:hAnsi="Arial" w:cs="Arial"/>
          <w:sz w:val="21"/>
          <w:szCs w:val="21"/>
          <w:lang w:val="es-ES_tradnl" w:eastAsia="es-CO"/>
        </w:rPr>
        <w:t xml:space="preserve">. </w:t>
      </w:r>
    </w:p>
    <w:p w14:paraId="32DEB46E" w14:textId="694234AB" w:rsidR="00E91A24" w:rsidRPr="00662A5D" w:rsidRDefault="00EE6A00" w:rsidP="00662A5D">
      <w:pPr>
        <w:spacing w:after="120" w:line="276" w:lineRule="auto"/>
        <w:ind w:firstLine="709"/>
        <w:jc w:val="both"/>
        <w:rPr>
          <w:rFonts w:ascii="Arial" w:hAnsi="Arial" w:cs="Arial"/>
          <w:lang w:val="es-ES_tradnl"/>
        </w:rPr>
      </w:pPr>
      <w:r w:rsidRPr="00EE6A00">
        <w:rPr>
          <w:rFonts w:ascii="Arial" w:hAnsi="Arial" w:cs="Arial"/>
          <w:bCs/>
          <w:lang w:val="es-ES_tradnl"/>
        </w:rPr>
        <w:t>Por tanto, las excepciones a la prohibición contenida en el inciso segundo de artículo 33 de la ley de garantías electorales tienen por finalidad garantizar la prestación ininterrumpida de algunos servicios públicos</w:t>
      </w:r>
      <w:r w:rsidR="00662A5D">
        <w:rPr>
          <w:rFonts w:ascii="Arial" w:hAnsi="Arial" w:cs="Arial"/>
          <w:bCs/>
          <w:lang w:val="es-ES_tradnl"/>
        </w:rPr>
        <w:t xml:space="preserve"> </w:t>
      </w:r>
      <w:r w:rsidR="00662A5D" w:rsidRPr="00EE6A00">
        <w:rPr>
          <w:rFonts w:ascii="Arial" w:hAnsi="Arial" w:cs="Arial"/>
          <w:bCs/>
          <w:lang w:val="es-ES_tradnl"/>
        </w:rPr>
        <w:t>que,</w:t>
      </w:r>
      <w:r w:rsidRPr="00EE6A00">
        <w:rPr>
          <w:rFonts w:ascii="Arial" w:hAnsi="Arial" w:cs="Arial"/>
          <w:bCs/>
          <w:lang w:val="es-ES_tradnl"/>
        </w:rPr>
        <w:t xml:space="preserve"> dada su importancia en el orden interno, se verían irrazonablemente afectados por la restricción explicada. De igual forma, la Sala de Consulta y Servicio Civil del Consejo de </w:t>
      </w:r>
      <w:r w:rsidRPr="00EE6A00">
        <w:rPr>
          <w:rFonts w:ascii="Arial" w:hAnsi="Arial" w:cs="Arial"/>
          <w:bCs/>
          <w:lang w:val="es-ES_tradnl"/>
        </w:rPr>
        <w:lastRenderedPageBreak/>
        <w:t>Estado, en concepto del 2 de septiembre de 2013</w:t>
      </w:r>
      <w:r w:rsidRPr="00EE6A00">
        <w:rPr>
          <w:rFonts w:ascii="Arial" w:hAnsi="Arial" w:cs="Arial"/>
          <w:lang w:val="es-ES_tradnl"/>
        </w:rPr>
        <w:t xml:space="preserve">, mencionó las excepciones a la prohibición del artículo 33 de la Ley de Garantías Electorales, resaltando el carácter taxativo de la regla </w:t>
      </w:r>
      <w:r w:rsidRPr="00662A5D">
        <w:rPr>
          <w:rFonts w:ascii="Arial" w:hAnsi="Arial" w:cs="Arial"/>
          <w:lang w:val="es-ES_tradnl"/>
        </w:rPr>
        <w:t>de excepción referida, y señalando la independencia de los supuestos establecidos allí.</w:t>
      </w:r>
    </w:p>
    <w:p w14:paraId="2BEB6D3F" w14:textId="5A52D268" w:rsidR="00662A5D" w:rsidRPr="00662A5D" w:rsidRDefault="00662A5D" w:rsidP="00662A5D">
      <w:pPr>
        <w:spacing w:after="120" w:line="276" w:lineRule="auto"/>
        <w:ind w:firstLine="709"/>
        <w:jc w:val="both"/>
        <w:rPr>
          <w:rFonts w:ascii="Arial" w:eastAsia="Times New Roman" w:hAnsi="Arial" w:cs="Arial"/>
          <w:bCs/>
          <w:lang w:val="es-MX" w:eastAsia="x-none"/>
        </w:rPr>
      </w:pPr>
      <w:bookmarkStart w:id="33" w:name="_Hlk98499113"/>
      <w:r w:rsidRPr="00662A5D">
        <w:rPr>
          <w:rFonts w:ascii="Arial" w:hAnsi="Arial" w:cs="Arial"/>
          <w:bCs/>
          <w:lang w:val="es-ES_tradnl"/>
        </w:rPr>
        <w:t>Lo anterior implica que las excepciones al artículo 33 en comento deben interpretarse y aplicarse manera restrictiva. En otras palabras, que no sería factible hacer interpretaciones extensivas</w:t>
      </w:r>
      <w:r w:rsidRPr="00662A5D">
        <w:rPr>
          <w:rFonts w:ascii="Arial" w:hAnsi="Arial" w:cs="Arial"/>
          <w:bCs/>
          <w:i/>
          <w:iCs/>
          <w:lang w:val="es-ES_tradnl"/>
        </w:rPr>
        <w:t xml:space="preserve"> </w:t>
      </w:r>
      <w:r w:rsidRPr="00662A5D">
        <w:rPr>
          <w:rFonts w:ascii="Arial" w:hAnsi="Arial" w:cs="Arial"/>
          <w:bCs/>
          <w:lang w:val="es-ES_tradnl"/>
        </w:rPr>
        <w:t xml:space="preserve">para incluir otros supuestos de hecho similares a las circunstancias previstas en dicho artículo, pues el carácter taxativo implica que solo en los eventos consagrados expresamente en la norma permiten que ciertas entidades estatales se vean exceptuadas de la prohibición. </w:t>
      </w:r>
      <w:bookmarkEnd w:id="33"/>
    </w:p>
    <w:p w14:paraId="68B1D76D" w14:textId="4E8C05D4" w:rsidR="00420C9F" w:rsidRPr="00366167" w:rsidRDefault="00420C9F" w:rsidP="00662A5D">
      <w:pPr>
        <w:spacing w:before="120" w:after="120" w:line="276" w:lineRule="auto"/>
        <w:ind w:firstLine="709"/>
        <w:jc w:val="both"/>
        <w:rPr>
          <w:rFonts w:ascii="Arial" w:eastAsia="Arial" w:hAnsi="Arial" w:cs="Arial"/>
        </w:rPr>
      </w:pPr>
      <w:bookmarkStart w:id="34" w:name="_Hlk98480535"/>
      <w:r w:rsidRPr="00662A5D">
        <w:rPr>
          <w:rFonts w:ascii="Arial" w:eastAsia="Arial" w:hAnsi="Arial" w:cs="Arial"/>
        </w:rPr>
        <w:t xml:space="preserve">Como se puede apreciar, el inciso segundo del artículo 33 dispone de dos (2) grandes grupos de excepciones </w:t>
      </w:r>
      <w:r w:rsidRPr="00E20AA3">
        <w:rPr>
          <w:rFonts w:ascii="Arial" w:eastAsia="Arial" w:hAnsi="Arial" w:cs="Arial"/>
        </w:rPr>
        <w:t xml:space="preserve">a la prohibición de contratar directamente en la época preelectoral. </w:t>
      </w:r>
      <w:r w:rsidRPr="00E20AA3">
        <w:rPr>
          <w:rFonts w:ascii="Arial" w:eastAsia="Arial" w:hAnsi="Arial" w:cs="Arial"/>
          <w:i/>
          <w:iCs/>
        </w:rPr>
        <w:t>Por un lado</w:t>
      </w:r>
      <w:r w:rsidRPr="00E20AA3">
        <w:rPr>
          <w:rFonts w:ascii="Arial" w:eastAsia="Arial" w:hAnsi="Arial" w:cs="Arial"/>
        </w:rPr>
        <w:t>, las que atienden el ejercicio de cierta función o la atención de determinada actividad particular y sin importar la calidad del ente que la cumpla o desarrolle</w:t>
      </w:r>
      <w:r w:rsidR="00DE57BD">
        <w:rPr>
          <w:rFonts w:ascii="Arial" w:eastAsia="Arial" w:hAnsi="Arial" w:cs="Arial"/>
        </w:rPr>
        <w:t>, dentro de la que se encuentra lo relativo a la defensa y seguridad del Estado</w:t>
      </w:r>
      <w:r w:rsidRPr="00E20AA3">
        <w:rPr>
          <w:rFonts w:ascii="Arial" w:eastAsia="Arial" w:hAnsi="Arial" w:cs="Arial"/>
        </w:rPr>
        <w:t xml:space="preserve">. </w:t>
      </w:r>
      <w:r w:rsidRPr="00E20AA3">
        <w:rPr>
          <w:rFonts w:ascii="Arial" w:eastAsia="Arial" w:hAnsi="Arial" w:cs="Arial"/>
          <w:i/>
          <w:iCs/>
        </w:rPr>
        <w:t>Por otra parte</w:t>
      </w:r>
      <w:r w:rsidRPr="00E20AA3">
        <w:rPr>
          <w:rFonts w:ascii="Arial" w:eastAsia="Arial" w:hAnsi="Arial" w:cs="Arial"/>
        </w:rPr>
        <w:t>, las que aluden a las entidades sanitarias y hospitalarias acudiendo a un criterio eminentemente subjetivo, pese a que no limita la excepción a un tipo de entidad en particular, sino que ata su aplicación a la naturaleza del respectivo ente.</w:t>
      </w:r>
    </w:p>
    <w:p w14:paraId="09A27094" w14:textId="365ED93E" w:rsidR="00420C9F" w:rsidRDefault="00420C9F" w:rsidP="001F14BA">
      <w:pPr>
        <w:spacing w:after="120" w:line="276" w:lineRule="auto"/>
        <w:ind w:firstLine="709"/>
        <w:jc w:val="both"/>
        <w:rPr>
          <w:rFonts w:ascii="Arial" w:eastAsia="Arial" w:hAnsi="Arial" w:cs="Arial"/>
        </w:rPr>
      </w:pPr>
      <w:bookmarkStart w:id="35" w:name="_Hlk98480553"/>
      <w:bookmarkEnd w:id="34"/>
      <w:r w:rsidRPr="00366167">
        <w:rPr>
          <w:rFonts w:ascii="Arial" w:eastAsia="Arial" w:hAnsi="Arial" w:cs="Arial"/>
        </w:rPr>
        <w:t xml:space="preserve">Así, para determinar si la contratación de una entidad pública está exceptuada de la prohibición general para la contratación directa, el intérprete deberá analizar el caso concreto para establecer que se trata de una actividad de las descritas en la norma. </w:t>
      </w:r>
      <w:bookmarkEnd w:id="35"/>
      <w:r w:rsidRPr="00366167">
        <w:rPr>
          <w:rFonts w:ascii="Arial" w:eastAsia="Arial" w:hAnsi="Arial" w:cs="Arial"/>
        </w:rPr>
        <w:t xml:space="preserve">En este punto, dado que la norma no lo establece, no es posible limitar la excepción a cierto tipo de entidades públicas o hacer depender la aplicación de la excepción al nivel u orden administrativo en el que se encuentre. Como se explicó, lo relevante será verificar la naturaleza </w:t>
      </w:r>
      <w:r>
        <w:rPr>
          <w:rFonts w:ascii="Arial" w:eastAsia="Arial" w:hAnsi="Arial" w:cs="Arial"/>
        </w:rPr>
        <w:t xml:space="preserve">de </w:t>
      </w:r>
      <w:r w:rsidRPr="00366167">
        <w:rPr>
          <w:rFonts w:ascii="Arial" w:eastAsia="Arial" w:hAnsi="Arial" w:cs="Arial"/>
        </w:rPr>
        <w:t xml:space="preserve">la </w:t>
      </w:r>
      <w:r w:rsidR="005B307B">
        <w:rPr>
          <w:rFonts w:ascii="Arial" w:eastAsia="Arial" w:hAnsi="Arial" w:cs="Arial"/>
        </w:rPr>
        <w:t xml:space="preserve">actividad para determinar si se enmarca o no en alguna de las excepciones dispuestas. </w:t>
      </w:r>
      <w:r w:rsidRPr="00366167">
        <w:rPr>
          <w:rFonts w:ascii="Arial" w:eastAsia="Arial" w:hAnsi="Arial" w:cs="Arial"/>
        </w:rPr>
        <w:t xml:space="preserve"> </w:t>
      </w:r>
    </w:p>
    <w:p w14:paraId="74745A6F" w14:textId="0BCA96B9" w:rsidR="00420C9F" w:rsidRDefault="001F14BA" w:rsidP="00B44B46">
      <w:pPr>
        <w:spacing w:after="0" w:line="276" w:lineRule="auto"/>
        <w:ind w:firstLine="709"/>
        <w:contextualSpacing/>
        <w:jc w:val="both"/>
        <w:rPr>
          <w:rFonts w:ascii="Arial" w:hAnsi="Arial" w:cs="Arial"/>
          <w:shd w:val="clear" w:color="auto" w:fill="FFFFFF"/>
        </w:rPr>
      </w:pPr>
      <w:bookmarkStart w:id="36" w:name="_Hlk98499496"/>
      <w:r w:rsidRPr="00662A5D">
        <w:rPr>
          <w:rFonts w:ascii="Arial" w:hAnsi="Arial" w:cs="Arial"/>
          <w:shd w:val="clear" w:color="auto" w:fill="FFFFFF"/>
        </w:rPr>
        <w:t xml:space="preserve">Una de estas excepciones es la relacionada con los contratos que se celebren para la defensa y seguridad del Estado, </w:t>
      </w:r>
      <w:r w:rsidR="00995EB1">
        <w:rPr>
          <w:rFonts w:ascii="Arial" w:hAnsi="Arial" w:cs="Arial"/>
          <w:shd w:val="clear" w:color="auto" w:fill="FFFFFF"/>
        </w:rPr>
        <w:t>expresi</w:t>
      </w:r>
      <w:r w:rsidRPr="00662A5D">
        <w:rPr>
          <w:rFonts w:ascii="Arial" w:hAnsi="Arial" w:cs="Arial"/>
          <w:shd w:val="clear" w:color="auto" w:fill="FFFFFF"/>
        </w:rPr>
        <w:t>ón que debe entenderse en su sentido literal y obvio, esto es ligado a la noción de orden público social, tanto externo como interno</w:t>
      </w:r>
      <w:r>
        <w:rPr>
          <w:rStyle w:val="Refdenotaalpie"/>
          <w:rFonts w:ascii="Arial" w:hAnsi="Arial" w:cs="Arial"/>
          <w:shd w:val="clear" w:color="auto" w:fill="FFFFFF"/>
        </w:rPr>
        <w:footnoteReference w:id="22"/>
      </w:r>
      <w:r w:rsidRPr="00662A5D">
        <w:rPr>
          <w:rFonts w:ascii="Arial" w:hAnsi="Arial" w:cs="Arial"/>
          <w:shd w:val="clear" w:color="auto" w:fill="FFFFFF"/>
        </w:rPr>
        <w:t xml:space="preserve">. </w:t>
      </w:r>
      <w:r>
        <w:rPr>
          <w:rFonts w:ascii="Arial" w:hAnsi="Arial" w:cs="Arial"/>
          <w:shd w:val="clear" w:color="auto" w:fill="FFFFFF"/>
        </w:rPr>
        <w:t xml:space="preserve">En consecuencia, durante el periodo en que opera la restricción establecida en el artículo 33 de la Ley 996 de 2005, se podrá celebrar </w:t>
      </w:r>
      <w:r>
        <w:rPr>
          <w:rFonts w:ascii="Arial" w:hAnsi="Arial" w:cs="Arial"/>
          <w:shd w:val="clear" w:color="auto" w:fill="FFFFFF"/>
        </w:rPr>
        <w:lastRenderedPageBreak/>
        <w:t xml:space="preserve">contratación directa siempre que el objeto esté relacionado con la defensa y seguridad del Estado. </w:t>
      </w:r>
      <w:r w:rsidR="00B44B46">
        <w:rPr>
          <w:rFonts w:ascii="Arial" w:hAnsi="Arial" w:cs="Arial"/>
          <w:shd w:val="clear" w:color="auto" w:fill="FFFFFF"/>
        </w:rPr>
        <w:t xml:space="preserve">No se puede perder de vista que cada entidad deberá analizar si </w:t>
      </w:r>
      <w:proofErr w:type="gramStart"/>
      <w:r w:rsidR="00B44B46">
        <w:rPr>
          <w:rFonts w:ascii="Arial" w:hAnsi="Arial" w:cs="Arial"/>
          <w:shd w:val="clear" w:color="auto" w:fill="FFFFFF"/>
        </w:rPr>
        <w:t>se enmarca dentro de</w:t>
      </w:r>
      <w:proofErr w:type="gramEnd"/>
      <w:r w:rsidR="00B44B46">
        <w:rPr>
          <w:rFonts w:ascii="Arial" w:hAnsi="Arial" w:cs="Arial"/>
          <w:shd w:val="clear" w:color="auto" w:fill="FFFFFF"/>
        </w:rPr>
        <w:t xml:space="preserve"> la actividad de defensa y seguridad del Estado, para definir la viabilidad de celebrar el contrato estatal. </w:t>
      </w:r>
    </w:p>
    <w:bookmarkEnd w:id="36"/>
    <w:p w14:paraId="26AE2FF9" w14:textId="77777777" w:rsidR="001F14BA" w:rsidRPr="008B0E2A" w:rsidRDefault="001F14BA" w:rsidP="00B44B46">
      <w:pPr>
        <w:spacing w:after="0" w:line="276" w:lineRule="auto"/>
        <w:ind w:firstLine="709"/>
        <w:contextualSpacing/>
        <w:jc w:val="both"/>
        <w:rPr>
          <w:rFonts w:ascii="Arial" w:eastAsia="Times New Roman" w:hAnsi="Arial" w:cs="Arial"/>
          <w:bCs/>
          <w:lang w:val="es-MX" w:eastAsia="x-none"/>
        </w:rPr>
      </w:pPr>
    </w:p>
    <w:p w14:paraId="2EBE3C1A" w14:textId="68077FE1" w:rsidR="00420C9F" w:rsidRPr="008B0E2A" w:rsidRDefault="00420C9F" w:rsidP="00B44B46">
      <w:pPr>
        <w:spacing w:after="0" w:line="276" w:lineRule="auto"/>
        <w:contextualSpacing/>
        <w:jc w:val="both"/>
        <w:rPr>
          <w:rFonts w:ascii="Arial" w:eastAsia="Times New Roman" w:hAnsi="Arial" w:cs="Arial"/>
          <w:b/>
          <w:lang w:val="es-MX" w:eastAsia="x-none"/>
        </w:rPr>
      </w:pPr>
      <w:bookmarkStart w:id="37" w:name="_Hlk98499532"/>
      <w:r w:rsidRPr="008B0E2A">
        <w:rPr>
          <w:rFonts w:ascii="Arial" w:eastAsia="Times New Roman" w:hAnsi="Arial" w:cs="Arial"/>
          <w:b/>
          <w:lang w:val="es-MX" w:eastAsia="x-none"/>
        </w:rPr>
        <w:t>2.</w:t>
      </w:r>
      <w:r w:rsidR="005B307B">
        <w:rPr>
          <w:rFonts w:ascii="Arial" w:eastAsia="Times New Roman" w:hAnsi="Arial" w:cs="Arial"/>
          <w:b/>
          <w:lang w:val="es-MX" w:eastAsia="x-none"/>
        </w:rPr>
        <w:t>4</w:t>
      </w:r>
      <w:r w:rsidRPr="008B0E2A">
        <w:rPr>
          <w:rFonts w:ascii="Arial" w:eastAsia="Times New Roman" w:hAnsi="Arial" w:cs="Arial"/>
          <w:b/>
          <w:lang w:val="es-MX" w:eastAsia="x-none"/>
        </w:rPr>
        <w:t>. Destinatarios de la restricción del artículo 33 de la Ley 996 de 2005</w:t>
      </w:r>
    </w:p>
    <w:bookmarkEnd w:id="37"/>
    <w:p w14:paraId="53147AF3" w14:textId="77777777" w:rsidR="00420C9F" w:rsidRPr="00D0384B" w:rsidRDefault="00420C9F" w:rsidP="00B44B46">
      <w:pPr>
        <w:spacing w:after="0" w:line="276" w:lineRule="auto"/>
        <w:contextualSpacing/>
        <w:jc w:val="both"/>
        <w:rPr>
          <w:rFonts w:ascii="Arial" w:eastAsia="Times New Roman" w:hAnsi="Arial" w:cs="Arial"/>
          <w:bCs/>
          <w:lang w:val="es-MX" w:eastAsia="x-none"/>
        </w:rPr>
      </w:pPr>
    </w:p>
    <w:p w14:paraId="53BD9D62" w14:textId="77777777" w:rsidR="00420C9F" w:rsidRPr="00D0384B" w:rsidRDefault="00420C9F" w:rsidP="005B307B">
      <w:pPr>
        <w:spacing w:after="0" w:line="276" w:lineRule="auto"/>
        <w:contextualSpacing/>
        <w:jc w:val="both"/>
        <w:rPr>
          <w:rFonts w:ascii="Arial" w:eastAsia="Times New Roman" w:hAnsi="Arial" w:cs="Arial"/>
          <w:bCs/>
          <w:lang w:val="es-MX" w:eastAsia="x-none"/>
        </w:rPr>
      </w:pPr>
      <w:bookmarkStart w:id="38" w:name="_Hlk98860064"/>
      <w:r w:rsidRPr="00D0384B">
        <w:rPr>
          <w:rFonts w:ascii="Arial" w:eastAsia="Times New Roman" w:hAnsi="Arial" w:cs="Arial"/>
          <w:bCs/>
          <w:lang w:val="es-MX" w:eastAsia="x-none"/>
        </w:rPr>
        <w:t>El artículo 33 de la Ley 996 de 2005 señala expresamente a los destinatarios de la prohibición, en el sentido de que son «todos los entes del Estado», expresión que contempla a los diferentes organismos o entidades autorizadas por la ley para suscribir contratos.</w:t>
      </w:r>
      <w:r w:rsidRPr="00D0384B">
        <w:rPr>
          <w:rFonts w:ascii="Calibri" w:eastAsia="Calibri" w:hAnsi="Calibri" w:cs="Times New Roman"/>
          <w:sz w:val="24"/>
          <w:lang w:val="es-MX"/>
        </w:rPr>
        <w:t xml:space="preserve"> </w:t>
      </w:r>
      <w:r w:rsidRPr="00D0384B">
        <w:rPr>
          <w:rFonts w:ascii="Arial" w:eastAsia="Times New Roman" w:hAnsi="Arial" w:cs="Arial"/>
          <w:bCs/>
          <w:lang w:val="es-MX" w:eastAsia="x-none"/>
        </w:rPr>
        <w:t xml:space="preserve">En efecto, tal como lo ha sostenido el Consejo de Estado, el vocablo </w:t>
      </w:r>
      <w:bookmarkStart w:id="39" w:name="_Hlk75632581"/>
      <w:r w:rsidRPr="00D0384B">
        <w:rPr>
          <w:rFonts w:ascii="Arial" w:eastAsia="Times New Roman" w:hAnsi="Arial" w:cs="Arial"/>
          <w:bCs/>
          <w:lang w:val="es-MX" w:eastAsia="x-none"/>
        </w:rPr>
        <w:t>«</w:t>
      </w:r>
      <w:bookmarkEnd w:id="39"/>
      <w:r w:rsidRPr="00D0384B">
        <w:rPr>
          <w:rFonts w:ascii="Arial" w:eastAsia="Times New Roman" w:hAnsi="Arial" w:cs="Arial"/>
          <w:bCs/>
          <w:lang w:val="es-MX" w:eastAsia="x-none"/>
        </w:rPr>
        <w:t>todos» utilizado por el legislador comprende</w:t>
      </w:r>
      <w:r w:rsidRPr="00D0384B">
        <w:rPr>
          <w:rFonts w:ascii="Calibri" w:eastAsia="Calibri" w:hAnsi="Calibri" w:cs="Times New Roman"/>
          <w:sz w:val="24"/>
          <w:lang w:val="es-MX"/>
        </w:rPr>
        <w:t xml:space="preserve"> </w:t>
      </w:r>
      <w:r w:rsidRPr="00D0384B">
        <w:rPr>
          <w:rFonts w:ascii="Arial" w:eastAsia="Times New Roman" w:hAnsi="Arial" w:cs="Arial"/>
          <w:bCs/>
          <w:lang w:val="es-MX" w:eastAsia="x-none"/>
        </w:rPr>
        <w:t>a la totalidad de los entes del Estado, sin distinción del régimen jurídico, forma de organización o naturaleza, su pertenencia a una u otra rama del poder público o su autonomía</w:t>
      </w:r>
      <w:bookmarkEnd w:id="32"/>
      <w:r w:rsidRPr="00D0384B">
        <w:rPr>
          <w:rFonts w:ascii="Arial" w:eastAsia="Times New Roman" w:hAnsi="Arial" w:cs="Arial"/>
          <w:bCs/>
          <w:lang w:val="es-MX" w:eastAsia="x-none"/>
        </w:rPr>
        <w:t xml:space="preserve">, e incluso si las entidades estatales tienen régimen especial de contratación y están exceptuadas del ámbito de aplicación del Estatuto General de Contratación de la Administración Pública. </w:t>
      </w:r>
      <w:bookmarkEnd w:id="38"/>
      <w:r w:rsidRPr="00D0384B">
        <w:rPr>
          <w:rFonts w:ascii="Arial" w:eastAsia="Times New Roman" w:hAnsi="Arial" w:cs="Arial"/>
          <w:bCs/>
          <w:lang w:val="es-MX" w:eastAsia="x-none"/>
        </w:rPr>
        <w:t xml:space="preserve">El Consejo de Estado, en Concepto con radicado 1727 de fecha 20 de febrero de 2006, consideró que: </w:t>
      </w:r>
    </w:p>
    <w:p w14:paraId="2C4BA207" w14:textId="77777777" w:rsidR="00420C9F" w:rsidRPr="00D0384B" w:rsidRDefault="00420C9F" w:rsidP="00420C9F">
      <w:pPr>
        <w:spacing w:after="0" w:line="276" w:lineRule="auto"/>
        <w:ind w:firstLine="708"/>
        <w:jc w:val="both"/>
        <w:rPr>
          <w:rFonts w:ascii="Arial" w:eastAsia="Times New Roman" w:hAnsi="Arial" w:cs="Arial"/>
          <w:bCs/>
          <w:lang w:val="es-MX" w:eastAsia="x-none"/>
        </w:rPr>
      </w:pPr>
    </w:p>
    <w:p w14:paraId="6C93AFD2" w14:textId="77777777" w:rsidR="00420C9F" w:rsidRPr="00D0384B" w:rsidRDefault="00420C9F" w:rsidP="00420C9F">
      <w:pPr>
        <w:spacing w:after="0" w:line="240" w:lineRule="auto"/>
        <w:ind w:left="708" w:right="709"/>
        <w:jc w:val="both"/>
        <w:rPr>
          <w:rFonts w:ascii="Arial" w:eastAsia="Times New Roman" w:hAnsi="Arial" w:cs="Arial"/>
          <w:bCs/>
          <w:sz w:val="21"/>
          <w:szCs w:val="21"/>
          <w:lang w:val="es-MX" w:eastAsia="es-CO"/>
        </w:rPr>
      </w:pPr>
      <w:r w:rsidRPr="00D0384B">
        <w:rPr>
          <w:rFonts w:ascii="Arial" w:eastAsia="Times New Roman" w:hAnsi="Arial" w:cs="Arial"/>
          <w:bCs/>
          <w:sz w:val="21"/>
          <w:szCs w:val="21"/>
          <w:lang w:val="es-MX" w:eastAsia="x-none"/>
        </w:rPr>
        <w:t xml:space="preserve">El artículo 33 de la ley 996 de 2005, </w:t>
      </w:r>
      <w:bookmarkStart w:id="40" w:name="_Hlk75787147"/>
      <w:r w:rsidRPr="00D0384B">
        <w:rPr>
          <w:rFonts w:ascii="Arial" w:eastAsia="Times New Roman" w:hAnsi="Arial" w:cs="Arial"/>
          <w:bCs/>
          <w:sz w:val="21"/>
          <w:szCs w:val="21"/>
          <w:lang w:val="es-MX" w:eastAsia="x-none"/>
        </w:rPr>
        <w:t xml:space="preserve">efectivamente se aplica </w:t>
      </w:r>
      <w:bookmarkStart w:id="41" w:name="_Hlk76074089"/>
      <w:r w:rsidRPr="00D0384B">
        <w:rPr>
          <w:rFonts w:ascii="Arial" w:eastAsia="Times New Roman" w:hAnsi="Arial" w:cs="Arial"/>
          <w:bCs/>
          <w:sz w:val="21"/>
          <w:szCs w:val="21"/>
          <w:lang w:val="es-MX" w:eastAsia="x-none"/>
        </w:rPr>
        <w:t>incluso a las entidades estatales con régimen especial de contratación y que están exceptuadas del ámbito de aplicación del Estatuto General de Contratación de la Administración Pública</w:t>
      </w:r>
      <w:bookmarkEnd w:id="41"/>
      <w:r w:rsidRPr="00D0384B">
        <w:rPr>
          <w:rFonts w:ascii="Arial" w:eastAsia="Times New Roman" w:hAnsi="Arial" w:cs="Arial"/>
          <w:bCs/>
          <w:sz w:val="21"/>
          <w:szCs w:val="21"/>
          <w:lang w:val="es-MX" w:eastAsia="x-none"/>
        </w:rPr>
        <w:t>, como por ejemplo los prestadores de servicios públicos domiciliarios (empresas de servicios públicos oficiales y empresas industriales y comerciales del Estado) y a los municipios prestadores directos, incluyendo las excepciones contenidas en el segundo inciso de esta norma</w:t>
      </w:r>
      <w:r w:rsidRPr="00D0384B">
        <w:rPr>
          <w:rFonts w:ascii="Arial" w:eastAsia="Times New Roman" w:hAnsi="Arial" w:cs="Arial"/>
          <w:bCs/>
          <w:sz w:val="21"/>
          <w:szCs w:val="21"/>
          <w:vertAlign w:val="superscript"/>
          <w:lang w:val="es-MX" w:eastAsia="x-none"/>
        </w:rPr>
        <w:footnoteReference w:id="23"/>
      </w:r>
      <w:r w:rsidRPr="00D0384B">
        <w:rPr>
          <w:rFonts w:ascii="Arial" w:eastAsia="Times New Roman" w:hAnsi="Arial" w:cs="Arial"/>
          <w:bCs/>
          <w:sz w:val="21"/>
          <w:szCs w:val="21"/>
          <w:lang w:val="es-MX" w:eastAsia="x-none"/>
        </w:rPr>
        <w:t>.</w:t>
      </w:r>
      <w:r w:rsidRPr="00D0384B">
        <w:rPr>
          <w:rFonts w:ascii="Arial" w:eastAsia="Times New Roman" w:hAnsi="Arial" w:cs="Arial"/>
          <w:bCs/>
          <w:sz w:val="21"/>
          <w:szCs w:val="21"/>
          <w:lang w:val="es-MX" w:eastAsia="es-CO"/>
        </w:rPr>
        <w:t xml:space="preserve"> </w:t>
      </w:r>
    </w:p>
    <w:p w14:paraId="78CCFDDA" w14:textId="77777777" w:rsidR="00420C9F" w:rsidRPr="007942F7" w:rsidRDefault="00420C9F" w:rsidP="00420C9F">
      <w:pPr>
        <w:spacing w:after="0" w:line="276" w:lineRule="auto"/>
        <w:ind w:firstLine="708"/>
        <w:jc w:val="both"/>
        <w:rPr>
          <w:rFonts w:ascii="Arial" w:eastAsia="Times New Roman" w:hAnsi="Arial" w:cs="Arial"/>
          <w:bCs/>
          <w:lang w:val="es-MX" w:eastAsia="es-CO"/>
        </w:rPr>
      </w:pPr>
    </w:p>
    <w:p w14:paraId="6B338A0E" w14:textId="77777777" w:rsidR="00420C9F" w:rsidRPr="007942F7" w:rsidRDefault="00420C9F" w:rsidP="00420C9F">
      <w:pPr>
        <w:spacing w:after="0" w:line="276" w:lineRule="auto"/>
        <w:ind w:firstLine="708"/>
        <w:jc w:val="both"/>
        <w:rPr>
          <w:rFonts w:ascii="Arial" w:eastAsia="Calibri" w:hAnsi="Arial" w:cs="Arial"/>
          <w:lang w:val="es-MX"/>
        </w:rPr>
      </w:pPr>
      <w:r w:rsidRPr="007942F7">
        <w:rPr>
          <w:rFonts w:ascii="Arial" w:eastAsia="Times New Roman" w:hAnsi="Arial" w:cs="Arial"/>
          <w:bCs/>
          <w:lang w:val="es-MX" w:eastAsia="x-none"/>
        </w:rPr>
        <w:t xml:space="preserve">En Concepto con radicado 1738 de 6 de abril de 2006, esa misma Corporación manifestó que «Las restricciones de la Ley de Garantías en materia de contratación directa y celebración de convenios interadministrativos, se aplican a las empresas industriales y comerciales del Estado y a las Sociedades de Economía Mixta, salvo cuando la celebración de un convenio interadministrativo </w:t>
      </w:r>
      <w:r w:rsidRPr="007942F7">
        <w:rPr>
          <w:rFonts w:ascii="Arial" w:eastAsia="Times New Roman" w:hAnsi="Arial" w:cs="Arial"/>
          <w:bCs/>
          <w:lang w:val="es-MX" w:eastAsia="x-none"/>
        </w:rPr>
        <w:lastRenderedPageBreak/>
        <w:t>sea ordenada, para ambas partes, por el Legislador</w:t>
      </w:r>
      <w:bookmarkStart w:id="42" w:name="_Hlk75635823"/>
      <w:r w:rsidRPr="007942F7">
        <w:rPr>
          <w:rFonts w:ascii="Arial" w:eastAsia="Times New Roman" w:hAnsi="Arial" w:cs="Arial"/>
          <w:bCs/>
          <w:lang w:val="es-MX" w:eastAsia="x-none"/>
        </w:rPr>
        <w:t>»</w:t>
      </w:r>
      <w:bookmarkStart w:id="43" w:name="_Hlk75758868"/>
      <w:bookmarkStart w:id="44" w:name="_Hlk75741220"/>
      <w:bookmarkEnd w:id="42"/>
      <w:r w:rsidRPr="007942F7">
        <w:rPr>
          <w:rFonts w:ascii="Arial" w:eastAsia="Calibri" w:hAnsi="Arial" w:cs="Arial"/>
          <w:sz w:val="24"/>
          <w:vertAlign w:val="superscript"/>
          <w:lang w:val="es-MX"/>
        </w:rPr>
        <w:footnoteReference w:id="24"/>
      </w:r>
      <w:bookmarkEnd w:id="43"/>
      <w:bookmarkEnd w:id="44"/>
      <w:r w:rsidRPr="007942F7">
        <w:rPr>
          <w:rFonts w:ascii="Arial" w:eastAsia="Times New Roman" w:hAnsi="Arial" w:cs="Arial"/>
          <w:bCs/>
          <w:lang w:val="es-MX" w:eastAsia="x-none"/>
        </w:rPr>
        <w:t>.</w:t>
      </w:r>
      <w:r w:rsidRPr="007942F7">
        <w:rPr>
          <w:rFonts w:ascii="Arial" w:eastAsia="Calibri" w:hAnsi="Arial" w:cs="Arial"/>
          <w:lang w:val="es-MX"/>
        </w:rPr>
        <w:t xml:space="preserve"> Sin embargo, debe precisarse el siguiente aspecto que distinguió la Sala de Consulta y Servicio Civil:</w:t>
      </w:r>
    </w:p>
    <w:p w14:paraId="334430A6" w14:textId="77777777" w:rsidR="00420C9F" w:rsidRPr="007942F7" w:rsidRDefault="00420C9F" w:rsidP="00420C9F">
      <w:pPr>
        <w:spacing w:after="0" w:line="276" w:lineRule="auto"/>
        <w:jc w:val="both"/>
        <w:rPr>
          <w:rFonts w:ascii="Arial" w:eastAsia="Calibri" w:hAnsi="Arial" w:cs="Arial"/>
          <w:lang w:val="es-MX"/>
        </w:rPr>
      </w:pPr>
    </w:p>
    <w:p w14:paraId="5A0B29FE" w14:textId="77777777" w:rsidR="00420C9F" w:rsidRPr="007942F7" w:rsidRDefault="00420C9F" w:rsidP="00420C9F">
      <w:pPr>
        <w:spacing w:after="0" w:line="240" w:lineRule="auto"/>
        <w:ind w:left="708" w:right="709"/>
        <w:jc w:val="both"/>
        <w:rPr>
          <w:rFonts w:ascii="Arial" w:eastAsia="Calibri" w:hAnsi="Arial" w:cs="Arial"/>
          <w:sz w:val="21"/>
          <w:szCs w:val="21"/>
          <w:lang w:val="es-MX"/>
        </w:rPr>
      </w:pPr>
      <w:bookmarkStart w:id="46" w:name="_Hlk75811446"/>
      <w:r w:rsidRPr="007942F7">
        <w:rPr>
          <w:rFonts w:ascii="Arial" w:eastAsia="Calibri" w:hAnsi="Arial" w:cs="Arial"/>
          <w:sz w:val="21"/>
          <w:szCs w:val="21"/>
          <w:lang w:val="es-MX"/>
        </w:rPr>
        <w:t>En el concepto No. 1727 de fecha 20 de febrero de 2006, ésta Sala distinguió dos clases de contratos en relación con las empresas de servicios públicos domiciliarios: unos, en los que la posición de la empresa es la de consumidora de las prestaciones objeto del contrato, que utiliza para la prestación de los servicios a su cargo, y los otros, en los que la empresa entrega esos servicios a los usuarios, conforme a unas reglas uniformes para todos ellos y sin que haya privilegios o tratos desiguales. En los primeros contratos, es claro que la empresa debe adquirir esos bienes previa licitación pública, según se expuso anteriormente, pero en el segundo caso, las empresas no pueden dejar de entregar los servicios públicos a su cargo a nuevas personas, ni dejar de renovar los contratos existentes, pues significaría la parálisis de una actividad propia de la administración, que incluso podría desconocer los derechos fundamentales</w:t>
      </w:r>
      <w:bookmarkEnd w:id="46"/>
      <w:r w:rsidRPr="007942F7">
        <w:rPr>
          <w:rFonts w:ascii="Arial" w:eastAsia="Calibri" w:hAnsi="Arial" w:cs="Arial"/>
          <w:sz w:val="24"/>
          <w:vertAlign w:val="superscript"/>
          <w:lang w:val="es-MX"/>
        </w:rPr>
        <w:footnoteReference w:id="25"/>
      </w:r>
      <w:r w:rsidRPr="007942F7">
        <w:rPr>
          <w:rFonts w:ascii="Arial" w:eastAsia="Times New Roman" w:hAnsi="Arial" w:cs="Arial"/>
          <w:bCs/>
          <w:lang w:val="es-MX" w:eastAsia="x-none"/>
        </w:rPr>
        <w:t>.</w:t>
      </w:r>
    </w:p>
    <w:p w14:paraId="7956DF5E" w14:textId="77777777" w:rsidR="00420C9F" w:rsidRPr="007942F7" w:rsidRDefault="00420C9F" w:rsidP="00420C9F">
      <w:pPr>
        <w:spacing w:after="0" w:line="276" w:lineRule="auto"/>
        <w:jc w:val="both"/>
        <w:rPr>
          <w:rFonts w:ascii="Arial" w:eastAsia="Calibri" w:hAnsi="Arial" w:cs="Arial"/>
          <w:lang w:val="es-MX"/>
        </w:rPr>
      </w:pPr>
    </w:p>
    <w:p w14:paraId="433855FE" w14:textId="77777777" w:rsidR="00420C9F" w:rsidRPr="008172BC" w:rsidRDefault="00420C9F" w:rsidP="0049494F">
      <w:pPr>
        <w:spacing w:after="120" w:line="276" w:lineRule="auto"/>
        <w:ind w:firstLine="709"/>
        <w:jc w:val="both"/>
        <w:rPr>
          <w:rFonts w:ascii="Arial" w:eastAsia="Times New Roman" w:hAnsi="Arial" w:cs="Arial"/>
          <w:bCs/>
          <w:lang w:val="es-MX" w:eastAsia="x-none"/>
        </w:rPr>
      </w:pPr>
      <w:bookmarkStart w:id="47" w:name="_Hlk77237229"/>
      <w:bookmarkEnd w:id="40"/>
      <w:r w:rsidRPr="008172BC">
        <w:rPr>
          <w:rFonts w:ascii="Arial" w:eastAsia="Calibri" w:hAnsi="Arial" w:cs="Arial"/>
          <w:lang w:val="es-MX"/>
        </w:rPr>
        <w:t>Por lo tanto, la restricción prevista en la Ley 996 de 200</w:t>
      </w:r>
      <w:bookmarkStart w:id="48" w:name="_Hlk75741539"/>
      <w:r w:rsidRPr="008172BC">
        <w:rPr>
          <w:rFonts w:ascii="Arial" w:eastAsia="Calibri" w:hAnsi="Arial" w:cs="Arial"/>
          <w:lang w:val="es-MX"/>
        </w:rPr>
        <w:t xml:space="preserve">5, </w:t>
      </w:r>
      <w:r w:rsidRPr="008172BC">
        <w:rPr>
          <w:rFonts w:ascii="Arial" w:eastAsia="Times New Roman" w:hAnsi="Arial" w:cs="Arial"/>
          <w:bCs/>
          <w:lang w:val="es-MX" w:eastAsia="x-none"/>
        </w:rPr>
        <w:t>teniendo en cuenta la finalidad de la ley de garantías electorales, cobija a cualquier ente público que pueda a través de la contratación directa romper el equilibrio entre los partidos y los candidatos en las elecciones presidenciales. Tampoco existe un supuesto de exoneración a la prohibición por tener un régimen especial de los actos o contratos, pues, la posibilidad de que los entes del Estado utilicen la contratación con fines políticos, esto es, con la intención de influir a los electores y alterar la voluntad popular en las contiendas electorales, se puede presentar tanto en la contratación regulada por la Ley 80 de 1993 como en la regida por el derecho privado.</w:t>
      </w:r>
    </w:p>
    <w:p w14:paraId="69C1A413" w14:textId="2DEA8825" w:rsidR="00052375" w:rsidRDefault="005978A3" w:rsidP="005978A3">
      <w:pPr>
        <w:widowControl w:val="0"/>
        <w:autoSpaceDE w:val="0"/>
        <w:autoSpaceDN w:val="0"/>
        <w:spacing w:after="120" w:line="276" w:lineRule="auto"/>
        <w:jc w:val="both"/>
        <w:rPr>
          <w:rFonts w:ascii="Arial" w:eastAsia="Times New Roman" w:hAnsi="Arial" w:cs="Arial"/>
          <w:bCs/>
          <w:lang w:val="es-ES" w:eastAsia="es-CO" w:bidi="es-ES"/>
        </w:rPr>
      </w:pPr>
      <w:bookmarkStart w:id="49" w:name="_Hlk77153296"/>
      <w:bookmarkStart w:id="50" w:name="_Hlk75784645"/>
      <w:bookmarkEnd w:id="47"/>
      <w:bookmarkEnd w:id="48"/>
      <w:r>
        <w:rPr>
          <w:rFonts w:ascii="Arial" w:eastAsia="Calibri" w:hAnsi="Arial" w:cs="Arial"/>
          <w:b/>
          <w:bCs/>
          <w:lang w:val="es-MX"/>
        </w:rPr>
        <w:tab/>
      </w:r>
      <w:bookmarkStart w:id="51" w:name="_Hlk98499682"/>
      <w:bookmarkStart w:id="52" w:name="_Hlk98860186"/>
      <w:bookmarkEnd w:id="49"/>
      <w:bookmarkEnd w:id="50"/>
      <w:r>
        <w:rPr>
          <w:rFonts w:ascii="Arial" w:eastAsia="Times New Roman" w:hAnsi="Arial" w:cs="Arial"/>
          <w:bCs/>
          <w:lang w:val="es-ES" w:eastAsia="es-CO" w:bidi="es-ES"/>
        </w:rPr>
        <w:t xml:space="preserve">Ahora bien, de conformidad </w:t>
      </w:r>
      <w:r w:rsidR="00201EAC" w:rsidRPr="00964396">
        <w:rPr>
          <w:rFonts w:ascii="Arial" w:eastAsia="Times New Roman" w:hAnsi="Arial" w:cs="Arial"/>
          <w:bCs/>
          <w:lang w:val="es-ES" w:eastAsia="es-CO" w:bidi="es-ES"/>
        </w:rPr>
        <w:t xml:space="preserve">con el artículo 2 </w:t>
      </w:r>
      <w:r w:rsidR="004E1661" w:rsidRPr="00964396">
        <w:rPr>
          <w:rFonts w:ascii="Arial" w:eastAsia="Times New Roman" w:hAnsi="Arial" w:cs="Arial"/>
          <w:bCs/>
          <w:lang w:val="es-ES" w:eastAsia="es-CO" w:bidi="es-ES"/>
        </w:rPr>
        <w:t>Decreto</w:t>
      </w:r>
      <w:bookmarkStart w:id="53" w:name="LPHit3"/>
      <w:bookmarkEnd w:id="53"/>
      <w:r w:rsidR="004E1661" w:rsidRPr="00964396">
        <w:rPr>
          <w:rFonts w:ascii="Arial" w:eastAsia="Times New Roman" w:hAnsi="Arial" w:cs="Arial"/>
          <w:bCs/>
          <w:lang w:val="es-ES" w:eastAsia="es-CO" w:bidi="es-ES"/>
        </w:rPr>
        <w:t> </w:t>
      </w:r>
      <w:r w:rsidR="00201EAC" w:rsidRPr="00964396">
        <w:rPr>
          <w:rFonts w:ascii="Arial" w:eastAsia="Times New Roman" w:hAnsi="Arial" w:cs="Arial"/>
          <w:bCs/>
          <w:lang w:val="es-ES" w:eastAsia="es-CO" w:bidi="es-ES"/>
        </w:rPr>
        <w:t xml:space="preserve">1997 </w:t>
      </w:r>
      <w:r w:rsidR="004E1661" w:rsidRPr="00964396">
        <w:rPr>
          <w:rFonts w:ascii="Arial" w:eastAsia="Times New Roman" w:hAnsi="Arial" w:cs="Arial"/>
          <w:bCs/>
          <w:lang w:val="es-ES" w:eastAsia="es-CO" w:bidi="es-ES"/>
        </w:rPr>
        <w:t xml:space="preserve">de </w:t>
      </w:r>
      <w:r w:rsidR="00201EAC" w:rsidRPr="00964396">
        <w:rPr>
          <w:rFonts w:ascii="Arial" w:eastAsia="Times New Roman" w:hAnsi="Arial" w:cs="Arial"/>
          <w:bCs/>
          <w:lang w:val="es-ES" w:eastAsia="es-CO" w:bidi="es-ES"/>
        </w:rPr>
        <w:t>1998</w:t>
      </w:r>
      <w:r w:rsidR="00B64E72" w:rsidRPr="00964396">
        <w:rPr>
          <w:rFonts w:ascii="Arial" w:eastAsia="Times New Roman" w:hAnsi="Arial" w:cs="Arial"/>
          <w:bCs/>
          <w:lang w:val="es-ES" w:eastAsia="es-CO" w:bidi="es-ES"/>
        </w:rPr>
        <w:t xml:space="preserve">, la Defensa Civil Colombiana es un establecimiento público de orden nacional, dotado con personería jurídica, autonomía administrativa y patrimonio propio, adscrito al </w:t>
      </w:r>
      <w:r w:rsidR="00B64E72" w:rsidRPr="00964396">
        <w:rPr>
          <w:rFonts w:ascii="Arial" w:eastAsia="Times New Roman" w:hAnsi="Arial" w:cs="Arial"/>
          <w:bCs/>
          <w:lang w:val="es-ES" w:eastAsia="es-CO" w:bidi="es-ES"/>
        </w:rPr>
        <w:lastRenderedPageBreak/>
        <w:t>Ministerio de Defensa Nacional</w:t>
      </w:r>
      <w:r w:rsidR="00964396" w:rsidRPr="00964396">
        <w:rPr>
          <w:rFonts w:ascii="Arial" w:eastAsia="Times New Roman" w:hAnsi="Arial" w:cs="Arial"/>
          <w:bCs/>
          <w:vertAlign w:val="superscript"/>
          <w:lang w:val="es-ES" w:eastAsia="es-CO" w:bidi="es-ES"/>
        </w:rPr>
        <w:footnoteReference w:id="26"/>
      </w:r>
      <w:r w:rsidR="00964396" w:rsidRPr="00964396">
        <w:rPr>
          <w:rFonts w:ascii="Arial" w:eastAsia="Times New Roman" w:hAnsi="Arial" w:cs="Arial"/>
          <w:bCs/>
          <w:lang w:val="es-ES" w:eastAsia="es-CO" w:bidi="es-ES"/>
        </w:rPr>
        <w:t xml:space="preserve">, </w:t>
      </w:r>
      <w:r w:rsidR="00201EAC" w:rsidRPr="00964396">
        <w:rPr>
          <w:rFonts w:ascii="Arial" w:eastAsia="Times New Roman" w:hAnsi="Arial" w:cs="Arial"/>
          <w:bCs/>
          <w:lang w:val="es-ES" w:eastAsia="es-CO" w:bidi="es-ES"/>
        </w:rPr>
        <w:t>cuyo ob</w:t>
      </w:r>
      <w:r w:rsidR="00964396">
        <w:rPr>
          <w:rFonts w:ascii="Arial" w:eastAsia="Times New Roman" w:hAnsi="Arial" w:cs="Arial"/>
          <w:bCs/>
          <w:lang w:val="es-ES" w:eastAsia="es-CO" w:bidi="es-ES"/>
        </w:rPr>
        <w:t>j</w:t>
      </w:r>
      <w:r w:rsidR="00201EAC" w:rsidRPr="00964396">
        <w:rPr>
          <w:rFonts w:ascii="Arial" w:eastAsia="Times New Roman" w:hAnsi="Arial" w:cs="Arial"/>
          <w:bCs/>
          <w:lang w:val="es-ES" w:eastAsia="es-CO" w:bidi="es-ES"/>
        </w:rPr>
        <w:t>e</w:t>
      </w:r>
      <w:r w:rsidR="00964396">
        <w:rPr>
          <w:rFonts w:ascii="Arial" w:eastAsia="Times New Roman" w:hAnsi="Arial" w:cs="Arial"/>
          <w:bCs/>
          <w:lang w:val="es-ES" w:eastAsia="es-CO" w:bidi="es-ES"/>
        </w:rPr>
        <w:t>t</w:t>
      </w:r>
      <w:r w:rsidR="00201EAC" w:rsidRPr="00964396">
        <w:rPr>
          <w:rFonts w:ascii="Arial" w:eastAsia="Times New Roman" w:hAnsi="Arial" w:cs="Arial"/>
          <w:bCs/>
          <w:lang w:val="es-ES" w:eastAsia="es-CO" w:bidi="es-ES"/>
        </w:rPr>
        <w:t>o es la prevención inminente y atención inmediata de los desastres, y como integrante del Sistema Nacional para la Prevención y Atención de Desastres, ejecutar los planes, programas, proyectos y acciones específicas que se le atribuyan en el Plan Nacional para la Prevención y Atención de Desastres, así como participar en las actividades de Atención de Desastres o calamidades declaradas, en los términos que se definan en las declaratorias correspondientes y, especialmente, en la fase primaria de atención y control</w:t>
      </w:r>
      <w:r w:rsidR="00DA66D4">
        <w:rPr>
          <w:rStyle w:val="Refdenotaalpie"/>
          <w:rFonts w:ascii="Arial" w:eastAsia="Times New Roman" w:hAnsi="Arial" w:cs="Arial"/>
          <w:bCs/>
          <w:lang w:val="es-ES" w:eastAsia="es-CO" w:bidi="es-ES"/>
        </w:rPr>
        <w:footnoteReference w:id="27"/>
      </w:r>
      <w:r w:rsidR="00201EAC" w:rsidRPr="00964396">
        <w:rPr>
          <w:rFonts w:ascii="Arial" w:eastAsia="Times New Roman" w:hAnsi="Arial" w:cs="Arial"/>
          <w:bCs/>
          <w:lang w:val="es-ES" w:eastAsia="es-CO" w:bidi="es-ES"/>
        </w:rPr>
        <w:t xml:space="preserve">.  </w:t>
      </w:r>
      <w:r>
        <w:rPr>
          <w:rFonts w:ascii="Arial" w:eastAsia="Times New Roman" w:hAnsi="Arial" w:cs="Arial"/>
          <w:bCs/>
          <w:lang w:val="es-ES" w:eastAsia="es-CO" w:bidi="es-ES"/>
        </w:rPr>
        <w:t xml:space="preserve"> </w:t>
      </w:r>
    </w:p>
    <w:p w14:paraId="4CF836C3" w14:textId="6C7F4687" w:rsidR="009F1F01" w:rsidRDefault="009F1F01" w:rsidP="0049494F">
      <w:pPr>
        <w:widowControl w:val="0"/>
        <w:autoSpaceDE w:val="0"/>
        <w:autoSpaceDN w:val="0"/>
        <w:spacing w:after="120" w:line="276" w:lineRule="auto"/>
        <w:ind w:firstLine="708"/>
        <w:jc w:val="both"/>
        <w:rPr>
          <w:rFonts w:ascii="Arial" w:eastAsia="Calibri" w:hAnsi="Arial" w:cs="Arial"/>
          <w:lang w:val="es-MX"/>
        </w:rPr>
      </w:pPr>
      <w:r w:rsidRPr="00A955FF">
        <w:rPr>
          <w:rFonts w:ascii="Arial" w:eastAsia="Times New Roman" w:hAnsi="Arial" w:cs="Arial"/>
          <w:bCs/>
          <w:lang w:val="es-ES" w:eastAsia="es-CO" w:bidi="es-ES"/>
        </w:rPr>
        <w:t xml:space="preserve">Teniendo en cuenta el análisis precedente, de cara a la aplicación de la Ley de Garantías Electorales, </w:t>
      </w:r>
      <w:bookmarkStart w:id="54" w:name="_Hlk98315258"/>
      <w:r w:rsidR="005978A3">
        <w:rPr>
          <w:rFonts w:ascii="Arial" w:eastAsia="Times New Roman" w:hAnsi="Arial" w:cs="Arial"/>
          <w:bCs/>
          <w:lang w:val="es-ES" w:eastAsia="es-CO" w:bidi="es-ES"/>
        </w:rPr>
        <w:t>los establecimientos públicos</w:t>
      </w:r>
      <w:r w:rsidRPr="00A955FF">
        <w:rPr>
          <w:rFonts w:ascii="Arial" w:eastAsia="Times New Roman" w:hAnsi="Arial" w:cs="Arial"/>
          <w:bCs/>
          <w:lang w:val="es-ES" w:eastAsia="es-CO" w:bidi="es-ES"/>
        </w:rPr>
        <w:t>,</w:t>
      </w:r>
      <w:r w:rsidR="005978A3">
        <w:rPr>
          <w:rFonts w:ascii="Arial" w:eastAsia="Times New Roman" w:hAnsi="Arial" w:cs="Arial"/>
          <w:bCs/>
          <w:lang w:val="es-ES" w:eastAsia="es-CO" w:bidi="es-ES"/>
        </w:rPr>
        <w:t xml:space="preserve"> dada su calidad de entes del Estado,</w:t>
      </w:r>
      <w:r w:rsidRPr="00A955FF">
        <w:rPr>
          <w:rFonts w:ascii="Arial" w:eastAsia="Times New Roman" w:hAnsi="Arial" w:cs="Arial"/>
          <w:bCs/>
          <w:lang w:val="es-ES" w:eastAsia="es-CO" w:bidi="es-ES"/>
        </w:rPr>
        <w:t xml:space="preserve"> durante el periodo de aplicación de la prohibición establecida en el artículo 33 de la Ley 996 de 2005</w:t>
      </w:r>
      <w:r>
        <w:rPr>
          <w:rFonts w:ascii="Arial" w:eastAsia="Times New Roman" w:hAnsi="Arial" w:cs="Arial"/>
          <w:bCs/>
          <w:lang w:val="es-ES" w:eastAsia="es-CO" w:bidi="es-ES"/>
        </w:rPr>
        <w:t>,</w:t>
      </w:r>
      <w:r w:rsidRPr="00A955FF">
        <w:rPr>
          <w:rFonts w:ascii="Arial" w:eastAsia="Times New Roman" w:hAnsi="Arial" w:cs="Arial"/>
          <w:bCs/>
          <w:lang w:val="es-ES" w:eastAsia="es-CO" w:bidi="es-ES"/>
        </w:rPr>
        <w:t xml:space="preserve"> podrá</w:t>
      </w:r>
      <w:r>
        <w:rPr>
          <w:rFonts w:ascii="Arial" w:eastAsia="Times New Roman" w:hAnsi="Arial" w:cs="Arial"/>
          <w:bCs/>
          <w:lang w:val="es-ES" w:eastAsia="es-CO" w:bidi="es-ES"/>
        </w:rPr>
        <w:t>n</w:t>
      </w:r>
      <w:r w:rsidRPr="00A955FF">
        <w:rPr>
          <w:rFonts w:ascii="Arial" w:eastAsia="Times New Roman" w:hAnsi="Arial" w:cs="Arial"/>
          <w:bCs/>
          <w:lang w:val="es-ES" w:eastAsia="es-CO" w:bidi="es-ES"/>
        </w:rPr>
        <w:t xml:space="preserve"> celebrar contratos siempre que se realice un procedimiento competitivo, que permita la participación de pluralidad de oferentes. Por el contrario, no le será posible celebrar contratos a través de una contratación directa, entendiendo esta como aquel sistema de selección de contratistas en el que no exista convocatoria pública, ni sea posible la participación de pluralidad de oferentes</w:t>
      </w:r>
      <w:r>
        <w:rPr>
          <w:rFonts w:ascii="Arial" w:eastAsia="Times New Roman" w:hAnsi="Arial" w:cs="Arial"/>
          <w:bCs/>
          <w:lang w:val="es-ES" w:eastAsia="es-CO" w:bidi="es-ES"/>
        </w:rPr>
        <w:t xml:space="preserve">. </w:t>
      </w:r>
    </w:p>
    <w:p w14:paraId="6959BCAA" w14:textId="5D8F7D97" w:rsidR="009F1F01" w:rsidRPr="00A955FF" w:rsidRDefault="009F1F01" w:rsidP="009F1F01">
      <w:pPr>
        <w:widowControl w:val="0"/>
        <w:autoSpaceDE w:val="0"/>
        <w:autoSpaceDN w:val="0"/>
        <w:spacing w:after="120" w:line="276" w:lineRule="auto"/>
        <w:ind w:firstLine="709"/>
        <w:jc w:val="both"/>
        <w:rPr>
          <w:rFonts w:ascii="Arial" w:eastAsia="Times New Roman" w:hAnsi="Arial" w:cs="Arial"/>
          <w:bCs/>
          <w:lang w:val="es-ES" w:eastAsia="es-CO" w:bidi="es-ES"/>
        </w:rPr>
      </w:pPr>
      <w:r w:rsidRPr="00A955FF">
        <w:rPr>
          <w:rFonts w:ascii="Arial" w:eastAsia="Times New Roman" w:hAnsi="Arial" w:cs="Arial"/>
          <w:bCs/>
          <w:lang w:val="es-ES" w:eastAsia="es-CO" w:bidi="es-ES"/>
        </w:rPr>
        <w:t>Ahora bien, las entidades públicas, de acuerdo con el inciso final del artículo 33 de la Ley 996 de 2005 –Ley de Garantías Electorales–, y previo análisis de la naturaleza de las actividades que adelantan, podrán realizar procedimientos de selección directa en períodos previos a la contienda electoral por la Presidencia, cuando el contrato a celebrar se enmarque dentro de algunas de las excepciones consagradas en dicha disposición</w:t>
      </w:r>
      <w:bookmarkEnd w:id="52"/>
      <w:r w:rsidRPr="00A955FF">
        <w:rPr>
          <w:rFonts w:ascii="Arial" w:eastAsia="Times New Roman" w:hAnsi="Arial" w:cs="Arial"/>
          <w:bCs/>
          <w:lang w:val="es-ES" w:eastAsia="es-CO" w:bidi="es-ES"/>
        </w:rPr>
        <w:t>, esto es: i) la defensa y seguridad del Estado; ii) los contratos de crédito público; iii) los requeridos para cubrir las emergencias educativas, sanitarias y desastres; iv)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w:t>
      </w:r>
      <w:r>
        <w:rPr>
          <w:rFonts w:ascii="Arial" w:eastAsia="Times New Roman" w:hAnsi="Arial" w:cs="Arial"/>
          <w:bCs/>
          <w:lang w:val="es-ES" w:eastAsia="es-CO" w:bidi="es-ES"/>
        </w:rPr>
        <w:t xml:space="preserve">. En todo caso, </w:t>
      </w:r>
      <w:r w:rsidRPr="00EB5BB8">
        <w:rPr>
          <w:rFonts w:ascii="Arial" w:hAnsi="Arial" w:cs="Arial"/>
          <w:bCs/>
          <w:lang w:eastAsia="x-none"/>
        </w:rPr>
        <w:t xml:space="preserve">se aclara que, la planeación, los estudios técnicos, jurídicos y económicos, que debe preceder la celebración de cada contrato, y que determinan su viabilidad desde tales perspectivas, son asuntos que competen a las </w:t>
      </w:r>
      <w:r w:rsidRPr="00EB5BB8">
        <w:rPr>
          <w:rFonts w:ascii="Arial" w:hAnsi="Arial" w:cs="Arial"/>
          <w:bCs/>
          <w:lang w:eastAsia="x-none"/>
        </w:rPr>
        <w:lastRenderedPageBreak/>
        <w:t xml:space="preserve">entidades estatales que adelantan lo procesos de contratación respectivos, con el apoyo de sus funcionarios y órganos asesores.   </w:t>
      </w:r>
      <w:r>
        <w:rPr>
          <w:rFonts w:ascii="Arial" w:eastAsia="Times New Roman" w:hAnsi="Arial" w:cs="Arial"/>
          <w:bCs/>
          <w:lang w:val="es-ES" w:eastAsia="es-CO" w:bidi="es-ES"/>
        </w:rPr>
        <w:t xml:space="preserve"> </w:t>
      </w:r>
    </w:p>
    <w:bookmarkEnd w:id="54"/>
    <w:p w14:paraId="5DAC6547" w14:textId="64C080C0" w:rsidR="0011054E" w:rsidRDefault="009F1F01" w:rsidP="0049494F">
      <w:pPr>
        <w:spacing w:after="0" w:line="276" w:lineRule="auto"/>
        <w:contextualSpacing/>
        <w:jc w:val="both"/>
        <w:rPr>
          <w:rFonts w:ascii="Arial" w:eastAsia="Times New Roman" w:hAnsi="Arial" w:cs="Arial"/>
          <w:bCs/>
          <w:lang w:val="es-MX" w:eastAsia="x-none"/>
        </w:rPr>
      </w:pPr>
      <w:r>
        <w:rPr>
          <w:rFonts w:ascii="Arial" w:eastAsia="Times New Roman" w:hAnsi="Arial" w:cs="Arial"/>
          <w:bCs/>
          <w:lang w:val="es-MX" w:eastAsia="x-none"/>
        </w:rPr>
        <w:t xml:space="preserve"> </w:t>
      </w:r>
      <w:bookmarkEnd w:id="51"/>
    </w:p>
    <w:p w14:paraId="0300E070" w14:textId="77777777" w:rsidR="00420C9F" w:rsidRPr="00127322" w:rsidRDefault="00420C9F" w:rsidP="0011054E">
      <w:pPr>
        <w:spacing w:after="0" w:line="276" w:lineRule="auto"/>
        <w:contextualSpacing/>
        <w:jc w:val="both"/>
        <w:rPr>
          <w:rFonts w:ascii="Arial" w:eastAsia="Calibri" w:hAnsi="Arial" w:cs="Arial"/>
          <w:b/>
        </w:rPr>
      </w:pPr>
      <w:r w:rsidRPr="00127322">
        <w:rPr>
          <w:rFonts w:ascii="Arial" w:eastAsia="Calibri" w:hAnsi="Arial" w:cs="Arial"/>
          <w:b/>
        </w:rPr>
        <w:t>3. Respuesta</w:t>
      </w:r>
    </w:p>
    <w:p w14:paraId="53AEE4A1" w14:textId="77777777" w:rsidR="00420C9F" w:rsidRPr="00127322" w:rsidRDefault="00420C9F" w:rsidP="0011054E">
      <w:pPr>
        <w:spacing w:after="0" w:line="276" w:lineRule="auto"/>
        <w:contextualSpacing/>
        <w:jc w:val="both"/>
        <w:rPr>
          <w:rFonts w:ascii="Arial" w:eastAsia="Times New Roman" w:hAnsi="Arial" w:cs="Arial"/>
          <w:lang w:eastAsia="es-ES_tradnl"/>
        </w:rPr>
      </w:pPr>
    </w:p>
    <w:p w14:paraId="6515407F" w14:textId="5BA336B9" w:rsidR="00420C9F" w:rsidRDefault="00420C9F" w:rsidP="0011054E">
      <w:pPr>
        <w:tabs>
          <w:tab w:val="left" w:pos="709"/>
        </w:tabs>
        <w:spacing w:after="0" w:line="240" w:lineRule="auto"/>
        <w:ind w:left="709" w:right="709"/>
        <w:contextualSpacing/>
        <w:jc w:val="both"/>
        <w:rPr>
          <w:rFonts w:ascii="Arial" w:eastAsia="Calibri" w:hAnsi="Arial" w:cs="Arial"/>
          <w:sz w:val="21"/>
          <w:szCs w:val="21"/>
          <w:lang w:val="es-ES" w:eastAsia="es-MX"/>
        </w:rPr>
      </w:pPr>
      <w:r w:rsidRPr="0011054E">
        <w:rPr>
          <w:rFonts w:ascii="Arial" w:eastAsia="Calibri" w:hAnsi="Arial" w:cs="Arial"/>
          <w:sz w:val="21"/>
          <w:szCs w:val="21"/>
          <w:lang w:val="es-ES" w:eastAsia="es-MX"/>
        </w:rPr>
        <w:t xml:space="preserve">«[…] </w:t>
      </w:r>
      <w:r w:rsidR="0011054E" w:rsidRPr="0011054E">
        <w:rPr>
          <w:rFonts w:ascii="Arial" w:eastAsia="Calibri" w:hAnsi="Arial" w:cs="Arial"/>
          <w:sz w:val="21"/>
          <w:szCs w:val="21"/>
          <w:lang w:val="es-ES" w:eastAsia="es-MX"/>
        </w:rPr>
        <w:t xml:space="preserve">Sírvase aclarar si es posible que una Entidad Estatal celebre contratos con una Junta de Defensa Civil (Defensa Civil Colombiana), aun cuando la ley de garantías, en vigencia desde el 29 de enero de 2022, prohíbe la celebración de contratos bajo la modalidad de contratación directa.».     </w:t>
      </w:r>
    </w:p>
    <w:p w14:paraId="1F773E16" w14:textId="77777777" w:rsidR="0011054E" w:rsidRPr="0011054E" w:rsidRDefault="0011054E" w:rsidP="0011054E">
      <w:pPr>
        <w:tabs>
          <w:tab w:val="left" w:pos="709"/>
        </w:tabs>
        <w:spacing w:after="0" w:line="240" w:lineRule="auto"/>
        <w:ind w:left="709" w:right="709"/>
        <w:contextualSpacing/>
        <w:jc w:val="both"/>
        <w:rPr>
          <w:rFonts w:ascii="Arial" w:eastAsia="Calibri" w:hAnsi="Arial" w:cs="Arial"/>
          <w:sz w:val="21"/>
          <w:szCs w:val="21"/>
          <w:lang w:val="es-ES" w:eastAsia="es-MX"/>
        </w:rPr>
      </w:pPr>
    </w:p>
    <w:p w14:paraId="22069D78" w14:textId="45693AF4" w:rsidR="00F82585" w:rsidRPr="00EB5BB8" w:rsidRDefault="00F82585" w:rsidP="00F82585">
      <w:pPr>
        <w:spacing w:after="120" w:line="276" w:lineRule="auto"/>
        <w:jc w:val="both"/>
        <w:rPr>
          <w:rFonts w:ascii="Arial" w:hAnsi="Arial" w:cs="Arial"/>
          <w:bCs/>
          <w:lang w:eastAsia="es-CO"/>
        </w:rPr>
      </w:pPr>
      <w:bookmarkStart w:id="55" w:name="_Hlk57650395"/>
      <w:r w:rsidRPr="00EB5BB8">
        <w:rPr>
          <w:rFonts w:ascii="Arial" w:eastAsia="Calibri" w:hAnsi="Arial" w:cs="Arial"/>
        </w:rPr>
        <w:t xml:space="preserve">De acuerdo con la explicación precedente, en lo relacionado con la restricción del artículo 33 de la </w:t>
      </w:r>
      <w:r w:rsidRPr="00EB5BB8">
        <w:rPr>
          <w:rFonts w:ascii="Arial" w:hAnsi="Arial" w:cs="Arial"/>
          <w:bCs/>
          <w:lang w:eastAsia="es-CO"/>
        </w:rPr>
        <w:t xml:space="preserve">Ley 996 de 2005, es necesario considerar que la aplicación de la prohibición a la contratación directa establecida por esta </w:t>
      </w:r>
      <w:proofErr w:type="gramStart"/>
      <w:r w:rsidRPr="00EB5BB8">
        <w:rPr>
          <w:rFonts w:ascii="Arial" w:hAnsi="Arial" w:cs="Arial"/>
          <w:bCs/>
          <w:lang w:eastAsia="es-CO"/>
        </w:rPr>
        <w:t>norma,</w:t>
      </w:r>
      <w:proofErr w:type="gramEnd"/>
      <w:r w:rsidRPr="00EB5BB8">
        <w:rPr>
          <w:rFonts w:ascii="Arial" w:hAnsi="Arial" w:cs="Arial"/>
          <w:bCs/>
          <w:lang w:eastAsia="es-CO"/>
        </w:rPr>
        <w:t xml:space="preserve"> es indiferente al régimen contractual de las entidades.</w:t>
      </w:r>
      <w:r w:rsidR="00D163EA">
        <w:rPr>
          <w:rFonts w:ascii="Arial" w:hAnsi="Arial" w:cs="Arial"/>
          <w:bCs/>
          <w:lang w:eastAsia="es-CO"/>
        </w:rPr>
        <w:t xml:space="preserve"> </w:t>
      </w:r>
      <w:r w:rsidRPr="00EB5BB8">
        <w:rPr>
          <w:rFonts w:ascii="Arial" w:hAnsi="Arial" w:cs="Arial"/>
          <w:bCs/>
          <w:lang w:eastAsia="es-CO"/>
        </w:rPr>
        <w:t xml:space="preserve">Esto comoquiera que, según lo ha establecido la Sala de Consulta y Servicio Civil del Consejo de Estado «La prohibición contenida en el artículo 33, desde el punto de vista objetivo o material, comprende la contratación directa, entendida como cualquier mecanismo de escogencia del contratista en el que se prescinde de la licitación o concurso, </w:t>
      </w:r>
      <w:r w:rsidRPr="00EB5BB8">
        <w:rPr>
          <w:rFonts w:ascii="Arial" w:hAnsi="Arial" w:cs="Arial"/>
          <w:bCs/>
          <w:i/>
          <w:iCs/>
          <w:lang w:eastAsia="es-CO"/>
        </w:rPr>
        <w:t>sin que se tenga en cuenta por el legislador estatutario el régimen de contratación aplicable, ya sea contenido en el Estatuto General de Contratación de la Administración Pública o uno especial en razón del objeto, del contrato o del órgano que contrata</w:t>
      </w:r>
      <w:r w:rsidRPr="00EB5BB8">
        <w:rPr>
          <w:rFonts w:ascii="Arial" w:hAnsi="Arial" w:cs="Arial"/>
          <w:bCs/>
          <w:lang w:eastAsia="es-CO"/>
        </w:rPr>
        <w:t xml:space="preserve">» (Énfasis fuera de texto). Por tanto, durante la vigencia de la prohibición del artículo 33 de la Ley 996 de 2005 está restringida cualquier modalidad de selección que excluya la pluralidad de oferentes, sin perjuicio de la posibilidad de que se suscriban </w:t>
      </w:r>
      <w:r>
        <w:rPr>
          <w:rFonts w:ascii="Arial" w:hAnsi="Arial" w:cs="Arial"/>
          <w:bCs/>
          <w:lang w:eastAsia="es-CO"/>
        </w:rPr>
        <w:t xml:space="preserve">contratos </w:t>
      </w:r>
      <w:r w:rsidRPr="00EB5BB8">
        <w:rPr>
          <w:rFonts w:ascii="Arial" w:hAnsi="Arial" w:cs="Arial"/>
          <w:bCs/>
          <w:lang w:eastAsia="es-CO"/>
        </w:rPr>
        <w:t xml:space="preserve">en el marco de procesos competitivos.  </w:t>
      </w:r>
    </w:p>
    <w:p w14:paraId="2CD16F81" w14:textId="44AEA825" w:rsidR="00F82585" w:rsidRPr="00A6452F" w:rsidRDefault="00F82585" w:rsidP="00F82585">
      <w:pPr>
        <w:widowControl w:val="0"/>
        <w:autoSpaceDE w:val="0"/>
        <w:autoSpaceDN w:val="0"/>
        <w:spacing w:after="120" w:line="276" w:lineRule="auto"/>
        <w:jc w:val="both"/>
        <w:rPr>
          <w:rFonts w:ascii="Arial" w:eastAsia="Times New Roman" w:hAnsi="Arial" w:cs="Arial"/>
          <w:bCs/>
          <w:lang w:val="es-ES" w:eastAsia="es-CO" w:bidi="es-ES"/>
        </w:rPr>
      </w:pPr>
      <w:r w:rsidRPr="00EB5BB8">
        <w:rPr>
          <w:rFonts w:ascii="Arial" w:hAnsi="Arial" w:cs="Arial"/>
          <w:lang w:eastAsia="es-CO"/>
        </w:rPr>
        <w:tab/>
        <w:t xml:space="preserve">Conforme a esto, independientemente de cual fuere el régimen contractual general  o el especial que resulte aplicable al correspondiente contrato, entidades que constituyen entes del Estado como, por ejemplo, </w:t>
      </w:r>
      <w:r w:rsidR="00D163EA">
        <w:rPr>
          <w:rFonts w:ascii="Arial" w:hAnsi="Arial" w:cs="Arial"/>
          <w:lang w:eastAsia="es-CO"/>
        </w:rPr>
        <w:t xml:space="preserve">la </w:t>
      </w:r>
      <w:r>
        <w:rPr>
          <w:rFonts w:ascii="Arial" w:hAnsi="Arial" w:cs="Arial"/>
          <w:lang w:eastAsia="es-CO"/>
        </w:rPr>
        <w:t>Defensa Civil Colombiana,</w:t>
      </w:r>
      <w:r w:rsidRPr="00EB5BB8">
        <w:rPr>
          <w:rFonts w:ascii="Arial" w:hAnsi="Arial" w:cs="Arial"/>
          <w:lang w:eastAsia="es-CO"/>
        </w:rPr>
        <w:t xml:space="preserve"> para celebrar tales acuerdos en vigencia de la restricción del artículo 33, necesariamente deberán hacerlo como resultado de procesos con pluralidad de oferentes, o en su defecto, en el marco de alguna de las restricciones taxativamente señaladas en el inciso final de la norma</w:t>
      </w:r>
      <w:r w:rsidR="00ED026A">
        <w:rPr>
          <w:rFonts w:ascii="Arial" w:hAnsi="Arial" w:cs="Arial"/>
          <w:lang w:eastAsia="es-CO"/>
        </w:rPr>
        <w:t xml:space="preserve">, dentro de las que se destaca la referida a </w:t>
      </w:r>
      <w:r w:rsidR="0058186E">
        <w:rPr>
          <w:rFonts w:ascii="Arial" w:eastAsia="Times New Roman" w:hAnsi="Arial" w:cs="Arial"/>
          <w:bCs/>
          <w:lang w:val="es-ES" w:eastAsia="es-CO" w:bidi="es-ES"/>
        </w:rPr>
        <w:t xml:space="preserve"> los contratos</w:t>
      </w:r>
      <w:r w:rsidR="00ED026A" w:rsidRPr="00A955FF">
        <w:rPr>
          <w:rFonts w:ascii="Arial" w:eastAsia="Times New Roman" w:hAnsi="Arial" w:cs="Arial"/>
          <w:bCs/>
          <w:lang w:val="es-ES" w:eastAsia="es-CO" w:bidi="es-ES"/>
        </w:rPr>
        <w:t xml:space="preserve"> </w:t>
      </w:r>
      <w:r w:rsidR="0058186E">
        <w:rPr>
          <w:rFonts w:ascii="Arial" w:eastAsia="Times New Roman" w:hAnsi="Arial" w:cs="Arial"/>
          <w:bCs/>
          <w:lang w:val="es-ES" w:eastAsia="es-CO" w:bidi="es-ES"/>
        </w:rPr>
        <w:t>r</w:t>
      </w:r>
      <w:r w:rsidR="00ED026A" w:rsidRPr="00A955FF">
        <w:rPr>
          <w:rFonts w:ascii="Arial" w:eastAsia="Times New Roman" w:hAnsi="Arial" w:cs="Arial"/>
          <w:bCs/>
          <w:lang w:val="es-ES" w:eastAsia="es-CO" w:bidi="es-ES"/>
        </w:rPr>
        <w:t>equeridos para cubrir las emergencias educativas, sanitarias y desastres</w:t>
      </w:r>
      <w:r w:rsidR="0058186E">
        <w:rPr>
          <w:rFonts w:ascii="Arial" w:eastAsia="Times New Roman" w:hAnsi="Arial" w:cs="Arial"/>
          <w:bCs/>
          <w:lang w:val="es-ES" w:eastAsia="es-CO" w:bidi="es-ES"/>
        </w:rPr>
        <w:t>»</w:t>
      </w:r>
      <w:r w:rsidRPr="00EB5BB8">
        <w:rPr>
          <w:rFonts w:ascii="Arial" w:hAnsi="Arial" w:cs="Arial"/>
          <w:lang w:eastAsia="es-CO"/>
        </w:rPr>
        <w:t xml:space="preserve">. De cualquier modo, los análisis y estudios tendientes a determinar la viabilidad jurídica de tales negocios jurídicos competen </w:t>
      </w:r>
      <w:r w:rsidR="00D163EA">
        <w:rPr>
          <w:rFonts w:ascii="Arial" w:hAnsi="Arial" w:cs="Arial"/>
          <w:lang w:eastAsia="es-CO"/>
        </w:rPr>
        <w:t>y deben ser realizados por</w:t>
      </w:r>
      <w:r w:rsidRPr="00EB5BB8">
        <w:rPr>
          <w:rFonts w:ascii="Arial" w:hAnsi="Arial" w:cs="Arial"/>
          <w:lang w:eastAsia="es-CO"/>
        </w:rPr>
        <w:t xml:space="preserve"> las entidades que adelantan los procesos</w:t>
      </w:r>
      <w:r w:rsidR="00D163EA">
        <w:rPr>
          <w:rFonts w:ascii="Arial" w:hAnsi="Arial" w:cs="Arial"/>
          <w:lang w:eastAsia="es-CO"/>
        </w:rPr>
        <w:t xml:space="preserve"> de contrataci</w:t>
      </w:r>
      <w:r w:rsidR="004333D9">
        <w:rPr>
          <w:rFonts w:ascii="Arial" w:hAnsi="Arial" w:cs="Arial"/>
          <w:lang w:eastAsia="es-CO"/>
        </w:rPr>
        <w:t>ó</w:t>
      </w:r>
      <w:r w:rsidR="00D163EA">
        <w:rPr>
          <w:rFonts w:ascii="Arial" w:hAnsi="Arial" w:cs="Arial"/>
          <w:lang w:eastAsia="es-CO"/>
        </w:rPr>
        <w:t>n</w:t>
      </w:r>
      <w:r w:rsidRPr="00EB5BB8">
        <w:rPr>
          <w:rFonts w:ascii="Arial" w:hAnsi="Arial" w:cs="Arial"/>
          <w:lang w:eastAsia="es-CO"/>
        </w:rPr>
        <w:t>.</w:t>
      </w:r>
    </w:p>
    <w:p w14:paraId="63924DC2" w14:textId="77777777" w:rsidR="00201EAC" w:rsidRPr="00B3690A" w:rsidRDefault="00201EAC" w:rsidP="00420C9F">
      <w:pPr>
        <w:spacing w:after="120" w:line="276" w:lineRule="auto"/>
        <w:jc w:val="both"/>
        <w:rPr>
          <w:rFonts w:ascii="Arial" w:eastAsia="Calibri" w:hAnsi="Arial" w:cs="Arial"/>
          <w:bCs/>
          <w:lang w:val="es-ES_tradnl"/>
        </w:rPr>
      </w:pPr>
    </w:p>
    <w:p w14:paraId="601D449D" w14:textId="6CA1F0FA" w:rsidR="00420C9F" w:rsidRPr="00B3690A" w:rsidRDefault="00420C9F" w:rsidP="00420C9F">
      <w:pPr>
        <w:spacing w:after="120" w:line="276" w:lineRule="auto"/>
        <w:jc w:val="both"/>
        <w:rPr>
          <w:rFonts w:ascii="Times New Roman" w:eastAsia="Times New Roman" w:hAnsi="Times New Roman" w:cs="Times New Roman"/>
          <w:lang w:eastAsia="es-ES_tradnl"/>
        </w:rPr>
      </w:pPr>
      <w:r w:rsidRPr="00B3690A">
        <w:rPr>
          <w:rFonts w:ascii="Arial" w:eastAsia="Calibri" w:hAnsi="Arial" w:cs="Arial"/>
        </w:rPr>
        <w:t>Este concepto tiene el alcance previsto en el artículo 28 del Código de Procedimiento Administrativo y de lo Contencioso Administrativo.</w:t>
      </w:r>
      <w:r w:rsidRPr="00B3690A">
        <w:rPr>
          <w:rFonts w:ascii="Arial" w:eastAsia="Calibri" w:hAnsi="Arial" w:cs="Arial"/>
          <w:noProof/>
          <w:lang w:val="en-US"/>
        </w:rPr>
        <mc:AlternateContent>
          <mc:Choice Requires="wps">
            <w:drawing>
              <wp:anchor distT="0" distB="0" distL="114300" distR="114300" simplePos="0" relativeHeight="251656704" behindDoc="0" locked="0" layoutInCell="1" allowOverlap="1" wp14:anchorId="2E9FEEE1" wp14:editId="489C0062">
                <wp:simplePos x="0" y="0"/>
                <wp:positionH relativeFrom="page">
                  <wp:posOffset>1514475</wp:posOffset>
                </wp:positionH>
                <wp:positionV relativeFrom="paragraph">
                  <wp:posOffset>10160</wp:posOffset>
                </wp:positionV>
                <wp:extent cx="4686300" cy="0"/>
                <wp:effectExtent l="0" t="0" r="0" b="0"/>
                <wp:wrapNone/>
                <wp:docPr id="2" name="Conector recto 2"/>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151D74F5" id="Conector recto 2" o:spid="_x0000_s1026" style="position:absolute;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from="119.25pt,.8pt" to="488.2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" strokecolor="#dbdbdb">
                <w10:wrap anchorx="page"/>
              </v:line>
            </w:pict>
          </mc:Fallback>
        </mc:AlternateContent>
      </w:r>
    </w:p>
    <w:p w14:paraId="5DDE22F6" w14:textId="1D0C457D" w:rsidR="00420C9F" w:rsidRPr="00B3690A" w:rsidRDefault="00420C9F" w:rsidP="00420C9F">
      <w:pPr>
        <w:spacing w:after="120" w:line="276" w:lineRule="auto"/>
        <w:jc w:val="both"/>
        <w:rPr>
          <w:rFonts w:ascii="Times New Roman" w:eastAsia="Times New Roman" w:hAnsi="Times New Roman" w:cs="Times New Roman"/>
          <w:lang w:eastAsia="es-ES_tradnl"/>
        </w:rPr>
      </w:pPr>
    </w:p>
    <w:p w14:paraId="2DF00EBC" w14:textId="16BF2FF8" w:rsidR="00420C9F" w:rsidRPr="00B3690A" w:rsidRDefault="00420C9F" w:rsidP="00420C9F">
      <w:pPr>
        <w:spacing w:after="200" w:line="276" w:lineRule="auto"/>
        <w:jc w:val="both"/>
        <w:rPr>
          <w:rFonts w:ascii="Arial" w:eastAsia="Times New Roman" w:hAnsi="Arial" w:cs="Arial"/>
          <w:lang w:eastAsia="es-CO"/>
        </w:rPr>
      </w:pPr>
      <w:r w:rsidRPr="00B3690A">
        <w:rPr>
          <w:rFonts w:ascii="Arial" w:eastAsia="Times New Roman" w:hAnsi="Arial" w:cs="Arial"/>
          <w:lang w:eastAsia="es-CO"/>
        </w:rPr>
        <w:t>Atentamente,</w:t>
      </w:r>
    </w:p>
    <w:bookmarkEnd w:id="1"/>
    <w:bookmarkEnd w:id="55"/>
    <w:p w14:paraId="4C7D8A18" w14:textId="02BDABF6" w:rsidR="00420C9F" w:rsidRDefault="00BD066D" w:rsidP="00BD066D">
      <w:pPr>
        <w:spacing w:after="120" w:line="276" w:lineRule="auto"/>
        <w:contextualSpacing/>
        <w:jc w:val="center"/>
        <w:rPr>
          <w:rFonts w:ascii="Arial" w:eastAsia="Calibri" w:hAnsi="Arial" w:cs="Arial"/>
          <w:b/>
          <w:bCs/>
          <w:sz w:val="20"/>
          <w:szCs w:val="20"/>
          <w:lang w:val="es-MX"/>
        </w:rPr>
      </w:pPr>
      <w:r>
        <w:rPr>
          <w:noProof/>
        </w:rPr>
        <w:drawing>
          <wp:inline distT="0" distB="0" distL="0" distR="0" wp14:anchorId="44E22885" wp14:editId="33394A16">
            <wp:extent cx="2518154" cy="1116000"/>
            <wp:effectExtent l="0" t="0" r="0" b="1905"/>
            <wp:docPr id="1881124724" name="Imagen 1881124724"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extLst>
                        <a:ext uri="{28A0092B-C50C-407E-A947-70E740481C1C}">
                          <a14:useLocalDpi xmlns:a14="http://schemas.microsoft.com/office/drawing/2010/main" val="0"/>
                        </a:ext>
                      </a:extLst>
                    </a:blip>
                    <a:stretch>
                      <a:fillRect/>
                    </a:stretch>
                  </pic:blipFill>
                  <pic:spPr>
                    <a:xfrm>
                      <a:off x="0" y="0"/>
                      <a:ext cx="2518154" cy="1116000"/>
                    </a:xfrm>
                    <a:prstGeom prst="rect">
                      <a:avLst/>
                    </a:prstGeom>
                  </pic:spPr>
                </pic:pic>
              </a:graphicData>
            </a:graphic>
          </wp:inline>
        </w:drawing>
      </w:r>
    </w:p>
    <w:p w14:paraId="417AB277" w14:textId="77777777" w:rsidR="00BD066D" w:rsidRPr="00127322" w:rsidRDefault="00BD066D" w:rsidP="00BD066D">
      <w:pPr>
        <w:spacing w:after="120" w:line="276" w:lineRule="auto"/>
        <w:contextualSpacing/>
        <w:jc w:val="center"/>
        <w:rPr>
          <w:rFonts w:ascii="Arial" w:eastAsia="Calibri" w:hAnsi="Arial" w:cs="Arial"/>
          <w:b/>
          <w:bCs/>
          <w:sz w:val="20"/>
          <w:szCs w:val="20"/>
          <w:lang w:val="es-MX"/>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291"/>
      </w:tblGrid>
      <w:tr w:rsidR="00420C9F" w:rsidRPr="00921F2D" w14:paraId="051C0154" w14:textId="77777777" w:rsidTr="008319F4">
        <w:trPr>
          <w:trHeight w:val="315"/>
        </w:trPr>
        <w:tc>
          <w:tcPr>
            <w:tcW w:w="812" w:type="dxa"/>
            <w:vAlign w:val="center"/>
            <w:hideMark/>
          </w:tcPr>
          <w:p w14:paraId="0727A2F3" w14:textId="77777777" w:rsidR="00420C9F" w:rsidRPr="00721553" w:rsidRDefault="00420C9F" w:rsidP="008319F4">
            <w:pPr>
              <w:rPr>
                <w:rFonts w:ascii="Arial" w:eastAsia="Times New Roman" w:hAnsi="Arial" w:cs="Arial"/>
                <w:sz w:val="16"/>
                <w:szCs w:val="16"/>
                <w:lang w:eastAsia="es-ES"/>
              </w:rPr>
            </w:pPr>
            <w:r w:rsidRPr="00721553">
              <w:rPr>
                <w:rFonts w:ascii="Arial" w:eastAsia="Times New Roman" w:hAnsi="Arial" w:cs="Arial"/>
                <w:sz w:val="16"/>
                <w:szCs w:val="16"/>
                <w:lang w:eastAsia="es-ES"/>
              </w:rPr>
              <w:t>Elaboró:</w:t>
            </w:r>
          </w:p>
        </w:tc>
        <w:tc>
          <w:tcPr>
            <w:tcW w:w="4291" w:type="dxa"/>
            <w:tcBorders>
              <w:top w:val="nil"/>
              <w:left w:val="nil"/>
              <w:bottom w:val="dotted" w:sz="4" w:space="0" w:color="7F7F7F"/>
              <w:right w:val="nil"/>
            </w:tcBorders>
            <w:vAlign w:val="center"/>
            <w:hideMark/>
          </w:tcPr>
          <w:p w14:paraId="16A2EACB" w14:textId="77777777" w:rsidR="00420C9F" w:rsidRPr="00721553" w:rsidRDefault="00420C9F" w:rsidP="008319F4">
            <w:pPr>
              <w:rPr>
                <w:rFonts w:ascii="Arial" w:eastAsia="Times New Roman" w:hAnsi="Arial" w:cs="Arial"/>
                <w:sz w:val="16"/>
                <w:szCs w:val="16"/>
                <w:lang w:eastAsia="es-ES"/>
              </w:rPr>
            </w:pPr>
            <w:r w:rsidRPr="00921F2D">
              <w:rPr>
                <w:rFonts w:ascii="Arial" w:eastAsia="Times New Roman" w:hAnsi="Arial" w:cs="Arial"/>
                <w:sz w:val="16"/>
                <w:szCs w:val="16"/>
                <w:lang w:eastAsia="es-ES"/>
              </w:rPr>
              <w:t>Diana Lucia Saavedra Castañeda</w:t>
            </w:r>
          </w:p>
          <w:p w14:paraId="03162F2A" w14:textId="77777777" w:rsidR="00420C9F" w:rsidRPr="00721553" w:rsidRDefault="00420C9F" w:rsidP="008319F4">
            <w:pPr>
              <w:rPr>
                <w:rFonts w:ascii="Arial" w:eastAsia="Times New Roman" w:hAnsi="Arial" w:cs="Arial"/>
                <w:sz w:val="16"/>
                <w:szCs w:val="16"/>
                <w:lang w:eastAsia="es-ES"/>
              </w:rPr>
            </w:pPr>
            <w:r w:rsidRPr="00921F2D">
              <w:rPr>
                <w:rFonts w:ascii="Arial" w:eastAsia="Times New Roman" w:hAnsi="Arial" w:cs="Arial"/>
                <w:sz w:val="16"/>
                <w:szCs w:val="16"/>
                <w:lang w:eastAsia="es-ES"/>
              </w:rPr>
              <w:t>Contratista</w:t>
            </w:r>
            <w:r w:rsidRPr="00721553">
              <w:rPr>
                <w:rFonts w:ascii="Arial" w:eastAsia="Times New Roman" w:hAnsi="Arial" w:cs="Arial"/>
                <w:sz w:val="16"/>
                <w:szCs w:val="16"/>
                <w:lang w:eastAsia="es-ES"/>
              </w:rPr>
              <w:t xml:space="preserve"> de la Subdirección de Gestión Contractual</w:t>
            </w:r>
          </w:p>
        </w:tc>
      </w:tr>
      <w:tr w:rsidR="00420C9F" w:rsidRPr="00921F2D" w14:paraId="51F1BA8D" w14:textId="77777777" w:rsidTr="008319F4">
        <w:trPr>
          <w:trHeight w:val="330"/>
        </w:trPr>
        <w:tc>
          <w:tcPr>
            <w:tcW w:w="812" w:type="dxa"/>
            <w:vAlign w:val="center"/>
            <w:hideMark/>
          </w:tcPr>
          <w:p w14:paraId="1E6BA74C" w14:textId="77777777" w:rsidR="00420C9F" w:rsidRPr="00721553" w:rsidRDefault="00420C9F" w:rsidP="008319F4">
            <w:pPr>
              <w:rPr>
                <w:rFonts w:ascii="Arial" w:eastAsia="Times New Roman" w:hAnsi="Arial" w:cs="Arial"/>
                <w:sz w:val="16"/>
                <w:szCs w:val="16"/>
                <w:lang w:eastAsia="es-ES"/>
              </w:rPr>
            </w:pPr>
            <w:r w:rsidRPr="00721553">
              <w:rPr>
                <w:rFonts w:ascii="Arial" w:eastAsia="Times New Roman" w:hAnsi="Arial" w:cs="Arial"/>
                <w:sz w:val="16"/>
                <w:szCs w:val="16"/>
                <w:lang w:eastAsia="es-ES"/>
              </w:rPr>
              <w:t>Revisó:</w:t>
            </w:r>
          </w:p>
        </w:tc>
        <w:tc>
          <w:tcPr>
            <w:tcW w:w="4291" w:type="dxa"/>
            <w:tcBorders>
              <w:top w:val="dotted" w:sz="4" w:space="0" w:color="7F7F7F"/>
              <w:left w:val="nil"/>
              <w:bottom w:val="dotted" w:sz="4" w:space="0" w:color="7F7F7F"/>
              <w:right w:val="nil"/>
            </w:tcBorders>
            <w:vAlign w:val="center"/>
            <w:hideMark/>
          </w:tcPr>
          <w:p w14:paraId="22FDC66C" w14:textId="77777777" w:rsidR="00420C9F" w:rsidRPr="001C65B0" w:rsidRDefault="00420C9F" w:rsidP="008319F4">
            <w:pPr>
              <w:rPr>
                <w:rFonts w:eastAsia="Times New Roman"/>
                <w:sz w:val="16"/>
                <w:szCs w:val="16"/>
                <w:lang w:eastAsia="es-ES"/>
              </w:rPr>
            </w:pPr>
            <w:r w:rsidRPr="001C65B0">
              <w:rPr>
                <w:rFonts w:ascii="Arial" w:eastAsia="Times New Roman" w:hAnsi="Arial" w:cs="Arial"/>
                <w:sz w:val="16"/>
                <w:szCs w:val="16"/>
                <w:lang w:eastAsia="es-ES"/>
              </w:rPr>
              <w:t>Alejandro Sarmiento Cantillo</w:t>
            </w:r>
            <w:r w:rsidRPr="001C65B0">
              <w:rPr>
                <w:rFonts w:eastAsia="Times New Roman"/>
                <w:sz w:val="16"/>
                <w:szCs w:val="16"/>
                <w:lang w:eastAsia="es-ES"/>
              </w:rPr>
              <w:t> </w:t>
            </w:r>
          </w:p>
          <w:p w14:paraId="7CB1F42F" w14:textId="77777777" w:rsidR="00420C9F" w:rsidRPr="00721553" w:rsidRDefault="00420C9F" w:rsidP="008319F4">
            <w:pPr>
              <w:rPr>
                <w:rFonts w:ascii="Arial" w:eastAsia="Times New Roman" w:hAnsi="Arial" w:cs="Arial"/>
                <w:sz w:val="16"/>
                <w:szCs w:val="16"/>
                <w:lang w:eastAsia="es-ES"/>
              </w:rPr>
            </w:pPr>
            <w:r w:rsidRPr="00721553">
              <w:rPr>
                <w:rFonts w:ascii="Arial" w:eastAsia="Times New Roman" w:hAnsi="Arial" w:cs="Arial"/>
                <w:sz w:val="16"/>
                <w:szCs w:val="16"/>
                <w:lang w:eastAsia="es-ES"/>
              </w:rPr>
              <w:t>Gestor T1-15 de la Subdirección de Gestión Contractual</w:t>
            </w:r>
          </w:p>
        </w:tc>
      </w:tr>
      <w:tr w:rsidR="00420C9F" w:rsidRPr="00921F2D" w14:paraId="1FBEBDCD" w14:textId="77777777" w:rsidTr="008319F4">
        <w:trPr>
          <w:trHeight w:val="300"/>
        </w:trPr>
        <w:tc>
          <w:tcPr>
            <w:tcW w:w="812" w:type="dxa"/>
            <w:vAlign w:val="center"/>
            <w:hideMark/>
          </w:tcPr>
          <w:p w14:paraId="418EA50A" w14:textId="77777777" w:rsidR="00420C9F" w:rsidRPr="00721553" w:rsidRDefault="00420C9F" w:rsidP="008319F4">
            <w:pPr>
              <w:rPr>
                <w:rFonts w:ascii="Arial" w:eastAsia="Times New Roman" w:hAnsi="Arial" w:cs="Arial"/>
                <w:sz w:val="16"/>
                <w:szCs w:val="16"/>
                <w:lang w:eastAsia="es-ES"/>
              </w:rPr>
            </w:pPr>
            <w:r w:rsidRPr="00721553">
              <w:rPr>
                <w:rFonts w:ascii="Arial" w:eastAsia="Times New Roman" w:hAnsi="Arial" w:cs="Arial"/>
                <w:sz w:val="16"/>
                <w:szCs w:val="16"/>
                <w:lang w:eastAsia="es-ES"/>
              </w:rPr>
              <w:t>Aprobó:</w:t>
            </w:r>
          </w:p>
        </w:tc>
        <w:tc>
          <w:tcPr>
            <w:tcW w:w="4291" w:type="dxa"/>
            <w:tcBorders>
              <w:top w:val="dotted" w:sz="4" w:space="0" w:color="7F7F7F"/>
              <w:left w:val="nil"/>
              <w:bottom w:val="dotted" w:sz="4" w:space="0" w:color="7F7F7F"/>
              <w:right w:val="nil"/>
            </w:tcBorders>
            <w:vAlign w:val="center"/>
            <w:hideMark/>
          </w:tcPr>
          <w:p w14:paraId="185E471A" w14:textId="77777777" w:rsidR="00420C9F" w:rsidRPr="00721553" w:rsidRDefault="00420C9F" w:rsidP="008319F4">
            <w:pPr>
              <w:rPr>
                <w:rFonts w:ascii="Arial" w:eastAsia="Times New Roman" w:hAnsi="Arial" w:cs="Arial"/>
                <w:sz w:val="16"/>
                <w:szCs w:val="16"/>
                <w:lang w:eastAsia="es-ES"/>
              </w:rPr>
            </w:pPr>
            <w:r w:rsidRPr="00721553">
              <w:rPr>
                <w:rFonts w:ascii="Arial" w:eastAsia="Times New Roman" w:hAnsi="Arial" w:cs="Arial"/>
                <w:sz w:val="16"/>
                <w:szCs w:val="16"/>
                <w:lang w:eastAsia="es-ES"/>
              </w:rPr>
              <w:t>Jorge Augusto Tirado Navarro</w:t>
            </w:r>
          </w:p>
          <w:p w14:paraId="73DA7B72" w14:textId="77777777" w:rsidR="00420C9F" w:rsidRPr="00721553" w:rsidRDefault="00420C9F" w:rsidP="008319F4">
            <w:pPr>
              <w:rPr>
                <w:rFonts w:ascii="Arial" w:eastAsia="Times New Roman" w:hAnsi="Arial" w:cs="Arial"/>
                <w:sz w:val="16"/>
                <w:szCs w:val="16"/>
                <w:lang w:eastAsia="es-ES"/>
              </w:rPr>
            </w:pPr>
            <w:r w:rsidRPr="00721553">
              <w:rPr>
                <w:rFonts w:ascii="Arial" w:eastAsia="Times New Roman" w:hAnsi="Arial" w:cs="Arial"/>
                <w:sz w:val="16"/>
                <w:szCs w:val="16"/>
                <w:lang w:eastAsia="es-ES"/>
              </w:rPr>
              <w:t>Subdirector de Gestión Contractual ANCP – CCE</w:t>
            </w:r>
          </w:p>
        </w:tc>
      </w:tr>
      <w:bookmarkEnd w:id="2"/>
    </w:tbl>
    <w:p w14:paraId="73841ED6" w14:textId="77777777" w:rsidR="00420C9F" w:rsidRPr="00127322" w:rsidRDefault="00420C9F" w:rsidP="00420C9F"/>
    <w:p w14:paraId="3525CD7E" w14:textId="77777777" w:rsidR="00CC241C" w:rsidRDefault="00CC241C"/>
    <w:sectPr w:rsidR="00CC241C" w:rsidSect="008319F4">
      <w:headerReference w:type="default" r:id="rId10"/>
      <w:footerReference w:type="default" r:id="rId11"/>
      <w:pgSz w:w="12240" w:h="15840"/>
      <w:pgMar w:top="411" w:right="2317"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02F2BE" w14:textId="77777777" w:rsidR="00A87639" w:rsidRDefault="00A87639" w:rsidP="00420C9F">
      <w:pPr>
        <w:spacing w:after="0" w:line="240" w:lineRule="auto"/>
      </w:pPr>
      <w:r>
        <w:separator/>
      </w:r>
    </w:p>
  </w:endnote>
  <w:endnote w:type="continuationSeparator" w:id="0">
    <w:p w14:paraId="2A825C8C" w14:textId="77777777" w:rsidR="00A87639" w:rsidRDefault="00A87639" w:rsidP="00420C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Lucida Grande">
    <w:altName w:val="Segoe UI"/>
    <w:charset w:val="00"/>
    <w:family w:val="auto"/>
    <w:pitch w:val="variable"/>
    <w:sig w:usb0="E1000AEF" w:usb1="5000A1FF" w:usb2="00000000" w:usb3="00000000" w:csb0="000001B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13BA0D" w14:textId="77777777" w:rsidR="00D163EA" w:rsidRDefault="00D163EA" w:rsidP="008319F4">
    <w:pPr>
      <w:pStyle w:val="Sinespaciado"/>
      <w:rPr>
        <w:rFonts w:ascii="Arial" w:hAnsi="Arial" w:cs="Arial"/>
        <w:sz w:val="18"/>
        <w:szCs w:val="18"/>
      </w:rPr>
    </w:pPr>
  </w:p>
  <w:p w14:paraId="72D560F5" w14:textId="77777777" w:rsidR="00D163EA" w:rsidRDefault="00D163EA" w:rsidP="008319F4">
    <w:pPr>
      <w:pStyle w:val="Sinespaciado"/>
      <w:rPr>
        <w:rFonts w:ascii="Arial" w:hAnsi="Arial" w:cs="Arial"/>
        <w:sz w:val="18"/>
        <w:szCs w:val="18"/>
      </w:rPr>
    </w:pPr>
  </w:p>
  <w:p w14:paraId="7EF587D8" w14:textId="77777777" w:rsidR="00D163EA" w:rsidRPr="00921225" w:rsidRDefault="00D163EA" w:rsidP="008319F4">
    <w:pPr>
      <w:pStyle w:val="Piedepgina"/>
      <w:jc w:val="right"/>
      <w:rPr>
        <w:rFonts w:ascii="Arial" w:hAnsi="Arial" w:cs="Arial"/>
        <w:color w:val="7F7F7F"/>
        <w:sz w:val="16"/>
        <w:szCs w:val="16"/>
      </w:rPr>
    </w:pPr>
    <w:r w:rsidRPr="00921225">
      <w:rPr>
        <w:rFonts w:ascii="Arial" w:hAnsi="Arial" w:cs="Arial"/>
        <w:bCs/>
        <w:color w:val="7F7F7F"/>
        <w:sz w:val="16"/>
        <w:szCs w:val="16"/>
      </w:rPr>
      <w:t xml:space="preserve">Página </w:t>
    </w:r>
    <w:r w:rsidRPr="00921225">
      <w:rPr>
        <w:rFonts w:ascii="Arial" w:hAnsi="Arial" w:cs="Arial"/>
        <w:b/>
        <w:bCs/>
        <w:color w:val="7F7F7F"/>
        <w:sz w:val="16"/>
        <w:szCs w:val="16"/>
      </w:rPr>
      <w:fldChar w:fldCharType="begin"/>
    </w:r>
    <w:r w:rsidRPr="00921225">
      <w:rPr>
        <w:rFonts w:ascii="Arial" w:hAnsi="Arial" w:cs="Arial"/>
        <w:b/>
        <w:bCs/>
        <w:color w:val="7F7F7F"/>
        <w:sz w:val="16"/>
        <w:szCs w:val="16"/>
      </w:rPr>
      <w:instrText>PAGE  \* Arabic  \* MERGEFORMAT</w:instrText>
    </w:r>
    <w:r w:rsidRPr="00921225">
      <w:rPr>
        <w:rFonts w:ascii="Arial" w:hAnsi="Arial" w:cs="Arial"/>
        <w:b/>
        <w:bCs/>
        <w:color w:val="7F7F7F"/>
        <w:sz w:val="16"/>
        <w:szCs w:val="16"/>
      </w:rPr>
      <w:fldChar w:fldCharType="separate"/>
    </w:r>
    <w:r w:rsidR="00DE01F2">
      <w:rPr>
        <w:rFonts w:ascii="Arial" w:hAnsi="Arial" w:cs="Arial"/>
        <w:b/>
        <w:bCs/>
        <w:noProof/>
        <w:color w:val="7F7F7F"/>
        <w:sz w:val="16"/>
        <w:szCs w:val="16"/>
      </w:rPr>
      <w:t>21</w:t>
    </w:r>
    <w:r w:rsidRPr="00921225">
      <w:rPr>
        <w:rFonts w:ascii="Arial" w:hAnsi="Arial" w:cs="Arial"/>
        <w:b/>
        <w:bCs/>
        <w:color w:val="7F7F7F"/>
        <w:sz w:val="16"/>
        <w:szCs w:val="16"/>
      </w:rPr>
      <w:fldChar w:fldCharType="end"/>
    </w:r>
    <w:r w:rsidRPr="00921225">
      <w:rPr>
        <w:rFonts w:ascii="Arial" w:hAnsi="Arial" w:cs="Arial"/>
        <w:color w:val="7F7F7F"/>
        <w:sz w:val="16"/>
        <w:szCs w:val="16"/>
      </w:rPr>
      <w:t xml:space="preserve"> de </w:t>
    </w:r>
    <w:r w:rsidRPr="00921225">
      <w:rPr>
        <w:rFonts w:ascii="Arial" w:hAnsi="Arial" w:cs="Arial"/>
        <w:b/>
        <w:bCs/>
        <w:color w:val="7F7F7F"/>
        <w:sz w:val="16"/>
        <w:szCs w:val="16"/>
      </w:rPr>
      <w:fldChar w:fldCharType="begin"/>
    </w:r>
    <w:r w:rsidRPr="00921225">
      <w:rPr>
        <w:rFonts w:ascii="Arial" w:hAnsi="Arial" w:cs="Arial"/>
        <w:b/>
        <w:bCs/>
        <w:color w:val="7F7F7F"/>
        <w:sz w:val="16"/>
        <w:szCs w:val="16"/>
      </w:rPr>
      <w:instrText>NUMPAGES  \* Arabic  \* MERGEFORMAT</w:instrText>
    </w:r>
    <w:r w:rsidRPr="00921225">
      <w:rPr>
        <w:rFonts w:ascii="Arial" w:hAnsi="Arial" w:cs="Arial"/>
        <w:b/>
        <w:bCs/>
        <w:color w:val="7F7F7F"/>
        <w:sz w:val="16"/>
        <w:szCs w:val="16"/>
      </w:rPr>
      <w:fldChar w:fldCharType="separate"/>
    </w:r>
    <w:r w:rsidR="00DE01F2">
      <w:rPr>
        <w:rFonts w:ascii="Arial" w:hAnsi="Arial" w:cs="Arial"/>
        <w:b/>
        <w:bCs/>
        <w:noProof/>
        <w:color w:val="7F7F7F"/>
        <w:sz w:val="16"/>
        <w:szCs w:val="16"/>
      </w:rPr>
      <w:t>23</w:t>
    </w:r>
    <w:r w:rsidRPr="00921225">
      <w:rPr>
        <w:rFonts w:ascii="Arial" w:hAnsi="Arial" w:cs="Arial"/>
        <w:b/>
        <w:bCs/>
        <w:color w:val="7F7F7F"/>
        <w:sz w:val="16"/>
        <w:szCs w:val="16"/>
      </w:rPr>
      <w:fldChar w:fldCharType="end"/>
    </w:r>
  </w:p>
  <w:p w14:paraId="2C695897" w14:textId="77777777" w:rsidR="00D163EA" w:rsidRDefault="00D163EA" w:rsidP="008319F4">
    <w:pPr>
      <w:pStyle w:val="Piedepgina"/>
      <w:jc w:val="center"/>
      <w:rPr>
        <w:lang w:val="es-ES"/>
      </w:rPr>
    </w:pPr>
    <w:r>
      <w:rPr>
        <w:noProof/>
        <w:lang w:val="en-US"/>
      </w:rPr>
      <w:drawing>
        <wp:inline distT="0" distB="0" distL="0" distR="0" wp14:anchorId="484139BC" wp14:editId="0950AA5B">
          <wp:extent cx="4241994" cy="595165"/>
          <wp:effectExtent l="0" t="0" r="6350" b="0"/>
          <wp:docPr id="6"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2"/>
                  <pic:cNvPicPr/>
                </pic:nvPicPr>
                <pic:blipFill>
                  <a:blip r:embed="rId1">
                    <a:extLst>
                      <a:ext uri="{28A0092B-C50C-407E-A947-70E740481C1C}">
                        <a14:useLocalDpi xmlns:a14="http://schemas.microsoft.com/office/drawing/2010/main" val="0"/>
                      </a:ext>
                    </a:extLst>
                  </a:blip>
                  <a:stretch>
                    <a:fillRect/>
                  </a:stretch>
                </pic:blipFill>
                <pic:spPr>
                  <a:xfrm>
                    <a:off x="0" y="0"/>
                    <a:ext cx="4241994" cy="595165"/>
                  </a:xfrm>
                  <a:prstGeom prst="rect">
                    <a:avLst/>
                  </a:prstGeom>
                </pic:spPr>
              </pic:pic>
            </a:graphicData>
          </a:graphic>
        </wp:inline>
      </w:drawing>
    </w:r>
  </w:p>
  <w:p w14:paraId="60785AB7" w14:textId="77777777" w:rsidR="00D163EA" w:rsidRDefault="00D163EA" w:rsidP="008319F4">
    <w:pPr>
      <w:pStyle w:val="Piedepgina"/>
      <w:jc w:val="center"/>
      <w:rPr>
        <w:lang w:val="es-ES"/>
      </w:rPr>
    </w:pPr>
  </w:p>
  <w:p w14:paraId="043D11B9" w14:textId="77777777" w:rsidR="00D163EA" w:rsidRPr="007B0854" w:rsidRDefault="00D163EA" w:rsidP="008319F4">
    <w:pPr>
      <w:pStyle w:val="Piedepgina"/>
      <w:spacing w:line="120" w:lineRule="auto"/>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D3F1FB" w14:textId="77777777" w:rsidR="00A87639" w:rsidRDefault="00A87639" w:rsidP="00420C9F">
      <w:pPr>
        <w:spacing w:after="0" w:line="240" w:lineRule="auto"/>
      </w:pPr>
      <w:r>
        <w:separator/>
      </w:r>
    </w:p>
  </w:footnote>
  <w:footnote w:type="continuationSeparator" w:id="0">
    <w:p w14:paraId="27AA3421" w14:textId="77777777" w:rsidR="00A87639" w:rsidRDefault="00A87639" w:rsidP="00420C9F">
      <w:pPr>
        <w:spacing w:after="0" w:line="240" w:lineRule="auto"/>
      </w:pPr>
      <w:r>
        <w:continuationSeparator/>
      </w:r>
    </w:p>
  </w:footnote>
  <w:footnote w:id="1">
    <w:p w14:paraId="1982EE07" w14:textId="77777777" w:rsidR="00D163EA" w:rsidRPr="0049494F" w:rsidRDefault="00D163EA" w:rsidP="00420C9F">
      <w:pPr>
        <w:pStyle w:val="Textonotapie"/>
        <w:spacing w:after="0" w:line="240" w:lineRule="auto"/>
        <w:ind w:firstLine="708"/>
        <w:contextualSpacing/>
        <w:rPr>
          <w:rFonts w:ascii="Arial" w:hAnsi="Arial" w:cs="Arial"/>
          <w:sz w:val="18"/>
          <w:szCs w:val="18"/>
        </w:rPr>
      </w:pPr>
      <w:r w:rsidRPr="0049494F">
        <w:rPr>
          <w:rStyle w:val="Refdenotaalpie"/>
          <w:rFonts w:ascii="Arial" w:hAnsi="Arial" w:cs="Arial"/>
          <w:sz w:val="18"/>
          <w:szCs w:val="18"/>
        </w:rPr>
        <w:footnoteRef/>
      </w:r>
      <w:r w:rsidRPr="0049494F">
        <w:rPr>
          <w:rFonts w:ascii="Arial" w:hAnsi="Arial" w:cs="Arial"/>
          <w:sz w:val="18"/>
          <w:szCs w:val="18"/>
        </w:rPr>
        <w:t xml:space="preserve"> «Artículo 3°. Funciones. La Agencia Nacional de Contratación Pública –Colombia Compra Eficiente– ejercerá las siguientes funciones: </w:t>
      </w:r>
    </w:p>
    <w:p w14:paraId="4EF2471A" w14:textId="77777777" w:rsidR="00D163EA" w:rsidRPr="0049494F" w:rsidRDefault="00D163EA" w:rsidP="00420C9F">
      <w:pPr>
        <w:pStyle w:val="Textonotapie"/>
        <w:spacing w:after="0" w:line="240" w:lineRule="auto"/>
        <w:ind w:firstLine="709"/>
        <w:contextualSpacing/>
        <w:rPr>
          <w:rFonts w:ascii="Arial" w:hAnsi="Arial" w:cs="Arial"/>
          <w:sz w:val="18"/>
          <w:szCs w:val="18"/>
          <w:lang w:val="es-ES"/>
        </w:rPr>
      </w:pPr>
      <w:r w:rsidRPr="0049494F">
        <w:rPr>
          <w:rFonts w:ascii="Arial" w:hAnsi="Arial" w:cs="Arial"/>
          <w:sz w:val="18"/>
          <w:szCs w:val="18"/>
          <w:lang w:val="es-ES"/>
        </w:rPr>
        <w:t xml:space="preserve">»[...] </w:t>
      </w:r>
    </w:p>
    <w:p w14:paraId="3F9E9201" w14:textId="77777777" w:rsidR="00D163EA" w:rsidRPr="0049494F" w:rsidRDefault="00D163EA" w:rsidP="00420C9F">
      <w:pPr>
        <w:pStyle w:val="Textonotapie"/>
        <w:spacing w:after="0" w:line="240" w:lineRule="auto"/>
        <w:ind w:firstLine="709"/>
        <w:contextualSpacing/>
        <w:rPr>
          <w:rFonts w:ascii="Arial" w:hAnsi="Arial" w:cs="Arial"/>
          <w:sz w:val="18"/>
          <w:szCs w:val="18"/>
          <w:lang w:val="es-ES"/>
        </w:rPr>
      </w:pPr>
      <w:r w:rsidRPr="0049494F">
        <w:rPr>
          <w:rFonts w:ascii="Arial" w:hAnsi="Arial" w:cs="Arial"/>
          <w:sz w:val="18"/>
          <w:szCs w:val="18"/>
          <w:lang w:val="es-ES"/>
        </w:rPr>
        <w:t xml:space="preserve"> »5. Absolver consultas sobre la aplicación de normas de carácter general y expedir circulares externas en materia de compras y contratación pública».</w:t>
      </w:r>
    </w:p>
    <w:p w14:paraId="4153F6DF" w14:textId="77777777" w:rsidR="00D163EA" w:rsidRPr="0049494F" w:rsidRDefault="00D163EA" w:rsidP="00420C9F">
      <w:pPr>
        <w:pStyle w:val="Textonotapie"/>
        <w:spacing w:after="0" w:line="240" w:lineRule="auto"/>
        <w:ind w:firstLine="709"/>
        <w:contextualSpacing/>
        <w:rPr>
          <w:rFonts w:ascii="Arial" w:hAnsi="Arial" w:cs="Arial"/>
          <w:sz w:val="18"/>
          <w:szCs w:val="18"/>
          <w:lang w:val="es-ES"/>
        </w:rPr>
      </w:pPr>
      <w:r w:rsidRPr="0049494F">
        <w:rPr>
          <w:rFonts w:ascii="Arial" w:eastAsia="Times New Roman" w:hAnsi="Arial" w:cs="Arial"/>
          <w:sz w:val="18"/>
          <w:szCs w:val="18"/>
          <w:lang w:val="es-CO" w:eastAsia="es-ES_tradnl"/>
        </w:rPr>
        <w:t>«</w:t>
      </w:r>
      <w:r w:rsidRPr="0049494F">
        <w:rPr>
          <w:rFonts w:ascii="Arial" w:hAnsi="Arial" w:cs="Arial"/>
          <w:sz w:val="18"/>
          <w:szCs w:val="18"/>
          <w:lang w:val="es-ES"/>
        </w:rPr>
        <w:t xml:space="preserve">Artículo 11. Subdirección de Gestión Contractual. Son funciones de la Subdirección de Gestión Contractual las siguientes: </w:t>
      </w:r>
    </w:p>
    <w:p w14:paraId="4D329FEE" w14:textId="77777777" w:rsidR="00D163EA" w:rsidRPr="0049494F" w:rsidRDefault="00D163EA" w:rsidP="00420C9F">
      <w:pPr>
        <w:pStyle w:val="Textonotapie"/>
        <w:spacing w:after="0" w:line="240" w:lineRule="auto"/>
        <w:ind w:firstLine="709"/>
        <w:contextualSpacing/>
        <w:rPr>
          <w:rFonts w:ascii="Arial" w:hAnsi="Arial" w:cs="Arial"/>
          <w:sz w:val="18"/>
          <w:szCs w:val="18"/>
          <w:lang w:val="es-ES"/>
        </w:rPr>
      </w:pPr>
      <w:r w:rsidRPr="0049494F">
        <w:rPr>
          <w:rFonts w:ascii="Arial" w:hAnsi="Arial" w:cs="Arial"/>
          <w:sz w:val="18"/>
          <w:szCs w:val="18"/>
          <w:lang w:val="es-ES"/>
        </w:rPr>
        <w:t xml:space="preserve">»[...] </w:t>
      </w:r>
    </w:p>
    <w:p w14:paraId="2A2E3BEA" w14:textId="77777777" w:rsidR="00D163EA" w:rsidRPr="0049494F" w:rsidRDefault="00D163EA" w:rsidP="00420C9F">
      <w:pPr>
        <w:pStyle w:val="Textonotapie"/>
        <w:spacing w:after="0" w:line="240" w:lineRule="auto"/>
        <w:ind w:firstLine="708"/>
        <w:contextualSpacing/>
        <w:rPr>
          <w:rFonts w:ascii="Arial" w:hAnsi="Arial" w:cs="Arial"/>
          <w:sz w:val="18"/>
          <w:szCs w:val="18"/>
        </w:rPr>
      </w:pPr>
      <w:r w:rsidRPr="0049494F">
        <w:rPr>
          <w:rFonts w:ascii="Arial" w:eastAsia="Times New Roman" w:hAnsi="Arial" w:cs="Arial"/>
          <w:sz w:val="18"/>
          <w:szCs w:val="18"/>
          <w:lang w:val="es-CO" w:eastAsia="es-ES_tradnl"/>
        </w:rPr>
        <w:t>»</w:t>
      </w:r>
      <w:r w:rsidRPr="0049494F">
        <w:rPr>
          <w:rFonts w:ascii="Arial" w:hAnsi="Arial" w:cs="Arial"/>
          <w:sz w:val="18"/>
          <w:szCs w:val="18"/>
          <w:lang w:val="es-ES"/>
        </w:rPr>
        <w:t>8. Absolver consultas sobre la aplicación de normas de carácter general».</w:t>
      </w:r>
    </w:p>
  </w:footnote>
  <w:footnote w:id="2">
    <w:p w14:paraId="4ABD3A4D" w14:textId="77777777" w:rsidR="00D163EA" w:rsidRPr="0049494F" w:rsidRDefault="00D163EA" w:rsidP="00420C9F">
      <w:pPr>
        <w:pStyle w:val="Textonotapie"/>
        <w:spacing w:after="0" w:line="240" w:lineRule="auto"/>
        <w:ind w:firstLine="709"/>
        <w:contextualSpacing/>
        <w:rPr>
          <w:rFonts w:ascii="Arial" w:hAnsi="Arial" w:cs="Arial"/>
          <w:sz w:val="18"/>
          <w:szCs w:val="18"/>
        </w:rPr>
      </w:pPr>
      <w:r w:rsidRPr="0049494F">
        <w:rPr>
          <w:rStyle w:val="Refdenotaalpie"/>
          <w:rFonts w:ascii="Arial" w:hAnsi="Arial" w:cs="Arial"/>
          <w:sz w:val="18"/>
          <w:szCs w:val="18"/>
        </w:rPr>
        <w:footnoteRef/>
      </w:r>
      <w:r w:rsidRPr="0049494F">
        <w:rPr>
          <w:rFonts w:ascii="Arial" w:hAnsi="Arial" w:cs="Arial"/>
          <w:sz w:val="18"/>
          <w:szCs w:val="18"/>
        </w:rPr>
        <w:t xml:space="preserve"> El artículo 127 de la Constitución Política señala: «Los servidores públicos no podrán celebrar, por si o por interpuesta persona, o en representación de otro, contrato alguno con entidades públicas o con personas privadas que manejen o administren recursos públicos, salvo las excepciones legales. </w:t>
      </w:r>
    </w:p>
    <w:p w14:paraId="587281F3" w14:textId="3CD4FC88" w:rsidR="00D163EA" w:rsidRDefault="00D163EA" w:rsidP="00420C9F">
      <w:pPr>
        <w:pStyle w:val="Textonotapie"/>
        <w:spacing w:after="0" w:line="240" w:lineRule="auto"/>
        <w:ind w:firstLine="709"/>
        <w:contextualSpacing/>
        <w:rPr>
          <w:rFonts w:ascii="Arial" w:hAnsi="Arial" w:cs="Arial"/>
          <w:sz w:val="18"/>
          <w:szCs w:val="18"/>
        </w:rPr>
      </w:pPr>
      <w:proofErr w:type="gramStart"/>
      <w:r w:rsidRPr="0049494F">
        <w:rPr>
          <w:rFonts w:ascii="Arial" w:hAnsi="Arial" w:cs="Arial"/>
          <w:sz w:val="18"/>
          <w:szCs w:val="18"/>
        </w:rPr>
        <w:t>»A</w:t>
      </w:r>
      <w:proofErr w:type="gramEnd"/>
      <w:r w:rsidRPr="0049494F">
        <w:rPr>
          <w:rFonts w:ascii="Arial" w:hAnsi="Arial" w:cs="Arial"/>
          <w:sz w:val="18"/>
          <w:szCs w:val="18"/>
        </w:rPr>
        <w:t xml:space="preserve"> los empleados del Estado que se desempeñen en la Rama Judicial, en los órganos electorales, de control y de seguridad les está prohibido tomar parte en las actividades de los partidos y movimientos y en las controversias políticas, sin perjuicio de ejercer libremente el derecho al sufragio. A los miembros de la Fuerza Pública en servicio activo se les aplican las limitaciones contempladas en el artículo 219 de la Constitución. Los empleados no contemplados en esta prohibición solo podrán participar en dichas actividades y controversias en las condiciones que señale la Ley Estatutaria».</w:t>
      </w:r>
    </w:p>
    <w:p w14:paraId="51E8B9AF" w14:textId="77777777" w:rsidR="00D163EA" w:rsidRPr="0049494F" w:rsidRDefault="00D163EA" w:rsidP="00420C9F">
      <w:pPr>
        <w:pStyle w:val="Textonotapie"/>
        <w:spacing w:after="0" w:line="240" w:lineRule="auto"/>
        <w:ind w:firstLine="709"/>
        <w:contextualSpacing/>
        <w:rPr>
          <w:rFonts w:ascii="Arial" w:hAnsi="Arial" w:cs="Arial"/>
          <w:sz w:val="18"/>
          <w:szCs w:val="18"/>
        </w:rPr>
      </w:pPr>
    </w:p>
  </w:footnote>
  <w:footnote w:id="3">
    <w:p w14:paraId="3BF02949" w14:textId="77777777" w:rsidR="00D163EA" w:rsidRPr="0049494F" w:rsidRDefault="00D163EA" w:rsidP="00420C9F">
      <w:pPr>
        <w:pStyle w:val="Textonotapie"/>
        <w:spacing w:after="0" w:line="240" w:lineRule="auto"/>
        <w:ind w:firstLine="709"/>
        <w:contextualSpacing/>
        <w:rPr>
          <w:rFonts w:ascii="Arial" w:hAnsi="Arial" w:cs="Arial"/>
          <w:sz w:val="18"/>
          <w:szCs w:val="18"/>
        </w:rPr>
      </w:pPr>
      <w:r w:rsidRPr="0049494F">
        <w:rPr>
          <w:rStyle w:val="Refdenotaalpie"/>
          <w:rFonts w:ascii="Arial" w:hAnsi="Arial" w:cs="Arial"/>
          <w:sz w:val="18"/>
          <w:szCs w:val="18"/>
        </w:rPr>
        <w:footnoteRef/>
      </w:r>
      <w:r w:rsidRPr="0049494F">
        <w:rPr>
          <w:rFonts w:ascii="Arial" w:hAnsi="Arial" w:cs="Arial"/>
          <w:sz w:val="18"/>
          <w:szCs w:val="18"/>
        </w:rPr>
        <w:t xml:space="preserve"> Gaceta del Congreso de la República No. 71 del 2005.</w:t>
      </w:r>
    </w:p>
  </w:footnote>
  <w:footnote w:id="4">
    <w:p w14:paraId="076C9F7A" w14:textId="6084E823" w:rsidR="00D163EA" w:rsidRDefault="00D163EA" w:rsidP="00420C9F">
      <w:pPr>
        <w:pStyle w:val="Textonotapie"/>
        <w:spacing w:after="0" w:line="240" w:lineRule="auto"/>
        <w:ind w:firstLine="709"/>
        <w:contextualSpacing/>
        <w:rPr>
          <w:rFonts w:ascii="Arial" w:hAnsi="Arial" w:cs="Arial"/>
          <w:sz w:val="18"/>
          <w:szCs w:val="18"/>
        </w:rPr>
      </w:pPr>
      <w:r w:rsidRPr="0049494F">
        <w:rPr>
          <w:rStyle w:val="Refdenotaalpie"/>
          <w:rFonts w:ascii="Arial" w:hAnsi="Arial" w:cs="Arial"/>
          <w:sz w:val="18"/>
          <w:szCs w:val="18"/>
        </w:rPr>
        <w:footnoteRef/>
      </w:r>
      <w:r w:rsidRPr="0049494F">
        <w:rPr>
          <w:rFonts w:ascii="Arial" w:hAnsi="Arial" w:cs="Arial"/>
          <w:sz w:val="18"/>
          <w:szCs w:val="18"/>
        </w:rPr>
        <w:t xml:space="preserve"> Corte Constitucional, Sentencia C- 1153 de 2005, M.P. Marco Gerardo Monroy Cabra.</w:t>
      </w:r>
    </w:p>
    <w:p w14:paraId="65CA7B87" w14:textId="77777777" w:rsidR="00D163EA" w:rsidRPr="0049494F" w:rsidRDefault="00D163EA" w:rsidP="00420C9F">
      <w:pPr>
        <w:pStyle w:val="Textonotapie"/>
        <w:spacing w:after="0" w:line="240" w:lineRule="auto"/>
        <w:ind w:firstLine="709"/>
        <w:contextualSpacing/>
        <w:rPr>
          <w:rFonts w:ascii="Arial" w:hAnsi="Arial" w:cs="Arial"/>
          <w:sz w:val="18"/>
          <w:szCs w:val="18"/>
        </w:rPr>
      </w:pPr>
    </w:p>
  </w:footnote>
  <w:footnote w:id="5">
    <w:p w14:paraId="6D2EC982" w14:textId="77777777" w:rsidR="00D163EA" w:rsidRPr="0049494F" w:rsidRDefault="00D163EA" w:rsidP="00420C9F">
      <w:pPr>
        <w:pStyle w:val="Textonotapie"/>
        <w:spacing w:after="0" w:line="240" w:lineRule="auto"/>
        <w:ind w:firstLine="708"/>
        <w:contextualSpacing/>
        <w:rPr>
          <w:rFonts w:ascii="Arial" w:hAnsi="Arial" w:cs="Arial"/>
          <w:sz w:val="18"/>
          <w:szCs w:val="18"/>
          <w:lang w:val="es-CO"/>
        </w:rPr>
      </w:pPr>
      <w:r w:rsidRPr="0049494F">
        <w:rPr>
          <w:rStyle w:val="Refdenotaalpie"/>
          <w:rFonts w:ascii="Arial" w:hAnsi="Arial" w:cs="Arial"/>
          <w:sz w:val="18"/>
          <w:szCs w:val="18"/>
        </w:rPr>
        <w:footnoteRef/>
      </w:r>
      <w:r w:rsidRPr="0049494F">
        <w:rPr>
          <w:rFonts w:ascii="Arial" w:hAnsi="Arial" w:cs="Arial"/>
          <w:sz w:val="18"/>
          <w:szCs w:val="18"/>
        </w:rPr>
        <w:t xml:space="preserve"> </w:t>
      </w:r>
      <w:r w:rsidRPr="0049494F">
        <w:rPr>
          <w:rFonts w:ascii="Arial" w:eastAsia="Times New Roman" w:hAnsi="Arial" w:cs="Arial"/>
          <w:bCs/>
          <w:sz w:val="18"/>
          <w:szCs w:val="18"/>
          <w:lang w:eastAsia="es-CO"/>
        </w:rPr>
        <w:t xml:space="preserve">Así mismo, la Sala de Consulta y del Servicio Civil del Consejo de Estado, al referirse a los propósitos de la Ley de Garantías señaló lo siguiente: Los propósitos de la ley 996 de 2005 están encaminados a reducir los espacios de discrecionalidad, impedir la utilización de la burocracia para obtener respaldo de causas o campañas políticas, evitar la inversión de los recursos del erario para estos efectos, impedir que el Presidente en ejercicio, que aspire a ser reelegido, pueda ejercer ventajas frente a los demás candidatos, como también fortalecer la legitimidad y credibilidad del sistema político con garantía del ejercicio de las libertades públicas. El artículo 1º de la ley 996 delimita con claridad la finalidad de </w:t>
      </w:r>
      <w:proofErr w:type="gramStart"/>
      <w:r w:rsidRPr="0049494F">
        <w:rPr>
          <w:rFonts w:ascii="Arial" w:eastAsia="Times New Roman" w:hAnsi="Arial" w:cs="Arial"/>
          <w:bCs/>
          <w:sz w:val="18"/>
          <w:szCs w:val="18"/>
          <w:lang w:eastAsia="es-CO"/>
        </w:rPr>
        <w:t>la misma</w:t>
      </w:r>
      <w:proofErr w:type="gramEnd"/>
      <w:r w:rsidRPr="0049494F">
        <w:rPr>
          <w:rFonts w:ascii="Arial" w:eastAsia="Times New Roman" w:hAnsi="Arial" w:cs="Arial"/>
          <w:bCs/>
          <w:sz w:val="18"/>
          <w:szCs w:val="18"/>
          <w:lang w:eastAsia="es-CO"/>
        </w:rPr>
        <w:t xml:space="preserve"> y la centra en el establecimiento del marco legal destinado a asegurar, de manera terminante, la transparencia del debate electoral a la Presidencia de la República, mediante la garantía de la igualdad de condiciones para los candidatos. (</w:t>
      </w:r>
      <w:r w:rsidRPr="0049494F">
        <w:rPr>
          <w:rStyle w:val="Refdenotaalpie"/>
          <w:rFonts w:ascii="Arial" w:hAnsi="Arial" w:cs="Arial"/>
          <w:sz w:val="18"/>
          <w:szCs w:val="18"/>
          <w:vertAlign w:val="baseline"/>
        </w:rPr>
        <w:t>Consejo de Estado. Sala de Consulta y del Servicio Civil, de fecha 20 de febrero de 2006. Radicado 1724. Concepto del. Magistrado Ponente: Flavio Augusto Rodríguez Arce</w:t>
      </w:r>
      <w:r w:rsidRPr="0049494F">
        <w:rPr>
          <w:rFonts w:ascii="Arial" w:hAnsi="Arial" w:cs="Arial"/>
          <w:sz w:val="18"/>
          <w:szCs w:val="18"/>
        </w:rPr>
        <w:t>)</w:t>
      </w:r>
      <w:r w:rsidRPr="0049494F">
        <w:rPr>
          <w:rStyle w:val="Refdenotaalpie"/>
          <w:rFonts w:ascii="Arial" w:hAnsi="Arial" w:cs="Arial"/>
          <w:sz w:val="18"/>
          <w:szCs w:val="18"/>
          <w:vertAlign w:val="baseline"/>
        </w:rPr>
        <w:t>.</w:t>
      </w:r>
    </w:p>
  </w:footnote>
  <w:footnote w:id="6">
    <w:p w14:paraId="36F5774A" w14:textId="40942086" w:rsidR="00D163EA" w:rsidRDefault="00D163EA" w:rsidP="00420C9F">
      <w:pPr>
        <w:pStyle w:val="Textonotapie"/>
        <w:spacing w:after="0" w:line="240" w:lineRule="auto"/>
        <w:ind w:firstLine="709"/>
        <w:contextualSpacing/>
        <w:rPr>
          <w:rFonts w:ascii="Arial" w:hAnsi="Arial" w:cs="Arial"/>
          <w:sz w:val="18"/>
          <w:szCs w:val="18"/>
        </w:rPr>
      </w:pPr>
      <w:r w:rsidRPr="0049494F">
        <w:rPr>
          <w:rStyle w:val="Refdenotaalpie"/>
          <w:rFonts w:ascii="Arial" w:hAnsi="Arial" w:cs="Arial"/>
          <w:sz w:val="18"/>
          <w:szCs w:val="18"/>
        </w:rPr>
        <w:footnoteRef/>
      </w:r>
      <w:r w:rsidRPr="0049494F">
        <w:rPr>
          <w:rFonts w:ascii="Arial" w:hAnsi="Arial" w:cs="Arial"/>
          <w:sz w:val="18"/>
          <w:szCs w:val="18"/>
        </w:rPr>
        <w:t xml:space="preserve"> Corte Constitucional. Sentencias: C-233 de 4 de abril de 2002, expediente: D-3704; C-551 de 9 de julio de 2003, expediente: CRF-001 de 9 de julio de 2003; C-652 de 5 de agosto de 2003, expediente: D-4330; C-353 de 20 de mayo de 2009, expediente: D-7518, C-541 de 30 de junio de 2010, expediente: DD7966; entre otras.</w:t>
      </w:r>
    </w:p>
    <w:p w14:paraId="0DB09A36" w14:textId="77777777" w:rsidR="00D163EA" w:rsidRPr="0049494F" w:rsidRDefault="00D163EA" w:rsidP="00420C9F">
      <w:pPr>
        <w:pStyle w:val="Textonotapie"/>
        <w:spacing w:after="0" w:line="240" w:lineRule="auto"/>
        <w:ind w:firstLine="709"/>
        <w:contextualSpacing/>
        <w:rPr>
          <w:rFonts w:ascii="Arial" w:hAnsi="Arial" w:cs="Arial"/>
          <w:sz w:val="18"/>
          <w:szCs w:val="18"/>
        </w:rPr>
      </w:pPr>
    </w:p>
  </w:footnote>
  <w:footnote w:id="7">
    <w:p w14:paraId="01EE1D7D" w14:textId="77777777" w:rsidR="00D163EA" w:rsidRPr="0049494F" w:rsidRDefault="00D163EA" w:rsidP="00420C9F">
      <w:pPr>
        <w:pStyle w:val="Textonotapie"/>
        <w:spacing w:after="0" w:line="240" w:lineRule="auto"/>
        <w:ind w:firstLine="709"/>
        <w:contextualSpacing/>
        <w:rPr>
          <w:rFonts w:ascii="Arial" w:hAnsi="Arial" w:cs="Arial"/>
          <w:sz w:val="18"/>
          <w:szCs w:val="18"/>
          <w:lang w:val="es-CO"/>
        </w:rPr>
      </w:pPr>
      <w:r w:rsidRPr="0049494F">
        <w:rPr>
          <w:rStyle w:val="Refdenotaalpie"/>
          <w:rFonts w:ascii="Arial" w:hAnsi="Arial" w:cs="Arial"/>
          <w:sz w:val="18"/>
          <w:szCs w:val="18"/>
        </w:rPr>
        <w:footnoteRef/>
      </w:r>
      <w:r w:rsidRPr="0049494F">
        <w:rPr>
          <w:rFonts w:ascii="Arial" w:hAnsi="Arial" w:cs="Arial"/>
          <w:sz w:val="18"/>
          <w:szCs w:val="18"/>
          <w:lang w:val="es-CO"/>
        </w:rPr>
        <w:t xml:space="preserve"> Consejo de Estado, Sala de lo Contencioso Administrativo, Sección Primera. Sentencia de 3 de marzo de 2005, expediente número 2004-00823-01(PI). Ver también, de la Sección Tercera. Sentencia de 22 de enero de 2002, expediente número 2001-0148-01 y, Sección Tercera. Sentencia de 20 de noviembre de 2001, expediente número 2001-0130-01(PI), entre otras.</w:t>
      </w:r>
    </w:p>
  </w:footnote>
  <w:footnote w:id="8">
    <w:p w14:paraId="0FD02B3F" w14:textId="77777777" w:rsidR="00D163EA" w:rsidRDefault="00D163EA" w:rsidP="00420C9F">
      <w:pPr>
        <w:pStyle w:val="Textonotapie"/>
        <w:spacing w:after="0" w:line="240" w:lineRule="auto"/>
        <w:ind w:firstLine="709"/>
        <w:contextualSpacing/>
        <w:rPr>
          <w:rFonts w:ascii="Arial" w:hAnsi="Arial" w:cs="Arial"/>
          <w:sz w:val="18"/>
          <w:szCs w:val="18"/>
        </w:rPr>
      </w:pPr>
    </w:p>
    <w:p w14:paraId="26EE0274" w14:textId="4B18C1D0" w:rsidR="00D163EA" w:rsidRPr="0049494F" w:rsidRDefault="00D163EA" w:rsidP="00420C9F">
      <w:pPr>
        <w:pStyle w:val="Textonotapie"/>
        <w:spacing w:after="0" w:line="240" w:lineRule="auto"/>
        <w:ind w:firstLine="709"/>
        <w:contextualSpacing/>
        <w:rPr>
          <w:rFonts w:ascii="Arial" w:hAnsi="Arial" w:cs="Arial"/>
          <w:sz w:val="18"/>
          <w:szCs w:val="18"/>
        </w:rPr>
      </w:pPr>
      <w:r w:rsidRPr="0049494F">
        <w:rPr>
          <w:rStyle w:val="Refdenotaalpie"/>
          <w:rFonts w:ascii="Arial" w:hAnsi="Arial" w:cs="Arial"/>
          <w:sz w:val="18"/>
          <w:szCs w:val="18"/>
        </w:rPr>
        <w:footnoteRef/>
      </w:r>
      <w:r w:rsidRPr="0049494F">
        <w:rPr>
          <w:rFonts w:ascii="Arial" w:hAnsi="Arial" w:cs="Arial"/>
          <w:sz w:val="18"/>
          <w:szCs w:val="18"/>
        </w:rPr>
        <w:t xml:space="preserve"> Consejo de Estado, Sala de Consulta y Servicio Civil de fecha 24 de julio de 2013, radicado 2166, </w:t>
      </w:r>
      <w:proofErr w:type="gramStart"/>
      <w:r w:rsidRPr="0049494F">
        <w:rPr>
          <w:rFonts w:ascii="Arial" w:hAnsi="Arial" w:cs="Arial"/>
          <w:sz w:val="18"/>
          <w:szCs w:val="18"/>
        </w:rPr>
        <w:t>Consejero</w:t>
      </w:r>
      <w:proofErr w:type="gramEnd"/>
      <w:r w:rsidRPr="0049494F">
        <w:rPr>
          <w:rFonts w:ascii="Arial" w:hAnsi="Arial" w:cs="Arial"/>
          <w:sz w:val="18"/>
          <w:szCs w:val="18"/>
        </w:rPr>
        <w:t xml:space="preserve"> Ponente: Álvaro Namén Vargas.  </w:t>
      </w:r>
    </w:p>
  </w:footnote>
  <w:footnote w:id="9">
    <w:p w14:paraId="13E0DEE8" w14:textId="77777777" w:rsidR="00D163EA" w:rsidRPr="0049494F" w:rsidRDefault="00D163EA" w:rsidP="00420C9F">
      <w:pPr>
        <w:spacing w:after="0" w:line="240" w:lineRule="auto"/>
        <w:ind w:firstLine="709"/>
        <w:contextualSpacing/>
        <w:jc w:val="both"/>
        <w:rPr>
          <w:rFonts w:ascii="Arial" w:eastAsia="Times New Roman" w:hAnsi="Arial" w:cs="Arial"/>
          <w:sz w:val="18"/>
          <w:szCs w:val="18"/>
        </w:rPr>
      </w:pPr>
      <w:r w:rsidRPr="0049494F">
        <w:rPr>
          <w:rStyle w:val="Refdenotaalpie"/>
          <w:rFonts w:ascii="Arial" w:hAnsi="Arial" w:cs="Arial"/>
          <w:sz w:val="18"/>
          <w:szCs w:val="18"/>
        </w:rPr>
        <w:footnoteRef/>
      </w:r>
      <w:r w:rsidRPr="0049494F">
        <w:rPr>
          <w:rFonts w:ascii="Arial" w:hAnsi="Arial" w:cs="Arial"/>
          <w:sz w:val="18"/>
          <w:szCs w:val="18"/>
        </w:rPr>
        <w:t xml:space="preserve"> </w:t>
      </w:r>
      <w:bookmarkStart w:id="8" w:name="33"/>
      <w:r w:rsidRPr="0049494F">
        <w:rPr>
          <w:rFonts w:ascii="Arial" w:eastAsia="Calibri" w:hAnsi="Arial" w:cs="Arial"/>
          <w:bCs/>
          <w:color w:val="000000"/>
          <w:sz w:val="18"/>
          <w:szCs w:val="18"/>
        </w:rPr>
        <w:t>«</w:t>
      </w:r>
      <w:r w:rsidRPr="0049494F">
        <w:rPr>
          <w:rFonts w:ascii="Arial" w:eastAsia="Times New Roman" w:hAnsi="Arial" w:cs="Arial"/>
          <w:sz w:val="18"/>
          <w:szCs w:val="18"/>
        </w:rPr>
        <w:t>Artículo 33. Restricciones a la contratación pública.</w:t>
      </w:r>
      <w:bookmarkEnd w:id="8"/>
      <w:r w:rsidRPr="0049494F">
        <w:rPr>
          <w:rFonts w:ascii="Arial" w:eastAsia="Times New Roman" w:hAnsi="Arial" w:cs="Arial"/>
          <w:sz w:val="18"/>
          <w:szCs w:val="18"/>
        </w:rPr>
        <w:t> Durante los cuatro (4) meses anteriores a la elección presidencial y hasta la realización de la elección en la segunda vuelta, si fuere el caso, queda prohibida la contratación directa por parte de todos los entes del Estado.</w:t>
      </w:r>
    </w:p>
    <w:p w14:paraId="34D42EB1" w14:textId="77777777" w:rsidR="00D163EA" w:rsidRPr="0049494F" w:rsidRDefault="00D163EA" w:rsidP="00420C9F">
      <w:pPr>
        <w:spacing w:after="0" w:line="240" w:lineRule="auto"/>
        <w:ind w:firstLine="709"/>
        <w:contextualSpacing/>
        <w:jc w:val="both"/>
        <w:rPr>
          <w:rFonts w:ascii="Arial" w:eastAsia="Times New Roman" w:hAnsi="Arial" w:cs="Arial"/>
          <w:sz w:val="18"/>
          <w:szCs w:val="18"/>
        </w:rPr>
      </w:pPr>
      <w:r w:rsidRPr="0049494F">
        <w:rPr>
          <w:rFonts w:ascii="Arial" w:eastAsia="Calibri" w:hAnsi="Arial" w:cs="Arial"/>
          <w:bCs/>
          <w:color w:val="000000"/>
          <w:sz w:val="18"/>
          <w:szCs w:val="18"/>
        </w:rPr>
        <w:t>»</w:t>
      </w:r>
      <w:r w:rsidRPr="0049494F">
        <w:rPr>
          <w:rFonts w:ascii="Arial" w:eastAsia="Times New Roman" w:hAnsi="Arial" w:cs="Arial"/>
          <w:sz w:val="18"/>
          <w:szCs w:val="18"/>
        </w:rPr>
        <w:t xml:space="preserve"> Queda exceptuado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49494F">
        <w:rPr>
          <w:rFonts w:ascii="Arial" w:eastAsia="Calibri" w:hAnsi="Arial" w:cs="Arial"/>
          <w:bCs/>
          <w:color w:val="000000"/>
          <w:sz w:val="18"/>
          <w:szCs w:val="18"/>
        </w:rPr>
        <w:t>»</w:t>
      </w:r>
      <w:r w:rsidRPr="0049494F">
        <w:rPr>
          <w:rFonts w:ascii="Arial" w:eastAsia="Times New Roman" w:hAnsi="Arial" w:cs="Arial"/>
          <w:sz w:val="18"/>
          <w:szCs w:val="18"/>
        </w:rPr>
        <w:t>.</w:t>
      </w:r>
    </w:p>
  </w:footnote>
  <w:footnote w:id="10">
    <w:p w14:paraId="4B100FEC" w14:textId="77777777" w:rsidR="00D163EA" w:rsidRPr="0049494F" w:rsidRDefault="00D163EA" w:rsidP="00420C9F">
      <w:pPr>
        <w:pStyle w:val="NormalWeb"/>
        <w:spacing w:before="0" w:beforeAutospacing="0" w:after="0" w:afterAutospacing="0" w:line="240" w:lineRule="auto"/>
        <w:ind w:firstLine="709"/>
        <w:contextualSpacing/>
        <w:rPr>
          <w:rFonts w:ascii="Arial" w:hAnsi="Arial" w:cs="Arial"/>
          <w:sz w:val="18"/>
          <w:szCs w:val="18"/>
          <w:lang w:val="es-MX"/>
        </w:rPr>
      </w:pPr>
      <w:r w:rsidRPr="0049494F">
        <w:rPr>
          <w:rStyle w:val="Refdenotaalpie"/>
          <w:rFonts w:ascii="Arial" w:hAnsi="Arial" w:cs="Arial"/>
          <w:sz w:val="18"/>
          <w:szCs w:val="18"/>
        </w:rPr>
        <w:footnoteRef/>
      </w:r>
      <w:r w:rsidRPr="0049494F">
        <w:rPr>
          <w:rFonts w:ascii="Arial" w:hAnsi="Arial" w:cs="Arial"/>
          <w:sz w:val="18"/>
          <w:szCs w:val="18"/>
        </w:rPr>
        <w:t xml:space="preserve"> </w:t>
      </w:r>
      <w:bookmarkStart w:id="9" w:name="38"/>
      <w:r w:rsidRPr="0049494F">
        <w:rPr>
          <w:rFonts w:ascii="Arial" w:eastAsia="Calibri" w:hAnsi="Arial" w:cs="Arial"/>
          <w:bCs/>
          <w:color w:val="000000"/>
          <w:sz w:val="18"/>
          <w:szCs w:val="18"/>
        </w:rPr>
        <w:t>«</w:t>
      </w:r>
      <w:r w:rsidRPr="0049494F">
        <w:rPr>
          <w:rFonts w:ascii="Arial" w:hAnsi="Arial" w:cs="Arial"/>
          <w:sz w:val="18"/>
          <w:szCs w:val="18"/>
          <w:lang w:val="es-MX"/>
        </w:rPr>
        <w:t>Artículo 38. Prohibiciones para los servidores públicos. A los empleados del Estado les está prohibido:</w:t>
      </w:r>
      <w:bookmarkEnd w:id="9"/>
    </w:p>
    <w:p w14:paraId="423F9F7C" w14:textId="77777777" w:rsidR="00D163EA" w:rsidRPr="0049494F" w:rsidRDefault="00D163EA" w:rsidP="00420C9F">
      <w:pPr>
        <w:pStyle w:val="NormalWeb"/>
        <w:spacing w:before="0" w:beforeAutospacing="0" w:after="0" w:afterAutospacing="0" w:line="240" w:lineRule="auto"/>
        <w:ind w:firstLine="709"/>
        <w:contextualSpacing/>
        <w:rPr>
          <w:rFonts w:ascii="Arial" w:hAnsi="Arial" w:cs="Arial"/>
          <w:sz w:val="18"/>
          <w:szCs w:val="18"/>
          <w:lang w:val="es-MX"/>
        </w:rPr>
      </w:pPr>
      <w:r w:rsidRPr="0049494F">
        <w:rPr>
          <w:rFonts w:ascii="Arial" w:eastAsia="Calibri" w:hAnsi="Arial" w:cs="Arial"/>
          <w:bCs/>
          <w:color w:val="000000"/>
          <w:sz w:val="18"/>
          <w:szCs w:val="18"/>
        </w:rPr>
        <w:t>»</w:t>
      </w:r>
      <w:r w:rsidRPr="0049494F">
        <w:rPr>
          <w:rFonts w:ascii="Arial" w:hAnsi="Arial" w:cs="Arial"/>
          <w:sz w:val="18"/>
          <w:szCs w:val="18"/>
          <w:lang w:val="es-MX"/>
        </w:rPr>
        <w:t xml:space="preserve"> […]</w:t>
      </w:r>
    </w:p>
    <w:p w14:paraId="1DD62E38" w14:textId="77777777" w:rsidR="00D163EA" w:rsidRPr="0049494F" w:rsidRDefault="00D163EA" w:rsidP="00420C9F">
      <w:pPr>
        <w:pStyle w:val="NormalWeb"/>
        <w:spacing w:before="0" w:beforeAutospacing="0" w:after="0" w:afterAutospacing="0" w:line="240" w:lineRule="auto"/>
        <w:ind w:firstLine="709"/>
        <w:contextualSpacing/>
        <w:rPr>
          <w:rFonts w:ascii="Arial" w:hAnsi="Arial" w:cs="Arial"/>
          <w:sz w:val="18"/>
          <w:szCs w:val="18"/>
          <w:lang w:val="es-MX"/>
        </w:rPr>
      </w:pPr>
      <w:r w:rsidRPr="0049494F">
        <w:rPr>
          <w:rFonts w:ascii="Arial" w:eastAsia="Calibri" w:hAnsi="Arial" w:cs="Arial"/>
          <w:bCs/>
          <w:color w:val="000000"/>
          <w:sz w:val="18"/>
          <w:szCs w:val="18"/>
        </w:rPr>
        <w:t>»</w:t>
      </w:r>
      <w:r w:rsidRPr="0049494F">
        <w:rPr>
          <w:rStyle w:val="baj"/>
          <w:rFonts w:ascii="Arial" w:hAnsi="Arial" w:cs="Arial"/>
          <w:sz w:val="18"/>
          <w:szCs w:val="18"/>
          <w:lang w:val="es-MX"/>
        </w:rPr>
        <w:t xml:space="preserve"> Parágrafo.</w:t>
      </w:r>
      <w:r w:rsidRPr="0049494F">
        <w:rPr>
          <w:rFonts w:ascii="Arial" w:hAnsi="Arial" w:cs="Arial"/>
          <w:sz w:val="18"/>
          <w:szCs w:val="18"/>
          <w:lang w:val="es-MX"/>
        </w:rPr>
        <w:t>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49494F">
        <w:rPr>
          <w:rFonts w:ascii="Arial" w:eastAsia="Calibri" w:hAnsi="Arial" w:cs="Arial"/>
          <w:bCs/>
          <w:color w:val="000000"/>
          <w:sz w:val="18"/>
          <w:szCs w:val="18"/>
        </w:rPr>
        <w:t>»</w:t>
      </w:r>
      <w:r w:rsidRPr="0049494F">
        <w:rPr>
          <w:rFonts w:ascii="Arial" w:hAnsi="Arial" w:cs="Arial"/>
          <w:sz w:val="18"/>
          <w:szCs w:val="18"/>
          <w:lang w:val="es-MX"/>
        </w:rPr>
        <w:t>.</w:t>
      </w:r>
    </w:p>
  </w:footnote>
  <w:footnote w:id="11">
    <w:p w14:paraId="3CB7C979" w14:textId="77777777" w:rsidR="00D163EA" w:rsidRPr="0049494F" w:rsidRDefault="00D163EA" w:rsidP="00420C9F">
      <w:pPr>
        <w:spacing w:after="0" w:line="240" w:lineRule="auto"/>
        <w:ind w:left="100" w:right="244" w:firstLine="709"/>
        <w:contextualSpacing/>
        <w:jc w:val="both"/>
        <w:rPr>
          <w:rFonts w:ascii="Arial" w:hAnsi="Arial" w:cs="Arial"/>
          <w:sz w:val="18"/>
          <w:szCs w:val="18"/>
          <w:lang w:val="es-ES"/>
        </w:rPr>
      </w:pPr>
      <w:r w:rsidRPr="0049494F">
        <w:rPr>
          <w:rStyle w:val="Refdenotaalpie"/>
          <w:rFonts w:ascii="Arial" w:hAnsi="Arial" w:cs="Arial"/>
          <w:sz w:val="18"/>
          <w:szCs w:val="18"/>
        </w:rPr>
        <w:footnoteRef/>
      </w:r>
      <w:r w:rsidRPr="0049494F">
        <w:rPr>
          <w:rFonts w:ascii="Arial" w:hAnsi="Arial" w:cs="Arial"/>
          <w:sz w:val="18"/>
          <w:szCs w:val="18"/>
        </w:rPr>
        <w:t xml:space="preserve"> Consejo de Estado. Sala de Consulta y Servicio Civil. Concepto del 17 de febrero de 2015. C.P. William Zambrano Cetina. Radicación No. 11001-03-06-000-2015-00164-00(2269).</w:t>
      </w:r>
    </w:p>
  </w:footnote>
  <w:footnote w:id="12">
    <w:p w14:paraId="71B90A76" w14:textId="77777777" w:rsidR="00D163EA" w:rsidRPr="0049494F" w:rsidRDefault="00D163EA" w:rsidP="00420C9F">
      <w:pPr>
        <w:pStyle w:val="Textonotapie"/>
        <w:spacing w:after="0" w:line="240" w:lineRule="auto"/>
        <w:ind w:right="51" w:firstLine="709"/>
        <w:contextualSpacing/>
        <w:rPr>
          <w:rFonts w:ascii="Arial" w:hAnsi="Arial" w:cs="Arial"/>
          <w:sz w:val="18"/>
          <w:szCs w:val="18"/>
        </w:rPr>
      </w:pPr>
      <w:r w:rsidRPr="0049494F">
        <w:rPr>
          <w:rStyle w:val="Refdenotaalpie"/>
          <w:rFonts w:ascii="Arial" w:hAnsi="Arial" w:cs="Arial"/>
          <w:sz w:val="18"/>
          <w:szCs w:val="18"/>
        </w:rPr>
        <w:footnoteRef/>
      </w:r>
      <w:r w:rsidRPr="0049494F">
        <w:rPr>
          <w:rFonts w:ascii="Arial" w:hAnsi="Arial" w:cs="Arial"/>
          <w:sz w:val="18"/>
          <w:szCs w:val="18"/>
        </w:rPr>
        <w:t xml:space="preserve"> </w:t>
      </w:r>
      <w:bookmarkStart w:id="15" w:name="_Hlk74272731"/>
      <w:r w:rsidRPr="0049494F">
        <w:rPr>
          <w:rFonts w:ascii="Arial" w:hAnsi="Arial" w:cs="Arial"/>
          <w:sz w:val="18"/>
          <w:szCs w:val="18"/>
        </w:rPr>
        <w:t>«</w:t>
      </w:r>
      <w:bookmarkEnd w:id="15"/>
      <w:r w:rsidRPr="0049494F">
        <w:rPr>
          <w:rFonts w:ascii="Arial" w:hAnsi="Arial" w:cs="Arial"/>
          <w:sz w:val="18"/>
          <w:szCs w:val="18"/>
          <w:lang w:val="es-ES"/>
        </w:rPr>
        <w:t xml:space="preserve">[25] </w:t>
      </w:r>
      <w:r w:rsidRPr="0049494F">
        <w:rPr>
          <w:rFonts w:ascii="Arial" w:hAnsi="Arial" w:cs="Arial"/>
          <w:sz w:val="18"/>
          <w:szCs w:val="18"/>
        </w:rPr>
        <w:t>Cfr. Consejo de Estado. Sección Tercera. Sentencia de 3 de diciembre de 2007. Radicados: 24.715, 25.206, 25.409, 24.524, 27.834, 25.410, 26.105, 28.244, 31.447 -acumulados-</w:t>
      </w:r>
      <w:bookmarkStart w:id="16" w:name="_Hlk74271358"/>
      <w:r w:rsidRPr="0049494F">
        <w:rPr>
          <w:rFonts w:ascii="Arial" w:hAnsi="Arial" w:cs="Arial"/>
          <w:sz w:val="18"/>
          <w:szCs w:val="18"/>
        </w:rPr>
        <w:t>»</w:t>
      </w:r>
      <w:bookmarkEnd w:id="16"/>
      <w:r w:rsidRPr="0049494F">
        <w:rPr>
          <w:rFonts w:ascii="Arial" w:hAnsi="Arial" w:cs="Arial"/>
          <w:sz w:val="18"/>
          <w:szCs w:val="18"/>
        </w:rPr>
        <w:t>.</w:t>
      </w:r>
    </w:p>
  </w:footnote>
  <w:footnote w:id="13">
    <w:p w14:paraId="62D33319" w14:textId="77777777" w:rsidR="00D163EA" w:rsidRPr="0049494F" w:rsidRDefault="00D163EA" w:rsidP="00420C9F">
      <w:pPr>
        <w:pStyle w:val="Textonotapie"/>
        <w:spacing w:after="0" w:line="240" w:lineRule="auto"/>
        <w:ind w:right="51" w:firstLine="709"/>
        <w:contextualSpacing/>
        <w:rPr>
          <w:rFonts w:ascii="Arial" w:hAnsi="Arial" w:cs="Arial"/>
          <w:sz w:val="18"/>
          <w:szCs w:val="18"/>
        </w:rPr>
      </w:pPr>
      <w:r w:rsidRPr="0049494F">
        <w:rPr>
          <w:rStyle w:val="Refdenotaalpie"/>
          <w:rFonts w:ascii="Arial" w:hAnsi="Arial" w:cs="Arial"/>
          <w:sz w:val="18"/>
          <w:szCs w:val="18"/>
        </w:rPr>
        <w:footnoteRef/>
      </w:r>
      <w:r w:rsidRPr="0049494F">
        <w:rPr>
          <w:rFonts w:ascii="Arial" w:hAnsi="Arial" w:cs="Arial"/>
          <w:sz w:val="18"/>
          <w:szCs w:val="18"/>
        </w:rPr>
        <w:t xml:space="preserve"> </w:t>
      </w:r>
      <w:bookmarkStart w:id="18" w:name="_Hlk74294506"/>
      <w:r w:rsidRPr="0049494F">
        <w:rPr>
          <w:rFonts w:ascii="Arial" w:hAnsi="Arial" w:cs="Arial"/>
          <w:sz w:val="18"/>
          <w:szCs w:val="18"/>
        </w:rPr>
        <w:t>«</w:t>
      </w:r>
      <w:r w:rsidRPr="0049494F">
        <w:rPr>
          <w:rFonts w:ascii="Arial" w:hAnsi="Arial" w:cs="Arial"/>
          <w:sz w:val="18"/>
          <w:szCs w:val="18"/>
          <w:lang w:val="es-ES"/>
        </w:rPr>
        <w:t xml:space="preserve">[26] </w:t>
      </w:r>
      <w:bookmarkEnd w:id="18"/>
      <w:r w:rsidRPr="0049494F">
        <w:rPr>
          <w:rFonts w:ascii="Arial" w:hAnsi="Arial" w:cs="Arial"/>
          <w:sz w:val="18"/>
          <w:szCs w:val="18"/>
        </w:rPr>
        <w:t>Al respecto ver el concepto 1712 de 2 de febrero de 2006. Consejo de Estado Sala de Consulta y Servicio Civil».</w:t>
      </w:r>
    </w:p>
  </w:footnote>
  <w:footnote w:id="14">
    <w:p w14:paraId="5B5C2504" w14:textId="77777777" w:rsidR="00D163EA" w:rsidRPr="0049494F" w:rsidRDefault="00D163EA" w:rsidP="00420C9F">
      <w:pPr>
        <w:pStyle w:val="Textonotapie"/>
        <w:spacing w:after="0" w:line="240" w:lineRule="auto"/>
        <w:ind w:firstLine="709"/>
        <w:contextualSpacing/>
        <w:rPr>
          <w:rFonts w:ascii="Arial" w:hAnsi="Arial" w:cs="Arial"/>
          <w:sz w:val="18"/>
          <w:szCs w:val="18"/>
        </w:rPr>
      </w:pPr>
      <w:r w:rsidRPr="0049494F">
        <w:rPr>
          <w:rStyle w:val="Refdenotaalpie"/>
          <w:rFonts w:ascii="Arial" w:hAnsi="Arial" w:cs="Arial"/>
          <w:sz w:val="18"/>
          <w:szCs w:val="18"/>
        </w:rPr>
        <w:footnoteRef/>
      </w:r>
      <w:r w:rsidRPr="0049494F">
        <w:rPr>
          <w:rFonts w:ascii="Arial" w:hAnsi="Arial" w:cs="Arial"/>
          <w:sz w:val="18"/>
          <w:szCs w:val="18"/>
        </w:rPr>
        <w:t xml:space="preserve"> Consejo de Estado. Sala de Consulta y Servicio Civil. Concepto del 2 de septiembre de 2013. Radicación número: 11001-03-06-000-2013-00412-00 (2168). Consejero Ponente: Álvaro Namén Vargas.</w:t>
      </w:r>
    </w:p>
  </w:footnote>
  <w:footnote w:id="15">
    <w:p w14:paraId="7904E99C" w14:textId="77777777" w:rsidR="00D163EA" w:rsidRPr="0049494F" w:rsidRDefault="00D163EA" w:rsidP="00420C9F">
      <w:pPr>
        <w:pStyle w:val="Textonotapie"/>
        <w:spacing w:after="0" w:line="240" w:lineRule="auto"/>
        <w:ind w:firstLine="709"/>
        <w:contextualSpacing/>
        <w:rPr>
          <w:rFonts w:ascii="Arial" w:hAnsi="Arial" w:cs="Arial"/>
          <w:sz w:val="18"/>
          <w:szCs w:val="18"/>
          <w:lang w:val="es-ES"/>
        </w:rPr>
      </w:pPr>
      <w:r w:rsidRPr="0049494F">
        <w:rPr>
          <w:rStyle w:val="Refdenotaalpie"/>
          <w:rFonts w:ascii="Arial" w:hAnsi="Arial" w:cs="Arial"/>
          <w:sz w:val="18"/>
          <w:szCs w:val="18"/>
        </w:rPr>
        <w:footnoteRef/>
      </w:r>
      <w:r w:rsidRPr="0049494F">
        <w:rPr>
          <w:rFonts w:ascii="Arial" w:hAnsi="Arial" w:cs="Arial"/>
          <w:sz w:val="18"/>
          <w:szCs w:val="18"/>
        </w:rPr>
        <w:t xml:space="preserve"> </w:t>
      </w:r>
      <w:r w:rsidRPr="0049494F">
        <w:rPr>
          <w:rFonts w:ascii="Arial" w:hAnsi="Arial" w:cs="Arial"/>
          <w:sz w:val="18"/>
          <w:szCs w:val="18"/>
          <w:lang w:val="es-ES"/>
        </w:rPr>
        <w:t xml:space="preserve">Artículo 2. </w:t>
      </w:r>
    </w:p>
  </w:footnote>
  <w:footnote w:id="16">
    <w:p w14:paraId="4C82F9BC" w14:textId="77777777" w:rsidR="00D163EA" w:rsidRPr="0049494F" w:rsidRDefault="00D163EA" w:rsidP="00420C9F">
      <w:pPr>
        <w:pStyle w:val="Textonotapie"/>
        <w:spacing w:after="0" w:line="240" w:lineRule="auto"/>
        <w:ind w:firstLine="709"/>
        <w:contextualSpacing/>
        <w:rPr>
          <w:rFonts w:ascii="Arial" w:hAnsi="Arial" w:cs="Arial"/>
          <w:sz w:val="18"/>
          <w:szCs w:val="18"/>
          <w:lang w:val="es-ES"/>
        </w:rPr>
      </w:pPr>
      <w:r w:rsidRPr="0049494F">
        <w:rPr>
          <w:rStyle w:val="Refdenotaalpie"/>
          <w:rFonts w:ascii="Arial" w:hAnsi="Arial" w:cs="Arial"/>
          <w:sz w:val="18"/>
          <w:szCs w:val="18"/>
        </w:rPr>
        <w:footnoteRef/>
      </w:r>
      <w:r w:rsidRPr="0049494F">
        <w:rPr>
          <w:rFonts w:ascii="Arial" w:hAnsi="Arial" w:cs="Arial"/>
          <w:sz w:val="18"/>
          <w:szCs w:val="18"/>
        </w:rPr>
        <w:t xml:space="preserve"> </w:t>
      </w:r>
      <w:r w:rsidRPr="0049494F">
        <w:rPr>
          <w:rFonts w:ascii="Arial" w:hAnsi="Arial" w:cs="Arial"/>
          <w:i/>
          <w:sz w:val="18"/>
          <w:szCs w:val="18"/>
          <w:lang w:val="es-ES"/>
        </w:rPr>
        <w:t>Ídem</w:t>
      </w:r>
      <w:r w:rsidRPr="0049494F">
        <w:rPr>
          <w:rFonts w:ascii="Arial" w:hAnsi="Arial" w:cs="Arial"/>
          <w:sz w:val="18"/>
          <w:szCs w:val="18"/>
          <w:lang w:val="es-ES"/>
        </w:rPr>
        <w:t>.</w:t>
      </w:r>
    </w:p>
  </w:footnote>
  <w:footnote w:id="17">
    <w:p w14:paraId="57B38912" w14:textId="77777777" w:rsidR="00D163EA" w:rsidRPr="0049494F" w:rsidRDefault="00D163EA" w:rsidP="00420C9F">
      <w:pPr>
        <w:pStyle w:val="Textonotapie"/>
        <w:spacing w:after="0" w:line="240" w:lineRule="auto"/>
        <w:ind w:firstLine="709"/>
        <w:contextualSpacing/>
        <w:rPr>
          <w:rFonts w:ascii="Arial" w:hAnsi="Arial" w:cs="Arial"/>
          <w:sz w:val="18"/>
          <w:szCs w:val="18"/>
          <w:lang w:val="es-ES"/>
        </w:rPr>
      </w:pPr>
      <w:r w:rsidRPr="0049494F">
        <w:rPr>
          <w:rStyle w:val="Refdenotaalpie"/>
          <w:rFonts w:ascii="Arial" w:hAnsi="Arial" w:cs="Arial"/>
          <w:sz w:val="18"/>
          <w:szCs w:val="18"/>
        </w:rPr>
        <w:footnoteRef/>
      </w:r>
      <w:r w:rsidRPr="0049494F">
        <w:rPr>
          <w:rStyle w:val="Refdenotaalpie"/>
          <w:rFonts w:ascii="Arial" w:hAnsi="Arial" w:cs="Arial"/>
          <w:sz w:val="18"/>
          <w:szCs w:val="18"/>
        </w:rPr>
        <w:t xml:space="preserve"> </w:t>
      </w:r>
      <w:bookmarkStart w:id="23" w:name="_Hlk74297130"/>
      <w:r w:rsidRPr="0049494F">
        <w:rPr>
          <w:rFonts w:ascii="Arial" w:hAnsi="Arial" w:cs="Arial"/>
          <w:sz w:val="18"/>
          <w:szCs w:val="18"/>
          <w:lang w:val="es-ES"/>
        </w:rPr>
        <w:t>«</w:t>
      </w:r>
      <w:bookmarkEnd w:id="23"/>
      <w:r w:rsidRPr="0049494F">
        <w:rPr>
          <w:rFonts w:ascii="Arial" w:hAnsi="Arial" w:cs="Arial"/>
          <w:sz w:val="18"/>
          <w:szCs w:val="18"/>
          <w:lang w:val="es-ES"/>
        </w:rPr>
        <w:t xml:space="preserve">[…] A este respecto, cabe recordar que el artículo 860 del Código de Comercio regula la licitación en el derecho privado». </w:t>
      </w:r>
    </w:p>
  </w:footnote>
  <w:footnote w:id="18">
    <w:p w14:paraId="1D9E6756" w14:textId="77777777" w:rsidR="00D163EA" w:rsidRPr="0049494F" w:rsidRDefault="00D163EA" w:rsidP="00420C9F">
      <w:pPr>
        <w:shd w:val="clear" w:color="auto" w:fill="FFFFFF"/>
        <w:spacing w:after="0" w:line="240" w:lineRule="auto"/>
        <w:ind w:firstLine="709"/>
        <w:contextualSpacing/>
        <w:jc w:val="both"/>
        <w:rPr>
          <w:rFonts w:ascii="Arial" w:hAnsi="Arial" w:cs="Arial"/>
          <w:sz w:val="18"/>
          <w:szCs w:val="18"/>
          <w:lang w:val="es-ES"/>
        </w:rPr>
      </w:pPr>
      <w:r w:rsidRPr="0049494F">
        <w:rPr>
          <w:rStyle w:val="Refdenotaalpie"/>
          <w:rFonts w:ascii="Arial" w:hAnsi="Arial" w:cs="Arial"/>
          <w:sz w:val="18"/>
          <w:szCs w:val="18"/>
        </w:rPr>
        <w:footnoteRef/>
      </w:r>
      <w:r w:rsidRPr="0049494F">
        <w:rPr>
          <w:rStyle w:val="Refdenotaalpie"/>
          <w:rFonts w:ascii="Arial" w:hAnsi="Arial" w:cs="Arial"/>
          <w:sz w:val="18"/>
          <w:szCs w:val="18"/>
        </w:rPr>
        <w:t xml:space="preserve"> </w:t>
      </w:r>
      <w:r w:rsidRPr="0049494F">
        <w:rPr>
          <w:rFonts w:ascii="Arial" w:hAnsi="Arial" w:cs="Arial"/>
          <w:sz w:val="18"/>
          <w:szCs w:val="18"/>
          <w:lang w:val="es-ES"/>
        </w:rPr>
        <w:t xml:space="preserve">Consejo de Estado. Sala de Consulta y Servicio Civil, Concepto de 8 de mayo de 2018. Radicación Número: 11001-03-06-000-2018-00095-00(2382). Consejero Ponente: Álvaro </w:t>
      </w:r>
      <w:proofErr w:type="spellStart"/>
      <w:r w:rsidRPr="0049494F">
        <w:rPr>
          <w:rFonts w:ascii="Arial" w:hAnsi="Arial" w:cs="Arial"/>
          <w:sz w:val="18"/>
          <w:szCs w:val="18"/>
          <w:lang w:val="es-ES"/>
        </w:rPr>
        <w:t>Namén</w:t>
      </w:r>
      <w:proofErr w:type="spellEnd"/>
      <w:r w:rsidRPr="0049494F">
        <w:rPr>
          <w:rFonts w:ascii="Arial" w:hAnsi="Arial" w:cs="Arial"/>
          <w:sz w:val="18"/>
          <w:szCs w:val="18"/>
          <w:lang w:val="es-ES"/>
        </w:rPr>
        <w:t xml:space="preserve"> Vargas.</w:t>
      </w:r>
    </w:p>
  </w:footnote>
  <w:footnote w:id="19">
    <w:p w14:paraId="60EF0204" w14:textId="77777777" w:rsidR="00D163EA" w:rsidRPr="0049494F" w:rsidRDefault="00D163EA" w:rsidP="00420C9F">
      <w:pPr>
        <w:pStyle w:val="Textonotapie"/>
        <w:spacing w:after="0" w:line="240" w:lineRule="auto"/>
        <w:ind w:firstLine="709"/>
        <w:contextualSpacing/>
        <w:rPr>
          <w:rFonts w:ascii="Arial" w:hAnsi="Arial" w:cs="Arial"/>
          <w:sz w:val="18"/>
          <w:szCs w:val="18"/>
        </w:rPr>
      </w:pPr>
      <w:r w:rsidRPr="0049494F">
        <w:rPr>
          <w:rStyle w:val="Refdenotaalpie"/>
          <w:rFonts w:ascii="Arial" w:hAnsi="Arial" w:cs="Arial"/>
          <w:sz w:val="18"/>
          <w:szCs w:val="18"/>
        </w:rPr>
        <w:footnoteRef/>
      </w:r>
      <w:r w:rsidRPr="0049494F">
        <w:rPr>
          <w:rFonts w:ascii="Arial" w:hAnsi="Arial" w:cs="Arial"/>
          <w:sz w:val="18"/>
          <w:szCs w:val="18"/>
        </w:rPr>
        <w:t xml:space="preserve"> Consejo de Estado. Sala de Consulta y Servicio Civil. Concepto del 08 de mayo de 2018. Exp. 2.382. C.P. Álvaro Namén Vargas.</w:t>
      </w:r>
    </w:p>
  </w:footnote>
  <w:footnote w:id="20">
    <w:p w14:paraId="4C2D40FF" w14:textId="77777777" w:rsidR="00D163EA" w:rsidRPr="0049494F" w:rsidRDefault="00D163EA" w:rsidP="00420C9F">
      <w:pPr>
        <w:pStyle w:val="Textonotapie"/>
        <w:spacing w:after="0" w:line="240" w:lineRule="auto"/>
        <w:ind w:firstLine="709"/>
        <w:contextualSpacing/>
        <w:rPr>
          <w:rFonts w:ascii="Arial" w:hAnsi="Arial" w:cs="Arial"/>
          <w:sz w:val="18"/>
          <w:szCs w:val="18"/>
        </w:rPr>
      </w:pPr>
      <w:r w:rsidRPr="0049494F">
        <w:rPr>
          <w:rStyle w:val="Refdenotaalpie"/>
          <w:rFonts w:ascii="Arial" w:hAnsi="Arial" w:cs="Arial"/>
          <w:sz w:val="18"/>
          <w:szCs w:val="18"/>
        </w:rPr>
        <w:footnoteRef/>
      </w:r>
      <w:r w:rsidRPr="0049494F">
        <w:rPr>
          <w:rFonts w:ascii="Arial" w:hAnsi="Arial" w:cs="Arial"/>
          <w:sz w:val="18"/>
          <w:szCs w:val="18"/>
        </w:rPr>
        <w:t xml:space="preserve"> La Corte Constitucional mediante Sentencia C-1153-05 de 11 de noviembre de 2005, Magistrado Ponente Marco Gerardo Monroy Cabra, efectuó el Control constitucional al Proyecto de Ley Estatutaria N° 216/05 Senado, N° 235-Cámara que dio lugar a la Ley de Garantías Electorales.</w:t>
      </w:r>
    </w:p>
  </w:footnote>
  <w:footnote w:id="21">
    <w:p w14:paraId="37708188" w14:textId="563FBA02" w:rsidR="00D163EA" w:rsidRPr="0049494F" w:rsidRDefault="00D163EA" w:rsidP="00DE57BD">
      <w:pPr>
        <w:pStyle w:val="Textonotapie"/>
        <w:spacing w:after="0"/>
        <w:ind w:firstLine="709"/>
        <w:contextualSpacing/>
        <w:rPr>
          <w:rFonts w:ascii="Arial" w:hAnsi="Arial" w:cs="Arial"/>
          <w:sz w:val="18"/>
          <w:szCs w:val="18"/>
        </w:rPr>
      </w:pPr>
      <w:r w:rsidRPr="0049494F">
        <w:rPr>
          <w:rStyle w:val="Refdenotaalpie"/>
          <w:rFonts w:ascii="Arial" w:hAnsi="Arial" w:cs="Arial"/>
          <w:sz w:val="18"/>
          <w:szCs w:val="18"/>
        </w:rPr>
        <w:footnoteRef/>
      </w:r>
      <w:r w:rsidRPr="0049494F">
        <w:rPr>
          <w:rFonts w:ascii="Arial" w:hAnsi="Arial" w:cs="Arial"/>
          <w:sz w:val="18"/>
          <w:szCs w:val="18"/>
        </w:rPr>
        <w:t xml:space="preserve"> Consejo de Estado. Sala de Consulta y Servicio Civil. Concepto del 18 de febrero 2010. Rad. 11001-03-06-000-2010-00006-00 (1985). C.P. Enrique José Arboleda Perdomo.</w:t>
      </w:r>
    </w:p>
  </w:footnote>
  <w:footnote w:id="22">
    <w:p w14:paraId="48E44959" w14:textId="77777777" w:rsidR="00D163EA" w:rsidRPr="0049494F" w:rsidRDefault="00D163EA" w:rsidP="001F14BA">
      <w:pPr>
        <w:pStyle w:val="Textonotapie"/>
        <w:spacing w:after="0"/>
        <w:ind w:firstLine="709"/>
        <w:contextualSpacing/>
        <w:rPr>
          <w:rStyle w:val="Refdenotaalpie"/>
          <w:rFonts w:ascii="Arial" w:hAnsi="Arial" w:cs="Arial"/>
          <w:sz w:val="18"/>
          <w:szCs w:val="18"/>
        </w:rPr>
      </w:pPr>
      <w:r w:rsidRPr="0049494F">
        <w:rPr>
          <w:rStyle w:val="Refdenotaalpie"/>
          <w:rFonts w:ascii="Arial" w:hAnsi="Arial" w:cs="Arial"/>
          <w:sz w:val="18"/>
          <w:szCs w:val="18"/>
        </w:rPr>
        <w:footnoteRef/>
      </w:r>
      <w:r w:rsidRPr="0049494F">
        <w:rPr>
          <w:rStyle w:val="Refdenotaalpie"/>
          <w:rFonts w:ascii="Arial" w:hAnsi="Arial" w:cs="Arial"/>
          <w:sz w:val="18"/>
          <w:szCs w:val="18"/>
        </w:rPr>
        <w:t xml:space="preserve"> </w:t>
      </w:r>
      <w:r w:rsidRPr="0049494F">
        <w:rPr>
          <w:rStyle w:val="Refdenotaalpie"/>
          <w:rFonts w:ascii="Arial" w:hAnsi="Arial" w:cs="Arial"/>
          <w:sz w:val="18"/>
          <w:szCs w:val="18"/>
          <w:vertAlign w:val="baseline"/>
        </w:rPr>
        <w:t>Consejo de Estado. Sala de Consulta y Servicio Civil. Concepto 1712 del 2 de febrero de 2006. Rad. Radicación número: 11001-03-06-000-2006-00011-00(1712). C.P. Enrique Jose Arboleda Perdomo.</w:t>
      </w:r>
      <w:r w:rsidRPr="0049494F">
        <w:rPr>
          <w:rStyle w:val="Refdenotaalpie"/>
          <w:sz w:val="18"/>
          <w:szCs w:val="18"/>
        </w:rPr>
        <w:t xml:space="preserve"> </w:t>
      </w:r>
    </w:p>
  </w:footnote>
  <w:footnote w:id="23">
    <w:p w14:paraId="7F2365E7" w14:textId="77777777" w:rsidR="00D163EA" w:rsidRPr="0049494F" w:rsidRDefault="00D163EA" w:rsidP="00420C9F">
      <w:pPr>
        <w:spacing w:after="0" w:line="240" w:lineRule="auto"/>
        <w:ind w:firstLine="709"/>
        <w:contextualSpacing/>
        <w:jc w:val="both"/>
        <w:rPr>
          <w:rFonts w:ascii="Arial" w:hAnsi="Arial" w:cs="Arial"/>
          <w:sz w:val="18"/>
          <w:szCs w:val="18"/>
        </w:rPr>
      </w:pPr>
      <w:r w:rsidRPr="0049494F">
        <w:rPr>
          <w:rStyle w:val="Refdenotaalpie"/>
          <w:rFonts w:ascii="Arial" w:hAnsi="Arial" w:cs="Arial"/>
          <w:sz w:val="18"/>
          <w:szCs w:val="18"/>
        </w:rPr>
        <w:footnoteRef/>
      </w:r>
      <w:r w:rsidRPr="0049494F">
        <w:rPr>
          <w:rFonts w:ascii="Arial" w:hAnsi="Arial" w:cs="Arial"/>
          <w:sz w:val="18"/>
          <w:szCs w:val="18"/>
        </w:rPr>
        <w:t xml:space="preserve"> Consejo de Estado. Sala de Consulta y Servicio Civil. Concepto de 20 de febrero de 2006. Radicación Número: 11001-03-06-000-2006-00026-00(1727). Consejero Ponente: Enrique José Arboleda Perdomo. Conceptuó que para las entidades que contratan por el derecho privado, estaba prohibida la contratación diferente de la licitación pública regulada por el código de comercio, criterio que luego se extendió para aquellos procesos que, en algunos sistemas de contratación utilizados por entidades públicas con regímenes especiales y establecidos en sus manuales de contratación, utilicen convocatoria de manera pública y se permita la participación de una pluralidad de oferentes.</w:t>
      </w:r>
    </w:p>
  </w:footnote>
  <w:footnote w:id="24">
    <w:p w14:paraId="0C094502" w14:textId="77777777" w:rsidR="00D163EA" w:rsidRPr="0049494F" w:rsidRDefault="00D163EA" w:rsidP="00420C9F">
      <w:pPr>
        <w:pStyle w:val="Textonotapie"/>
        <w:spacing w:after="0" w:line="240" w:lineRule="auto"/>
        <w:ind w:right="51" w:firstLine="709"/>
        <w:contextualSpacing/>
        <w:rPr>
          <w:rFonts w:ascii="Arial" w:hAnsi="Arial" w:cs="Arial"/>
          <w:sz w:val="18"/>
          <w:szCs w:val="18"/>
        </w:rPr>
      </w:pPr>
      <w:r w:rsidRPr="0049494F">
        <w:rPr>
          <w:rStyle w:val="Refdenotaalpie"/>
          <w:rFonts w:ascii="Arial" w:hAnsi="Arial" w:cs="Arial"/>
          <w:sz w:val="18"/>
          <w:szCs w:val="18"/>
        </w:rPr>
        <w:footnoteRef/>
      </w:r>
      <w:r w:rsidRPr="0049494F">
        <w:rPr>
          <w:rFonts w:ascii="Arial" w:hAnsi="Arial" w:cs="Arial"/>
          <w:sz w:val="18"/>
          <w:szCs w:val="18"/>
        </w:rPr>
        <w:t xml:space="preserve"> </w:t>
      </w:r>
      <w:bookmarkStart w:id="45" w:name="_Hlk75633115"/>
      <w:r w:rsidRPr="0049494F">
        <w:rPr>
          <w:rFonts w:ascii="Arial" w:hAnsi="Arial" w:cs="Arial"/>
          <w:sz w:val="18"/>
          <w:szCs w:val="18"/>
        </w:rPr>
        <w:t xml:space="preserve">Consejo de Estado. Sala de Consulta y Servicio Civil. Concepto </w:t>
      </w:r>
      <w:bookmarkEnd w:id="45"/>
      <w:r w:rsidRPr="0049494F">
        <w:rPr>
          <w:rFonts w:ascii="Arial" w:hAnsi="Arial" w:cs="Arial"/>
          <w:sz w:val="18"/>
          <w:szCs w:val="18"/>
        </w:rPr>
        <w:t>de 6 de abril de 2006. Radicación Número: 11001-03-06-000-2006-00038-00(1738). Consejero Ponente: Enrique José Arboleda Perdomo:</w:t>
      </w:r>
      <w:r w:rsidRPr="0049494F">
        <w:rPr>
          <w:rFonts w:ascii="Arial" w:eastAsia="Times New Roman" w:hAnsi="Arial" w:cs="Arial"/>
          <w:bCs/>
          <w:sz w:val="18"/>
          <w:szCs w:val="18"/>
          <w:lang w:eastAsia="x-none"/>
        </w:rPr>
        <w:t xml:space="preserve"> «</w:t>
      </w:r>
      <w:r w:rsidRPr="0049494F">
        <w:rPr>
          <w:rFonts w:ascii="Arial" w:hAnsi="Arial" w:cs="Arial"/>
          <w:sz w:val="18"/>
          <w:szCs w:val="18"/>
        </w:rPr>
        <w:t>Si bien en el tema del concepto del que se extractaron los párrafos transcritos, se hacía referencia a las empresas de servicios públicos domiciliarios mixtas, la explicación dada cobija también a las empresas industriales y comerciales del estado y a las de crédito, pues todas ellas hacen parte de la definición de administración pública de la ley 489 de 1998, y además encajan dentro de la noción de todos los entes del Estado que trae la ley 996 de 2005 en el artículo 33, de manera que no es lógico pretender exonerarse de ésta prohibición alegando un régimen especial de los actos o contratos</w:t>
      </w:r>
      <w:r w:rsidRPr="0049494F">
        <w:rPr>
          <w:rFonts w:ascii="Arial" w:eastAsia="Times New Roman" w:hAnsi="Arial" w:cs="Arial"/>
          <w:bCs/>
          <w:sz w:val="18"/>
          <w:szCs w:val="18"/>
          <w:lang w:eastAsia="x-none"/>
        </w:rPr>
        <w:t>».</w:t>
      </w:r>
    </w:p>
  </w:footnote>
  <w:footnote w:id="25">
    <w:p w14:paraId="5AA91B64" w14:textId="77777777" w:rsidR="00D163EA" w:rsidRPr="0049494F" w:rsidRDefault="00D163EA" w:rsidP="00420C9F">
      <w:pPr>
        <w:pStyle w:val="Textonotapie"/>
        <w:spacing w:after="0" w:line="240" w:lineRule="auto"/>
        <w:ind w:right="51" w:firstLine="709"/>
        <w:contextualSpacing/>
        <w:rPr>
          <w:rFonts w:ascii="Arial" w:hAnsi="Arial" w:cs="Arial"/>
          <w:sz w:val="18"/>
          <w:szCs w:val="18"/>
        </w:rPr>
      </w:pPr>
      <w:r w:rsidRPr="0049494F">
        <w:rPr>
          <w:rStyle w:val="Refdenotaalpie"/>
          <w:rFonts w:ascii="Arial" w:hAnsi="Arial" w:cs="Arial"/>
          <w:sz w:val="18"/>
          <w:szCs w:val="18"/>
        </w:rPr>
        <w:footnoteRef/>
      </w:r>
      <w:r w:rsidRPr="0049494F">
        <w:rPr>
          <w:rFonts w:ascii="Arial" w:hAnsi="Arial" w:cs="Arial"/>
          <w:sz w:val="18"/>
          <w:szCs w:val="18"/>
        </w:rPr>
        <w:t xml:space="preserve"> Consejo de Estado. Sala de Consulta y Servicio Civil. Concepto de 6 de abril de 2006. Radicación Número: 11001-03-06-000-2006-00038-00(1738). Consejero Ponente: Enrique José Arboleda Perdomo.</w:t>
      </w:r>
    </w:p>
  </w:footnote>
  <w:footnote w:id="26">
    <w:p w14:paraId="79BFDA33" w14:textId="780B0043" w:rsidR="00D163EA" w:rsidRPr="0049494F" w:rsidRDefault="00D163EA" w:rsidP="00964396">
      <w:pPr>
        <w:pStyle w:val="Textonotapie"/>
        <w:spacing w:after="0" w:line="240" w:lineRule="auto"/>
        <w:ind w:firstLine="709"/>
        <w:contextualSpacing/>
        <w:rPr>
          <w:rFonts w:ascii="Arial" w:hAnsi="Arial" w:cs="Arial"/>
          <w:sz w:val="18"/>
          <w:szCs w:val="18"/>
        </w:rPr>
      </w:pPr>
      <w:r w:rsidRPr="0049494F">
        <w:rPr>
          <w:rStyle w:val="Refdenotaalpie"/>
          <w:rFonts w:ascii="Arial" w:hAnsi="Arial" w:cs="Arial"/>
          <w:sz w:val="18"/>
          <w:szCs w:val="18"/>
        </w:rPr>
        <w:footnoteRef/>
      </w:r>
      <w:r w:rsidRPr="0049494F">
        <w:rPr>
          <w:rStyle w:val="Refdenotaalpie"/>
          <w:rFonts w:ascii="Arial" w:hAnsi="Arial" w:cs="Arial"/>
          <w:sz w:val="18"/>
          <w:szCs w:val="18"/>
        </w:rPr>
        <w:t xml:space="preserve"> </w:t>
      </w:r>
      <w:r w:rsidRPr="0049494F">
        <w:rPr>
          <w:rFonts w:ascii="Arial" w:hAnsi="Arial" w:cs="Arial"/>
          <w:sz w:val="18"/>
          <w:szCs w:val="18"/>
        </w:rPr>
        <w:t>Decreto 1997 de 1998. «Artículo 2: Naturaleza. La Defensa Civil Colombiana es un establecimiento público del orden nacional, dotado de personería jurídica, autonomía administrativa y patrimonio propio, adscrito al Ministerio de Defensa Nacional, que se reorganiza conforme a las normas establecidas por los Decretos-leyes 1050 y 3130 de 1968, 2341 de 1971, 2068 de 1984, 919 de 1989 y los presentes estatutos».</w:t>
      </w:r>
    </w:p>
  </w:footnote>
  <w:footnote w:id="27">
    <w:p w14:paraId="7E5A9874" w14:textId="057E0689" w:rsidR="00D163EA" w:rsidRPr="0049494F" w:rsidRDefault="00D163EA" w:rsidP="00DA66D4">
      <w:pPr>
        <w:pStyle w:val="Textonotapie"/>
        <w:spacing w:after="0" w:line="240" w:lineRule="auto"/>
        <w:ind w:firstLine="709"/>
        <w:contextualSpacing/>
        <w:rPr>
          <w:sz w:val="18"/>
          <w:szCs w:val="18"/>
          <w:vertAlign w:val="superscript"/>
        </w:rPr>
      </w:pPr>
      <w:r w:rsidRPr="0049494F">
        <w:rPr>
          <w:rStyle w:val="Refdenotaalpie"/>
          <w:rFonts w:ascii="Arial" w:hAnsi="Arial" w:cs="Arial"/>
          <w:sz w:val="18"/>
          <w:szCs w:val="18"/>
        </w:rPr>
        <w:footnoteRef/>
      </w:r>
      <w:r w:rsidRPr="0049494F">
        <w:rPr>
          <w:rStyle w:val="Refdenotaalpie"/>
          <w:rFonts w:ascii="Arial" w:hAnsi="Arial" w:cs="Arial"/>
          <w:sz w:val="18"/>
          <w:szCs w:val="18"/>
        </w:rPr>
        <w:t xml:space="preserve"> </w:t>
      </w:r>
      <w:r w:rsidRPr="0049494F">
        <w:rPr>
          <w:rStyle w:val="Refdenotaalpie"/>
          <w:rFonts w:ascii="Arial" w:hAnsi="Arial" w:cs="Arial"/>
          <w:sz w:val="18"/>
          <w:szCs w:val="18"/>
          <w:vertAlign w:val="baseline"/>
        </w:rPr>
        <w:t>Artículo 4 Ibidem.</w:t>
      </w:r>
      <w:r w:rsidRPr="0049494F">
        <w:rPr>
          <w:rStyle w:val="Refdenotaalpie"/>
          <w:sz w:val="18"/>
          <w:szCs w:val="18"/>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96EE24" w14:textId="77777777" w:rsidR="00D163EA" w:rsidRDefault="00D163EA">
    <w:pPr>
      <w:pStyle w:val="Encabezado"/>
    </w:pPr>
    <w:r>
      <w:rPr>
        <w:noProof/>
        <w:lang w:val="en-US"/>
      </w:rPr>
      <w:drawing>
        <wp:anchor distT="0" distB="0" distL="114300" distR="114300" simplePos="0" relativeHeight="251659264" behindDoc="1" locked="0" layoutInCell="1" allowOverlap="1" wp14:anchorId="13744832" wp14:editId="6F0259F0">
          <wp:simplePos x="0" y="0"/>
          <wp:positionH relativeFrom="column">
            <wp:posOffset>4458335</wp:posOffset>
          </wp:positionH>
          <wp:positionV relativeFrom="paragraph">
            <wp:posOffset>171450</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5"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13A90A7" w14:textId="77777777" w:rsidR="00D163EA" w:rsidRDefault="00D163EA" w:rsidP="008319F4">
    <w:pPr>
      <w:pStyle w:val="Encabezado"/>
      <w:spacing w:after="0"/>
    </w:pPr>
  </w:p>
  <w:p w14:paraId="5ECC2BA3" w14:textId="77777777" w:rsidR="00D163EA" w:rsidRDefault="00D163EA">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B92E3C"/>
    <w:multiLevelType w:val="hybridMultilevel"/>
    <w:tmpl w:val="5520033E"/>
    <w:lvl w:ilvl="0" w:tplc="A2483742">
      <w:start w:val="1"/>
      <w:numFmt w:val="bullet"/>
      <w:lvlText w:val=""/>
      <w:lvlJc w:val="left"/>
      <w:pPr>
        <w:ind w:left="720" w:hanging="360"/>
      </w:pPr>
      <w:rPr>
        <w:rFonts w:ascii="Symbol" w:eastAsia="Times New Roman" w:hAnsi="Symbo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revisionView w:inkAnnotation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0C9F"/>
    <w:rsid w:val="00001022"/>
    <w:rsid w:val="00040179"/>
    <w:rsid w:val="00052375"/>
    <w:rsid w:val="000F06A4"/>
    <w:rsid w:val="00101CE4"/>
    <w:rsid w:val="0011054E"/>
    <w:rsid w:val="00171741"/>
    <w:rsid w:val="0018034D"/>
    <w:rsid w:val="00195276"/>
    <w:rsid w:val="001B344D"/>
    <w:rsid w:val="001D68A0"/>
    <w:rsid w:val="001F14BA"/>
    <w:rsid w:val="00201EAC"/>
    <w:rsid w:val="002C271C"/>
    <w:rsid w:val="002C5D80"/>
    <w:rsid w:val="00331472"/>
    <w:rsid w:val="003D1D20"/>
    <w:rsid w:val="00420C9F"/>
    <w:rsid w:val="004232E8"/>
    <w:rsid w:val="004333D9"/>
    <w:rsid w:val="004719D7"/>
    <w:rsid w:val="0049494F"/>
    <w:rsid w:val="004E1661"/>
    <w:rsid w:val="00547542"/>
    <w:rsid w:val="0058186E"/>
    <w:rsid w:val="005978A3"/>
    <w:rsid w:val="005B307B"/>
    <w:rsid w:val="00654E02"/>
    <w:rsid w:val="00662A5D"/>
    <w:rsid w:val="006914AE"/>
    <w:rsid w:val="006F35D4"/>
    <w:rsid w:val="007644A0"/>
    <w:rsid w:val="007675B4"/>
    <w:rsid w:val="0077465E"/>
    <w:rsid w:val="007B368F"/>
    <w:rsid w:val="007D2243"/>
    <w:rsid w:val="007D6DE8"/>
    <w:rsid w:val="008319F4"/>
    <w:rsid w:val="008C5144"/>
    <w:rsid w:val="00964396"/>
    <w:rsid w:val="00995EB1"/>
    <w:rsid w:val="009F1F01"/>
    <w:rsid w:val="00A61928"/>
    <w:rsid w:val="00A6452F"/>
    <w:rsid w:val="00A87639"/>
    <w:rsid w:val="00AE6249"/>
    <w:rsid w:val="00B07E0B"/>
    <w:rsid w:val="00B44B46"/>
    <w:rsid w:val="00B64E72"/>
    <w:rsid w:val="00BD066D"/>
    <w:rsid w:val="00C87A8A"/>
    <w:rsid w:val="00CC241C"/>
    <w:rsid w:val="00CC6A4D"/>
    <w:rsid w:val="00CD656C"/>
    <w:rsid w:val="00D12980"/>
    <w:rsid w:val="00D163EA"/>
    <w:rsid w:val="00D707D6"/>
    <w:rsid w:val="00DA66D4"/>
    <w:rsid w:val="00DE01F2"/>
    <w:rsid w:val="00DE57BD"/>
    <w:rsid w:val="00E20AA3"/>
    <w:rsid w:val="00E317C7"/>
    <w:rsid w:val="00E46D56"/>
    <w:rsid w:val="00E91A24"/>
    <w:rsid w:val="00EB4EC1"/>
    <w:rsid w:val="00ED026A"/>
    <w:rsid w:val="00EE6A00"/>
    <w:rsid w:val="00F4516D"/>
    <w:rsid w:val="00F70719"/>
    <w:rsid w:val="00F82585"/>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F5AB4E4"/>
  <w15:docId w15:val="{CB88E34D-C90E-4A39-A309-3BB3E71498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0C9F"/>
    <w:rPr>
      <w:lang w:val="es-CO"/>
    </w:rPr>
  </w:style>
  <w:style w:type="paragraph" w:styleId="Ttulo2">
    <w:name w:val="heading 2"/>
    <w:basedOn w:val="Normal"/>
    <w:link w:val="Ttulo2Car"/>
    <w:uiPriority w:val="9"/>
    <w:qFormat/>
    <w:rsid w:val="00E46D56"/>
    <w:pPr>
      <w:spacing w:before="100" w:beforeAutospacing="1" w:after="100" w:afterAutospacing="1" w:line="240" w:lineRule="auto"/>
      <w:outlineLvl w:val="1"/>
    </w:pPr>
    <w:rPr>
      <w:rFonts w:ascii="Times New Roman" w:eastAsia="Times New Roman" w:hAnsi="Times New Roman" w:cs="Times New Roman"/>
      <w:b/>
      <w:bCs/>
      <w:sz w:val="36"/>
      <w:szCs w:val="36"/>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420C9F"/>
    <w:pPr>
      <w:tabs>
        <w:tab w:val="center" w:pos="4419"/>
        <w:tab w:val="right" w:pos="8838"/>
      </w:tabs>
      <w:spacing w:after="200" w:line="276" w:lineRule="auto"/>
      <w:jc w:val="both"/>
    </w:pPr>
    <w:rPr>
      <w:sz w:val="24"/>
      <w:lang w:val="es-MX"/>
    </w:rPr>
  </w:style>
  <w:style w:type="character" w:customStyle="1" w:styleId="PiedepginaCar">
    <w:name w:val="Pie de página Car"/>
    <w:basedOn w:val="Fuentedeprrafopredeter"/>
    <w:link w:val="Piedepgina"/>
    <w:uiPriority w:val="99"/>
    <w:rsid w:val="00420C9F"/>
    <w:rPr>
      <w:sz w:val="24"/>
      <w:lang w:val="es-MX"/>
    </w:rPr>
  </w:style>
  <w:style w:type="paragraph" w:styleId="Encabezado">
    <w:name w:val="header"/>
    <w:basedOn w:val="Normal"/>
    <w:link w:val="EncabezadoCar"/>
    <w:uiPriority w:val="99"/>
    <w:unhideWhenUsed/>
    <w:rsid w:val="00420C9F"/>
    <w:pPr>
      <w:tabs>
        <w:tab w:val="center" w:pos="4252"/>
        <w:tab w:val="right" w:pos="8504"/>
      </w:tabs>
      <w:spacing w:after="200" w:line="276" w:lineRule="auto"/>
      <w:jc w:val="both"/>
    </w:pPr>
    <w:rPr>
      <w:sz w:val="24"/>
      <w:lang w:val="es-MX"/>
    </w:rPr>
  </w:style>
  <w:style w:type="character" w:customStyle="1" w:styleId="EncabezadoCar">
    <w:name w:val="Encabezado Car"/>
    <w:basedOn w:val="Fuentedeprrafopredeter"/>
    <w:link w:val="Encabezado"/>
    <w:uiPriority w:val="99"/>
    <w:rsid w:val="00420C9F"/>
    <w:rPr>
      <w:sz w:val="24"/>
      <w:lang w:val="es-MX"/>
    </w:rPr>
  </w:style>
  <w:style w:type="table" w:styleId="Tablaconcuadrcula">
    <w:name w:val="Table Grid"/>
    <w:basedOn w:val="Tablanormal"/>
    <w:uiPriority w:val="39"/>
    <w:rsid w:val="00420C9F"/>
    <w:pPr>
      <w:spacing w:after="0" w:line="240" w:lineRule="auto"/>
      <w:jc w:val="both"/>
    </w:pPr>
    <w:rPr>
      <w:lang w:val="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link w:val="NormalWebCar"/>
    <w:uiPriority w:val="99"/>
    <w:unhideWhenUsed/>
    <w:rsid w:val="00420C9F"/>
    <w:pPr>
      <w:spacing w:before="100" w:beforeAutospacing="1" w:after="100" w:afterAutospacing="1" w:line="276" w:lineRule="auto"/>
      <w:jc w:val="both"/>
    </w:pPr>
    <w:rPr>
      <w:rFonts w:ascii="Times New Roman" w:eastAsia="Times New Roman" w:hAnsi="Times New Roman" w:cs="Times New Roman"/>
      <w:sz w:val="24"/>
      <w:szCs w:val="24"/>
      <w:lang w:eastAsia="es-CO"/>
    </w:rPr>
  </w:style>
  <w:style w:type="paragraph" w:styleId="Sinespaciado">
    <w:name w:val="No Spacing"/>
    <w:uiPriority w:val="1"/>
    <w:qFormat/>
    <w:rsid w:val="00420C9F"/>
    <w:pPr>
      <w:spacing w:after="0" w:line="240" w:lineRule="auto"/>
      <w:jc w:val="both"/>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420C9F"/>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R"/>
    <w:basedOn w:val="Normal"/>
    <w:link w:val="TextonotapieCar"/>
    <w:uiPriority w:val="99"/>
    <w:unhideWhenUsed/>
    <w:qFormat/>
    <w:rsid w:val="00420C9F"/>
    <w:pPr>
      <w:spacing w:after="200" w:line="276" w:lineRule="auto"/>
      <w:jc w:val="both"/>
    </w:pPr>
    <w:rPr>
      <w:sz w:val="20"/>
      <w:szCs w:val="20"/>
      <w:lang w:val="es-MX"/>
    </w:rPr>
  </w:style>
  <w:style w:type="character" w:customStyle="1" w:styleId="TextonotapieCar1">
    <w:name w:val="Texto nota pie Car1"/>
    <w:basedOn w:val="Fuentedeprrafopredeter"/>
    <w:uiPriority w:val="99"/>
    <w:semiHidden/>
    <w:rsid w:val="00420C9F"/>
    <w:rPr>
      <w:sz w:val="20"/>
      <w:szCs w:val="20"/>
      <w:lang w:val="es-CO"/>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Re"/>
    <w:basedOn w:val="Fuentedeprrafopredeter"/>
    <w:link w:val="Appelnotedebasde"/>
    <w:uiPriority w:val="99"/>
    <w:unhideWhenUsed/>
    <w:qFormat/>
    <w:rsid w:val="00420C9F"/>
    <w:rPr>
      <w:vertAlign w:val="superscript"/>
    </w:rPr>
  </w:style>
  <w:style w:type="paragraph" w:customStyle="1" w:styleId="Appelnotedebasde">
    <w:name w:val="Appel note de bas de..."/>
    <w:basedOn w:val="Normal"/>
    <w:link w:val="Refdenotaalpie"/>
    <w:uiPriority w:val="99"/>
    <w:rsid w:val="00420C9F"/>
    <w:pPr>
      <w:spacing w:line="240" w:lineRule="exact"/>
      <w:jc w:val="both"/>
    </w:pPr>
    <w:rPr>
      <w:vertAlign w:val="superscript"/>
      <w:lang w:val="es-ES"/>
    </w:rPr>
  </w:style>
  <w:style w:type="character" w:customStyle="1" w:styleId="NormalWebCar">
    <w:name w:val="Normal (Web) Car"/>
    <w:link w:val="NormalWeb"/>
    <w:uiPriority w:val="99"/>
    <w:locked/>
    <w:rsid w:val="00420C9F"/>
    <w:rPr>
      <w:rFonts w:ascii="Times New Roman" w:eastAsia="Times New Roman" w:hAnsi="Times New Roman" w:cs="Times New Roman"/>
      <w:sz w:val="24"/>
      <w:szCs w:val="24"/>
      <w:lang w:val="es-CO" w:eastAsia="es-CO"/>
    </w:rPr>
  </w:style>
  <w:style w:type="table" w:customStyle="1" w:styleId="Tablaconcuadrcula1">
    <w:name w:val="Tabla con cuadrícula1"/>
    <w:basedOn w:val="Tablanormal"/>
    <w:next w:val="Tablaconcuadrcula"/>
    <w:uiPriority w:val="39"/>
    <w:rsid w:val="00420C9F"/>
    <w:pPr>
      <w:spacing w:after="0" w:line="240" w:lineRule="auto"/>
    </w:pPr>
    <w:rPr>
      <w:lang w:val="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j">
    <w:name w:val="b_aj"/>
    <w:basedOn w:val="Fuentedeprrafopredeter"/>
    <w:rsid w:val="00420C9F"/>
  </w:style>
  <w:style w:type="character" w:customStyle="1" w:styleId="Ttulo2Car">
    <w:name w:val="Título 2 Car"/>
    <w:basedOn w:val="Fuentedeprrafopredeter"/>
    <w:link w:val="Ttulo2"/>
    <w:uiPriority w:val="9"/>
    <w:rsid w:val="00E46D56"/>
    <w:rPr>
      <w:rFonts w:ascii="Times New Roman" w:eastAsia="Times New Roman" w:hAnsi="Times New Roman" w:cs="Times New Roman"/>
      <w:b/>
      <w:bCs/>
      <w:sz w:val="36"/>
      <w:szCs w:val="36"/>
      <w:lang w:eastAsia="es-ES"/>
    </w:rPr>
  </w:style>
  <w:style w:type="character" w:styleId="Textoennegrita">
    <w:name w:val="Strong"/>
    <w:basedOn w:val="Fuentedeprrafopredeter"/>
    <w:uiPriority w:val="22"/>
    <w:qFormat/>
    <w:rsid w:val="00E46D56"/>
    <w:rPr>
      <w:b/>
      <w:bCs/>
    </w:rPr>
  </w:style>
  <w:style w:type="paragraph" w:styleId="Prrafodelista">
    <w:name w:val="List Paragraph"/>
    <w:basedOn w:val="Normal"/>
    <w:uiPriority w:val="34"/>
    <w:qFormat/>
    <w:rsid w:val="00D12980"/>
    <w:pPr>
      <w:ind w:left="720"/>
      <w:contextualSpacing/>
    </w:pPr>
  </w:style>
  <w:style w:type="character" w:styleId="nfasis">
    <w:name w:val="Emphasis"/>
    <w:basedOn w:val="Fuentedeprrafopredeter"/>
    <w:uiPriority w:val="20"/>
    <w:qFormat/>
    <w:rsid w:val="00964396"/>
    <w:rPr>
      <w:i/>
      <w:iCs/>
    </w:rPr>
  </w:style>
  <w:style w:type="character" w:styleId="Refdecomentario">
    <w:name w:val="annotation reference"/>
    <w:basedOn w:val="Fuentedeprrafopredeter"/>
    <w:uiPriority w:val="99"/>
    <w:semiHidden/>
    <w:unhideWhenUsed/>
    <w:rsid w:val="009F1F01"/>
    <w:rPr>
      <w:sz w:val="16"/>
      <w:szCs w:val="16"/>
    </w:rPr>
  </w:style>
  <w:style w:type="paragraph" w:styleId="Textocomentario">
    <w:name w:val="annotation text"/>
    <w:basedOn w:val="Normal"/>
    <w:link w:val="TextocomentarioCar"/>
    <w:uiPriority w:val="99"/>
    <w:unhideWhenUsed/>
    <w:rsid w:val="009F1F01"/>
    <w:pPr>
      <w:spacing w:after="200" w:line="276" w:lineRule="auto"/>
      <w:jc w:val="both"/>
    </w:pPr>
    <w:rPr>
      <w:sz w:val="20"/>
      <w:szCs w:val="20"/>
      <w:lang w:val="es-MX"/>
    </w:rPr>
  </w:style>
  <w:style w:type="character" w:customStyle="1" w:styleId="TextocomentarioCar">
    <w:name w:val="Texto comentario Car"/>
    <w:basedOn w:val="Fuentedeprrafopredeter"/>
    <w:link w:val="Textocomentario"/>
    <w:uiPriority w:val="99"/>
    <w:rsid w:val="009F1F0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3D1D20"/>
    <w:pPr>
      <w:spacing w:after="160" w:line="240" w:lineRule="auto"/>
      <w:jc w:val="left"/>
    </w:pPr>
    <w:rPr>
      <w:b/>
      <w:bCs/>
      <w:lang w:val="es-CO"/>
    </w:rPr>
  </w:style>
  <w:style w:type="character" w:customStyle="1" w:styleId="AsuntodelcomentarioCar">
    <w:name w:val="Asunto del comentario Car"/>
    <w:basedOn w:val="TextocomentarioCar"/>
    <w:link w:val="Asuntodelcomentario"/>
    <w:uiPriority w:val="99"/>
    <w:semiHidden/>
    <w:rsid w:val="003D1D20"/>
    <w:rPr>
      <w:b/>
      <w:bCs/>
      <w:sz w:val="20"/>
      <w:szCs w:val="20"/>
      <w:lang w:val="es-CO"/>
    </w:rPr>
  </w:style>
  <w:style w:type="paragraph" w:styleId="Textodeglobo">
    <w:name w:val="Balloon Text"/>
    <w:basedOn w:val="Normal"/>
    <w:link w:val="TextodegloboCar"/>
    <w:uiPriority w:val="99"/>
    <w:semiHidden/>
    <w:unhideWhenUsed/>
    <w:rsid w:val="00E317C7"/>
    <w:pPr>
      <w:spacing w:after="0" w:line="240" w:lineRule="auto"/>
    </w:pPr>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E317C7"/>
    <w:rPr>
      <w:rFonts w:ascii="Lucida Grande" w:hAnsi="Lucida Grande" w:cs="Lucida Grande"/>
      <w:sz w:val="18"/>
      <w:szCs w:val="18"/>
      <w:lang w:val="es-CO"/>
    </w:rPr>
  </w:style>
  <w:style w:type="paragraph" w:styleId="Revisin">
    <w:name w:val="Revision"/>
    <w:hidden/>
    <w:uiPriority w:val="99"/>
    <w:semiHidden/>
    <w:rsid w:val="00D163EA"/>
    <w:pPr>
      <w:spacing w:after="0" w:line="240" w:lineRule="auto"/>
    </w:pPr>
    <w:rPr>
      <w:lang w:val="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24516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customXml" Target="../customXml/item2.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68BF6DC3-193A-BB44-9968-793D51F501DD}">
  <ds:schemaRefs>
    <ds:schemaRef ds:uri="http://schemas.openxmlformats.org/officeDocument/2006/bibliography"/>
  </ds:schemaRefs>
</ds:datastoreItem>
</file>

<file path=customXml/itemProps2.xml><?xml version="1.0" encoding="utf-8"?>
<ds:datastoreItem xmlns:ds="http://schemas.openxmlformats.org/officeDocument/2006/customXml" ds:itemID="{141B33CF-0568-4583-8558-AC44B3B565A3}"/>
</file>

<file path=customXml/itemProps3.xml><?xml version="1.0" encoding="utf-8"?>
<ds:datastoreItem xmlns:ds="http://schemas.openxmlformats.org/officeDocument/2006/customXml" ds:itemID="{0F0E565D-3C49-44C5-BE11-025B84D20AFB}"/>
</file>

<file path=customXml/itemProps4.xml><?xml version="1.0" encoding="utf-8"?>
<ds:datastoreItem xmlns:ds="http://schemas.openxmlformats.org/officeDocument/2006/customXml" ds:itemID="{765E5BBF-6C2E-48AB-A7B1-44CB683929A6}"/>
</file>

<file path=docProps/app.xml><?xml version="1.0" encoding="utf-8"?>
<Properties xmlns="http://schemas.openxmlformats.org/officeDocument/2006/extended-properties" xmlns:vt="http://schemas.openxmlformats.org/officeDocument/2006/docPropsVTypes">
  <Template>Normal</Template>
  <TotalTime>1</TotalTime>
  <Pages>22</Pages>
  <Words>7297</Words>
  <Characters>40134</Characters>
  <Application>Microsoft Office Word</Application>
  <DocSecurity>4</DocSecurity>
  <Lines>334</Lines>
  <Paragraphs>94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47337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Diana Lucia Saavedra</dc:creator>
  <cp:keywords/>
  <dc:description/>
  <cp:lastModifiedBy>Diana Lucia Saavedra</cp:lastModifiedBy>
  <cp:revision>2</cp:revision>
  <cp:lastPrinted>2022-03-21T20:47:00Z</cp:lastPrinted>
  <dcterms:created xsi:type="dcterms:W3CDTF">2022-03-22T23:26:00Z</dcterms:created>
  <dcterms:modified xsi:type="dcterms:W3CDTF">2022-03-22T23:26:00Z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