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3F86" w14:textId="77777777" w:rsidR="00585656" w:rsidRPr="0049500E" w:rsidRDefault="00585656" w:rsidP="00585656">
      <w:pPr>
        <w:spacing w:after="0" w:line="240" w:lineRule="auto"/>
        <w:contextualSpacing/>
        <w:jc w:val="both"/>
        <w:rPr>
          <w:rFonts w:ascii="Verdana" w:eastAsia="Calibri" w:hAnsi="Verdana" w:cs="Arial"/>
          <w:b/>
          <w:bCs/>
          <w:color w:val="000000" w:themeColor="text1"/>
          <w:lang w:val="es-MX"/>
        </w:rPr>
      </w:pPr>
      <w:bookmarkStart w:id="0" w:name="_Hlk143780582"/>
      <w:r w:rsidRPr="0049500E">
        <w:rPr>
          <w:rFonts w:ascii="Verdana" w:eastAsia="Calibri" w:hAnsi="Verdana" w:cs="Arial"/>
          <w:b/>
          <w:bCs/>
          <w:color w:val="000000" w:themeColor="text1"/>
          <w:lang w:val="es-MX"/>
        </w:rPr>
        <w:t>SELECCIÓN ABREVIADA – Modalidad de selección – Naturaleza </w:t>
      </w:r>
    </w:p>
    <w:p w14:paraId="5845D93C" w14:textId="77777777" w:rsidR="00585656" w:rsidRPr="0049500E" w:rsidRDefault="00585656" w:rsidP="00585656">
      <w:pPr>
        <w:spacing w:after="0" w:line="240" w:lineRule="auto"/>
        <w:contextualSpacing/>
        <w:jc w:val="both"/>
        <w:textAlignment w:val="baseline"/>
        <w:rPr>
          <w:rFonts w:ascii="Verdana" w:eastAsia="Times New Roman" w:hAnsi="Verdana" w:cs="Arial"/>
          <w:sz w:val="20"/>
          <w:szCs w:val="20"/>
          <w:lang w:eastAsia="es-CO"/>
        </w:rPr>
      </w:pPr>
    </w:p>
    <w:p w14:paraId="0AABBFAC" w14:textId="77777777" w:rsidR="00585656" w:rsidRPr="0049500E" w:rsidRDefault="00585656" w:rsidP="00585656">
      <w:pPr>
        <w:spacing w:after="0" w:line="240" w:lineRule="auto"/>
        <w:contextualSpacing/>
        <w:jc w:val="both"/>
        <w:textAlignment w:val="baseline"/>
        <w:rPr>
          <w:rFonts w:ascii="Verdana" w:eastAsia="Times New Roman" w:hAnsi="Verdana" w:cs="Arial"/>
          <w:sz w:val="20"/>
          <w:szCs w:val="20"/>
          <w:lang w:eastAsia="es-CO"/>
        </w:rPr>
      </w:pPr>
      <w:r w:rsidRPr="0049500E">
        <w:rPr>
          <w:rFonts w:ascii="Verdana" w:eastAsia="Times New Roman" w:hAnsi="Verdana" w:cs="Arial"/>
          <w:sz w:val="20"/>
          <w:szCs w:val="20"/>
          <w:lang w:eastAsia="es-CO"/>
        </w:rPr>
        <w:t>Respecto de la selección abreviada, el numeral 2° del artículo 2 de Ley 1150 de 2007 la define en los siguientes términos: </w:t>
      </w:r>
      <w:r w:rsidRPr="0049500E">
        <w:rPr>
          <w:rFonts w:ascii="Verdana" w:eastAsia="Times New Roman" w:hAnsi="Verdana" w:cs="Arial"/>
          <w:sz w:val="20"/>
          <w:szCs w:val="20"/>
          <w:shd w:val="clear" w:color="auto" w:fill="FFFFFF"/>
          <w:lang w:eastAsia="es-CO"/>
        </w:rPr>
        <w:t>“</w:t>
      </w:r>
      <w:r w:rsidRPr="0049500E">
        <w:rPr>
          <w:rFonts w:ascii="Verdana" w:eastAsia="Times New Roman" w:hAnsi="Verdana" w:cs="Arial"/>
          <w:sz w:val="20"/>
          <w:szCs w:val="20"/>
          <w:lang w:eastAsia="es-CO"/>
        </w:rPr>
        <w:t xml:space="preserve">2. Selección abreviada. La Selección abreviada corresponde a la modalidad de selección objetiva prevista para aquellos casos en </w:t>
      </w:r>
      <w:proofErr w:type="gramStart"/>
      <w:r w:rsidRPr="0049500E">
        <w:rPr>
          <w:rFonts w:ascii="Verdana" w:eastAsia="Times New Roman" w:hAnsi="Verdana" w:cs="Arial"/>
          <w:sz w:val="20"/>
          <w:szCs w:val="20"/>
          <w:lang w:eastAsia="es-CO"/>
        </w:rPr>
        <w:t>que</w:t>
      </w:r>
      <w:proofErr w:type="gramEnd"/>
      <w:r w:rsidRPr="0049500E">
        <w:rPr>
          <w:rFonts w:ascii="Verdana" w:eastAsia="Times New Roman" w:hAnsi="Verdana" w:cs="Arial"/>
          <w:sz w:val="20"/>
          <w:szCs w:val="20"/>
          <w:lang w:eastAsia="es-CO"/>
        </w:rPr>
        <w:t xml:space="preserve"> por las características del objeto a contratar, las circunstancias de la contratación o la cuantía o destinación del bien, obra o </w:t>
      </w:r>
      <w:proofErr w:type="gramStart"/>
      <w:r w:rsidRPr="0049500E">
        <w:rPr>
          <w:rFonts w:ascii="Verdana" w:eastAsia="Times New Roman" w:hAnsi="Verdana" w:cs="Arial"/>
          <w:sz w:val="20"/>
          <w:szCs w:val="20"/>
          <w:lang w:eastAsia="es-CO"/>
        </w:rPr>
        <w:t>servicio,</w:t>
      </w:r>
      <w:proofErr w:type="gramEnd"/>
      <w:r w:rsidRPr="0049500E">
        <w:rPr>
          <w:rFonts w:ascii="Verdana" w:eastAsia="Times New Roman" w:hAnsi="Verdana" w:cs="Arial"/>
          <w:sz w:val="20"/>
          <w:szCs w:val="20"/>
          <w:lang w:eastAsia="es-CO"/>
        </w:rPr>
        <w:t xml:space="preserve"> puedan adelantarse procesos simplificados para garantizar la eficiencia de la gestión contractual. [...]</w:t>
      </w:r>
      <w:r w:rsidRPr="0049500E">
        <w:rPr>
          <w:rFonts w:ascii="Verdana" w:eastAsia="Times New Roman" w:hAnsi="Verdana" w:cs="Arial"/>
          <w:sz w:val="20"/>
          <w:szCs w:val="20"/>
          <w:shd w:val="clear" w:color="auto" w:fill="FFFFFF"/>
          <w:lang w:eastAsia="es-CO"/>
        </w:rPr>
        <w:t>”.</w:t>
      </w:r>
    </w:p>
    <w:p w14:paraId="79E4DA09" w14:textId="77777777" w:rsidR="00585656" w:rsidRPr="0049500E" w:rsidRDefault="00585656" w:rsidP="00585656">
      <w:pPr>
        <w:spacing w:after="0" w:line="240" w:lineRule="auto"/>
        <w:ind w:left="703" w:right="675"/>
        <w:contextualSpacing/>
        <w:jc w:val="both"/>
        <w:textAlignment w:val="baseline"/>
        <w:rPr>
          <w:rFonts w:ascii="Verdana" w:eastAsia="Times New Roman" w:hAnsi="Verdana" w:cs="Arial"/>
          <w:sz w:val="20"/>
          <w:szCs w:val="20"/>
          <w:lang w:eastAsia="es-CO"/>
        </w:rPr>
      </w:pPr>
    </w:p>
    <w:p w14:paraId="5B8D8015" w14:textId="77777777" w:rsidR="00585656" w:rsidRPr="0049500E" w:rsidRDefault="00585656" w:rsidP="00585656">
      <w:pPr>
        <w:spacing w:after="0" w:line="240" w:lineRule="auto"/>
        <w:contextualSpacing/>
        <w:jc w:val="both"/>
        <w:rPr>
          <w:rFonts w:ascii="Verdana" w:eastAsia="Calibri" w:hAnsi="Verdana" w:cs="Arial"/>
          <w:sz w:val="20"/>
          <w:szCs w:val="20"/>
        </w:rPr>
      </w:pPr>
      <w:r w:rsidRPr="0049500E">
        <w:rPr>
          <w:rFonts w:ascii="Verdana" w:eastAsia="Calibri" w:hAnsi="Verdana" w:cs="Arial"/>
          <w:sz w:val="20"/>
          <w:szCs w:val="20"/>
        </w:rPr>
        <w:t xml:space="preserve">Esta norma contempla una modalidad de selección que se caracteriza por tener etapas simplificadas y términos más cortos que la licitación pública, lo cual se justifica por la complejidad de los asuntos que se contratan a través de esta modalidad, que requieren de procedimientos ágiles y eficientes. </w:t>
      </w:r>
    </w:p>
    <w:p w14:paraId="5E77865C" w14:textId="77777777" w:rsidR="00585656" w:rsidRPr="0049500E" w:rsidRDefault="00585656" w:rsidP="00585656">
      <w:pPr>
        <w:spacing w:after="0" w:line="240" w:lineRule="auto"/>
        <w:contextualSpacing/>
        <w:jc w:val="both"/>
        <w:rPr>
          <w:rFonts w:ascii="Verdana" w:eastAsia="Times New Roman" w:hAnsi="Verdana" w:cs="Arial"/>
          <w:b/>
          <w:bCs/>
          <w:sz w:val="20"/>
          <w:szCs w:val="20"/>
          <w:lang w:val="es-MX" w:eastAsia="es-CO"/>
        </w:rPr>
      </w:pPr>
    </w:p>
    <w:p w14:paraId="2A6A645F" w14:textId="77777777" w:rsidR="00585656" w:rsidRPr="0049500E" w:rsidRDefault="00585656" w:rsidP="00585656">
      <w:pPr>
        <w:spacing w:after="0" w:line="240" w:lineRule="auto"/>
        <w:contextualSpacing/>
        <w:jc w:val="both"/>
        <w:rPr>
          <w:rFonts w:ascii="Verdana" w:eastAsia="Calibri" w:hAnsi="Verdana" w:cs="Arial"/>
          <w:b/>
          <w:bCs/>
          <w:color w:val="000000" w:themeColor="text1"/>
          <w:lang w:val="es-MX"/>
        </w:rPr>
      </w:pPr>
      <w:r w:rsidRPr="0049500E">
        <w:rPr>
          <w:rFonts w:ascii="Verdana" w:eastAsia="Calibri" w:hAnsi="Verdana" w:cs="Arial"/>
          <w:b/>
          <w:bCs/>
          <w:color w:val="000000" w:themeColor="text1"/>
          <w:lang w:val="es-MX"/>
        </w:rPr>
        <w:t>SELECCIÓN ABREVIADA MENOR CUANTÍA – Modalidad de selección – Procedencia</w:t>
      </w:r>
    </w:p>
    <w:p w14:paraId="4E994808" w14:textId="77777777" w:rsidR="00585656" w:rsidRPr="0049500E" w:rsidRDefault="00585656" w:rsidP="00585656">
      <w:pPr>
        <w:spacing w:after="0" w:line="240" w:lineRule="auto"/>
        <w:contextualSpacing/>
        <w:jc w:val="both"/>
        <w:rPr>
          <w:rFonts w:ascii="Verdana" w:eastAsia="Calibri" w:hAnsi="Verdana" w:cs="Arial"/>
          <w:sz w:val="20"/>
          <w:szCs w:val="20"/>
          <w:shd w:val="clear" w:color="auto" w:fill="FFFFFF"/>
          <w:lang w:eastAsia="es-ES_tradnl"/>
        </w:rPr>
      </w:pPr>
    </w:p>
    <w:p w14:paraId="696D4B99" w14:textId="77777777" w:rsidR="00585656" w:rsidRPr="0049500E" w:rsidRDefault="00585656" w:rsidP="00585656">
      <w:pPr>
        <w:spacing w:after="0" w:line="240" w:lineRule="auto"/>
        <w:contextualSpacing/>
        <w:jc w:val="both"/>
        <w:rPr>
          <w:rFonts w:ascii="Verdana" w:eastAsia="Calibri" w:hAnsi="Verdana" w:cs="Arial"/>
          <w:sz w:val="20"/>
          <w:szCs w:val="20"/>
          <w:shd w:val="clear" w:color="auto" w:fill="FFFFFF"/>
          <w:lang w:eastAsia="es-ES_tradnl"/>
        </w:rPr>
      </w:pPr>
      <w:r w:rsidRPr="0049500E">
        <w:rPr>
          <w:rFonts w:ascii="Verdana" w:eastAsia="Calibri" w:hAnsi="Verdana" w:cs="Arial"/>
          <w:sz w:val="20"/>
          <w:szCs w:val="20"/>
          <w:shd w:val="clear" w:color="auto" w:fill="FFFFFF"/>
          <w:lang w:eastAsia="es-ES_tradnl"/>
        </w:rPr>
        <w:t xml:space="preserv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 por lo que  en cada contrato en específico se debe analizar la procedencia de la causal o las causales, independientemente de que, en algunos casos, cualquiera de ellas remita al mismo procedimiento de selección. </w:t>
      </w:r>
    </w:p>
    <w:p w14:paraId="20FA0D9E" w14:textId="77777777" w:rsidR="00585656" w:rsidRPr="0049500E" w:rsidRDefault="00585656" w:rsidP="00585656">
      <w:pPr>
        <w:spacing w:after="0" w:line="240" w:lineRule="auto"/>
        <w:contextualSpacing/>
        <w:jc w:val="both"/>
        <w:rPr>
          <w:rFonts w:ascii="Verdana" w:eastAsia="Times New Roman" w:hAnsi="Verdana" w:cs="Arial"/>
          <w:b/>
          <w:bCs/>
          <w:sz w:val="20"/>
          <w:szCs w:val="20"/>
          <w:lang w:val="es-MX" w:eastAsia="es-CO"/>
        </w:rPr>
      </w:pPr>
    </w:p>
    <w:p w14:paraId="33E9227E" w14:textId="37F13A32" w:rsidR="00585656" w:rsidRPr="0049500E" w:rsidRDefault="00585656" w:rsidP="00585656">
      <w:pPr>
        <w:spacing w:after="0" w:line="240" w:lineRule="auto"/>
        <w:contextualSpacing/>
        <w:jc w:val="both"/>
        <w:rPr>
          <w:rFonts w:ascii="Verdana" w:eastAsia="Calibri" w:hAnsi="Verdana" w:cs="Arial"/>
          <w:b/>
          <w:bCs/>
          <w:color w:val="000000" w:themeColor="text1"/>
          <w:lang w:val="es-MX"/>
        </w:rPr>
      </w:pPr>
      <w:r w:rsidRPr="0049500E">
        <w:rPr>
          <w:rFonts w:ascii="Verdana" w:eastAsia="Calibri" w:hAnsi="Verdana" w:cs="Arial"/>
          <w:b/>
          <w:bCs/>
          <w:color w:val="000000" w:themeColor="text1"/>
          <w:lang w:val="es-MX"/>
        </w:rPr>
        <w:t>DECLARATORIA DE DESIERTA – Procesos de Contratación</w:t>
      </w:r>
    </w:p>
    <w:p w14:paraId="11DD092D" w14:textId="77777777" w:rsidR="00585656" w:rsidRPr="0049500E" w:rsidRDefault="00585656" w:rsidP="00585656">
      <w:pPr>
        <w:tabs>
          <w:tab w:val="left" w:pos="709"/>
        </w:tabs>
        <w:spacing w:after="0" w:line="240" w:lineRule="auto"/>
        <w:contextualSpacing/>
        <w:jc w:val="both"/>
        <w:rPr>
          <w:rFonts w:ascii="Verdana" w:eastAsia="Calibri" w:hAnsi="Verdana" w:cs="Arial"/>
          <w:color w:val="000000" w:themeColor="text1"/>
          <w:sz w:val="20"/>
          <w:szCs w:val="20"/>
          <w:lang w:eastAsia="es-ES_tradnl"/>
        </w:rPr>
      </w:pPr>
    </w:p>
    <w:p w14:paraId="67B5CF2C" w14:textId="77777777" w:rsidR="00585656" w:rsidRPr="0049500E" w:rsidRDefault="00585656" w:rsidP="00585656">
      <w:pPr>
        <w:tabs>
          <w:tab w:val="left" w:pos="709"/>
        </w:tabs>
        <w:spacing w:after="0" w:line="240" w:lineRule="auto"/>
        <w:contextualSpacing/>
        <w:jc w:val="both"/>
        <w:rPr>
          <w:rFonts w:ascii="Verdana" w:eastAsia="Calibri" w:hAnsi="Verdana" w:cs="Arial"/>
          <w:color w:val="000000" w:themeColor="text1"/>
          <w:sz w:val="20"/>
          <w:szCs w:val="20"/>
          <w:lang w:eastAsia="es-ES_tradnl"/>
        </w:rPr>
      </w:pPr>
      <w:r w:rsidRPr="0049500E">
        <w:rPr>
          <w:rFonts w:ascii="Verdana" w:eastAsia="Calibri" w:hAnsi="Verdana" w:cs="Arial"/>
          <w:color w:val="000000" w:themeColor="text1"/>
          <w:sz w:val="20"/>
          <w:szCs w:val="20"/>
          <w:lang w:eastAsia="es-ES_tradnl"/>
        </w:rPr>
        <w:t xml:space="preserve">[…] </w:t>
      </w:r>
    </w:p>
    <w:p w14:paraId="44D9C44B" w14:textId="77777777" w:rsidR="00585656" w:rsidRPr="0049500E" w:rsidRDefault="00585656" w:rsidP="00585656">
      <w:pPr>
        <w:spacing w:after="0" w:line="240" w:lineRule="auto"/>
        <w:contextualSpacing/>
        <w:jc w:val="both"/>
        <w:rPr>
          <w:rFonts w:ascii="Verdana" w:eastAsia="Calibri" w:hAnsi="Verdana" w:cs="Arial"/>
          <w:color w:val="000000"/>
          <w:sz w:val="20"/>
          <w:szCs w:val="20"/>
        </w:rPr>
      </w:pPr>
    </w:p>
    <w:p w14:paraId="714C4E01" w14:textId="77777777" w:rsidR="00585656" w:rsidRPr="0049500E" w:rsidRDefault="00585656" w:rsidP="00585656">
      <w:pPr>
        <w:spacing w:after="0" w:line="240" w:lineRule="auto"/>
        <w:contextualSpacing/>
        <w:jc w:val="both"/>
        <w:rPr>
          <w:rFonts w:ascii="Verdana" w:eastAsia="Calibri" w:hAnsi="Verdana" w:cs="Arial"/>
          <w:color w:val="000000"/>
          <w:sz w:val="20"/>
          <w:szCs w:val="20"/>
        </w:rPr>
      </w:pPr>
      <w:r w:rsidRPr="00722795">
        <w:rPr>
          <w:rFonts w:ascii="Verdana" w:eastAsia="Calibri" w:hAnsi="Verdana" w:cs="Arial"/>
          <w:color w:val="000000"/>
          <w:sz w:val="20"/>
          <w:szCs w:val="20"/>
        </w:rPr>
        <w:t>Ahora bien, una vez en firme el acto administrativo mediante el cual una Entidad Estatal haya declarado desierto un proceso de selección, la Entidad Estatal podrá considerar la posibilidad de adelantar un nuevo proceso de selección, teniendo en cuenta las cinco (5) modalidades de selección previstas en el artículo 2 de la Ley 1150 de 2007 y sus respectivas causales, respecto de las características particulares del objeto a contratar, las circunstancias de la contratación o la cuantía o destinación del bien, obra o servicio, que justifican la selección de una u otra modalidad de contratación especifica, que en todo caso debe estar siempre acorde a la Ley.</w:t>
      </w:r>
      <w:r>
        <w:rPr>
          <w:rFonts w:ascii="Verdana" w:eastAsia="Calibri" w:hAnsi="Verdana" w:cs="Arial"/>
          <w:color w:val="000000"/>
          <w:sz w:val="20"/>
          <w:szCs w:val="20"/>
        </w:rPr>
        <w:t xml:space="preserve"> </w:t>
      </w:r>
      <w:r w:rsidRPr="00722795">
        <w:rPr>
          <w:rFonts w:ascii="Verdana" w:eastAsia="Calibri" w:hAnsi="Verdana" w:cs="Arial"/>
          <w:color w:val="000000"/>
          <w:sz w:val="20"/>
          <w:szCs w:val="20"/>
        </w:rPr>
        <w:t>Para estos casos, se recomienda que las Entidades Estatales revisen los factores que pueden estar afectando la participación en el procedimiento o las causas por las cuales los oferentes no están cumpliendo con los requisitos señalados en los Pliegos de Condiciones, con el fin de corregir los posibles obstáculos que conllevaron a la declaratoria de desierta.</w:t>
      </w:r>
    </w:p>
    <w:p w14:paraId="4E67BE9D" w14:textId="77777777" w:rsidR="00585656" w:rsidRDefault="00585656" w:rsidP="00E245AB">
      <w:pPr>
        <w:spacing w:after="0"/>
        <w:rPr>
          <w:rFonts w:ascii="Verdana" w:hAnsi="Verdana"/>
        </w:rPr>
      </w:pPr>
    </w:p>
    <w:p w14:paraId="3FE2184B" w14:textId="4C60E74A" w:rsidR="00E245AB" w:rsidRPr="0044528D" w:rsidRDefault="00E245AB" w:rsidP="00E245AB">
      <w:pPr>
        <w:spacing w:after="0"/>
        <w:rPr>
          <w:rFonts w:ascii="Verdana" w:hAnsi="Verdana"/>
        </w:rPr>
      </w:pPr>
      <w:r w:rsidRPr="0044528D">
        <w:rPr>
          <w:rFonts w:ascii="Verdana" w:hAnsi="Verdana"/>
        </w:rPr>
        <w:lastRenderedPageBreak/>
        <w:t xml:space="preserve">Bogotá D.C., </w:t>
      </w:r>
      <w:r w:rsidR="0046387C">
        <w:rPr>
          <w:rFonts w:ascii="Verdana" w:hAnsi="Verdana"/>
        </w:rPr>
        <w:t>26 agosto 2025</w:t>
      </w:r>
      <w:r w:rsidR="00891928" w:rsidRPr="0044528D">
        <w:rPr>
          <w:rFonts w:ascii="Verdana" w:hAnsi="Verdana"/>
        </w:rPr>
        <w:tab/>
      </w:r>
    </w:p>
    <w:p w14:paraId="5FCADBF9" w14:textId="1E175344" w:rsidR="00E245AB" w:rsidRPr="0044528D" w:rsidRDefault="00A82706" w:rsidP="00E245AB">
      <w:pPr>
        <w:spacing w:after="0"/>
        <w:rPr>
          <w:rFonts w:ascii="Verdana" w:hAnsi="Verdana"/>
        </w:rPr>
      </w:pPr>
      <w:r w:rsidRPr="00A82706">
        <w:rPr>
          <w:rFonts w:ascii="Verdana" w:eastAsia="Calibri" w:hAnsi="Verdana" w:cs="Arial"/>
          <w:b/>
          <w:noProof/>
          <w:lang w:val="es-ES" w:eastAsia="es-ES"/>
        </w:rPr>
        <w:drawing>
          <wp:anchor distT="0" distB="0" distL="114300" distR="114300" simplePos="0" relativeHeight="251658240" behindDoc="0" locked="0" layoutInCell="1" allowOverlap="1" wp14:anchorId="32F7856D" wp14:editId="623AB28E">
            <wp:simplePos x="0" y="0"/>
            <wp:positionH relativeFrom="column">
              <wp:posOffset>2410460</wp:posOffset>
            </wp:positionH>
            <wp:positionV relativeFrom="paragraph">
              <wp:posOffset>6350</wp:posOffset>
            </wp:positionV>
            <wp:extent cx="3314065" cy="998220"/>
            <wp:effectExtent l="0" t="0" r="635" b="0"/>
            <wp:wrapSquare wrapText="bothSides"/>
            <wp:docPr id="4878825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8251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14065" cy="998220"/>
                    </a:xfrm>
                    <a:prstGeom prst="rect">
                      <a:avLst/>
                    </a:prstGeom>
                  </pic:spPr>
                </pic:pic>
              </a:graphicData>
            </a:graphic>
            <wp14:sizeRelH relativeFrom="margin">
              <wp14:pctWidth>0</wp14:pctWidth>
            </wp14:sizeRelH>
            <wp14:sizeRelV relativeFrom="margin">
              <wp14:pctHeight>0</wp14:pctHeight>
            </wp14:sizeRelV>
          </wp:anchor>
        </w:drawing>
      </w:r>
    </w:p>
    <w:p w14:paraId="0CE2265B" w14:textId="339D6E38" w:rsidR="008B6519" w:rsidRPr="008D179B" w:rsidRDefault="008B6519" w:rsidP="008B6519">
      <w:pPr>
        <w:spacing w:after="0" w:line="240" w:lineRule="auto"/>
        <w:jc w:val="both"/>
        <w:rPr>
          <w:rFonts w:ascii="Verdana" w:eastAsia="Calibri" w:hAnsi="Verdana" w:cs="Arial"/>
          <w:lang w:val="es-ES" w:eastAsia="es-ES"/>
        </w:rPr>
      </w:pPr>
      <w:r w:rsidRPr="008D179B">
        <w:rPr>
          <w:rFonts w:ascii="Verdana" w:eastAsia="Calibri" w:hAnsi="Verdana" w:cs="Arial"/>
          <w:lang w:val="es-ES" w:eastAsia="es-ES"/>
        </w:rPr>
        <w:t>Señor</w:t>
      </w:r>
    </w:p>
    <w:p w14:paraId="5AE61C97" w14:textId="0F507EA6" w:rsidR="008B6519" w:rsidRPr="008D179B" w:rsidRDefault="008B6519" w:rsidP="008B6519">
      <w:pPr>
        <w:spacing w:after="0" w:line="240" w:lineRule="auto"/>
        <w:rPr>
          <w:rFonts w:ascii="Verdana" w:eastAsia="Calibri" w:hAnsi="Verdana" w:cs="Arial"/>
          <w:b/>
          <w:lang w:val="es-ES" w:eastAsia="es-ES"/>
        </w:rPr>
      </w:pPr>
      <w:proofErr w:type="spellStart"/>
      <w:r w:rsidRPr="008D179B">
        <w:rPr>
          <w:rFonts w:ascii="Verdana" w:eastAsia="Calibri" w:hAnsi="Verdana" w:cs="Arial"/>
          <w:b/>
          <w:lang w:val="es-ES" w:eastAsia="es-ES"/>
        </w:rPr>
        <w:t>Jadel</w:t>
      </w:r>
      <w:proofErr w:type="spellEnd"/>
      <w:r w:rsidRPr="008D179B">
        <w:rPr>
          <w:rFonts w:ascii="Verdana" w:eastAsia="Calibri" w:hAnsi="Verdana" w:cs="Arial"/>
          <w:b/>
          <w:lang w:val="es-ES" w:eastAsia="es-ES"/>
        </w:rPr>
        <w:t xml:space="preserve"> Fuentes</w:t>
      </w:r>
      <w:r w:rsidR="00A82706" w:rsidRPr="00A82706">
        <w:rPr>
          <w:noProof/>
        </w:rPr>
        <w:t xml:space="preserve"> </w:t>
      </w:r>
    </w:p>
    <w:p w14:paraId="48E3BB26" w14:textId="77777777" w:rsidR="008B6519" w:rsidRPr="008D179B" w:rsidRDefault="008B6519" w:rsidP="008B6519">
      <w:pPr>
        <w:spacing w:after="0" w:line="240" w:lineRule="auto"/>
        <w:rPr>
          <w:rFonts w:ascii="Verdana" w:hAnsi="Verdana"/>
        </w:rPr>
      </w:pPr>
      <w:hyperlink r:id="rId11" w:history="1">
        <w:r w:rsidRPr="008D179B">
          <w:rPr>
            <w:rStyle w:val="Hipervnculo"/>
            <w:rFonts w:ascii="Verdana" w:hAnsi="Verdana"/>
          </w:rPr>
          <w:t>jadelfuentes@gmail.com</w:t>
        </w:r>
      </w:hyperlink>
    </w:p>
    <w:p w14:paraId="638F8907" w14:textId="77777777" w:rsidR="008B6519" w:rsidRPr="008D179B" w:rsidRDefault="008B6519" w:rsidP="008B6519">
      <w:pPr>
        <w:spacing w:after="0" w:line="240" w:lineRule="auto"/>
        <w:rPr>
          <w:rFonts w:ascii="Verdana" w:hAnsi="Verdana" w:cs="ArialMT"/>
        </w:rPr>
      </w:pPr>
      <w:r w:rsidRPr="008D179B">
        <w:rPr>
          <w:rFonts w:ascii="Verdana" w:eastAsia="Calibri" w:hAnsi="Verdana" w:cs="Arial"/>
          <w:lang w:val="es-ES" w:eastAsia="es-ES"/>
        </w:rPr>
        <w:t>Altos del Rosario,</w:t>
      </w:r>
      <w:r w:rsidRPr="008D179B">
        <w:rPr>
          <w:rFonts w:ascii="Verdana" w:hAnsi="Verdana"/>
        </w:rPr>
        <w:t xml:space="preserve"> </w:t>
      </w:r>
      <w:r w:rsidRPr="008D179B">
        <w:rPr>
          <w:rFonts w:ascii="Verdana" w:eastAsia="Calibri" w:hAnsi="Verdana" w:cs="Arial"/>
          <w:lang w:val="es-ES" w:eastAsia="es-ES"/>
        </w:rPr>
        <w:t>Bolívar</w:t>
      </w:r>
    </w:p>
    <w:p w14:paraId="1488C4C9" w14:textId="77777777" w:rsidR="008B6519" w:rsidRDefault="008B6519" w:rsidP="008B6519">
      <w:pPr>
        <w:spacing w:after="0" w:line="240" w:lineRule="auto"/>
        <w:rPr>
          <w:rFonts w:ascii="Verdana" w:eastAsia="Calibri" w:hAnsi="Verdana" w:cs="Arial"/>
          <w:b/>
          <w:bCs/>
          <w:color w:val="000000"/>
          <w:lang w:val="es-ES_tradnl" w:eastAsia="es-ES_tradnl"/>
        </w:rPr>
      </w:pPr>
    </w:p>
    <w:p w14:paraId="5DF2146E" w14:textId="77777777" w:rsidR="008B6519" w:rsidRDefault="008B6519" w:rsidP="008B651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B6519" w14:paraId="56CFD940" w14:textId="77777777" w:rsidTr="000026A0">
        <w:trPr>
          <w:trHeight w:val="218"/>
        </w:trPr>
        <w:tc>
          <w:tcPr>
            <w:tcW w:w="2689" w:type="dxa"/>
          </w:tcPr>
          <w:p w14:paraId="2B06AFC1" w14:textId="77777777" w:rsidR="008B6519" w:rsidRDefault="008B6519" w:rsidP="000026A0">
            <w:pPr>
              <w:jc w:val="both"/>
              <w:rPr>
                <w:rFonts w:ascii="Verdana" w:eastAsia="Calibri" w:hAnsi="Verdana" w:cs="Arial"/>
                <w:b/>
                <w:bCs/>
                <w:color w:val="7030A0"/>
                <w:lang w:val="es-ES_tradnl" w:eastAsia="es-ES_tradnl"/>
              </w:rPr>
            </w:pPr>
          </w:p>
        </w:tc>
        <w:tc>
          <w:tcPr>
            <w:tcW w:w="6100" w:type="dxa"/>
            <w:hideMark/>
          </w:tcPr>
          <w:p w14:paraId="3A915941" w14:textId="77777777" w:rsidR="008B6519" w:rsidRDefault="008B6519" w:rsidP="000026A0">
            <w:pPr>
              <w:jc w:val="both"/>
              <w:rPr>
                <w:rFonts w:ascii="Verdana" w:eastAsia="Calibri" w:hAnsi="Verdana" w:cs="Arial"/>
                <w:b/>
                <w:bCs/>
                <w:lang w:val="es-ES" w:eastAsia="es-ES"/>
              </w:rPr>
            </w:pPr>
            <w:r>
              <w:rPr>
                <w:rFonts w:ascii="Verdana" w:eastAsia="Calibri" w:hAnsi="Verdana" w:cs="Arial"/>
                <w:b/>
                <w:bCs/>
                <w:lang w:val="es-ES" w:eastAsia="es-ES"/>
              </w:rPr>
              <w:t>Concepto C-1150 de 2025</w:t>
            </w:r>
          </w:p>
          <w:p w14:paraId="7519D9CB" w14:textId="77777777" w:rsidR="008B6519" w:rsidRDefault="008B6519" w:rsidP="000026A0">
            <w:pPr>
              <w:jc w:val="both"/>
              <w:rPr>
                <w:rFonts w:ascii="Verdana" w:eastAsia="Calibri" w:hAnsi="Verdana" w:cs="Arial"/>
                <w:b/>
                <w:bCs/>
                <w:lang w:val="es-ES" w:eastAsia="es-ES"/>
              </w:rPr>
            </w:pPr>
          </w:p>
          <w:p w14:paraId="7BC53003" w14:textId="77777777" w:rsidR="008B6519" w:rsidRDefault="008B6519" w:rsidP="000026A0">
            <w:pPr>
              <w:jc w:val="both"/>
              <w:rPr>
                <w:rFonts w:ascii="Verdana" w:eastAsia="Calibri" w:hAnsi="Verdana" w:cs="Arial"/>
                <w:b/>
                <w:bCs/>
                <w:lang w:val="es-ES" w:eastAsia="es-ES"/>
              </w:rPr>
            </w:pPr>
          </w:p>
        </w:tc>
      </w:tr>
      <w:tr w:rsidR="008B6519" w14:paraId="0FD04759" w14:textId="77777777" w:rsidTr="000026A0">
        <w:trPr>
          <w:trHeight w:val="884"/>
        </w:trPr>
        <w:tc>
          <w:tcPr>
            <w:tcW w:w="2689" w:type="dxa"/>
            <w:hideMark/>
          </w:tcPr>
          <w:p w14:paraId="7ECE5752" w14:textId="77777777" w:rsidR="008B6519" w:rsidRDefault="008B6519" w:rsidP="000026A0">
            <w:pPr>
              <w:jc w:val="both"/>
              <w:rPr>
                <w:rFonts w:ascii="Verdana" w:eastAsia="Calibri" w:hAnsi="Verdana" w:cs="Arial"/>
                <w:color w:val="000000"/>
                <w:lang w:val="es-ES_tradnl" w:eastAsia="es-ES_tradnl"/>
              </w:rPr>
            </w:pPr>
            <w:r>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p>
        </w:tc>
        <w:tc>
          <w:tcPr>
            <w:tcW w:w="6100" w:type="dxa"/>
            <w:hideMark/>
          </w:tcPr>
          <w:p w14:paraId="00F4B2CA" w14:textId="1ACEE661" w:rsidR="008B6519" w:rsidRPr="002168A0" w:rsidRDefault="008B6519" w:rsidP="002168A0">
            <w:pPr>
              <w:jc w:val="both"/>
              <w:rPr>
                <w:rFonts w:ascii="Verdana" w:hAnsi="Verdana" w:cs="Arial"/>
                <w:lang w:val="es-ES" w:eastAsia="es-ES"/>
              </w:rPr>
            </w:pPr>
            <w:r w:rsidRPr="0049500E">
              <w:rPr>
                <w:rFonts w:ascii="Verdana" w:eastAsia="Times New Roman" w:hAnsi="Verdana" w:cs="Arial"/>
                <w:lang w:val="es-MX" w:eastAsia="es-CO"/>
              </w:rPr>
              <w:t>SELECCIÓN ABREVIADA – Modalidad de selección – Naturaleza </w:t>
            </w:r>
            <w:r w:rsidRPr="0049500E">
              <w:rPr>
                <w:rFonts w:ascii="Verdana" w:eastAsia="Times New Roman" w:hAnsi="Verdana" w:cs="Arial"/>
                <w:lang w:eastAsia="es-CO"/>
              </w:rPr>
              <w:t xml:space="preserve">/ </w:t>
            </w:r>
            <w:r w:rsidRPr="0049500E">
              <w:rPr>
                <w:rFonts w:ascii="Verdana" w:eastAsia="Times New Roman" w:hAnsi="Verdana" w:cs="Arial"/>
                <w:lang w:val="es-MX" w:eastAsia="es-CO"/>
              </w:rPr>
              <w:t>SELECCIÓN ABREVIADA MENOR CUANTÍA – Modalidad de selección – Procedencia</w:t>
            </w:r>
            <w:r w:rsidRPr="0049500E">
              <w:rPr>
                <w:rFonts w:ascii="Verdana" w:eastAsia="Times New Roman" w:hAnsi="Verdana" w:cs="Arial"/>
                <w:lang w:eastAsia="es-CO"/>
              </w:rPr>
              <w:t xml:space="preserve"> / </w:t>
            </w:r>
            <w:r w:rsidRPr="0049500E">
              <w:rPr>
                <w:rFonts w:ascii="Verdana" w:eastAsia="Calibri" w:hAnsi="Verdana" w:cs="Arial"/>
                <w:bCs/>
                <w:color w:val="000000" w:themeColor="text1"/>
                <w:lang w:val="es-MX"/>
              </w:rPr>
              <w:t>DECLARATORIA DE DESIERTA – Procesos de Contratación</w:t>
            </w:r>
          </w:p>
          <w:p w14:paraId="467BA0B0" w14:textId="77777777" w:rsidR="008B6519" w:rsidRDefault="008B6519" w:rsidP="000026A0">
            <w:pPr>
              <w:spacing w:line="276" w:lineRule="auto"/>
              <w:jc w:val="both"/>
              <w:rPr>
                <w:rFonts w:ascii="Verdana" w:eastAsia="Calibri" w:hAnsi="Verdana" w:cs="Arial"/>
                <w:lang w:val="es-ES" w:eastAsia="es-ES"/>
              </w:rPr>
            </w:pPr>
          </w:p>
        </w:tc>
      </w:tr>
      <w:tr w:rsidR="008B6519" w14:paraId="3BF9A57D" w14:textId="77777777" w:rsidTr="000026A0">
        <w:tc>
          <w:tcPr>
            <w:tcW w:w="2689" w:type="dxa"/>
            <w:hideMark/>
          </w:tcPr>
          <w:p w14:paraId="444DE43E" w14:textId="77777777" w:rsidR="008B6519" w:rsidRDefault="008B6519" w:rsidP="000026A0">
            <w:pPr>
              <w:jc w:val="both"/>
              <w:rPr>
                <w:rFonts w:ascii="Verdana" w:eastAsia="Calibri" w:hAnsi="Verdana" w:cs="Arial"/>
                <w:b/>
                <w:color w:val="7030A0"/>
                <w:lang w:val="es-ES_tradnl" w:eastAsia="es-ES_tradnl"/>
              </w:rPr>
            </w:pPr>
            <w:r>
              <w:rPr>
                <w:rFonts w:ascii="Verdana" w:eastAsia="Calibri" w:hAnsi="Verdana" w:cs="Arial"/>
                <w:b/>
                <w:lang w:val="es-ES_tradnl" w:eastAsia="es-ES_tradnl"/>
              </w:rPr>
              <w:t>Radicación:</w:t>
            </w:r>
            <w:r>
              <w:rPr>
                <w:rFonts w:ascii="Verdana" w:eastAsia="Calibri" w:hAnsi="Verdana" w:cs="Arial"/>
                <w:lang w:val="es-ES_tradnl" w:eastAsia="es-ES_tradnl"/>
              </w:rPr>
              <w:t xml:space="preserve">               </w:t>
            </w:r>
          </w:p>
        </w:tc>
        <w:tc>
          <w:tcPr>
            <w:tcW w:w="6100" w:type="dxa"/>
          </w:tcPr>
          <w:p w14:paraId="7B27ABE0" w14:textId="043AB124" w:rsidR="008B6519" w:rsidRDefault="008B6519" w:rsidP="000026A0">
            <w:pPr>
              <w:jc w:val="both"/>
              <w:rPr>
                <w:rFonts w:ascii="Verdana" w:eastAsia="Calibri" w:hAnsi="Verdana" w:cs="Arial"/>
                <w:lang w:val="es-ES_tradnl" w:eastAsia="es-ES_tradnl"/>
              </w:rPr>
            </w:pPr>
            <w:r>
              <w:rPr>
                <w:rFonts w:ascii="Verdana" w:eastAsia="Calibri" w:hAnsi="Verdana" w:cs="Arial"/>
                <w:lang w:val="es-ES_tradnl" w:eastAsia="es-ES_tradnl"/>
              </w:rPr>
              <w:t xml:space="preserve">Respuesta a consulta con radicado No. </w:t>
            </w:r>
            <w:r w:rsidRPr="00E7584C">
              <w:rPr>
                <w:rFonts w:ascii="Verdana" w:hAnsi="Verdana" w:cs="Calibri"/>
              </w:rPr>
              <w:t>1_2025_08_15_008603</w:t>
            </w:r>
          </w:p>
        </w:tc>
      </w:tr>
    </w:tbl>
    <w:p w14:paraId="734E82A6" w14:textId="77777777" w:rsidR="008B6519" w:rsidRDefault="008B6519" w:rsidP="008B6519">
      <w:pPr>
        <w:spacing w:after="0" w:line="240" w:lineRule="auto"/>
        <w:jc w:val="both"/>
        <w:rPr>
          <w:rFonts w:ascii="Verdana" w:eastAsia="Calibri" w:hAnsi="Verdana" w:cs="Arial"/>
          <w:color w:val="000000"/>
          <w:lang w:val="es-ES_tradnl" w:eastAsia="es-ES_tradnl"/>
        </w:rPr>
      </w:pPr>
    </w:p>
    <w:p w14:paraId="25F71D22" w14:textId="77777777" w:rsidR="008B6519" w:rsidRDefault="008B6519" w:rsidP="008B6519">
      <w:pPr>
        <w:spacing w:after="0" w:line="240" w:lineRule="auto"/>
        <w:jc w:val="both"/>
        <w:rPr>
          <w:rFonts w:ascii="Verdana" w:eastAsia="Calibri" w:hAnsi="Verdana" w:cs="Arial"/>
          <w:color w:val="000000"/>
          <w:lang w:val="es-ES_tradnl" w:eastAsia="es-ES_tradnl"/>
        </w:rPr>
      </w:pPr>
    </w:p>
    <w:p w14:paraId="14255A86" w14:textId="77777777" w:rsidR="008B6519" w:rsidRDefault="008B6519" w:rsidP="008B6519">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Fuentes,</w:t>
      </w:r>
    </w:p>
    <w:p w14:paraId="780E90DB" w14:textId="77777777" w:rsidR="008B6519" w:rsidRDefault="008B6519" w:rsidP="008B651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D81B04" w14:textId="77777777" w:rsidR="008B6519" w:rsidRDefault="008B6519" w:rsidP="008B6519">
      <w:pPr>
        <w:spacing w:after="0" w:line="276" w:lineRule="auto"/>
        <w:ind w:right="49"/>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 fecha 15 de agosto de 2025, en la cual manifiesta lo siguiente: </w:t>
      </w:r>
    </w:p>
    <w:p w14:paraId="3A91533A" w14:textId="77777777" w:rsidR="008B6519" w:rsidRDefault="008B6519" w:rsidP="008B651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432ABB0" w14:textId="77777777" w:rsidR="008B6519" w:rsidRPr="003B6BBC" w:rsidRDefault="008B6519" w:rsidP="008B6519">
      <w:pPr>
        <w:spacing w:after="0" w:line="240" w:lineRule="auto"/>
        <w:ind w:left="709" w:right="1858"/>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3B6BBC">
        <w:rPr>
          <w:rFonts w:ascii="Verdana" w:eastAsia="Century Gothic" w:hAnsi="Verdana" w:cs="Century Gothic"/>
          <w:sz w:val="20"/>
          <w:szCs w:val="20"/>
          <w:lang w:val="es-ES"/>
        </w:rPr>
        <w:t>Cordial Saludo,</w:t>
      </w:r>
    </w:p>
    <w:p w14:paraId="56F1740D" w14:textId="77777777" w:rsidR="008B6519" w:rsidRDefault="008B6519" w:rsidP="008B6519">
      <w:pPr>
        <w:spacing w:after="0" w:line="240" w:lineRule="auto"/>
        <w:ind w:left="709" w:right="758"/>
        <w:jc w:val="both"/>
        <w:rPr>
          <w:rStyle w:val="normaltextrun"/>
          <w:rFonts w:ascii="Verdana" w:hAnsi="Verdana" w:cs="Arial"/>
          <w:sz w:val="20"/>
          <w:szCs w:val="20"/>
          <w:shd w:val="clear" w:color="auto" w:fill="FFFFFF"/>
          <w:lang w:val="es-ES"/>
        </w:rPr>
      </w:pPr>
      <w:r w:rsidRPr="003B6BBC">
        <w:rPr>
          <w:rFonts w:ascii="Verdana" w:eastAsia="Century Gothic" w:hAnsi="Verdana" w:cs="Century Gothic"/>
          <w:sz w:val="20"/>
          <w:szCs w:val="20"/>
          <w:lang w:val="es-ES"/>
        </w:rPr>
        <w:t xml:space="preserve">UN PROCESO DE SELECCIÓN ABREVIADA DE MENOR </w:t>
      </w:r>
      <w:proofErr w:type="gramStart"/>
      <w:r w:rsidRPr="003B6BBC">
        <w:rPr>
          <w:rFonts w:ascii="Verdana" w:eastAsia="Century Gothic" w:hAnsi="Verdana" w:cs="Century Gothic"/>
          <w:sz w:val="20"/>
          <w:szCs w:val="20"/>
          <w:lang w:val="es-ES"/>
        </w:rPr>
        <w:t xml:space="preserve">CUANTÍA </w:t>
      </w:r>
      <w:r>
        <w:rPr>
          <w:rFonts w:ascii="Verdana" w:eastAsia="Century Gothic" w:hAnsi="Verdana" w:cs="Century Gothic"/>
          <w:sz w:val="20"/>
          <w:szCs w:val="20"/>
          <w:lang w:val="es-ES"/>
        </w:rPr>
        <w:t xml:space="preserve"> </w:t>
      </w:r>
      <w:r w:rsidRPr="003B6BBC">
        <w:rPr>
          <w:rFonts w:ascii="Verdana" w:eastAsia="Century Gothic" w:hAnsi="Verdana" w:cs="Century Gothic"/>
          <w:sz w:val="20"/>
          <w:szCs w:val="20"/>
          <w:lang w:val="es-ES"/>
        </w:rPr>
        <w:t>UE</w:t>
      </w:r>
      <w:proofErr w:type="gramEnd"/>
      <w:r w:rsidRPr="003B6BBC">
        <w:rPr>
          <w:rFonts w:ascii="Verdana" w:eastAsia="Century Gothic" w:hAnsi="Verdana" w:cs="Century Gothic"/>
          <w:sz w:val="20"/>
          <w:szCs w:val="20"/>
          <w:lang w:val="es-ES"/>
        </w:rPr>
        <w:t xml:space="preserve"> FUE</w:t>
      </w:r>
      <w:r>
        <w:rPr>
          <w:rFonts w:ascii="Verdana" w:eastAsia="Century Gothic" w:hAnsi="Verdana" w:cs="Century Gothic"/>
          <w:sz w:val="20"/>
          <w:szCs w:val="20"/>
          <w:lang w:val="es-ES"/>
        </w:rPr>
        <w:t xml:space="preserve"> </w:t>
      </w:r>
      <w:r w:rsidRPr="003B6BBC">
        <w:rPr>
          <w:rFonts w:ascii="Verdana" w:eastAsia="Century Gothic" w:hAnsi="Verdana" w:cs="Century Gothic"/>
          <w:sz w:val="20"/>
          <w:szCs w:val="20"/>
          <w:lang w:val="es-ES"/>
        </w:rPr>
        <w:t>DECLARADO DESIERTO PORQUE NO SE PRESENTARON PROPONENTES,</w:t>
      </w:r>
      <w:r>
        <w:rPr>
          <w:rFonts w:ascii="Verdana" w:eastAsia="Century Gothic" w:hAnsi="Verdana" w:cs="Century Gothic"/>
          <w:sz w:val="20"/>
          <w:szCs w:val="20"/>
          <w:lang w:val="es-ES"/>
        </w:rPr>
        <w:t xml:space="preserve"> </w:t>
      </w:r>
      <w:r w:rsidRPr="003B6BBC">
        <w:rPr>
          <w:rFonts w:ascii="Verdana" w:eastAsia="Century Gothic" w:hAnsi="Verdana" w:cs="Century Gothic"/>
          <w:sz w:val="20"/>
          <w:szCs w:val="20"/>
          <w:lang w:val="es-ES"/>
        </w:rPr>
        <w:t>¿SE PUEDE ADELANTAR POR CONTRATACIÓN DIRECTA?:</w:t>
      </w:r>
      <w:r>
        <w:rPr>
          <w:rStyle w:val="normaltextrun"/>
          <w:rFonts w:ascii="Verdana" w:hAnsi="Verdana" w:cs="Arial"/>
          <w:sz w:val="20"/>
          <w:szCs w:val="20"/>
          <w:shd w:val="clear" w:color="auto" w:fill="FFFFFF"/>
          <w:lang w:val="es-ES"/>
        </w:rPr>
        <w:t>” (SIC)</w:t>
      </w:r>
    </w:p>
    <w:p w14:paraId="07FDECF8" w14:textId="77777777" w:rsidR="008B6519" w:rsidRDefault="008B6519" w:rsidP="008B6519">
      <w:pPr>
        <w:spacing w:after="0" w:line="240" w:lineRule="auto"/>
        <w:ind w:left="709" w:right="1858"/>
        <w:jc w:val="both"/>
        <w:rPr>
          <w:rStyle w:val="normaltextrun"/>
          <w:rFonts w:ascii="Verdana" w:hAnsi="Verdana" w:cs="Arial"/>
          <w:sz w:val="20"/>
          <w:szCs w:val="20"/>
          <w:shd w:val="clear" w:color="auto" w:fill="FFFFFF"/>
          <w:lang w:val="es-ES"/>
        </w:rPr>
      </w:pPr>
    </w:p>
    <w:p w14:paraId="33789C31" w14:textId="77777777" w:rsidR="008B6519" w:rsidRDefault="008B6519" w:rsidP="008B6519">
      <w:pPr>
        <w:spacing w:after="120" w:line="276" w:lineRule="auto"/>
        <w:ind w:right="49"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w:t>
      </w:r>
      <w:r>
        <w:rPr>
          <w:rFonts w:ascii="Verdana" w:eastAsia="Calibri" w:hAnsi="Verdana" w:cs="Arial"/>
          <w:color w:val="000000"/>
          <w:lang w:val="es-ES" w:eastAsia="es-ES"/>
        </w:rPr>
        <w:lastRenderedPageBreak/>
        <w:t xml:space="preserve">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350CE32F" w14:textId="77777777" w:rsidR="008B6519" w:rsidRDefault="008B6519" w:rsidP="008B6519">
      <w:pPr>
        <w:spacing w:after="0" w:line="276" w:lineRule="auto"/>
        <w:ind w:right="49"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4A7464AE" w14:textId="77777777" w:rsidR="008B6519" w:rsidRDefault="008B6519" w:rsidP="008B6519">
      <w:pPr>
        <w:spacing w:after="0" w:line="276" w:lineRule="auto"/>
        <w:ind w:right="49" w:firstLine="709"/>
        <w:jc w:val="both"/>
        <w:rPr>
          <w:rFonts w:ascii="Verdana" w:eastAsia="Calibri" w:hAnsi="Verdana" w:cs="Arial"/>
          <w:color w:val="000000"/>
          <w:lang w:val="es-ES" w:eastAsia="es-ES"/>
        </w:rPr>
      </w:pPr>
    </w:p>
    <w:p w14:paraId="6E47428C" w14:textId="77777777" w:rsidR="008B6519" w:rsidRDefault="008B6519" w:rsidP="008B6519">
      <w:pPr>
        <w:pStyle w:val="Prrafodelista"/>
        <w:numPr>
          <w:ilvl w:val="0"/>
          <w:numId w:val="16"/>
        </w:numPr>
        <w:tabs>
          <w:tab w:val="left" w:pos="142"/>
          <w:tab w:val="left" w:pos="284"/>
        </w:tabs>
        <w:spacing w:after="0" w:line="276" w:lineRule="auto"/>
        <w:ind w:left="0" w:right="49" w:firstLine="0"/>
        <w:jc w:val="both"/>
        <w:rPr>
          <w:rFonts w:ascii="Verdana" w:eastAsia="Century Gothic" w:hAnsi="Verdana" w:cs="Century Gothic"/>
          <w:b/>
          <w:bCs/>
        </w:rPr>
      </w:pPr>
      <w:r>
        <w:rPr>
          <w:rFonts w:ascii="Verdana" w:eastAsia="Century Gothic" w:hAnsi="Verdana" w:cs="Century Gothic"/>
          <w:b/>
          <w:bCs/>
        </w:rPr>
        <w:t>Problema planteado:</w:t>
      </w:r>
    </w:p>
    <w:p w14:paraId="3ED0DECF" w14:textId="77777777" w:rsidR="008B6519" w:rsidRDefault="008B6519" w:rsidP="008B6519">
      <w:pPr>
        <w:tabs>
          <w:tab w:val="left" w:pos="426"/>
        </w:tabs>
        <w:spacing w:after="0" w:line="276" w:lineRule="auto"/>
        <w:ind w:right="49"/>
        <w:jc w:val="both"/>
        <w:rPr>
          <w:rFonts w:ascii="Verdana" w:eastAsia="Century Gothic" w:hAnsi="Verdana" w:cs="Century Gothic"/>
          <w:lang w:val="es-ES"/>
        </w:rPr>
      </w:pPr>
    </w:p>
    <w:p w14:paraId="6E007F0B" w14:textId="77777777" w:rsidR="008B6519" w:rsidRPr="00FC7531" w:rsidRDefault="008B6519" w:rsidP="008B6519">
      <w:pPr>
        <w:spacing w:after="0" w:line="276" w:lineRule="auto"/>
        <w:ind w:right="49"/>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49500E">
        <w:rPr>
          <w:rFonts w:ascii="Verdana" w:eastAsia="Calibri" w:hAnsi="Verdana" w:cs="Arial"/>
          <w:shd w:val="clear" w:color="auto" w:fill="FFFFFF"/>
          <w:lang w:val="es-MX" w:eastAsia="es-ES_tradnl"/>
        </w:rPr>
        <w:t>i) ¿Puede una entidad estatal acudir a la contratación directa tras declarar desierto un proceso de selección abreviada de menor cuantía por falta de proponentes?</w:t>
      </w:r>
    </w:p>
    <w:p w14:paraId="2416ACA7" w14:textId="77777777" w:rsidR="008B6519" w:rsidRDefault="008B6519" w:rsidP="008B6519">
      <w:pPr>
        <w:spacing w:after="0" w:line="276" w:lineRule="auto"/>
        <w:jc w:val="both"/>
        <w:rPr>
          <w:rFonts w:ascii="Verdana" w:eastAsia="Calibri" w:hAnsi="Verdana" w:cs="Arial"/>
          <w:color w:val="7030A0"/>
          <w:lang w:val="es-ES"/>
        </w:rPr>
      </w:pPr>
    </w:p>
    <w:p w14:paraId="14EA4CA0" w14:textId="77777777" w:rsidR="008B6519" w:rsidRDefault="008B6519" w:rsidP="008B651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Respuesta:</w:t>
      </w:r>
    </w:p>
    <w:p w14:paraId="7B8A5450" w14:textId="77777777" w:rsidR="008B6519" w:rsidRDefault="008B6519" w:rsidP="008B651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B6519" w14:paraId="5F86E066" w14:textId="77777777" w:rsidTr="000026A0">
        <w:tc>
          <w:tcPr>
            <w:tcW w:w="8828" w:type="dxa"/>
            <w:tcBorders>
              <w:top w:val="dotted" w:sz="4" w:space="0" w:color="auto"/>
              <w:left w:val="dotted" w:sz="4" w:space="0" w:color="auto"/>
              <w:bottom w:val="dotted" w:sz="4" w:space="0" w:color="auto"/>
              <w:right w:val="dotted" w:sz="4" w:space="0" w:color="auto"/>
            </w:tcBorders>
          </w:tcPr>
          <w:p w14:paraId="04D17821" w14:textId="77777777" w:rsidR="008B6519" w:rsidRDefault="008B6519" w:rsidP="00E84B5B">
            <w:pPr>
              <w:widowControl w:val="0"/>
              <w:autoSpaceDE w:val="0"/>
              <w:autoSpaceDN w:val="0"/>
              <w:spacing w:after="120" w:line="276" w:lineRule="auto"/>
              <w:ind w:right="49" w:firstLine="708"/>
              <w:jc w:val="both"/>
              <w:rPr>
                <w:rFonts w:ascii="Verdana" w:eastAsia="Calibri" w:hAnsi="Verdana" w:cs="Arial"/>
                <w:color w:val="000000"/>
              </w:rPr>
            </w:pPr>
            <w:r>
              <w:rPr>
                <w:rFonts w:ascii="Verdana" w:eastAsia="Calibri" w:hAnsi="Verdana" w:cs="Arial"/>
                <w:lang w:val="es-ES"/>
              </w:rPr>
              <w:t>E</w:t>
            </w:r>
            <w:r w:rsidRPr="00977243">
              <w:rPr>
                <w:rFonts w:ascii="Verdana" w:eastAsia="Calibri" w:hAnsi="Verdana" w:cs="Arial"/>
                <w:lang w:val="es-ES"/>
              </w:rPr>
              <w:t xml:space="preserve">n atención a la consulta planteada, debe señalarse que </w:t>
            </w:r>
            <w:r w:rsidRPr="00A77CF7">
              <w:rPr>
                <w:rFonts w:ascii="Verdana" w:eastAsia="Calibri" w:hAnsi="Verdana" w:cs="Arial"/>
                <w:color w:val="000000"/>
                <w:lang w:val="es-ES_tradnl"/>
              </w:rPr>
              <w:t>el numeral 4 del artículo 2 de la Ley 1150 de 2007, no contempla una causal especifica de contratación directa cuando un proceso de selección abreviada haya  sido declarado desierto, por tal razón, al no existir dicha causal de contratación</w:t>
            </w:r>
            <w:r>
              <w:rPr>
                <w:rFonts w:ascii="Verdana" w:eastAsia="Calibri" w:hAnsi="Verdana" w:cs="Arial"/>
                <w:color w:val="000000"/>
                <w:lang w:val="es-ES_tradnl"/>
              </w:rPr>
              <w:t xml:space="preserve"> </w:t>
            </w:r>
            <w:r w:rsidRPr="00A77CF7">
              <w:rPr>
                <w:rFonts w:ascii="Verdana" w:eastAsia="Calibri" w:hAnsi="Verdana" w:cs="Arial"/>
              </w:rPr>
              <w:t xml:space="preserve">en la Ley, las Entidades Estatales sometidas al Estatuto General de Contratación de la Administración pública que hayan </w:t>
            </w:r>
            <w:r w:rsidRPr="00A77CF7">
              <w:rPr>
                <w:rFonts w:ascii="Verdana" w:eastAsia="Calibri" w:hAnsi="Verdana" w:cs="Arial"/>
                <w:color w:val="000000"/>
                <w:lang w:val="es-ES_tradnl"/>
              </w:rPr>
              <w:t>declarado desierto un proceso de selección abreviada</w:t>
            </w:r>
            <w:r>
              <w:rPr>
                <w:rFonts w:ascii="Verdana" w:eastAsia="Calibri" w:hAnsi="Verdana" w:cs="Arial"/>
                <w:color w:val="000000"/>
                <w:lang w:val="es-ES_tradnl"/>
              </w:rPr>
              <w:t>,</w:t>
            </w:r>
            <w:r w:rsidRPr="00A77CF7">
              <w:rPr>
                <w:rFonts w:ascii="Verdana" w:eastAsia="Calibri" w:hAnsi="Verdana" w:cs="Arial"/>
                <w:color w:val="000000"/>
                <w:lang w:val="es-ES_tradnl"/>
              </w:rPr>
              <w:t xml:space="preserve"> </w:t>
            </w:r>
            <w:r w:rsidRPr="00A77CF7">
              <w:rPr>
                <w:rFonts w:ascii="Verdana" w:eastAsia="Calibri" w:hAnsi="Verdana" w:cs="Arial"/>
              </w:rPr>
              <w:t xml:space="preserve">deberán considerar, para satisfacer sus necesidades, la posibilidad de </w:t>
            </w:r>
            <w:r w:rsidRPr="00A77CF7">
              <w:rPr>
                <w:rFonts w:ascii="Verdana" w:hAnsi="Verdana" w:cs="Arial"/>
                <w:lang w:eastAsia="es-MX"/>
              </w:rPr>
              <w:t xml:space="preserve">adelantar un nuevo proceso de selección, teniendo en cuenta las cinco (5) modalidades de selección previstas en el artículo 2 de la Ley 1150 de 2007 y sus respectivas causales, respecto de las </w:t>
            </w:r>
            <w:r w:rsidRPr="00A77CF7">
              <w:rPr>
                <w:rFonts w:ascii="Verdana" w:eastAsia="Calibri" w:hAnsi="Verdana" w:cs="Arial"/>
                <w:color w:val="000000"/>
              </w:rPr>
              <w:t xml:space="preserve">características particulares del objeto a contratar, las circunstancias de la contratación o la cuantía o destinación del bien, obra o servicio, que justifican la selección de una u otra modalidad de contratación especifica, que en todo caso debe estar </w:t>
            </w:r>
            <w:r w:rsidRPr="00A77CF7">
              <w:rPr>
                <w:rFonts w:ascii="Verdana" w:eastAsia="Calibri" w:hAnsi="Verdana" w:cs="Arial"/>
                <w:color w:val="000000"/>
              </w:rPr>
              <w:lastRenderedPageBreak/>
              <w:t>siempre acorde a la Ley.</w:t>
            </w:r>
          </w:p>
          <w:p w14:paraId="02F2A87A" w14:textId="77777777" w:rsidR="008B6519" w:rsidRPr="009C3FB6" w:rsidRDefault="008B6519" w:rsidP="00E84B5B">
            <w:pPr>
              <w:widowControl w:val="0"/>
              <w:autoSpaceDE w:val="0"/>
              <w:autoSpaceDN w:val="0"/>
              <w:spacing w:after="120" w:line="276" w:lineRule="auto"/>
              <w:ind w:firstLine="709"/>
              <w:jc w:val="both"/>
              <w:rPr>
                <w:rFonts w:ascii="Verdana" w:hAnsi="Verdana"/>
              </w:rPr>
            </w:pPr>
            <w:r w:rsidRPr="009C3FB6">
              <w:rPr>
                <w:rFonts w:ascii="Verdana" w:hAnsi="Verdana"/>
              </w:rPr>
              <w:t>Para</w:t>
            </w:r>
            <w:r w:rsidRPr="009C3FB6">
              <w:rPr>
                <w:rFonts w:ascii="Verdana" w:hAnsi="Verdana"/>
                <w:spacing w:val="-6"/>
              </w:rPr>
              <w:t xml:space="preserve"> </w:t>
            </w:r>
            <w:r w:rsidRPr="009C3FB6">
              <w:rPr>
                <w:rFonts w:ascii="Verdana" w:hAnsi="Verdana"/>
              </w:rPr>
              <w:t>estos</w:t>
            </w:r>
            <w:r w:rsidRPr="009C3FB6">
              <w:rPr>
                <w:rFonts w:ascii="Verdana" w:hAnsi="Verdana"/>
                <w:spacing w:val="-6"/>
              </w:rPr>
              <w:t xml:space="preserve"> </w:t>
            </w:r>
            <w:r w:rsidRPr="009C3FB6">
              <w:rPr>
                <w:rFonts w:ascii="Verdana" w:hAnsi="Verdana"/>
              </w:rPr>
              <w:t>casos, se</w:t>
            </w:r>
            <w:r w:rsidRPr="009C3FB6">
              <w:rPr>
                <w:rFonts w:ascii="Verdana" w:hAnsi="Verdana"/>
                <w:spacing w:val="-15"/>
              </w:rPr>
              <w:t xml:space="preserve"> </w:t>
            </w:r>
            <w:r w:rsidRPr="009C3FB6">
              <w:rPr>
                <w:rFonts w:ascii="Verdana" w:hAnsi="Verdana"/>
              </w:rPr>
              <w:t>recomienda</w:t>
            </w:r>
            <w:r w:rsidRPr="009C3FB6">
              <w:rPr>
                <w:rFonts w:ascii="Verdana" w:hAnsi="Verdana"/>
                <w:spacing w:val="-12"/>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las</w:t>
            </w:r>
            <w:r w:rsidRPr="009C3FB6">
              <w:rPr>
                <w:rFonts w:ascii="Verdana" w:hAnsi="Verdana"/>
                <w:spacing w:val="-14"/>
              </w:rPr>
              <w:t xml:space="preserve"> </w:t>
            </w:r>
            <w:r w:rsidRPr="009C3FB6">
              <w:rPr>
                <w:rFonts w:ascii="Verdana" w:hAnsi="Verdana"/>
              </w:rPr>
              <w:t>Entidades</w:t>
            </w:r>
            <w:r w:rsidRPr="009C3FB6">
              <w:rPr>
                <w:rFonts w:ascii="Verdana" w:hAnsi="Verdana"/>
                <w:spacing w:val="-13"/>
              </w:rPr>
              <w:t xml:space="preserve"> </w:t>
            </w:r>
            <w:r w:rsidRPr="009C3FB6">
              <w:rPr>
                <w:rFonts w:ascii="Verdana" w:hAnsi="Verdana"/>
              </w:rPr>
              <w:t>Estatales</w:t>
            </w:r>
            <w:r w:rsidRPr="009C3FB6">
              <w:rPr>
                <w:rFonts w:ascii="Verdana" w:hAnsi="Verdana"/>
                <w:spacing w:val="-13"/>
              </w:rPr>
              <w:t xml:space="preserve"> </w:t>
            </w:r>
            <w:r w:rsidRPr="009C3FB6">
              <w:rPr>
                <w:rFonts w:ascii="Verdana" w:hAnsi="Verdana"/>
              </w:rPr>
              <w:t>revisen</w:t>
            </w:r>
            <w:r w:rsidRPr="009C3FB6">
              <w:rPr>
                <w:rFonts w:ascii="Verdana" w:hAnsi="Verdana"/>
                <w:spacing w:val="-15"/>
              </w:rPr>
              <w:t xml:space="preserve"> </w:t>
            </w:r>
            <w:r w:rsidRPr="009C3FB6">
              <w:rPr>
                <w:rFonts w:ascii="Verdana" w:hAnsi="Verdana"/>
              </w:rPr>
              <w:t>los</w:t>
            </w:r>
            <w:r w:rsidRPr="009C3FB6">
              <w:rPr>
                <w:rFonts w:ascii="Verdana" w:hAnsi="Verdana"/>
                <w:spacing w:val="-15"/>
              </w:rPr>
              <w:t xml:space="preserve"> </w:t>
            </w:r>
            <w:r w:rsidRPr="009C3FB6">
              <w:rPr>
                <w:rFonts w:ascii="Verdana" w:hAnsi="Verdana"/>
              </w:rPr>
              <w:t>factores</w:t>
            </w:r>
            <w:r w:rsidRPr="009C3FB6">
              <w:rPr>
                <w:rFonts w:ascii="Verdana" w:hAnsi="Verdana"/>
                <w:spacing w:val="-13"/>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pueden</w:t>
            </w:r>
            <w:r w:rsidRPr="009C3FB6">
              <w:rPr>
                <w:rFonts w:ascii="Verdana" w:hAnsi="Verdana"/>
                <w:spacing w:val="-13"/>
              </w:rPr>
              <w:t xml:space="preserve"> </w:t>
            </w:r>
            <w:r w:rsidRPr="009C3FB6">
              <w:rPr>
                <w:rFonts w:ascii="Verdana" w:hAnsi="Verdana"/>
              </w:rPr>
              <w:t>estar afectando la participación en el proce</w:t>
            </w:r>
            <w:r>
              <w:rPr>
                <w:rFonts w:ascii="Verdana" w:hAnsi="Verdana"/>
              </w:rPr>
              <w:t>so</w:t>
            </w:r>
            <w:r w:rsidRPr="009C3FB6">
              <w:rPr>
                <w:rFonts w:ascii="Verdana" w:hAnsi="Verdana"/>
              </w:rPr>
              <w:t xml:space="preserve"> o las causas por las cuales los oferentes no están cumpliendo con los requisitos señalados en los Pliegos de Condiciones, con el fin de corregir los posibles obstáculos que conllevaron a la declaratoria de desierta.</w:t>
            </w:r>
          </w:p>
          <w:p w14:paraId="32361315" w14:textId="77777777" w:rsidR="008B6519" w:rsidRPr="0049500E" w:rsidRDefault="008B6519" w:rsidP="000026A0">
            <w:pPr>
              <w:pStyle w:val="Textoindependiente"/>
              <w:spacing w:after="120"/>
              <w:ind w:firstLine="709"/>
              <w:jc w:val="both"/>
              <w:rPr>
                <w:rFonts w:ascii="Verdana" w:eastAsia="Calibri" w:hAnsi="Verdana" w:cs="Arial"/>
                <w:color w:val="7030A0"/>
                <w:lang w:val="es-CO"/>
              </w:rPr>
            </w:pPr>
            <w:r>
              <w:rPr>
                <w:rFonts w:ascii="Verdana" w:hAnsi="Verdana"/>
              </w:rPr>
              <w:t>Finalmente, es importante precisar que l</w:t>
            </w:r>
            <w:r w:rsidRPr="009C3FB6">
              <w:rPr>
                <w:rFonts w:ascii="Verdana" w:hAnsi="Verdana"/>
              </w:rPr>
              <w:t>a entidad pública es autónoma de adelantar un nuevo proceso de contratación o de no hacerlo si así lo considera, si realiza lo primero, deberá realizar el nuevo procedimiento cumpliendo con la normatividad existente de acuerdo con la modalidad de selección escogida.</w:t>
            </w:r>
          </w:p>
        </w:tc>
      </w:tr>
    </w:tbl>
    <w:p w14:paraId="545B9CBE" w14:textId="77777777" w:rsidR="008B6519" w:rsidRDefault="008B6519" w:rsidP="008B6519">
      <w:pPr>
        <w:tabs>
          <w:tab w:val="left" w:pos="142"/>
          <w:tab w:val="left" w:pos="284"/>
        </w:tabs>
        <w:spacing w:after="0" w:line="276" w:lineRule="auto"/>
        <w:jc w:val="both"/>
        <w:rPr>
          <w:rFonts w:ascii="Verdana" w:eastAsia="Century Gothic" w:hAnsi="Verdana" w:cs="Century Gothic"/>
          <w:b/>
          <w:bCs/>
          <w:lang w:val="es-ES"/>
        </w:rPr>
      </w:pPr>
    </w:p>
    <w:p w14:paraId="5999103F" w14:textId="77777777" w:rsidR="008B6519" w:rsidRDefault="008B6519" w:rsidP="008B65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601117F4" w14:textId="77777777" w:rsidR="008B6519" w:rsidRDefault="008B6519" w:rsidP="008B6519">
      <w:pPr>
        <w:spacing w:after="0" w:line="276" w:lineRule="auto"/>
        <w:jc w:val="both"/>
        <w:rPr>
          <w:rFonts w:ascii="Verdana" w:eastAsia="Calibri" w:hAnsi="Verdana" w:cs="Arial"/>
          <w:color w:val="7030A0"/>
          <w:lang w:val="es-ES"/>
        </w:rPr>
      </w:pPr>
    </w:p>
    <w:p w14:paraId="0AD0C808" w14:textId="77777777" w:rsidR="008B6519" w:rsidRDefault="008B6519" w:rsidP="008B6519">
      <w:pPr>
        <w:spacing w:after="120" w:line="276" w:lineRule="auto"/>
        <w:ind w:right="49"/>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06968CF6" w14:textId="77777777" w:rsidR="008B6519" w:rsidRPr="007033D5" w:rsidRDefault="008B6519" w:rsidP="008B6519">
      <w:pPr>
        <w:spacing w:after="120" w:line="276" w:lineRule="auto"/>
        <w:ind w:firstLine="709"/>
        <w:jc w:val="both"/>
        <w:rPr>
          <w:rFonts w:ascii="Verdana" w:hAnsi="Verdana" w:cs="Arial"/>
          <w:bCs/>
          <w:lang w:val="es-ES_tradnl"/>
        </w:rPr>
      </w:pPr>
      <w:r w:rsidRPr="007033D5">
        <w:rPr>
          <w:rFonts w:ascii="Verdana" w:hAnsi="Verdana" w:cs="Arial"/>
          <w:bCs/>
          <w:lang w:val="es-ES_tradn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el artículo 29 de la Constitución Política, los procesos de selección son una manifestación de la legalidad de las formas de cada proceso en sede administrativa</w:t>
      </w:r>
      <w:r w:rsidRPr="007033D5">
        <w:rPr>
          <w:rStyle w:val="Refdenotaalpie"/>
          <w:rFonts w:ascii="Verdana" w:hAnsi="Verdana" w:cs="Arial"/>
          <w:bCs/>
          <w:lang w:val="es-ES_tradnl"/>
        </w:rPr>
        <w:footnoteReference w:id="1"/>
      </w:r>
      <w:r w:rsidRPr="007033D5">
        <w:rPr>
          <w:rFonts w:ascii="Verdana" w:hAnsi="Verdana" w:cs="Arial"/>
          <w:bCs/>
          <w:lang w:val="es-ES_tradnl"/>
        </w:rPr>
        <w:t>.</w:t>
      </w:r>
    </w:p>
    <w:p w14:paraId="1F0CD5E6" w14:textId="6F601FA4" w:rsidR="008B6519" w:rsidRPr="007033D5" w:rsidRDefault="000471F8" w:rsidP="008B6519">
      <w:pPr>
        <w:spacing w:after="120" w:line="276" w:lineRule="auto"/>
        <w:ind w:firstLine="709"/>
        <w:jc w:val="both"/>
        <w:rPr>
          <w:rFonts w:ascii="Verdana" w:eastAsia="Calibri" w:hAnsi="Verdana" w:cs="Arial"/>
        </w:rPr>
      </w:pPr>
      <w:r>
        <w:rPr>
          <w:rFonts w:ascii="Verdana" w:hAnsi="Verdana" w:cs="Arial"/>
          <w:lang w:val="es-ES"/>
        </w:rPr>
        <w:lastRenderedPageBreak/>
        <w:t>De conformidad c</w:t>
      </w:r>
      <w:r w:rsidR="008B6519" w:rsidRPr="2D0A47FB">
        <w:rPr>
          <w:rFonts w:ascii="Verdana" w:hAnsi="Verdana" w:cs="Arial"/>
          <w:lang w:val="es-ES"/>
        </w:rPr>
        <w:t xml:space="preserve">on el artículo 2 de la Ley 1150, los procedimientos actualmente regulados son los siguientes: i) licitación pública, </w:t>
      </w:r>
      <w:proofErr w:type="spellStart"/>
      <w:r w:rsidR="008B6519" w:rsidRPr="2D0A47FB">
        <w:rPr>
          <w:rFonts w:ascii="Verdana" w:hAnsi="Verdana" w:cs="Arial"/>
          <w:lang w:val="es-ES"/>
        </w:rPr>
        <w:t>ii</w:t>
      </w:r>
      <w:proofErr w:type="spellEnd"/>
      <w:r w:rsidR="008B6519" w:rsidRPr="2D0A47FB">
        <w:rPr>
          <w:rFonts w:ascii="Verdana" w:hAnsi="Verdana" w:cs="Arial"/>
          <w:lang w:val="es-ES"/>
        </w:rPr>
        <w:t xml:space="preserve">) selección abreviada, </w:t>
      </w:r>
      <w:proofErr w:type="spellStart"/>
      <w:r w:rsidR="008B6519" w:rsidRPr="2D0A47FB">
        <w:rPr>
          <w:rFonts w:ascii="Verdana" w:hAnsi="Verdana" w:cs="Arial"/>
          <w:lang w:val="es-ES"/>
        </w:rPr>
        <w:t>iii</w:t>
      </w:r>
      <w:proofErr w:type="spellEnd"/>
      <w:r w:rsidR="008B6519" w:rsidRPr="2D0A47FB">
        <w:rPr>
          <w:rFonts w:ascii="Verdana" w:hAnsi="Verdana" w:cs="Arial"/>
          <w:lang w:val="es-ES"/>
        </w:rPr>
        <w:t xml:space="preserve">) concurso de méritos, </w:t>
      </w:r>
      <w:proofErr w:type="spellStart"/>
      <w:r w:rsidR="008B6519" w:rsidRPr="2D0A47FB">
        <w:rPr>
          <w:rFonts w:ascii="Verdana" w:hAnsi="Verdana" w:cs="Arial"/>
          <w:lang w:val="es-ES"/>
        </w:rPr>
        <w:t>iv</w:t>
      </w:r>
      <w:proofErr w:type="spellEnd"/>
      <w:r w:rsidR="008B6519" w:rsidRPr="2D0A47FB">
        <w:rPr>
          <w:rFonts w:ascii="Verdana" w:hAnsi="Verdana" w:cs="Arial"/>
          <w:lang w:val="es-ES"/>
        </w:rPr>
        <w:t xml:space="preserve">) mínima cuantía y v) contratación directa. En dichos procedimientos constan </w:t>
      </w:r>
      <w:r w:rsidR="008B6519" w:rsidRPr="2D0A47FB">
        <w:rPr>
          <w:rFonts w:ascii="Verdana" w:eastAsia="Calibri" w:hAnsi="Verdana" w:cs="Arial"/>
        </w:rPr>
        <w:t>las etapas para la adquisición de obras, bienes y servicios, por lo que cada entidad es responsable de estructurar los procedimientos de contratación, siempre que respete el principio de legalidad.</w:t>
      </w:r>
    </w:p>
    <w:p w14:paraId="4A769FA9" w14:textId="77777777" w:rsidR="008B6519" w:rsidRPr="007033D5" w:rsidRDefault="008B6519" w:rsidP="008B6519">
      <w:pPr>
        <w:spacing w:after="120" w:line="276" w:lineRule="auto"/>
        <w:ind w:firstLine="709"/>
        <w:jc w:val="both"/>
        <w:rPr>
          <w:rFonts w:ascii="Verdana" w:eastAsia="Calibri" w:hAnsi="Verdana" w:cs="Arial"/>
        </w:rPr>
      </w:pPr>
      <w:bookmarkStart w:id="1" w:name="_Hlk39596760"/>
      <w:r w:rsidRPr="007033D5">
        <w:rPr>
          <w:rFonts w:ascii="Verdana" w:eastAsia="Calibri" w:hAnsi="Verdana" w:cs="Arial"/>
        </w:rPr>
        <w:t xml:space="preserve">Respecto a la selección abreviada, </w:t>
      </w:r>
      <w:bookmarkStart w:id="2" w:name="_Hlk39070608"/>
      <w:r w:rsidRPr="007033D5">
        <w:rPr>
          <w:rFonts w:ascii="Verdana" w:eastAsia="Calibri" w:hAnsi="Verdana" w:cs="Arial"/>
        </w:rPr>
        <w:t>el numeral 2 del artículo 2 de la Ley 1150 de 2007</w:t>
      </w:r>
      <w:bookmarkEnd w:id="2"/>
      <w:r w:rsidRPr="007033D5">
        <w:rPr>
          <w:rFonts w:ascii="Verdana" w:eastAsia="Calibri" w:hAnsi="Verdana" w:cs="Arial"/>
        </w:rPr>
        <w:t xml:space="preserve"> dispone que “[…] corresponde a la modalidad de selección objetiva prevista para aquellos casos en </w:t>
      </w:r>
      <w:proofErr w:type="gramStart"/>
      <w:r w:rsidRPr="007033D5">
        <w:rPr>
          <w:rFonts w:ascii="Verdana" w:eastAsia="Calibri" w:hAnsi="Verdana" w:cs="Arial"/>
        </w:rPr>
        <w:t>que</w:t>
      </w:r>
      <w:proofErr w:type="gramEnd"/>
      <w:r w:rsidRPr="007033D5">
        <w:rPr>
          <w:rFonts w:ascii="Verdana" w:eastAsia="Calibri" w:hAnsi="Verdana" w:cs="Arial"/>
        </w:rPr>
        <w:t xml:space="preserve"> por las características del objeto a contratar, las circunstancias de la contratación o la cuantía o destinación del bien, obra o </w:t>
      </w:r>
      <w:proofErr w:type="gramStart"/>
      <w:r w:rsidRPr="007033D5">
        <w:rPr>
          <w:rFonts w:ascii="Verdana" w:eastAsia="Calibri" w:hAnsi="Verdana" w:cs="Arial"/>
        </w:rPr>
        <w:t>servicio,</w:t>
      </w:r>
      <w:proofErr w:type="gramEnd"/>
      <w:r w:rsidRPr="007033D5">
        <w:rPr>
          <w:rFonts w:ascii="Verdana" w:eastAsia="Calibri" w:hAnsi="Verdana" w:cs="Arial"/>
        </w:rPr>
        <w:t xml:space="preserve"> puedan adelantarse procesos simplificados para garantizar la eficiencia de la gestión contractual”, regulando cada una de las causales</w:t>
      </w:r>
      <w:r w:rsidRPr="007033D5">
        <w:rPr>
          <w:rStyle w:val="Refdenotaalpie"/>
          <w:rFonts w:ascii="Verdana" w:eastAsia="Calibri" w:hAnsi="Verdana" w:cs="Arial"/>
        </w:rPr>
        <w:footnoteReference w:id="2"/>
      </w:r>
      <w:r w:rsidRPr="007033D5">
        <w:rPr>
          <w:rFonts w:ascii="Verdana" w:eastAsia="Calibri" w:hAnsi="Verdana" w:cs="Arial"/>
        </w:rPr>
        <w:t xml:space="preserve">. </w:t>
      </w:r>
    </w:p>
    <w:p w14:paraId="43D7FEB2" w14:textId="77777777" w:rsidR="008B6519" w:rsidRPr="007033D5" w:rsidRDefault="008B6519" w:rsidP="008B6519">
      <w:pPr>
        <w:spacing w:after="120" w:line="276" w:lineRule="auto"/>
        <w:ind w:firstLine="709"/>
        <w:jc w:val="both"/>
        <w:rPr>
          <w:rFonts w:ascii="Verdana" w:eastAsia="Calibri" w:hAnsi="Verdana" w:cs="Arial"/>
        </w:rPr>
      </w:pPr>
      <w:bookmarkStart w:id="3" w:name="_Hlk39174727"/>
      <w:r w:rsidRPr="007033D5">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1"/>
      <w:bookmarkEnd w:id="3"/>
      <w:r w:rsidRPr="007033D5">
        <w:rPr>
          <w:rFonts w:ascii="Verdana" w:eastAsia="Calibri" w:hAnsi="Verdana" w:cs="Arial"/>
        </w:rPr>
        <w:t>. En la exposición de motivos se explica lo siguiente:</w:t>
      </w:r>
    </w:p>
    <w:p w14:paraId="5052C682" w14:textId="77777777" w:rsidR="008B6519" w:rsidRPr="0049500E" w:rsidRDefault="008B6519" w:rsidP="008B6519">
      <w:pPr>
        <w:spacing w:after="12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12964CE2" w14:textId="77777777" w:rsidR="008B6519" w:rsidRPr="0049500E" w:rsidRDefault="008B6519" w:rsidP="008B6519">
      <w:pPr>
        <w:spacing w:after="120"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2B1043E8" w14:textId="77777777" w:rsidR="008B6519" w:rsidRPr="0049500E" w:rsidRDefault="008B6519" w:rsidP="008B6519">
      <w:pPr>
        <w:spacing w:line="240" w:lineRule="auto"/>
        <w:ind w:left="709" w:right="709"/>
        <w:jc w:val="both"/>
        <w:rPr>
          <w:rFonts w:ascii="Verdana" w:eastAsia="Calibri" w:hAnsi="Verdana" w:cs="Arial"/>
          <w:sz w:val="20"/>
          <w:szCs w:val="20"/>
        </w:rPr>
      </w:pPr>
      <w:r w:rsidRPr="0049500E">
        <w:rPr>
          <w:rFonts w:ascii="Verdana" w:eastAsia="Calibri" w:hAnsi="Verdana" w:cs="Arial"/>
          <w:sz w:val="20"/>
          <w:szCs w:val="20"/>
        </w:rPr>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49500E">
        <w:rPr>
          <w:rStyle w:val="Refdenotaalpie"/>
          <w:rFonts w:ascii="Verdana" w:eastAsia="Calibri" w:hAnsi="Verdana" w:cs="Arial"/>
          <w:sz w:val="20"/>
          <w:szCs w:val="20"/>
        </w:rPr>
        <w:footnoteReference w:id="3"/>
      </w:r>
      <w:r w:rsidRPr="0049500E">
        <w:rPr>
          <w:rFonts w:ascii="Verdana" w:eastAsia="Calibri" w:hAnsi="Verdana" w:cs="Arial"/>
          <w:sz w:val="20"/>
          <w:szCs w:val="20"/>
        </w:rPr>
        <w:t>.</w:t>
      </w:r>
    </w:p>
    <w:p w14:paraId="2A09F1E6" w14:textId="118C3B9F" w:rsidR="008B6519" w:rsidRPr="007033D5" w:rsidRDefault="008B6519" w:rsidP="008B6519">
      <w:pPr>
        <w:spacing w:after="120" w:line="276" w:lineRule="auto"/>
        <w:ind w:firstLine="709"/>
        <w:jc w:val="both"/>
        <w:rPr>
          <w:rFonts w:ascii="Verdana" w:eastAsia="Calibri" w:hAnsi="Verdana" w:cs="Arial"/>
        </w:rPr>
      </w:pPr>
      <w:r w:rsidRPr="007033D5">
        <w:rPr>
          <w:rFonts w:ascii="Verdana" w:eastAsia="Calibri" w:hAnsi="Verdana" w:cs="Arial"/>
        </w:rPr>
        <w:t xml:space="preserve">De esta manera, la selección abreviada se caracteriza por tener etapas </w:t>
      </w:r>
      <w:r w:rsidR="1A878B93" w:rsidRPr="007033D5">
        <w:rPr>
          <w:rFonts w:ascii="Verdana" w:eastAsia="Calibri" w:hAnsi="Verdana" w:cs="Arial"/>
        </w:rPr>
        <w:t>más</w:t>
      </w:r>
      <w:r w:rsidRPr="007033D5">
        <w:rPr>
          <w:rFonts w:ascii="Verdana" w:eastAsia="Calibri" w:hAnsi="Verdana" w:cs="Arial"/>
        </w:rPr>
        <w:t xml:space="preserve"> sencillas y términos relativamente más cortos que los de la licitación pública, lo cual se justifica por las circunstancias, la naturaleza y los objetos que se contratan a través de esta modalidad, los cuales requieren de procedimientos más agiles,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w:t>
      </w:r>
      <w:r w:rsidRPr="007033D5">
        <w:rPr>
          <w:rFonts w:ascii="Verdana" w:eastAsia="Calibri" w:hAnsi="Verdana" w:cs="Arial"/>
        </w:rPr>
        <w:lastRenderedPageBreak/>
        <w:t>servicios, en los que es deseable la concurrencia de oferentes, pero no en los términos y condiciones de una licitación pública, sino de manera abreviada o, en términos de la ley, simplificada”</w:t>
      </w:r>
      <w:r w:rsidRPr="007033D5">
        <w:rPr>
          <w:rStyle w:val="Refdenotaalpie"/>
          <w:rFonts w:ascii="Verdana" w:eastAsia="Calibri" w:hAnsi="Verdana" w:cs="Arial"/>
        </w:rPr>
        <w:footnoteReference w:id="4"/>
      </w:r>
      <w:r w:rsidRPr="007033D5">
        <w:rPr>
          <w:rFonts w:ascii="Verdana" w:eastAsia="Calibri" w:hAnsi="Verdana" w:cs="Arial"/>
        </w:rPr>
        <w:t xml:space="preserve">. </w:t>
      </w:r>
    </w:p>
    <w:p w14:paraId="5A91DD7E" w14:textId="77777777" w:rsidR="008B6519" w:rsidRPr="0049500E" w:rsidRDefault="008B6519" w:rsidP="008B6519">
      <w:pPr>
        <w:spacing w:after="0" w:line="276" w:lineRule="auto"/>
        <w:contextualSpacing/>
        <w:jc w:val="both"/>
        <w:rPr>
          <w:rFonts w:ascii="Verdana" w:eastAsia="Calibri" w:hAnsi="Verdana" w:cs="Arial"/>
          <w:lang w:val="es-MX" w:eastAsia="es-ES_tradnl"/>
        </w:rPr>
      </w:pPr>
      <w:r w:rsidRPr="007033D5">
        <w:rPr>
          <w:rFonts w:ascii="Verdana" w:eastAsia="Calibri" w:hAnsi="Verdana" w:cs="Arial"/>
          <w:color w:val="000000" w:themeColor="text1"/>
          <w:lang w:val="es-MX"/>
        </w:rPr>
        <w:t xml:space="preserve">Conforme al literal b) del artículo 2.2 de la Ley 1150 de 2007, una de las causales de selección abreviada es la de menor cuantía. </w:t>
      </w:r>
      <w:r w:rsidRPr="0049500E">
        <w:rPr>
          <w:rFonts w:ascii="Verdana" w:eastAsia="Calibri" w:hAnsi="Verdana" w:cs="Arial"/>
          <w:lang w:val="es-MX" w:eastAsia="es-ES_tradnl"/>
        </w:rPr>
        <w:t>Los objetos respecto de los cuales procede el adelantamiento de procesos de selección abreviada están asociados a unas circunstancias diversas y concretas, delimitadas por unas causales expresamente consagradas en el numeral 2 del artículo 2 de la Ley 1150 de 2007. Una de las de mayor relevancia es la referida</w:t>
      </w:r>
      <w:r w:rsidRPr="0049500E">
        <w:rPr>
          <w:rFonts w:ascii="Verdana" w:eastAsia="Calibri" w:hAnsi="Verdana" w:cs="Arial"/>
          <w:b/>
          <w:bCs/>
          <w:lang w:val="es-MX" w:eastAsia="es-ES_tradnl"/>
        </w:rPr>
        <w:t xml:space="preserve"> </w:t>
      </w:r>
      <w:r w:rsidRPr="0049500E">
        <w:rPr>
          <w:rFonts w:ascii="Verdana" w:eastAsia="Calibri" w:hAnsi="Verdana" w:cs="Arial"/>
          <w:lang w:val="es-MX" w:eastAsia="es-ES_tradnl"/>
        </w:rPr>
        <w:t xml:space="preserve">a los negocios que no superan la menor cuantía de la entidad, la cual aplica en función de unos rangos y topes señalados por la propia norma, y medibles respecto del presupuesto anual de la entidad. El numeral 2° del artículo 2 de la Ley 1150 de 2007 regula esta causal de la siguiente forma:  </w:t>
      </w:r>
    </w:p>
    <w:p w14:paraId="28EB1BEB" w14:textId="77777777" w:rsidR="008B6519" w:rsidRPr="0049500E" w:rsidRDefault="008B6519" w:rsidP="008B6519">
      <w:pPr>
        <w:spacing w:after="0" w:line="240" w:lineRule="auto"/>
        <w:jc w:val="both"/>
        <w:rPr>
          <w:rFonts w:ascii="Verdana" w:eastAsia="Calibri" w:hAnsi="Verdana" w:cs="Arial"/>
          <w:lang w:val="es-MX" w:eastAsia="es-ES_tradnl"/>
        </w:rPr>
      </w:pPr>
    </w:p>
    <w:p w14:paraId="5E9AC47C" w14:textId="77777777" w:rsidR="008B6519" w:rsidRPr="0049500E" w:rsidRDefault="008B6519" w:rsidP="008B6519">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shd w:val="clear" w:color="auto" w:fill="FFFFFF"/>
          <w:lang w:eastAsia="es-ES_tradnl"/>
        </w:rPr>
        <w:t>“</w:t>
      </w:r>
      <w:r w:rsidRPr="0049500E">
        <w:rPr>
          <w:rFonts w:ascii="Verdana" w:eastAsia="Calibri" w:hAnsi="Verdana" w:cs="Arial"/>
          <w:sz w:val="20"/>
          <w:szCs w:val="20"/>
          <w:lang w:val="es-MX" w:eastAsia="es-ES_tradnl"/>
        </w:rPr>
        <w:t xml:space="preserve">Serán causales de selección abreviada las siguientes: </w:t>
      </w:r>
    </w:p>
    <w:p w14:paraId="7270B923" w14:textId="77777777" w:rsidR="008B6519" w:rsidRPr="0049500E" w:rsidRDefault="008B6519" w:rsidP="008B6519">
      <w:pPr>
        <w:spacing w:after="0" w:line="240" w:lineRule="auto"/>
        <w:ind w:left="709" w:right="709"/>
        <w:contextualSpacing/>
        <w:jc w:val="both"/>
        <w:rPr>
          <w:rFonts w:ascii="Verdana" w:eastAsia="Calibri" w:hAnsi="Verdana" w:cs="Arial"/>
          <w:sz w:val="20"/>
          <w:szCs w:val="20"/>
          <w:lang w:val="es-MX" w:eastAsia="es-ES_tradnl"/>
        </w:rPr>
      </w:pPr>
    </w:p>
    <w:p w14:paraId="697B69BA" w14:textId="77777777" w:rsidR="008B6519" w:rsidRPr="0049500E" w:rsidRDefault="008B6519" w:rsidP="008B6519">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w:t>
      </w:r>
    </w:p>
    <w:p w14:paraId="3E93E1B5" w14:textId="77777777" w:rsidR="008B6519" w:rsidRPr="0049500E" w:rsidRDefault="008B6519" w:rsidP="008B6519">
      <w:pPr>
        <w:spacing w:after="0" w:line="240" w:lineRule="auto"/>
        <w:ind w:left="709" w:right="709"/>
        <w:contextualSpacing/>
        <w:jc w:val="both"/>
        <w:rPr>
          <w:rFonts w:ascii="Verdana" w:eastAsia="Calibri" w:hAnsi="Verdana" w:cs="Arial"/>
          <w:sz w:val="20"/>
          <w:szCs w:val="20"/>
          <w:lang w:val="es-MX" w:eastAsia="es-ES_tradnl"/>
        </w:rPr>
      </w:pPr>
    </w:p>
    <w:p w14:paraId="4A46AE20" w14:textId="77777777" w:rsidR="008B6519" w:rsidRPr="0049500E" w:rsidRDefault="008B6519" w:rsidP="008B6519">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1492E582" w14:textId="77777777" w:rsidR="008B6519" w:rsidRPr="0049500E" w:rsidRDefault="008B6519" w:rsidP="008B6519">
      <w:pPr>
        <w:spacing w:after="0" w:line="240" w:lineRule="auto"/>
        <w:ind w:left="709" w:right="709"/>
        <w:contextualSpacing/>
        <w:jc w:val="both"/>
        <w:rPr>
          <w:rFonts w:ascii="Verdana" w:eastAsia="Calibri" w:hAnsi="Verdana" w:cs="Arial"/>
          <w:sz w:val="20"/>
          <w:szCs w:val="20"/>
          <w:lang w:val="es-MX" w:eastAsia="es-ES_tradnl"/>
        </w:rPr>
      </w:pPr>
    </w:p>
    <w:p w14:paraId="627B6492" w14:textId="77777777" w:rsidR="008B6519" w:rsidRPr="0049500E" w:rsidRDefault="008B6519" w:rsidP="008B6519">
      <w:pPr>
        <w:spacing w:after="0" w:line="240" w:lineRule="auto"/>
        <w:ind w:left="709" w:right="709"/>
        <w:contextualSpacing/>
        <w:jc w:val="both"/>
        <w:rPr>
          <w:rFonts w:ascii="Verdana" w:eastAsia="Calibri" w:hAnsi="Verdana" w:cs="Arial"/>
          <w:sz w:val="20"/>
          <w:szCs w:val="20"/>
          <w:lang w:val="es-MX" w:eastAsia="es-ES_tradnl"/>
        </w:rPr>
      </w:pPr>
      <w:r w:rsidRPr="0049500E">
        <w:rPr>
          <w:rFonts w:ascii="Verdana" w:eastAsia="Calibri" w:hAnsi="Verdana" w:cs="Arial"/>
          <w:sz w:val="20"/>
          <w:szCs w:val="20"/>
          <w:lang w:val="es-MX" w:eastAsia="es-ES_tradnl"/>
        </w:rPr>
        <w:t xml:space="preserve">Para las entidades que tengan un presupuesto anual superior o igual a 1.200.000 salarios mínimos legales mensuales, la menor cuantía será hasta 1.000 salarios mínimos legales mensuales. </w:t>
      </w:r>
    </w:p>
    <w:p w14:paraId="32CE25A8"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p>
    <w:p w14:paraId="29877819"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850.000 salarios mínimos legales mensuales e inferiores a 1.200.000 salarios mínimos legales mensuales, la menor cuantía será hasta 850 salarios mínimos legales mensuales. </w:t>
      </w:r>
    </w:p>
    <w:p w14:paraId="4D17174C"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p>
    <w:p w14:paraId="09E58BA4"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 xml:space="preserve">Las que tengan un presupuesto anual superior o igual a 400.000 salarios mínimos legales mensuales e inferior a 850.000 salarios mínimos legales mensuales, la menor cuantía será hasta 650 salarios mínimos legales mensuales. </w:t>
      </w:r>
    </w:p>
    <w:p w14:paraId="462ABB90"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p>
    <w:p w14:paraId="706A6ADC"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lastRenderedPageBreak/>
        <w:t xml:space="preserve">Las que tengan un presupuesto anual superior o igual a 120.000 salarios mínimos legales mensuales e inferior a 400.000 salarios mínimos legales mensuales, la menor cuantía será hasta 450 salarios mínimos legales mensuales. </w:t>
      </w:r>
    </w:p>
    <w:p w14:paraId="3D927B2C"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p>
    <w:p w14:paraId="378C2D90" w14:textId="77777777" w:rsidR="008B6519" w:rsidRPr="00EC37AA" w:rsidRDefault="008B6519" w:rsidP="008B6519">
      <w:pPr>
        <w:spacing w:after="0" w:line="240" w:lineRule="auto"/>
        <w:ind w:left="709" w:right="709"/>
        <w:contextualSpacing/>
        <w:jc w:val="both"/>
        <w:rPr>
          <w:rFonts w:ascii="Verdana" w:eastAsia="Calibri" w:hAnsi="Verdana" w:cs="Arial"/>
          <w:color w:val="000000" w:themeColor="text1"/>
          <w:sz w:val="20"/>
          <w:szCs w:val="20"/>
        </w:rPr>
      </w:pPr>
      <w:r w:rsidRPr="00EC37AA">
        <w:rPr>
          <w:rFonts w:ascii="Verdana" w:eastAsia="Calibri" w:hAnsi="Verdana" w:cs="Arial"/>
          <w:color w:val="000000" w:themeColor="text1"/>
          <w:sz w:val="20"/>
          <w:szCs w:val="20"/>
        </w:rPr>
        <w:t>Las que tengan un presupuesto anual inferior a 120.000 salarios mínimos legales mensuales, la menor cuantía será hasta 280 salarios mínimos legales mensuales”.</w:t>
      </w:r>
    </w:p>
    <w:p w14:paraId="17BCBA57" w14:textId="77777777" w:rsidR="008B6519" w:rsidRPr="0082023C" w:rsidRDefault="008B6519" w:rsidP="008B6519">
      <w:pPr>
        <w:spacing w:after="0" w:line="276" w:lineRule="auto"/>
        <w:ind w:left="709" w:right="680"/>
        <w:jc w:val="both"/>
        <w:rPr>
          <w:rFonts w:ascii="Arial" w:eastAsia="Calibri" w:hAnsi="Arial" w:cs="Arial"/>
          <w:lang w:val="es-MX" w:eastAsia="es-ES_tradnl"/>
        </w:rPr>
      </w:pPr>
    </w:p>
    <w:p w14:paraId="3E456AF4" w14:textId="6EA10494" w:rsidR="008B6519" w:rsidRPr="0049500E" w:rsidRDefault="008B6519" w:rsidP="4E641234">
      <w:pPr>
        <w:spacing w:after="0" w:line="276" w:lineRule="auto"/>
        <w:ind w:firstLine="708"/>
        <w:jc w:val="both"/>
        <w:rPr>
          <w:rFonts w:ascii="Verdana" w:eastAsia="Calibri" w:hAnsi="Verdana" w:cs="Arial"/>
          <w:shd w:val="clear" w:color="auto" w:fill="FFFFFF"/>
          <w:lang w:eastAsia="es-ES"/>
        </w:rPr>
      </w:pPr>
      <w:r w:rsidRPr="4E641234">
        <w:rPr>
          <w:rFonts w:ascii="Verdana" w:eastAsia="Calibri" w:hAnsi="Verdana" w:cs="Arial"/>
          <w:shd w:val="clear" w:color="auto" w:fill="FFFFFF"/>
          <w:lang w:eastAsia="es-ES"/>
        </w:rPr>
        <w:t>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w:t>
      </w:r>
      <w:r w:rsidR="00187E3C">
        <w:rPr>
          <w:rFonts w:ascii="Verdana" w:eastAsia="Calibri" w:hAnsi="Verdana" w:cs="Arial"/>
          <w:shd w:val="clear" w:color="auto" w:fill="FFFFFF"/>
          <w:lang w:eastAsia="es-ES"/>
        </w:rPr>
        <w:t>.</w:t>
      </w:r>
    </w:p>
    <w:p w14:paraId="0824FA32" w14:textId="77777777" w:rsidR="008B6519" w:rsidRPr="0082023C" w:rsidRDefault="008B6519" w:rsidP="008B6519">
      <w:pPr>
        <w:tabs>
          <w:tab w:val="left" w:pos="0"/>
        </w:tabs>
        <w:spacing w:after="0" w:line="276" w:lineRule="auto"/>
        <w:jc w:val="both"/>
        <w:rPr>
          <w:rFonts w:ascii="Arial" w:eastAsia="Calibri" w:hAnsi="Arial" w:cs="Arial"/>
          <w:b/>
          <w:szCs w:val="24"/>
          <w:lang w:val="es-ES_tradnl" w:eastAsia="es-ES_tradnl"/>
        </w:rPr>
      </w:pPr>
    </w:p>
    <w:p w14:paraId="0D9F04B1" w14:textId="77777777" w:rsidR="008B6519" w:rsidRPr="00CF06CF" w:rsidRDefault="008B6519" w:rsidP="008B6519">
      <w:pPr>
        <w:spacing w:after="120" w:line="276" w:lineRule="auto"/>
        <w:ind w:right="51" w:firstLine="709"/>
        <w:jc w:val="both"/>
        <w:rPr>
          <w:rFonts w:ascii="Verdana" w:eastAsia="Calibri" w:hAnsi="Verdana" w:cs="Arial"/>
          <w:color w:val="000000" w:themeColor="text1"/>
        </w:rPr>
      </w:pPr>
      <w:r>
        <w:rPr>
          <w:rFonts w:ascii="Verdana" w:eastAsia="Calibri" w:hAnsi="Verdana" w:cs="Arial"/>
          <w:lang w:val="es-ES_tradnl"/>
        </w:rPr>
        <w:t>Por otra parte, p</w:t>
      </w:r>
      <w:r w:rsidRPr="00CF06CF">
        <w:rPr>
          <w:rFonts w:ascii="Verdana" w:eastAsia="Calibri" w:hAnsi="Verdana" w:cs="Arial"/>
          <w:lang w:val="es-ES_tradnl"/>
        </w:rPr>
        <w:t xml:space="preserve">or regla general, </w:t>
      </w:r>
      <w:r w:rsidRPr="00CF06CF">
        <w:rPr>
          <w:rFonts w:ascii="Verdana" w:eastAsia="Calibri" w:hAnsi="Verdana" w:cs="Arial"/>
          <w:color w:val="000000" w:themeColor="text1"/>
        </w:rPr>
        <w:t>los principios de igualdad y concurrencia rigen en los procedimientos de selección competitivos de las entidades sometidas al Estatuto General de Contratación. Esto significa que debe promoverse la pluralidad de oferentes como condición necesaria para escoger la oferta más favorable a los intereses de la entidad. Aunque existen algunas limitaciones,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 En el mismo sentido, la doctrina considera que:</w:t>
      </w:r>
    </w:p>
    <w:p w14:paraId="2883BA71" w14:textId="77777777" w:rsidR="008B6519" w:rsidRPr="0049500E" w:rsidRDefault="008B6519" w:rsidP="008B6519">
      <w:pPr>
        <w:spacing w:after="0" w:line="240" w:lineRule="auto"/>
        <w:jc w:val="both"/>
        <w:rPr>
          <w:rFonts w:ascii="Verdana" w:eastAsia="Calibri" w:hAnsi="Verdana" w:cs="Arial"/>
          <w:color w:val="000000" w:themeColor="text1"/>
          <w:sz w:val="20"/>
          <w:szCs w:val="20"/>
        </w:rPr>
      </w:pPr>
    </w:p>
    <w:p w14:paraId="6094471B" w14:textId="77777777" w:rsidR="008B6519" w:rsidRPr="0049500E" w:rsidRDefault="008B6519" w:rsidP="008B6519">
      <w:pPr>
        <w:spacing w:after="0" w:line="240" w:lineRule="auto"/>
        <w:ind w:left="709" w:right="616"/>
        <w:jc w:val="both"/>
        <w:rPr>
          <w:rFonts w:ascii="Verdana" w:eastAsia="Calibri" w:hAnsi="Verdana" w:cs="Arial"/>
          <w:color w:val="000000" w:themeColor="text1"/>
          <w:sz w:val="20"/>
          <w:szCs w:val="20"/>
        </w:rPr>
      </w:pPr>
      <w:r w:rsidRPr="0049500E">
        <w:rPr>
          <w:rFonts w:ascii="Verdana" w:eastAsia="Calibri" w:hAnsi="Verdana" w:cs="Arial"/>
          <w:color w:val="000000" w:themeColor="text1"/>
          <w:sz w:val="20"/>
          <w:szCs w:val="20"/>
        </w:rPr>
        <w:t>“La concurrencia tiene por objeto lograr que al procedimiento licitatorio se presente la mayor cantidad posible de oferentes; porque si lo que la Administración pretende para satisfacer en la mejor forma sus intereses públicos, es contratar con el particular que ofrezca las mejores garantías para el cumplimiento del objeto contractual, es necesario que a la compulsa hayan podido acudir todos los interesados en participar que estén capacitados para brindar la prestación requerida.</w:t>
      </w:r>
    </w:p>
    <w:p w14:paraId="3378D0A5" w14:textId="77777777" w:rsidR="008B6519" w:rsidRPr="0049500E" w:rsidRDefault="008B6519" w:rsidP="008B6519">
      <w:pPr>
        <w:spacing w:after="120" w:line="240" w:lineRule="auto"/>
        <w:ind w:left="709" w:right="616"/>
        <w:jc w:val="both"/>
        <w:rPr>
          <w:rFonts w:ascii="Verdana" w:eastAsia="Calibri" w:hAnsi="Verdana" w:cs="Arial"/>
          <w:color w:val="000000" w:themeColor="text1"/>
          <w:sz w:val="20"/>
          <w:szCs w:val="20"/>
        </w:rPr>
      </w:pPr>
      <w:r w:rsidRPr="0049500E">
        <w:rPr>
          <w:rFonts w:ascii="Verdana" w:eastAsia="Calibri" w:hAnsi="Verdana" w:cs="Arial"/>
          <w:color w:val="000000" w:themeColor="text1"/>
          <w:sz w:val="20"/>
          <w:szCs w:val="20"/>
        </w:rPr>
        <w:t>[…]</w:t>
      </w:r>
    </w:p>
    <w:p w14:paraId="3CE90AC1" w14:textId="77777777" w:rsidR="008B6519" w:rsidRPr="0049500E" w:rsidRDefault="008B6519" w:rsidP="008B6519">
      <w:pPr>
        <w:spacing w:after="120" w:line="240" w:lineRule="auto"/>
        <w:ind w:left="709" w:right="616"/>
        <w:jc w:val="both"/>
        <w:rPr>
          <w:rFonts w:ascii="Verdana" w:eastAsia="Calibri" w:hAnsi="Verdana" w:cs="Arial"/>
          <w:color w:val="000000" w:themeColor="text1"/>
          <w:sz w:val="20"/>
          <w:szCs w:val="20"/>
        </w:rPr>
      </w:pPr>
      <w:r w:rsidRPr="0049500E">
        <w:rPr>
          <w:rFonts w:ascii="Verdana" w:eastAsia="Calibri" w:hAnsi="Verdana" w:cs="Arial"/>
          <w:color w:val="000000" w:themeColor="text1"/>
          <w:sz w:val="20"/>
          <w:szCs w:val="20"/>
        </w:rPr>
        <w:lastRenderedPageBreak/>
        <w:t>La concurrencia no significa enfrentamiento en el sentido de disputa entre los interesados, ella no supone el litigio en el sentido técnico procesal; es decir, que no hay litis, porque los participantes no acuden ante la autoridad administrativa para que ésta resuelva, como juez, un conflicto jurídico; los participantes son, en realidad, proponentes cuya actividad se limita, en principio, a presentar sus antecedentes y propuestas, en orden al emprendimiento licitado.</w:t>
      </w:r>
    </w:p>
    <w:p w14:paraId="534E6C86" w14:textId="77777777" w:rsidR="008B6519" w:rsidRPr="00CF06CF" w:rsidRDefault="008B6519" w:rsidP="008B6519">
      <w:pPr>
        <w:spacing w:after="0" w:line="240" w:lineRule="auto"/>
        <w:ind w:left="709" w:right="616"/>
        <w:jc w:val="both"/>
        <w:rPr>
          <w:rFonts w:ascii="Verdana" w:eastAsia="Calibri" w:hAnsi="Verdana" w:cs="Arial"/>
          <w:color w:val="000000" w:themeColor="text1"/>
        </w:rPr>
      </w:pPr>
      <w:r w:rsidRPr="0049500E">
        <w:rPr>
          <w:rFonts w:ascii="Verdana" w:eastAsia="Calibri" w:hAnsi="Verdana" w:cs="Arial"/>
          <w:color w:val="000000" w:themeColor="text1"/>
          <w:sz w:val="20"/>
          <w:szCs w:val="20"/>
        </w:rPr>
        <w:t>Existe, sí, oposición, la que consiste en un procedimiento selectivo que da lugar a que se comparen y evalúen las distintas ofertas, para escoger de entre ellas la más conveniente; pero no se da entre los postulantes una situación de contienda, sino, en todo caso, de competencia industrial, comercial, profesional, técnica o de todas ellas combinadas, entre quienes aspiran a ser admitidos en igualdad de condiciones en ese procedimiento y tratados con equidad”</w:t>
      </w:r>
      <w:r w:rsidRPr="00CF06CF">
        <w:rPr>
          <w:rStyle w:val="Refdenotaalpie"/>
          <w:rFonts w:ascii="Verdana" w:eastAsia="Calibri" w:hAnsi="Verdana" w:cs="Arial"/>
          <w:color w:val="000000" w:themeColor="text1"/>
          <w:sz w:val="21"/>
          <w:szCs w:val="21"/>
        </w:rPr>
        <w:footnoteReference w:id="5"/>
      </w:r>
      <w:r w:rsidRPr="00CF06CF">
        <w:rPr>
          <w:rFonts w:ascii="Verdana" w:eastAsia="Calibri" w:hAnsi="Verdana" w:cs="Arial"/>
          <w:color w:val="000000" w:themeColor="text1"/>
          <w:sz w:val="21"/>
          <w:szCs w:val="21"/>
        </w:rPr>
        <w:t>.</w:t>
      </w:r>
    </w:p>
    <w:p w14:paraId="02A6256D" w14:textId="77777777" w:rsidR="008B6519" w:rsidRPr="00CF06CF" w:rsidRDefault="008B6519" w:rsidP="008B6519">
      <w:pPr>
        <w:spacing w:after="0" w:line="276" w:lineRule="auto"/>
        <w:ind w:right="616"/>
        <w:jc w:val="both"/>
        <w:rPr>
          <w:rFonts w:ascii="Verdana" w:eastAsia="Calibri" w:hAnsi="Verdana" w:cs="Arial"/>
          <w:lang w:val="es-ES_tradnl"/>
        </w:rPr>
      </w:pPr>
    </w:p>
    <w:p w14:paraId="3AF68AC8" w14:textId="77777777" w:rsidR="008B6519" w:rsidRPr="00CF06CF" w:rsidRDefault="008B6519" w:rsidP="008B6519">
      <w:pPr>
        <w:spacing w:after="120" w:line="276" w:lineRule="auto"/>
        <w:ind w:right="49" w:firstLine="708"/>
        <w:jc w:val="both"/>
        <w:rPr>
          <w:rFonts w:ascii="Verdana" w:eastAsia="Calibri" w:hAnsi="Verdana" w:cs="Arial"/>
          <w:color w:val="000000" w:themeColor="text1"/>
        </w:rPr>
      </w:pPr>
      <w:r w:rsidRPr="00CF06CF">
        <w:rPr>
          <w:rFonts w:ascii="Verdana" w:eastAsia="Calibri" w:hAnsi="Verdana" w:cs="Arial"/>
          <w:color w:val="000000" w:themeColor="text1"/>
        </w:rPr>
        <w:t>La concurrencia depende de que el pliego de condiciones defina reglas objetivas, justas, claras y completas que permitan la confección de los ofrecimientos –</w:t>
      </w:r>
      <w:proofErr w:type="spellStart"/>
      <w:r w:rsidRPr="00CF06CF">
        <w:rPr>
          <w:rFonts w:ascii="Verdana" w:eastAsia="Calibri" w:hAnsi="Verdana" w:cs="Arial"/>
          <w:color w:val="000000" w:themeColor="text1"/>
        </w:rPr>
        <w:t>lit.</w:t>
      </w:r>
      <w:proofErr w:type="spellEnd"/>
      <w:r w:rsidRPr="00CF06CF">
        <w:rPr>
          <w:rFonts w:ascii="Verdana" w:eastAsia="Calibri" w:hAnsi="Verdana" w:cs="Arial"/>
          <w:color w:val="000000" w:themeColor="text1"/>
        </w:rPr>
        <w:t xml:space="preserve"> b) del</w:t>
      </w:r>
      <w:r>
        <w:rPr>
          <w:rFonts w:ascii="Verdana" w:eastAsia="Calibri" w:hAnsi="Verdana" w:cs="Arial"/>
          <w:color w:val="000000" w:themeColor="text1"/>
        </w:rPr>
        <w:t xml:space="preserve"> numeral 5 del</w:t>
      </w:r>
      <w:r w:rsidRPr="00CF06CF">
        <w:rPr>
          <w:rFonts w:ascii="Verdana" w:eastAsia="Calibri" w:hAnsi="Verdana" w:cs="Arial"/>
          <w:color w:val="000000" w:themeColor="text1"/>
        </w:rPr>
        <w:t xml:space="preserve"> art</w:t>
      </w:r>
      <w:r>
        <w:rPr>
          <w:rFonts w:ascii="Verdana" w:eastAsia="Calibri" w:hAnsi="Verdana" w:cs="Arial"/>
          <w:color w:val="000000" w:themeColor="text1"/>
        </w:rPr>
        <w:t>ículo</w:t>
      </w:r>
      <w:r w:rsidRPr="00CF06CF">
        <w:rPr>
          <w:rFonts w:ascii="Verdana" w:eastAsia="Calibri" w:hAnsi="Verdana" w:cs="Arial"/>
          <w:color w:val="000000" w:themeColor="text1"/>
        </w:rPr>
        <w:t xml:space="preserve"> 24 de la Ley 80 de 1993–. Especialmente, los </w:t>
      </w:r>
      <w:r w:rsidRPr="00CF06CF">
        <w:rPr>
          <w:rFonts w:ascii="Verdana" w:eastAsia="Calibri" w:hAnsi="Verdana" w:cs="Arial"/>
          <w:i/>
          <w:iCs/>
          <w:color w:val="000000" w:themeColor="text1"/>
        </w:rPr>
        <w:t>requisitos habilitantes</w:t>
      </w:r>
      <w:r w:rsidRPr="00CF06CF">
        <w:rPr>
          <w:rFonts w:ascii="Verdana" w:eastAsia="Calibri" w:hAnsi="Verdana" w:cs="Arial"/>
          <w:color w:val="000000" w:themeColor="text1"/>
        </w:rPr>
        <w:t xml:space="preserve"> deben ser adecuados y proporcionales a la naturaleza del contrato y a su valor –</w:t>
      </w:r>
      <w:r>
        <w:rPr>
          <w:rFonts w:ascii="Verdana" w:eastAsia="Calibri" w:hAnsi="Verdana" w:cs="Arial"/>
          <w:color w:val="000000" w:themeColor="text1"/>
        </w:rPr>
        <w:t xml:space="preserve"> numeral 1 </w:t>
      </w:r>
      <w:r w:rsidRPr="00CF06CF">
        <w:rPr>
          <w:rFonts w:ascii="Verdana" w:eastAsia="Calibri" w:hAnsi="Verdana" w:cs="Arial"/>
          <w:color w:val="000000" w:themeColor="text1"/>
        </w:rPr>
        <w:t>art</w:t>
      </w:r>
      <w:r>
        <w:rPr>
          <w:rFonts w:ascii="Verdana" w:eastAsia="Calibri" w:hAnsi="Verdana" w:cs="Arial"/>
          <w:color w:val="000000" w:themeColor="text1"/>
        </w:rPr>
        <w:t>ículo</w:t>
      </w:r>
      <w:r w:rsidRPr="00CF06CF">
        <w:rPr>
          <w:rFonts w:ascii="Verdana" w:eastAsia="Calibri" w:hAnsi="Verdana" w:cs="Arial"/>
          <w:color w:val="000000" w:themeColor="text1"/>
        </w:rPr>
        <w:t xml:space="preserve"> 5 de la Ley 1150 de 2007 y art</w:t>
      </w:r>
      <w:r>
        <w:rPr>
          <w:rFonts w:ascii="Verdana" w:eastAsia="Calibri" w:hAnsi="Verdana" w:cs="Arial"/>
          <w:color w:val="000000" w:themeColor="text1"/>
        </w:rPr>
        <w:t>ículo</w:t>
      </w:r>
      <w:r w:rsidRPr="00CF06CF">
        <w:rPr>
          <w:rFonts w:ascii="Verdana" w:eastAsia="Calibri" w:hAnsi="Verdana" w:cs="Arial"/>
          <w:color w:val="000000" w:themeColor="text1"/>
        </w:rPr>
        <w:t xml:space="preserve"> 2.2.1.1.1.6.2 del Decreto 1082 de 2015–. Por su parte, los </w:t>
      </w:r>
      <w:r w:rsidRPr="00CF06CF">
        <w:rPr>
          <w:rFonts w:ascii="Verdana" w:eastAsia="Calibri" w:hAnsi="Verdana" w:cs="Arial"/>
          <w:i/>
          <w:iCs/>
          <w:color w:val="000000" w:themeColor="text1"/>
        </w:rPr>
        <w:t>criterios de escogencia</w:t>
      </w:r>
      <w:r w:rsidRPr="00CF06CF">
        <w:rPr>
          <w:rFonts w:ascii="Verdana" w:eastAsia="Calibri" w:hAnsi="Verdana" w:cs="Arial"/>
          <w:color w:val="000000" w:themeColor="text1"/>
        </w:rPr>
        <w:t xml:space="preserve"> y su respectiva ponderación deben ser proporcionados, objetivos y razonables, pues sólo así resultarán respetuosos de los principios de imparcialidad e igualdad de trato para todos los oferentes</w:t>
      </w:r>
      <w:r w:rsidRPr="00CF06CF">
        <w:rPr>
          <w:rStyle w:val="Refdenotaalpie"/>
          <w:rFonts w:ascii="Verdana" w:eastAsia="Calibri" w:hAnsi="Verdana" w:cs="Arial"/>
          <w:color w:val="000000" w:themeColor="text1"/>
        </w:rPr>
        <w:footnoteReference w:id="6"/>
      </w:r>
      <w:r w:rsidRPr="00CF06CF">
        <w:rPr>
          <w:rFonts w:ascii="Verdana" w:eastAsia="Calibri" w:hAnsi="Verdana" w:cs="Arial"/>
          <w:color w:val="000000" w:themeColor="text1"/>
        </w:rPr>
        <w:t xml:space="preserve">. </w:t>
      </w:r>
      <w:r w:rsidRPr="00CF06CF">
        <w:rPr>
          <w:rFonts w:ascii="Verdana" w:eastAsia="Calibri" w:hAnsi="Verdana" w:cs="Arial"/>
          <w:lang w:val="es-ES_tradnl"/>
        </w:rPr>
        <w:t xml:space="preserve">En este contexto, de cara a los principios de la función administrativa y la contratación estatal, los procesos de selección están regulados con el propósito de escoger la mejor propuesta para la realización del interés general. Dicho objetivo se concreta una vez concluye la fase de evaluación, momento en el cual la entidad determina la oferta más favorable. </w:t>
      </w:r>
    </w:p>
    <w:p w14:paraId="1F36FFBD" w14:textId="77777777" w:rsidR="008B6519" w:rsidRPr="00CF06CF" w:rsidRDefault="008B6519" w:rsidP="008B6519">
      <w:pPr>
        <w:spacing w:after="120" w:line="276" w:lineRule="auto"/>
        <w:ind w:right="49" w:firstLine="709"/>
        <w:jc w:val="both"/>
        <w:rPr>
          <w:rFonts w:ascii="Verdana" w:eastAsia="Calibri" w:hAnsi="Verdana" w:cs="Arial"/>
          <w:lang w:val="es-ES"/>
        </w:rPr>
      </w:pPr>
      <w:r w:rsidRPr="6CB6BBDA">
        <w:rPr>
          <w:rFonts w:ascii="Verdana" w:eastAsia="Calibri" w:hAnsi="Verdana" w:cs="Arial"/>
          <w:lang w:val="es-ES"/>
        </w:rPr>
        <w:t xml:space="preserve">No obstante, en algunos casos </w:t>
      </w:r>
      <w:r>
        <w:rPr>
          <w:rFonts w:ascii="Verdana" w:eastAsia="Calibri" w:hAnsi="Verdana" w:cs="Arial"/>
          <w:lang w:val="es-ES"/>
        </w:rPr>
        <w:t xml:space="preserve">la Entidad Estatal </w:t>
      </w:r>
      <w:r w:rsidRPr="6CB6BBDA">
        <w:rPr>
          <w:rFonts w:ascii="Verdana" w:eastAsia="Calibri" w:hAnsi="Verdana" w:cs="Arial"/>
          <w:lang w:val="es-ES"/>
        </w:rPr>
        <w:t>decide no adjudicar el contrato, porque no le es posible realizar una escogencia objetiva</w:t>
      </w:r>
      <w:r>
        <w:rPr>
          <w:rFonts w:ascii="Verdana" w:eastAsia="Calibri" w:hAnsi="Verdana" w:cs="Arial"/>
          <w:lang w:val="es-ES"/>
        </w:rPr>
        <w:t xml:space="preserve"> o porque no se presentan propuestas en el proceso, </w:t>
      </w:r>
      <w:r w:rsidRPr="6CB6BBDA">
        <w:rPr>
          <w:rFonts w:ascii="Verdana" w:eastAsia="Calibri" w:hAnsi="Verdana" w:cs="Arial"/>
          <w:lang w:val="es-ES"/>
        </w:rPr>
        <w:t xml:space="preserve">es así como se presenta una decisión negativa de la Administración que comporta la frustración del proceso </w:t>
      </w:r>
      <w:r w:rsidRPr="6CB6BBDA">
        <w:rPr>
          <w:rFonts w:ascii="Verdana" w:eastAsia="Calibri" w:hAnsi="Verdana" w:cs="Arial"/>
          <w:lang w:val="es-ES"/>
        </w:rPr>
        <w:lastRenderedPageBreak/>
        <w:t>contractual</w:t>
      </w:r>
      <w:r>
        <w:rPr>
          <w:rFonts w:ascii="Verdana" w:eastAsia="Calibri" w:hAnsi="Verdana" w:cs="Arial"/>
          <w:lang w:val="es-ES"/>
        </w:rPr>
        <w:t>.</w:t>
      </w:r>
      <w:r w:rsidRPr="6CB6BBDA">
        <w:rPr>
          <w:rFonts w:ascii="Verdana" w:eastAsia="Calibri" w:hAnsi="Verdana" w:cs="Arial"/>
          <w:lang w:val="es-ES"/>
        </w:rPr>
        <w:t xml:space="preserve"> La configuración de esta circunstancia está prevista en el numeral 18 del artículo 25 de la Ley 80 de 1993, pues –en el marco del principio de economía– la norma dispone que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1BFDC16A" w14:textId="6410C691" w:rsidR="008B6519" w:rsidRPr="00CF06CF" w:rsidRDefault="008B6519" w:rsidP="008B6519">
      <w:pPr>
        <w:spacing w:before="120" w:after="120" w:line="276" w:lineRule="auto"/>
        <w:ind w:right="49" w:firstLine="709"/>
        <w:jc w:val="both"/>
        <w:rPr>
          <w:rFonts w:ascii="Verdana" w:eastAsia="Calibri" w:hAnsi="Verdana" w:cs="Arial"/>
          <w:lang w:val="es-ES"/>
        </w:rPr>
      </w:pPr>
      <w:r w:rsidRPr="6CB6BBDA">
        <w:rPr>
          <w:rFonts w:ascii="Verdana" w:eastAsia="Calibri" w:hAnsi="Verdana" w:cs="Arial"/>
          <w:lang w:val="es-ES"/>
        </w:rPr>
        <w:t xml:space="preserve">Si bien la disposición solo alude a la licitación, esta Agencia considera que su entendimiento debe ser amplio, para acoger a los demás procedimientos </w:t>
      </w:r>
      <w:r w:rsidR="00765B10">
        <w:rPr>
          <w:rFonts w:ascii="Verdana" w:eastAsia="Calibri" w:hAnsi="Verdana" w:cs="Arial"/>
          <w:lang w:val="es-ES"/>
        </w:rPr>
        <w:t>establecidos en</w:t>
      </w:r>
      <w:r w:rsidRPr="6CB6BBDA">
        <w:rPr>
          <w:rFonts w:ascii="Verdana" w:eastAsia="Calibri" w:hAnsi="Verdana" w:cs="Arial"/>
          <w:lang w:val="es-ES"/>
        </w:rPr>
        <w:t xml:space="preserve"> la Ley 1150 de 2007, esto es, además de la licitación pública, la selección abreviada, el concurso de méritos y la mínima cuantía. Esta interpretación encuentra fundamento en el artículo 23 de la Ley 80 de 1993, cuya redacción es más amplia, al prescribir que “Las actuaciones de quienes intervengan en la contratación estatal se desarrollarán con arreglo a los principios de transparencia, economía y responsabilidad y de conformidad con los postulados que rigen la función administrativa”. </w:t>
      </w:r>
      <w:r>
        <w:rPr>
          <w:rFonts w:ascii="Verdana" w:eastAsia="Calibri" w:hAnsi="Verdana" w:cs="Arial"/>
          <w:lang w:val="es-ES"/>
        </w:rPr>
        <w:t xml:space="preserve">Así mismo, el </w:t>
      </w:r>
      <w:r w:rsidRPr="00270BCD">
        <w:rPr>
          <w:rFonts w:ascii="Verdana" w:eastAsia="Calibri" w:hAnsi="Verdana" w:cs="Arial"/>
          <w:lang w:val="es-ES"/>
        </w:rPr>
        <w:t xml:space="preserve">Consejo de Estado en nota a pie de página refiriéndose al numeral 18 del artículo 25 de la Ley 80 de 1993, explica </w:t>
      </w:r>
      <w:r w:rsidRPr="00270BCD">
        <w:rPr>
          <w:rFonts w:ascii="Verdana" w:hAnsi="Verdana"/>
        </w:rPr>
        <w:t>“la norma habla de esta figura respecto de licitación o concurso, pero las consideraciones allí previstas naturalmente también resultan predicables respecto de cualquier proceso de selección</w:t>
      </w:r>
      <w:r>
        <w:rPr>
          <w:rFonts w:ascii="Verdana" w:hAnsi="Verdana"/>
        </w:rPr>
        <w:t>.</w:t>
      </w:r>
      <w:r w:rsidRPr="00270BCD">
        <w:rPr>
          <w:rFonts w:ascii="Verdana" w:hAnsi="Verdana"/>
        </w:rPr>
        <w:t>”</w:t>
      </w:r>
      <w:r w:rsidRPr="00270BCD">
        <w:rPr>
          <w:rStyle w:val="Refdenotaalpie"/>
          <w:rFonts w:ascii="Verdana" w:hAnsi="Verdana"/>
        </w:rPr>
        <w:footnoteReference w:id="7"/>
      </w:r>
    </w:p>
    <w:p w14:paraId="70F1CB7C" w14:textId="77777777" w:rsidR="008B6519" w:rsidRPr="002E1693" w:rsidRDefault="008B6519" w:rsidP="4E641234">
      <w:pPr>
        <w:spacing w:before="120" w:after="120" w:line="276" w:lineRule="auto"/>
        <w:ind w:right="49" w:firstLine="709"/>
        <w:jc w:val="both"/>
        <w:rPr>
          <w:rFonts w:ascii="Verdana" w:eastAsia="Calibri" w:hAnsi="Verdana" w:cs="Arial"/>
          <w:i/>
          <w:iCs/>
          <w:color w:val="000000"/>
        </w:rPr>
      </w:pPr>
      <w:r w:rsidRPr="4E641234">
        <w:rPr>
          <w:rFonts w:ascii="Verdana" w:eastAsia="Calibri" w:hAnsi="Verdana" w:cs="Arial"/>
          <w:lang w:val="es-ES"/>
        </w:rPr>
        <w:t xml:space="preserve">En este sentido, </w:t>
      </w:r>
      <w:bookmarkStart w:id="4" w:name="_Hlk173756908"/>
      <w:r w:rsidRPr="4E641234">
        <w:rPr>
          <w:rFonts w:ascii="Verdana" w:eastAsia="Calibri" w:hAnsi="Verdana" w:cs="Arial"/>
          <w:lang w:val="es-ES"/>
        </w:rPr>
        <w:t>la declaratoria de desierta no es más que una decisión negativa respecto a la adjudicación del contrato, como consecuencia de la imposibilidad de aplicar el principio de selección objetiva o de la no presentación de propuestas en el proceso de selección. Ésta se adopta mediante un acto administrativo definitivo –no de trámite–, pues con él finaliza el procedimiento contractual, lo que impide su continuación. En efecto, mediante dicho acto la entidad manifiesta su decisión de no adjudicar el contrato, esto es, de no seleccionar a su futuro contratista</w:t>
      </w:r>
      <w:bookmarkEnd w:id="4"/>
      <w:r w:rsidRPr="4E641234">
        <w:rPr>
          <w:rFonts w:ascii="Verdana" w:eastAsia="Calibri" w:hAnsi="Verdana" w:cs="Arial"/>
          <w:lang w:val="es-ES"/>
        </w:rPr>
        <w:t xml:space="preserve"> </w:t>
      </w:r>
      <w:r w:rsidRPr="4E641234">
        <w:rPr>
          <w:rFonts w:ascii="Verdana" w:eastAsia="Calibri" w:hAnsi="Verdana" w:cs="Arial"/>
          <w:color w:val="000000" w:themeColor="text1"/>
          <w:lang w:val="es-ES"/>
        </w:rPr>
        <w:t xml:space="preserve">originado en un procedimiento de selección, por presentarse los supuestos establecidos por el legislador para dicha declaratoria. </w:t>
      </w:r>
    </w:p>
    <w:p w14:paraId="071834EF" w14:textId="77777777" w:rsidR="008B6519" w:rsidRPr="002E1693" w:rsidRDefault="008B6519" w:rsidP="008B6519">
      <w:pPr>
        <w:spacing w:after="120" w:line="276" w:lineRule="auto"/>
        <w:ind w:right="49"/>
        <w:jc w:val="both"/>
        <w:rPr>
          <w:rFonts w:ascii="Verdana" w:eastAsia="Calibri" w:hAnsi="Verdana" w:cs="Arial"/>
          <w:color w:val="000000"/>
        </w:rPr>
      </w:pPr>
      <w:r w:rsidRPr="002E1693">
        <w:rPr>
          <w:rFonts w:ascii="Verdana" w:eastAsia="Calibri" w:hAnsi="Verdana" w:cs="Arial"/>
          <w:color w:val="000000"/>
        </w:rPr>
        <w:tab/>
        <w:t xml:space="preserve">De acuerdo con lo anterior, es claro que nuestro ordenamiento jurídico habilita a las Entidades Estatales para declarar desierto un proceso de selección cuando en su desarrollo se determine que no es posible escoger un contratista </w:t>
      </w:r>
      <w:r w:rsidRPr="002E1693">
        <w:rPr>
          <w:rFonts w:ascii="Verdana" w:eastAsia="Calibri" w:hAnsi="Verdana" w:cs="Arial"/>
          <w:color w:val="000000"/>
        </w:rPr>
        <w:lastRenderedPageBreak/>
        <w:t>objetivamente, esto es, cuando no compareció al proceso de selección proponente alguno o existiendo ofertas, ninguna de ellas cumple con los requisitos establecidos en el pliego de condiciones para su escogencia.</w:t>
      </w:r>
    </w:p>
    <w:p w14:paraId="46B3630E" w14:textId="77777777" w:rsidR="008B6519" w:rsidRDefault="008B6519" w:rsidP="008B6519">
      <w:pPr>
        <w:spacing w:after="120" w:line="276" w:lineRule="auto"/>
        <w:ind w:right="49" w:firstLine="709"/>
        <w:jc w:val="both"/>
        <w:rPr>
          <w:rFonts w:ascii="Verdana" w:eastAsia="Times New Roman" w:hAnsi="Verdana" w:cs="Arial"/>
          <w:color w:val="000000"/>
          <w:lang w:val="es-ES" w:eastAsia="es-ES"/>
        </w:rPr>
      </w:pPr>
      <w:r>
        <w:rPr>
          <w:rFonts w:ascii="Verdana" w:eastAsia="Calibri" w:hAnsi="Verdana" w:cs="Arial"/>
          <w:color w:val="000000"/>
        </w:rPr>
        <w:t xml:space="preserve">Así, </w:t>
      </w:r>
      <w:r>
        <w:rPr>
          <w:rFonts w:ascii="Verdana" w:eastAsia="Times New Roman" w:hAnsi="Verdana" w:cs="Arial"/>
          <w:color w:val="000000"/>
          <w:lang w:val="es-ES" w:eastAsia="es-ES"/>
        </w:rPr>
        <w:t xml:space="preserve">según lo </w:t>
      </w:r>
      <w:r w:rsidRPr="009C3FB6">
        <w:rPr>
          <w:rFonts w:ascii="Verdana" w:eastAsia="Times New Roman" w:hAnsi="Verdana" w:cs="Arial"/>
          <w:color w:val="000000"/>
          <w:lang w:val="es-ES" w:eastAsia="es-ES"/>
        </w:rPr>
        <w:t xml:space="preserve">dispuesto en el artículo 25 de la Ley 80 de 1993 la declaratoria de desierta “únicamente procederá por motivos o causas que 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w:t>
      </w:r>
      <w:r>
        <w:rPr>
          <w:rFonts w:ascii="Verdana" w:eastAsia="Times New Roman" w:hAnsi="Verdana" w:cs="Arial"/>
          <w:color w:val="000000"/>
          <w:lang w:val="es-ES" w:eastAsia="es-ES"/>
        </w:rPr>
        <w:t xml:space="preserve">la </w:t>
      </w:r>
      <w:r w:rsidRPr="009C3FB6">
        <w:rPr>
          <w:rFonts w:ascii="Verdana" w:eastAsia="Times New Roman" w:hAnsi="Verdana" w:cs="Arial"/>
          <w:color w:val="000000"/>
          <w:lang w:val="es-ES" w:eastAsia="es-ES"/>
        </w:rPr>
        <w:t>decisión tenga carácter reglado</w:t>
      </w:r>
      <w:r w:rsidRPr="009C3FB6">
        <w:rPr>
          <w:rStyle w:val="Refdenotaalpie"/>
          <w:rFonts w:ascii="Verdana" w:eastAsia="Times New Roman" w:hAnsi="Verdana" w:cs="Arial"/>
          <w:color w:val="000000"/>
          <w:lang w:val="es-ES" w:eastAsia="es-ES"/>
        </w:rPr>
        <w:footnoteReference w:id="8"/>
      </w:r>
      <w:r w:rsidRPr="009C3FB6">
        <w:rPr>
          <w:rFonts w:ascii="Verdana" w:eastAsia="Times New Roman" w:hAnsi="Verdana" w:cs="Arial"/>
          <w:color w:val="000000"/>
          <w:lang w:val="es-ES" w:eastAsia="es-ES"/>
        </w:rPr>
        <w:t>.</w:t>
      </w:r>
      <w:r>
        <w:rPr>
          <w:rFonts w:ascii="Verdana" w:eastAsia="Times New Roman" w:hAnsi="Verdana" w:cs="Arial"/>
          <w:color w:val="000000"/>
          <w:lang w:val="es-ES" w:eastAsia="es-ES"/>
        </w:rPr>
        <w:t xml:space="preserve"> En efecto, el Consejo de Estado ha aclarado que:</w:t>
      </w:r>
    </w:p>
    <w:p w14:paraId="6AEBECB2" w14:textId="77777777" w:rsidR="008B6519" w:rsidRPr="00410932" w:rsidRDefault="008B6519" w:rsidP="008B6519">
      <w:pPr>
        <w:spacing w:after="120" w:line="240" w:lineRule="auto"/>
        <w:ind w:left="708" w:right="616" w:firstLine="1"/>
        <w:jc w:val="both"/>
        <w:rPr>
          <w:rFonts w:ascii="Verdana" w:hAnsi="Verdana"/>
          <w:sz w:val="20"/>
          <w:szCs w:val="20"/>
        </w:rPr>
      </w:pPr>
      <w:r w:rsidRPr="00410932">
        <w:rPr>
          <w:rFonts w:ascii="Verdana" w:eastAsia="Times New Roman" w:hAnsi="Verdana" w:cs="Arial"/>
          <w:color w:val="000000"/>
          <w:sz w:val="20"/>
          <w:szCs w:val="20"/>
          <w:lang w:val="es-ES" w:eastAsia="es-ES"/>
        </w:rPr>
        <w:t>“</w:t>
      </w:r>
      <w:r w:rsidRPr="00410932">
        <w:rPr>
          <w:rFonts w:ascii="Verdana" w:hAnsi="Verdana"/>
          <w:sz w:val="20"/>
          <w:szCs w:val="20"/>
        </w:rPr>
        <w:t xml:space="preserve">Según la jurisprudencia de la Sala la administración no tiene la facultad discrecional para declarar a su arbitrio desierto un proceso de selección de contratista, decisión que sólo resulta procedente cuando medien causales y circunstancias contempladas en las normas, habida consideración a que la facultad de adjudicar o no un contrato estatal es </w:t>
      </w:r>
      <w:proofErr w:type="gramStart"/>
      <w:r w:rsidRPr="00410932">
        <w:rPr>
          <w:rFonts w:ascii="Verdana" w:hAnsi="Verdana"/>
          <w:sz w:val="20"/>
          <w:szCs w:val="20"/>
        </w:rPr>
        <w:t>reglada</w:t>
      </w:r>
      <w:proofErr w:type="gramEnd"/>
      <w:r w:rsidRPr="00410932">
        <w:rPr>
          <w:rFonts w:ascii="Verdana" w:hAnsi="Verdana"/>
          <w:sz w:val="20"/>
          <w:szCs w:val="20"/>
        </w:rPr>
        <w:t xml:space="preserve">. </w:t>
      </w:r>
    </w:p>
    <w:p w14:paraId="77E455FB" w14:textId="77777777" w:rsidR="008B6519" w:rsidRPr="00410932" w:rsidRDefault="008B6519" w:rsidP="008B6519">
      <w:pPr>
        <w:spacing w:after="120" w:line="240" w:lineRule="auto"/>
        <w:ind w:left="708" w:right="616" w:firstLine="1"/>
        <w:jc w:val="both"/>
        <w:rPr>
          <w:rFonts w:ascii="Verdana" w:eastAsia="Times New Roman" w:hAnsi="Verdana" w:cs="Arial"/>
          <w:color w:val="000000"/>
          <w:sz w:val="20"/>
          <w:szCs w:val="20"/>
          <w:lang w:val="es-ES" w:eastAsia="es-ES"/>
        </w:rPr>
      </w:pPr>
      <w:r w:rsidRPr="00410932">
        <w:rPr>
          <w:rFonts w:ascii="Verdana" w:hAnsi="Verdana"/>
          <w:sz w:val="20"/>
          <w:szCs w:val="20"/>
        </w:rPr>
        <w:t>De consiguiente, no cualquier hecho puede conducir a la declaratoria de desierta de un proceso de selección, sino que es menester que aquel impida la selección objetiva de la propuesta dentro del marco dispuesto por el ordenamiento jurídico.”</w:t>
      </w:r>
      <w:r w:rsidRPr="00410932">
        <w:rPr>
          <w:rStyle w:val="Refdenotaalpie"/>
          <w:rFonts w:ascii="Verdana" w:hAnsi="Verdana"/>
          <w:sz w:val="20"/>
          <w:szCs w:val="20"/>
        </w:rPr>
        <w:footnoteReference w:id="9"/>
      </w:r>
      <w:r w:rsidRPr="00410932">
        <w:rPr>
          <w:rFonts w:ascii="Verdana" w:eastAsia="Times New Roman" w:hAnsi="Verdana" w:cs="Arial"/>
          <w:color w:val="000000"/>
          <w:sz w:val="20"/>
          <w:szCs w:val="20"/>
          <w:lang w:val="es-ES" w:eastAsia="es-ES"/>
        </w:rPr>
        <w:t xml:space="preserve"> </w:t>
      </w:r>
    </w:p>
    <w:p w14:paraId="0DC37EFD" w14:textId="77777777" w:rsidR="008B6519" w:rsidRPr="00A77CF7" w:rsidRDefault="008B6519" w:rsidP="008B6519">
      <w:pPr>
        <w:widowControl w:val="0"/>
        <w:autoSpaceDE w:val="0"/>
        <w:autoSpaceDN w:val="0"/>
        <w:spacing w:after="120" w:line="276" w:lineRule="auto"/>
        <w:ind w:right="49" w:firstLine="708"/>
        <w:jc w:val="both"/>
        <w:rPr>
          <w:rFonts w:ascii="Verdana" w:hAnsi="Verdana"/>
        </w:rPr>
      </w:pPr>
      <w:r w:rsidRPr="00A77CF7">
        <w:rPr>
          <w:rFonts w:ascii="Verdana" w:eastAsia="Arial" w:hAnsi="Verdana" w:cs="Arial"/>
          <w:lang w:val="es-ES"/>
        </w:rPr>
        <w:t>A</w:t>
      </w:r>
      <w:r>
        <w:rPr>
          <w:rFonts w:ascii="Verdana" w:eastAsia="Arial" w:hAnsi="Verdana" w:cs="Arial"/>
          <w:lang w:val="es-ES"/>
        </w:rPr>
        <w:t xml:space="preserve">hora bien, </w:t>
      </w:r>
      <w:r w:rsidRPr="00A77CF7">
        <w:rPr>
          <w:rFonts w:ascii="Verdana" w:eastAsia="Calibri" w:hAnsi="Verdana" w:cs="Arial"/>
          <w:color w:val="000000"/>
          <w:lang w:val="es-ES_tradnl"/>
        </w:rPr>
        <w:t>es pertinente mencionar que el numeral 4 del artículo 2 de la Ley 1150 de 2007, no contempla una causal especifica de contratación directa cuando un proceso de selección abreviada haya  sido declarado desierto, por tal razón, al no existir dicha causal de contratación</w:t>
      </w:r>
      <w:r>
        <w:rPr>
          <w:rFonts w:ascii="Verdana" w:eastAsia="Calibri" w:hAnsi="Verdana" w:cs="Arial"/>
          <w:color w:val="000000"/>
          <w:lang w:val="es-ES_tradnl"/>
        </w:rPr>
        <w:t xml:space="preserve"> </w:t>
      </w:r>
      <w:r w:rsidRPr="00A77CF7">
        <w:rPr>
          <w:rFonts w:ascii="Verdana" w:eastAsia="Calibri" w:hAnsi="Verdana" w:cs="Arial"/>
        </w:rPr>
        <w:t xml:space="preserve">en la Ley, las Entidades Estatales sometidas al Estatuto General de Contratación de la Administración pública que hayan </w:t>
      </w:r>
      <w:r w:rsidRPr="00A77CF7">
        <w:rPr>
          <w:rFonts w:ascii="Verdana" w:eastAsia="Calibri" w:hAnsi="Verdana" w:cs="Arial"/>
          <w:color w:val="000000"/>
          <w:lang w:val="es-ES_tradnl"/>
        </w:rPr>
        <w:t>declarado desierto un proceso de selección abreviada</w:t>
      </w:r>
      <w:r>
        <w:rPr>
          <w:rFonts w:ascii="Verdana" w:eastAsia="Calibri" w:hAnsi="Verdana" w:cs="Arial"/>
          <w:color w:val="000000"/>
          <w:lang w:val="es-ES_tradnl"/>
        </w:rPr>
        <w:t>,</w:t>
      </w:r>
      <w:r w:rsidRPr="00A77CF7">
        <w:rPr>
          <w:rFonts w:ascii="Verdana" w:eastAsia="Calibri" w:hAnsi="Verdana" w:cs="Arial"/>
          <w:color w:val="000000"/>
          <w:lang w:val="es-ES_tradnl"/>
        </w:rPr>
        <w:t xml:space="preserve"> </w:t>
      </w:r>
      <w:r w:rsidRPr="00A77CF7">
        <w:rPr>
          <w:rFonts w:ascii="Verdana" w:eastAsia="Calibri" w:hAnsi="Verdana" w:cs="Arial"/>
        </w:rPr>
        <w:lastRenderedPageBreak/>
        <w:t xml:space="preserve">deberán considerar, para satisfacer sus necesidades, la posibilidad de </w:t>
      </w:r>
      <w:r w:rsidRPr="00A77CF7">
        <w:rPr>
          <w:rFonts w:ascii="Verdana" w:hAnsi="Verdana" w:cs="Arial"/>
          <w:lang w:eastAsia="es-MX"/>
        </w:rPr>
        <w:t xml:space="preserve">adelantar un nuevo proceso de selección, teniendo en cuenta las cinco (5) modalidades de selección previstas en el artículo 2 de la Ley 1150 de 2007 y sus respectivas causales, respecto de las </w:t>
      </w:r>
      <w:r w:rsidRPr="00A77CF7">
        <w:rPr>
          <w:rFonts w:ascii="Verdana" w:eastAsia="Calibri" w:hAnsi="Verdana" w:cs="Arial"/>
          <w:color w:val="000000"/>
        </w:rPr>
        <w:t>características particulares del objeto a contratar, las circunstancias de la contratación o la cuantía o destinación del bien, obra o servicio, que justifican la selección de una u otra modalidad de contratación especifica, que en todo caso debe estar siempre acorde a la Ley.</w:t>
      </w:r>
    </w:p>
    <w:p w14:paraId="1FEB6CAE" w14:textId="77777777" w:rsidR="008B6519" w:rsidRPr="009C3FB6" w:rsidRDefault="008B6519" w:rsidP="008B6519">
      <w:pPr>
        <w:widowControl w:val="0"/>
        <w:autoSpaceDE w:val="0"/>
        <w:autoSpaceDN w:val="0"/>
        <w:spacing w:after="120" w:line="276" w:lineRule="auto"/>
        <w:ind w:right="49" w:firstLine="708"/>
        <w:jc w:val="both"/>
        <w:rPr>
          <w:rFonts w:ascii="Verdana" w:hAnsi="Verdana"/>
        </w:rPr>
      </w:pPr>
      <w:r w:rsidRPr="009C3FB6">
        <w:rPr>
          <w:rFonts w:ascii="Verdana" w:hAnsi="Verdana"/>
        </w:rPr>
        <w:t>Para</w:t>
      </w:r>
      <w:r w:rsidRPr="009C3FB6">
        <w:rPr>
          <w:rFonts w:ascii="Verdana" w:hAnsi="Verdana"/>
          <w:spacing w:val="-6"/>
        </w:rPr>
        <w:t xml:space="preserve"> </w:t>
      </w:r>
      <w:r w:rsidRPr="009C3FB6">
        <w:rPr>
          <w:rFonts w:ascii="Verdana" w:hAnsi="Verdana"/>
        </w:rPr>
        <w:t>estos</w:t>
      </w:r>
      <w:r w:rsidRPr="009C3FB6">
        <w:rPr>
          <w:rFonts w:ascii="Verdana" w:hAnsi="Verdana"/>
          <w:spacing w:val="-6"/>
        </w:rPr>
        <w:t xml:space="preserve"> </w:t>
      </w:r>
      <w:r w:rsidRPr="009C3FB6">
        <w:rPr>
          <w:rFonts w:ascii="Verdana" w:hAnsi="Verdana"/>
        </w:rPr>
        <w:t>casos, se</w:t>
      </w:r>
      <w:r w:rsidRPr="009C3FB6">
        <w:rPr>
          <w:rFonts w:ascii="Verdana" w:hAnsi="Verdana"/>
          <w:spacing w:val="-15"/>
        </w:rPr>
        <w:t xml:space="preserve"> </w:t>
      </w:r>
      <w:r w:rsidRPr="009C3FB6">
        <w:rPr>
          <w:rFonts w:ascii="Verdana" w:hAnsi="Verdana"/>
        </w:rPr>
        <w:t>recomienda</w:t>
      </w:r>
      <w:r w:rsidRPr="009C3FB6">
        <w:rPr>
          <w:rFonts w:ascii="Verdana" w:hAnsi="Verdana"/>
          <w:spacing w:val="-12"/>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las</w:t>
      </w:r>
      <w:r w:rsidRPr="009C3FB6">
        <w:rPr>
          <w:rFonts w:ascii="Verdana" w:hAnsi="Verdana"/>
          <w:spacing w:val="-14"/>
        </w:rPr>
        <w:t xml:space="preserve"> </w:t>
      </w:r>
      <w:r w:rsidRPr="009C3FB6">
        <w:rPr>
          <w:rFonts w:ascii="Verdana" w:hAnsi="Verdana"/>
        </w:rPr>
        <w:t>Entidades</w:t>
      </w:r>
      <w:r w:rsidRPr="009C3FB6">
        <w:rPr>
          <w:rFonts w:ascii="Verdana" w:hAnsi="Verdana"/>
          <w:spacing w:val="-13"/>
        </w:rPr>
        <w:t xml:space="preserve"> </w:t>
      </w:r>
      <w:r w:rsidRPr="009C3FB6">
        <w:rPr>
          <w:rFonts w:ascii="Verdana" w:hAnsi="Verdana"/>
        </w:rPr>
        <w:t>Estatales</w:t>
      </w:r>
      <w:r w:rsidRPr="009C3FB6">
        <w:rPr>
          <w:rFonts w:ascii="Verdana" w:hAnsi="Verdana"/>
          <w:spacing w:val="-13"/>
        </w:rPr>
        <w:t xml:space="preserve"> </w:t>
      </w:r>
      <w:r w:rsidRPr="009C3FB6">
        <w:rPr>
          <w:rFonts w:ascii="Verdana" w:hAnsi="Verdana"/>
        </w:rPr>
        <w:t>revisen</w:t>
      </w:r>
      <w:r w:rsidRPr="009C3FB6">
        <w:rPr>
          <w:rFonts w:ascii="Verdana" w:hAnsi="Verdana"/>
          <w:spacing w:val="-15"/>
        </w:rPr>
        <w:t xml:space="preserve"> </w:t>
      </w:r>
      <w:r w:rsidRPr="009C3FB6">
        <w:rPr>
          <w:rFonts w:ascii="Verdana" w:hAnsi="Verdana"/>
        </w:rPr>
        <w:t>los</w:t>
      </w:r>
      <w:r w:rsidRPr="009C3FB6">
        <w:rPr>
          <w:rFonts w:ascii="Verdana" w:hAnsi="Verdana"/>
          <w:spacing w:val="-15"/>
        </w:rPr>
        <w:t xml:space="preserve"> </w:t>
      </w:r>
      <w:r w:rsidRPr="009C3FB6">
        <w:rPr>
          <w:rFonts w:ascii="Verdana" w:hAnsi="Verdana"/>
        </w:rPr>
        <w:t>factores</w:t>
      </w:r>
      <w:r w:rsidRPr="009C3FB6">
        <w:rPr>
          <w:rFonts w:ascii="Verdana" w:hAnsi="Verdana"/>
          <w:spacing w:val="-13"/>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pueden</w:t>
      </w:r>
      <w:r w:rsidRPr="009C3FB6">
        <w:rPr>
          <w:rFonts w:ascii="Verdana" w:hAnsi="Verdana"/>
          <w:spacing w:val="-13"/>
        </w:rPr>
        <w:t xml:space="preserve"> </w:t>
      </w:r>
      <w:r w:rsidRPr="009C3FB6">
        <w:rPr>
          <w:rFonts w:ascii="Verdana" w:hAnsi="Verdana"/>
        </w:rPr>
        <w:t>estar afectando la participación en el procedimiento o las causas por las cuales los oferentes no están cumpliendo con los requisitos señalados en los Pliegos de Condiciones, con el fin de corregir los posibles obstáculos que conllevaron a la declaratoria de desierta.</w:t>
      </w:r>
    </w:p>
    <w:p w14:paraId="25B50E9A" w14:textId="77777777" w:rsidR="008B6519" w:rsidRPr="009C3FB6" w:rsidRDefault="008B6519" w:rsidP="008B6519">
      <w:pPr>
        <w:pStyle w:val="Textoindependiente"/>
        <w:spacing w:before="158" w:after="120" w:line="276" w:lineRule="auto"/>
        <w:ind w:right="49" w:firstLine="709"/>
        <w:jc w:val="both"/>
        <w:rPr>
          <w:rFonts w:ascii="Verdana" w:hAnsi="Verdana"/>
        </w:rPr>
      </w:pPr>
      <w:r>
        <w:rPr>
          <w:rFonts w:ascii="Verdana" w:hAnsi="Verdana"/>
        </w:rPr>
        <w:t>Finalmente, es importante precisar que l</w:t>
      </w:r>
      <w:r w:rsidRPr="009C3FB6">
        <w:rPr>
          <w:rFonts w:ascii="Verdana" w:hAnsi="Verdana"/>
        </w:rPr>
        <w:t>a entidad pública es autónoma de adelantar un nuevo proceso de contratación o de no hacerlo si así lo considera, si realiza lo primero, deberá realizar el nuevo procedimiento cumpliendo con la normatividad existente de acuerdo con la modalidad de selección escogida.</w:t>
      </w:r>
    </w:p>
    <w:p w14:paraId="2DFDF70C" w14:textId="77777777" w:rsidR="008B6519" w:rsidRDefault="008B6519" w:rsidP="008B6519">
      <w:pPr>
        <w:widowControl w:val="0"/>
        <w:autoSpaceDE w:val="0"/>
        <w:autoSpaceDN w:val="0"/>
        <w:spacing w:after="120" w:line="276" w:lineRule="auto"/>
        <w:ind w:right="176" w:firstLine="709"/>
        <w:jc w:val="both"/>
        <w:rPr>
          <w:rFonts w:ascii="Verdana" w:hAnsi="Verdana"/>
        </w:rPr>
      </w:pPr>
      <w:r w:rsidRPr="00F07825">
        <w:rPr>
          <w:rFonts w:ascii="Verdana" w:hAnsi="Verdana"/>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2FB5DAE" w14:textId="77777777" w:rsidR="008B6519" w:rsidRDefault="008B6519" w:rsidP="008B6519">
      <w:pPr>
        <w:widowControl w:val="0"/>
        <w:autoSpaceDE w:val="0"/>
        <w:autoSpaceDN w:val="0"/>
        <w:spacing w:after="0" w:line="276" w:lineRule="auto"/>
        <w:jc w:val="both"/>
        <w:rPr>
          <w:rFonts w:ascii="Verdana" w:hAnsi="Verdana" w:cs="Arial"/>
        </w:rPr>
      </w:pPr>
    </w:p>
    <w:p w14:paraId="00459948" w14:textId="77777777" w:rsidR="008B6519" w:rsidRDefault="008B6519" w:rsidP="008B65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09161410" w14:textId="77777777" w:rsidR="008B6519" w:rsidRDefault="008B6519" w:rsidP="008B6519">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B6519" w14:paraId="0F0A6DDD" w14:textId="77777777" w:rsidTr="000026A0">
        <w:trPr>
          <w:trHeight w:val="870"/>
        </w:trPr>
        <w:tc>
          <w:tcPr>
            <w:tcW w:w="8647" w:type="dxa"/>
            <w:tcBorders>
              <w:top w:val="dotted" w:sz="4" w:space="0" w:color="auto"/>
              <w:left w:val="dotted" w:sz="4" w:space="0" w:color="auto"/>
              <w:bottom w:val="dotted" w:sz="4" w:space="0" w:color="auto"/>
              <w:right w:val="dotted" w:sz="4" w:space="0" w:color="auto"/>
            </w:tcBorders>
            <w:hideMark/>
          </w:tcPr>
          <w:p w14:paraId="2F0C5711" w14:textId="77777777" w:rsidR="008B6519" w:rsidRPr="006E7982" w:rsidRDefault="008B6519" w:rsidP="000026A0">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 xml:space="preserve">Ley 80 de 1993. Artículos </w:t>
            </w:r>
            <w:r>
              <w:rPr>
                <w:rFonts w:ascii="Verdana" w:hAnsi="Verdana" w:cs="Arial"/>
                <w:color w:val="000000" w:themeColor="text1"/>
              </w:rPr>
              <w:t>23, 24 y 25</w:t>
            </w:r>
          </w:p>
          <w:p w14:paraId="0774E5AE" w14:textId="77777777" w:rsidR="008B6519" w:rsidRDefault="008B6519" w:rsidP="000026A0">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596A79">
              <w:rPr>
                <w:rFonts w:ascii="Verdana" w:eastAsia="Calibri" w:hAnsi="Verdana" w:cs="Arial"/>
                <w:lang w:val="es-ES"/>
              </w:rPr>
              <w:t xml:space="preserve">Ley </w:t>
            </w:r>
            <w:r>
              <w:rPr>
                <w:rFonts w:ascii="Verdana" w:eastAsia="Calibri" w:hAnsi="Verdana" w:cs="Arial"/>
                <w:lang w:val="es-ES"/>
              </w:rPr>
              <w:t>1150 de 2007. Artículo 5</w:t>
            </w:r>
          </w:p>
          <w:p w14:paraId="2A9BF34E" w14:textId="77777777" w:rsidR="008B6519" w:rsidRDefault="008B6519" w:rsidP="000026A0">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9C3FB6">
              <w:rPr>
                <w:rFonts w:ascii="Verdana" w:eastAsia="Arial" w:hAnsi="Verdana" w:cs="Arial"/>
                <w:color w:val="000000" w:themeColor="text1"/>
              </w:rPr>
              <w:t>Decreto 1082 de 2015</w:t>
            </w:r>
            <w:r>
              <w:rPr>
                <w:rFonts w:ascii="Verdana" w:eastAsia="Arial" w:hAnsi="Verdana" w:cs="Arial"/>
                <w:color w:val="000000" w:themeColor="text1"/>
              </w:rPr>
              <w:t>. A</w:t>
            </w:r>
            <w:r w:rsidRPr="009C3FB6">
              <w:rPr>
                <w:rFonts w:ascii="Verdana" w:eastAsia="Arial" w:hAnsi="Verdana" w:cs="Arial"/>
                <w:color w:val="000000" w:themeColor="text1"/>
              </w:rPr>
              <w:t xml:space="preserve">rtículo 2.2.1.2.4.2.2 </w:t>
            </w:r>
          </w:p>
          <w:p w14:paraId="3BD1C42D" w14:textId="77777777" w:rsidR="008B6519" w:rsidRPr="0049500E" w:rsidRDefault="008B6519" w:rsidP="000026A0">
            <w:pPr>
              <w:widowControl w:val="0"/>
              <w:numPr>
                <w:ilvl w:val="0"/>
                <w:numId w:val="17"/>
              </w:numPr>
              <w:autoSpaceDE w:val="0"/>
              <w:autoSpaceDN w:val="0"/>
              <w:spacing w:line="276" w:lineRule="auto"/>
              <w:contextualSpacing/>
              <w:jc w:val="both"/>
              <w:rPr>
                <w:rFonts w:ascii="Verdana" w:eastAsia="Aptos" w:hAnsi="Verdana" w:cs="Arial"/>
              </w:rPr>
            </w:pPr>
            <w:r w:rsidRPr="008E3861">
              <w:rPr>
                <w:rFonts w:ascii="Verdana" w:hAnsi="Verdana"/>
                <w:lang w:val="es-ES"/>
              </w:rPr>
              <w:t xml:space="preserve">CONSEJO DE ESTADO. Sala de lo Contencioso Administrativo. Sección Tercera. Subsección B. Sentencia de 3 de mayo de 2013. </w:t>
            </w:r>
            <w:proofErr w:type="spellStart"/>
            <w:r w:rsidRPr="008E3861">
              <w:rPr>
                <w:rFonts w:ascii="Verdana" w:hAnsi="Verdana"/>
                <w:lang w:val="es-ES"/>
              </w:rPr>
              <w:t>Exp</w:t>
            </w:r>
            <w:proofErr w:type="spellEnd"/>
            <w:r w:rsidRPr="008E3861">
              <w:rPr>
                <w:rFonts w:ascii="Verdana" w:hAnsi="Verdana"/>
                <w:lang w:val="es-ES"/>
              </w:rPr>
              <w:t xml:space="preserve">. 23734. </w:t>
            </w:r>
            <w:r w:rsidRPr="008E3861">
              <w:rPr>
                <w:rFonts w:ascii="Verdana" w:hAnsi="Verdana"/>
                <w:lang w:val="es-ES"/>
              </w:rPr>
              <w:lastRenderedPageBreak/>
              <w:t xml:space="preserve">C.P: </w:t>
            </w:r>
            <w:r w:rsidRPr="008E3861">
              <w:rPr>
                <w:rFonts w:ascii="Verdana" w:hAnsi="Verdana" w:cs="Arial"/>
                <w:lang w:val="es-ES"/>
              </w:rPr>
              <w:t xml:space="preserve">Danilo Rojas </w:t>
            </w:r>
            <w:proofErr w:type="spellStart"/>
            <w:r w:rsidRPr="008E3861">
              <w:rPr>
                <w:rFonts w:ascii="Verdana" w:hAnsi="Verdana" w:cs="Arial"/>
                <w:lang w:val="es-ES"/>
              </w:rPr>
              <w:t>Betancourth</w:t>
            </w:r>
            <w:proofErr w:type="spellEnd"/>
            <w:r w:rsidRPr="008E3861">
              <w:rPr>
                <w:rFonts w:ascii="Verdana" w:hAnsi="Verdana" w:cs="Arial"/>
                <w:lang w:val="es-ES"/>
              </w:rPr>
              <w:t xml:space="preserve"> (E).</w:t>
            </w:r>
          </w:p>
          <w:p w14:paraId="795FC374" w14:textId="77777777" w:rsidR="008B6519" w:rsidRDefault="008B6519" w:rsidP="000026A0">
            <w:pPr>
              <w:widowControl w:val="0"/>
              <w:numPr>
                <w:ilvl w:val="0"/>
                <w:numId w:val="17"/>
              </w:numPr>
              <w:autoSpaceDE w:val="0"/>
              <w:autoSpaceDN w:val="0"/>
              <w:spacing w:line="276" w:lineRule="auto"/>
              <w:contextualSpacing/>
              <w:jc w:val="both"/>
              <w:rPr>
                <w:rFonts w:ascii="Verdana" w:eastAsia="Aptos" w:hAnsi="Verdana" w:cs="Arial"/>
              </w:rPr>
            </w:pPr>
            <w:r w:rsidRPr="008A411B">
              <w:rPr>
                <w:rFonts w:ascii="Verdana" w:eastAsia="Aptos" w:hAnsi="Verdana" w:cs="Arial"/>
              </w:rPr>
              <w:t>CONSEJO DE ESTADO. Sección Tercera. Subsección A. Sentencia del 14 de marzo de 2013. Rad. 24059. C.P. Mauricio Fajardo Gómez.</w:t>
            </w:r>
          </w:p>
          <w:p w14:paraId="69DA3E36" w14:textId="77777777" w:rsidR="008B6519" w:rsidRPr="0049500E" w:rsidRDefault="008B6519" w:rsidP="000026A0">
            <w:pPr>
              <w:widowControl w:val="0"/>
              <w:numPr>
                <w:ilvl w:val="0"/>
                <w:numId w:val="17"/>
              </w:numPr>
              <w:autoSpaceDE w:val="0"/>
              <w:autoSpaceDN w:val="0"/>
              <w:spacing w:line="276" w:lineRule="auto"/>
              <w:contextualSpacing/>
              <w:jc w:val="both"/>
              <w:rPr>
                <w:rFonts w:ascii="Verdana" w:eastAsia="Aptos" w:hAnsi="Verdana" w:cs="Arial"/>
              </w:rPr>
            </w:pPr>
            <w:r w:rsidRPr="003656F5">
              <w:rPr>
                <w:rFonts w:ascii="Verdana" w:eastAsia="Aptos" w:hAnsi="Verdana" w:cs="Arial"/>
              </w:rPr>
              <w:t xml:space="preserve">CONSEJO DE ESTADO. Sección Tercera. Subsección A. Sentencia del 23 de julio de 2015. </w:t>
            </w:r>
            <w:proofErr w:type="spellStart"/>
            <w:r w:rsidRPr="003656F5">
              <w:rPr>
                <w:rFonts w:ascii="Verdana" w:eastAsia="Aptos" w:hAnsi="Verdana" w:cs="Arial"/>
              </w:rPr>
              <w:t>Exp</w:t>
            </w:r>
            <w:proofErr w:type="spellEnd"/>
            <w:r w:rsidRPr="003656F5">
              <w:rPr>
                <w:rFonts w:ascii="Verdana" w:eastAsia="Aptos" w:hAnsi="Verdana" w:cs="Arial"/>
              </w:rPr>
              <w:t>. 36.805. C. P. Hernán Andrade Rincón.</w:t>
            </w:r>
          </w:p>
          <w:p w14:paraId="74918E3B" w14:textId="77777777" w:rsidR="008B6519" w:rsidRPr="008E3861" w:rsidRDefault="008B6519" w:rsidP="000026A0">
            <w:pPr>
              <w:widowControl w:val="0"/>
              <w:autoSpaceDE w:val="0"/>
              <w:autoSpaceDN w:val="0"/>
              <w:spacing w:line="276" w:lineRule="auto"/>
              <w:ind w:left="720"/>
              <w:contextualSpacing/>
              <w:jc w:val="both"/>
              <w:rPr>
                <w:rFonts w:ascii="Verdana" w:eastAsia="Aptos" w:hAnsi="Verdana" w:cs="Arial"/>
              </w:rPr>
            </w:pPr>
          </w:p>
        </w:tc>
      </w:tr>
    </w:tbl>
    <w:p w14:paraId="1E2577A7" w14:textId="77777777" w:rsidR="008B6519" w:rsidRDefault="008B6519" w:rsidP="008B6519">
      <w:pPr>
        <w:widowControl w:val="0"/>
        <w:autoSpaceDE w:val="0"/>
        <w:autoSpaceDN w:val="0"/>
        <w:spacing w:after="0" w:line="276" w:lineRule="auto"/>
        <w:jc w:val="both"/>
        <w:rPr>
          <w:rFonts w:ascii="Verdana" w:hAnsi="Verdana" w:cs="Arial"/>
        </w:rPr>
      </w:pPr>
    </w:p>
    <w:p w14:paraId="1E6BF645" w14:textId="77777777" w:rsidR="008B6519" w:rsidRDefault="008B6519" w:rsidP="008B65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2ED37C2D" w14:textId="77777777" w:rsidR="008B6519" w:rsidRDefault="008B6519" w:rsidP="008B6519">
      <w:pPr>
        <w:widowControl w:val="0"/>
        <w:autoSpaceDE w:val="0"/>
        <w:autoSpaceDN w:val="0"/>
        <w:spacing w:after="0" w:line="276" w:lineRule="auto"/>
        <w:jc w:val="both"/>
        <w:rPr>
          <w:rFonts w:ascii="Verdana" w:hAnsi="Verdana" w:cs="Arial"/>
        </w:rPr>
      </w:pPr>
    </w:p>
    <w:p w14:paraId="024F8C4A" w14:textId="77777777" w:rsidR="008B6519" w:rsidRDefault="008B6519" w:rsidP="008B6519">
      <w:pPr>
        <w:widowControl w:val="0"/>
        <w:autoSpaceDE w:val="0"/>
        <w:autoSpaceDN w:val="0"/>
        <w:spacing w:after="0" w:line="276" w:lineRule="auto"/>
        <w:jc w:val="both"/>
        <w:rPr>
          <w:rStyle w:val="normaltextrun"/>
          <w:color w:val="FF0000"/>
          <w:shd w:val="clear" w:color="auto" w:fill="FFFFFF"/>
          <w:lang w:val="es-ES"/>
        </w:rPr>
      </w:pPr>
      <w:r>
        <w:rPr>
          <w:rFonts w:ascii="Verdana" w:eastAsia="Calibri" w:hAnsi="Verdana" w:cs="Times New Roman"/>
        </w:rPr>
        <w:t>S</w:t>
      </w:r>
      <w:r w:rsidRPr="006A02B1">
        <w:rPr>
          <w:rFonts w:ascii="Verdana" w:eastAsia="Calibri" w:hAnsi="Verdana" w:cs="Times New Roman"/>
        </w:rPr>
        <w:t xml:space="preserve">obre la </w:t>
      </w:r>
      <w:r>
        <w:rPr>
          <w:rFonts w:ascii="Verdana" w:eastAsia="Calibri" w:hAnsi="Verdana" w:cs="Times New Roman"/>
        </w:rPr>
        <w:t xml:space="preserve">modalidad de selección abreviada y </w:t>
      </w:r>
      <w:r w:rsidRPr="006A02B1">
        <w:rPr>
          <w:rFonts w:ascii="Verdana" w:eastAsia="Calibri" w:hAnsi="Verdana" w:cs="Times New Roman"/>
        </w:rPr>
        <w:t>declaratoria de desierta por parte de las entidades estatales, esta Subdirección se ha pronunciado en conceptos C-687 del 20 de octubre de 2022, C-313 del 31 de julio de 2023, C-377 del 8 de agosto de 2024, C- 535 del 24 de septiembre de 2024,</w:t>
      </w:r>
      <w:r>
        <w:rPr>
          <w:rFonts w:ascii="Verdana" w:eastAsia="Calibri" w:hAnsi="Verdana" w:cs="Times New Roman"/>
        </w:rPr>
        <w:t xml:space="preserve"> C-840 del 11 de diciembre de 2024,</w:t>
      </w:r>
      <w:r w:rsidRPr="006A02B1">
        <w:rPr>
          <w:rFonts w:ascii="Verdana" w:eastAsia="Calibri" w:hAnsi="Verdana" w:cs="Times New Roman"/>
        </w:rPr>
        <w:t xml:space="preserve"> </w:t>
      </w:r>
      <w:r>
        <w:rPr>
          <w:rFonts w:ascii="Verdana" w:eastAsia="Calibri" w:hAnsi="Verdana" w:cs="Times New Roman"/>
        </w:rPr>
        <w:t xml:space="preserve">C-716 del 15 de julio de 2025 y C-803 del 31 de julio 2025 </w:t>
      </w:r>
      <w:r w:rsidRPr="006A02B1">
        <w:rPr>
          <w:rFonts w:ascii="Verdana" w:eastAsia="Calibri" w:hAnsi="Verdana" w:cs="Times New Roman"/>
        </w:rPr>
        <w:t>entre otros</w:t>
      </w:r>
      <w:r>
        <w:rPr>
          <w:rFonts w:ascii="Verdana" w:eastAsia="Calibri" w:hAnsi="Verdana" w:cs="Times New Roman"/>
        </w:rPr>
        <w:t xml:space="preserve">.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40C5A05D" w14:textId="77777777" w:rsidR="008B6519" w:rsidRDefault="008B6519" w:rsidP="008B651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8A5F370" w14:textId="77777777" w:rsidR="008B6519" w:rsidRDefault="008B6519" w:rsidP="008B6519">
      <w:pPr>
        <w:shd w:val="clear" w:color="auto" w:fill="FFFFFF"/>
        <w:spacing w:after="0" w:line="276" w:lineRule="auto"/>
        <w:jc w:val="both"/>
        <w:textAlignment w:val="baseline"/>
        <w:rPr>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Pr>
          <w:rFonts w:ascii="Verdana" w:hAnsi="Verdana"/>
          <w:color w:val="467886"/>
          <w:u w:val="single"/>
          <w:bdr w:val="none" w:sz="0" w:space="0" w:color="auto" w:frame="1"/>
        </w:rPr>
        <w:t>"</w:t>
      </w:r>
    </w:p>
    <w:p w14:paraId="117916DC" w14:textId="77777777" w:rsidR="008B6519" w:rsidRDefault="008B6519" w:rsidP="008B6519">
      <w:pPr>
        <w:spacing w:after="0" w:line="276" w:lineRule="auto"/>
        <w:jc w:val="both"/>
        <w:rPr>
          <w:rFonts w:ascii="Verdana" w:hAnsi="Verdana"/>
        </w:rPr>
      </w:pPr>
    </w:p>
    <w:p w14:paraId="6D6EC378" w14:textId="77777777" w:rsidR="008B6519" w:rsidRDefault="008B6519" w:rsidP="008B6519">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4D4DD2B8" w14:textId="77777777" w:rsidR="008B6519" w:rsidRDefault="008B6519" w:rsidP="008B6519">
      <w:pPr>
        <w:spacing w:after="0" w:line="276" w:lineRule="auto"/>
        <w:jc w:val="both"/>
        <w:rPr>
          <w:rFonts w:ascii="Verdana" w:hAnsi="Verdana"/>
        </w:rPr>
      </w:pPr>
    </w:p>
    <w:p w14:paraId="3D99CE10" w14:textId="77777777" w:rsidR="008B6519" w:rsidRDefault="008B6519" w:rsidP="008B6519">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508300E5" w14:textId="77777777" w:rsidR="008B6519" w:rsidRDefault="008B6519" w:rsidP="008B6519">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4CC63D2A" w14:textId="77777777" w:rsidR="008B6519" w:rsidRDefault="008B6519" w:rsidP="008B6519">
      <w:pPr>
        <w:spacing w:after="0" w:line="276" w:lineRule="auto"/>
        <w:jc w:val="both"/>
        <w:rPr>
          <w:rFonts w:ascii="Verdana" w:hAnsi="Verdana"/>
        </w:rPr>
      </w:pPr>
      <w:r>
        <w:rPr>
          <w:rFonts w:ascii="Verdana" w:hAnsi="Verdana"/>
        </w:rPr>
        <w:lastRenderedPageBreak/>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6C254447" w14:textId="77777777" w:rsidR="008B6519" w:rsidRDefault="008B6519" w:rsidP="008B6519">
      <w:pPr>
        <w:widowControl w:val="0"/>
        <w:autoSpaceDE w:val="0"/>
        <w:autoSpaceDN w:val="0"/>
        <w:spacing w:after="0" w:line="276" w:lineRule="auto"/>
        <w:jc w:val="both"/>
        <w:rPr>
          <w:rFonts w:ascii="Verdana" w:hAnsi="Verdana" w:cs="Arial"/>
        </w:rPr>
      </w:pPr>
    </w:p>
    <w:p w14:paraId="6CB957B1" w14:textId="77777777" w:rsidR="008B6519" w:rsidRDefault="008B6519" w:rsidP="008B6519">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1D6623E7" w14:textId="77777777" w:rsidR="008B6519" w:rsidRDefault="008B6519" w:rsidP="008B6519">
      <w:pPr>
        <w:widowControl w:val="0"/>
        <w:autoSpaceDE w:val="0"/>
        <w:autoSpaceDN w:val="0"/>
        <w:spacing w:after="0" w:line="276" w:lineRule="auto"/>
        <w:jc w:val="both"/>
        <w:rPr>
          <w:rFonts w:ascii="Verdana" w:hAnsi="Verdana" w:cs="Arial"/>
        </w:rPr>
      </w:pPr>
    </w:p>
    <w:p w14:paraId="727C1F78" w14:textId="77777777" w:rsidR="008B6519" w:rsidRPr="00505CD6" w:rsidRDefault="008B6519" w:rsidP="008B6519">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ED03489" w14:textId="065AF594" w:rsidR="008B6519" w:rsidRPr="00EF055B" w:rsidRDefault="00803460" w:rsidP="008B6519">
      <w:pPr>
        <w:spacing w:line="276" w:lineRule="auto"/>
        <w:jc w:val="center"/>
        <w:rPr>
          <w:noProof/>
          <w:color w:val="000000"/>
        </w:rPr>
      </w:pPr>
      <w:r w:rsidRPr="002C3AD6">
        <w:rPr>
          <w:rFonts w:ascii="Century Gothic" w:hAnsi="Century Gothic"/>
          <w:noProof/>
        </w:rPr>
        <w:drawing>
          <wp:inline distT="0" distB="0" distL="0" distR="0" wp14:anchorId="6A8BED07" wp14:editId="1511239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B6519" w:rsidRPr="00593A5F" w14:paraId="6BA10618" w14:textId="77777777" w:rsidTr="000026A0">
        <w:trPr>
          <w:trHeight w:val="315"/>
        </w:trPr>
        <w:tc>
          <w:tcPr>
            <w:tcW w:w="893" w:type="dxa"/>
            <w:vAlign w:val="center"/>
            <w:hideMark/>
          </w:tcPr>
          <w:p w14:paraId="347C1BA6" w14:textId="77777777" w:rsidR="008B6519" w:rsidRPr="003751C7" w:rsidRDefault="008B6519" w:rsidP="000026A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83D8BC5" w14:textId="77777777" w:rsidR="008B6519" w:rsidRPr="00C42FC5" w:rsidRDefault="008B6519" w:rsidP="000026A0">
            <w:pPr>
              <w:pStyle w:val="paragraph"/>
              <w:spacing w:before="0" w:beforeAutospacing="0" w:after="0" w:afterAutospacing="0"/>
              <w:contextualSpacing/>
              <w:textAlignment w:val="baseline"/>
              <w:rPr>
                <w:rStyle w:val="normaltextrun"/>
                <w:rFonts w:ascii="Verdana" w:hAnsi="Verdana" w:cstheme="minorHAnsi"/>
                <w:sz w:val="16"/>
                <w:szCs w:val="16"/>
              </w:rPr>
            </w:pPr>
            <w:r w:rsidRPr="00C42FC5">
              <w:rPr>
                <w:rStyle w:val="normaltextrun"/>
                <w:rFonts w:ascii="Verdana" w:hAnsi="Verdana" w:cstheme="minorHAnsi"/>
                <w:sz w:val="16"/>
                <w:szCs w:val="16"/>
              </w:rPr>
              <w:t>María Joshira Nieto Manzano.</w:t>
            </w:r>
          </w:p>
          <w:p w14:paraId="0C27BD97" w14:textId="77777777" w:rsidR="008B6519" w:rsidRPr="001B59DD" w:rsidRDefault="008B6519" w:rsidP="000026A0">
            <w:pPr>
              <w:contextualSpacing/>
              <w:rPr>
                <w:rStyle w:val="normaltextrun"/>
                <w:rFonts w:ascii="Verdana" w:eastAsia="Times New Roman" w:hAnsi="Verdana" w:cstheme="minorHAnsi"/>
                <w:sz w:val="16"/>
                <w:szCs w:val="16"/>
                <w:lang w:eastAsia="es-CO"/>
              </w:rPr>
            </w:pPr>
            <w:r w:rsidRPr="00C42FC5">
              <w:rPr>
                <w:rStyle w:val="normaltextrun"/>
                <w:rFonts w:ascii="Verdana" w:eastAsia="Times New Roman" w:hAnsi="Verdana" w:cstheme="minorHAnsi"/>
                <w:sz w:val="16"/>
                <w:szCs w:val="16"/>
                <w:lang w:eastAsia="es-CO"/>
              </w:rPr>
              <w:t>Contratista</w:t>
            </w:r>
            <w:r w:rsidRPr="001B59DD">
              <w:rPr>
                <w:rStyle w:val="normaltextrun"/>
                <w:rFonts w:ascii="Verdana" w:eastAsia="Times New Roman" w:hAnsi="Verdana" w:cstheme="minorHAnsi"/>
                <w:sz w:val="16"/>
                <w:szCs w:val="16"/>
                <w:lang w:eastAsia="es-CO"/>
              </w:rPr>
              <w:t xml:space="preserve"> de la Subdirección de Gestión Contractual</w:t>
            </w:r>
          </w:p>
        </w:tc>
      </w:tr>
      <w:tr w:rsidR="008B6519" w:rsidRPr="00593A5F" w14:paraId="07992C29" w14:textId="77777777" w:rsidTr="000026A0">
        <w:trPr>
          <w:trHeight w:val="330"/>
        </w:trPr>
        <w:tc>
          <w:tcPr>
            <w:tcW w:w="893" w:type="dxa"/>
            <w:vAlign w:val="center"/>
            <w:hideMark/>
          </w:tcPr>
          <w:p w14:paraId="1B73C86C" w14:textId="77777777" w:rsidR="008B6519" w:rsidRPr="003751C7" w:rsidRDefault="008B6519" w:rsidP="000026A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DC9AE5" w14:textId="77777777" w:rsidR="008B6519" w:rsidRDefault="008B6519" w:rsidP="000026A0">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012F1DDC" w14:textId="77777777" w:rsidR="008B6519" w:rsidRPr="00C42FC5" w:rsidRDefault="008B6519" w:rsidP="000026A0">
            <w:pPr>
              <w:pStyle w:val="paragraph"/>
              <w:spacing w:before="0" w:beforeAutospacing="0" w:after="0" w:afterAutospacing="0"/>
              <w:contextualSpacing/>
              <w:textAlignment w:val="baseline"/>
              <w:rPr>
                <w:rStyle w:val="normaltextrun"/>
              </w:rPr>
            </w:pPr>
            <w:r w:rsidRPr="00C42FC5">
              <w:rPr>
                <w:rStyle w:val="normaltextrun"/>
                <w:rFonts w:ascii="Verdana" w:hAnsi="Verdana" w:cstheme="minorHAnsi"/>
                <w:sz w:val="16"/>
                <w:szCs w:val="16"/>
              </w:rPr>
              <w:t>Contratista Subdirección de Gestión Contractual</w:t>
            </w:r>
          </w:p>
        </w:tc>
      </w:tr>
      <w:tr w:rsidR="008B6519" w:rsidRPr="00593A5F" w14:paraId="0E59139A" w14:textId="77777777" w:rsidTr="000026A0">
        <w:trPr>
          <w:trHeight w:val="300"/>
        </w:trPr>
        <w:tc>
          <w:tcPr>
            <w:tcW w:w="893" w:type="dxa"/>
            <w:vAlign w:val="center"/>
          </w:tcPr>
          <w:p w14:paraId="1A3FCCF5" w14:textId="77777777" w:rsidR="008B6519" w:rsidRPr="003751C7" w:rsidRDefault="008B6519" w:rsidP="000026A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CA68A7E" w14:textId="77777777" w:rsidR="008B6519" w:rsidRPr="000015E6" w:rsidRDefault="008B6519" w:rsidP="000026A0">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3C1BB770" w14:textId="77777777" w:rsidR="008B6519" w:rsidRPr="000015E6" w:rsidRDefault="008B6519" w:rsidP="000026A0">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tbl>
    <w:p w14:paraId="0A51B6E4" w14:textId="77777777" w:rsidR="008B6519" w:rsidRPr="0044528D" w:rsidRDefault="008B6519" w:rsidP="008B6519">
      <w:pPr>
        <w:spacing w:after="0"/>
        <w:rPr>
          <w:rFonts w:ascii="Verdana" w:hAnsi="Verdana"/>
        </w:rPr>
      </w:pPr>
    </w:p>
    <w:p w14:paraId="7BE2084A" w14:textId="77777777" w:rsidR="008B6519" w:rsidRPr="0044528D" w:rsidRDefault="008B6519" w:rsidP="008B6519">
      <w:pPr>
        <w:spacing w:after="0" w:line="240" w:lineRule="auto"/>
        <w:textAlignment w:val="baseline"/>
        <w:rPr>
          <w:rFonts w:ascii="Verdana" w:eastAsia="Times New Roman" w:hAnsi="Verdana" w:cs="Segoe UI"/>
          <w:b/>
          <w:bCs/>
          <w:color w:val="46589C"/>
          <w:lang w:val="es-ES" w:eastAsia="es-CO"/>
        </w:rPr>
      </w:pPr>
    </w:p>
    <w:p w14:paraId="2964F951" w14:textId="77777777" w:rsidR="008B6519" w:rsidRPr="00AD5CFD" w:rsidRDefault="008B6519" w:rsidP="008B6519">
      <w:pPr>
        <w:rPr>
          <w:lang w:val="es-ES"/>
        </w:rPr>
      </w:pPr>
    </w:p>
    <w:p w14:paraId="62357DF3" w14:textId="77777777" w:rsidR="002707A2" w:rsidRPr="008B6519" w:rsidRDefault="002707A2" w:rsidP="00E245AB">
      <w:pPr>
        <w:spacing w:after="0"/>
        <w:jc w:val="both"/>
        <w:rPr>
          <w:rStyle w:val="Hipervnculo"/>
          <w:rFonts w:ascii="Verdana" w:hAnsi="Verdana"/>
          <w:lang w:val="es-ES"/>
        </w:rPr>
      </w:pPr>
    </w:p>
    <w:p w14:paraId="114031B5" w14:textId="77777777" w:rsidR="002707A2" w:rsidRPr="0044528D" w:rsidRDefault="002707A2" w:rsidP="00E245AB">
      <w:pPr>
        <w:spacing w:after="0"/>
        <w:jc w:val="both"/>
        <w:rPr>
          <w:rStyle w:val="Hipervnculo"/>
          <w:rFonts w:ascii="Verdana" w:hAnsi="Verdana"/>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D5329E">
      <w:headerReference w:type="default" r:id="rId15"/>
      <w:footerReference w:type="default" r:id="rId16"/>
      <w:pgSz w:w="12240" w:h="15840" w:code="1"/>
      <w:pgMar w:top="1417" w:right="1701" w:bottom="1417" w:left="1701" w:header="709" w:footer="1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085E2" w14:textId="77777777" w:rsidR="00B92CAC" w:rsidRDefault="00B92CAC" w:rsidP="004A1847">
      <w:pPr>
        <w:spacing w:after="0" w:line="240" w:lineRule="auto"/>
      </w:pPr>
      <w:r>
        <w:separator/>
      </w:r>
    </w:p>
  </w:endnote>
  <w:endnote w:type="continuationSeparator" w:id="0">
    <w:p w14:paraId="6C682B31" w14:textId="77777777" w:rsidR="00B92CAC" w:rsidRDefault="00B92CA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C4B25" w14:textId="77777777" w:rsidR="00B92CAC" w:rsidRDefault="00B92CAC" w:rsidP="004A1847">
      <w:pPr>
        <w:spacing w:after="0" w:line="240" w:lineRule="auto"/>
      </w:pPr>
      <w:r>
        <w:separator/>
      </w:r>
    </w:p>
  </w:footnote>
  <w:footnote w:type="continuationSeparator" w:id="0">
    <w:p w14:paraId="696B947C" w14:textId="77777777" w:rsidR="00B92CAC" w:rsidRDefault="00B92CAC" w:rsidP="004A1847">
      <w:pPr>
        <w:spacing w:after="0" w:line="240" w:lineRule="auto"/>
      </w:pPr>
      <w:r>
        <w:continuationSeparator/>
      </w:r>
    </w:p>
  </w:footnote>
  <w:footnote w:id="1">
    <w:p w14:paraId="322A1B33" w14:textId="77777777" w:rsidR="008B6519" w:rsidRPr="0049500E" w:rsidRDefault="008B6519" w:rsidP="008B6519">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18A6B330" w14:textId="77777777" w:rsidR="008B6519" w:rsidRPr="00604039" w:rsidRDefault="008B6519" w:rsidP="008B6519">
      <w:pPr>
        <w:pStyle w:val="Textonotapie"/>
        <w:ind w:firstLine="708"/>
        <w:jc w:val="both"/>
        <w:rPr>
          <w:rFonts w:ascii="Verdana" w:hAnsi="Verdana" w:cs="Arial"/>
          <w:sz w:val="16"/>
          <w:szCs w:val="16"/>
        </w:rPr>
      </w:pPr>
      <w:r w:rsidRPr="0049500E">
        <w:rPr>
          <w:rStyle w:val="Refdenotaalpie"/>
          <w:rFonts w:ascii="Verdana" w:hAnsi="Verdana" w:cs="Arial"/>
          <w:sz w:val="18"/>
          <w:szCs w:val="18"/>
        </w:rPr>
        <w:footnoteRef/>
      </w:r>
      <w:r w:rsidRPr="0049500E">
        <w:rPr>
          <w:rFonts w:ascii="Verdana" w:hAnsi="Verdana" w:cs="Arial"/>
          <w:sz w:val="18"/>
          <w:szCs w:val="18"/>
        </w:rPr>
        <w:t xml:space="preserve"> El numeral 2 del artículo 2 de la Ley 1150 de 2007 prescribe: “[…] Serán causales de selección abreviada las siguientes</w:t>
      </w:r>
      <w:r w:rsidRPr="00604039">
        <w:rPr>
          <w:rFonts w:ascii="Verdana" w:hAnsi="Verdana" w:cs="Arial"/>
          <w:sz w:val="16"/>
          <w:szCs w:val="16"/>
        </w:rPr>
        <w:t>:</w:t>
      </w:r>
    </w:p>
    <w:p w14:paraId="4E34F534"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60AFB1A4"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4F3ED40B"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38598050"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w:t>
      </w:r>
    </w:p>
    <w:p w14:paraId="5C9C607E"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762E9D08"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754B453F"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e) La enajenación de bienes del Estado, con excepción de aquellos a que se refiere la Ley 226 de 1995.</w:t>
      </w:r>
    </w:p>
    <w:p w14:paraId="63AC8024"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 xml:space="preserve">[…]; </w:t>
      </w:r>
    </w:p>
    <w:p w14:paraId="6BBCC176"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 xml:space="preserve">f) Productos de origen o destinación agropecuarios que se ofrezcan en las bolsas de productos legalmente constituidas; </w:t>
      </w:r>
    </w:p>
    <w:p w14:paraId="4356CAA5"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73A902AA" w14:textId="77777777" w:rsidR="008B6519" w:rsidRPr="007D48B0"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35D83516" w14:textId="77777777" w:rsidR="008B6519" w:rsidRDefault="008B6519" w:rsidP="008B6519">
      <w:pPr>
        <w:pStyle w:val="Textonotapie"/>
        <w:ind w:firstLine="708"/>
        <w:jc w:val="both"/>
        <w:rPr>
          <w:rFonts w:ascii="Verdana" w:hAnsi="Verdana" w:cs="Arial"/>
          <w:sz w:val="16"/>
          <w:szCs w:val="16"/>
        </w:rPr>
      </w:pPr>
      <w:r w:rsidRPr="007D48B0">
        <w:rPr>
          <w:rFonts w:ascii="Verdana" w:hAnsi="Verdana" w:cs="Arial"/>
          <w:sz w:val="16"/>
          <w:szCs w:val="16"/>
        </w:rPr>
        <w:t>i) La contratación de bienes y servicios que se requieran para la defensa y seguridad nacional</w:t>
      </w:r>
      <w:r>
        <w:rPr>
          <w:rFonts w:ascii="Verdana" w:hAnsi="Verdana" w:cs="Arial"/>
          <w:sz w:val="16"/>
          <w:szCs w:val="16"/>
        </w:rPr>
        <w:t>.</w:t>
      </w:r>
    </w:p>
    <w:p w14:paraId="42795440" w14:textId="77777777" w:rsidR="008B6519" w:rsidRPr="007D48B0" w:rsidRDefault="008B6519" w:rsidP="008B6519">
      <w:pPr>
        <w:pStyle w:val="Textonotapie"/>
        <w:ind w:firstLine="708"/>
        <w:jc w:val="both"/>
        <w:rPr>
          <w:rFonts w:ascii="Verdana" w:hAnsi="Verdana" w:cs="Arial"/>
          <w:sz w:val="16"/>
          <w:szCs w:val="16"/>
        </w:rPr>
      </w:pPr>
      <w:r>
        <w:rPr>
          <w:rFonts w:ascii="Verdana" w:hAnsi="Verdana" w:cs="Arial"/>
          <w:sz w:val="16"/>
          <w:szCs w:val="16"/>
        </w:rPr>
        <w:t xml:space="preserve">j) </w:t>
      </w:r>
      <w:r w:rsidRPr="000B48EE">
        <w:rPr>
          <w:rFonts w:ascii="Verdana" w:hAnsi="Verdana" w:cs="Arial"/>
          <w:sz w:val="16"/>
          <w:szCs w:val="16"/>
        </w:rPr>
        <w:t>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r>
        <w:rPr>
          <w:rFonts w:ascii="Verdana" w:hAnsi="Verdana" w:cs="Arial"/>
          <w:sz w:val="16"/>
          <w:szCs w:val="16"/>
        </w:rPr>
        <w:t>”</w:t>
      </w:r>
      <w:r w:rsidRPr="007D48B0">
        <w:rPr>
          <w:rFonts w:ascii="Verdana" w:hAnsi="Verdana" w:cs="Arial"/>
          <w:sz w:val="16"/>
          <w:szCs w:val="16"/>
        </w:rPr>
        <w:t>.</w:t>
      </w:r>
    </w:p>
  </w:footnote>
  <w:footnote w:id="3">
    <w:p w14:paraId="43A1EB20" w14:textId="77777777" w:rsidR="008B6519" w:rsidRPr="0049500E" w:rsidRDefault="008B6519" w:rsidP="008B6519">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CONGRESO DE LA REPÚBLICA. Exposición de motivos de la Ley 1150 de 2007. Gaceta del Congreso No. 458 del 1º de agosto de 2005. p. 8. </w:t>
      </w:r>
    </w:p>
  </w:footnote>
  <w:footnote w:id="4">
    <w:p w14:paraId="35C5F63B" w14:textId="77777777" w:rsidR="008B6519" w:rsidRPr="0049500E" w:rsidRDefault="008B6519" w:rsidP="008B6519">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CONSEJO DE ESTADO. Sección Tercera. Subsección A. Sentencia del 23 de julio de 2015. </w:t>
      </w:r>
      <w:r w:rsidRPr="0049500E">
        <w:rPr>
          <w:rFonts w:ascii="Verdana" w:hAnsi="Verdana" w:cs="Arial"/>
          <w:sz w:val="18"/>
          <w:szCs w:val="18"/>
        </w:rPr>
        <w:t xml:space="preserve">Exp. 36.805. C. P. Hernán Andrade Rincón. </w:t>
      </w:r>
    </w:p>
  </w:footnote>
  <w:footnote w:id="5">
    <w:p w14:paraId="0683F37A" w14:textId="77777777" w:rsidR="008B6519" w:rsidRPr="0049500E" w:rsidRDefault="008B6519" w:rsidP="008B6519">
      <w:pPr>
        <w:pStyle w:val="Textonotapie"/>
        <w:ind w:firstLine="708"/>
        <w:jc w:val="both"/>
        <w:rPr>
          <w:rFonts w:ascii="Verdana" w:hAnsi="Verdana" w:cs="Arial"/>
          <w:sz w:val="18"/>
          <w:szCs w:val="18"/>
        </w:rPr>
      </w:pPr>
      <w:r w:rsidRPr="0049500E">
        <w:rPr>
          <w:rStyle w:val="Refdenotaalpie"/>
          <w:rFonts w:ascii="Verdana" w:hAnsi="Verdana" w:cs="Arial"/>
          <w:sz w:val="18"/>
          <w:szCs w:val="18"/>
        </w:rPr>
        <w:footnoteRef/>
      </w:r>
      <w:r w:rsidRPr="0049500E">
        <w:rPr>
          <w:rFonts w:ascii="Verdana" w:hAnsi="Verdana" w:cs="Arial"/>
          <w:sz w:val="18"/>
          <w:szCs w:val="18"/>
        </w:rPr>
        <w:t xml:space="preserve"> 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6">
    <w:p w14:paraId="0F205216" w14:textId="77777777" w:rsidR="008B6519" w:rsidRPr="0049500E" w:rsidRDefault="008B6519" w:rsidP="008B6519">
      <w:pPr>
        <w:pStyle w:val="Textonotapie"/>
        <w:ind w:firstLine="708"/>
        <w:jc w:val="both"/>
        <w:rPr>
          <w:rFonts w:ascii="Verdana" w:hAnsi="Verdana"/>
          <w:sz w:val="18"/>
          <w:szCs w:val="18"/>
        </w:rPr>
      </w:pPr>
      <w:r w:rsidRPr="0049500E">
        <w:rPr>
          <w:rStyle w:val="Refdenotaalpie"/>
          <w:rFonts w:ascii="Verdana" w:hAnsi="Verdana"/>
          <w:sz w:val="18"/>
          <w:szCs w:val="18"/>
        </w:rPr>
        <w:footnoteRef/>
      </w:r>
      <w:r w:rsidRPr="0049500E">
        <w:rPr>
          <w:rFonts w:ascii="Verdana" w:hAnsi="Verdana"/>
          <w:sz w:val="18"/>
          <w:szCs w:val="18"/>
        </w:rPr>
        <w:t xml:space="preserve"> CONSEJO DE ESTADO. Sección Tercera. Subsección A. Sentencia del 14 de marzo de 2013. Rad. 24059. C.P. Mauricio Fajardo Gómez.</w:t>
      </w:r>
    </w:p>
  </w:footnote>
  <w:footnote w:id="7">
    <w:p w14:paraId="65F9C366" w14:textId="77777777" w:rsidR="008B6519" w:rsidRPr="00A47648" w:rsidRDefault="008B6519" w:rsidP="008B6519">
      <w:pPr>
        <w:pStyle w:val="Textonotapie"/>
        <w:ind w:firstLine="708"/>
        <w:rPr>
          <w:lang w:val="es-ES"/>
        </w:rPr>
      </w:pPr>
      <w:r w:rsidRPr="0049500E">
        <w:rPr>
          <w:rStyle w:val="Refdenotaalpie"/>
          <w:rFonts w:ascii="Verdana" w:hAnsi="Verdana"/>
          <w:sz w:val="18"/>
          <w:szCs w:val="18"/>
        </w:rPr>
        <w:footnoteRef/>
      </w:r>
      <w:r w:rsidRPr="0049500E">
        <w:rPr>
          <w:rFonts w:ascii="Verdana" w:hAnsi="Verdana"/>
          <w:sz w:val="18"/>
          <w:szCs w:val="18"/>
        </w:rPr>
        <w:t xml:space="preserve"> </w:t>
      </w:r>
      <w:r w:rsidRPr="0049500E">
        <w:rPr>
          <w:rFonts w:ascii="Verdana" w:hAnsi="Verdana"/>
          <w:sz w:val="18"/>
          <w:szCs w:val="18"/>
          <w:lang w:val="es-ES"/>
        </w:rPr>
        <w:t xml:space="preserve"> CONSEJO DE ESTADO. Sala de lo Contencioso Administrativo. Sección Tercera. Subsección B. Sentencia de 3 de mayo de 2013. </w:t>
      </w:r>
      <w:r w:rsidRPr="0049500E">
        <w:rPr>
          <w:rFonts w:ascii="Verdana" w:hAnsi="Verdana"/>
          <w:sz w:val="18"/>
          <w:szCs w:val="18"/>
          <w:lang w:val="es-ES"/>
        </w:rPr>
        <w:t xml:space="preserve">Exp. 23734. C.P: </w:t>
      </w:r>
      <w:r w:rsidRPr="0049500E">
        <w:rPr>
          <w:rFonts w:ascii="Verdana" w:hAnsi="Verdana" w:cs="Arial"/>
          <w:sz w:val="18"/>
          <w:szCs w:val="18"/>
          <w:lang w:val="es-ES"/>
        </w:rPr>
        <w:t>Danilo Rojas Betancourth (E).</w:t>
      </w:r>
    </w:p>
  </w:footnote>
  <w:footnote w:id="8">
    <w:p w14:paraId="39C9FCBE" w14:textId="77777777" w:rsidR="008B6519" w:rsidRPr="0049500E" w:rsidRDefault="008B6519" w:rsidP="008B6519">
      <w:pPr>
        <w:pStyle w:val="Textonotapie"/>
        <w:ind w:firstLine="708"/>
        <w:jc w:val="both"/>
        <w:rPr>
          <w:rFonts w:ascii="Verdana" w:hAnsi="Verdana"/>
          <w:sz w:val="18"/>
          <w:szCs w:val="18"/>
        </w:rPr>
      </w:pPr>
      <w:r w:rsidRPr="0049500E">
        <w:rPr>
          <w:rStyle w:val="Refdenotaalpie"/>
          <w:rFonts w:ascii="Verdana" w:hAnsi="Verdana"/>
          <w:sz w:val="18"/>
          <w:szCs w:val="18"/>
        </w:rPr>
        <w:footnoteRef/>
      </w:r>
      <w:r w:rsidRPr="0049500E">
        <w:rPr>
          <w:rFonts w:ascii="Verdana" w:hAnsi="Verdana"/>
          <w:sz w:val="18"/>
          <w:szCs w:val="18"/>
        </w:rPr>
        <w:t xml:space="preserve"> PINO RICCI, Jorge. El régimen jurídico de los contratos estatales. Bogotá: Universidad </w:t>
      </w:r>
      <w:r>
        <w:rPr>
          <w:rFonts w:ascii="Verdana" w:hAnsi="Verdana"/>
          <w:sz w:val="18"/>
          <w:szCs w:val="18"/>
        </w:rPr>
        <w:t>E</w:t>
      </w:r>
      <w:r w:rsidRPr="0049500E">
        <w:rPr>
          <w:rFonts w:ascii="Verdana" w:hAnsi="Verdana"/>
          <w:sz w:val="18"/>
          <w:szCs w:val="18"/>
        </w:rPr>
        <w:t xml:space="preserve">xternado de Colombia, 2005. Pp. 305-306. Como explica la jurisprudencia, “[…] la administración no tiene la facultad discrecional para declarar a su arbitrio desierta la licitación, decisión que sólo resulta procedente cuando medien causales y circunstancias contempladas en las normas, por cuanto, como ya se anotó, la facultad de adjudicar o no un contrato estatal es </w:t>
      </w:r>
      <w:r w:rsidRPr="0049500E">
        <w:rPr>
          <w:rFonts w:ascii="Verdana" w:hAnsi="Verdana"/>
          <w:sz w:val="18"/>
          <w:szCs w:val="18"/>
        </w:rPr>
        <w:t xml:space="preserve">reglada. No cualquier hecho conduce a la declaratoria de desierta de una licitación, sino que es menester que el mismo impida la selección objetiva de la propuesta dentro del marco dispuesto por el ordenamiento jurídico” (CONSEJO DE ESTADO. Sección Tercera. Sentencia 27 de abril de 2011. Rad. 28293. CP. Ruth Stella Correa Palacio).  </w:t>
      </w:r>
    </w:p>
    <w:p w14:paraId="14F1D2F4" w14:textId="77777777" w:rsidR="008B6519" w:rsidRPr="0049500E" w:rsidRDefault="008B6519" w:rsidP="008B6519">
      <w:pPr>
        <w:pStyle w:val="Textonotapie"/>
        <w:ind w:firstLine="708"/>
        <w:jc w:val="both"/>
        <w:rPr>
          <w:rFonts w:ascii="Verdana" w:hAnsi="Verdana"/>
          <w:sz w:val="18"/>
          <w:szCs w:val="18"/>
        </w:rPr>
      </w:pPr>
    </w:p>
  </w:footnote>
  <w:footnote w:id="9">
    <w:p w14:paraId="1C368A86" w14:textId="77777777" w:rsidR="008B6519" w:rsidRPr="0049500E" w:rsidRDefault="008B6519" w:rsidP="008B6519">
      <w:pPr>
        <w:pStyle w:val="Textonotapie"/>
        <w:rPr>
          <w:rFonts w:ascii="Verdana" w:hAnsi="Verdana"/>
          <w:sz w:val="18"/>
          <w:szCs w:val="18"/>
          <w:lang w:val="es-ES"/>
        </w:rPr>
      </w:pPr>
      <w:r w:rsidRPr="0049500E">
        <w:rPr>
          <w:rStyle w:val="Refdenotaalpie"/>
          <w:rFonts w:ascii="Verdana" w:hAnsi="Verdana"/>
          <w:sz w:val="18"/>
          <w:szCs w:val="18"/>
        </w:rPr>
        <w:footnoteRef/>
      </w:r>
      <w:r w:rsidRPr="0049500E">
        <w:rPr>
          <w:rFonts w:ascii="Verdana" w:hAnsi="Verdana"/>
          <w:sz w:val="18"/>
          <w:szCs w:val="18"/>
        </w:rPr>
        <w:t xml:space="preserve"> </w:t>
      </w:r>
      <w:r w:rsidRPr="0049500E">
        <w:rPr>
          <w:rFonts w:ascii="Verdana" w:hAnsi="Verdana"/>
          <w:sz w:val="18"/>
          <w:szCs w:val="18"/>
          <w:lang w:val="es-ES"/>
        </w:rPr>
        <w:t xml:space="preserve">CONSEJO DE ESTADO. Sala de lo Contencioso Administrativo. Sección Tercera. Subsección B. Sentencia de 3 de mayo de 2013. </w:t>
      </w:r>
      <w:r w:rsidRPr="0049500E">
        <w:rPr>
          <w:rFonts w:ascii="Verdana" w:hAnsi="Verdana"/>
          <w:sz w:val="18"/>
          <w:szCs w:val="18"/>
          <w:lang w:val="es-ES"/>
        </w:rPr>
        <w:t xml:space="preserve">Exp. 23734. C.P: </w:t>
      </w:r>
      <w:r w:rsidRPr="0049500E">
        <w:rPr>
          <w:rFonts w:ascii="Verdana" w:hAnsi="Verdana" w:cs="Arial"/>
          <w:sz w:val="18"/>
          <w:szCs w:val="18"/>
          <w:lang w:val="es-ES"/>
        </w:rPr>
        <w:t>Danilo Rojas Betancourth (E).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9264"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908709785"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72431270" name="Imagen 147243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93574943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0791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71F8"/>
    <w:rsid w:val="00061B2A"/>
    <w:rsid w:val="00082362"/>
    <w:rsid w:val="000A683E"/>
    <w:rsid w:val="000B19B9"/>
    <w:rsid w:val="000C22F9"/>
    <w:rsid w:val="000D0334"/>
    <w:rsid w:val="000F6486"/>
    <w:rsid w:val="00125105"/>
    <w:rsid w:val="00127233"/>
    <w:rsid w:val="001511A0"/>
    <w:rsid w:val="00187E3C"/>
    <w:rsid w:val="001B59DD"/>
    <w:rsid w:val="001E4177"/>
    <w:rsid w:val="001F7DC6"/>
    <w:rsid w:val="002168A0"/>
    <w:rsid w:val="002421BB"/>
    <w:rsid w:val="0025796E"/>
    <w:rsid w:val="002707A2"/>
    <w:rsid w:val="002951A0"/>
    <w:rsid w:val="002962BC"/>
    <w:rsid w:val="002A093D"/>
    <w:rsid w:val="002A0DD0"/>
    <w:rsid w:val="002A49AC"/>
    <w:rsid w:val="002A64FD"/>
    <w:rsid w:val="002B3083"/>
    <w:rsid w:val="002C7A84"/>
    <w:rsid w:val="002E4FD9"/>
    <w:rsid w:val="00322A85"/>
    <w:rsid w:val="00324168"/>
    <w:rsid w:val="003448F4"/>
    <w:rsid w:val="00374F5E"/>
    <w:rsid w:val="00377E3E"/>
    <w:rsid w:val="003A779E"/>
    <w:rsid w:val="003D0F4D"/>
    <w:rsid w:val="003D5B0D"/>
    <w:rsid w:val="003E0499"/>
    <w:rsid w:val="003F3941"/>
    <w:rsid w:val="00406575"/>
    <w:rsid w:val="00406800"/>
    <w:rsid w:val="00414C74"/>
    <w:rsid w:val="0042722E"/>
    <w:rsid w:val="0044528D"/>
    <w:rsid w:val="0046387C"/>
    <w:rsid w:val="004A1847"/>
    <w:rsid w:val="004A305D"/>
    <w:rsid w:val="004B6FFF"/>
    <w:rsid w:val="004F21C4"/>
    <w:rsid w:val="004F685F"/>
    <w:rsid w:val="005566E8"/>
    <w:rsid w:val="00574867"/>
    <w:rsid w:val="00585656"/>
    <w:rsid w:val="00591460"/>
    <w:rsid w:val="005B3816"/>
    <w:rsid w:val="005C3777"/>
    <w:rsid w:val="005C5CDC"/>
    <w:rsid w:val="005D3B7D"/>
    <w:rsid w:val="005D476C"/>
    <w:rsid w:val="005D5663"/>
    <w:rsid w:val="006219F8"/>
    <w:rsid w:val="00665D70"/>
    <w:rsid w:val="006900D9"/>
    <w:rsid w:val="00706C16"/>
    <w:rsid w:val="00756841"/>
    <w:rsid w:val="007649AB"/>
    <w:rsid w:val="00765B10"/>
    <w:rsid w:val="00771D0C"/>
    <w:rsid w:val="007833AC"/>
    <w:rsid w:val="00793097"/>
    <w:rsid w:val="007B268C"/>
    <w:rsid w:val="007B7171"/>
    <w:rsid w:val="007C0C0F"/>
    <w:rsid w:val="007C3DC2"/>
    <w:rsid w:val="007E5497"/>
    <w:rsid w:val="00803460"/>
    <w:rsid w:val="00806F5F"/>
    <w:rsid w:val="00820278"/>
    <w:rsid w:val="00862084"/>
    <w:rsid w:val="00867F95"/>
    <w:rsid w:val="008843B6"/>
    <w:rsid w:val="00891928"/>
    <w:rsid w:val="008A446D"/>
    <w:rsid w:val="008B6519"/>
    <w:rsid w:val="008D180B"/>
    <w:rsid w:val="008F0EA7"/>
    <w:rsid w:val="008F7377"/>
    <w:rsid w:val="0090667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46D22"/>
    <w:rsid w:val="00A82706"/>
    <w:rsid w:val="00A9102A"/>
    <w:rsid w:val="00AB0ADB"/>
    <w:rsid w:val="00B01B1A"/>
    <w:rsid w:val="00B23C78"/>
    <w:rsid w:val="00B66319"/>
    <w:rsid w:val="00B72CD3"/>
    <w:rsid w:val="00B72FFF"/>
    <w:rsid w:val="00B92CAC"/>
    <w:rsid w:val="00BC3D36"/>
    <w:rsid w:val="00BD7F72"/>
    <w:rsid w:val="00C04FB3"/>
    <w:rsid w:val="00C330EB"/>
    <w:rsid w:val="00C41061"/>
    <w:rsid w:val="00C67B21"/>
    <w:rsid w:val="00C754BE"/>
    <w:rsid w:val="00C76B1C"/>
    <w:rsid w:val="00CB6357"/>
    <w:rsid w:val="00CC1B26"/>
    <w:rsid w:val="00CF06B4"/>
    <w:rsid w:val="00D423A2"/>
    <w:rsid w:val="00D520D8"/>
    <w:rsid w:val="00D5329E"/>
    <w:rsid w:val="00D63AC2"/>
    <w:rsid w:val="00D7383B"/>
    <w:rsid w:val="00D85E7B"/>
    <w:rsid w:val="00DA231B"/>
    <w:rsid w:val="00DC39FC"/>
    <w:rsid w:val="00DF5254"/>
    <w:rsid w:val="00E16408"/>
    <w:rsid w:val="00E20894"/>
    <w:rsid w:val="00E245AB"/>
    <w:rsid w:val="00E2764C"/>
    <w:rsid w:val="00E27F2E"/>
    <w:rsid w:val="00E50AFE"/>
    <w:rsid w:val="00E75C92"/>
    <w:rsid w:val="00E771DC"/>
    <w:rsid w:val="00E84B5B"/>
    <w:rsid w:val="00E8772A"/>
    <w:rsid w:val="00E90F6B"/>
    <w:rsid w:val="00E92C27"/>
    <w:rsid w:val="00EA043D"/>
    <w:rsid w:val="00EA0E3D"/>
    <w:rsid w:val="00EC38A7"/>
    <w:rsid w:val="00ED69AC"/>
    <w:rsid w:val="00ED7384"/>
    <w:rsid w:val="00EE1AA8"/>
    <w:rsid w:val="00F15AF2"/>
    <w:rsid w:val="00F31EDC"/>
    <w:rsid w:val="00F462B3"/>
    <w:rsid w:val="00F5664F"/>
    <w:rsid w:val="00F666C4"/>
    <w:rsid w:val="00F76AFC"/>
    <w:rsid w:val="00FA47C0"/>
    <w:rsid w:val="00FB5DD1"/>
    <w:rsid w:val="00FC2B5D"/>
    <w:rsid w:val="00FF1449"/>
    <w:rsid w:val="099452BF"/>
    <w:rsid w:val="0F30D1AC"/>
    <w:rsid w:val="165E9519"/>
    <w:rsid w:val="1A878B93"/>
    <w:rsid w:val="2D0A47FB"/>
    <w:rsid w:val="382536D9"/>
    <w:rsid w:val="4B2B7EC8"/>
    <w:rsid w:val="4E641234"/>
    <w:rsid w:val="647EA367"/>
    <w:rsid w:val="67DEC445"/>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23C78"/>
    <w:rPr>
      <w:rFonts w:ascii="Geomanist Light" w:hAnsi="Geomanist Light"/>
      <w:lang w:val="es-ES"/>
    </w:rPr>
  </w:style>
  <w:style w:type="paragraph" w:customStyle="1" w:styleId="Appelnotedebasde">
    <w:name w:val="Appel note de bas de..."/>
    <w:basedOn w:val="Normal"/>
    <w:link w:val="Refdenotaalpie"/>
    <w:uiPriority w:val="99"/>
    <w:rsid w:val="00B23C78"/>
    <w:pPr>
      <w:spacing w:line="240" w:lineRule="exact"/>
    </w:pPr>
    <w:rPr>
      <w:vertAlign w:val="superscript"/>
    </w:rPr>
  </w:style>
  <w:style w:type="paragraph" w:styleId="Textoindependiente">
    <w:name w:val="Body Text"/>
    <w:basedOn w:val="Normal"/>
    <w:link w:val="TextoindependienteCar"/>
    <w:uiPriority w:val="1"/>
    <w:qFormat/>
    <w:rsid w:val="00B23C78"/>
    <w:pPr>
      <w:widowControl w:val="0"/>
      <w:autoSpaceDE w:val="0"/>
      <w:autoSpaceDN w:val="0"/>
      <w:spacing w:after="0" w:line="240" w:lineRule="auto"/>
    </w:pPr>
    <w:rPr>
      <w:rFonts w:ascii="Arial MT" w:eastAsia="Times New Roman" w:hAnsi="Arial MT" w:cs="Arial MT"/>
      <w:lang w:val="es-ES"/>
    </w:rPr>
  </w:style>
  <w:style w:type="character" w:customStyle="1" w:styleId="TextoindependienteCar">
    <w:name w:val="Texto independiente Car"/>
    <w:basedOn w:val="Fuentedeprrafopredeter"/>
    <w:link w:val="Textoindependiente"/>
    <w:uiPriority w:val="1"/>
    <w:rsid w:val="00B23C78"/>
    <w:rPr>
      <w:rFonts w:ascii="Arial MT" w:eastAsia="Times New Roman" w:hAnsi="Arial MT" w:cs="Arial MT"/>
      <w:lang w:val="es-ES"/>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4B6FFF"/>
    <w:rPr>
      <w:b/>
      <w:bCs/>
    </w:rPr>
  </w:style>
  <w:style w:type="character" w:customStyle="1" w:styleId="AsuntodelcomentarioCar">
    <w:name w:val="Asunto del comentario Car"/>
    <w:basedOn w:val="TextocomentarioCar"/>
    <w:link w:val="Asuntodelcomentario"/>
    <w:uiPriority w:val="99"/>
    <w:semiHidden/>
    <w:rsid w:val="004B6F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delfuentes@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2D65088C-341C-41A8-9A02-F93DD58C0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9d85dbaf-23eb-4e57-a637-93dcacc8b1a1"/>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4257</Words>
  <Characters>23417</Characters>
  <Application>Microsoft Office Word</Application>
  <DocSecurity>0</DocSecurity>
  <Lines>195</Lines>
  <Paragraphs>55</Paragraphs>
  <ScaleCrop>false</ScaleCrop>
  <Company/>
  <LinksUpToDate>false</LinksUpToDate>
  <CharactersWithSpaces>27619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2025-08-26T21:36:00Z</dcterms:created>
  <dcterms:modified xsi:type="dcterms:W3CDTF">2025-08-26T21:36:00Z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