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BE77F" w14:textId="77777777" w:rsidR="005D5AAD" w:rsidRPr="00DE2AC7" w:rsidRDefault="005D5AAD" w:rsidP="005D5AAD">
      <w:pPr>
        <w:spacing w:after="0" w:line="240" w:lineRule="auto"/>
        <w:rPr>
          <w:rFonts w:ascii="Verdana" w:eastAsia="Calibri" w:hAnsi="Verdana" w:cs="Arial"/>
          <w:b/>
          <w:sz w:val="20"/>
          <w:szCs w:val="20"/>
          <w:lang w:val="es-ES_tradnl" w:eastAsia="es-ES_tradnl"/>
        </w:rPr>
      </w:pPr>
    </w:p>
    <w:p w14:paraId="74CCBE23" w14:textId="77777777" w:rsidR="005D5AAD" w:rsidRPr="00D20014" w:rsidRDefault="005D5AAD" w:rsidP="005D5AAD">
      <w:pPr>
        <w:spacing w:after="0" w:line="240" w:lineRule="auto"/>
        <w:jc w:val="both"/>
        <w:rPr>
          <w:rFonts w:ascii="Verdana" w:eastAsia="Times New Roman" w:hAnsi="Verdana" w:cs="Arial"/>
          <w:b/>
          <w:bCs/>
          <w:lang w:eastAsia="es-ES_tradnl"/>
        </w:rPr>
      </w:pPr>
      <w:r w:rsidRPr="00D20014">
        <w:rPr>
          <w:rFonts w:ascii="Verdana" w:eastAsia="Times New Roman" w:hAnsi="Verdana" w:cs="Arial"/>
          <w:b/>
          <w:bCs/>
          <w:lang w:eastAsia="es-ES_tradnl"/>
        </w:rPr>
        <w:t xml:space="preserve">DOCUMENTOS TIPO – Fundamento normativo – Obligatoriedad – Ámbito de aplicación – Entidades sometidas  </w:t>
      </w:r>
    </w:p>
    <w:p w14:paraId="6DA73E19" w14:textId="77777777" w:rsidR="005D5AAD" w:rsidRPr="00D20014" w:rsidRDefault="005D5AAD" w:rsidP="005D5AAD">
      <w:pPr>
        <w:spacing w:after="0" w:line="240" w:lineRule="auto"/>
        <w:jc w:val="both"/>
        <w:rPr>
          <w:rFonts w:ascii="Verdana" w:eastAsia="Times New Roman" w:hAnsi="Verdana" w:cs="Arial"/>
          <w:b/>
          <w:bCs/>
          <w:sz w:val="20"/>
          <w:szCs w:val="20"/>
          <w:lang w:eastAsia="es-ES_tradnl"/>
        </w:rPr>
      </w:pPr>
    </w:p>
    <w:p w14:paraId="440628D0" w14:textId="77777777" w:rsidR="005D5AAD" w:rsidRPr="00D20014" w:rsidRDefault="005D5AAD" w:rsidP="005D5AAD">
      <w:pPr>
        <w:spacing w:after="0" w:line="240" w:lineRule="auto"/>
        <w:jc w:val="both"/>
        <w:rPr>
          <w:rFonts w:ascii="Verdana" w:eastAsia="Calibri" w:hAnsi="Verdana" w:cs="Arial"/>
          <w:sz w:val="20"/>
          <w:szCs w:val="20"/>
          <w:lang w:val="es-ES_tradnl" w:eastAsia="es-ES"/>
        </w:rPr>
      </w:pPr>
      <w:r w:rsidRPr="00D20014">
        <w:rPr>
          <w:rFonts w:ascii="Verdana" w:eastAsia="Calibri" w:hAnsi="Verdana" w:cs="Arial"/>
          <w:sz w:val="20"/>
          <w:szCs w:val="20"/>
          <w:lang w:val="es-ES_tradnl" w:eastAsia="es-ES"/>
        </w:rPr>
        <w:t xml:space="preserve">[…] la Ley 2022 de 2020 […]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D20014">
        <w:rPr>
          <w:rFonts w:ascii="Verdana" w:eastAsia="Calibri" w:hAnsi="Verdana" w:cs="Arial"/>
          <w:bCs/>
          <w:sz w:val="20"/>
          <w:szCs w:val="20"/>
          <w:lang w:val="es-ES_tradnl" w:eastAsia="es-ES_tradnl"/>
        </w:rPr>
        <w:t>EGCAP</w:t>
      </w:r>
      <w:r w:rsidRPr="00D20014">
        <w:rPr>
          <w:rFonts w:ascii="Verdana" w:eastAsia="Calibri" w:hAnsi="Verdana" w:cs="Arial"/>
          <w:sz w:val="20"/>
          <w:szCs w:val="20"/>
          <w:lang w:val="es-ES_tradnl" w:eastAsia="es-ES"/>
        </w:rPr>
        <w:t xml:space="preserve">, se atribuyó a la </w:t>
      </w:r>
      <w:r w:rsidRPr="00D20014">
        <w:rPr>
          <w:rFonts w:ascii="Verdana" w:eastAsia="Calibri" w:hAnsi="Verdana" w:cs="Arial"/>
          <w:sz w:val="20"/>
          <w:szCs w:val="20"/>
          <w:lang w:val="es-ES_tradnl" w:eastAsia="es-ES_tradnl"/>
        </w:rPr>
        <w:t xml:space="preserve">Agencia Nacional de Contratación Pública – Colombia Compra Eficiente la competencia para su expedición. </w:t>
      </w:r>
    </w:p>
    <w:p w14:paraId="3B588469" w14:textId="77777777" w:rsidR="005D5AAD" w:rsidRPr="00D20014" w:rsidRDefault="005D5AAD" w:rsidP="005D5AAD">
      <w:pPr>
        <w:spacing w:after="0" w:line="240" w:lineRule="auto"/>
        <w:jc w:val="both"/>
        <w:rPr>
          <w:rFonts w:ascii="Verdana" w:eastAsia="Calibri" w:hAnsi="Verdana" w:cs="Arial"/>
          <w:sz w:val="20"/>
          <w:szCs w:val="20"/>
          <w:lang w:val="es-ES_tradnl" w:eastAsia="es-ES"/>
        </w:rPr>
      </w:pPr>
    </w:p>
    <w:p w14:paraId="4DDC899C" w14:textId="77777777" w:rsidR="005D5AAD" w:rsidRPr="00D20014" w:rsidRDefault="005D5AAD" w:rsidP="005D5AAD">
      <w:pPr>
        <w:spacing w:after="0" w:line="240" w:lineRule="auto"/>
        <w:jc w:val="both"/>
        <w:rPr>
          <w:rFonts w:ascii="Verdana" w:eastAsia="Calibri" w:hAnsi="Verdana" w:cs="Arial"/>
          <w:sz w:val="20"/>
          <w:szCs w:val="20"/>
        </w:rPr>
      </w:pPr>
      <w:r w:rsidRPr="00D20014">
        <w:rPr>
          <w:rFonts w:ascii="Verdana" w:eastAsia="Calibri" w:hAnsi="Verdana" w:cs="Arial"/>
          <w:sz w:val="20"/>
          <w:szCs w:val="20"/>
          <w:lang w:eastAsia="es-ES_tradnl"/>
        </w:rPr>
        <w:t xml:space="preserve">De acuerdo con lo expuesto, </w:t>
      </w:r>
      <w:r w:rsidRPr="00D20014">
        <w:rPr>
          <w:rFonts w:ascii="Verdana" w:eastAsia="Calibri" w:hAnsi="Verdana" w:cs="Arial"/>
          <w:sz w:val="20"/>
          <w:szCs w:val="20"/>
          <w:bdr w:val="none" w:sz="0" w:space="0" w:color="auto" w:frame="1"/>
          <w:lang w:eastAsia="es-ES_tradnl"/>
        </w:rPr>
        <w:t xml:space="preserve">los Documentos Tipo adoptados son obligatorios para las Entidades Estatales regidas por el </w:t>
      </w:r>
      <w:r w:rsidRPr="00D20014">
        <w:rPr>
          <w:rFonts w:ascii="Verdana" w:eastAsia="Calibri" w:hAnsi="Verdana" w:cs="Arial"/>
          <w:bCs/>
          <w:sz w:val="20"/>
          <w:szCs w:val="20"/>
          <w:lang w:val="es-ES_tradnl" w:eastAsia="es-ES_tradnl"/>
        </w:rPr>
        <w:t>EGCAP</w:t>
      </w:r>
      <w:r w:rsidRPr="00D20014">
        <w:rPr>
          <w:rFonts w:ascii="Verdana" w:eastAsia="Calibri" w:hAnsi="Verdana" w:cs="Arial"/>
          <w:sz w:val="20"/>
          <w:szCs w:val="20"/>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D20014">
        <w:rPr>
          <w:rFonts w:ascii="Verdana" w:eastAsia="Calibri" w:hAnsi="Verdana" w:cs="Arial"/>
          <w:sz w:val="20"/>
          <w:szCs w:val="20"/>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w:t>
      </w:r>
    </w:p>
    <w:p w14:paraId="2097FADE" w14:textId="77777777" w:rsidR="005D5AAD" w:rsidRPr="00D20014" w:rsidRDefault="005D5AAD" w:rsidP="005D5AAD">
      <w:pPr>
        <w:spacing w:after="0" w:line="240" w:lineRule="auto"/>
        <w:jc w:val="both"/>
        <w:rPr>
          <w:rFonts w:ascii="Verdana" w:eastAsia="Times New Roman" w:hAnsi="Verdana" w:cs="Arial"/>
          <w:b/>
          <w:bCs/>
          <w:lang w:eastAsia="es-ES_tradnl"/>
        </w:rPr>
      </w:pPr>
    </w:p>
    <w:p w14:paraId="017FDE49" w14:textId="77777777" w:rsidR="005D5AAD" w:rsidRPr="00D20014" w:rsidRDefault="005D5AAD" w:rsidP="005D5AAD">
      <w:pPr>
        <w:spacing w:after="0" w:line="240" w:lineRule="auto"/>
        <w:jc w:val="both"/>
        <w:rPr>
          <w:rFonts w:ascii="Verdana" w:eastAsia="Calibri" w:hAnsi="Verdana" w:cs="Arial"/>
          <w:b/>
          <w:color w:val="000000"/>
          <w:szCs w:val="24"/>
          <w:lang w:val="es-ES_tradnl" w:eastAsia="es-ES_tradnl"/>
        </w:rPr>
      </w:pPr>
      <w:r w:rsidRPr="00D20014">
        <w:rPr>
          <w:rFonts w:ascii="Verdana" w:eastAsia="Calibri" w:hAnsi="Verdana" w:cs="Arial"/>
          <w:b/>
          <w:color w:val="000000"/>
          <w:szCs w:val="24"/>
          <w:lang w:val="es-ES_tradnl" w:eastAsia="es-ES_tradnl"/>
        </w:rPr>
        <w:t>LEY 2195 DE 2022 – Artículo 56 – Personas jurídicas de derecho privado – Documentos tipo – Estatuto General de Contratación de la Administración Pública</w:t>
      </w:r>
    </w:p>
    <w:p w14:paraId="217F3C83" w14:textId="77777777" w:rsidR="005D5AAD" w:rsidRPr="00D20014" w:rsidRDefault="005D5AAD" w:rsidP="005D5AAD">
      <w:pPr>
        <w:spacing w:after="0" w:line="240" w:lineRule="auto"/>
        <w:jc w:val="both"/>
        <w:rPr>
          <w:rFonts w:ascii="Verdana" w:eastAsia="Calibri" w:hAnsi="Verdana" w:cs="Arial"/>
          <w:b/>
          <w:color w:val="000000"/>
          <w:szCs w:val="24"/>
          <w:lang w:val="es-ES_tradnl" w:eastAsia="es-ES_tradnl"/>
        </w:rPr>
      </w:pPr>
    </w:p>
    <w:p w14:paraId="29412497" w14:textId="77777777" w:rsidR="005D5AAD" w:rsidRPr="00CE1CFD" w:rsidRDefault="005D5AAD" w:rsidP="005D5AAD">
      <w:pPr>
        <w:spacing w:after="0" w:line="240" w:lineRule="auto"/>
        <w:jc w:val="both"/>
        <w:rPr>
          <w:rFonts w:ascii="Verdana" w:eastAsia="Times New Roman" w:hAnsi="Verdana" w:cs="Arial"/>
          <w:noProof/>
          <w:color w:val="000000"/>
          <w:sz w:val="20"/>
          <w:szCs w:val="20"/>
          <w:lang w:val="es-ES_tradnl" w:eastAsia="es-ES_tradnl"/>
        </w:rPr>
      </w:pPr>
      <w:r w:rsidRPr="00CE1CFD">
        <w:rPr>
          <w:rFonts w:ascii="Verdana" w:eastAsia="Calibri" w:hAnsi="Verdana" w:cs="Arial"/>
          <w:sz w:val="20"/>
          <w:szCs w:val="20"/>
          <w:lang w:val="es-ES_tradnl" w:eastAsia="es-ES"/>
        </w:rPr>
        <w:t xml:space="preserve">[…] </w:t>
      </w:r>
      <w:r w:rsidRPr="00CE1CFD">
        <w:rPr>
          <w:rFonts w:ascii="Verdana" w:eastAsia="Times New Roman" w:hAnsi="Verdana" w:cs="Arial"/>
          <w:noProof/>
          <w:color w:val="000000"/>
          <w:sz w:val="20"/>
          <w:szCs w:val="20"/>
          <w:lang w:val="es-ES_tradnl" w:eastAsia="es-ES_tradnl"/>
        </w:rPr>
        <w:t>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p>
    <w:p w14:paraId="43258045" w14:textId="77777777" w:rsidR="005D5AAD" w:rsidRPr="00D20014" w:rsidRDefault="005D5AAD" w:rsidP="005D5AAD">
      <w:pPr>
        <w:spacing w:after="0" w:line="240" w:lineRule="auto"/>
        <w:jc w:val="both"/>
        <w:rPr>
          <w:rFonts w:ascii="Verdana" w:eastAsia="Times New Roman" w:hAnsi="Verdana" w:cs="Arial"/>
          <w:noProof/>
          <w:color w:val="000000"/>
          <w:szCs w:val="24"/>
          <w:lang w:val="es-ES_tradnl" w:eastAsia="es-ES_tradnl"/>
        </w:rPr>
      </w:pPr>
    </w:p>
    <w:p w14:paraId="10B6BD3C" w14:textId="77777777" w:rsidR="005D5AAD" w:rsidRPr="00D20014" w:rsidRDefault="005D5AAD" w:rsidP="005D5AAD">
      <w:pPr>
        <w:tabs>
          <w:tab w:val="left" w:pos="0"/>
        </w:tabs>
        <w:spacing w:after="0" w:line="240" w:lineRule="auto"/>
        <w:jc w:val="both"/>
        <w:rPr>
          <w:rFonts w:ascii="Verdana" w:eastAsia="Calibri" w:hAnsi="Verdana" w:cs="Arial"/>
          <w:b/>
          <w:color w:val="000000"/>
          <w:szCs w:val="24"/>
          <w:lang w:val="es-ES_tradnl" w:eastAsia="es-ES_tradnl"/>
        </w:rPr>
      </w:pPr>
      <w:r w:rsidRPr="00D20014">
        <w:rPr>
          <w:rFonts w:ascii="Verdana" w:eastAsia="Calibri" w:hAnsi="Verdana" w:cs="Arial"/>
          <w:b/>
          <w:color w:val="000000"/>
          <w:szCs w:val="24"/>
          <w:lang w:val="es-ES_tradnl" w:eastAsia="es-ES_tradnl"/>
        </w:rPr>
        <w:t xml:space="preserve">LEY 2195 DE 2022 – Artículo 56 – Parágrafo – </w:t>
      </w:r>
      <w:r>
        <w:rPr>
          <w:rFonts w:ascii="Verdana" w:eastAsia="Calibri" w:hAnsi="Verdana" w:cs="Arial"/>
          <w:b/>
          <w:color w:val="000000"/>
          <w:szCs w:val="24"/>
          <w:lang w:val="es-ES_tradnl" w:eastAsia="es-ES_tradnl"/>
        </w:rPr>
        <w:t>Alcance</w:t>
      </w:r>
      <w:r w:rsidRPr="00D20014">
        <w:rPr>
          <w:rFonts w:ascii="Verdana" w:eastAsia="Calibri" w:hAnsi="Verdana" w:cs="Arial"/>
          <w:b/>
          <w:color w:val="000000"/>
          <w:szCs w:val="24"/>
          <w:lang w:val="es-ES_tradnl" w:eastAsia="es-ES_tradnl"/>
        </w:rPr>
        <w:t xml:space="preserve"> </w:t>
      </w:r>
    </w:p>
    <w:p w14:paraId="4D8660B7" w14:textId="77777777" w:rsidR="005D5AAD" w:rsidRDefault="005D5AAD" w:rsidP="005D5AAD">
      <w:pPr>
        <w:tabs>
          <w:tab w:val="left" w:pos="0"/>
        </w:tabs>
        <w:spacing w:after="0" w:line="240" w:lineRule="auto"/>
        <w:jc w:val="both"/>
        <w:rPr>
          <w:rFonts w:ascii="Arial" w:eastAsia="Times New Roman" w:hAnsi="Arial" w:cs="Arial"/>
          <w:noProof/>
          <w:color w:val="000000"/>
          <w:szCs w:val="24"/>
          <w:lang w:val="es-ES_tradnl" w:eastAsia="es-ES_tradnl"/>
        </w:rPr>
      </w:pPr>
    </w:p>
    <w:p w14:paraId="373935FB" w14:textId="77777777" w:rsidR="005D5AAD" w:rsidRPr="00CE1CFD" w:rsidRDefault="005D5AAD" w:rsidP="005D5AAD">
      <w:pPr>
        <w:tabs>
          <w:tab w:val="left" w:pos="0"/>
        </w:tabs>
        <w:spacing w:after="0" w:line="240" w:lineRule="auto"/>
        <w:jc w:val="both"/>
        <w:rPr>
          <w:rFonts w:ascii="Arial" w:eastAsia="Calibri" w:hAnsi="Arial" w:cs="Arial"/>
          <w:bCs/>
          <w:sz w:val="20"/>
          <w:szCs w:val="20"/>
          <w:lang w:val="es-ES_tradnl"/>
        </w:rPr>
      </w:pPr>
      <w:r w:rsidRPr="00CE1CFD">
        <w:rPr>
          <w:rFonts w:ascii="Verdana" w:hAnsi="Verdana" w:cs="Arial"/>
          <w:color w:val="000000" w:themeColor="text1"/>
          <w:sz w:val="20"/>
          <w:szCs w:val="20"/>
        </w:rPr>
        <w:t xml:space="preserve">En este contexto, </w:t>
      </w:r>
      <w:r w:rsidRPr="00CE1CFD">
        <w:rPr>
          <w:rFonts w:ascii="Verdana" w:eastAsia="Calibri" w:hAnsi="Verdana" w:cs="Arial"/>
          <w:bCs/>
          <w:sz w:val="20"/>
          <w:szCs w:val="20"/>
          <w:lang w:val="es-ES_tradnl" w:eastAsia="es-ES_tradnl"/>
        </w:rPr>
        <w:t>de la lectura conjunta de los incisos primero y segundo</w:t>
      </w:r>
      <w:r w:rsidRPr="00CE1CFD">
        <w:rPr>
          <w:rFonts w:ascii="Verdana" w:eastAsia="Calibri" w:hAnsi="Verdana" w:cs="Arial"/>
          <w:bCs/>
          <w:sz w:val="20"/>
          <w:szCs w:val="20"/>
          <w:lang w:eastAsia="es-ES_tradnl"/>
        </w:rPr>
        <w:t xml:space="preserve"> del artículo 56 de la Ley 2195 de 2022,</w:t>
      </w:r>
      <w:r w:rsidRPr="00CE1CFD">
        <w:rPr>
          <w:rFonts w:ascii="Verdana" w:eastAsia="Calibri" w:hAnsi="Verdana" w:cs="Arial"/>
          <w:bCs/>
          <w:sz w:val="20"/>
          <w:szCs w:val="20"/>
          <w:lang w:val="es-ES_tradnl" w:eastAsia="es-ES_tradnl"/>
        </w:rPr>
        <w:t xml:space="preserve"> se desprende que </w:t>
      </w:r>
      <w:r w:rsidRPr="00CE1CFD">
        <w:rPr>
          <w:rFonts w:ascii="Verdana" w:eastAsia="Calibri" w:hAnsi="Verdana" w:cs="Arial"/>
          <w:bCs/>
          <w:sz w:val="20"/>
          <w:szCs w:val="20"/>
          <w:lang w:eastAsia="es-ES_tradnl"/>
        </w:rPr>
        <w:t>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CE1CFD">
        <w:rPr>
          <w:rFonts w:ascii="Arial" w:eastAsia="Calibri" w:hAnsi="Arial" w:cs="Arial"/>
          <w:bCs/>
          <w:sz w:val="20"/>
          <w:szCs w:val="20"/>
          <w:lang w:val="es-ES_tradnl"/>
        </w:rPr>
        <w:t xml:space="preserve"> </w:t>
      </w:r>
      <w:r w:rsidRPr="00CE1CFD">
        <w:rPr>
          <w:rFonts w:ascii="Verdana" w:eastAsia="Calibri" w:hAnsi="Verdana" w:cs="Arial"/>
          <w:bCs/>
          <w:sz w:val="20"/>
          <w:szCs w:val="20"/>
          <w:lang w:val="es-ES_tradnl"/>
        </w:rPr>
        <w:t xml:space="preserve">siempre </w:t>
      </w:r>
      <w:r w:rsidRPr="00CE1CFD">
        <w:rPr>
          <w:rFonts w:ascii="Verdana" w:eastAsia="Calibri" w:hAnsi="Verdana" w:cs="Arial"/>
          <w:bCs/>
          <w:sz w:val="20"/>
          <w:szCs w:val="20"/>
          <w:lang w:val="es-ES_tradnl"/>
        </w:rPr>
        <w:lastRenderedPageBreak/>
        <w:t xml:space="preserve">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28D8AE6F" w14:textId="77777777" w:rsidR="005D5AAD" w:rsidRDefault="005D5AAD" w:rsidP="005D5AAD">
      <w:pPr>
        <w:tabs>
          <w:tab w:val="left" w:pos="0"/>
        </w:tabs>
        <w:spacing w:after="0" w:line="240" w:lineRule="auto"/>
        <w:jc w:val="both"/>
        <w:rPr>
          <w:rFonts w:ascii="Verdana" w:eastAsia="Calibri" w:hAnsi="Verdana" w:cs="Arial"/>
          <w:bCs/>
          <w:sz w:val="20"/>
          <w:szCs w:val="20"/>
          <w:lang w:val="es-ES_tradnl" w:eastAsia="es-ES_tradnl"/>
        </w:rPr>
      </w:pPr>
    </w:p>
    <w:p w14:paraId="1BA8A068" w14:textId="77777777" w:rsidR="005D5AAD" w:rsidRPr="00934AB7" w:rsidRDefault="005D5AAD" w:rsidP="005D5AAD">
      <w:pPr>
        <w:tabs>
          <w:tab w:val="left" w:pos="0"/>
        </w:tabs>
        <w:spacing w:after="0" w:line="240" w:lineRule="auto"/>
        <w:jc w:val="both"/>
        <w:rPr>
          <w:rFonts w:ascii="Verdana" w:eastAsia="Calibri" w:hAnsi="Verdana" w:cs="Arial"/>
          <w:bCs/>
          <w:color w:val="000000"/>
          <w:sz w:val="20"/>
          <w:szCs w:val="20"/>
          <w:lang w:val="es-ES_tradnl" w:eastAsia="es-ES_tradnl"/>
        </w:rPr>
      </w:pPr>
      <w:r w:rsidRPr="00CE1CFD">
        <w:rPr>
          <w:rFonts w:ascii="Verdana" w:eastAsia="Calibri" w:hAnsi="Verdana" w:cs="Arial"/>
          <w:bCs/>
          <w:sz w:val="20"/>
          <w:szCs w:val="20"/>
          <w:lang w:val="es-ES_tradnl" w:eastAsia="es-ES_tradnl"/>
        </w:rPr>
        <w:t>Sin perjuicio de lo anterior</w:t>
      </w:r>
      <w:r w:rsidRPr="00CE1CFD">
        <w:rPr>
          <w:rFonts w:ascii="Verdana" w:eastAsia="Times New Roman" w:hAnsi="Verdana" w:cs="Arial"/>
          <w:sz w:val="20"/>
          <w:szCs w:val="20"/>
          <w:lang w:eastAsia="es-ES_tradnl"/>
        </w:rPr>
        <w:t xml:space="preserve">, </w:t>
      </w:r>
      <w:r w:rsidRPr="00CE1CFD">
        <w:rPr>
          <w:rFonts w:ascii="Verdana" w:eastAsia="Calibri" w:hAnsi="Verdana" w:cs="Arial"/>
          <w:bCs/>
          <w:sz w:val="20"/>
          <w:szCs w:val="20"/>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CE1CFD">
        <w:rPr>
          <w:rFonts w:ascii="Verdana" w:eastAsia="Calibri" w:hAnsi="Verdana" w:cs="Arial"/>
          <w:bCs/>
          <w:i/>
          <w:iCs/>
          <w:sz w:val="20"/>
          <w:szCs w:val="20"/>
          <w:lang w:val="es-ES_tradnl" w:eastAsia="es-ES_tradnl"/>
        </w:rPr>
        <w:t>giro ordinario</w:t>
      </w:r>
      <w:r w:rsidRPr="00CE1CFD">
        <w:rPr>
          <w:rFonts w:ascii="Verdana" w:eastAsia="Calibri" w:hAnsi="Verdana" w:cs="Arial"/>
          <w:bCs/>
          <w:sz w:val="20"/>
          <w:szCs w:val="20"/>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CE1CFD">
        <w:rPr>
          <w:rFonts w:ascii="Verdana" w:eastAsia="Calibri" w:hAnsi="Verdana" w:cs="Arial"/>
          <w:bCs/>
          <w:sz w:val="20"/>
          <w:szCs w:val="20"/>
          <w:lang w:val="es-ES_tradnl" w:eastAsia="es-ES_tradnl"/>
        </w:rPr>
        <w:t>ii</w:t>
      </w:r>
      <w:proofErr w:type="spellEnd"/>
      <w:r w:rsidRPr="00CE1CFD">
        <w:rPr>
          <w:rFonts w:ascii="Verdana" w:eastAsia="Calibri" w:hAnsi="Verdana" w:cs="Arial"/>
          <w:bCs/>
          <w:sz w:val="20"/>
          <w:szCs w:val="20"/>
          <w:lang w:val="es-ES_tradnl" w:eastAsia="es-ES_tradnl"/>
        </w:rPr>
        <w:t xml:space="preserve">) las </w:t>
      </w:r>
      <w:r w:rsidRPr="00CE1CFD">
        <w:rPr>
          <w:rFonts w:ascii="Verdana" w:eastAsia="Calibri" w:hAnsi="Verdana" w:cs="Arial"/>
          <w:bCs/>
          <w:i/>
          <w:iCs/>
          <w:sz w:val="20"/>
          <w:szCs w:val="20"/>
          <w:lang w:val="es-ES_tradnl" w:eastAsia="es-ES_tradnl"/>
        </w:rPr>
        <w:t>empresas sociales del Estado</w:t>
      </w:r>
      <w:r w:rsidRPr="00CE1CFD">
        <w:rPr>
          <w:rFonts w:ascii="Verdana" w:eastAsia="Calibri" w:hAnsi="Verdana" w:cs="Arial"/>
          <w:bCs/>
          <w:sz w:val="20"/>
          <w:szCs w:val="20"/>
          <w:lang w:val="es-ES_tradnl" w:eastAsia="es-ES_tradnl"/>
        </w:rPr>
        <w:t xml:space="preserve">, </w:t>
      </w:r>
      <w:proofErr w:type="spellStart"/>
      <w:r w:rsidRPr="00CE1CFD">
        <w:rPr>
          <w:rFonts w:ascii="Verdana" w:eastAsia="Calibri" w:hAnsi="Verdana" w:cs="Arial"/>
          <w:bCs/>
          <w:sz w:val="20"/>
          <w:szCs w:val="20"/>
          <w:lang w:val="es-ES_tradnl" w:eastAsia="es-ES_tradnl"/>
        </w:rPr>
        <w:t>iii</w:t>
      </w:r>
      <w:proofErr w:type="spellEnd"/>
      <w:r w:rsidRPr="00CE1CFD">
        <w:rPr>
          <w:rFonts w:ascii="Verdana" w:eastAsia="Calibri" w:hAnsi="Verdana" w:cs="Arial"/>
          <w:bCs/>
          <w:sz w:val="20"/>
          <w:szCs w:val="20"/>
          <w:lang w:val="es-ES_tradnl" w:eastAsia="es-ES_tradnl"/>
        </w:rPr>
        <w:t xml:space="preserve">) las sociedades de economía mixta y </w:t>
      </w:r>
      <w:proofErr w:type="spellStart"/>
      <w:r w:rsidRPr="00CE1CFD">
        <w:rPr>
          <w:rFonts w:ascii="Verdana" w:eastAsia="Calibri" w:hAnsi="Verdana" w:cs="Arial"/>
          <w:bCs/>
          <w:sz w:val="20"/>
          <w:szCs w:val="20"/>
          <w:lang w:val="es-ES_tradnl" w:eastAsia="es-ES_tradnl"/>
        </w:rPr>
        <w:t>iv</w:t>
      </w:r>
      <w:proofErr w:type="spellEnd"/>
      <w:r w:rsidRPr="00CE1CFD">
        <w:rPr>
          <w:rFonts w:ascii="Verdana" w:eastAsia="Calibri" w:hAnsi="Verdana" w:cs="Arial"/>
          <w:bCs/>
          <w:sz w:val="20"/>
          <w:szCs w:val="20"/>
          <w:lang w:val="es-ES_tradnl" w:eastAsia="es-ES_tradnl"/>
        </w:rPr>
        <w:t xml:space="preserve">) las empresas industriales y comerciales del Estado, únicamente, en la contratación relacionada con el </w:t>
      </w:r>
      <w:r w:rsidRPr="00CE1CFD">
        <w:rPr>
          <w:rFonts w:ascii="Verdana" w:eastAsia="Calibri" w:hAnsi="Verdana" w:cs="Arial"/>
          <w:bCs/>
          <w:i/>
          <w:iCs/>
          <w:sz w:val="20"/>
          <w:szCs w:val="20"/>
          <w:lang w:val="es-ES_tradnl" w:eastAsia="es-ES_tradnl"/>
        </w:rPr>
        <w:t>giro ordinario.</w:t>
      </w:r>
      <w:r w:rsidRPr="00CE1CFD">
        <w:rPr>
          <w:rFonts w:ascii="Verdana" w:eastAsia="Calibri" w:hAnsi="Verdana" w:cs="Arial"/>
          <w:bCs/>
          <w:sz w:val="20"/>
          <w:szCs w:val="20"/>
          <w:lang w:val="es-ES_tradnl" w:eastAsia="es-ES_tradnl"/>
        </w:rPr>
        <w:t xml:space="preserve"> Esto significa que, en la contratación asociada a su </w:t>
      </w:r>
      <w:r w:rsidRPr="00CE1CFD">
        <w:rPr>
          <w:rFonts w:ascii="Verdana" w:eastAsia="Calibri" w:hAnsi="Verdana" w:cs="Arial"/>
          <w:bCs/>
          <w:i/>
          <w:iCs/>
          <w:sz w:val="20"/>
          <w:szCs w:val="20"/>
          <w:lang w:val="es-ES_tradnl" w:eastAsia="es-ES_tradnl"/>
        </w:rPr>
        <w:t xml:space="preserve">giro ordinario, </w:t>
      </w:r>
      <w:r w:rsidRPr="00CE1CFD">
        <w:rPr>
          <w:rFonts w:ascii="Verdana" w:eastAsia="Calibri" w:hAnsi="Verdana" w:cs="Arial"/>
          <w:bCs/>
          <w:sz w:val="20"/>
          <w:szCs w:val="20"/>
          <w:lang w:val="es-ES_tradnl" w:eastAsia="es-ES_tradnl"/>
        </w:rPr>
        <w:t>estos tipos de entidades no tendrían que aplicar, de manera obligatoria, los Documentos Tipo, ni tampoco el EGCAP.</w:t>
      </w:r>
      <w:r w:rsidRPr="00CE1CFD">
        <w:rPr>
          <w:rFonts w:ascii="Verdana" w:eastAsia="Times New Roman" w:hAnsi="Verdana" w:cs="Arial"/>
          <w:sz w:val="20"/>
          <w:szCs w:val="20"/>
          <w:lang w:eastAsia="es-ES_tradnl"/>
        </w:rPr>
        <w:t xml:space="preserve"> </w:t>
      </w:r>
      <w:r w:rsidRPr="00CE1CFD">
        <w:rPr>
          <w:rFonts w:ascii="Verdana" w:eastAsia="Calibri" w:hAnsi="Verdana" w:cs="Arial"/>
          <w:bCs/>
          <w:sz w:val="20"/>
          <w:szCs w:val="20"/>
          <w:lang w:val="es-ES_tradnl" w:eastAsia="es-ES_tradnl"/>
        </w:rPr>
        <w:t>En este caso, la norma se limita a fomentar la implementación de Documentos Tipo a modo de buena práctica contractual, en los casos en los que se estime conveniente.</w:t>
      </w:r>
      <w:r w:rsidRPr="00CE1CFD">
        <w:rPr>
          <w:rFonts w:ascii="Verdana" w:eastAsia="Calibri" w:hAnsi="Verdana" w:cs="Arial"/>
          <w:bCs/>
          <w:color w:val="000000"/>
          <w:sz w:val="20"/>
          <w:szCs w:val="20"/>
          <w:lang w:val="es-ES_tradnl" w:eastAsia="es-ES_tradnl"/>
        </w:rPr>
        <w:t xml:space="preserve"> </w:t>
      </w:r>
    </w:p>
    <w:p w14:paraId="2F1E8595" w14:textId="77777777" w:rsidR="005D5AAD" w:rsidRDefault="005D5AAD" w:rsidP="005D5AAD">
      <w:pPr>
        <w:spacing w:after="0" w:line="240" w:lineRule="auto"/>
        <w:rPr>
          <w:rFonts w:ascii="Verdana" w:eastAsia="Geomanist Light" w:hAnsi="Verdana" w:cs="Arial"/>
          <w:color w:val="000000" w:themeColor="text1"/>
          <w:lang w:val="es-MX"/>
        </w:rPr>
      </w:pPr>
    </w:p>
    <w:p w14:paraId="40F769C3" w14:textId="77777777" w:rsidR="005D5AAD" w:rsidRDefault="005D5AAD" w:rsidP="005D5AAD">
      <w:pPr>
        <w:spacing w:after="0" w:line="240" w:lineRule="auto"/>
        <w:rPr>
          <w:rFonts w:ascii="Verdana" w:eastAsia="Geomanist Light" w:hAnsi="Verdana" w:cs="Arial"/>
          <w:color w:val="000000" w:themeColor="text1"/>
          <w:lang w:val="es-MX"/>
        </w:rPr>
      </w:pPr>
    </w:p>
    <w:p w14:paraId="6EA1465D" w14:textId="77777777" w:rsidR="005D5AAD" w:rsidRDefault="005D5AAD" w:rsidP="005D5AAD">
      <w:pPr>
        <w:spacing w:after="0" w:line="240" w:lineRule="auto"/>
        <w:rPr>
          <w:rFonts w:ascii="Verdana" w:eastAsia="Geomanist Light" w:hAnsi="Verdana" w:cs="Arial"/>
          <w:color w:val="000000" w:themeColor="text1"/>
          <w:lang w:val="es-MX"/>
        </w:rPr>
      </w:pPr>
    </w:p>
    <w:p w14:paraId="3C154689" w14:textId="77777777" w:rsidR="005D5AAD" w:rsidRDefault="005D5AAD" w:rsidP="005D5AAD">
      <w:pPr>
        <w:spacing w:after="0" w:line="240" w:lineRule="auto"/>
        <w:rPr>
          <w:rFonts w:ascii="Verdana" w:eastAsia="Geomanist Light" w:hAnsi="Verdana" w:cs="Arial"/>
          <w:color w:val="000000" w:themeColor="text1"/>
          <w:lang w:val="es-MX"/>
        </w:rPr>
      </w:pPr>
    </w:p>
    <w:p w14:paraId="173FCD10" w14:textId="77777777" w:rsidR="005D5AAD" w:rsidRDefault="005D5AAD" w:rsidP="005D5AAD">
      <w:pPr>
        <w:spacing w:after="0" w:line="240" w:lineRule="auto"/>
        <w:rPr>
          <w:rFonts w:ascii="Verdana" w:eastAsia="Geomanist Light" w:hAnsi="Verdana" w:cs="Arial"/>
          <w:color w:val="000000" w:themeColor="text1"/>
          <w:lang w:val="es-MX"/>
        </w:rPr>
      </w:pPr>
    </w:p>
    <w:p w14:paraId="05AAA9BF" w14:textId="77777777" w:rsidR="005D5AAD" w:rsidRDefault="005D5AAD" w:rsidP="005D5AAD">
      <w:pPr>
        <w:spacing w:after="0" w:line="240" w:lineRule="auto"/>
        <w:rPr>
          <w:rFonts w:ascii="Verdana" w:eastAsia="Geomanist Light" w:hAnsi="Verdana" w:cs="Arial"/>
          <w:color w:val="000000" w:themeColor="text1"/>
          <w:lang w:val="es-MX"/>
        </w:rPr>
      </w:pPr>
    </w:p>
    <w:p w14:paraId="7F3EAA12" w14:textId="77777777" w:rsidR="005D5AAD" w:rsidRDefault="005D5AAD" w:rsidP="005D5AAD">
      <w:pPr>
        <w:spacing w:after="0" w:line="240" w:lineRule="auto"/>
        <w:rPr>
          <w:rFonts w:ascii="Verdana" w:eastAsia="Geomanist Light" w:hAnsi="Verdana" w:cs="Arial"/>
          <w:color w:val="000000" w:themeColor="text1"/>
          <w:lang w:val="es-MX"/>
        </w:rPr>
      </w:pPr>
    </w:p>
    <w:p w14:paraId="220F82C1" w14:textId="77777777" w:rsidR="005D5AAD" w:rsidRDefault="005D5AAD" w:rsidP="005D5AAD">
      <w:pPr>
        <w:spacing w:after="0" w:line="240" w:lineRule="auto"/>
        <w:rPr>
          <w:rFonts w:ascii="Verdana" w:eastAsia="Geomanist Light" w:hAnsi="Verdana" w:cs="Arial"/>
          <w:color w:val="000000" w:themeColor="text1"/>
          <w:lang w:val="es-MX"/>
        </w:rPr>
      </w:pPr>
    </w:p>
    <w:p w14:paraId="4817F683" w14:textId="77777777" w:rsidR="005D5AAD" w:rsidRDefault="005D5AAD" w:rsidP="005D5AAD">
      <w:pPr>
        <w:spacing w:after="0" w:line="240" w:lineRule="auto"/>
        <w:rPr>
          <w:rFonts w:ascii="Verdana" w:eastAsia="Geomanist Light" w:hAnsi="Verdana" w:cs="Arial"/>
          <w:color w:val="000000" w:themeColor="text1"/>
          <w:lang w:val="es-MX"/>
        </w:rPr>
      </w:pPr>
    </w:p>
    <w:p w14:paraId="5A58D59B" w14:textId="77777777" w:rsidR="005D5AAD" w:rsidRDefault="005D5AAD" w:rsidP="005D5AAD">
      <w:pPr>
        <w:spacing w:after="0" w:line="240" w:lineRule="auto"/>
        <w:rPr>
          <w:rFonts w:ascii="Verdana" w:eastAsia="Geomanist Light" w:hAnsi="Verdana" w:cs="Arial"/>
          <w:color w:val="000000" w:themeColor="text1"/>
          <w:lang w:val="es-MX"/>
        </w:rPr>
      </w:pPr>
    </w:p>
    <w:p w14:paraId="1D07893B" w14:textId="77777777" w:rsidR="005D5AAD" w:rsidRDefault="005D5AAD" w:rsidP="005D5AAD">
      <w:pPr>
        <w:spacing w:after="0" w:line="240" w:lineRule="auto"/>
        <w:rPr>
          <w:rFonts w:ascii="Verdana" w:eastAsia="Geomanist Light" w:hAnsi="Verdana" w:cs="Arial"/>
          <w:color w:val="000000" w:themeColor="text1"/>
          <w:lang w:val="es-MX"/>
        </w:rPr>
      </w:pPr>
    </w:p>
    <w:p w14:paraId="452861D1" w14:textId="77777777" w:rsidR="005D5AAD" w:rsidRDefault="005D5AAD" w:rsidP="005D5AAD">
      <w:pPr>
        <w:spacing w:after="0" w:line="240" w:lineRule="auto"/>
        <w:rPr>
          <w:rFonts w:ascii="Verdana" w:eastAsia="Geomanist Light" w:hAnsi="Verdana" w:cs="Arial"/>
          <w:color w:val="000000" w:themeColor="text1"/>
          <w:lang w:val="es-MX"/>
        </w:rPr>
      </w:pPr>
    </w:p>
    <w:p w14:paraId="393D7069" w14:textId="77777777" w:rsidR="005D5AAD" w:rsidRDefault="005D5AAD" w:rsidP="005D5AAD">
      <w:pPr>
        <w:spacing w:after="0" w:line="240" w:lineRule="auto"/>
        <w:rPr>
          <w:rFonts w:ascii="Verdana" w:eastAsia="Geomanist Light" w:hAnsi="Verdana" w:cs="Arial"/>
          <w:color w:val="000000" w:themeColor="text1"/>
          <w:lang w:val="es-MX"/>
        </w:rPr>
      </w:pPr>
    </w:p>
    <w:p w14:paraId="050E2BB0" w14:textId="77777777" w:rsidR="005D5AAD" w:rsidRDefault="005D5AAD" w:rsidP="005D5AAD">
      <w:pPr>
        <w:spacing w:after="0" w:line="240" w:lineRule="auto"/>
        <w:rPr>
          <w:rFonts w:ascii="Verdana" w:eastAsia="Geomanist Light" w:hAnsi="Verdana" w:cs="Arial"/>
          <w:color w:val="000000" w:themeColor="text1"/>
          <w:lang w:val="es-MX"/>
        </w:rPr>
      </w:pPr>
    </w:p>
    <w:p w14:paraId="0BAEB39E" w14:textId="77777777" w:rsidR="005D5AAD" w:rsidRDefault="005D5AAD" w:rsidP="005D5AAD">
      <w:pPr>
        <w:spacing w:after="0" w:line="240" w:lineRule="auto"/>
        <w:rPr>
          <w:rFonts w:ascii="Verdana" w:eastAsia="Geomanist Light" w:hAnsi="Verdana" w:cs="Arial"/>
          <w:color w:val="000000" w:themeColor="text1"/>
          <w:lang w:val="es-MX"/>
        </w:rPr>
      </w:pPr>
    </w:p>
    <w:p w14:paraId="482D5C1C" w14:textId="77777777" w:rsidR="005D5AAD" w:rsidRDefault="005D5AAD" w:rsidP="005D5AAD">
      <w:pPr>
        <w:spacing w:after="0" w:line="240" w:lineRule="auto"/>
        <w:rPr>
          <w:rFonts w:ascii="Verdana" w:eastAsia="Geomanist Light" w:hAnsi="Verdana" w:cs="Arial"/>
          <w:color w:val="000000" w:themeColor="text1"/>
          <w:lang w:val="es-MX"/>
        </w:rPr>
      </w:pPr>
    </w:p>
    <w:p w14:paraId="0F33825B" w14:textId="77777777" w:rsidR="005D5AAD" w:rsidRDefault="005D5AAD" w:rsidP="005D5AAD">
      <w:pPr>
        <w:spacing w:after="0" w:line="240" w:lineRule="auto"/>
        <w:rPr>
          <w:rFonts w:ascii="Verdana" w:eastAsia="Geomanist Light" w:hAnsi="Verdana" w:cs="Arial"/>
          <w:color w:val="000000" w:themeColor="text1"/>
          <w:lang w:val="es-MX"/>
        </w:rPr>
      </w:pPr>
    </w:p>
    <w:p w14:paraId="461C8AEA" w14:textId="77777777" w:rsidR="005D5AAD" w:rsidRDefault="005D5AAD" w:rsidP="005D5AAD">
      <w:pPr>
        <w:spacing w:after="0" w:line="240" w:lineRule="auto"/>
        <w:rPr>
          <w:rFonts w:ascii="Verdana" w:eastAsia="Geomanist Light" w:hAnsi="Verdana" w:cs="Arial"/>
          <w:color w:val="000000" w:themeColor="text1"/>
          <w:lang w:val="es-MX"/>
        </w:rPr>
      </w:pPr>
    </w:p>
    <w:p w14:paraId="500A1324" w14:textId="77777777" w:rsidR="005D5AAD" w:rsidRDefault="005D5AAD" w:rsidP="005D5AAD">
      <w:pPr>
        <w:spacing w:after="0" w:line="240" w:lineRule="auto"/>
        <w:rPr>
          <w:rFonts w:ascii="Verdana" w:eastAsia="Geomanist Light" w:hAnsi="Verdana" w:cs="Arial"/>
          <w:color w:val="000000" w:themeColor="text1"/>
          <w:lang w:val="es-MX"/>
        </w:rPr>
      </w:pPr>
    </w:p>
    <w:p w14:paraId="2D8D27A4" w14:textId="77777777" w:rsidR="005D5AAD" w:rsidRDefault="005D5AAD" w:rsidP="005D5AAD">
      <w:pPr>
        <w:spacing w:after="0" w:line="240" w:lineRule="auto"/>
        <w:rPr>
          <w:rFonts w:ascii="Verdana" w:eastAsia="Geomanist Light" w:hAnsi="Verdana" w:cs="Arial"/>
          <w:color w:val="000000" w:themeColor="text1"/>
          <w:lang w:val="es-MX"/>
        </w:rPr>
      </w:pPr>
    </w:p>
    <w:p w14:paraId="1B369712" w14:textId="77777777" w:rsidR="005D5AAD" w:rsidRDefault="005D5AAD" w:rsidP="005D5AAD">
      <w:pPr>
        <w:spacing w:after="0" w:line="240" w:lineRule="auto"/>
        <w:rPr>
          <w:rFonts w:ascii="Verdana" w:eastAsia="Geomanist Light" w:hAnsi="Verdana" w:cs="Arial"/>
          <w:color w:val="000000" w:themeColor="text1"/>
          <w:lang w:val="es-MX"/>
        </w:rPr>
      </w:pPr>
    </w:p>
    <w:p w14:paraId="184E54E0" w14:textId="77777777" w:rsidR="005D5AAD" w:rsidRDefault="005D5AAD" w:rsidP="005D5AAD">
      <w:pPr>
        <w:spacing w:after="0" w:line="240" w:lineRule="auto"/>
        <w:rPr>
          <w:rFonts w:ascii="Verdana" w:eastAsia="Geomanist Light" w:hAnsi="Verdana" w:cs="Arial"/>
          <w:color w:val="000000" w:themeColor="text1"/>
          <w:lang w:val="es-MX"/>
        </w:rPr>
      </w:pPr>
    </w:p>
    <w:p w14:paraId="101AC5DB" w14:textId="77777777" w:rsidR="005D5AAD" w:rsidRDefault="005D5AAD" w:rsidP="005D5AAD">
      <w:pPr>
        <w:spacing w:after="0" w:line="240" w:lineRule="auto"/>
        <w:rPr>
          <w:rFonts w:ascii="Verdana" w:eastAsia="Geomanist Light" w:hAnsi="Verdana" w:cs="Arial"/>
          <w:color w:val="000000" w:themeColor="text1"/>
          <w:lang w:val="es-MX"/>
        </w:rPr>
      </w:pPr>
    </w:p>
    <w:p w14:paraId="6E252A0A" w14:textId="77777777" w:rsidR="005D5AAD" w:rsidRDefault="005D5AAD" w:rsidP="005D5AAD">
      <w:pPr>
        <w:spacing w:after="0" w:line="240" w:lineRule="auto"/>
        <w:rPr>
          <w:rFonts w:ascii="Verdana" w:eastAsia="Geomanist Light" w:hAnsi="Verdana" w:cs="Arial"/>
          <w:color w:val="000000" w:themeColor="text1"/>
          <w:lang w:val="es-MX"/>
        </w:rPr>
      </w:pPr>
    </w:p>
    <w:p w14:paraId="22CAA66A" w14:textId="77777777" w:rsidR="005D5AAD" w:rsidRDefault="005D5AAD" w:rsidP="005D5AAD">
      <w:pPr>
        <w:spacing w:after="0" w:line="240" w:lineRule="auto"/>
        <w:rPr>
          <w:rFonts w:ascii="Verdana" w:eastAsia="Geomanist Light" w:hAnsi="Verdana" w:cs="Arial"/>
          <w:color w:val="000000" w:themeColor="text1"/>
          <w:lang w:val="es-MX"/>
        </w:rPr>
      </w:pPr>
    </w:p>
    <w:p w14:paraId="535EEFD2" w14:textId="77777777" w:rsidR="005D5AAD" w:rsidRDefault="005D5AAD" w:rsidP="005D5AAD">
      <w:pPr>
        <w:spacing w:after="0" w:line="240" w:lineRule="auto"/>
        <w:rPr>
          <w:rFonts w:ascii="Verdana" w:eastAsia="Geomanist Light" w:hAnsi="Verdana" w:cs="Arial"/>
          <w:color w:val="000000" w:themeColor="text1"/>
          <w:lang w:val="es-MX"/>
        </w:rPr>
      </w:pPr>
    </w:p>
    <w:p w14:paraId="43C06009" w14:textId="77777777" w:rsidR="005D5AAD" w:rsidRDefault="005D5AAD" w:rsidP="001A3CE6">
      <w:pPr>
        <w:spacing w:after="0" w:line="240" w:lineRule="auto"/>
        <w:rPr>
          <w:rFonts w:ascii="Verdana" w:eastAsia="Geomanist Light" w:hAnsi="Verdana" w:cs="Arial"/>
          <w:color w:val="000000" w:themeColor="text1"/>
          <w:lang w:val="es-MX"/>
        </w:rPr>
      </w:pPr>
    </w:p>
    <w:p w14:paraId="7EF5D543" w14:textId="2E31B382" w:rsidR="001A3CE6" w:rsidRPr="00593A5F" w:rsidRDefault="001A3CE6" w:rsidP="001A3CE6">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FB1F6F">
        <w:rPr>
          <w:rFonts w:ascii="Verdana" w:eastAsia="Geomanist Light" w:hAnsi="Verdana" w:cs="Arial"/>
          <w:color w:val="000000" w:themeColor="text1"/>
          <w:lang w:val="es-MX"/>
        </w:rPr>
        <w:t>01</w:t>
      </w:r>
      <w:r w:rsidR="00B90CC1">
        <w:rPr>
          <w:rFonts w:ascii="Verdana" w:eastAsia="Geomanist Light" w:hAnsi="Verdana" w:cs="Arial"/>
          <w:color w:val="000000" w:themeColor="text1"/>
          <w:lang w:val="es-MX"/>
        </w:rPr>
        <w:t xml:space="preserve"> del Octubre de 2025</w:t>
      </w:r>
    </w:p>
    <w:p w14:paraId="38036759" w14:textId="77777777" w:rsidR="001A3CE6" w:rsidRDefault="001A3CE6" w:rsidP="001A3CE6">
      <w:pPr>
        <w:spacing w:after="0" w:line="240" w:lineRule="auto"/>
        <w:jc w:val="both"/>
        <w:rPr>
          <w:rFonts w:ascii="Verdana" w:eastAsia="Calibri" w:hAnsi="Verdana" w:cs="Arial"/>
          <w:color w:val="000000"/>
          <w:lang w:val="es-MX"/>
        </w:rPr>
      </w:pPr>
    </w:p>
    <w:p w14:paraId="5438212A" w14:textId="1F42B210" w:rsidR="00FB1F6F" w:rsidRPr="00FB1F6F" w:rsidRDefault="00D4530B" w:rsidP="00D4530B">
      <w:pPr>
        <w:spacing w:after="0" w:line="240" w:lineRule="auto"/>
        <w:jc w:val="right"/>
        <w:rPr>
          <w:rFonts w:ascii="Verdana" w:eastAsia="Calibri" w:hAnsi="Verdana" w:cs="Arial"/>
          <w:color w:val="000000"/>
          <w:lang w:val="es-MX"/>
        </w:rPr>
      </w:pPr>
      <w:r w:rsidRPr="00D4530B">
        <w:rPr>
          <w:rFonts w:ascii="Verdana" w:eastAsia="Calibri" w:hAnsi="Verdana" w:cs="Arial"/>
          <w:color w:val="000000"/>
          <w:lang w:val="es-MX"/>
        </w:rPr>
        <w:drawing>
          <wp:inline distT="0" distB="0" distL="0" distR="0" wp14:anchorId="5CB5D1D3" wp14:editId="463F6677">
            <wp:extent cx="2400300" cy="622300"/>
            <wp:effectExtent l="0" t="0" r="0" b="0"/>
            <wp:docPr id="636869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86993" name=""/>
                    <pic:cNvPicPr/>
                  </pic:nvPicPr>
                  <pic:blipFill>
                    <a:blip r:embed="rId10"/>
                    <a:stretch>
                      <a:fillRect/>
                    </a:stretch>
                  </pic:blipFill>
                  <pic:spPr>
                    <a:xfrm>
                      <a:off x="0" y="0"/>
                      <a:ext cx="2400300" cy="622300"/>
                    </a:xfrm>
                    <a:prstGeom prst="rect">
                      <a:avLst/>
                    </a:prstGeom>
                  </pic:spPr>
                </pic:pic>
              </a:graphicData>
            </a:graphic>
          </wp:inline>
        </w:drawing>
      </w:r>
    </w:p>
    <w:p w14:paraId="75A08C7B" w14:textId="77777777" w:rsidR="001A3CE6" w:rsidRPr="00593A5F" w:rsidRDefault="001A3CE6" w:rsidP="001A3CE6">
      <w:pPr>
        <w:spacing w:after="0" w:line="240" w:lineRule="auto"/>
        <w:jc w:val="both"/>
        <w:rPr>
          <w:rFonts w:ascii="Verdana" w:eastAsia="Calibri" w:hAnsi="Verdana" w:cs="Arial"/>
          <w:color w:val="000000"/>
          <w:lang w:val="es-ES"/>
        </w:rPr>
      </w:pPr>
    </w:p>
    <w:p w14:paraId="2B3A5201" w14:textId="77777777" w:rsidR="001A3CE6" w:rsidRPr="00B96799" w:rsidRDefault="001A3CE6" w:rsidP="001A3CE6">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7768CBD9" w14:textId="77777777" w:rsidR="001A3CE6" w:rsidRPr="0085423D" w:rsidRDefault="001A3CE6" w:rsidP="001A3CE6">
      <w:pPr>
        <w:spacing w:after="0" w:line="240" w:lineRule="auto"/>
        <w:rPr>
          <w:rFonts w:ascii="Verdana" w:eastAsia="Calibri" w:hAnsi="Verdana" w:cs="Arial"/>
          <w:b/>
          <w:lang w:val="es-ES_tradnl" w:eastAsia="es-ES_tradnl"/>
        </w:rPr>
      </w:pPr>
      <w:r w:rsidRPr="00027E27">
        <w:rPr>
          <w:rFonts w:ascii="Verdana" w:eastAsia="Calibri" w:hAnsi="Verdana" w:cs="Arial"/>
          <w:b/>
          <w:lang w:val="es-ES_tradnl" w:eastAsia="es-ES_tradnl"/>
        </w:rPr>
        <w:t>José David Ramírez Giraldo</w:t>
      </w:r>
      <w:r>
        <w:rPr>
          <w:rFonts w:ascii="Verdana" w:eastAsia="Calibri" w:hAnsi="Verdana" w:cs="Arial"/>
          <w:b/>
          <w:lang w:val="es-ES_tradnl" w:eastAsia="es-ES_tradnl"/>
        </w:rPr>
        <w:t xml:space="preserve"> </w:t>
      </w:r>
    </w:p>
    <w:p w14:paraId="0A613BB9" w14:textId="77777777" w:rsidR="001A3CE6" w:rsidRPr="002A1C7D" w:rsidRDefault="001A3CE6" w:rsidP="001A3CE6">
      <w:pPr>
        <w:spacing w:after="0" w:line="240" w:lineRule="auto"/>
        <w:rPr>
          <w:rFonts w:ascii="Verdana" w:eastAsia="Calibri" w:hAnsi="Verdana" w:cs="Arial"/>
          <w:lang w:val="es-ES" w:eastAsia="es-ES"/>
        </w:rPr>
      </w:pPr>
      <w:hyperlink r:id="rId11" w:history="1">
        <w:r w:rsidRPr="001309F1">
          <w:rPr>
            <w:rStyle w:val="Hipervnculo"/>
            <w:rFonts w:ascii="Verdana" w:hAnsi="Verdana"/>
          </w:rPr>
          <w:t>josedavidrg4@gmail.com</w:t>
        </w:r>
      </w:hyperlink>
      <w:r>
        <w:rPr>
          <w:rFonts w:ascii="Verdana" w:hAnsi="Verdana"/>
        </w:rPr>
        <w:t xml:space="preserve"> </w:t>
      </w:r>
      <w:r w:rsidRPr="002A1C7D">
        <w:rPr>
          <w:rFonts w:ascii="Verdana" w:hAnsi="Verdana"/>
        </w:rPr>
        <w:t xml:space="preserve">          </w:t>
      </w:r>
      <w:r w:rsidRPr="002A1C7D">
        <w:rPr>
          <w:rFonts w:ascii="Verdana" w:eastAsia="Calibri" w:hAnsi="Verdana" w:cs="Arial"/>
          <w:lang w:val="es-ES" w:eastAsia="es-ES"/>
        </w:rPr>
        <w:t xml:space="preserve">    </w:t>
      </w:r>
    </w:p>
    <w:p w14:paraId="4F3CCD4C" w14:textId="77777777" w:rsidR="001A3CE6" w:rsidRDefault="001A3CE6" w:rsidP="001A3CE6">
      <w:pPr>
        <w:spacing w:after="0" w:line="240" w:lineRule="auto"/>
        <w:rPr>
          <w:rFonts w:ascii="Verdana" w:eastAsia="Calibri" w:hAnsi="Verdana" w:cs="Arial"/>
          <w:lang w:val="es-ES" w:eastAsia="es-ES"/>
        </w:rPr>
      </w:pPr>
      <w:r w:rsidRPr="00D03D93">
        <w:rPr>
          <w:rFonts w:ascii="Verdana" w:eastAsia="Calibri" w:hAnsi="Verdana" w:cs="Arial"/>
          <w:lang w:val="es-ES" w:eastAsia="es-ES"/>
        </w:rPr>
        <w:t>El Santuario</w:t>
      </w:r>
      <w:r>
        <w:rPr>
          <w:rFonts w:ascii="Verdana" w:eastAsia="Calibri" w:hAnsi="Verdana" w:cs="Arial"/>
          <w:lang w:val="es-ES" w:eastAsia="es-ES"/>
        </w:rPr>
        <w:t>,</w:t>
      </w:r>
      <w:r w:rsidRPr="00D03D93">
        <w:rPr>
          <w:rFonts w:ascii="Verdana" w:eastAsia="Calibri" w:hAnsi="Verdana" w:cs="Arial"/>
          <w:lang w:val="es-ES" w:eastAsia="es-ES"/>
        </w:rPr>
        <w:t xml:space="preserve"> Antioquia</w:t>
      </w:r>
    </w:p>
    <w:p w14:paraId="6A9CB313" w14:textId="77777777" w:rsidR="001A3CE6" w:rsidRPr="00593A5F" w:rsidRDefault="001A3CE6" w:rsidP="001A3CE6">
      <w:pPr>
        <w:spacing w:after="0" w:line="240" w:lineRule="auto"/>
        <w:rPr>
          <w:rFonts w:ascii="Verdana" w:eastAsia="Calibri" w:hAnsi="Verdana" w:cs="Arial"/>
          <w:b/>
          <w:bCs/>
          <w:color w:val="000000"/>
          <w:lang w:val="es-ES_tradnl" w:eastAsia="es-ES_tradnl"/>
        </w:rPr>
      </w:pPr>
    </w:p>
    <w:p w14:paraId="188ED146" w14:textId="77777777" w:rsidR="001A3CE6" w:rsidRPr="00593A5F" w:rsidRDefault="001A3CE6" w:rsidP="001A3CE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A3CE6" w:rsidRPr="00593A5F" w14:paraId="5D47ABFA" w14:textId="77777777" w:rsidTr="00463C52">
        <w:trPr>
          <w:trHeight w:val="884"/>
        </w:trPr>
        <w:tc>
          <w:tcPr>
            <w:tcW w:w="2689" w:type="dxa"/>
          </w:tcPr>
          <w:p w14:paraId="39FF1716" w14:textId="77777777" w:rsidR="001A3CE6" w:rsidRPr="00C00976" w:rsidRDefault="001A3CE6" w:rsidP="00463C52">
            <w:pPr>
              <w:jc w:val="both"/>
              <w:rPr>
                <w:rFonts w:ascii="Verdana" w:eastAsia="Calibri" w:hAnsi="Verdana" w:cs="Arial"/>
                <w:b/>
                <w:bCs/>
                <w:color w:val="7030A0"/>
                <w:lang w:val="es-ES_tradnl" w:eastAsia="es-ES_tradnl"/>
              </w:rPr>
            </w:pPr>
          </w:p>
        </w:tc>
        <w:tc>
          <w:tcPr>
            <w:tcW w:w="6100" w:type="dxa"/>
          </w:tcPr>
          <w:p w14:paraId="0A258ABA" w14:textId="1A6C3DC4" w:rsidR="001A3CE6" w:rsidRPr="00C00976" w:rsidRDefault="001A3CE6" w:rsidP="00463C52">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2C4053" w:rsidRPr="008F4BB3">
              <w:rPr>
                <w:rFonts w:ascii="Verdana" w:eastAsia="Calibri" w:hAnsi="Verdana" w:cs="Arial"/>
                <w:b/>
                <w:bCs/>
                <w:lang w:val="es-ES" w:eastAsia="es-ES"/>
              </w:rPr>
              <w:t>1157</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1A3CE6" w:rsidRPr="00593A5F" w14:paraId="473125D9" w14:textId="77777777" w:rsidTr="00463C52">
        <w:trPr>
          <w:trHeight w:val="884"/>
        </w:trPr>
        <w:tc>
          <w:tcPr>
            <w:tcW w:w="2689" w:type="dxa"/>
          </w:tcPr>
          <w:p w14:paraId="219D8EAF" w14:textId="77777777" w:rsidR="001A3CE6" w:rsidRPr="00593A5F" w:rsidRDefault="001A3CE6" w:rsidP="00463C52">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4778287" w14:textId="77777777" w:rsidR="001A3CE6" w:rsidRPr="00A11406" w:rsidRDefault="001A3CE6" w:rsidP="00463C52">
            <w:pPr>
              <w:spacing w:line="276" w:lineRule="auto"/>
              <w:jc w:val="both"/>
              <w:rPr>
                <w:rFonts w:ascii="Verdana" w:eastAsia="Calibri" w:hAnsi="Verdana" w:cs="Arial"/>
                <w:lang w:val="es-ES" w:eastAsia="es-ES"/>
              </w:rPr>
            </w:pPr>
            <w:r w:rsidRPr="006577EE">
              <w:rPr>
                <w:rFonts w:ascii="Verdana" w:eastAsia="Calibri" w:hAnsi="Verdana" w:cs="Arial"/>
                <w:lang w:val="es-ES" w:eastAsia="es-ES"/>
              </w:rPr>
              <w:t>DOCUMENTOS TIPO – Fundamento normativo – Obligatoriedad – Ámbito de aplicación – Entidades sometidas / LEY 2195 DE 2022 – Artículo 56 – Personas jurídicas de derecho privado – Documentos tipo – Estatuto General de Contratación de la Administración Pública / LEY 2195 DE 2022 – Artículo 56 – Parágrafo – Alcance</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7D73C4C" w14:textId="77777777" w:rsidR="001A3CE6" w:rsidRPr="00593A5F" w:rsidRDefault="001A3CE6" w:rsidP="00463C52">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1A3CE6" w:rsidRPr="008E6AD9" w14:paraId="1947FFB3" w14:textId="77777777" w:rsidTr="00463C52">
        <w:tc>
          <w:tcPr>
            <w:tcW w:w="2689" w:type="dxa"/>
          </w:tcPr>
          <w:p w14:paraId="4385C16F" w14:textId="77777777" w:rsidR="001A3CE6" w:rsidRPr="008E6AD9" w:rsidRDefault="001A3CE6" w:rsidP="00463C52">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7D5AA3BA" w14:textId="77777777" w:rsidR="001A3CE6" w:rsidRPr="00B92340" w:rsidRDefault="001A3CE6" w:rsidP="00463C52">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EA5AA5">
              <w:rPr>
                <w:rFonts w:ascii="Verdana" w:eastAsia="Calibri" w:hAnsi="Verdana" w:cs="Arial"/>
                <w:lang w:val="es-ES_tradnl" w:eastAsia="es-ES_tradnl"/>
              </w:rPr>
              <w:t>1_2025_09_24_010520</w:t>
            </w:r>
            <w:r w:rsidRPr="0085423D">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7A292381" w14:textId="77777777" w:rsidR="001A3CE6" w:rsidRPr="00593A5F" w:rsidRDefault="001A3CE6" w:rsidP="001A3CE6">
      <w:pPr>
        <w:spacing w:after="0" w:line="240" w:lineRule="auto"/>
        <w:jc w:val="both"/>
        <w:rPr>
          <w:rFonts w:ascii="Verdana" w:eastAsia="Calibri" w:hAnsi="Verdana" w:cs="Arial"/>
          <w:color w:val="000000"/>
          <w:lang w:val="es-ES_tradnl" w:eastAsia="es-ES_tradnl"/>
        </w:rPr>
      </w:pPr>
    </w:p>
    <w:p w14:paraId="174415E2" w14:textId="77777777" w:rsidR="001A3CE6" w:rsidRPr="00593A5F" w:rsidRDefault="001A3CE6" w:rsidP="001A3CE6">
      <w:pPr>
        <w:spacing w:after="0" w:line="240" w:lineRule="auto"/>
        <w:jc w:val="both"/>
        <w:rPr>
          <w:rFonts w:ascii="Verdana" w:eastAsia="Calibri" w:hAnsi="Verdana" w:cs="Arial"/>
          <w:color w:val="000000"/>
          <w:lang w:val="es-ES_tradnl" w:eastAsia="es-ES_tradnl"/>
        </w:rPr>
      </w:pPr>
    </w:p>
    <w:p w14:paraId="2A0848E8" w14:textId="77777777" w:rsidR="001A3CE6" w:rsidRPr="008E6AD9" w:rsidRDefault="001A3CE6" w:rsidP="001A3CE6">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AA1E9C">
        <w:rPr>
          <w:rFonts w:ascii="Verdana" w:eastAsia="Calibri" w:hAnsi="Verdana" w:cs="Arial"/>
          <w:lang w:val="es-ES" w:eastAsia="es-ES"/>
        </w:rPr>
        <w:t>Ramírez Giraldo</w:t>
      </w:r>
      <w:r w:rsidRPr="008E6AD9">
        <w:rPr>
          <w:rFonts w:ascii="Verdana" w:eastAsia="Calibri" w:hAnsi="Verdana" w:cs="Arial"/>
          <w:lang w:val="es-ES" w:eastAsia="es-ES"/>
        </w:rPr>
        <w:t xml:space="preserve">: </w:t>
      </w:r>
    </w:p>
    <w:p w14:paraId="1AE1C2E7" w14:textId="77777777" w:rsidR="001A3CE6" w:rsidRDefault="001A3CE6" w:rsidP="001A3CE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FECA7E" w14:textId="77777777" w:rsidR="001A3CE6" w:rsidRPr="00593A5F" w:rsidRDefault="001A3CE6" w:rsidP="001A3CE6">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23 de septiembre de 2025</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 xml:space="preserve">en </w:t>
      </w:r>
      <w:r>
        <w:rPr>
          <w:rFonts w:ascii="Verdana" w:eastAsia="Calibri" w:hAnsi="Verdana" w:cs="Arial"/>
          <w:lang w:val="es-ES" w:eastAsia="es-ES"/>
        </w:rPr>
        <w:t>la cual manifiesta que</w:t>
      </w:r>
      <w:r w:rsidRPr="008E6AD9">
        <w:rPr>
          <w:rFonts w:ascii="Verdana" w:eastAsia="Calibri" w:hAnsi="Verdana" w:cs="Arial"/>
          <w:lang w:val="es-ES" w:eastAsia="es-ES"/>
        </w:rPr>
        <w:t xml:space="preserve">: </w:t>
      </w:r>
    </w:p>
    <w:p w14:paraId="06AB34EB" w14:textId="77777777" w:rsidR="001A3CE6" w:rsidRPr="00272A7B" w:rsidRDefault="001A3CE6" w:rsidP="001A3CE6">
      <w:pPr>
        <w:pStyle w:val="Prrafodelista"/>
        <w:tabs>
          <w:tab w:val="left" w:pos="142"/>
          <w:tab w:val="left" w:pos="284"/>
        </w:tabs>
        <w:spacing w:after="0" w:line="276" w:lineRule="auto"/>
        <w:ind w:left="0"/>
        <w:jc w:val="both"/>
        <w:rPr>
          <w:rFonts w:ascii="Verdana" w:eastAsia="Century Gothic" w:hAnsi="Verdana" w:cs="Century Gothic"/>
          <w:b/>
          <w:bCs/>
        </w:rPr>
      </w:pPr>
    </w:p>
    <w:p w14:paraId="7119D97C" w14:textId="77777777" w:rsidR="001A3CE6" w:rsidRPr="00D03D93" w:rsidRDefault="001A3CE6" w:rsidP="001A3CE6">
      <w:pPr>
        <w:spacing w:after="120" w:line="240" w:lineRule="auto"/>
        <w:ind w:left="709" w:right="709"/>
        <w:jc w:val="both"/>
        <w:rPr>
          <w:rFonts w:ascii="Verdana" w:eastAsia="Century Gothic" w:hAnsi="Verdana" w:cs="Century Gothic"/>
          <w:sz w:val="20"/>
          <w:szCs w:val="20"/>
          <w:lang w:val="es-ES"/>
        </w:rPr>
      </w:pPr>
      <w:bookmarkStart w:id="0" w:name="_Hlk95313578"/>
      <w:r w:rsidRPr="00D03D93">
        <w:rPr>
          <w:rFonts w:ascii="Verdana" w:eastAsia="Century Gothic" w:hAnsi="Verdana" w:cs="Century Gothic"/>
          <w:sz w:val="20"/>
          <w:szCs w:val="20"/>
          <w:lang w:val="es-ES"/>
        </w:rPr>
        <w:t>“</w:t>
      </w:r>
      <w:bookmarkEnd w:id="0"/>
      <w:r w:rsidRPr="00D03D93">
        <w:rPr>
          <w:rFonts w:ascii="Verdana" w:eastAsia="Century Gothic" w:hAnsi="Verdana" w:cs="Century Gothic"/>
          <w:b/>
          <w:bCs/>
          <w:sz w:val="20"/>
          <w:szCs w:val="20"/>
          <w:lang w:val="es-ES"/>
        </w:rPr>
        <w:t>.</w:t>
      </w:r>
      <w:r w:rsidRPr="00D03D93">
        <w:rPr>
          <w:rFonts w:ascii="Verdana" w:eastAsia="Century Gothic" w:hAnsi="Verdana" w:cs="Century Gothic"/>
          <w:sz w:val="20"/>
          <w:szCs w:val="20"/>
          <w:lang w:val="es-ES"/>
        </w:rPr>
        <w:t xml:space="preserve"> Un municipio, entidad sometida al Estatuto General de Contratación de la Administración Pública, planea suscribir un convenio interadministrativo con la Empresa de Servicios Públicos (ESP) oficial de su jurisdicción, cuyo régimen de contratación es especial. </w:t>
      </w:r>
    </w:p>
    <w:p w14:paraId="07B95A25" w14:textId="77777777" w:rsidR="001A3CE6" w:rsidRPr="00D03D93" w:rsidRDefault="001A3CE6" w:rsidP="001A3CE6">
      <w:pPr>
        <w:spacing w:after="120" w:line="240" w:lineRule="auto"/>
        <w:ind w:left="709" w:right="709"/>
        <w:jc w:val="both"/>
        <w:rPr>
          <w:rFonts w:ascii="Verdana" w:eastAsia="Century Gothic" w:hAnsi="Verdana" w:cs="Century Gothic"/>
          <w:sz w:val="20"/>
          <w:szCs w:val="20"/>
          <w:lang w:val="es-ES"/>
        </w:rPr>
      </w:pPr>
      <w:r w:rsidRPr="6F66C7D6">
        <w:rPr>
          <w:rFonts w:ascii="Verdana" w:eastAsia="Century Gothic" w:hAnsi="Verdana" w:cs="Century Gothic"/>
          <w:b/>
          <w:bCs/>
          <w:sz w:val="20"/>
          <w:szCs w:val="20"/>
          <w:lang w:val="es-ES"/>
        </w:rPr>
        <w:lastRenderedPageBreak/>
        <w:t>.</w:t>
      </w:r>
      <w:r w:rsidRPr="6F66C7D6">
        <w:rPr>
          <w:rFonts w:ascii="Verdana" w:eastAsia="Century Gothic" w:hAnsi="Verdana" w:cs="Century Gothic"/>
          <w:sz w:val="20"/>
          <w:szCs w:val="20"/>
          <w:lang w:val="es-ES"/>
        </w:rPr>
        <w:t xml:space="preserve"> En virtud de dicho convenio, el municipio transferirá recursos públicos a la ESP para que esta adelante la contratación de obras de infraestructura para la construcción, ampliación y/o mejoramiento del relleno sanitario local o incluso para la construcción de uno nuevo. </w:t>
      </w:r>
    </w:p>
    <w:p w14:paraId="6CC3E6B9" w14:textId="77777777" w:rsidR="001A3CE6" w:rsidRPr="00D03D93" w:rsidRDefault="001A3CE6" w:rsidP="387858AF">
      <w:pPr>
        <w:spacing w:after="120" w:line="240" w:lineRule="auto"/>
        <w:ind w:left="709" w:right="709"/>
        <w:jc w:val="both"/>
        <w:rPr>
          <w:rFonts w:ascii="Verdana" w:eastAsia="Century Gothic" w:hAnsi="Verdana" w:cs="Century Gothic"/>
          <w:sz w:val="20"/>
          <w:szCs w:val="20"/>
        </w:rPr>
      </w:pPr>
      <w:r w:rsidRPr="387858AF">
        <w:rPr>
          <w:rFonts w:ascii="Verdana" w:eastAsia="Century Gothic" w:hAnsi="Verdana" w:cs="Century Gothic"/>
          <w:b/>
          <w:bCs/>
          <w:sz w:val="20"/>
          <w:szCs w:val="20"/>
        </w:rPr>
        <w:t>.</w:t>
      </w:r>
      <w:r w:rsidRPr="387858AF">
        <w:rPr>
          <w:rFonts w:ascii="Verdana" w:eastAsia="Century Gothic" w:hAnsi="Verdana" w:cs="Century Gothic"/>
          <w:sz w:val="20"/>
          <w:szCs w:val="20"/>
        </w:rPr>
        <w:t xml:space="preserve"> La ESP, como entidad ejecutora, será la responsable de llevar a cabo el proceso de selección para contratar las mencionadas obras.</w:t>
      </w:r>
    </w:p>
    <w:p w14:paraId="32774AA2" w14:textId="77777777" w:rsidR="001A3CE6" w:rsidRPr="00D03D93" w:rsidRDefault="001A3CE6" w:rsidP="001A3CE6">
      <w:pPr>
        <w:spacing w:after="0" w:line="240" w:lineRule="auto"/>
        <w:ind w:left="709" w:right="709"/>
        <w:jc w:val="both"/>
        <w:rPr>
          <w:rFonts w:ascii="Verdana" w:eastAsia="Century Gothic" w:hAnsi="Verdana" w:cs="Century Gothic"/>
          <w:sz w:val="20"/>
          <w:szCs w:val="20"/>
          <w:lang w:val="es-ES"/>
        </w:rPr>
      </w:pPr>
      <w:r w:rsidRPr="00D03D93">
        <w:rPr>
          <w:rFonts w:ascii="Verdana" w:eastAsia="Century Gothic" w:hAnsi="Verdana" w:cs="Century Gothic"/>
          <w:sz w:val="20"/>
          <w:szCs w:val="20"/>
          <w:lang w:val="es-ES"/>
        </w:rPr>
        <w:t>Surge entonces la duda sobre el régimen de contratación que la ESP debe aplicar para este proyecto específico, considerando la naturaleza de los recursos y la normativa vigente, en especial el artículo 56 de la Ley 2195 de 2022 […]”.</w:t>
      </w:r>
    </w:p>
    <w:p w14:paraId="2576F342" w14:textId="77777777" w:rsidR="001A3CE6" w:rsidRPr="008E6AD9" w:rsidRDefault="001A3CE6" w:rsidP="001A3CE6">
      <w:pPr>
        <w:pStyle w:val="Prrafodelista"/>
        <w:tabs>
          <w:tab w:val="left" w:pos="142"/>
          <w:tab w:val="left" w:pos="284"/>
        </w:tabs>
        <w:spacing w:after="0" w:line="276" w:lineRule="auto"/>
        <w:ind w:left="0"/>
        <w:jc w:val="both"/>
        <w:rPr>
          <w:rFonts w:ascii="Verdana" w:eastAsia="Century Gothic" w:hAnsi="Verdana" w:cs="Century Gothic"/>
          <w:b/>
          <w:bCs/>
        </w:rPr>
      </w:pPr>
    </w:p>
    <w:p w14:paraId="5F5EEC9D" w14:textId="77777777" w:rsidR="001A3CE6" w:rsidRDefault="001A3CE6" w:rsidP="001A3CE6">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Por ello, plantea las siguientes preguntas:</w:t>
      </w:r>
    </w:p>
    <w:p w14:paraId="57A8215E" w14:textId="77777777" w:rsidR="001A3CE6" w:rsidRDefault="001A3CE6" w:rsidP="001A3CE6">
      <w:pPr>
        <w:spacing w:after="0" w:line="276" w:lineRule="auto"/>
        <w:ind w:firstLine="709"/>
        <w:jc w:val="both"/>
        <w:rPr>
          <w:rFonts w:ascii="Verdana" w:eastAsia="Calibri" w:hAnsi="Verdana" w:cs="Arial"/>
          <w:color w:val="000000"/>
          <w:lang w:val="es-ES" w:eastAsia="es-ES"/>
        </w:rPr>
      </w:pPr>
    </w:p>
    <w:p w14:paraId="68150749" w14:textId="77777777" w:rsidR="001A3CE6" w:rsidRPr="00D03D93" w:rsidRDefault="001A3CE6" w:rsidP="001A3CE6">
      <w:pPr>
        <w:spacing w:after="120" w:line="240" w:lineRule="auto"/>
        <w:ind w:left="709" w:right="709"/>
        <w:jc w:val="both"/>
        <w:rPr>
          <w:rFonts w:ascii="Verdana" w:eastAsia="Calibri" w:hAnsi="Verdana" w:cs="Arial"/>
          <w:color w:val="000000"/>
          <w:sz w:val="20"/>
          <w:szCs w:val="20"/>
          <w:lang w:val="es-ES" w:eastAsia="es-ES"/>
        </w:rPr>
      </w:pPr>
      <w:r w:rsidRPr="00D03D93">
        <w:rPr>
          <w:rFonts w:ascii="Verdana" w:eastAsia="Calibri" w:hAnsi="Verdana" w:cs="Arial"/>
          <w:color w:val="000000"/>
          <w:sz w:val="20"/>
          <w:szCs w:val="20"/>
          <w:lang w:val="es-ES" w:eastAsia="es-ES"/>
        </w:rPr>
        <w:t>“</w:t>
      </w:r>
      <w:r w:rsidRPr="00D03D93">
        <w:rPr>
          <w:rFonts w:ascii="Verdana" w:eastAsia="Calibri" w:hAnsi="Verdana" w:cs="Arial"/>
          <w:b/>
          <w:bCs/>
          <w:color w:val="000000"/>
          <w:sz w:val="20"/>
          <w:szCs w:val="20"/>
          <w:lang w:val="es-ES" w:eastAsia="es-ES"/>
        </w:rPr>
        <w:t>1. Régimen Aplicable en el Convenio:</w:t>
      </w:r>
      <w:r w:rsidRPr="00D03D93">
        <w:rPr>
          <w:rFonts w:ascii="Verdana" w:eastAsia="Calibri" w:hAnsi="Verdana" w:cs="Arial"/>
          <w:color w:val="000000"/>
          <w:sz w:val="20"/>
          <w:szCs w:val="20"/>
          <w:lang w:val="es-ES" w:eastAsia="es-ES"/>
        </w:rPr>
        <w:t xml:space="preserve"> En el escenario descrito, donde un municipio transfiere recursos públicos a una ESP oficial para que esta contrate obras, ¿cuál es el régimen de contratación que debe aplicar la ESP para seleccionar al contratista ejecutor: su manual de contratación privada o el Estatuto General de Contratación de la Administración Pública (Ley 80 de 1993 y sus modificaciones)? </w:t>
      </w:r>
    </w:p>
    <w:p w14:paraId="09C56A31" w14:textId="77777777" w:rsidR="001A3CE6" w:rsidRPr="00D03D93" w:rsidRDefault="001A3CE6" w:rsidP="001A3CE6">
      <w:pPr>
        <w:spacing w:after="120" w:line="240" w:lineRule="auto"/>
        <w:ind w:left="709" w:right="709"/>
        <w:jc w:val="both"/>
        <w:rPr>
          <w:rFonts w:ascii="Verdana" w:eastAsia="Calibri" w:hAnsi="Verdana" w:cs="Arial"/>
          <w:color w:val="000000"/>
          <w:sz w:val="20"/>
          <w:szCs w:val="20"/>
          <w:lang w:val="es-ES" w:eastAsia="es-ES"/>
        </w:rPr>
      </w:pPr>
      <w:r w:rsidRPr="00D03D93">
        <w:rPr>
          <w:rFonts w:ascii="Verdana" w:eastAsia="Calibri" w:hAnsi="Verdana" w:cs="Arial"/>
          <w:b/>
          <w:bCs/>
          <w:color w:val="000000"/>
          <w:sz w:val="20"/>
          <w:szCs w:val="20"/>
          <w:lang w:val="es-ES" w:eastAsia="es-ES"/>
        </w:rPr>
        <w:t>2. Obligatoriedad de los Documentos Tipo:</w:t>
      </w:r>
      <w:r w:rsidRPr="00D03D93">
        <w:rPr>
          <w:rFonts w:ascii="Verdana" w:eastAsia="Calibri" w:hAnsi="Verdana" w:cs="Arial"/>
          <w:color w:val="000000"/>
          <w:sz w:val="20"/>
          <w:szCs w:val="20"/>
          <w:lang w:val="es-ES" w:eastAsia="es-ES"/>
        </w:rPr>
        <w:t xml:space="preserve"> En caso de que la ESP deba regirse por el EGCAP, y dado que el objeto contractual son obras de infraestructura de saneamiento básico, ¿es obligatorio para la ESP utilizar los Documentos Tipo adoptados por Colombia Compra Eficiente para este proceso de selección?</w:t>
      </w:r>
    </w:p>
    <w:p w14:paraId="75879823" w14:textId="77777777" w:rsidR="001A3CE6" w:rsidRPr="00D03D93" w:rsidRDefault="001A3CE6" w:rsidP="001A3CE6">
      <w:pPr>
        <w:spacing w:after="120" w:line="240" w:lineRule="auto"/>
        <w:ind w:left="709" w:right="709"/>
        <w:jc w:val="both"/>
        <w:rPr>
          <w:rFonts w:ascii="Verdana" w:eastAsia="Calibri" w:hAnsi="Verdana" w:cs="Arial"/>
          <w:color w:val="000000"/>
          <w:sz w:val="20"/>
          <w:szCs w:val="20"/>
          <w:lang w:val="es-ES" w:eastAsia="es-ES"/>
        </w:rPr>
      </w:pPr>
      <w:r w:rsidRPr="00D03D93">
        <w:rPr>
          <w:rFonts w:ascii="Verdana" w:eastAsia="Calibri" w:hAnsi="Verdana" w:cs="Arial"/>
          <w:b/>
          <w:bCs/>
          <w:color w:val="000000"/>
          <w:sz w:val="20"/>
          <w:szCs w:val="20"/>
          <w:lang w:val="es-ES" w:eastAsia="es-ES"/>
        </w:rPr>
        <w:t>3. Alcance del "Giro Ordinario":</w:t>
      </w:r>
      <w:r w:rsidRPr="00D03D93">
        <w:rPr>
          <w:rFonts w:ascii="Verdana" w:eastAsia="Calibri" w:hAnsi="Verdana" w:cs="Arial"/>
          <w:color w:val="000000"/>
          <w:sz w:val="20"/>
          <w:szCs w:val="20"/>
          <w:lang w:val="es-ES" w:eastAsia="es-ES"/>
        </w:rPr>
        <w:t xml:space="preserve"> Para una ESP dedicada a la prestación del servicio público de aseo, ¿la construcción o mejoramiento de un relleno sanitario —infraestructura indispensable para la correcta disposición de residuos— se considera una actividad contractual propia de su giro ordinario? </w:t>
      </w:r>
    </w:p>
    <w:p w14:paraId="6DE47BB6" w14:textId="77777777" w:rsidR="001A3CE6" w:rsidRPr="00D03D93" w:rsidRDefault="001A3CE6" w:rsidP="001A3CE6">
      <w:pPr>
        <w:spacing w:after="120" w:line="240" w:lineRule="auto"/>
        <w:ind w:left="709" w:right="709"/>
        <w:jc w:val="both"/>
        <w:rPr>
          <w:rFonts w:ascii="Verdana" w:eastAsia="Calibri" w:hAnsi="Verdana" w:cs="Arial"/>
          <w:color w:val="000000"/>
          <w:sz w:val="20"/>
          <w:szCs w:val="20"/>
          <w:lang w:val="es-ES" w:eastAsia="es-ES"/>
        </w:rPr>
      </w:pPr>
      <w:r w:rsidRPr="00D03D93">
        <w:rPr>
          <w:rFonts w:ascii="Verdana" w:eastAsia="Calibri" w:hAnsi="Verdana" w:cs="Arial"/>
          <w:b/>
          <w:bCs/>
          <w:color w:val="000000"/>
          <w:sz w:val="20"/>
          <w:szCs w:val="20"/>
          <w:lang w:val="es-ES" w:eastAsia="es-ES"/>
        </w:rPr>
        <w:t>4. Interpretación del Artículo 56 (Duda Central):</w:t>
      </w:r>
      <w:r w:rsidRPr="00D03D93">
        <w:rPr>
          <w:rFonts w:ascii="Verdana" w:eastAsia="Calibri" w:hAnsi="Verdana" w:cs="Arial"/>
          <w:color w:val="000000"/>
          <w:sz w:val="20"/>
          <w:szCs w:val="20"/>
          <w:lang w:val="es-ES" w:eastAsia="es-ES"/>
        </w:rPr>
        <w:t xml:space="preserve"> Teniendo en cuenta que las ESP no están explícitamente listadas en las excepciones del parágrafo del artículo 56, y considerando conceptos previos de esta Agencia, ¿cuál es la interpretación correcta?: </w:t>
      </w:r>
    </w:p>
    <w:p w14:paraId="716ADED7" w14:textId="77777777" w:rsidR="001A3CE6" w:rsidRPr="00D03D93" w:rsidRDefault="001A3CE6" w:rsidP="001A3CE6">
      <w:pPr>
        <w:spacing w:after="120" w:line="240" w:lineRule="auto"/>
        <w:ind w:left="709" w:right="709"/>
        <w:jc w:val="both"/>
        <w:rPr>
          <w:rFonts w:ascii="Verdana" w:eastAsia="Calibri" w:hAnsi="Verdana" w:cs="Arial"/>
          <w:color w:val="000000"/>
          <w:sz w:val="20"/>
          <w:szCs w:val="20"/>
          <w:lang w:val="es-ES" w:eastAsia="es-ES"/>
        </w:rPr>
      </w:pPr>
      <w:r w:rsidRPr="00D03D93">
        <w:rPr>
          <w:rFonts w:ascii="Verdana" w:eastAsia="Calibri" w:hAnsi="Verdana" w:cs="Arial"/>
          <w:b/>
          <w:bCs/>
          <w:color w:val="000000"/>
          <w:sz w:val="20"/>
          <w:szCs w:val="20"/>
          <w:lang w:val="es-ES" w:eastAsia="es-ES"/>
        </w:rPr>
        <w:t>• Opción A:</w:t>
      </w:r>
      <w:r w:rsidRPr="00D03D93">
        <w:rPr>
          <w:rFonts w:ascii="Verdana" w:eastAsia="Calibri" w:hAnsi="Verdana" w:cs="Arial"/>
          <w:color w:val="000000"/>
          <w:sz w:val="20"/>
          <w:szCs w:val="20"/>
          <w:lang w:val="es-ES" w:eastAsia="es-ES"/>
        </w:rPr>
        <w:t xml:space="preserve"> ¿Las ESP, al no estar exceptuadas, deben aplicar en todo caso los documentos tipo y los procedimientos del EGCAP cuando gestionan recursos públicos de una entidad estatal, incluso si el contrato es para su giro ordinario? </w:t>
      </w:r>
    </w:p>
    <w:p w14:paraId="2BF3C356" w14:textId="77777777" w:rsidR="001A3CE6" w:rsidRDefault="001A3CE6" w:rsidP="001A3CE6">
      <w:pPr>
        <w:spacing w:after="0" w:line="240" w:lineRule="auto"/>
        <w:ind w:left="709" w:right="709"/>
        <w:jc w:val="both"/>
        <w:rPr>
          <w:rFonts w:ascii="Verdana" w:eastAsia="Calibri" w:hAnsi="Verdana" w:cs="Arial"/>
          <w:color w:val="000000"/>
          <w:lang w:val="es-ES" w:eastAsia="es-ES"/>
        </w:rPr>
      </w:pPr>
      <w:r w:rsidRPr="00D03D93">
        <w:rPr>
          <w:rFonts w:ascii="Verdana" w:eastAsia="Calibri" w:hAnsi="Verdana" w:cs="Arial"/>
          <w:b/>
          <w:bCs/>
          <w:color w:val="000000"/>
          <w:sz w:val="20"/>
          <w:szCs w:val="20"/>
          <w:lang w:val="es-ES" w:eastAsia="es-ES"/>
        </w:rPr>
        <w:t>• Opción B:</w:t>
      </w:r>
      <w:r w:rsidRPr="00D03D93">
        <w:rPr>
          <w:rFonts w:ascii="Verdana" w:eastAsia="Calibri" w:hAnsi="Verdana" w:cs="Arial"/>
          <w:color w:val="000000"/>
          <w:sz w:val="20"/>
          <w:szCs w:val="20"/>
          <w:lang w:val="es-ES" w:eastAsia="es-ES"/>
        </w:rPr>
        <w:t xml:space="preserve"> ¿O, por el contrario, su régimen especial prevalece y las exime en todo caso de la aplicación de los documentos tipo y el EGCAP, independientemente del origen de los fondos?”.</w:t>
      </w:r>
    </w:p>
    <w:p w14:paraId="41997D01" w14:textId="77777777" w:rsidR="001A3CE6" w:rsidRDefault="001A3CE6" w:rsidP="001A3CE6">
      <w:pPr>
        <w:spacing w:after="0" w:line="276" w:lineRule="auto"/>
        <w:jc w:val="both"/>
        <w:rPr>
          <w:rFonts w:ascii="Verdana" w:eastAsia="Calibri" w:hAnsi="Verdana" w:cs="Arial"/>
          <w:color w:val="000000"/>
          <w:lang w:val="es-ES" w:eastAsia="es-ES"/>
        </w:rPr>
      </w:pPr>
    </w:p>
    <w:p w14:paraId="385D6322" w14:textId="77777777" w:rsidR="001A3CE6" w:rsidRPr="00A652FF" w:rsidRDefault="001A3CE6" w:rsidP="001A3CE6">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lastRenderedPageBreak/>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1B0EC09" w14:textId="77777777" w:rsidR="001A3CE6" w:rsidRDefault="001A3CE6" w:rsidP="001A3CE6">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2B5C098F" w14:textId="77777777" w:rsidR="001A3CE6" w:rsidRPr="00593A5F" w:rsidRDefault="001A3CE6" w:rsidP="001A3CE6">
      <w:pPr>
        <w:spacing w:after="0" w:line="276" w:lineRule="auto"/>
        <w:ind w:firstLine="709"/>
        <w:jc w:val="both"/>
        <w:rPr>
          <w:rFonts w:ascii="Verdana" w:eastAsia="Calibri" w:hAnsi="Verdana" w:cs="Arial"/>
          <w:color w:val="000000"/>
          <w:lang w:val="es-ES" w:eastAsia="es-ES"/>
        </w:rPr>
      </w:pPr>
    </w:p>
    <w:p w14:paraId="04E78932" w14:textId="77777777" w:rsidR="001A3CE6" w:rsidRPr="00593A5F" w:rsidRDefault="001A3CE6" w:rsidP="001A3CE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186F943" w14:textId="77777777" w:rsidR="001A3CE6" w:rsidRPr="00593A5F" w:rsidRDefault="001A3CE6" w:rsidP="001A3CE6">
      <w:pPr>
        <w:tabs>
          <w:tab w:val="left" w:pos="426"/>
        </w:tabs>
        <w:spacing w:after="0" w:line="276" w:lineRule="auto"/>
        <w:jc w:val="both"/>
        <w:rPr>
          <w:rFonts w:ascii="Verdana" w:eastAsia="Century Gothic" w:hAnsi="Verdana" w:cs="Century Gothic"/>
          <w:lang w:val="es-ES"/>
        </w:rPr>
      </w:pPr>
    </w:p>
    <w:p w14:paraId="72155EB9" w14:textId="77777777" w:rsidR="001A3CE6" w:rsidRPr="00593A5F" w:rsidRDefault="001A3CE6" w:rsidP="001A3CE6">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sidRPr="00BD0E74">
        <w:rPr>
          <w:rFonts w:ascii="Verdana" w:eastAsia="Century Gothic" w:hAnsi="Verdana" w:cs="Century Gothic"/>
        </w:rPr>
        <w:t>¿</w:t>
      </w:r>
      <w:r>
        <w:rPr>
          <w:rFonts w:ascii="Verdana" w:eastAsia="Century Gothic" w:hAnsi="Verdana" w:cs="Century Gothic"/>
        </w:rPr>
        <w:t>c</w:t>
      </w:r>
      <w:r w:rsidRPr="00BD0E74">
        <w:rPr>
          <w:rFonts w:ascii="Verdana" w:eastAsia="Century Gothic" w:hAnsi="Verdana" w:cs="Century Gothic"/>
        </w:rPr>
        <w:t>uál es el alcance del artículo 56 de la Ley 2195 de 2022</w:t>
      </w:r>
      <w:r>
        <w:rPr>
          <w:rFonts w:ascii="Verdana" w:eastAsia="Century Gothic" w:hAnsi="Verdana" w:cs="Century Gothic"/>
        </w:rPr>
        <w:t xml:space="preserve"> respecto a la aplicación de los documentos tipo en entidades exceptuadas del Estatuto General de Contratación de la Administración Pública</w:t>
      </w:r>
      <w:r w:rsidRPr="00BD0E74">
        <w:rPr>
          <w:rFonts w:ascii="Verdana" w:eastAsia="Century Gothic" w:hAnsi="Verdana" w:cs="Century Gothic"/>
        </w:rPr>
        <w:t>?</w:t>
      </w:r>
      <w:r>
        <w:rPr>
          <w:rFonts w:ascii="Verdana" w:eastAsia="Century Gothic" w:hAnsi="Verdana" w:cs="Century Gothic"/>
        </w:rPr>
        <w:t xml:space="preserve">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38DFC1D0" w14:textId="77777777" w:rsidR="001A3CE6" w:rsidRPr="004B140F" w:rsidRDefault="001A3CE6" w:rsidP="001A3CE6">
      <w:pPr>
        <w:spacing w:after="0" w:line="276" w:lineRule="auto"/>
        <w:jc w:val="both"/>
        <w:rPr>
          <w:rFonts w:ascii="Verdana" w:eastAsia="Calibri" w:hAnsi="Verdana" w:cs="Arial"/>
          <w:color w:val="7030A0"/>
        </w:rPr>
      </w:pPr>
    </w:p>
    <w:p w14:paraId="7B1B23E6" w14:textId="77777777" w:rsidR="001A3CE6" w:rsidRPr="00593A5F" w:rsidRDefault="001A3CE6" w:rsidP="001A3CE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B3D1881" w14:textId="77777777" w:rsidR="001A3CE6" w:rsidRPr="00593A5F" w:rsidRDefault="001A3CE6" w:rsidP="001A3CE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A3CE6" w:rsidRPr="00593A5F" w14:paraId="4E8F1765" w14:textId="77777777" w:rsidTr="00463C52">
        <w:trPr>
          <w:jc w:val="center"/>
        </w:trPr>
        <w:tc>
          <w:tcPr>
            <w:tcW w:w="8828" w:type="dxa"/>
          </w:tcPr>
          <w:p w14:paraId="51E1E08F" w14:textId="77777777" w:rsidR="001A3CE6" w:rsidRPr="000808CC" w:rsidRDefault="001A3CE6" w:rsidP="00463C52">
            <w:pPr>
              <w:spacing w:after="120" w:line="276" w:lineRule="auto"/>
              <w:ind w:right="51"/>
              <w:jc w:val="both"/>
              <w:rPr>
                <w:rFonts w:ascii="Verdana" w:eastAsia="Calibri" w:hAnsi="Verdana" w:cs="Arial"/>
                <w:color w:val="000000" w:themeColor="text1"/>
              </w:rPr>
            </w:pPr>
            <w:bookmarkStart w:id="1" w:name="_Hlk171694685"/>
            <w:r>
              <w:rPr>
                <w:rFonts w:ascii="Verdana" w:eastAsia="Calibri" w:hAnsi="Verdana" w:cs="Arial"/>
                <w:bCs/>
                <w:color w:val="000000" w:themeColor="text1"/>
              </w:rPr>
              <w:t xml:space="preserve">Conforme a la interpretación general de las normas del sistema de compras públicas, </w:t>
            </w:r>
            <w:r w:rsidRPr="00BD0E74">
              <w:rPr>
                <w:rFonts w:ascii="Verdana" w:eastAsia="Calibri" w:hAnsi="Verdana" w:cs="Arial"/>
                <w:bCs/>
                <w:color w:val="000000" w:themeColor="text1"/>
              </w:rPr>
              <w:t xml:space="preserve">en virtud de lo establecido en el parágrafo 7 del artículo 2 de la Ley 1150 de 2007, modificado por el artículo 1 de la Ley 2022 de 2020, las entidades estatales regidas por el Estatuto General de Contratación de la Administración Pública están obligadas a aplicar los documentos tipo en los procedimientos y contratos que adelanten en aplicación de dicha normativa. Adicionalmente, en atención a lo dispuesto en los dos primeros incisos del artículo 56 de la Ley 2195 de 2022, cuando estas entidades suscriban convenios o contratos de cualquier índole con entidades estatales de régimen especial o exceptuado, patrimonios autónomos, personas naturales o jurídicas </w:t>
            </w:r>
            <w:r w:rsidRPr="00BD0E74">
              <w:rPr>
                <w:rFonts w:ascii="Verdana" w:eastAsia="Calibri" w:hAnsi="Verdana" w:cs="Arial"/>
                <w:bCs/>
                <w:color w:val="000000" w:themeColor="text1"/>
              </w:rPr>
              <w:lastRenderedPageBreak/>
              <w:t>de derecho privado, también deberán aplicar documentos tipo, y en general, las disposiciones del Estatuto General de Contratación de la Administración Pública.</w:t>
            </w:r>
            <w:r>
              <w:rPr>
                <w:rFonts w:ascii="Verdana" w:eastAsia="Calibri" w:hAnsi="Verdana" w:cs="Arial"/>
                <w:bCs/>
                <w:color w:val="000000" w:themeColor="text1"/>
              </w:rPr>
              <w:t xml:space="preserve"> (Respuesta a las preguntas 1 y 2)</w:t>
            </w:r>
          </w:p>
          <w:p w14:paraId="6170A3AA" w14:textId="77777777" w:rsidR="001A3CE6" w:rsidRDefault="001A3CE6" w:rsidP="00463C52">
            <w:pPr>
              <w:spacing w:after="120" w:line="276" w:lineRule="auto"/>
              <w:ind w:right="51" w:firstLine="737"/>
              <w:jc w:val="both"/>
              <w:rPr>
                <w:rFonts w:ascii="Verdana" w:eastAsia="Calibri" w:hAnsi="Verdana" w:cs="Arial"/>
                <w:bCs/>
                <w:lang w:val="es-ES" w:eastAsia="es-ES_tradnl"/>
              </w:rPr>
            </w:pPr>
            <w:r>
              <w:rPr>
                <w:rFonts w:ascii="Verdana" w:eastAsia="Calibri" w:hAnsi="Verdana" w:cs="Arial"/>
                <w:bCs/>
                <w:lang w:val="es-ES_tradnl" w:eastAsia="es-ES_tradnl"/>
              </w:rPr>
              <w:t>Respecto al parágrafo, como l</w:t>
            </w:r>
            <w:r w:rsidRPr="00CE48D2">
              <w:rPr>
                <w:rFonts w:ascii="Verdana" w:eastAsia="Calibri" w:hAnsi="Verdana" w:cs="Arial"/>
                <w:bCs/>
                <w:lang w:val="es-ES_tradnl" w:eastAsia="es-ES_tradnl"/>
              </w:rPr>
              <w:t xml:space="preserve">a norma determina las excepciones en consideración a la naturaleza jurídica de los sujetos que menciona, sin hacer distinción alguna respecto de su régimen contractual, es posible concluir que la excepción predicable de las instituciones de educación superior públicas, las empresas sociales del Estado, las sociedades de economía mixta y las empresas industriales y comerciales del Estado no resulta extensible a entidades que no cuenten con dicha naturaleza, como es el caso de las empresas de servicios públicos domiciliarios, las cuales </w:t>
            </w:r>
            <w:r w:rsidRPr="00CE48D2">
              <w:rPr>
                <w:rFonts w:ascii="Verdana" w:eastAsia="Calibri" w:hAnsi="Verdana" w:cs="Arial"/>
                <w:bCs/>
                <w:lang w:val="es-ES" w:eastAsia="es-ES_tradnl"/>
              </w:rPr>
              <w:t xml:space="preserve">tienen una naturaleza jurídica especial </w:t>
            </w:r>
            <w:r w:rsidRPr="00CE48D2">
              <w:rPr>
                <w:rFonts w:ascii="Verdana" w:eastAsia="Calibri" w:hAnsi="Verdana" w:cs="Arial"/>
                <w:bCs/>
                <w:lang w:val="es-MX" w:eastAsia="es-ES_tradnl"/>
              </w:rPr>
              <w:t>que viene dada directamente por el artículo 356 de la Constitución Política</w:t>
            </w:r>
            <w:r w:rsidRPr="00CE48D2">
              <w:rPr>
                <w:rFonts w:ascii="Verdana" w:eastAsia="Calibri" w:hAnsi="Verdana" w:cs="Arial"/>
                <w:bCs/>
                <w:lang w:val="es-ES" w:eastAsia="es-ES_tradnl"/>
              </w:rPr>
              <w:t>, distinta de entidades enlistadas.</w:t>
            </w:r>
            <w:r>
              <w:rPr>
                <w:rFonts w:ascii="Verdana" w:eastAsia="Calibri" w:hAnsi="Verdana" w:cs="Arial"/>
                <w:bCs/>
                <w:lang w:val="es-ES" w:eastAsia="es-ES_tradnl"/>
              </w:rPr>
              <w:t xml:space="preserve"> (Respuesta a la pregunta 4)</w:t>
            </w:r>
          </w:p>
          <w:p w14:paraId="3943A92B" w14:textId="77777777" w:rsidR="001A3CE6" w:rsidRPr="00847CD2" w:rsidRDefault="001A3CE6" w:rsidP="00463C52">
            <w:pPr>
              <w:tabs>
                <w:tab w:val="left" w:pos="0"/>
              </w:tabs>
              <w:spacing w:before="120" w:after="120" w:line="276" w:lineRule="auto"/>
              <w:ind w:firstLine="709"/>
              <w:jc w:val="both"/>
              <w:rPr>
                <w:rFonts w:ascii="Verdana" w:eastAsia="Calibri" w:hAnsi="Verdana" w:cs="Arial"/>
                <w:bCs/>
                <w:lang w:val="es-ES_tradnl"/>
              </w:rPr>
            </w:pPr>
            <w:r>
              <w:rPr>
                <w:rFonts w:ascii="Verdana" w:eastAsia="Calibri" w:hAnsi="Verdana" w:cs="Arial"/>
                <w:bCs/>
                <w:lang w:val="es-ES" w:eastAsia="es-ES_tradnl"/>
              </w:rPr>
              <w:t xml:space="preserve">Las entidades explícitamente mencionadas en el parágrafo del artículo 56 de la Ley 2192 de 2022 sólo están exceptuadas en cuanto a los contratos relacionados con su </w:t>
            </w:r>
            <w:r w:rsidRPr="00CD0746">
              <w:rPr>
                <w:rFonts w:ascii="Verdana" w:eastAsia="Calibri" w:hAnsi="Verdana" w:cs="Arial"/>
                <w:bCs/>
                <w:i/>
                <w:iCs/>
                <w:lang w:val="es-ES" w:eastAsia="es-ES_tradnl"/>
              </w:rPr>
              <w:t>giro ordinario</w:t>
            </w:r>
            <w:r>
              <w:rPr>
                <w:rFonts w:ascii="Verdana" w:eastAsia="Calibri" w:hAnsi="Verdana" w:cs="Arial"/>
                <w:bCs/>
                <w:lang w:val="es-ES" w:eastAsia="es-ES_tradnl"/>
              </w:rPr>
              <w:t xml:space="preserve">. Este último </w:t>
            </w:r>
            <w:r w:rsidRPr="00D20014">
              <w:rPr>
                <w:rFonts w:ascii="Verdana" w:eastAsia="Calibri" w:hAnsi="Verdana" w:cs="Arial"/>
                <w:lang w:val="es-ES" w:eastAsia="es-ES"/>
              </w:rPr>
              <w:t>involucra los asuntos que integran el desarrollo del objeto social de una sociedad comercial, una empresa o Entidad Pública, lo cual comprende tanto unas actividades directamente relacionadas con dicho objeto social, así como otros actos conexos al mismo</w:t>
            </w:r>
            <w:r>
              <w:rPr>
                <w:rFonts w:ascii="Verdana" w:eastAsia="Calibri" w:hAnsi="Verdana" w:cs="Arial"/>
                <w:lang w:val="es-ES" w:eastAsia="es-ES"/>
              </w:rPr>
              <w:t>. C</w:t>
            </w:r>
            <w:proofErr w:type="spellStart"/>
            <w:r w:rsidRPr="00D20014">
              <w:rPr>
                <w:rFonts w:ascii="Verdana" w:eastAsia="Calibri" w:hAnsi="Verdana" w:cs="Arial"/>
                <w:bCs/>
                <w:lang w:val="es-ES_tradnl"/>
              </w:rPr>
              <w:t>ada</w:t>
            </w:r>
            <w:proofErr w:type="spellEnd"/>
            <w:r w:rsidRPr="00D20014">
              <w:rPr>
                <w:rFonts w:ascii="Verdana" w:eastAsia="Calibri" w:hAnsi="Verdana" w:cs="Arial"/>
                <w:bCs/>
                <w:lang w:val="es-ES_tradnl"/>
              </w:rPr>
              <w:t xml:space="preserve">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r>
              <w:rPr>
                <w:rFonts w:ascii="Verdana" w:eastAsia="Calibri" w:hAnsi="Verdana" w:cs="Arial"/>
                <w:bCs/>
                <w:lang w:val="es-ES_tradnl"/>
              </w:rPr>
              <w:t xml:space="preserve"> (Respuesta a la pregunta 3)</w:t>
            </w:r>
            <w:r>
              <w:rPr>
                <w:rFonts w:ascii="Verdana" w:eastAsia="Calibri" w:hAnsi="Verdana" w:cs="Arial"/>
                <w:color w:val="000000" w:themeColor="text1"/>
              </w:rPr>
              <w:t xml:space="preserve">   </w:t>
            </w:r>
          </w:p>
          <w:p w14:paraId="73BDAC7C" w14:textId="77777777" w:rsidR="001A3CE6" w:rsidRPr="001941FD" w:rsidRDefault="001A3CE6" w:rsidP="00463C52">
            <w:pPr>
              <w:spacing w:line="276" w:lineRule="auto"/>
              <w:ind w:firstLine="709"/>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62814B64" w14:textId="77777777" w:rsidR="001A3CE6" w:rsidRPr="00593A5F" w:rsidRDefault="001A3CE6" w:rsidP="001A3CE6">
      <w:pPr>
        <w:tabs>
          <w:tab w:val="left" w:pos="142"/>
          <w:tab w:val="left" w:pos="284"/>
        </w:tabs>
        <w:spacing w:after="0" w:line="276" w:lineRule="auto"/>
        <w:jc w:val="both"/>
        <w:rPr>
          <w:rFonts w:ascii="Verdana" w:eastAsia="Century Gothic" w:hAnsi="Verdana" w:cs="Century Gothic"/>
          <w:b/>
          <w:bCs/>
          <w:lang w:val="es-ES"/>
        </w:rPr>
      </w:pPr>
    </w:p>
    <w:bookmarkEnd w:id="1"/>
    <w:p w14:paraId="15362308" w14:textId="77777777" w:rsidR="001A3CE6" w:rsidRPr="00593A5F" w:rsidRDefault="001A3CE6" w:rsidP="001A3CE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Razones de la respuesta:</w:t>
      </w:r>
    </w:p>
    <w:p w14:paraId="58EAAC5E" w14:textId="77777777" w:rsidR="001A3CE6" w:rsidRPr="00593A5F" w:rsidRDefault="001A3CE6" w:rsidP="001A3CE6">
      <w:pPr>
        <w:spacing w:after="0" w:line="276" w:lineRule="auto"/>
        <w:jc w:val="both"/>
        <w:rPr>
          <w:rFonts w:ascii="Verdana" w:eastAsia="Calibri" w:hAnsi="Verdana" w:cs="Arial"/>
          <w:color w:val="7030A0"/>
          <w:lang w:val="es-ES"/>
        </w:rPr>
      </w:pPr>
    </w:p>
    <w:p w14:paraId="3DE37069" w14:textId="77777777" w:rsidR="001A3CE6" w:rsidRDefault="001A3CE6" w:rsidP="001A3CE6">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95C32F3" w14:textId="77777777" w:rsidR="001A3CE6" w:rsidRPr="00415608" w:rsidRDefault="001A3CE6" w:rsidP="001A3CE6">
      <w:pPr>
        <w:spacing w:after="0" w:line="276" w:lineRule="auto"/>
        <w:jc w:val="both"/>
        <w:rPr>
          <w:rFonts w:ascii="Verdana" w:eastAsia="Calibri" w:hAnsi="Verdana" w:cs="Arial"/>
          <w:lang w:val="es-ES"/>
        </w:rPr>
      </w:pPr>
    </w:p>
    <w:p w14:paraId="411B8711" w14:textId="77777777" w:rsidR="001A3CE6" w:rsidRPr="001D0CEA" w:rsidRDefault="001A3CE6" w:rsidP="001A3CE6">
      <w:pPr>
        <w:spacing w:after="120" w:line="276" w:lineRule="auto"/>
        <w:jc w:val="both"/>
        <w:rPr>
          <w:rFonts w:ascii="Verdana" w:eastAsia="Calibri" w:hAnsi="Verdana" w:cs="Arial"/>
          <w:lang w:val="es-ES_tradnl" w:eastAsia="es-ES"/>
        </w:rPr>
      </w:pPr>
      <w:r w:rsidRPr="001D0CEA">
        <w:rPr>
          <w:rFonts w:ascii="Verdana" w:eastAsia="Calibri" w:hAnsi="Verdana" w:cs="Arial"/>
          <w:lang w:val="es-ES_tradnl" w:eastAsia="es-ES"/>
        </w:rPr>
        <w:t>i.</w:t>
      </w:r>
      <w:r>
        <w:rPr>
          <w:rFonts w:ascii="Verdana" w:eastAsia="Calibri" w:hAnsi="Verdana" w:cs="Arial"/>
          <w:lang w:val="es-ES_tradnl" w:eastAsia="es-ES"/>
        </w:rPr>
        <w:t xml:space="preserve"> </w:t>
      </w:r>
      <w:r w:rsidRPr="001D0CEA">
        <w:rPr>
          <w:rFonts w:ascii="Verdana" w:eastAsia="Calibri" w:hAnsi="Verdana" w:cs="Arial"/>
          <w:lang w:val="es-ES_tradnl" w:eastAsia="es-ES"/>
        </w:rPr>
        <w:t xml:space="preserve">La </w:t>
      </w:r>
      <w:bookmarkStart w:id="2" w:name="_Hlk176876754"/>
      <w:r w:rsidRPr="001D0CEA">
        <w:rPr>
          <w:rFonts w:ascii="Verdana" w:eastAsia="Calibri" w:hAnsi="Verdana" w:cs="Arial"/>
          <w:lang w:val="es-ES_tradnl" w:eastAsia="es-ES"/>
        </w:rPr>
        <w:t>Ley 2022 de 2020, modificó el contenido del parágrafo 7 del artículo 2 de la Ley 1150 de 2007, que había sido adicionado por la Ley 1882 de 2018</w:t>
      </w:r>
      <w:bookmarkEnd w:id="2"/>
      <w:r w:rsidRPr="00D20014">
        <w:rPr>
          <w:vertAlign w:val="superscript"/>
          <w:lang w:eastAsia="es-ES"/>
        </w:rPr>
        <w:footnoteReference w:id="2"/>
      </w:r>
      <w:r w:rsidRPr="001D0CEA">
        <w:rPr>
          <w:rFonts w:ascii="Verdana" w:eastAsia="Calibri" w:hAnsi="Verdana" w:cs="Arial"/>
          <w:lang w:val="es-ES_tradnl" w:eastAsia="es-ES"/>
        </w:rPr>
        <w:t xml:space="preserve">. Con esta modificación, si bien se mantuvo el mandato de aplicación obligatoria de los Documentos Tipo por parte de las entidades sometidas al </w:t>
      </w:r>
      <w:r w:rsidRPr="001D0CEA">
        <w:rPr>
          <w:rFonts w:ascii="Verdana" w:eastAsia="Calibri" w:hAnsi="Verdana" w:cs="Arial"/>
          <w:bCs/>
          <w:lang w:val="es-ES_tradnl" w:eastAsia="es-ES_tradnl"/>
        </w:rPr>
        <w:t>EGCAP</w:t>
      </w:r>
      <w:r w:rsidRPr="001D0CEA">
        <w:rPr>
          <w:rFonts w:ascii="Verdana" w:eastAsia="Calibri" w:hAnsi="Verdana" w:cs="Arial"/>
          <w:lang w:val="es-ES_tradnl" w:eastAsia="es-ES"/>
        </w:rPr>
        <w:t xml:space="preserve">, se atribuyó a la </w:t>
      </w:r>
      <w:r w:rsidRPr="001D0CEA">
        <w:rPr>
          <w:rFonts w:ascii="Verdana" w:eastAsia="Calibri" w:hAnsi="Verdana" w:cs="Arial"/>
          <w:lang w:val="es-ES_tradnl" w:eastAsia="es-ES_tradnl"/>
        </w:rPr>
        <w:t xml:space="preserve">Agencia Nacional de Contratación Pública – Colombia Compra Eficiente la competencia para su expedición. </w:t>
      </w:r>
    </w:p>
    <w:p w14:paraId="58197B81" w14:textId="77777777" w:rsidR="001A3CE6" w:rsidRPr="00D20014" w:rsidRDefault="001A3CE6" w:rsidP="001A3CE6">
      <w:pPr>
        <w:spacing w:after="120" w:line="276" w:lineRule="auto"/>
        <w:ind w:firstLine="709"/>
        <w:jc w:val="both"/>
        <w:rPr>
          <w:rFonts w:ascii="Verdana" w:eastAsia="Aptos" w:hAnsi="Verdana" w:cs="Arial"/>
          <w:lang w:val="es-ES"/>
        </w:rPr>
      </w:pPr>
      <w:r w:rsidRPr="00D20014">
        <w:rPr>
          <w:rFonts w:ascii="Verdana" w:eastAsia="Aptos" w:hAnsi="Verdana" w:cs="Arial"/>
          <w:lang w:val="es-ES"/>
        </w:rPr>
        <w:t xml:space="preserve">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 </w:t>
      </w:r>
    </w:p>
    <w:p w14:paraId="64A3E604" w14:textId="77777777" w:rsidR="001A3CE6" w:rsidRPr="00D20014" w:rsidRDefault="001A3CE6" w:rsidP="001A3CE6">
      <w:pPr>
        <w:spacing w:after="120" w:line="276" w:lineRule="auto"/>
        <w:ind w:firstLine="708"/>
        <w:jc w:val="both"/>
        <w:rPr>
          <w:rFonts w:ascii="Verdana" w:eastAsia="Calibri" w:hAnsi="Verdana" w:cs="Arial"/>
        </w:rPr>
      </w:pPr>
      <w:r w:rsidRPr="00D20014">
        <w:rPr>
          <w:rFonts w:ascii="Verdana" w:eastAsia="Calibri" w:hAnsi="Verdana" w:cs="Arial"/>
          <w:lang w:eastAsia="es-ES_tradnl"/>
        </w:rPr>
        <w:lastRenderedPageBreak/>
        <w:t xml:space="preserve">De acuerdo con lo expuesto, </w:t>
      </w:r>
      <w:r w:rsidRPr="00D20014">
        <w:rPr>
          <w:rFonts w:ascii="Verdana" w:eastAsia="Calibri" w:hAnsi="Verdana" w:cs="Arial"/>
          <w:bdr w:val="none" w:sz="0" w:space="0" w:color="auto" w:frame="1"/>
          <w:lang w:eastAsia="es-ES_tradnl"/>
        </w:rPr>
        <w:t xml:space="preserve">los Documentos Tipo adoptados son obligatorios para las Entidades Estatales regidas por el </w:t>
      </w:r>
      <w:r w:rsidRPr="00D20014">
        <w:rPr>
          <w:rFonts w:ascii="Verdana" w:eastAsia="Calibri" w:hAnsi="Verdana" w:cs="Arial"/>
          <w:bCs/>
          <w:lang w:val="es-ES_tradnl" w:eastAsia="es-ES_tradnl"/>
        </w:rPr>
        <w:t>EGCAP</w:t>
      </w:r>
      <w:r w:rsidRPr="00D20014">
        <w:rPr>
          <w:rFonts w:ascii="Verdana" w:eastAsia="Calibri" w:hAnsi="Verdana"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w:t>
      </w:r>
      <w:r w:rsidRPr="00D20014">
        <w:rPr>
          <w:rFonts w:ascii="Verdana" w:eastAsia="Calibri" w:hAnsi="Verdana" w:cs="Arial"/>
          <w:bdr w:val="none" w:sz="0" w:space="0" w:color="auto" w:frame="1"/>
          <w:vertAlign w:val="superscript"/>
          <w:lang w:eastAsia="es-ES_tradnl"/>
        </w:rPr>
        <w:footnoteReference w:id="3"/>
      </w:r>
      <w:r w:rsidRPr="00D20014">
        <w:rPr>
          <w:rFonts w:ascii="Verdana" w:eastAsia="Calibri" w:hAnsi="Verdana" w:cs="Arial"/>
          <w:bdr w:val="none" w:sz="0" w:space="0" w:color="auto" w:frame="1"/>
          <w:lang w:eastAsia="es-ES_tradnl"/>
        </w:rPr>
        <w:t xml:space="preserve">. </w:t>
      </w:r>
      <w:r w:rsidRPr="00D20014">
        <w:rPr>
          <w:rFonts w:ascii="Verdana" w:eastAsia="Calibri" w:hAnsi="Verdana" w:cs="Arial"/>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p>
    <w:p w14:paraId="7EBC25B4" w14:textId="77777777" w:rsidR="001A3CE6" w:rsidRPr="00D20014" w:rsidRDefault="001A3CE6" w:rsidP="001A3CE6">
      <w:pPr>
        <w:spacing w:after="120" w:line="276" w:lineRule="auto"/>
        <w:ind w:firstLine="709"/>
        <w:jc w:val="both"/>
        <w:rPr>
          <w:rFonts w:ascii="Verdana" w:eastAsia="Calibri" w:hAnsi="Verdana" w:cs="Arial"/>
          <w:lang w:val="es-ES"/>
        </w:rPr>
      </w:pPr>
      <w:r w:rsidRPr="00D20014">
        <w:rPr>
          <w:rFonts w:ascii="Verdana" w:eastAsia="Calibri" w:hAnsi="Verdana" w:cs="Arial"/>
          <w:shd w:val="clear" w:color="auto" w:fill="FFFFFF"/>
          <w:lang w:val="es-ES"/>
        </w:rPr>
        <w:t xml:space="preserve">En ese orden, </w:t>
      </w:r>
      <w:r w:rsidRPr="00D20014">
        <w:rPr>
          <w:rFonts w:ascii="Verdana" w:eastAsia="Calibri" w:hAnsi="Verdana" w:cs="Arial"/>
          <w:lang w:val="es-ES"/>
        </w:rPr>
        <w:t xml:space="preserve">las Entidades Estatales regidas por el EGCAP, de conformidad con el parágrafo 7 del artículo 2 de la Ley 1150 de 2007, adicionado por la Ley 1882 de 2018 y modificado por la Ley 2022 de 2020, se encuentran obligadas a aplicar los Documentos Tipo implementados por esta Agencia para adelantar los Procesos de Contratación que se encuentren cobijados por los Documentos Tipo expedidos. 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12FF6D12" w14:textId="77777777" w:rsidR="001A3CE6" w:rsidRPr="00D20014" w:rsidRDefault="001A3CE6" w:rsidP="001A3CE6">
      <w:pPr>
        <w:spacing w:after="120" w:line="276" w:lineRule="auto"/>
        <w:ind w:firstLine="709"/>
        <w:jc w:val="both"/>
        <w:rPr>
          <w:rFonts w:ascii="Verdana" w:eastAsia="Calibri" w:hAnsi="Verdana" w:cs="Arial"/>
          <w:lang w:val="es-ES_tradnl"/>
        </w:rPr>
      </w:pPr>
      <w:r w:rsidRPr="00D20014">
        <w:rPr>
          <w:rFonts w:ascii="Verdana" w:eastAsia="Calibri" w:hAnsi="Verdana" w:cs="Arial"/>
          <w:lang w:val="es-ES"/>
        </w:rPr>
        <w:t xml:space="preserve">Además del objeto y la modalidad de escogencia aplicable, para delimitar de forma más precisa el ámbito de aplicación de cada uno de los Documentos Tipo será necesario analizar la matriz de experiencia asociada a cada uno de ellos, pues estos aplicarán a los proyectos y/o actividades específicas contempladas en cada una de dichas matrices de experiencia. En este sentido, la matriz de experiencia de cada uno de los Documentos Tipo, además de estandarizar este importante requisito en los procedimientos de selección, </w:t>
      </w:r>
      <w:r w:rsidRPr="00D20014">
        <w:rPr>
          <w:rFonts w:ascii="Verdana" w:eastAsia="Calibri" w:hAnsi="Verdana" w:cs="Arial"/>
          <w:lang w:val="es-ES"/>
        </w:rPr>
        <w:lastRenderedPageBreak/>
        <w:t>delimita o precisa el ámbito de aplicación de estos, por lo que aplicarán a las actividades establecidas en cada una de estas matrices</w:t>
      </w:r>
      <w:r w:rsidRPr="00D20014">
        <w:rPr>
          <w:rFonts w:ascii="Verdana" w:eastAsia="Calibri" w:hAnsi="Verdana" w:cs="Arial"/>
          <w:vertAlign w:val="superscript"/>
          <w:lang w:val="es-ES"/>
        </w:rPr>
        <w:footnoteReference w:id="4"/>
      </w:r>
      <w:r w:rsidRPr="00D20014">
        <w:rPr>
          <w:rFonts w:ascii="Verdana" w:eastAsia="Calibri" w:hAnsi="Verdana" w:cs="Arial"/>
          <w:lang w:val="es-ES"/>
        </w:rPr>
        <w:t>.</w:t>
      </w:r>
    </w:p>
    <w:p w14:paraId="6C07F69F" w14:textId="77777777" w:rsidR="001A3CE6" w:rsidRPr="00D20014" w:rsidRDefault="001A3CE6" w:rsidP="001A3CE6">
      <w:pPr>
        <w:spacing w:after="120" w:line="276" w:lineRule="auto"/>
        <w:jc w:val="both"/>
        <w:rPr>
          <w:rFonts w:ascii="Verdana" w:eastAsia="Aptos" w:hAnsi="Verdana" w:cs="Arial"/>
          <w:lang w:val="es-ES"/>
        </w:rPr>
      </w:pPr>
      <w:r w:rsidRPr="00D20014">
        <w:rPr>
          <w:rFonts w:ascii="Verdana" w:eastAsia="Aptos" w:hAnsi="Verdana" w:cs="Arial"/>
          <w:lang w:val="es-ES"/>
        </w:rPr>
        <w:tab/>
      </w:r>
      <w:bookmarkStart w:id="3" w:name="_Hlk104104535"/>
      <w:r w:rsidRPr="00D20014">
        <w:rPr>
          <w:rFonts w:ascii="Verdana" w:eastAsia="Aptos" w:hAnsi="Verdana" w:cs="Arial"/>
          <w:lang w:val="es-ES"/>
        </w:rPr>
        <w:t xml:space="preserve">En conclusión, la definición de si a un Proceso de Contratación le aplican los Documentos Tipo radicará en si el contrato a ejecutar </w:t>
      </w:r>
      <w:proofErr w:type="gramStart"/>
      <w:r w:rsidRPr="00D20014">
        <w:rPr>
          <w:rFonts w:ascii="Verdana" w:eastAsia="Aptos" w:hAnsi="Verdana" w:cs="Arial"/>
          <w:lang w:val="es-ES"/>
        </w:rPr>
        <w:t>se enmarca dentro de</w:t>
      </w:r>
      <w:proofErr w:type="gramEnd"/>
      <w:r w:rsidRPr="00D20014">
        <w:rPr>
          <w:rFonts w:ascii="Verdana" w:eastAsia="Aptos" w:hAnsi="Verdana" w:cs="Arial"/>
          <w:lang w:val="es-ES"/>
        </w:rPr>
        <w:t xml:space="preserve"> las actividades establecidas en la matriz de experiencia del Documento Tipo, de modo que las Entidades Estatales sometidas al EGCAP deberán aplicar los Documentos Tipo en dichos supuestos.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 </w:t>
      </w:r>
      <w:bookmarkEnd w:id="3"/>
    </w:p>
    <w:p w14:paraId="088D1C9D" w14:textId="77777777" w:rsidR="001A3CE6" w:rsidRDefault="001A3CE6" w:rsidP="001A3CE6">
      <w:pPr>
        <w:spacing w:after="0" w:line="276" w:lineRule="auto"/>
        <w:ind w:firstLine="708"/>
        <w:jc w:val="both"/>
        <w:rPr>
          <w:rFonts w:ascii="Verdana" w:eastAsia="Calibri" w:hAnsi="Verdana" w:cs="Arial"/>
          <w:bCs/>
          <w:lang w:val="es-ES_tradnl" w:eastAsia="es-ES_tradnl"/>
        </w:rPr>
      </w:pPr>
      <w:r w:rsidRPr="00D20014">
        <w:rPr>
          <w:rFonts w:ascii="Verdana" w:eastAsia="Calibri" w:hAnsi="Verdana" w:cs="Arial"/>
          <w:bCs/>
          <w:lang w:val="es-ES_tradnl" w:eastAsia="es-ES_tradnl"/>
        </w:rPr>
        <w:t xml:space="preserve">Conforme se explicó en los párrafos anteriores,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excluyen del ámbito de aplicación de los Documentos Tipo la contratación de Entidades Estatales de régimen exceptuado, por lo general, sujetas al derecho privado. </w:t>
      </w:r>
    </w:p>
    <w:p w14:paraId="288F6743" w14:textId="77777777" w:rsidR="001A3CE6" w:rsidRDefault="001A3CE6" w:rsidP="001A3CE6">
      <w:pPr>
        <w:spacing w:after="0" w:line="276" w:lineRule="auto"/>
        <w:ind w:firstLine="708"/>
        <w:jc w:val="both"/>
        <w:rPr>
          <w:rFonts w:ascii="Verdana" w:eastAsia="Calibri" w:hAnsi="Verdana" w:cs="Arial"/>
          <w:bCs/>
          <w:lang w:val="es-ES_tradnl" w:eastAsia="es-ES_tradnl"/>
        </w:rPr>
      </w:pPr>
    </w:p>
    <w:p w14:paraId="20793FF8" w14:textId="77777777" w:rsidR="001A3CE6" w:rsidRPr="00D20014" w:rsidRDefault="001A3CE6" w:rsidP="001A3CE6">
      <w:pPr>
        <w:spacing w:after="120" w:line="276" w:lineRule="auto"/>
        <w:jc w:val="both"/>
        <w:rPr>
          <w:rFonts w:ascii="Verdana" w:eastAsia="Calibri" w:hAnsi="Verdana" w:cs="Arial"/>
          <w:lang w:val="es-ES" w:eastAsia="es-ES"/>
        </w:rPr>
      </w:pPr>
      <w:proofErr w:type="spellStart"/>
      <w:r>
        <w:rPr>
          <w:rFonts w:ascii="Verdana" w:eastAsia="Calibri" w:hAnsi="Verdana" w:cs="Arial"/>
          <w:bCs/>
          <w:lang w:val="es-ES_tradnl" w:eastAsia="es-ES_tradnl"/>
        </w:rPr>
        <w:t>ii</w:t>
      </w:r>
      <w:proofErr w:type="spellEnd"/>
      <w:r>
        <w:rPr>
          <w:rFonts w:ascii="Verdana" w:eastAsia="Calibri" w:hAnsi="Verdana" w:cs="Arial"/>
          <w:bCs/>
          <w:lang w:val="es-ES_tradnl" w:eastAsia="es-ES_tradnl"/>
        </w:rPr>
        <w:t xml:space="preserve">. </w:t>
      </w:r>
      <w:r w:rsidRPr="00D20014">
        <w:rPr>
          <w:rFonts w:ascii="Verdana" w:eastAsia="Calibri" w:hAnsi="Verdana" w:cs="Arial"/>
          <w:lang w:val="es-ES" w:eastAsia="es-ES"/>
        </w:rPr>
        <w:t xml:space="preserve">No obstante, este panorama </w:t>
      </w:r>
      <w:r>
        <w:rPr>
          <w:rFonts w:ascii="Verdana" w:eastAsia="Calibri" w:hAnsi="Verdana" w:cs="Arial"/>
          <w:lang w:val="es-ES" w:eastAsia="es-ES"/>
        </w:rPr>
        <w:t xml:space="preserve">varió </w:t>
      </w:r>
      <w:r w:rsidRPr="00D20014">
        <w:rPr>
          <w:rFonts w:ascii="Verdana" w:eastAsia="Calibri" w:hAnsi="Verdana" w:cs="Arial"/>
          <w:lang w:val="es-ES" w:eastAsia="es-ES"/>
        </w:rPr>
        <w:t xml:space="preserve">con la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6697E3A2" w14:textId="77777777" w:rsidR="001A3CE6" w:rsidRPr="00D20014" w:rsidRDefault="001A3CE6" w:rsidP="001A3CE6">
      <w:pPr>
        <w:spacing w:after="0" w:line="276" w:lineRule="auto"/>
        <w:ind w:firstLine="708"/>
        <w:jc w:val="both"/>
        <w:rPr>
          <w:rFonts w:ascii="Verdana" w:eastAsia="Calibri" w:hAnsi="Verdana" w:cs="Arial"/>
          <w:bCs/>
          <w:lang w:val="es-ES_tradnl" w:eastAsia="es-ES_tradnl"/>
        </w:rPr>
      </w:pPr>
      <w:r w:rsidRPr="00D20014">
        <w:rPr>
          <w:rFonts w:ascii="Verdana" w:eastAsia="Calibri" w:hAnsi="Verdana" w:cs="Arial"/>
          <w:bCs/>
          <w:lang w:val="es-ES_tradnl" w:eastAsia="es-ES_tradnl"/>
        </w:rPr>
        <w:t xml:space="preserve">Entre las medidas adoptadas por la Ley mencionada se destaca el artículo 56, norma sobre la que versa la presente consulta. Esta disposición se refiere de manera expresa a los documentos tipo y a su aplicabilidad a sujetos diferentes </w:t>
      </w:r>
      <w:r w:rsidRPr="00D20014">
        <w:rPr>
          <w:rFonts w:ascii="Verdana" w:eastAsia="Calibri" w:hAnsi="Verdana" w:cs="Arial"/>
          <w:bCs/>
          <w:lang w:val="es-ES_tradnl" w:eastAsia="es-ES_tradnl"/>
        </w:rPr>
        <w:lastRenderedPageBreak/>
        <w:t>de las entidades estatales sometidas al Estatuto General de Contratación de la Administración Pública:</w:t>
      </w:r>
    </w:p>
    <w:p w14:paraId="6C04B62F" w14:textId="77777777" w:rsidR="001A3CE6" w:rsidRPr="00D20014" w:rsidRDefault="001A3CE6" w:rsidP="001A3CE6">
      <w:pPr>
        <w:tabs>
          <w:tab w:val="left" w:pos="0"/>
        </w:tabs>
        <w:spacing w:after="0" w:line="276" w:lineRule="auto"/>
        <w:jc w:val="both"/>
        <w:rPr>
          <w:rFonts w:ascii="Arial" w:eastAsia="Calibri" w:hAnsi="Arial" w:cs="Arial"/>
          <w:bCs/>
          <w:szCs w:val="24"/>
          <w:lang w:val="es-ES_tradnl" w:eastAsia="es-ES_tradnl"/>
        </w:rPr>
      </w:pPr>
    </w:p>
    <w:p w14:paraId="0BCE1E57" w14:textId="77777777" w:rsidR="001A3CE6" w:rsidRPr="00FD7250" w:rsidRDefault="001A3CE6" w:rsidP="001A3CE6">
      <w:pPr>
        <w:tabs>
          <w:tab w:val="left" w:pos="0"/>
        </w:tabs>
        <w:spacing w:after="120" w:line="240" w:lineRule="auto"/>
        <w:ind w:left="709" w:right="709"/>
        <w:jc w:val="both"/>
        <w:rPr>
          <w:rFonts w:ascii="Verdana" w:eastAsia="Times New Roman" w:hAnsi="Verdana" w:cs="Arial"/>
          <w:sz w:val="20"/>
          <w:szCs w:val="20"/>
          <w:lang w:val="es-ES_tradnl" w:eastAsia="es-ES_tradnl"/>
        </w:rPr>
      </w:pPr>
      <w:r>
        <w:rPr>
          <w:rFonts w:ascii="Verdana" w:eastAsia="Times New Roman" w:hAnsi="Verdana" w:cs="Arial"/>
          <w:sz w:val="20"/>
          <w:szCs w:val="20"/>
          <w:lang w:val="es-ES_tradnl" w:eastAsia="es-ES_tradnl"/>
        </w:rPr>
        <w:t>“</w:t>
      </w:r>
      <w:r w:rsidRPr="00FD7250">
        <w:rPr>
          <w:rFonts w:ascii="Verdana" w:eastAsia="Times New Roman" w:hAnsi="Verdana" w:cs="Arial"/>
          <w:sz w:val="20"/>
          <w:szCs w:val="20"/>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7D6EAD6B" w14:textId="77777777" w:rsidR="001A3CE6" w:rsidRPr="00FD7250" w:rsidRDefault="001A3CE6" w:rsidP="001A3CE6">
      <w:pPr>
        <w:tabs>
          <w:tab w:val="left" w:pos="0"/>
        </w:tabs>
        <w:spacing w:after="120" w:line="240" w:lineRule="auto"/>
        <w:ind w:left="709" w:right="709"/>
        <w:jc w:val="both"/>
        <w:rPr>
          <w:rFonts w:ascii="Verdana" w:eastAsia="Times New Roman" w:hAnsi="Verdana" w:cs="Arial"/>
          <w:sz w:val="20"/>
          <w:szCs w:val="20"/>
          <w:lang w:val="es-ES_tradnl" w:eastAsia="es-ES_tradnl"/>
        </w:rPr>
      </w:pPr>
      <w:r w:rsidRPr="00FD7250">
        <w:rPr>
          <w:rFonts w:ascii="Verdana" w:eastAsia="Times New Roman" w:hAnsi="Verdana" w:cs="Arial"/>
          <w:sz w:val="20"/>
          <w:szCs w:val="20"/>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19FFDC75" w14:textId="77777777" w:rsidR="001A3CE6" w:rsidRPr="00FD7250" w:rsidRDefault="001A3CE6" w:rsidP="001A3CE6">
      <w:pPr>
        <w:spacing w:after="0" w:line="240" w:lineRule="auto"/>
        <w:ind w:left="709" w:right="709"/>
        <w:jc w:val="both"/>
        <w:rPr>
          <w:rFonts w:ascii="Verdana" w:eastAsia="Calibri" w:hAnsi="Verdana" w:cs="Arial"/>
          <w:sz w:val="20"/>
          <w:szCs w:val="20"/>
          <w:lang w:val="es-ES" w:eastAsia="es-ES"/>
        </w:rPr>
      </w:pPr>
      <w:r w:rsidRPr="00FD7250">
        <w:rPr>
          <w:rFonts w:ascii="Verdana" w:eastAsia="Times New Roman" w:hAnsi="Verdana" w:cs="Arial"/>
          <w:sz w:val="20"/>
          <w:szCs w:val="20"/>
          <w:lang w:val="es-ES" w:eastAsia="es-ES"/>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FD7250">
        <w:rPr>
          <w:rFonts w:ascii="Verdana" w:eastAsia="Times New Roman" w:hAnsi="Verdana" w:cs="Arial"/>
          <w:i/>
          <w:iCs/>
          <w:sz w:val="20"/>
          <w:szCs w:val="20"/>
          <w:lang w:val="es-ES" w:eastAsia="es-ES"/>
        </w:rPr>
        <w:t>giro ordinario</w:t>
      </w:r>
      <w:r w:rsidRPr="00FD7250">
        <w:rPr>
          <w:rFonts w:ascii="Verdana" w:eastAsia="Times New Roman" w:hAnsi="Verdana" w:cs="Arial"/>
          <w:sz w:val="20"/>
          <w:szCs w:val="20"/>
          <w:lang w:val="es-ES" w:eastAsia="es-ES"/>
        </w:rPr>
        <w:t>. En estos casos, en los manuales de contratación de estas entidades, se fomentará como buena práctica la aplicación de los pliegos tipo</w:t>
      </w:r>
      <w:r>
        <w:rPr>
          <w:rFonts w:ascii="Verdana" w:eastAsia="Times New Roman" w:hAnsi="Verdana" w:cs="Arial"/>
          <w:sz w:val="20"/>
          <w:szCs w:val="20"/>
          <w:lang w:val="es-ES" w:eastAsia="es-ES"/>
        </w:rPr>
        <w:t>”</w:t>
      </w:r>
      <w:r w:rsidRPr="00FD7250">
        <w:rPr>
          <w:rFonts w:ascii="Verdana" w:eastAsia="Times New Roman" w:hAnsi="Verdana" w:cs="Arial"/>
          <w:sz w:val="20"/>
          <w:szCs w:val="20"/>
          <w:lang w:val="es-ES" w:eastAsia="es-ES"/>
        </w:rPr>
        <w:t>.</w:t>
      </w:r>
    </w:p>
    <w:p w14:paraId="07B92E47" w14:textId="77777777" w:rsidR="001A3CE6" w:rsidRPr="00D20014" w:rsidRDefault="001A3CE6" w:rsidP="001A3CE6">
      <w:pPr>
        <w:tabs>
          <w:tab w:val="left" w:pos="0"/>
        </w:tabs>
        <w:spacing w:after="0" w:line="276" w:lineRule="auto"/>
        <w:jc w:val="both"/>
        <w:rPr>
          <w:rFonts w:ascii="Arial" w:eastAsia="Calibri" w:hAnsi="Arial" w:cs="Arial"/>
          <w:bCs/>
          <w:szCs w:val="24"/>
          <w:lang w:val="es-ES_tradnl" w:eastAsia="es-ES_tradnl"/>
        </w:rPr>
      </w:pPr>
    </w:p>
    <w:p w14:paraId="66310EFD" w14:textId="77777777" w:rsidR="001A3CE6" w:rsidRDefault="001A3CE6" w:rsidP="001A3CE6">
      <w:pPr>
        <w:tabs>
          <w:tab w:val="left" w:pos="0"/>
        </w:tabs>
        <w:spacing w:after="0" w:line="276" w:lineRule="auto"/>
        <w:jc w:val="both"/>
        <w:rPr>
          <w:rFonts w:ascii="Verdana" w:hAnsi="Verdana" w:cs="Arial"/>
          <w:color w:val="000000" w:themeColor="text1"/>
        </w:rPr>
      </w:pPr>
      <w:r w:rsidRPr="00D20014">
        <w:rPr>
          <w:rFonts w:ascii="Arial" w:eastAsia="Calibri" w:hAnsi="Arial" w:cs="Arial"/>
          <w:bCs/>
          <w:szCs w:val="24"/>
          <w:lang w:val="es-ES_tradnl" w:eastAsia="es-ES_tradnl"/>
        </w:rPr>
        <w:tab/>
      </w:r>
      <w:r w:rsidRPr="00D20014">
        <w:rPr>
          <w:rFonts w:ascii="Verdana" w:eastAsia="Calibri" w:hAnsi="Verdana" w:cs="Arial"/>
          <w:bCs/>
          <w:szCs w:val="24"/>
          <w:lang w:val="es-ES_tradnl" w:eastAsia="es-ES_tradnl"/>
        </w:rPr>
        <w:t xml:space="preserve">Las implicaciones de lo establecido en esta norma son variadas y se presentan en múltiples ámbitos de la actividad contractual de las entidades estatales, </w:t>
      </w:r>
      <w:proofErr w:type="gramStart"/>
      <w:r w:rsidRPr="00D20014">
        <w:rPr>
          <w:rFonts w:ascii="Verdana" w:eastAsia="Calibri" w:hAnsi="Verdana" w:cs="Arial"/>
          <w:bCs/>
          <w:szCs w:val="24"/>
          <w:lang w:val="es-ES_tradnl" w:eastAsia="es-ES_tradnl"/>
        </w:rPr>
        <w:t>que</w:t>
      </w:r>
      <w:proofErr w:type="gramEnd"/>
      <w:r w:rsidRPr="00D20014">
        <w:rPr>
          <w:rFonts w:ascii="Verdana" w:eastAsia="Calibri" w:hAnsi="Verdana" w:cs="Arial"/>
          <w:bCs/>
          <w:szCs w:val="24"/>
          <w:lang w:val="es-ES_tradnl" w:eastAsia="es-ES_tradnl"/>
        </w:rPr>
        <w:t xml:space="preserve"> como consecuencia de la entrada en vigor de la disposición en cita, ven alterado su régimen jurídico. </w:t>
      </w:r>
      <w:r>
        <w:rPr>
          <w:rFonts w:ascii="Verdana" w:hAnsi="Verdana" w:cs="Arial"/>
          <w:color w:val="000000" w:themeColor="text1"/>
        </w:rPr>
        <w:t>En tal sentido, p</w:t>
      </w:r>
      <w:r w:rsidRPr="00B35DC3">
        <w:rPr>
          <w:rFonts w:ascii="Verdana" w:hAnsi="Verdana" w:cs="Arial"/>
          <w:color w:val="000000" w:themeColor="text1"/>
        </w:rPr>
        <w:t>ara efectos de dar respuesta concreta a</w:t>
      </w:r>
      <w:r>
        <w:rPr>
          <w:rFonts w:ascii="Verdana" w:hAnsi="Verdana" w:cs="Arial"/>
          <w:color w:val="000000" w:themeColor="text1"/>
        </w:rPr>
        <w:t>l</w:t>
      </w:r>
      <w:r w:rsidRPr="00B35DC3">
        <w:rPr>
          <w:rFonts w:ascii="Verdana" w:hAnsi="Verdana" w:cs="Arial"/>
          <w:color w:val="000000" w:themeColor="text1"/>
        </w:rPr>
        <w:t xml:space="preserve"> problema jurídico planteado y unificar el criterio de esta Subdirección, es importante tener en cuenta las posturas que se han sustentado en torno a</w:t>
      </w:r>
      <w:r>
        <w:rPr>
          <w:rFonts w:ascii="Verdana" w:hAnsi="Verdana" w:cs="Arial"/>
          <w:color w:val="000000" w:themeColor="text1"/>
        </w:rPr>
        <w:t xml:space="preserve">l alcance del artículo 56 de la Ley 2195 de 2022. </w:t>
      </w:r>
    </w:p>
    <w:p w14:paraId="0318FEC5" w14:textId="77777777" w:rsidR="001A3CE6" w:rsidRDefault="001A3CE6" w:rsidP="001A3CE6">
      <w:pPr>
        <w:tabs>
          <w:tab w:val="left" w:pos="0"/>
        </w:tabs>
        <w:spacing w:after="0" w:line="276" w:lineRule="auto"/>
        <w:jc w:val="both"/>
        <w:rPr>
          <w:rFonts w:ascii="Verdana" w:hAnsi="Verdana" w:cs="Arial"/>
          <w:color w:val="000000" w:themeColor="text1"/>
        </w:rPr>
      </w:pPr>
    </w:p>
    <w:p w14:paraId="70F26C88" w14:textId="77777777" w:rsidR="001A3CE6" w:rsidRPr="00B22A8E" w:rsidRDefault="001A3CE6" w:rsidP="001A3CE6">
      <w:pPr>
        <w:tabs>
          <w:tab w:val="left" w:pos="0"/>
        </w:tabs>
        <w:spacing w:after="120" w:line="276" w:lineRule="auto"/>
        <w:jc w:val="both"/>
        <w:rPr>
          <w:rFonts w:ascii="Verdana" w:eastAsia="Calibri" w:hAnsi="Verdana" w:cs="Arial"/>
          <w:bCs/>
          <w:szCs w:val="24"/>
          <w:lang w:val="es-ES_tradnl" w:eastAsia="es-ES_tradnl"/>
        </w:rPr>
      </w:pPr>
      <w:proofErr w:type="spellStart"/>
      <w:r>
        <w:rPr>
          <w:rFonts w:ascii="Verdana" w:hAnsi="Verdana" w:cs="Arial"/>
          <w:color w:val="000000" w:themeColor="text1"/>
        </w:rPr>
        <w:t>iii</w:t>
      </w:r>
      <w:proofErr w:type="spellEnd"/>
      <w:r>
        <w:rPr>
          <w:rFonts w:ascii="Verdana" w:hAnsi="Verdana" w:cs="Arial"/>
          <w:color w:val="000000" w:themeColor="text1"/>
        </w:rPr>
        <w:t xml:space="preserve">. </w:t>
      </w:r>
      <w:r>
        <w:rPr>
          <w:rFonts w:ascii="Verdana" w:eastAsia="Times New Roman" w:hAnsi="Verdana" w:cs="Arial"/>
          <w:lang w:eastAsia="es-ES_tradnl"/>
        </w:rPr>
        <w:t>A</w:t>
      </w:r>
      <w:r w:rsidRPr="00D20014">
        <w:rPr>
          <w:rFonts w:ascii="Verdana" w:eastAsia="Times New Roman" w:hAnsi="Verdana" w:cs="Arial"/>
          <w:lang w:eastAsia="es-ES_tradnl"/>
        </w:rPr>
        <w:t xml:space="preserve"> partir del concepto C-066 del 28 de enero de 2022, </w:t>
      </w:r>
      <w:r>
        <w:rPr>
          <w:rFonts w:ascii="Verdana" w:eastAsia="Times New Roman" w:hAnsi="Verdana" w:cs="Arial"/>
          <w:lang w:eastAsia="es-ES_tradnl"/>
        </w:rPr>
        <w:t xml:space="preserve">esta agencia consideró que </w:t>
      </w:r>
      <w:r w:rsidRPr="00D20014">
        <w:rPr>
          <w:rFonts w:ascii="Verdana" w:eastAsia="Calibri" w:hAnsi="Verdana" w:cs="Arial"/>
          <w:bCs/>
          <w:lang w:val="es-ES_tradnl" w:eastAsia="es-ES_tradnl"/>
        </w:rPr>
        <w:t xml:space="preserve">el primer y principal mandato de la norma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w:t>
      </w:r>
      <w:r w:rsidRPr="00D20014">
        <w:rPr>
          <w:rFonts w:ascii="Verdana" w:eastAsia="Calibri" w:hAnsi="Verdana" w:cs="Arial"/>
          <w:bCs/>
          <w:lang w:val="es-ES_tradnl" w:eastAsia="es-ES_tradnl"/>
        </w:rPr>
        <w:lastRenderedPageBreak/>
        <w:t>privado</w:t>
      </w:r>
      <w:r>
        <w:rPr>
          <w:rStyle w:val="Refdenotaalpie"/>
          <w:rFonts w:ascii="Verdana" w:eastAsia="Times New Roman" w:hAnsi="Verdana" w:cs="Arial"/>
          <w:lang w:eastAsia="es-ES_tradnl"/>
        </w:rPr>
        <w:footnoteReference w:id="5"/>
      </w:r>
      <w:r w:rsidRPr="00D20014">
        <w:rPr>
          <w:rFonts w:ascii="Verdana" w:eastAsia="Calibri" w:hAnsi="Verdana" w:cs="Arial"/>
          <w:bCs/>
          <w:lang w:val="es-ES_tradnl" w:eastAsia="es-ES_tradnl"/>
        </w:rPr>
        <w:t xml:space="preserve">. En ese sentido, el primer inciso de la norma reafirma el deber de las entidades sometidas al EGCAP de aplicar los Documentos Tipo. </w:t>
      </w:r>
    </w:p>
    <w:p w14:paraId="1F3A9A9E" w14:textId="77777777" w:rsidR="001A3CE6" w:rsidRPr="00D20014" w:rsidRDefault="001A3CE6" w:rsidP="001A3CE6">
      <w:pPr>
        <w:spacing w:after="120" w:line="276" w:lineRule="auto"/>
        <w:jc w:val="both"/>
        <w:rPr>
          <w:rFonts w:ascii="Verdana" w:eastAsia="Calibri" w:hAnsi="Verdana" w:cs="Arial"/>
          <w:lang w:val="es-ES"/>
        </w:rPr>
      </w:pPr>
      <w:r w:rsidRPr="00D20014">
        <w:rPr>
          <w:rFonts w:ascii="Verdana" w:eastAsia="Calibri" w:hAnsi="Verdana" w:cs="Arial"/>
          <w:bCs/>
          <w:lang w:val="es-ES_tradnl" w:eastAsia="es-ES_tradnl"/>
        </w:rPr>
        <w:tab/>
      </w:r>
      <w:r w:rsidRPr="00D20014">
        <w:rPr>
          <w:rFonts w:ascii="Verdana" w:eastAsia="Calibri" w:hAnsi="Verdana" w:cs="Arial"/>
          <w:lang w:val="es-ES"/>
        </w:rPr>
        <w:t>De acuerdo con esto,</w:t>
      </w:r>
      <w:r>
        <w:rPr>
          <w:rFonts w:ascii="Verdana" w:eastAsia="Calibri" w:hAnsi="Verdana" w:cs="Arial"/>
          <w:lang w:val="es-ES"/>
        </w:rPr>
        <w:t xml:space="preserve"> se sostuvo que</w:t>
      </w:r>
      <w:r w:rsidRPr="00D20014">
        <w:rPr>
          <w:rFonts w:ascii="Verdana" w:eastAsia="Calibri" w:hAnsi="Verdana" w:cs="Arial"/>
          <w:lang w:val="es-ES"/>
        </w:rPr>
        <w:t xml:space="preserve">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264A5786" w14:textId="77777777" w:rsidR="001A3CE6" w:rsidRPr="00D20014" w:rsidRDefault="001A3CE6" w:rsidP="001A3CE6">
      <w:pPr>
        <w:spacing w:after="120" w:line="276" w:lineRule="auto"/>
        <w:jc w:val="both"/>
        <w:rPr>
          <w:rFonts w:ascii="Verdana" w:eastAsia="Calibri" w:hAnsi="Verdana" w:cs="Arial"/>
          <w:lang w:val="es-ES"/>
        </w:rPr>
      </w:pPr>
      <w:r w:rsidRPr="00D20014">
        <w:rPr>
          <w:rFonts w:ascii="Verdana" w:eastAsia="Calibri" w:hAnsi="Verdana" w:cs="Arial"/>
          <w:bCs/>
          <w:lang w:val="es-ES_tradnl"/>
        </w:rPr>
        <w:tab/>
      </w:r>
      <w:r w:rsidRPr="00D20014">
        <w:rPr>
          <w:rFonts w:ascii="Verdana" w:eastAsia="Calibri" w:hAnsi="Verdana" w:cs="Arial"/>
          <w:lang w:val="es-ES"/>
        </w:rPr>
        <w:t xml:space="preserve">Antes de la expedición del artículo 56 </w:t>
      </w:r>
      <w:r w:rsidRPr="00D20014">
        <w:rPr>
          <w:rFonts w:ascii="Verdana" w:eastAsia="Calibri" w:hAnsi="Verdana" w:cs="Arial"/>
          <w:i/>
          <w:iCs/>
          <w:lang w:val="es-ES"/>
        </w:rPr>
        <w:t>ibidem,</w:t>
      </w:r>
      <w:r w:rsidRPr="00D20014">
        <w:rPr>
          <w:rFonts w:ascii="Verdana" w:eastAsia="Calibri" w:hAnsi="Verdana" w:cs="Arial"/>
          <w:lang w:val="es-ES"/>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2020, incluso tratándose de obras o servicios para cuya contratación </w:t>
      </w:r>
      <w:r>
        <w:rPr>
          <w:rFonts w:ascii="Verdana" w:eastAsia="Calibri" w:hAnsi="Verdana" w:cs="Arial"/>
          <w:lang w:val="es-ES"/>
        </w:rPr>
        <w:t>les resultaba aplicable los</w:t>
      </w:r>
      <w:r w:rsidRPr="00D20014">
        <w:rPr>
          <w:rFonts w:ascii="Verdana" w:eastAsia="Calibri" w:hAnsi="Verdana" w:cs="Arial"/>
          <w:lang w:val="es-ES"/>
        </w:rPr>
        <w:t xml:space="preserve"> documentos tipo vigentes, comoquiera que la aplicación de estos solo era procedente cuando el régimen de la entidad contratante fuera el EGCAP, toda vez que el parágrafo 7 del artículo 2 de la Ley 1150 de 2007 solo se refiere a la obligación de aplicar los documentos tipo en los Procesos de Contratación que adelanten las entidades sometidas al EGCAP. </w:t>
      </w:r>
    </w:p>
    <w:p w14:paraId="0D0C6508" w14:textId="77777777" w:rsidR="001A3CE6" w:rsidRDefault="001A3CE6" w:rsidP="001A3CE6">
      <w:pPr>
        <w:spacing w:after="120" w:line="276" w:lineRule="auto"/>
        <w:jc w:val="both"/>
        <w:rPr>
          <w:rFonts w:ascii="Verdana" w:eastAsia="Calibri" w:hAnsi="Verdana" w:cs="Arial"/>
          <w:lang w:val="es-ES"/>
        </w:rPr>
      </w:pPr>
      <w:r w:rsidRPr="00D20014">
        <w:rPr>
          <w:rFonts w:ascii="Verdana" w:eastAsia="Calibri" w:hAnsi="Verdana" w:cs="Arial"/>
          <w:bCs/>
          <w:lang w:val="es-ES_tradnl"/>
        </w:rPr>
        <w:tab/>
      </w:r>
      <w:r w:rsidRPr="00D20014">
        <w:rPr>
          <w:rFonts w:ascii="Verdana" w:eastAsia="Calibri" w:hAnsi="Verdana" w:cs="Arial"/>
          <w:lang w:val="es-ES"/>
        </w:rPr>
        <w:t xml:space="preserve">Por tanto, la norma, por el hecho de estar dirigida únicamente a las entidades sometidas a la Ley 80 de 1993 y la Ley 1150 de 2007, solo permitía que los documentos tipo tuvieran que aplicarse de manera obligatoria cuando </w:t>
      </w:r>
      <w:r w:rsidRPr="00D20014">
        <w:rPr>
          <w:rFonts w:ascii="Verdana" w:eastAsia="Calibri" w:hAnsi="Verdana" w:cs="Arial"/>
          <w:lang w:val="es-ES"/>
        </w:rPr>
        <w:lastRenderedPageBreak/>
        <w:t>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2F8CA3F9" w14:textId="77777777" w:rsidR="001A3CE6" w:rsidRPr="001D7BDF" w:rsidRDefault="001A3CE6" w:rsidP="001A3CE6">
      <w:pPr>
        <w:spacing w:after="120" w:line="276" w:lineRule="auto"/>
        <w:ind w:firstLine="709"/>
        <w:jc w:val="both"/>
        <w:rPr>
          <w:rFonts w:ascii="Verdana" w:eastAsia="Calibri" w:hAnsi="Verdana" w:cs="Arial"/>
          <w:bCs/>
          <w:lang w:val="es-ES_tradnl"/>
        </w:rPr>
      </w:pPr>
      <w:r w:rsidRPr="00D20014">
        <w:rPr>
          <w:rFonts w:ascii="Verdana" w:eastAsia="Calibri" w:hAnsi="Verdana" w:cs="Arial"/>
          <w:lang w:val="es-ES"/>
        </w:rPr>
        <w:t xml:space="preserve">En este escenario, </w:t>
      </w:r>
      <w:r>
        <w:rPr>
          <w:rFonts w:ascii="Verdana" w:eastAsia="Calibri" w:hAnsi="Verdana" w:cs="Arial"/>
          <w:lang w:val="es-ES"/>
        </w:rPr>
        <w:t xml:space="preserve">se explicó que </w:t>
      </w:r>
      <w:r w:rsidRPr="006705E7">
        <w:rPr>
          <w:rFonts w:ascii="Verdana" w:eastAsia="Calibri" w:hAnsi="Verdana" w:cs="Arial"/>
          <w:bCs/>
          <w:lang w:val="es-ES_tradnl"/>
        </w:rPr>
        <w:t>el efecto de</w:t>
      </w:r>
      <w:r>
        <w:rPr>
          <w:rFonts w:ascii="Verdana" w:eastAsia="Calibri" w:hAnsi="Verdana" w:cs="Arial"/>
          <w:bCs/>
          <w:lang w:val="es-ES_tradnl"/>
        </w:rPr>
        <w:t xml:space="preserve">l artículo 56 de la Ley 2195 de 2022 </w:t>
      </w:r>
      <w:r w:rsidRPr="006705E7">
        <w:rPr>
          <w:rFonts w:ascii="Verdana" w:eastAsia="Calibri" w:hAnsi="Verdana" w:cs="Arial"/>
          <w:bCs/>
          <w:lang w:val="es-ES_tradnl"/>
        </w:rPr>
        <w:t xml:space="preserve">es ampliar el ámbito de aplicación de los documentos tipo, haciendo obligatoria su aplicación a unos sujetos que, en principio, de acuerdo con la Ley 2022 de 2020, no estarían obligados a aplicarlos. De igual forma, la norma hace extensiva la aplicación del EGCAP a sujetos que en virtud de su naturaleza jurídica tienen como regla general un régimen de contratación diferente, como, por ejemplo, las entidades exceptuadas, los patrimonios autónomos, personas naturales y jurídicas de derecho privado, a los que expresamente hace alusión el artículo 56.    </w:t>
      </w:r>
    </w:p>
    <w:p w14:paraId="417B468C" w14:textId="77777777" w:rsidR="001A3CE6" w:rsidRDefault="001A3CE6" w:rsidP="001A3CE6">
      <w:pPr>
        <w:spacing w:after="0" w:line="276" w:lineRule="auto"/>
        <w:ind w:firstLine="709"/>
        <w:jc w:val="both"/>
        <w:rPr>
          <w:rFonts w:ascii="Verdana" w:eastAsia="Calibri" w:hAnsi="Verdana" w:cs="Arial"/>
          <w:lang w:val="es-ES_tradnl"/>
        </w:rPr>
      </w:pPr>
      <w:r>
        <w:rPr>
          <w:rFonts w:ascii="Verdana" w:eastAsia="Calibri" w:hAnsi="Verdana" w:cs="Arial"/>
          <w:lang w:val="es-ES"/>
        </w:rPr>
        <w:t xml:space="preserve">Por consiguiente, se concluyó que </w:t>
      </w:r>
      <w:r>
        <w:rPr>
          <w:rFonts w:ascii="Verdana" w:eastAsia="Calibri" w:hAnsi="Verdana" w:cs="Arial"/>
          <w:lang w:val="es-ES_tradnl"/>
        </w:rPr>
        <w:t>d</w:t>
      </w:r>
      <w:r w:rsidRPr="00A15733">
        <w:rPr>
          <w:rFonts w:ascii="Verdana" w:eastAsia="Calibri" w:hAnsi="Verdana" w:cs="Arial"/>
          <w:lang w:val="es-ES_tradnl"/>
        </w:rPr>
        <w:t>e conformidad con el artículo 56 de la Ley 2195 de 2022, las entidades de régimen especial o exceptuado, los patrimonios autónomos, las personas naturales y jurídicas de derecho privado, que, en el marco de compromisos contractuales derivados de contratos o convenios de cualquier índole con entidades sometidas al Estatuto General de Contratación de la Administración Pública, deban contratar objetos cobijados por el ámbito de aplicación de documentos tipo, están obligados a contratarlos aplicando los mencionados documentos. En virtud de dicha disposición, tales entidades, además, deberán adelantar el Proceso de Contratación y celebrar contrato</w:t>
      </w:r>
      <w:r>
        <w:rPr>
          <w:rFonts w:ascii="Verdana" w:eastAsia="Calibri" w:hAnsi="Verdana" w:cs="Arial"/>
          <w:lang w:val="es-ES_tradnl"/>
        </w:rPr>
        <w:t>s</w:t>
      </w:r>
      <w:r w:rsidRPr="00A15733">
        <w:rPr>
          <w:rFonts w:ascii="Verdana" w:eastAsia="Calibri" w:hAnsi="Verdana" w:cs="Arial"/>
          <w:lang w:val="es-ES_tradnl"/>
        </w:rPr>
        <w:t xml:space="preserve"> aplicando las disposiciones que integran el Estatuto General de Contratación de la Administración Pública, de manera obligatoria.  </w:t>
      </w:r>
    </w:p>
    <w:p w14:paraId="314E4074" w14:textId="77777777" w:rsidR="001A3CE6" w:rsidRDefault="001A3CE6" w:rsidP="001A3CE6">
      <w:pPr>
        <w:spacing w:after="0" w:line="276" w:lineRule="auto"/>
        <w:ind w:firstLine="709"/>
        <w:jc w:val="both"/>
        <w:rPr>
          <w:rFonts w:ascii="Verdana" w:eastAsia="Calibri" w:hAnsi="Verdana" w:cs="Arial"/>
          <w:lang w:val="es-ES_tradnl"/>
        </w:rPr>
      </w:pPr>
    </w:p>
    <w:p w14:paraId="220B6295" w14:textId="77777777" w:rsidR="001A3CE6" w:rsidRPr="00933BC9" w:rsidRDefault="001A3CE6" w:rsidP="001A3CE6">
      <w:pPr>
        <w:spacing w:after="120" w:line="276" w:lineRule="auto"/>
        <w:jc w:val="both"/>
        <w:rPr>
          <w:rFonts w:ascii="Verdana" w:eastAsia="Calibri" w:hAnsi="Verdana" w:cs="Arial"/>
          <w:lang w:val="es-ES_tradnl" w:eastAsia="es-ES_tradnl"/>
        </w:rPr>
      </w:pPr>
      <w:proofErr w:type="spellStart"/>
      <w:r>
        <w:rPr>
          <w:rFonts w:ascii="Verdana" w:eastAsia="Calibri" w:hAnsi="Verdana" w:cs="Arial"/>
          <w:lang w:val="es-ES"/>
        </w:rPr>
        <w:t>iv</w:t>
      </w:r>
      <w:proofErr w:type="spellEnd"/>
      <w:r>
        <w:rPr>
          <w:rFonts w:ascii="Verdana" w:eastAsia="Calibri" w:hAnsi="Verdana" w:cs="Arial"/>
          <w:lang w:val="es-ES"/>
        </w:rPr>
        <w:t xml:space="preserve">. Por otro lado, en los Conceptos </w:t>
      </w:r>
      <w:r w:rsidRPr="008E13BF">
        <w:rPr>
          <w:rFonts w:ascii="Verdana" w:eastAsia="Calibri" w:hAnsi="Verdana" w:cs="Arial"/>
          <w:lang w:eastAsia="es-ES_tradnl"/>
        </w:rPr>
        <w:t>C-486 del 2 de septiembre de 2022</w:t>
      </w:r>
      <w:r w:rsidRPr="008E13BF">
        <w:rPr>
          <w:rFonts w:ascii="Verdana" w:eastAsia="Calibri" w:hAnsi="Verdana" w:cs="Arial"/>
          <w:lang w:val="es-ES_tradnl" w:eastAsia="es-ES_tradnl"/>
        </w:rPr>
        <w:t>,</w:t>
      </w:r>
      <w:r>
        <w:rPr>
          <w:rFonts w:ascii="Verdana" w:eastAsia="Calibri" w:hAnsi="Verdana" w:cs="Arial"/>
          <w:lang w:val="es-ES_tradnl" w:eastAsia="es-ES_tradnl"/>
        </w:rPr>
        <w:t xml:space="preserve"> </w:t>
      </w:r>
      <w:r w:rsidRPr="00294D7A">
        <w:rPr>
          <w:rFonts w:ascii="Verdana" w:eastAsia="Calibri" w:hAnsi="Verdana" w:cs="Arial"/>
          <w:lang w:eastAsia="es-ES_tradnl"/>
        </w:rPr>
        <w:t>C-671 del 19 de octubre de 2022</w:t>
      </w:r>
      <w:r>
        <w:rPr>
          <w:rFonts w:ascii="Verdana" w:eastAsia="Calibri" w:hAnsi="Verdana" w:cs="Arial"/>
          <w:lang w:eastAsia="es-ES_tradnl"/>
        </w:rPr>
        <w:t xml:space="preserve">, </w:t>
      </w:r>
      <w:r w:rsidRPr="00294D7A">
        <w:rPr>
          <w:rFonts w:ascii="Verdana" w:eastAsia="Calibri" w:hAnsi="Verdana" w:cs="Arial"/>
          <w:lang w:eastAsia="es-ES_tradnl"/>
        </w:rPr>
        <w:t>C-576 del 25 de octubre de 2022</w:t>
      </w:r>
      <w:r>
        <w:rPr>
          <w:rFonts w:ascii="Verdana" w:eastAsia="Calibri" w:hAnsi="Verdana" w:cs="Arial"/>
          <w:lang w:eastAsia="es-ES_tradnl"/>
        </w:rPr>
        <w:t>,</w:t>
      </w:r>
      <w:r>
        <w:rPr>
          <w:rFonts w:ascii="Verdana" w:eastAsia="Calibri" w:hAnsi="Verdana" w:cs="Arial"/>
          <w:lang w:val="es-ES_tradnl" w:eastAsia="es-ES_tradnl"/>
        </w:rPr>
        <w:t xml:space="preserve"> </w:t>
      </w:r>
      <w:r>
        <w:rPr>
          <w:rFonts w:ascii="Verdana" w:eastAsia="Calibri" w:hAnsi="Verdana" w:cs="Arial"/>
          <w:lang w:eastAsia="es-ES_tradnl"/>
        </w:rPr>
        <w:t xml:space="preserve"> </w:t>
      </w:r>
      <w:r w:rsidRPr="00294D7A">
        <w:rPr>
          <w:rFonts w:ascii="Verdana" w:eastAsia="Calibri" w:hAnsi="Verdana" w:cs="Arial"/>
          <w:lang w:eastAsia="es-ES_tradnl"/>
        </w:rPr>
        <w:t>C-042 del 29 de marzo de 2023</w:t>
      </w:r>
      <w:r>
        <w:rPr>
          <w:rFonts w:ascii="Verdana" w:eastAsia="Calibri" w:hAnsi="Verdana" w:cs="Arial"/>
          <w:lang w:eastAsia="es-ES_tradnl"/>
        </w:rPr>
        <w:t xml:space="preserve">, </w:t>
      </w:r>
      <w:r w:rsidRPr="00294D7A">
        <w:rPr>
          <w:rFonts w:ascii="Verdana" w:eastAsia="Calibri" w:hAnsi="Verdana" w:cs="Arial"/>
          <w:lang w:eastAsia="es-ES_tradnl"/>
        </w:rPr>
        <w:t>C-299 del 24 de julio de 2023,</w:t>
      </w:r>
      <w:r w:rsidRPr="00BD0872">
        <w:rPr>
          <w:rFonts w:ascii="Verdana" w:eastAsia="Calibri" w:hAnsi="Verdana" w:cs="Arial"/>
          <w:lang w:eastAsia="es-ES_tradnl"/>
        </w:rPr>
        <w:t xml:space="preserve"> </w:t>
      </w:r>
      <w:r>
        <w:rPr>
          <w:rFonts w:ascii="Verdana" w:eastAsia="Calibri" w:hAnsi="Verdana" w:cs="Arial"/>
          <w:lang w:val="es-ES_tradnl" w:eastAsia="es-ES_tradnl"/>
        </w:rPr>
        <w:t>C-354 del 6 de septiembre de 2023,</w:t>
      </w:r>
      <w:r w:rsidRPr="00BD0872">
        <w:rPr>
          <w:rFonts w:ascii="Verdana" w:eastAsia="Calibri" w:hAnsi="Verdana" w:cs="Arial"/>
          <w:lang w:eastAsia="es-ES_tradnl"/>
        </w:rPr>
        <w:t xml:space="preserve"> </w:t>
      </w:r>
      <w:r>
        <w:rPr>
          <w:rFonts w:ascii="Verdana" w:eastAsia="Calibri" w:hAnsi="Verdana" w:cs="Arial"/>
          <w:lang w:val="es-ES_tradnl" w:eastAsia="es-ES_tradnl"/>
        </w:rPr>
        <w:t>C-399 del 27 de septiembre de 2023, C-079 del 5 de junio de 2024, C-055 del 9 de mayo de 2024, C-095 del 19 de junio de 2024, C-104 del 21 de junio de 2024,</w:t>
      </w:r>
      <w:r w:rsidRPr="008F59B8">
        <w:rPr>
          <w:rFonts w:ascii="Verdana" w:eastAsia="Calibri" w:hAnsi="Verdana" w:cs="Arial"/>
          <w:lang w:val="es-ES"/>
        </w:rPr>
        <w:t xml:space="preserve"> </w:t>
      </w:r>
      <w:r>
        <w:rPr>
          <w:rFonts w:ascii="Verdana" w:eastAsia="Calibri" w:hAnsi="Verdana" w:cs="Arial"/>
          <w:lang w:val="es-ES"/>
        </w:rPr>
        <w:t>C-396 del 10 de septiembre de 2024,</w:t>
      </w:r>
      <w:r>
        <w:rPr>
          <w:rFonts w:ascii="Verdana" w:eastAsia="Calibri" w:hAnsi="Verdana" w:cs="Arial"/>
          <w:lang w:val="es-ES_tradnl" w:eastAsia="es-ES_tradnl"/>
        </w:rPr>
        <w:t xml:space="preserve"> </w:t>
      </w:r>
      <w:r>
        <w:rPr>
          <w:rFonts w:ascii="Verdana" w:eastAsia="Calibri" w:hAnsi="Verdana" w:cs="Arial"/>
          <w:lang w:val="es-ES"/>
        </w:rPr>
        <w:t xml:space="preserve">C-802 del 13 de diciembre de </w:t>
      </w:r>
      <w:r w:rsidRPr="006A4FEF">
        <w:rPr>
          <w:rFonts w:ascii="Verdana" w:eastAsia="Calibri" w:hAnsi="Verdana" w:cs="Arial"/>
          <w:lang w:val="es-ES"/>
        </w:rPr>
        <w:t>2024</w:t>
      </w:r>
      <w:bookmarkStart w:id="5" w:name="_Hlk176877694"/>
      <w:r>
        <w:rPr>
          <w:rFonts w:ascii="Verdana" w:eastAsia="Calibri" w:hAnsi="Verdana" w:cs="Arial"/>
          <w:lang w:val="es-ES"/>
        </w:rPr>
        <w:t xml:space="preserve"> y 049 del 17 de febrero de 2025</w:t>
      </w:r>
      <w:r>
        <w:rPr>
          <w:rFonts w:ascii="Verdana" w:eastAsia="Calibri" w:hAnsi="Verdana" w:cs="Arial"/>
          <w:lang w:eastAsia="es-ES_tradnl"/>
        </w:rPr>
        <w:t xml:space="preserve"> </w:t>
      </w:r>
      <w:r>
        <w:rPr>
          <w:rFonts w:ascii="Verdana" w:eastAsia="Calibri" w:hAnsi="Verdana" w:cs="Arial"/>
          <w:lang w:val="es-ES_tradnl" w:eastAsia="es-ES_tradnl"/>
        </w:rPr>
        <w:t xml:space="preserve">se indicó que la aplicación del inciso primero del artículo 56 de la Ley 2195 de 2022 se debe efectuar </w:t>
      </w:r>
      <w:bookmarkEnd w:id="5"/>
      <w:r>
        <w:rPr>
          <w:rFonts w:ascii="Verdana" w:eastAsia="Calibri" w:hAnsi="Verdana" w:cs="Arial"/>
          <w:lang w:val="es-ES_tradnl" w:eastAsia="es-ES_tradnl"/>
        </w:rPr>
        <w:t xml:space="preserve">en el marco de la regla de interpretación por contexto conforme al criterio hermenéutico del </w:t>
      </w:r>
      <w:r>
        <w:rPr>
          <w:rFonts w:ascii="Verdana" w:eastAsia="Calibri" w:hAnsi="Verdana" w:cs="Arial"/>
          <w:lang w:val="es-ES_tradnl" w:eastAsia="es-ES_tradnl"/>
        </w:rPr>
        <w:lastRenderedPageBreak/>
        <w:t>artículo 30 del Código Civil</w:t>
      </w:r>
      <w:r>
        <w:rPr>
          <w:rStyle w:val="Refdenotaalpie"/>
          <w:rFonts w:ascii="Verdana" w:eastAsia="Calibri" w:hAnsi="Verdana" w:cs="Arial"/>
          <w:lang w:val="es-ES_tradnl" w:eastAsia="es-ES_tradnl"/>
        </w:rPr>
        <w:footnoteReference w:id="6"/>
      </w:r>
      <w:r>
        <w:rPr>
          <w:rFonts w:ascii="Verdana" w:eastAsia="Calibri" w:hAnsi="Verdana" w:cs="Arial"/>
          <w:lang w:val="es-ES_tradnl" w:eastAsia="es-ES_tradnl"/>
        </w:rPr>
        <w:t xml:space="preserve">, y de interpretación por extensión de una ley consagrada en el artículo 31 </w:t>
      </w:r>
      <w:r>
        <w:rPr>
          <w:rFonts w:ascii="Verdana" w:eastAsia="Calibri" w:hAnsi="Verdana" w:cs="Arial"/>
          <w:i/>
          <w:iCs/>
          <w:lang w:val="es-ES_tradnl" w:eastAsia="es-ES_tradnl"/>
        </w:rPr>
        <w:t>ibidem</w:t>
      </w:r>
      <w:r>
        <w:rPr>
          <w:rStyle w:val="Refdenotaalpie"/>
          <w:rFonts w:ascii="Verdana" w:eastAsia="Calibri" w:hAnsi="Verdana" w:cs="Arial"/>
          <w:i/>
          <w:iCs/>
          <w:lang w:val="es-ES_tradnl" w:eastAsia="es-ES_tradnl"/>
        </w:rPr>
        <w:footnoteReference w:id="7"/>
      </w:r>
      <w:r>
        <w:rPr>
          <w:rFonts w:ascii="Verdana" w:eastAsia="Calibri" w:hAnsi="Verdana" w:cs="Arial"/>
          <w:lang w:val="es-ES_tradnl" w:eastAsia="es-ES_tradnl"/>
        </w:rPr>
        <w:t>. De conformidad con ello se explicó que “</w:t>
      </w:r>
      <w:r>
        <w:rPr>
          <w:rFonts w:ascii="Verdana" w:eastAsia="Calibri" w:hAnsi="Verdana" w:cs="Arial"/>
          <w:bCs/>
          <w:lang w:val="es-ES_tradnl" w:eastAsia="es-ES_tradnl"/>
        </w:rPr>
        <w:t>no pudiera</w:t>
      </w:r>
      <w:r>
        <w:rPr>
          <w:rFonts w:ascii="Verdana" w:eastAsia="Calibri" w:hAnsi="Verdana" w:cs="Arial"/>
          <w:lang w:val="es-ES_tradnl" w:eastAsia="es-ES_tradnl"/>
        </w:rPr>
        <w:t xml:space="preserve"> pensarse que se extiende la aplicación a particulares y a entidades con régimen de contratación especial la obligatoriedad de adelantar procesos de selección y suscribir contratos sometidos al EGCAP, puesto que el texto de la Ley 2022 de 2020 establece de manera literal que la regla de aplicación obligatoria de los Documentos Tipo en los Procesos de Contratación adelantados por las Entidades Estatales regidas por el EGCAP, es decir,</w:t>
      </w:r>
      <w:r>
        <w:rPr>
          <w:rFonts w:ascii="Verdana" w:eastAsia="Calibri" w:hAnsi="Verdana" w:cs="Arial"/>
          <w:bCs/>
          <w:lang w:val="es-ES_tradnl" w:eastAsia="es-ES_tradnl"/>
        </w:rPr>
        <w:t xml:space="preserve"> </w:t>
      </w:r>
      <w:r>
        <w:rPr>
          <w:rFonts w:ascii="Verdana" w:eastAsia="Calibri" w:hAnsi="Verdana" w:cs="Arial"/>
          <w:lang w:val="es-ES_tradnl" w:eastAsia="es-ES_tradnl"/>
        </w:rPr>
        <w:t xml:space="preserve">la obligatoriedad de utilizar Documentos Tipo </w:t>
      </w:r>
      <w:r>
        <w:rPr>
          <w:rFonts w:ascii="Verdana" w:eastAsia="Calibri" w:hAnsi="Verdana" w:cs="Arial"/>
          <w:bCs/>
          <w:lang w:val="es-ES_tradnl" w:eastAsia="es-ES_tradnl"/>
        </w:rPr>
        <w:t xml:space="preserve">se extiende </w:t>
      </w:r>
      <w:r>
        <w:rPr>
          <w:rFonts w:ascii="Verdana" w:eastAsia="Calibri" w:hAnsi="Verdana" w:cs="Arial"/>
          <w:lang w:val="es-ES_tradnl" w:eastAsia="es-ES_tradnl"/>
        </w:rPr>
        <w:t xml:space="preserve">en los convenios o contratos interadministrativos o de cualquier otra índole, </w:t>
      </w:r>
      <w:r>
        <w:rPr>
          <w:rFonts w:ascii="Verdana" w:eastAsia="Calibri" w:hAnsi="Verdana" w:cs="Arial"/>
          <w:bCs/>
          <w:lang w:val="es-ES_tradnl" w:eastAsia="es-ES_tradnl"/>
        </w:rPr>
        <w:t xml:space="preserve">y </w:t>
      </w:r>
      <w:r>
        <w:rPr>
          <w:rFonts w:ascii="Verdana" w:eastAsia="Calibri" w:hAnsi="Verdana" w:cs="Arial"/>
          <w:lang w:val="es-ES_tradnl" w:eastAsia="es-ES_tradnl"/>
        </w:rPr>
        <w:t>a las diferentes modalidades de selección de los Procesos de Contratación adelantados por entidades sometidas al EGCAP</w:t>
      </w:r>
      <w:r>
        <w:rPr>
          <w:rFonts w:ascii="Verdana" w:eastAsia="Calibri" w:hAnsi="Verdana" w:cs="Arial"/>
          <w:bCs/>
          <w:lang w:val="es-ES_tradnl" w:eastAsia="es-ES_tradnl"/>
        </w:rPr>
        <w:t>”.</w:t>
      </w:r>
    </w:p>
    <w:p w14:paraId="29D1A9B3" w14:textId="77777777" w:rsidR="001A3CE6" w:rsidRDefault="001A3CE6" w:rsidP="001A3CE6">
      <w:pPr>
        <w:spacing w:after="120" w:line="276" w:lineRule="auto"/>
        <w:ind w:firstLine="709"/>
        <w:jc w:val="both"/>
        <w:rPr>
          <w:rFonts w:ascii="Verdana" w:eastAsia="Calibri" w:hAnsi="Verdana" w:cs="Arial"/>
          <w:bCs/>
          <w:lang w:val="es-ES_tradnl" w:eastAsia="es-ES_tradnl"/>
        </w:rPr>
      </w:pPr>
      <w:r>
        <w:rPr>
          <w:rFonts w:ascii="Verdana" w:eastAsia="Calibri" w:hAnsi="Verdana" w:cs="Arial"/>
          <w:lang w:val="es-ES" w:eastAsia="es-ES"/>
        </w:rPr>
        <w:t xml:space="preserve">De esta forma, se argumentó que </w:t>
      </w:r>
      <w:bookmarkStart w:id="6" w:name="_Hlk176861444"/>
      <w:bookmarkStart w:id="7" w:name="_Hlk144075366"/>
      <w:r>
        <w:rPr>
          <w:rFonts w:ascii="Verdana" w:eastAsia="Calibri" w:hAnsi="Verdana" w:cs="Arial"/>
          <w:bCs/>
          <w:lang w:val="es-ES_tradnl" w:eastAsia="es-ES_tradnl"/>
        </w:rPr>
        <w:t xml:space="preserve">con la entrada en vigencia del artículo 56 de la Ley 2195 de 2022, la aplicación de Documentos Pliego Tipo resulta obligatoria cuando la Entidad Estatal opta por celebrar convenios o contratos interadministrativos, o de cualquier otra índole, sin que por ello implique que las entidades de regímenes especiales de contratación, patrimonios autónomos o personas naturales o jurídicas de derecho privado se las haya habilitado legalmente para que apliquen Documentos Pliego Tipo en su contratación privada, por cuanto, la norma parte de la premisa fundamental de que la aplicación de estos solo es procedente para entidades cuyo régimen contractual corresponde al EGCAP. Esto en la medida en que, </w:t>
      </w:r>
      <w:bookmarkStart w:id="8" w:name="_Hlk109963698"/>
      <w:r>
        <w:rPr>
          <w:rFonts w:ascii="Verdana" w:eastAsia="Calibri" w:hAnsi="Verdana" w:cs="Arial"/>
          <w:bCs/>
          <w:lang w:val="es-ES_tradnl" w:eastAsia="es-ES_tradnl"/>
        </w:rPr>
        <w:t>el parágrafo 7 del artículo 2 de la Ley 1150 de 2007, modificado por la Ley 2022 de 2020, solo se refiere a la obligación de aplicar los Documentos Tipo en los Procesos de Contratación que adelanten las entidades sometidas al EGCAP.</w:t>
      </w:r>
      <w:r>
        <w:rPr>
          <w:rFonts w:ascii="Verdana" w:eastAsia="Calibri" w:hAnsi="Verdana" w:cs="Arial"/>
          <w:bCs/>
          <w:strike/>
          <w:lang w:val="es-ES_tradnl" w:eastAsia="es-ES_tradnl"/>
        </w:rPr>
        <w:t xml:space="preserve"> </w:t>
      </w:r>
      <w:bookmarkEnd w:id="6"/>
      <w:bookmarkEnd w:id="8"/>
    </w:p>
    <w:bookmarkEnd w:id="7"/>
    <w:p w14:paraId="6B67FB03" w14:textId="77777777" w:rsidR="001A3CE6" w:rsidRDefault="001A3CE6" w:rsidP="001A3CE6">
      <w:pPr>
        <w:spacing w:after="120" w:line="276" w:lineRule="auto"/>
        <w:ind w:firstLine="709"/>
        <w:jc w:val="both"/>
        <w:rPr>
          <w:rFonts w:ascii="Verdana" w:eastAsia="Calibri" w:hAnsi="Verdana" w:cs="Arial"/>
        </w:rPr>
      </w:pPr>
      <w:r>
        <w:rPr>
          <w:rFonts w:ascii="Verdana" w:eastAsia="Calibri" w:hAnsi="Verdana" w:cs="Arial"/>
          <w:lang w:val="es-ES"/>
        </w:rPr>
        <w:t xml:space="preserve">Así, se concluyó que para la interpretación del inciso primero del artículo 56 de la Ley 2195 de 2022 </w:t>
      </w:r>
      <w:r w:rsidRPr="00440BA4">
        <w:rPr>
          <w:rFonts w:ascii="Verdana" w:eastAsia="Calibri" w:hAnsi="Verdana" w:cs="Arial"/>
          <w:lang w:val="es-ES"/>
        </w:rPr>
        <w:t xml:space="preserve">deberán tenerse en cuenta las siguientes reglas: i) </w:t>
      </w:r>
      <w:r w:rsidRPr="00440BA4">
        <w:rPr>
          <w:rFonts w:ascii="Verdana" w:eastAsia="Calibri" w:hAnsi="Verdana" w:cs="Arial"/>
          <w:i/>
          <w:lang w:val="es-ES"/>
        </w:rPr>
        <w:t>en el caso de los convenios interadministrativos o de cualquier otra índole:</w:t>
      </w:r>
      <w:r w:rsidRPr="00440BA4">
        <w:rPr>
          <w:rFonts w:ascii="Verdana" w:eastAsia="Calibri" w:hAnsi="Verdana" w:cs="Arial"/>
          <w:lang w:val="es-ES"/>
        </w:rPr>
        <w:t xml:space="preserve"> la obligación de llevar a cabo la selección de los Procesos de Contratación y celebrar los respectivos contratos para adquirir aquellas obras o servicios para cuya contratación le fuese aplicable los Documentos Tipo vigentes y que deban contratarse en el marco del convenio, deberán ser adelantados por la entidad sometida al EGCAP; y, </w:t>
      </w:r>
      <w:proofErr w:type="spellStart"/>
      <w:r w:rsidRPr="00440BA4">
        <w:rPr>
          <w:rFonts w:ascii="Verdana" w:eastAsia="Calibri" w:hAnsi="Verdana" w:cs="Arial"/>
          <w:lang w:val="es-ES"/>
        </w:rPr>
        <w:t>ii</w:t>
      </w:r>
      <w:proofErr w:type="spellEnd"/>
      <w:r w:rsidRPr="00440BA4">
        <w:rPr>
          <w:rFonts w:ascii="Verdana" w:eastAsia="Calibri" w:hAnsi="Verdana" w:cs="Arial"/>
          <w:lang w:val="es-ES"/>
        </w:rPr>
        <w:t xml:space="preserve">) </w:t>
      </w:r>
      <w:r w:rsidRPr="00440BA4">
        <w:rPr>
          <w:rFonts w:ascii="Verdana" w:eastAsia="Calibri" w:hAnsi="Verdana" w:cs="Arial"/>
          <w:i/>
          <w:lang w:val="es-ES"/>
        </w:rPr>
        <w:t>en el caso de los contratos interadministrativos</w:t>
      </w:r>
      <w:r w:rsidRPr="00440BA4">
        <w:rPr>
          <w:rFonts w:ascii="Verdana" w:eastAsia="Calibri" w:hAnsi="Verdana" w:cs="Arial"/>
          <w:lang w:val="es-ES"/>
        </w:rPr>
        <w:t xml:space="preserve"> </w:t>
      </w:r>
      <w:r w:rsidRPr="00440BA4">
        <w:rPr>
          <w:rFonts w:ascii="Verdana" w:eastAsia="Calibri" w:hAnsi="Verdana" w:cs="Arial"/>
          <w:i/>
          <w:lang w:val="es-ES"/>
        </w:rPr>
        <w:t xml:space="preserve">o de </w:t>
      </w:r>
      <w:r w:rsidRPr="00440BA4">
        <w:rPr>
          <w:rFonts w:ascii="Verdana" w:eastAsia="Calibri" w:hAnsi="Verdana" w:cs="Arial"/>
          <w:i/>
          <w:lang w:val="es-ES"/>
        </w:rPr>
        <w:lastRenderedPageBreak/>
        <w:t>cualquier otra índole</w:t>
      </w:r>
      <w:r w:rsidRPr="00440BA4">
        <w:rPr>
          <w:rFonts w:ascii="Verdana" w:eastAsia="Calibri" w:hAnsi="Verdana" w:cs="Arial"/>
          <w:lang w:val="es-ES"/>
        </w:rPr>
        <w:t xml:space="preserve">: </w:t>
      </w:r>
      <w:r w:rsidRPr="00440BA4">
        <w:rPr>
          <w:rFonts w:ascii="Verdana" w:eastAsia="Calibri" w:hAnsi="Verdana" w:cs="Arial"/>
        </w:rPr>
        <w:t xml:space="preserve">implica que si las Entidades Estatales exceptuadas, los patrimonios autónomos y las personas naturales o jurídicas de derecho privado pretenden ser adjudicatarias de estos contratos, deben someterse a un proceso de selección en el que se apliquen Documentos Tipo expedidos por esta Agencia a cargo de la </w:t>
      </w:r>
      <w:r w:rsidRPr="00440BA4">
        <w:rPr>
          <w:rFonts w:ascii="Verdana" w:eastAsia="Calibri" w:hAnsi="Verdana" w:cs="Arial"/>
          <w:lang w:val="es-ES"/>
        </w:rPr>
        <w:t>entidad sometida al EGCAP</w:t>
      </w:r>
      <w:r>
        <w:rPr>
          <w:rFonts w:ascii="Verdana" w:eastAsia="Calibri" w:hAnsi="Verdana" w:cs="Arial"/>
        </w:rPr>
        <w:t xml:space="preserve">. </w:t>
      </w:r>
    </w:p>
    <w:p w14:paraId="0F158AC5" w14:textId="77777777" w:rsidR="001A3CE6" w:rsidRPr="00440BA4" w:rsidRDefault="001A3CE6" w:rsidP="001A3CE6">
      <w:pPr>
        <w:spacing w:after="0" w:line="276" w:lineRule="auto"/>
        <w:ind w:firstLine="709"/>
        <w:jc w:val="both"/>
        <w:rPr>
          <w:rFonts w:ascii="Verdana" w:eastAsia="Calibri" w:hAnsi="Verdana" w:cs="Arial"/>
        </w:rPr>
      </w:pPr>
      <w:r>
        <w:rPr>
          <w:rFonts w:ascii="Verdana" w:eastAsia="Calibri" w:hAnsi="Verdana" w:cs="Arial"/>
        </w:rPr>
        <w:t xml:space="preserve">Además, se expuso que </w:t>
      </w:r>
      <w:r>
        <w:rPr>
          <w:rFonts w:ascii="Verdana" w:eastAsia="Calibri" w:hAnsi="Verdana" w:cs="Arial"/>
          <w:lang w:val="es-ES" w:eastAsia="es-ES"/>
        </w:rPr>
        <w:t xml:space="preserve">el hecho de que la norma esté dirigida a las entidades sometidas al EGCAP, no tiene otro fin más que el de indicar que la obligación de emplear los Documentos Tipo en el marco de un contrato o convenio interadministrativo, o de cualquier otra índole, recae sobre la misma, pues sólo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Tipo en virtud de lo regulado en el parágrafo 7 del artículo 2 de la Ley 1150 de 2007, modificado por la Ley 2022 de 2020. </w:t>
      </w:r>
    </w:p>
    <w:p w14:paraId="4879519A" w14:textId="77777777" w:rsidR="001A3CE6" w:rsidRDefault="001A3CE6" w:rsidP="001A3CE6">
      <w:pPr>
        <w:spacing w:after="0" w:line="276" w:lineRule="auto"/>
        <w:jc w:val="both"/>
        <w:rPr>
          <w:rFonts w:ascii="Verdana" w:eastAsia="Calibri" w:hAnsi="Verdana" w:cs="Arial"/>
          <w:lang w:val="es-ES"/>
        </w:rPr>
      </w:pPr>
    </w:p>
    <w:p w14:paraId="713C56F6" w14:textId="6BEA05DA" w:rsidR="001A3CE6" w:rsidRPr="00B5229A" w:rsidRDefault="001A3CE6" w:rsidP="001A3CE6">
      <w:pPr>
        <w:spacing w:after="120" w:line="276" w:lineRule="auto"/>
        <w:jc w:val="both"/>
        <w:rPr>
          <w:rFonts w:ascii="Verdana" w:eastAsia="Calibri" w:hAnsi="Verdana" w:cs="Arial"/>
          <w:lang w:eastAsia="es-ES"/>
        </w:rPr>
      </w:pPr>
      <w:r>
        <w:rPr>
          <w:rFonts w:ascii="Verdana" w:eastAsia="Calibri" w:hAnsi="Verdana" w:cs="Arial"/>
          <w:lang w:val="es-ES"/>
        </w:rPr>
        <w:t>v. En este contexto, teniendo en cuenta el contraste de las posturas señaladas que exponen tesis distintas frente a la interpretación del artículo 56 de la</w:t>
      </w:r>
      <w:r w:rsidRPr="00DC7657">
        <w:rPr>
          <w:rFonts w:ascii="Verdana" w:eastAsia="Calibri" w:hAnsi="Verdana" w:cs="Arial"/>
          <w:lang w:val="es-ES" w:eastAsia="es-ES"/>
        </w:rPr>
        <w:t xml:space="preserve"> </w:t>
      </w:r>
      <w:r w:rsidRPr="00D20014">
        <w:rPr>
          <w:rFonts w:ascii="Verdana" w:eastAsia="Calibri" w:hAnsi="Verdana" w:cs="Arial"/>
          <w:lang w:val="es-ES" w:eastAsia="es-ES"/>
        </w:rPr>
        <w:t>Ley 2195 de 202</w:t>
      </w:r>
      <w:r>
        <w:rPr>
          <w:rFonts w:ascii="Verdana" w:eastAsia="Calibri" w:hAnsi="Verdana" w:cs="Arial"/>
          <w:lang w:val="es-ES" w:eastAsia="es-ES"/>
        </w:rPr>
        <w:t>2</w:t>
      </w:r>
      <w:r>
        <w:rPr>
          <w:rFonts w:ascii="Verdana" w:eastAsia="Calibri" w:hAnsi="Verdana" w:cs="Arial"/>
          <w:lang w:val="es-ES"/>
        </w:rPr>
        <w:t>, esta Subdirección consider</w:t>
      </w:r>
      <w:r w:rsidR="009726B1">
        <w:rPr>
          <w:rFonts w:ascii="Verdana" w:eastAsia="Calibri" w:hAnsi="Verdana" w:cs="Arial"/>
          <w:lang w:val="es-ES"/>
        </w:rPr>
        <w:t>ó</w:t>
      </w:r>
      <w:r>
        <w:rPr>
          <w:rFonts w:ascii="Verdana" w:eastAsia="Calibri" w:hAnsi="Verdana" w:cs="Arial"/>
          <w:lang w:val="es-ES"/>
        </w:rPr>
        <w:t xml:space="preserve"> necesario unificar la línea doctrinal respecto del alcance interpretativo de dicha norma</w:t>
      </w:r>
      <w:r>
        <w:rPr>
          <w:rFonts w:ascii="Verdana" w:eastAsia="Calibri" w:hAnsi="Verdana" w:cs="Arial"/>
          <w:lang w:val="es-ES" w:eastAsia="es-ES"/>
        </w:rPr>
        <w:t xml:space="preserve">. </w:t>
      </w:r>
      <w:r w:rsidRPr="00A83537">
        <w:rPr>
          <w:rFonts w:ascii="Verdana" w:eastAsia="Calibri" w:hAnsi="Verdana" w:cs="Arial"/>
          <w:lang w:eastAsia="es-ES"/>
        </w:rPr>
        <w:t>Para</w:t>
      </w:r>
      <w:r>
        <w:rPr>
          <w:rFonts w:ascii="Verdana" w:eastAsia="Calibri" w:hAnsi="Verdana" w:cs="Arial"/>
          <w:lang w:eastAsia="es-ES"/>
        </w:rPr>
        <w:t xml:space="preserve"> tales efectos</w:t>
      </w:r>
      <w:r w:rsidRPr="00A83537">
        <w:rPr>
          <w:rFonts w:ascii="Verdana" w:eastAsia="Calibri" w:hAnsi="Verdana" w:cs="Arial"/>
          <w:lang w:eastAsia="es-ES"/>
        </w:rPr>
        <w:t>,</w:t>
      </w:r>
      <w:r w:rsidR="00855449">
        <w:rPr>
          <w:rFonts w:ascii="Verdana" w:eastAsia="Calibri" w:hAnsi="Verdana" w:cs="Arial"/>
          <w:lang w:eastAsia="es-ES"/>
        </w:rPr>
        <w:t xml:space="preserve"> en el Concepto CU-870 del 13 de agosto de 2025 </w:t>
      </w:r>
      <w:r w:rsidRPr="00A83537">
        <w:rPr>
          <w:rFonts w:ascii="Verdana" w:eastAsia="Calibri" w:hAnsi="Verdana" w:cs="Arial"/>
          <w:lang w:eastAsia="es-ES"/>
        </w:rPr>
        <w:t xml:space="preserve"> se estim</w:t>
      </w:r>
      <w:r w:rsidR="00855449">
        <w:rPr>
          <w:rFonts w:ascii="Verdana" w:eastAsia="Calibri" w:hAnsi="Verdana" w:cs="Arial"/>
          <w:lang w:eastAsia="es-ES"/>
        </w:rPr>
        <w:t xml:space="preserve">ó </w:t>
      </w:r>
      <w:r w:rsidRPr="00A83537">
        <w:rPr>
          <w:rFonts w:ascii="Verdana" w:eastAsia="Calibri" w:hAnsi="Verdana" w:cs="Arial"/>
          <w:lang w:eastAsia="es-ES"/>
        </w:rPr>
        <w:t xml:space="preserve">que la interpretación más adecuada de la norma, atendiendo a su tenor literal y al espíritu </w:t>
      </w:r>
      <w:r>
        <w:rPr>
          <w:rFonts w:ascii="Verdana" w:eastAsia="Calibri" w:hAnsi="Verdana" w:cs="Arial"/>
          <w:lang w:eastAsia="es-ES"/>
        </w:rPr>
        <w:t>de la misma</w:t>
      </w:r>
      <w:r w:rsidRPr="00A83537">
        <w:rPr>
          <w:rFonts w:ascii="Verdana" w:eastAsia="Calibri" w:hAnsi="Verdana" w:cs="Arial"/>
          <w:lang w:eastAsia="es-ES"/>
        </w:rPr>
        <w:t xml:space="preserve">, se alinea con la primera tesis expuesta en el </w:t>
      </w:r>
      <w:r>
        <w:rPr>
          <w:rFonts w:ascii="Verdana" w:eastAsia="Calibri" w:hAnsi="Verdana" w:cs="Arial"/>
          <w:lang w:eastAsia="es-ES"/>
        </w:rPr>
        <w:t>C</w:t>
      </w:r>
      <w:r w:rsidRPr="00A83537">
        <w:rPr>
          <w:rFonts w:ascii="Verdana" w:eastAsia="Calibri" w:hAnsi="Verdana" w:cs="Arial"/>
          <w:lang w:eastAsia="es-ES"/>
        </w:rPr>
        <w:t>oncepto C-066 del 28 de enero de 2022</w:t>
      </w:r>
      <w:r>
        <w:rPr>
          <w:rFonts w:ascii="Verdana" w:eastAsia="Calibri" w:hAnsi="Verdana" w:cs="Arial"/>
          <w:lang w:eastAsia="es-ES"/>
        </w:rPr>
        <w:t xml:space="preserve"> </w:t>
      </w:r>
      <w:r w:rsidRPr="00FF2FD8">
        <w:rPr>
          <w:rFonts w:ascii="Verdana" w:hAnsi="Verdana"/>
        </w:rPr>
        <w:t>desarrollada y complementada en los conceptos</w:t>
      </w:r>
      <w:r>
        <w:rPr>
          <w:rFonts w:ascii="Verdana" w:hAnsi="Verdana"/>
          <w:sz w:val="16"/>
          <w:szCs w:val="16"/>
        </w:rPr>
        <w:t xml:space="preserve"> </w:t>
      </w:r>
      <w:r w:rsidRPr="00393D3E">
        <w:rPr>
          <w:rFonts w:ascii="Verdana" w:hAnsi="Verdana"/>
        </w:rPr>
        <w:t>C-320 del 20 de mayo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y C-808 del 30 de julio de</w:t>
      </w:r>
      <w:r>
        <w:rPr>
          <w:rFonts w:ascii="Verdana" w:hAnsi="Verdana"/>
        </w:rPr>
        <w:t xml:space="preserve"> </w:t>
      </w:r>
      <w:r w:rsidRPr="00393D3E">
        <w:rPr>
          <w:rFonts w:ascii="Verdana" w:hAnsi="Verdana"/>
        </w:rPr>
        <w:t>2025.</w:t>
      </w:r>
    </w:p>
    <w:p w14:paraId="32E1094A" w14:textId="46844BAF" w:rsidR="001A3CE6" w:rsidRPr="00D20014" w:rsidRDefault="001A3CE6" w:rsidP="001A3CE6">
      <w:pPr>
        <w:spacing w:after="120" w:line="276" w:lineRule="auto"/>
        <w:jc w:val="both"/>
        <w:rPr>
          <w:rFonts w:ascii="Verdana" w:eastAsia="Calibri" w:hAnsi="Verdana" w:cs="Arial"/>
          <w:lang w:val="es-ES"/>
        </w:rPr>
      </w:pPr>
      <w:r w:rsidRPr="00D20014">
        <w:rPr>
          <w:rFonts w:ascii="Arial" w:eastAsia="Calibri" w:hAnsi="Arial" w:cs="Arial"/>
          <w:bCs/>
          <w:lang w:val="es-ES_tradnl"/>
        </w:rPr>
        <w:tab/>
      </w:r>
      <w:bookmarkStart w:id="9" w:name="_Hlk99351345"/>
      <w:r w:rsidRPr="00D20014">
        <w:rPr>
          <w:rFonts w:ascii="Verdana" w:eastAsia="Calibri" w:hAnsi="Verdana" w:cs="Arial"/>
          <w:lang w:val="es-ES"/>
        </w:rPr>
        <w:t xml:space="preserve"> </w:t>
      </w:r>
      <w:r>
        <w:rPr>
          <w:rFonts w:ascii="Verdana" w:eastAsia="Calibri" w:hAnsi="Verdana" w:cs="Arial"/>
          <w:lang w:val="es-ES"/>
        </w:rPr>
        <w:t xml:space="preserve">De esta forma, </w:t>
      </w:r>
      <w:r w:rsidR="000E28D3">
        <w:rPr>
          <w:rFonts w:ascii="Verdana" w:eastAsia="Calibri" w:hAnsi="Verdana" w:cs="Arial"/>
          <w:lang w:val="es-ES"/>
        </w:rPr>
        <w:t xml:space="preserve">de conformidad con la postura unifica en el Concepto CU-870 de 2025, </w:t>
      </w:r>
      <w:r w:rsidRPr="0018056C">
        <w:rPr>
          <w:rFonts w:ascii="Verdana" w:eastAsia="Calibri" w:hAnsi="Verdana" w:cs="Arial"/>
          <w:lang w:val="es-ES"/>
        </w:rPr>
        <w:t xml:space="preserve">el primer inciso del artículo 56 de la Ley 2195 de 2022 surge como una disposición complementaria de la Ley 2022 de 2020, en la medida en que, </w:t>
      </w:r>
      <w:r w:rsidRPr="0018056C">
        <w:rPr>
          <w:rFonts w:ascii="Verdana" w:eastAsia="Calibri" w:hAnsi="Verdana" w:cs="Arial"/>
          <w:lang w:val="es-ES"/>
        </w:rPr>
        <w:lastRenderedPageBreak/>
        <w:t xml:space="preserve">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18056C">
        <w:rPr>
          <w:rFonts w:ascii="Verdana" w:eastAsia="Calibri" w:hAnsi="Verdana" w:cs="Arial"/>
          <w:lang w:val="es-ES"/>
        </w:rPr>
        <w:t>ii</w:t>
      </w:r>
      <w:proofErr w:type="spellEnd"/>
      <w:r w:rsidRPr="0018056C">
        <w:rPr>
          <w:rFonts w:ascii="Verdana" w:eastAsia="Calibri" w:hAnsi="Verdana" w:cs="Arial"/>
          <w:lang w:val="es-ES"/>
        </w:rPr>
        <w:t xml:space="preserve">) patrimonios autónomos o </w:t>
      </w:r>
      <w:proofErr w:type="spellStart"/>
      <w:r w:rsidRPr="0018056C">
        <w:rPr>
          <w:rFonts w:ascii="Verdana" w:eastAsia="Calibri" w:hAnsi="Verdana" w:cs="Arial"/>
          <w:lang w:val="es-ES"/>
        </w:rPr>
        <w:t>iii</w:t>
      </w:r>
      <w:proofErr w:type="spellEnd"/>
      <w:r w:rsidRPr="0018056C">
        <w:rPr>
          <w:rFonts w:ascii="Verdana" w:eastAsia="Calibri" w:hAnsi="Verdana" w:cs="Arial"/>
          <w:lang w:val="es-ES"/>
        </w:rPr>
        <w:t>)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r w:rsidRPr="00893489">
        <w:rPr>
          <w:rFonts w:ascii="Verdana" w:eastAsia="Calibri" w:hAnsi="Verdana" w:cs="Arial"/>
          <w:lang w:val="es-ES"/>
        </w:rPr>
        <w:t>.</w:t>
      </w:r>
    </w:p>
    <w:bookmarkEnd w:id="9"/>
    <w:p w14:paraId="7E2E2156" w14:textId="77777777" w:rsidR="001A3CE6" w:rsidRPr="00D20014" w:rsidRDefault="001A3CE6" w:rsidP="001A3CE6">
      <w:pPr>
        <w:tabs>
          <w:tab w:val="left" w:pos="0"/>
        </w:tabs>
        <w:spacing w:after="120" w:line="276" w:lineRule="auto"/>
        <w:jc w:val="both"/>
        <w:rPr>
          <w:rFonts w:ascii="Verdana" w:eastAsia="Calibri" w:hAnsi="Verdana" w:cs="Arial"/>
          <w:lang w:val="es-ES" w:eastAsia="es-ES"/>
        </w:rPr>
      </w:pPr>
      <w:r w:rsidRPr="00D20014">
        <w:rPr>
          <w:rFonts w:ascii="Verdana" w:eastAsia="Calibri" w:hAnsi="Verdana" w:cs="Arial"/>
          <w:bCs/>
          <w:lang w:val="es-ES_tradnl" w:eastAsia="es-ES_tradnl"/>
        </w:rPr>
        <w:tab/>
      </w:r>
      <w:r w:rsidRPr="00D20014">
        <w:rPr>
          <w:rFonts w:ascii="Verdana" w:eastAsia="Calibri" w:hAnsi="Verdana" w:cs="Arial"/>
          <w:lang w:val="es-ES" w:eastAsia="es-ES"/>
        </w:rPr>
        <w:t xml:space="preserve"> Sin perjuicio de lo anterior, solo es posible comprender los efectos de lo dispuesto en el artículo 56 de la </w:t>
      </w:r>
      <w:bookmarkStart w:id="10" w:name="_Hlk205276572"/>
      <w:r w:rsidRPr="00D20014">
        <w:rPr>
          <w:rFonts w:ascii="Verdana" w:eastAsia="Calibri" w:hAnsi="Verdana" w:cs="Arial"/>
          <w:lang w:val="es-ES" w:eastAsia="es-ES"/>
        </w:rPr>
        <w:t>Ley 2195 de 202</w:t>
      </w:r>
      <w:r>
        <w:rPr>
          <w:rFonts w:ascii="Verdana" w:eastAsia="Calibri" w:hAnsi="Verdana" w:cs="Arial"/>
          <w:lang w:val="es-ES" w:eastAsia="es-ES"/>
        </w:rPr>
        <w:t>2</w:t>
      </w:r>
      <w:r w:rsidRPr="00D20014">
        <w:rPr>
          <w:rFonts w:ascii="Verdana" w:eastAsia="Calibri" w:hAnsi="Verdana" w:cs="Arial"/>
          <w:lang w:val="es-ES" w:eastAsia="es-ES"/>
        </w:rPr>
        <w:t xml:space="preserve"> </w:t>
      </w:r>
      <w:bookmarkEnd w:id="10"/>
      <w:r w:rsidRPr="00D20014">
        <w:rPr>
          <w:rFonts w:ascii="Verdana" w:eastAsia="Calibri" w:hAnsi="Verdana" w:cs="Arial"/>
          <w:lang w:val="es-ES" w:eastAsia="es-ES"/>
        </w:rPr>
        <w:t xml:space="preserve">cuando se interpretan en conjunto todos sus componentes. Esto comoquiera que, a lo anterior se le suman las implicaciones de lo ordenado por el segundo inciso de la norma en estudio cuando usa la expresión “los procedimientos de selección y contratos que realicen en desarrollo de los anteriores negocios jurídicos”, a los que se refiere el primer inciso, en los que, además de la aplicación de los documentos tipo, se dispone la aplicación del EGCAP. </w:t>
      </w:r>
    </w:p>
    <w:p w14:paraId="4AC1EF0E" w14:textId="77777777" w:rsidR="001A3CE6" w:rsidRPr="00D20014" w:rsidRDefault="001A3CE6" w:rsidP="001A3CE6">
      <w:pPr>
        <w:tabs>
          <w:tab w:val="left" w:pos="0"/>
        </w:tabs>
        <w:spacing w:after="120" w:line="276" w:lineRule="auto"/>
        <w:jc w:val="both"/>
        <w:rPr>
          <w:rFonts w:ascii="Verdana" w:eastAsia="Calibri" w:hAnsi="Verdana" w:cs="Arial"/>
          <w:lang w:val="es-ES" w:eastAsia="es-ES"/>
        </w:rPr>
      </w:pPr>
      <w:r w:rsidRPr="00D20014">
        <w:rPr>
          <w:rFonts w:ascii="Verdana" w:eastAsia="Calibri" w:hAnsi="Verdana" w:cs="Arial"/>
          <w:lang w:val="es-ES" w:eastAsia="es-ES"/>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D20014">
        <w:rPr>
          <w:rFonts w:ascii="Verdana" w:eastAsia="Calibri" w:hAnsi="Verdana" w:cs="Arial"/>
          <w:lang w:val="es-ES" w:eastAsia="es-ES"/>
        </w:rPr>
        <w:t>ejusdem</w:t>
      </w:r>
      <w:proofErr w:type="spellEnd"/>
      <w:r w:rsidRPr="00D20014">
        <w:rPr>
          <w:rFonts w:ascii="Verdana" w:eastAsia="Calibri" w:hAnsi="Verdana" w:cs="Arial"/>
          <w:lang w:val="es-ES" w:eastAsia="es-ES"/>
        </w:rPr>
        <w:t xml:space="preserve">, si, en efecto, deben subcontratar bienes, obras o servicios, en cumplimiento de un contrato o convenio interadministrativo o de cualquier otra índole, con una entidad estatal sometida a la Ley 80 de 1993, deberá adelantar el procedimiento de selección, </w:t>
      </w:r>
      <w:r w:rsidRPr="00D20014">
        <w:rPr>
          <w:rFonts w:ascii="Verdana" w:eastAsia="Calibri" w:hAnsi="Verdana" w:cs="Arial"/>
          <w:lang w:val="es-ES" w:eastAsia="es-ES"/>
        </w:rPr>
        <w:lastRenderedPageBreak/>
        <w:t xml:space="preserve">así como celebrar el respectivo contrato, implementando los documentos tipo  y aplicando las disposiciones del EGCAP. </w:t>
      </w:r>
    </w:p>
    <w:p w14:paraId="0CFCCDDF" w14:textId="77777777" w:rsidR="001A3CE6" w:rsidRPr="00D20014" w:rsidRDefault="001A3CE6" w:rsidP="001A3CE6">
      <w:pPr>
        <w:tabs>
          <w:tab w:val="left" w:pos="0"/>
        </w:tabs>
        <w:spacing w:after="0" w:line="276" w:lineRule="auto"/>
        <w:jc w:val="both"/>
        <w:rPr>
          <w:rFonts w:ascii="Verdana" w:eastAsia="Calibri" w:hAnsi="Verdana" w:cs="Arial"/>
          <w:lang w:val="es-ES" w:eastAsia="es-ES"/>
        </w:rPr>
      </w:pPr>
      <w:r w:rsidRPr="00D20014">
        <w:rPr>
          <w:rFonts w:ascii="Arial" w:eastAsia="Calibri" w:hAnsi="Arial" w:cs="Arial"/>
          <w:bCs/>
          <w:color w:val="000000"/>
          <w:lang w:val="es-ES_tradnl"/>
        </w:rPr>
        <w:tab/>
      </w:r>
      <w:r w:rsidRPr="00D20014">
        <w:rPr>
          <w:rFonts w:ascii="Verdana" w:eastAsia="Calibri" w:hAnsi="Verdana" w:cs="Arial"/>
          <w:lang w:val="es-ES" w:eastAsia="es-ES"/>
        </w:rPr>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w:t>
      </w:r>
      <w:r>
        <w:rPr>
          <w:rFonts w:ascii="Verdana" w:eastAsia="Calibri" w:hAnsi="Verdana" w:cs="Arial"/>
          <w:lang w:val="es-ES" w:eastAsia="es-ES"/>
        </w:rPr>
        <w:t xml:space="preserve">jurídica </w:t>
      </w:r>
      <w:r w:rsidRPr="00D20014">
        <w:rPr>
          <w:rFonts w:ascii="Verdana" w:eastAsia="Calibri" w:hAnsi="Verdana" w:cs="Arial"/>
          <w:lang w:val="es-ES" w:eastAsia="es-ES"/>
        </w:rPr>
        <w:t>del proyecto ley</w:t>
      </w:r>
      <w:r>
        <w:rPr>
          <w:rFonts w:ascii="Verdana" w:eastAsia="Calibri" w:hAnsi="Verdana" w:cs="Arial"/>
          <w:lang w:val="es-ES" w:eastAsia="es-ES"/>
        </w:rPr>
        <w:t>, este</w:t>
      </w:r>
      <w:r w:rsidRPr="00D20014">
        <w:rPr>
          <w:rFonts w:ascii="Verdana" w:eastAsia="Calibri" w:hAnsi="Verdana" w:cs="Arial"/>
          <w:lang w:val="es-ES" w:eastAsia="es-ES"/>
        </w:rPr>
        <w:t xml:space="preserve">: </w:t>
      </w:r>
    </w:p>
    <w:p w14:paraId="5972990F" w14:textId="77777777" w:rsidR="001A3CE6" w:rsidRPr="00D20014" w:rsidRDefault="001A3CE6" w:rsidP="001A3CE6">
      <w:pPr>
        <w:tabs>
          <w:tab w:val="left" w:pos="0"/>
        </w:tabs>
        <w:spacing w:after="0" w:line="276" w:lineRule="auto"/>
        <w:jc w:val="both"/>
        <w:rPr>
          <w:rFonts w:ascii="Verdana" w:eastAsia="Calibri" w:hAnsi="Verdana" w:cs="Arial"/>
          <w:lang w:val="es-ES" w:eastAsia="es-ES"/>
        </w:rPr>
      </w:pPr>
    </w:p>
    <w:p w14:paraId="1C66C55E" w14:textId="77777777" w:rsidR="001A3CE6" w:rsidRPr="00D26C5E" w:rsidRDefault="001A3CE6" w:rsidP="001A3CE6">
      <w:pPr>
        <w:tabs>
          <w:tab w:val="left" w:pos="0"/>
        </w:tabs>
        <w:spacing w:after="0" w:line="240" w:lineRule="auto"/>
        <w:ind w:left="709" w:right="709"/>
        <w:jc w:val="both"/>
        <w:rPr>
          <w:rFonts w:ascii="Verdana" w:eastAsia="Calibri" w:hAnsi="Verdana" w:cs="Arial"/>
          <w:bCs/>
          <w:color w:val="000000"/>
          <w:sz w:val="20"/>
          <w:szCs w:val="20"/>
          <w:lang w:val="es-ES_tradnl"/>
        </w:rPr>
      </w:pPr>
      <w:r w:rsidRPr="00D26C5E">
        <w:rPr>
          <w:rFonts w:ascii="Verdana" w:eastAsia="Calibri" w:hAnsi="Verdana" w:cs="Arial"/>
          <w:bCs/>
          <w:color w:val="000000"/>
          <w:sz w:val="20"/>
          <w:szCs w:val="20"/>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D26C5E">
        <w:rPr>
          <w:rFonts w:ascii="Verdana" w:eastAsia="Calibri" w:hAnsi="Verdana" w:cs="Arial"/>
          <w:color w:val="000000"/>
          <w:sz w:val="20"/>
          <w:szCs w:val="20"/>
          <w:vertAlign w:val="superscript"/>
        </w:rPr>
        <w:footnoteReference w:id="8"/>
      </w:r>
      <w:r w:rsidRPr="00D26C5E">
        <w:rPr>
          <w:rFonts w:ascii="Verdana" w:eastAsia="Calibri" w:hAnsi="Verdana" w:cs="Arial"/>
          <w:bCs/>
          <w:color w:val="000000"/>
          <w:sz w:val="20"/>
          <w:szCs w:val="20"/>
          <w:lang w:val="es-ES_tradnl"/>
        </w:rPr>
        <w:t xml:space="preserve">. </w:t>
      </w:r>
    </w:p>
    <w:p w14:paraId="2DAE76B9" w14:textId="77777777" w:rsidR="001A3CE6" w:rsidRPr="00D20014" w:rsidRDefault="001A3CE6" w:rsidP="001A3CE6">
      <w:pPr>
        <w:tabs>
          <w:tab w:val="left" w:pos="0"/>
        </w:tabs>
        <w:spacing w:after="0" w:line="276" w:lineRule="auto"/>
        <w:jc w:val="both"/>
        <w:rPr>
          <w:rFonts w:ascii="Arial" w:eastAsia="Calibri" w:hAnsi="Arial" w:cs="Arial"/>
          <w:bCs/>
          <w:color w:val="000000"/>
          <w:lang w:val="es-ES_tradnl"/>
        </w:rPr>
      </w:pPr>
      <w:r w:rsidRPr="00D20014">
        <w:rPr>
          <w:rFonts w:ascii="Arial" w:eastAsia="Calibri" w:hAnsi="Arial" w:cs="Arial"/>
          <w:bCs/>
          <w:color w:val="000000"/>
          <w:lang w:val="es-ES_tradnl"/>
        </w:rPr>
        <w:tab/>
        <w:t xml:space="preserve"> </w:t>
      </w:r>
    </w:p>
    <w:p w14:paraId="190D6D4D" w14:textId="77777777" w:rsidR="001A3CE6" w:rsidRDefault="001A3CE6" w:rsidP="001A3CE6">
      <w:pPr>
        <w:spacing w:after="0" w:line="276" w:lineRule="auto"/>
        <w:jc w:val="both"/>
        <w:rPr>
          <w:rFonts w:ascii="Verdana" w:eastAsia="Calibri" w:hAnsi="Verdana" w:cs="Arial"/>
          <w:color w:val="000000"/>
          <w:lang w:val="es-ES"/>
        </w:rPr>
      </w:pPr>
      <w:r w:rsidRPr="00D20014">
        <w:rPr>
          <w:rFonts w:ascii="Arial" w:eastAsia="Calibri" w:hAnsi="Arial" w:cs="Arial"/>
          <w:bCs/>
          <w:color w:val="000000"/>
          <w:lang w:val="es-ES_tradnl"/>
        </w:rPr>
        <w:tab/>
      </w:r>
      <w:r w:rsidRPr="00D20014">
        <w:rPr>
          <w:rFonts w:ascii="Verdana" w:eastAsia="Calibri" w:hAnsi="Verdana" w:cs="Arial"/>
          <w:color w:val="000000"/>
          <w:lang w:val="es-ES"/>
        </w:rPr>
        <w:t xml:space="preserve">De lo anterior se </w:t>
      </w:r>
      <w:r>
        <w:rPr>
          <w:rFonts w:ascii="Verdana" w:eastAsia="Calibri" w:hAnsi="Verdana" w:cs="Arial"/>
          <w:color w:val="000000"/>
          <w:lang w:val="es-ES"/>
        </w:rPr>
        <w:t xml:space="preserve">evidencia </w:t>
      </w:r>
      <w:r w:rsidRPr="00D20014">
        <w:rPr>
          <w:rFonts w:ascii="Verdana" w:eastAsia="Calibri" w:hAnsi="Verdana" w:cs="Arial"/>
          <w:color w:val="000000"/>
          <w:lang w:val="es-ES"/>
        </w:rPr>
        <w:t>que 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interadministrativo o de cualquier otra índole,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w:t>
      </w:r>
      <w:r>
        <w:rPr>
          <w:rFonts w:ascii="Verdana" w:eastAsia="Calibri" w:hAnsi="Verdana" w:cs="Arial"/>
          <w:color w:val="000000"/>
          <w:lang w:val="es-ES"/>
        </w:rPr>
        <w:t xml:space="preserve"> </w:t>
      </w:r>
      <w:r w:rsidRPr="00D20014">
        <w:rPr>
          <w:rFonts w:ascii="Verdana" w:eastAsia="Calibri" w:hAnsi="Verdana" w:cs="Arial"/>
          <w:color w:val="000000"/>
          <w:lang w:val="es-ES"/>
        </w:rPr>
        <w:t>o servicios, siempre que exista documento</w:t>
      </w:r>
      <w:r>
        <w:rPr>
          <w:rFonts w:ascii="Verdana" w:eastAsia="Calibri" w:hAnsi="Verdana" w:cs="Arial"/>
          <w:color w:val="000000"/>
          <w:lang w:val="es-ES"/>
        </w:rPr>
        <w:t>s</w:t>
      </w:r>
      <w:r w:rsidRPr="00D20014">
        <w:rPr>
          <w:rFonts w:ascii="Verdana" w:eastAsia="Calibri" w:hAnsi="Verdana" w:cs="Arial"/>
          <w:color w:val="000000"/>
          <w:lang w:val="es-ES"/>
        </w:rPr>
        <w:t xml:space="preserve"> tipo en el sector en el que se adelanta la contratación.  </w:t>
      </w:r>
    </w:p>
    <w:p w14:paraId="3326F180" w14:textId="77777777" w:rsidR="001A3CE6" w:rsidRPr="00D20014" w:rsidRDefault="001A3CE6" w:rsidP="001A3CE6">
      <w:pPr>
        <w:spacing w:after="0" w:line="276" w:lineRule="auto"/>
        <w:jc w:val="both"/>
        <w:rPr>
          <w:rFonts w:ascii="Verdana" w:eastAsia="Calibri" w:hAnsi="Verdana" w:cs="Arial"/>
          <w:color w:val="000000"/>
          <w:lang w:val="es-ES"/>
        </w:rPr>
      </w:pPr>
    </w:p>
    <w:p w14:paraId="780B7CC2" w14:textId="77777777" w:rsidR="001A3CE6" w:rsidRPr="00D20014" w:rsidRDefault="001A3CE6" w:rsidP="001A3CE6">
      <w:pPr>
        <w:spacing w:after="120" w:line="276" w:lineRule="auto"/>
        <w:jc w:val="both"/>
        <w:rPr>
          <w:rFonts w:ascii="Verdana" w:eastAsia="Calibri" w:hAnsi="Verdana" w:cs="Arial"/>
          <w:lang w:val="es-ES" w:eastAsia="es-ES"/>
        </w:rPr>
      </w:pPr>
      <w:r>
        <w:rPr>
          <w:rFonts w:ascii="Verdana" w:eastAsia="Calibri" w:hAnsi="Verdana" w:cs="Arial"/>
          <w:lang w:val="es-ES" w:eastAsia="es-ES"/>
        </w:rPr>
        <w:lastRenderedPageBreak/>
        <w:t xml:space="preserve">vi. </w:t>
      </w:r>
      <w:r w:rsidRPr="00D20014">
        <w:rPr>
          <w:rFonts w:ascii="Verdana" w:eastAsia="Calibri" w:hAnsi="Verdana" w:cs="Arial"/>
          <w:lang w:val="es-ES" w:eastAsia="es-ES"/>
        </w:rPr>
        <w:t>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eventos en los que se imponía el derecho privado.</w:t>
      </w:r>
    </w:p>
    <w:p w14:paraId="6BBE26B2" w14:textId="77777777" w:rsidR="001A3CE6" w:rsidRPr="00D20014" w:rsidRDefault="001A3CE6" w:rsidP="001A3CE6">
      <w:pPr>
        <w:spacing w:after="120" w:line="276" w:lineRule="auto"/>
        <w:ind w:firstLine="709"/>
        <w:jc w:val="both"/>
        <w:rPr>
          <w:rFonts w:ascii="Verdana" w:eastAsia="Calibri" w:hAnsi="Verdana" w:cs="Arial"/>
          <w:lang w:val="es-ES" w:eastAsia="es-ES"/>
        </w:rPr>
      </w:pPr>
      <w:r w:rsidRPr="00D20014">
        <w:rPr>
          <w:rFonts w:ascii="Verdana" w:eastAsia="Calibri" w:hAnsi="Verdana" w:cs="Arial"/>
          <w:lang w:val="es-ES" w:eastAsia="es-ES"/>
        </w:rPr>
        <w:t xml:space="preserve"> En ese sentido, en este último evento el tercer inciso del literal c) del artículo 2, numeral 4 de la Ley 1150 de 2007 daba pie a la aplicación de normas de derecho privado, lo que evidencia una supuesta o aparente tensión entre este y el artículo 56 de la Ley 2195 de 2022, en lo que se refiere al régimen aplicable en estas situaciones, comoquiera que, en estos eventos, al tenor de criterios interpretativos aplicados a lo dispuesto en esta última norma, se entendía que debía aplicarse el EGCAP y los Documentos Tipo. </w:t>
      </w:r>
    </w:p>
    <w:p w14:paraId="78DF5D0B" w14:textId="77777777" w:rsidR="001A3CE6" w:rsidRPr="00D20014" w:rsidRDefault="001A3CE6" w:rsidP="001A3CE6">
      <w:pPr>
        <w:spacing w:after="120" w:line="276" w:lineRule="auto"/>
        <w:jc w:val="both"/>
        <w:rPr>
          <w:rFonts w:ascii="Verdana" w:eastAsia="Calibri" w:hAnsi="Verdana" w:cs="Arial"/>
          <w:lang w:val="es-ES" w:eastAsia="es-ES"/>
        </w:rPr>
      </w:pPr>
      <w:r w:rsidRPr="00D20014">
        <w:rPr>
          <w:rFonts w:ascii="Verdana" w:eastAsia="Calibri" w:hAnsi="Verdana" w:cs="Arial"/>
          <w:bCs/>
          <w:lang w:val="es-ES_tradnl" w:eastAsia="es-ES_tradnl"/>
        </w:rPr>
        <w:tab/>
      </w:r>
      <w:r w:rsidRPr="00D20014">
        <w:rPr>
          <w:rFonts w:ascii="Verdana" w:eastAsia="Calibri" w:hAnsi="Verdana" w:cs="Arial"/>
          <w:lang w:val="es-ES" w:eastAsia="es-ES"/>
        </w:rPr>
        <w:t>Lo anterior suponía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establecían diferentes consecuencias jurídicas, ya que mientras que la primera norma dispone la aplicación del derecho privado, la última impone la aplicación de Documentos Tipo y del EGCAP. Esta aparente contradicción, como se expuso en el numeral anterior, debe ser resuelta en favor del artículo 56 de la Ley 2195 de 2022.</w:t>
      </w:r>
    </w:p>
    <w:p w14:paraId="2C015BDE" w14:textId="77777777" w:rsidR="001A3CE6" w:rsidRPr="00D20014" w:rsidRDefault="001A3CE6" w:rsidP="001A3CE6">
      <w:pPr>
        <w:tabs>
          <w:tab w:val="left" w:pos="0"/>
        </w:tabs>
        <w:spacing w:after="120" w:line="276" w:lineRule="auto"/>
        <w:jc w:val="both"/>
        <w:rPr>
          <w:rFonts w:ascii="Verdana" w:eastAsia="Calibri" w:hAnsi="Verdana" w:cs="Arial"/>
          <w:bCs/>
          <w:lang w:val="es-ES_tradnl" w:eastAsia="es-ES_tradnl"/>
        </w:rPr>
      </w:pPr>
      <w:r w:rsidRPr="00D20014">
        <w:rPr>
          <w:rFonts w:ascii="Verdana" w:eastAsia="Calibri" w:hAnsi="Verdana" w:cs="Arial"/>
          <w:bCs/>
          <w:lang w:val="es-ES_tradnl" w:eastAsia="es-ES_tradnl"/>
        </w:rPr>
        <w:tab/>
        <w:t xml:space="preserve">En efecto, tratándose de disposiciones de igual jerarquía normativa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4B2E2AA4" w14:textId="77777777" w:rsidR="001A3CE6" w:rsidRPr="00670F8B" w:rsidRDefault="001A3CE6" w:rsidP="001A3CE6">
      <w:pPr>
        <w:spacing w:after="120" w:line="276" w:lineRule="auto"/>
        <w:jc w:val="both"/>
        <w:rPr>
          <w:rFonts w:ascii="Verdana" w:eastAsia="Calibri" w:hAnsi="Verdana" w:cs="Arial"/>
          <w:lang w:val="es-ES" w:eastAsia="es-ES"/>
        </w:rPr>
      </w:pPr>
      <w:r w:rsidRPr="00D20014">
        <w:rPr>
          <w:rFonts w:ascii="Verdana" w:eastAsia="Calibri" w:hAnsi="Verdana" w:cs="Arial"/>
          <w:bCs/>
          <w:lang w:val="es-ES_tradnl" w:eastAsia="es-ES_tradnl"/>
        </w:rPr>
        <w:lastRenderedPageBreak/>
        <w:tab/>
      </w:r>
      <w:r w:rsidRPr="00D20014">
        <w:rPr>
          <w:rFonts w:ascii="Verdana" w:eastAsia="Calibri" w:hAnsi="Verdana" w:cs="Arial"/>
          <w:lang w:val="es-ES" w:eastAsia="es-ES"/>
        </w:rPr>
        <w:t xml:space="preserve">En tales términos, de lo analizado hasta aquí es posible concluir que el efecto principal de la norma bajo estudio es la ampliación de los Documentos Tipo, al hacerlos obligatorios frente a unos sujetos que, en principio, de acuerdo con la Ley 2022 de 2020 y el literal c) del numeral 4 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r w:rsidRPr="00B12239">
        <w:rPr>
          <w:rFonts w:ascii="Verdana" w:eastAsia="Calibri" w:hAnsi="Verdana" w:cs="Arial"/>
          <w:bCs/>
          <w:highlight w:val="yellow"/>
          <w:lang w:val="es-ES_tradnl" w:eastAsia="es-ES_tradnl"/>
        </w:rPr>
        <w:t xml:space="preserve"> </w:t>
      </w:r>
    </w:p>
    <w:p w14:paraId="4526AAFF" w14:textId="77777777" w:rsidR="001A3CE6" w:rsidRPr="005035BF" w:rsidRDefault="001A3CE6" w:rsidP="001A3CE6">
      <w:pPr>
        <w:tabs>
          <w:tab w:val="left" w:pos="0"/>
        </w:tabs>
        <w:spacing w:after="0" w:line="276" w:lineRule="auto"/>
        <w:ind w:firstLine="709"/>
        <w:jc w:val="both"/>
        <w:rPr>
          <w:rFonts w:ascii="Arial" w:eastAsia="Calibri" w:hAnsi="Arial" w:cs="Arial"/>
          <w:bCs/>
          <w:lang w:val="es-ES_tradnl"/>
        </w:rPr>
      </w:pPr>
      <w:r w:rsidRPr="00B35DC3">
        <w:rPr>
          <w:rFonts w:ascii="Verdana" w:hAnsi="Verdana" w:cs="Arial"/>
          <w:color w:val="000000" w:themeColor="text1"/>
        </w:rPr>
        <w:t xml:space="preserve">En este contexto, </w:t>
      </w:r>
      <w:r w:rsidRPr="007D6E27">
        <w:rPr>
          <w:rFonts w:ascii="Verdana" w:eastAsia="Calibri" w:hAnsi="Verdana" w:cs="Arial"/>
          <w:bCs/>
          <w:lang w:val="es-ES_tradnl" w:eastAsia="es-ES_tradnl"/>
        </w:rPr>
        <w:t>de la lectura conjunta de los incisos primero y segundo</w:t>
      </w:r>
      <w:r w:rsidRPr="00202EAB">
        <w:rPr>
          <w:rFonts w:ascii="Verdana" w:eastAsia="Calibri" w:hAnsi="Verdana" w:cs="Arial"/>
          <w:bCs/>
          <w:lang w:eastAsia="es-ES_tradnl"/>
        </w:rPr>
        <w:t xml:space="preserve"> </w:t>
      </w:r>
      <w:r>
        <w:rPr>
          <w:rFonts w:ascii="Verdana" w:eastAsia="Calibri" w:hAnsi="Verdana" w:cs="Arial"/>
          <w:bCs/>
          <w:lang w:eastAsia="es-ES_tradnl"/>
        </w:rPr>
        <w:t>d</w:t>
      </w:r>
      <w:r w:rsidRPr="00202EAB">
        <w:rPr>
          <w:rFonts w:ascii="Verdana" w:eastAsia="Calibri" w:hAnsi="Verdana" w:cs="Arial"/>
          <w:bCs/>
          <w:lang w:eastAsia="es-ES_tradnl"/>
        </w:rPr>
        <w:t>el artículo 56 de la Ley 2195 de 2022,</w:t>
      </w:r>
      <w:r w:rsidRPr="007D6E27">
        <w:rPr>
          <w:rFonts w:ascii="Verdana" w:eastAsia="Calibri" w:hAnsi="Verdana" w:cs="Arial"/>
          <w:bCs/>
          <w:lang w:val="es-ES_tradnl" w:eastAsia="es-ES_tradnl"/>
        </w:rPr>
        <w:t xml:space="preserve"> se desprende que </w:t>
      </w:r>
      <w:r w:rsidRPr="00202EAB">
        <w:rPr>
          <w:rFonts w:ascii="Verdana" w:eastAsia="Calibri" w:hAnsi="Verdana" w:cs="Arial"/>
          <w:bCs/>
          <w:lang w:eastAsia="es-ES_tradnl"/>
        </w:rPr>
        <w:t>cuando se celebre un contrato</w:t>
      </w:r>
      <w:r>
        <w:rPr>
          <w:rFonts w:ascii="Verdana" w:eastAsia="Calibri" w:hAnsi="Verdana" w:cs="Arial"/>
          <w:bCs/>
          <w:lang w:eastAsia="es-ES_tradnl"/>
        </w:rPr>
        <w:t xml:space="preserve"> o </w:t>
      </w:r>
      <w:r w:rsidRPr="00202EAB">
        <w:rPr>
          <w:rFonts w:ascii="Verdana" w:eastAsia="Calibri" w:hAnsi="Verdana" w:cs="Arial"/>
          <w:bCs/>
          <w:lang w:eastAsia="es-ES_tradnl"/>
        </w:rPr>
        <w:t xml:space="preserve">convenio interadministrativo o </w:t>
      </w:r>
      <w:r>
        <w:rPr>
          <w:rFonts w:ascii="Verdana" w:eastAsia="Calibri" w:hAnsi="Verdana" w:cs="Arial"/>
          <w:bCs/>
          <w:lang w:eastAsia="es-ES_tradnl"/>
        </w:rPr>
        <w:t xml:space="preserve">de </w:t>
      </w:r>
      <w:r w:rsidRPr="00202EAB">
        <w:rPr>
          <w:rFonts w:ascii="Verdana" w:eastAsia="Calibri" w:hAnsi="Verdana" w:cs="Arial"/>
          <w:bCs/>
          <w:lang w:eastAsia="es-ES_tradnl"/>
        </w:rPr>
        <w:t>cualquier otr</w:t>
      </w:r>
      <w:r>
        <w:rPr>
          <w:rFonts w:ascii="Verdana" w:eastAsia="Calibri" w:hAnsi="Verdana" w:cs="Arial"/>
          <w:bCs/>
          <w:lang w:eastAsia="es-ES_tradnl"/>
        </w:rPr>
        <w:t>a índole entre una entidad sometida al EGCAP y los sujetos allí mencionados,</w:t>
      </w:r>
      <w:r w:rsidRPr="00202EAB">
        <w:rPr>
          <w:rFonts w:ascii="Verdana" w:eastAsia="Calibri" w:hAnsi="Verdana" w:cs="Arial"/>
          <w:bCs/>
          <w:lang w:eastAsia="es-ES_tradnl"/>
        </w:rPr>
        <w:t xml:space="preserve">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7C52C9">
        <w:rPr>
          <w:rFonts w:ascii="Arial" w:eastAsia="Calibri" w:hAnsi="Arial" w:cs="Arial"/>
          <w:bCs/>
          <w:lang w:val="es-ES_tradnl"/>
        </w:rPr>
        <w:t xml:space="preserve"> </w:t>
      </w:r>
      <w:r w:rsidRPr="007C52C9">
        <w:rPr>
          <w:rFonts w:ascii="Verdana" w:eastAsia="Calibri" w:hAnsi="Verdana" w:cs="Arial"/>
          <w:bCs/>
          <w:lang w:val="es-ES_tradnl"/>
        </w:rPr>
        <w:t xml:space="preserve">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777AD52C" w14:textId="77777777" w:rsidR="001A3CE6" w:rsidRDefault="001A3CE6" w:rsidP="001A3CE6">
      <w:pPr>
        <w:tabs>
          <w:tab w:val="left" w:pos="0"/>
        </w:tabs>
        <w:spacing w:after="0" w:line="276" w:lineRule="auto"/>
        <w:jc w:val="both"/>
        <w:rPr>
          <w:rFonts w:ascii="Verdana" w:eastAsia="Calibri" w:hAnsi="Verdana" w:cs="Arial"/>
          <w:bCs/>
          <w:lang w:val="es-ES_tradnl" w:eastAsia="es-ES_tradnl"/>
        </w:rPr>
      </w:pPr>
    </w:p>
    <w:p w14:paraId="3E50DF56" w14:textId="77777777" w:rsidR="001A3CE6" w:rsidRDefault="001A3CE6" w:rsidP="001A3CE6">
      <w:pPr>
        <w:tabs>
          <w:tab w:val="left" w:pos="0"/>
        </w:tabs>
        <w:spacing w:after="120" w:line="276" w:lineRule="auto"/>
        <w:jc w:val="both"/>
        <w:rPr>
          <w:rFonts w:ascii="Verdana" w:eastAsia="Calibri" w:hAnsi="Verdana" w:cs="Arial"/>
          <w:bCs/>
          <w:color w:val="000000"/>
          <w:lang w:val="es-ES_tradnl" w:eastAsia="es-ES_tradnl"/>
        </w:rPr>
      </w:pPr>
      <w:proofErr w:type="spellStart"/>
      <w:r>
        <w:rPr>
          <w:rFonts w:ascii="Verdana" w:eastAsia="Calibri" w:hAnsi="Verdana" w:cs="Arial"/>
          <w:bCs/>
          <w:lang w:val="es-ES_tradnl" w:eastAsia="es-ES_tradnl"/>
        </w:rPr>
        <w:t>vii</w:t>
      </w:r>
      <w:proofErr w:type="spellEnd"/>
      <w:r>
        <w:rPr>
          <w:rFonts w:ascii="Verdana" w:eastAsia="Calibri" w:hAnsi="Verdana" w:cs="Arial"/>
          <w:bCs/>
          <w:lang w:val="es-ES_tradnl" w:eastAsia="es-ES_tradnl"/>
        </w:rPr>
        <w:t>. Sin perjuicio de lo anterior</w:t>
      </w:r>
      <w:r w:rsidRPr="00D20014">
        <w:rPr>
          <w:rFonts w:ascii="Verdana" w:eastAsia="Times New Roman" w:hAnsi="Verdana" w:cs="Arial"/>
          <w:lang w:eastAsia="es-ES_tradnl"/>
        </w:rPr>
        <w:t xml:space="preserve">, </w:t>
      </w:r>
      <w:r w:rsidRPr="00D20014">
        <w:rPr>
          <w:rFonts w:ascii="Verdana" w:eastAsia="Calibri" w:hAnsi="Verdana" w:cs="Arial"/>
          <w:bCs/>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D20014">
        <w:rPr>
          <w:rFonts w:ascii="Verdana" w:eastAsia="Calibri" w:hAnsi="Verdana" w:cs="Arial"/>
          <w:bCs/>
          <w:i/>
          <w:iCs/>
          <w:lang w:val="es-ES_tradnl" w:eastAsia="es-ES_tradnl"/>
        </w:rPr>
        <w:t>giro ordinario</w:t>
      </w:r>
      <w:r w:rsidRPr="00D20014">
        <w:rPr>
          <w:rFonts w:ascii="Verdana" w:eastAsia="Calibri" w:hAnsi="Verdana" w:cs="Arial"/>
          <w:bCs/>
          <w:lang w:val="es-ES_tradnl" w:eastAsia="es-ES_tradnl"/>
        </w:rPr>
        <w:t xml:space="preserve">. Conforme se desprende del texto del referido parágrafo, se exceptúa de lo señalado en los dos primeros incisos a: i) </w:t>
      </w:r>
      <w:r w:rsidRPr="007B495E">
        <w:rPr>
          <w:rFonts w:ascii="Verdana" w:eastAsia="Calibri" w:hAnsi="Verdana" w:cs="Arial"/>
          <w:bCs/>
          <w:lang w:val="es-ES_tradnl" w:eastAsia="es-ES_tradnl"/>
        </w:rPr>
        <w:t xml:space="preserve">las instituciones de educación superior públicas, </w:t>
      </w:r>
      <w:proofErr w:type="spellStart"/>
      <w:r w:rsidRPr="007B495E">
        <w:rPr>
          <w:rFonts w:ascii="Verdana" w:eastAsia="Calibri" w:hAnsi="Verdana" w:cs="Arial"/>
          <w:bCs/>
          <w:lang w:val="es-ES_tradnl" w:eastAsia="es-ES_tradnl"/>
        </w:rPr>
        <w:t>ii</w:t>
      </w:r>
      <w:proofErr w:type="spellEnd"/>
      <w:r w:rsidRPr="007B495E">
        <w:rPr>
          <w:rFonts w:ascii="Verdana" w:eastAsia="Calibri" w:hAnsi="Verdana" w:cs="Arial"/>
          <w:bCs/>
          <w:lang w:val="es-ES_tradnl" w:eastAsia="es-ES_tradnl"/>
        </w:rPr>
        <w:t xml:space="preserve">) las empresas sociales del Estado, </w:t>
      </w:r>
      <w:proofErr w:type="spellStart"/>
      <w:r w:rsidRPr="007B495E">
        <w:rPr>
          <w:rFonts w:ascii="Verdana" w:eastAsia="Calibri" w:hAnsi="Verdana" w:cs="Arial"/>
          <w:bCs/>
          <w:lang w:val="es-ES_tradnl" w:eastAsia="es-ES_tradnl"/>
        </w:rPr>
        <w:t>iii</w:t>
      </w:r>
      <w:proofErr w:type="spellEnd"/>
      <w:r w:rsidRPr="00D20014">
        <w:rPr>
          <w:rFonts w:ascii="Verdana" w:eastAsia="Calibri" w:hAnsi="Verdana" w:cs="Arial"/>
          <w:bCs/>
          <w:lang w:val="es-ES_tradnl" w:eastAsia="es-ES_tradnl"/>
        </w:rPr>
        <w:t xml:space="preserve">) las sociedades de economía mixta y </w:t>
      </w:r>
      <w:proofErr w:type="spellStart"/>
      <w:r w:rsidRPr="00D20014">
        <w:rPr>
          <w:rFonts w:ascii="Verdana" w:eastAsia="Calibri" w:hAnsi="Verdana" w:cs="Arial"/>
          <w:bCs/>
          <w:lang w:val="es-ES_tradnl" w:eastAsia="es-ES_tradnl"/>
        </w:rPr>
        <w:t>iv</w:t>
      </w:r>
      <w:proofErr w:type="spellEnd"/>
      <w:r w:rsidRPr="00D20014">
        <w:rPr>
          <w:rFonts w:ascii="Verdana" w:eastAsia="Calibri" w:hAnsi="Verdana" w:cs="Arial"/>
          <w:bCs/>
          <w:lang w:val="es-ES_tradnl" w:eastAsia="es-ES_tradnl"/>
        </w:rPr>
        <w:t xml:space="preserve">) las empresas industriales y comerciales del Estado, únicamente, en la contratación relacionada </w:t>
      </w:r>
      <w:r w:rsidRPr="00D20014">
        <w:rPr>
          <w:rFonts w:ascii="Verdana" w:eastAsia="Calibri" w:hAnsi="Verdana" w:cs="Arial"/>
          <w:bCs/>
          <w:lang w:val="es-ES_tradnl" w:eastAsia="es-ES_tradnl"/>
        </w:rPr>
        <w:lastRenderedPageBreak/>
        <w:t xml:space="preserve">con el </w:t>
      </w:r>
      <w:r w:rsidRPr="00D20014">
        <w:rPr>
          <w:rFonts w:ascii="Verdana" w:eastAsia="Calibri" w:hAnsi="Verdana" w:cs="Arial"/>
          <w:bCs/>
          <w:i/>
          <w:iCs/>
          <w:lang w:val="es-ES_tradnl" w:eastAsia="es-ES_tradnl"/>
        </w:rPr>
        <w:t>giro ordinario.</w:t>
      </w:r>
      <w:r w:rsidRPr="00D20014">
        <w:rPr>
          <w:rFonts w:ascii="Verdana" w:eastAsia="Calibri" w:hAnsi="Verdana" w:cs="Arial"/>
          <w:bCs/>
          <w:lang w:val="es-ES_tradnl" w:eastAsia="es-ES_tradnl"/>
        </w:rPr>
        <w:t xml:space="preserve"> Esto significa que, en la contratación asociada a su </w:t>
      </w:r>
      <w:r w:rsidRPr="00D20014">
        <w:rPr>
          <w:rFonts w:ascii="Verdana" w:eastAsia="Calibri" w:hAnsi="Verdana" w:cs="Arial"/>
          <w:bCs/>
          <w:i/>
          <w:iCs/>
          <w:lang w:val="es-ES_tradnl" w:eastAsia="es-ES_tradnl"/>
        </w:rPr>
        <w:t xml:space="preserve">giro ordinario, </w:t>
      </w:r>
      <w:r w:rsidRPr="00D20014">
        <w:rPr>
          <w:rFonts w:ascii="Verdana" w:eastAsia="Calibri" w:hAnsi="Verdana" w:cs="Arial"/>
          <w:bCs/>
          <w:lang w:val="es-ES_tradnl" w:eastAsia="es-ES_tradnl"/>
        </w:rPr>
        <w:t>estos tipos de entidades no tendrían que aplicar, de manera obligatoria, los Documentos Tipo, ni tampoco el EGCAP.</w:t>
      </w:r>
      <w:r w:rsidRPr="00D20014">
        <w:rPr>
          <w:rFonts w:ascii="Verdana" w:eastAsia="Times New Roman" w:hAnsi="Verdana" w:cs="Arial"/>
          <w:lang w:eastAsia="es-ES_tradnl"/>
        </w:rPr>
        <w:t xml:space="preserve"> </w:t>
      </w:r>
      <w:r>
        <w:rPr>
          <w:rFonts w:ascii="Verdana" w:eastAsia="Calibri" w:hAnsi="Verdana" w:cs="Arial"/>
          <w:bCs/>
          <w:lang w:val="es-ES_tradnl" w:eastAsia="es-ES_tradnl"/>
        </w:rPr>
        <w:t>En este caso</w:t>
      </w:r>
      <w:r w:rsidRPr="00D20014">
        <w:rPr>
          <w:rFonts w:ascii="Verdana" w:eastAsia="Calibri" w:hAnsi="Verdana" w:cs="Arial"/>
          <w:bCs/>
          <w:lang w:val="es-ES_tradnl" w:eastAsia="es-ES_tradnl"/>
        </w:rPr>
        <w:t>, la norma se limita a fomentar la implementación de Documentos Tipo a modo de buena práctica contractual, en los casos en los que se estime conveniente.</w:t>
      </w:r>
      <w:r w:rsidRPr="00D20014">
        <w:rPr>
          <w:rFonts w:ascii="Verdana" w:eastAsia="Calibri" w:hAnsi="Verdana" w:cs="Arial"/>
          <w:bCs/>
          <w:color w:val="000000"/>
          <w:lang w:val="es-ES_tradnl" w:eastAsia="es-ES_tradnl"/>
        </w:rPr>
        <w:t xml:space="preserve"> </w:t>
      </w:r>
    </w:p>
    <w:p w14:paraId="3F94C4BA" w14:textId="77777777" w:rsidR="001A3CE6" w:rsidRPr="00D20014" w:rsidRDefault="001A3CE6" w:rsidP="001A3CE6">
      <w:pPr>
        <w:tabs>
          <w:tab w:val="left" w:pos="0"/>
        </w:tabs>
        <w:spacing w:after="120" w:line="276" w:lineRule="auto"/>
        <w:ind w:firstLine="709"/>
        <w:jc w:val="both"/>
        <w:rPr>
          <w:rFonts w:ascii="Verdana" w:eastAsia="Arial" w:hAnsi="Verdana" w:cs="Arial"/>
          <w:lang w:val="es-ES_tradnl" w:eastAsia="es-ES_tradnl"/>
        </w:rPr>
      </w:pPr>
      <w:r w:rsidRPr="00D20014">
        <w:rPr>
          <w:rFonts w:ascii="Verdana" w:eastAsia="Calibri" w:hAnsi="Verdana" w:cs="Arial"/>
          <w:bCs/>
          <w:lang w:val="es-ES_tradnl" w:eastAsia="es-ES_tradnl"/>
        </w:rPr>
        <w:t xml:space="preserve">Es importante tener en cuenta que cuando la norma se refiere a la contratación del </w:t>
      </w:r>
      <w:r w:rsidRPr="00D20014">
        <w:rPr>
          <w:rFonts w:ascii="Verdana" w:eastAsia="Calibri" w:hAnsi="Verdana" w:cs="Arial"/>
          <w:bCs/>
          <w:i/>
          <w:iCs/>
          <w:lang w:val="es-ES_tradnl" w:eastAsia="es-ES_tradnl"/>
        </w:rPr>
        <w:t>giro ordinario</w:t>
      </w:r>
      <w:r w:rsidRPr="00D20014">
        <w:rPr>
          <w:rFonts w:ascii="Verdana" w:eastAsia="Calibri" w:hAnsi="Verdana" w:cs="Arial"/>
          <w:bCs/>
          <w:lang w:val="es-ES_tradnl" w:eastAsia="es-ES_tradnl"/>
        </w:rPr>
        <w:t>, emplea un concepto jurídico indeterminado</w:t>
      </w:r>
      <w:r w:rsidRPr="00D20014">
        <w:rPr>
          <w:rFonts w:ascii="Verdana" w:eastAsia="Calibri" w:hAnsi="Verdana" w:cs="Arial"/>
          <w:vertAlign w:val="superscript"/>
          <w:lang w:eastAsia="es-ES_tradnl"/>
        </w:rPr>
        <w:footnoteReference w:id="9"/>
      </w:r>
      <w:r w:rsidRPr="00D20014">
        <w:rPr>
          <w:rFonts w:ascii="Verdana" w:eastAsia="Calibri" w:hAnsi="Verdana" w:cs="Arial"/>
          <w:bCs/>
          <w:lang w:val="es-ES_tradnl" w:eastAsia="es-ES_tradnl"/>
        </w:rPr>
        <w:t xml:space="preserve">. </w:t>
      </w:r>
      <w:r w:rsidRPr="00D20014">
        <w:rPr>
          <w:rFonts w:ascii="Verdana" w:eastAsia="Arial" w:hAnsi="Verdana" w:cs="Arial"/>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w:t>
      </w:r>
      <w:r w:rsidRPr="00D20014">
        <w:rPr>
          <w:rFonts w:ascii="Verdana" w:eastAsia="Arial" w:hAnsi="Verdana" w:cs="Arial"/>
          <w:i/>
          <w:iCs/>
          <w:lang w:val="es-ES_tradnl" w:eastAsia="es-ES_tradnl"/>
        </w:rPr>
        <w:t>giro ordinario</w:t>
      </w:r>
      <w:r w:rsidRPr="00D20014">
        <w:rPr>
          <w:rFonts w:ascii="Verdana" w:eastAsia="Arial" w:hAnsi="Verdana" w:cs="Arial"/>
          <w:lang w:val="es-ES_tradnl" w:eastAsia="es-ES_tradnl"/>
        </w:rPr>
        <w:t xml:space="preserve"> de sus negocios. </w:t>
      </w:r>
    </w:p>
    <w:p w14:paraId="494BEF48" w14:textId="77777777" w:rsidR="001A3CE6" w:rsidRPr="00D20014" w:rsidRDefault="001A3CE6" w:rsidP="001A3CE6">
      <w:pPr>
        <w:tabs>
          <w:tab w:val="left" w:pos="0"/>
        </w:tabs>
        <w:spacing w:after="120" w:line="276" w:lineRule="auto"/>
        <w:ind w:firstLine="709"/>
        <w:jc w:val="both"/>
        <w:rPr>
          <w:rFonts w:ascii="Verdana" w:eastAsia="Calibri" w:hAnsi="Verdana" w:cs="Arial"/>
          <w:bCs/>
          <w:lang w:val="es-ES_tradnl" w:eastAsia="es-ES_tradnl"/>
        </w:rPr>
      </w:pPr>
      <w:r w:rsidRPr="00D20014">
        <w:rPr>
          <w:rFonts w:ascii="Verdana" w:eastAsia="Arial" w:hAnsi="Verdana" w:cs="Arial"/>
          <w:lang w:val="es-ES_tradnl" w:eastAsia="es-ES_tradnl"/>
        </w:rPr>
        <w:t>La Corte Constitucional</w:t>
      </w:r>
      <w:r w:rsidRPr="00D20014">
        <w:rPr>
          <w:rFonts w:ascii="Verdana" w:eastAsia="Arial" w:hAnsi="Verdana" w:cs="Arial"/>
          <w:vertAlign w:val="superscript"/>
          <w:lang w:eastAsia="es-ES_tradnl"/>
        </w:rPr>
        <w:footnoteReference w:id="10"/>
      </w:r>
      <w:r w:rsidRPr="00D20014">
        <w:rPr>
          <w:rFonts w:ascii="Verdana" w:eastAsia="Arial" w:hAnsi="Verdana"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D20014">
        <w:rPr>
          <w:rFonts w:ascii="Verdana" w:eastAsia="Calibri" w:hAnsi="Verdana" w:cs="Arial"/>
          <w:bCs/>
          <w:lang w:val="es-ES_tradnl" w:eastAsia="es-ES_tradnl"/>
        </w:rPr>
        <w:t xml:space="preserve"> </w:t>
      </w:r>
    </w:p>
    <w:p w14:paraId="01278396" w14:textId="77777777" w:rsidR="001A3CE6" w:rsidRPr="00D20014" w:rsidRDefault="001A3CE6" w:rsidP="001A3CE6">
      <w:pPr>
        <w:tabs>
          <w:tab w:val="left" w:pos="0"/>
        </w:tabs>
        <w:spacing w:after="0" w:line="276" w:lineRule="auto"/>
        <w:ind w:firstLine="709"/>
        <w:jc w:val="both"/>
        <w:rPr>
          <w:rFonts w:ascii="Verdana" w:eastAsia="Calibri" w:hAnsi="Verdana" w:cs="Arial"/>
          <w:bCs/>
          <w:lang w:val="es-ES_tradnl" w:eastAsia="es-ES_tradnl"/>
        </w:rPr>
      </w:pPr>
      <w:r w:rsidRPr="00D20014">
        <w:rPr>
          <w:rFonts w:ascii="Verdana" w:eastAsia="Calibri" w:hAnsi="Verdana" w:cs="Arial"/>
          <w:bCs/>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D20014">
        <w:rPr>
          <w:rFonts w:ascii="Verdana" w:eastAsia="Calibri" w:hAnsi="Verdana" w:cs="Arial"/>
          <w:bCs/>
          <w:i/>
          <w:iCs/>
          <w:lang w:val="es-ES_tradnl" w:eastAsia="es-ES_tradnl"/>
        </w:rPr>
        <w:t xml:space="preserve">giro ordinario </w:t>
      </w:r>
      <w:r w:rsidRPr="00D20014">
        <w:rPr>
          <w:rFonts w:ascii="Verdana" w:eastAsia="Calibri" w:hAnsi="Verdana" w:cs="Arial"/>
          <w:bCs/>
          <w:lang w:val="es-ES_tradnl" w:eastAsia="es-ES_tradnl"/>
        </w:rPr>
        <w:t>incluida en la redacción original del parágrafo 1° del artículo 32 de la Ley 80 de 1993</w:t>
      </w:r>
      <w:r w:rsidRPr="00D20014">
        <w:rPr>
          <w:rFonts w:ascii="Verdana" w:eastAsia="Calibri" w:hAnsi="Verdana" w:cs="Arial"/>
          <w:vertAlign w:val="superscript"/>
          <w:lang w:eastAsia="es-ES_tradnl"/>
        </w:rPr>
        <w:footnoteReference w:id="11"/>
      </w:r>
      <w:r w:rsidRPr="00D20014">
        <w:rPr>
          <w:rFonts w:ascii="Verdana" w:eastAsia="Calibri" w:hAnsi="Verdana" w:cs="Arial"/>
          <w:bCs/>
          <w:lang w:val="es-ES_tradnl" w:eastAsia="es-ES_tradnl"/>
        </w:rPr>
        <w:t xml:space="preserve">, la Sección Tercera manifestó lo siguiente: </w:t>
      </w:r>
    </w:p>
    <w:p w14:paraId="63EFD094" w14:textId="77777777" w:rsidR="001A3CE6" w:rsidRPr="00D20014" w:rsidRDefault="001A3CE6" w:rsidP="001A3CE6">
      <w:pPr>
        <w:tabs>
          <w:tab w:val="left" w:pos="0"/>
        </w:tabs>
        <w:spacing w:after="0" w:line="276" w:lineRule="auto"/>
        <w:jc w:val="both"/>
        <w:rPr>
          <w:rFonts w:ascii="Verdana" w:eastAsia="Calibri" w:hAnsi="Verdana" w:cs="Arial"/>
          <w:bCs/>
          <w:lang w:val="es-ES_tradnl" w:eastAsia="es-ES_tradnl"/>
        </w:rPr>
      </w:pPr>
    </w:p>
    <w:p w14:paraId="0221BBBA" w14:textId="77777777" w:rsidR="001A3CE6" w:rsidRPr="00D20014" w:rsidRDefault="001A3CE6" w:rsidP="001A3CE6">
      <w:pPr>
        <w:spacing w:after="0" w:line="240" w:lineRule="auto"/>
        <w:ind w:left="709" w:right="709"/>
        <w:jc w:val="both"/>
        <w:rPr>
          <w:rFonts w:ascii="Verdana" w:eastAsia="Times New Roman" w:hAnsi="Verdana" w:cs="Arial"/>
          <w:sz w:val="20"/>
          <w:szCs w:val="20"/>
          <w:lang w:val="es-ES_tradnl" w:eastAsia="es-CO"/>
        </w:rPr>
      </w:pPr>
      <w:r w:rsidRPr="00D20014">
        <w:rPr>
          <w:rFonts w:ascii="Verdana" w:eastAsia="Times New Roman" w:hAnsi="Verdana" w:cs="Arial"/>
          <w:sz w:val="20"/>
          <w:szCs w:val="20"/>
          <w:lang w:val="es-ES_tradnl" w:eastAsia="es-ES_tradnl"/>
        </w:rPr>
        <w:lastRenderedPageBreak/>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D20014">
        <w:rPr>
          <w:rFonts w:ascii="Verdana" w:eastAsia="Times New Roman" w:hAnsi="Verdana" w:cs="Arial"/>
          <w:sz w:val="20"/>
          <w:szCs w:val="20"/>
          <w:lang w:val="es-ES_tradnl" w:eastAsia="es-ES_tradnl"/>
        </w:rPr>
        <w:t>Siendo</w:t>
      </w:r>
      <w:proofErr w:type="gramEnd"/>
      <w:r w:rsidRPr="00D20014">
        <w:rPr>
          <w:rFonts w:ascii="Verdana" w:eastAsia="Times New Roman" w:hAnsi="Verdana" w:cs="Arial"/>
          <w:sz w:val="20"/>
          <w:szCs w:val="20"/>
          <w:lang w:val="es-ES_tradnl" w:eastAsia="es-ES_tradnl"/>
        </w:rPr>
        <w:t xml:space="preserve"> así las cosas, resulta que el concepto </w:t>
      </w:r>
      <w:r>
        <w:rPr>
          <w:rFonts w:ascii="Verdana" w:eastAsia="Times New Roman" w:hAnsi="Verdana" w:cs="Arial"/>
          <w:sz w:val="20"/>
          <w:szCs w:val="20"/>
          <w:lang w:val="es-ES_tradnl" w:eastAsia="es-ES_tradnl"/>
        </w:rPr>
        <w:t>‘</w:t>
      </w:r>
      <w:r w:rsidRPr="00D20014">
        <w:rPr>
          <w:rFonts w:ascii="Verdana" w:eastAsia="Times New Roman" w:hAnsi="Verdana" w:cs="Arial"/>
          <w:sz w:val="20"/>
          <w:szCs w:val="20"/>
          <w:lang w:val="es-ES_tradnl" w:eastAsia="es-ES_tradnl"/>
        </w:rPr>
        <w:t>giro ordinario de las actividades</w:t>
      </w:r>
      <w:r>
        <w:rPr>
          <w:rFonts w:ascii="Verdana" w:eastAsia="Times New Roman" w:hAnsi="Verdana" w:cs="Arial"/>
          <w:sz w:val="20"/>
          <w:szCs w:val="20"/>
          <w:lang w:val="es-ES_tradnl" w:eastAsia="es-ES_tradnl"/>
        </w:rPr>
        <w:t>’</w:t>
      </w:r>
      <w:r w:rsidRPr="00D20014">
        <w:rPr>
          <w:rFonts w:ascii="Verdana" w:eastAsia="Times New Roman" w:hAnsi="Verdana" w:cs="Arial"/>
          <w:sz w:val="20"/>
          <w:szCs w:val="20"/>
          <w:lang w:val="es-ES_tradnl" w:eastAsia="es-ES_tradnl"/>
        </w:rPr>
        <w:t xml:space="preserve">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D20014">
        <w:rPr>
          <w:rFonts w:ascii="Verdana" w:eastAsia="Times New Roman" w:hAnsi="Verdana" w:cs="Arial"/>
          <w:sz w:val="20"/>
          <w:szCs w:val="20"/>
          <w:vertAlign w:val="superscript"/>
          <w:lang w:eastAsia="es-ES_tradnl"/>
        </w:rPr>
        <w:footnoteReference w:id="12"/>
      </w:r>
      <w:r w:rsidRPr="00D20014">
        <w:rPr>
          <w:rFonts w:ascii="Verdana" w:eastAsia="Times New Roman" w:hAnsi="Verdana" w:cs="Arial"/>
          <w:sz w:val="20"/>
          <w:szCs w:val="20"/>
          <w:lang w:val="es-ES_tradnl" w:eastAsia="es-ES_tradnl"/>
        </w:rPr>
        <w:t>.</w:t>
      </w:r>
    </w:p>
    <w:p w14:paraId="632B741C" w14:textId="77777777" w:rsidR="001A3CE6" w:rsidRPr="00D20014" w:rsidRDefault="001A3CE6" w:rsidP="001A3CE6">
      <w:pPr>
        <w:tabs>
          <w:tab w:val="left" w:pos="0"/>
        </w:tabs>
        <w:spacing w:after="0" w:line="276" w:lineRule="auto"/>
        <w:jc w:val="both"/>
        <w:rPr>
          <w:rFonts w:ascii="Verdana" w:eastAsia="Calibri" w:hAnsi="Verdana" w:cs="Arial"/>
          <w:bCs/>
          <w:i/>
          <w:iCs/>
          <w:lang w:val="es-ES_tradnl" w:eastAsia="es-ES_tradnl"/>
        </w:rPr>
      </w:pPr>
    </w:p>
    <w:p w14:paraId="15123017" w14:textId="77777777" w:rsidR="001A3CE6" w:rsidRPr="00D20014" w:rsidRDefault="001A3CE6" w:rsidP="001A3CE6">
      <w:pPr>
        <w:tabs>
          <w:tab w:val="left" w:pos="0"/>
        </w:tabs>
        <w:spacing w:after="120" w:line="276" w:lineRule="auto"/>
        <w:jc w:val="both"/>
        <w:rPr>
          <w:rFonts w:ascii="Verdana" w:eastAsia="Calibri" w:hAnsi="Verdana" w:cs="Arial"/>
          <w:bCs/>
          <w:lang w:val="es-ES_tradnl" w:eastAsia="es-ES_tradnl"/>
        </w:rPr>
      </w:pPr>
      <w:r w:rsidRPr="00D20014">
        <w:rPr>
          <w:rFonts w:ascii="Verdana" w:eastAsia="Calibri" w:hAnsi="Verdana" w:cs="Arial"/>
          <w:bCs/>
          <w:lang w:val="es-ES_tradnl" w:eastAsia="es-ES_tradnl"/>
        </w:rPr>
        <w:tab/>
        <w:t xml:space="preserve">En el mismo sentido se pronunció recientemente el Alto Tribunal de lo Contencioso Administrativo, reiterando las anteriores consideraciones, al expresar que el concepto de </w:t>
      </w:r>
      <w:r w:rsidRPr="00D20014">
        <w:rPr>
          <w:rFonts w:ascii="Verdana" w:eastAsia="Calibri" w:hAnsi="Verdana" w:cs="Arial"/>
          <w:i/>
          <w:lang w:val="es-ES_tradnl" w:eastAsia="es-ES_tradnl"/>
        </w:rPr>
        <w:t xml:space="preserve">“giro ordinario de los negocios” </w:t>
      </w:r>
      <w:r w:rsidRPr="00D20014">
        <w:rPr>
          <w:rFonts w:ascii="Verdana" w:eastAsia="Calibri" w:hAnsi="Verdana" w:cs="Arial"/>
          <w:bCs/>
          <w:lang w:val="es-ES_tradnl" w:eastAsia="es-ES_tradnl"/>
        </w:rPr>
        <w:t>se refiere a aquellas actividades compatibles con el objeto social, funciones previstas en la ley, o en las normas de creación y en sus estatutos internos de las personas</w:t>
      </w:r>
      <w:r w:rsidRPr="00D20014">
        <w:rPr>
          <w:rFonts w:ascii="Verdana" w:eastAsia="Calibri" w:hAnsi="Verdana" w:cs="Arial"/>
          <w:vertAlign w:val="superscript"/>
          <w:lang w:eastAsia="es-ES_tradnl"/>
        </w:rPr>
        <w:footnoteReference w:id="13"/>
      </w:r>
      <w:r w:rsidRPr="00D20014">
        <w:rPr>
          <w:rFonts w:ascii="Verdana" w:eastAsia="Calibri" w:hAnsi="Verdana" w:cs="Arial"/>
          <w:bCs/>
          <w:lang w:val="es-ES_tradnl" w:eastAsia="es-ES_tradnl"/>
        </w:rPr>
        <w:t xml:space="preserve"> y la doctrina societaria</w:t>
      </w:r>
      <w:r w:rsidRPr="00D20014">
        <w:rPr>
          <w:rFonts w:ascii="Verdana" w:eastAsia="Calibri" w:hAnsi="Verdana" w:cs="Arial"/>
          <w:bCs/>
          <w:vertAlign w:val="superscript"/>
          <w:lang w:val="es-ES_tradnl" w:eastAsia="es-ES_tradnl"/>
        </w:rPr>
        <w:footnoteReference w:id="14"/>
      </w:r>
      <w:r w:rsidRPr="00D20014">
        <w:rPr>
          <w:rFonts w:ascii="Verdana" w:eastAsia="Calibri" w:hAnsi="Verdana" w:cs="Arial"/>
          <w:bCs/>
          <w:lang w:val="es-ES_tradnl" w:eastAsia="es-ES_tradnl"/>
        </w:rPr>
        <w:t xml:space="preserve">. </w:t>
      </w:r>
    </w:p>
    <w:p w14:paraId="75CBABA2" w14:textId="77777777" w:rsidR="001A3CE6" w:rsidRPr="00D20014" w:rsidRDefault="001A3CE6" w:rsidP="001A3CE6">
      <w:pPr>
        <w:spacing w:after="120" w:line="276" w:lineRule="auto"/>
        <w:jc w:val="both"/>
        <w:rPr>
          <w:rFonts w:ascii="Verdana" w:eastAsia="Calibri" w:hAnsi="Verdana" w:cs="Arial"/>
          <w:lang w:val="es-ES" w:eastAsia="es-ES"/>
        </w:rPr>
      </w:pPr>
      <w:r w:rsidRPr="00D20014">
        <w:rPr>
          <w:rFonts w:ascii="Verdana" w:eastAsia="Calibri" w:hAnsi="Verdana" w:cs="Arial"/>
          <w:bCs/>
          <w:lang w:val="es-ES_tradnl" w:eastAsia="es-ES_tradnl"/>
        </w:rPr>
        <w:tab/>
      </w:r>
      <w:r w:rsidRPr="00D20014">
        <w:rPr>
          <w:rFonts w:ascii="Verdana" w:eastAsia="Calibri" w:hAnsi="Verdana" w:cs="Arial"/>
          <w:lang w:val="es-ES" w:eastAsia="es-ES"/>
        </w:rPr>
        <w:t xml:space="preserve">Conforme con lo expresado, el </w:t>
      </w:r>
      <w:r w:rsidRPr="00D20014">
        <w:rPr>
          <w:rFonts w:ascii="Verdana" w:eastAsia="Calibri" w:hAnsi="Verdana" w:cs="Arial"/>
          <w:i/>
          <w:lang w:val="es-ES" w:eastAsia="es-ES"/>
        </w:rPr>
        <w:t xml:space="preserve">giro ordinario </w:t>
      </w:r>
      <w:r w:rsidRPr="00D20014">
        <w:rPr>
          <w:rFonts w:ascii="Verdana" w:eastAsia="Calibri" w:hAnsi="Verdana" w:cs="Arial"/>
          <w:lang w:val="es-ES" w:eastAsia="es-ES"/>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D20014">
        <w:rPr>
          <w:rFonts w:ascii="Verdana" w:eastAsia="Times New Roman" w:hAnsi="Verdana" w:cs="Arial"/>
          <w:lang w:val="es-ES" w:eastAsia="es-ES"/>
        </w:rPr>
        <w:t>S]e</w:t>
      </w:r>
      <w:r w:rsidRPr="00D20014">
        <w:rPr>
          <w:rFonts w:ascii="Verdana" w:eastAsia="Calibri" w:hAnsi="Verdana" w:cs="Arial"/>
          <w:lang w:val="es-ES" w:eastAsia="es-ES"/>
        </w:rPr>
        <w:t xml:space="preserve"> entenderán incluidos en el objeto social los actos directamente relacionados con el mismo y los que tengan como finalidad ejercer </w:t>
      </w:r>
      <w:r w:rsidRPr="00D20014">
        <w:rPr>
          <w:rFonts w:ascii="Verdana" w:eastAsia="Calibri" w:hAnsi="Verdana" w:cs="Arial"/>
          <w:lang w:val="es-ES" w:eastAsia="es-ES"/>
        </w:rPr>
        <w:lastRenderedPageBreak/>
        <w:t>los derechos o cumplir las obligaciones, legal o convencionalmente derivados de la existencia y actividad de la sociedad.”</w:t>
      </w:r>
      <w:r w:rsidRPr="00D20014">
        <w:rPr>
          <w:rFonts w:ascii="Verdana" w:eastAsia="Calibri" w:hAnsi="Verdana" w:cs="Arial"/>
          <w:vertAlign w:val="superscript"/>
          <w:lang w:eastAsia="es-ES"/>
        </w:rPr>
        <w:footnoteReference w:id="15"/>
      </w:r>
    </w:p>
    <w:p w14:paraId="2184586B" w14:textId="77777777" w:rsidR="001A3CE6" w:rsidRDefault="001A3CE6" w:rsidP="001A3CE6">
      <w:pPr>
        <w:spacing w:after="120" w:line="276" w:lineRule="auto"/>
        <w:jc w:val="both"/>
        <w:rPr>
          <w:rFonts w:ascii="Verdana" w:eastAsia="Calibri" w:hAnsi="Verdana" w:cs="Arial"/>
          <w:lang w:val="es-ES" w:eastAsia="es-ES"/>
        </w:rPr>
      </w:pPr>
      <w:r w:rsidRPr="00D20014">
        <w:rPr>
          <w:rFonts w:ascii="Verdana" w:eastAsia="Calibri" w:hAnsi="Verdana" w:cs="Arial"/>
          <w:bCs/>
          <w:lang w:val="es-ES_tradnl" w:eastAsia="es-ES_tradnl"/>
        </w:rPr>
        <w:tab/>
      </w:r>
      <w:r w:rsidRPr="00D20014">
        <w:rPr>
          <w:rFonts w:ascii="Verdana" w:eastAsia="Calibri" w:hAnsi="Verdana" w:cs="Arial"/>
          <w:lang w:val="es-ES" w:eastAsia="es-ES"/>
        </w:rPr>
        <w:t xml:space="preserve">En relación con la aplicación de lo dispuesto en el parágrafo del artículo 56 de la Ley 2195 de 2022, conviene aclarar que, a juicio de esta Agencia, la expresión </w:t>
      </w:r>
      <w:r w:rsidRPr="00D20014">
        <w:rPr>
          <w:rFonts w:ascii="Verdana" w:eastAsia="Calibri" w:hAnsi="Verdana" w:cs="Arial"/>
          <w:i/>
          <w:lang w:val="es-ES" w:eastAsia="es-ES"/>
        </w:rPr>
        <w:t xml:space="preserve">giro ordinario </w:t>
      </w:r>
      <w:r w:rsidRPr="00D20014">
        <w:rPr>
          <w:rFonts w:ascii="Verdana" w:eastAsia="Calibri" w:hAnsi="Verdana" w:cs="Arial"/>
          <w:lang w:val="es-ES" w:eastAsia="es-ES"/>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D20014">
        <w:rPr>
          <w:rFonts w:ascii="Verdana" w:eastAsia="Calibri" w:hAnsi="Verdana" w:cs="Arial"/>
          <w:i/>
          <w:lang w:val="es-ES" w:eastAsia="es-ES"/>
        </w:rPr>
        <w:t>giro ordinario</w:t>
      </w:r>
      <w:r w:rsidRPr="00D20014">
        <w:rPr>
          <w:rFonts w:ascii="Verdana" w:eastAsia="Calibri" w:hAnsi="Verdana" w:cs="Arial"/>
          <w:lang w:val="es-ES" w:eastAsia="es-ES"/>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D20014">
        <w:rPr>
          <w:rFonts w:ascii="Verdana" w:eastAsia="Calibri" w:hAnsi="Verdana" w:cs="Arial"/>
          <w:i/>
          <w:lang w:val="es-ES" w:eastAsia="es-ES"/>
        </w:rPr>
        <w:t>ejusdem</w:t>
      </w:r>
      <w:proofErr w:type="spellEnd"/>
      <w:r w:rsidRPr="00D20014">
        <w:rPr>
          <w:rFonts w:ascii="Verdana" w:eastAsia="Calibri" w:hAnsi="Verdana" w:cs="Arial"/>
          <w:lang w:val="es-ES" w:eastAsia="es-ES"/>
        </w:rPr>
        <w:t xml:space="preserve"> se limita a enunciar algunos tipos de Entidades Estatales, las cuales no solo difieren en su naturaleza jurídica, sino también en las actividades que realizan. </w:t>
      </w:r>
    </w:p>
    <w:p w14:paraId="6D40D05E" w14:textId="77777777" w:rsidR="001A3CE6" w:rsidRPr="00D20014" w:rsidRDefault="001A3CE6" w:rsidP="001A3CE6">
      <w:pPr>
        <w:tabs>
          <w:tab w:val="left" w:pos="0"/>
        </w:tabs>
        <w:spacing w:before="120" w:line="276" w:lineRule="auto"/>
        <w:ind w:firstLine="709"/>
        <w:jc w:val="both"/>
        <w:rPr>
          <w:rFonts w:ascii="Verdana" w:eastAsia="Calibri" w:hAnsi="Verdana" w:cs="Arial"/>
          <w:bCs/>
          <w:lang w:val="es-ES_tradnl"/>
        </w:rPr>
      </w:pPr>
      <w:r w:rsidRPr="00D20014">
        <w:rPr>
          <w:rFonts w:ascii="Verdana" w:eastAsia="Calibri" w:hAnsi="Verdana" w:cs="Arial"/>
          <w:lang w:val="es-ES" w:eastAsia="es-ES"/>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D20014">
        <w:rPr>
          <w:rFonts w:ascii="Verdana" w:eastAsia="Calibri" w:hAnsi="Verdana" w:cs="Arial"/>
          <w:i/>
          <w:lang w:val="es-ES" w:eastAsia="es-ES"/>
        </w:rPr>
        <w:t>giro ordinario</w:t>
      </w:r>
      <w:r w:rsidRPr="00D20014">
        <w:rPr>
          <w:rFonts w:ascii="Verdana" w:eastAsia="Calibri" w:hAnsi="Verdana" w:cs="Arial"/>
          <w:lang w:val="es-ES" w:eastAsia="es-ES"/>
        </w:rPr>
        <w:t xml:space="preserve"> debe hacerse en el caso concreto, empleando un criterio de interpretación restrictiva. Ello en la medida en que el parágrafo del artículo 56 consagra una excepción a una regla general. </w:t>
      </w:r>
      <w:r w:rsidRPr="00D20014">
        <w:rPr>
          <w:rFonts w:ascii="Verdana" w:eastAsia="Calibri" w:hAnsi="Verdana" w:cs="Arial"/>
          <w:bCs/>
          <w:lang w:val="es-ES_tradnl"/>
        </w:rPr>
        <w:t>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6A869BA2" w14:textId="77777777" w:rsidR="001A3CE6" w:rsidRPr="00CE48D2" w:rsidRDefault="001A3CE6" w:rsidP="001A3CE6">
      <w:pPr>
        <w:spacing w:before="120" w:after="0" w:line="276" w:lineRule="auto"/>
        <w:jc w:val="both"/>
        <w:rPr>
          <w:rFonts w:ascii="Verdana" w:eastAsia="Calibri" w:hAnsi="Verdana" w:cs="Arial"/>
          <w:lang w:val="es-ES" w:eastAsia="es-ES"/>
        </w:rPr>
      </w:pPr>
      <w:r w:rsidRPr="00D20014">
        <w:rPr>
          <w:rFonts w:ascii="Verdana" w:eastAsia="Calibri" w:hAnsi="Verdana" w:cs="Arial"/>
          <w:bCs/>
          <w:lang w:val="es-ES_tradnl" w:eastAsia="es-ES_tradnl"/>
        </w:rPr>
        <w:tab/>
      </w:r>
      <w:r w:rsidRPr="00D20014">
        <w:rPr>
          <w:rFonts w:ascii="Verdana" w:eastAsia="Calibri" w:hAnsi="Verdana" w:cs="Arial"/>
          <w:color w:val="000000"/>
          <w:lang w:val="es-ES"/>
        </w:rPr>
        <w:t xml:space="preserve"> </w:t>
      </w:r>
      <w:r w:rsidRPr="00D20014">
        <w:rPr>
          <w:rFonts w:ascii="Verdana" w:eastAsia="Calibri" w:hAnsi="Verdana" w:cs="Arial"/>
          <w:lang w:val="es-ES" w:eastAsia="es-ES"/>
        </w:rPr>
        <w:t xml:space="preserve">En tales términos, lo dispuesto en el parágrafo del artículo 56 implica que las instituciones de educación superior públicas, las empresas sociales del </w:t>
      </w:r>
      <w:r w:rsidRPr="00D20014">
        <w:rPr>
          <w:rFonts w:ascii="Verdana" w:eastAsia="Calibri" w:hAnsi="Verdana" w:cs="Arial"/>
          <w:lang w:val="es-ES" w:eastAsia="es-ES"/>
        </w:rPr>
        <w:lastRenderedPageBreak/>
        <w:t xml:space="preserve">Estado, las sociedades de economía mixta y las empresas industriales y comerciales del Estado, no tendrán que implementar documentos tipo únicamente para la contratación relacionada con el </w:t>
      </w:r>
      <w:r w:rsidRPr="00D20014">
        <w:rPr>
          <w:rFonts w:ascii="Verdana" w:eastAsia="Calibri" w:hAnsi="Verdana" w:cs="Arial"/>
          <w:i/>
          <w:iCs/>
          <w:lang w:val="es-ES" w:eastAsia="es-ES"/>
        </w:rPr>
        <w:t xml:space="preserve">giro ordinario </w:t>
      </w:r>
      <w:r w:rsidRPr="00D20014">
        <w:rPr>
          <w:rFonts w:ascii="Verdana" w:eastAsia="Calibri" w:hAnsi="Verdana" w:cs="Arial"/>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D20014">
        <w:rPr>
          <w:rFonts w:ascii="Verdana" w:eastAsia="Calibri" w:hAnsi="Verdana" w:cs="Arial"/>
          <w:i/>
          <w:iCs/>
          <w:lang w:val="es-ES" w:eastAsia="es-ES"/>
        </w:rPr>
        <w:t>su giro ordinario</w:t>
      </w:r>
      <w:r w:rsidRPr="00D20014">
        <w:rPr>
          <w:rFonts w:ascii="Verdana" w:eastAsia="Calibri" w:hAnsi="Verdana" w:cs="Arial"/>
          <w:lang w:val="es-ES" w:eastAsia="es-ES"/>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D20014">
        <w:rPr>
          <w:rFonts w:ascii="Verdana" w:eastAsia="Calibri" w:hAnsi="Verdana" w:cs="Arial"/>
          <w:i/>
          <w:iCs/>
          <w:lang w:val="es-ES" w:eastAsia="es-ES"/>
        </w:rPr>
        <w:t>giro ordinario</w:t>
      </w:r>
      <w:r w:rsidRPr="00D20014">
        <w:rPr>
          <w:rFonts w:ascii="Verdana" w:eastAsia="Calibri" w:hAnsi="Verdana" w:cs="Arial"/>
          <w:lang w:val="es-ES" w:eastAsia="es-ES"/>
        </w:rPr>
        <w:t xml:space="preserve">, a menos que su manual de contratación establezca lo contrario. De hacerlo, primará el principio de inderogabilidad singular del reglamento, que obliga a aplicarlo en las actuaciones concretas.  </w:t>
      </w:r>
    </w:p>
    <w:p w14:paraId="490D8EDC" w14:textId="77777777" w:rsidR="001A3CE6" w:rsidRPr="00CE48D2" w:rsidRDefault="001A3CE6" w:rsidP="001A3CE6">
      <w:pPr>
        <w:tabs>
          <w:tab w:val="left" w:pos="0"/>
        </w:tabs>
        <w:spacing w:before="120" w:after="120" w:line="276" w:lineRule="auto"/>
        <w:jc w:val="both"/>
        <w:rPr>
          <w:rFonts w:ascii="Verdana" w:eastAsia="Calibri" w:hAnsi="Verdana" w:cs="Arial"/>
          <w:bCs/>
          <w:lang w:val="es-ES" w:eastAsia="es-ES_tradnl"/>
        </w:rPr>
      </w:pPr>
      <w:r>
        <w:rPr>
          <w:rFonts w:ascii="Verdana" w:eastAsia="Calibri" w:hAnsi="Verdana" w:cs="Arial"/>
          <w:bCs/>
          <w:lang w:val="es-ES" w:eastAsia="es-ES_tradnl"/>
        </w:rPr>
        <w:tab/>
        <w:t>Ahora bien</w:t>
      </w:r>
      <w:r w:rsidRPr="00CE48D2">
        <w:rPr>
          <w:rFonts w:ascii="Verdana" w:eastAsia="Calibri" w:hAnsi="Verdana" w:cs="Arial"/>
          <w:bCs/>
          <w:lang w:val="es-ES" w:eastAsia="es-ES_tradnl"/>
        </w:rPr>
        <w:t>, debe señalarse que este parágrafo es una norma que establece una excepción, por lo que, en virtud de dicho carácter, está sujeto a una interpretación restrictiva, esto es, apegada a lo que, literalmente, se desprende del texto. La redacción de la norma evidencia cómo la excepción a la aplicación forzosa es formulada respecto de ciertos tipos de Entidades Estatales, las cuales son mencionadas por su naturaleza jurídica, sin que se incluya consideración alguna relacionada con el régimen jurídico al que se encuentren sometidas. La norma tampoco determina algún supuesto en atención al cual pueda aplicarse la excepción a algún sujeto con una naturaleza jurídica distinta de las específicamente mencionadas.</w:t>
      </w:r>
    </w:p>
    <w:p w14:paraId="282E752D" w14:textId="77777777" w:rsidR="001A3CE6" w:rsidRDefault="001A3CE6" w:rsidP="001A3CE6">
      <w:pPr>
        <w:tabs>
          <w:tab w:val="left" w:pos="0"/>
        </w:tabs>
        <w:spacing w:after="0" w:line="276" w:lineRule="auto"/>
        <w:ind w:firstLine="709"/>
        <w:jc w:val="both"/>
        <w:rPr>
          <w:rFonts w:ascii="Verdana" w:eastAsia="Calibri" w:hAnsi="Verdana" w:cs="Arial"/>
          <w:bCs/>
          <w:lang w:val="es-ES" w:eastAsia="es-ES_tradnl"/>
        </w:rPr>
      </w:pPr>
      <w:r w:rsidRPr="00CE48D2">
        <w:rPr>
          <w:rFonts w:ascii="Verdana" w:eastAsia="Calibri" w:hAnsi="Verdana" w:cs="Arial"/>
          <w:bCs/>
          <w:lang w:val="es-ES_tradnl" w:eastAsia="es-ES_tradnl"/>
        </w:rPr>
        <w:t xml:space="preserve">De acuerdo con este criterio interpretativo y comoquiera que la norma determina las excepciones en consideración a la naturaleza jurídica de los sujetos que menciona, sin hacer distinción alguna respecto de su régimen contractual, es posible concluir que la excepción predicable de las instituciones de educación superior públicas, las empresas sociales del Estado, las sociedades de economía mixta y las empresas industriales y comerciales del Estado no resulta extensible a entidades que no cuenten con dicha naturaleza, como es el caso de las empresas de servicios públicos domiciliarios, las cuales </w:t>
      </w:r>
      <w:r w:rsidRPr="00CE48D2">
        <w:rPr>
          <w:rFonts w:ascii="Verdana" w:eastAsia="Calibri" w:hAnsi="Verdana" w:cs="Arial"/>
          <w:bCs/>
          <w:lang w:val="es-ES" w:eastAsia="es-ES_tradnl"/>
        </w:rPr>
        <w:t xml:space="preserve">tienen una </w:t>
      </w:r>
      <w:r w:rsidRPr="00CE48D2">
        <w:rPr>
          <w:rFonts w:ascii="Verdana" w:eastAsia="Calibri" w:hAnsi="Verdana" w:cs="Arial"/>
          <w:bCs/>
          <w:lang w:val="es-ES" w:eastAsia="es-ES_tradnl"/>
        </w:rPr>
        <w:lastRenderedPageBreak/>
        <w:t xml:space="preserve">naturaleza jurídica especial </w:t>
      </w:r>
      <w:r w:rsidRPr="00CE48D2">
        <w:rPr>
          <w:rFonts w:ascii="Verdana" w:eastAsia="Calibri" w:hAnsi="Verdana" w:cs="Arial"/>
          <w:bCs/>
          <w:lang w:val="es-MX" w:eastAsia="es-ES_tradnl"/>
        </w:rPr>
        <w:t>que viene dada directamente por el artículo 356 de la Constitución Política</w:t>
      </w:r>
      <w:r w:rsidRPr="00CE48D2">
        <w:rPr>
          <w:rFonts w:ascii="Verdana" w:eastAsia="Calibri" w:hAnsi="Verdana" w:cs="Arial"/>
          <w:bCs/>
          <w:lang w:val="es-ES" w:eastAsia="es-ES_tradnl"/>
        </w:rPr>
        <w:t xml:space="preserve">, distinta de entidades enlistadas. </w:t>
      </w:r>
    </w:p>
    <w:p w14:paraId="1951FE5D" w14:textId="77777777" w:rsidR="001A3CE6" w:rsidRPr="007B495E" w:rsidRDefault="001A3CE6" w:rsidP="001A3CE6">
      <w:pPr>
        <w:tabs>
          <w:tab w:val="left" w:pos="0"/>
        </w:tabs>
        <w:spacing w:after="0" w:line="276" w:lineRule="auto"/>
        <w:ind w:firstLine="709"/>
        <w:jc w:val="both"/>
        <w:rPr>
          <w:rFonts w:ascii="Verdana" w:eastAsia="Calibri" w:hAnsi="Verdana" w:cs="Arial"/>
          <w:bCs/>
          <w:lang w:val="es-ES" w:eastAsia="es-ES_tradnl"/>
        </w:rPr>
      </w:pPr>
    </w:p>
    <w:p w14:paraId="79980668" w14:textId="77777777" w:rsidR="001A3CE6" w:rsidRDefault="001A3CE6" w:rsidP="001A3CE6">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viii</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83AAEB4" w14:textId="77777777" w:rsidR="001A3CE6" w:rsidRPr="00185EE9" w:rsidRDefault="001A3CE6" w:rsidP="001A3CE6">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5E4D1105" w14:textId="77777777" w:rsidR="001A3CE6" w:rsidRPr="00182C89" w:rsidRDefault="001A3CE6" w:rsidP="001A3CE6">
      <w:pPr>
        <w:tabs>
          <w:tab w:val="left" w:pos="709"/>
        </w:tabs>
        <w:spacing w:after="0" w:line="276" w:lineRule="auto"/>
        <w:jc w:val="both"/>
        <w:rPr>
          <w:rFonts w:ascii="Verdana" w:eastAsia="Calibri" w:hAnsi="Verdana" w:cs="Arial"/>
          <w:color w:val="000000" w:themeColor="text1"/>
        </w:rPr>
      </w:pPr>
    </w:p>
    <w:p w14:paraId="4D92E0A8" w14:textId="77777777" w:rsidR="001A3CE6" w:rsidRPr="00593A5F" w:rsidRDefault="001A3CE6" w:rsidP="001A3CE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16C15FD4" w14:textId="77777777" w:rsidR="001A3CE6" w:rsidRPr="00593A5F" w:rsidRDefault="001A3CE6" w:rsidP="001A3CE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A3CE6" w:rsidRPr="002407CE" w14:paraId="6AF9643F" w14:textId="77777777" w:rsidTr="00463C52">
        <w:trPr>
          <w:trHeight w:val="870"/>
          <w:jc w:val="center"/>
        </w:trPr>
        <w:tc>
          <w:tcPr>
            <w:tcW w:w="8647" w:type="dxa"/>
          </w:tcPr>
          <w:p w14:paraId="138616D8" w14:textId="77777777" w:rsidR="001A3CE6" w:rsidRPr="00BC6F87" w:rsidRDefault="001A3CE6" w:rsidP="00463C5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BC6F87">
              <w:rPr>
                <w:rFonts w:ascii="Verdana" w:hAnsi="Verdana" w:cs="Arial"/>
              </w:rPr>
              <w:t xml:space="preserve">Ley </w:t>
            </w:r>
            <w:r>
              <w:rPr>
                <w:rFonts w:ascii="Verdana" w:hAnsi="Verdana" w:cs="Arial"/>
              </w:rPr>
              <w:t>2022</w:t>
            </w:r>
            <w:r w:rsidRPr="00BC6F87">
              <w:rPr>
                <w:rFonts w:ascii="Verdana" w:hAnsi="Verdana" w:cs="Arial"/>
              </w:rPr>
              <w:t xml:space="preserve"> de </w:t>
            </w:r>
            <w:r>
              <w:rPr>
                <w:rFonts w:ascii="Verdana" w:hAnsi="Verdana" w:cs="Arial"/>
              </w:rPr>
              <w:t>2020</w:t>
            </w:r>
            <w:r w:rsidRPr="00BC6F87">
              <w:rPr>
                <w:rFonts w:ascii="Verdana" w:hAnsi="Verdana" w:cs="Arial"/>
              </w:rPr>
              <w:t>, artículo</w:t>
            </w:r>
            <w:r>
              <w:rPr>
                <w:rFonts w:ascii="Verdana" w:hAnsi="Verdana" w:cs="Arial"/>
              </w:rPr>
              <w:t xml:space="preserve"> 1</w:t>
            </w:r>
            <w:r w:rsidRPr="00BC6F87">
              <w:rPr>
                <w:rFonts w:ascii="Verdana" w:hAnsi="Verdana" w:cs="Arial"/>
              </w:rPr>
              <w:t>.</w:t>
            </w:r>
          </w:p>
          <w:p w14:paraId="1A27133E" w14:textId="77777777" w:rsidR="001A3CE6" w:rsidRPr="00BC6F87" w:rsidRDefault="001A3CE6" w:rsidP="00463C5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Ley 1150 de 2007</w:t>
            </w:r>
            <w:r w:rsidRPr="00BC6F87">
              <w:rPr>
                <w:rFonts w:ascii="Verdana" w:hAnsi="Verdana" w:cs="Arial"/>
              </w:rPr>
              <w:t>, artículo</w:t>
            </w:r>
            <w:r>
              <w:rPr>
                <w:rFonts w:ascii="Verdana" w:hAnsi="Verdana" w:cs="Arial"/>
              </w:rPr>
              <w:t xml:space="preserve"> 2</w:t>
            </w:r>
            <w:r w:rsidRPr="00BC6F87">
              <w:rPr>
                <w:rFonts w:ascii="Verdana" w:hAnsi="Verdana" w:cs="Arial"/>
              </w:rPr>
              <w:t>.</w:t>
            </w:r>
          </w:p>
          <w:p w14:paraId="681A02E5" w14:textId="77777777" w:rsidR="001A3CE6" w:rsidRDefault="001A3CE6" w:rsidP="00463C5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2195 de 2022</w:t>
            </w:r>
            <w:r w:rsidRPr="00BC6F87">
              <w:rPr>
                <w:rFonts w:ascii="Verdana" w:hAnsi="Verdana" w:cs="Arial"/>
                <w:color w:val="000000" w:themeColor="text1"/>
                <w:lang w:val="es-ES_tradnl"/>
              </w:rPr>
              <w:t>, artículo</w:t>
            </w:r>
            <w:r>
              <w:rPr>
                <w:rFonts w:ascii="Verdana" w:hAnsi="Verdana" w:cs="Arial"/>
                <w:color w:val="000000" w:themeColor="text1"/>
                <w:lang w:val="es-ES_tradnl"/>
              </w:rPr>
              <w:t xml:space="preserve"> 56</w:t>
            </w:r>
            <w:r w:rsidRPr="00BC6F87">
              <w:rPr>
                <w:rFonts w:ascii="Verdana" w:hAnsi="Verdana" w:cs="Arial"/>
                <w:color w:val="000000" w:themeColor="text1"/>
                <w:lang w:val="es-ES_tradnl"/>
              </w:rPr>
              <w:t>.</w:t>
            </w:r>
          </w:p>
          <w:p w14:paraId="48EDEF12" w14:textId="77777777" w:rsidR="001A3CE6" w:rsidRPr="00DA543F" w:rsidRDefault="001A3CE6" w:rsidP="00463C52">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Código de Comercio, artículo 99.</w:t>
            </w:r>
          </w:p>
        </w:tc>
      </w:tr>
    </w:tbl>
    <w:p w14:paraId="7C87B580" w14:textId="77777777" w:rsidR="001A3CE6" w:rsidRPr="002407CE" w:rsidRDefault="001A3CE6" w:rsidP="001A3CE6">
      <w:pPr>
        <w:widowControl w:val="0"/>
        <w:autoSpaceDE w:val="0"/>
        <w:autoSpaceDN w:val="0"/>
        <w:spacing w:after="0" w:line="276" w:lineRule="auto"/>
        <w:jc w:val="both"/>
        <w:rPr>
          <w:rFonts w:ascii="Verdana" w:hAnsi="Verdana" w:cs="Arial"/>
        </w:rPr>
      </w:pPr>
    </w:p>
    <w:p w14:paraId="7D4AF000" w14:textId="77777777" w:rsidR="001A3CE6" w:rsidRPr="00593A5F" w:rsidRDefault="001A3CE6" w:rsidP="001A3CE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EE61D9F" w14:textId="77777777" w:rsidR="001A3CE6" w:rsidRPr="00593A5F" w:rsidRDefault="001A3CE6" w:rsidP="001A3CE6">
      <w:pPr>
        <w:widowControl w:val="0"/>
        <w:autoSpaceDE w:val="0"/>
        <w:autoSpaceDN w:val="0"/>
        <w:spacing w:after="0" w:line="276" w:lineRule="auto"/>
        <w:jc w:val="both"/>
        <w:rPr>
          <w:rFonts w:ascii="Verdana" w:hAnsi="Verdana" w:cs="Arial"/>
        </w:rPr>
      </w:pPr>
    </w:p>
    <w:p w14:paraId="1D0B2CB6" w14:textId="77777777" w:rsidR="001A3CE6" w:rsidRPr="00ED0098" w:rsidRDefault="001A3CE6" w:rsidP="001A3CE6">
      <w:pPr>
        <w:widowControl w:val="0"/>
        <w:autoSpaceDE w:val="0"/>
        <w:autoSpaceDN w:val="0"/>
        <w:spacing w:after="0" w:line="276" w:lineRule="auto"/>
        <w:jc w:val="both"/>
        <w:rPr>
          <w:rStyle w:val="normaltextrun"/>
          <w:rFonts w:ascii="Verdana" w:hAnsi="Verdana" w:cs="Arial"/>
          <w:shd w:val="clear" w:color="auto" w:fill="FFFFFF"/>
        </w:rPr>
      </w:pPr>
      <w:r w:rsidRPr="00010325">
        <w:rPr>
          <w:rFonts w:ascii="Verdana" w:hAnsi="Verdana" w:cs="Arial"/>
          <w:shd w:val="clear" w:color="auto" w:fill="FFFFFF"/>
        </w:rPr>
        <w:t xml:space="preserve">Esta Subdirección </w:t>
      </w:r>
      <w:r w:rsidRPr="00D20014">
        <w:rPr>
          <w:rFonts w:ascii="Verdana" w:eastAsia="Times New Roman" w:hAnsi="Verdana" w:cs="Arial"/>
          <w:lang w:val="es-ES_tradnl" w:eastAsia="es-ES_tradnl"/>
        </w:rPr>
        <w:t xml:space="preserve">se ha pronunciado sobre </w:t>
      </w:r>
      <w:r w:rsidRPr="00D20014">
        <w:rPr>
          <w:rFonts w:ascii="Verdana" w:eastAsia="Times New Roman" w:hAnsi="Verdana" w:cs="Arial"/>
          <w:lang w:eastAsia="es-ES_tradnl"/>
        </w:rPr>
        <w:t xml:space="preserve">el alcance del artículo 56 de la Ley 2195 de 2022, específicamente, a partir del </w:t>
      </w:r>
      <w:r>
        <w:rPr>
          <w:rFonts w:ascii="Verdana" w:eastAsia="Times New Roman" w:hAnsi="Verdana" w:cs="Arial"/>
          <w:lang w:eastAsia="es-ES_tradnl"/>
        </w:rPr>
        <w:t>C</w:t>
      </w:r>
      <w:r w:rsidRPr="00D20014">
        <w:rPr>
          <w:rFonts w:ascii="Verdana" w:eastAsia="Times New Roman" w:hAnsi="Verdana" w:cs="Arial"/>
          <w:lang w:eastAsia="es-ES_tradnl"/>
        </w:rPr>
        <w:t xml:space="preserve">oncepto C-066 del 28 de enero de 2022, cuya tesis se desarrolló y complementó los </w:t>
      </w:r>
      <w:r>
        <w:rPr>
          <w:rFonts w:ascii="Verdana" w:eastAsia="Times New Roman" w:hAnsi="Verdana" w:cs="Arial"/>
          <w:lang w:eastAsia="es-ES_tradnl"/>
        </w:rPr>
        <w:t xml:space="preserve">conceptos </w:t>
      </w:r>
      <w:r w:rsidRPr="00393D3E">
        <w:rPr>
          <w:rFonts w:ascii="Verdana" w:hAnsi="Verdana"/>
        </w:rPr>
        <w:t xml:space="preserve">C-320 del 20 de mayo de 2022, C-333 del 24 de mayo de 2022, C-404 del 26 de mayo de 2023, </w:t>
      </w:r>
      <w:r w:rsidRPr="00393D3E">
        <w:rPr>
          <w:rFonts w:ascii="Verdana" w:hAnsi="Verdana"/>
        </w:rPr>
        <w:lastRenderedPageBreak/>
        <w:t>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w:t>
      </w:r>
      <w:r>
        <w:rPr>
          <w:rFonts w:ascii="Verdana" w:hAnsi="Verdana"/>
        </w:rPr>
        <w:t xml:space="preserve"> y</w:t>
      </w:r>
      <w:r w:rsidRPr="00393D3E">
        <w:rPr>
          <w:rFonts w:ascii="Verdana" w:hAnsi="Verdana"/>
        </w:rPr>
        <w:t xml:space="preserve"> C-808 del 30 de julio de</w:t>
      </w:r>
      <w:r>
        <w:rPr>
          <w:rFonts w:ascii="Verdana" w:hAnsi="Verdana"/>
        </w:rPr>
        <w:t xml:space="preserve"> </w:t>
      </w:r>
      <w:r w:rsidRPr="00393D3E">
        <w:rPr>
          <w:rFonts w:ascii="Verdana" w:hAnsi="Verdana"/>
        </w:rPr>
        <w:t>2025</w:t>
      </w:r>
      <w:r>
        <w:rPr>
          <w:rFonts w:ascii="Verdana" w:hAnsi="Verdana"/>
        </w:rPr>
        <w:t>. En la actualidad, la postura de Colombia Compra Eficiente está unificada en el Concepto CU-870 del 13 de agosto de 2025.</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50BF14B0" w14:textId="77777777" w:rsidR="001A3CE6" w:rsidRPr="00096788" w:rsidRDefault="001A3CE6" w:rsidP="001A3CE6">
      <w:pPr>
        <w:widowControl w:val="0"/>
        <w:autoSpaceDE w:val="0"/>
        <w:autoSpaceDN w:val="0"/>
        <w:spacing w:after="0" w:line="276" w:lineRule="auto"/>
        <w:jc w:val="both"/>
        <w:rPr>
          <w:rFonts w:ascii="Verdana" w:hAnsi="Verdana" w:cs="Arial"/>
          <w:color w:val="000000" w:themeColor="text1"/>
          <w:shd w:val="clear" w:color="auto" w:fill="FFFFFF"/>
        </w:rPr>
      </w:pPr>
    </w:p>
    <w:p w14:paraId="4D898438" w14:textId="77777777" w:rsidR="001A3CE6" w:rsidRPr="00E440FD" w:rsidRDefault="001A3CE6" w:rsidP="001A3CE6">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2FA241D8" w14:textId="77777777" w:rsidR="001A3CE6" w:rsidRPr="009C4035" w:rsidRDefault="001A3CE6" w:rsidP="001A3CE6">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7EC4CBB7" w14:textId="77777777" w:rsidR="001A3CE6" w:rsidRPr="00593A5F" w:rsidRDefault="001A3CE6" w:rsidP="001A3CE6">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EC819EC" w14:textId="77777777" w:rsidR="001A3CE6" w:rsidRPr="00593A5F" w:rsidRDefault="001A3CE6" w:rsidP="001A3CE6">
      <w:pPr>
        <w:widowControl w:val="0"/>
        <w:autoSpaceDE w:val="0"/>
        <w:autoSpaceDN w:val="0"/>
        <w:spacing w:after="0" w:line="276" w:lineRule="auto"/>
        <w:jc w:val="both"/>
        <w:rPr>
          <w:rFonts w:ascii="Verdana" w:hAnsi="Verdana" w:cs="Arial"/>
        </w:rPr>
      </w:pPr>
    </w:p>
    <w:p w14:paraId="3D9768E6" w14:textId="77777777" w:rsidR="001A3CE6" w:rsidRPr="00593A5F" w:rsidRDefault="001A3CE6" w:rsidP="001A3CE6">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4A00430" w14:textId="67E836FC" w:rsidR="001A3CE6" w:rsidRPr="00593A5F" w:rsidRDefault="0067092C" w:rsidP="001A3CE6">
      <w:pPr>
        <w:spacing w:line="276" w:lineRule="auto"/>
        <w:jc w:val="center"/>
        <w:rPr>
          <w:rFonts w:ascii="Verdana" w:hAnsi="Verdana" w:cs="Arial"/>
          <w:color w:val="000000"/>
          <w:lang w:val="es-ES_tradnl" w:eastAsia="es-CO"/>
        </w:rPr>
      </w:pPr>
      <w:r>
        <w:rPr>
          <w:noProof/>
        </w:rPr>
        <w:lastRenderedPageBreak/>
        <w:drawing>
          <wp:inline distT="0" distB="0" distL="0" distR="0" wp14:anchorId="52924C2B" wp14:editId="5180F9AB">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A3CE6" w:rsidRPr="00593A5F" w14:paraId="32D9019F" w14:textId="77777777" w:rsidTr="00463C52">
        <w:trPr>
          <w:trHeight w:val="315"/>
        </w:trPr>
        <w:tc>
          <w:tcPr>
            <w:tcW w:w="893" w:type="dxa"/>
            <w:vAlign w:val="center"/>
            <w:hideMark/>
          </w:tcPr>
          <w:p w14:paraId="39CD8DF7" w14:textId="77777777" w:rsidR="001A3CE6" w:rsidRPr="003751C7" w:rsidRDefault="001A3CE6" w:rsidP="00463C52">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DCBFF32" w14:textId="77777777" w:rsidR="001A3CE6" w:rsidRPr="00254A7A" w:rsidRDefault="001A3CE6" w:rsidP="00463C52">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609D910" w14:textId="77777777" w:rsidR="001A3CE6" w:rsidRPr="00254A7A" w:rsidRDefault="001A3CE6" w:rsidP="00463C52">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1A3CE6" w:rsidRPr="00593A5F" w14:paraId="77A7AC4F" w14:textId="77777777" w:rsidTr="00463C52">
        <w:trPr>
          <w:trHeight w:val="330"/>
        </w:trPr>
        <w:tc>
          <w:tcPr>
            <w:tcW w:w="893" w:type="dxa"/>
            <w:vAlign w:val="center"/>
            <w:hideMark/>
          </w:tcPr>
          <w:p w14:paraId="4A1FFD30" w14:textId="77777777" w:rsidR="001A3CE6" w:rsidRPr="003751C7" w:rsidRDefault="001A3CE6" w:rsidP="00463C52">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840FEC4" w14:textId="77777777" w:rsidR="001A3CE6" w:rsidRPr="001B6B73" w:rsidRDefault="001A3CE6" w:rsidP="00463C52">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007A875D" w14:textId="77777777" w:rsidR="001A3CE6" w:rsidRPr="00254A7A" w:rsidRDefault="001A3CE6" w:rsidP="00463C52">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1A3CE6" w:rsidRPr="00593A5F" w14:paraId="233F3BD7" w14:textId="77777777" w:rsidTr="00463C52">
        <w:trPr>
          <w:trHeight w:val="300"/>
        </w:trPr>
        <w:tc>
          <w:tcPr>
            <w:tcW w:w="893" w:type="dxa"/>
            <w:vAlign w:val="center"/>
          </w:tcPr>
          <w:p w14:paraId="768A555F" w14:textId="77777777" w:rsidR="001A3CE6" w:rsidRPr="003751C7" w:rsidRDefault="001A3CE6" w:rsidP="00463C52">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3FA20DD" w14:textId="77777777" w:rsidR="001A3CE6" w:rsidRPr="003751C7" w:rsidRDefault="001A3CE6" w:rsidP="00463C52">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DCB81CC" w14:textId="77777777" w:rsidR="001A3CE6" w:rsidRPr="003751C7" w:rsidRDefault="001A3CE6" w:rsidP="00463C52">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4BE75A95" w14:textId="77777777" w:rsidR="001A3CE6" w:rsidRPr="00543BFE" w:rsidRDefault="001A3CE6" w:rsidP="001A3CE6"/>
    <w:p w14:paraId="0F293BF4" w14:textId="56412F38" w:rsidR="00127233" w:rsidRPr="00124977" w:rsidRDefault="00127233" w:rsidP="00124977"/>
    <w:sectPr w:rsidR="00127233" w:rsidRPr="00124977"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B8D21" w14:textId="77777777" w:rsidR="001227CB" w:rsidRDefault="001227CB" w:rsidP="004A1847">
      <w:pPr>
        <w:spacing w:after="0" w:line="240" w:lineRule="auto"/>
      </w:pPr>
      <w:r>
        <w:separator/>
      </w:r>
    </w:p>
  </w:endnote>
  <w:endnote w:type="continuationSeparator" w:id="0">
    <w:p w14:paraId="48707683" w14:textId="77777777" w:rsidR="001227CB" w:rsidRDefault="001227CB" w:rsidP="004A1847">
      <w:pPr>
        <w:spacing w:after="0" w:line="240" w:lineRule="auto"/>
      </w:pPr>
      <w:r>
        <w:continuationSeparator/>
      </w:r>
    </w:p>
  </w:endnote>
  <w:endnote w:type="continuationNotice" w:id="1">
    <w:p w14:paraId="3AE9D35F" w14:textId="77777777" w:rsidR="001227CB" w:rsidRDefault="001227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BF456" w14:textId="77777777" w:rsidR="001227CB" w:rsidRDefault="001227CB" w:rsidP="004A1847">
      <w:pPr>
        <w:spacing w:after="0" w:line="240" w:lineRule="auto"/>
      </w:pPr>
      <w:r>
        <w:separator/>
      </w:r>
    </w:p>
  </w:footnote>
  <w:footnote w:type="continuationSeparator" w:id="0">
    <w:p w14:paraId="3A0A76A1" w14:textId="77777777" w:rsidR="001227CB" w:rsidRDefault="001227CB" w:rsidP="004A1847">
      <w:pPr>
        <w:spacing w:after="0" w:line="240" w:lineRule="auto"/>
      </w:pPr>
      <w:r>
        <w:continuationSeparator/>
      </w:r>
    </w:p>
  </w:footnote>
  <w:footnote w:type="continuationNotice" w:id="1">
    <w:p w14:paraId="4985E55C" w14:textId="77777777" w:rsidR="001227CB" w:rsidRDefault="001227CB">
      <w:pPr>
        <w:spacing w:after="0" w:line="240" w:lineRule="auto"/>
      </w:pPr>
    </w:p>
  </w:footnote>
  <w:footnote w:id="2">
    <w:p w14:paraId="35456883" w14:textId="77777777" w:rsidR="001A3CE6" w:rsidRPr="00C5701E" w:rsidRDefault="001A3CE6" w:rsidP="001A3CE6">
      <w:pPr>
        <w:pStyle w:val="NormalWeb"/>
        <w:spacing w:before="0" w:beforeAutospacing="0" w:after="0" w:afterAutospacing="0"/>
        <w:ind w:firstLine="708"/>
        <w:contextualSpacing/>
        <w:jc w:val="both"/>
        <w:rPr>
          <w:rFonts w:ascii="Verdana" w:hAnsi="Verdana" w:cs="Arial"/>
          <w:color w:val="000000"/>
          <w:sz w:val="16"/>
          <w:szCs w:val="16"/>
        </w:rPr>
      </w:pPr>
      <w:r w:rsidRPr="00C5701E">
        <w:rPr>
          <w:rStyle w:val="Refdenotaalpie"/>
          <w:rFonts w:ascii="Verdana" w:hAnsi="Verdana" w:cs="Arial"/>
          <w:color w:val="000000"/>
          <w:sz w:val="16"/>
          <w:szCs w:val="16"/>
        </w:rPr>
        <w:footnoteRef/>
      </w:r>
      <w:r w:rsidRPr="00C5701E">
        <w:rPr>
          <w:rFonts w:ascii="Verdana" w:hAnsi="Verdana" w:cs="Arial"/>
          <w:color w:val="000000"/>
          <w:sz w:val="16"/>
          <w:szCs w:val="16"/>
        </w:rPr>
        <w:t xml:space="preserve"> Ley 2022 de 2020: “</w:t>
      </w:r>
      <w:r w:rsidRPr="00C5701E">
        <w:rPr>
          <w:rStyle w:val="Textoennegrita"/>
          <w:rFonts w:ascii="Verdana" w:hAnsi="Verdana" w:cs="Arial"/>
          <w:color w:val="000000"/>
          <w:sz w:val="16"/>
          <w:szCs w:val="16"/>
        </w:rPr>
        <w:t xml:space="preserve">Artículo 1º. </w:t>
      </w:r>
      <w:r w:rsidRPr="00C5701E">
        <w:rPr>
          <w:rFonts w:ascii="Verdana" w:hAnsi="Verdana" w:cs="Arial"/>
          <w:color w:val="000000"/>
          <w:sz w:val="16"/>
          <w:szCs w:val="16"/>
        </w:rPr>
        <w:t>Modifíquese el artículo 4º de la Ley 1882 de 2018, el cual quedará así:</w:t>
      </w:r>
    </w:p>
    <w:p w14:paraId="42C73558" w14:textId="77777777" w:rsidR="001A3CE6" w:rsidRPr="00C5701E" w:rsidRDefault="001A3CE6" w:rsidP="001A3CE6">
      <w:pPr>
        <w:pStyle w:val="NormalWeb"/>
        <w:spacing w:before="0" w:beforeAutospacing="0" w:after="0" w:afterAutospacing="0"/>
        <w:ind w:firstLine="708"/>
        <w:contextualSpacing/>
        <w:jc w:val="both"/>
        <w:rPr>
          <w:rFonts w:ascii="Verdana" w:hAnsi="Verdana" w:cs="Arial"/>
          <w:color w:val="000000"/>
          <w:sz w:val="16"/>
          <w:szCs w:val="16"/>
        </w:rPr>
      </w:pPr>
      <w:r w:rsidRPr="00C5701E">
        <w:rPr>
          <w:rStyle w:val="Textoennegrita"/>
          <w:rFonts w:ascii="Verdana" w:hAnsi="Verdana" w:cs="Arial"/>
          <w:color w:val="000000"/>
          <w:sz w:val="16"/>
          <w:szCs w:val="16"/>
        </w:rPr>
        <w:t xml:space="preserve">“Artículo 4º. </w:t>
      </w:r>
      <w:r w:rsidRPr="00C5701E">
        <w:rPr>
          <w:rFonts w:ascii="Verdana" w:hAnsi="Verdana" w:cs="Arial"/>
          <w:color w:val="000000"/>
          <w:sz w:val="16"/>
          <w:szCs w:val="16"/>
        </w:rPr>
        <w:t>Adiciónese el siguiente parágrafo al artículo 2º de la Ley 1150 de 2007.</w:t>
      </w:r>
    </w:p>
    <w:p w14:paraId="6F563CF2" w14:textId="77777777" w:rsidR="001A3CE6" w:rsidRPr="00C5701E" w:rsidRDefault="001A3CE6" w:rsidP="001A3CE6">
      <w:pPr>
        <w:pStyle w:val="NormalWeb"/>
        <w:spacing w:before="0" w:beforeAutospacing="0" w:after="0" w:afterAutospacing="0"/>
        <w:ind w:firstLine="708"/>
        <w:contextualSpacing/>
        <w:jc w:val="both"/>
        <w:rPr>
          <w:rFonts w:ascii="Verdana" w:hAnsi="Verdana" w:cs="Arial"/>
          <w:color w:val="000000"/>
          <w:sz w:val="16"/>
          <w:szCs w:val="16"/>
        </w:rPr>
      </w:pPr>
      <w:r w:rsidRPr="00C5701E">
        <w:rPr>
          <w:rStyle w:val="Textoennegrita"/>
          <w:rFonts w:ascii="Verdana" w:hAnsi="Verdana" w:cs="Arial"/>
          <w:color w:val="000000"/>
          <w:sz w:val="16"/>
          <w:szCs w:val="16"/>
        </w:rPr>
        <w:t xml:space="preserve">Parágrafo 7º. </w:t>
      </w:r>
      <w:r w:rsidRPr="00C5701E">
        <w:rPr>
          <w:rFonts w:ascii="Verdana" w:hAnsi="Verdana" w:cs="Arial"/>
          <w:color w:val="000000"/>
          <w:sz w:val="16"/>
          <w:szCs w:val="16"/>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A6CF0CC" w14:textId="77777777" w:rsidR="001A3CE6" w:rsidRPr="00C5701E" w:rsidRDefault="001A3CE6" w:rsidP="001A3CE6">
      <w:pPr>
        <w:pStyle w:val="NormalWeb"/>
        <w:spacing w:before="0" w:beforeAutospacing="0" w:after="0" w:afterAutospacing="0"/>
        <w:ind w:firstLine="708"/>
        <w:contextualSpacing/>
        <w:jc w:val="both"/>
        <w:rPr>
          <w:rFonts w:ascii="Verdana" w:hAnsi="Verdana" w:cs="Arial"/>
          <w:color w:val="000000"/>
          <w:sz w:val="16"/>
          <w:szCs w:val="16"/>
        </w:rPr>
      </w:pPr>
      <w:r w:rsidRPr="00C5701E">
        <w:rPr>
          <w:rFonts w:ascii="Verdana" w:hAnsi="Verdana" w:cs="Arial"/>
          <w:color w:val="000000"/>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05E96B5" w14:textId="77777777" w:rsidR="001A3CE6" w:rsidRPr="00C5701E" w:rsidRDefault="001A3CE6" w:rsidP="001A3CE6">
      <w:pPr>
        <w:pStyle w:val="NormalWeb"/>
        <w:spacing w:before="0" w:beforeAutospacing="0" w:after="0" w:afterAutospacing="0"/>
        <w:ind w:firstLine="708"/>
        <w:contextualSpacing/>
        <w:jc w:val="both"/>
        <w:rPr>
          <w:rFonts w:ascii="Verdana" w:hAnsi="Verdana" w:cs="Arial"/>
          <w:color w:val="000000"/>
          <w:sz w:val="16"/>
          <w:szCs w:val="16"/>
        </w:rPr>
      </w:pPr>
      <w:r w:rsidRPr="00C5701E">
        <w:rPr>
          <w:rFonts w:ascii="Verdana" w:hAnsi="Verdana" w:cs="Arial"/>
          <w:color w:val="000000"/>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7C85400" w14:textId="77777777" w:rsidR="001A3CE6" w:rsidRPr="00C5701E" w:rsidRDefault="001A3CE6" w:rsidP="001A3CE6">
      <w:pPr>
        <w:pStyle w:val="NormalWeb"/>
        <w:spacing w:before="0" w:beforeAutospacing="0" w:after="0" w:afterAutospacing="0"/>
        <w:ind w:firstLine="708"/>
        <w:contextualSpacing/>
        <w:jc w:val="both"/>
        <w:rPr>
          <w:rFonts w:ascii="Verdana" w:hAnsi="Verdana" w:cs="Arial"/>
          <w:color w:val="000000"/>
          <w:sz w:val="16"/>
          <w:szCs w:val="16"/>
        </w:rPr>
      </w:pPr>
      <w:r w:rsidRPr="00C5701E">
        <w:rPr>
          <w:rFonts w:ascii="Verdana" w:hAnsi="Verdana" w:cs="Arial"/>
          <w:color w:val="000000"/>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B4B7153" w14:textId="77777777" w:rsidR="001A3CE6" w:rsidRPr="00C5701E" w:rsidRDefault="001A3CE6" w:rsidP="001A3CE6">
      <w:pPr>
        <w:pStyle w:val="NormalWeb"/>
        <w:spacing w:before="0" w:beforeAutospacing="0" w:after="0" w:afterAutospacing="0"/>
        <w:ind w:firstLine="708"/>
        <w:contextualSpacing/>
        <w:jc w:val="both"/>
        <w:rPr>
          <w:rFonts w:ascii="Verdana" w:hAnsi="Verdana" w:cs="Arial"/>
          <w:color w:val="000000"/>
          <w:sz w:val="16"/>
          <w:szCs w:val="16"/>
        </w:rPr>
      </w:pPr>
      <w:r w:rsidRPr="00C5701E">
        <w:rPr>
          <w:rFonts w:ascii="Verdana" w:hAnsi="Verdana" w:cs="Arial"/>
          <w:color w:val="000000"/>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
    <w:p w14:paraId="68473127" w14:textId="77777777" w:rsidR="001A3CE6" w:rsidRPr="00C5701E" w:rsidRDefault="001A3CE6" w:rsidP="001A3CE6">
      <w:pPr>
        <w:pStyle w:val="Textonotapie"/>
        <w:ind w:firstLine="708"/>
        <w:contextualSpacing/>
        <w:jc w:val="both"/>
        <w:rPr>
          <w:rFonts w:ascii="Verdana" w:hAnsi="Verdana" w:cs="Arial"/>
          <w:color w:val="000000"/>
          <w:sz w:val="16"/>
          <w:szCs w:val="16"/>
        </w:rPr>
      </w:pPr>
      <w:r w:rsidRPr="00C5701E">
        <w:rPr>
          <w:rStyle w:val="Refdenotaalpie"/>
          <w:rFonts w:ascii="Verdana" w:hAnsi="Verdana" w:cs="Arial"/>
          <w:color w:val="000000"/>
          <w:sz w:val="16"/>
          <w:szCs w:val="16"/>
        </w:rPr>
        <w:footnoteRef/>
      </w:r>
      <w:r w:rsidRPr="00C5701E">
        <w:rPr>
          <w:rFonts w:ascii="Verdana" w:hAnsi="Verdana" w:cs="Arial"/>
          <w:color w:val="000000"/>
          <w:sz w:val="16"/>
          <w:szCs w:val="16"/>
        </w:rPr>
        <w:t xml:space="preserve"> </w:t>
      </w:r>
      <w:r w:rsidRPr="00C5701E">
        <w:rPr>
          <w:rFonts w:ascii="Verdana" w:hAnsi="Verdana" w:cs="Arial"/>
          <w:color w:val="000000"/>
          <w:sz w:val="16"/>
          <w:szCs w:val="16"/>
        </w:rPr>
        <w:t xml:space="preserve">Los Documentos Tipo expedidos por la Agencia Nacional de Contratación Pública – Colombia Compra Eficiente pueden ser consultados en el siguiente </w:t>
      </w:r>
      <w:r w:rsidRPr="00C5701E">
        <w:rPr>
          <w:rFonts w:ascii="Verdana" w:hAnsi="Verdana" w:cs="Arial"/>
          <w:color w:val="000000"/>
          <w:sz w:val="16"/>
          <w:szCs w:val="16"/>
        </w:rPr>
        <w:t xml:space="preserve">enlace: </w:t>
      </w:r>
      <w:r>
        <w:fldChar w:fldCharType="begin"/>
      </w:r>
      <w:r>
        <w:instrText>HYPERLINK "https://www.colombiacompra.gov.co/documentos-tipo/documentos-tipo"</w:instrText>
      </w:r>
      <w:r>
        <w:fldChar w:fldCharType="separate"/>
      </w:r>
      <w:r w:rsidRPr="00C5701E">
        <w:rPr>
          <w:rStyle w:val="Hipervnculo"/>
          <w:rFonts w:ascii="Verdana" w:hAnsi="Verdana" w:cs="Arial"/>
          <w:color w:val="000000"/>
          <w:sz w:val="16"/>
          <w:szCs w:val="16"/>
        </w:rPr>
        <w:t>https://www.colombiacompra.gov.co/documentos-tipo/documentos-tipo</w:t>
      </w:r>
      <w:r>
        <w:fldChar w:fldCharType="end"/>
      </w:r>
      <w:r w:rsidRPr="00C5701E">
        <w:rPr>
          <w:rFonts w:ascii="Verdana" w:hAnsi="Verdana"/>
          <w:sz w:val="16"/>
          <w:szCs w:val="16"/>
        </w:rPr>
        <w:t xml:space="preserve"> </w:t>
      </w:r>
      <w:r w:rsidRPr="00C5701E">
        <w:rPr>
          <w:rFonts w:ascii="Verdana" w:hAnsi="Verdana" w:cs="Arial"/>
          <w:color w:val="000000"/>
          <w:sz w:val="16"/>
          <w:szCs w:val="16"/>
        </w:rPr>
        <w:t xml:space="preserve"> </w:t>
      </w:r>
    </w:p>
  </w:footnote>
  <w:footnote w:id="4">
    <w:p w14:paraId="0E358142" w14:textId="77777777" w:rsidR="001A3CE6" w:rsidRPr="00C5701E" w:rsidRDefault="001A3CE6" w:rsidP="001A3CE6">
      <w:pPr>
        <w:pStyle w:val="Textonotapie"/>
        <w:ind w:firstLine="708"/>
        <w:contextualSpacing/>
        <w:jc w:val="both"/>
        <w:rPr>
          <w:rFonts w:ascii="Verdana" w:hAnsi="Verdana" w:cs="Arial"/>
          <w:color w:val="000000"/>
          <w:sz w:val="16"/>
          <w:szCs w:val="16"/>
        </w:rPr>
      </w:pPr>
      <w:r w:rsidRPr="00C5701E">
        <w:rPr>
          <w:rStyle w:val="Refdenotaalpie"/>
          <w:rFonts w:ascii="Verdana" w:hAnsi="Verdana" w:cs="Arial"/>
          <w:color w:val="000000"/>
          <w:sz w:val="16"/>
          <w:szCs w:val="16"/>
        </w:rPr>
        <w:footnoteRef/>
      </w:r>
      <w:r w:rsidRPr="00C5701E">
        <w:rPr>
          <w:rFonts w:ascii="Verdana" w:hAnsi="Verdana" w:cs="Arial"/>
          <w:color w:val="000000"/>
          <w:sz w:val="16"/>
          <w:szCs w:val="16"/>
        </w:rPr>
        <w:t xml:space="preserve"> </w:t>
      </w:r>
      <w:r w:rsidRPr="00C5701E">
        <w:rPr>
          <w:rFonts w:ascii="Verdana" w:hAnsi="Verdana" w:cs="Arial"/>
          <w:color w:val="000000"/>
          <w:sz w:val="16"/>
          <w:szCs w:val="16"/>
        </w:rPr>
        <w:t xml:space="preserve">En este sentido, a modo de ejemplo, en el </w:t>
      </w:r>
      <w:r>
        <w:rPr>
          <w:rFonts w:ascii="Verdana" w:hAnsi="Verdana" w:cs="Arial"/>
          <w:color w:val="000000"/>
          <w:sz w:val="16"/>
          <w:szCs w:val="16"/>
        </w:rPr>
        <w:t>“</w:t>
      </w:r>
      <w:r w:rsidRPr="00C5701E">
        <w:rPr>
          <w:rFonts w:ascii="Verdana" w:hAnsi="Verdana" w:cs="Arial"/>
          <w:color w:val="000000"/>
          <w:sz w:val="16"/>
          <w:szCs w:val="16"/>
        </w:rPr>
        <w:t>documento base</w:t>
      </w:r>
      <w:r>
        <w:rPr>
          <w:rFonts w:ascii="Verdana" w:hAnsi="Verdana" w:cs="Arial"/>
          <w:color w:val="000000"/>
          <w:sz w:val="16"/>
          <w:szCs w:val="16"/>
        </w:rPr>
        <w:t>”</w:t>
      </w:r>
      <w:r w:rsidRPr="00C5701E">
        <w:rPr>
          <w:rFonts w:ascii="Verdana" w:hAnsi="Verdana" w:cs="Arial"/>
          <w:color w:val="000000"/>
          <w:sz w:val="16"/>
          <w:szCs w:val="16"/>
        </w:rPr>
        <w:t xml:space="preserve"> del documento tipo de licitación se establece lo siguiente: “Los Documentos Tipo aplica a los procesos de licitación de obra pública de infraestructura de transporte (versión </w:t>
      </w:r>
      <w:r>
        <w:rPr>
          <w:rFonts w:ascii="Verdana" w:hAnsi="Verdana" w:cs="Arial"/>
          <w:color w:val="000000"/>
          <w:sz w:val="16"/>
          <w:szCs w:val="16"/>
        </w:rPr>
        <w:t>4</w:t>
      </w:r>
      <w:r w:rsidRPr="00C5701E">
        <w:rPr>
          <w:rFonts w:ascii="Verdana" w:hAnsi="Verdana" w:cs="Arial"/>
          <w:color w:val="000000"/>
          <w:sz w:val="16"/>
          <w:szCs w:val="16"/>
        </w:rPr>
        <w:t>),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footnote>
  <w:footnote w:id="5">
    <w:p w14:paraId="35AC7D85" w14:textId="77777777" w:rsidR="001A3CE6" w:rsidRPr="00C5701E" w:rsidRDefault="001A3CE6" w:rsidP="001A3CE6">
      <w:pPr>
        <w:pStyle w:val="Textonotapie"/>
        <w:ind w:firstLine="709"/>
        <w:jc w:val="both"/>
        <w:rPr>
          <w:rFonts w:ascii="Verdana" w:hAnsi="Verdana"/>
          <w:bCs/>
          <w:sz w:val="16"/>
          <w:szCs w:val="16"/>
          <w:lang w:val="es-ES_tradnl"/>
        </w:rPr>
      </w:pPr>
      <w:r w:rsidRPr="00C5701E">
        <w:rPr>
          <w:rStyle w:val="Refdenotaalpie"/>
          <w:rFonts w:ascii="Verdana" w:hAnsi="Verdana"/>
          <w:sz w:val="16"/>
          <w:szCs w:val="16"/>
        </w:rPr>
        <w:footnoteRef/>
      </w:r>
      <w:r w:rsidRPr="00C5701E">
        <w:rPr>
          <w:rFonts w:ascii="Verdana" w:hAnsi="Verdana"/>
          <w:sz w:val="16"/>
          <w:szCs w:val="16"/>
        </w:rPr>
        <w:t xml:space="preserve"> </w:t>
      </w:r>
      <w:r w:rsidRPr="00C5701E">
        <w:rPr>
          <w:rFonts w:ascii="Verdana" w:hAnsi="Verdana"/>
          <w:sz w:val="16"/>
          <w:szCs w:val="16"/>
          <w:lang w:val="es-CO"/>
        </w:rPr>
        <w:t xml:space="preserve">Esta tesis se desarrolló y complementó, entre otros, en los siguientes conceptos </w:t>
      </w:r>
      <w:bookmarkStart w:id="4" w:name="_Hlk205384358"/>
      <w:r w:rsidRPr="00C5701E">
        <w:rPr>
          <w:rFonts w:ascii="Verdana" w:hAnsi="Verdana"/>
          <w:sz w:val="16"/>
          <w:szCs w:val="16"/>
          <w:lang w:val="es-CO"/>
        </w:rPr>
        <w:t>C-320 del 20 de mayo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y C-808 del 30 de julio de</w:t>
      </w:r>
      <w:r>
        <w:rPr>
          <w:rFonts w:ascii="Verdana" w:hAnsi="Verdana"/>
          <w:sz w:val="16"/>
          <w:szCs w:val="16"/>
          <w:lang w:val="es-CO"/>
        </w:rPr>
        <w:t xml:space="preserve"> </w:t>
      </w:r>
      <w:r w:rsidRPr="00C5701E">
        <w:rPr>
          <w:rFonts w:ascii="Verdana" w:hAnsi="Verdana"/>
          <w:sz w:val="16"/>
          <w:szCs w:val="16"/>
          <w:lang w:val="es-CO"/>
        </w:rPr>
        <w:t>2025</w:t>
      </w:r>
      <w:r>
        <w:rPr>
          <w:rFonts w:ascii="Verdana" w:hAnsi="Verdana"/>
          <w:sz w:val="16"/>
          <w:szCs w:val="16"/>
          <w:lang w:val="es-CO"/>
        </w:rPr>
        <w:t>.</w:t>
      </w:r>
      <w:r w:rsidRPr="00C5701E">
        <w:rPr>
          <w:rFonts w:ascii="Verdana" w:hAnsi="Verdana"/>
          <w:sz w:val="16"/>
          <w:szCs w:val="16"/>
          <w:lang w:val="es-CO"/>
        </w:rPr>
        <w:t xml:space="preserve"> </w:t>
      </w:r>
      <w:bookmarkEnd w:id="4"/>
    </w:p>
  </w:footnote>
  <w:footnote w:id="6">
    <w:p w14:paraId="3558282A" w14:textId="77777777" w:rsidR="001A3CE6" w:rsidRPr="00C5701E" w:rsidRDefault="001A3CE6" w:rsidP="001A3CE6">
      <w:pPr>
        <w:pStyle w:val="Textonotapie"/>
        <w:ind w:firstLine="709"/>
        <w:jc w:val="both"/>
        <w:rPr>
          <w:rFonts w:ascii="Verdana" w:hAnsi="Verdana"/>
          <w:sz w:val="16"/>
          <w:szCs w:val="16"/>
          <w:lang w:val="es-CO"/>
        </w:rPr>
      </w:pPr>
      <w:r w:rsidRPr="00C5701E">
        <w:rPr>
          <w:rStyle w:val="Refdenotaalpie"/>
          <w:rFonts w:ascii="Verdana" w:hAnsi="Verdana"/>
          <w:sz w:val="16"/>
          <w:szCs w:val="16"/>
        </w:rPr>
        <w:footnoteRef/>
      </w:r>
      <w:r w:rsidRPr="00C5701E">
        <w:rPr>
          <w:rFonts w:ascii="Verdana" w:hAnsi="Verdana"/>
          <w:sz w:val="16"/>
          <w:szCs w:val="16"/>
        </w:rPr>
        <w:t xml:space="preserve"> </w:t>
      </w:r>
      <w:r w:rsidRPr="00C5701E">
        <w:rPr>
          <w:rFonts w:ascii="Verdana" w:eastAsia="Calibri" w:hAnsi="Verdana" w:cs="Arial"/>
          <w:sz w:val="16"/>
          <w:szCs w:val="16"/>
          <w:lang w:val="es-ES_tradnl" w:eastAsia="es-ES_tradnl"/>
        </w:rPr>
        <w:t>Según el cual “Los pasajes oscuros de una ley pueden ser ilustrados por medio de otras leyes, particularmente si versan sobre el mismo asunto”,</w:t>
      </w:r>
    </w:p>
  </w:footnote>
  <w:footnote w:id="7">
    <w:p w14:paraId="1209ACBA" w14:textId="77777777" w:rsidR="001A3CE6" w:rsidRPr="00C5701E" w:rsidRDefault="001A3CE6" w:rsidP="001A3CE6">
      <w:pPr>
        <w:pStyle w:val="Textonotapie"/>
        <w:ind w:firstLine="709"/>
        <w:jc w:val="both"/>
        <w:rPr>
          <w:rFonts w:ascii="Verdana" w:hAnsi="Verdana"/>
          <w:sz w:val="16"/>
          <w:szCs w:val="16"/>
          <w:lang w:val="es-CO"/>
        </w:rPr>
      </w:pPr>
      <w:r w:rsidRPr="00C5701E">
        <w:rPr>
          <w:rStyle w:val="Refdenotaalpie"/>
          <w:rFonts w:ascii="Verdana" w:hAnsi="Verdana"/>
          <w:sz w:val="16"/>
          <w:szCs w:val="16"/>
        </w:rPr>
        <w:footnoteRef/>
      </w:r>
      <w:r w:rsidRPr="00C5701E">
        <w:rPr>
          <w:rFonts w:ascii="Verdana" w:hAnsi="Verdana"/>
          <w:sz w:val="16"/>
          <w:szCs w:val="16"/>
        </w:rPr>
        <w:t xml:space="preserve">  </w:t>
      </w:r>
      <w:r w:rsidRPr="00C5701E">
        <w:rPr>
          <w:rFonts w:ascii="Verdana" w:eastAsia="Calibri" w:hAnsi="Verdana" w:cs="Arial"/>
          <w:sz w:val="16"/>
          <w:szCs w:val="16"/>
          <w:lang w:val="es-ES_tradnl" w:eastAsia="es-ES_tradnl"/>
        </w:rPr>
        <w:t>Conforme al cual “Lo favorable u odioso de una disposición no se tomará en cuenta para ampliar o restringir su interpretación. La extensión que deba darse a toda ley se determinará por su genuino sentido, y según las reglas de interpretación precedentes”.</w:t>
      </w:r>
    </w:p>
  </w:footnote>
  <w:footnote w:id="8">
    <w:p w14:paraId="18340A67" w14:textId="77777777" w:rsidR="001A3CE6" w:rsidRPr="00C5701E" w:rsidRDefault="001A3CE6" w:rsidP="001A3CE6">
      <w:pPr>
        <w:pStyle w:val="Textonotapie"/>
        <w:ind w:firstLine="709"/>
        <w:jc w:val="both"/>
        <w:rPr>
          <w:rFonts w:ascii="Verdana" w:hAnsi="Verdana" w:cs="Arial"/>
          <w:color w:val="000000"/>
          <w:sz w:val="16"/>
          <w:szCs w:val="16"/>
        </w:rPr>
      </w:pPr>
      <w:r w:rsidRPr="00C5701E">
        <w:rPr>
          <w:rStyle w:val="Refdenotaalpie"/>
          <w:rFonts w:ascii="Verdana" w:hAnsi="Verdana" w:cs="Arial"/>
          <w:color w:val="000000"/>
          <w:sz w:val="16"/>
          <w:szCs w:val="16"/>
        </w:rPr>
        <w:footnoteRef/>
      </w:r>
      <w:r w:rsidRPr="00C5701E">
        <w:rPr>
          <w:rFonts w:ascii="Verdana" w:hAnsi="Verdana" w:cs="Arial"/>
          <w:color w:val="000000"/>
          <w:sz w:val="16"/>
          <w:szCs w:val="16"/>
        </w:rPr>
        <w:t xml:space="preserve"> CONGRESO DE LA REPÚBLICA. Gaceta Nº 1677 del 23 de noviembre de 2021. Justificación jurídica del Proyecto de Ley No. 226 de 2021 Cámara. p. 15.</w:t>
      </w:r>
      <w:r w:rsidRPr="00C5701E">
        <w:rPr>
          <w:rFonts w:ascii="Verdana" w:hAnsi="Verdana" w:cs="Arial"/>
          <w:color w:val="000000"/>
          <w:sz w:val="16"/>
          <w:szCs w:val="16"/>
        </w:rPr>
        <w:cr/>
      </w:r>
    </w:p>
  </w:footnote>
  <w:footnote w:id="9">
    <w:p w14:paraId="1F7FD90D" w14:textId="77777777" w:rsidR="001A3CE6" w:rsidRPr="00C5701E" w:rsidRDefault="001A3CE6" w:rsidP="001A3CE6">
      <w:pPr>
        <w:pStyle w:val="Textonotapie"/>
        <w:ind w:firstLine="709"/>
        <w:contextualSpacing/>
        <w:jc w:val="both"/>
        <w:rPr>
          <w:rFonts w:ascii="Verdana" w:hAnsi="Verdana" w:cs="Arial"/>
          <w:color w:val="000000"/>
          <w:sz w:val="16"/>
          <w:szCs w:val="16"/>
          <w:lang w:val="es-ES"/>
        </w:rPr>
      </w:pPr>
      <w:r w:rsidRPr="00C5701E">
        <w:rPr>
          <w:rStyle w:val="Refdenotaalpie"/>
          <w:rFonts w:ascii="Verdana" w:hAnsi="Verdana" w:cs="Arial"/>
          <w:color w:val="000000"/>
          <w:sz w:val="16"/>
          <w:szCs w:val="16"/>
        </w:rPr>
        <w:footnoteRef/>
      </w:r>
      <w:r w:rsidRPr="00C5701E">
        <w:rPr>
          <w:rFonts w:ascii="Verdana" w:hAnsi="Verdana" w:cs="Arial"/>
          <w:color w:val="000000"/>
          <w:sz w:val="16"/>
          <w:szCs w:val="16"/>
        </w:rPr>
        <w:t xml:space="preserve"> </w:t>
      </w:r>
      <w:r w:rsidRPr="00C5701E">
        <w:rPr>
          <w:rFonts w:ascii="Verdana" w:hAnsi="Verdana" w:cs="Arial"/>
          <w:color w:val="000000"/>
          <w:sz w:val="16"/>
          <w:szCs w:val="16"/>
          <w:lang w:val="es-ES"/>
        </w:rPr>
        <w:t xml:space="preserve">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w:t>
      </w:r>
      <w:proofErr w:type="gramStart"/>
      <w:r w:rsidRPr="00C5701E">
        <w:rPr>
          <w:rFonts w:ascii="Verdana" w:hAnsi="Verdana" w:cs="Arial"/>
          <w:color w:val="000000"/>
          <w:sz w:val="16"/>
          <w:szCs w:val="16"/>
          <w:lang w:val="es-ES"/>
        </w:rPr>
        <w:t>los mismos</w:t>
      </w:r>
      <w:proofErr w:type="gramEnd"/>
      <w:r w:rsidRPr="00C5701E">
        <w:rPr>
          <w:rFonts w:ascii="Verdana" w:hAnsi="Verdana" w:cs="Arial"/>
          <w:color w:val="000000"/>
          <w:sz w:val="16"/>
          <w:szCs w:val="16"/>
          <w:lang w:val="es-ES"/>
        </w:rPr>
        <w:t xml:space="preserve">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Pr="00C5701E">
        <w:rPr>
          <w:rFonts w:ascii="Verdana" w:hAnsi="Verdana" w:cs="Arial"/>
          <w:color w:val="000000"/>
          <w:sz w:val="16"/>
          <w:szCs w:val="16"/>
          <w:lang w:val="es-ES"/>
        </w:rPr>
        <w:t>Civitas</w:t>
      </w:r>
      <w:proofErr w:type="spellEnd"/>
      <w:r w:rsidRPr="00C5701E">
        <w:rPr>
          <w:rFonts w:ascii="Verdana" w:hAnsi="Verdana" w:cs="Arial"/>
          <w:color w:val="000000"/>
          <w:sz w:val="16"/>
          <w:szCs w:val="16"/>
          <w:lang w:val="es-ES"/>
        </w:rPr>
        <w:t>, 1983. pp. 33-34).</w:t>
      </w:r>
    </w:p>
  </w:footnote>
  <w:footnote w:id="10">
    <w:p w14:paraId="06B69414" w14:textId="77777777" w:rsidR="001A3CE6" w:rsidRPr="00C5701E" w:rsidRDefault="001A3CE6" w:rsidP="001A3CE6">
      <w:pPr>
        <w:pStyle w:val="Textonotapie"/>
        <w:ind w:firstLine="709"/>
        <w:contextualSpacing/>
        <w:jc w:val="both"/>
        <w:rPr>
          <w:rFonts w:ascii="Verdana" w:hAnsi="Verdana" w:cs="Arial"/>
          <w:color w:val="000000"/>
          <w:sz w:val="16"/>
          <w:szCs w:val="16"/>
        </w:rPr>
      </w:pPr>
      <w:r w:rsidRPr="00C5701E">
        <w:rPr>
          <w:rStyle w:val="Refdenotaalpie"/>
          <w:rFonts w:ascii="Verdana" w:hAnsi="Verdana" w:cs="Arial"/>
          <w:color w:val="000000"/>
          <w:sz w:val="16"/>
          <w:szCs w:val="16"/>
        </w:rPr>
        <w:footnoteRef/>
      </w:r>
      <w:r w:rsidRPr="00C5701E">
        <w:rPr>
          <w:rFonts w:ascii="Verdana" w:hAnsi="Verdana" w:cs="Arial"/>
          <w:color w:val="000000"/>
          <w:sz w:val="16"/>
          <w:szCs w:val="16"/>
        </w:rPr>
        <w:t xml:space="preserve"> CORTE CONSTITUCIONAL, Sentencia C-382 de 2019, M.P. Alejandro Linares Cantillo.</w:t>
      </w:r>
    </w:p>
  </w:footnote>
  <w:footnote w:id="11">
    <w:p w14:paraId="255B7A44" w14:textId="77777777" w:rsidR="001A3CE6" w:rsidRPr="00C5701E" w:rsidRDefault="001A3CE6" w:rsidP="001A3CE6">
      <w:pPr>
        <w:pStyle w:val="Textonotapie"/>
        <w:ind w:firstLine="709"/>
        <w:contextualSpacing/>
        <w:jc w:val="both"/>
        <w:rPr>
          <w:rFonts w:ascii="Verdana" w:hAnsi="Verdana" w:cs="Arial"/>
          <w:color w:val="000000"/>
          <w:sz w:val="16"/>
          <w:szCs w:val="16"/>
        </w:rPr>
      </w:pPr>
      <w:r w:rsidRPr="00C5701E">
        <w:rPr>
          <w:rStyle w:val="Refdenotaalpie"/>
          <w:rFonts w:ascii="Verdana" w:hAnsi="Verdana" w:cs="Arial"/>
          <w:color w:val="000000"/>
          <w:sz w:val="16"/>
          <w:szCs w:val="16"/>
        </w:rPr>
        <w:footnoteRef/>
      </w:r>
      <w:r w:rsidRPr="00C5701E">
        <w:rPr>
          <w:rFonts w:ascii="Verdana" w:hAnsi="Verdana" w:cs="Arial"/>
          <w:color w:val="000000"/>
          <w:sz w:val="16"/>
          <w:szCs w:val="16"/>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footnote>
  <w:footnote w:id="12">
    <w:p w14:paraId="416E429E" w14:textId="77777777" w:rsidR="001A3CE6" w:rsidRPr="00C5701E" w:rsidRDefault="001A3CE6" w:rsidP="001A3CE6">
      <w:pPr>
        <w:pStyle w:val="Textonotapie"/>
        <w:ind w:firstLine="709"/>
        <w:contextualSpacing/>
        <w:jc w:val="both"/>
        <w:rPr>
          <w:rFonts w:ascii="Verdana" w:hAnsi="Verdana" w:cs="Arial"/>
          <w:color w:val="000000"/>
          <w:sz w:val="16"/>
          <w:szCs w:val="16"/>
        </w:rPr>
      </w:pPr>
      <w:r w:rsidRPr="00C5701E">
        <w:rPr>
          <w:rStyle w:val="Refdenotaalpie"/>
          <w:rFonts w:ascii="Verdana" w:hAnsi="Verdana" w:cs="Arial"/>
          <w:color w:val="000000"/>
          <w:sz w:val="16"/>
          <w:szCs w:val="16"/>
        </w:rPr>
        <w:footnoteRef/>
      </w:r>
      <w:r w:rsidRPr="00C5701E">
        <w:rPr>
          <w:rFonts w:ascii="Verdana" w:hAnsi="Verdana" w:cs="Arial"/>
          <w:color w:val="000000"/>
          <w:sz w:val="16"/>
          <w:szCs w:val="16"/>
        </w:rPr>
        <w:t xml:space="preserve"> CONSEJO DE ESTADO. Sección Tercera. Subsección B. Sentencia del 12 de octubre de 2011. Exp. No. 20070. C.P. Danilo Rojas Betancourt.</w:t>
      </w:r>
    </w:p>
  </w:footnote>
  <w:footnote w:id="13">
    <w:p w14:paraId="3DFE7EEA" w14:textId="77777777" w:rsidR="001A3CE6" w:rsidRPr="00C5701E" w:rsidRDefault="001A3CE6" w:rsidP="001A3CE6">
      <w:pPr>
        <w:tabs>
          <w:tab w:val="left" w:pos="0"/>
        </w:tabs>
        <w:spacing w:after="0" w:line="240" w:lineRule="auto"/>
        <w:contextualSpacing/>
        <w:jc w:val="both"/>
        <w:rPr>
          <w:rFonts w:ascii="Verdana" w:eastAsia="Calibri" w:hAnsi="Verdana" w:cs="Arial"/>
          <w:color w:val="000000"/>
          <w:sz w:val="16"/>
          <w:szCs w:val="16"/>
          <w:lang w:val="es-ES_tradnl" w:eastAsia="es-ES_tradnl"/>
        </w:rPr>
      </w:pPr>
      <w:r w:rsidRPr="00C5701E">
        <w:rPr>
          <w:rFonts w:ascii="Verdana" w:hAnsi="Verdana" w:cs="Arial"/>
          <w:color w:val="000000"/>
          <w:sz w:val="16"/>
          <w:szCs w:val="16"/>
        </w:rPr>
        <w:tab/>
      </w:r>
      <w:r w:rsidRPr="00C5701E">
        <w:rPr>
          <w:rStyle w:val="Refdenotaalpie"/>
          <w:rFonts w:ascii="Verdana" w:hAnsi="Verdana" w:cs="Arial"/>
          <w:color w:val="000000"/>
          <w:sz w:val="16"/>
          <w:szCs w:val="16"/>
        </w:rPr>
        <w:footnoteRef/>
      </w:r>
      <w:r w:rsidRPr="00C5701E">
        <w:rPr>
          <w:rFonts w:ascii="Verdana" w:hAnsi="Verdana" w:cs="Arial"/>
          <w:color w:val="000000"/>
          <w:sz w:val="16"/>
          <w:szCs w:val="16"/>
        </w:rPr>
        <w:t xml:space="preserve"> CONSEJO DE ESTADO. Sección Tercera. Subsección A. Sentencia del 3 de marzo de 2021. </w:t>
      </w:r>
      <w:proofErr w:type="spellStart"/>
      <w:r w:rsidRPr="00C5701E">
        <w:rPr>
          <w:rFonts w:ascii="Verdana" w:hAnsi="Verdana" w:cs="Arial"/>
          <w:color w:val="000000"/>
          <w:sz w:val="16"/>
          <w:szCs w:val="16"/>
        </w:rPr>
        <w:t>Exp</w:t>
      </w:r>
      <w:proofErr w:type="spellEnd"/>
      <w:r w:rsidRPr="00C5701E">
        <w:rPr>
          <w:rFonts w:ascii="Verdana" w:hAnsi="Verdana" w:cs="Arial"/>
          <w:color w:val="000000"/>
          <w:sz w:val="16"/>
          <w:szCs w:val="16"/>
        </w:rPr>
        <w:t xml:space="preserve">. No. 51373. C.P. José Roberto Sáchica Méndez. </w:t>
      </w:r>
      <w:r w:rsidRPr="00C5701E">
        <w:rPr>
          <w:rFonts w:ascii="Verdana" w:eastAsia="Calibri" w:hAnsi="Verdana" w:cs="Arial"/>
          <w:color w:val="000000"/>
          <w:sz w:val="16"/>
          <w:szCs w:val="16"/>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14">
    <w:p w14:paraId="6757B6D7" w14:textId="77777777" w:rsidR="001A3CE6" w:rsidRPr="00C5701E" w:rsidRDefault="001A3CE6" w:rsidP="001A3CE6">
      <w:pPr>
        <w:pStyle w:val="Textonotapie"/>
        <w:ind w:firstLine="708"/>
        <w:contextualSpacing/>
        <w:jc w:val="both"/>
        <w:rPr>
          <w:rFonts w:ascii="Verdana" w:hAnsi="Verdana" w:cs="Arial"/>
          <w:color w:val="000000"/>
          <w:sz w:val="16"/>
          <w:szCs w:val="16"/>
        </w:rPr>
      </w:pPr>
      <w:r w:rsidRPr="00C5701E">
        <w:rPr>
          <w:rStyle w:val="Refdenotaalpie"/>
          <w:rFonts w:ascii="Verdana" w:hAnsi="Verdana" w:cs="Arial"/>
          <w:color w:val="000000"/>
          <w:sz w:val="16"/>
          <w:szCs w:val="16"/>
        </w:rPr>
        <w:footnoteRef/>
      </w:r>
      <w:r w:rsidRPr="00C5701E">
        <w:rPr>
          <w:rFonts w:ascii="Verdana" w:hAnsi="Verdana" w:cs="Arial"/>
          <w:color w:val="000000"/>
          <w:sz w:val="16"/>
          <w:szCs w:val="16"/>
        </w:rPr>
        <w:t xml:space="preserve"> </w:t>
      </w:r>
      <w:r>
        <w:rPr>
          <w:rFonts w:ascii="Verdana" w:hAnsi="Verdana" w:cs="Arial"/>
          <w:color w:val="000000"/>
          <w:sz w:val="16"/>
          <w:szCs w:val="16"/>
        </w:rPr>
        <w:t>L</w:t>
      </w:r>
      <w:r w:rsidRPr="00C5701E">
        <w:rPr>
          <w:rFonts w:ascii="Verdana" w:hAnsi="Verdana" w:cs="Arial"/>
          <w:color w:val="000000"/>
          <w:sz w:val="16"/>
          <w:szCs w:val="16"/>
        </w:rPr>
        <w:t>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r>
        <w:rPr>
          <w:rFonts w:ascii="Verdana" w:hAnsi="Verdana" w:cs="Arial"/>
          <w:color w:val="000000"/>
          <w:sz w:val="16"/>
          <w:szCs w:val="16"/>
        </w:rPr>
        <w:t>”</w:t>
      </w:r>
      <w:r w:rsidRPr="00C5701E">
        <w:rPr>
          <w:rFonts w:ascii="Verdana" w:hAnsi="Verdana" w:cs="Arial"/>
          <w:color w:val="000000"/>
          <w:sz w:val="16"/>
          <w:szCs w:val="16"/>
        </w:rPr>
        <w:t>.</w:t>
      </w:r>
    </w:p>
  </w:footnote>
  <w:footnote w:id="15">
    <w:p w14:paraId="2B0E3C29" w14:textId="77777777" w:rsidR="001A3CE6" w:rsidRPr="00C5701E" w:rsidRDefault="001A3CE6" w:rsidP="001A3CE6">
      <w:pPr>
        <w:pStyle w:val="Textonotapie"/>
        <w:ind w:firstLine="709"/>
        <w:contextualSpacing/>
        <w:jc w:val="both"/>
        <w:rPr>
          <w:rFonts w:ascii="Verdana" w:hAnsi="Verdana" w:cs="Arial"/>
          <w:color w:val="000000"/>
          <w:sz w:val="16"/>
          <w:szCs w:val="16"/>
        </w:rPr>
      </w:pPr>
      <w:r w:rsidRPr="00C5701E">
        <w:rPr>
          <w:rStyle w:val="Refdenotaalpie"/>
          <w:rFonts w:ascii="Verdana" w:hAnsi="Verdana" w:cs="Arial"/>
          <w:color w:val="000000"/>
          <w:sz w:val="16"/>
          <w:szCs w:val="16"/>
        </w:rPr>
        <w:footnoteRef/>
      </w:r>
      <w:r w:rsidRPr="00C5701E">
        <w:rPr>
          <w:rFonts w:ascii="Verdana" w:hAnsi="Verdana" w:cs="Arial"/>
          <w:color w:val="000000"/>
          <w:sz w:val="16"/>
          <w:szCs w:val="16"/>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5C26B381" w14:textId="77777777" w:rsidR="001A3CE6" w:rsidRPr="00C5701E" w:rsidRDefault="001A3CE6" w:rsidP="001A3CE6">
      <w:pPr>
        <w:pStyle w:val="Textonotapie"/>
        <w:ind w:firstLine="709"/>
        <w:contextualSpacing/>
        <w:jc w:val="both"/>
        <w:rPr>
          <w:rFonts w:ascii="Verdana" w:hAnsi="Verdana" w:cs="Arial"/>
          <w:color w:val="000000"/>
          <w:sz w:val="16"/>
          <w:szCs w:val="16"/>
        </w:rPr>
      </w:pPr>
      <w:r w:rsidRPr="00C5701E">
        <w:rPr>
          <w:rFonts w:ascii="Verdana" w:hAnsi="Verdana" w:cs="Arial"/>
          <w:color w:val="000000"/>
          <w:sz w:val="16"/>
          <w:szCs w:val="16"/>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2EC8"/>
    <w:rsid w:val="00046945"/>
    <w:rsid w:val="00061B2A"/>
    <w:rsid w:val="00082362"/>
    <w:rsid w:val="000A683E"/>
    <w:rsid w:val="000B19B9"/>
    <w:rsid w:val="000D0334"/>
    <w:rsid w:val="000D1270"/>
    <w:rsid w:val="000E28D3"/>
    <w:rsid w:val="000F6486"/>
    <w:rsid w:val="001227CB"/>
    <w:rsid w:val="00124977"/>
    <w:rsid w:val="00125105"/>
    <w:rsid w:val="00127233"/>
    <w:rsid w:val="00182DD9"/>
    <w:rsid w:val="001A3CE6"/>
    <w:rsid w:val="001E4177"/>
    <w:rsid w:val="001F7DC6"/>
    <w:rsid w:val="00220905"/>
    <w:rsid w:val="002421BB"/>
    <w:rsid w:val="0025796E"/>
    <w:rsid w:val="002707A2"/>
    <w:rsid w:val="002951A0"/>
    <w:rsid w:val="002962BC"/>
    <w:rsid w:val="002A093D"/>
    <w:rsid w:val="002A0DD0"/>
    <w:rsid w:val="002A49AC"/>
    <w:rsid w:val="002A64FD"/>
    <w:rsid w:val="002C4053"/>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6077F"/>
    <w:rsid w:val="004A1847"/>
    <w:rsid w:val="004A305D"/>
    <w:rsid w:val="004E1C98"/>
    <w:rsid w:val="004F21C4"/>
    <w:rsid w:val="004F685F"/>
    <w:rsid w:val="00515BB1"/>
    <w:rsid w:val="0053054E"/>
    <w:rsid w:val="00531158"/>
    <w:rsid w:val="00552C95"/>
    <w:rsid w:val="005566E8"/>
    <w:rsid w:val="00574867"/>
    <w:rsid w:val="00591460"/>
    <w:rsid w:val="005C3777"/>
    <w:rsid w:val="005C5CDC"/>
    <w:rsid w:val="005D476C"/>
    <w:rsid w:val="005D5AAD"/>
    <w:rsid w:val="006219F8"/>
    <w:rsid w:val="006302F7"/>
    <w:rsid w:val="00643FAC"/>
    <w:rsid w:val="006519DD"/>
    <w:rsid w:val="00665D70"/>
    <w:rsid w:val="0067092C"/>
    <w:rsid w:val="006900D9"/>
    <w:rsid w:val="006A760C"/>
    <w:rsid w:val="006E159E"/>
    <w:rsid w:val="00706C16"/>
    <w:rsid w:val="007145AC"/>
    <w:rsid w:val="00744B9B"/>
    <w:rsid w:val="00756841"/>
    <w:rsid w:val="007649AB"/>
    <w:rsid w:val="00767042"/>
    <w:rsid w:val="00771D0C"/>
    <w:rsid w:val="007833AC"/>
    <w:rsid w:val="007B268C"/>
    <w:rsid w:val="007B7171"/>
    <w:rsid w:val="007C0C0F"/>
    <w:rsid w:val="007C3DC2"/>
    <w:rsid w:val="007E5497"/>
    <w:rsid w:val="00804A13"/>
    <w:rsid w:val="00806F5F"/>
    <w:rsid w:val="00815249"/>
    <w:rsid w:val="00820278"/>
    <w:rsid w:val="00855449"/>
    <w:rsid w:val="0086798F"/>
    <w:rsid w:val="00867F95"/>
    <w:rsid w:val="008715B1"/>
    <w:rsid w:val="008843B6"/>
    <w:rsid w:val="00891928"/>
    <w:rsid w:val="00897A3A"/>
    <w:rsid w:val="008A446D"/>
    <w:rsid w:val="008D180B"/>
    <w:rsid w:val="008F0EA7"/>
    <w:rsid w:val="008F4BB3"/>
    <w:rsid w:val="00923EEF"/>
    <w:rsid w:val="009419F9"/>
    <w:rsid w:val="0095685E"/>
    <w:rsid w:val="00961B09"/>
    <w:rsid w:val="00965334"/>
    <w:rsid w:val="00965C32"/>
    <w:rsid w:val="0097093E"/>
    <w:rsid w:val="009726B1"/>
    <w:rsid w:val="00993088"/>
    <w:rsid w:val="009A0DFA"/>
    <w:rsid w:val="009B25A8"/>
    <w:rsid w:val="009B2D26"/>
    <w:rsid w:val="009C5606"/>
    <w:rsid w:val="009C71FA"/>
    <w:rsid w:val="009C72E7"/>
    <w:rsid w:val="009D3058"/>
    <w:rsid w:val="009F3A13"/>
    <w:rsid w:val="00A122D3"/>
    <w:rsid w:val="00A17F13"/>
    <w:rsid w:val="00A20739"/>
    <w:rsid w:val="00A22176"/>
    <w:rsid w:val="00A33C78"/>
    <w:rsid w:val="00AB0ADB"/>
    <w:rsid w:val="00B00C0E"/>
    <w:rsid w:val="00B01B1A"/>
    <w:rsid w:val="00B44A47"/>
    <w:rsid w:val="00B72CD3"/>
    <w:rsid w:val="00B72FFF"/>
    <w:rsid w:val="00B819B0"/>
    <w:rsid w:val="00B90CC1"/>
    <w:rsid w:val="00BA4867"/>
    <w:rsid w:val="00BC3D36"/>
    <w:rsid w:val="00BC53B2"/>
    <w:rsid w:val="00BD7F72"/>
    <w:rsid w:val="00C04FB3"/>
    <w:rsid w:val="00C330EB"/>
    <w:rsid w:val="00C754BE"/>
    <w:rsid w:val="00C76B1C"/>
    <w:rsid w:val="00CB6357"/>
    <w:rsid w:val="00CC1B26"/>
    <w:rsid w:val="00D423A2"/>
    <w:rsid w:val="00D4530B"/>
    <w:rsid w:val="00D520D8"/>
    <w:rsid w:val="00D63AC2"/>
    <w:rsid w:val="00D7383B"/>
    <w:rsid w:val="00DA231B"/>
    <w:rsid w:val="00DC39FC"/>
    <w:rsid w:val="00DF5254"/>
    <w:rsid w:val="00E16408"/>
    <w:rsid w:val="00E20894"/>
    <w:rsid w:val="00E245AB"/>
    <w:rsid w:val="00E2764C"/>
    <w:rsid w:val="00E27F2E"/>
    <w:rsid w:val="00E353EC"/>
    <w:rsid w:val="00E50AFE"/>
    <w:rsid w:val="00E75C92"/>
    <w:rsid w:val="00E76525"/>
    <w:rsid w:val="00E771DC"/>
    <w:rsid w:val="00E8772A"/>
    <w:rsid w:val="00E90F6B"/>
    <w:rsid w:val="00E92C27"/>
    <w:rsid w:val="00EA0E3D"/>
    <w:rsid w:val="00EC38A7"/>
    <w:rsid w:val="00EE1AA8"/>
    <w:rsid w:val="00EE2960"/>
    <w:rsid w:val="00EE63B9"/>
    <w:rsid w:val="00F31EDC"/>
    <w:rsid w:val="00F462B3"/>
    <w:rsid w:val="00F5664F"/>
    <w:rsid w:val="00F666C4"/>
    <w:rsid w:val="00F76AFC"/>
    <w:rsid w:val="00FA47C0"/>
    <w:rsid w:val="00FB1F6F"/>
    <w:rsid w:val="00FB5DD1"/>
    <w:rsid w:val="00FC2B5D"/>
    <w:rsid w:val="00FD259B"/>
    <w:rsid w:val="00FF1449"/>
    <w:rsid w:val="3231820A"/>
    <w:rsid w:val="387858AF"/>
    <w:rsid w:val="51BD7005"/>
    <w:rsid w:val="6F66C7D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A3CE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A3CE6"/>
    <w:rPr>
      <w:rFonts w:ascii="Geomanist Light" w:hAnsi="Geomanist Light"/>
      <w:lang w:val="es-ES"/>
    </w:rPr>
  </w:style>
  <w:style w:type="character" w:customStyle="1" w:styleId="s15">
    <w:name w:val="s15"/>
    <w:basedOn w:val="Fuentedeprrafopredeter"/>
    <w:rsid w:val="001A3CE6"/>
  </w:style>
  <w:style w:type="character" w:customStyle="1" w:styleId="apple-converted-space">
    <w:name w:val="apple-converted-space"/>
    <w:basedOn w:val="Fuentedeprrafopredeter"/>
    <w:rsid w:val="001A3CE6"/>
  </w:style>
  <w:style w:type="character" w:styleId="Textoennegrita">
    <w:name w:val="Strong"/>
    <w:basedOn w:val="Fuentedeprrafopredeter"/>
    <w:uiPriority w:val="22"/>
    <w:qFormat/>
    <w:rsid w:val="001A3CE6"/>
    <w:rPr>
      <w:b/>
      <w:bCs/>
    </w:rPr>
  </w:style>
  <w:style w:type="character" w:customStyle="1" w:styleId="NormalWebCar">
    <w:name w:val="Normal (Web) Car"/>
    <w:link w:val="NormalWeb"/>
    <w:uiPriority w:val="99"/>
    <w:rsid w:val="001A3CE6"/>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sedavidrg4@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7E12D0-6981-497C-9E1E-9A495D98757E}"/>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25</Pages>
  <Words>8426</Words>
  <Characters>46346</Characters>
  <Application>Microsoft Office Word</Application>
  <DocSecurity>0</DocSecurity>
  <Lines>386</Lines>
  <Paragraphs>109</Paragraphs>
  <ScaleCrop>false</ScaleCrop>
  <Company/>
  <LinksUpToDate>false</LinksUpToDate>
  <CharactersWithSpaces>54663</CharactersWithSpaces>
  <SharedDoc>false</SharedDoc>
  <HLinks>
    <vt:vector size="24" baseType="variant">
      <vt:variant>
        <vt:i4>7995518</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7274503</vt:i4>
      </vt:variant>
      <vt:variant>
        <vt:i4>0</vt:i4>
      </vt:variant>
      <vt:variant>
        <vt:i4>0</vt:i4>
      </vt:variant>
      <vt:variant>
        <vt:i4>5</vt:i4>
      </vt:variant>
      <vt:variant>
        <vt:lpwstr>mailto:josedavidrg4@gmail.com</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7</cp:revision>
  <cp:lastPrinted>2023-01-10T21:18:00Z</cp:lastPrinted>
  <dcterms:created xsi:type="dcterms:W3CDTF">2025-10-01T15:11:00Z</dcterms:created>
  <dcterms:modified xsi:type="dcterms:W3CDTF">2025-10-01T23:56:00Z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