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10C84" w14:textId="77777777" w:rsidR="00C45960" w:rsidRDefault="00C45960" w:rsidP="00C45960">
      <w:pPr>
        <w:jc w:val="both"/>
        <w:rPr>
          <w:rFonts w:ascii="Arial" w:eastAsia="Arial" w:hAnsi="Arial" w:cs="Arial"/>
          <w:b/>
          <w:lang w:val="es-ES_tradnl"/>
        </w:rPr>
      </w:pPr>
      <w:bookmarkStart w:id="0" w:name="_Hlk47949675"/>
      <w:bookmarkStart w:id="1" w:name="_Hlk114827471"/>
      <w:r>
        <w:rPr>
          <w:rFonts w:ascii="Arial" w:hAnsi="Arial" w:cs="Arial"/>
          <w:b/>
          <w:bCs/>
          <w:lang w:val="es-ES_tradnl" w:eastAsia="es-CO"/>
        </w:rPr>
        <w:t xml:space="preserve">LEY DE GARANTÍAS ELECTORALES </w:t>
      </w:r>
      <w:r>
        <w:rPr>
          <w:rFonts w:ascii="Arial" w:eastAsia="Calibri" w:hAnsi="Arial" w:cs="Arial"/>
          <w:b/>
          <w:lang w:val="es-ES_tradnl"/>
        </w:rPr>
        <w:t xml:space="preserve">– </w:t>
      </w:r>
      <w:bookmarkStart w:id="2" w:name="_Hlk97713315"/>
      <w:r>
        <w:rPr>
          <w:rFonts w:ascii="Arial" w:eastAsia="Arial" w:hAnsi="Arial" w:cs="Arial"/>
          <w:b/>
          <w:lang w:val="es-ES_tradnl"/>
        </w:rPr>
        <w:t xml:space="preserve">Definición </w:t>
      </w:r>
      <w:r>
        <w:rPr>
          <w:rFonts w:ascii="Arial" w:eastAsia="Calibri" w:hAnsi="Arial" w:cs="Arial"/>
          <w:b/>
          <w:lang w:val="es-ES_tradnl"/>
        </w:rPr>
        <w:t>– Finalidad</w:t>
      </w:r>
      <w:r>
        <w:rPr>
          <w:rFonts w:ascii="Arial" w:eastAsia="Calibri" w:hAnsi="Arial" w:cs="Arial"/>
          <w:b/>
          <w:bCs/>
          <w:lang w:val="es-ES_tradnl"/>
        </w:rPr>
        <w:t xml:space="preserve"> </w:t>
      </w:r>
    </w:p>
    <w:bookmarkEnd w:id="2"/>
    <w:p w14:paraId="50B9ED28" w14:textId="77777777" w:rsidR="00C45960" w:rsidRDefault="00C45960" w:rsidP="00C45960">
      <w:pPr>
        <w:jc w:val="both"/>
        <w:rPr>
          <w:rFonts w:ascii="Arial" w:hAnsi="Arial" w:cs="Arial"/>
          <w:b/>
          <w:sz w:val="21"/>
          <w:szCs w:val="21"/>
          <w:lang w:val="es-ES_tradnl" w:eastAsia="es-CO"/>
        </w:rPr>
      </w:pPr>
    </w:p>
    <w:p w14:paraId="07CC0322" w14:textId="77777777" w:rsidR="00C45960" w:rsidRDefault="00C45960" w:rsidP="00C45960">
      <w:pPr>
        <w:tabs>
          <w:tab w:val="left" w:pos="426"/>
        </w:tabs>
        <w:jc w:val="both"/>
        <w:rPr>
          <w:rFonts w:ascii="Arial" w:eastAsia="Arial" w:hAnsi="Arial" w:cs="Arial"/>
          <w:sz w:val="21"/>
          <w:szCs w:val="21"/>
          <w:lang w:val="es-ES_tradnl"/>
        </w:rPr>
      </w:pPr>
      <w:r>
        <w:rPr>
          <w:rFonts w:ascii="Arial" w:eastAsia="Calibri" w:hAnsi="Arial" w:cs="Arial"/>
          <w:noProof/>
          <w:sz w:val="21"/>
          <w:szCs w:val="21"/>
          <w:lang w:val="es-ES_tradnl"/>
        </w:rPr>
        <w:t xml:space="preserve">[…] </w:t>
      </w:r>
      <w:r>
        <w:rPr>
          <w:rFonts w:ascii="Arial" w:hAnsi="Arial" w:cs="Arial"/>
          <w:bCs/>
          <w:sz w:val="21"/>
          <w:szCs w:val="21"/>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Pr>
          <w:rFonts w:ascii="Arial" w:eastAsia="Calibri" w:hAnsi="Arial" w:cs="Arial"/>
          <w:noProof/>
          <w:sz w:val="21"/>
          <w:szCs w:val="21"/>
          <w:lang w:val="es-ES_tradnl"/>
        </w:rPr>
        <w:t xml:space="preserve"> </w:t>
      </w:r>
      <w:r>
        <w:rPr>
          <w:rFonts w:ascii="Arial" w:eastAsia="Arial" w:hAnsi="Arial" w:cs="Arial"/>
          <w:sz w:val="21"/>
          <w:szCs w:val="21"/>
          <w:lang w:val="es-ES_tradnl"/>
        </w:rPr>
        <w:t xml:space="preserve">[…] </w:t>
      </w:r>
    </w:p>
    <w:p w14:paraId="38A0DC89" w14:textId="77777777" w:rsidR="00C45960" w:rsidRDefault="00C45960" w:rsidP="00C45960">
      <w:pPr>
        <w:tabs>
          <w:tab w:val="left" w:pos="426"/>
        </w:tabs>
        <w:jc w:val="both"/>
        <w:rPr>
          <w:rFonts w:ascii="Arial" w:eastAsia="Arial" w:hAnsi="Arial" w:cs="Arial"/>
          <w:sz w:val="21"/>
          <w:szCs w:val="21"/>
          <w:lang w:val="es-ES_tradnl"/>
        </w:rPr>
      </w:pPr>
    </w:p>
    <w:p w14:paraId="0E393B8E" w14:textId="77777777" w:rsidR="00C45960" w:rsidRDefault="00C45960" w:rsidP="00C45960">
      <w:pPr>
        <w:tabs>
          <w:tab w:val="left" w:pos="426"/>
        </w:tabs>
        <w:jc w:val="both"/>
        <w:rPr>
          <w:rFonts w:ascii="Arial" w:hAnsi="Arial" w:cs="Arial"/>
          <w:bCs/>
          <w:sz w:val="21"/>
          <w:szCs w:val="21"/>
          <w:lang w:val="es-MX" w:eastAsia="es-CO"/>
        </w:rPr>
      </w:pPr>
      <w:r>
        <w:rPr>
          <w:rFonts w:ascii="Arial" w:hAnsi="Arial" w:cs="Arial"/>
          <w:bCs/>
          <w:sz w:val="21"/>
          <w:szCs w:val="21"/>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44AE6A83" w14:textId="77777777" w:rsidR="00C45960" w:rsidRDefault="00C45960" w:rsidP="00C45960">
      <w:pPr>
        <w:tabs>
          <w:tab w:val="left" w:pos="426"/>
        </w:tabs>
        <w:jc w:val="both"/>
        <w:rPr>
          <w:rFonts w:ascii="Arial" w:eastAsia="Arial" w:hAnsi="Arial" w:cs="Arial"/>
          <w:sz w:val="21"/>
          <w:szCs w:val="21"/>
          <w:lang w:val="es-ES_tradnl"/>
        </w:rPr>
      </w:pPr>
    </w:p>
    <w:p w14:paraId="7238F8B5" w14:textId="77777777" w:rsidR="00C45960" w:rsidRDefault="00C45960" w:rsidP="00C45960">
      <w:pPr>
        <w:tabs>
          <w:tab w:val="left" w:pos="426"/>
        </w:tabs>
        <w:jc w:val="both"/>
        <w:rPr>
          <w:rFonts w:ascii="Arial" w:eastAsia="Calibri" w:hAnsi="Arial" w:cs="Arial"/>
          <w:b/>
          <w:bCs/>
          <w:lang w:val="es-ES_tradnl"/>
        </w:rPr>
      </w:pPr>
      <w:r>
        <w:rPr>
          <w:rFonts w:ascii="Arial" w:eastAsia="Calibri" w:hAnsi="Arial" w:cs="Arial"/>
          <w:b/>
          <w:bCs/>
          <w:lang w:val="es-ES_tradnl"/>
        </w:rPr>
        <w:t>LEY DE GARANTÍAS ELECTORALES</w:t>
      </w:r>
      <w:r>
        <w:rPr>
          <w:rFonts w:ascii="Arial" w:eastAsia="Calibri" w:hAnsi="Arial" w:cs="Arial"/>
          <w:b/>
          <w:lang w:val="es-ES_tradnl"/>
        </w:rPr>
        <w:t xml:space="preserve"> –</w:t>
      </w:r>
      <w:r>
        <w:rPr>
          <w:rFonts w:ascii="Arial" w:eastAsia="Calibri" w:hAnsi="Arial" w:cs="Arial"/>
          <w:b/>
          <w:bCs/>
          <w:lang w:val="es-ES_tradnl"/>
        </w:rPr>
        <w:t xml:space="preserve"> Restricciones </w:t>
      </w:r>
    </w:p>
    <w:p w14:paraId="0EAA1EC9" w14:textId="77777777" w:rsidR="00C45960" w:rsidRDefault="00C45960" w:rsidP="00C45960">
      <w:pPr>
        <w:tabs>
          <w:tab w:val="left" w:pos="426"/>
        </w:tabs>
        <w:jc w:val="both"/>
        <w:rPr>
          <w:rFonts w:ascii="Arial" w:eastAsia="Calibri" w:hAnsi="Arial" w:cs="Arial"/>
          <w:b/>
          <w:bCs/>
          <w:sz w:val="21"/>
          <w:szCs w:val="21"/>
          <w:lang w:val="es-ES_tradnl"/>
        </w:rPr>
      </w:pPr>
    </w:p>
    <w:p w14:paraId="2F6BAF35" w14:textId="77777777" w:rsidR="00C45960" w:rsidRDefault="00C45960" w:rsidP="00C45960">
      <w:pPr>
        <w:jc w:val="both"/>
        <w:rPr>
          <w:rFonts w:ascii="Arial" w:eastAsia="Arial" w:hAnsi="Arial" w:cs="Arial"/>
          <w:sz w:val="21"/>
          <w:szCs w:val="21"/>
          <w:lang w:val="es-ES" w:eastAsia="es-ES" w:bidi="es-ES"/>
        </w:rPr>
      </w:pPr>
      <w:r>
        <w:rPr>
          <w:rFonts w:ascii="Arial" w:eastAsia="Arial" w:hAnsi="Arial" w:cs="Arial"/>
          <w:sz w:val="21"/>
          <w:szCs w:val="21"/>
          <w:lang w:val="es-ES" w:eastAsia="es-ES" w:bidi="es-ES"/>
        </w:rPr>
        <w:t xml:space="preserve">[…] la Ley 996 de 2005 establece dos (2) tipos de restricciones en materia de contratación, las cuales coinciden parcialmente. </w:t>
      </w:r>
      <w:r>
        <w:rPr>
          <w:rFonts w:ascii="Arial" w:eastAsia="Arial" w:hAnsi="Arial" w:cs="Arial"/>
          <w:i/>
          <w:iCs/>
          <w:sz w:val="21"/>
          <w:szCs w:val="21"/>
          <w:lang w:val="es-ES" w:eastAsia="es-ES" w:bidi="es-ES"/>
        </w:rPr>
        <w:t>En primer lugar</w:t>
      </w:r>
      <w:r>
        <w:rPr>
          <w:rFonts w:ascii="Arial" w:eastAsia="Arial" w:hAnsi="Arial" w:cs="Arial"/>
          <w:sz w:val="21"/>
          <w:szCs w:val="21"/>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Pr>
          <w:rFonts w:ascii="Arial" w:eastAsia="Arial" w:hAnsi="Arial" w:cs="Arial"/>
          <w:i/>
          <w:iCs/>
          <w:sz w:val="21"/>
          <w:szCs w:val="21"/>
          <w:lang w:val="es-ES" w:eastAsia="es-ES" w:bidi="es-ES"/>
        </w:rPr>
        <w:t>En segundo lugar</w:t>
      </w:r>
      <w:r>
        <w:rPr>
          <w:rFonts w:ascii="Arial" w:eastAsia="Arial" w:hAnsi="Arial" w:cs="Arial"/>
          <w:sz w:val="21"/>
          <w:szCs w:val="21"/>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12D41D8" w14:textId="77777777" w:rsidR="00C45960" w:rsidRDefault="00C45960" w:rsidP="00C45960">
      <w:pPr>
        <w:jc w:val="both"/>
        <w:rPr>
          <w:rFonts w:ascii="Arial" w:eastAsia="Arial" w:hAnsi="Arial" w:cs="Arial"/>
          <w:sz w:val="21"/>
          <w:szCs w:val="21"/>
          <w:lang w:val="es-ES" w:eastAsia="es-ES" w:bidi="es-ES"/>
        </w:rPr>
      </w:pPr>
    </w:p>
    <w:p w14:paraId="5043E125" w14:textId="77777777" w:rsidR="00C45960" w:rsidRDefault="00C45960" w:rsidP="00C45960">
      <w:pPr>
        <w:jc w:val="both"/>
        <w:rPr>
          <w:rFonts w:ascii="Arial" w:hAnsi="Arial" w:cs="Arial"/>
          <w:bCs/>
          <w:sz w:val="21"/>
          <w:szCs w:val="21"/>
          <w:lang w:val="es-MX" w:eastAsia="x-none"/>
        </w:rPr>
      </w:pPr>
    </w:p>
    <w:p w14:paraId="572134F0" w14:textId="77777777" w:rsidR="00C45960" w:rsidRDefault="00C45960" w:rsidP="00C45960">
      <w:pPr>
        <w:tabs>
          <w:tab w:val="left" w:pos="426"/>
        </w:tabs>
        <w:jc w:val="both"/>
        <w:rPr>
          <w:rFonts w:ascii="Arial" w:eastAsia="Calibri" w:hAnsi="Arial" w:cs="Arial"/>
          <w:b/>
          <w:bCs/>
          <w:noProof/>
        </w:rPr>
      </w:pPr>
      <w:r>
        <w:rPr>
          <w:rFonts w:ascii="Arial" w:eastAsia="Calibri" w:hAnsi="Arial" w:cs="Arial"/>
          <w:b/>
          <w:bCs/>
          <w:noProof/>
        </w:rPr>
        <w:t>LEY DE GARANTÍAS ELECTORALES ‒ Prohibición por elección de cargos populares – Convenios y contratos interadministrativos – Alcance</w:t>
      </w:r>
    </w:p>
    <w:p w14:paraId="2FF8B5A1" w14:textId="77777777" w:rsidR="00C45960" w:rsidRDefault="00C45960" w:rsidP="00C45960">
      <w:pPr>
        <w:tabs>
          <w:tab w:val="left" w:pos="426"/>
        </w:tabs>
        <w:jc w:val="both"/>
        <w:rPr>
          <w:rFonts w:ascii="Arial" w:eastAsia="Calibri" w:hAnsi="Arial" w:cs="Arial"/>
          <w:bCs/>
          <w:sz w:val="21"/>
          <w:szCs w:val="21"/>
        </w:rPr>
      </w:pPr>
    </w:p>
    <w:p w14:paraId="735C9E2D" w14:textId="77777777" w:rsidR="00C45960" w:rsidRDefault="00C45960" w:rsidP="00C45960">
      <w:pPr>
        <w:tabs>
          <w:tab w:val="left" w:pos="426"/>
        </w:tabs>
        <w:jc w:val="both"/>
        <w:rPr>
          <w:rFonts w:ascii="Arial" w:hAnsi="Arial" w:cs="Arial"/>
          <w:bCs/>
          <w:sz w:val="21"/>
          <w:szCs w:val="21"/>
          <w:lang w:eastAsia="x-none"/>
        </w:rPr>
      </w:pPr>
      <w:r>
        <w:rPr>
          <w:rFonts w:ascii="Arial" w:eastAsia="Calibri" w:hAnsi="Arial" w:cs="Arial"/>
          <w:bCs/>
          <w:sz w:val="21"/>
          <w:szCs w:val="21"/>
        </w:rPr>
        <w:t xml:space="preserve">El parágrafo del artículo 38 de la Ley 996 de 2005 dispone que “[l]os Gobernadores, </w:t>
      </w:r>
      <w:proofErr w:type="gramStart"/>
      <w:r>
        <w:rPr>
          <w:rFonts w:ascii="Arial" w:eastAsia="Calibri" w:hAnsi="Arial" w:cs="Arial"/>
          <w:bCs/>
          <w:sz w:val="21"/>
          <w:szCs w:val="21"/>
        </w:rPr>
        <w:t>Alcaldes</w:t>
      </w:r>
      <w:proofErr w:type="gramEnd"/>
      <w:r>
        <w:rPr>
          <w:rFonts w:ascii="Arial" w:eastAsia="Calibri" w:hAnsi="Arial" w:cs="Arial"/>
          <w:bCs/>
          <w:sz w:val="21"/>
          <w:szCs w:val="21"/>
        </w:rPr>
        <w:t xml:space="preserve"> Municipales y/o Distritales, Secretarios, Gerentes y directores de Entidades Descentralizadas del </w:t>
      </w:r>
      <w:r>
        <w:rPr>
          <w:rFonts w:ascii="Arial" w:eastAsia="Calibri" w:hAnsi="Arial" w:cs="Arial"/>
          <w:bCs/>
          <w:sz w:val="21"/>
          <w:szCs w:val="21"/>
        </w:rPr>
        <w:lastRenderedPageBreak/>
        <w:t>orden Municipal, Departamental o Distrital, dentro de los cuatro (4) meses anteriores a las elecciones, no podrán celebrar convenios interadministrativos para la ejecución de recursos públicos”.</w:t>
      </w:r>
      <w:r>
        <w:rPr>
          <w:rFonts w:ascii="Arial" w:hAnsi="Arial" w:cs="Arial"/>
          <w:bCs/>
          <w:iCs/>
          <w:sz w:val="21"/>
          <w:szCs w:val="21"/>
          <w:lang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432D297F" w14:textId="77777777" w:rsidR="00C45960" w:rsidRDefault="00C45960" w:rsidP="00C45960">
      <w:pPr>
        <w:tabs>
          <w:tab w:val="left" w:pos="426"/>
        </w:tabs>
        <w:jc w:val="both"/>
        <w:rPr>
          <w:rFonts w:ascii="Arial" w:eastAsia="Calibri" w:hAnsi="Arial" w:cs="Arial"/>
          <w:noProof/>
          <w:sz w:val="21"/>
          <w:szCs w:val="21"/>
        </w:rPr>
      </w:pPr>
    </w:p>
    <w:p w14:paraId="369DBE6F" w14:textId="77777777" w:rsidR="00C45960" w:rsidRDefault="00C45960" w:rsidP="00C45960">
      <w:pPr>
        <w:tabs>
          <w:tab w:val="left" w:pos="426"/>
        </w:tabs>
        <w:jc w:val="both"/>
        <w:rPr>
          <w:rFonts w:ascii="Arial" w:eastAsia="Calibri" w:hAnsi="Arial" w:cs="Arial"/>
          <w:b/>
          <w:bCs/>
          <w:noProof/>
        </w:rPr>
      </w:pPr>
      <w:r>
        <w:rPr>
          <w:rFonts w:ascii="Arial" w:eastAsia="Calibri" w:hAnsi="Arial" w:cs="Arial"/>
          <w:b/>
          <w:bCs/>
          <w:noProof/>
        </w:rPr>
        <w:t>LEY DE GARANTÍAS ELECTORALES ‒ Prohibición por elección de cargos populares – Convenios y contratos interadministrativos – Definición – Criterio orgánico</w:t>
      </w:r>
    </w:p>
    <w:p w14:paraId="5C9F853C" w14:textId="77777777" w:rsidR="00C45960" w:rsidRDefault="00C45960" w:rsidP="00C45960">
      <w:pPr>
        <w:widowControl w:val="0"/>
        <w:autoSpaceDE w:val="0"/>
        <w:autoSpaceDN w:val="0"/>
        <w:jc w:val="both"/>
        <w:rPr>
          <w:rFonts w:ascii="Arial" w:eastAsia="Calibri" w:hAnsi="Arial" w:cs="Arial"/>
          <w:noProof/>
          <w:sz w:val="21"/>
          <w:szCs w:val="21"/>
        </w:rPr>
      </w:pPr>
    </w:p>
    <w:p w14:paraId="6EC731A0" w14:textId="77777777" w:rsidR="00C45960" w:rsidRDefault="00C45960" w:rsidP="00C45960">
      <w:pPr>
        <w:widowControl w:val="0"/>
        <w:autoSpaceDE w:val="0"/>
        <w:autoSpaceDN w:val="0"/>
        <w:jc w:val="both"/>
        <w:rPr>
          <w:rFonts w:ascii="Arial" w:eastAsia="Arial" w:hAnsi="Arial" w:cs="Arial"/>
          <w:sz w:val="21"/>
          <w:szCs w:val="21"/>
          <w:lang w:val="es-ES" w:eastAsia="es-ES" w:bidi="es-ES"/>
        </w:rPr>
      </w:pPr>
      <w:r>
        <w:rPr>
          <w:rFonts w:ascii="Arial" w:eastAsia="Arial" w:hAnsi="Arial" w:cs="Arial"/>
          <w:sz w:val="21"/>
          <w:szCs w:val="21"/>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Pr>
          <w:rFonts w:ascii="Arial" w:eastAsia="Arial" w:hAnsi="Arial" w:cs="Arial"/>
          <w:spacing w:val="-6"/>
          <w:sz w:val="21"/>
          <w:szCs w:val="21"/>
          <w:lang w:val="es-ES" w:eastAsia="es-ES" w:bidi="es-ES"/>
        </w:rPr>
        <w:t xml:space="preserve"> </w:t>
      </w:r>
      <w:r>
        <w:rPr>
          <w:rFonts w:ascii="Arial" w:eastAsia="Arial" w:hAnsi="Arial" w:cs="Arial"/>
          <w:sz w:val="21"/>
          <w:szCs w:val="21"/>
          <w:lang w:val="es-ES" w:eastAsia="es-ES" w:bidi="es-ES"/>
        </w:rPr>
        <w:t>estatales.</w:t>
      </w:r>
    </w:p>
    <w:p w14:paraId="6AC7B75E" w14:textId="77777777" w:rsidR="00C45960" w:rsidRDefault="00C45960" w:rsidP="00C45960">
      <w:pPr>
        <w:tabs>
          <w:tab w:val="left" w:pos="426"/>
        </w:tabs>
        <w:jc w:val="both"/>
        <w:rPr>
          <w:rFonts w:ascii="Arial" w:eastAsia="Calibri" w:hAnsi="Arial" w:cs="Arial"/>
          <w:noProof/>
          <w:sz w:val="21"/>
          <w:szCs w:val="21"/>
          <w:lang w:val="es-MX"/>
        </w:rPr>
      </w:pPr>
    </w:p>
    <w:p w14:paraId="0AD26EE3" w14:textId="77777777" w:rsidR="00C45960" w:rsidRDefault="00C45960" w:rsidP="00C45960">
      <w:pPr>
        <w:jc w:val="both"/>
        <w:rPr>
          <w:rFonts w:ascii="Arial" w:hAnsi="Arial" w:cs="Arial"/>
          <w:b/>
        </w:rPr>
      </w:pPr>
      <w:r>
        <w:rPr>
          <w:rFonts w:ascii="Arial" w:eastAsia="Calibri" w:hAnsi="Arial" w:cs="Arial"/>
          <w:b/>
          <w:bCs/>
          <w:noProof/>
        </w:rPr>
        <w:t xml:space="preserve">LEY DE GARANTÍAS ELECTORALES ‒ Prohibición por elección de cargos populares – Convenios y contratos interadministrativos – Tipologia contractual – </w:t>
      </w:r>
      <w:r>
        <w:rPr>
          <w:rFonts w:ascii="Arial" w:hAnsi="Arial" w:cs="Arial"/>
          <w:b/>
        </w:rPr>
        <w:t>Modalidad de selección</w:t>
      </w:r>
    </w:p>
    <w:p w14:paraId="45F4B6EF" w14:textId="77777777" w:rsidR="00C45960" w:rsidRDefault="00C45960" w:rsidP="00C45960">
      <w:pPr>
        <w:tabs>
          <w:tab w:val="left" w:pos="426"/>
        </w:tabs>
        <w:jc w:val="both"/>
        <w:rPr>
          <w:rFonts w:ascii="Arial" w:hAnsi="Arial" w:cs="Arial"/>
          <w:sz w:val="21"/>
          <w:szCs w:val="21"/>
        </w:rPr>
      </w:pPr>
    </w:p>
    <w:p w14:paraId="581AB8B4" w14:textId="77777777" w:rsidR="00C45960" w:rsidRDefault="00C45960" w:rsidP="00C45960">
      <w:pPr>
        <w:tabs>
          <w:tab w:val="left" w:pos="426"/>
        </w:tabs>
        <w:jc w:val="both"/>
        <w:rPr>
          <w:rFonts w:ascii="Arial" w:hAnsi="Arial" w:cs="Arial"/>
          <w:sz w:val="21"/>
          <w:szCs w:val="21"/>
        </w:rPr>
      </w:pPr>
      <w:r>
        <w:rPr>
          <w:rFonts w:ascii="Arial" w:hAnsi="Arial" w:cs="Arial"/>
          <w:sz w:val="21"/>
          <w:szCs w:val="21"/>
        </w:rPr>
        <w:t xml:space="preserve">[…] </w:t>
      </w:r>
      <w:r>
        <w:rPr>
          <w:rFonts w:ascii="Arial" w:hAnsi="Arial" w:cs="Arial"/>
          <w:bCs/>
          <w:sz w:val="21"/>
          <w:szCs w:val="21"/>
          <w:lang w:eastAsia="es-CO"/>
        </w:rPr>
        <w:t>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los municipios no podrán celebrar tales convenios o contratos durante el periodo de aplicación de la Ley de Garantías Electorales, toda vez que la citada disposición hace referencia a dicha tipología contractual sin que el legislador hubiere contemplado excepción alguna frente a la modalidad de selección o naturaleza de su objeto.</w:t>
      </w:r>
      <w:r>
        <w:rPr>
          <w:rFonts w:ascii="Arial" w:eastAsia="Times New Roman" w:hAnsi="Arial" w:cs="Arial"/>
          <w:bCs/>
          <w:sz w:val="21"/>
          <w:szCs w:val="21"/>
          <w:lang w:eastAsia="es-CO"/>
        </w:rPr>
        <w:t xml:space="preserve">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w:t>
      </w:r>
      <w:r>
        <w:rPr>
          <w:rFonts w:ascii="Arial" w:eastAsia="Calibri" w:hAnsi="Arial" w:cs="Arial"/>
          <w:color w:val="000000" w:themeColor="text1"/>
          <w:sz w:val="21"/>
          <w:szCs w:val="21"/>
        </w:rPr>
        <w:t> </w:t>
      </w:r>
    </w:p>
    <w:p w14:paraId="604FC1C9" w14:textId="142CAEFB" w:rsidR="00C45960" w:rsidRDefault="00C45960" w:rsidP="00C45960">
      <w:pPr>
        <w:spacing w:before="240" w:after="0" w:line="276" w:lineRule="auto"/>
        <w:jc w:val="right"/>
        <w:rPr>
          <w:rFonts w:ascii="Arial" w:hAnsi="Arial" w:cs="Arial"/>
          <w:b/>
          <w:bCs/>
          <w:sz w:val="16"/>
          <w:szCs w:val="16"/>
          <w:lang w:val="es-MX" w:eastAsia="es-ES"/>
        </w:rPr>
      </w:pPr>
      <w:r>
        <w:rPr>
          <w:rFonts w:ascii="Arial" w:hAnsi="Arial" w:cs="Arial"/>
          <w:bCs/>
          <w:color w:val="FF0000"/>
          <w:lang w:val="es-ES_tradnl"/>
        </w:rPr>
        <w:br w:type="page"/>
      </w:r>
    </w:p>
    <w:p w14:paraId="78EE44D1" w14:textId="71A84AF0" w:rsidR="00836422" w:rsidRPr="00836422" w:rsidRDefault="00836422" w:rsidP="00836422">
      <w:pPr>
        <w:spacing w:before="240" w:after="0" w:line="276" w:lineRule="auto"/>
        <w:jc w:val="right"/>
        <w:rPr>
          <w:rFonts w:ascii="Arial" w:eastAsia="Calibri" w:hAnsi="Arial" w:cs="Arial"/>
          <w:b/>
          <w:bCs/>
          <w:lang w:val="es-MX"/>
        </w:rPr>
      </w:pPr>
      <w:r w:rsidRPr="00836422">
        <w:rPr>
          <w:rFonts w:ascii="Arial" w:hAnsi="Arial" w:cs="Arial"/>
          <w:b/>
          <w:bCs/>
          <w:sz w:val="16"/>
          <w:szCs w:val="16"/>
          <w:lang w:val="es-MX" w:eastAsia="es-ES"/>
        </w:rPr>
        <w:lastRenderedPageBreak/>
        <w:t>CCE-DES-FM-17</w:t>
      </w:r>
    </w:p>
    <w:bookmarkEnd w:id="0"/>
    <w:bookmarkEnd w:id="1"/>
    <w:p w14:paraId="20D2C41E" w14:textId="77777777" w:rsidR="00836422" w:rsidRPr="00836422" w:rsidRDefault="00836422" w:rsidP="00836422">
      <w:pPr>
        <w:spacing w:after="0" w:line="240" w:lineRule="auto"/>
        <w:contextualSpacing/>
        <w:jc w:val="both"/>
        <w:rPr>
          <w:rFonts w:ascii="Arial" w:hAnsi="Arial" w:cs="Arial"/>
          <w:bCs/>
          <w:lang w:val="es-ES_tradnl"/>
        </w:rPr>
      </w:pPr>
    </w:p>
    <w:p w14:paraId="536F84C2" w14:textId="54995359" w:rsidR="00C45960" w:rsidRDefault="00C45960" w:rsidP="00C45960">
      <w:pPr>
        <w:spacing w:after="0" w:line="240" w:lineRule="auto"/>
        <w:contextualSpacing/>
        <w:jc w:val="right"/>
        <w:rPr>
          <w:rFonts w:ascii="Arial" w:hAnsi="Arial" w:cs="Arial"/>
          <w:lang w:val="es-ES_tradnl"/>
        </w:rPr>
      </w:pPr>
      <w:bookmarkStart w:id="3" w:name="_Hlk70510939"/>
      <w:r w:rsidRPr="00C45960">
        <w:rPr>
          <w:rFonts w:ascii="Arial" w:hAnsi="Arial" w:cs="Arial"/>
          <w:lang w:val="es-ES_tradnl"/>
        </w:rPr>
        <w:drawing>
          <wp:inline distT="0" distB="0" distL="0" distR="0" wp14:anchorId="191F5201" wp14:editId="6199AD94">
            <wp:extent cx="2429214" cy="676369"/>
            <wp:effectExtent l="0" t="0" r="9525" b="9525"/>
            <wp:docPr id="4975253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25379" name=""/>
                    <pic:cNvPicPr/>
                  </pic:nvPicPr>
                  <pic:blipFill>
                    <a:blip r:embed="rId11"/>
                    <a:stretch>
                      <a:fillRect/>
                    </a:stretch>
                  </pic:blipFill>
                  <pic:spPr>
                    <a:xfrm>
                      <a:off x="0" y="0"/>
                      <a:ext cx="2429214" cy="676369"/>
                    </a:xfrm>
                    <a:prstGeom prst="rect">
                      <a:avLst/>
                    </a:prstGeom>
                  </pic:spPr>
                </pic:pic>
              </a:graphicData>
            </a:graphic>
          </wp:inline>
        </w:drawing>
      </w:r>
    </w:p>
    <w:p w14:paraId="0458C0DF" w14:textId="77777777" w:rsidR="00C45960" w:rsidRDefault="00C45960" w:rsidP="00836422">
      <w:pPr>
        <w:spacing w:after="0" w:line="240" w:lineRule="auto"/>
        <w:contextualSpacing/>
        <w:rPr>
          <w:rFonts w:ascii="Arial" w:hAnsi="Arial" w:cs="Arial"/>
          <w:lang w:val="es-ES_tradnl"/>
        </w:rPr>
      </w:pPr>
    </w:p>
    <w:p w14:paraId="50BA7642" w14:textId="7844D97E" w:rsidR="00836422" w:rsidRPr="00836422" w:rsidRDefault="00836422" w:rsidP="00836422">
      <w:pPr>
        <w:spacing w:after="0" w:line="240" w:lineRule="auto"/>
        <w:contextualSpacing/>
        <w:rPr>
          <w:rFonts w:ascii="Arial" w:hAnsi="Arial" w:cs="Arial"/>
          <w:lang w:val="es-ES_tradnl"/>
        </w:rPr>
      </w:pPr>
      <w:r w:rsidRPr="00836422">
        <w:rPr>
          <w:rFonts w:ascii="Arial" w:hAnsi="Arial" w:cs="Arial"/>
          <w:lang w:val="es-ES_tradnl"/>
        </w:rPr>
        <w:t>Señora</w:t>
      </w:r>
    </w:p>
    <w:p w14:paraId="1C57A722" w14:textId="77777777" w:rsidR="00836422" w:rsidRPr="00836422" w:rsidRDefault="00836422" w:rsidP="00836422">
      <w:pPr>
        <w:spacing w:after="0" w:line="240" w:lineRule="auto"/>
        <w:contextualSpacing/>
        <w:jc w:val="both"/>
        <w:rPr>
          <w:rFonts w:ascii="Arial" w:hAnsi="Arial" w:cs="Arial"/>
          <w:b/>
          <w:lang w:val="es-ES_tradnl"/>
        </w:rPr>
      </w:pPr>
      <w:r w:rsidRPr="00836422">
        <w:rPr>
          <w:rFonts w:ascii="Arial" w:hAnsi="Arial" w:cs="Arial"/>
          <w:b/>
          <w:lang w:val="es-ES_tradnl"/>
        </w:rPr>
        <w:t>Carolina Martínez Cuellar</w:t>
      </w:r>
    </w:p>
    <w:p w14:paraId="69B37F11" w14:textId="77777777" w:rsidR="00836422" w:rsidRPr="00836422" w:rsidRDefault="00836422" w:rsidP="00836422">
      <w:pPr>
        <w:spacing w:after="0" w:line="240" w:lineRule="auto"/>
        <w:contextualSpacing/>
        <w:rPr>
          <w:rFonts w:ascii="Arial" w:hAnsi="Arial" w:cs="Arial"/>
          <w:b/>
          <w:bCs/>
          <w:lang w:val="es-ES_tradnl"/>
        </w:rPr>
      </w:pPr>
      <w:r w:rsidRPr="00836422">
        <w:rPr>
          <w:rFonts w:ascii="Arial" w:hAnsi="Arial" w:cs="Arial"/>
          <w:lang w:val="es-MX"/>
        </w:rPr>
        <w:t>Ciudad</w:t>
      </w:r>
    </w:p>
    <w:p w14:paraId="261EA677" w14:textId="77777777" w:rsidR="00836422" w:rsidRPr="00836422" w:rsidRDefault="00836422" w:rsidP="00836422">
      <w:pPr>
        <w:spacing w:after="0" w:line="240" w:lineRule="auto"/>
        <w:ind w:left="2124" w:firstLine="708"/>
        <w:contextualSpacing/>
        <w:rPr>
          <w:rFonts w:ascii="Arial" w:hAnsi="Arial" w:cs="Arial"/>
          <w:b/>
          <w:bCs/>
          <w:lang w:val="es-ES_tradnl"/>
        </w:rPr>
      </w:pPr>
      <w:r w:rsidRPr="00836422">
        <w:rPr>
          <w:rFonts w:ascii="Arial" w:hAnsi="Arial" w:cs="Arial"/>
          <w:b/>
          <w:bCs/>
          <w:lang w:val="es-ES_tradnl"/>
        </w:rPr>
        <w:t>Concepto C – 116 de 2023</w:t>
      </w:r>
    </w:p>
    <w:p w14:paraId="00E4DD4E" w14:textId="77777777" w:rsidR="00836422" w:rsidRPr="00836422" w:rsidRDefault="00836422" w:rsidP="00836422">
      <w:pPr>
        <w:spacing w:after="0" w:line="240" w:lineRule="auto"/>
        <w:ind w:left="2824" w:hanging="2818"/>
        <w:contextualSpacing/>
        <w:jc w:val="both"/>
        <w:rPr>
          <w:rFonts w:ascii="Arial" w:eastAsia="Calibri" w:hAnsi="Arial" w:cs="Arial"/>
          <w:b/>
          <w:noProof/>
          <w:lang w:val="es-ES_tradnl"/>
        </w:rPr>
      </w:pPr>
    </w:p>
    <w:p w14:paraId="670AA40B" w14:textId="77777777" w:rsidR="00836422" w:rsidRPr="00836422" w:rsidRDefault="00836422" w:rsidP="00836422">
      <w:pPr>
        <w:spacing w:after="0" w:line="240" w:lineRule="auto"/>
        <w:ind w:left="2832" w:hanging="2184"/>
        <w:contextualSpacing/>
        <w:jc w:val="both"/>
        <w:rPr>
          <w:rFonts w:ascii="Arial" w:hAnsi="Arial" w:cs="Arial"/>
          <w:lang w:val="es-MX"/>
        </w:rPr>
      </w:pPr>
      <w:r w:rsidRPr="00836422">
        <w:rPr>
          <w:rFonts w:ascii="Arial" w:eastAsia="Calibri" w:hAnsi="Arial" w:cs="Arial"/>
          <w:b/>
          <w:noProof/>
          <w:lang w:val="es-ES_tradnl"/>
        </w:rPr>
        <w:t>Temas</w:t>
      </w:r>
      <w:r w:rsidRPr="00836422">
        <w:rPr>
          <w:rFonts w:ascii="Arial" w:eastAsia="Calibri" w:hAnsi="Arial" w:cs="Arial"/>
          <w:bCs/>
          <w:noProof/>
          <w:lang w:val="es-ES_tradnl"/>
        </w:rPr>
        <w:t xml:space="preserve">: </w:t>
      </w:r>
      <w:r w:rsidRPr="00836422">
        <w:rPr>
          <w:rFonts w:ascii="Arial" w:eastAsia="Calibri" w:hAnsi="Arial" w:cs="Arial"/>
          <w:bCs/>
          <w:noProof/>
          <w:lang w:val="es-ES_tradnl"/>
        </w:rPr>
        <w:tab/>
        <w:t>LEY DE GARANTÍAS ELECTORALES – Definición – Finalidad / LEY DE GARANTÍAS ELECTORALES – Restricciones /  LEY DE GARANTÍAS ELECTORALES ‒ Prohibición por elección de cargos populares – Convenios y contratos interadministrativos – Alcance / LEY DE GARANTÍAS ELECTORALES ‒ Prohibición por elección de cargos populares – Convenios y contratos interadministrativos – Definición – Criterio orgánico / LEY DE GARANTÍAS ELECTORALES ‒ Prohibición por elección de cargos populares – Convenios y contratos interadministrativos – Tipologia contractual – Modalidad de selección</w:t>
      </w:r>
    </w:p>
    <w:p w14:paraId="1E44285E" w14:textId="77777777" w:rsidR="00836422" w:rsidRPr="00836422" w:rsidRDefault="00836422" w:rsidP="00836422">
      <w:pPr>
        <w:spacing w:after="0" w:line="240" w:lineRule="auto"/>
        <w:ind w:left="2835" w:hanging="2835"/>
        <w:contextualSpacing/>
        <w:jc w:val="both"/>
        <w:rPr>
          <w:rFonts w:ascii="Arial" w:eastAsia="Calibri" w:hAnsi="Arial" w:cs="Arial"/>
          <w:b/>
          <w:noProof/>
          <w:lang w:val="es-ES_tradnl"/>
        </w:rPr>
      </w:pPr>
    </w:p>
    <w:p w14:paraId="37CD7272" w14:textId="77777777" w:rsidR="00836422" w:rsidRPr="00836422" w:rsidRDefault="00836422" w:rsidP="00836422">
      <w:pPr>
        <w:spacing w:after="0" w:line="240" w:lineRule="auto"/>
        <w:ind w:left="2835" w:hanging="2835"/>
        <w:contextualSpacing/>
        <w:jc w:val="both"/>
        <w:rPr>
          <w:rFonts w:ascii="Arial" w:hAnsi="Arial" w:cs="Arial"/>
          <w:lang w:val="es-ES_tradnl"/>
        </w:rPr>
      </w:pPr>
      <w:r w:rsidRPr="00836422">
        <w:rPr>
          <w:rFonts w:ascii="Arial" w:eastAsia="Calibri" w:hAnsi="Arial" w:cs="Arial"/>
          <w:b/>
          <w:noProof/>
          <w:lang w:val="es-ES_tradnl"/>
        </w:rPr>
        <w:t>Radicación</w:t>
      </w:r>
      <w:r w:rsidRPr="00836422">
        <w:rPr>
          <w:rFonts w:ascii="Arial" w:eastAsia="Calibri" w:hAnsi="Arial" w:cs="Arial"/>
          <w:bCs/>
          <w:noProof/>
          <w:lang w:val="es-ES_tradnl"/>
        </w:rPr>
        <w:t>:</w:t>
      </w:r>
      <w:r w:rsidRPr="00836422">
        <w:rPr>
          <w:rFonts w:ascii="Arial" w:eastAsia="Calibri" w:hAnsi="Arial" w:cs="Arial"/>
          <w:bCs/>
          <w:noProof/>
          <w:lang w:val="es-ES_tradnl"/>
        </w:rPr>
        <w:tab/>
        <w:t>Respuesta a consulta P20230322002626</w:t>
      </w:r>
    </w:p>
    <w:p w14:paraId="5FAC4027" w14:textId="77777777" w:rsidR="00836422" w:rsidRPr="00836422" w:rsidRDefault="00836422" w:rsidP="00836422">
      <w:pPr>
        <w:spacing w:after="0" w:line="240" w:lineRule="auto"/>
        <w:contextualSpacing/>
        <w:rPr>
          <w:rFonts w:ascii="Arial" w:hAnsi="Arial" w:cs="Arial"/>
          <w:lang w:val="es-ES_tradnl"/>
        </w:rPr>
      </w:pPr>
    </w:p>
    <w:p w14:paraId="6E25EF9B" w14:textId="77777777" w:rsidR="00836422" w:rsidRPr="00836422" w:rsidRDefault="00836422" w:rsidP="00836422">
      <w:pPr>
        <w:spacing w:after="0" w:line="240" w:lineRule="auto"/>
        <w:contextualSpacing/>
        <w:rPr>
          <w:rFonts w:ascii="Arial" w:hAnsi="Arial" w:cs="Arial"/>
          <w:lang w:val="es-ES_tradnl"/>
        </w:rPr>
      </w:pPr>
      <w:r w:rsidRPr="00836422">
        <w:rPr>
          <w:rFonts w:ascii="Arial" w:hAnsi="Arial" w:cs="Arial"/>
          <w:lang w:val="es-ES_tradnl"/>
        </w:rPr>
        <w:t xml:space="preserve">Estimada señora </w:t>
      </w:r>
      <w:r w:rsidRPr="00836422">
        <w:rPr>
          <w:rFonts w:ascii="Arial" w:hAnsi="Arial" w:cs="Arial"/>
          <w:bCs/>
          <w:lang w:val="es-ES_tradnl"/>
        </w:rPr>
        <w:t>Martínez</w:t>
      </w:r>
      <w:r w:rsidRPr="00836422">
        <w:rPr>
          <w:rFonts w:ascii="Arial" w:hAnsi="Arial" w:cs="Arial"/>
          <w:lang w:val="es-ES_tradnl"/>
        </w:rPr>
        <w:t xml:space="preserve">,   </w:t>
      </w:r>
    </w:p>
    <w:p w14:paraId="40660C8A" w14:textId="77777777" w:rsidR="00836422" w:rsidRPr="00836422" w:rsidRDefault="00836422" w:rsidP="00836422">
      <w:pPr>
        <w:spacing w:after="0" w:line="240" w:lineRule="auto"/>
        <w:contextualSpacing/>
        <w:rPr>
          <w:rFonts w:ascii="Arial" w:hAnsi="Arial" w:cs="Arial"/>
          <w:lang w:val="es-ES_tradnl"/>
        </w:rPr>
      </w:pPr>
    </w:p>
    <w:p w14:paraId="25FBCE18" w14:textId="77777777" w:rsidR="00836422" w:rsidRPr="00836422" w:rsidRDefault="00836422" w:rsidP="00836422">
      <w:pPr>
        <w:spacing w:after="120" w:line="276" w:lineRule="auto"/>
        <w:ind w:right="51"/>
        <w:jc w:val="both"/>
        <w:rPr>
          <w:rFonts w:ascii="Arial" w:eastAsia="Calibri" w:hAnsi="Arial" w:cs="Arial"/>
          <w:lang w:val="es-MX"/>
        </w:rPr>
      </w:pPr>
      <w:r w:rsidRPr="00836422">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consulta del 22 de marzo de 2023. </w:t>
      </w:r>
      <w:r w:rsidRPr="00836422">
        <w:rPr>
          <w:rFonts w:ascii="Arial" w:eastAsia="Calibri" w:hAnsi="Arial" w:cs="Arial"/>
          <w:lang w:val="es-MX"/>
        </w:rPr>
        <w:t xml:space="preserve">     </w:t>
      </w:r>
    </w:p>
    <w:p w14:paraId="481E3EE4" w14:textId="77777777" w:rsidR="00836422" w:rsidRPr="00836422" w:rsidRDefault="00836422" w:rsidP="00836422">
      <w:pPr>
        <w:spacing w:after="0" w:line="276" w:lineRule="auto"/>
        <w:contextualSpacing/>
        <w:rPr>
          <w:rFonts w:ascii="Arial" w:hAnsi="Arial" w:cs="Arial"/>
          <w:b/>
          <w:lang w:val="es-ES_tradnl"/>
        </w:rPr>
      </w:pPr>
    </w:p>
    <w:p w14:paraId="4B5F984E" w14:textId="77777777" w:rsidR="00836422" w:rsidRPr="00836422" w:rsidRDefault="00836422" w:rsidP="00836422">
      <w:pPr>
        <w:spacing w:after="0" w:line="276" w:lineRule="auto"/>
        <w:contextualSpacing/>
        <w:rPr>
          <w:rFonts w:ascii="Arial" w:hAnsi="Arial" w:cs="Arial"/>
          <w:b/>
          <w:lang w:val="es-ES_tradnl"/>
        </w:rPr>
      </w:pPr>
      <w:r w:rsidRPr="00836422">
        <w:rPr>
          <w:rFonts w:ascii="Arial" w:hAnsi="Arial" w:cs="Arial"/>
          <w:b/>
          <w:lang w:val="es-ES_tradnl"/>
        </w:rPr>
        <w:t xml:space="preserve">1. Problema planteado </w:t>
      </w:r>
    </w:p>
    <w:p w14:paraId="2D62BC42" w14:textId="77777777" w:rsidR="00836422" w:rsidRPr="00836422" w:rsidRDefault="00836422" w:rsidP="00836422">
      <w:pPr>
        <w:spacing w:after="0" w:line="276" w:lineRule="auto"/>
        <w:contextualSpacing/>
        <w:jc w:val="both"/>
        <w:rPr>
          <w:rFonts w:ascii="Arial" w:hAnsi="Arial" w:cs="Arial"/>
          <w:lang w:val="es-ES_tradnl"/>
        </w:rPr>
      </w:pPr>
    </w:p>
    <w:p w14:paraId="3FDCF43D" w14:textId="77777777" w:rsidR="00836422" w:rsidRPr="00836422" w:rsidRDefault="00836422" w:rsidP="00836422">
      <w:pPr>
        <w:spacing w:after="0" w:line="276" w:lineRule="auto"/>
        <w:contextualSpacing/>
        <w:jc w:val="both"/>
        <w:rPr>
          <w:rFonts w:ascii="Arial" w:hAnsi="Arial" w:cs="Arial"/>
          <w:lang w:val="es-ES_tradnl"/>
        </w:rPr>
      </w:pPr>
      <w:r w:rsidRPr="00836422">
        <w:rPr>
          <w:rFonts w:ascii="Arial" w:hAnsi="Arial" w:cs="Arial"/>
          <w:lang w:val="es-ES_tradnl"/>
        </w:rPr>
        <w:t xml:space="preserve">Respecto de la Ley de Garantías Electorales, usted formula la siguiente consulta: </w:t>
      </w:r>
    </w:p>
    <w:p w14:paraId="1A928DD9" w14:textId="77777777" w:rsidR="00836422" w:rsidRPr="00836422" w:rsidRDefault="00836422" w:rsidP="00836422">
      <w:pPr>
        <w:spacing w:after="0" w:line="276" w:lineRule="auto"/>
        <w:contextualSpacing/>
        <w:jc w:val="both"/>
        <w:rPr>
          <w:rFonts w:ascii="Arial" w:hAnsi="Arial" w:cs="Arial"/>
          <w:lang w:val="es-ES_tradnl"/>
        </w:rPr>
      </w:pPr>
    </w:p>
    <w:p w14:paraId="03586E77" w14:textId="77777777" w:rsidR="00836422" w:rsidRPr="00836422" w:rsidRDefault="00836422" w:rsidP="00836422">
      <w:pPr>
        <w:spacing w:after="0" w:line="240" w:lineRule="auto"/>
        <w:ind w:left="567" w:right="788"/>
        <w:contextualSpacing/>
        <w:jc w:val="both"/>
        <w:rPr>
          <w:rFonts w:ascii="Arial" w:hAnsi="Arial" w:cs="Arial"/>
          <w:sz w:val="21"/>
          <w:szCs w:val="21"/>
          <w:lang w:val="es-ES_tradnl"/>
        </w:rPr>
      </w:pPr>
      <w:r w:rsidRPr="00836422">
        <w:rPr>
          <w:rFonts w:ascii="Arial" w:hAnsi="Arial" w:cs="Arial"/>
          <w:sz w:val="21"/>
          <w:szCs w:val="21"/>
          <w:lang w:val="es-ES_tradnl"/>
        </w:rPr>
        <w:t>“La OPERADORA DISTRITAL DE TRANSPORTE es una entidad de régimen especial de contratación (económica mixta, perteneciente al sector descentralizado segundo grado), es permitente elevar la consulta relacionada con la contratación en periodo en el cual empezara a regir la LEY DE GARANTIAS, con base en el precepto de que, el próximo 29 de junio se activará la ley de garantías como lo exige la norma cuatro meses antes de las elecciones de gobernadores, alcaldes, diputados, concejales y ediles para el periodo 2024-2027; se requiere definir las pautas para cumplir las restricciones y limitaciones a la contratación establecidas en la Ley 996 de 2005(en adelante "Ley de Garantías") en el proceso electoral de 2023” (SIC).</w:t>
      </w:r>
    </w:p>
    <w:p w14:paraId="72927A48" w14:textId="77777777" w:rsidR="00836422" w:rsidRPr="00836422" w:rsidRDefault="00836422" w:rsidP="00836422">
      <w:pPr>
        <w:spacing w:after="0" w:line="240" w:lineRule="auto"/>
        <w:ind w:left="567" w:right="788"/>
        <w:contextualSpacing/>
        <w:jc w:val="both"/>
        <w:rPr>
          <w:rFonts w:ascii="Arial" w:hAnsi="Arial" w:cs="Arial"/>
          <w:sz w:val="21"/>
          <w:szCs w:val="21"/>
          <w:lang w:val="es-ES_tradnl"/>
        </w:rPr>
      </w:pPr>
    </w:p>
    <w:p w14:paraId="786A1F0E" w14:textId="77777777" w:rsidR="00836422" w:rsidRPr="00836422" w:rsidRDefault="00836422" w:rsidP="00836422">
      <w:pPr>
        <w:spacing w:after="0" w:line="240" w:lineRule="auto"/>
        <w:contextualSpacing/>
        <w:rPr>
          <w:rFonts w:ascii="Arial" w:hAnsi="Arial" w:cs="Arial"/>
          <w:b/>
          <w:lang w:val="es-ES_tradnl"/>
        </w:rPr>
      </w:pPr>
      <w:r w:rsidRPr="00836422">
        <w:rPr>
          <w:rFonts w:ascii="Arial" w:hAnsi="Arial" w:cs="Arial"/>
          <w:b/>
          <w:lang w:val="es-ES_tradnl"/>
        </w:rPr>
        <w:t xml:space="preserve">2. Consideraciones </w:t>
      </w:r>
    </w:p>
    <w:p w14:paraId="1A364284" w14:textId="77777777" w:rsidR="00836422" w:rsidRPr="00836422" w:rsidRDefault="00836422" w:rsidP="00836422">
      <w:pPr>
        <w:spacing w:after="0" w:line="240" w:lineRule="auto"/>
        <w:contextualSpacing/>
        <w:jc w:val="both"/>
        <w:rPr>
          <w:rFonts w:ascii="Arial" w:hAnsi="Arial" w:cs="Arial"/>
          <w:bCs/>
          <w:lang w:val="es-ES"/>
        </w:rPr>
      </w:pPr>
    </w:p>
    <w:p w14:paraId="2EA2811E" w14:textId="77777777" w:rsidR="00836422" w:rsidRPr="00836422" w:rsidRDefault="00836422" w:rsidP="00836422">
      <w:pPr>
        <w:spacing w:after="120" w:line="276" w:lineRule="auto"/>
        <w:jc w:val="both"/>
        <w:rPr>
          <w:rFonts w:ascii="Arial" w:hAnsi="Arial" w:cs="Arial"/>
          <w:bCs/>
          <w:lang w:val="es-ES"/>
        </w:rPr>
      </w:pPr>
      <w:r w:rsidRPr="00836422">
        <w:rPr>
          <w:rFonts w:ascii="Arial" w:hAnsi="Arial" w:cs="Arial"/>
          <w:bCs/>
          <w:lang w:val="es-ES"/>
        </w:rPr>
        <w:t xml:space="preserve">Para responder su solicitud, esta Subdirección analizará los siguientes temas: </w:t>
      </w:r>
      <w:r w:rsidRPr="00836422">
        <w:rPr>
          <w:rFonts w:ascii="Arial" w:hAnsi="Arial" w:cs="Arial"/>
          <w:bCs/>
          <w:lang w:val="es-MX"/>
        </w:rPr>
        <w:t xml:space="preserve">i) definición y finalidad de la Ley de Garantías Electorales y </w:t>
      </w:r>
      <w:proofErr w:type="spellStart"/>
      <w:r w:rsidRPr="00836422">
        <w:rPr>
          <w:rFonts w:ascii="Arial" w:hAnsi="Arial" w:cs="Arial"/>
          <w:bCs/>
          <w:lang w:val="es-MX"/>
        </w:rPr>
        <w:t>ii</w:t>
      </w:r>
      <w:proofErr w:type="spellEnd"/>
      <w:r w:rsidRPr="00836422">
        <w:rPr>
          <w:rFonts w:ascii="Arial" w:hAnsi="Arial" w:cs="Arial"/>
          <w:bCs/>
          <w:lang w:val="es-MX"/>
        </w:rPr>
        <w:t xml:space="preserve">) restricciones en los comicios para cargos de elección popular. </w:t>
      </w:r>
    </w:p>
    <w:p w14:paraId="2B403A76" w14:textId="77777777" w:rsidR="00836422" w:rsidRPr="00836422" w:rsidRDefault="00836422" w:rsidP="00836422">
      <w:pPr>
        <w:tabs>
          <w:tab w:val="left" w:pos="426"/>
        </w:tabs>
        <w:spacing w:after="0" w:line="276" w:lineRule="auto"/>
        <w:ind w:firstLine="709"/>
        <w:jc w:val="both"/>
        <w:rPr>
          <w:rFonts w:ascii="Arial" w:eastAsia="Calibri" w:hAnsi="Arial" w:cs="Arial"/>
          <w:lang w:val="es-ES_tradnl"/>
        </w:rPr>
      </w:pPr>
      <w:bookmarkStart w:id="4" w:name="_Hlk96420693"/>
      <w:r w:rsidRPr="00836422">
        <w:rPr>
          <w:rFonts w:ascii="Arial" w:eastAsia="Calibri" w:hAnsi="Arial" w:cs="Arial"/>
          <w:lang w:val="es-ES_tradnl"/>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w:t>
      </w:r>
      <w:r w:rsidRPr="00836422">
        <w:rPr>
          <w:rFonts w:ascii="Arial" w:eastAsia="Calibri" w:hAnsi="Arial" w:cs="Arial"/>
          <w:bCs/>
          <w:lang w:val="es-MX"/>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C-164 del 22 de marzo de 2022, C-608 del 23 de septiembre de 2022 y C-049 del 13 de abril de 2023</w:t>
      </w:r>
      <w:r w:rsidRPr="00836422">
        <w:rPr>
          <w:rFonts w:ascii="Arial" w:eastAsia="Calibri" w:hAnsi="Arial" w:cs="Arial"/>
          <w:lang w:val="es-ES_tradnl"/>
        </w:rPr>
        <w:t>. La tesis desarrollada en estos conceptos se reitera y complementa a continuación:</w:t>
      </w:r>
      <w:bookmarkEnd w:id="4"/>
    </w:p>
    <w:p w14:paraId="5A0F7D2F" w14:textId="77777777" w:rsidR="00836422" w:rsidRPr="00836422" w:rsidRDefault="00836422" w:rsidP="00836422">
      <w:pPr>
        <w:tabs>
          <w:tab w:val="left" w:pos="426"/>
        </w:tabs>
        <w:spacing w:after="0" w:line="276" w:lineRule="auto"/>
        <w:contextualSpacing/>
        <w:jc w:val="both"/>
        <w:rPr>
          <w:rFonts w:ascii="Arial" w:eastAsia="Calibri" w:hAnsi="Arial" w:cs="Arial"/>
          <w:lang w:val="es-ES_tradnl"/>
        </w:rPr>
      </w:pPr>
    </w:p>
    <w:p w14:paraId="1F425662" w14:textId="77777777" w:rsidR="00836422" w:rsidRPr="00836422" w:rsidRDefault="00836422" w:rsidP="00836422">
      <w:pPr>
        <w:tabs>
          <w:tab w:val="left" w:pos="426"/>
        </w:tabs>
        <w:spacing w:after="0" w:line="276" w:lineRule="auto"/>
        <w:contextualSpacing/>
        <w:jc w:val="both"/>
        <w:rPr>
          <w:rFonts w:ascii="Arial" w:eastAsia="Calibri" w:hAnsi="Arial" w:cs="Arial"/>
          <w:b/>
          <w:bCs/>
          <w:lang w:val="es-MX"/>
        </w:rPr>
      </w:pPr>
      <w:r w:rsidRPr="00836422">
        <w:rPr>
          <w:rFonts w:ascii="Arial" w:eastAsia="Calibri" w:hAnsi="Arial" w:cs="Arial"/>
          <w:b/>
          <w:bCs/>
          <w:lang w:val="es-MX"/>
        </w:rPr>
        <w:t>2.1. Definición y finalidad de la Ley de Garantías Electorales: alcance de las restricciones</w:t>
      </w:r>
    </w:p>
    <w:p w14:paraId="4EF8AD11" w14:textId="77777777" w:rsidR="00836422" w:rsidRPr="00836422" w:rsidRDefault="00836422" w:rsidP="00836422">
      <w:pPr>
        <w:tabs>
          <w:tab w:val="left" w:pos="426"/>
        </w:tabs>
        <w:spacing w:after="0" w:line="276" w:lineRule="auto"/>
        <w:ind w:firstLine="709"/>
        <w:contextualSpacing/>
        <w:jc w:val="both"/>
        <w:rPr>
          <w:rFonts w:ascii="Arial" w:eastAsia="Calibri" w:hAnsi="Arial" w:cs="Arial"/>
          <w:bCs/>
          <w:lang w:val="es-MX"/>
        </w:rPr>
      </w:pPr>
    </w:p>
    <w:p w14:paraId="3514393F" w14:textId="77777777" w:rsidR="00836422" w:rsidRPr="00836422" w:rsidRDefault="00836422" w:rsidP="00836422">
      <w:pPr>
        <w:tabs>
          <w:tab w:val="left" w:pos="426"/>
        </w:tabs>
        <w:spacing w:after="120" w:line="276" w:lineRule="auto"/>
        <w:jc w:val="both"/>
        <w:rPr>
          <w:rFonts w:ascii="Arial" w:hAnsi="Arial" w:cs="Arial"/>
          <w:bCs/>
          <w:lang w:val="es-MX" w:eastAsia="es-CO"/>
        </w:rPr>
      </w:pPr>
      <w:r w:rsidRPr="00836422">
        <w:rPr>
          <w:rFonts w:ascii="Arial" w:eastAsia="Calibri" w:hAnsi="Arial" w:cs="Arial"/>
          <w:bCs/>
          <w:lang w:val="es-MX"/>
        </w:rPr>
        <w:t>El ordenamiento jurídico colombiano contempla previsiones claras para evitar la obtención de beneficios personales en asuntos propios de la administración pública</w:t>
      </w:r>
      <w:r w:rsidRPr="00836422">
        <w:rPr>
          <w:rFonts w:ascii="Arial" w:eastAsia="Calibri" w:hAnsi="Arial" w:cs="Arial"/>
          <w:bCs/>
          <w:i/>
          <w:iCs/>
          <w:lang w:val="es-MX"/>
        </w:rPr>
        <w:t xml:space="preserve">. </w:t>
      </w:r>
      <w:r w:rsidRPr="00836422">
        <w:rPr>
          <w:rFonts w:ascii="Arial" w:eastAsia="Calibri" w:hAnsi="Arial" w:cs="Arial"/>
          <w:bCs/>
          <w:lang w:val="es-MX"/>
        </w:rPr>
        <w:t>Por ejemplo, el artículo 127 de la Constitución Política establece una prohibición contractual a los servidores públicos y en cuanto a aspectos políticos consagra restricciones a ciertos empleados del Estado, incluso en época no electoral</w:t>
      </w:r>
      <w:r w:rsidRPr="00836422">
        <w:rPr>
          <w:rFonts w:ascii="Arial" w:eastAsia="Calibri" w:hAnsi="Arial" w:cs="Arial"/>
          <w:bCs/>
          <w:vertAlign w:val="superscript"/>
          <w:lang w:val="es-MX"/>
        </w:rPr>
        <w:footnoteReference w:id="2"/>
      </w:r>
      <w:r w:rsidRPr="00836422">
        <w:rPr>
          <w:rFonts w:ascii="Arial" w:eastAsia="Calibri" w:hAnsi="Arial" w:cs="Arial"/>
          <w:bCs/>
          <w:lang w:val="es-MX"/>
        </w:rPr>
        <w:t xml:space="preserve">. </w:t>
      </w:r>
    </w:p>
    <w:p w14:paraId="63E4F815" w14:textId="77777777" w:rsidR="00836422" w:rsidRPr="00836422" w:rsidRDefault="00836422" w:rsidP="00836422">
      <w:pPr>
        <w:tabs>
          <w:tab w:val="left" w:pos="426"/>
        </w:tabs>
        <w:spacing w:after="0" w:line="276" w:lineRule="auto"/>
        <w:ind w:firstLine="709"/>
        <w:jc w:val="both"/>
        <w:rPr>
          <w:rFonts w:ascii="Arial" w:hAnsi="Arial" w:cs="Arial"/>
          <w:bCs/>
          <w:lang w:val="es-MX" w:eastAsia="es-CO"/>
        </w:rPr>
      </w:pPr>
      <w:r w:rsidRPr="00836422">
        <w:rPr>
          <w:rFonts w:ascii="Arial" w:hAnsi="Arial" w:cs="Arial"/>
          <w:bCs/>
          <w:lang w:val="es-MX" w:eastAsia="es-CO"/>
        </w:rPr>
        <w:t xml:space="preserve">En el mismo sentido, </w:t>
      </w:r>
      <w:bookmarkStart w:id="5" w:name="_Hlk99576829"/>
      <w:r w:rsidRPr="00836422">
        <w:rPr>
          <w:rFonts w:ascii="Arial" w:hAnsi="Arial"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836422">
        <w:rPr>
          <w:rFonts w:ascii="Arial" w:hAnsi="Arial" w:cs="Arial"/>
          <w:bCs/>
          <w:vertAlign w:val="superscript"/>
          <w:lang w:val="es-MX" w:eastAsia="es-CO"/>
        </w:rPr>
        <w:footnoteReference w:id="3"/>
      </w:r>
      <w:r w:rsidRPr="00836422">
        <w:rPr>
          <w:rFonts w:ascii="Arial"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836422">
        <w:rPr>
          <w:rFonts w:ascii="Arial" w:eastAsia="Calibri" w:hAnsi="Arial" w:cs="Arial"/>
          <w:noProof/>
          <w:lang w:val="es-ES_tradnl"/>
        </w:rPr>
        <w:t xml:space="preserve"> </w:t>
      </w:r>
      <w:bookmarkEnd w:id="5"/>
      <w:r w:rsidRPr="00836422">
        <w:rPr>
          <w:rFonts w:ascii="Arial" w:hAnsi="Arial" w:cs="Arial"/>
          <w:bCs/>
          <w:lang w:val="es-MX" w:eastAsia="es-CO"/>
        </w:rPr>
        <w:t>En armonía con lo anterior, la Corte Constitucional ha abordado la definición de la Ley de Garantías Electorales. De esta manera, explica que tiene como propósito:</w:t>
      </w:r>
    </w:p>
    <w:p w14:paraId="620E216E" w14:textId="77777777" w:rsidR="00836422" w:rsidRPr="00836422" w:rsidRDefault="00836422" w:rsidP="00836422">
      <w:pPr>
        <w:spacing w:after="0" w:line="240" w:lineRule="auto"/>
        <w:ind w:right="709"/>
        <w:contextualSpacing/>
        <w:jc w:val="both"/>
        <w:rPr>
          <w:rFonts w:ascii="Arial" w:hAnsi="Arial" w:cs="Arial"/>
          <w:color w:val="FF0000"/>
          <w:lang w:val="es-ES" w:eastAsia="es-CO"/>
        </w:rPr>
      </w:pPr>
    </w:p>
    <w:p w14:paraId="53257710" w14:textId="77777777" w:rsidR="00836422" w:rsidRPr="00836422" w:rsidRDefault="00836422" w:rsidP="00836422">
      <w:pPr>
        <w:spacing w:after="0" w:line="240" w:lineRule="auto"/>
        <w:ind w:left="709" w:right="709"/>
        <w:contextualSpacing/>
        <w:jc w:val="both"/>
        <w:rPr>
          <w:rFonts w:ascii="Arial" w:hAnsi="Arial" w:cs="Arial"/>
          <w:bCs/>
          <w:sz w:val="21"/>
          <w:szCs w:val="21"/>
          <w:lang w:val="es-MX" w:eastAsia="es-CO"/>
        </w:rPr>
      </w:pPr>
      <w:r w:rsidRPr="00836422">
        <w:rPr>
          <w:rFonts w:ascii="Arial" w:hAnsi="Arial" w:cs="Arial"/>
          <w:sz w:val="21"/>
          <w:szCs w:val="21"/>
          <w:lang w:val="es-ES" w:eastAsia="es-CO"/>
        </w:rPr>
        <w:t xml:space="preserve">[…] </w:t>
      </w:r>
      <w:r w:rsidRPr="00836422">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5F55958D" w14:textId="77777777" w:rsidR="00836422" w:rsidRPr="00836422" w:rsidRDefault="00836422" w:rsidP="00836422">
      <w:pPr>
        <w:spacing w:after="0" w:line="240" w:lineRule="auto"/>
        <w:ind w:left="709" w:right="709"/>
        <w:contextualSpacing/>
        <w:jc w:val="both"/>
        <w:rPr>
          <w:rFonts w:ascii="Arial" w:hAnsi="Arial" w:cs="Arial"/>
          <w:bCs/>
          <w:sz w:val="21"/>
          <w:szCs w:val="21"/>
          <w:lang w:val="es-MX" w:eastAsia="es-CO"/>
        </w:rPr>
      </w:pPr>
    </w:p>
    <w:p w14:paraId="71571BE9" w14:textId="77777777" w:rsidR="00836422" w:rsidRPr="00836422" w:rsidRDefault="00836422" w:rsidP="00836422">
      <w:pPr>
        <w:spacing w:after="0" w:line="240" w:lineRule="auto"/>
        <w:ind w:left="709" w:right="709"/>
        <w:contextualSpacing/>
        <w:jc w:val="both"/>
        <w:rPr>
          <w:rFonts w:ascii="Arial" w:hAnsi="Arial" w:cs="Arial"/>
          <w:bCs/>
          <w:sz w:val="21"/>
          <w:szCs w:val="21"/>
          <w:lang w:val="es-MX" w:eastAsia="es-CO"/>
        </w:rPr>
      </w:pPr>
      <w:r w:rsidRPr="00836422">
        <w:rPr>
          <w:rFonts w:ascii="Arial" w:hAnsi="Arial" w:cs="Arial"/>
          <w:bCs/>
          <w:sz w:val="21"/>
          <w:szCs w:val="21"/>
          <w:lang w:val="es-MX" w:eastAsia="es-CO"/>
        </w:rPr>
        <w:t xml:space="preserve">[…] </w:t>
      </w:r>
    </w:p>
    <w:p w14:paraId="35D6A3BE" w14:textId="77777777" w:rsidR="00836422" w:rsidRPr="00836422" w:rsidRDefault="00836422" w:rsidP="00836422">
      <w:pPr>
        <w:spacing w:after="0" w:line="240" w:lineRule="auto"/>
        <w:ind w:right="709"/>
        <w:contextualSpacing/>
        <w:jc w:val="both"/>
        <w:rPr>
          <w:rFonts w:ascii="Arial" w:hAnsi="Arial" w:cs="Arial"/>
          <w:bCs/>
          <w:sz w:val="21"/>
          <w:szCs w:val="21"/>
          <w:lang w:val="es-MX" w:eastAsia="es-CO"/>
        </w:rPr>
      </w:pPr>
    </w:p>
    <w:p w14:paraId="065491A9" w14:textId="77777777" w:rsidR="00836422" w:rsidRPr="00836422" w:rsidRDefault="00836422" w:rsidP="00836422">
      <w:pPr>
        <w:spacing w:after="0" w:line="240" w:lineRule="auto"/>
        <w:ind w:left="709" w:right="709"/>
        <w:contextualSpacing/>
        <w:jc w:val="both"/>
        <w:rPr>
          <w:rFonts w:ascii="Arial" w:hAnsi="Arial" w:cs="Arial"/>
          <w:bCs/>
          <w:sz w:val="21"/>
          <w:szCs w:val="21"/>
          <w:lang w:val="es-MX" w:eastAsia="es-CO"/>
        </w:rPr>
      </w:pPr>
      <w:r w:rsidRPr="00836422">
        <w:rPr>
          <w:rFonts w:ascii="Arial" w:hAnsi="Arial" w:cs="Arial"/>
          <w:bCs/>
          <w:sz w:val="21"/>
          <w:szCs w:val="21"/>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w:t>
      </w:r>
      <w:r w:rsidRPr="00836422">
        <w:rPr>
          <w:rFonts w:ascii="Arial" w:hAnsi="Arial" w:cs="Arial"/>
          <w:bCs/>
          <w:sz w:val="21"/>
          <w:szCs w:val="21"/>
          <w:lang w:val="es-MX" w:eastAsia="es-CO"/>
        </w:rPr>
        <w:lastRenderedPageBreak/>
        <w:t>las que definan el ascenso al poder, y no el músculo económico de los que se lo disputan.</w:t>
      </w:r>
      <w:r w:rsidRPr="00836422">
        <w:rPr>
          <w:rFonts w:ascii="Arial" w:eastAsia="Calibri" w:hAnsi="Arial" w:cs="Arial"/>
          <w:sz w:val="21"/>
          <w:szCs w:val="21"/>
          <w:vertAlign w:val="superscript"/>
          <w:lang w:val="es-MX"/>
        </w:rPr>
        <w:footnoteReference w:id="4"/>
      </w:r>
    </w:p>
    <w:p w14:paraId="7564A781" w14:textId="77777777" w:rsidR="00836422" w:rsidRPr="00836422" w:rsidRDefault="00836422" w:rsidP="00836422">
      <w:pPr>
        <w:spacing w:after="0" w:line="276" w:lineRule="auto"/>
        <w:ind w:left="708" w:right="709"/>
        <w:contextualSpacing/>
        <w:jc w:val="both"/>
        <w:rPr>
          <w:rFonts w:ascii="Arial" w:hAnsi="Arial" w:cs="Arial"/>
          <w:bCs/>
          <w:lang w:val="es-MX" w:eastAsia="es-CO"/>
        </w:rPr>
      </w:pPr>
    </w:p>
    <w:p w14:paraId="317AF906" w14:textId="77777777" w:rsidR="00836422" w:rsidRPr="00836422" w:rsidRDefault="00836422" w:rsidP="00836422">
      <w:pPr>
        <w:spacing w:after="0" w:line="276" w:lineRule="auto"/>
        <w:ind w:firstLine="709"/>
        <w:contextualSpacing/>
        <w:jc w:val="both"/>
        <w:rPr>
          <w:rFonts w:ascii="Arial" w:hAnsi="Arial" w:cs="Arial"/>
          <w:bCs/>
          <w:lang w:val="es-MX" w:eastAsia="es-CO"/>
        </w:rPr>
      </w:pPr>
      <w:bookmarkStart w:id="6" w:name="_Hlk78818186"/>
      <w:r w:rsidRPr="00836422">
        <w:rPr>
          <w:rFonts w:ascii="Arial"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6"/>
      <w:r w:rsidRPr="00836422">
        <w:rPr>
          <w:rFonts w:ascii="Arial"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55B02A14" w14:textId="77777777" w:rsidR="00836422" w:rsidRPr="00836422" w:rsidRDefault="00836422" w:rsidP="00836422">
      <w:pPr>
        <w:spacing w:after="0" w:line="276" w:lineRule="auto"/>
        <w:ind w:firstLine="709"/>
        <w:contextualSpacing/>
        <w:jc w:val="both"/>
        <w:rPr>
          <w:rFonts w:ascii="Arial" w:hAnsi="Arial" w:cs="Arial"/>
          <w:bCs/>
          <w:lang w:val="es-MX" w:eastAsia="es-CO"/>
        </w:rPr>
      </w:pPr>
    </w:p>
    <w:p w14:paraId="624B255E" w14:textId="77777777" w:rsidR="00836422" w:rsidRPr="00836422" w:rsidRDefault="00836422" w:rsidP="00836422">
      <w:pPr>
        <w:spacing w:after="0" w:line="240" w:lineRule="auto"/>
        <w:ind w:left="709" w:right="709"/>
        <w:contextualSpacing/>
        <w:jc w:val="both"/>
        <w:rPr>
          <w:rFonts w:ascii="Arial" w:hAnsi="Arial" w:cs="Arial"/>
          <w:bCs/>
          <w:sz w:val="21"/>
          <w:szCs w:val="21"/>
          <w:lang w:val="es-MX" w:eastAsia="es-CO"/>
        </w:rPr>
      </w:pPr>
      <w:r w:rsidRPr="00836422">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836422">
        <w:rPr>
          <w:rFonts w:ascii="Arial" w:hAnsi="Arial" w:cs="Arial"/>
          <w:bCs/>
          <w:sz w:val="21"/>
          <w:szCs w:val="21"/>
          <w:lang w:val="es-MX" w:eastAsia="es-CO"/>
        </w:rPr>
        <w:t>legis</w:t>
      </w:r>
      <w:proofErr w:type="spellEnd"/>
      <w:r w:rsidRPr="00836422">
        <w:rPr>
          <w:rFonts w:ascii="Arial"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7E57AC2" w14:textId="77777777" w:rsidR="00836422" w:rsidRPr="00836422" w:rsidRDefault="00836422" w:rsidP="00836422">
      <w:pPr>
        <w:spacing w:after="0" w:line="240" w:lineRule="auto"/>
        <w:ind w:left="709" w:right="709"/>
        <w:contextualSpacing/>
        <w:jc w:val="both"/>
        <w:rPr>
          <w:rFonts w:ascii="Arial" w:hAnsi="Arial" w:cs="Arial"/>
          <w:bCs/>
          <w:sz w:val="21"/>
          <w:szCs w:val="21"/>
          <w:lang w:val="es-MX" w:eastAsia="es-CO"/>
        </w:rPr>
      </w:pPr>
    </w:p>
    <w:p w14:paraId="39A36F18" w14:textId="77777777" w:rsidR="00836422" w:rsidRPr="00836422" w:rsidRDefault="00836422" w:rsidP="00836422">
      <w:pPr>
        <w:spacing w:after="0" w:line="240" w:lineRule="auto"/>
        <w:ind w:left="709" w:right="709"/>
        <w:contextualSpacing/>
        <w:jc w:val="both"/>
        <w:rPr>
          <w:rFonts w:ascii="Arial" w:hAnsi="Arial" w:cs="Arial"/>
          <w:bCs/>
          <w:sz w:val="21"/>
          <w:szCs w:val="21"/>
          <w:lang w:val="es-MX" w:eastAsia="es-CO"/>
        </w:rPr>
      </w:pPr>
      <w:r w:rsidRPr="00836422">
        <w:rPr>
          <w:rFonts w:ascii="Arial" w:hAnsi="Arial" w:cs="Arial"/>
          <w:bCs/>
          <w:sz w:val="21"/>
          <w:szCs w:val="21"/>
          <w:lang w:val="es-MX" w:eastAsia="es-CO"/>
        </w:rPr>
        <w:t>La jurisprudencia de la Corte Constitucional</w:t>
      </w:r>
      <w:r w:rsidRPr="00836422">
        <w:rPr>
          <w:rFonts w:ascii="Arial" w:hAnsi="Arial" w:cs="Arial"/>
          <w:bCs/>
          <w:sz w:val="21"/>
          <w:szCs w:val="21"/>
          <w:vertAlign w:val="superscript"/>
          <w:lang w:val="es-MX" w:eastAsia="es-CO"/>
        </w:rPr>
        <w:footnoteReference w:id="5"/>
      </w:r>
      <w:r w:rsidRPr="00836422">
        <w:rPr>
          <w:rFonts w:ascii="Arial" w:hAnsi="Arial" w:cs="Arial"/>
          <w:bCs/>
          <w:sz w:val="21"/>
          <w:szCs w:val="21"/>
          <w:lang w:val="es-MX" w:eastAsia="es-CO"/>
        </w:rPr>
        <w:t> y del Consejo de Estado</w:t>
      </w:r>
      <w:r w:rsidRPr="00836422">
        <w:rPr>
          <w:rFonts w:ascii="Arial" w:hAnsi="Arial" w:cs="Arial"/>
          <w:bCs/>
          <w:sz w:val="21"/>
          <w:szCs w:val="21"/>
          <w:vertAlign w:val="superscript"/>
          <w:lang w:val="es-MX" w:eastAsia="es-CO"/>
        </w:rPr>
        <w:footnoteReference w:id="6"/>
      </w:r>
      <w:r w:rsidRPr="00836422">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36422">
        <w:rPr>
          <w:rFonts w:ascii="Arial" w:hAnsi="Arial" w:cs="Arial"/>
          <w:bCs/>
          <w:sz w:val="21"/>
          <w:szCs w:val="21"/>
          <w:vertAlign w:val="superscript"/>
          <w:lang w:val="es-MX" w:eastAsia="es-CO"/>
        </w:rPr>
        <w:footnoteReference w:id="7"/>
      </w:r>
      <w:r w:rsidRPr="00836422">
        <w:rPr>
          <w:rFonts w:ascii="Arial" w:hAnsi="Arial" w:cs="Arial"/>
          <w:bCs/>
          <w:sz w:val="21"/>
          <w:szCs w:val="21"/>
          <w:lang w:val="es-MX" w:eastAsia="es-CO"/>
        </w:rPr>
        <w:t>.</w:t>
      </w:r>
    </w:p>
    <w:p w14:paraId="4DE9C70E" w14:textId="77777777" w:rsidR="00836422" w:rsidRPr="00836422" w:rsidRDefault="00836422" w:rsidP="00836422">
      <w:pPr>
        <w:spacing w:after="0" w:line="276" w:lineRule="auto"/>
        <w:ind w:right="709"/>
        <w:contextualSpacing/>
        <w:jc w:val="both"/>
        <w:rPr>
          <w:rFonts w:ascii="Arial" w:hAnsi="Arial" w:cs="Arial"/>
          <w:bCs/>
          <w:color w:val="FF0000"/>
          <w:lang w:val="es-MX" w:eastAsia="es-CO"/>
        </w:rPr>
      </w:pPr>
    </w:p>
    <w:p w14:paraId="1C864E09" w14:textId="77777777" w:rsidR="00836422" w:rsidRPr="00836422" w:rsidRDefault="00836422" w:rsidP="00836422">
      <w:pPr>
        <w:spacing w:after="120" w:line="276" w:lineRule="auto"/>
        <w:jc w:val="both"/>
        <w:rPr>
          <w:rFonts w:ascii="Arial" w:eastAsia="Arial" w:hAnsi="Arial" w:cs="Arial"/>
          <w:lang w:val="es-ES" w:eastAsia="es-ES" w:bidi="es-ES"/>
        </w:rPr>
      </w:pPr>
      <w:r w:rsidRPr="00836422">
        <w:rPr>
          <w:rFonts w:ascii="Arial" w:hAnsi="Arial" w:cs="Arial"/>
          <w:bCs/>
          <w:lang w:val="es-MX" w:eastAsia="es-CO"/>
        </w:rPr>
        <w:lastRenderedPageBreak/>
        <w:tab/>
        <w:t>De</w:t>
      </w:r>
      <w:r w:rsidRPr="00836422">
        <w:rPr>
          <w:rFonts w:ascii="Arial" w:eastAsia="Arial" w:hAnsi="Arial" w:cs="Arial"/>
          <w:lang w:val="es-ES" w:eastAsia="es-ES" w:bidi="es-ES"/>
        </w:rPr>
        <w:t xml:space="preserve"> conformidad con lo anterior, </w:t>
      </w:r>
      <w:bookmarkStart w:id="7" w:name="_Hlk77236098"/>
      <w:r w:rsidRPr="00836422">
        <w:rPr>
          <w:rFonts w:ascii="Arial" w:eastAsia="Arial" w:hAnsi="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7"/>
    </w:p>
    <w:p w14:paraId="676C82F6" w14:textId="77777777" w:rsidR="00836422" w:rsidRPr="00836422" w:rsidRDefault="00836422" w:rsidP="00836422">
      <w:pPr>
        <w:spacing w:after="120" w:line="276" w:lineRule="auto"/>
        <w:ind w:firstLine="708"/>
        <w:jc w:val="both"/>
        <w:rPr>
          <w:rFonts w:ascii="Arial" w:eastAsia="Calibri" w:hAnsi="Arial" w:cs="Arial"/>
          <w:lang w:val="es-MX"/>
        </w:rPr>
      </w:pPr>
      <w:r w:rsidRPr="00836422">
        <w:rPr>
          <w:rFonts w:ascii="Arial" w:eastAsia="Calibri" w:hAnsi="Arial" w:cs="Arial"/>
          <w:lang w:val="es-MX"/>
        </w:rPr>
        <w:t xml:space="preserve">Por un lado, el artículo 33 de la Ley 996 de 2005 prohíbe </w:t>
      </w:r>
      <w:r w:rsidRPr="00836422">
        <w:rPr>
          <w:rFonts w:ascii="Arial" w:eastAsia="Calibri" w:hAnsi="Arial" w:cs="Arial"/>
          <w:bCs/>
          <w:lang w:val="es-MX"/>
        </w:rPr>
        <w:t xml:space="preserve">“[…] </w:t>
      </w:r>
      <w:r w:rsidRPr="00836422">
        <w:rPr>
          <w:rFonts w:ascii="Arial" w:eastAsia="Calibri" w:hAnsi="Arial" w:cs="Arial"/>
          <w:lang w:val="es-MX"/>
        </w:rPr>
        <w:t>la contratación directa por parte de todos los entes del Estado</w:t>
      </w:r>
      <w:r w:rsidRPr="00836422">
        <w:rPr>
          <w:rFonts w:ascii="Arial" w:eastAsia="Calibri" w:hAnsi="Arial" w:cs="Arial"/>
          <w:bCs/>
          <w:lang w:val="es-MX"/>
        </w:rPr>
        <w:t>”</w:t>
      </w:r>
      <w:r w:rsidRPr="00836422">
        <w:rPr>
          <w:rFonts w:ascii="Arial" w:eastAsia="Calibri" w:hAnsi="Arial" w:cs="Arial"/>
          <w:lang w:val="es-MX"/>
        </w:rPr>
        <w:t xml:space="preserve"> durante los cuatro (4) meses anteriores a las elecciones presidenciales, salvo </w:t>
      </w:r>
      <w:r w:rsidRPr="00836422">
        <w:rPr>
          <w:rFonts w:ascii="Arial" w:eastAsia="Calibri" w:hAnsi="Arial" w:cs="Arial"/>
          <w:bCs/>
          <w:lang w:val="es-MX"/>
        </w:rPr>
        <w:t xml:space="preserve">“[…] </w:t>
      </w:r>
      <w:r w:rsidRPr="00836422">
        <w:rPr>
          <w:rFonts w:ascii="Arial" w:eastAsia="Calibri" w:hAnsi="Arial" w:cs="Arial"/>
          <w:lang w:val="es-MX"/>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36422">
        <w:rPr>
          <w:rFonts w:ascii="Arial" w:eastAsia="Calibri" w:hAnsi="Arial" w:cs="Arial"/>
          <w:bCs/>
          <w:lang w:val="es-MX"/>
        </w:rPr>
        <w:t>”</w:t>
      </w:r>
      <w:r w:rsidRPr="00836422">
        <w:rPr>
          <w:rFonts w:ascii="Arial" w:eastAsia="Calibri" w:hAnsi="Arial" w:cs="Arial"/>
          <w:bCs/>
          <w:vertAlign w:val="superscript"/>
          <w:lang w:val="es-MX"/>
        </w:rPr>
        <w:footnoteReference w:id="8"/>
      </w:r>
      <w:r w:rsidRPr="00836422">
        <w:rPr>
          <w:rFonts w:ascii="Arial" w:eastAsia="Calibri" w:hAnsi="Arial" w:cs="Arial"/>
          <w:lang w:val="es-MX"/>
        </w:rPr>
        <w:t>.</w:t>
      </w:r>
    </w:p>
    <w:p w14:paraId="48E91373" w14:textId="77777777" w:rsidR="00836422" w:rsidRPr="00836422" w:rsidRDefault="00836422" w:rsidP="00836422">
      <w:pPr>
        <w:widowControl w:val="0"/>
        <w:autoSpaceDE w:val="0"/>
        <w:autoSpaceDN w:val="0"/>
        <w:spacing w:after="120" w:line="276" w:lineRule="auto"/>
        <w:ind w:right="113" w:firstLine="708"/>
        <w:jc w:val="both"/>
        <w:rPr>
          <w:rFonts w:ascii="Arial" w:eastAsia="Arial" w:hAnsi="Arial" w:cs="Arial"/>
          <w:lang w:val="es-ES" w:eastAsia="es-ES" w:bidi="es-ES"/>
        </w:rPr>
      </w:pPr>
      <w:r w:rsidRPr="00836422">
        <w:rPr>
          <w:rFonts w:ascii="Arial" w:eastAsia="Calibri" w:hAnsi="Arial" w:cs="Arial"/>
          <w:lang w:val="es-MX"/>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836422">
        <w:rPr>
          <w:rFonts w:ascii="Arial" w:eastAsia="Calibri" w:hAnsi="Arial" w:cs="Arial"/>
          <w:bCs/>
          <w:lang w:val="es-MX"/>
        </w:rPr>
        <w:t xml:space="preserve">“[…] </w:t>
      </w:r>
      <w:r w:rsidRPr="00836422">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36422">
        <w:rPr>
          <w:rFonts w:ascii="Arial" w:eastAsia="Calibri" w:hAnsi="Arial" w:cs="Arial"/>
          <w:bCs/>
          <w:lang w:val="es-MX"/>
        </w:rPr>
        <w:t>”</w:t>
      </w:r>
      <w:r w:rsidRPr="00836422">
        <w:rPr>
          <w:rFonts w:ascii="Arial" w:eastAsia="Calibri" w:hAnsi="Arial" w:cs="Arial"/>
          <w:bCs/>
          <w:vertAlign w:val="superscript"/>
          <w:lang w:val="es-MX"/>
        </w:rPr>
        <w:footnoteReference w:id="9"/>
      </w:r>
      <w:r w:rsidRPr="00836422">
        <w:rPr>
          <w:rFonts w:ascii="Arial" w:eastAsia="Calibri" w:hAnsi="Arial" w:cs="Arial"/>
          <w:lang w:val="es-MX"/>
        </w:rPr>
        <w:t>.</w:t>
      </w:r>
      <w:r w:rsidRPr="00836422">
        <w:rPr>
          <w:rFonts w:ascii="Arial" w:eastAsia="Arial" w:hAnsi="Arial" w:cs="Arial"/>
          <w:lang w:val="es-ES" w:eastAsia="es-ES" w:bidi="es-ES"/>
        </w:rPr>
        <w:t xml:space="preserve"> </w:t>
      </w:r>
    </w:p>
    <w:p w14:paraId="309BF4D3" w14:textId="77777777" w:rsidR="00836422" w:rsidRPr="00836422" w:rsidRDefault="00836422" w:rsidP="00836422">
      <w:pPr>
        <w:widowControl w:val="0"/>
        <w:autoSpaceDE w:val="0"/>
        <w:autoSpaceDN w:val="0"/>
        <w:spacing w:after="0" w:line="276" w:lineRule="auto"/>
        <w:ind w:right="113" w:firstLine="709"/>
        <w:contextualSpacing/>
        <w:jc w:val="both"/>
        <w:rPr>
          <w:rFonts w:ascii="Arial" w:eastAsia="Arial" w:hAnsi="Arial" w:cs="Arial"/>
          <w:lang w:val="es-ES" w:eastAsia="es-ES" w:bidi="es-ES"/>
        </w:rPr>
      </w:pPr>
      <w:r w:rsidRPr="00836422">
        <w:rPr>
          <w:rFonts w:ascii="Arial" w:eastAsia="Arial" w:hAnsi="Arial" w:cs="Arial"/>
          <w:lang w:val="es-ES" w:eastAsia="es-ES" w:bidi="es-ES"/>
        </w:rPr>
        <w:t xml:space="preserve">La Sala de Consulta y Servicio Civil del Consejo de Estado ha aclarado la distinción en </w:t>
      </w:r>
      <w:r w:rsidRPr="00836422">
        <w:rPr>
          <w:rFonts w:ascii="Arial" w:eastAsia="Arial" w:hAnsi="Arial" w:cs="Arial"/>
          <w:lang w:val="es-ES" w:eastAsia="es-ES" w:bidi="es-ES"/>
        </w:rPr>
        <w:lastRenderedPageBreak/>
        <w:t>la aplicación de las prohibiciones de la Ley 996 de 2005, dependiendo del tipo de elección que se trate. Al respecto, considera que:</w:t>
      </w:r>
    </w:p>
    <w:p w14:paraId="6A0C1885" w14:textId="77777777" w:rsidR="00836422" w:rsidRPr="00836422" w:rsidRDefault="00836422" w:rsidP="00836422">
      <w:pPr>
        <w:widowControl w:val="0"/>
        <w:autoSpaceDE w:val="0"/>
        <w:autoSpaceDN w:val="0"/>
        <w:spacing w:after="0" w:line="276" w:lineRule="auto"/>
        <w:ind w:left="805" w:right="812"/>
        <w:contextualSpacing/>
        <w:jc w:val="both"/>
        <w:rPr>
          <w:rFonts w:ascii="Arial" w:eastAsia="Arial" w:hAnsi="Arial" w:cs="Arial"/>
          <w:color w:val="FF0000"/>
          <w:lang w:val="es-ES" w:eastAsia="es-ES" w:bidi="es-ES"/>
        </w:rPr>
      </w:pPr>
    </w:p>
    <w:p w14:paraId="6D15864C" w14:textId="77777777" w:rsidR="00836422" w:rsidRPr="00836422" w:rsidRDefault="00836422" w:rsidP="00836422">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836422">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0" w:name="_Hlk76109421"/>
      <w:r w:rsidRPr="00836422">
        <w:rPr>
          <w:rFonts w:ascii="Arial" w:eastAsia="Arial" w:hAnsi="Arial" w:cs="Arial"/>
          <w:sz w:val="21"/>
          <w:szCs w:val="21"/>
          <w:lang w:val="es-ES" w:eastAsia="es-ES" w:bidi="es-ES"/>
        </w:rPr>
        <w:t>se integran parcialmente</w:t>
      </w:r>
      <w:bookmarkEnd w:id="10"/>
      <w:r w:rsidRPr="00836422">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836422">
        <w:rPr>
          <w:rFonts w:ascii="Arial" w:eastAsia="Arial" w:hAnsi="Arial" w:cs="Arial"/>
          <w:bCs/>
          <w:sz w:val="21"/>
          <w:szCs w:val="21"/>
          <w:lang w:val="es-ES" w:eastAsia="es-ES" w:bidi="es-ES"/>
        </w:rPr>
        <w:t xml:space="preserve">En cambio, para elecciones en general, excluyendo las correspondientes a </w:t>
      </w:r>
      <w:proofErr w:type="gramStart"/>
      <w:r w:rsidRPr="00836422">
        <w:rPr>
          <w:rFonts w:ascii="Arial" w:eastAsia="Arial" w:hAnsi="Arial" w:cs="Arial"/>
          <w:bCs/>
          <w:sz w:val="21"/>
          <w:szCs w:val="21"/>
          <w:lang w:val="es-ES" w:eastAsia="es-ES" w:bidi="es-ES"/>
        </w:rPr>
        <w:t>Presidente</w:t>
      </w:r>
      <w:proofErr w:type="gramEnd"/>
      <w:r w:rsidRPr="00836422">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836422">
        <w:rPr>
          <w:rFonts w:ascii="Arial" w:eastAsia="Arial" w:hAnsi="Arial" w:cs="Arial"/>
          <w:sz w:val="21"/>
          <w:szCs w:val="21"/>
          <w:lang w:val="es-ES" w:eastAsia="es-ES" w:bidi="es-ES"/>
        </w:rPr>
        <w:t>.</w:t>
      </w:r>
      <w:r w:rsidRPr="00836422">
        <w:rPr>
          <w:rFonts w:ascii="Arial" w:eastAsia="Arial" w:hAnsi="Arial" w:cs="Arial"/>
          <w:sz w:val="21"/>
          <w:szCs w:val="21"/>
          <w:vertAlign w:val="superscript"/>
          <w:lang w:val="es-ES" w:eastAsia="es-ES" w:bidi="es-ES"/>
        </w:rPr>
        <w:footnoteReference w:id="10"/>
      </w:r>
    </w:p>
    <w:p w14:paraId="6DCE0599" w14:textId="77777777" w:rsidR="00836422" w:rsidRPr="00836422" w:rsidRDefault="00836422" w:rsidP="00836422">
      <w:pPr>
        <w:widowControl w:val="0"/>
        <w:autoSpaceDE w:val="0"/>
        <w:autoSpaceDN w:val="0"/>
        <w:spacing w:after="0" w:line="276" w:lineRule="auto"/>
        <w:contextualSpacing/>
        <w:rPr>
          <w:rFonts w:ascii="Arial" w:eastAsia="Arial" w:hAnsi="Arial" w:cs="Arial"/>
          <w:color w:val="FF0000"/>
          <w:lang w:val="es-ES" w:eastAsia="es-ES" w:bidi="es-ES"/>
        </w:rPr>
      </w:pPr>
    </w:p>
    <w:p w14:paraId="13B99F51" w14:textId="77777777" w:rsidR="00836422" w:rsidRPr="00836422" w:rsidRDefault="00836422" w:rsidP="00836422">
      <w:pPr>
        <w:spacing w:after="120" w:line="276" w:lineRule="auto"/>
        <w:ind w:firstLine="709"/>
        <w:jc w:val="both"/>
        <w:rPr>
          <w:rFonts w:ascii="Arial" w:eastAsia="Arial" w:hAnsi="Arial" w:cs="Arial"/>
          <w:lang w:val="es-ES" w:eastAsia="es-ES" w:bidi="es-ES"/>
        </w:rPr>
      </w:pPr>
      <w:r w:rsidRPr="00836422">
        <w:rPr>
          <w:rFonts w:ascii="Arial" w:eastAsia="Arial" w:hAnsi="Arial" w:cs="Arial"/>
          <w:lang w:val="es-ES" w:eastAsia="es-ES" w:bidi="es-ES"/>
        </w:rPr>
        <w:t xml:space="preserve">De conformidad con lo anterior, </w:t>
      </w:r>
      <w:bookmarkStart w:id="11" w:name="_Hlk77236420"/>
      <w:bookmarkStart w:id="12" w:name="_Hlk78818435"/>
      <w:bookmarkStart w:id="13" w:name="_Hlk75780333"/>
      <w:r w:rsidRPr="00836422">
        <w:rPr>
          <w:rFonts w:ascii="Arial" w:eastAsia="Arial" w:hAnsi="Arial" w:cs="Arial"/>
          <w:lang w:val="es-ES" w:eastAsia="es-ES" w:bidi="es-ES"/>
        </w:rPr>
        <w:t xml:space="preserve">la Ley 996 de 2005 establece dos (2) tipos de restricciones en materia de contratación, las cuales coinciden parcialmente. </w:t>
      </w:r>
      <w:r w:rsidRPr="00836422">
        <w:rPr>
          <w:rFonts w:ascii="Arial" w:eastAsia="Arial" w:hAnsi="Arial" w:cs="Arial"/>
          <w:i/>
          <w:iCs/>
          <w:lang w:val="es-ES" w:eastAsia="es-ES" w:bidi="es-ES"/>
        </w:rPr>
        <w:t>En primer lugar</w:t>
      </w:r>
      <w:r w:rsidRPr="00836422">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36422">
        <w:rPr>
          <w:rFonts w:ascii="Arial" w:eastAsia="Arial" w:hAnsi="Arial" w:cs="Arial"/>
          <w:i/>
          <w:iCs/>
          <w:lang w:val="es-ES" w:eastAsia="es-ES" w:bidi="es-ES"/>
        </w:rPr>
        <w:t>En segundo lugar</w:t>
      </w:r>
      <w:r w:rsidRPr="00836422">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1"/>
    </w:p>
    <w:bookmarkEnd w:id="12"/>
    <w:p w14:paraId="5321AD15" w14:textId="77777777" w:rsidR="00836422" w:rsidRPr="00836422" w:rsidRDefault="00836422" w:rsidP="00836422">
      <w:pPr>
        <w:spacing w:after="120" w:line="276" w:lineRule="auto"/>
        <w:ind w:firstLine="709"/>
        <w:jc w:val="both"/>
        <w:rPr>
          <w:rFonts w:ascii="Arial" w:eastAsia="Arial" w:hAnsi="Arial" w:cs="Arial"/>
          <w:lang w:val="es-ES" w:eastAsia="es-ES" w:bidi="es-ES"/>
        </w:rPr>
      </w:pPr>
      <w:r w:rsidRPr="00836422">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836422">
        <w:rPr>
          <w:rFonts w:ascii="Arial" w:eastAsia="Arial" w:hAnsi="Arial" w:cs="Arial"/>
          <w:lang w:val="es-ES" w:eastAsia="es-ES" w:bidi="es-ES"/>
        </w:rPr>
        <w:t>Presidente</w:t>
      </w:r>
      <w:proofErr w:type="gramEnd"/>
      <w:r w:rsidRPr="00836422">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836422">
        <w:rPr>
          <w:rFonts w:ascii="Arial" w:eastAsia="Arial" w:hAnsi="Arial" w:cs="Arial"/>
          <w:lang w:val="es-ES" w:eastAsia="es-ES" w:bidi="es-ES"/>
        </w:rPr>
        <w:t>Presidente</w:t>
      </w:r>
      <w:proofErr w:type="gramEnd"/>
      <w:r w:rsidRPr="00836422">
        <w:rPr>
          <w:rFonts w:ascii="Arial" w:eastAsia="Arial" w:hAnsi="Arial" w:cs="Arial"/>
          <w:lang w:val="es-ES" w:eastAsia="es-ES" w:bidi="es-ES"/>
        </w:rPr>
        <w:t xml:space="preserve"> de la República, las autoridades allí mencionadas sólo deben aplicar las restricciones contenidas en el parágrafo del artículo 38.</w:t>
      </w:r>
    </w:p>
    <w:bookmarkEnd w:id="13"/>
    <w:p w14:paraId="4DF9E37B" w14:textId="77777777" w:rsidR="00836422" w:rsidRPr="00836422" w:rsidRDefault="00836422" w:rsidP="00836422">
      <w:pPr>
        <w:spacing w:after="0" w:line="276" w:lineRule="auto"/>
        <w:ind w:firstLine="709"/>
        <w:contextualSpacing/>
        <w:jc w:val="both"/>
        <w:rPr>
          <w:rFonts w:ascii="Arial" w:eastAsia="Arial" w:hAnsi="Arial" w:cs="Arial"/>
          <w:lang w:val="es-ES" w:eastAsia="es-ES" w:bidi="es-ES"/>
        </w:rPr>
      </w:pPr>
      <w:r w:rsidRPr="00836422">
        <w:rPr>
          <w:rFonts w:ascii="Arial" w:eastAsia="Arial" w:hAnsi="Arial" w:cs="Arial"/>
          <w:lang w:val="es-ES" w:eastAsia="es-ES" w:bidi="es-ES"/>
        </w:rPr>
        <w:lastRenderedPageBreak/>
        <w:t xml:space="preserve">La Corte Constitucional, en la Sentencia C-1153 del 11 de noviembre de 2005, señaló que, para que la garantía sea plena, era necesario que la prohibición se aplicara para el </w:t>
      </w:r>
      <w:proofErr w:type="gramStart"/>
      <w:r w:rsidRPr="00836422">
        <w:rPr>
          <w:rFonts w:ascii="Arial" w:eastAsia="Arial" w:hAnsi="Arial" w:cs="Arial"/>
          <w:lang w:val="es-ES" w:eastAsia="es-ES" w:bidi="es-ES"/>
        </w:rPr>
        <w:t>Presidente</w:t>
      </w:r>
      <w:proofErr w:type="gramEnd"/>
      <w:r w:rsidRPr="00836422">
        <w:rPr>
          <w:rFonts w:ascii="Arial" w:eastAsia="Arial" w:hAnsi="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698D242" w14:textId="77777777" w:rsidR="00836422" w:rsidRPr="00836422" w:rsidRDefault="00836422" w:rsidP="00836422">
      <w:pPr>
        <w:spacing w:after="0" w:line="276" w:lineRule="auto"/>
        <w:contextualSpacing/>
        <w:jc w:val="both"/>
        <w:rPr>
          <w:rFonts w:ascii="Arial" w:hAnsi="Arial" w:cs="Arial"/>
          <w:bCs/>
          <w:lang w:val="es-MX" w:eastAsia="x-none"/>
        </w:rPr>
      </w:pPr>
    </w:p>
    <w:p w14:paraId="2FC6E905" w14:textId="77777777" w:rsidR="00836422" w:rsidRPr="00836422" w:rsidRDefault="00836422" w:rsidP="00836422">
      <w:pPr>
        <w:spacing w:after="0" w:line="276" w:lineRule="auto"/>
        <w:ind w:firstLine="709"/>
        <w:jc w:val="both"/>
        <w:rPr>
          <w:rFonts w:ascii="Arial" w:hAnsi="Arial" w:cs="Arial"/>
          <w:bCs/>
          <w:lang w:val="es-ES_tradnl" w:eastAsia="x-none"/>
        </w:rPr>
      </w:pPr>
      <w:bookmarkStart w:id="14" w:name="_Hlk75787147"/>
    </w:p>
    <w:p w14:paraId="7CE643BF" w14:textId="77777777" w:rsidR="00836422" w:rsidRPr="00836422" w:rsidRDefault="00836422" w:rsidP="00836422">
      <w:pPr>
        <w:spacing w:after="0" w:line="276" w:lineRule="auto"/>
        <w:jc w:val="both"/>
        <w:rPr>
          <w:rFonts w:ascii="Arial" w:eastAsia="Calibri" w:hAnsi="Arial" w:cs="Arial"/>
          <w:b/>
          <w:bCs/>
          <w:lang w:val="es-MX"/>
        </w:rPr>
      </w:pPr>
      <w:bookmarkStart w:id="15" w:name="_Hlk75784645"/>
      <w:bookmarkEnd w:id="14"/>
      <w:r w:rsidRPr="00836422">
        <w:rPr>
          <w:rFonts w:ascii="Arial" w:eastAsia="Calibri" w:hAnsi="Arial" w:cs="Arial"/>
          <w:b/>
          <w:bCs/>
          <w:lang w:val="es-MX"/>
        </w:rPr>
        <w:t xml:space="preserve">2.2. </w:t>
      </w:r>
      <w:bookmarkStart w:id="16" w:name="_Hlk77153296"/>
      <w:r w:rsidRPr="00836422">
        <w:rPr>
          <w:rFonts w:ascii="Arial" w:hAnsi="Arial" w:cs="Arial"/>
          <w:b/>
          <w:bCs/>
          <w:lang w:val="es-MX" w:eastAsia="es-CO"/>
        </w:rPr>
        <w:t xml:space="preserve">Restricciones </w:t>
      </w:r>
      <w:bookmarkStart w:id="17" w:name="_Hlk75643279"/>
      <w:r w:rsidRPr="00836422">
        <w:rPr>
          <w:rFonts w:ascii="Arial" w:hAnsi="Arial" w:cs="Arial"/>
          <w:b/>
          <w:bCs/>
          <w:lang w:val="es-MX" w:eastAsia="es-CO"/>
        </w:rPr>
        <w:t xml:space="preserve">para la celebración de contratos y convenios interadministrativos en los comicios para cargos de elección popular </w:t>
      </w:r>
    </w:p>
    <w:p w14:paraId="28C1FBE9" w14:textId="77777777" w:rsidR="00836422" w:rsidRPr="00836422" w:rsidRDefault="00836422" w:rsidP="00836422">
      <w:pPr>
        <w:tabs>
          <w:tab w:val="left" w:pos="426"/>
        </w:tabs>
        <w:spacing w:after="0" w:line="276" w:lineRule="auto"/>
        <w:jc w:val="both"/>
        <w:rPr>
          <w:rFonts w:ascii="Arial" w:eastAsia="Calibri" w:hAnsi="Arial" w:cs="Arial"/>
          <w:bCs/>
          <w:lang w:val="es-MX"/>
        </w:rPr>
      </w:pPr>
      <w:bookmarkStart w:id="18" w:name="_Hlk88210558"/>
      <w:bookmarkEnd w:id="16"/>
      <w:bookmarkEnd w:id="17"/>
    </w:p>
    <w:p w14:paraId="34E9E77F" w14:textId="77777777" w:rsidR="00836422" w:rsidRPr="00836422" w:rsidRDefault="00836422" w:rsidP="00836422">
      <w:pPr>
        <w:tabs>
          <w:tab w:val="left" w:pos="426"/>
        </w:tabs>
        <w:spacing w:after="120" w:line="276" w:lineRule="auto"/>
        <w:jc w:val="both"/>
        <w:rPr>
          <w:rFonts w:ascii="Arial" w:eastAsia="Calibri" w:hAnsi="Arial" w:cs="Arial"/>
          <w:bCs/>
          <w:lang w:val="es-MX"/>
        </w:rPr>
      </w:pPr>
      <w:bookmarkStart w:id="19" w:name="_Hlk114827887"/>
      <w:r w:rsidRPr="00836422">
        <w:rPr>
          <w:rFonts w:ascii="Arial" w:eastAsia="Calibri" w:hAnsi="Arial" w:cs="Arial"/>
          <w:bCs/>
          <w:lang w:val="es-MX"/>
        </w:rPr>
        <w:t xml:space="preserve">El parágrafo del artículo 38 de la Ley 996 de 2005 dispone que “[l]os Gobernadores, </w:t>
      </w:r>
      <w:proofErr w:type="gramStart"/>
      <w:r w:rsidRPr="00836422">
        <w:rPr>
          <w:rFonts w:ascii="Arial" w:eastAsia="Calibri" w:hAnsi="Arial" w:cs="Arial"/>
          <w:bCs/>
          <w:lang w:val="es-MX"/>
        </w:rPr>
        <w:t>Alcaldes</w:t>
      </w:r>
      <w:proofErr w:type="gramEnd"/>
      <w:r w:rsidRPr="00836422">
        <w:rPr>
          <w:rFonts w:ascii="Arial" w:eastAsia="Calibri" w:hAnsi="Arial" w:cs="Arial"/>
          <w:bCs/>
          <w:lang w:val="es-MX"/>
        </w:rPr>
        <w:t xml:space="preserve"> Municipales y/o Distritales, Secretarios, Gerentes y directores de </w:t>
      </w:r>
      <w:r w:rsidRPr="00836422">
        <w:rPr>
          <w:rFonts w:ascii="Arial" w:eastAsia="Calibri" w:hAnsi="Arial" w:cs="Arial"/>
          <w:bCs/>
          <w:u w:val="single"/>
          <w:lang w:val="es-MX"/>
        </w:rPr>
        <w:t>Entidades Descentralizadas del orden Municipal</w:t>
      </w:r>
      <w:r w:rsidRPr="00836422">
        <w:rPr>
          <w:rFonts w:ascii="Arial" w:eastAsia="Calibri" w:hAnsi="Arial" w:cs="Arial"/>
          <w:bCs/>
          <w:lang w:val="es-MX"/>
        </w:rPr>
        <w:t>, Departamental o Distrital, dentro de los cuatro (4) meses anteriores a las elecciones, no podrán celebrar convenios interadministrativos para la ejecución de recursos públicos”.</w:t>
      </w:r>
      <w:r w:rsidRPr="00836422">
        <w:rPr>
          <w:rFonts w:ascii="Arial" w:hAnsi="Arial" w:cs="Arial"/>
          <w:bCs/>
          <w:iCs/>
          <w:lang w:val="es-MX" w:eastAsia="x-none"/>
        </w:rPr>
        <w:t xml:space="preserve"> </w:t>
      </w:r>
      <w:bookmarkStart w:id="20" w:name="_Hlk99578153"/>
      <w:bookmarkEnd w:id="18"/>
      <w:r w:rsidRPr="00836422">
        <w:rPr>
          <w:rFonts w:ascii="Arial" w:hAnsi="Arial"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19"/>
      <w:bookmarkEnd w:id="20"/>
      <w:r w:rsidRPr="00836422">
        <w:rPr>
          <w:rFonts w:ascii="Arial" w:hAnsi="Arial" w:cs="Arial"/>
          <w:bCs/>
          <w:iCs/>
          <w:vertAlign w:val="superscript"/>
          <w:lang w:val="es-MX" w:eastAsia="x-none"/>
        </w:rPr>
        <w:footnoteReference w:id="11"/>
      </w:r>
      <w:r w:rsidRPr="00836422">
        <w:rPr>
          <w:rFonts w:ascii="Arial" w:hAnsi="Arial" w:cs="Arial"/>
          <w:bCs/>
          <w:iCs/>
          <w:lang w:val="es-MX" w:eastAsia="x-none"/>
        </w:rPr>
        <w:t>.</w:t>
      </w:r>
      <w:r w:rsidRPr="00836422">
        <w:rPr>
          <w:rFonts w:ascii="Arial" w:eastAsia="Calibri" w:hAnsi="Arial" w:cs="Arial"/>
          <w:lang w:val="es-MX"/>
        </w:rPr>
        <w:t xml:space="preserve"> </w:t>
      </w:r>
    </w:p>
    <w:p w14:paraId="0C62C26A" w14:textId="77777777" w:rsidR="00836422" w:rsidRPr="00836422" w:rsidRDefault="00836422" w:rsidP="00836422">
      <w:pPr>
        <w:widowControl w:val="0"/>
        <w:autoSpaceDE w:val="0"/>
        <w:autoSpaceDN w:val="0"/>
        <w:spacing w:after="120" w:line="276" w:lineRule="auto"/>
        <w:ind w:firstLine="707"/>
        <w:jc w:val="both"/>
        <w:rPr>
          <w:rFonts w:ascii="Arial" w:eastAsia="Arial" w:hAnsi="Arial" w:cs="Arial"/>
          <w:lang w:val="es-ES" w:eastAsia="es-ES" w:bidi="es-ES"/>
        </w:rPr>
      </w:pPr>
      <w:r w:rsidRPr="00836422">
        <w:rPr>
          <w:rFonts w:ascii="Arial" w:eastAsia="Calibri" w:hAnsi="Arial" w:cs="Arial"/>
          <w:bCs/>
          <w:lang w:val="es-MX" w:eastAsia="es-ES" w:bidi="es-ES"/>
        </w:rPr>
        <w:t xml:space="preserve">Ahora bien, </w:t>
      </w:r>
      <w:bookmarkStart w:id="21" w:name="_Hlk78820161"/>
      <w:r w:rsidRPr="00836422">
        <w:rPr>
          <w:rFonts w:ascii="Arial" w:eastAsia="Calibri" w:hAnsi="Arial" w:cs="Arial"/>
          <w:bCs/>
          <w:lang w:val="es-MX" w:eastAsia="es-ES" w:bidi="es-ES"/>
        </w:rPr>
        <w:t xml:space="preserve">para determinar el alcance de la prohibición consagrada por la Ley de Garantías Electorales, conviene precisar la tipología de convenios o contratos interadministrativos. </w:t>
      </w:r>
      <w:bookmarkStart w:id="22" w:name="_Hlk114827997"/>
      <w:r w:rsidRPr="00836422">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836422">
        <w:rPr>
          <w:rFonts w:ascii="Arial" w:eastAsia="Arial" w:hAnsi="Arial" w:cs="Arial"/>
          <w:vertAlign w:val="superscript"/>
          <w:lang w:val="es-ES" w:eastAsia="es-ES" w:bidi="es-ES"/>
        </w:rPr>
        <w:footnoteReference w:id="12"/>
      </w:r>
      <w:r w:rsidRPr="00836422">
        <w:rPr>
          <w:rFonts w:ascii="Arial" w:eastAsia="Arial" w:hAnsi="Arial" w:cs="Arial"/>
          <w:lang w:val="es-ES" w:eastAsia="es-ES" w:bidi="es-ES"/>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w:t>
      </w:r>
      <w:r w:rsidRPr="00836422">
        <w:rPr>
          <w:rFonts w:ascii="Arial" w:eastAsia="Arial" w:hAnsi="Arial" w:cs="Arial"/>
          <w:lang w:val="es-ES" w:eastAsia="es-ES" w:bidi="es-ES"/>
        </w:rPr>
        <w:lastRenderedPageBreak/>
        <w:t>orgánico, pues es necesario que los extremos de la relación contractual sean entidades</w:t>
      </w:r>
      <w:r w:rsidRPr="00836422">
        <w:rPr>
          <w:rFonts w:ascii="Arial" w:eastAsia="Arial" w:hAnsi="Arial" w:cs="Arial"/>
          <w:spacing w:val="-6"/>
          <w:lang w:val="es-ES" w:eastAsia="es-ES" w:bidi="es-ES"/>
        </w:rPr>
        <w:t xml:space="preserve"> </w:t>
      </w:r>
      <w:r w:rsidRPr="00836422">
        <w:rPr>
          <w:rFonts w:ascii="Arial" w:eastAsia="Arial" w:hAnsi="Arial" w:cs="Arial"/>
          <w:lang w:val="es-ES" w:eastAsia="es-ES" w:bidi="es-ES"/>
        </w:rPr>
        <w:t>estatales.</w:t>
      </w:r>
    </w:p>
    <w:p w14:paraId="43C916BA" w14:textId="77777777" w:rsidR="00836422" w:rsidRPr="00836422" w:rsidRDefault="00836422" w:rsidP="00836422">
      <w:pPr>
        <w:widowControl w:val="0"/>
        <w:autoSpaceDE w:val="0"/>
        <w:autoSpaceDN w:val="0"/>
        <w:spacing w:before="117" w:after="120" w:line="276" w:lineRule="auto"/>
        <w:ind w:firstLine="707"/>
        <w:jc w:val="both"/>
        <w:rPr>
          <w:rFonts w:ascii="Arial" w:eastAsia="Arial" w:hAnsi="Arial" w:cs="Arial"/>
          <w:lang w:val="es-ES" w:eastAsia="es-ES" w:bidi="es-ES"/>
        </w:rPr>
      </w:pPr>
      <w:bookmarkStart w:id="23" w:name="_Hlk78820654"/>
      <w:bookmarkEnd w:id="21"/>
      <w:bookmarkEnd w:id="22"/>
      <w:r w:rsidRPr="00836422">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1479BC95" w14:textId="77777777" w:rsidR="00836422" w:rsidRPr="00836422" w:rsidRDefault="00836422" w:rsidP="00836422">
      <w:pPr>
        <w:widowControl w:val="0"/>
        <w:autoSpaceDE w:val="0"/>
        <w:autoSpaceDN w:val="0"/>
        <w:spacing w:before="121" w:after="120" w:line="276" w:lineRule="auto"/>
        <w:ind w:firstLine="707"/>
        <w:jc w:val="both"/>
        <w:rPr>
          <w:rFonts w:ascii="Arial" w:eastAsia="Arial" w:hAnsi="Arial" w:cs="Arial"/>
          <w:lang w:val="es-ES" w:eastAsia="es-ES" w:bidi="es-ES"/>
        </w:rPr>
      </w:pPr>
      <w:bookmarkStart w:id="24" w:name="_Hlk99578261"/>
      <w:bookmarkEnd w:id="23"/>
      <w:r w:rsidRPr="00836422">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836422">
        <w:rPr>
          <w:rFonts w:ascii="Arial" w:eastAsia="Arial" w:hAnsi="Arial" w:cs="Arial"/>
          <w:vertAlign w:val="superscript"/>
          <w:lang w:val="es-ES" w:eastAsia="es-ES" w:bidi="es-ES"/>
        </w:rPr>
        <w:footnoteReference w:id="13"/>
      </w:r>
      <w:r w:rsidRPr="00836422">
        <w:rPr>
          <w:rFonts w:ascii="Arial" w:eastAsia="Arial" w:hAnsi="Arial" w:cs="Arial"/>
          <w:lang w:val="es-ES" w:eastAsia="es-ES" w:bidi="es-ES"/>
        </w:rPr>
        <w:t>. Nótese que, en este caso, lo que cambia es la modalidad de selección y no la naturaleza de contrato</w:t>
      </w:r>
      <w:r w:rsidRPr="00836422">
        <w:rPr>
          <w:rFonts w:ascii="Arial" w:eastAsia="Arial" w:hAnsi="Arial" w:cs="Arial"/>
          <w:spacing w:val="-18"/>
          <w:lang w:val="es-ES" w:eastAsia="es-ES" w:bidi="es-ES"/>
        </w:rPr>
        <w:t xml:space="preserve"> </w:t>
      </w:r>
      <w:r w:rsidRPr="00836422">
        <w:rPr>
          <w:rFonts w:ascii="Arial" w:eastAsia="Arial" w:hAnsi="Arial" w:cs="Arial"/>
          <w:lang w:val="es-ES" w:eastAsia="es-ES" w:bidi="es-ES"/>
        </w:rPr>
        <w:t>interadministrativo.</w:t>
      </w:r>
    </w:p>
    <w:bookmarkEnd w:id="24"/>
    <w:p w14:paraId="1D445FE5" w14:textId="77777777" w:rsidR="00836422" w:rsidRPr="00836422" w:rsidRDefault="00836422" w:rsidP="00836422">
      <w:pPr>
        <w:widowControl w:val="0"/>
        <w:autoSpaceDE w:val="0"/>
        <w:autoSpaceDN w:val="0"/>
        <w:spacing w:before="114" w:after="0" w:line="276" w:lineRule="auto"/>
        <w:ind w:firstLine="707"/>
        <w:jc w:val="both"/>
        <w:rPr>
          <w:rFonts w:ascii="Arial" w:eastAsia="Arial" w:hAnsi="Arial" w:cs="Arial"/>
          <w:lang w:val="es-ES" w:eastAsia="es-ES" w:bidi="es-ES"/>
        </w:rPr>
      </w:pPr>
      <w:r w:rsidRPr="00836422">
        <w:rPr>
          <w:rFonts w:ascii="Arial" w:eastAsia="Arial" w:hAnsi="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836422">
        <w:rPr>
          <w:rFonts w:ascii="Arial" w:eastAsia="Arial" w:hAnsi="Arial" w:cs="Arial"/>
          <w:spacing w:val="-13"/>
          <w:lang w:val="es-ES" w:eastAsia="es-ES" w:bidi="es-ES"/>
        </w:rPr>
        <w:t xml:space="preserve"> </w:t>
      </w:r>
      <w:r w:rsidRPr="00836422">
        <w:rPr>
          <w:rFonts w:ascii="Arial" w:eastAsia="Arial" w:hAnsi="Arial" w:cs="Arial"/>
          <w:lang w:val="es-ES" w:eastAsia="es-ES" w:bidi="es-ES"/>
        </w:rPr>
        <w:t>que:</w:t>
      </w:r>
    </w:p>
    <w:p w14:paraId="631F9DC5" w14:textId="77777777" w:rsidR="00836422" w:rsidRPr="00836422" w:rsidRDefault="00836422" w:rsidP="00836422">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4EF476A4" w14:textId="77777777" w:rsidR="00836422" w:rsidRPr="00836422" w:rsidRDefault="00836422" w:rsidP="00836422">
      <w:pPr>
        <w:spacing w:after="0" w:line="240" w:lineRule="auto"/>
        <w:ind w:left="709" w:right="709"/>
        <w:contextualSpacing/>
        <w:jc w:val="both"/>
        <w:rPr>
          <w:rFonts w:ascii="Arial" w:eastAsia="Calibri" w:hAnsi="Arial" w:cs="Arial"/>
          <w:sz w:val="21"/>
          <w:lang w:val="es-MX"/>
        </w:rPr>
      </w:pPr>
      <w:r w:rsidRPr="00836422">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836422">
        <w:rPr>
          <w:rFonts w:ascii="Arial" w:eastAsia="Calibri" w:hAnsi="Arial" w:cs="Arial"/>
          <w:sz w:val="21"/>
          <w:lang w:val="es-MX"/>
        </w:rPr>
        <w:t>ii</w:t>
      </w:r>
      <w:proofErr w:type="spellEnd"/>
      <w:r w:rsidRPr="00836422">
        <w:rPr>
          <w:rFonts w:ascii="Arial" w:eastAsia="Calibri" w:hAnsi="Arial" w:cs="Arial"/>
          <w:sz w:val="21"/>
          <w:lang w:val="es-MX"/>
        </w:rPr>
        <w:t>) tienen como fuente la autonomía contractual; (</w:t>
      </w:r>
      <w:proofErr w:type="spellStart"/>
      <w:r w:rsidRPr="00836422">
        <w:rPr>
          <w:rFonts w:ascii="Arial" w:eastAsia="Calibri" w:hAnsi="Arial" w:cs="Arial"/>
          <w:sz w:val="21"/>
          <w:lang w:val="es-MX"/>
        </w:rPr>
        <w:t>iii</w:t>
      </w:r>
      <w:proofErr w:type="spellEnd"/>
      <w:r w:rsidRPr="00836422">
        <w:rPr>
          <w:rFonts w:ascii="Arial" w:eastAsia="Calibri" w:hAnsi="Arial" w:cs="Arial"/>
          <w:sz w:val="21"/>
          <w:lang w:val="es-MX"/>
        </w:rPr>
        <w:t>) son contratos nominados puesto que están mencionados en la ley; (</w:t>
      </w:r>
      <w:proofErr w:type="spellStart"/>
      <w:r w:rsidRPr="00836422">
        <w:rPr>
          <w:rFonts w:ascii="Arial" w:eastAsia="Calibri" w:hAnsi="Arial" w:cs="Arial"/>
          <w:sz w:val="21"/>
          <w:lang w:val="es-MX"/>
        </w:rPr>
        <w:t>iv</w:t>
      </w:r>
      <w:proofErr w:type="spellEnd"/>
      <w:r w:rsidRPr="00836422">
        <w:rPr>
          <w:rFonts w:ascii="Arial" w:eastAsia="Calibri" w:hAnsi="Arial" w:cs="Arial"/>
          <w:sz w:val="21"/>
          <w:lang w:val="es-MX"/>
        </w:rPr>
        <w:t xml:space="preserve">)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w:t>
      </w:r>
      <w:r w:rsidRPr="00836422">
        <w:rPr>
          <w:rFonts w:ascii="Arial" w:eastAsia="Calibri" w:hAnsi="Arial" w:cs="Arial"/>
          <w:sz w:val="21"/>
          <w:lang w:val="es-MX"/>
        </w:rPr>
        <w:lastRenderedPageBreak/>
        <w:t>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836422">
        <w:rPr>
          <w:rFonts w:ascii="Arial" w:eastAsia="Calibri" w:hAnsi="Arial" w:cs="Arial"/>
          <w:sz w:val="21"/>
          <w:lang w:val="es-MX"/>
        </w:rPr>
        <w:t>vii</w:t>
      </w:r>
      <w:proofErr w:type="spellEnd"/>
      <w:r w:rsidRPr="00836422">
        <w:rPr>
          <w:rFonts w:ascii="Arial" w:eastAsia="Calibri" w:hAnsi="Arial" w:cs="Arial"/>
          <w:sz w:val="21"/>
          <w:lang w:val="es-MX"/>
        </w:rPr>
        <w:t>) persiguen  una finalidad común a través de la realización de intereses compartidos entre las entidades vinculadas; (</w:t>
      </w:r>
      <w:proofErr w:type="spellStart"/>
      <w:r w:rsidRPr="00836422">
        <w:rPr>
          <w:rFonts w:ascii="Arial" w:eastAsia="Calibri" w:hAnsi="Arial" w:cs="Arial"/>
          <w:sz w:val="21"/>
          <w:lang w:val="es-MX"/>
        </w:rPr>
        <w:t>viii</w:t>
      </w:r>
      <w:proofErr w:type="spellEnd"/>
      <w:r w:rsidRPr="00836422">
        <w:rPr>
          <w:rFonts w:ascii="Arial" w:eastAsia="Calibri" w:hAnsi="Arial" w:cs="Arial"/>
          <w:sz w:val="21"/>
          <w:lang w:val="es-MX"/>
        </w:rPr>
        <w:t>) la acción mediante la cual se deben ventilar las diferencias que sobre el particular surjan es la de controversias contractuales</w:t>
      </w:r>
      <w:r w:rsidRPr="00836422">
        <w:rPr>
          <w:rFonts w:ascii="Arial" w:eastAsia="Calibri" w:hAnsi="Arial" w:cs="Arial"/>
          <w:sz w:val="21"/>
          <w:vertAlign w:val="superscript"/>
          <w:lang w:val="es-MX"/>
        </w:rPr>
        <w:footnoteReference w:id="14"/>
      </w:r>
      <w:r w:rsidRPr="00836422">
        <w:rPr>
          <w:rFonts w:ascii="Arial" w:eastAsia="Calibri" w:hAnsi="Arial" w:cs="Arial"/>
          <w:sz w:val="21"/>
          <w:lang w:val="es-MX"/>
        </w:rPr>
        <w:t>.</w:t>
      </w:r>
    </w:p>
    <w:p w14:paraId="137856E2" w14:textId="77777777" w:rsidR="00836422" w:rsidRPr="00836422" w:rsidRDefault="00836422" w:rsidP="00836422">
      <w:pPr>
        <w:spacing w:after="0" w:line="276" w:lineRule="auto"/>
        <w:ind w:left="709" w:right="709"/>
        <w:contextualSpacing/>
        <w:jc w:val="both"/>
        <w:rPr>
          <w:rFonts w:ascii="Arial" w:eastAsia="Calibri" w:hAnsi="Arial" w:cs="Arial"/>
          <w:lang w:val="es-MX"/>
        </w:rPr>
      </w:pPr>
    </w:p>
    <w:p w14:paraId="0AA9E5C2" w14:textId="77777777" w:rsidR="00836422" w:rsidRPr="00836422" w:rsidRDefault="00836422" w:rsidP="00836422">
      <w:pPr>
        <w:widowControl w:val="0"/>
        <w:autoSpaceDE w:val="0"/>
        <w:autoSpaceDN w:val="0"/>
        <w:spacing w:after="120" w:line="276" w:lineRule="auto"/>
        <w:ind w:firstLine="707"/>
        <w:jc w:val="both"/>
        <w:rPr>
          <w:rFonts w:ascii="Arial" w:eastAsia="Arial" w:hAnsi="Arial" w:cs="Arial"/>
          <w:lang w:val="es-ES" w:eastAsia="es-ES" w:bidi="es-ES"/>
        </w:rPr>
      </w:pPr>
      <w:r w:rsidRPr="00836422">
        <w:rPr>
          <w:rFonts w:ascii="Arial" w:eastAsia="Arial" w:hAnsi="Arial" w:cs="Arial"/>
          <w:lang w:val="es-ES" w:eastAsia="es-ES" w:bidi="es-ES"/>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w:t>
      </w:r>
      <w:r w:rsidRPr="00836422">
        <w:rPr>
          <w:rFonts w:ascii="Arial" w:eastAsia="Arial" w:hAnsi="Arial" w:cs="Arial"/>
          <w:u w:val="single"/>
          <w:lang w:val="es-ES" w:eastAsia="es-ES" w:bidi="es-ES"/>
        </w:rPr>
        <w:t>El Estatuto General de Contratación de la Administración Pública establece la contratación directa como la modalidad de selección aplicable, por regla general, a la celebración de los contratos interadministrativos</w:t>
      </w:r>
      <w:r w:rsidRPr="00836422">
        <w:rPr>
          <w:rFonts w:ascii="Arial" w:eastAsia="Arial" w:hAnsi="Arial" w:cs="Arial"/>
          <w:lang w:val="es-ES" w:eastAsia="es-ES" w:bidi="es-ES"/>
        </w:rPr>
        <w:t>.</w:t>
      </w:r>
    </w:p>
    <w:p w14:paraId="32E00C28" w14:textId="77777777" w:rsidR="00836422" w:rsidRPr="00836422" w:rsidRDefault="00836422" w:rsidP="00836422">
      <w:pPr>
        <w:widowControl w:val="0"/>
        <w:autoSpaceDE w:val="0"/>
        <w:autoSpaceDN w:val="0"/>
        <w:spacing w:before="119" w:after="120" w:line="276" w:lineRule="auto"/>
        <w:ind w:firstLine="707"/>
        <w:jc w:val="both"/>
        <w:rPr>
          <w:rFonts w:ascii="Arial" w:eastAsia="Arial" w:hAnsi="Arial" w:cs="Arial"/>
          <w:lang w:val="es-ES" w:eastAsia="es-ES" w:bidi="es-ES"/>
        </w:rPr>
      </w:pPr>
      <w:r w:rsidRPr="00836422">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836422">
        <w:rPr>
          <w:rFonts w:ascii="Arial" w:eastAsia="Arial" w:hAnsi="Arial" w:cs="Arial"/>
          <w:spacing w:val="-3"/>
          <w:lang w:val="es-ES" w:eastAsia="es-ES" w:bidi="es-ES"/>
        </w:rPr>
        <w:t xml:space="preserve"> </w:t>
      </w:r>
      <w:r w:rsidRPr="00836422">
        <w:rPr>
          <w:rFonts w:ascii="Arial" w:eastAsia="Arial" w:hAnsi="Arial" w:cs="Arial"/>
          <w:lang w:val="es-ES" w:eastAsia="es-ES" w:bidi="es-ES"/>
        </w:rPr>
        <w:t>estatales.</w:t>
      </w:r>
    </w:p>
    <w:p w14:paraId="583F3BB6" w14:textId="77777777" w:rsidR="00836422" w:rsidRPr="00836422" w:rsidRDefault="00836422" w:rsidP="00836422">
      <w:pPr>
        <w:widowControl w:val="0"/>
        <w:autoSpaceDE w:val="0"/>
        <w:autoSpaceDN w:val="0"/>
        <w:spacing w:before="120" w:after="120" w:line="276" w:lineRule="auto"/>
        <w:ind w:firstLine="709"/>
        <w:jc w:val="both"/>
        <w:rPr>
          <w:rFonts w:ascii="Arial" w:eastAsia="Arial" w:hAnsi="Arial" w:cs="Arial"/>
          <w:lang w:val="es-ES" w:eastAsia="es-ES" w:bidi="es-ES"/>
        </w:rPr>
      </w:pPr>
      <w:r w:rsidRPr="00836422">
        <w:rPr>
          <w:rFonts w:ascii="Arial" w:eastAsia="Arial" w:hAnsi="Arial"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836422">
        <w:rPr>
          <w:rFonts w:ascii="Arial" w:eastAsia="Arial" w:hAnsi="Arial" w:cs="Arial"/>
          <w:spacing w:val="-4"/>
          <w:lang w:val="es-ES" w:eastAsia="es-ES" w:bidi="es-ES"/>
        </w:rPr>
        <w:t xml:space="preserve"> </w:t>
      </w:r>
      <w:r w:rsidRPr="00836422">
        <w:rPr>
          <w:rFonts w:ascii="Arial" w:eastAsia="Arial" w:hAnsi="Arial" w:cs="Arial"/>
          <w:lang w:val="es-ES" w:eastAsia="es-ES" w:bidi="es-ES"/>
        </w:rPr>
        <w:t>estatales.</w:t>
      </w:r>
    </w:p>
    <w:p w14:paraId="0CE2A583" w14:textId="77777777" w:rsidR="00836422" w:rsidRPr="00836422" w:rsidRDefault="00836422" w:rsidP="00836422">
      <w:pPr>
        <w:widowControl w:val="0"/>
        <w:autoSpaceDE w:val="0"/>
        <w:autoSpaceDN w:val="0"/>
        <w:spacing w:before="122" w:after="120" w:line="276" w:lineRule="auto"/>
        <w:ind w:firstLine="708"/>
        <w:jc w:val="both"/>
        <w:rPr>
          <w:rFonts w:ascii="Arial" w:eastAsia="Arial" w:hAnsi="Arial" w:cs="Arial"/>
          <w:lang w:val="es-ES" w:eastAsia="es-ES" w:bidi="es-ES"/>
        </w:rPr>
      </w:pPr>
      <w:r w:rsidRPr="00836422">
        <w:rPr>
          <w:rFonts w:ascii="Arial" w:eastAsia="Arial" w:hAnsi="Arial" w:cs="Arial"/>
          <w:lang w:val="es-ES" w:eastAsia="es-ES" w:bidi="es-ES"/>
        </w:rPr>
        <w:t xml:space="preserve">Es bueno destacar que el Decreto 1082 de 2015 dispone que los convenios o contratos </w:t>
      </w:r>
      <w:r w:rsidRPr="00836422">
        <w:rPr>
          <w:rFonts w:ascii="Arial" w:eastAsia="Arial" w:hAnsi="Arial" w:cs="Arial"/>
          <w:lang w:val="es-ES" w:eastAsia="es-ES" w:bidi="es-ES"/>
        </w:rPr>
        <w:lastRenderedPageBreak/>
        <w:t xml:space="preserve">interadministrativos, así denominados en su artículo 2.2.1.2.1.4.4, </w:t>
      </w:r>
      <w:r w:rsidRPr="00836422">
        <w:rPr>
          <w:rFonts w:ascii="Arial" w:eastAsia="Arial" w:hAnsi="Arial" w:cs="Arial"/>
          <w:u w:val="single"/>
          <w:lang w:val="es-ES" w:eastAsia="es-ES" w:bidi="es-ES"/>
        </w:rPr>
        <w:t>se contratan directamente</w:t>
      </w:r>
      <w:r w:rsidRPr="00836422">
        <w:rPr>
          <w:rFonts w:ascii="Arial" w:eastAsia="Arial" w:hAnsi="Arial" w:cs="Arial"/>
          <w:lang w:val="es-ES" w:eastAsia="es-ES" w:bidi="es-ES"/>
        </w:rPr>
        <w:t>,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DF457BF" w14:textId="77777777" w:rsidR="00836422" w:rsidRPr="00836422" w:rsidRDefault="00836422" w:rsidP="00836422">
      <w:pPr>
        <w:widowControl w:val="0"/>
        <w:autoSpaceDE w:val="0"/>
        <w:autoSpaceDN w:val="0"/>
        <w:spacing w:after="120" w:line="276" w:lineRule="auto"/>
        <w:ind w:firstLine="708"/>
        <w:jc w:val="both"/>
        <w:rPr>
          <w:rFonts w:ascii="Arial" w:eastAsia="Calibri" w:hAnsi="Arial" w:cs="Arial"/>
          <w:bCs/>
          <w:lang w:val="es-MX" w:eastAsia="es-ES" w:bidi="es-ES"/>
        </w:rPr>
      </w:pPr>
      <w:r w:rsidRPr="00836422">
        <w:rPr>
          <w:rFonts w:ascii="Arial" w:eastAsia="Arial" w:hAnsi="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836422">
        <w:rPr>
          <w:rFonts w:ascii="Arial" w:eastAsia="Arial" w:hAnsi="Arial" w:cs="Arial"/>
          <w:spacing w:val="-4"/>
          <w:lang w:val="es-ES" w:eastAsia="es-ES" w:bidi="es-ES"/>
        </w:rPr>
        <w:t xml:space="preserve"> </w:t>
      </w:r>
      <w:r w:rsidRPr="00836422">
        <w:rPr>
          <w:rFonts w:ascii="Arial" w:eastAsia="Arial" w:hAnsi="Arial" w:cs="Arial"/>
          <w:lang w:val="es-ES" w:eastAsia="es-ES" w:bidi="es-ES"/>
        </w:rPr>
        <w:t>[…]”</w:t>
      </w:r>
      <w:r w:rsidRPr="00836422">
        <w:rPr>
          <w:rFonts w:ascii="Arial" w:eastAsia="Arial" w:hAnsi="Arial" w:cs="Arial"/>
          <w:vertAlign w:val="superscript"/>
          <w:lang w:val="es-ES" w:eastAsia="es-ES" w:bidi="es-ES"/>
        </w:rPr>
        <w:footnoteReference w:id="15"/>
      </w:r>
      <w:r w:rsidRPr="00836422">
        <w:rPr>
          <w:rFonts w:ascii="Arial" w:eastAsia="Arial" w:hAnsi="Arial" w:cs="Arial"/>
          <w:lang w:val="es-ES" w:eastAsia="es-ES" w:bidi="es-ES"/>
        </w:rPr>
        <w:t>.</w:t>
      </w:r>
      <w:bookmarkStart w:id="25" w:name="_Hlk77171241"/>
    </w:p>
    <w:p w14:paraId="51D72D53" w14:textId="77777777" w:rsidR="00836422" w:rsidRPr="00836422" w:rsidRDefault="00836422" w:rsidP="00836422">
      <w:pPr>
        <w:widowControl w:val="0"/>
        <w:autoSpaceDE w:val="0"/>
        <w:autoSpaceDN w:val="0"/>
        <w:spacing w:after="0" w:line="276" w:lineRule="auto"/>
        <w:ind w:firstLine="709"/>
        <w:contextualSpacing/>
        <w:jc w:val="both"/>
        <w:rPr>
          <w:rFonts w:ascii="Arial" w:eastAsia="Arial" w:hAnsi="Arial" w:cs="Arial"/>
          <w:lang w:val="es-ES" w:eastAsia="es-ES" w:bidi="es-ES"/>
        </w:rPr>
      </w:pPr>
      <w:r w:rsidRPr="00836422">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46F2BB91" w14:textId="77777777" w:rsidR="00836422" w:rsidRPr="00836422" w:rsidRDefault="00836422" w:rsidP="00836422">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69129186" w14:textId="77777777" w:rsidR="00836422" w:rsidRPr="00836422" w:rsidRDefault="00836422" w:rsidP="00836422">
      <w:pPr>
        <w:spacing w:after="0" w:line="240" w:lineRule="auto"/>
        <w:ind w:left="709" w:right="709"/>
        <w:contextualSpacing/>
        <w:jc w:val="both"/>
        <w:rPr>
          <w:rFonts w:ascii="Arial" w:eastAsia="Calibri" w:hAnsi="Arial" w:cs="Arial"/>
          <w:sz w:val="21"/>
          <w:szCs w:val="21"/>
          <w:lang w:val="es-ES_tradnl"/>
        </w:rPr>
      </w:pPr>
      <w:r w:rsidRPr="00836422">
        <w:rPr>
          <w:rFonts w:ascii="Arial" w:eastAsia="Calibri" w:hAnsi="Arial" w:cs="Arial"/>
          <w:sz w:val="21"/>
          <w:szCs w:val="21"/>
          <w:lang w:val="es-ES_tradnl"/>
        </w:rPr>
        <w:t>La Sala de Consulta y Servicio Civil</w:t>
      </w:r>
      <w:r w:rsidRPr="00836422">
        <w:rPr>
          <w:rFonts w:ascii="Arial" w:eastAsia="Calibri" w:hAnsi="Arial" w:cs="Arial"/>
          <w:sz w:val="21"/>
          <w:szCs w:val="21"/>
          <w:vertAlign w:val="superscript"/>
          <w:lang w:val="es-ES_tradnl"/>
        </w:rPr>
        <w:footnoteReference w:id="16"/>
      </w:r>
      <w:r w:rsidRPr="00836422">
        <w:rPr>
          <w:rFonts w:ascii="Arial" w:eastAsia="Calibri" w:hAnsi="Arial" w:cs="Arial"/>
          <w:sz w:val="21"/>
          <w:szCs w:val="21"/>
          <w:lang w:val="es-ES_tradnl"/>
        </w:rPr>
        <w:t xml:space="preserve"> de esta Corporación se ha referido a los </w:t>
      </w:r>
      <w:r w:rsidRPr="00836422">
        <w:rPr>
          <w:rFonts w:ascii="Arial" w:eastAsia="Calibri" w:hAnsi="Arial" w:cs="Arial"/>
          <w:i/>
          <w:sz w:val="21"/>
          <w:szCs w:val="21"/>
          <w:lang w:val="es-ES_tradnl"/>
        </w:rPr>
        <w:t>“convenios interadministrativos”</w:t>
      </w:r>
      <w:r w:rsidRPr="00836422">
        <w:rPr>
          <w:rFonts w:ascii="Arial" w:eastAsia="Calibri" w:hAnsi="Arial" w:cs="Arial"/>
          <w:sz w:val="21"/>
          <w:szCs w:val="21"/>
          <w:lang w:val="es-ES_tradnl"/>
        </w:rPr>
        <w:t xml:space="preserve"> a los cuales alude el artículo 95 de la Ley 489 de 1998, calificándolos de </w:t>
      </w:r>
      <w:r w:rsidRPr="00836422">
        <w:rPr>
          <w:rFonts w:ascii="Arial" w:eastAsia="Calibri" w:hAnsi="Arial" w:cs="Arial"/>
          <w:i/>
          <w:sz w:val="21"/>
          <w:szCs w:val="21"/>
          <w:lang w:val="es-ES_tradnl"/>
        </w:rPr>
        <w:t xml:space="preserve">“puros” </w:t>
      </w:r>
      <w:r w:rsidRPr="00836422">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836422">
        <w:rPr>
          <w:rFonts w:ascii="Arial" w:eastAsia="Calibri" w:hAnsi="Arial" w:cs="Arial"/>
          <w:i/>
          <w:sz w:val="21"/>
          <w:szCs w:val="21"/>
          <w:lang w:val="es-ES_tradnl"/>
        </w:rPr>
        <w:t>“intercambio patrimonial”</w:t>
      </w:r>
      <w:r w:rsidRPr="00836422">
        <w:rPr>
          <w:rFonts w:ascii="Arial" w:eastAsia="Calibri" w:hAnsi="Arial" w:cs="Arial"/>
          <w:sz w:val="21"/>
          <w:szCs w:val="21"/>
          <w:lang w:val="es-ES_tradnl"/>
        </w:rPr>
        <w:t>. Sin perjuicio de lo anterior, en otra oportunidad, la misma Sala</w:t>
      </w:r>
      <w:r w:rsidRPr="00836422">
        <w:rPr>
          <w:rFonts w:ascii="Arial" w:eastAsia="Calibri" w:hAnsi="Arial" w:cs="Arial"/>
          <w:sz w:val="21"/>
          <w:szCs w:val="21"/>
          <w:vertAlign w:val="superscript"/>
          <w:lang w:val="es-ES_tradnl"/>
        </w:rPr>
        <w:footnoteReference w:id="17"/>
      </w:r>
      <w:r w:rsidRPr="00836422">
        <w:rPr>
          <w:rFonts w:ascii="Arial" w:eastAsia="Calibri" w:hAnsi="Arial" w:cs="Arial"/>
          <w:sz w:val="21"/>
          <w:szCs w:val="21"/>
          <w:lang w:val="es-ES_tradnl"/>
        </w:rPr>
        <w:t xml:space="preserve"> había indicado que, si bien en dichos convenios no se daba un </w:t>
      </w:r>
      <w:r w:rsidRPr="00836422">
        <w:rPr>
          <w:rFonts w:ascii="Arial" w:eastAsia="Calibri" w:hAnsi="Arial" w:cs="Arial"/>
          <w:i/>
          <w:sz w:val="21"/>
          <w:szCs w:val="21"/>
          <w:lang w:val="es-ES_tradnl"/>
        </w:rPr>
        <w:t>“verdadero intercambio de bienes o servicios (contrato conmutativo)”</w:t>
      </w:r>
      <w:r w:rsidRPr="00836422">
        <w:rPr>
          <w:rFonts w:ascii="Arial" w:eastAsia="Calibri" w:hAnsi="Arial" w:cs="Arial"/>
          <w:sz w:val="21"/>
          <w:szCs w:val="21"/>
          <w:lang w:val="es-ES_tradnl"/>
        </w:rPr>
        <w:t>, ello no impedía que se conviniera una remuneración a cargo de alguna(s) entidad(es).</w:t>
      </w:r>
    </w:p>
    <w:p w14:paraId="0865B872" w14:textId="77777777" w:rsidR="00836422" w:rsidRPr="00836422" w:rsidRDefault="00836422" w:rsidP="00836422">
      <w:pPr>
        <w:spacing w:after="0" w:line="240" w:lineRule="auto"/>
        <w:ind w:left="709" w:right="709"/>
        <w:contextualSpacing/>
        <w:jc w:val="both"/>
        <w:rPr>
          <w:rFonts w:ascii="Arial" w:eastAsia="Calibri" w:hAnsi="Arial" w:cs="Arial"/>
          <w:sz w:val="21"/>
          <w:szCs w:val="21"/>
          <w:lang w:val="es-ES_tradnl"/>
        </w:rPr>
      </w:pPr>
    </w:p>
    <w:p w14:paraId="41619D12" w14:textId="77777777" w:rsidR="00836422" w:rsidRPr="00836422" w:rsidRDefault="00836422" w:rsidP="00836422">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836422">
        <w:rPr>
          <w:rFonts w:ascii="Arial" w:eastAsia="Arial" w:hAnsi="Arial" w:cs="Arial"/>
          <w:sz w:val="21"/>
          <w:szCs w:val="21"/>
          <w:lang w:val="es-ES_tradnl" w:eastAsia="es-ES" w:bidi="es-ES"/>
        </w:rPr>
        <w:t xml:space="preserve">Lo expuesto evidencia que, en general, las interpretaciones en torno a los </w:t>
      </w:r>
      <w:r w:rsidRPr="00836422">
        <w:rPr>
          <w:rFonts w:ascii="Arial" w:eastAsia="Arial" w:hAnsi="Arial" w:cs="Arial"/>
          <w:i/>
          <w:sz w:val="21"/>
          <w:szCs w:val="21"/>
          <w:lang w:val="es-ES_tradnl" w:eastAsia="es-ES" w:bidi="es-ES"/>
        </w:rPr>
        <w:t>“convenios interadministrativos”</w:t>
      </w:r>
      <w:r w:rsidRPr="00836422">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w:t>
      </w:r>
      <w:r w:rsidRPr="00836422">
        <w:rPr>
          <w:rFonts w:ascii="Arial" w:eastAsia="Arial" w:hAnsi="Arial" w:cs="Arial"/>
          <w:sz w:val="21"/>
          <w:szCs w:val="21"/>
          <w:lang w:val="es-ES_tradnl" w:eastAsia="es-ES" w:bidi="es-ES"/>
        </w:rPr>
        <w:lastRenderedPageBreak/>
        <w:t>elementos y régimen jurídico, han sido dubitativas al vincular o no las obligaciones propias de dichos convenios con las de los contratos estatales sometidos al EGCAP, las cuales tienen por objeto prestaciones patrimoniales</w:t>
      </w:r>
      <w:r w:rsidRPr="00836422">
        <w:rPr>
          <w:rFonts w:ascii="Arial" w:eastAsia="Arial" w:hAnsi="Arial" w:cs="Arial"/>
          <w:sz w:val="21"/>
          <w:szCs w:val="21"/>
          <w:vertAlign w:val="superscript"/>
          <w:lang w:val="es-ES_tradnl" w:eastAsia="es-ES" w:bidi="es-ES"/>
        </w:rPr>
        <w:footnoteReference w:id="18"/>
      </w:r>
      <w:r w:rsidRPr="00836422">
        <w:rPr>
          <w:rFonts w:ascii="Arial" w:eastAsia="Arial" w:hAnsi="Arial" w:cs="Arial"/>
          <w:sz w:val="21"/>
          <w:szCs w:val="21"/>
          <w:vertAlign w:val="superscript"/>
          <w:lang w:val="es-ES_tradnl" w:eastAsia="es-ES" w:bidi="es-ES"/>
        </w:rPr>
        <w:footnoteReference w:id="19"/>
      </w:r>
      <w:r w:rsidRPr="00836422">
        <w:rPr>
          <w:rFonts w:ascii="Arial" w:eastAsia="Arial" w:hAnsi="Arial" w:cs="Arial"/>
          <w:sz w:val="21"/>
          <w:szCs w:val="21"/>
          <w:lang w:val="es-ES_tradnl" w:eastAsia="es-ES" w:bidi="es-ES"/>
        </w:rPr>
        <w:t>.</w:t>
      </w:r>
    </w:p>
    <w:p w14:paraId="58D38318" w14:textId="77777777" w:rsidR="00836422" w:rsidRPr="00836422" w:rsidRDefault="00836422" w:rsidP="00836422">
      <w:pPr>
        <w:widowControl w:val="0"/>
        <w:autoSpaceDE w:val="0"/>
        <w:autoSpaceDN w:val="0"/>
        <w:spacing w:after="0" w:line="276" w:lineRule="auto"/>
        <w:contextualSpacing/>
        <w:jc w:val="both"/>
        <w:rPr>
          <w:rFonts w:ascii="Arial" w:eastAsia="Arial" w:hAnsi="Arial" w:cs="Arial"/>
          <w:lang w:val="es-ES" w:eastAsia="es-ES" w:bidi="es-ES"/>
        </w:rPr>
      </w:pPr>
    </w:p>
    <w:p w14:paraId="45591B77" w14:textId="77777777" w:rsidR="00836422" w:rsidRPr="00836422" w:rsidRDefault="00836422" w:rsidP="00836422">
      <w:pPr>
        <w:widowControl w:val="0"/>
        <w:autoSpaceDE w:val="0"/>
        <w:autoSpaceDN w:val="0"/>
        <w:spacing w:after="120" w:line="276" w:lineRule="auto"/>
        <w:jc w:val="both"/>
        <w:rPr>
          <w:rFonts w:ascii="Arial" w:eastAsia="Arial" w:hAnsi="Arial" w:cs="Arial"/>
          <w:lang w:val="es-ES" w:eastAsia="es-ES" w:bidi="es-ES"/>
        </w:rPr>
      </w:pPr>
      <w:r w:rsidRPr="00836422">
        <w:rPr>
          <w:rFonts w:ascii="Arial" w:eastAsia="Arial" w:hAnsi="Arial" w:cs="Arial"/>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836422">
        <w:rPr>
          <w:rFonts w:ascii="Arial" w:eastAsia="Arial" w:hAnsi="Arial" w:cs="Arial"/>
          <w:vertAlign w:val="superscript"/>
          <w:lang w:val="es-ES" w:eastAsia="es-ES" w:bidi="es-ES"/>
        </w:rPr>
        <w:footnoteReference w:id="20"/>
      </w:r>
      <w:r w:rsidRPr="00836422">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836422">
        <w:rPr>
          <w:rFonts w:ascii="Arial" w:eastAsia="Arial" w:hAnsi="Arial" w:cs="Arial"/>
          <w:vertAlign w:val="superscript"/>
          <w:lang w:val="es-ES" w:eastAsia="es-ES" w:bidi="es-ES"/>
        </w:rPr>
        <w:footnoteReference w:id="21"/>
      </w:r>
      <w:r w:rsidRPr="00836422">
        <w:rPr>
          <w:rFonts w:ascii="Arial" w:eastAsia="Arial" w:hAnsi="Arial" w:cs="Arial"/>
          <w:lang w:val="es-ES" w:eastAsia="es-ES" w:bidi="es-ES"/>
        </w:rPr>
        <w:t>.</w:t>
      </w:r>
    </w:p>
    <w:p w14:paraId="067F85B7" w14:textId="77777777" w:rsidR="00836422" w:rsidRPr="00836422" w:rsidRDefault="00836422" w:rsidP="00836422">
      <w:pPr>
        <w:widowControl w:val="0"/>
        <w:autoSpaceDE w:val="0"/>
        <w:autoSpaceDN w:val="0"/>
        <w:spacing w:after="0" w:line="276" w:lineRule="auto"/>
        <w:contextualSpacing/>
        <w:jc w:val="both"/>
        <w:rPr>
          <w:rFonts w:ascii="Arial" w:eastAsia="Arial" w:hAnsi="Arial" w:cs="Arial"/>
          <w:lang w:val="es-ES" w:eastAsia="es-ES" w:bidi="es-ES"/>
        </w:rPr>
      </w:pPr>
      <w:r w:rsidRPr="00836422">
        <w:rPr>
          <w:rFonts w:ascii="Arial" w:eastAsia="Arial" w:hAnsi="Arial" w:cs="Arial"/>
          <w:lang w:val="es-ES" w:eastAsia="es-ES" w:bidi="es-ES"/>
        </w:rPr>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14:paraId="65397D05" w14:textId="77777777" w:rsidR="00836422" w:rsidRPr="00836422" w:rsidRDefault="00836422" w:rsidP="00836422">
      <w:pPr>
        <w:widowControl w:val="0"/>
        <w:autoSpaceDE w:val="0"/>
        <w:autoSpaceDN w:val="0"/>
        <w:spacing w:after="0" w:line="276" w:lineRule="auto"/>
        <w:contextualSpacing/>
        <w:jc w:val="both"/>
        <w:rPr>
          <w:rFonts w:ascii="Arial" w:eastAsia="Arial" w:hAnsi="Arial" w:cs="Arial"/>
          <w:lang w:val="es-ES" w:eastAsia="es-ES" w:bidi="es-ES"/>
        </w:rPr>
      </w:pPr>
    </w:p>
    <w:p w14:paraId="697E03DA" w14:textId="77777777" w:rsidR="00836422" w:rsidRPr="00836422" w:rsidRDefault="00836422" w:rsidP="00836422">
      <w:pPr>
        <w:spacing w:after="0" w:line="240" w:lineRule="auto"/>
        <w:ind w:left="709" w:right="709"/>
        <w:contextualSpacing/>
        <w:jc w:val="both"/>
        <w:rPr>
          <w:rFonts w:ascii="Arial" w:eastAsia="Calibri" w:hAnsi="Arial" w:cs="Arial"/>
          <w:sz w:val="21"/>
          <w:szCs w:val="21"/>
          <w:lang w:val="es-MX"/>
        </w:rPr>
      </w:pPr>
      <w:r w:rsidRPr="00836422">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w:t>
      </w:r>
      <w:r w:rsidRPr="00836422">
        <w:rPr>
          <w:rFonts w:ascii="Arial" w:eastAsia="Calibri" w:hAnsi="Arial" w:cs="Arial"/>
          <w:sz w:val="21"/>
          <w:szCs w:val="21"/>
          <w:lang w:val="es-ES_tradnl"/>
        </w:rPr>
        <w:lastRenderedPageBreak/>
        <w:t xml:space="preserve">concepto de convenio del concepto de contrato, la denominación prevista por la Ley 80 de 1993 y la Ley 1150 de 2007 </w:t>
      </w:r>
      <w:r w:rsidRPr="00836422">
        <w:rPr>
          <w:rFonts w:ascii="Arial" w:eastAsia="Calibri" w:hAnsi="Arial"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2266B6A3" w14:textId="77777777" w:rsidR="00836422" w:rsidRPr="00836422" w:rsidRDefault="00836422" w:rsidP="00836422">
      <w:pPr>
        <w:spacing w:after="0" w:line="240" w:lineRule="auto"/>
        <w:ind w:left="709" w:right="709"/>
        <w:contextualSpacing/>
        <w:jc w:val="both"/>
        <w:rPr>
          <w:rFonts w:ascii="Arial" w:eastAsia="Calibri" w:hAnsi="Arial" w:cs="Arial"/>
          <w:sz w:val="21"/>
          <w:szCs w:val="21"/>
          <w:lang w:val="es-MX"/>
        </w:rPr>
      </w:pPr>
      <w:r w:rsidRPr="00836422">
        <w:rPr>
          <w:rFonts w:ascii="Arial" w:eastAsia="Calibri" w:hAnsi="Arial" w:cs="Arial"/>
          <w:sz w:val="21"/>
          <w:szCs w:val="21"/>
          <w:lang w:val="es-MX"/>
        </w:rPr>
        <w:t xml:space="preserve"> </w:t>
      </w:r>
    </w:p>
    <w:p w14:paraId="59794908" w14:textId="77777777" w:rsidR="00836422" w:rsidRPr="00836422" w:rsidRDefault="00836422" w:rsidP="00836422">
      <w:pPr>
        <w:spacing w:after="0" w:line="240" w:lineRule="auto"/>
        <w:ind w:left="709" w:right="709"/>
        <w:contextualSpacing/>
        <w:jc w:val="both"/>
        <w:rPr>
          <w:rFonts w:ascii="Arial" w:eastAsia="Calibri" w:hAnsi="Arial" w:cs="Arial"/>
          <w:sz w:val="21"/>
          <w:szCs w:val="21"/>
          <w:lang w:val="es-MX"/>
        </w:rPr>
      </w:pPr>
      <w:r w:rsidRPr="00836422">
        <w:rPr>
          <w:rFonts w:ascii="Arial" w:eastAsia="Calibri"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CF38C21" w14:textId="77777777" w:rsidR="00836422" w:rsidRPr="00836422" w:rsidRDefault="00836422" w:rsidP="00836422">
      <w:pPr>
        <w:spacing w:after="0" w:line="240" w:lineRule="auto"/>
        <w:ind w:left="709" w:right="709"/>
        <w:contextualSpacing/>
        <w:jc w:val="both"/>
        <w:rPr>
          <w:rFonts w:ascii="Arial" w:eastAsia="Calibri" w:hAnsi="Arial" w:cs="Arial"/>
          <w:sz w:val="21"/>
          <w:szCs w:val="21"/>
          <w:lang w:val="es-MX"/>
        </w:rPr>
      </w:pPr>
    </w:p>
    <w:p w14:paraId="465387C2" w14:textId="77777777" w:rsidR="00836422" w:rsidRPr="00836422" w:rsidRDefault="00836422" w:rsidP="00836422">
      <w:pPr>
        <w:spacing w:after="0" w:line="240" w:lineRule="auto"/>
        <w:ind w:left="709" w:right="709"/>
        <w:contextualSpacing/>
        <w:jc w:val="both"/>
        <w:rPr>
          <w:rFonts w:ascii="Calibri" w:eastAsia="Calibri" w:hAnsi="Calibri"/>
          <w:sz w:val="24"/>
          <w:lang w:val="es-MX"/>
        </w:rPr>
      </w:pPr>
      <w:r w:rsidRPr="00836422">
        <w:rPr>
          <w:rFonts w:ascii="Arial" w:eastAsia="Calibri"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0D8BF90B" w14:textId="77777777" w:rsidR="00836422" w:rsidRPr="00836422" w:rsidRDefault="00836422" w:rsidP="00836422">
      <w:pPr>
        <w:widowControl w:val="0"/>
        <w:autoSpaceDE w:val="0"/>
        <w:autoSpaceDN w:val="0"/>
        <w:spacing w:after="0" w:line="276" w:lineRule="auto"/>
        <w:contextualSpacing/>
        <w:jc w:val="both"/>
        <w:rPr>
          <w:rFonts w:ascii="Arial" w:eastAsia="Arial" w:hAnsi="Arial" w:cs="Arial"/>
          <w:lang w:val="es-ES" w:eastAsia="es-ES" w:bidi="es-ES"/>
        </w:rPr>
      </w:pPr>
    </w:p>
    <w:p w14:paraId="4DDDCD1F" w14:textId="77777777" w:rsidR="00836422" w:rsidRPr="00836422" w:rsidRDefault="00836422" w:rsidP="00836422">
      <w:pPr>
        <w:widowControl w:val="0"/>
        <w:autoSpaceDE w:val="0"/>
        <w:autoSpaceDN w:val="0"/>
        <w:spacing w:after="120" w:line="276" w:lineRule="auto"/>
        <w:jc w:val="both"/>
        <w:rPr>
          <w:rFonts w:ascii="Arial" w:eastAsia="Calibri" w:hAnsi="Arial" w:cs="Arial"/>
          <w:bCs/>
          <w:lang w:val="es-MX" w:eastAsia="es-ES" w:bidi="es-ES"/>
        </w:rPr>
      </w:pPr>
      <w:r w:rsidRPr="00836422">
        <w:rPr>
          <w:rFonts w:ascii="Arial" w:eastAsia="Arial" w:hAnsi="Arial" w:cs="Arial"/>
          <w:lang w:val="es-ES" w:eastAsia="es-ES" w:bidi="es-ES"/>
        </w:rPr>
        <w:tab/>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5"/>
    </w:p>
    <w:p w14:paraId="51130BF5" w14:textId="77777777" w:rsidR="00836422" w:rsidRPr="00836422" w:rsidRDefault="00836422" w:rsidP="00836422">
      <w:pPr>
        <w:tabs>
          <w:tab w:val="left" w:pos="426"/>
        </w:tabs>
        <w:spacing w:after="120" w:line="276" w:lineRule="auto"/>
        <w:ind w:firstLine="709"/>
        <w:jc w:val="both"/>
        <w:rPr>
          <w:rFonts w:ascii="Arial" w:hAnsi="Arial" w:cs="Arial"/>
          <w:bCs/>
          <w:lang w:val="es-MX" w:eastAsia="es-CO"/>
        </w:rPr>
      </w:pPr>
      <w:r w:rsidRPr="00836422">
        <w:rPr>
          <w:rFonts w:ascii="Arial" w:hAnsi="Arial" w:cs="Arial"/>
          <w:bCs/>
          <w:lang w:val="es-MX" w:eastAsia="es-CO"/>
        </w:rPr>
        <w:t xml:space="preserve">Conforme a lo expuesto, de cara a la pregunta planteada debe señalarse que </w:t>
      </w:r>
      <w:bookmarkStart w:id="26" w:name="_Hlk114828165"/>
      <w:r w:rsidRPr="00836422">
        <w:rPr>
          <w:rFonts w:ascii="Arial" w:hAnsi="Arial"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las empresas de economía mixta con capital estatal superior al 50%, de acuerdo con el artículo 2 de la Ley 80 de 1993, son entidades estatales; pero al no ser entidades territoriales podrán celebrar tales convenios o contratos durante el periodo de aplicación de la Ley de Garantías Electorales, siempre que no se celebre con las referidas entidades previstas en el parágrafo del artículo 38 </w:t>
      </w:r>
      <w:r w:rsidRPr="00836422">
        <w:rPr>
          <w:rFonts w:ascii="Arial" w:hAnsi="Arial" w:cs="Arial"/>
          <w:bCs/>
          <w:lang w:val="es-MX" w:eastAsia="es-CO"/>
        </w:rPr>
        <w:lastRenderedPageBreak/>
        <w:t>de la Ley 996 de 2005; distinto a si lo celebran con entidades del orden nacional. La citada disposición hace referencia a dicha tipología contractual sin que el legislador hubiere contemplado excepción alguna frente a la modalidad de selección o naturaleza de su objeto.</w:t>
      </w:r>
      <w:r w:rsidRPr="00836422">
        <w:rPr>
          <w:rFonts w:ascii="Arial" w:eastAsia="Times New Roman" w:hAnsi="Arial" w:cs="Arial"/>
          <w:bCs/>
          <w:lang w:val="es-MX" w:eastAsia="es-CO"/>
        </w:rPr>
        <w:t xml:space="preserve">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 En todo caso se reitera el carácter de interpretación restrictiva que tienen las restricciones previstas en la Ley de Garantías. </w:t>
      </w:r>
      <w:r w:rsidRPr="00836422">
        <w:rPr>
          <w:rFonts w:ascii="Arial" w:eastAsia="Calibri" w:hAnsi="Arial" w:cs="Arial"/>
          <w:color w:val="000000" w:themeColor="text1"/>
          <w:lang w:val="es-MX"/>
        </w:rPr>
        <w:t> </w:t>
      </w:r>
      <w:bookmarkEnd w:id="26"/>
    </w:p>
    <w:bookmarkEnd w:id="15"/>
    <w:p w14:paraId="62BE8CD8" w14:textId="77777777" w:rsidR="00836422" w:rsidRPr="00836422" w:rsidRDefault="00836422" w:rsidP="00836422">
      <w:pPr>
        <w:tabs>
          <w:tab w:val="left" w:pos="426"/>
        </w:tabs>
        <w:spacing w:after="0" w:line="276" w:lineRule="auto"/>
        <w:jc w:val="both"/>
        <w:rPr>
          <w:rFonts w:ascii="Arial" w:eastAsia="Calibri" w:hAnsi="Arial" w:cs="Arial"/>
          <w:lang w:val="es-MX"/>
        </w:rPr>
      </w:pPr>
    </w:p>
    <w:p w14:paraId="432E2850" w14:textId="77777777" w:rsidR="00836422" w:rsidRPr="00836422" w:rsidRDefault="00836422" w:rsidP="00836422">
      <w:pPr>
        <w:spacing w:after="0" w:line="276" w:lineRule="auto"/>
        <w:ind w:right="79"/>
        <w:jc w:val="both"/>
        <w:rPr>
          <w:rFonts w:ascii="Arial" w:eastAsia="Calibri" w:hAnsi="Arial" w:cs="Arial"/>
          <w:b/>
          <w:noProof/>
          <w:lang w:val="es-ES_tradnl"/>
        </w:rPr>
      </w:pPr>
      <w:bookmarkStart w:id="27" w:name="_1y810tw" w:colFirst="0" w:colLast="0"/>
      <w:bookmarkStart w:id="28" w:name="_2xcytpi" w:colFirst="0" w:colLast="0"/>
      <w:bookmarkStart w:id="29" w:name="_1ci93xb" w:colFirst="0" w:colLast="0"/>
      <w:bookmarkStart w:id="30" w:name="_3whwml4" w:colFirst="0" w:colLast="0"/>
      <w:bookmarkEnd w:id="27"/>
      <w:bookmarkEnd w:id="28"/>
      <w:bookmarkEnd w:id="29"/>
      <w:bookmarkEnd w:id="30"/>
      <w:r w:rsidRPr="00836422">
        <w:rPr>
          <w:rFonts w:ascii="Arial" w:eastAsia="Calibri" w:hAnsi="Arial" w:cs="Arial"/>
          <w:b/>
          <w:noProof/>
          <w:lang w:val="es-ES_tradnl"/>
        </w:rPr>
        <w:t>3. Respuesta</w:t>
      </w:r>
    </w:p>
    <w:p w14:paraId="5CCD69D7" w14:textId="77777777" w:rsidR="00836422" w:rsidRPr="00836422" w:rsidRDefault="00836422" w:rsidP="00836422">
      <w:pPr>
        <w:spacing w:after="0" w:line="276" w:lineRule="auto"/>
        <w:ind w:right="79"/>
        <w:jc w:val="both"/>
        <w:rPr>
          <w:rFonts w:ascii="Arial" w:eastAsia="Calibri" w:hAnsi="Arial" w:cs="Arial"/>
          <w:b/>
          <w:noProof/>
          <w:lang w:val="es-ES_tradnl"/>
        </w:rPr>
      </w:pPr>
    </w:p>
    <w:p w14:paraId="4F6242B5" w14:textId="77777777" w:rsidR="00836422" w:rsidRPr="00836422" w:rsidRDefault="00836422" w:rsidP="00836422">
      <w:pPr>
        <w:spacing w:after="0" w:line="240" w:lineRule="auto"/>
        <w:ind w:left="567" w:right="788"/>
        <w:contextualSpacing/>
        <w:jc w:val="both"/>
        <w:rPr>
          <w:rFonts w:ascii="Arial" w:hAnsi="Arial" w:cs="Arial"/>
          <w:sz w:val="21"/>
          <w:szCs w:val="21"/>
          <w:lang w:val="es-ES_tradnl"/>
        </w:rPr>
      </w:pPr>
      <w:r w:rsidRPr="00836422">
        <w:rPr>
          <w:rFonts w:ascii="Arial" w:hAnsi="Arial" w:cs="Arial"/>
          <w:sz w:val="21"/>
          <w:szCs w:val="21"/>
          <w:lang w:val="es-ES_tradnl"/>
        </w:rPr>
        <w:t xml:space="preserve">““La OPERADORA DISTRITAL DE TRANSPORTE es una entidad de régimen especial de contratación (económica mixta, perteneciente al sector descentralizado segundo grado), es permitente elevar la consulta relacionada con la contratación en periodo en el cual empezara a regir la LEY DE GARANTIAS, con base en el precepto de que, el próximo 29 de junio se activará la ley de garantías como lo exige la norma cuatro meses antes de las elecciones de gobernadores, alcaldes, diputados, concejales y ediles para el periodo 2024-2027; se requiere definir las pautas para cumplir las restricciones y limitaciones a la contratación establecidas en la Ley 996 de 2005(en adelante "Ley de Garantías") en el proceso electoral de 2023” (SIC)”. </w:t>
      </w:r>
    </w:p>
    <w:p w14:paraId="07A5FF49" w14:textId="77777777" w:rsidR="00836422" w:rsidRPr="00836422" w:rsidRDefault="00836422" w:rsidP="00836422">
      <w:pPr>
        <w:spacing w:after="0" w:line="240" w:lineRule="auto"/>
        <w:ind w:left="567" w:right="786"/>
        <w:jc w:val="both"/>
        <w:rPr>
          <w:rFonts w:ascii="Arial" w:hAnsi="Arial" w:cs="Arial"/>
          <w:color w:val="FF0000"/>
          <w:lang w:val="es-ES_tradnl"/>
        </w:rPr>
      </w:pPr>
    </w:p>
    <w:p w14:paraId="063F4BB8" w14:textId="77777777" w:rsidR="00836422" w:rsidRPr="00836422" w:rsidRDefault="00836422" w:rsidP="00836422">
      <w:pPr>
        <w:spacing w:after="120" w:line="276" w:lineRule="auto"/>
        <w:jc w:val="both"/>
        <w:rPr>
          <w:rFonts w:ascii="Arial" w:eastAsia="Arial" w:hAnsi="Arial" w:cs="Arial"/>
          <w:lang w:val="es-ES" w:eastAsia="es-ES" w:bidi="es-ES"/>
        </w:rPr>
      </w:pPr>
      <w:r w:rsidRPr="00836422">
        <w:rPr>
          <w:rFonts w:ascii="Arial" w:eastAsia="Arial" w:hAnsi="Arial" w:cs="Arial"/>
          <w:lang w:val="es-MX"/>
        </w:rPr>
        <w:t xml:space="preserve">De acuerdo con la interpretación de las normas generales del sistema de compras y contratación pública, </w:t>
      </w:r>
      <w:r w:rsidRPr="00836422">
        <w:rPr>
          <w:rFonts w:ascii="Arial" w:eastAsia="Arial" w:hAnsi="Arial" w:cs="Arial"/>
          <w:lang w:val="es-ES" w:eastAsia="es-ES" w:bidi="es-ES"/>
        </w:rPr>
        <w:t>la Ley de Garantías Electorales consagra una serie de restricciones que se dirigen a dos (2) tipos de campañas electorales claramente diferenciadas: las presidenciales y las demás que se adelanten para la elección de los demás cargos de elección popular, tanto a nivel nacional como territorial.</w:t>
      </w:r>
    </w:p>
    <w:p w14:paraId="45488E29" w14:textId="77777777" w:rsidR="00836422" w:rsidRPr="00836422" w:rsidRDefault="00836422" w:rsidP="00836422">
      <w:pPr>
        <w:spacing w:after="120" w:line="276" w:lineRule="auto"/>
        <w:ind w:firstLine="708"/>
        <w:jc w:val="both"/>
        <w:rPr>
          <w:rFonts w:ascii="Arial" w:hAnsi="Arial" w:cs="Arial"/>
          <w:bCs/>
          <w:lang w:val="es-ES_tradnl" w:eastAsia="es-CO" w:bidi="es-ES"/>
        </w:rPr>
      </w:pPr>
      <w:r w:rsidRPr="00836422">
        <w:rPr>
          <w:rFonts w:ascii="Arial" w:hAnsi="Arial" w:cs="Arial"/>
          <w:bCs/>
          <w:lang w:val="es-ES_tradnl" w:eastAsia="es-CO"/>
        </w:rPr>
        <w:t xml:space="preserve">Respecto de su pregunta, para las elecciones de 2023, </w:t>
      </w:r>
      <w:r w:rsidRPr="00836422">
        <w:rPr>
          <w:rFonts w:ascii="Arial" w:hAnsi="Arial" w:cs="Arial"/>
          <w:bCs/>
          <w:lang w:val="es-MX" w:eastAsia="es-CO"/>
        </w:rPr>
        <w:t xml:space="preserve">el parágrafo del artículo 38 de la Ley de Garantías Electorales, establece una restricción en virtud de la cual, durante el periodo de cuatro meses anteriores a cualquier jornada de elecciones, las entidades territoriales no pueden suscribir convenios interadministrativos que impliquen la ejecución de recursos públicos. Para determinar el alcance de la prohibición consagrada por la Ley de Garantías Electorales, conviene precisar la tipología de convenios o contratos interadministrativos. </w:t>
      </w:r>
      <w:r w:rsidRPr="00836422">
        <w:rPr>
          <w:rFonts w:ascii="Arial" w:hAnsi="Arial" w:cs="Arial"/>
          <w:bCs/>
          <w:lang w:val="es-ES_tradnl" w:eastAsia="es-CO"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0B829D34" w14:textId="77777777" w:rsidR="00836422" w:rsidRPr="00836422" w:rsidRDefault="00836422" w:rsidP="00836422">
      <w:pPr>
        <w:spacing w:after="120" w:line="276" w:lineRule="auto"/>
        <w:ind w:firstLine="709"/>
        <w:jc w:val="both"/>
        <w:rPr>
          <w:rFonts w:ascii="Arial" w:eastAsia="Calibri" w:hAnsi="Arial" w:cs="Arial"/>
          <w:color w:val="000000" w:themeColor="text1"/>
          <w:lang w:val="es-MX"/>
        </w:rPr>
      </w:pPr>
      <w:r w:rsidRPr="00836422">
        <w:rPr>
          <w:rFonts w:ascii="Arial" w:hAnsi="Arial" w:cs="Arial"/>
          <w:bCs/>
          <w:lang w:val="es-MX" w:eastAsia="es-CO"/>
        </w:rPr>
        <w:lastRenderedPageBreak/>
        <w:t>En este sentido, las empresas de economía mixta con capital estatal superior al 50%, de acuerdo con el artículo 2 de la Ley 80 de 1993, son entidades estatales; pero al no ser entidades territoriales podrán celebrar tales convenios o contratos durante el periodo de aplicación de la Ley de Garantías Electorales, siempre que no se celebre con las referidas entidades previstas en el parágrafo del artículo 38 de la Ley 996 de 2005; distinto a si lo celebran con entidades del orden nacional.</w:t>
      </w:r>
      <w:r w:rsidRPr="00836422">
        <w:rPr>
          <w:rFonts w:ascii="Arial" w:eastAsia="Times New Roman" w:hAnsi="Arial" w:cs="Arial"/>
          <w:bCs/>
          <w:lang w:val="es-MX" w:eastAsia="es-CO"/>
        </w:rPr>
        <w:t xml:space="preserve"> La citada disposición hace referencia a dicha tipología contractual sin que el legislador hubiere contemplado excepción alguna frente a la modalidad de selección o naturaleza de su objeto.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 En todo caso se reitera el carácter de interpretación restrictiva que tienen las restricciones previstas en la Ley de Garantías.    </w:t>
      </w:r>
    </w:p>
    <w:p w14:paraId="2CD5935B" w14:textId="77777777" w:rsidR="00836422" w:rsidRPr="00836422" w:rsidRDefault="00836422" w:rsidP="00836422">
      <w:pPr>
        <w:spacing w:after="0" w:line="276" w:lineRule="auto"/>
        <w:ind w:firstLine="709"/>
        <w:jc w:val="both"/>
        <w:rPr>
          <w:rFonts w:ascii="Arial" w:hAnsi="Arial" w:cs="Arial"/>
          <w:bCs/>
          <w:lang w:val="es-ES"/>
        </w:rPr>
      </w:pPr>
      <w:r w:rsidRPr="00836422">
        <w:rPr>
          <w:rFonts w:ascii="Arial" w:eastAsia="Calibri" w:hAnsi="Arial" w:cs="Arial"/>
          <w:bCs/>
          <w:lang w:val="es-MX"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836422">
        <w:rPr>
          <w:rFonts w:ascii="Arial" w:hAnsi="Arial" w:cs="Arial"/>
          <w:bCs/>
          <w:lang w:val="es-ES"/>
        </w:rPr>
        <w:t xml:space="preserve"> </w:t>
      </w:r>
    </w:p>
    <w:p w14:paraId="1882DE22" w14:textId="77777777" w:rsidR="00836422" w:rsidRPr="00836422" w:rsidRDefault="00836422" w:rsidP="00836422">
      <w:pPr>
        <w:spacing w:after="0" w:line="276" w:lineRule="auto"/>
        <w:ind w:firstLine="709"/>
        <w:jc w:val="both"/>
        <w:rPr>
          <w:rFonts w:ascii="Arial" w:hAnsi="Arial" w:cs="Arial"/>
          <w:bCs/>
          <w:lang w:val="es-ES"/>
        </w:rPr>
      </w:pPr>
    </w:p>
    <w:p w14:paraId="6F906A2F" w14:textId="77777777" w:rsidR="00836422" w:rsidRPr="00836422" w:rsidRDefault="00836422" w:rsidP="00836422">
      <w:pPr>
        <w:spacing w:after="120" w:line="276" w:lineRule="auto"/>
        <w:jc w:val="both"/>
        <w:rPr>
          <w:rFonts w:ascii="Times New Roman" w:eastAsia="Times New Roman" w:hAnsi="Times New Roman" w:cs="Times New Roman"/>
          <w:sz w:val="24"/>
          <w:szCs w:val="24"/>
          <w:lang w:eastAsia="es-ES_tradnl"/>
        </w:rPr>
      </w:pPr>
      <w:r w:rsidRPr="00836422">
        <w:rPr>
          <w:rFonts w:ascii="Arial" w:eastAsia="Calibri" w:hAnsi="Arial"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24670E2" w14:textId="77777777" w:rsidR="00836422" w:rsidRPr="00836422" w:rsidRDefault="00836422" w:rsidP="00836422">
      <w:pPr>
        <w:spacing w:after="0" w:line="276" w:lineRule="auto"/>
        <w:ind w:firstLine="709"/>
        <w:jc w:val="both"/>
        <w:rPr>
          <w:rFonts w:ascii="Arial" w:eastAsia="Calibri" w:hAnsi="Arial" w:cs="Arial"/>
          <w:lang w:val="es-MX"/>
        </w:rPr>
      </w:pPr>
    </w:p>
    <w:p w14:paraId="33653F7B" w14:textId="77777777" w:rsidR="00836422" w:rsidRPr="00836422" w:rsidRDefault="00836422" w:rsidP="00836422">
      <w:pPr>
        <w:spacing w:after="0" w:line="276" w:lineRule="auto"/>
        <w:ind w:firstLine="709"/>
        <w:jc w:val="both"/>
        <w:rPr>
          <w:rFonts w:ascii="Arial" w:eastAsia="Calibri" w:hAnsi="Arial" w:cs="Arial"/>
          <w:lang w:val="es-MX"/>
        </w:rPr>
      </w:pPr>
    </w:p>
    <w:p w14:paraId="4E41200F" w14:textId="77777777" w:rsidR="00836422" w:rsidRPr="00836422" w:rsidRDefault="00836422" w:rsidP="00836422">
      <w:pPr>
        <w:spacing w:before="240" w:after="0" w:line="276" w:lineRule="auto"/>
        <w:jc w:val="both"/>
        <w:rPr>
          <w:rFonts w:ascii="Arial" w:hAnsi="Arial" w:cs="Arial"/>
          <w:lang w:val="es-ES_tradnl" w:eastAsia="es-CO"/>
        </w:rPr>
      </w:pPr>
      <w:bookmarkStart w:id="31" w:name="_Hlk50986665"/>
      <w:bookmarkStart w:id="32" w:name="_Hlk52766744"/>
      <w:r w:rsidRPr="00836422">
        <w:rPr>
          <w:rFonts w:ascii="Arial" w:hAnsi="Arial" w:cs="Arial"/>
          <w:lang w:val="es-ES_tradnl" w:eastAsia="es-CO"/>
        </w:rPr>
        <w:t>Atentamente,</w:t>
      </w:r>
    </w:p>
    <w:p w14:paraId="3377B924" w14:textId="1C8B28C9" w:rsidR="00836422" w:rsidRPr="00836422" w:rsidRDefault="00C45960" w:rsidP="00836422">
      <w:pPr>
        <w:spacing w:before="120" w:after="0" w:line="276" w:lineRule="auto"/>
        <w:jc w:val="center"/>
        <w:rPr>
          <w:rFonts w:ascii="Arial" w:hAnsi="Arial" w:cs="Arial"/>
          <w:sz w:val="18"/>
          <w:szCs w:val="20"/>
          <w:lang w:val="es-ES_tradnl" w:eastAsia="es-CO"/>
        </w:rPr>
      </w:pPr>
      <w:bookmarkStart w:id="33" w:name="_Hlk108446929"/>
      <w:bookmarkEnd w:id="3"/>
      <w:bookmarkEnd w:id="31"/>
      <w:bookmarkEnd w:id="32"/>
      <w:r>
        <w:rPr>
          <w:noProof/>
        </w:rPr>
        <w:drawing>
          <wp:inline distT="0" distB="0" distL="0" distR="0" wp14:anchorId="21A86C1B" wp14:editId="55480D6A">
            <wp:extent cx="2774950" cy="1064260"/>
            <wp:effectExtent l="0" t="0" r="6350" b="2540"/>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13065DD1" w14:textId="77777777" w:rsidR="00836422" w:rsidRPr="00836422" w:rsidRDefault="00836422" w:rsidP="00836422">
      <w:pPr>
        <w:spacing w:before="120" w:after="0" w:line="276" w:lineRule="auto"/>
        <w:jc w:val="center"/>
        <w:rPr>
          <w:rFonts w:ascii="Arial" w:hAnsi="Arial" w:cs="Arial"/>
          <w:sz w:val="18"/>
          <w:szCs w:val="20"/>
          <w:lang w:val="es-ES_tradnl" w:eastAsia="es-CO"/>
        </w:rPr>
      </w:pP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36422" w:rsidRPr="00836422" w14:paraId="18CA1072" w14:textId="77777777" w:rsidTr="003E3E61">
        <w:trPr>
          <w:trHeight w:val="315"/>
        </w:trPr>
        <w:tc>
          <w:tcPr>
            <w:tcW w:w="812" w:type="dxa"/>
            <w:vAlign w:val="center"/>
            <w:hideMark/>
          </w:tcPr>
          <w:p w14:paraId="7649D631" w14:textId="77777777" w:rsidR="00836422" w:rsidRPr="00836422" w:rsidRDefault="00836422" w:rsidP="00836422">
            <w:pPr>
              <w:spacing w:line="276" w:lineRule="auto"/>
              <w:rPr>
                <w:rFonts w:ascii="Arial" w:eastAsia="Times New Roman" w:hAnsi="Arial" w:cs="Arial"/>
                <w:sz w:val="16"/>
                <w:szCs w:val="16"/>
                <w:lang w:eastAsia="es-ES"/>
              </w:rPr>
            </w:pPr>
            <w:r w:rsidRPr="00836422">
              <w:rPr>
                <w:rFonts w:ascii="Arial" w:eastAsia="Times New Roman" w:hAnsi="Arial" w:cs="Arial"/>
                <w:sz w:val="16"/>
                <w:szCs w:val="16"/>
                <w:lang w:eastAsia="es-ES"/>
              </w:rPr>
              <w:t>Elaboró:</w:t>
            </w:r>
          </w:p>
        </w:tc>
        <w:tc>
          <w:tcPr>
            <w:tcW w:w="4413" w:type="dxa"/>
            <w:tcBorders>
              <w:top w:val="nil"/>
              <w:left w:val="nil"/>
              <w:bottom w:val="dotted" w:sz="4" w:space="0" w:color="7F7F7F"/>
              <w:right w:val="nil"/>
            </w:tcBorders>
            <w:vAlign w:val="center"/>
            <w:hideMark/>
          </w:tcPr>
          <w:p w14:paraId="09AB09A5" w14:textId="77777777" w:rsidR="00836422" w:rsidRPr="00836422" w:rsidRDefault="00836422" w:rsidP="00836422">
            <w:pPr>
              <w:rPr>
                <w:rFonts w:ascii="Arial" w:eastAsia="Calibri" w:hAnsi="Arial" w:cs="Arial"/>
                <w:sz w:val="16"/>
                <w:szCs w:val="16"/>
                <w:lang w:val="es-ES_tradnl" w:eastAsia="es-ES"/>
              </w:rPr>
            </w:pPr>
            <w:r w:rsidRPr="00836422">
              <w:rPr>
                <w:rFonts w:ascii="Arial" w:eastAsia="Calibri" w:hAnsi="Arial" w:cs="Arial"/>
                <w:sz w:val="16"/>
                <w:szCs w:val="16"/>
                <w:lang w:val="es-ES_tradnl" w:eastAsia="es-ES"/>
              </w:rPr>
              <w:t>Ximena Ríos López</w:t>
            </w:r>
          </w:p>
          <w:p w14:paraId="019DAB87" w14:textId="77777777" w:rsidR="00836422" w:rsidRPr="00836422" w:rsidRDefault="00836422" w:rsidP="00836422">
            <w:pPr>
              <w:spacing w:line="276" w:lineRule="auto"/>
              <w:rPr>
                <w:rFonts w:ascii="Arial" w:eastAsia="Times New Roman" w:hAnsi="Arial" w:cs="Arial"/>
                <w:sz w:val="16"/>
                <w:szCs w:val="16"/>
                <w:lang w:eastAsia="es-ES"/>
              </w:rPr>
            </w:pPr>
            <w:r w:rsidRPr="00836422">
              <w:rPr>
                <w:rFonts w:ascii="Arial" w:eastAsia="Calibri" w:hAnsi="Arial" w:cs="Arial"/>
                <w:sz w:val="16"/>
                <w:szCs w:val="16"/>
                <w:lang w:val="es-ES_tradnl" w:eastAsia="es-ES"/>
              </w:rPr>
              <w:t>Gestor T1-11 de la Subdirección de Gestión Contractual</w:t>
            </w:r>
          </w:p>
        </w:tc>
      </w:tr>
      <w:tr w:rsidR="00836422" w:rsidRPr="00836422" w14:paraId="35932900" w14:textId="77777777" w:rsidTr="003E3E61">
        <w:trPr>
          <w:trHeight w:val="330"/>
        </w:trPr>
        <w:tc>
          <w:tcPr>
            <w:tcW w:w="812" w:type="dxa"/>
            <w:vAlign w:val="center"/>
            <w:hideMark/>
          </w:tcPr>
          <w:p w14:paraId="1AE593F3" w14:textId="77777777" w:rsidR="00836422" w:rsidRPr="00836422" w:rsidRDefault="00836422" w:rsidP="00836422">
            <w:pPr>
              <w:spacing w:line="276" w:lineRule="auto"/>
              <w:rPr>
                <w:rFonts w:ascii="Arial" w:eastAsia="Times New Roman" w:hAnsi="Arial" w:cs="Arial"/>
                <w:sz w:val="16"/>
                <w:szCs w:val="16"/>
                <w:lang w:eastAsia="es-ES"/>
              </w:rPr>
            </w:pPr>
            <w:r w:rsidRPr="00836422">
              <w:rPr>
                <w:rFonts w:ascii="Arial" w:eastAsia="Times New Roman" w:hAnsi="Arial" w:cs="Arial"/>
                <w:sz w:val="16"/>
                <w:szCs w:val="16"/>
                <w:lang w:eastAsia="es-ES"/>
              </w:rPr>
              <w:t>Revisó:</w:t>
            </w:r>
          </w:p>
        </w:tc>
        <w:tc>
          <w:tcPr>
            <w:tcW w:w="4413" w:type="dxa"/>
            <w:tcBorders>
              <w:top w:val="dotted" w:sz="4" w:space="0" w:color="7F7F7F"/>
              <w:left w:val="nil"/>
              <w:bottom w:val="dotted" w:sz="4" w:space="0" w:color="7F7F7F"/>
              <w:right w:val="nil"/>
            </w:tcBorders>
            <w:vAlign w:val="center"/>
            <w:hideMark/>
          </w:tcPr>
          <w:p w14:paraId="74698889" w14:textId="77777777" w:rsidR="00836422" w:rsidRPr="00836422" w:rsidRDefault="00836422" w:rsidP="00836422">
            <w:pPr>
              <w:rPr>
                <w:rFonts w:ascii="Arial" w:eastAsia="Times New Roman" w:hAnsi="Arial" w:cs="Arial"/>
                <w:color w:val="000000"/>
                <w:sz w:val="16"/>
                <w:szCs w:val="16"/>
                <w:lang w:val="es-ES" w:eastAsia="es-ES"/>
              </w:rPr>
            </w:pPr>
            <w:r w:rsidRPr="00836422">
              <w:rPr>
                <w:rFonts w:ascii="Arial" w:eastAsia="Times New Roman" w:hAnsi="Arial" w:cs="Arial"/>
                <w:color w:val="000000"/>
                <w:sz w:val="16"/>
                <w:szCs w:val="16"/>
                <w:lang w:val="es-ES" w:eastAsia="es-ES"/>
              </w:rPr>
              <w:t>Juan David Cárdenas Cabeza</w:t>
            </w:r>
          </w:p>
          <w:p w14:paraId="0FA7DB42" w14:textId="77777777" w:rsidR="00836422" w:rsidRPr="00836422" w:rsidRDefault="00836422" w:rsidP="00836422">
            <w:pPr>
              <w:rPr>
                <w:rFonts w:ascii="Arial" w:eastAsia="Times New Roman" w:hAnsi="Arial" w:cs="Arial"/>
                <w:color w:val="000000"/>
                <w:sz w:val="16"/>
                <w:szCs w:val="16"/>
                <w:lang w:val="es-ES" w:eastAsia="es-ES"/>
              </w:rPr>
            </w:pPr>
            <w:r w:rsidRPr="00836422">
              <w:rPr>
                <w:rFonts w:ascii="Arial" w:eastAsia="Times New Roman" w:hAnsi="Arial" w:cs="Arial"/>
                <w:color w:val="000000"/>
                <w:sz w:val="16"/>
                <w:szCs w:val="16"/>
                <w:lang w:val="es-ES" w:eastAsia="es-ES"/>
              </w:rPr>
              <w:t xml:space="preserve">Contratista de la Subdirección de Gestión Contractual  </w:t>
            </w:r>
          </w:p>
        </w:tc>
      </w:tr>
      <w:tr w:rsidR="00836422" w:rsidRPr="00836422" w14:paraId="5BCBF9F2" w14:textId="77777777" w:rsidTr="003E3E61">
        <w:trPr>
          <w:trHeight w:val="300"/>
        </w:trPr>
        <w:tc>
          <w:tcPr>
            <w:tcW w:w="812" w:type="dxa"/>
            <w:vAlign w:val="center"/>
            <w:hideMark/>
          </w:tcPr>
          <w:p w14:paraId="6998BD6A" w14:textId="77777777" w:rsidR="00836422" w:rsidRPr="00836422" w:rsidRDefault="00836422" w:rsidP="00836422">
            <w:pPr>
              <w:spacing w:line="276" w:lineRule="auto"/>
              <w:rPr>
                <w:rFonts w:ascii="Arial" w:eastAsia="Times New Roman" w:hAnsi="Arial" w:cs="Arial"/>
                <w:sz w:val="16"/>
                <w:szCs w:val="16"/>
                <w:lang w:eastAsia="es-ES"/>
              </w:rPr>
            </w:pPr>
            <w:r w:rsidRPr="00836422">
              <w:rPr>
                <w:rFonts w:ascii="Arial" w:eastAsia="Times New Roman" w:hAnsi="Arial" w:cs="Arial"/>
                <w:sz w:val="16"/>
                <w:szCs w:val="16"/>
                <w:lang w:eastAsia="es-ES"/>
              </w:rPr>
              <w:lastRenderedPageBreak/>
              <w:t>Aprobó:</w:t>
            </w:r>
          </w:p>
        </w:tc>
        <w:tc>
          <w:tcPr>
            <w:tcW w:w="4413" w:type="dxa"/>
            <w:tcBorders>
              <w:top w:val="dotted" w:sz="4" w:space="0" w:color="7F7F7F"/>
              <w:left w:val="nil"/>
              <w:bottom w:val="dotted" w:sz="4" w:space="0" w:color="7F7F7F"/>
              <w:right w:val="nil"/>
            </w:tcBorders>
            <w:vAlign w:val="center"/>
            <w:hideMark/>
          </w:tcPr>
          <w:p w14:paraId="23A7723D" w14:textId="77777777" w:rsidR="00836422" w:rsidRPr="00836422" w:rsidRDefault="00836422" w:rsidP="00836422">
            <w:pPr>
              <w:spacing w:line="276" w:lineRule="auto"/>
              <w:rPr>
                <w:rFonts w:ascii="Arial" w:eastAsia="Calibri" w:hAnsi="Arial" w:cs="Arial"/>
                <w:sz w:val="16"/>
                <w:szCs w:val="16"/>
                <w:lang w:val="es-ES_tradnl" w:eastAsia="es-ES"/>
              </w:rPr>
            </w:pPr>
            <w:r w:rsidRPr="00836422">
              <w:rPr>
                <w:rFonts w:ascii="Arial" w:eastAsia="Calibri" w:hAnsi="Arial" w:cs="Arial"/>
                <w:sz w:val="16"/>
                <w:szCs w:val="16"/>
                <w:lang w:val="es-ES_tradnl" w:eastAsia="es-ES"/>
              </w:rPr>
              <w:t xml:space="preserve">Nohelia del Carmen </w:t>
            </w:r>
            <w:proofErr w:type="spellStart"/>
            <w:r w:rsidRPr="00836422">
              <w:rPr>
                <w:rFonts w:ascii="Arial" w:eastAsia="Calibri" w:hAnsi="Arial" w:cs="Arial"/>
                <w:sz w:val="16"/>
                <w:szCs w:val="16"/>
                <w:lang w:val="es-ES_tradnl" w:eastAsia="es-ES"/>
              </w:rPr>
              <w:t>Zawady</w:t>
            </w:r>
            <w:proofErr w:type="spellEnd"/>
            <w:r w:rsidRPr="00836422">
              <w:rPr>
                <w:rFonts w:ascii="Arial" w:eastAsia="Calibri" w:hAnsi="Arial" w:cs="Arial"/>
                <w:sz w:val="16"/>
                <w:szCs w:val="16"/>
                <w:lang w:val="es-ES_tradnl" w:eastAsia="es-ES"/>
              </w:rPr>
              <w:t xml:space="preserve"> Palacio</w:t>
            </w:r>
          </w:p>
          <w:p w14:paraId="69D642C2" w14:textId="77777777" w:rsidR="00836422" w:rsidRPr="00836422" w:rsidRDefault="00836422" w:rsidP="00836422">
            <w:pPr>
              <w:spacing w:line="276" w:lineRule="auto"/>
              <w:rPr>
                <w:rFonts w:ascii="Arial" w:eastAsia="Times New Roman" w:hAnsi="Arial" w:cs="Arial"/>
                <w:sz w:val="16"/>
                <w:szCs w:val="16"/>
                <w:lang w:eastAsia="es-ES"/>
              </w:rPr>
            </w:pPr>
            <w:r w:rsidRPr="00836422">
              <w:rPr>
                <w:rFonts w:ascii="Arial" w:eastAsia="Calibri" w:hAnsi="Arial" w:cs="Arial"/>
                <w:sz w:val="16"/>
                <w:szCs w:val="16"/>
                <w:lang w:val="es-ES_tradnl" w:eastAsia="es-ES"/>
              </w:rPr>
              <w:t>Subdirectora de Gestión Contractual</w:t>
            </w:r>
          </w:p>
        </w:tc>
      </w:tr>
      <w:bookmarkEnd w:id="33"/>
    </w:tbl>
    <w:p w14:paraId="3B40A137" w14:textId="77777777" w:rsidR="00836422" w:rsidRPr="00836422" w:rsidRDefault="00836422" w:rsidP="00836422">
      <w:pPr>
        <w:spacing w:before="120" w:after="0" w:line="276" w:lineRule="auto"/>
        <w:rPr>
          <w:rFonts w:ascii="Arial" w:hAnsi="Arial" w:cs="Arial"/>
          <w:sz w:val="18"/>
          <w:szCs w:val="20"/>
          <w:lang w:val="es-ES_tradnl" w:eastAsia="es-CO"/>
        </w:rPr>
      </w:pPr>
    </w:p>
    <w:p w14:paraId="0F293BF4" w14:textId="0F6FB6C1" w:rsidR="00127233" w:rsidRPr="003B2FEA" w:rsidRDefault="00127233" w:rsidP="003B2FEA"/>
    <w:sectPr w:rsidR="00127233" w:rsidRPr="003B2FEA"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42728" w14:textId="77777777" w:rsidR="00351965" w:rsidRDefault="00351965" w:rsidP="004A1847">
      <w:pPr>
        <w:spacing w:after="0" w:line="240" w:lineRule="auto"/>
      </w:pPr>
      <w:r>
        <w:separator/>
      </w:r>
    </w:p>
  </w:endnote>
  <w:endnote w:type="continuationSeparator" w:id="0">
    <w:p w14:paraId="78B94256" w14:textId="77777777" w:rsidR="00351965" w:rsidRDefault="00351965" w:rsidP="004A1847">
      <w:pPr>
        <w:spacing w:after="0" w:line="240" w:lineRule="auto"/>
      </w:pPr>
      <w:r>
        <w:continuationSeparator/>
      </w:r>
    </w:p>
  </w:endnote>
  <w:endnote w:type="continuationNotice" w:id="1">
    <w:p w14:paraId="195D650B" w14:textId="77777777" w:rsidR="00351965" w:rsidRDefault="003519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76412" w14:textId="77777777" w:rsidR="00351965" w:rsidRDefault="00351965" w:rsidP="004A1847">
      <w:pPr>
        <w:spacing w:after="0" w:line="240" w:lineRule="auto"/>
      </w:pPr>
      <w:r>
        <w:separator/>
      </w:r>
    </w:p>
  </w:footnote>
  <w:footnote w:type="continuationSeparator" w:id="0">
    <w:p w14:paraId="0F275896" w14:textId="77777777" w:rsidR="00351965" w:rsidRDefault="00351965" w:rsidP="004A1847">
      <w:pPr>
        <w:spacing w:after="0" w:line="240" w:lineRule="auto"/>
      </w:pPr>
      <w:r>
        <w:continuationSeparator/>
      </w:r>
    </w:p>
  </w:footnote>
  <w:footnote w:type="continuationNotice" w:id="1">
    <w:p w14:paraId="4CF02552" w14:textId="77777777" w:rsidR="00351965" w:rsidRDefault="00351965">
      <w:pPr>
        <w:spacing w:after="0" w:line="240" w:lineRule="auto"/>
      </w:pPr>
    </w:p>
  </w:footnote>
  <w:footnote w:id="2">
    <w:p w14:paraId="6EB25880" w14:textId="77777777" w:rsidR="00836422" w:rsidRDefault="00836422" w:rsidP="0083642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El artículo 127 de la Constitución Política señala: </w:t>
      </w:r>
      <w:r>
        <w:rPr>
          <w:rFonts w:ascii="Arial" w:hAnsi="Arial" w:cs="Arial"/>
          <w:sz w:val="19"/>
          <w:szCs w:val="19"/>
        </w:rPr>
        <w:t>“</w:t>
      </w:r>
      <w:r w:rsidRPr="00082ACC">
        <w:rPr>
          <w:rFonts w:ascii="Arial" w:hAnsi="Arial" w:cs="Arial"/>
          <w:sz w:val="19"/>
          <w:szCs w:val="19"/>
        </w:rPr>
        <w:t xml:space="preserve">Los servidores públicos no podrán celebrar, por si o por interpuesta persona, o en representación de otro, contrato alguno con entidades públicas o con personas privadas que manejen o administren recursos públicos, salvo las excepciones legales. </w:t>
      </w:r>
    </w:p>
    <w:p w14:paraId="4AFA238E" w14:textId="77777777" w:rsidR="00836422" w:rsidRPr="00082ACC" w:rsidRDefault="00836422" w:rsidP="00836422">
      <w:pPr>
        <w:pStyle w:val="Textonotapie"/>
        <w:ind w:firstLine="709"/>
        <w:contextualSpacing/>
        <w:jc w:val="both"/>
        <w:rPr>
          <w:rFonts w:ascii="Arial" w:hAnsi="Arial" w:cs="Arial"/>
          <w:sz w:val="19"/>
          <w:szCs w:val="19"/>
        </w:rPr>
      </w:pPr>
    </w:p>
    <w:p w14:paraId="7932DE91" w14:textId="77777777" w:rsidR="00836422" w:rsidRDefault="00836422" w:rsidP="00836422">
      <w:pPr>
        <w:pStyle w:val="Textonotapie"/>
        <w:ind w:firstLine="709"/>
        <w:contextualSpacing/>
        <w:jc w:val="both"/>
        <w:rPr>
          <w:rFonts w:ascii="Arial" w:hAnsi="Arial" w:cs="Arial"/>
          <w:sz w:val="19"/>
          <w:szCs w:val="19"/>
        </w:rPr>
      </w:pPr>
      <w:r>
        <w:rPr>
          <w:rFonts w:ascii="Arial" w:hAnsi="Arial" w:cs="Arial"/>
          <w:sz w:val="19"/>
          <w:szCs w:val="19"/>
        </w:rPr>
        <w:t>“</w:t>
      </w:r>
      <w:r w:rsidRPr="00082ACC">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r>
        <w:rPr>
          <w:rFonts w:ascii="Arial" w:hAnsi="Arial" w:cs="Arial"/>
          <w:sz w:val="19"/>
          <w:szCs w:val="19"/>
        </w:rPr>
        <w:t>”</w:t>
      </w:r>
      <w:r w:rsidRPr="00082ACC">
        <w:rPr>
          <w:rFonts w:ascii="Arial" w:hAnsi="Arial" w:cs="Arial"/>
          <w:sz w:val="19"/>
          <w:szCs w:val="19"/>
        </w:rPr>
        <w:t>.</w:t>
      </w:r>
    </w:p>
    <w:p w14:paraId="2F9154AB" w14:textId="77777777" w:rsidR="00836422" w:rsidRPr="00082ACC" w:rsidRDefault="00836422" w:rsidP="00836422">
      <w:pPr>
        <w:pStyle w:val="Textonotapie"/>
        <w:ind w:firstLine="709"/>
        <w:contextualSpacing/>
        <w:jc w:val="both"/>
        <w:rPr>
          <w:rFonts w:ascii="Arial" w:hAnsi="Arial" w:cs="Arial"/>
          <w:sz w:val="19"/>
          <w:szCs w:val="19"/>
        </w:rPr>
      </w:pPr>
    </w:p>
  </w:footnote>
  <w:footnote w:id="3">
    <w:p w14:paraId="7569DE7D" w14:textId="77777777" w:rsidR="00836422" w:rsidRPr="00082ACC" w:rsidRDefault="00836422" w:rsidP="0083642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Gaceta del Congreso de la República No. 71 del 2005.</w:t>
      </w:r>
    </w:p>
  </w:footnote>
  <w:footnote w:id="4">
    <w:p w14:paraId="79894E5A" w14:textId="77777777" w:rsidR="00836422" w:rsidRDefault="00836422" w:rsidP="0083642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Corte Constitucional, Sentencia C- 1153 de 2005, M.P. Marco Gerardo Monroy Cabra.</w:t>
      </w:r>
    </w:p>
    <w:p w14:paraId="238FD718" w14:textId="77777777" w:rsidR="00836422" w:rsidRPr="00082ACC" w:rsidRDefault="00836422" w:rsidP="00836422">
      <w:pPr>
        <w:pStyle w:val="Textonotapie"/>
        <w:ind w:firstLine="709"/>
        <w:contextualSpacing/>
        <w:jc w:val="both"/>
        <w:rPr>
          <w:rFonts w:ascii="Arial" w:hAnsi="Arial" w:cs="Arial"/>
          <w:sz w:val="19"/>
          <w:szCs w:val="19"/>
        </w:rPr>
      </w:pPr>
    </w:p>
  </w:footnote>
  <w:footnote w:id="5">
    <w:p w14:paraId="603B8C0F" w14:textId="77777777" w:rsidR="00836422" w:rsidRDefault="00836422" w:rsidP="0083642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6778FB35" w14:textId="77777777" w:rsidR="00836422" w:rsidRPr="00082ACC" w:rsidRDefault="00836422" w:rsidP="00836422">
      <w:pPr>
        <w:pStyle w:val="Textonotapie"/>
        <w:ind w:firstLine="709"/>
        <w:contextualSpacing/>
        <w:jc w:val="both"/>
        <w:rPr>
          <w:rFonts w:ascii="Arial" w:hAnsi="Arial" w:cs="Arial"/>
          <w:sz w:val="19"/>
          <w:szCs w:val="19"/>
        </w:rPr>
      </w:pPr>
    </w:p>
  </w:footnote>
  <w:footnote w:id="6">
    <w:p w14:paraId="2749FF57" w14:textId="77777777" w:rsidR="00836422" w:rsidRDefault="00836422" w:rsidP="00836422">
      <w:pPr>
        <w:pStyle w:val="Textonotapie"/>
        <w:ind w:firstLine="709"/>
        <w:contextualSpacing/>
        <w:jc w:val="both"/>
        <w:rPr>
          <w:rFonts w:ascii="Arial" w:hAnsi="Arial" w:cs="Arial"/>
          <w:sz w:val="19"/>
          <w:szCs w:val="19"/>
          <w:lang w:val="es-CO"/>
        </w:rPr>
      </w:pPr>
      <w:r w:rsidRPr="00082ACC">
        <w:rPr>
          <w:rStyle w:val="Refdenotaalpie"/>
          <w:rFonts w:ascii="Arial" w:hAnsi="Arial" w:cs="Arial"/>
          <w:sz w:val="19"/>
          <w:szCs w:val="19"/>
        </w:rPr>
        <w:footnoteRef/>
      </w:r>
      <w:r w:rsidRPr="00082ACC">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CD57356" w14:textId="77777777" w:rsidR="00836422" w:rsidRPr="00082ACC" w:rsidRDefault="00836422" w:rsidP="00836422">
      <w:pPr>
        <w:pStyle w:val="Textonotapie"/>
        <w:ind w:firstLine="709"/>
        <w:contextualSpacing/>
        <w:jc w:val="both"/>
        <w:rPr>
          <w:rFonts w:ascii="Arial" w:hAnsi="Arial" w:cs="Arial"/>
          <w:sz w:val="19"/>
          <w:szCs w:val="19"/>
          <w:lang w:val="es-CO"/>
        </w:rPr>
      </w:pPr>
    </w:p>
  </w:footnote>
  <w:footnote w:id="7">
    <w:p w14:paraId="03B69611" w14:textId="77777777" w:rsidR="00836422" w:rsidRPr="00082ACC" w:rsidRDefault="00836422" w:rsidP="0083642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Sala de Consulta y Servicio Civil de fecha 24 de julio de 2013, radicado 2166, </w:t>
      </w:r>
      <w:proofErr w:type="gramStart"/>
      <w:r w:rsidRPr="00082ACC">
        <w:rPr>
          <w:rFonts w:ascii="Arial" w:hAnsi="Arial" w:cs="Arial"/>
          <w:sz w:val="19"/>
          <w:szCs w:val="19"/>
        </w:rPr>
        <w:t>Consejero</w:t>
      </w:r>
      <w:proofErr w:type="gramEnd"/>
      <w:r w:rsidRPr="00082ACC">
        <w:rPr>
          <w:rFonts w:ascii="Arial" w:hAnsi="Arial" w:cs="Arial"/>
          <w:sz w:val="19"/>
          <w:szCs w:val="19"/>
        </w:rPr>
        <w:t xml:space="preserve"> Ponente: Álvaro Namén Vargas.  </w:t>
      </w:r>
    </w:p>
  </w:footnote>
  <w:footnote w:id="8">
    <w:p w14:paraId="0EA7CC44" w14:textId="77777777" w:rsidR="00836422" w:rsidRPr="00082ACC" w:rsidRDefault="00836422" w:rsidP="00836422">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w:t>
      </w:r>
      <w:bookmarkStart w:id="8" w:name="33"/>
      <w:r>
        <w:rPr>
          <w:rFonts w:ascii="Arial" w:eastAsia="Calibri" w:hAnsi="Arial" w:cs="Arial"/>
          <w:color w:val="000000"/>
          <w:sz w:val="19"/>
          <w:szCs w:val="19"/>
        </w:rPr>
        <w:t>“</w:t>
      </w:r>
      <w:r w:rsidRPr="00082ACC">
        <w:rPr>
          <w:rFonts w:ascii="Arial" w:hAnsi="Arial" w:cs="Arial"/>
          <w:sz w:val="19"/>
          <w:szCs w:val="19"/>
        </w:rPr>
        <w:t>Artículo 33. Restricciones a la contratación pública.</w:t>
      </w:r>
      <w:bookmarkEnd w:id="8"/>
      <w:r w:rsidRPr="00082ACC">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5654081F" w14:textId="77777777" w:rsidR="00836422" w:rsidRPr="00082ACC" w:rsidRDefault="00836422" w:rsidP="00836422">
      <w:pPr>
        <w:ind w:firstLine="709"/>
        <w:contextualSpacing/>
        <w:jc w:val="both"/>
        <w:rPr>
          <w:rFonts w:ascii="Arial" w:hAnsi="Arial" w:cs="Arial"/>
          <w:sz w:val="19"/>
          <w:szCs w:val="19"/>
        </w:rPr>
      </w:pPr>
      <w:r>
        <w:rPr>
          <w:rFonts w:ascii="Arial" w:eastAsia="Calibri" w:hAnsi="Arial" w:cs="Arial"/>
          <w:color w:val="000000"/>
          <w:sz w:val="19"/>
          <w:szCs w:val="19"/>
        </w:rPr>
        <w:t>“</w:t>
      </w:r>
      <w:r w:rsidRPr="00082ACC">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Calibri" w:hAnsi="Arial" w:cs="Arial"/>
          <w:color w:val="000000"/>
          <w:sz w:val="19"/>
          <w:szCs w:val="19"/>
        </w:rPr>
        <w:t>”</w:t>
      </w:r>
      <w:r w:rsidRPr="00082ACC">
        <w:rPr>
          <w:rFonts w:ascii="Arial" w:hAnsi="Arial" w:cs="Arial"/>
          <w:sz w:val="19"/>
          <w:szCs w:val="19"/>
        </w:rPr>
        <w:t>.</w:t>
      </w:r>
    </w:p>
  </w:footnote>
  <w:footnote w:id="9">
    <w:p w14:paraId="70C868AC" w14:textId="77777777" w:rsidR="00836422" w:rsidRPr="00082ACC" w:rsidRDefault="00836422" w:rsidP="00836422">
      <w:pPr>
        <w:pStyle w:val="NormalWeb"/>
        <w:spacing w:after="0" w:line="240" w:lineRule="auto"/>
        <w:ind w:firstLine="709"/>
        <w:contextualSpacing/>
        <w:rPr>
          <w:rFonts w:ascii="Arial" w:hAnsi="Arial" w:cs="Arial"/>
          <w:sz w:val="19"/>
          <w:szCs w:val="19"/>
          <w:lang w:val="es-MX"/>
        </w:rPr>
      </w:pPr>
      <w:r w:rsidRPr="00082ACC">
        <w:rPr>
          <w:rStyle w:val="Refdenotaalpie"/>
          <w:rFonts w:ascii="Arial" w:hAnsi="Arial" w:cs="Arial"/>
          <w:sz w:val="19"/>
          <w:szCs w:val="19"/>
        </w:rPr>
        <w:footnoteRef/>
      </w:r>
      <w:r w:rsidRPr="00082ACC">
        <w:rPr>
          <w:rFonts w:ascii="Arial" w:hAnsi="Arial" w:cs="Arial"/>
          <w:sz w:val="19"/>
          <w:szCs w:val="19"/>
        </w:rPr>
        <w:t xml:space="preserve"> </w:t>
      </w:r>
      <w:bookmarkStart w:id="9" w:name="38"/>
      <w:r>
        <w:rPr>
          <w:rFonts w:ascii="Arial" w:eastAsia="Calibri" w:hAnsi="Arial" w:cs="Arial"/>
          <w:color w:val="000000"/>
          <w:sz w:val="19"/>
          <w:szCs w:val="19"/>
        </w:rPr>
        <w:t>“</w:t>
      </w:r>
      <w:r w:rsidRPr="00082ACC">
        <w:rPr>
          <w:rFonts w:ascii="Arial" w:hAnsi="Arial" w:cs="Arial"/>
          <w:sz w:val="19"/>
          <w:szCs w:val="19"/>
          <w:lang w:val="es-MX"/>
        </w:rPr>
        <w:t>Artículo 38. Prohibiciones para los servidores públicos. A los empleados del Estado les está prohibido:</w:t>
      </w:r>
      <w:bookmarkEnd w:id="9"/>
    </w:p>
    <w:p w14:paraId="53647F67" w14:textId="77777777" w:rsidR="00836422" w:rsidRPr="00082ACC" w:rsidRDefault="00836422" w:rsidP="00836422">
      <w:pPr>
        <w:pStyle w:val="NormalWeb"/>
        <w:spacing w:after="0" w:line="240" w:lineRule="auto"/>
        <w:ind w:firstLine="709"/>
        <w:contextualSpacing/>
        <w:rPr>
          <w:rFonts w:ascii="Arial" w:hAnsi="Arial" w:cs="Arial"/>
          <w:sz w:val="19"/>
          <w:szCs w:val="19"/>
          <w:lang w:val="es-MX"/>
        </w:rPr>
      </w:pPr>
      <w:r>
        <w:rPr>
          <w:rFonts w:ascii="Arial" w:eastAsia="Calibri" w:hAnsi="Arial" w:cs="Arial"/>
          <w:color w:val="000000"/>
          <w:sz w:val="19"/>
          <w:szCs w:val="19"/>
        </w:rPr>
        <w:t>“</w:t>
      </w:r>
      <w:r w:rsidRPr="00082ACC">
        <w:rPr>
          <w:rFonts w:ascii="Arial" w:hAnsi="Arial" w:cs="Arial"/>
          <w:sz w:val="19"/>
          <w:szCs w:val="19"/>
          <w:lang w:val="es-MX"/>
        </w:rPr>
        <w:t xml:space="preserve"> […]</w:t>
      </w:r>
    </w:p>
    <w:p w14:paraId="51786211" w14:textId="77777777" w:rsidR="00836422" w:rsidRPr="00082ACC" w:rsidRDefault="00836422" w:rsidP="00836422">
      <w:pPr>
        <w:pStyle w:val="NormalWeb"/>
        <w:spacing w:after="0" w:line="240" w:lineRule="auto"/>
        <w:ind w:firstLine="709"/>
        <w:contextualSpacing/>
        <w:rPr>
          <w:rFonts w:ascii="Arial" w:hAnsi="Arial" w:cs="Arial"/>
          <w:sz w:val="19"/>
          <w:szCs w:val="19"/>
          <w:lang w:val="es-MX"/>
        </w:rPr>
      </w:pPr>
      <w:r>
        <w:rPr>
          <w:rFonts w:ascii="Arial" w:eastAsia="Calibri" w:hAnsi="Arial" w:cs="Arial"/>
          <w:color w:val="000000"/>
          <w:sz w:val="19"/>
          <w:szCs w:val="19"/>
        </w:rPr>
        <w:t>“</w:t>
      </w:r>
      <w:r w:rsidRPr="00082ACC">
        <w:rPr>
          <w:rStyle w:val="baj"/>
          <w:rFonts w:ascii="Arial" w:hAnsi="Arial" w:cs="Arial"/>
          <w:sz w:val="19"/>
          <w:szCs w:val="19"/>
          <w:lang w:val="es-MX"/>
        </w:rPr>
        <w:t xml:space="preserve"> Parágrafo.</w:t>
      </w:r>
      <w:r w:rsidRPr="00082ACC">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Arial" w:eastAsia="Calibri" w:hAnsi="Arial" w:cs="Arial"/>
          <w:color w:val="000000"/>
          <w:sz w:val="19"/>
          <w:szCs w:val="19"/>
        </w:rPr>
        <w:t>”</w:t>
      </w:r>
      <w:r w:rsidRPr="00082ACC">
        <w:rPr>
          <w:rFonts w:ascii="Arial" w:hAnsi="Arial" w:cs="Arial"/>
          <w:sz w:val="19"/>
          <w:szCs w:val="19"/>
          <w:lang w:val="es-MX"/>
        </w:rPr>
        <w:t>.</w:t>
      </w:r>
    </w:p>
  </w:footnote>
  <w:footnote w:id="10">
    <w:p w14:paraId="1257033D" w14:textId="77777777" w:rsidR="00836422" w:rsidRPr="00082ACC" w:rsidRDefault="00836422" w:rsidP="00836422">
      <w:pPr>
        <w:ind w:left="100" w:right="244" w:firstLine="709"/>
        <w:contextualSpacing/>
        <w:jc w:val="both"/>
        <w:rPr>
          <w:rFonts w:ascii="Arial" w:hAnsi="Arial" w:cs="Arial"/>
          <w:sz w:val="19"/>
          <w:szCs w:val="19"/>
          <w:lang w:val="es-ES"/>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2F240591" w14:textId="77777777" w:rsidR="00836422" w:rsidRPr="00082ACC" w:rsidRDefault="00836422" w:rsidP="00836422">
      <w:pPr>
        <w:pStyle w:val="Textonotapie"/>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12">
    <w:p w14:paraId="13F64D51" w14:textId="77777777" w:rsidR="00836422" w:rsidRPr="00082ACC" w:rsidRDefault="00836422" w:rsidP="00836422">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Decreto 1082 de 2015: </w:t>
      </w:r>
      <w:r>
        <w:rPr>
          <w:rFonts w:ascii="Arial" w:hAnsi="Arial" w:cs="Arial"/>
          <w:sz w:val="19"/>
          <w:szCs w:val="19"/>
        </w:rPr>
        <w:t>“</w:t>
      </w:r>
      <w:r w:rsidRPr="00082ACC">
        <w:rPr>
          <w:rFonts w:ascii="Arial" w:hAnsi="Arial" w:cs="Arial"/>
          <w:sz w:val="19"/>
          <w:szCs w:val="19"/>
        </w:rPr>
        <w:t>Artículo 2.2.1.2.1.4.4. Convenios o contratos interadministrativos. La modalidad de selección para la contratación entre Entidades Estatales es la contratación directa; y en consecuencia, le es aplicable lo establecido en el artículo 2.2.1.2.1.4.1 del presente decreto.</w:t>
      </w:r>
    </w:p>
    <w:p w14:paraId="6B00D465" w14:textId="77777777" w:rsidR="00836422" w:rsidRPr="00082ACC" w:rsidRDefault="00836422" w:rsidP="00836422">
      <w:pPr>
        <w:ind w:firstLine="709"/>
        <w:contextualSpacing/>
        <w:jc w:val="both"/>
        <w:rPr>
          <w:rFonts w:ascii="Arial" w:hAnsi="Arial" w:cs="Arial"/>
          <w:sz w:val="19"/>
          <w:szCs w:val="19"/>
        </w:rPr>
      </w:pPr>
      <w:r>
        <w:rPr>
          <w:rFonts w:ascii="Arial" w:hAnsi="Arial" w:cs="Arial"/>
          <w:sz w:val="19"/>
          <w:szCs w:val="19"/>
        </w:rPr>
        <w:t>“</w:t>
      </w:r>
      <w:r w:rsidRPr="00082ACC">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82ACC">
        <w:rPr>
          <w:rFonts w:ascii="Arial" w:hAnsi="Arial" w:cs="Arial"/>
          <w:spacing w:val="-1"/>
          <w:sz w:val="19"/>
          <w:szCs w:val="19"/>
        </w:rPr>
        <w:t xml:space="preserve"> </w:t>
      </w:r>
      <w:r w:rsidRPr="00082ACC">
        <w:rPr>
          <w:rFonts w:ascii="Arial" w:hAnsi="Arial" w:cs="Arial"/>
          <w:sz w:val="19"/>
          <w:szCs w:val="19"/>
        </w:rPr>
        <w:t>Estatales</w:t>
      </w:r>
      <w:r>
        <w:rPr>
          <w:rFonts w:ascii="Arial" w:hAnsi="Arial" w:cs="Arial"/>
          <w:sz w:val="19"/>
          <w:szCs w:val="19"/>
        </w:rPr>
        <w:t>”</w:t>
      </w:r>
      <w:r w:rsidRPr="00082ACC">
        <w:rPr>
          <w:rFonts w:ascii="Arial" w:hAnsi="Arial" w:cs="Arial"/>
          <w:sz w:val="19"/>
          <w:szCs w:val="19"/>
        </w:rPr>
        <w:t>.</w:t>
      </w:r>
    </w:p>
  </w:footnote>
  <w:footnote w:id="13">
    <w:p w14:paraId="19E11AD5" w14:textId="77777777" w:rsidR="00836422" w:rsidRPr="00082ACC" w:rsidRDefault="00836422" w:rsidP="00836422">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Ley 1150 de 2007: </w:t>
      </w:r>
      <w:r>
        <w:rPr>
          <w:rFonts w:ascii="Arial" w:hAnsi="Arial" w:cs="Arial"/>
          <w:sz w:val="19"/>
          <w:szCs w:val="19"/>
        </w:rPr>
        <w:t>“</w:t>
      </w:r>
      <w:r w:rsidRPr="00082ACC">
        <w:rPr>
          <w:rFonts w:ascii="Arial" w:hAnsi="Arial" w:cs="Arial"/>
          <w:sz w:val="19"/>
          <w:szCs w:val="19"/>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82ACC">
        <w:rPr>
          <w:rFonts w:ascii="Arial" w:hAnsi="Arial" w:cs="Arial"/>
          <w:spacing w:val="-6"/>
          <w:sz w:val="19"/>
          <w:szCs w:val="19"/>
        </w:rPr>
        <w:t xml:space="preserve"> </w:t>
      </w:r>
      <w:r w:rsidRPr="00082ACC">
        <w:rPr>
          <w:rFonts w:ascii="Arial" w:hAnsi="Arial" w:cs="Arial"/>
          <w:sz w:val="19"/>
          <w:szCs w:val="19"/>
        </w:rPr>
        <w:t>artículo</w:t>
      </w:r>
      <w:r>
        <w:rPr>
          <w:rFonts w:ascii="Arial" w:hAnsi="Arial" w:cs="Arial"/>
          <w:sz w:val="19"/>
          <w:szCs w:val="19"/>
        </w:rPr>
        <w:t>”</w:t>
      </w:r>
      <w:r w:rsidRPr="00082ACC">
        <w:rPr>
          <w:rFonts w:ascii="Arial" w:hAnsi="Arial" w:cs="Arial"/>
          <w:sz w:val="19"/>
          <w:szCs w:val="19"/>
        </w:rPr>
        <w:t>.</w:t>
      </w:r>
    </w:p>
  </w:footnote>
  <w:footnote w:id="14">
    <w:p w14:paraId="6BCF25D5" w14:textId="77777777" w:rsidR="00836422" w:rsidRPr="00082ACC" w:rsidRDefault="00836422" w:rsidP="00836422">
      <w:pPr>
        <w:ind w:right="454"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position w:val="7"/>
          <w:sz w:val="19"/>
          <w:szCs w:val="19"/>
        </w:rPr>
        <w:t xml:space="preserve"> </w:t>
      </w:r>
      <w:r w:rsidRPr="00082ACC">
        <w:rPr>
          <w:rFonts w:ascii="Arial" w:hAnsi="Arial" w:cs="Arial"/>
          <w:sz w:val="19"/>
          <w:szCs w:val="19"/>
        </w:rPr>
        <w:t>Consejo de Estado. Sección Tercera. Sentencia del 23 de junio de 2010. Radicación No. 66001-23-31-000-1998-00261-01(17.860). Consejero Ponente: Mauricio Fajardo Gómez.</w:t>
      </w:r>
    </w:p>
  </w:footnote>
  <w:footnote w:id="15">
    <w:p w14:paraId="04EB4F06" w14:textId="77777777" w:rsidR="00836422" w:rsidRPr="00082ACC" w:rsidRDefault="00836422" w:rsidP="00836422">
      <w:pPr>
        <w:ind w:firstLine="709"/>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Consejo de Estado. Sección Tercera. Subsección C. Sentencia del 11 de diciembre de 2019. Exp. 46.986. C.P. Jaime Enrique Rodríguez Navas.</w:t>
      </w:r>
    </w:p>
  </w:footnote>
  <w:footnote w:id="16">
    <w:p w14:paraId="5243495C" w14:textId="77777777" w:rsidR="00836422" w:rsidRPr="00082ACC" w:rsidRDefault="00836422" w:rsidP="0083642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[Referencia propia de la cita] </w:t>
      </w:r>
      <w:r>
        <w:rPr>
          <w:rFonts w:ascii="Arial" w:hAnsi="Arial" w:cs="Arial"/>
          <w:sz w:val="19"/>
          <w:szCs w:val="19"/>
        </w:rPr>
        <w:t>“</w:t>
      </w:r>
      <w:r w:rsidRPr="00082ACC">
        <w:rPr>
          <w:rFonts w:ascii="Arial" w:hAnsi="Arial" w:cs="Arial"/>
          <w:sz w:val="19"/>
          <w:szCs w:val="19"/>
        </w:rPr>
        <w:t>CE. SCSC. Concepto de 1 de noviembre de 2016 [Rad. 11001-03-06-000-2016-00125-00(2305)]. MP. Germán Alberto Bula Escobar</w:t>
      </w:r>
      <w:r>
        <w:rPr>
          <w:rFonts w:ascii="Arial" w:hAnsi="Arial" w:cs="Arial"/>
          <w:sz w:val="19"/>
          <w:szCs w:val="19"/>
        </w:rPr>
        <w:t>”</w:t>
      </w:r>
      <w:r w:rsidRPr="00082ACC">
        <w:rPr>
          <w:rFonts w:ascii="Arial" w:hAnsi="Arial" w:cs="Arial"/>
          <w:sz w:val="19"/>
          <w:szCs w:val="19"/>
        </w:rPr>
        <w:t>.</w:t>
      </w:r>
    </w:p>
  </w:footnote>
  <w:footnote w:id="17">
    <w:p w14:paraId="7A622064" w14:textId="77777777" w:rsidR="00836422" w:rsidRPr="00082ACC" w:rsidRDefault="00836422" w:rsidP="0083642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[Referencia propia de la cita] </w:t>
      </w:r>
      <w:r>
        <w:rPr>
          <w:rFonts w:ascii="Arial" w:hAnsi="Arial" w:cs="Arial"/>
          <w:sz w:val="19"/>
          <w:szCs w:val="19"/>
        </w:rPr>
        <w:t>“</w:t>
      </w:r>
      <w:r w:rsidRPr="00082ACC">
        <w:rPr>
          <w:rFonts w:ascii="Arial" w:hAnsi="Arial" w:cs="Arial"/>
          <w:sz w:val="19"/>
          <w:szCs w:val="19"/>
        </w:rPr>
        <w:t xml:space="preserve">CE. SCSC. Concepto de 30 de abril de 2008 [Rad. 11001-03-06-000-2008-00013-00(1881)]. MP. Enrique José Arboleda Perdomo. En esta oportunidad, la Sala indicó que el contenido </w:t>
      </w:r>
      <w:r w:rsidRPr="00082ACC">
        <w:rPr>
          <w:rFonts w:ascii="Arial" w:hAnsi="Arial" w:cs="Arial"/>
          <w:i/>
          <w:sz w:val="19"/>
          <w:szCs w:val="19"/>
        </w:rPr>
        <w:t>“obligacional”</w:t>
      </w:r>
      <w:r w:rsidRPr="00082ACC">
        <w:rPr>
          <w:rFonts w:ascii="Arial" w:hAnsi="Arial" w:cs="Arial"/>
          <w:sz w:val="19"/>
          <w:szCs w:val="19"/>
        </w:rPr>
        <w:t xml:space="preserve"> de los convenios se estructura definiendo el resultado querido por las partes y los medios que cada entidad despliega para la obtención del respectivo objeto</w:t>
      </w:r>
      <w:r>
        <w:rPr>
          <w:rFonts w:ascii="Arial" w:hAnsi="Arial" w:cs="Arial"/>
          <w:sz w:val="19"/>
          <w:szCs w:val="19"/>
        </w:rPr>
        <w:t>”</w:t>
      </w:r>
      <w:r w:rsidRPr="00082ACC">
        <w:rPr>
          <w:rFonts w:ascii="Arial" w:hAnsi="Arial" w:cs="Arial"/>
          <w:sz w:val="19"/>
          <w:szCs w:val="19"/>
        </w:rPr>
        <w:t>.</w:t>
      </w:r>
    </w:p>
  </w:footnote>
  <w:footnote w:id="18">
    <w:p w14:paraId="21819198" w14:textId="77777777" w:rsidR="00836422" w:rsidRPr="00082ACC" w:rsidRDefault="00836422" w:rsidP="0083642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[Referencia propia de la cita] </w:t>
      </w:r>
      <w:r>
        <w:rPr>
          <w:rFonts w:ascii="Arial" w:hAnsi="Arial" w:cs="Arial"/>
          <w:sz w:val="19"/>
          <w:szCs w:val="19"/>
        </w:rPr>
        <w:t>“</w:t>
      </w:r>
      <w:r w:rsidRPr="00082ACC">
        <w:rPr>
          <w:rFonts w:ascii="Arial" w:hAnsi="Arial" w:cs="Arial"/>
          <w:sz w:val="19"/>
          <w:szCs w:val="19"/>
        </w:rPr>
        <w:t xml:space="preserve">La normativa vigente del EGCAP </w:t>
      </w:r>
      <w:r w:rsidRPr="00082ACC">
        <w:rPr>
          <w:rFonts w:ascii="Arial" w:hAnsi="Arial" w:cs="Arial"/>
          <w:i/>
          <w:sz w:val="19"/>
          <w:szCs w:val="19"/>
        </w:rPr>
        <w:t>[literal c) del numeral 4. del artículo 2 de la Ley 1150/07]</w:t>
      </w:r>
      <w:r w:rsidRPr="00082ACC">
        <w:rPr>
          <w:rFonts w:ascii="Arial" w:hAnsi="Arial" w:cs="Arial"/>
          <w:sz w:val="19"/>
          <w:szCs w:val="19"/>
        </w:rPr>
        <w:t xml:space="preserve"> se refiere a </w:t>
      </w:r>
      <w:r w:rsidRPr="00082ACC">
        <w:rPr>
          <w:rFonts w:ascii="Arial" w:hAnsi="Arial" w:cs="Arial"/>
          <w:i/>
          <w:sz w:val="19"/>
          <w:szCs w:val="19"/>
        </w:rPr>
        <w:t>“contratos interadministrativos”</w:t>
      </w:r>
      <w:r w:rsidRPr="00082ACC">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r>
        <w:rPr>
          <w:rFonts w:ascii="Arial" w:hAnsi="Arial" w:cs="Arial"/>
          <w:sz w:val="19"/>
          <w:szCs w:val="19"/>
        </w:rPr>
        <w:t>”</w:t>
      </w:r>
      <w:r w:rsidRPr="00082ACC">
        <w:rPr>
          <w:rFonts w:ascii="Arial" w:hAnsi="Arial" w:cs="Arial"/>
          <w:sz w:val="19"/>
          <w:szCs w:val="19"/>
        </w:rPr>
        <w:t>.</w:t>
      </w:r>
    </w:p>
  </w:footnote>
  <w:footnote w:id="19">
    <w:p w14:paraId="02BB320A" w14:textId="77777777" w:rsidR="00836422" w:rsidRPr="00082ACC" w:rsidRDefault="00836422" w:rsidP="0083642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En línea con lo anterior, la Sala de Consulta y Servicio Civil del Consejo de Estado expresó lo siguiente: </w:t>
      </w:r>
      <w:r>
        <w:rPr>
          <w:rFonts w:ascii="Arial" w:hAnsi="Arial" w:cs="Arial"/>
          <w:sz w:val="19"/>
          <w:szCs w:val="19"/>
        </w:rPr>
        <w:t>“</w:t>
      </w:r>
      <w:r w:rsidRPr="00082ACC">
        <w:rPr>
          <w:rFonts w:ascii="Arial" w:hAnsi="Arial" w:cs="Arial"/>
          <w:sz w:val="19"/>
          <w:szCs w:val="19"/>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Pr>
          <w:rFonts w:ascii="Arial" w:hAnsi="Arial" w:cs="Arial"/>
          <w:sz w:val="19"/>
          <w:szCs w:val="19"/>
        </w:rPr>
        <w:t>”</w:t>
      </w:r>
      <w:r w:rsidRPr="00082ACC">
        <w:rPr>
          <w:rFonts w:ascii="Arial" w:hAnsi="Arial" w:cs="Arial"/>
          <w:sz w:val="19"/>
          <w:szCs w:val="19"/>
        </w:rPr>
        <w:t>. (Consejo de Estado. Sala de Consulta y Servicio Civil. Concepto 26 de julio de 2016. Exp. 2.257. M.P. Álvaro Namén Vargas).</w:t>
      </w:r>
    </w:p>
  </w:footnote>
  <w:footnote w:id="20">
    <w:p w14:paraId="627B577D" w14:textId="77777777" w:rsidR="00836422" w:rsidRPr="00082ACC" w:rsidRDefault="00836422" w:rsidP="00836422">
      <w:pPr>
        <w:pStyle w:val="Textonotapie"/>
        <w:ind w:firstLine="708"/>
        <w:contextualSpacing/>
        <w:jc w:val="both"/>
        <w:rPr>
          <w:rFonts w:ascii="Arial" w:hAnsi="Arial" w:cs="Arial"/>
          <w:sz w:val="19"/>
          <w:szCs w:val="19"/>
        </w:rPr>
      </w:pPr>
      <w:r w:rsidRPr="00082ACC">
        <w:rPr>
          <w:rStyle w:val="Refdenotaalpie"/>
          <w:rFonts w:ascii="Arial" w:hAnsi="Arial" w:cs="Arial"/>
          <w:sz w:val="19"/>
          <w:szCs w:val="19"/>
        </w:rPr>
        <w:footnoteRef/>
      </w:r>
      <w:r w:rsidRPr="00082ACC">
        <w:rPr>
          <w:rFonts w:ascii="Arial" w:hAnsi="Arial" w:cs="Arial"/>
          <w:sz w:val="19"/>
          <w:szCs w:val="19"/>
        </w:rPr>
        <w:t xml:space="preserve"> Es lo que sucede, por ejemplo, con el Decreto 092 de 2017, que en su desarrollo hace referencia tanto a los </w:t>
      </w:r>
      <w:r>
        <w:rPr>
          <w:rFonts w:ascii="Arial" w:hAnsi="Arial" w:cs="Arial"/>
          <w:sz w:val="19"/>
          <w:szCs w:val="19"/>
        </w:rPr>
        <w:t>“</w:t>
      </w:r>
      <w:r w:rsidRPr="00082ACC">
        <w:rPr>
          <w:rFonts w:ascii="Arial" w:hAnsi="Arial" w:cs="Arial"/>
          <w:sz w:val="19"/>
          <w:szCs w:val="19"/>
        </w:rPr>
        <w:t>contratos</w:t>
      </w:r>
      <w:r>
        <w:rPr>
          <w:rFonts w:ascii="Arial" w:hAnsi="Arial" w:cs="Arial"/>
          <w:sz w:val="19"/>
          <w:szCs w:val="19"/>
        </w:rPr>
        <w:t>”</w:t>
      </w:r>
      <w:r w:rsidRPr="00082ACC">
        <w:rPr>
          <w:rFonts w:ascii="Arial" w:hAnsi="Arial" w:cs="Arial"/>
          <w:sz w:val="19"/>
          <w:szCs w:val="19"/>
        </w:rPr>
        <w:t xml:space="preserve"> como a los </w:t>
      </w:r>
      <w:r>
        <w:rPr>
          <w:rFonts w:ascii="Arial" w:hAnsi="Arial" w:cs="Arial"/>
          <w:sz w:val="19"/>
          <w:szCs w:val="19"/>
        </w:rPr>
        <w:t>“</w:t>
      </w:r>
      <w:r w:rsidRPr="00082ACC">
        <w:rPr>
          <w:rFonts w:ascii="Arial" w:hAnsi="Arial" w:cs="Arial"/>
          <w:sz w:val="19"/>
          <w:szCs w:val="19"/>
        </w:rPr>
        <w:t>convenios</w:t>
      </w:r>
      <w:r>
        <w:rPr>
          <w:rFonts w:ascii="Arial" w:hAnsi="Arial" w:cs="Arial"/>
          <w:sz w:val="19"/>
          <w:szCs w:val="19"/>
        </w:rPr>
        <w:t>”</w:t>
      </w:r>
      <w:r w:rsidRPr="00082ACC">
        <w:rPr>
          <w:rFonts w:ascii="Arial" w:hAnsi="Arial" w:cs="Arial"/>
          <w:sz w:val="19"/>
          <w:szCs w:val="19"/>
        </w:rPr>
        <w:t xml:space="preserve">. </w:t>
      </w:r>
    </w:p>
  </w:footnote>
  <w:footnote w:id="21">
    <w:p w14:paraId="30D8368C" w14:textId="77777777" w:rsidR="00836422" w:rsidRPr="00082ACC" w:rsidRDefault="00836422" w:rsidP="00836422">
      <w:pPr>
        <w:pStyle w:val="Textonotapie"/>
        <w:ind w:firstLine="708"/>
        <w:contextualSpacing/>
        <w:jc w:val="both"/>
        <w:rPr>
          <w:rFonts w:ascii="Arial" w:hAnsi="Arial" w:cs="Arial"/>
          <w:sz w:val="19"/>
          <w:szCs w:val="19"/>
          <w:lang w:val="es-CO"/>
        </w:rPr>
      </w:pPr>
      <w:r w:rsidRPr="00082ACC">
        <w:rPr>
          <w:rStyle w:val="Refdenotaalpie"/>
          <w:rFonts w:ascii="Arial" w:hAnsi="Arial" w:cs="Arial"/>
          <w:sz w:val="19"/>
          <w:szCs w:val="19"/>
        </w:rPr>
        <w:footnoteRef/>
      </w:r>
      <w:r w:rsidRPr="00082ACC">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w:t>
      </w:r>
      <w:r>
        <w:rPr>
          <w:rFonts w:ascii="Arial" w:hAnsi="Arial" w:cs="Arial"/>
          <w:sz w:val="19"/>
          <w:szCs w:val="19"/>
        </w:rPr>
        <w:t>”</w:t>
      </w:r>
      <w:r w:rsidRPr="00082ACC">
        <w:rPr>
          <w:rFonts w:ascii="Arial" w:hAnsi="Arial" w:cs="Arial"/>
          <w:sz w:val="19"/>
          <w:szCs w:val="19"/>
        </w:rPr>
        <w:t>. (Corte Constitucional. Sentencia C-671 de 2015. M.P. Alberto Rojas Ríos).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77264124">
    <w:abstractNumId w:val="2"/>
  </w:num>
  <w:num w:numId="2" w16cid:durableId="338120795">
    <w:abstractNumId w:val="0"/>
  </w:num>
  <w:num w:numId="3" w16cid:durableId="410854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4D81"/>
    <w:rsid w:val="001A1011"/>
    <w:rsid w:val="001A48D0"/>
    <w:rsid w:val="001A550B"/>
    <w:rsid w:val="002653C1"/>
    <w:rsid w:val="0026611D"/>
    <w:rsid w:val="002951A0"/>
    <w:rsid w:val="002A64FD"/>
    <w:rsid w:val="002F0839"/>
    <w:rsid w:val="00301469"/>
    <w:rsid w:val="00306EE1"/>
    <w:rsid w:val="00310B9B"/>
    <w:rsid w:val="00351965"/>
    <w:rsid w:val="0036461C"/>
    <w:rsid w:val="00367884"/>
    <w:rsid w:val="0039439C"/>
    <w:rsid w:val="003B2FEA"/>
    <w:rsid w:val="003B69E7"/>
    <w:rsid w:val="003C013B"/>
    <w:rsid w:val="003D0F4D"/>
    <w:rsid w:val="003F58A1"/>
    <w:rsid w:val="00410DD6"/>
    <w:rsid w:val="004134C9"/>
    <w:rsid w:val="0043138C"/>
    <w:rsid w:val="00462A59"/>
    <w:rsid w:val="004A1847"/>
    <w:rsid w:val="004B6B0E"/>
    <w:rsid w:val="004D25B3"/>
    <w:rsid w:val="00511405"/>
    <w:rsid w:val="00526E9D"/>
    <w:rsid w:val="00547856"/>
    <w:rsid w:val="00547A74"/>
    <w:rsid w:val="00551949"/>
    <w:rsid w:val="005566E8"/>
    <w:rsid w:val="005746AB"/>
    <w:rsid w:val="0059357F"/>
    <w:rsid w:val="005A1130"/>
    <w:rsid w:val="005D65C8"/>
    <w:rsid w:val="006219F8"/>
    <w:rsid w:val="00681FDB"/>
    <w:rsid w:val="006A7DAD"/>
    <w:rsid w:val="006C66AC"/>
    <w:rsid w:val="006D70BA"/>
    <w:rsid w:val="007566FE"/>
    <w:rsid w:val="0076726F"/>
    <w:rsid w:val="0077144B"/>
    <w:rsid w:val="00793403"/>
    <w:rsid w:val="007C0CDF"/>
    <w:rsid w:val="007E2A2F"/>
    <w:rsid w:val="007F2B7C"/>
    <w:rsid w:val="00811651"/>
    <w:rsid w:val="00820F5B"/>
    <w:rsid w:val="00833452"/>
    <w:rsid w:val="00836422"/>
    <w:rsid w:val="008614E5"/>
    <w:rsid w:val="008678EB"/>
    <w:rsid w:val="00875894"/>
    <w:rsid w:val="00881C10"/>
    <w:rsid w:val="00890411"/>
    <w:rsid w:val="008D5C70"/>
    <w:rsid w:val="009025AF"/>
    <w:rsid w:val="00904F23"/>
    <w:rsid w:val="00906B3C"/>
    <w:rsid w:val="0095342C"/>
    <w:rsid w:val="009F33F2"/>
    <w:rsid w:val="009F6C77"/>
    <w:rsid w:val="00A07532"/>
    <w:rsid w:val="00A1085C"/>
    <w:rsid w:val="00A10932"/>
    <w:rsid w:val="00A309E2"/>
    <w:rsid w:val="00A8066E"/>
    <w:rsid w:val="00AA4B8A"/>
    <w:rsid w:val="00AA6BF7"/>
    <w:rsid w:val="00B01ED6"/>
    <w:rsid w:val="00B06D09"/>
    <w:rsid w:val="00B771A9"/>
    <w:rsid w:val="00B809BB"/>
    <w:rsid w:val="00B8248A"/>
    <w:rsid w:val="00BB7726"/>
    <w:rsid w:val="00C2329E"/>
    <w:rsid w:val="00C30461"/>
    <w:rsid w:val="00C45960"/>
    <w:rsid w:val="00C754BE"/>
    <w:rsid w:val="00C87572"/>
    <w:rsid w:val="00C9405D"/>
    <w:rsid w:val="00CC1B26"/>
    <w:rsid w:val="00CD284F"/>
    <w:rsid w:val="00CF23AA"/>
    <w:rsid w:val="00D01921"/>
    <w:rsid w:val="00D752B7"/>
    <w:rsid w:val="00DA1854"/>
    <w:rsid w:val="00DB0887"/>
    <w:rsid w:val="00DD6AE7"/>
    <w:rsid w:val="00DF1E43"/>
    <w:rsid w:val="00E20894"/>
    <w:rsid w:val="00E26B7C"/>
    <w:rsid w:val="00EA3003"/>
    <w:rsid w:val="00EB3C91"/>
    <w:rsid w:val="00EB66DA"/>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836422"/>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836422"/>
    <w:pPr>
      <w:spacing w:line="240" w:lineRule="exact"/>
    </w:pPr>
    <w:rPr>
      <w:vertAlign w:val="superscript"/>
    </w:rPr>
  </w:style>
  <w:style w:type="character" w:customStyle="1" w:styleId="baj">
    <w:name w:val="b_aj"/>
    <w:basedOn w:val="Fuentedeprrafopredeter"/>
    <w:rsid w:val="00836422"/>
  </w:style>
  <w:style w:type="table" w:customStyle="1" w:styleId="Tablaconcuadrcula12">
    <w:name w:val="Tabla con cuadrícula12"/>
    <w:basedOn w:val="Tablanormal"/>
    <w:next w:val="Tablaconcuadrcula"/>
    <w:uiPriority w:val="39"/>
    <w:rsid w:val="0083642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43E36137-C47A-42B5-8C45-15164FB095BF}"/>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6336</Words>
  <Characters>34851</Characters>
  <Application>Microsoft Office Word</Application>
  <DocSecurity>0</DocSecurity>
  <Lines>290</Lines>
  <Paragraphs>82</Paragraphs>
  <ScaleCrop>false</ScaleCrop>
  <Company/>
  <LinksUpToDate>false</LinksUpToDate>
  <CharactersWithSpaces>41105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4</cp:revision>
  <dcterms:created xsi:type="dcterms:W3CDTF">2023-05-09T02:42:00Z</dcterms:created>
  <dcterms:modified xsi:type="dcterms:W3CDTF">2023-05-11T22:46:00Z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