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82B8E" w14:textId="77777777" w:rsidR="006942EA" w:rsidRPr="00262B19" w:rsidRDefault="006942EA" w:rsidP="006942EA">
      <w:pPr>
        <w:spacing w:after="0" w:line="276" w:lineRule="auto"/>
        <w:jc w:val="both"/>
        <w:rPr>
          <w:rFonts w:ascii="Verdana" w:eastAsia="Calibri" w:hAnsi="Verdana" w:cs="Arial"/>
          <w:b/>
          <w:bCs/>
        </w:rPr>
      </w:pPr>
      <w:r w:rsidRPr="00262B19">
        <w:rPr>
          <w:rFonts w:ascii="Verdana" w:eastAsia="Calibri" w:hAnsi="Verdana" w:cs="Arial"/>
          <w:b/>
          <w:bCs/>
          <w:lang w:val="es-ES" w:eastAsia="es-ES"/>
        </w:rPr>
        <w:t xml:space="preserve">ADENDAS– Pliego de condiciones – Límites temporales – Límites materiales </w:t>
      </w:r>
    </w:p>
    <w:p w14:paraId="17ABB770" w14:textId="77777777" w:rsidR="006942EA" w:rsidRDefault="006942EA" w:rsidP="006942EA">
      <w:pPr>
        <w:spacing w:after="0" w:line="240" w:lineRule="auto"/>
        <w:rPr>
          <w:rFonts w:ascii="Verdana" w:eastAsia="Geomanist Light" w:hAnsi="Verdana" w:cs="Arial"/>
          <w:b/>
          <w:bCs/>
          <w:color w:val="000000" w:themeColor="text1"/>
          <w:lang w:val="es-ES"/>
        </w:rPr>
      </w:pPr>
    </w:p>
    <w:p w14:paraId="31A8F6CA" w14:textId="77777777" w:rsidR="006942EA" w:rsidRPr="00DC04E0" w:rsidRDefault="006942EA" w:rsidP="006942EA">
      <w:pPr>
        <w:widowControl w:val="0"/>
        <w:autoSpaceDE w:val="0"/>
        <w:autoSpaceDN w:val="0"/>
        <w:spacing w:after="0" w:line="276" w:lineRule="auto"/>
        <w:jc w:val="both"/>
        <w:rPr>
          <w:rFonts w:ascii="Verdana" w:eastAsia="Arial" w:hAnsi="Verdana" w:cs="Arial"/>
          <w:lang w:eastAsia="es-ES" w:bidi="es-ES"/>
        </w:rPr>
      </w:pPr>
      <w:r>
        <w:rPr>
          <w:rFonts w:ascii="Verdana" w:eastAsia="Arial" w:hAnsi="Verdana" w:cs="Arial"/>
          <w:lang w:eastAsia="es-ES" w:bidi="es-ES"/>
        </w:rPr>
        <w:t>A</w:t>
      </w:r>
      <w:r w:rsidRPr="00DC04E0">
        <w:rPr>
          <w:rFonts w:ascii="Verdana" w:eastAsia="Arial" w:hAnsi="Verdana" w:cs="Arial"/>
          <w:lang w:eastAsia="es-ES" w:bidi="es-ES"/>
        </w:rPr>
        <w:t xml:space="preserve">un cuando los límites materiales de las modificaciones de los pliegos de condiciones no están definidos positivamente en la ley, </w:t>
      </w:r>
      <w:r w:rsidRPr="00DC04E0">
        <w:rPr>
          <w:rFonts w:ascii="Verdana" w:hAnsi="Verdana"/>
        </w:rPr>
        <w:t>d</w:t>
      </w:r>
      <w:r w:rsidRPr="00DC04E0">
        <w:rPr>
          <w:rFonts w:ascii="Verdana" w:eastAsia="Arial" w:hAnsi="Verdana" w:cs="Arial"/>
          <w:lang w:eastAsia="es-ES" w:bidi="es-ES"/>
        </w:rPr>
        <w:t>e conformidad con lo dispuesto en el artículo 30, numeral 5, de la Ley 80 de 1993 –modificado por el artículo 89 de la Ley 1474 de 2011 y el artículo 2.2.1.1.2.2.1. del Decreto 1082 de 2015, conviene diferenciar entre dos (2) tipos de ajustes que pueden dar lugar a la expedición de adendas: i) los referidos a las condiciones técnicas, jurídicas y económicas del pliego definitivo y, en general, a cualquier contenido distinto del cronograma del procedimiento de selección y ii) los del cronograma.</w:t>
      </w:r>
    </w:p>
    <w:p w14:paraId="3A107894" w14:textId="77777777" w:rsidR="006942EA" w:rsidRPr="00DC04E0" w:rsidRDefault="006942EA" w:rsidP="006942EA">
      <w:pPr>
        <w:widowControl w:val="0"/>
        <w:autoSpaceDE w:val="0"/>
        <w:autoSpaceDN w:val="0"/>
        <w:spacing w:after="0" w:line="276" w:lineRule="auto"/>
        <w:jc w:val="both"/>
        <w:rPr>
          <w:rFonts w:ascii="Verdana" w:eastAsia="Arial" w:hAnsi="Verdana" w:cs="Arial"/>
          <w:lang w:eastAsia="es-ES" w:bidi="es-ES"/>
        </w:rPr>
      </w:pPr>
    </w:p>
    <w:p w14:paraId="24EE8D66" w14:textId="77777777" w:rsidR="006942EA" w:rsidRPr="00DC04E0" w:rsidRDefault="006942EA" w:rsidP="006942EA">
      <w:pPr>
        <w:widowControl w:val="0"/>
        <w:autoSpaceDE w:val="0"/>
        <w:autoSpaceDN w:val="0"/>
        <w:spacing w:after="0" w:line="276" w:lineRule="auto"/>
        <w:jc w:val="both"/>
        <w:rPr>
          <w:rFonts w:ascii="Verdana" w:eastAsia="Arial" w:hAnsi="Verdana" w:cs="Arial"/>
          <w:lang w:eastAsia="es-ES" w:bidi="es-ES"/>
        </w:rPr>
      </w:pPr>
      <w:r w:rsidRPr="00DC04E0">
        <w:rPr>
          <w:rFonts w:ascii="Verdana" w:eastAsia="Calibri" w:hAnsi="Verdana" w:cs="Arial"/>
          <w:lang w:eastAsia="es-CO"/>
        </w:rPr>
        <w:t xml:space="preserve">Además, es preciso advertir que, las adendas solo pueden modificar aspectos de los pliegos que no sean sustanciales, lo que significa que pueden cambiar asuntos como el cronograma del proceso, o pueden abrir la posibilidad de que un material no previsto inicialmente sea utilizado en la elaboración de lo que la entidad requiere siempre que no incida en el presupuesto. En ese sentido, debe tenerse en cuenta que mediante adendas </w:t>
      </w:r>
      <w:r w:rsidRPr="00DC04E0">
        <w:rPr>
          <w:rFonts w:ascii="Verdana" w:eastAsia="Calibri" w:hAnsi="Verdana" w:cs="Arial"/>
          <w:bCs/>
          <w:lang w:eastAsia="es-CO"/>
        </w:rPr>
        <w:t>no se pueden cambiar asuntos sustanciales como son el objeto del contrato, el mecanismo de selección y el presupuesto.</w:t>
      </w:r>
      <w:r w:rsidRPr="00DC04E0">
        <w:rPr>
          <w:rFonts w:ascii="Verdana" w:eastAsia="Calibri" w:hAnsi="Verdana" w:cs="Arial"/>
          <w:lang w:eastAsia="es-CO"/>
        </w:rPr>
        <w:t xml:space="preserve"> Adicionalmente, las adendas además deben cumplir todos los requisitos de publicidad del pliego de condiciones, ya que, para garantizar seguridad jurídica en el marco del proceso, las reglas no pueden variar a espaldas de los eventuales interesados, como en efecto aplicó para la publicación del pliego inicial.</w:t>
      </w:r>
    </w:p>
    <w:p w14:paraId="6EB34E67" w14:textId="77777777" w:rsidR="006942EA" w:rsidRDefault="006942EA" w:rsidP="006942EA">
      <w:pPr>
        <w:spacing w:after="0" w:line="240" w:lineRule="auto"/>
        <w:rPr>
          <w:rFonts w:ascii="Verdana" w:eastAsia="Geomanist Light" w:hAnsi="Verdana" w:cs="Arial"/>
          <w:color w:val="000000" w:themeColor="text1"/>
          <w:lang w:val="es-MX"/>
        </w:rPr>
      </w:pPr>
    </w:p>
    <w:p w14:paraId="6FD3C924" w14:textId="77777777" w:rsidR="006942EA" w:rsidRDefault="006942EA" w:rsidP="006942EA">
      <w:pPr>
        <w:spacing w:after="0" w:line="240" w:lineRule="auto"/>
        <w:rPr>
          <w:rFonts w:ascii="Verdana" w:eastAsia="Geomanist Light" w:hAnsi="Verdana" w:cs="Arial"/>
          <w:color w:val="000000" w:themeColor="text1"/>
          <w:lang w:val="es-MX"/>
        </w:rPr>
      </w:pPr>
    </w:p>
    <w:p w14:paraId="2AD85082" w14:textId="77777777" w:rsidR="006942EA" w:rsidRDefault="006942EA" w:rsidP="006942EA">
      <w:pPr>
        <w:spacing w:after="0" w:line="240" w:lineRule="auto"/>
        <w:rPr>
          <w:rFonts w:ascii="Verdana" w:eastAsia="Geomanist Light" w:hAnsi="Verdana" w:cs="Arial"/>
          <w:color w:val="000000" w:themeColor="text1"/>
          <w:lang w:val="es-MX"/>
        </w:rPr>
      </w:pPr>
    </w:p>
    <w:p w14:paraId="47954A64" w14:textId="77777777" w:rsidR="006942EA" w:rsidRDefault="006942EA" w:rsidP="006942EA">
      <w:pPr>
        <w:spacing w:after="0" w:line="240" w:lineRule="auto"/>
        <w:rPr>
          <w:rFonts w:ascii="Verdana" w:eastAsia="Geomanist Light" w:hAnsi="Verdana" w:cs="Arial"/>
          <w:color w:val="000000" w:themeColor="text1"/>
          <w:lang w:val="es-MX"/>
        </w:rPr>
      </w:pPr>
    </w:p>
    <w:p w14:paraId="4553BCE3" w14:textId="77777777" w:rsidR="006942EA" w:rsidRDefault="006942EA" w:rsidP="006942EA">
      <w:pPr>
        <w:spacing w:after="0" w:line="240" w:lineRule="auto"/>
        <w:rPr>
          <w:rFonts w:ascii="Verdana" w:eastAsia="Geomanist Light" w:hAnsi="Verdana" w:cs="Arial"/>
          <w:color w:val="000000" w:themeColor="text1"/>
          <w:lang w:val="es-MX"/>
        </w:rPr>
      </w:pPr>
    </w:p>
    <w:p w14:paraId="38823325" w14:textId="77777777" w:rsidR="006942EA" w:rsidRDefault="006942EA" w:rsidP="006942EA">
      <w:pPr>
        <w:spacing w:after="0" w:line="240" w:lineRule="auto"/>
        <w:rPr>
          <w:rFonts w:ascii="Verdana" w:eastAsia="Geomanist Light" w:hAnsi="Verdana" w:cs="Arial"/>
          <w:color w:val="000000" w:themeColor="text1"/>
          <w:lang w:val="es-MX"/>
        </w:rPr>
      </w:pPr>
    </w:p>
    <w:p w14:paraId="75F0F4BF" w14:textId="77777777" w:rsidR="006942EA" w:rsidRDefault="006942EA" w:rsidP="006942EA">
      <w:pPr>
        <w:spacing w:after="0" w:line="240" w:lineRule="auto"/>
        <w:rPr>
          <w:rFonts w:ascii="Verdana" w:eastAsia="Geomanist Light" w:hAnsi="Verdana" w:cs="Arial"/>
          <w:color w:val="000000" w:themeColor="text1"/>
          <w:lang w:val="es-MX"/>
        </w:rPr>
      </w:pPr>
    </w:p>
    <w:p w14:paraId="37EA2937" w14:textId="77777777" w:rsidR="006942EA" w:rsidRDefault="006942EA" w:rsidP="006942EA">
      <w:pPr>
        <w:spacing w:after="0" w:line="240" w:lineRule="auto"/>
        <w:rPr>
          <w:rFonts w:ascii="Verdana" w:eastAsia="Geomanist Light" w:hAnsi="Verdana" w:cs="Arial"/>
          <w:color w:val="000000" w:themeColor="text1"/>
          <w:lang w:val="es-MX"/>
        </w:rPr>
      </w:pPr>
    </w:p>
    <w:p w14:paraId="2D3BF720" w14:textId="77777777" w:rsidR="006942EA" w:rsidRDefault="006942EA" w:rsidP="006942EA">
      <w:pPr>
        <w:spacing w:after="0" w:line="240" w:lineRule="auto"/>
        <w:rPr>
          <w:rFonts w:ascii="Verdana" w:eastAsia="Geomanist Light" w:hAnsi="Verdana" w:cs="Arial"/>
          <w:color w:val="000000" w:themeColor="text1"/>
          <w:lang w:val="es-MX"/>
        </w:rPr>
      </w:pPr>
    </w:p>
    <w:p w14:paraId="70845FC9" w14:textId="77777777" w:rsidR="006942EA" w:rsidRDefault="006942EA" w:rsidP="006942EA">
      <w:pPr>
        <w:spacing w:after="0" w:line="240" w:lineRule="auto"/>
        <w:rPr>
          <w:rFonts w:ascii="Verdana" w:eastAsia="Geomanist Light" w:hAnsi="Verdana" w:cs="Arial"/>
          <w:color w:val="000000" w:themeColor="text1"/>
          <w:lang w:val="es-MX"/>
        </w:rPr>
      </w:pPr>
    </w:p>
    <w:p w14:paraId="215BA812" w14:textId="77777777" w:rsidR="006942EA" w:rsidRDefault="006942EA" w:rsidP="006942EA">
      <w:pPr>
        <w:spacing w:after="0" w:line="240" w:lineRule="auto"/>
        <w:rPr>
          <w:rFonts w:ascii="Verdana" w:eastAsia="Geomanist Light" w:hAnsi="Verdana" w:cs="Arial"/>
          <w:color w:val="000000" w:themeColor="text1"/>
          <w:lang w:val="es-MX"/>
        </w:rPr>
      </w:pPr>
    </w:p>
    <w:p w14:paraId="03986367" w14:textId="77777777" w:rsidR="006942EA" w:rsidRDefault="006942EA" w:rsidP="006942EA">
      <w:pPr>
        <w:spacing w:after="0" w:line="240" w:lineRule="auto"/>
        <w:rPr>
          <w:rFonts w:ascii="Verdana" w:eastAsia="Geomanist Light" w:hAnsi="Verdana" w:cs="Arial"/>
          <w:color w:val="000000" w:themeColor="text1"/>
          <w:lang w:val="es-MX"/>
        </w:rPr>
      </w:pPr>
    </w:p>
    <w:p w14:paraId="51AEDDAF" w14:textId="77777777" w:rsidR="006942EA" w:rsidRDefault="006942EA" w:rsidP="006942EA">
      <w:pPr>
        <w:spacing w:after="0" w:line="240" w:lineRule="auto"/>
        <w:rPr>
          <w:rFonts w:ascii="Verdana" w:eastAsia="Geomanist Light" w:hAnsi="Verdana" w:cs="Arial"/>
          <w:color w:val="000000" w:themeColor="text1"/>
          <w:lang w:val="es-MX"/>
        </w:rPr>
      </w:pPr>
    </w:p>
    <w:p w14:paraId="628F8BF2" w14:textId="77777777" w:rsidR="006942EA" w:rsidRDefault="006942EA" w:rsidP="006942EA">
      <w:pPr>
        <w:spacing w:after="0" w:line="240" w:lineRule="auto"/>
        <w:rPr>
          <w:rFonts w:ascii="Verdana" w:eastAsia="Geomanist Light" w:hAnsi="Verdana" w:cs="Arial"/>
          <w:color w:val="000000" w:themeColor="text1"/>
          <w:lang w:val="es-MX"/>
        </w:rPr>
      </w:pPr>
    </w:p>
    <w:p w14:paraId="544B6C5E" w14:textId="77777777" w:rsidR="006942EA" w:rsidRDefault="006942EA" w:rsidP="006942EA">
      <w:pPr>
        <w:spacing w:after="0" w:line="240" w:lineRule="auto"/>
        <w:rPr>
          <w:rFonts w:ascii="Verdana" w:eastAsia="Geomanist Light" w:hAnsi="Verdana" w:cs="Arial"/>
          <w:color w:val="000000" w:themeColor="text1"/>
          <w:lang w:val="es-MX"/>
        </w:rPr>
      </w:pPr>
    </w:p>
    <w:p w14:paraId="6C8923F8" w14:textId="77777777" w:rsidR="006942EA" w:rsidRPr="00593A5F" w:rsidRDefault="006942EA" w:rsidP="006942EA">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[Mes.NombreCapitalizado] de [Año]</w:t>
      </w:r>
    </w:p>
    <w:p w14:paraId="6435C86B" w14:textId="4EBFEBF2" w:rsidR="006942EA" w:rsidRPr="00593A5F" w:rsidRDefault="00256672" w:rsidP="006942EA">
      <w:pPr>
        <w:spacing w:after="0" w:line="240" w:lineRule="auto"/>
        <w:jc w:val="both"/>
        <w:rPr>
          <w:rFonts w:ascii="Verdana" w:eastAsia="Calibri" w:hAnsi="Verdana" w:cs="Arial"/>
          <w:color w:val="000000"/>
          <w:lang w:val="es-ES"/>
        </w:rPr>
      </w:pPr>
      <w:r>
        <w:rPr>
          <w:rFonts w:ascii="Verdana" w:eastAsia="Calibri" w:hAnsi="Verdana" w:cs="Arial"/>
          <w:b/>
          <w:bCs/>
          <w:noProof/>
          <w:lang w:val="es-ES" w:eastAsia="es-ES"/>
        </w:rPr>
        <w:drawing>
          <wp:anchor distT="0" distB="0" distL="114300" distR="114300" simplePos="0" relativeHeight="251658240" behindDoc="0" locked="0" layoutInCell="1" allowOverlap="1" wp14:anchorId="0DBBA73C" wp14:editId="4D191D9F">
            <wp:simplePos x="0" y="0"/>
            <wp:positionH relativeFrom="column">
              <wp:posOffset>2196465</wp:posOffset>
            </wp:positionH>
            <wp:positionV relativeFrom="paragraph">
              <wp:posOffset>156845</wp:posOffset>
            </wp:positionV>
            <wp:extent cx="3448227" cy="1047804"/>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3448227" cy="1047804"/>
                    </a:xfrm>
                    <a:prstGeom prst="rect">
                      <a:avLst/>
                    </a:prstGeom>
                  </pic:spPr>
                </pic:pic>
              </a:graphicData>
            </a:graphic>
            <wp14:sizeRelH relativeFrom="page">
              <wp14:pctWidth>0</wp14:pctWidth>
            </wp14:sizeRelH>
            <wp14:sizeRelV relativeFrom="page">
              <wp14:pctHeight>0</wp14:pctHeight>
            </wp14:sizeRelV>
          </wp:anchor>
        </w:drawing>
      </w:r>
    </w:p>
    <w:p w14:paraId="7E569D4A" w14:textId="7E548F12" w:rsidR="006942EA" w:rsidRPr="00B96799" w:rsidRDefault="006942EA" w:rsidP="006942EA">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5BDD19B7" w14:textId="189642C3" w:rsidR="006942EA" w:rsidRPr="00B96799" w:rsidRDefault="006942EA" w:rsidP="006942EA">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Felipe Osorio Polanía</w:t>
      </w:r>
    </w:p>
    <w:p w14:paraId="4C3068CE" w14:textId="3EDB2945" w:rsidR="006942EA" w:rsidRDefault="00220FF0" w:rsidP="006942EA">
      <w:pPr>
        <w:spacing w:after="0" w:line="240" w:lineRule="auto"/>
        <w:rPr>
          <w:rFonts w:ascii="ArialMT" w:hAnsi="ArialMT" w:cs="ArialMT"/>
        </w:rPr>
      </w:pPr>
      <w:hyperlink r:id="rId12" w:history="1">
        <w:r w:rsidR="006942EA" w:rsidRPr="00BE2293">
          <w:rPr>
            <w:rStyle w:val="Hipervnculo"/>
            <w:rFonts w:ascii="ArialMT" w:hAnsi="ArialMT" w:cs="ArialMT"/>
          </w:rPr>
          <w:t>felipeop055@gmail.com</w:t>
        </w:r>
      </w:hyperlink>
    </w:p>
    <w:p w14:paraId="7831932E" w14:textId="1830E814" w:rsidR="006942EA" w:rsidRDefault="006942EA" w:rsidP="006942EA">
      <w:pPr>
        <w:spacing w:after="0" w:line="240" w:lineRule="auto"/>
        <w:rPr>
          <w:rFonts w:ascii="Verdana" w:eastAsia="Calibri" w:hAnsi="Verdana" w:cs="Arial"/>
          <w:lang w:val="es-ES" w:eastAsia="es-ES"/>
        </w:rPr>
      </w:pPr>
      <w:r>
        <w:rPr>
          <w:rFonts w:ascii="Verdana" w:eastAsia="Calibri" w:hAnsi="Verdana" w:cs="Arial"/>
          <w:lang w:val="es-ES" w:eastAsia="es-ES"/>
        </w:rPr>
        <w:t>Armenia</w:t>
      </w:r>
      <w:r w:rsidRPr="00B96799">
        <w:rPr>
          <w:rFonts w:ascii="Verdana" w:eastAsia="Calibri" w:hAnsi="Verdana" w:cs="Arial"/>
          <w:lang w:val="es-ES" w:eastAsia="es-ES"/>
        </w:rPr>
        <w:t xml:space="preserve">, </w:t>
      </w:r>
      <w:r>
        <w:rPr>
          <w:rFonts w:ascii="Verdana" w:eastAsia="Calibri" w:hAnsi="Verdana" w:cs="Arial"/>
          <w:lang w:val="es-ES" w:eastAsia="es-ES"/>
        </w:rPr>
        <w:t>Quindío</w:t>
      </w:r>
    </w:p>
    <w:p w14:paraId="659F5AE8" w14:textId="794B09B2" w:rsidR="00256672" w:rsidRPr="00B96799" w:rsidRDefault="00256672" w:rsidP="006942EA">
      <w:pPr>
        <w:spacing w:after="0" w:line="240" w:lineRule="auto"/>
        <w:rPr>
          <w:rFonts w:ascii="Verdana" w:eastAsia="Calibri" w:hAnsi="Verdana" w:cs="Arial"/>
          <w:b/>
          <w:bCs/>
          <w:lang w:val="es-ES" w:eastAsia="es-ES"/>
        </w:rPr>
      </w:pPr>
    </w:p>
    <w:p w14:paraId="20E83E94" w14:textId="77777777" w:rsidR="006942EA" w:rsidRPr="00593A5F" w:rsidRDefault="006942EA" w:rsidP="006942EA">
      <w:pPr>
        <w:spacing w:after="0" w:line="240" w:lineRule="auto"/>
        <w:rPr>
          <w:rFonts w:ascii="Verdana" w:eastAsia="Calibri" w:hAnsi="Verdana" w:cs="Arial"/>
          <w:b/>
          <w:bCs/>
          <w:color w:val="000000"/>
          <w:lang w:val="es-ES_tradnl" w:eastAsia="es-ES_tradnl"/>
        </w:rPr>
      </w:pPr>
    </w:p>
    <w:p w14:paraId="08B578C7" w14:textId="77777777" w:rsidR="006942EA" w:rsidRPr="00593A5F" w:rsidRDefault="006942EA" w:rsidP="006942E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942EA" w:rsidRPr="00593A5F" w14:paraId="3E3BFF42" w14:textId="77777777" w:rsidTr="003B5481">
        <w:trPr>
          <w:trHeight w:val="884"/>
        </w:trPr>
        <w:tc>
          <w:tcPr>
            <w:tcW w:w="2689" w:type="dxa"/>
          </w:tcPr>
          <w:p w14:paraId="34E728EF" w14:textId="77777777" w:rsidR="006942EA" w:rsidRPr="00C00976" w:rsidRDefault="006942EA" w:rsidP="003B5481">
            <w:pPr>
              <w:jc w:val="both"/>
              <w:rPr>
                <w:rFonts w:ascii="Verdana" w:eastAsia="Calibri" w:hAnsi="Verdana" w:cs="Arial"/>
                <w:b/>
                <w:bCs/>
                <w:color w:val="7030A0"/>
                <w:lang w:val="es-ES_tradnl" w:eastAsia="es-ES_tradnl"/>
              </w:rPr>
            </w:pPr>
          </w:p>
        </w:tc>
        <w:tc>
          <w:tcPr>
            <w:tcW w:w="6100" w:type="dxa"/>
          </w:tcPr>
          <w:p w14:paraId="231A2CF9" w14:textId="77777777" w:rsidR="006942EA" w:rsidRPr="00C00976" w:rsidRDefault="006942EA" w:rsidP="003B5481">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 xml:space="preserve">Concepto C- </w:t>
            </w:r>
            <w:r>
              <w:rPr>
                <w:rFonts w:ascii="Verdana" w:eastAsia="Calibri" w:hAnsi="Verdana" w:cs="Arial"/>
                <w:b/>
                <w:bCs/>
                <w:lang w:val="es-ES" w:eastAsia="es-ES"/>
              </w:rPr>
              <w:t>117</w:t>
            </w:r>
            <w:r w:rsidRPr="00C00976">
              <w:rPr>
                <w:rFonts w:ascii="Verdana" w:eastAsia="Calibri" w:hAnsi="Verdana" w:cs="Arial"/>
                <w:b/>
                <w:bCs/>
                <w:color w:val="7030A0"/>
                <w:lang w:val="es-ES" w:eastAsia="es-ES"/>
              </w:rPr>
              <w:t xml:space="preserve"> </w:t>
            </w:r>
            <w:r w:rsidRPr="00262B19">
              <w:rPr>
                <w:rFonts w:ascii="Verdana" w:eastAsia="Calibri" w:hAnsi="Verdana" w:cs="Arial"/>
                <w:b/>
                <w:bCs/>
                <w:lang w:val="es-ES" w:eastAsia="es-ES"/>
              </w:rPr>
              <w:t>de 2025</w:t>
            </w:r>
          </w:p>
        </w:tc>
      </w:tr>
      <w:tr w:rsidR="006942EA" w:rsidRPr="00593A5F" w14:paraId="3501D780" w14:textId="77777777" w:rsidTr="003B5481">
        <w:trPr>
          <w:trHeight w:val="884"/>
        </w:trPr>
        <w:tc>
          <w:tcPr>
            <w:tcW w:w="2689" w:type="dxa"/>
          </w:tcPr>
          <w:p w14:paraId="1EBC66AA" w14:textId="77777777" w:rsidR="006942EA" w:rsidRPr="00593A5F" w:rsidRDefault="006942EA" w:rsidP="003B548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CBB3983" w14:textId="77777777" w:rsidR="006942EA" w:rsidRPr="00262B19" w:rsidRDefault="006942EA" w:rsidP="003B5481">
            <w:pPr>
              <w:spacing w:line="276" w:lineRule="auto"/>
              <w:jc w:val="both"/>
              <w:rPr>
                <w:rFonts w:ascii="Verdana" w:eastAsia="Calibri" w:hAnsi="Verdana" w:cs="Arial"/>
                <w:lang w:val="es-ES" w:eastAsia="es-ES"/>
              </w:rPr>
            </w:pPr>
            <w:r w:rsidRPr="00262B19">
              <w:rPr>
                <w:rFonts w:ascii="Verdana" w:eastAsia="Calibri" w:hAnsi="Verdana" w:cs="Arial"/>
                <w:lang w:val="es-ES" w:eastAsia="es-ES"/>
              </w:rPr>
              <w:t>ADENDAS – Pliego de condiciones – Límites temporales – Límites materiales</w:t>
            </w:r>
          </w:p>
          <w:p w14:paraId="759A2171" w14:textId="77777777" w:rsidR="006942EA" w:rsidRPr="00593A5F" w:rsidRDefault="006942EA" w:rsidP="003B5481">
            <w:pPr>
              <w:spacing w:line="276" w:lineRule="auto"/>
              <w:jc w:val="both"/>
              <w:rPr>
                <w:rFonts w:ascii="Verdana" w:eastAsia="Calibri" w:hAnsi="Verdana" w:cs="Arial"/>
                <w:lang w:val="es-ES" w:eastAsia="es-ES"/>
              </w:rPr>
            </w:pPr>
          </w:p>
        </w:tc>
      </w:tr>
      <w:tr w:rsidR="006942EA" w:rsidRPr="00593A5F" w14:paraId="7056AC7B" w14:textId="77777777" w:rsidTr="003B5481">
        <w:tc>
          <w:tcPr>
            <w:tcW w:w="2689" w:type="dxa"/>
          </w:tcPr>
          <w:p w14:paraId="22B50F43" w14:textId="77777777" w:rsidR="006942EA" w:rsidRPr="00262B19" w:rsidRDefault="006942EA" w:rsidP="003B5481">
            <w:pPr>
              <w:jc w:val="both"/>
              <w:rPr>
                <w:rFonts w:ascii="Verdana" w:eastAsia="Calibri" w:hAnsi="Verdana" w:cs="Arial"/>
                <w:b/>
                <w:lang w:val="es-ES_tradnl" w:eastAsia="es-ES_tradnl"/>
              </w:rPr>
            </w:pPr>
            <w:r w:rsidRPr="00262B19">
              <w:rPr>
                <w:rFonts w:ascii="Verdana" w:eastAsia="Calibri" w:hAnsi="Verdana" w:cs="Arial"/>
                <w:b/>
                <w:lang w:val="es-ES_tradnl" w:eastAsia="es-ES_tradnl"/>
              </w:rPr>
              <w:t>Radicación:</w:t>
            </w:r>
            <w:r w:rsidRPr="00262B19">
              <w:rPr>
                <w:rFonts w:ascii="Verdana" w:eastAsia="Calibri" w:hAnsi="Verdana" w:cs="Arial"/>
                <w:lang w:val="es-ES_tradnl" w:eastAsia="es-ES_tradnl"/>
              </w:rPr>
              <w:t xml:space="preserve">               </w:t>
            </w:r>
          </w:p>
        </w:tc>
        <w:tc>
          <w:tcPr>
            <w:tcW w:w="6100" w:type="dxa"/>
          </w:tcPr>
          <w:p w14:paraId="171734F1" w14:textId="77777777" w:rsidR="006942EA" w:rsidRPr="00262B19" w:rsidRDefault="006942EA" w:rsidP="003B5481">
            <w:pPr>
              <w:jc w:val="both"/>
              <w:rPr>
                <w:rFonts w:ascii="Verdana" w:eastAsia="Calibri" w:hAnsi="Verdana" w:cs="Arial"/>
                <w:lang w:val="es-ES_tradnl" w:eastAsia="es-ES_tradnl"/>
              </w:rPr>
            </w:pPr>
            <w:r w:rsidRPr="00262B19">
              <w:rPr>
                <w:rFonts w:ascii="Verdana" w:eastAsia="Calibri" w:hAnsi="Verdana" w:cs="Arial"/>
                <w:lang w:val="es-ES_tradnl" w:eastAsia="es-ES_tradnl"/>
              </w:rPr>
              <w:t>Respuesta a consulta con radicado No. P20250204000998</w:t>
            </w:r>
          </w:p>
        </w:tc>
      </w:tr>
    </w:tbl>
    <w:p w14:paraId="4823EDF5" w14:textId="77777777" w:rsidR="006942EA" w:rsidRPr="00593A5F" w:rsidRDefault="006942EA" w:rsidP="006942EA">
      <w:pPr>
        <w:spacing w:after="0" w:line="240" w:lineRule="auto"/>
        <w:jc w:val="both"/>
        <w:rPr>
          <w:rFonts w:ascii="Verdana" w:eastAsia="Calibri" w:hAnsi="Verdana" w:cs="Arial"/>
          <w:color w:val="000000"/>
          <w:lang w:val="es-ES_tradnl" w:eastAsia="es-ES_tradnl"/>
        </w:rPr>
      </w:pPr>
    </w:p>
    <w:p w14:paraId="256CB2D6" w14:textId="77777777" w:rsidR="006942EA" w:rsidRPr="00593A5F" w:rsidRDefault="006942EA" w:rsidP="006942EA">
      <w:pPr>
        <w:spacing w:after="0" w:line="240" w:lineRule="auto"/>
        <w:jc w:val="both"/>
        <w:rPr>
          <w:rFonts w:ascii="Verdana" w:eastAsia="Calibri" w:hAnsi="Verdana" w:cs="Arial"/>
          <w:color w:val="000000"/>
          <w:lang w:val="es-ES_tradnl" w:eastAsia="es-ES_tradnl"/>
        </w:rPr>
      </w:pPr>
    </w:p>
    <w:p w14:paraId="5615859F" w14:textId="77777777" w:rsidR="006942EA" w:rsidRDefault="006942EA" w:rsidP="006942EA">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262B19">
        <w:rPr>
          <w:rFonts w:ascii="Verdana" w:eastAsia="Calibri" w:hAnsi="Verdana" w:cs="Arial"/>
          <w:lang w:val="es-ES" w:eastAsia="es-ES"/>
        </w:rPr>
        <w:t xml:space="preserve">señor Osorio: </w:t>
      </w:r>
    </w:p>
    <w:p w14:paraId="12B4025A" w14:textId="77777777" w:rsidR="006942EA" w:rsidRDefault="006942EA" w:rsidP="006942E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ECAE527" w14:textId="77777777" w:rsidR="006942EA" w:rsidRPr="00262B19" w:rsidRDefault="006942EA" w:rsidP="006942EA">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w:t>
      </w:r>
      <w:r w:rsidRPr="00262B19">
        <w:rPr>
          <w:rFonts w:ascii="Verdana" w:eastAsia="Calibri" w:hAnsi="Verdana" w:cs="Arial"/>
          <w:lang w:val="es-ES" w:eastAsia="es-ES"/>
        </w:rPr>
        <w:t xml:space="preserve">Contratación Pública – Colombia Compra Eficiente– responde su solicitud de consulta de fecha 4 de febrero de 2025, en la cual manifiesta lo siguiente: </w:t>
      </w:r>
    </w:p>
    <w:p w14:paraId="68C5D452" w14:textId="77777777" w:rsidR="006942EA" w:rsidRPr="00262B19" w:rsidRDefault="006942EA" w:rsidP="006942EA">
      <w:pPr>
        <w:pStyle w:val="Prrafodelista"/>
        <w:tabs>
          <w:tab w:val="left" w:pos="142"/>
          <w:tab w:val="left" w:pos="284"/>
        </w:tabs>
        <w:spacing w:line="276" w:lineRule="auto"/>
        <w:ind w:left="0"/>
        <w:jc w:val="both"/>
        <w:rPr>
          <w:rFonts w:ascii="Verdana" w:eastAsia="Century Gothic" w:hAnsi="Verdana" w:cs="Century Gothic"/>
          <w:b/>
          <w:bCs/>
        </w:rPr>
      </w:pPr>
    </w:p>
    <w:p w14:paraId="086F2EC0" w14:textId="77777777" w:rsidR="006942EA" w:rsidRPr="00262B19" w:rsidRDefault="006942EA" w:rsidP="006942EA">
      <w:pPr>
        <w:pStyle w:val="Prrafodelista"/>
        <w:tabs>
          <w:tab w:val="left" w:pos="142"/>
          <w:tab w:val="left" w:pos="284"/>
        </w:tabs>
        <w:spacing w:line="276" w:lineRule="auto"/>
        <w:ind w:right="900"/>
        <w:jc w:val="both"/>
        <w:rPr>
          <w:rFonts w:ascii="Verdana" w:eastAsia="Century Gothic" w:hAnsi="Verdana" w:cs="Century Gothic"/>
          <w:sz w:val="20"/>
          <w:szCs w:val="20"/>
        </w:rPr>
      </w:pPr>
      <w:r w:rsidRPr="00262B19">
        <w:rPr>
          <w:rFonts w:ascii="Verdana" w:eastAsia="Century Gothic" w:hAnsi="Verdana" w:cs="Century Gothic"/>
          <w:sz w:val="20"/>
          <w:szCs w:val="20"/>
        </w:rPr>
        <w:t>“Atentamente solicito concepto a ustedes como ente rector sobre:</w:t>
      </w:r>
    </w:p>
    <w:p w14:paraId="2C6130E0" w14:textId="77777777" w:rsidR="006942EA" w:rsidRPr="00262B19" w:rsidRDefault="006942EA" w:rsidP="006942EA">
      <w:pPr>
        <w:pStyle w:val="Prrafodelista"/>
        <w:tabs>
          <w:tab w:val="left" w:pos="142"/>
          <w:tab w:val="left" w:pos="284"/>
        </w:tabs>
        <w:spacing w:line="276" w:lineRule="auto"/>
        <w:ind w:right="900"/>
        <w:jc w:val="both"/>
        <w:rPr>
          <w:rFonts w:ascii="Verdana" w:eastAsia="Century Gothic" w:hAnsi="Verdana" w:cs="Century Gothic"/>
          <w:b/>
          <w:bCs/>
        </w:rPr>
      </w:pPr>
      <w:r w:rsidRPr="00262B19">
        <w:rPr>
          <w:rFonts w:ascii="Verdana" w:eastAsia="Century Gothic" w:hAnsi="Verdana" w:cs="Century Gothic"/>
          <w:sz w:val="20"/>
          <w:szCs w:val="20"/>
        </w:rPr>
        <w:t>En un proceso de licitación pública con un presupuesto superior a 1.300 millones de pesos, ¿es posible, mediante adenda, incrementar el valor del presupuesto oficial en menos del 1% (es decir, menos de 300 mil pesos), cuando a través de observaciones al pliego definitivo se evidencia un error de cálculo en alguno de los ítems o servicios? o se debe revocar el proceso e iniciar todo el trámite nuevamente?” […]</w:t>
      </w:r>
    </w:p>
    <w:p w14:paraId="279CD2E6" w14:textId="77777777" w:rsidR="006942EA" w:rsidRDefault="006942EA" w:rsidP="006942EA">
      <w:pPr>
        <w:spacing w:after="120" w:line="276" w:lineRule="auto"/>
        <w:ind w:firstLine="709"/>
        <w:jc w:val="both"/>
        <w:rPr>
          <w:rFonts w:ascii="Verdana" w:eastAsia="Calibri" w:hAnsi="Verdana" w:cs="Arial"/>
          <w:color w:val="000000"/>
          <w:szCs w:val="24"/>
          <w:lang w:val="es-ES_tradnl" w:eastAsia="es-ES_tradnl"/>
        </w:rPr>
      </w:pPr>
      <w:r w:rsidRPr="00262B1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w:t>
      </w:r>
      <w:r w:rsidRPr="00593A5F">
        <w:rPr>
          <w:rFonts w:ascii="Verdana" w:eastAsia="Calibri" w:hAnsi="Verdana" w:cs="Arial"/>
          <w:color w:val="000000"/>
          <w:lang w:val="es-ES" w:eastAsia="es-ES"/>
        </w:rPr>
        <w:t xml:space="preserve">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6538D02" w14:textId="77777777" w:rsidR="006942EA" w:rsidRDefault="006942EA" w:rsidP="006942E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0E555C32" w14:textId="77777777" w:rsidR="006942EA" w:rsidRPr="00593A5F" w:rsidRDefault="006942EA" w:rsidP="006942EA">
      <w:pPr>
        <w:spacing w:after="0" w:line="276" w:lineRule="auto"/>
        <w:ind w:firstLine="709"/>
        <w:jc w:val="both"/>
        <w:rPr>
          <w:rFonts w:ascii="Verdana" w:eastAsia="Calibri" w:hAnsi="Verdana" w:cs="Arial"/>
          <w:color w:val="000000"/>
          <w:lang w:val="es-ES" w:eastAsia="es-ES"/>
        </w:rPr>
      </w:pPr>
    </w:p>
    <w:p w14:paraId="7BBEB52A" w14:textId="77777777" w:rsidR="006942EA" w:rsidRPr="00593A5F" w:rsidRDefault="006942EA" w:rsidP="006942EA">
      <w:pPr>
        <w:pStyle w:val="Prrafodelista"/>
        <w:numPr>
          <w:ilvl w:val="0"/>
          <w:numId w:val="19"/>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E3905A4" w14:textId="77777777" w:rsidR="006942EA" w:rsidRPr="00593A5F" w:rsidRDefault="006942EA" w:rsidP="006942EA">
      <w:pPr>
        <w:tabs>
          <w:tab w:val="left" w:pos="426"/>
        </w:tabs>
        <w:spacing w:after="0" w:line="276" w:lineRule="auto"/>
        <w:jc w:val="both"/>
        <w:rPr>
          <w:rFonts w:ascii="Verdana" w:eastAsia="Century Gothic" w:hAnsi="Verdana" w:cs="Century Gothic"/>
          <w:lang w:val="es-ES"/>
        </w:rPr>
      </w:pPr>
    </w:p>
    <w:p w14:paraId="4C9A484F" w14:textId="77777777" w:rsidR="006942EA" w:rsidRPr="00626D8F" w:rsidRDefault="006942EA" w:rsidP="006942EA">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w:t>
      </w:r>
      <w:r>
        <w:rPr>
          <w:rFonts w:ascii="Verdana" w:eastAsia="Century Gothic" w:hAnsi="Verdana" w:cs="Century Gothic"/>
        </w:rPr>
        <w:t xml:space="preserve"> </w:t>
      </w:r>
      <w:r w:rsidRPr="00593A5F">
        <w:rPr>
          <w:rFonts w:ascii="Verdana" w:eastAsia="Century Gothic" w:hAnsi="Verdana" w:cs="Century Gothic"/>
        </w:rPr>
        <w:t>problema jurídico</w:t>
      </w:r>
      <w:r w:rsidRPr="00626D8F">
        <w:rPr>
          <w:rFonts w:ascii="Verdana" w:eastAsia="Century Gothic" w:hAnsi="Verdana" w:cs="Century Gothic"/>
        </w:rPr>
        <w:t>:</w:t>
      </w:r>
      <w:r>
        <w:rPr>
          <w:rFonts w:ascii="Verdana" w:eastAsia="Century Gothic" w:hAnsi="Verdana" w:cs="Century Gothic"/>
        </w:rPr>
        <w:t xml:space="preserve"> </w:t>
      </w:r>
      <w:r w:rsidRPr="00626D8F">
        <w:rPr>
          <w:rFonts w:ascii="Verdana" w:eastAsia="Century Gothic" w:hAnsi="Verdana" w:cs="Century Gothic"/>
        </w:rPr>
        <w:t xml:space="preserve">Ante un error de cálculo que fue evidenciado en observaciones al pliego definitivo ¿Es posible en un proceso de licitación pública modificar el presupuesto en los pliegos de condiciones a través de una adenda? </w:t>
      </w:r>
    </w:p>
    <w:p w14:paraId="55D4CF79" w14:textId="77777777" w:rsidR="006942EA" w:rsidRPr="00593A5F" w:rsidRDefault="006942EA" w:rsidP="006942EA">
      <w:pPr>
        <w:spacing w:after="0" w:line="276" w:lineRule="auto"/>
        <w:jc w:val="both"/>
        <w:rPr>
          <w:rFonts w:ascii="Verdana" w:eastAsia="Calibri" w:hAnsi="Verdana" w:cs="Arial"/>
          <w:color w:val="7030A0"/>
          <w:lang w:val="es-ES"/>
        </w:rPr>
      </w:pPr>
    </w:p>
    <w:p w14:paraId="60282774" w14:textId="77777777" w:rsidR="006942EA" w:rsidRPr="00593A5F" w:rsidRDefault="006942EA" w:rsidP="006942EA">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F7E6674" w14:textId="77777777" w:rsidR="006942EA" w:rsidRPr="00593A5F" w:rsidRDefault="006942EA" w:rsidP="006942E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42EA" w:rsidRPr="00593A5F" w14:paraId="7A72D1C9" w14:textId="77777777" w:rsidTr="003B5481">
        <w:tc>
          <w:tcPr>
            <w:tcW w:w="8828" w:type="dxa"/>
            <w:shd w:val="clear" w:color="auto" w:fill="auto"/>
          </w:tcPr>
          <w:p w14:paraId="2F2D5DC3" w14:textId="76A71601" w:rsidR="006942EA" w:rsidRPr="00593A5F" w:rsidRDefault="006942EA" w:rsidP="00256672">
            <w:pPr>
              <w:spacing w:line="276" w:lineRule="auto"/>
              <w:jc w:val="both"/>
              <w:rPr>
                <w:rFonts w:ascii="Verdana" w:eastAsia="Calibri" w:hAnsi="Verdana" w:cs="Arial"/>
                <w:color w:val="7030A0"/>
                <w:lang w:val="es-ES"/>
              </w:rPr>
            </w:pPr>
            <w:r>
              <w:rPr>
                <w:rFonts w:ascii="Verdana" w:eastAsia="Calibri" w:hAnsi="Verdana" w:cs="Arial"/>
                <w:lang w:eastAsia="es-CO"/>
              </w:rPr>
              <w:t>A través de</w:t>
            </w:r>
            <w:r w:rsidRPr="00DC04E0">
              <w:rPr>
                <w:rFonts w:ascii="Verdana" w:eastAsia="Calibri" w:hAnsi="Verdana" w:cs="Arial"/>
                <w:lang w:eastAsia="es-CO"/>
              </w:rPr>
              <w:t xml:space="preserve"> adendas </w:t>
            </w:r>
            <w:r w:rsidRPr="00DC04E0">
              <w:rPr>
                <w:rFonts w:ascii="Verdana" w:eastAsia="Calibri" w:hAnsi="Verdana" w:cs="Arial"/>
                <w:bCs/>
                <w:lang w:eastAsia="es-CO"/>
              </w:rPr>
              <w:t xml:space="preserve">no se pueden </w:t>
            </w:r>
            <w:r>
              <w:rPr>
                <w:rFonts w:ascii="Verdana" w:eastAsia="Calibri" w:hAnsi="Verdana" w:cs="Arial"/>
                <w:bCs/>
                <w:lang w:eastAsia="es-CO"/>
              </w:rPr>
              <w:t xml:space="preserve">modificar </w:t>
            </w:r>
            <w:r w:rsidRPr="00DC04E0">
              <w:rPr>
                <w:rFonts w:ascii="Verdana" w:eastAsia="Calibri" w:hAnsi="Verdana" w:cs="Arial"/>
                <w:bCs/>
                <w:lang w:eastAsia="es-CO"/>
              </w:rPr>
              <w:t xml:space="preserve">asuntos sustanciales </w:t>
            </w:r>
            <w:r>
              <w:rPr>
                <w:rFonts w:ascii="Verdana" w:eastAsia="Calibri" w:hAnsi="Verdana" w:cs="Arial"/>
                <w:bCs/>
                <w:lang w:eastAsia="es-CO"/>
              </w:rPr>
              <w:t xml:space="preserve">de los pliegos de condiciones </w:t>
            </w:r>
            <w:r w:rsidRPr="00DC04E0">
              <w:rPr>
                <w:rFonts w:ascii="Verdana" w:eastAsia="Calibri" w:hAnsi="Verdana" w:cs="Arial"/>
                <w:bCs/>
                <w:lang w:eastAsia="es-CO"/>
              </w:rPr>
              <w:t>como son el objeto del contrato, el mecanismo de selección y el presupuesto</w:t>
            </w:r>
            <w:r w:rsidR="00256672">
              <w:rPr>
                <w:rFonts w:ascii="Verdana" w:eastAsia="Calibri" w:hAnsi="Verdana" w:cs="Arial"/>
                <w:bCs/>
                <w:lang w:eastAsia="es-CO"/>
              </w:rPr>
              <w:t xml:space="preserve">, </w:t>
            </w:r>
            <w:r w:rsidR="00256672" w:rsidRPr="00256672">
              <w:rPr>
                <w:rFonts w:ascii="Verdana" w:eastAsia="Calibri" w:hAnsi="Verdana" w:cs="Arial"/>
                <w:bCs/>
                <w:lang w:eastAsia="es-CO"/>
              </w:rPr>
              <w:t>tal como se ha sentado vía jurisprudencial</w:t>
            </w:r>
            <w:r w:rsidR="00256672">
              <w:rPr>
                <w:rStyle w:val="Refdenotaalpie"/>
                <w:rFonts w:ascii="Verdana" w:eastAsia="Calibri" w:hAnsi="Verdana" w:cs="Arial"/>
                <w:bCs/>
                <w:lang w:eastAsia="es-CO"/>
              </w:rPr>
              <w:footnoteReference w:id="1"/>
            </w:r>
            <w:r w:rsidRPr="00DC04E0">
              <w:rPr>
                <w:rFonts w:ascii="Verdana" w:eastAsia="Calibri" w:hAnsi="Verdana" w:cs="Arial"/>
                <w:bCs/>
                <w:lang w:eastAsia="es-CO"/>
              </w:rPr>
              <w:t>.</w:t>
            </w:r>
            <w:r>
              <w:rPr>
                <w:rFonts w:ascii="Verdana" w:eastAsia="Calibri" w:hAnsi="Verdana" w:cs="Arial"/>
                <w:bCs/>
                <w:lang w:eastAsia="es-CO"/>
              </w:rPr>
              <w:t xml:space="preserve"> S</w:t>
            </w:r>
            <w:r w:rsidRPr="00DC04E0">
              <w:rPr>
                <w:rFonts w:ascii="Verdana" w:hAnsi="Verdana" w:cs="Arial"/>
              </w:rPr>
              <w:t xml:space="preserve">i bien no es posible el uso de adendas que permitan la modificación de ciertos aspectos dentro del proceso de selección, como los aspectos sustanciales del pliego que inciden en los factores de calificación u otros aspectos cuando se ha superado el término previsto en la legislación, esto no es impedimento, para que en el evento de presentarse circunstancias que no modifican sustancialmente las características del proceso, se pueda acudir a la figura del saneamiento o en su defecto, cuando se trate de un asunto netamente formal, </w:t>
            </w:r>
            <w:r w:rsidRPr="00DC04E0">
              <w:rPr>
                <w:rFonts w:ascii="Verdana" w:hAnsi="Verdana" w:cs="Arial"/>
              </w:rPr>
              <w:lastRenderedPageBreak/>
              <w:t>aritmético o de digitación</w:t>
            </w:r>
            <w:r w:rsidRPr="00DC04E0">
              <w:rPr>
                <w:rStyle w:val="Refdenotaalpie"/>
                <w:rFonts w:ascii="Verdana" w:hAnsi="Verdana" w:cs="Arial"/>
              </w:rPr>
              <w:footnoteReference w:id="2"/>
            </w:r>
            <w:r w:rsidRPr="00DC04E0">
              <w:rPr>
                <w:rFonts w:ascii="Verdana" w:hAnsi="Verdana" w:cs="Arial"/>
              </w:rPr>
              <w:t>, expedir el respectivo acto administrativo de corrección, dada la naturaleza del pliego de condiciones.</w:t>
            </w:r>
          </w:p>
        </w:tc>
      </w:tr>
    </w:tbl>
    <w:p w14:paraId="21E704F5" w14:textId="77777777" w:rsidR="006942EA" w:rsidRDefault="006942EA" w:rsidP="006942EA">
      <w:pPr>
        <w:tabs>
          <w:tab w:val="left" w:pos="142"/>
          <w:tab w:val="left" w:pos="284"/>
        </w:tabs>
        <w:spacing w:after="0" w:line="276" w:lineRule="auto"/>
        <w:jc w:val="both"/>
        <w:rPr>
          <w:rFonts w:ascii="Verdana" w:eastAsia="Century Gothic" w:hAnsi="Verdana" w:cs="Century Gothic"/>
          <w:b/>
          <w:bCs/>
          <w:lang w:val="es-ES"/>
        </w:rPr>
      </w:pPr>
    </w:p>
    <w:p w14:paraId="537CC357" w14:textId="77777777" w:rsidR="005E7530" w:rsidRPr="00593A5F" w:rsidRDefault="005E7530" w:rsidP="006942EA">
      <w:pPr>
        <w:tabs>
          <w:tab w:val="left" w:pos="142"/>
          <w:tab w:val="left" w:pos="284"/>
        </w:tabs>
        <w:spacing w:after="0" w:line="276" w:lineRule="auto"/>
        <w:jc w:val="both"/>
        <w:rPr>
          <w:rFonts w:ascii="Verdana" w:eastAsia="Century Gothic" w:hAnsi="Verdana" w:cs="Century Gothic"/>
          <w:b/>
          <w:bCs/>
          <w:lang w:val="es-ES"/>
        </w:rPr>
      </w:pPr>
    </w:p>
    <w:p w14:paraId="36B5E513" w14:textId="77777777" w:rsidR="006942EA" w:rsidRPr="00593A5F" w:rsidRDefault="006942EA" w:rsidP="006942EA">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B21DAF9" w14:textId="77777777" w:rsidR="006942EA" w:rsidRPr="00593A5F" w:rsidRDefault="006942EA" w:rsidP="006942EA">
      <w:pPr>
        <w:spacing w:after="0" w:line="276" w:lineRule="auto"/>
        <w:jc w:val="both"/>
        <w:rPr>
          <w:rFonts w:ascii="Verdana" w:eastAsia="Calibri" w:hAnsi="Verdana" w:cs="Arial"/>
          <w:color w:val="7030A0"/>
          <w:lang w:val="es-ES"/>
        </w:rPr>
      </w:pPr>
    </w:p>
    <w:p w14:paraId="5CDA70D3" w14:textId="77777777" w:rsidR="006942EA" w:rsidRPr="001076F8" w:rsidRDefault="006942EA" w:rsidP="006942EA">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3273DEC" w14:textId="77777777" w:rsidR="006942EA" w:rsidRDefault="006942EA" w:rsidP="006942EA">
      <w:pPr>
        <w:widowControl w:val="0"/>
        <w:autoSpaceDE w:val="0"/>
        <w:autoSpaceDN w:val="0"/>
        <w:spacing w:after="0" w:line="276" w:lineRule="auto"/>
        <w:jc w:val="both"/>
        <w:rPr>
          <w:rFonts w:ascii="Verdana" w:eastAsia="Calibri" w:hAnsi="Verdana" w:cs="Arial"/>
          <w:color w:val="7030A0"/>
          <w:lang w:val="es-ES"/>
        </w:rPr>
      </w:pPr>
    </w:p>
    <w:p w14:paraId="537F5675" w14:textId="77777777" w:rsidR="006942EA" w:rsidRPr="00DC04E0" w:rsidRDefault="006942EA" w:rsidP="006942EA">
      <w:pPr>
        <w:widowControl w:val="0"/>
        <w:autoSpaceDE w:val="0"/>
        <w:autoSpaceDN w:val="0"/>
        <w:spacing w:after="0" w:line="276" w:lineRule="auto"/>
        <w:jc w:val="both"/>
        <w:rPr>
          <w:rFonts w:ascii="Verdana" w:eastAsia="Calibri" w:hAnsi="Verdana" w:cs="Arial"/>
          <w:lang w:val="es-ES"/>
        </w:rPr>
      </w:pPr>
      <w:r w:rsidRPr="00DC04E0">
        <w:rPr>
          <w:rFonts w:ascii="Verdana" w:eastAsia="Calibri" w:hAnsi="Verdana" w:cs="Arial"/>
          <w:lang w:val="es-ES"/>
        </w:rPr>
        <w:t xml:space="preserve">En el proceso de licitación pública los principios de transparencia, planeación y selección objetiva se materializan en el procedimiento y las reglas establecidos en el pliego de condiciones que reglamentan todo el </w:t>
      </w:r>
      <w:r w:rsidRPr="00E64648">
        <w:rPr>
          <w:rFonts w:ascii="Verdana" w:eastAsia="Calibri" w:hAnsi="Verdana" w:cs="Arial"/>
          <w:i/>
          <w:iCs/>
          <w:lang w:val="es-ES"/>
        </w:rPr>
        <w:t>iter</w:t>
      </w:r>
      <w:r w:rsidRPr="00DC04E0">
        <w:rPr>
          <w:rFonts w:ascii="Verdana" w:eastAsia="Calibri" w:hAnsi="Verdana" w:cs="Arial"/>
          <w:lang w:val="es-ES"/>
        </w:rPr>
        <w:t xml:space="preserve"> contractual (selección, celebración y ejecución del contrato). Su contenido debe ajustarse a lo establecido en el numeral 5 del artículo 24 de la Ley 80 de 1993 y el artículo 2.2.1.1.2.1.3. del Decreto 1082 de 2015.</w:t>
      </w:r>
    </w:p>
    <w:p w14:paraId="5724AA88" w14:textId="77777777" w:rsidR="006942EA" w:rsidRPr="00DC04E0" w:rsidRDefault="006942EA" w:rsidP="006942EA">
      <w:pPr>
        <w:widowControl w:val="0"/>
        <w:autoSpaceDE w:val="0"/>
        <w:autoSpaceDN w:val="0"/>
        <w:spacing w:after="0" w:line="276" w:lineRule="auto"/>
        <w:jc w:val="both"/>
        <w:rPr>
          <w:rFonts w:ascii="Verdana" w:eastAsia="Calibri" w:hAnsi="Verdana" w:cs="Arial"/>
          <w:lang w:val="es-ES"/>
        </w:rPr>
      </w:pPr>
    </w:p>
    <w:p w14:paraId="34AF100E" w14:textId="77777777" w:rsidR="006942EA" w:rsidRPr="00DC04E0" w:rsidRDefault="006942EA" w:rsidP="006942EA">
      <w:pPr>
        <w:widowControl w:val="0"/>
        <w:autoSpaceDE w:val="0"/>
        <w:autoSpaceDN w:val="0"/>
        <w:spacing w:after="0" w:line="276" w:lineRule="auto"/>
        <w:ind w:firstLine="708"/>
        <w:jc w:val="both"/>
        <w:rPr>
          <w:rFonts w:ascii="Verdana" w:hAnsi="Verdana"/>
        </w:rPr>
      </w:pPr>
      <w:r w:rsidRPr="00DC04E0">
        <w:rPr>
          <w:rFonts w:ascii="Verdana" w:eastAsia="Calibri" w:hAnsi="Verdana" w:cs="Arial"/>
          <w:lang w:val="es-ES"/>
        </w:rPr>
        <w:t>Así, el pliego de condiciones es la base sobre la que se estructura el proceso de selección contractual y para determinar su naturaleza jurídica han sido definidos como un “</w:t>
      </w:r>
      <w:r w:rsidRPr="00DC04E0">
        <w:rPr>
          <w:rFonts w:ascii="Verdana" w:hAnsi="Verdana"/>
        </w:rPr>
        <w:t>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DC04E0">
        <w:rPr>
          <w:rStyle w:val="Refdenotaalpie"/>
          <w:rFonts w:ascii="Verdana" w:hAnsi="Verdana"/>
        </w:rPr>
        <w:footnoteReference w:id="3"/>
      </w:r>
      <w:r w:rsidRPr="00DC04E0">
        <w:rPr>
          <w:rFonts w:ascii="Verdana" w:hAnsi="Verdana"/>
        </w:rPr>
        <w:t xml:space="preserve">. Estos son estructurados por la administración de forma autónoma en respuesta a la necesidad que se busca satisfacer con el proceso de selección, atendiendo a los estudios realizados en la fase de planeación y conforme a los límites y parámetros establecidos en el ordenamiento jurídico. </w:t>
      </w:r>
    </w:p>
    <w:p w14:paraId="3B07AB19" w14:textId="77777777" w:rsidR="006942EA" w:rsidRPr="00DC04E0" w:rsidRDefault="006942EA" w:rsidP="006942EA">
      <w:pPr>
        <w:widowControl w:val="0"/>
        <w:autoSpaceDE w:val="0"/>
        <w:autoSpaceDN w:val="0"/>
        <w:spacing w:after="0" w:line="276" w:lineRule="auto"/>
        <w:jc w:val="both"/>
        <w:rPr>
          <w:rFonts w:ascii="Verdana" w:hAnsi="Verdana"/>
        </w:rPr>
      </w:pPr>
    </w:p>
    <w:p w14:paraId="303BB8E5" w14:textId="77777777" w:rsidR="006942EA" w:rsidRPr="00DC04E0" w:rsidRDefault="006942EA" w:rsidP="006942EA">
      <w:pPr>
        <w:widowControl w:val="0"/>
        <w:autoSpaceDE w:val="0"/>
        <w:autoSpaceDN w:val="0"/>
        <w:spacing w:after="0" w:line="276" w:lineRule="auto"/>
        <w:ind w:firstLine="708"/>
        <w:jc w:val="both"/>
        <w:rPr>
          <w:rFonts w:ascii="Verdana" w:eastAsia="Arial" w:hAnsi="Verdana" w:cs="Arial"/>
          <w:lang w:eastAsia="es-ES" w:bidi="es-ES"/>
        </w:rPr>
      </w:pPr>
      <w:r w:rsidRPr="00DC04E0">
        <w:rPr>
          <w:rFonts w:ascii="Verdana" w:hAnsi="Verdana"/>
        </w:rPr>
        <w:t xml:space="preserve">No obstante, en el proceso de selección puede surgir la necesidad de modificar, ajustar, aclarar o corregir las disposiciones contenidas en el pliego de condiciones como consecuencia de observaciones de los interesados en el proceso o por iniciativa de la entidad contratante. En principio, la figura establecida para realizar dichas modificaciones se conoce como adenda. </w:t>
      </w:r>
      <w:r w:rsidRPr="00DC04E0">
        <w:rPr>
          <w:rFonts w:ascii="Verdana" w:eastAsia="Arial" w:hAnsi="Verdana" w:cs="Arial"/>
          <w:iCs/>
          <w:lang w:eastAsia="es-ES" w:bidi="es-ES"/>
        </w:rPr>
        <w:t>Sin perjuicio de lo anterior,</w:t>
      </w:r>
      <w:r w:rsidRPr="00DC04E0">
        <w:rPr>
          <w:rFonts w:ascii="Verdana" w:eastAsia="Arial" w:hAnsi="Verdana" w:cs="Arial"/>
          <w:i/>
          <w:lang w:eastAsia="es-ES" w:bidi="es-ES"/>
        </w:rPr>
        <w:t xml:space="preserve"> </w:t>
      </w:r>
      <w:r w:rsidRPr="00DC04E0">
        <w:rPr>
          <w:rFonts w:ascii="Verdana" w:eastAsia="Arial" w:hAnsi="Verdana" w:cs="Arial"/>
          <w:lang w:eastAsia="es-ES" w:bidi="es-ES"/>
        </w:rPr>
        <w:t>como lo ha reconocido la jurisprudencia del Consejo de Estado, dichas modificaciones pueden realizarse por medio de cualquier otro documento que se titule diferente a “adenda” siempre que contenga</w:t>
      </w:r>
      <w:r w:rsidRPr="00DC04E0">
        <w:rPr>
          <w:rFonts w:ascii="Verdana" w:eastAsia="Arial" w:hAnsi="Verdana" w:cs="Arial"/>
          <w:spacing w:val="26"/>
          <w:lang w:eastAsia="es-ES" w:bidi="es-ES"/>
        </w:rPr>
        <w:t xml:space="preserve"> </w:t>
      </w:r>
      <w:r w:rsidRPr="00DC04E0">
        <w:rPr>
          <w:rFonts w:ascii="Verdana" w:eastAsia="Arial" w:hAnsi="Verdana" w:cs="Arial"/>
          <w:lang w:eastAsia="es-ES" w:bidi="es-ES"/>
        </w:rPr>
        <w:t>la</w:t>
      </w:r>
      <w:r w:rsidRPr="00DC04E0">
        <w:rPr>
          <w:rFonts w:ascii="Verdana" w:eastAsia="Arial" w:hAnsi="Verdana" w:cs="Arial"/>
          <w:spacing w:val="27"/>
          <w:lang w:eastAsia="es-ES" w:bidi="es-ES"/>
        </w:rPr>
        <w:t xml:space="preserve"> </w:t>
      </w:r>
      <w:r w:rsidRPr="00DC04E0">
        <w:rPr>
          <w:rFonts w:ascii="Verdana" w:eastAsia="Arial" w:hAnsi="Verdana" w:cs="Arial"/>
          <w:lang w:eastAsia="es-ES" w:bidi="es-ES"/>
        </w:rPr>
        <w:lastRenderedPageBreak/>
        <w:t>manifestación</w:t>
      </w:r>
      <w:r w:rsidRPr="00DC04E0">
        <w:rPr>
          <w:rFonts w:ascii="Verdana" w:eastAsia="Arial" w:hAnsi="Verdana" w:cs="Arial"/>
          <w:spacing w:val="26"/>
          <w:lang w:eastAsia="es-ES" w:bidi="es-ES"/>
        </w:rPr>
        <w:t xml:space="preserve"> </w:t>
      </w:r>
      <w:r w:rsidRPr="00DC04E0">
        <w:rPr>
          <w:rFonts w:ascii="Verdana" w:eastAsia="Arial" w:hAnsi="Verdana" w:cs="Arial"/>
          <w:lang w:eastAsia="es-ES" w:bidi="es-ES"/>
        </w:rPr>
        <w:t>de</w:t>
      </w:r>
      <w:r w:rsidRPr="00DC04E0">
        <w:rPr>
          <w:rFonts w:ascii="Verdana" w:eastAsia="Arial" w:hAnsi="Verdana" w:cs="Arial"/>
          <w:spacing w:val="27"/>
          <w:lang w:eastAsia="es-ES" w:bidi="es-ES"/>
        </w:rPr>
        <w:t xml:space="preserve"> </w:t>
      </w:r>
      <w:r w:rsidRPr="00DC04E0">
        <w:rPr>
          <w:rFonts w:ascii="Verdana" w:eastAsia="Arial" w:hAnsi="Verdana" w:cs="Arial"/>
          <w:lang w:eastAsia="es-ES" w:bidi="es-ES"/>
        </w:rPr>
        <w:t>voluntad</w:t>
      </w:r>
      <w:r w:rsidRPr="00DC04E0">
        <w:rPr>
          <w:rFonts w:ascii="Verdana" w:eastAsia="Arial" w:hAnsi="Verdana" w:cs="Arial"/>
          <w:spacing w:val="27"/>
          <w:lang w:eastAsia="es-ES" w:bidi="es-ES"/>
        </w:rPr>
        <w:t xml:space="preserve"> </w:t>
      </w:r>
      <w:r w:rsidRPr="00DC04E0">
        <w:rPr>
          <w:rFonts w:ascii="Verdana" w:eastAsia="Arial" w:hAnsi="Verdana" w:cs="Arial"/>
          <w:lang w:eastAsia="es-ES" w:bidi="es-ES"/>
        </w:rPr>
        <w:t>de</w:t>
      </w:r>
      <w:r w:rsidRPr="00DC04E0">
        <w:rPr>
          <w:rFonts w:ascii="Verdana" w:eastAsia="Arial" w:hAnsi="Verdana" w:cs="Arial"/>
          <w:spacing w:val="26"/>
          <w:lang w:eastAsia="es-ES" w:bidi="es-ES"/>
        </w:rPr>
        <w:t xml:space="preserve"> </w:t>
      </w:r>
      <w:r w:rsidRPr="00DC04E0">
        <w:rPr>
          <w:rFonts w:ascii="Verdana" w:eastAsia="Arial" w:hAnsi="Verdana" w:cs="Arial"/>
          <w:lang w:eastAsia="es-ES" w:bidi="es-ES"/>
        </w:rPr>
        <w:t>la</w:t>
      </w:r>
      <w:r w:rsidRPr="00DC04E0">
        <w:rPr>
          <w:rFonts w:ascii="Verdana" w:eastAsia="Arial" w:hAnsi="Verdana" w:cs="Arial"/>
          <w:spacing w:val="27"/>
          <w:lang w:eastAsia="es-ES" w:bidi="es-ES"/>
        </w:rPr>
        <w:t xml:space="preserve"> </w:t>
      </w:r>
      <w:r w:rsidRPr="00DC04E0">
        <w:rPr>
          <w:rFonts w:ascii="Verdana" w:eastAsia="Arial" w:hAnsi="Verdana" w:cs="Arial"/>
          <w:lang w:eastAsia="es-ES" w:bidi="es-ES"/>
        </w:rPr>
        <w:t>entidad de modificar un aspecto del pliego de condiciones</w:t>
      </w:r>
      <w:r w:rsidRPr="00DC04E0">
        <w:rPr>
          <w:rStyle w:val="Refdenotaalpie"/>
          <w:rFonts w:ascii="Verdana" w:eastAsia="Arial" w:hAnsi="Verdana" w:cs="Arial"/>
          <w:lang w:eastAsia="es-ES" w:bidi="es-ES"/>
        </w:rPr>
        <w:footnoteReference w:id="4"/>
      </w:r>
    </w:p>
    <w:p w14:paraId="7E3108B9" w14:textId="77777777" w:rsidR="006942EA" w:rsidRPr="00DC04E0" w:rsidRDefault="006942EA" w:rsidP="006942EA">
      <w:pPr>
        <w:widowControl w:val="0"/>
        <w:autoSpaceDE w:val="0"/>
        <w:autoSpaceDN w:val="0"/>
        <w:spacing w:after="0" w:line="276" w:lineRule="auto"/>
        <w:jc w:val="both"/>
        <w:rPr>
          <w:rFonts w:ascii="Verdana" w:eastAsia="Arial" w:hAnsi="Verdana" w:cs="Arial"/>
          <w:lang w:eastAsia="es-ES" w:bidi="es-ES"/>
        </w:rPr>
      </w:pPr>
    </w:p>
    <w:p w14:paraId="3A2891C0" w14:textId="77777777" w:rsidR="006942EA" w:rsidRPr="00DC04E0" w:rsidRDefault="006942EA" w:rsidP="006942EA">
      <w:pPr>
        <w:widowControl w:val="0"/>
        <w:autoSpaceDE w:val="0"/>
        <w:autoSpaceDN w:val="0"/>
        <w:spacing w:after="0" w:line="276" w:lineRule="auto"/>
        <w:ind w:firstLine="708"/>
        <w:jc w:val="both"/>
        <w:rPr>
          <w:rFonts w:ascii="Verdana" w:eastAsia="Arial" w:hAnsi="Verdana" w:cs="Arial"/>
          <w:lang w:eastAsia="es-ES" w:bidi="es-ES"/>
        </w:rPr>
      </w:pPr>
      <w:r w:rsidRPr="00DC04E0">
        <w:rPr>
          <w:rFonts w:ascii="Verdana" w:hAnsi="Verdana"/>
        </w:rPr>
        <w:t xml:space="preserve">Ahora bien, </w:t>
      </w:r>
      <w:r w:rsidRPr="00DC04E0">
        <w:rPr>
          <w:rFonts w:ascii="Verdana" w:eastAsia="Arial" w:hAnsi="Verdana" w:cs="Arial"/>
          <w:lang w:eastAsia="es-ES" w:bidi="es-ES"/>
        </w:rPr>
        <w:t xml:space="preserve">aun cuando los límites materiales de las modificaciones de los pliegos de condiciones no están definidos positivamente en la ley, </w:t>
      </w:r>
      <w:r w:rsidRPr="00DC04E0">
        <w:rPr>
          <w:rFonts w:ascii="Verdana" w:hAnsi="Verdana"/>
        </w:rPr>
        <w:t>d</w:t>
      </w:r>
      <w:r w:rsidRPr="00DC04E0">
        <w:rPr>
          <w:rFonts w:ascii="Verdana" w:eastAsia="Arial" w:hAnsi="Verdana" w:cs="Arial"/>
          <w:lang w:eastAsia="es-ES" w:bidi="es-ES"/>
        </w:rPr>
        <w:t>e conformidad con lo dispuesto en el artículo 30, numeral 5, de la Ley 80 de 1993 –modificado por el artículo 89 de la Ley 1474 de 2011 y el artículo 2.2.1.1.2.2.1. del Decreto 1082 de 2015, conviene diferenciar entre dos (2) tipos de ajustes que pueden dar lugar a la expedición de adendas: i) los referidos a las condiciones técnicas, jurídicas y económicas del pliego definitivo y, en general, a cualquier contenido distinto del cronograma del procedimiento de selección y ii) los del cronograma.</w:t>
      </w:r>
    </w:p>
    <w:p w14:paraId="416C45FF" w14:textId="77777777" w:rsidR="006942EA" w:rsidRPr="00DC04E0" w:rsidRDefault="006942EA" w:rsidP="006942EA">
      <w:pPr>
        <w:widowControl w:val="0"/>
        <w:autoSpaceDE w:val="0"/>
        <w:autoSpaceDN w:val="0"/>
        <w:spacing w:after="0" w:line="276" w:lineRule="auto"/>
        <w:jc w:val="both"/>
        <w:rPr>
          <w:rFonts w:ascii="Verdana" w:eastAsia="Arial" w:hAnsi="Verdana" w:cs="Arial"/>
          <w:lang w:eastAsia="es-ES" w:bidi="es-ES"/>
        </w:rPr>
      </w:pPr>
    </w:p>
    <w:p w14:paraId="71C619E8" w14:textId="77777777" w:rsidR="006942EA" w:rsidRPr="00DC04E0" w:rsidRDefault="006942EA" w:rsidP="006942EA">
      <w:pPr>
        <w:widowControl w:val="0"/>
        <w:autoSpaceDE w:val="0"/>
        <w:autoSpaceDN w:val="0"/>
        <w:spacing w:after="0" w:line="276" w:lineRule="auto"/>
        <w:ind w:firstLine="708"/>
        <w:jc w:val="both"/>
        <w:rPr>
          <w:rFonts w:ascii="Verdana" w:eastAsia="Arial" w:hAnsi="Verdana" w:cs="Arial"/>
          <w:lang w:eastAsia="es-ES" w:bidi="es-ES"/>
        </w:rPr>
      </w:pPr>
      <w:r w:rsidRPr="00DC04E0">
        <w:rPr>
          <w:rFonts w:ascii="Verdana" w:eastAsia="Calibri" w:hAnsi="Verdana" w:cs="Arial"/>
          <w:lang w:eastAsia="es-CO"/>
        </w:rPr>
        <w:t xml:space="preserve">Además, es preciso advertir que, las adendas solo pueden modificar aspectos de los pliegos que no sean sustanciales, lo que significa que pueden cambiar asuntos como el cronograma del proceso, o pueden abrir la posibilidad de que un material no previsto inicialmente sea utilizado en la elaboración de lo que la entidad requiere siempre que no incida en el presupuesto. En ese sentido, debe tenerse en cuenta que mediante adendas </w:t>
      </w:r>
      <w:r w:rsidRPr="00DC04E0">
        <w:rPr>
          <w:rFonts w:ascii="Verdana" w:eastAsia="Calibri" w:hAnsi="Verdana" w:cs="Arial"/>
          <w:bCs/>
          <w:lang w:eastAsia="es-CO"/>
        </w:rPr>
        <w:t>no se pueden cambiar asuntos sustanciales como son el objeto del contrato, el mecanismo de selección y el presupuesto.</w:t>
      </w:r>
      <w:r w:rsidRPr="00DC04E0">
        <w:rPr>
          <w:rFonts w:ascii="Verdana" w:eastAsia="Calibri" w:hAnsi="Verdana" w:cs="Arial"/>
          <w:lang w:eastAsia="es-CO"/>
        </w:rPr>
        <w:t xml:space="preserve"> Adicionalmente, las adendas además deben cumplir todos los </w:t>
      </w:r>
      <w:r w:rsidRPr="00DC04E0">
        <w:rPr>
          <w:rFonts w:ascii="Verdana" w:eastAsia="Calibri" w:hAnsi="Verdana" w:cs="Arial"/>
          <w:lang w:eastAsia="es-CO"/>
        </w:rPr>
        <w:lastRenderedPageBreak/>
        <w:t>requisitos de publicidad del pliego de condiciones, ya que, para garantizar seguridad jurídica en el marco del proceso, las reglas no pueden variar a espaldas de los eventuales interesados, como en efecto aplicó para la publicación del pliego inicial.</w:t>
      </w:r>
    </w:p>
    <w:p w14:paraId="57DCC40E" w14:textId="77777777" w:rsidR="006942EA" w:rsidRPr="00DC04E0" w:rsidRDefault="006942EA" w:rsidP="006942EA">
      <w:pPr>
        <w:widowControl w:val="0"/>
        <w:autoSpaceDE w:val="0"/>
        <w:autoSpaceDN w:val="0"/>
        <w:spacing w:after="0" w:line="276" w:lineRule="auto"/>
        <w:jc w:val="both"/>
        <w:rPr>
          <w:rFonts w:ascii="Verdana" w:eastAsia="Arial" w:hAnsi="Verdana" w:cs="Arial"/>
          <w:lang w:eastAsia="es-ES" w:bidi="es-ES"/>
        </w:rPr>
      </w:pPr>
    </w:p>
    <w:p w14:paraId="4B5A20C8" w14:textId="77777777" w:rsidR="006942EA" w:rsidRPr="00DC04E0" w:rsidRDefault="006942EA" w:rsidP="006942EA">
      <w:pPr>
        <w:widowControl w:val="0"/>
        <w:autoSpaceDE w:val="0"/>
        <w:autoSpaceDN w:val="0"/>
        <w:spacing w:after="0" w:line="276" w:lineRule="auto"/>
        <w:ind w:firstLine="708"/>
        <w:jc w:val="both"/>
        <w:rPr>
          <w:rFonts w:ascii="Verdana" w:eastAsia="Arial" w:hAnsi="Verdana" w:cs="Arial"/>
          <w:lang w:eastAsia="es-ES" w:bidi="es-ES"/>
        </w:rPr>
      </w:pPr>
      <w:r w:rsidRPr="00DC04E0">
        <w:rPr>
          <w:rFonts w:ascii="Verdana" w:eastAsia="Arial" w:hAnsi="Verdana" w:cs="Arial"/>
          <w:lang w:eastAsia="es-ES" w:bidi="es-ES"/>
        </w:rPr>
        <w:t xml:space="preserve">Sobre el asunto, el Consejo de Estado ha señalado que: </w:t>
      </w:r>
    </w:p>
    <w:p w14:paraId="5BA86E5F" w14:textId="77777777" w:rsidR="006942EA" w:rsidRPr="00DC04E0" w:rsidRDefault="006942EA" w:rsidP="006942EA">
      <w:pPr>
        <w:widowControl w:val="0"/>
        <w:autoSpaceDE w:val="0"/>
        <w:autoSpaceDN w:val="0"/>
        <w:spacing w:after="0" w:line="276" w:lineRule="auto"/>
        <w:jc w:val="both"/>
        <w:rPr>
          <w:rFonts w:ascii="Verdana" w:eastAsia="Arial" w:hAnsi="Verdana" w:cs="Arial"/>
          <w:lang w:eastAsia="es-ES" w:bidi="es-ES"/>
        </w:rPr>
      </w:pPr>
    </w:p>
    <w:p w14:paraId="679F2AEB" w14:textId="77777777" w:rsidR="006942EA" w:rsidRPr="00E428C0" w:rsidRDefault="006942EA" w:rsidP="006942EA">
      <w:pPr>
        <w:spacing w:after="0" w:line="240" w:lineRule="auto"/>
        <w:ind w:left="709" w:right="709"/>
        <w:jc w:val="both"/>
        <w:textAlignment w:val="baseline"/>
        <w:rPr>
          <w:rFonts w:ascii="Verdana" w:eastAsia="Calibri" w:hAnsi="Verdana" w:cs="Arial"/>
          <w:sz w:val="20"/>
          <w:szCs w:val="20"/>
          <w:lang w:val="es-ES"/>
        </w:rPr>
      </w:pPr>
      <w:r w:rsidRPr="00E428C0">
        <w:rPr>
          <w:rFonts w:ascii="Verdana" w:eastAsia="Calibri" w:hAnsi="Verdana" w:cs="Arial"/>
          <w:sz w:val="20"/>
          <w:szCs w:val="20"/>
          <w:lang w:val="es-ES"/>
        </w:rPr>
        <w:t xml:space="preserve">“El pliego constituye un acto de carácter general que contiene la voluntad de la administración con efectos vinculantes, en orden a la realización de los principios constitucionales y legales que la actividad contractual de la administración comprende. En este panorama i) el pliego de condiciones es un acto jurídico prenegocial con carácter vinculante y obligatorio para los partícipes en el proceso de selección y ii) solo puede ser modificado en las oportunidades y con los límites previstos en el estatuto contractual, con el conocimiento e intervención de los participantes. (…)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 en el entendido que </w:t>
      </w:r>
      <w:r w:rsidRPr="00E428C0">
        <w:rPr>
          <w:rFonts w:ascii="Verdana" w:eastAsia="Calibri" w:hAnsi="Verdana" w:cs="Arial"/>
          <w:i/>
          <w:iCs/>
          <w:sz w:val="20"/>
          <w:szCs w:val="20"/>
          <w:lang w:val="es-ES"/>
        </w:rPr>
        <w:t>la administración no podrá modificar aspectos sustanciales, especialmente los relativos a los factores de calificación.”</w:t>
      </w:r>
      <w:r w:rsidRPr="00E428C0">
        <w:rPr>
          <w:rStyle w:val="Refdenotaalpie"/>
          <w:rFonts w:ascii="Verdana" w:eastAsia="Calibri" w:hAnsi="Verdana" w:cs="Arial"/>
          <w:sz w:val="20"/>
          <w:szCs w:val="20"/>
          <w:lang w:val="es-ES"/>
        </w:rPr>
        <w:footnoteReference w:id="5"/>
      </w:r>
      <w:r w:rsidRPr="00E428C0">
        <w:rPr>
          <w:rFonts w:ascii="Verdana" w:eastAsia="Calibri" w:hAnsi="Verdana" w:cs="Arial"/>
          <w:sz w:val="20"/>
          <w:szCs w:val="20"/>
          <w:lang w:val="es-ES"/>
        </w:rPr>
        <w:t xml:space="preserve">  [Énfasis fuera de texto en cursiva].</w:t>
      </w:r>
    </w:p>
    <w:p w14:paraId="603E759A" w14:textId="77777777" w:rsidR="006942EA" w:rsidRPr="00DC04E0" w:rsidRDefault="006942EA" w:rsidP="006942EA">
      <w:pPr>
        <w:widowControl w:val="0"/>
        <w:autoSpaceDE w:val="0"/>
        <w:autoSpaceDN w:val="0"/>
        <w:spacing w:after="0" w:line="276" w:lineRule="auto"/>
        <w:jc w:val="both"/>
        <w:rPr>
          <w:rFonts w:ascii="Verdana" w:eastAsia="Calibri" w:hAnsi="Verdana" w:cs="Arial"/>
          <w:lang w:eastAsia="es-CO"/>
        </w:rPr>
      </w:pPr>
    </w:p>
    <w:p w14:paraId="573274ED" w14:textId="5CF1A9C0" w:rsidR="006942EA" w:rsidRPr="00DC04E0" w:rsidRDefault="006942EA" w:rsidP="006942EA">
      <w:pPr>
        <w:widowControl w:val="0"/>
        <w:autoSpaceDE w:val="0"/>
        <w:autoSpaceDN w:val="0"/>
        <w:spacing w:after="0" w:line="276" w:lineRule="auto"/>
        <w:ind w:firstLine="708"/>
        <w:jc w:val="both"/>
        <w:rPr>
          <w:rFonts w:ascii="Verdana" w:eastAsia="Calibri" w:hAnsi="Verdana" w:cs="Arial"/>
          <w:lang w:eastAsia="es-CO"/>
        </w:rPr>
      </w:pPr>
      <w:r w:rsidRPr="00DC04E0">
        <w:rPr>
          <w:rFonts w:ascii="Verdana" w:eastAsia="Arial" w:hAnsi="Verdana" w:cs="Arial"/>
          <w:lang w:eastAsia="es-ES" w:bidi="es-ES"/>
        </w:rPr>
        <w:t xml:space="preserve">En relación con el límite temporal para la expedición de las adendas se encuentra establecido en el artículo 2.2.1.1.2.2.1 del Decreto 1082 de 2015: para la licitación pública es </w:t>
      </w:r>
      <w:r w:rsidRPr="00DC04E0">
        <w:rPr>
          <w:rFonts w:ascii="Verdana" w:eastAsia="Calibri" w:hAnsi="Verdana" w:cs="Arial"/>
          <w:lang w:eastAsia="es-CO"/>
        </w:rPr>
        <w:t>tres (3) días hábiles antes del vencimiento del plazo para presentar ofertas y para las demás modalidades de selección un (1) día hábil antes del vencimiento del plazo para presentar ofertas. Adicionalmente, sin diferenciar entre todos los procesos de selección, establece la posibilidad de expedir adendas modificatorias del cronograma después del vencimiento del término de presentación de ofertas y antes de la adjudicación del contrato.</w:t>
      </w:r>
      <w:r w:rsidR="00753D92" w:rsidRPr="00753D92">
        <w:rPr>
          <w:rFonts w:ascii="Verdana" w:eastAsia="Calibri" w:hAnsi="Verdana" w:cs="Arial"/>
          <w:lang w:eastAsia="es-CO"/>
        </w:rPr>
        <w:t xml:space="preserve"> </w:t>
      </w:r>
      <w:r w:rsidR="00753D92">
        <w:rPr>
          <w:rFonts w:ascii="Verdana" w:eastAsia="Calibri" w:hAnsi="Verdana" w:cs="Arial"/>
          <w:lang w:eastAsia="es-CO"/>
        </w:rPr>
        <w:t>Así, se resalta que la procedencia para modificar aspectos del proceso de selección dependerá de verificar la oportunidad en que se realicen las observaciones, ya sea por terceros o por la misma entidad, por ejemplo, observaciones realizadas en prepliegos pueden ser ajustadas.</w:t>
      </w:r>
    </w:p>
    <w:p w14:paraId="71D23AA5" w14:textId="77777777" w:rsidR="005E7530" w:rsidRDefault="005E7530" w:rsidP="005E7530">
      <w:pPr>
        <w:widowControl w:val="0"/>
        <w:autoSpaceDE w:val="0"/>
        <w:autoSpaceDN w:val="0"/>
        <w:spacing w:after="120" w:line="276" w:lineRule="auto"/>
        <w:ind w:right="103"/>
        <w:jc w:val="both"/>
        <w:rPr>
          <w:rFonts w:ascii="Verdana" w:eastAsia="Calibri" w:hAnsi="Verdana" w:cs="Arial"/>
          <w:lang w:eastAsia="es-CO"/>
        </w:rPr>
      </w:pPr>
    </w:p>
    <w:p w14:paraId="6FBCD8B9" w14:textId="31ADC102" w:rsidR="006942EA" w:rsidRPr="00DC04E0" w:rsidRDefault="006942EA" w:rsidP="005E7530">
      <w:pPr>
        <w:widowControl w:val="0"/>
        <w:autoSpaceDE w:val="0"/>
        <w:autoSpaceDN w:val="0"/>
        <w:spacing w:after="120" w:line="276" w:lineRule="auto"/>
        <w:ind w:right="103"/>
        <w:jc w:val="both"/>
        <w:rPr>
          <w:rFonts w:ascii="Verdana" w:eastAsia="Arial" w:hAnsi="Verdana" w:cs="Arial"/>
          <w:lang w:eastAsia="es-ES" w:bidi="es-ES"/>
        </w:rPr>
      </w:pPr>
      <w:r w:rsidRPr="00DC04E0">
        <w:rPr>
          <w:rFonts w:ascii="Verdana" w:hAnsi="Verdana" w:cs="Arial"/>
          <w:bCs/>
          <w:lang w:eastAsia="es-MX"/>
        </w:rPr>
        <w:t>Finalmente</w:t>
      </w:r>
      <w:r w:rsidRPr="00DC04E0">
        <w:rPr>
          <w:rFonts w:ascii="Verdana" w:hAnsi="Verdana" w:cs="Arial"/>
        </w:rPr>
        <w:t xml:space="preserve">, si bien no es posible el uso de adendas que permitan la modificación de ciertos aspectos dentro del proceso de selección, como los aspectos </w:t>
      </w:r>
      <w:r w:rsidRPr="00DC04E0">
        <w:rPr>
          <w:rFonts w:ascii="Verdana" w:hAnsi="Verdana" w:cs="Arial"/>
        </w:rPr>
        <w:lastRenderedPageBreak/>
        <w:t>sustanciales del pliego que inciden en los factores de calificación u otros aspectos cuando se ha superado el término previsto en la legislación, esto no es impedimento, para que en el evento de presentarse circunstancias que no modifican sustancialmente las características del proceso, se pueda acudir a la figura del saneamiento o en su defecto, cuando se trate de un asunto netamente formal, aritmético o de digitación</w:t>
      </w:r>
      <w:r w:rsidRPr="00DC04E0">
        <w:rPr>
          <w:rStyle w:val="Refdenotaalpie"/>
          <w:rFonts w:ascii="Verdana" w:hAnsi="Verdana" w:cs="Arial"/>
        </w:rPr>
        <w:footnoteReference w:id="6"/>
      </w:r>
      <w:r w:rsidRPr="00DC04E0">
        <w:rPr>
          <w:rFonts w:ascii="Verdana" w:hAnsi="Verdana" w:cs="Arial"/>
        </w:rPr>
        <w:t>, expedir el respectivo acto administrativo de corrección, dada la naturaleza del pliego de condiciones.</w:t>
      </w:r>
    </w:p>
    <w:p w14:paraId="3AD31E27" w14:textId="77777777" w:rsidR="006942EA" w:rsidRPr="00593A5F" w:rsidRDefault="006942EA" w:rsidP="006942EA">
      <w:pPr>
        <w:widowControl w:val="0"/>
        <w:autoSpaceDE w:val="0"/>
        <w:autoSpaceDN w:val="0"/>
        <w:spacing w:after="0" w:line="276" w:lineRule="auto"/>
        <w:jc w:val="both"/>
        <w:rPr>
          <w:rFonts w:ascii="Verdana" w:hAnsi="Verdana" w:cs="Arial"/>
        </w:rPr>
      </w:pPr>
    </w:p>
    <w:p w14:paraId="50389C34" w14:textId="77777777" w:rsidR="006942EA" w:rsidRPr="00593A5F" w:rsidRDefault="006942EA" w:rsidP="006942EA">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6CD4F28" w14:textId="77777777" w:rsidR="006942EA" w:rsidRPr="00593A5F" w:rsidRDefault="006942EA" w:rsidP="006942E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942EA" w:rsidRPr="00593A5F" w14:paraId="47AC7846" w14:textId="77777777" w:rsidTr="003B5481">
        <w:trPr>
          <w:trHeight w:val="870"/>
        </w:trPr>
        <w:tc>
          <w:tcPr>
            <w:tcW w:w="8647" w:type="dxa"/>
          </w:tcPr>
          <w:p w14:paraId="2D628A53" w14:textId="77777777" w:rsidR="006942EA" w:rsidRPr="00626D8F" w:rsidRDefault="006942EA" w:rsidP="006942EA">
            <w:pPr>
              <w:pStyle w:val="Prrafodelista"/>
              <w:widowControl w:val="0"/>
              <w:numPr>
                <w:ilvl w:val="0"/>
                <w:numId w:val="20"/>
              </w:numPr>
              <w:autoSpaceDE w:val="0"/>
              <w:autoSpaceDN w:val="0"/>
              <w:spacing w:after="120" w:line="276" w:lineRule="auto"/>
              <w:contextualSpacing w:val="0"/>
              <w:jc w:val="both"/>
              <w:rPr>
                <w:rFonts w:ascii="Verdana" w:hAnsi="Verdana" w:cs="Arial"/>
                <w:color w:val="7030A0"/>
              </w:rPr>
            </w:pPr>
            <w:r w:rsidRPr="00626D8F">
              <w:rPr>
                <w:rFonts w:ascii="Verdana" w:eastAsia="Calibri" w:hAnsi="Verdana" w:cs="Arial"/>
              </w:rPr>
              <w:t>Ley 80 de 1993. Artículo 24 numeral 5 y Artículo 30 numeral 5</w:t>
            </w:r>
          </w:p>
          <w:p w14:paraId="38614EFF" w14:textId="77777777" w:rsidR="006942EA" w:rsidRPr="00626D8F" w:rsidRDefault="006942EA" w:rsidP="006942EA">
            <w:pPr>
              <w:pStyle w:val="Prrafodelista"/>
              <w:widowControl w:val="0"/>
              <w:numPr>
                <w:ilvl w:val="0"/>
                <w:numId w:val="20"/>
              </w:numPr>
              <w:tabs>
                <w:tab w:val="left" w:pos="8419"/>
              </w:tabs>
              <w:autoSpaceDE w:val="0"/>
              <w:autoSpaceDN w:val="0"/>
              <w:spacing w:after="120" w:line="276" w:lineRule="auto"/>
              <w:contextualSpacing w:val="0"/>
              <w:jc w:val="both"/>
              <w:rPr>
                <w:rFonts w:ascii="Verdana" w:hAnsi="Verdana" w:cs="Arial"/>
                <w:color w:val="7030A0"/>
              </w:rPr>
            </w:pPr>
            <w:r w:rsidRPr="00626D8F">
              <w:rPr>
                <w:rFonts w:ascii="Verdana" w:eastAsia="Calibri" w:hAnsi="Verdana" w:cs="Arial"/>
              </w:rPr>
              <w:t xml:space="preserve">Decreto 1082 de 2015 artículos 2.2.1.1.2.1.3. y </w:t>
            </w:r>
            <w:r w:rsidRPr="00626D8F">
              <w:rPr>
                <w:rFonts w:ascii="Verdana" w:eastAsia="Arial" w:hAnsi="Verdana" w:cs="Arial"/>
                <w:lang w:eastAsia="es-ES" w:bidi="es-ES"/>
              </w:rPr>
              <w:t xml:space="preserve">2.2.1.1.2.2.1. </w:t>
            </w:r>
          </w:p>
          <w:p w14:paraId="08205300" w14:textId="77777777" w:rsidR="006942EA" w:rsidRPr="00626D8F" w:rsidRDefault="006942EA" w:rsidP="006942EA">
            <w:pPr>
              <w:pStyle w:val="Prrafodelista"/>
              <w:widowControl w:val="0"/>
              <w:numPr>
                <w:ilvl w:val="0"/>
                <w:numId w:val="20"/>
              </w:numPr>
              <w:tabs>
                <w:tab w:val="left" w:pos="8419"/>
              </w:tabs>
              <w:autoSpaceDE w:val="0"/>
              <w:autoSpaceDN w:val="0"/>
              <w:spacing w:after="120" w:line="276" w:lineRule="auto"/>
              <w:contextualSpacing w:val="0"/>
              <w:jc w:val="both"/>
              <w:rPr>
                <w:rFonts w:ascii="Verdana" w:hAnsi="Verdana" w:cs="Arial"/>
                <w:color w:val="7030A0"/>
              </w:rPr>
            </w:pPr>
            <w:r w:rsidRPr="00626D8F">
              <w:rPr>
                <w:rFonts w:ascii="Verdana" w:eastAsia="Calibri" w:hAnsi="Verdana" w:cs="Arial"/>
              </w:rPr>
              <w:t>Ley 1474 de 2011. Artículo 89</w:t>
            </w:r>
          </w:p>
          <w:p w14:paraId="5B1CC99E" w14:textId="77777777" w:rsidR="006942EA" w:rsidRPr="00626D8F" w:rsidRDefault="006942EA" w:rsidP="006942EA">
            <w:pPr>
              <w:pStyle w:val="Prrafodelista"/>
              <w:widowControl w:val="0"/>
              <w:numPr>
                <w:ilvl w:val="0"/>
                <w:numId w:val="20"/>
              </w:numPr>
              <w:tabs>
                <w:tab w:val="left" w:pos="8419"/>
              </w:tabs>
              <w:autoSpaceDE w:val="0"/>
              <w:autoSpaceDN w:val="0"/>
              <w:spacing w:after="120" w:line="276" w:lineRule="auto"/>
              <w:contextualSpacing w:val="0"/>
              <w:jc w:val="both"/>
              <w:rPr>
                <w:rFonts w:ascii="Verdana" w:hAnsi="Verdana" w:cs="Arial"/>
                <w:color w:val="7030A0"/>
              </w:rPr>
            </w:pPr>
            <w:r w:rsidRPr="00626D8F">
              <w:rPr>
                <w:rFonts w:ascii="Verdana" w:eastAsia="Calibri" w:hAnsi="Verdana" w:cs="Arial"/>
              </w:rPr>
              <w:t>Ley 1437 de 2011. Artículo 45</w:t>
            </w:r>
          </w:p>
          <w:p w14:paraId="7A6F8916" w14:textId="77777777" w:rsidR="006942EA" w:rsidRPr="00626D8F" w:rsidRDefault="006942EA" w:rsidP="006942EA">
            <w:pPr>
              <w:pStyle w:val="Prrafodelista"/>
              <w:widowControl w:val="0"/>
              <w:numPr>
                <w:ilvl w:val="0"/>
                <w:numId w:val="20"/>
              </w:numPr>
              <w:tabs>
                <w:tab w:val="left" w:pos="8419"/>
              </w:tabs>
              <w:autoSpaceDE w:val="0"/>
              <w:autoSpaceDN w:val="0"/>
              <w:spacing w:after="120" w:line="276" w:lineRule="auto"/>
              <w:contextualSpacing w:val="0"/>
              <w:jc w:val="both"/>
              <w:rPr>
                <w:rFonts w:ascii="Verdana" w:hAnsi="Verdana" w:cs="Arial"/>
                <w:color w:val="7030A0"/>
              </w:rPr>
            </w:pPr>
            <w:r w:rsidRPr="00626D8F">
              <w:rPr>
                <w:rFonts w:ascii="Verdana" w:hAnsi="Verdana" w:cs="Arial"/>
                <w:color w:val="000000"/>
              </w:rPr>
              <w:t>CONSEJO DE ESTADO. Sección Tercera. Subsección C. Sentencia de 24 de julio de 2013. Exp. 25642. C.P. Enrique Gil Botero.</w:t>
            </w:r>
          </w:p>
          <w:p w14:paraId="23EB1744" w14:textId="77777777" w:rsidR="006942EA" w:rsidRPr="00626D8F" w:rsidRDefault="006942EA" w:rsidP="006942EA">
            <w:pPr>
              <w:pStyle w:val="Prrafodelista"/>
              <w:widowControl w:val="0"/>
              <w:numPr>
                <w:ilvl w:val="0"/>
                <w:numId w:val="20"/>
              </w:numPr>
              <w:autoSpaceDE w:val="0"/>
              <w:autoSpaceDN w:val="0"/>
              <w:spacing w:after="120" w:line="276" w:lineRule="auto"/>
              <w:contextualSpacing w:val="0"/>
              <w:jc w:val="both"/>
              <w:rPr>
                <w:rFonts w:ascii="Verdana" w:hAnsi="Verdana" w:cs="Arial"/>
              </w:rPr>
            </w:pPr>
            <w:r w:rsidRPr="00626D8F">
              <w:rPr>
                <w:rFonts w:ascii="Verdana" w:hAnsi="Verdana" w:cs="Arial"/>
              </w:rPr>
              <w:t>CONSEJO DE ESTADO. Sección Tercera. Subsección A. Sentencia de 16 de septiembre de 2013. Exp. No. 30.571. C.P. Mauricio Fajardo Gómez.</w:t>
            </w:r>
          </w:p>
          <w:p w14:paraId="0CE8525D" w14:textId="77777777" w:rsidR="006942EA" w:rsidRPr="00AC742F" w:rsidRDefault="006942EA" w:rsidP="006942EA">
            <w:pPr>
              <w:pStyle w:val="Prrafodelista"/>
              <w:widowControl w:val="0"/>
              <w:numPr>
                <w:ilvl w:val="0"/>
                <w:numId w:val="20"/>
              </w:numPr>
              <w:autoSpaceDE w:val="0"/>
              <w:autoSpaceDN w:val="0"/>
              <w:spacing w:after="120" w:line="276" w:lineRule="auto"/>
              <w:contextualSpacing w:val="0"/>
              <w:jc w:val="both"/>
              <w:rPr>
                <w:rFonts w:ascii="Verdana" w:hAnsi="Verdana" w:cs="Arial"/>
              </w:rPr>
            </w:pPr>
            <w:r w:rsidRPr="00626D8F">
              <w:rPr>
                <w:rFonts w:ascii="Verdana" w:hAnsi="Verdana" w:cs="Arial"/>
                <w:color w:val="000000"/>
              </w:rPr>
              <w:t>CONSEJO DE ESTADO. Sección Tercera. Sentencia de 20 de febrero de 2014. Exp. 28.342. C.P.</w:t>
            </w:r>
            <w:r w:rsidRPr="00626D8F">
              <w:rPr>
                <w:rFonts w:ascii="Verdana" w:hAnsi="Verdana" w:cs="Arial"/>
                <w:color w:val="000000"/>
              </w:rPr>
              <w:tab/>
              <w:t>Stella Conto Diaz Del Castillo.</w:t>
            </w:r>
          </w:p>
        </w:tc>
      </w:tr>
    </w:tbl>
    <w:p w14:paraId="3E8F0200" w14:textId="77777777" w:rsidR="006942EA" w:rsidRPr="00593A5F" w:rsidRDefault="006942EA" w:rsidP="006942EA">
      <w:pPr>
        <w:widowControl w:val="0"/>
        <w:autoSpaceDE w:val="0"/>
        <w:autoSpaceDN w:val="0"/>
        <w:spacing w:after="0" w:line="276" w:lineRule="auto"/>
        <w:jc w:val="both"/>
        <w:rPr>
          <w:rFonts w:ascii="Verdana" w:hAnsi="Verdana" w:cs="Arial"/>
        </w:rPr>
      </w:pPr>
    </w:p>
    <w:p w14:paraId="0F4C9B69" w14:textId="77777777" w:rsidR="006942EA" w:rsidRPr="00593A5F" w:rsidRDefault="006942EA" w:rsidP="006942EA">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8F2C3B8" w14:textId="77777777" w:rsidR="006942EA" w:rsidRPr="00593A5F" w:rsidRDefault="006942EA" w:rsidP="006942EA">
      <w:pPr>
        <w:widowControl w:val="0"/>
        <w:autoSpaceDE w:val="0"/>
        <w:autoSpaceDN w:val="0"/>
        <w:spacing w:after="0" w:line="276" w:lineRule="auto"/>
        <w:jc w:val="both"/>
        <w:rPr>
          <w:rFonts w:ascii="Verdana" w:hAnsi="Verdana" w:cs="Arial"/>
        </w:rPr>
      </w:pPr>
    </w:p>
    <w:p w14:paraId="644B22A3" w14:textId="77777777" w:rsidR="006942EA" w:rsidRPr="00626D8F" w:rsidRDefault="006942EA" w:rsidP="006942EA">
      <w:pPr>
        <w:widowControl w:val="0"/>
        <w:autoSpaceDE w:val="0"/>
        <w:autoSpaceDN w:val="0"/>
        <w:spacing w:after="0" w:line="276" w:lineRule="auto"/>
        <w:jc w:val="both"/>
        <w:rPr>
          <w:rStyle w:val="normaltextrun"/>
          <w:rFonts w:ascii="Verdana" w:hAnsi="Verdana" w:cs="Arial"/>
          <w:color w:val="7030A0"/>
          <w:shd w:val="clear" w:color="auto" w:fill="FFFFFF"/>
          <w:lang w:val="es-ES"/>
        </w:rPr>
      </w:pPr>
      <w:r w:rsidRPr="003A67EA">
        <w:rPr>
          <w:rStyle w:val="normaltextrun"/>
          <w:rFonts w:ascii="Verdana" w:hAnsi="Verdana" w:cs="Arial"/>
          <w:shd w:val="clear" w:color="auto" w:fill="FFFFFF"/>
          <w:lang w:val="es-ES"/>
        </w:rPr>
        <w:t>Sobre los pliegos de condiciones y sus modificaciones a través de adendas se pronunció esta Subdirección en los conceptos C-1020 del 27 de diciembre de 2024, C-782 de 18 de noviembre de 2024, C-432 de 16 de septiembre de 2024, C-383 de 19 de septiembre de 2023. Es</w:t>
      </w:r>
      <w:r w:rsidRPr="003A67EA">
        <w:rPr>
          <w:rFonts w:ascii="Verdana" w:hAnsi="Verdana"/>
        </w:rPr>
        <w:t xml:space="preserve">tos </w:t>
      </w:r>
      <w:r w:rsidRPr="00A1554D">
        <w:rPr>
          <w:rFonts w:ascii="Verdana" w:hAnsi="Verdana"/>
        </w:rPr>
        <w:t xml:space="preserve">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317CBB48" w14:textId="77777777" w:rsidR="006942EA" w:rsidRDefault="006942EA" w:rsidP="006942EA">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19297A7F" w14:textId="77777777" w:rsidR="006942EA" w:rsidRDefault="006942EA" w:rsidP="006942EA">
      <w:pPr>
        <w:jc w:val="both"/>
        <w:textAlignment w:val="baseline"/>
        <w:rPr>
          <w:rFonts w:ascii="Verdana" w:hAnsi="Verdana"/>
          <w:color w:val="242424"/>
        </w:rPr>
      </w:pPr>
      <w:r>
        <w:rPr>
          <w:rFonts w:ascii="Verdana" w:hAnsi="Verdana"/>
          <w:color w:val="242424"/>
          <w:bdr w:val="none" w:sz="0" w:space="0" w:color="auto" w:frame="1"/>
        </w:rPr>
        <w:lastRenderedPageBreak/>
        <w:t>También le informamos que ya se encuentra disponible la </w:t>
      </w:r>
      <w:r>
        <w:rPr>
          <w:rFonts w:ascii="Verdana" w:hAnsi="Verdana"/>
          <w:b/>
          <w:bCs/>
          <w:color w:val="242424"/>
          <w:bdr w:val="none" w:sz="0" w:space="0" w:color="auto" w:frame="1"/>
        </w:rPr>
        <w:t>Cartilla para incentivar y fortalecer el acceso a las compras y contratación pública de los pueblos y comunidades étnicas en Colombia.</w:t>
      </w:r>
      <w:r>
        <w:rPr>
          <w:rFonts w:ascii="Verdana" w:hAnsi="Verdana"/>
          <w:color w:val="242424"/>
          <w:bdr w:val="none" w:sz="0" w:space="0" w:color="auto" w:frame="1"/>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Pr>
            <w:rStyle w:val="Hipervnculo"/>
            <w:rFonts w:ascii="Verdana" w:hAnsi="Verdana"/>
            <w:bdr w:val="none" w:sz="0" w:space="0" w:color="auto" w:frame="1"/>
          </w:rPr>
          <w:t>Cartilla para incentivar y fortalecer el acceso a las compras y contratación pública de los pueblos y comunidades étnicas en Colombia | Colombia Compra Eficiente | Agencia Nacional de Contratación Pública</w:t>
        </w:r>
      </w:hyperlink>
    </w:p>
    <w:p w14:paraId="674D1C99" w14:textId="77777777" w:rsidR="006942EA" w:rsidRDefault="006942EA" w:rsidP="006942EA">
      <w:pPr>
        <w:shd w:val="clear" w:color="auto" w:fill="FFFFFF"/>
        <w:jc w:val="both"/>
        <w:textAlignment w:val="baseline"/>
        <w:rPr>
          <w:rFonts w:ascii="Verdana" w:hAnsi="Verdana"/>
          <w:color w:val="242424"/>
        </w:rPr>
      </w:pPr>
      <w:r>
        <w:rPr>
          <w:rFonts w:ascii="Verdana" w:hAnsi="Verdana"/>
          <w:color w:val="242424"/>
          <w:bdr w:val="none" w:sz="0" w:space="0" w:color="auto" w:frame="1"/>
        </w:rPr>
        <w:t>De otra parte, le informamos que, con el objetivo de garantizar un conocimiento adecuado de las </w:t>
      </w:r>
      <w:r>
        <w:rPr>
          <w:rFonts w:ascii="Verdana" w:hAnsi="Verdana"/>
          <w:b/>
          <w:bCs/>
          <w:color w:val="242424"/>
          <w:bdr w:val="none" w:sz="0" w:space="0" w:color="auto" w:frame="1"/>
        </w:rPr>
        <w:t>modificaciones y/o actualizaciones realizadas a los Documentos Tipo</w:t>
      </w:r>
      <w:r>
        <w:rPr>
          <w:rFonts w:ascii="Verdana" w:hAnsi="Verdana"/>
          <w:color w:val="242424"/>
          <w:bdr w:val="none" w:sz="0" w:space="0" w:color="auto" w:frame="1"/>
        </w:rPr>
        <w:t>, hemos programado una serie de </w:t>
      </w:r>
      <w:r>
        <w:rPr>
          <w:rFonts w:ascii="Verdana" w:hAnsi="Verdana"/>
          <w:b/>
          <w:bCs/>
          <w:color w:val="242424"/>
          <w:bdr w:val="none" w:sz="0" w:space="0" w:color="auto" w:frame="1"/>
        </w:rPr>
        <w:t>capacitaciones </w:t>
      </w:r>
      <w:r>
        <w:rPr>
          <w:rFonts w:ascii="Verdana" w:hAnsi="Verdana"/>
          <w:color w:val="242424"/>
          <w:bdr w:val="none" w:sz="0" w:space="0" w:color="auto" w:frame="1"/>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Pr>
            <w:rStyle w:val="Hipervnculo"/>
            <w:rFonts w:ascii="Verdana" w:hAnsi="Verdana"/>
            <w:bdr w:val="none" w:sz="0" w:space="0" w:color="auto" w:frame="1"/>
          </w:rPr>
          <w:t>Calendario | Colombia Compra Eficiente | Agencia Nacional de Contratación Pública</w:t>
        </w:r>
      </w:hyperlink>
    </w:p>
    <w:p w14:paraId="144EF7D8" w14:textId="77777777" w:rsidR="006942EA" w:rsidRDefault="006942EA" w:rsidP="006942EA">
      <w:pPr>
        <w:shd w:val="clear" w:color="auto" w:fill="FFFFFF"/>
        <w:jc w:val="both"/>
        <w:textAlignment w:val="baseline"/>
        <w:rPr>
          <w:rFonts w:ascii="Verdana" w:hAnsi="Verdana"/>
          <w:color w:val="242424"/>
        </w:rPr>
      </w:pPr>
      <w:r>
        <w:rPr>
          <w:rFonts w:ascii="Verdana" w:hAnsi="Verdana"/>
          <w:color w:val="242424"/>
          <w:bdr w:val="none" w:sz="0" w:space="0" w:color="auto" w:frame="1"/>
        </w:rPr>
        <w:t>También, le contamos que ya publicamos </w:t>
      </w:r>
      <w:r>
        <w:rPr>
          <w:rFonts w:ascii="Verdana" w:hAnsi="Verdana"/>
          <w:b/>
          <w:bCs/>
          <w:color w:val="242424"/>
          <w:bdr w:val="none" w:sz="0" w:space="0" w:color="auto" w:frame="1"/>
        </w:rPr>
        <w:t>la nueva Guía de Contratación Pública Sostenible y Socialmente Responsable</w:t>
      </w:r>
      <w:r>
        <w:rPr>
          <w:rFonts w:ascii="Verdana" w:hAnsi="Verdana"/>
          <w:color w:val="242424"/>
          <w:bdr w:val="none" w:sz="0" w:space="0" w:color="auto" w:frame="1"/>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Pr>
            <w:rStyle w:val="Hipervnculo"/>
            <w:rFonts w:ascii="Verdana" w:hAnsi="Verdana"/>
            <w:bdr w:val="none" w:sz="0" w:space="0" w:color="auto" w:frame="1"/>
          </w:rPr>
          <w:t>Guía de Contratación Pública Sostenible y Socialmente Responsable | Colombia Compra Eficiente | Agencia Nacional de Contratación Pública</w:t>
        </w:r>
      </w:hyperlink>
    </w:p>
    <w:p w14:paraId="3486E047" w14:textId="77777777" w:rsidR="006942EA" w:rsidRDefault="006942EA" w:rsidP="006942E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556D039" w14:textId="77777777" w:rsidR="006942EA" w:rsidRPr="003E2460" w:rsidRDefault="006942EA" w:rsidP="006942EA">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5E7ED8AC" w14:textId="77777777" w:rsidR="006942EA" w:rsidRPr="003E2460" w:rsidRDefault="006942EA" w:rsidP="006942EA">
      <w:pPr>
        <w:spacing w:after="0" w:line="240" w:lineRule="auto"/>
        <w:jc w:val="both"/>
        <w:rPr>
          <w:rFonts w:ascii="Verdana" w:hAnsi="Verdana"/>
        </w:rPr>
      </w:pPr>
    </w:p>
    <w:p w14:paraId="434B20A4" w14:textId="77777777" w:rsidR="006942EA" w:rsidRPr="003E2460" w:rsidRDefault="006942EA" w:rsidP="006942EA">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34300B78" w14:textId="77777777" w:rsidR="006942EA" w:rsidRPr="003E2460" w:rsidRDefault="006942EA" w:rsidP="006942EA">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3234D6E8" w14:textId="77777777" w:rsidR="006942EA" w:rsidRPr="003E2460" w:rsidRDefault="006942EA" w:rsidP="006942EA">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02553BB" w14:textId="77777777" w:rsidR="006942EA" w:rsidRPr="00593A5F" w:rsidRDefault="006942EA" w:rsidP="006942EA">
      <w:pPr>
        <w:widowControl w:val="0"/>
        <w:autoSpaceDE w:val="0"/>
        <w:autoSpaceDN w:val="0"/>
        <w:spacing w:after="0" w:line="276" w:lineRule="auto"/>
        <w:jc w:val="both"/>
        <w:rPr>
          <w:rFonts w:ascii="Verdana" w:hAnsi="Verdana" w:cs="Arial"/>
        </w:rPr>
      </w:pPr>
    </w:p>
    <w:p w14:paraId="62E9AA4E" w14:textId="77777777" w:rsidR="00F06CD2" w:rsidRDefault="00F06CD2" w:rsidP="006942EA">
      <w:pPr>
        <w:widowControl w:val="0"/>
        <w:autoSpaceDE w:val="0"/>
        <w:autoSpaceDN w:val="0"/>
        <w:spacing w:after="0" w:line="276" w:lineRule="auto"/>
        <w:jc w:val="both"/>
        <w:rPr>
          <w:rFonts w:ascii="Verdana" w:hAnsi="Verdana" w:cs="Arial"/>
        </w:rPr>
      </w:pPr>
    </w:p>
    <w:p w14:paraId="1A63A129" w14:textId="77777777" w:rsidR="00F06CD2" w:rsidRDefault="00F06CD2" w:rsidP="006942EA">
      <w:pPr>
        <w:widowControl w:val="0"/>
        <w:autoSpaceDE w:val="0"/>
        <w:autoSpaceDN w:val="0"/>
        <w:spacing w:after="0" w:line="276" w:lineRule="auto"/>
        <w:jc w:val="both"/>
        <w:rPr>
          <w:rFonts w:ascii="Verdana" w:hAnsi="Verdana" w:cs="Arial"/>
        </w:rPr>
      </w:pPr>
    </w:p>
    <w:p w14:paraId="21E63183" w14:textId="77777777" w:rsidR="00F06CD2" w:rsidRDefault="00F06CD2" w:rsidP="006942EA">
      <w:pPr>
        <w:widowControl w:val="0"/>
        <w:autoSpaceDE w:val="0"/>
        <w:autoSpaceDN w:val="0"/>
        <w:spacing w:after="0" w:line="276" w:lineRule="auto"/>
        <w:jc w:val="both"/>
        <w:rPr>
          <w:rFonts w:ascii="Verdana" w:hAnsi="Verdana" w:cs="Arial"/>
        </w:rPr>
      </w:pPr>
    </w:p>
    <w:p w14:paraId="66A27ACE" w14:textId="77777777" w:rsidR="00F06CD2" w:rsidRDefault="00F06CD2" w:rsidP="006942EA">
      <w:pPr>
        <w:widowControl w:val="0"/>
        <w:autoSpaceDE w:val="0"/>
        <w:autoSpaceDN w:val="0"/>
        <w:spacing w:after="0" w:line="276" w:lineRule="auto"/>
        <w:jc w:val="both"/>
        <w:rPr>
          <w:rFonts w:ascii="Verdana" w:hAnsi="Verdana" w:cs="Arial"/>
        </w:rPr>
      </w:pPr>
    </w:p>
    <w:p w14:paraId="08A00DA4" w14:textId="77777777" w:rsidR="00F06CD2" w:rsidRDefault="00F06CD2" w:rsidP="006942EA">
      <w:pPr>
        <w:widowControl w:val="0"/>
        <w:autoSpaceDE w:val="0"/>
        <w:autoSpaceDN w:val="0"/>
        <w:spacing w:after="0" w:line="276" w:lineRule="auto"/>
        <w:jc w:val="both"/>
        <w:rPr>
          <w:rFonts w:ascii="Verdana" w:hAnsi="Verdana" w:cs="Arial"/>
        </w:rPr>
      </w:pPr>
    </w:p>
    <w:p w14:paraId="24276D94" w14:textId="77777777" w:rsidR="00F06CD2" w:rsidRDefault="00F06CD2" w:rsidP="006942EA">
      <w:pPr>
        <w:widowControl w:val="0"/>
        <w:autoSpaceDE w:val="0"/>
        <w:autoSpaceDN w:val="0"/>
        <w:spacing w:after="0" w:line="276" w:lineRule="auto"/>
        <w:jc w:val="both"/>
        <w:rPr>
          <w:rFonts w:ascii="Verdana" w:hAnsi="Verdana" w:cs="Arial"/>
        </w:rPr>
      </w:pPr>
    </w:p>
    <w:p w14:paraId="7905069E" w14:textId="77777777" w:rsidR="00F06CD2" w:rsidRDefault="00F06CD2" w:rsidP="006942EA">
      <w:pPr>
        <w:widowControl w:val="0"/>
        <w:autoSpaceDE w:val="0"/>
        <w:autoSpaceDN w:val="0"/>
        <w:spacing w:after="0" w:line="276" w:lineRule="auto"/>
        <w:jc w:val="both"/>
        <w:rPr>
          <w:rFonts w:ascii="Verdana" w:hAnsi="Verdana" w:cs="Arial"/>
        </w:rPr>
      </w:pPr>
    </w:p>
    <w:p w14:paraId="1E30ECEF" w14:textId="77777777" w:rsidR="00F06CD2" w:rsidRDefault="00F06CD2" w:rsidP="006942EA">
      <w:pPr>
        <w:widowControl w:val="0"/>
        <w:autoSpaceDE w:val="0"/>
        <w:autoSpaceDN w:val="0"/>
        <w:spacing w:after="0" w:line="276" w:lineRule="auto"/>
        <w:jc w:val="both"/>
        <w:rPr>
          <w:rFonts w:ascii="Verdana" w:hAnsi="Verdana" w:cs="Arial"/>
        </w:rPr>
      </w:pPr>
    </w:p>
    <w:p w14:paraId="1A200BAB" w14:textId="77777777" w:rsidR="00F06CD2" w:rsidRDefault="00F06CD2" w:rsidP="006942EA">
      <w:pPr>
        <w:widowControl w:val="0"/>
        <w:autoSpaceDE w:val="0"/>
        <w:autoSpaceDN w:val="0"/>
        <w:spacing w:after="0" w:line="276" w:lineRule="auto"/>
        <w:jc w:val="both"/>
        <w:rPr>
          <w:rFonts w:ascii="Verdana" w:hAnsi="Verdana" w:cs="Arial"/>
        </w:rPr>
      </w:pPr>
    </w:p>
    <w:p w14:paraId="2309F16C" w14:textId="55FE5C19" w:rsidR="006942EA" w:rsidRPr="00593A5F" w:rsidRDefault="006942EA" w:rsidP="006942E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F7F7075" w14:textId="77777777" w:rsidR="006942EA" w:rsidRPr="00593A5F" w:rsidRDefault="006942EA" w:rsidP="006942EA">
      <w:pPr>
        <w:widowControl w:val="0"/>
        <w:autoSpaceDE w:val="0"/>
        <w:autoSpaceDN w:val="0"/>
        <w:spacing w:after="0" w:line="276" w:lineRule="auto"/>
        <w:jc w:val="both"/>
        <w:rPr>
          <w:rFonts w:ascii="Verdana" w:hAnsi="Verdana" w:cs="Arial"/>
        </w:rPr>
      </w:pPr>
    </w:p>
    <w:p w14:paraId="670A297E" w14:textId="77777777" w:rsidR="006942EA" w:rsidRPr="00593A5F" w:rsidRDefault="006942EA" w:rsidP="006942E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BE6C3AF" w14:textId="4D6AFD16" w:rsidR="006942EA" w:rsidRPr="00593A5F" w:rsidRDefault="005D30D9" w:rsidP="006942EA">
      <w:pPr>
        <w:spacing w:line="276" w:lineRule="auto"/>
        <w:jc w:val="center"/>
        <w:rPr>
          <w:rFonts w:ascii="Verdana" w:hAnsi="Verdana" w:cs="Arial"/>
          <w:color w:val="000000"/>
          <w:lang w:val="es-ES_tradnl" w:eastAsia="es-CO"/>
        </w:rPr>
      </w:pPr>
      <w:r>
        <w:rPr>
          <w:rFonts w:ascii="Verdana" w:hAnsi="Verdana" w:cs="Arial"/>
          <w:noProof/>
          <w:color w:val="000000"/>
          <w:lang w:val="es-ES_tradnl"/>
        </w:rPr>
        <w:drawing>
          <wp:inline distT="0" distB="0" distL="0" distR="0" wp14:anchorId="1C7C2397" wp14:editId="616E0F3A">
            <wp:extent cx="3768725" cy="139954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942EA" w:rsidRPr="00593A5F" w14:paraId="5A665290" w14:textId="77777777" w:rsidTr="003B5481">
        <w:trPr>
          <w:trHeight w:val="315"/>
        </w:trPr>
        <w:tc>
          <w:tcPr>
            <w:tcW w:w="893" w:type="dxa"/>
            <w:vAlign w:val="center"/>
            <w:hideMark/>
          </w:tcPr>
          <w:p w14:paraId="2EEDBC2F" w14:textId="77777777" w:rsidR="006942EA" w:rsidRPr="003751C7" w:rsidRDefault="006942EA" w:rsidP="003B548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15925F9" w14:textId="77777777" w:rsidR="006942EA" w:rsidRPr="003A67EA" w:rsidRDefault="006942EA" w:rsidP="003B5481">
            <w:pPr>
              <w:contextualSpacing/>
              <w:rPr>
                <w:rFonts w:ascii="Verdana" w:eastAsia="Arial" w:hAnsi="Verdana" w:cs="Arial"/>
                <w:color w:val="7030A0"/>
                <w:sz w:val="16"/>
                <w:szCs w:val="16"/>
              </w:rPr>
            </w:pPr>
            <w:r w:rsidRPr="003A67EA">
              <w:rPr>
                <w:rFonts w:ascii="Verdana" w:eastAsia="Arial" w:hAnsi="Verdana" w:cs="Arial"/>
                <w:color w:val="7030A0"/>
                <w:sz w:val="16"/>
                <w:szCs w:val="16"/>
              </w:rPr>
              <w:t>C</w:t>
            </w:r>
            <w:r w:rsidRPr="003A67EA">
              <w:rPr>
                <w:rFonts w:ascii="Verdana" w:eastAsia="Arial" w:hAnsi="Verdana" w:cs="Arial"/>
                <w:sz w:val="16"/>
                <w:szCs w:val="16"/>
              </w:rPr>
              <w:t>atalina Cubides Estupiñan</w:t>
            </w:r>
          </w:p>
          <w:p w14:paraId="0412A591" w14:textId="77777777" w:rsidR="006942EA" w:rsidRPr="003751C7" w:rsidRDefault="006942EA" w:rsidP="003B5481">
            <w:pPr>
              <w:contextualSpacing/>
              <w:rPr>
                <w:rFonts w:ascii="Verdana" w:eastAsia="Arial" w:hAnsi="Verdana" w:cs="Arial"/>
                <w:sz w:val="16"/>
                <w:szCs w:val="16"/>
              </w:rPr>
            </w:pPr>
            <w:r>
              <w:rPr>
                <w:rStyle w:val="normaltextrun"/>
                <w:rFonts w:ascii="Verdana" w:eastAsia="Arial" w:hAnsi="Verdana" w:cs="Arial"/>
                <w:sz w:val="16"/>
                <w:szCs w:val="16"/>
              </w:rPr>
              <w:t xml:space="preserve">Contratista </w:t>
            </w:r>
            <w:r w:rsidRPr="003751C7">
              <w:rPr>
                <w:rStyle w:val="normaltextrun"/>
                <w:rFonts w:ascii="Verdana" w:eastAsia="Arial" w:hAnsi="Verdana" w:cs="Arial"/>
                <w:sz w:val="16"/>
                <w:szCs w:val="16"/>
              </w:rPr>
              <w:t>de la Subdirección de Gestión Contractual</w:t>
            </w:r>
          </w:p>
        </w:tc>
      </w:tr>
      <w:tr w:rsidR="006942EA" w:rsidRPr="00593A5F" w14:paraId="6503588B" w14:textId="77777777" w:rsidTr="003B5481">
        <w:trPr>
          <w:trHeight w:val="330"/>
        </w:trPr>
        <w:tc>
          <w:tcPr>
            <w:tcW w:w="893" w:type="dxa"/>
            <w:vAlign w:val="center"/>
            <w:hideMark/>
          </w:tcPr>
          <w:p w14:paraId="227A4292" w14:textId="77777777" w:rsidR="006942EA" w:rsidRPr="003751C7" w:rsidRDefault="006942EA" w:rsidP="003B548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588FDD" w14:textId="39724774" w:rsidR="006942EA" w:rsidRPr="00F06CD2" w:rsidRDefault="00723F7B" w:rsidP="003B5481">
            <w:pPr>
              <w:pStyle w:val="paragraph"/>
              <w:spacing w:before="0" w:beforeAutospacing="0" w:after="0" w:afterAutospacing="0"/>
              <w:contextualSpacing/>
              <w:textAlignment w:val="baseline"/>
              <w:rPr>
                <w:rFonts w:ascii="Verdana" w:hAnsi="Verdana" w:cs="Segoe UI"/>
                <w:sz w:val="16"/>
                <w:szCs w:val="16"/>
              </w:rPr>
            </w:pPr>
            <w:r w:rsidRPr="00F06CD2">
              <w:rPr>
                <w:rFonts w:ascii="Verdana" w:hAnsi="Verdana" w:cs="Segoe UI"/>
                <w:sz w:val="16"/>
                <w:szCs w:val="16"/>
              </w:rPr>
              <w:t xml:space="preserve">Juan Carlos </w:t>
            </w:r>
            <w:r w:rsidR="00F06CD2" w:rsidRPr="00F06CD2">
              <w:rPr>
                <w:rFonts w:ascii="Verdana" w:hAnsi="Verdana" w:cs="Segoe UI"/>
                <w:sz w:val="16"/>
                <w:szCs w:val="16"/>
              </w:rPr>
              <w:t>González</w:t>
            </w:r>
            <w:r w:rsidRPr="00F06CD2">
              <w:rPr>
                <w:rFonts w:ascii="Verdana" w:hAnsi="Verdana" w:cs="Segoe UI"/>
                <w:sz w:val="16"/>
                <w:szCs w:val="16"/>
              </w:rPr>
              <w:t xml:space="preserve"> </w:t>
            </w:r>
            <w:r w:rsidR="00F06CD2" w:rsidRPr="00F06CD2">
              <w:rPr>
                <w:rFonts w:ascii="Verdana" w:hAnsi="Verdana" w:cs="Segoe UI"/>
                <w:sz w:val="16"/>
                <w:szCs w:val="16"/>
              </w:rPr>
              <w:t>Vásquez</w:t>
            </w:r>
          </w:p>
          <w:p w14:paraId="2B93ED4C" w14:textId="79FA2DB5" w:rsidR="006942EA" w:rsidRPr="003751C7" w:rsidRDefault="00F06CD2" w:rsidP="003B5481">
            <w:pPr>
              <w:pStyle w:val="paragraph"/>
              <w:spacing w:before="0" w:beforeAutospacing="0" w:after="0" w:afterAutospacing="0"/>
              <w:contextualSpacing/>
              <w:textAlignment w:val="baseline"/>
              <w:rPr>
                <w:rFonts w:ascii="Verdana" w:hAnsi="Verdana" w:cs="Segoe UI"/>
                <w:sz w:val="16"/>
                <w:szCs w:val="16"/>
              </w:rPr>
            </w:pPr>
            <w:r w:rsidRPr="00F06CD2">
              <w:rPr>
                <w:rStyle w:val="normaltextrun"/>
                <w:rFonts w:ascii="Verdana" w:hAnsi="Verdana" w:cs="Arial"/>
                <w:sz w:val="16"/>
                <w:szCs w:val="16"/>
                <w:lang w:val="es-ES"/>
              </w:rPr>
              <w:t xml:space="preserve">Contratista </w:t>
            </w:r>
            <w:r w:rsidR="006942EA" w:rsidRPr="00F06CD2">
              <w:rPr>
                <w:rStyle w:val="normaltextrun"/>
                <w:rFonts w:ascii="Verdana" w:hAnsi="Verdana" w:cs="Arial"/>
                <w:sz w:val="16"/>
                <w:szCs w:val="16"/>
                <w:lang w:val="es-ES"/>
              </w:rPr>
              <w:t xml:space="preserve">de la </w:t>
            </w:r>
            <w:r w:rsidR="006942EA" w:rsidRPr="003751C7">
              <w:rPr>
                <w:rStyle w:val="normaltextrun"/>
                <w:rFonts w:ascii="Verdana" w:hAnsi="Verdana" w:cs="Arial"/>
                <w:sz w:val="16"/>
                <w:szCs w:val="16"/>
                <w:lang w:val="es-ES"/>
              </w:rPr>
              <w:t>Subdirección de Gestión Contractual</w:t>
            </w:r>
            <w:r w:rsidR="006942EA" w:rsidRPr="003751C7">
              <w:rPr>
                <w:rStyle w:val="eop"/>
                <w:rFonts w:ascii="Verdana" w:hAnsi="Verdana" w:cs="Arial"/>
                <w:sz w:val="16"/>
                <w:szCs w:val="16"/>
              </w:rPr>
              <w:t> </w:t>
            </w:r>
          </w:p>
        </w:tc>
      </w:tr>
      <w:tr w:rsidR="006942EA" w:rsidRPr="00593A5F" w14:paraId="794DB5EA" w14:textId="77777777" w:rsidTr="003B5481">
        <w:trPr>
          <w:trHeight w:val="300"/>
        </w:trPr>
        <w:tc>
          <w:tcPr>
            <w:tcW w:w="893" w:type="dxa"/>
            <w:vAlign w:val="center"/>
          </w:tcPr>
          <w:p w14:paraId="4C68C7D4" w14:textId="77777777" w:rsidR="006942EA" w:rsidRPr="003751C7" w:rsidRDefault="006942EA" w:rsidP="003B548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AC6E91A" w14:textId="77777777" w:rsidR="006942EA" w:rsidRPr="003751C7" w:rsidRDefault="006942EA" w:rsidP="003B5481">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BE98985" w14:textId="77777777" w:rsidR="006942EA" w:rsidRPr="003751C7" w:rsidRDefault="006942EA" w:rsidP="003B5481">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3548C2ED" w14:textId="77777777" w:rsidR="006942EA" w:rsidRPr="00871B59" w:rsidRDefault="006942EA" w:rsidP="006942EA"/>
    <w:p w14:paraId="3900974D" w14:textId="77777777" w:rsidR="003D5B0D" w:rsidRPr="006942EA" w:rsidRDefault="003D5B0D" w:rsidP="006942EA"/>
    <w:sectPr w:rsidR="003D5B0D" w:rsidRPr="006942E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D9ABD" w14:textId="77777777" w:rsidR="00220FF0" w:rsidRDefault="00220FF0" w:rsidP="004A1847">
      <w:pPr>
        <w:spacing w:after="0" w:line="240" w:lineRule="auto"/>
      </w:pPr>
      <w:r>
        <w:separator/>
      </w:r>
    </w:p>
  </w:endnote>
  <w:endnote w:type="continuationSeparator" w:id="0">
    <w:p w14:paraId="1FB85B41" w14:textId="77777777" w:rsidR="00220FF0" w:rsidRDefault="00220FF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FDC68" w14:textId="77777777" w:rsidR="00220FF0" w:rsidRDefault="00220FF0" w:rsidP="004A1847">
      <w:pPr>
        <w:spacing w:after="0" w:line="240" w:lineRule="auto"/>
      </w:pPr>
      <w:r>
        <w:separator/>
      </w:r>
    </w:p>
  </w:footnote>
  <w:footnote w:type="continuationSeparator" w:id="0">
    <w:p w14:paraId="39A4DDC3" w14:textId="77777777" w:rsidR="00220FF0" w:rsidRDefault="00220FF0" w:rsidP="004A1847">
      <w:pPr>
        <w:spacing w:after="0" w:line="240" w:lineRule="auto"/>
      </w:pPr>
      <w:r>
        <w:continuationSeparator/>
      </w:r>
    </w:p>
  </w:footnote>
  <w:footnote w:id="1">
    <w:p w14:paraId="34E5E889" w14:textId="77777777" w:rsidR="005D30D9" w:rsidRDefault="00256672" w:rsidP="005D30D9">
      <w:pPr>
        <w:pStyle w:val="Textonotapie"/>
      </w:pPr>
      <w:r>
        <w:rPr>
          <w:rStyle w:val="Refdenotaalpie"/>
        </w:rPr>
        <w:footnoteRef/>
      </w:r>
      <w:r>
        <w:t xml:space="preserve"> </w:t>
      </w:r>
      <w:r w:rsidR="005D30D9">
        <w:t>CONSEJO DE ESTADO. Sección Tercera. Sentencia de 20 de febrero de 2014. Exp. 28.342. M.P Stella Conto</w:t>
      </w:r>
    </w:p>
    <w:p w14:paraId="03042219" w14:textId="73169D51" w:rsidR="00256672" w:rsidRPr="00256672" w:rsidRDefault="005D30D9" w:rsidP="005D30D9">
      <w:pPr>
        <w:pStyle w:val="Textonotapie"/>
        <w:rPr>
          <w:lang w:val="es-ES"/>
        </w:rPr>
      </w:pPr>
      <w:r>
        <w:t>Diaz Del Castillo.</w:t>
      </w:r>
    </w:p>
  </w:footnote>
  <w:footnote w:id="2">
    <w:p w14:paraId="5CCC072E" w14:textId="77777777" w:rsidR="006942EA" w:rsidRPr="00E428C0" w:rsidRDefault="006942EA" w:rsidP="006942EA">
      <w:pPr>
        <w:pStyle w:val="Textonotapie"/>
        <w:rPr>
          <w:rFonts w:ascii="Verdana" w:hAnsi="Verdana"/>
          <w:sz w:val="16"/>
          <w:szCs w:val="16"/>
          <w:lang w:val="es-ES"/>
        </w:rPr>
      </w:pPr>
      <w:r w:rsidRPr="00E428C0">
        <w:rPr>
          <w:rStyle w:val="Refdenotaalpie"/>
          <w:rFonts w:ascii="Verdana" w:hAnsi="Verdana"/>
          <w:sz w:val="16"/>
          <w:szCs w:val="16"/>
        </w:rPr>
        <w:footnoteRef/>
      </w:r>
      <w:r w:rsidRPr="00E428C0">
        <w:rPr>
          <w:rFonts w:ascii="Verdana" w:hAnsi="Verdana"/>
          <w:sz w:val="16"/>
          <w:szCs w:val="16"/>
        </w:rPr>
        <w:t xml:space="preserve"> Ley 1437 de 2011, artículo 45.</w:t>
      </w:r>
    </w:p>
  </w:footnote>
  <w:footnote w:id="3">
    <w:p w14:paraId="1A3C57CA" w14:textId="77777777" w:rsidR="006942EA" w:rsidRPr="00D81A3B" w:rsidRDefault="006942EA" w:rsidP="006942EA">
      <w:pPr>
        <w:pStyle w:val="Textonotapie"/>
        <w:rPr>
          <w:lang w:val="es-ES"/>
        </w:rPr>
      </w:pPr>
      <w:r w:rsidRPr="00E428C0">
        <w:rPr>
          <w:rStyle w:val="Refdenotaalpie"/>
          <w:rFonts w:ascii="Verdana" w:hAnsi="Verdana"/>
          <w:sz w:val="16"/>
          <w:szCs w:val="16"/>
        </w:rPr>
        <w:footnoteRef/>
      </w:r>
      <w:r w:rsidRPr="00E428C0">
        <w:rPr>
          <w:rFonts w:ascii="Verdana" w:hAnsi="Verdana"/>
          <w:sz w:val="16"/>
          <w:szCs w:val="16"/>
        </w:rPr>
        <w:t xml:space="preserve"> </w:t>
      </w:r>
      <w:r w:rsidRPr="00E428C0">
        <w:rPr>
          <w:rFonts w:ascii="Verdana" w:hAnsi="Verdana" w:cs="Arial"/>
          <w:color w:val="000000"/>
          <w:sz w:val="16"/>
          <w:szCs w:val="16"/>
        </w:rPr>
        <w:t>CONSEJO DE ESTADO. Sección Tercera. Subsección C. Sentencia de 24 de julio de 2013. Exp. 25642. C.P. Enrique Gil Botero.</w:t>
      </w:r>
    </w:p>
  </w:footnote>
  <w:footnote w:id="4">
    <w:p w14:paraId="18009F53" w14:textId="77777777" w:rsidR="006942EA" w:rsidRPr="00E428C0" w:rsidRDefault="006942EA" w:rsidP="006942EA">
      <w:pPr>
        <w:spacing w:after="0" w:line="240" w:lineRule="auto"/>
        <w:ind w:right="306" w:firstLine="707"/>
        <w:jc w:val="both"/>
        <w:rPr>
          <w:rFonts w:ascii="Verdana" w:hAnsi="Verdana" w:cs="Arial"/>
          <w:sz w:val="16"/>
          <w:szCs w:val="16"/>
        </w:rPr>
      </w:pPr>
      <w:r w:rsidRPr="00E428C0">
        <w:rPr>
          <w:rStyle w:val="Refdenotaalpie"/>
          <w:rFonts w:ascii="Verdana" w:hAnsi="Verdana"/>
          <w:sz w:val="16"/>
          <w:szCs w:val="16"/>
        </w:rPr>
        <w:footnoteRef/>
      </w:r>
      <w:r w:rsidRPr="00E428C0">
        <w:rPr>
          <w:rFonts w:ascii="Verdana" w:hAnsi="Verdana"/>
          <w:sz w:val="16"/>
          <w:szCs w:val="16"/>
        </w:rPr>
        <w:t xml:space="preserve"> </w:t>
      </w:r>
      <w:r w:rsidRPr="00E428C0">
        <w:rPr>
          <w:rFonts w:ascii="Verdana" w:hAnsi="Verdana" w:cs="Arial"/>
          <w:sz w:val="16"/>
          <w:szCs w:val="16"/>
        </w:rPr>
        <w:t>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6AECFCCE" w14:textId="77777777" w:rsidR="006942EA" w:rsidRPr="00E428C0" w:rsidRDefault="006942EA" w:rsidP="006942EA">
      <w:pPr>
        <w:spacing w:after="0" w:line="240" w:lineRule="auto"/>
        <w:ind w:left="300" w:right="306"/>
        <w:jc w:val="both"/>
        <w:rPr>
          <w:rFonts w:ascii="Verdana" w:hAnsi="Verdana" w:cs="Arial"/>
          <w:sz w:val="16"/>
          <w:szCs w:val="16"/>
        </w:rPr>
      </w:pPr>
      <w:r w:rsidRPr="00E428C0">
        <w:rPr>
          <w:rFonts w:ascii="Verdana" w:hAnsi="Verdana" w:cs="Arial"/>
          <w:sz w:val="16"/>
          <w:szCs w:val="16"/>
          <w:u w:val="single" w:color="4E4D4D"/>
        </w:rPr>
        <w:t xml:space="preserve"> “5.2. De la fuerza vinculante de las respuestas a las solicitudes de aclaraciones en relación con los términos de</w:t>
      </w:r>
      <w:r w:rsidRPr="00E428C0">
        <w:rPr>
          <w:rFonts w:ascii="Verdana" w:hAnsi="Verdana" w:cs="Arial"/>
          <w:sz w:val="16"/>
          <w:szCs w:val="16"/>
        </w:rPr>
        <w:t xml:space="preserve"> </w:t>
      </w:r>
      <w:r w:rsidRPr="00E428C0">
        <w:rPr>
          <w:rFonts w:ascii="Verdana" w:hAnsi="Verdana" w:cs="Arial"/>
          <w:sz w:val="16"/>
          <w:szCs w:val="16"/>
          <w:u w:val="single" w:color="4E4D4D"/>
        </w:rPr>
        <w:t>referencia.</w:t>
      </w:r>
    </w:p>
    <w:p w14:paraId="20AB59E2" w14:textId="77777777" w:rsidR="006942EA" w:rsidRPr="00E428C0" w:rsidRDefault="006942EA" w:rsidP="006942EA">
      <w:pPr>
        <w:spacing w:after="0" w:line="240" w:lineRule="auto"/>
        <w:ind w:left="300" w:right="306"/>
        <w:jc w:val="both"/>
        <w:rPr>
          <w:rFonts w:ascii="Verdana" w:hAnsi="Verdana" w:cs="Arial"/>
          <w:sz w:val="16"/>
          <w:szCs w:val="16"/>
        </w:rPr>
      </w:pPr>
      <w:r w:rsidRPr="00E428C0">
        <w:rPr>
          <w:rFonts w:ascii="Verdana" w:hAnsi="Verdana" w:cs="Arial"/>
          <w:sz w:val="16"/>
          <w:szCs w:val="16"/>
        </w:rPr>
        <w:t>(…).</w:t>
      </w:r>
    </w:p>
    <w:p w14:paraId="68A3EE11" w14:textId="77777777" w:rsidR="006942EA" w:rsidRPr="00E428C0" w:rsidRDefault="006942EA" w:rsidP="006942EA">
      <w:pPr>
        <w:spacing w:after="0" w:line="240" w:lineRule="auto"/>
        <w:ind w:left="300" w:right="306"/>
        <w:jc w:val="both"/>
        <w:rPr>
          <w:rFonts w:ascii="Verdana" w:hAnsi="Verdana" w:cs="Arial"/>
          <w:sz w:val="16"/>
          <w:szCs w:val="16"/>
        </w:rPr>
      </w:pPr>
      <w:r w:rsidRPr="00E428C0">
        <w:rPr>
          <w:rFonts w:ascii="Verdana" w:hAnsi="Verdana" w:cs="Arial"/>
          <w:sz w:val="16"/>
          <w:szCs w:val="16"/>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E428C0">
        <w:rPr>
          <w:rFonts w:ascii="Verdana" w:hAnsi="Verdana" w:cs="Arial"/>
          <w:spacing w:val="-11"/>
          <w:sz w:val="16"/>
          <w:szCs w:val="16"/>
        </w:rPr>
        <w:t xml:space="preserve"> </w:t>
      </w:r>
      <w:r w:rsidRPr="00E428C0">
        <w:rPr>
          <w:rFonts w:ascii="Verdana" w:hAnsi="Verdana" w:cs="Arial"/>
          <w:sz w:val="16"/>
          <w:szCs w:val="16"/>
        </w:rPr>
        <w:t>oferentes.</w:t>
      </w:r>
    </w:p>
    <w:p w14:paraId="73F10081" w14:textId="77777777" w:rsidR="006942EA" w:rsidRPr="00E428C0" w:rsidRDefault="006942EA" w:rsidP="006942EA">
      <w:pPr>
        <w:spacing w:after="0" w:line="240" w:lineRule="auto"/>
        <w:ind w:left="300" w:right="306"/>
        <w:jc w:val="both"/>
        <w:rPr>
          <w:rFonts w:ascii="Verdana" w:hAnsi="Verdana" w:cs="Arial"/>
          <w:sz w:val="16"/>
          <w:szCs w:val="16"/>
        </w:rPr>
      </w:pPr>
      <w:r w:rsidRPr="00E428C0">
        <w:rPr>
          <w:rFonts w:ascii="Verdana" w:hAnsi="Verdana" w:cs="Arial"/>
          <w:sz w:val="16"/>
          <w:szCs w:val="16"/>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E428C0">
        <w:rPr>
          <w:rFonts w:ascii="Verdana" w:hAnsi="Verdana" w:cs="Arial"/>
          <w:spacing w:val="-19"/>
          <w:sz w:val="16"/>
          <w:szCs w:val="16"/>
        </w:rPr>
        <w:t xml:space="preserve"> </w:t>
      </w:r>
      <w:r w:rsidRPr="00E428C0">
        <w:rPr>
          <w:rFonts w:ascii="Verdana" w:hAnsi="Verdana" w:cs="Arial"/>
          <w:sz w:val="16"/>
          <w:szCs w:val="16"/>
        </w:rPr>
        <w:t>condiciones”.</w:t>
      </w:r>
    </w:p>
    <w:p w14:paraId="7FAD3824" w14:textId="77777777" w:rsidR="006942EA" w:rsidRPr="001076F8" w:rsidRDefault="006942EA" w:rsidP="006942EA">
      <w:pPr>
        <w:pStyle w:val="Textonotapie"/>
        <w:rPr>
          <w:lang w:val="es-ES"/>
        </w:rPr>
      </w:pPr>
    </w:p>
  </w:footnote>
  <w:footnote w:id="5">
    <w:p w14:paraId="334FB0D8" w14:textId="77777777" w:rsidR="006942EA" w:rsidRPr="00E428C0" w:rsidRDefault="006942EA" w:rsidP="006942EA">
      <w:pPr>
        <w:pStyle w:val="Textonotapie"/>
        <w:ind w:firstLine="567"/>
        <w:jc w:val="both"/>
        <w:rPr>
          <w:rFonts w:ascii="Verdana" w:hAnsi="Verdana" w:cs="Arial"/>
          <w:sz w:val="16"/>
          <w:szCs w:val="16"/>
          <w:lang w:val="es-CO"/>
        </w:rPr>
      </w:pPr>
      <w:r w:rsidRPr="00E428C0">
        <w:rPr>
          <w:rStyle w:val="Refdenotaalpie"/>
          <w:rFonts w:ascii="Verdana" w:hAnsi="Verdana" w:cs="Arial"/>
          <w:sz w:val="16"/>
          <w:szCs w:val="16"/>
        </w:rPr>
        <w:footnoteRef/>
      </w:r>
      <w:r w:rsidRPr="00E428C0">
        <w:rPr>
          <w:rFonts w:ascii="Verdana" w:hAnsi="Verdana" w:cs="Arial"/>
          <w:sz w:val="16"/>
          <w:szCs w:val="16"/>
        </w:rPr>
        <w:t xml:space="preserve"> </w:t>
      </w:r>
      <w:r w:rsidRPr="00E428C0">
        <w:rPr>
          <w:rFonts w:ascii="Verdana" w:hAnsi="Verdana" w:cs="Arial"/>
          <w:color w:val="000000"/>
          <w:sz w:val="16"/>
          <w:szCs w:val="16"/>
        </w:rPr>
        <w:t>CONSEJO DE ESTADO. Sección Tercera. Sentencia de 20 de febrero de 2014. Exp. 28.342. M.P</w:t>
      </w:r>
      <w:r w:rsidRPr="00E428C0">
        <w:rPr>
          <w:rFonts w:ascii="Verdana" w:hAnsi="Verdana" w:cs="Arial"/>
          <w:color w:val="000000"/>
          <w:sz w:val="16"/>
          <w:szCs w:val="16"/>
        </w:rPr>
        <w:tab/>
        <w:t>Stella Conto Diaz Del Castillo.</w:t>
      </w:r>
    </w:p>
  </w:footnote>
  <w:footnote w:id="6">
    <w:p w14:paraId="13401A60" w14:textId="77777777" w:rsidR="006942EA" w:rsidRPr="00E428C0" w:rsidRDefault="006942EA" w:rsidP="006942EA">
      <w:pPr>
        <w:pStyle w:val="Textonotapie"/>
        <w:rPr>
          <w:rFonts w:ascii="Verdana" w:hAnsi="Verdana"/>
          <w:sz w:val="16"/>
          <w:szCs w:val="16"/>
          <w:lang w:val="es-ES"/>
        </w:rPr>
      </w:pPr>
      <w:r w:rsidRPr="00E428C0">
        <w:rPr>
          <w:rStyle w:val="Refdenotaalpie"/>
          <w:rFonts w:ascii="Verdana" w:hAnsi="Verdana"/>
          <w:sz w:val="16"/>
          <w:szCs w:val="16"/>
        </w:rPr>
        <w:footnoteRef/>
      </w:r>
      <w:r w:rsidRPr="00E428C0">
        <w:rPr>
          <w:rFonts w:ascii="Verdana" w:hAnsi="Verdana"/>
          <w:sz w:val="16"/>
          <w:szCs w:val="16"/>
        </w:rPr>
        <w:t xml:space="preserve"> Ley 1437 de 2011, artículo 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AAF143"/>
    <w:multiLevelType w:val="hybridMultilevel"/>
    <w:tmpl w:val="8B548310"/>
    <w:lvl w:ilvl="0" w:tplc="647EADC0">
      <w:start w:val="5"/>
      <w:numFmt w:val="decimal"/>
      <w:lvlText w:val="%1."/>
      <w:lvlJc w:val="left"/>
      <w:pPr>
        <w:ind w:left="720" w:hanging="360"/>
      </w:pPr>
    </w:lvl>
    <w:lvl w:ilvl="1" w:tplc="3B9EAF36">
      <w:start w:val="1"/>
      <w:numFmt w:val="lowerLetter"/>
      <w:lvlText w:val="%2."/>
      <w:lvlJc w:val="left"/>
      <w:pPr>
        <w:ind w:left="1440" w:hanging="360"/>
      </w:pPr>
    </w:lvl>
    <w:lvl w:ilvl="2" w:tplc="26841194">
      <w:start w:val="1"/>
      <w:numFmt w:val="lowerRoman"/>
      <w:lvlText w:val="%3."/>
      <w:lvlJc w:val="right"/>
      <w:pPr>
        <w:ind w:left="2160" w:hanging="180"/>
      </w:pPr>
    </w:lvl>
    <w:lvl w:ilvl="3" w:tplc="D480D886">
      <w:start w:val="1"/>
      <w:numFmt w:val="decimal"/>
      <w:lvlText w:val="%4."/>
      <w:lvlJc w:val="left"/>
      <w:pPr>
        <w:ind w:left="2880" w:hanging="360"/>
      </w:pPr>
    </w:lvl>
    <w:lvl w:ilvl="4" w:tplc="4B3A5AAE">
      <w:start w:val="1"/>
      <w:numFmt w:val="lowerLetter"/>
      <w:lvlText w:val="%5."/>
      <w:lvlJc w:val="left"/>
      <w:pPr>
        <w:ind w:left="3600" w:hanging="360"/>
      </w:pPr>
    </w:lvl>
    <w:lvl w:ilvl="5" w:tplc="5EECDCEE">
      <w:start w:val="1"/>
      <w:numFmt w:val="lowerRoman"/>
      <w:lvlText w:val="%6."/>
      <w:lvlJc w:val="right"/>
      <w:pPr>
        <w:ind w:left="4320" w:hanging="180"/>
      </w:pPr>
    </w:lvl>
    <w:lvl w:ilvl="6" w:tplc="404060EC">
      <w:start w:val="1"/>
      <w:numFmt w:val="decimal"/>
      <w:lvlText w:val="%7."/>
      <w:lvlJc w:val="left"/>
      <w:pPr>
        <w:ind w:left="5040" w:hanging="360"/>
      </w:pPr>
    </w:lvl>
    <w:lvl w:ilvl="7" w:tplc="C5DCFC10">
      <w:start w:val="1"/>
      <w:numFmt w:val="lowerLetter"/>
      <w:lvlText w:val="%8."/>
      <w:lvlJc w:val="left"/>
      <w:pPr>
        <w:ind w:left="5760" w:hanging="360"/>
      </w:pPr>
    </w:lvl>
    <w:lvl w:ilvl="8" w:tplc="A5B6D35C">
      <w:start w:val="1"/>
      <w:numFmt w:val="lowerRoman"/>
      <w:lvlText w:val="%9."/>
      <w:lvlJc w:val="right"/>
      <w:pPr>
        <w:ind w:left="6480" w:hanging="180"/>
      </w:pPr>
    </w:lvl>
  </w:abstractNum>
  <w:abstractNum w:abstractNumId="4" w15:restartNumberingAfterBreak="0">
    <w:nsid w:val="1CF1C030"/>
    <w:multiLevelType w:val="hybridMultilevel"/>
    <w:tmpl w:val="011E4D18"/>
    <w:lvl w:ilvl="0" w:tplc="12C46BE4">
      <w:start w:val="1"/>
      <w:numFmt w:val="decimal"/>
      <w:lvlText w:val="%1."/>
      <w:lvlJc w:val="left"/>
      <w:pPr>
        <w:ind w:left="720" w:hanging="360"/>
      </w:pPr>
    </w:lvl>
    <w:lvl w:ilvl="1" w:tplc="6CF2146C">
      <w:start w:val="1"/>
      <w:numFmt w:val="lowerLetter"/>
      <w:lvlText w:val="%2."/>
      <w:lvlJc w:val="left"/>
      <w:pPr>
        <w:ind w:left="1440" w:hanging="360"/>
      </w:pPr>
    </w:lvl>
    <w:lvl w:ilvl="2" w:tplc="BBDA4E68">
      <w:start w:val="1"/>
      <w:numFmt w:val="lowerRoman"/>
      <w:lvlText w:val="%3."/>
      <w:lvlJc w:val="right"/>
      <w:pPr>
        <w:ind w:left="2160" w:hanging="180"/>
      </w:pPr>
    </w:lvl>
    <w:lvl w:ilvl="3" w:tplc="550E5BF0">
      <w:start w:val="1"/>
      <w:numFmt w:val="decimal"/>
      <w:lvlText w:val="%4."/>
      <w:lvlJc w:val="left"/>
      <w:pPr>
        <w:ind w:left="2880" w:hanging="360"/>
      </w:pPr>
    </w:lvl>
    <w:lvl w:ilvl="4" w:tplc="6B088A2C">
      <w:start w:val="1"/>
      <w:numFmt w:val="lowerLetter"/>
      <w:lvlText w:val="%5."/>
      <w:lvlJc w:val="left"/>
      <w:pPr>
        <w:ind w:left="3600" w:hanging="360"/>
      </w:pPr>
    </w:lvl>
    <w:lvl w:ilvl="5" w:tplc="62BA0C14">
      <w:start w:val="1"/>
      <w:numFmt w:val="lowerRoman"/>
      <w:lvlText w:val="%6."/>
      <w:lvlJc w:val="right"/>
      <w:pPr>
        <w:ind w:left="4320" w:hanging="180"/>
      </w:pPr>
    </w:lvl>
    <w:lvl w:ilvl="6" w:tplc="E04A046E">
      <w:start w:val="1"/>
      <w:numFmt w:val="decimal"/>
      <w:lvlText w:val="%7."/>
      <w:lvlJc w:val="left"/>
      <w:pPr>
        <w:ind w:left="5040" w:hanging="360"/>
      </w:pPr>
    </w:lvl>
    <w:lvl w:ilvl="7" w:tplc="30E2A524">
      <w:start w:val="1"/>
      <w:numFmt w:val="lowerLetter"/>
      <w:lvlText w:val="%8."/>
      <w:lvlJc w:val="left"/>
      <w:pPr>
        <w:ind w:left="5760" w:hanging="360"/>
      </w:pPr>
    </w:lvl>
    <w:lvl w:ilvl="8" w:tplc="F52642AC">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84B82BC8"/>
    <w:lvl w:ilvl="0" w:tplc="EFD42668">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5632B58"/>
    <w:multiLevelType w:val="hybridMultilevel"/>
    <w:tmpl w:val="29FAB7BC"/>
    <w:lvl w:ilvl="0" w:tplc="405C7E60">
      <w:start w:val="1"/>
      <w:numFmt w:val="bullet"/>
      <w:lvlText w:val="·"/>
      <w:lvlJc w:val="left"/>
      <w:pPr>
        <w:ind w:left="720" w:hanging="360"/>
      </w:pPr>
      <w:rPr>
        <w:rFonts w:ascii="Symbol" w:hAnsi="Symbol" w:hint="default"/>
      </w:rPr>
    </w:lvl>
    <w:lvl w:ilvl="1" w:tplc="A3580BBC">
      <w:start w:val="1"/>
      <w:numFmt w:val="bullet"/>
      <w:lvlText w:val="o"/>
      <w:lvlJc w:val="left"/>
      <w:pPr>
        <w:ind w:left="1440" w:hanging="360"/>
      </w:pPr>
      <w:rPr>
        <w:rFonts w:ascii="Courier New" w:hAnsi="Courier New" w:hint="default"/>
      </w:rPr>
    </w:lvl>
    <w:lvl w:ilvl="2" w:tplc="8C9EF2A8">
      <w:start w:val="1"/>
      <w:numFmt w:val="bullet"/>
      <w:lvlText w:val=""/>
      <w:lvlJc w:val="left"/>
      <w:pPr>
        <w:ind w:left="2160" w:hanging="360"/>
      </w:pPr>
      <w:rPr>
        <w:rFonts w:ascii="Wingdings" w:hAnsi="Wingdings" w:hint="default"/>
      </w:rPr>
    </w:lvl>
    <w:lvl w:ilvl="3" w:tplc="CA3E543E">
      <w:start w:val="1"/>
      <w:numFmt w:val="bullet"/>
      <w:lvlText w:val=""/>
      <w:lvlJc w:val="left"/>
      <w:pPr>
        <w:ind w:left="2880" w:hanging="360"/>
      </w:pPr>
      <w:rPr>
        <w:rFonts w:ascii="Symbol" w:hAnsi="Symbol" w:hint="default"/>
      </w:rPr>
    </w:lvl>
    <w:lvl w:ilvl="4" w:tplc="5884223A">
      <w:start w:val="1"/>
      <w:numFmt w:val="bullet"/>
      <w:lvlText w:val="o"/>
      <w:lvlJc w:val="left"/>
      <w:pPr>
        <w:ind w:left="3600" w:hanging="360"/>
      </w:pPr>
      <w:rPr>
        <w:rFonts w:ascii="Courier New" w:hAnsi="Courier New" w:hint="default"/>
      </w:rPr>
    </w:lvl>
    <w:lvl w:ilvl="5" w:tplc="68061ADA">
      <w:start w:val="1"/>
      <w:numFmt w:val="bullet"/>
      <w:lvlText w:val=""/>
      <w:lvlJc w:val="left"/>
      <w:pPr>
        <w:ind w:left="4320" w:hanging="360"/>
      </w:pPr>
      <w:rPr>
        <w:rFonts w:ascii="Wingdings" w:hAnsi="Wingdings" w:hint="default"/>
      </w:rPr>
    </w:lvl>
    <w:lvl w:ilvl="6" w:tplc="70DE93DE">
      <w:start w:val="1"/>
      <w:numFmt w:val="bullet"/>
      <w:lvlText w:val=""/>
      <w:lvlJc w:val="left"/>
      <w:pPr>
        <w:ind w:left="5040" w:hanging="360"/>
      </w:pPr>
      <w:rPr>
        <w:rFonts w:ascii="Symbol" w:hAnsi="Symbol" w:hint="default"/>
      </w:rPr>
    </w:lvl>
    <w:lvl w:ilvl="7" w:tplc="535A299A">
      <w:start w:val="1"/>
      <w:numFmt w:val="bullet"/>
      <w:lvlText w:val="o"/>
      <w:lvlJc w:val="left"/>
      <w:pPr>
        <w:ind w:left="5760" w:hanging="360"/>
      </w:pPr>
      <w:rPr>
        <w:rFonts w:ascii="Courier New" w:hAnsi="Courier New" w:hint="default"/>
      </w:rPr>
    </w:lvl>
    <w:lvl w:ilvl="8" w:tplc="7B5AA352">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2"/>
  </w:num>
  <w:num w:numId="3">
    <w:abstractNumId w:val="4"/>
  </w:num>
  <w:num w:numId="4">
    <w:abstractNumId w:val="8"/>
  </w:num>
  <w:num w:numId="5">
    <w:abstractNumId w:val="2"/>
  </w:num>
  <w:num w:numId="6">
    <w:abstractNumId w:val="6"/>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6"/>
  </w:num>
  <w:num w:numId="10">
    <w:abstractNumId w:val="7"/>
  </w:num>
  <w:num w:numId="11">
    <w:abstractNumId w:val="15"/>
  </w:num>
  <w:num w:numId="12">
    <w:abstractNumId w:val="9"/>
  </w:num>
  <w:num w:numId="13">
    <w:abstractNumId w:val="14"/>
  </w:num>
  <w:num w:numId="14">
    <w:abstractNumId w:val="10"/>
  </w:num>
  <w:num w:numId="15">
    <w:abstractNumId w:val="1"/>
  </w:num>
  <w:num w:numId="16">
    <w:abstractNumId w:val="5"/>
  </w:num>
  <w:num w:numId="17">
    <w:abstractNumId w:val="17"/>
  </w:num>
  <w:num w:numId="18">
    <w:abstractNumId w:val="13"/>
  </w:num>
  <w:num w:numId="19">
    <w:abstractNumId w:val="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20FF0"/>
    <w:rsid w:val="002421BB"/>
    <w:rsid w:val="00256672"/>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2DD9"/>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B7AE5"/>
    <w:rsid w:val="005C3777"/>
    <w:rsid w:val="005C5CDC"/>
    <w:rsid w:val="005D30D9"/>
    <w:rsid w:val="005D476C"/>
    <w:rsid w:val="005E7530"/>
    <w:rsid w:val="006219F8"/>
    <w:rsid w:val="00665D70"/>
    <w:rsid w:val="006900D9"/>
    <w:rsid w:val="006942EA"/>
    <w:rsid w:val="00706C16"/>
    <w:rsid w:val="00723F7B"/>
    <w:rsid w:val="00753D92"/>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06CD2"/>
    <w:rsid w:val="00F31EDC"/>
    <w:rsid w:val="00F462B3"/>
    <w:rsid w:val="00F5664F"/>
    <w:rsid w:val="00F666C4"/>
    <w:rsid w:val="00F76AFC"/>
    <w:rsid w:val="00FA47C0"/>
    <w:rsid w:val="00FB5DD1"/>
    <w:rsid w:val="00FC2B5D"/>
    <w:rsid w:val="00FF1449"/>
    <w:rsid w:val="0FAA386B"/>
    <w:rsid w:val="121FACC5"/>
    <w:rsid w:val="31BEEEB7"/>
    <w:rsid w:val="42BD27BC"/>
    <w:rsid w:val="5C87D3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2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942E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942E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elipeop055@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catalina.cubides%40colombiacompra.gov.co%7Ceb0fd05604104aa4d3bc08dd4c4ad35e%7C7b09041e245149d08cb179d5e3d8c1be%7C0%7C0%7C638750606544350747%7CUnknown%7CTWFpbGZsb3d8eyJFbXB0eU1hcGkiOnRydWUsIlYiOiIwLjAuMDAwMCIsIlAiOiJXaW4zMiIsIkFOIjoiTWFpbCIsIldUIjoyfQ%3D%3D%7C0%7C%7C%7C&amp;sdata=3seGoGPAEypH%2FbPkzZMXsyVKD6qbqM95DAJO8Ips2HE%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mp"/><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catalina.cubides%40colombiacompra.gov.co%7Ceb0fd05604104aa4d3bc08dd4c4ad35e%7C7b09041e245149d08cb179d5e3d8c1be%7C0%7C0%7C638750606544316369%7CUnknown%7CTWFpbGZsb3d8eyJFbXB0eU1hcGkiOnRydWUsIlYiOiIwLjAuMDAwMCIsIlAiOiJXaW4zMiIsIkFOIjoiTWFpbCIsIldUIjoyfQ%3D%3D%7C0%7C%7C%7C&amp;sdata=xx5V%2BOVegqM%2BuJj3oN1mSGvr0ctMOnod4w%2BlYyXD%2BbU%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catalina.cubides%40colombiacompra.gov.co%7Ceb0fd05604104aa4d3bc08dd4c4ad35e%7C7b09041e245149d08cb179d5e3d8c1be%7C0%7C0%7C638750606544276892%7CUnknown%7CTWFpbGZsb3d8eyJFbXB0eU1hcGkiOnRydWUsIlYiOiIwLjAuMDAwMCIsIlAiOiJXaW4zMiIsIkFOIjoiTWFpbCIsIldUIjoyfQ%3D%3D%7C0%7C%7C%7C&amp;sdata=aAkN9Zb4HgYWXSr1A0h6qNiqeovdGB9DYTdCbcWDGeU%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A786C15-DD99-4964-860A-470AA56E5214}"/>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4.xml><?xml version="1.0" encoding="utf-8"?>
<ds:datastoreItem xmlns:ds="http://schemas.openxmlformats.org/officeDocument/2006/customXml" ds:itemID="{AAFED556-A97A-44F8-956F-067D95AC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2726</Words>
  <Characters>14998</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11</cp:revision>
  <cp:lastPrinted>2023-01-10T21:18:00Z</cp:lastPrinted>
  <dcterms:created xsi:type="dcterms:W3CDTF">2024-11-19T22:25:00Z</dcterms:created>
  <dcterms:modified xsi:type="dcterms:W3CDTF">2025-03-13T19:51:00Z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