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89DB1B" w14:textId="77777777" w:rsidR="00E61EEB" w:rsidRDefault="00E61EEB" w:rsidP="00E61EEB">
      <w:pPr>
        <w:jc w:val="right"/>
        <w:rPr>
          <w:rFonts w:ascii="Arial" w:hAnsi="Arial" w:cs="Arial"/>
          <w:b/>
          <w:color w:val="000000" w:themeColor="text1"/>
          <w:sz w:val="16"/>
          <w:szCs w:val="16"/>
          <w:lang w:eastAsia="es-ES"/>
        </w:rPr>
      </w:pPr>
      <w:bookmarkStart w:id="0" w:name="_Hlk29548183"/>
      <w:bookmarkStart w:id="1" w:name="_Hlk28946138"/>
      <w:r w:rsidRPr="00E85B58">
        <w:rPr>
          <w:rFonts w:ascii="Arial" w:hAnsi="Arial" w:cs="Arial"/>
          <w:b/>
          <w:color w:val="000000" w:themeColor="text1"/>
          <w:sz w:val="16"/>
          <w:szCs w:val="16"/>
          <w:lang w:eastAsia="es-ES"/>
        </w:rPr>
        <w:t>CCE-DES-FM-17</w:t>
      </w:r>
      <w:bookmarkEnd w:id="0"/>
      <w:bookmarkEnd w:id="1"/>
    </w:p>
    <w:p w14:paraId="3BA76DD4" w14:textId="77777777" w:rsidR="00E61EEB" w:rsidRPr="00F820CA" w:rsidRDefault="00E61EEB" w:rsidP="00E61EEB">
      <w:pPr>
        <w:jc w:val="right"/>
        <w:rPr>
          <w:rFonts w:ascii="Arial" w:hAnsi="Arial" w:cs="Arial"/>
          <w:b/>
          <w:color w:val="000000" w:themeColor="text1"/>
          <w:sz w:val="16"/>
          <w:szCs w:val="16"/>
          <w:lang w:eastAsia="es-ES"/>
        </w:rPr>
      </w:pPr>
    </w:p>
    <w:p w14:paraId="1A7A95B5" w14:textId="77777777" w:rsidR="00015E0D" w:rsidRPr="0091437B" w:rsidRDefault="00015E0D" w:rsidP="00015E0D">
      <w:pPr>
        <w:spacing w:line="276" w:lineRule="auto"/>
        <w:jc w:val="both"/>
        <w:rPr>
          <w:rFonts w:ascii="Arial" w:eastAsia="Calibri" w:hAnsi="Arial" w:cs="Arial"/>
          <w:b/>
          <w:color w:val="1A1A1A" w:themeColor="background1" w:themeShade="1A"/>
          <w:sz w:val="22"/>
        </w:rPr>
      </w:pPr>
      <w:r>
        <w:rPr>
          <w:rFonts w:ascii="Arial" w:eastAsia="Calibri" w:hAnsi="Arial" w:cs="Arial"/>
          <w:b/>
          <w:color w:val="1A1A1A" w:themeColor="background1" w:themeShade="1A"/>
          <w:sz w:val="22"/>
        </w:rPr>
        <w:t>PRINCIPIO DE PUBLICIDAD</w:t>
      </w:r>
      <w:r w:rsidRPr="0091437B">
        <w:rPr>
          <w:rFonts w:ascii="Arial" w:eastAsia="Calibri" w:hAnsi="Arial" w:cs="Arial"/>
          <w:b/>
          <w:color w:val="1A1A1A" w:themeColor="background1" w:themeShade="1A"/>
          <w:sz w:val="22"/>
        </w:rPr>
        <w:t xml:space="preserve"> – </w:t>
      </w:r>
      <w:r>
        <w:rPr>
          <w:rFonts w:ascii="Arial" w:eastAsia="Calibri" w:hAnsi="Arial" w:cs="Arial"/>
          <w:b/>
          <w:color w:val="1A1A1A" w:themeColor="background1" w:themeShade="1A"/>
          <w:sz w:val="22"/>
        </w:rPr>
        <w:t>Fundamento constitucional</w:t>
      </w:r>
      <w:r w:rsidRPr="0091437B">
        <w:rPr>
          <w:rFonts w:ascii="Arial" w:eastAsia="Calibri" w:hAnsi="Arial" w:cs="Arial"/>
          <w:b/>
          <w:color w:val="1A1A1A" w:themeColor="background1" w:themeShade="1A"/>
          <w:sz w:val="22"/>
        </w:rPr>
        <w:t xml:space="preserve"> –</w:t>
      </w:r>
      <w:r>
        <w:rPr>
          <w:rFonts w:ascii="Arial" w:eastAsia="Calibri" w:hAnsi="Arial" w:cs="Arial"/>
          <w:b/>
          <w:color w:val="1A1A1A" w:themeColor="background1" w:themeShade="1A"/>
          <w:sz w:val="22"/>
        </w:rPr>
        <w:t xml:space="preserve"> Desarrollo legal</w:t>
      </w:r>
      <w:r w:rsidRPr="0091437B">
        <w:rPr>
          <w:rFonts w:ascii="Arial" w:eastAsia="Calibri" w:hAnsi="Arial" w:cs="Arial"/>
          <w:b/>
          <w:color w:val="1A1A1A" w:themeColor="background1" w:themeShade="1A"/>
          <w:sz w:val="22"/>
        </w:rPr>
        <w:t xml:space="preserve"> </w:t>
      </w:r>
    </w:p>
    <w:p w14:paraId="6BCE0589" w14:textId="77777777" w:rsidR="00015E0D" w:rsidRPr="0091437B" w:rsidRDefault="00015E0D" w:rsidP="00015E0D">
      <w:pPr>
        <w:spacing w:line="276" w:lineRule="auto"/>
        <w:jc w:val="both"/>
        <w:rPr>
          <w:rFonts w:ascii="Arial" w:hAnsi="Arial" w:cs="Arial"/>
          <w:color w:val="1A1A1A" w:themeColor="background1" w:themeShade="1A"/>
          <w:sz w:val="20"/>
          <w:szCs w:val="20"/>
        </w:rPr>
      </w:pPr>
    </w:p>
    <w:p w14:paraId="6AF58656" w14:textId="77777777" w:rsidR="005A3382" w:rsidRDefault="005A3382" w:rsidP="00015E0D">
      <w:pPr>
        <w:pStyle w:val="Prrafodelista"/>
        <w:ind w:left="0"/>
        <w:jc w:val="both"/>
        <w:rPr>
          <w:rFonts w:ascii="Arial" w:eastAsia="Calibri" w:hAnsi="Arial" w:cs="Arial"/>
          <w:color w:val="1A1A1A" w:themeColor="background1" w:themeShade="1A"/>
          <w:sz w:val="20"/>
          <w:szCs w:val="20"/>
        </w:rPr>
      </w:pPr>
      <w:r w:rsidRPr="005A3382">
        <w:rPr>
          <w:rFonts w:ascii="Arial" w:eastAsia="Calibri" w:hAnsi="Arial" w:cs="Arial"/>
          <w:color w:val="1A1A1A" w:themeColor="background1" w:themeShade="1A"/>
          <w:sz w:val="20"/>
          <w:szCs w:val="20"/>
        </w:rPr>
        <w:t>El principio de publicidad se encuentra consagrado en el artículo 209 de la Constitución Política y es considerado uno de los principios constitucionales orientadores de la administración y la gestión pública. Impone a las autoridades el deber de dar a conocer sus actos, contratos y decisiones, de manera que puedan ser conocidos incluso por quienes no participan en su desarrollo y, eventualmente, ser objeto de control, con el fin de garantizar el debido proceso y los principios de la función pública.</w:t>
      </w:r>
      <w:r w:rsidRPr="005A3382" w:rsidDel="005A3382">
        <w:rPr>
          <w:rFonts w:ascii="Arial" w:eastAsia="Calibri" w:hAnsi="Arial" w:cs="Arial"/>
          <w:color w:val="1A1A1A" w:themeColor="background1" w:themeShade="1A"/>
          <w:sz w:val="20"/>
          <w:szCs w:val="20"/>
        </w:rPr>
        <w:t xml:space="preserve"> </w:t>
      </w:r>
    </w:p>
    <w:p w14:paraId="68676B04" w14:textId="2E64C565" w:rsidR="00015E0D" w:rsidRPr="006F6AC3" w:rsidRDefault="00015E0D" w:rsidP="00015E0D">
      <w:pPr>
        <w:pStyle w:val="Prrafodelista"/>
        <w:ind w:left="0"/>
        <w:jc w:val="both"/>
        <w:rPr>
          <w:rFonts w:ascii="Arial" w:eastAsia="Calibri" w:hAnsi="Arial" w:cs="Arial"/>
          <w:color w:val="1A1A1A" w:themeColor="background1" w:themeShade="1A"/>
          <w:sz w:val="20"/>
          <w:szCs w:val="20"/>
        </w:rPr>
      </w:pPr>
      <w:r w:rsidRPr="006F6AC3">
        <w:rPr>
          <w:rFonts w:ascii="Arial" w:eastAsia="Calibri" w:hAnsi="Arial" w:cs="Arial"/>
          <w:color w:val="1A1A1A" w:themeColor="background1" w:themeShade="1A"/>
          <w:sz w:val="20"/>
          <w:szCs w:val="20"/>
        </w:rPr>
        <w:t>[…]</w:t>
      </w:r>
    </w:p>
    <w:p w14:paraId="43871233" w14:textId="5781D9DC" w:rsidR="00E61EEB" w:rsidRDefault="005A3382" w:rsidP="00E61EEB">
      <w:pPr>
        <w:tabs>
          <w:tab w:val="left" w:pos="0"/>
        </w:tabs>
        <w:jc w:val="both"/>
        <w:rPr>
          <w:rFonts w:ascii="Arial" w:eastAsia="Calibri" w:hAnsi="Arial" w:cs="Arial"/>
          <w:color w:val="1A1A1A" w:themeColor="background1" w:themeShade="1A"/>
          <w:sz w:val="20"/>
          <w:szCs w:val="20"/>
        </w:rPr>
      </w:pPr>
      <w:r w:rsidRPr="005A3382">
        <w:rPr>
          <w:rFonts w:ascii="Arial" w:eastAsia="Calibri" w:hAnsi="Arial" w:cs="Arial"/>
          <w:color w:val="1A1A1A" w:themeColor="background1" w:themeShade="1A"/>
          <w:sz w:val="20"/>
          <w:szCs w:val="20"/>
        </w:rPr>
        <w:t>El literal c) del artículo 3 de la Ley 1150 de 2007 establece que el Sistema Electrónico para la Contratación Pública «contará con la información oficial de la contratación realizada con dineros públicos, para lo cual establecerá los patrones a que haya lugar y se encargará de su difusión a través de canales electrónicos».</w:t>
      </w:r>
    </w:p>
    <w:p w14:paraId="2B8FA530" w14:textId="77777777" w:rsidR="005A3382" w:rsidRPr="00E85B58" w:rsidRDefault="005A3382" w:rsidP="00E61EEB">
      <w:pPr>
        <w:tabs>
          <w:tab w:val="left" w:pos="0"/>
        </w:tabs>
        <w:jc w:val="both"/>
        <w:rPr>
          <w:rFonts w:ascii="Arial" w:eastAsia="Calibri" w:hAnsi="Arial" w:cs="Arial"/>
          <w:bCs/>
          <w:color w:val="000000" w:themeColor="text1"/>
          <w:sz w:val="20"/>
          <w:szCs w:val="20"/>
          <w:lang w:val="es-ES"/>
        </w:rPr>
      </w:pPr>
    </w:p>
    <w:p w14:paraId="2FD1FE67" w14:textId="3CEE2E74" w:rsidR="00E61EEB" w:rsidRPr="00E85B58" w:rsidRDefault="001F798F" w:rsidP="00E61EEB">
      <w:pPr>
        <w:pStyle w:val="Prrafodelista"/>
        <w:tabs>
          <w:tab w:val="left" w:pos="0"/>
        </w:tabs>
        <w:ind w:left="0"/>
        <w:jc w:val="both"/>
        <w:rPr>
          <w:rFonts w:ascii="Arial" w:eastAsia="Calibri" w:hAnsi="Arial" w:cs="Arial"/>
          <w:b/>
          <w:color w:val="000000" w:themeColor="text1"/>
          <w:sz w:val="22"/>
          <w:lang w:val="es-ES"/>
        </w:rPr>
      </w:pPr>
      <w:r>
        <w:rPr>
          <w:rFonts w:ascii="Arial" w:eastAsia="Calibri" w:hAnsi="Arial" w:cs="Arial"/>
          <w:b/>
          <w:color w:val="000000" w:themeColor="text1"/>
          <w:sz w:val="22"/>
          <w:lang w:val="es-ES"/>
        </w:rPr>
        <w:t>SECOP</w:t>
      </w:r>
      <w:r w:rsidR="00E61EEB" w:rsidRPr="00E85B58">
        <w:rPr>
          <w:rFonts w:ascii="Arial" w:eastAsia="Calibri" w:hAnsi="Arial" w:cs="Arial"/>
          <w:b/>
          <w:color w:val="000000" w:themeColor="text1"/>
          <w:sz w:val="22"/>
          <w:lang w:val="es-ES"/>
        </w:rPr>
        <w:t xml:space="preserve"> </w:t>
      </w:r>
      <w:r w:rsidR="00E61EEB" w:rsidRPr="006C15D5">
        <w:rPr>
          <w:rFonts w:ascii="Arial" w:eastAsia="Calibri" w:hAnsi="Arial" w:cs="Arial"/>
          <w:b/>
          <w:color w:val="000000" w:themeColor="text1"/>
          <w:sz w:val="22"/>
        </w:rPr>
        <w:t>–</w:t>
      </w:r>
      <w:r w:rsidR="00E61EEB" w:rsidRPr="00E85B58">
        <w:rPr>
          <w:rFonts w:ascii="Arial" w:eastAsia="Calibri" w:hAnsi="Arial" w:cs="Arial"/>
          <w:b/>
          <w:color w:val="000000" w:themeColor="text1"/>
          <w:sz w:val="22"/>
          <w:lang w:val="es-ES"/>
        </w:rPr>
        <w:t xml:space="preserve"> </w:t>
      </w:r>
      <w:r>
        <w:rPr>
          <w:rFonts w:ascii="Arial" w:eastAsia="Calibri" w:hAnsi="Arial" w:cs="Arial"/>
          <w:b/>
          <w:color w:val="000000" w:themeColor="text1"/>
          <w:sz w:val="22"/>
          <w:lang w:val="es-ES"/>
        </w:rPr>
        <w:t>Publicidad</w:t>
      </w:r>
      <w:r w:rsidR="00E61EEB">
        <w:rPr>
          <w:rFonts w:ascii="Arial" w:eastAsia="Calibri" w:hAnsi="Arial" w:cs="Arial"/>
          <w:b/>
          <w:color w:val="000000" w:themeColor="text1"/>
          <w:sz w:val="22"/>
          <w:lang w:val="es-ES"/>
        </w:rPr>
        <w:t xml:space="preserve"> </w:t>
      </w:r>
      <w:r w:rsidR="00E61EEB" w:rsidRPr="006C15D5">
        <w:rPr>
          <w:rFonts w:ascii="Arial" w:eastAsia="Calibri" w:hAnsi="Arial" w:cs="Arial"/>
          <w:b/>
          <w:color w:val="000000" w:themeColor="text1"/>
          <w:sz w:val="22"/>
        </w:rPr>
        <w:t>–</w:t>
      </w:r>
      <w:r w:rsidR="00E61EEB" w:rsidRPr="00E85B58">
        <w:rPr>
          <w:rFonts w:ascii="Arial" w:eastAsia="Calibri" w:hAnsi="Arial" w:cs="Arial"/>
          <w:b/>
          <w:color w:val="000000" w:themeColor="text1"/>
          <w:sz w:val="22"/>
          <w:lang w:val="es-ES"/>
        </w:rPr>
        <w:t xml:space="preserve"> </w:t>
      </w:r>
      <w:r>
        <w:rPr>
          <w:rFonts w:ascii="Arial" w:eastAsia="Calibri" w:hAnsi="Arial" w:cs="Arial"/>
          <w:b/>
          <w:color w:val="000000" w:themeColor="text1"/>
          <w:sz w:val="22"/>
          <w:lang w:val="es-ES"/>
        </w:rPr>
        <w:t>Documentos</w:t>
      </w:r>
      <w:r w:rsidR="00E61EEB">
        <w:rPr>
          <w:rFonts w:ascii="Arial" w:eastAsia="Calibri" w:hAnsi="Arial" w:cs="Arial"/>
          <w:b/>
          <w:color w:val="000000" w:themeColor="text1"/>
          <w:sz w:val="22"/>
          <w:lang w:val="es-ES"/>
        </w:rPr>
        <w:t xml:space="preserve"> </w:t>
      </w:r>
      <w:r w:rsidR="00E61EEB" w:rsidRPr="006C15D5">
        <w:rPr>
          <w:rFonts w:ascii="Arial" w:eastAsia="Calibri" w:hAnsi="Arial" w:cs="Arial"/>
          <w:b/>
          <w:color w:val="000000" w:themeColor="text1"/>
          <w:sz w:val="22"/>
        </w:rPr>
        <w:t>–</w:t>
      </w:r>
      <w:r w:rsidR="00E61EEB" w:rsidRPr="00E85B58">
        <w:rPr>
          <w:rFonts w:ascii="Arial" w:eastAsia="Calibri" w:hAnsi="Arial" w:cs="Arial"/>
          <w:b/>
          <w:color w:val="000000" w:themeColor="text1"/>
          <w:sz w:val="22"/>
          <w:lang w:val="es-ES"/>
        </w:rPr>
        <w:t xml:space="preserve"> </w:t>
      </w:r>
      <w:r>
        <w:rPr>
          <w:rFonts w:ascii="Arial" w:eastAsia="Calibri" w:hAnsi="Arial" w:cs="Arial"/>
          <w:b/>
          <w:color w:val="000000" w:themeColor="text1"/>
          <w:sz w:val="22"/>
          <w:lang w:val="es-ES"/>
        </w:rPr>
        <w:t>Término</w:t>
      </w:r>
    </w:p>
    <w:p w14:paraId="26198106" w14:textId="77777777" w:rsidR="00E61EEB" w:rsidRPr="00474D45" w:rsidRDefault="00E61EEB" w:rsidP="00E61EEB">
      <w:pPr>
        <w:tabs>
          <w:tab w:val="left" w:pos="0"/>
        </w:tabs>
        <w:jc w:val="both"/>
        <w:rPr>
          <w:rFonts w:ascii="Arial" w:eastAsia="Calibri" w:hAnsi="Arial" w:cs="Arial"/>
          <w:bCs/>
          <w:color w:val="000000" w:themeColor="text1"/>
          <w:sz w:val="20"/>
          <w:szCs w:val="20"/>
          <w:lang w:val="es-ES"/>
        </w:rPr>
      </w:pPr>
    </w:p>
    <w:p w14:paraId="3B778139" w14:textId="40973BA5" w:rsidR="00E61EEB" w:rsidRDefault="00B633E4" w:rsidP="00E61EEB">
      <w:pPr>
        <w:tabs>
          <w:tab w:val="left" w:pos="0"/>
        </w:tabs>
        <w:jc w:val="both"/>
        <w:rPr>
          <w:rFonts w:ascii="Arial" w:eastAsia="Calibri" w:hAnsi="Arial" w:cs="Arial"/>
          <w:bCs/>
          <w:color w:val="000000" w:themeColor="text1"/>
          <w:sz w:val="20"/>
          <w:szCs w:val="20"/>
          <w:lang w:val="es-ES"/>
        </w:rPr>
      </w:pPr>
      <w:r>
        <w:rPr>
          <w:rFonts w:ascii="Arial" w:eastAsia="Calibri" w:hAnsi="Arial" w:cs="Arial"/>
          <w:bCs/>
          <w:color w:val="000000" w:themeColor="text1"/>
          <w:sz w:val="20"/>
          <w:szCs w:val="20"/>
          <w:lang w:val="es-ES"/>
        </w:rPr>
        <w:t xml:space="preserve">[…] </w:t>
      </w:r>
      <w:r w:rsidR="005F5A89" w:rsidRPr="005F5A89">
        <w:rPr>
          <w:rFonts w:ascii="Arial" w:eastAsia="Calibri" w:hAnsi="Arial" w:cs="Arial"/>
          <w:bCs/>
          <w:color w:val="000000" w:themeColor="text1"/>
          <w:sz w:val="20"/>
          <w:szCs w:val="20"/>
          <w:lang w:val="es-ES"/>
        </w:rPr>
        <w:t xml:space="preserve">el Decreto 1081 de 2015 señala que los documentos que deben publicar las entidades estatales son: i) las autorizaciones, requerimientos, aprobaciones o informes del supervisor o del interventor, que prueben la ejecución del contrato, </w:t>
      </w:r>
      <w:proofErr w:type="spellStart"/>
      <w:r w:rsidR="005F5A89" w:rsidRPr="005F5A89">
        <w:rPr>
          <w:rFonts w:ascii="Arial" w:eastAsia="Calibri" w:hAnsi="Arial" w:cs="Arial"/>
          <w:bCs/>
          <w:color w:val="000000" w:themeColor="text1"/>
          <w:sz w:val="20"/>
          <w:szCs w:val="20"/>
          <w:lang w:val="es-ES"/>
        </w:rPr>
        <w:t>ii</w:t>
      </w:r>
      <w:proofErr w:type="spellEnd"/>
      <w:r w:rsidR="005F5A89" w:rsidRPr="005F5A89">
        <w:rPr>
          <w:rFonts w:ascii="Arial" w:eastAsia="Calibri" w:hAnsi="Arial" w:cs="Arial"/>
          <w:bCs/>
          <w:color w:val="000000" w:themeColor="text1"/>
          <w:sz w:val="20"/>
          <w:szCs w:val="20"/>
          <w:lang w:val="es-ES"/>
        </w:rPr>
        <w:t xml:space="preserve">) los procedimientos, lineamientos y políticas en materia de adquisición que corresponden a los documentos que los conforman, previstos en el manual de contratación de la entidad, y finalmente, </w:t>
      </w:r>
      <w:proofErr w:type="spellStart"/>
      <w:r w:rsidR="005F5A89" w:rsidRPr="005F5A89">
        <w:rPr>
          <w:rFonts w:ascii="Arial" w:eastAsia="Calibri" w:hAnsi="Arial" w:cs="Arial"/>
          <w:bCs/>
          <w:color w:val="000000" w:themeColor="text1"/>
          <w:sz w:val="20"/>
          <w:szCs w:val="20"/>
          <w:lang w:val="es-ES"/>
        </w:rPr>
        <w:t>iii</w:t>
      </w:r>
      <w:proofErr w:type="spellEnd"/>
      <w:r w:rsidR="005F5A89" w:rsidRPr="005F5A89">
        <w:rPr>
          <w:rFonts w:ascii="Arial" w:eastAsia="Calibri" w:hAnsi="Arial" w:cs="Arial"/>
          <w:bCs/>
          <w:color w:val="000000" w:themeColor="text1"/>
          <w:sz w:val="20"/>
          <w:szCs w:val="20"/>
          <w:lang w:val="es-ES"/>
        </w:rPr>
        <w:t>) el plan anual de adquisiciones.</w:t>
      </w:r>
    </w:p>
    <w:p w14:paraId="5023B044" w14:textId="7FCAD06C" w:rsidR="00B633E4" w:rsidRDefault="00B633E4" w:rsidP="00E61EEB">
      <w:pPr>
        <w:tabs>
          <w:tab w:val="left" w:pos="0"/>
        </w:tabs>
        <w:jc w:val="both"/>
        <w:rPr>
          <w:rFonts w:ascii="Arial" w:eastAsia="Calibri" w:hAnsi="Arial" w:cs="Arial"/>
          <w:bCs/>
          <w:color w:val="000000" w:themeColor="text1"/>
          <w:sz w:val="20"/>
          <w:szCs w:val="20"/>
          <w:lang w:val="es-ES"/>
        </w:rPr>
      </w:pPr>
      <w:r>
        <w:rPr>
          <w:rFonts w:ascii="Arial" w:eastAsia="Calibri" w:hAnsi="Arial" w:cs="Arial"/>
          <w:bCs/>
          <w:color w:val="000000" w:themeColor="text1"/>
          <w:sz w:val="20"/>
          <w:szCs w:val="20"/>
          <w:lang w:val="es-ES"/>
        </w:rPr>
        <w:t>[…]</w:t>
      </w:r>
    </w:p>
    <w:p w14:paraId="72A52A77" w14:textId="4A52A767" w:rsidR="00E61EEB" w:rsidRDefault="005F5A89" w:rsidP="00E61EEB">
      <w:pPr>
        <w:tabs>
          <w:tab w:val="left" w:pos="0"/>
        </w:tabs>
        <w:jc w:val="both"/>
        <w:rPr>
          <w:rFonts w:ascii="Arial" w:eastAsia="Calibri" w:hAnsi="Arial" w:cs="Arial"/>
          <w:bCs/>
          <w:color w:val="000000" w:themeColor="text1"/>
          <w:sz w:val="20"/>
          <w:szCs w:val="20"/>
          <w:lang w:val="es-ES"/>
        </w:rPr>
      </w:pPr>
      <w:r w:rsidRPr="005F5A89">
        <w:rPr>
          <w:rFonts w:ascii="Arial" w:eastAsia="Calibri" w:hAnsi="Arial" w:cs="Arial"/>
          <w:bCs/>
          <w:color w:val="000000" w:themeColor="text1"/>
          <w:sz w:val="20"/>
          <w:szCs w:val="20"/>
          <w:lang w:val="es-ES"/>
        </w:rPr>
        <w:t>El artículo 2.2.1.1.1.7.1 del Decreto 1082 de 2015 establece que las entidades estatales, en desarrollo de su actividad contractual, se encuentran obligadas a publicar en el SECOP los Documentos del Proceso y los actos administrativos del Proceso de Contratación, dentro de los tres (3) días siguientes a su expedición.</w:t>
      </w:r>
    </w:p>
    <w:p w14:paraId="5FECF71A" w14:textId="77777777" w:rsidR="005F5A89" w:rsidRPr="00474D45" w:rsidRDefault="005F5A89" w:rsidP="00E61EEB">
      <w:pPr>
        <w:tabs>
          <w:tab w:val="left" w:pos="0"/>
        </w:tabs>
        <w:jc w:val="both"/>
        <w:rPr>
          <w:rFonts w:ascii="Arial" w:eastAsia="Calibri" w:hAnsi="Arial" w:cs="Arial"/>
          <w:bCs/>
          <w:color w:val="000000" w:themeColor="text1"/>
          <w:sz w:val="20"/>
          <w:szCs w:val="20"/>
          <w:lang w:val="es-ES"/>
        </w:rPr>
      </w:pPr>
    </w:p>
    <w:p w14:paraId="455B115D" w14:textId="531D6139" w:rsidR="00E61EEB" w:rsidRPr="00A50253" w:rsidRDefault="00E61EEB" w:rsidP="00E61EEB">
      <w:pPr>
        <w:tabs>
          <w:tab w:val="left" w:pos="0"/>
        </w:tabs>
        <w:jc w:val="both"/>
        <w:rPr>
          <w:rFonts w:ascii="Arial" w:eastAsia="Calibri" w:hAnsi="Arial" w:cs="Arial"/>
          <w:b/>
          <w:sz w:val="22"/>
          <w:lang w:val="es-ES"/>
        </w:rPr>
      </w:pPr>
      <w:r w:rsidRPr="00A50253">
        <w:rPr>
          <w:rFonts w:ascii="Arial" w:eastAsia="Calibri" w:hAnsi="Arial" w:cs="Arial"/>
          <w:b/>
          <w:sz w:val="22"/>
          <w:lang w:val="es-ES"/>
        </w:rPr>
        <w:t xml:space="preserve">DÍAS HÁBILES </w:t>
      </w:r>
      <w:r w:rsidRPr="00A50253">
        <w:rPr>
          <w:rFonts w:ascii="Arial" w:eastAsia="Calibri" w:hAnsi="Arial" w:cs="Arial"/>
          <w:b/>
          <w:sz w:val="22"/>
        </w:rPr>
        <w:t xml:space="preserve">– </w:t>
      </w:r>
      <w:r w:rsidRPr="00A50253">
        <w:rPr>
          <w:rFonts w:ascii="Arial" w:eastAsia="Calibri" w:hAnsi="Arial" w:cs="Arial"/>
          <w:b/>
          <w:sz w:val="22"/>
          <w:lang w:val="es-ES"/>
        </w:rPr>
        <w:t>Concepto</w:t>
      </w:r>
      <w:r w:rsidR="00F51AC8" w:rsidRPr="00A50253">
        <w:rPr>
          <w:rFonts w:ascii="Arial" w:eastAsia="Calibri" w:hAnsi="Arial" w:cs="Arial"/>
          <w:b/>
          <w:sz w:val="22"/>
          <w:lang w:val="es-ES"/>
        </w:rPr>
        <w:t xml:space="preserve"> </w:t>
      </w:r>
      <w:r w:rsidR="00E319B1" w:rsidRPr="00A50253">
        <w:rPr>
          <w:rFonts w:ascii="Arial" w:eastAsia="Calibri" w:hAnsi="Arial" w:cs="Arial"/>
          <w:b/>
          <w:sz w:val="22"/>
          <w:lang w:val="es-ES"/>
        </w:rPr>
        <w:t>–</w:t>
      </w:r>
      <w:r w:rsidR="00F51AC8" w:rsidRPr="00A50253">
        <w:rPr>
          <w:rFonts w:ascii="Arial" w:eastAsia="Calibri" w:hAnsi="Arial" w:cs="Arial"/>
          <w:b/>
          <w:sz w:val="22"/>
          <w:lang w:val="es-ES"/>
        </w:rPr>
        <w:t xml:space="preserve"> </w:t>
      </w:r>
      <w:r w:rsidR="00851F27" w:rsidRPr="00A50253">
        <w:rPr>
          <w:rFonts w:ascii="Arial" w:eastAsia="Calibri" w:hAnsi="Arial" w:cs="Arial"/>
          <w:b/>
          <w:sz w:val="22"/>
          <w:lang w:val="es-ES"/>
        </w:rPr>
        <w:t>Plazo</w:t>
      </w:r>
    </w:p>
    <w:p w14:paraId="51B5F99F" w14:textId="77777777" w:rsidR="00E61EEB" w:rsidRPr="00E85B58" w:rsidRDefault="00E61EEB" w:rsidP="00E61EEB">
      <w:pPr>
        <w:tabs>
          <w:tab w:val="left" w:pos="0"/>
        </w:tabs>
        <w:jc w:val="both"/>
        <w:rPr>
          <w:rFonts w:ascii="Arial" w:eastAsia="Calibri" w:hAnsi="Arial" w:cs="Arial"/>
          <w:bCs/>
          <w:color w:val="000000" w:themeColor="text1"/>
          <w:sz w:val="20"/>
          <w:szCs w:val="20"/>
          <w:lang w:val="es-ES"/>
        </w:rPr>
      </w:pPr>
    </w:p>
    <w:p w14:paraId="258A031B" w14:textId="70997636" w:rsidR="00865D66" w:rsidRDefault="00A50253" w:rsidP="0040391D">
      <w:pPr>
        <w:tabs>
          <w:tab w:val="left" w:pos="0"/>
        </w:tabs>
        <w:jc w:val="both"/>
        <w:rPr>
          <w:rFonts w:ascii="Arial" w:eastAsia="Calibri" w:hAnsi="Arial" w:cs="Arial"/>
          <w:bCs/>
          <w:color w:val="000000" w:themeColor="text1"/>
          <w:sz w:val="20"/>
          <w:szCs w:val="20"/>
          <w:lang w:val="es-ES"/>
        </w:rPr>
      </w:pPr>
      <w:r w:rsidRPr="00A50253">
        <w:rPr>
          <w:rFonts w:ascii="Arial" w:eastAsia="Calibri" w:hAnsi="Arial" w:cs="Arial"/>
          <w:bCs/>
          <w:color w:val="000000" w:themeColor="text1"/>
          <w:sz w:val="20"/>
          <w:szCs w:val="20"/>
          <w:lang w:val="es-ES"/>
        </w:rPr>
        <w:t xml:space="preserve">A pesar de no existir una definición legal, existen normas supletivas que tienen como función servir de pautas para el cómputo de términos previstos en la ley, cuando no ha sido regulado de forma específica por las disposiciones que consagran dichos plazos. Los artículos 59 y 62 de la Ley 4 de 1913 </w:t>
      </w:r>
      <w:r>
        <w:rPr>
          <w:rFonts w:ascii="Arial" w:eastAsia="Calibri" w:hAnsi="Arial" w:cs="Arial"/>
          <w:bCs/>
          <w:color w:val="000000" w:themeColor="text1"/>
          <w:sz w:val="20"/>
          <w:szCs w:val="20"/>
          <w:lang w:val="es-ES"/>
        </w:rPr>
        <w:t>[…].</w:t>
      </w:r>
    </w:p>
    <w:p w14:paraId="1A4DBC98" w14:textId="7DE5F059" w:rsidR="0040391D" w:rsidRDefault="0040391D" w:rsidP="0040391D">
      <w:pPr>
        <w:tabs>
          <w:tab w:val="left" w:pos="0"/>
        </w:tabs>
        <w:jc w:val="both"/>
        <w:rPr>
          <w:rFonts w:ascii="Arial" w:eastAsia="Calibri" w:hAnsi="Arial" w:cs="Arial"/>
          <w:bCs/>
          <w:color w:val="000000" w:themeColor="text1"/>
          <w:sz w:val="20"/>
          <w:szCs w:val="20"/>
          <w:lang w:val="es-ES"/>
        </w:rPr>
      </w:pPr>
      <w:r>
        <w:rPr>
          <w:rFonts w:ascii="Arial" w:eastAsia="Calibri" w:hAnsi="Arial" w:cs="Arial"/>
          <w:bCs/>
          <w:color w:val="000000" w:themeColor="text1"/>
          <w:sz w:val="20"/>
          <w:szCs w:val="20"/>
          <w:lang w:val="es-ES"/>
        </w:rPr>
        <w:t>[…]</w:t>
      </w:r>
    </w:p>
    <w:p w14:paraId="58F85C0C" w14:textId="0B2B1605" w:rsidR="00A103FC" w:rsidRDefault="00A50253" w:rsidP="0040391D">
      <w:pPr>
        <w:tabs>
          <w:tab w:val="left" w:pos="0"/>
        </w:tabs>
        <w:jc w:val="both"/>
        <w:rPr>
          <w:rFonts w:ascii="Arial" w:eastAsia="Calibri" w:hAnsi="Arial" w:cs="Arial"/>
          <w:bCs/>
          <w:color w:val="000000" w:themeColor="text1"/>
          <w:sz w:val="20"/>
          <w:szCs w:val="20"/>
          <w:lang w:val="es-ES"/>
        </w:rPr>
      </w:pPr>
      <w:r w:rsidRPr="00A50253">
        <w:rPr>
          <w:rFonts w:ascii="Arial" w:eastAsia="Calibri" w:hAnsi="Arial" w:cs="Arial"/>
          <w:bCs/>
          <w:color w:val="000000" w:themeColor="text1"/>
          <w:sz w:val="20"/>
          <w:szCs w:val="20"/>
          <w:lang w:val="es-ES"/>
        </w:rPr>
        <w:t>Como se advierte, el artículo 59 establece que los plazos de días que se establezcan en la ley terminan a la medianoche, y que por día se entiende el espacio de veinticuatro horas; mientras que el artículo 62 establece que de los plazos de días señalados en la ley se entienden suprimidos los feriados, y que cuando se aluda a meses se computarán conforme al calendario, extendiéndose hasta el día hábil siguiente si el mes termina en un día feriado o vacante. Como se advierte, plazos de días como el establecido en el artículo 2.2.1.1.1.7.1 del Decreto 1082 de 2015, no involucran días vacantes o feriados.</w:t>
      </w:r>
    </w:p>
    <w:p w14:paraId="0EF86AA0" w14:textId="77777777" w:rsidR="00A50253" w:rsidRDefault="00A50253" w:rsidP="0040391D">
      <w:pPr>
        <w:tabs>
          <w:tab w:val="left" w:pos="0"/>
        </w:tabs>
        <w:jc w:val="both"/>
        <w:rPr>
          <w:rFonts w:ascii="Arial" w:eastAsia="Calibri" w:hAnsi="Arial" w:cs="Arial"/>
          <w:bCs/>
          <w:color w:val="000000" w:themeColor="text1"/>
          <w:sz w:val="20"/>
          <w:szCs w:val="20"/>
          <w:lang w:val="es-ES"/>
        </w:rPr>
      </w:pPr>
    </w:p>
    <w:p w14:paraId="49CF97B5" w14:textId="5F27B67E" w:rsidR="009E2B4F" w:rsidRPr="00E319B1" w:rsidRDefault="009E2B4F" w:rsidP="0040391D">
      <w:pPr>
        <w:tabs>
          <w:tab w:val="left" w:pos="0"/>
        </w:tabs>
        <w:jc w:val="both"/>
        <w:rPr>
          <w:rFonts w:ascii="Arial" w:eastAsia="Calibri" w:hAnsi="Arial" w:cs="Arial"/>
          <w:b/>
          <w:color w:val="000000" w:themeColor="text1"/>
          <w:sz w:val="20"/>
          <w:szCs w:val="20"/>
          <w:lang w:val="es-ES"/>
        </w:rPr>
      </w:pPr>
      <w:r w:rsidRPr="00E319B1">
        <w:rPr>
          <w:rFonts w:ascii="Arial" w:eastAsia="Calibri" w:hAnsi="Arial" w:cs="Arial"/>
          <w:b/>
          <w:color w:val="000000" w:themeColor="text1"/>
          <w:sz w:val="22"/>
          <w:lang w:val="es-ES"/>
        </w:rPr>
        <w:t>DÍAS H</w:t>
      </w:r>
      <w:r w:rsidR="00E319B1">
        <w:rPr>
          <w:rFonts w:ascii="Arial" w:eastAsia="Calibri" w:hAnsi="Arial" w:cs="Arial"/>
          <w:b/>
          <w:color w:val="000000" w:themeColor="text1"/>
          <w:sz w:val="22"/>
          <w:lang w:val="es-ES"/>
        </w:rPr>
        <w:t>Á</w:t>
      </w:r>
      <w:r w:rsidRPr="00E319B1">
        <w:rPr>
          <w:rFonts w:ascii="Arial" w:eastAsia="Calibri" w:hAnsi="Arial" w:cs="Arial"/>
          <w:b/>
          <w:color w:val="000000" w:themeColor="text1"/>
          <w:sz w:val="22"/>
          <w:lang w:val="es-ES"/>
        </w:rPr>
        <w:t xml:space="preserve">BILES </w:t>
      </w:r>
      <w:r w:rsidR="00072954" w:rsidRPr="00E319B1">
        <w:rPr>
          <w:rFonts w:ascii="Arial" w:eastAsia="Calibri" w:hAnsi="Arial" w:cs="Arial"/>
          <w:b/>
          <w:color w:val="000000" w:themeColor="text1"/>
          <w:sz w:val="22"/>
          <w:lang w:val="es-ES"/>
        </w:rPr>
        <w:t>–</w:t>
      </w:r>
      <w:r w:rsidRPr="00E319B1">
        <w:rPr>
          <w:rFonts w:ascii="Arial" w:eastAsia="Calibri" w:hAnsi="Arial" w:cs="Arial"/>
          <w:b/>
          <w:color w:val="000000" w:themeColor="text1"/>
          <w:sz w:val="22"/>
          <w:lang w:val="es-ES"/>
        </w:rPr>
        <w:t xml:space="preserve"> </w:t>
      </w:r>
      <w:r w:rsidR="00750F4B" w:rsidRPr="00E319B1">
        <w:rPr>
          <w:rFonts w:ascii="Arial" w:eastAsia="Calibri" w:hAnsi="Arial" w:cs="Arial"/>
          <w:b/>
          <w:color w:val="000000" w:themeColor="text1"/>
          <w:sz w:val="22"/>
          <w:lang w:val="es-ES"/>
        </w:rPr>
        <w:t>Cómputo</w:t>
      </w:r>
      <w:r w:rsidR="00E319B1" w:rsidRPr="00E319B1">
        <w:rPr>
          <w:rFonts w:ascii="Arial" w:eastAsia="Calibri" w:hAnsi="Arial" w:cs="Arial"/>
          <w:b/>
          <w:color w:val="000000" w:themeColor="text1"/>
          <w:sz w:val="22"/>
          <w:lang w:val="es-ES"/>
        </w:rPr>
        <w:t xml:space="preserve"> </w:t>
      </w:r>
      <w:r w:rsidR="00E319B1">
        <w:rPr>
          <w:rFonts w:ascii="Arial" w:eastAsia="Calibri" w:hAnsi="Arial" w:cs="Arial"/>
          <w:b/>
          <w:color w:val="000000" w:themeColor="text1"/>
          <w:sz w:val="22"/>
          <w:lang w:val="es-ES"/>
        </w:rPr>
        <w:t>–</w:t>
      </w:r>
      <w:r w:rsidR="00E319B1" w:rsidRPr="00E319B1">
        <w:rPr>
          <w:rFonts w:ascii="Arial" w:eastAsia="Calibri" w:hAnsi="Arial" w:cs="Arial"/>
          <w:b/>
          <w:color w:val="000000" w:themeColor="text1"/>
          <w:sz w:val="22"/>
          <w:lang w:val="es-ES"/>
        </w:rPr>
        <w:t xml:space="preserve"> </w:t>
      </w:r>
      <w:r w:rsidR="00937DCF">
        <w:rPr>
          <w:rFonts w:ascii="Arial" w:eastAsia="Calibri" w:hAnsi="Arial" w:cs="Arial"/>
          <w:b/>
          <w:color w:val="000000" w:themeColor="text1"/>
          <w:sz w:val="22"/>
          <w:lang w:val="es-ES"/>
        </w:rPr>
        <w:t>Regla interpretativa</w:t>
      </w:r>
    </w:p>
    <w:p w14:paraId="46FADE2F" w14:textId="77777777" w:rsidR="009E2B4F" w:rsidRDefault="009E2B4F" w:rsidP="0040391D">
      <w:pPr>
        <w:tabs>
          <w:tab w:val="left" w:pos="0"/>
        </w:tabs>
        <w:jc w:val="both"/>
        <w:rPr>
          <w:rFonts w:ascii="Arial" w:eastAsia="Calibri" w:hAnsi="Arial" w:cs="Arial"/>
          <w:bCs/>
          <w:color w:val="000000" w:themeColor="text1"/>
          <w:sz w:val="20"/>
          <w:szCs w:val="20"/>
          <w:lang w:val="es-ES"/>
        </w:rPr>
      </w:pPr>
    </w:p>
    <w:p w14:paraId="613494D6" w14:textId="11B49F28" w:rsidR="00E61EEB" w:rsidRPr="00E85B58" w:rsidRDefault="00A50253" w:rsidP="00E61EEB">
      <w:pPr>
        <w:tabs>
          <w:tab w:val="left" w:pos="0"/>
        </w:tabs>
        <w:jc w:val="both"/>
        <w:rPr>
          <w:rFonts w:ascii="Arial" w:eastAsia="Calibri" w:hAnsi="Arial" w:cs="Arial"/>
          <w:bCs/>
          <w:color w:val="000000" w:themeColor="text1"/>
          <w:sz w:val="20"/>
          <w:szCs w:val="20"/>
          <w:lang w:val="es-ES"/>
        </w:rPr>
      </w:pPr>
      <w:r>
        <w:rPr>
          <w:rFonts w:ascii="Arial" w:eastAsia="Calibri" w:hAnsi="Arial" w:cs="Arial"/>
          <w:bCs/>
          <w:color w:val="000000" w:themeColor="text1"/>
          <w:sz w:val="20"/>
          <w:szCs w:val="20"/>
          <w:lang w:val="es-ES"/>
        </w:rPr>
        <w:t xml:space="preserve">[…] </w:t>
      </w:r>
      <w:r w:rsidRPr="00A50253">
        <w:rPr>
          <w:rFonts w:ascii="Arial" w:eastAsia="Calibri" w:hAnsi="Arial" w:cs="Arial"/>
          <w:bCs/>
          <w:color w:val="000000" w:themeColor="text1"/>
          <w:sz w:val="20"/>
          <w:szCs w:val="20"/>
          <w:lang w:val="es-ES"/>
        </w:rPr>
        <w:t xml:space="preserve">los días hábiles se determinan según la entidad, ya que «cada entidad pública establece la jornada laboral, a través de su reglamento interno, dando certeza sobre los días que atienden al público, e indirectamente definiendo qué día es hábil en determinada institución», por lo que días hábiles son aquellos de la semana durante los cuales las entidades públicas ejercen sus funciones al público, los cuales son, por regla general, todos los días de la semana, con excepción de los </w:t>
      </w:r>
      <w:r w:rsidRPr="00A50253">
        <w:rPr>
          <w:rFonts w:ascii="Arial" w:eastAsia="Calibri" w:hAnsi="Arial" w:cs="Arial"/>
          <w:bCs/>
          <w:color w:val="000000" w:themeColor="text1"/>
          <w:sz w:val="20"/>
          <w:szCs w:val="20"/>
          <w:lang w:val="es-ES"/>
        </w:rPr>
        <w:lastRenderedPageBreak/>
        <w:t>sábados, domingos y feriados previstos en la generalidad de entidades como días de descanso. Lo anterior, sin perjuicio de que las entidades definan en sus reglamentos internos jornadas laborales distintas, que incluyan el sábado o el domingo, como «[…] en los numerosos municipios del país donde la Administración labora los fines de semana ―sábados y domingos― normalmente para brindarle un buen servicio a la población campesina, que no acostumbra ir al casco urbano en estos dos días y descansan un día de la semana ―usualmente el miércoles―», ejemplo donde los días laborables o hábiles son todos los de la semana, con excepción del miércoles.</w:t>
      </w:r>
    </w:p>
    <w:p w14:paraId="5F6BCD74" w14:textId="77777777" w:rsidR="00E61EEB" w:rsidRPr="00571E06" w:rsidRDefault="00E61EEB" w:rsidP="00E61EEB">
      <w:pPr>
        <w:spacing w:after="18"/>
        <w:rPr>
          <w:rFonts w:ascii="Arial" w:hAnsi="Arial" w:cs="Arial"/>
          <w:color w:val="000000" w:themeColor="text1"/>
          <w:sz w:val="20"/>
          <w:szCs w:val="20"/>
        </w:rPr>
      </w:pPr>
    </w:p>
    <w:p w14:paraId="45B5C6F6" w14:textId="20F73536" w:rsidR="00E61EEB" w:rsidRDefault="00E61EEB" w:rsidP="00E61EEB">
      <w:pPr>
        <w:autoSpaceDE w:val="0"/>
        <w:autoSpaceDN w:val="0"/>
        <w:adjustRightInd w:val="0"/>
        <w:rPr>
          <w:rFonts w:ascii="Arial" w:hAnsi="Arial" w:cs="Arial"/>
          <w:color w:val="000000" w:themeColor="text1"/>
          <w:sz w:val="20"/>
          <w:szCs w:val="20"/>
          <w:lang w:val="es-CO"/>
        </w:rPr>
      </w:pPr>
    </w:p>
    <w:p w14:paraId="46C10F8A" w14:textId="777E0070" w:rsidR="005B0C2C" w:rsidRDefault="005B0C2C" w:rsidP="00E61EEB">
      <w:pPr>
        <w:autoSpaceDE w:val="0"/>
        <w:autoSpaceDN w:val="0"/>
        <w:adjustRightInd w:val="0"/>
        <w:rPr>
          <w:rFonts w:ascii="Arial" w:hAnsi="Arial" w:cs="Arial"/>
          <w:color w:val="000000" w:themeColor="text1"/>
          <w:sz w:val="20"/>
          <w:szCs w:val="20"/>
          <w:lang w:val="es-CO"/>
        </w:rPr>
      </w:pPr>
    </w:p>
    <w:p w14:paraId="37E3CAB0" w14:textId="38E3A179" w:rsidR="005B0C2C" w:rsidRDefault="005B0C2C" w:rsidP="00E61EEB">
      <w:pPr>
        <w:autoSpaceDE w:val="0"/>
        <w:autoSpaceDN w:val="0"/>
        <w:adjustRightInd w:val="0"/>
        <w:rPr>
          <w:rFonts w:ascii="Arial" w:hAnsi="Arial" w:cs="Arial"/>
          <w:color w:val="000000" w:themeColor="text1"/>
          <w:sz w:val="20"/>
          <w:szCs w:val="20"/>
          <w:lang w:val="es-CO"/>
        </w:rPr>
      </w:pPr>
    </w:p>
    <w:p w14:paraId="0FB66924" w14:textId="63EC36CF" w:rsidR="005B0C2C" w:rsidRDefault="005B0C2C" w:rsidP="00E61EEB">
      <w:pPr>
        <w:autoSpaceDE w:val="0"/>
        <w:autoSpaceDN w:val="0"/>
        <w:adjustRightInd w:val="0"/>
        <w:rPr>
          <w:rFonts w:ascii="Arial" w:hAnsi="Arial" w:cs="Arial"/>
          <w:color w:val="000000" w:themeColor="text1"/>
          <w:sz w:val="20"/>
          <w:szCs w:val="20"/>
          <w:lang w:val="es-CO"/>
        </w:rPr>
      </w:pPr>
    </w:p>
    <w:p w14:paraId="77FF8DE5" w14:textId="21F37D35" w:rsidR="005B0C2C" w:rsidRDefault="005B0C2C" w:rsidP="00E61EEB">
      <w:pPr>
        <w:autoSpaceDE w:val="0"/>
        <w:autoSpaceDN w:val="0"/>
        <w:adjustRightInd w:val="0"/>
        <w:rPr>
          <w:rFonts w:ascii="Arial" w:hAnsi="Arial" w:cs="Arial"/>
          <w:color w:val="000000" w:themeColor="text1"/>
          <w:sz w:val="20"/>
          <w:szCs w:val="20"/>
          <w:lang w:val="es-CO"/>
        </w:rPr>
      </w:pPr>
    </w:p>
    <w:p w14:paraId="15172D34" w14:textId="352DDA4A" w:rsidR="005B0C2C" w:rsidRDefault="005B0C2C" w:rsidP="00E61EEB">
      <w:pPr>
        <w:autoSpaceDE w:val="0"/>
        <w:autoSpaceDN w:val="0"/>
        <w:adjustRightInd w:val="0"/>
        <w:rPr>
          <w:rFonts w:ascii="Arial" w:hAnsi="Arial" w:cs="Arial"/>
          <w:color w:val="000000" w:themeColor="text1"/>
          <w:sz w:val="20"/>
          <w:szCs w:val="20"/>
          <w:lang w:val="es-CO"/>
        </w:rPr>
      </w:pPr>
    </w:p>
    <w:p w14:paraId="3B1C1DC7" w14:textId="40AF2D6A" w:rsidR="005B0C2C" w:rsidRDefault="005B0C2C" w:rsidP="00E61EEB">
      <w:pPr>
        <w:autoSpaceDE w:val="0"/>
        <w:autoSpaceDN w:val="0"/>
        <w:adjustRightInd w:val="0"/>
        <w:rPr>
          <w:rFonts w:ascii="Arial" w:hAnsi="Arial" w:cs="Arial"/>
          <w:color w:val="000000" w:themeColor="text1"/>
          <w:sz w:val="20"/>
          <w:szCs w:val="20"/>
          <w:lang w:val="es-CO"/>
        </w:rPr>
      </w:pPr>
    </w:p>
    <w:p w14:paraId="1B6E1859" w14:textId="69A8C3D4" w:rsidR="005B0C2C" w:rsidRDefault="005B0C2C" w:rsidP="00E61EEB">
      <w:pPr>
        <w:autoSpaceDE w:val="0"/>
        <w:autoSpaceDN w:val="0"/>
        <w:adjustRightInd w:val="0"/>
        <w:rPr>
          <w:rFonts w:ascii="Arial" w:hAnsi="Arial" w:cs="Arial"/>
          <w:color w:val="000000" w:themeColor="text1"/>
          <w:sz w:val="20"/>
          <w:szCs w:val="20"/>
          <w:lang w:val="es-CO"/>
        </w:rPr>
      </w:pPr>
    </w:p>
    <w:p w14:paraId="0A6D9062" w14:textId="2848B673" w:rsidR="005B0C2C" w:rsidRDefault="005B0C2C" w:rsidP="00E61EEB">
      <w:pPr>
        <w:autoSpaceDE w:val="0"/>
        <w:autoSpaceDN w:val="0"/>
        <w:adjustRightInd w:val="0"/>
        <w:rPr>
          <w:rFonts w:ascii="Arial" w:hAnsi="Arial" w:cs="Arial"/>
          <w:color w:val="000000" w:themeColor="text1"/>
          <w:sz w:val="20"/>
          <w:szCs w:val="20"/>
          <w:lang w:val="es-CO"/>
        </w:rPr>
      </w:pPr>
    </w:p>
    <w:p w14:paraId="088C321F" w14:textId="056B88A9" w:rsidR="005B0C2C" w:rsidRDefault="005B0C2C" w:rsidP="00E61EEB">
      <w:pPr>
        <w:autoSpaceDE w:val="0"/>
        <w:autoSpaceDN w:val="0"/>
        <w:adjustRightInd w:val="0"/>
        <w:rPr>
          <w:rFonts w:ascii="Arial" w:hAnsi="Arial" w:cs="Arial"/>
          <w:color w:val="000000" w:themeColor="text1"/>
          <w:sz w:val="20"/>
          <w:szCs w:val="20"/>
          <w:lang w:val="es-CO"/>
        </w:rPr>
      </w:pPr>
    </w:p>
    <w:p w14:paraId="0966741E" w14:textId="3A8169A2" w:rsidR="005B0C2C" w:rsidRDefault="005B0C2C" w:rsidP="00E61EEB">
      <w:pPr>
        <w:autoSpaceDE w:val="0"/>
        <w:autoSpaceDN w:val="0"/>
        <w:adjustRightInd w:val="0"/>
        <w:rPr>
          <w:rFonts w:ascii="Arial" w:hAnsi="Arial" w:cs="Arial"/>
          <w:color w:val="000000" w:themeColor="text1"/>
          <w:sz w:val="20"/>
          <w:szCs w:val="20"/>
          <w:lang w:val="es-CO"/>
        </w:rPr>
      </w:pPr>
    </w:p>
    <w:p w14:paraId="11BE3150" w14:textId="48768C26" w:rsidR="005B0C2C" w:rsidRDefault="005B0C2C" w:rsidP="00E61EEB">
      <w:pPr>
        <w:autoSpaceDE w:val="0"/>
        <w:autoSpaceDN w:val="0"/>
        <w:adjustRightInd w:val="0"/>
        <w:rPr>
          <w:rFonts w:ascii="Arial" w:hAnsi="Arial" w:cs="Arial"/>
          <w:color w:val="000000" w:themeColor="text1"/>
          <w:sz w:val="20"/>
          <w:szCs w:val="20"/>
          <w:lang w:val="es-CO"/>
        </w:rPr>
      </w:pPr>
    </w:p>
    <w:p w14:paraId="06EB6F97" w14:textId="1124A8E8" w:rsidR="005B0C2C" w:rsidRDefault="005B0C2C" w:rsidP="00E61EEB">
      <w:pPr>
        <w:autoSpaceDE w:val="0"/>
        <w:autoSpaceDN w:val="0"/>
        <w:adjustRightInd w:val="0"/>
        <w:rPr>
          <w:rFonts w:ascii="Arial" w:hAnsi="Arial" w:cs="Arial"/>
          <w:color w:val="000000" w:themeColor="text1"/>
          <w:sz w:val="20"/>
          <w:szCs w:val="20"/>
          <w:lang w:val="es-CO"/>
        </w:rPr>
      </w:pPr>
    </w:p>
    <w:p w14:paraId="467096D6" w14:textId="68575F50" w:rsidR="005B0C2C" w:rsidRDefault="005B0C2C" w:rsidP="00E61EEB">
      <w:pPr>
        <w:autoSpaceDE w:val="0"/>
        <w:autoSpaceDN w:val="0"/>
        <w:adjustRightInd w:val="0"/>
        <w:rPr>
          <w:rFonts w:ascii="Arial" w:hAnsi="Arial" w:cs="Arial"/>
          <w:color w:val="000000" w:themeColor="text1"/>
          <w:sz w:val="20"/>
          <w:szCs w:val="20"/>
          <w:lang w:val="es-CO"/>
        </w:rPr>
      </w:pPr>
    </w:p>
    <w:p w14:paraId="7AF07C84" w14:textId="76E5C8D7" w:rsidR="005B0C2C" w:rsidRDefault="005B0C2C" w:rsidP="00E61EEB">
      <w:pPr>
        <w:autoSpaceDE w:val="0"/>
        <w:autoSpaceDN w:val="0"/>
        <w:adjustRightInd w:val="0"/>
        <w:rPr>
          <w:rFonts w:ascii="Arial" w:hAnsi="Arial" w:cs="Arial"/>
          <w:color w:val="000000" w:themeColor="text1"/>
          <w:sz w:val="20"/>
          <w:szCs w:val="20"/>
          <w:lang w:val="es-CO"/>
        </w:rPr>
      </w:pPr>
    </w:p>
    <w:p w14:paraId="6856C7BB" w14:textId="643932DD" w:rsidR="005B0C2C" w:rsidRDefault="005B0C2C" w:rsidP="00E61EEB">
      <w:pPr>
        <w:autoSpaceDE w:val="0"/>
        <w:autoSpaceDN w:val="0"/>
        <w:adjustRightInd w:val="0"/>
        <w:rPr>
          <w:rFonts w:ascii="Arial" w:hAnsi="Arial" w:cs="Arial"/>
          <w:color w:val="000000" w:themeColor="text1"/>
          <w:sz w:val="20"/>
          <w:szCs w:val="20"/>
          <w:lang w:val="es-CO"/>
        </w:rPr>
      </w:pPr>
    </w:p>
    <w:p w14:paraId="016131A3" w14:textId="08B9FC88" w:rsidR="005B0C2C" w:rsidRDefault="005B0C2C" w:rsidP="00E61EEB">
      <w:pPr>
        <w:autoSpaceDE w:val="0"/>
        <w:autoSpaceDN w:val="0"/>
        <w:adjustRightInd w:val="0"/>
        <w:rPr>
          <w:rFonts w:ascii="Arial" w:hAnsi="Arial" w:cs="Arial"/>
          <w:color w:val="000000" w:themeColor="text1"/>
          <w:sz w:val="20"/>
          <w:szCs w:val="20"/>
          <w:lang w:val="es-CO"/>
        </w:rPr>
      </w:pPr>
    </w:p>
    <w:p w14:paraId="6219975E" w14:textId="0AD0CBB4" w:rsidR="005B0C2C" w:rsidRDefault="005B0C2C" w:rsidP="00E61EEB">
      <w:pPr>
        <w:autoSpaceDE w:val="0"/>
        <w:autoSpaceDN w:val="0"/>
        <w:adjustRightInd w:val="0"/>
        <w:rPr>
          <w:rFonts w:ascii="Arial" w:hAnsi="Arial" w:cs="Arial"/>
          <w:color w:val="000000" w:themeColor="text1"/>
          <w:sz w:val="20"/>
          <w:szCs w:val="20"/>
          <w:lang w:val="es-CO"/>
        </w:rPr>
      </w:pPr>
    </w:p>
    <w:p w14:paraId="07236C65" w14:textId="75021469" w:rsidR="005B0C2C" w:rsidRDefault="005B0C2C" w:rsidP="00E61EEB">
      <w:pPr>
        <w:autoSpaceDE w:val="0"/>
        <w:autoSpaceDN w:val="0"/>
        <w:adjustRightInd w:val="0"/>
        <w:rPr>
          <w:rFonts w:ascii="Arial" w:hAnsi="Arial" w:cs="Arial"/>
          <w:color w:val="000000" w:themeColor="text1"/>
          <w:sz w:val="20"/>
          <w:szCs w:val="20"/>
          <w:lang w:val="es-CO"/>
        </w:rPr>
      </w:pPr>
    </w:p>
    <w:p w14:paraId="6BD60969" w14:textId="0D33F85C" w:rsidR="005B0C2C" w:rsidRDefault="005B0C2C" w:rsidP="00E61EEB">
      <w:pPr>
        <w:autoSpaceDE w:val="0"/>
        <w:autoSpaceDN w:val="0"/>
        <w:adjustRightInd w:val="0"/>
        <w:rPr>
          <w:rFonts w:ascii="Arial" w:hAnsi="Arial" w:cs="Arial"/>
          <w:color w:val="000000" w:themeColor="text1"/>
          <w:sz w:val="20"/>
          <w:szCs w:val="20"/>
          <w:lang w:val="es-CO"/>
        </w:rPr>
      </w:pPr>
    </w:p>
    <w:p w14:paraId="1DCB949A" w14:textId="26108DBF" w:rsidR="005B0C2C" w:rsidRDefault="005B0C2C" w:rsidP="00E61EEB">
      <w:pPr>
        <w:autoSpaceDE w:val="0"/>
        <w:autoSpaceDN w:val="0"/>
        <w:adjustRightInd w:val="0"/>
        <w:rPr>
          <w:rFonts w:ascii="Arial" w:hAnsi="Arial" w:cs="Arial"/>
          <w:color w:val="000000" w:themeColor="text1"/>
          <w:sz w:val="20"/>
          <w:szCs w:val="20"/>
          <w:lang w:val="es-CO"/>
        </w:rPr>
      </w:pPr>
    </w:p>
    <w:p w14:paraId="641A9BE5" w14:textId="6BDB9347" w:rsidR="005B0C2C" w:rsidRDefault="005B0C2C" w:rsidP="00E61EEB">
      <w:pPr>
        <w:autoSpaceDE w:val="0"/>
        <w:autoSpaceDN w:val="0"/>
        <w:adjustRightInd w:val="0"/>
        <w:rPr>
          <w:rFonts w:ascii="Arial" w:hAnsi="Arial" w:cs="Arial"/>
          <w:color w:val="000000" w:themeColor="text1"/>
          <w:sz w:val="20"/>
          <w:szCs w:val="20"/>
          <w:lang w:val="es-CO"/>
        </w:rPr>
      </w:pPr>
    </w:p>
    <w:p w14:paraId="61AE0AFE" w14:textId="6CE8AA62" w:rsidR="005B0C2C" w:rsidRDefault="005B0C2C" w:rsidP="00E61EEB">
      <w:pPr>
        <w:autoSpaceDE w:val="0"/>
        <w:autoSpaceDN w:val="0"/>
        <w:adjustRightInd w:val="0"/>
        <w:rPr>
          <w:rFonts w:ascii="Arial" w:hAnsi="Arial" w:cs="Arial"/>
          <w:color w:val="000000" w:themeColor="text1"/>
          <w:sz w:val="20"/>
          <w:szCs w:val="20"/>
          <w:lang w:val="es-CO"/>
        </w:rPr>
      </w:pPr>
    </w:p>
    <w:p w14:paraId="34DD51F6" w14:textId="299E149F" w:rsidR="005B0C2C" w:rsidRDefault="005B0C2C" w:rsidP="00E61EEB">
      <w:pPr>
        <w:autoSpaceDE w:val="0"/>
        <w:autoSpaceDN w:val="0"/>
        <w:adjustRightInd w:val="0"/>
        <w:rPr>
          <w:rFonts w:ascii="Arial" w:hAnsi="Arial" w:cs="Arial"/>
          <w:color w:val="000000" w:themeColor="text1"/>
          <w:sz w:val="20"/>
          <w:szCs w:val="20"/>
          <w:lang w:val="es-CO"/>
        </w:rPr>
      </w:pPr>
    </w:p>
    <w:p w14:paraId="3089F1D4" w14:textId="370F123B" w:rsidR="005B0C2C" w:rsidRDefault="005B0C2C" w:rsidP="00E61EEB">
      <w:pPr>
        <w:autoSpaceDE w:val="0"/>
        <w:autoSpaceDN w:val="0"/>
        <w:adjustRightInd w:val="0"/>
        <w:rPr>
          <w:rFonts w:ascii="Arial" w:hAnsi="Arial" w:cs="Arial"/>
          <w:color w:val="000000" w:themeColor="text1"/>
          <w:sz w:val="20"/>
          <w:szCs w:val="20"/>
          <w:lang w:val="es-CO"/>
        </w:rPr>
      </w:pPr>
    </w:p>
    <w:p w14:paraId="583B2E75" w14:textId="71723437" w:rsidR="005B0C2C" w:rsidRDefault="005B0C2C" w:rsidP="00E61EEB">
      <w:pPr>
        <w:autoSpaceDE w:val="0"/>
        <w:autoSpaceDN w:val="0"/>
        <w:adjustRightInd w:val="0"/>
        <w:rPr>
          <w:rFonts w:ascii="Arial" w:hAnsi="Arial" w:cs="Arial"/>
          <w:color w:val="000000" w:themeColor="text1"/>
          <w:sz w:val="20"/>
          <w:szCs w:val="20"/>
          <w:lang w:val="es-CO"/>
        </w:rPr>
      </w:pPr>
    </w:p>
    <w:p w14:paraId="454A0988" w14:textId="445C8172" w:rsidR="005B0C2C" w:rsidRDefault="005B0C2C" w:rsidP="00E61EEB">
      <w:pPr>
        <w:autoSpaceDE w:val="0"/>
        <w:autoSpaceDN w:val="0"/>
        <w:adjustRightInd w:val="0"/>
        <w:rPr>
          <w:rFonts w:ascii="Arial" w:hAnsi="Arial" w:cs="Arial"/>
          <w:color w:val="000000" w:themeColor="text1"/>
          <w:sz w:val="20"/>
          <w:szCs w:val="20"/>
          <w:lang w:val="es-CO"/>
        </w:rPr>
      </w:pPr>
    </w:p>
    <w:p w14:paraId="2BDEC07E" w14:textId="1B8B5F98" w:rsidR="005B0C2C" w:rsidRDefault="005B0C2C" w:rsidP="00E61EEB">
      <w:pPr>
        <w:autoSpaceDE w:val="0"/>
        <w:autoSpaceDN w:val="0"/>
        <w:adjustRightInd w:val="0"/>
        <w:rPr>
          <w:rFonts w:ascii="Arial" w:hAnsi="Arial" w:cs="Arial"/>
          <w:color w:val="000000" w:themeColor="text1"/>
          <w:sz w:val="20"/>
          <w:szCs w:val="20"/>
          <w:lang w:val="es-CO"/>
        </w:rPr>
      </w:pPr>
    </w:p>
    <w:p w14:paraId="4CDEF813" w14:textId="20DFD10A" w:rsidR="005B0C2C" w:rsidRDefault="005B0C2C" w:rsidP="00E61EEB">
      <w:pPr>
        <w:autoSpaceDE w:val="0"/>
        <w:autoSpaceDN w:val="0"/>
        <w:adjustRightInd w:val="0"/>
        <w:rPr>
          <w:rFonts w:ascii="Arial" w:hAnsi="Arial" w:cs="Arial"/>
          <w:color w:val="000000" w:themeColor="text1"/>
          <w:sz w:val="20"/>
          <w:szCs w:val="20"/>
          <w:lang w:val="es-CO"/>
        </w:rPr>
      </w:pPr>
    </w:p>
    <w:p w14:paraId="456321D5" w14:textId="0715C0DF" w:rsidR="005B0C2C" w:rsidRDefault="005B0C2C" w:rsidP="00E61EEB">
      <w:pPr>
        <w:autoSpaceDE w:val="0"/>
        <w:autoSpaceDN w:val="0"/>
        <w:adjustRightInd w:val="0"/>
        <w:rPr>
          <w:rFonts w:ascii="Arial" w:hAnsi="Arial" w:cs="Arial"/>
          <w:color w:val="000000" w:themeColor="text1"/>
          <w:sz w:val="20"/>
          <w:szCs w:val="20"/>
          <w:lang w:val="es-CO"/>
        </w:rPr>
      </w:pPr>
    </w:p>
    <w:p w14:paraId="6894F257" w14:textId="3521F0D0" w:rsidR="005B0C2C" w:rsidRDefault="005B0C2C" w:rsidP="00E61EEB">
      <w:pPr>
        <w:autoSpaceDE w:val="0"/>
        <w:autoSpaceDN w:val="0"/>
        <w:adjustRightInd w:val="0"/>
        <w:rPr>
          <w:rFonts w:ascii="Arial" w:hAnsi="Arial" w:cs="Arial"/>
          <w:color w:val="000000" w:themeColor="text1"/>
          <w:sz w:val="20"/>
          <w:szCs w:val="20"/>
          <w:lang w:val="es-CO"/>
        </w:rPr>
      </w:pPr>
    </w:p>
    <w:p w14:paraId="7220230B" w14:textId="55ED41C6" w:rsidR="005B0C2C" w:rsidRDefault="005B0C2C" w:rsidP="00E61EEB">
      <w:pPr>
        <w:autoSpaceDE w:val="0"/>
        <w:autoSpaceDN w:val="0"/>
        <w:adjustRightInd w:val="0"/>
        <w:rPr>
          <w:rFonts w:ascii="Arial" w:hAnsi="Arial" w:cs="Arial"/>
          <w:color w:val="000000" w:themeColor="text1"/>
          <w:sz w:val="20"/>
          <w:szCs w:val="20"/>
          <w:lang w:val="es-CO"/>
        </w:rPr>
      </w:pPr>
    </w:p>
    <w:p w14:paraId="0A012E9C" w14:textId="6A65DCCD" w:rsidR="005B0C2C" w:rsidRDefault="005B0C2C" w:rsidP="00E61EEB">
      <w:pPr>
        <w:autoSpaceDE w:val="0"/>
        <w:autoSpaceDN w:val="0"/>
        <w:adjustRightInd w:val="0"/>
        <w:rPr>
          <w:rFonts w:ascii="Arial" w:hAnsi="Arial" w:cs="Arial"/>
          <w:color w:val="000000" w:themeColor="text1"/>
          <w:sz w:val="20"/>
          <w:szCs w:val="20"/>
          <w:lang w:val="es-CO"/>
        </w:rPr>
      </w:pPr>
    </w:p>
    <w:p w14:paraId="60D4A546" w14:textId="58D5517C" w:rsidR="005B0C2C" w:rsidRDefault="005B0C2C" w:rsidP="00E61EEB">
      <w:pPr>
        <w:autoSpaceDE w:val="0"/>
        <w:autoSpaceDN w:val="0"/>
        <w:adjustRightInd w:val="0"/>
        <w:rPr>
          <w:rFonts w:ascii="Arial" w:hAnsi="Arial" w:cs="Arial"/>
          <w:color w:val="000000" w:themeColor="text1"/>
          <w:sz w:val="20"/>
          <w:szCs w:val="20"/>
          <w:lang w:val="es-CO"/>
        </w:rPr>
      </w:pPr>
    </w:p>
    <w:p w14:paraId="0AA3E0D6" w14:textId="4BF51C9A" w:rsidR="005B0C2C" w:rsidRDefault="005B0C2C" w:rsidP="00E61EEB">
      <w:pPr>
        <w:autoSpaceDE w:val="0"/>
        <w:autoSpaceDN w:val="0"/>
        <w:adjustRightInd w:val="0"/>
        <w:rPr>
          <w:rFonts w:ascii="Arial" w:hAnsi="Arial" w:cs="Arial"/>
          <w:color w:val="000000" w:themeColor="text1"/>
          <w:sz w:val="20"/>
          <w:szCs w:val="20"/>
          <w:lang w:val="es-CO"/>
        </w:rPr>
      </w:pPr>
    </w:p>
    <w:p w14:paraId="155715E4" w14:textId="48EF8C6B" w:rsidR="005B0C2C" w:rsidRDefault="005B0C2C" w:rsidP="00E61EEB">
      <w:pPr>
        <w:autoSpaceDE w:val="0"/>
        <w:autoSpaceDN w:val="0"/>
        <w:adjustRightInd w:val="0"/>
        <w:rPr>
          <w:rFonts w:ascii="Arial" w:hAnsi="Arial" w:cs="Arial"/>
          <w:color w:val="000000" w:themeColor="text1"/>
          <w:sz w:val="20"/>
          <w:szCs w:val="20"/>
          <w:lang w:val="es-CO"/>
        </w:rPr>
      </w:pPr>
    </w:p>
    <w:p w14:paraId="28EAAE61" w14:textId="4E3079FB" w:rsidR="005B0C2C" w:rsidRDefault="005B0C2C" w:rsidP="00E61EEB">
      <w:pPr>
        <w:autoSpaceDE w:val="0"/>
        <w:autoSpaceDN w:val="0"/>
        <w:adjustRightInd w:val="0"/>
        <w:rPr>
          <w:rFonts w:ascii="Arial" w:hAnsi="Arial" w:cs="Arial"/>
          <w:color w:val="000000" w:themeColor="text1"/>
          <w:sz w:val="20"/>
          <w:szCs w:val="20"/>
          <w:lang w:val="es-CO"/>
        </w:rPr>
      </w:pPr>
    </w:p>
    <w:p w14:paraId="34C47B9C" w14:textId="70C6D8F3" w:rsidR="005B0C2C" w:rsidRDefault="005B0C2C" w:rsidP="00E61EEB">
      <w:pPr>
        <w:autoSpaceDE w:val="0"/>
        <w:autoSpaceDN w:val="0"/>
        <w:adjustRightInd w:val="0"/>
        <w:rPr>
          <w:rFonts w:ascii="Arial" w:hAnsi="Arial" w:cs="Arial"/>
          <w:color w:val="000000" w:themeColor="text1"/>
          <w:sz w:val="20"/>
          <w:szCs w:val="20"/>
          <w:lang w:val="es-CO"/>
        </w:rPr>
      </w:pPr>
    </w:p>
    <w:p w14:paraId="177DD4D8" w14:textId="515B31F8" w:rsidR="005B0C2C" w:rsidRDefault="005B0C2C" w:rsidP="00E61EEB">
      <w:pPr>
        <w:autoSpaceDE w:val="0"/>
        <w:autoSpaceDN w:val="0"/>
        <w:adjustRightInd w:val="0"/>
        <w:rPr>
          <w:rFonts w:ascii="Arial" w:hAnsi="Arial" w:cs="Arial"/>
          <w:color w:val="000000" w:themeColor="text1"/>
          <w:sz w:val="20"/>
          <w:szCs w:val="20"/>
          <w:lang w:val="es-CO"/>
        </w:rPr>
      </w:pPr>
    </w:p>
    <w:p w14:paraId="3298C638" w14:textId="29F924FE" w:rsidR="005B0C2C" w:rsidRDefault="005B0C2C" w:rsidP="00E61EEB">
      <w:pPr>
        <w:autoSpaceDE w:val="0"/>
        <w:autoSpaceDN w:val="0"/>
        <w:adjustRightInd w:val="0"/>
        <w:rPr>
          <w:rFonts w:ascii="Arial" w:hAnsi="Arial" w:cs="Arial"/>
          <w:color w:val="000000" w:themeColor="text1"/>
          <w:sz w:val="20"/>
          <w:szCs w:val="20"/>
          <w:lang w:val="es-CO"/>
        </w:rPr>
      </w:pPr>
    </w:p>
    <w:p w14:paraId="560CE529" w14:textId="47C03B46" w:rsidR="005B0C2C" w:rsidRDefault="005B0C2C" w:rsidP="00E61EEB">
      <w:pPr>
        <w:autoSpaceDE w:val="0"/>
        <w:autoSpaceDN w:val="0"/>
        <w:adjustRightInd w:val="0"/>
        <w:rPr>
          <w:rFonts w:ascii="Arial" w:hAnsi="Arial" w:cs="Arial"/>
          <w:color w:val="000000" w:themeColor="text1"/>
          <w:sz w:val="20"/>
          <w:szCs w:val="20"/>
          <w:lang w:val="es-CO"/>
        </w:rPr>
      </w:pPr>
    </w:p>
    <w:p w14:paraId="34AEBD0E" w14:textId="77777777" w:rsidR="005B0C2C" w:rsidRPr="00E85B58" w:rsidRDefault="005B0C2C" w:rsidP="00E61EEB">
      <w:pPr>
        <w:autoSpaceDE w:val="0"/>
        <w:autoSpaceDN w:val="0"/>
        <w:adjustRightInd w:val="0"/>
        <w:rPr>
          <w:rFonts w:ascii="Arial" w:hAnsi="Arial" w:cs="Arial"/>
          <w:color w:val="000000" w:themeColor="text1"/>
          <w:sz w:val="20"/>
          <w:szCs w:val="20"/>
          <w:lang w:val="es-CO"/>
        </w:rPr>
      </w:pPr>
    </w:p>
    <w:p w14:paraId="63ACEB08" w14:textId="7BC177CE" w:rsidR="00A823FF" w:rsidRDefault="00A823FF" w:rsidP="00E61EEB">
      <w:pPr>
        <w:autoSpaceDE w:val="0"/>
        <w:autoSpaceDN w:val="0"/>
        <w:adjustRightInd w:val="0"/>
        <w:spacing w:line="276" w:lineRule="auto"/>
        <w:rPr>
          <w:rFonts w:ascii="Arial" w:hAnsi="Arial" w:cs="Arial"/>
          <w:color w:val="000000" w:themeColor="text1"/>
          <w:sz w:val="22"/>
          <w:lang w:val="es-CO"/>
        </w:rPr>
      </w:pPr>
    </w:p>
    <w:p w14:paraId="481E1B3D" w14:textId="4607C14F" w:rsidR="00A823FF" w:rsidRDefault="00A823FF" w:rsidP="00E61EEB">
      <w:pPr>
        <w:autoSpaceDE w:val="0"/>
        <w:autoSpaceDN w:val="0"/>
        <w:adjustRightInd w:val="0"/>
        <w:spacing w:line="276" w:lineRule="auto"/>
        <w:rPr>
          <w:rFonts w:ascii="Arial" w:hAnsi="Arial" w:cs="Arial"/>
          <w:color w:val="000000" w:themeColor="text1"/>
          <w:sz w:val="22"/>
          <w:lang w:val="es-CO"/>
        </w:rPr>
      </w:pPr>
    </w:p>
    <w:p w14:paraId="328FDED9" w14:textId="77777777" w:rsidR="00A823FF" w:rsidRPr="00E85B58" w:rsidRDefault="00A823FF" w:rsidP="00E61EEB">
      <w:pPr>
        <w:autoSpaceDE w:val="0"/>
        <w:autoSpaceDN w:val="0"/>
        <w:adjustRightInd w:val="0"/>
        <w:spacing w:line="276" w:lineRule="auto"/>
        <w:rPr>
          <w:rFonts w:ascii="Arial" w:hAnsi="Arial" w:cs="Arial"/>
          <w:color w:val="000000" w:themeColor="text1"/>
          <w:sz w:val="22"/>
          <w:lang w:val="es-CO"/>
        </w:rPr>
      </w:pPr>
    </w:p>
    <w:p w14:paraId="301BFDCC" w14:textId="70E3106B" w:rsidR="00E61EEB" w:rsidRDefault="00DE66D5" w:rsidP="00DE66D5">
      <w:pPr>
        <w:spacing w:line="276" w:lineRule="auto"/>
        <w:jc w:val="right"/>
        <w:rPr>
          <w:rFonts w:ascii="Arial" w:eastAsia="Calibri" w:hAnsi="Arial" w:cs="Arial"/>
          <w:color w:val="000000" w:themeColor="text1"/>
          <w:sz w:val="22"/>
        </w:rPr>
      </w:pPr>
      <w:r w:rsidRPr="00DE66D5">
        <w:rPr>
          <w:rFonts w:ascii="Arial" w:eastAsia="Calibri" w:hAnsi="Arial" w:cs="Arial"/>
          <w:color w:val="000000" w:themeColor="text1"/>
          <w:sz w:val="22"/>
        </w:rPr>
        <w:drawing>
          <wp:inline distT="0" distB="0" distL="0" distR="0" wp14:anchorId="51F9C5D1" wp14:editId="36744C25">
            <wp:extent cx="3118983" cy="882503"/>
            <wp:effectExtent l="0" t="0" r="5715" b="0"/>
            <wp:docPr id="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pic:cNvPicPr/>
                  </pic:nvPicPr>
                  <pic:blipFill>
                    <a:blip r:embed="rId11"/>
                    <a:stretch>
                      <a:fillRect/>
                    </a:stretch>
                  </pic:blipFill>
                  <pic:spPr>
                    <a:xfrm>
                      <a:off x="0" y="0"/>
                      <a:ext cx="3130713" cy="885822"/>
                    </a:xfrm>
                    <a:prstGeom prst="rect">
                      <a:avLst/>
                    </a:prstGeom>
                  </pic:spPr>
                </pic:pic>
              </a:graphicData>
            </a:graphic>
          </wp:inline>
        </w:drawing>
      </w:r>
    </w:p>
    <w:p w14:paraId="2E8A0D2B" w14:textId="2F6E28B2" w:rsidR="00E61EEB" w:rsidRPr="00E85B58" w:rsidRDefault="00E61EEB" w:rsidP="00E61EEB">
      <w:pPr>
        <w:spacing w:line="276" w:lineRule="auto"/>
        <w:rPr>
          <w:rFonts w:ascii="Arial" w:eastAsia="Calibri" w:hAnsi="Arial" w:cs="Arial"/>
          <w:color w:val="000000" w:themeColor="text1"/>
          <w:sz w:val="22"/>
        </w:rPr>
      </w:pPr>
      <w:bookmarkStart w:id="2" w:name="_Hlk67661179"/>
      <w:bookmarkStart w:id="3" w:name="_Hlk67661125"/>
      <w:r w:rsidRPr="00E85B58">
        <w:rPr>
          <w:rFonts w:ascii="Arial" w:eastAsia="Calibri" w:hAnsi="Arial" w:cs="Arial"/>
          <w:color w:val="000000" w:themeColor="text1"/>
          <w:sz w:val="22"/>
        </w:rPr>
        <w:t>Señor</w:t>
      </w:r>
      <w:r>
        <w:rPr>
          <w:rFonts w:ascii="Arial" w:eastAsia="Calibri" w:hAnsi="Arial" w:cs="Arial"/>
          <w:color w:val="000000" w:themeColor="text1"/>
          <w:sz w:val="22"/>
        </w:rPr>
        <w:t>a</w:t>
      </w:r>
    </w:p>
    <w:p w14:paraId="0127F52E" w14:textId="62779A0B" w:rsidR="00E61EEB" w:rsidRPr="00E85B58" w:rsidRDefault="0004449E" w:rsidP="00E61EEB">
      <w:pPr>
        <w:spacing w:line="276" w:lineRule="auto"/>
        <w:rPr>
          <w:rFonts w:ascii="Arial" w:eastAsia="Calibri" w:hAnsi="Arial" w:cs="Arial"/>
          <w:b/>
          <w:color w:val="000000" w:themeColor="text1"/>
          <w:sz w:val="22"/>
        </w:rPr>
      </w:pPr>
      <w:r>
        <w:rPr>
          <w:rFonts w:ascii="Arial" w:eastAsia="Calibri" w:hAnsi="Arial" w:cs="Arial"/>
          <w:b/>
          <w:color w:val="000000" w:themeColor="text1"/>
          <w:sz w:val="22"/>
        </w:rPr>
        <w:t>María</w:t>
      </w:r>
      <w:r w:rsidR="00E61EEB">
        <w:rPr>
          <w:rFonts w:ascii="Arial" w:eastAsia="Calibri" w:hAnsi="Arial" w:cs="Arial"/>
          <w:b/>
          <w:color w:val="000000" w:themeColor="text1"/>
          <w:sz w:val="22"/>
        </w:rPr>
        <w:t xml:space="preserve"> Alexandra Murillo Díaz</w:t>
      </w:r>
    </w:p>
    <w:p w14:paraId="74F58EEB" w14:textId="72621113" w:rsidR="00E61EEB" w:rsidRDefault="00E61EEB" w:rsidP="00E61EEB">
      <w:pPr>
        <w:spacing w:line="276" w:lineRule="auto"/>
        <w:rPr>
          <w:rFonts w:ascii="Arial" w:eastAsia="Calibri" w:hAnsi="Arial" w:cs="Arial"/>
          <w:color w:val="000000" w:themeColor="text1"/>
          <w:sz w:val="22"/>
        </w:rPr>
      </w:pPr>
      <w:r>
        <w:rPr>
          <w:rFonts w:ascii="Arial" w:eastAsia="Calibri" w:hAnsi="Arial" w:cs="Arial"/>
          <w:color w:val="000000" w:themeColor="text1"/>
          <w:sz w:val="22"/>
        </w:rPr>
        <w:t>El Doncello, Caquetá</w:t>
      </w:r>
    </w:p>
    <w:p w14:paraId="40BAD82D" w14:textId="77777777" w:rsidR="00E61EEB" w:rsidRDefault="00E61EEB" w:rsidP="00E61EEB">
      <w:pPr>
        <w:spacing w:line="276" w:lineRule="auto"/>
        <w:rPr>
          <w:rFonts w:ascii="Arial" w:eastAsia="Calibri" w:hAnsi="Arial" w:cs="Arial"/>
          <w:color w:val="000000" w:themeColor="text1"/>
          <w:sz w:val="22"/>
        </w:rPr>
      </w:pPr>
    </w:p>
    <w:p w14:paraId="64078A62" w14:textId="77777777" w:rsidR="00E61EEB" w:rsidRPr="00E85B58" w:rsidRDefault="00E61EEB" w:rsidP="00E61EEB">
      <w:pPr>
        <w:spacing w:line="276" w:lineRule="auto"/>
        <w:rPr>
          <w:rFonts w:ascii="Arial" w:eastAsia="Calibri" w:hAnsi="Arial" w:cs="Arial"/>
          <w:color w:val="000000" w:themeColor="text1"/>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142C6F" w:rsidRPr="00E85B58" w14:paraId="7633D1C8" w14:textId="77777777" w:rsidTr="00A4653A">
        <w:tc>
          <w:tcPr>
            <w:tcW w:w="2689" w:type="dxa"/>
          </w:tcPr>
          <w:p w14:paraId="09E276CF" w14:textId="77777777" w:rsidR="00142C6F" w:rsidRPr="00E85B58" w:rsidRDefault="00142C6F" w:rsidP="00E61EEB">
            <w:pPr>
              <w:spacing w:line="276" w:lineRule="auto"/>
              <w:rPr>
                <w:rFonts w:ascii="Arial" w:eastAsia="Calibri" w:hAnsi="Arial" w:cs="Arial"/>
                <w:b/>
                <w:color w:val="000000" w:themeColor="text1"/>
                <w:sz w:val="22"/>
              </w:rPr>
            </w:pPr>
          </w:p>
        </w:tc>
        <w:tc>
          <w:tcPr>
            <w:tcW w:w="6237" w:type="dxa"/>
          </w:tcPr>
          <w:p w14:paraId="40BD9BF6" w14:textId="77777777" w:rsidR="00142C6F" w:rsidRDefault="00142C6F" w:rsidP="00E61EEB">
            <w:pPr>
              <w:spacing w:line="276" w:lineRule="auto"/>
              <w:jc w:val="both"/>
              <w:rPr>
                <w:rFonts w:ascii="Arial" w:eastAsia="Calibri" w:hAnsi="Arial" w:cs="Arial"/>
                <w:b/>
                <w:color w:val="000000" w:themeColor="text1"/>
                <w:sz w:val="22"/>
              </w:rPr>
            </w:pPr>
            <w:r w:rsidRPr="00E85B58">
              <w:rPr>
                <w:rFonts w:ascii="Arial" w:eastAsia="Calibri" w:hAnsi="Arial" w:cs="Arial"/>
                <w:b/>
                <w:color w:val="000000" w:themeColor="text1"/>
                <w:sz w:val="22"/>
              </w:rPr>
              <w:t xml:space="preserve">Concepto C </w:t>
            </w:r>
            <w:r>
              <w:rPr>
                <w:rFonts w:ascii="Arial" w:eastAsia="Calibri" w:hAnsi="Arial" w:cs="Arial"/>
                <w:b/>
                <w:color w:val="000000" w:themeColor="text1"/>
                <w:sz w:val="22"/>
              </w:rPr>
              <w:t xml:space="preserve">– </w:t>
            </w:r>
            <w:r w:rsidRPr="00E85B58">
              <w:rPr>
                <w:rFonts w:ascii="Arial" w:eastAsia="Calibri" w:hAnsi="Arial" w:cs="Arial"/>
                <w:b/>
                <w:color w:val="000000" w:themeColor="text1"/>
                <w:sz w:val="22"/>
              </w:rPr>
              <w:t>1</w:t>
            </w:r>
            <w:r>
              <w:rPr>
                <w:rFonts w:ascii="Arial" w:eastAsia="Calibri" w:hAnsi="Arial" w:cs="Arial"/>
                <w:b/>
                <w:color w:val="000000" w:themeColor="text1"/>
                <w:sz w:val="22"/>
              </w:rPr>
              <w:t>18</w:t>
            </w:r>
            <w:r w:rsidRPr="00E85B58">
              <w:rPr>
                <w:rFonts w:ascii="Arial" w:eastAsia="Calibri" w:hAnsi="Arial" w:cs="Arial"/>
                <w:b/>
                <w:color w:val="000000" w:themeColor="text1"/>
                <w:sz w:val="22"/>
              </w:rPr>
              <w:t xml:space="preserve"> de 202</w:t>
            </w:r>
            <w:r>
              <w:rPr>
                <w:rFonts w:ascii="Arial" w:eastAsia="Calibri" w:hAnsi="Arial" w:cs="Arial"/>
                <w:b/>
                <w:color w:val="000000" w:themeColor="text1"/>
                <w:sz w:val="22"/>
              </w:rPr>
              <w:t>1</w:t>
            </w:r>
          </w:p>
          <w:p w14:paraId="4FF49CE5" w14:textId="51303066" w:rsidR="00142C6F" w:rsidRPr="00E61EEB" w:rsidRDefault="00142C6F" w:rsidP="00E61EEB">
            <w:pPr>
              <w:spacing w:line="276" w:lineRule="auto"/>
              <w:jc w:val="both"/>
              <w:rPr>
                <w:rFonts w:ascii="Arial" w:eastAsia="Calibri" w:hAnsi="Arial" w:cs="Arial"/>
                <w:color w:val="000000" w:themeColor="text1"/>
                <w:sz w:val="22"/>
                <w:highlight w:val="yellow"/>
              </w:rPr>
            </w:pPr>
          </w:p>
        </w:tc>
      </w:tr>
      <w:tr w:rsidR="00E61EEB" w:rsidRPr="00E85B58" w14:paraId="2EE28661" w14:textId="77777777" w:rsidTr="00A4653A">
        <w:tc>
          <w:tcPr>
            <w:tcW w:w="2689" w:type="dxa"/>
            <w:hideMark/>
          </w:tcPr>
          <w:p w14:paraId="1054C7B1" w14:textId="77777777" w:rsidR="00E61EEB" w:rsidRPr="00E85B58" w:rsidRDefault="00E61EEB" w:rsidP="00A84FCA">
            <w:pPr>
              <w:spacing w:line="276" w:lineRule="auto"/>
              <w:rPr>
                <w:rFonts w:ascii="Arial" w:eastAsia="Calibri" w:hAnsi="Arial" w:cs="Arial"/>
                <w:color w:val="000000" w:themeColor="text1"/>
                <w:sz w:val="22"/>
              </w:rPr>
            </w:pPr>
            <w:r w:rsidRPr="00E85B58">
              <w:rPr>
                <w:rFonts w:ascii="Arial" w:eastAsia="Calibri" w:hAnsi="Arial" w:cs="Arial"/>
                <w:b/>
                <w:color w:val="000000" w:themeColor="text1"/>
                <w:sz w:val="22"/>
              </w:rPr>
              <w:t>Temas:</w:t>
            </w:r>
            <w:r w:rsidRPr="00E85B58">
              <w:rPr>
                <w:rFonts w:ascii="Arial" w:eastAsia="Calibri" w:hAnsi="Arial" w:cs="Arial"/>
                <w:color w:val="000000" w:themeColor="text1"/>
                <w:sz w:val="22"/>
              </w:rPr>
              <w:t xml:space="preserve">              </w:t>
            </w:r>
          </w:p>
        </w:tc>
        <w:tc>
          <w:tcPr>
            <w:tcW w:w="6237" w:type="dxa"/>
            <w:hideMark/>
          </w:tcPr>
          <w:p w14:paraId="469A1DF9" w14:textId="3995487A" w:rsidR="00E61EEB" w:rsidRDefault="00851F27" w:rsidP="00A84FCA">
            <w:pPr>
              <w:spacing w:line="276" w:lineRule="auto"/>
              <w:jc w:val="both"/>
              <w:rPr>
                <w:rFonts w:ascii="Arial" w:eastAsia="Calibri" w:hAnsi="Arial" w:cs="Arial"/>
                <w:color w:val="000000" w:themeColor="text1"/>
                <w:sz w:val="22"/>
              </w:rPr>
            </w:pPr>
            <w:r w:rsidRPr="00851F27">
              <w:rPr>
                <w:rFonts w:ascii="Arial" w:eastAsia="Calibri" w:hAnsi="Arial" w:cs="Arial"/>
                <w:color w:val="000000" w:themeColor="text1"/>
                <w:sz w:val="22"/>
              </w:rPr>
              <w:t xml:space="preserve">PRINCIPIO DE PUBLICIDAD – Fundamento constitucional – Desarrollo </w:t>
            </w:r>
            <w:r w:rsidRPr="00C77E8F">
              <w:rPr>
                <w:rFonts w:ascii="Arial" w:eastAsia="Calibri" w:hAnsi="Arial" w:cs="Arial"/>
                <w:color w:val="000000" w:themeColor="text1"/>
                <w:sz w:val="22"/>
              </w:rPr>
              <w:t xml:space="preserve">legal </w:t>
            </w:r>
            <w:r w:rsidR="00E61EEB" w:rsidRPr="00C77E8F">
              <w:rPr>
                <w:rFonts w:ascii="Arial" w:eastAsia="Calibri" w:hAnsi="Arial" w:cs="Arial"/>
                <w:color w:val="000000" w:themeColor="text1"/>
                <w:sz w:val="22"/>
              </w:rPr>
              <w:t xml:space="preserve">/ </w:t>
            </w:r>
            <w:r w:rsidR="00AC50CB" w:rsidRPr="00C77E8F">
              <w:rPr>
                <w:rFonts w:ascii="Arial" w:eastAsia="Calibri" w:hAnsi="Arial" w:cs="Arial"/>
                <w:color w:val="000000" w:themeColor="text1"/>
                <w:sz w:val="22"/>
              </w:rPr>
              <w:t>SECOP</w:t>
            </w:r>
            <w:r w:rsidR="00AC50CB" w:rsidRPr="00AC50CB">
              <w:rPr>
                <w:rFonts w:ascii="Arial" w:eastAsia="Calibri" w:hAnsi="Arial" w:cs="Arial"/>
                <w:color w:val="000000" w:themeColor="text1"/>
                <w:sz w:val="22"/>
              </w:rPr>
              <w:t xml:space="preserve"> – Publicidad – Documentos – Término</w:t>
            </w:r>
            <w:r w:rsidR="00AC50CB">
              <w:rPr>
                <w:rFonts w:ascii="Arial" w:eastAsia="Calibri" w:hAnsi="Arial" w:cs="Arial"/>
                <w:color w:val="000000" w:themeColor="text1"/>
                <w:sz w:val="22"/>
              </w:rPr>
              <w:t xml:space="preserve"> / </w:t>
            </w:r>
            <w:r w:rsidR="00ED7262" w:rsidRPr="00ED7262">
              <w:rPr>
                <w:rFonts w:ascii="Arial" w:eastAsia="Calibri" w:hAnsi="Arial" w:cs="Arial"/>
                <w:color w:val="000000" w:themeColor="text1"/>
                <w:sz w:val="22"/>
              </w:rPr>
              <w:t>DÍAS HÁBILES – Concepto – Plazo</w:t>
            </w:r>
            <w:r w:rsidR="00ED7262">
              <w:rPr>
                <w:rFonts w:ascii="Arial" w:eastAsia="Calibri" w:hAnsi="Arial" w:cs="Arial"/>
                <w:color w:val="000000" w:themeColor="text1"/>
                <w:sz w:val="22"/>
              </w:rPr>
              <w:t xml:space="preserve"> / </w:t>
            </w:r>
            <w:r w:rsidR="00C77E8F" w:rsidRPr="00C77E8F">
              <w:rPr>
                <w:rFonts w:ascii="Arial" w:eastAsia="Calibri" w:hAnsi="Arial" w:cs="Arial"/>
                <w:color w:val="000000" w:themeColor="text1"/>
                <w:sz w:val="22"/>
              </w:rPr>
              <w:t>DÍAS HÁBILES – Cómputo – Regla interpretativa</w:t>
            </w:r>
          </w:p>
          <w:p w14:paraId="2F0A3089" w14:textId="77777777" w:rsidR="00781111" w:rsidRDefault="00781111" w:rsidP="00A84FCA">
            <w:pPr>
              <w:spacing w:line="276" w:lineRule="auto"/>
              <w:jc w:val="both"/>
              <w:rPr>
                <w:rFonts w:ascii="Arial" w:eastAsia="Calibri" w:hAnsi="Arial" w:cs="Arial"/>
                <w:color w:val="000000" w:themeColor="text1"/>
                <w:sz w:val="22"/>
              </w:rPr>
            </w:pPr>
          </w:p>
          <w:p w14:paraId="1F7D8EF8" w14:textId="5C9B22FD" w:rsidR="00781111" w:rsidRPr="00E85B58" w:rsidRDefault="00781111" w:rsidP="00A84FCA">
            <w:pPr>
              <w:spacing w:line="276" w:lineRule="auto"/>
              <w:jc w:val="both"/>
              <w:rPr>
                <w:rFonts w:ascii="Arial" w:eastAsia="Calibri" w:hAnsi="Arial" w:cs="Arial"/>
                <w:color w:val="000000" w:themeColor="text1"/>
                <w:sz w:val="22"/>
              </w:rPr>
            </w:pPr>
          </w:p>
        </w:tc>
      </w:tr>
      <w:tr w:rsidR="00E61EEB" w:rsidRPr="00E85B58" w14:paraId="000C305A" w14:textId="77777777" w:rsidTr="00A84FCA">
        <w:trPr>
          <w:trHeight w:val="80"/>
        </w:trPr>
        <w:tc>
          <w:tcPr>
            <w:tcW w:w="2689" w:type="dxa"/>
          </w:tcPr>
          <w:p w14:paraId="4349F940" w14:textId="77777777" w:rsidR="00E61EEB" w:rsidRPr="00E85B58" w:rsidRDefault="00E61EEB" w:rsidP="00A84FCA">
            <w:pPr>
              <w:spacing w:line="276" w:lineRule="auto"/>
              <w:rPr>
                <w:rFonts w:ascii="Arial" w:eastAsia="Calibri" w:hAnsi="Arial" w:cs="Arial"/>
                <w:b/>
                <w:color w:val="000000" w:themeColor="text1"/>
                <w:sz w:val="22"/>
              </w:rPr>
            </w:pPr>
            <w:r w:rsidRPr="00E85B58">
              <w:rPr>
                <w:rFonts w:ascii="Arial" w:eastAsia="Calibri" w:hAnsi="Arial" w:cs="Arial"/>
                <w:b/>
                <w:color w:val="000000" w:themeColor="text1"/>
                <w:sz w:val="22"/>
              </w:rPr>
              <w:t>Radicación:</w:t>
            </w:r>
            <w:r w:rsidRPr="00E85B58">
              <w:rPr>
                <w:rFonts w:ascii="Arial" w:eastAsia="Calibri" w:hAnsi="Arial" w:cs="Arial"/>
                <w:color w:val="000000" w:themeColor="text1"/>
                <w:sz w:val="22"/>
              </w:rPr>
              <w:t xml:space="preserve">                              </w:t>
            </w:r>
          </w:p>
        </w:tc>
        <w:tc>
          <w:tcPr>
            <w:tcW w:w="6237" w:type="dxa"/>
          </w:tcPr>
          <w:p w14:paraId="07EBE711" w14:textId="75503B3E" w:rsidR="00E61EEB" w:rsidRPr="00E85B58" w:rsidRDefault="00E61EEB" w:rsidP="00A84FCA">
            <w:pPr>
              <w:spacing w:line="276" w:lineRule="auto"/>
              <w:jc w:val="both"/>
              <w:rPr>
                <w:rFonts w:ascii="Arial" w:eastAsia="Calibri" w:hAnsi="Arial" w:cs="Arial"/>
                <w:color w:val="000000" w:themeColor="text1"/>
                <w:sz w:val="22"/>
              </w:rPr>
            </w:pPr>
            <w:r w:rsidRPr="00E85B58">
              <w:rPr>
                <w:rFonts w:ascii="Arial" w:eastAsia="Calibri" w:hAnsi="Arial" w:cs="Arial"/>
                <w:color w:val="000000" w:themeColor="text1"/>
                <w:sz w:val="22"/>
              </w:rPr>
              <w:t xml:space="preserve">Respuesta consulta # </w:t>
            </w:r>
            <w:r w:rsidRPr="00223158">
              <w:rPr>
                <w:rFonts w:ascii="Arial" w:eastAsia="Times New Roman" w:hAnsi="Arial" w:cs="Arial"/>
                <w:color w:val="000000"/>
                <w:sz w:val="22"/>
                <w:lang w:val="es-CO" w:eastAsia="es-MX"/>
              </w:rPr>
              <w:t>P20210216001263</w:t>
            </w:r>
          </w:p>
        </w:tc>
      </w:tr>
    </w:tbl>
    <w:p w14:paraId="42234BF7" w14:textId="77777777" w:rsidR="00142C6F" w:rsidRDefault="00142C6F" w:rsidP="00E61EEB">
      <w:pPr>
        <w:spacing w:before="120" w:line="276" w:lineRule="auto"/>
        <w:rPr>
          <w:rFonts w:ascii="Arial" w:eastAsia="Calibri" w:hAnsi="Arial" w:cs="Arial"/>
          <w:color w:val="000000" w:themeColor="text1"/>
          <w:sz w:val="22"/>
        </w:rPr>
      </w:pPr>
    </w:p>
    <w:p w14:paraId="6EA79082" w14:textId="5A9EE769" w:rsidR="00E61EEB" w:rsidRPr="00E85B58" w:rsidRDefault="00E61EEB" w:rsidP="00E61EEB">
      <w:pPr>
        <w:spacing w:before="120" w:line="276" w:lineRule="auto"/>
        <w:rPr>
          <w:rFonts w:ascii="Arial" w:eastAsia="Calibri" w:hAnsi="Arial" w:cs="Arial"/>
          <w:color w:val="000000" w:themeColor="text1"/>
          <w:sz w:val="22"/>
        </w:rPr>
      </w:pPr>
      <w:r w:rsidRPr="00E85B58">
        <w:rPr>
          <w:rFonts w:ascii="Arial" w:eastAsia="Calibri" w:hAnsi="Arial" w:cs="Arial"/>
          <w:color w:val="000000" w:themeColor="text1"/>
          <w:sz w:val="22"/>
        </w:rPr>
        <w:t>Estimad</w:t>
      </w:r>
      <w:r w:rsidR="00142C6F">
        <w:rPr>
          <w:rFonts w:ascii="Arial" w:eastAsia="Calibri" w:hAnsi="Arial" w:cs="Arial"/>
          <w:color w:val="000000" w:themeColor="text1"/>
          <w:sz w:val="22"/>
        </w:rPr>
        <w:t xml:space="preserve">a </w:t>
      </w:r>
      <w:r w:rsidRPr="00E85B58">
        <w:rPr>
          <w:rFonts w:ascii="Arial" w:eastAsia="Calibri" w:hAnsi="Arial" w:cs="Arial"/>
          <w:color w:val="000000" w:themeColor="text1"/>
          <w:sz w:val="22"/>
        </w:rPr>
        <w:t>señor</w:t>
      </w:r>
      <w:r w:rsidR="00142C6F">
        <w:rPr>
          <w:rFonts w:ascii="Arial" w:eastAsia="Calibri" w:hAnsi="Arial" w:cs="Arial"/>
          <w:color w:val="000000" w:themeColor="text1"/>
          <w:sz w:val="22"/>
        </w:rPr>
        <w:t>a</w:t>
      </w:r>
      <w:r w:rsidRPr="00E85B58">
        <w:rPr>
          <w:rFonts w:ascii="Arial" w:eastAsia="Calibri" w:hAnsi="Arial" w:cs="Arial"/>
          <w:color w:val="000000" w:themeColor="text1"/>
          <w:sz w:val="22"/>
        </w:rPr>
        <w:t xml:space="preserve"> </w:t>
      </w:r>
      <w:r w:rsidR="00142C6F">
        <w:rPr>
          <w:rFonts w:ascii="Arial" w:eastAsia="Calibri" w:hAnsi="Arial" w:cs="Arial"/>
          <w:color w:val="000000" w:themeColor="text1"/>
          <w:sz w:val="22"/>
        </w:rPr>
        <w:t>Murillo Díaz:</w:t>
      </w:r>
    </w:p>
    <w:p w14:paraId="2D5FC4B0" w14:textId="77777777" w:rsidR="00E61EEB" w:rsidRPr="00E85B58" w:rsidRDefault="00E61EEB" w:rsidP="00E61EEB">
      <w:pPr>
        <w:spacing w:line="276" w:lineRule="auto"/>
        <w:jc w:val="both"/>
        <w:rPr>
          <w:rFonts w:ascii="Arial" w:eastAsia="Calibri" w:hAnsi="Arial" w:cs="Arial"/>
          <w:color w:val="000000" w:themeColor="text1"/>
          <w:sz w:val="22"/>
        </w:rPr>
      </w:pPr>
    </w:p>
    <w:p w14:paraId="7AFF089B" w14:textId="2981B9DC" w:rsidR="00142C6F" w:rsidRPr="0091437B" w:rsidRDefault="00142C6F" w:rsidP="00142C6F">
      <w:pPr>
        <w:spacing w:line="276" w:lineRule="auto"/>
        <w:jc w:val="both"/>
        <w:rPr>
          <w:rFonts w:ascii="Arial" w:eastAsia="Calibri" w:hAnsi="Arial" w:cs="Arial"/>
          <w:color w:val="1A1A1A" w:themeColor="background1" w:themeShade="1A"/>
          <w:sz w:val="22"/>
        </w:rPr>
      </w:pPr>
      <w:r w:rsidRPr="0091437B">
        <w:rPr>
          <w:rFonts w:ascii="Arial" w:eastAsia="Calibri" w:hAnsi="Arial" w:cs="Arial"/>
          <w:color w:val="1A1A1A" w:themeColor="background1" w:themeShade="1A"/>
          <w:sz w:val="22"/>
        </w:rPr>
        <w:t xml:space="preserve">En ejercicio de la competencia otorgada por el numeral 8 del artículo 11 y el numeral 5 del artículo 3 del Decreto Ley 4170 de 2011, la Agencia Nacional de Contratación Pública </w:t>
      </w:r>
      <w:r>
        <w:rPr>
          <w:rFonts w:ascii="Arial" w:eastAsia="Calibri" w:hAnsi="Arial" w:cs="Arial"/>
          <w:color w:val="1A1A1A" w:themeColor="background1" w:themeShade="1A"/>
          <w:sz w:val="22"/>
        </w:rPr>
        <w:t>–</w:t>
      </w:r>
      <w:r w:rsidRPr="0091437B">
        <w:rPr>
          <w:rFonts w:ascii="Arial" w:eastAsia="Calibri" w:hAnsi="Arial" w:cs="Arial"/>
          <w:color w:val="1A1A1A" w:themeColor="background1" w:themeShade="1A"/>
          <w:sz w:val="22"/>
        </w:rPr>
        <w:t xml:space="preserve"> Colombia Compra Eficiente responde su consulta </w:t>
      </w:r>
      <w:r>
        <w:rPr>
          <w:rFonts w:ascii="Arial" w:eastAsia="Calibri" w:hAnsi="Arial" w:cs="Arial"/>
          <w:color w:val="1A1A1A" w:themeColor="background1" w:themeShade="1A"/>
          <w:sz w:val="22"/>
        </w:rPr>
        <w:t xml:space="preserve">del </w:t>
      </w:r>
      <w:r w:rsidR="008C6BDB">
        <w:rPr>
          <w:rFonts w:ascii="Arial" w:eastAsia="Calibri" w:hAnsi="Arial" w:cs="Arial"/>
          <w:color w:val="1A1A1A" w:themeColor="background1" w:themeShade="1A"/>
          <w:sz w:val="22"/>
        </w:rPr>
        <w:t>16</w:t>
      </w:r>
      <w:r>
        <w:rPr>
          <w:rFonts w:ascii="Arial" w:eastAsia="Calibri" w:hAnsi="Arial" w:cs="Arial"/>
          <w:color w:val="1A1A1A" w:themeColor="background1" w:themeShade="1A"/>
          <w:sz w:val="22"/>
        </w:rPr>
        <w:t xml:space="preserve"> de febrero de 2021.</w:t>
      </w:r>
    </w:p>
    <w:p w14:paraId="599A4A6A" w14:textId="77777777" w:rsidR="00E61EEB" w:rsidRPr="00E85B58" w:rsidRDefault="00E61EEB" w:rsidP="00E61EEB">
      <w:pPr>
        <w:spacing w:line="276" w:lineRule="auto"/>
        <w:jc w:val="both"/>
        <w:rPr>
          <w:rFonts w:ascii="Arial" w:eastAsia="Calibri" w:hAnsi="Arial" w:cs="Arial"/>
          <w:color w:val="000000" w:themeColor="text1"/>
          <w:sz w:val="22"/>
        </w:rPr>
      </w:pPr>
    </w:p>
    <w:p w14:paraId="0F25A47F" w14:textId="77777777" w:rsidR="00E61EEB" w:rsidRPr="00E85B58" w:rsidRDefault="00E61EEB" w:rsidP="00E61EEB">
      <w:pPr>
        <w:pStyle w:val="Prrafodelista"/>
        <w:numPr>
          <w:ilvl w:val="0"/>
          <w:numId w:val="1"/>
        </w:numPr>
        <w:tabs>
          <w:tab w:val="left" w:pos="284"/>
        </w:tabs>
        <w:spacing w:line="276" w:lineRule="auto"/>
        <w:ind w:left="0" w:firstLine="0"/>
        <w:rPr>
          <w:rFonts w:ascii="Arial" w:eastAsia="Calibri" w:hAnsi="Arial" w:cs="Arial"/>
          <w:b/>
          <w:color w:val="000000" w:themeColor="text1"/>
          <w:sz w:val="22"/>
        </w:rPr>
      </w:pPr>
      <w:r w:rsidRPr="00E85B58">
        <w:rPr>
          <w:rFonts w:ascii="Arial" w:eastAsia="Calibri" w:hAnsi="Arial" w:cs="Arial"/>
          <w:b/>
          <w:color w:val="000000" w:themeColor="text1"/>
          <w:sz w:val="22"/>
        </w:rPr>
        <w:t>Problemas planteados</w:t>
      </w:r>
    </w:p>
    <w:p w14:paraId="6F16ECE3" w14:textId="77777777" w:rsidR="005C7AB0" w:rsidRDefault="005C7AB0" w:rsidP="005C7AB0">
      <w:pPr>
        <w:spacing w:line="276" w:lineRule="auto"/>
        <w:jc w:val="both"/>
        <w:rPr>
          <w:rFonts w:ascii="Arial" w:eastAsia="Calibri" w:hAnsi="Arial" w:cs="Arial"/>
          <w:color w:val="000000" w:themeColor="text1"/>
          <w:sz w:val="22"/>
        </w:rPr>
      </w:pPr>
    </w:p>
    <w:p w14:paraId="32244366" w14:textId="3CED1A4E" w:rsidR="00E61EEB" w:rsidRPr="00E85B58" w:rsidRDefault="00A63DC8" w:rsidP="005C7AB0">
      <w:pPr>
        <w:spacing w:line="276" w:lineRule="auto"/>
        <w:jc w:val="both"/>
        <w:rPr>
          <w:rFonts w:ascii="Arial" w:eastAsia="Calibri" w:hAnsi="Arial" w:cs="Arial"/>
          <w:color w:val="000000" w:themeColor="text1"/>
          <w:sz w:val="22"/>
        </w:rPr>
      </w:pPr>
      <w:r>
        <w:rPr>
          <w:rFonts w:ascii="Arial" w:eastAsia="Calibri" w:hAnsi="Arial" w:cs="Arial"/>
          <w:color w:val="000000" w:themeColor="text1"/>
          <w:sz w:val="22"/>
        </w:rPr>
        <w:t xml:space="preserve">La peticionaria </w:t>
      </w:r>
      <w:r w:rsidR="00061BEF">
        <w:rPr>
          <w:rFonts w:ascii="Arial" w:eastAsia="Calibri" w:hAnsi="Arial" w:cs="Arial"/>
          <w:color w:val="000000" w:themeColor="text1"/>
          <w:sz w:val="22"/>
        </w:rPr>
        <w:t xml:space="preserve">con relación al artículo </w:t>
      </w:r>
      <w:r w:rsidR="00061BEF" w:rsidRPr="00142C6F">
        <w:rPr>
          <w:rFonts w:ascii="Arial" w:eastAsia="Calibri" w:hAnsi="Arial" w:cs="Arial"/>
          <w:color w:val="000000" w:themeColor="text1"/>
          <w:sz w:val="22"/>
        </w:rPr>
        <w:t>2.2.1.1.1.7.1 del Decreto 1082 de 2015</w:t>
      </w:r>
      <w:r>
        <w:rPr>
          <w:rFonts w:ascii="Arial" w:eastAsia="Calibri" w:hAnsi="Arial" w:cs="Arial"/>
          <w:color w:val="000000" w:themeColor="text1"/>
          <w:sz w:val="22"/>
        </w:rPr>
        <w:t>, solicita:</w:t>
      </w:r>
      <w:r w:rsidR="00142C6F">
        <w:rPr>
          <w:rFonts w:ascii="Arial" w:eastAsia="Calibri" w:hAnsi="Arial" w:cs="Arial"/>
          <w:color w:val="000000" w:themeColor="text1"/>
          <w:sz w:val="22"/>
        </w:rPr>
        <w:t xml:space="preserve"> </w:t>
      </w:r>
      <w:bookmarkStart w:id="4" w:name="_Hlk65664882"/>
      <w:r w:rsidR="00142C6F" w:rsidRPr="00142C6F">
        <w:rPr>
          <w:rFonts w:ascii="Arial" w:eastAsia="Calibri" w:hAnsi="Arial" w:cs="Arial"/>
          <w:color w:val="000000" w:themeColor="text1"/>
          <w:sz w:val="22"/>
        </w:rPr>
        <w:t>«</w:t>
      </w:r>
      <w:r>
        <w:rPr>
          <w:rFonts w:ascii="Arial" w:eastAsia="Calibri" w:hAnsi="Arial" w:cs="Arial"/>
          <w:color w:val="000000" w:themeColor="text1"/>
          <w:sz w:val="22"/>
        </w:rPr>
        <w:t>[…]</w:t>
      </w:r>
      <w:r w:rsidR="00142C6F" w:rsidRPr="00142C6F">
        <w:rPr>
          <w:rFonts w:ascii="Arial" w:eastAsia="Calibri" w:hAnsi="Arial" w:cs="Arial"/>
          <w:color w:val="000000" w:themeColor="text1"/>
          <w:sz w:val="22"/>
        </w:rPr>
        <w:t xml:space="preserve"> se aclare si los tres días a que se refiere dicho artículo son días calendario o días hábiles.: </w:t>
      </w:r>
      <w:r w:rsidR="00D712CA">
        <w:rPr>
          <w:rFonts w:ascii="Arial" w:eastAsia="Calibri" w:hAnsi="Arial" w:cs="Arial"/>
          <w:color w:val="000000" w:themeColor="text1"/>
          <w:sz w:val="22"/>
        </w:rPr>
        <w:t>[</w:t>
      </w:r>
      <w:r w:rsidR="00142C6F" w:rsidRPr="00142C6F">
        <w:rPr>
          <w:rFonts w:ascii="Arial" w:eastAsia="Calibri" w:hAnsi="Arial" w:cs="Arial"/>
          <w:color w:val="000000" w:themeColor="text1"/>
          <w:sz w:val="22"/>
        </w:rPr>
        <w:t>sic</w:t>
      </w:r>
      <w:r w:rsidR="00D712CA">
        <w:rPr>
          <w:rFonts w:ascii="Arial" w:eastAsia="Calibri" w:hAnsi="Arial" w:cs="Arial"/>
          <w:color w:val="000000" w:themeColor="text1"/>
          <w:sz w:val="22"/>
        </w:rPr>
        <w:t>]</w:t>
      </w:r>
      <w:r w:rsidR="00142C6F" w:rsidRPr="00142C6F">
        <w:rPr>
          <w:rFonts w:ascii="Arial" w:eastAsia="Calibri" w:hAnsi="Arial" w:cs="Arial"/>
          <w:color w:val="000000" w:themeColor="text1"/>
          <w:sz w:val="22"/>
        </w:rPr>
        <w:t>».</w:t>
      </w:r>
      <w:bookmarkEnd w:id="4"/>
    </w:p>
    <w:p w14:paraId="436B8BF7" w14:textId="669C03F5" w:rsidR="00E61EEB" w:rsidRPr="00E85B58" w:rsidRDefault="00E61EEB" w:rsidP="00142C6F">
      <w:pPr>
        <w:spacing w:line="276" w:lineRule="auto"/>
        <w:ind w:right="709"/>
        <w:jc w:val="both"/>
        <w:rPr>
          <w:rFonts w:ascii="Arial" w:eastAsia="Calibri" w:hAnsi="Arial" w:cs="Arial"/>
          <w:color w:val="000000" w:themeColor="text1"/>
          <w:sz w:val="21"/>
          <w:szCs w:val="21"/>
        </w:rPr>
      </w:pPr>
      <w:r w:rsidRPr="00E85B58">
        <w:rPr>
          <w:rFonts w:ascii="Arial" w:eastAsia="Calibri" w:hAnsi="Arial" w:cs="Arial"/>
          <w:color w:val="000000" w:themeColor="text1"/>
          <w:sz w:val="21"/>
          <w:szCs w:val="21"/>
        </w:rPr>
        <w:t xml:space="preserve"> </w:t>
      </w:r>
    </w:p>
    <w:p w14:paraId="0FE5609E" w14:textId="77777777" w:rsidR="00E61EEB" w:rsidRPr="00E85B58" w:rsidRDefault="00E61EEB" w:rsidP="00E61EEB">
      <w:pPr>
        <w:pStyle w:val="Prrafodelista"/>
        <w:numPr>
          <w:ilvl w:val="0"/>
          <w:numId w:val="1"/>
        </w:numPr>
        <w:tabs>
          <w:tab w:val="left" w:pos="284"/>
        </w:tabs>
        <w:spacing w:line="276" w:lineRule="auto"/>
        <w:ind w:left="0" w:firstLine="0"/>
        <w:rPr>
          <w:rFonts w:ascii="Arial" w:eastAsia="Calibri" w:hAnsi="Arial" w:cs="Arial"/>
          <w:b/>
          <w:color w:val="000000" w:themeColor="text1"/>
          <w:sz w:val="22"/>
        </w:rPr>
      </w:pPr>
      <w:r w:rsidRPr="00E85B58">
        <w:rPr>
          <w:rFonts w:ascii="Arial" w:eastAsia="Calibri" w:hAnsi="Arial" w:cs="Arial"/>
          <w:b/>
          <w:color w:val="000000" w:themeColor="text1"/>
          <w:sz w:val="22"/>
        </w:rPr>
        <w:t>Consideraciones</w:t>
      </w:r>
    </w:p>
    <w:p w14:paraId="6DB857BA" w14:textId="77777777" w:rsidR="00E61EEB" w:rsidRPr="00E85B58" w:rsidRDefault="00E61EEB" w:rsidP="00E61EEB">
      <w:pPr>
        <w:spacing w:line="276" w:lineRule="auto"/>
        <w:jc w:val="both"/>
        <w:rPr>
          <w:rFonts w:ascii="Arial" w:eastAsia="Calibri" w:hAnsi="Arial" w:cs="Arial"/>
          <w:color w:val="000000" w:themeColor="text1"/>
          <w:sz w:val="22"/>
        </w:rPr>
      </w:pPr>
    </w:p>
    <w:p w14:paraId="540A5B9A" w14:textId="0475C802" w:rsidR="00E61EEB" w:rsidRPr="00E85B58" w:rsidRDefault="00E61EEB" w:rsidP="00E61EEB">
      <w:pPr>
        <w:spacing w:after="120" w:line="276" w:lineRule="auto"/>
        <w:jc w:val="both"/>
        <w:rPr>
          <w:rFonts w:ascii="Arial" w:hAnsi="Arial" w:cs="Arial"/>
          <w:color w:val="000000" w:themeColor="text1"/>
          <w:sz w:val="22"/>
        </w:rPr>
      </w:pPr>
      <w:r w:rsidRPr="00E85B58">
        <w:rPr>
          <w:rFonts w:ascii="Arial" w:hAnsi="Arial" w:cs="Arial"/>
          <w:color w:val="000000" w:themeColor="text1"/>
          <w:sz w:val="22"/>
        </w:rPr>
        <w:t xml:space="preserve">Para responder los interrogantes se realizarán algunas consideraciones en torno a: i) </w:t>
      </w:r>
      <w:r w:rsidR="00283E94">
        <w:rPr>
          <w:rFonts w:ascii="Arial" w:hAnsi="Arial" w:cs="Arial"/>
          <w:color w:val="000000" w:themeColor="text1"/>
          <w:sz w:val="22"/>
        </w:rPr>
        <w:t>el principio de publicidad en la contratación estatal</w:t>
      </w:r>
      <w:r w:rsidRPr="00E85B58">
        <w:rPr>
          <w:rFonts w:ascii="Arial" w:hAnsi="Arial" w:cs="Arial"/>
          <w:color w:val="000000" w:themeColor="text1"/>
          <w:sz w:val="22"/>
        </w:rPr>
        <w:t xml:space="preserve">; y </w:t>
      </w:r>
      <w:proofErr w:type="spellStart"/>
      <w:r w:rsidRPr="00E85B58">
        <w:rPr>
          <w:rFonts w:ascii="Arial" w:hAnsi="Arial" w:cs="Arial"/>
          <w:color w:val="000000" w:themeColor="text1"/>
          <w:sz w:val="22"/>
        </w:rPr>
        <w:t>ii</w:t>
      </w:r>
      <w:proofErr w:type="spellEnd"/>
      <w:r w:rsidRPr="00E85B58">
        <w:rPr>
          <w:rFonts w:ascii="Arial" w:hAnsi="Arial" w:cs="Arial"/>
          <w:color w:val="000000" w:themeColor="text1"/>
          <w:sz w:val="22"/>
        </w:rPr>
        <w:t>) el cómputo de</w:t>
      </w:r>
      <w:r w:rsidR="00283E94">
        <w:rPr>
          <w:rFonts w:ascii="Arial" w:hAnsi="Arial" w:cs="Arial"/>
          <w:color w:val="000000" w:themeColor="text1"/>
          <w:sz w:val="22"/>
        </w:rPr>
        <w:t>l término de publicidad establecido en el artículo</w:t>
      </w:r>
      <w:r w:rsidR="00283E94" w:rsidRPr="00283E94">
        <w:rPr>
          <w:rFonts w:ascii="Arial" w:hAnsi="Arial" w:cs="Arial"/>
          <w:color w:val="000000" w:themeColor="text1"/>
          <w:sz w:val="22"/>
        </w:rPr>
        <w:t xml:space="preserve"> 2.2.1.1.1.7.1 del Decreto 1082 de 2015</w:t>
      </w:r>
      <w:r w:rsidR="006D0739">
        <w:rPr>
          <w:rFonts w:ascii="Arial" w:hAnsi="Arial" w:cs="Arial"/>
          <w:color w:val="000000" w:themeColor="text1"/>
          <w:sz w:val="22"/>
        </w:rPr>
        <w:t>.</w:t>
      </w:r>
    </w:p>
    <w:p w14:paraId="2C69057A" w14:textId="50884E2F" w:rsidR="00E61EEB" w:rsidRPr="00E85B58" w:rsidRDefault="006D0739" w:rsidP="00E61EEB">
      <w:pPr>
        <w:pStyle w:val="Prrafodelista"/>
        <w:spacing w:before="120" w:line="276" w:lineRule="auto"/>
        <w:ind w:left="0" w:firstLine="709"/>
        <w:jc w:val="both"/>
        <w:rPr>
          <w:rFonts w:ascii="Arial" w:hAnsi="Arial" w:cs="Arial"/>
          <w:b/>
          <w:bCs/>
          <w:color w:val="000000" w:themeColor="text1"/>
          <w:sz w:val="22"/>
        </w:rPr>
      </w:pPr>
      <w:r>
        <w:rPr>
          <w:rFonts w:ascii="Arial" w:hAnsi="Arial" w:cs="Arial"/>
          <w:color w:val="000000" w:themeColor="text1"/>
          <w:sz w:val="22"/>
          <w:lang w:val="es-ES_tradnl"/>
        </w:rPr>
        <w:t>La</w:t>
      </w:r>
      <w:r w:rsidR="00E61EEB" w:rsidRPr="00E85B58">
        <w:rPr>
          <w:rFonts w:ascii="Arial" w:hAnsi="Arial" w:cs="Arial"/>
          <w:color w:val="000000" w:themeColor="text1"/>
          <w:sz w:val="22"/>
          <w:lang w:val="es-ES_tradnl"/>
        </w:rPr>
        <w:t xml:space="preserve"> </w:t>
      </w:r>
      <w:r w:rsidR="00E61EEB" w:rsidRPr="00E85B58">
        <w:rPr>
          <w:rFonts w:ascii="Arial" w:eastAsia="Calibri" w:hAnsi="Arial" w:cs="Arial"/>
          <w:color w:val="000000" w:themeColor="text1"/>
          <w:sz w:val="22"/>
        </w:rPr>
        <w:t>Agencia Nacional de Contratación Pública</w:t>
      </w:r>
      <w:r>
        <w:rPr>
          <w:rFonts w:ascii="Arial" w:eastAsia="Calibri" w:hAnsi="Arial" w:cs="Arial"/>
          <w:color w:val="000000" w:themeColor="text1"/>
          <w:sz w:val="22"/>
        </w:rPr>
        <w:t xml:space="preserve"> – </w:t>
      </w:r>
      <w:r w:rsidR="00E61EEB" w:rsidRPr="00E85B58">
        <w:rPr>
          <w:rFonts w:ascii="Arial" w:eastAsia="Calibri" w:hAnsi="Arial" w:cs="Arial"/>
          <w:color w:val="000000" w:themeColor="text1"/>
          <w:sz w:val="22"/>
        </w:rPr>
        <w:t xml:space="preserve">Colombia Compra Eficiente </w:t>
      </w:r>
      <w:r>
        <w:rPr>
          <w:rFonts w:ascii="Arial" w:eastAsia="Calibri" w:hAnsi="Arial" w:cs="Arial"/>
          <w:color w:val="000000" w:themeColor="text1"/>
          <w:sz w:val="22"/>
        </w:rPr>
        <w:t xml:space="preserve">estudió el tema del concepto y cómputo de los días hábiles </w:t>
      </w:r>
      <w:r w:rsidR="00E61EEB" w:rsidRPr="00E85B58">
        <w:rPr>
          <w:rFonts w:ascii="Arial" w:eastAsia="Calibri" w:hAnsi="Arial" w:cs="Arial"/>
          <w:color w:val="000000" w:themeColor="text1"/>
          <w:sz w:val="22"/>
        </w:rPr>
        <w:t xml:space="preserve">en respuesta </w:t>
      </w:r>
      <w:r w:rsidR="00E61EEB" w:rsidRPr="00E85B58">
        <w:rPr>
          <w:rFonts w:ascii="Arial" w:hAnsi="Arial" w:cs="Arial"/>
          <w:color w:val="000000" w:themeColor="text1"/>
          <w:sz w:val="22"/>
          <w:lang w:val="es-ES_tradnl"/>
        </w:rPr>
        <w:t xml:space="preserve">a </w:t>
      </w:r>
      <w:r w:rsidRPr="006D0739">
        <w:rPr>
          <w:rFonts w:ascii="Arial" w:hAnsi="Arial" w:cs="Arial"/>
          <w:color w:val="000000" w:themeColor="text1"/>
          <w:sz w:val="22"/>
          <w:lang w:val="es-ES_tradnl"/>
        </w:rPr>
        <w:t xml:space="preserve">las consultas con </w:t>
      </w:r>
      <w:r w:rsidRPr="006D0739">
        <w:rPr>
          <w:rFonts w:ascii="Arial" w:hAnsi="Arial" w:cs="Arial"/>
          <w:color w:val="000000" w:themeColor="text1"/>
          <w:sz w:val="22"/>
          <w:lang w:val="es-ES_tradnl"/>
        </w:rPr>
        <w:lastRenderedPageBreak/>
        <w:t>radicados C-108 de 6 de febrero de 2020, C-121 de 12 de febrero de 2020, C-160 del 3 de abril de 2020, C-213 del 3 de junio de 2020, C-419 del 15 de julio de 2020, C-465 del 27 de julio de 2020, C-500 del 3 de agosto de 2020</w:t>
      </w:r>
      <w:r w:rsidR="0077460F">
        <w:rPr>
          <w:rFonts w:ascii="Arial" w:hAnsi="Arial" w:cs="Arial"/>
          <w:color w:val="000000" w:themeColor="text1"/>
          <w:sz w:val="22"/>
          <w:lang w:val="es-ES_tradnl"/>
        </w:rPr>
        <w:t xml:space="preserve">, </w:t>
      </w:r>
      <w:r w:rsidRPr="006D0739">
        <w:rPr>
          <w:rFonts w:ascii="Arial" w:hAnsi="Arial" w:cs="Arial"/>
          <w:color w:val="000000" w:themeColor="text1"/>
          <w:sz w:val="22"/>
          <w:lang w:val="es-ES_tradnl"/>
        </w:rPr>
        <w:t>C-557 del 21 de agosto de 2020</w:t>
      </w:r>
      <w:r w:rsidR="0077460F">
        <w:rPr>
          <w:rFonts w:ascii="Arial" w:hAnsi="Arial" w:cs="Arial"/>
          <w:color w:val="000000" w:themeColor="text1"/>
          <w:sz w:val="22"/>
          <w:lang w:val="es-ES_tradnl"/>
        </w:rPr>
        <w:t xml:space="preserve"> y C-734 del 16 de diciembre de 2020.</w:t>
      </w:r>
      <w:r w:rsidR="00B72A2D">
        <w:rPr>
          <w:rFonts w:ascii="Arial" w:hAnsi="Arial" w:cs="Arial"/>
          <w:color w:val="000000" w:themeColor="text1"/>
          <w:sz w:val="22"/>
          <w:lang w:val="es-ES_tradnl"/>
        </w:rPr>
        <w:t xml:space="preserve"> La tesis de </w:t>
      </w:r>
      <w:r w:rsidR="008F4644">
        <w:rPr>
          <w:rFonts w:ascii="Arial" w:hAnsi="Arial" w:cs="Arial"/>
          <w:color w:val="000000" w:themeColor="text1"/>
          <w:sz w:val="22"/>
          <w:lang w:val="es-ES_tradnl"/>
        </w:rPr>
        <w:t>estos conceptos se reitera y se complementa en lo pertinente:</w:t>
      </w:r>
    </w:p>
    <w:p w14:paraId="5403EDB0" w14:textId="77777777" w:rsidR="00E61EEB" w:rsidRPr="00E85B58" w:rsidRDefault="00E61EEB" w:rsidP="00E61EEB">
      <w:pPr>
        <w:pStyle w:val="Prrafodelista"/>
        <w:spacing w:line="276" w:lineRule="auto"/>
        <w:ind w:left="0"/>
        <w:jc w:val="both"/>
        <w:rPr>
          <w:rFonts w:ascii="Arial" w:hAnsi="Arial" w:cs="Arial"/>
          <w:b/>
          <w:bCs/>
          <w:color w:val="000000" w:themeColor="text1"/>
          <w:sz w:val="22"/>
        </w:rPr>
      </w:pPr>
    </w:p>
    <w:p w14:paraId="35C26702" w14:textId="75887858" w:rsidR="00E61EEB" w:rsidRPr="00C637DE" w:rsidRDefault="00E61EEB" w:rsidP="00C637DE">
      <w:pPr>
        <w:tabs>
          <w:tab w:val="left" w:pos="426"/>
        </w:tabs>
        <w:spacing w:line="276" w:lineRule="auto"/>
        <w:jc w:val="both"/>
        <w:rPr>
          <w:rFonts w:ascii="Arial" w:eastAsia="Calibri" w:hAnsi="Arial" w:cs="Arial"/>
          <w:b/>
          <w:color w:val="1A1A1A" w:themeColor="background1" w:themeShade="1A"/>
          <w:sz w:val="22"/>
        </w:rPr>
      </w:pPr>
      <w:r w:rsidRPr="00E85B58">
        <w:rPr>
          <w:rFonts w:ascii="Arial" w:hAnsi="Arial" w:cs="Arial"/>
          <w:b/>
          <w:bCs/>
          <w:color w:val="000000" w:themeColor="text1"/>
          <w:sz w:val="22"/>
        </w:rPr>
        <w:t xml:space="preserve">2.1. </w:t>
      </w:r>
      <w:r w:rsidR="008C21E3">
        <w:rPr>
          <w:rFonts w:ascii="Arial" w:eastAsia="Calibri" w:hAnsi="Arial" w:cs="Arial"/>
          <w:b/>
          <w:color w:val="000000" w:themeColor="text1"/>
          <w:sz w:val="22"/>
          <w:lang w:val="es-ES_tradnl"/>
        </w:rPr>
        <w:t>Publicidad</w:t>
      </w:r>
      <w:r w:rsidR="00B86D17">
        <w:rPr>
          <w:rFonts w:ascii="Arial" w:eastAsia="Calibri" w:hAnsi="Arial" w:cs="Arial"/>
          <w:b/>
          <w:color w:val="000000" w:themeColor="text1"/>
          <w:sz w:val="22"/>
          <w:lang w:val="es-ES_tradnl"/>
        </w:rPr>
        <w:t xml:space="preserve"> de la actividad contractual</w:t>
      </w:r>
      <w:r w:rsidR="008C21E3">
        <w:rPr>
          <w:rFonts w:ascii="Arial" w:eastAsia="Calibri" w:hAnsi="Arial" w:cs="Arial"/>
          <w:b/>
          <w:color w:val="000000" w:themeColor="text1"/>
          <w:sz w:val="22"/>
          <w:lang w:val="es-ES_tradnl"/>
        </w:rPr>
        <w:t xml:space="preserve"> en el </w:t>
      </w:r>
      <w:r w:rsidR="00C637DE" w:rsidRPr="0091437B">
        <w:rPr>
          <w:rFonts w:ascii="Arial" w:eastAsia="Calibri" w:hAnsi="Arial" w:cs="Arial"/>
          <w:b/>
          <w:color w:val="1A1A1A" w:themeColor="background1" w:themeShade="1A"/>
          <w:sz w:val="22"/>
        </w:rPr>
        <w:t>Sistema Electrónico de Contratación Pública –SECOP–</w:t>
      </w:r>
    </w:p>
    <w:p w14:paraId="7DF68B0B" w14:textId="77777777" w:rsidR="00E61EEB" w:rsidRPr="00E85B58" w:rsidRDefault="00E61EEB" w:rsidP="00E61EEB">
      <w:pPr>
        <w:spacing w:line="276" w:lineRule="auto"/>
        <w:jc w:val="both"/>
        <w:rPr>
          <w:rFonts w:ascii="Arial" w:eastAsia="Calibri" w:hAnsi="Arial" w:cs="Arial"/>
          <w:color w:val="000000" w:themeColor="text1"/>
          <w:sz w:val="22"/>
          <w:lang w:val="es-ES_tradnl"/>
        </w:rPr>
      </w:pPr>
    </w:p>
    <w:p w14:paraId="790BB2AA" w14:textId="77777777" w:rsidR="00772B97" w:rsidRDefault="00772B97" w:rsidP="00772B97">
      <w:pPr>
        <w:spacing w:after="120" w:line="276" w:lineRule="auto"/>
        <w:jc w:val="both"/>
        <w:rPr>
          <w:rFonts w:ascii="Arial" w:eastAsia="Calibri" w:hAnsi="Arial" w:cs="Arial"/>
          <w:color w:val="1A1A1A" w:themeColor="background1" w:themeShade="1A"/>
          <w:sz w:val="22"/>
        </w:rPr>
      </w:pPr>
      <w:r>
        <w:rPr>
          <w:rFonts w:ascii="Arial" w:eastAsia="Calibri" w:hAnsi="Arial" w:cs="Arial"/>
          <w:color w:val="1A1A1A" w:themeColor="background1" w:themeShade="1A"/>
          <w:sz w:val="22"/>
        </w:rPr>
        <w:t>El principio de publicidad se encuentra consagrado en el artículo 209 de la Constitución Política</w:t>
      </w:r>
      <w:r>
        <w:rPr>
          <w:rStyle w:val="Refdenotaalpie"/>
          <w:rFonts w:ascii="Arial" w:eastAsia="Calibri" w:hAnsi="Arial" w:cs="Arial"/>
          <w:color w:val="1A1A1A" w:themeColor="background1" w:themeShade="1A"/>
          <w:sz w:val="22"/>
        </w:rPr>
        <w:footnoteReference w:id="1"/>
      </w:r>
      <w:r>
        <w:rPr>
          <w:rFonts w:ascii="Arial" w:eastAsia="Calibri" w:hAnsi="Arial" w:cs="Arial"/>
          <w:color w:val="1A1A1A" w:themeColor="background1" w:themeShade="1A"/>
          <w:sz w:val="22"/>
        </w:rPr>
        <w:t xml:space="preserve"> y es considerado uno de los principios constitucionales orientadores de la administración y la gestión pública</w:t>
      </w:r>
      <w:r>
        <w:rPr>
          <w:rStyle w:val="Refdenotaalpie"/>
          <w:rFonts w:ascii="Arial" w:eastAsia="Calibri" w:hAnsi="Arial" w:cs="Arial"/>
          <w:color w:val="1A1A1A" w:themeColor="background1" w:themeShade="1A"/>
          <w:sz w:val="22"/>
        </w:rPr>
        <w:footnoteReference w:id="2"/>
      </w:r>
      <w:r>
        <w:rPr>
          <w:rFonts w:ascii="Arial" w:eastAsia="Calibri" w:hAnsi="Arial" w:cs="Arial"/>
          <w:color w:val="1A1A1A" w:themeColor="background1" w:themeShade="1A"/>
          <w:sz w:val="22"/>
        </w:rPr>
        <w:t>. Impone a las autoridades el deber de dar a conocer sus actos, contratos y decisiones, de manera que puedan ser conocidos incluso por quienes no participan en su desarrollo y, eventualmente, ser objeto de control, con el fin de garantizar el debido proceso y los principios de la función pública.</w:t>
      </w:r>
    </w:p>
    <w:p w14:paraId="50D21918" w14:textId="77777777" w:rsidR="00772B97" w:rsidRDefault="00772B97" w:rsidP="00A440A7">
      <w:pPr>
        <w:spacing w:line="276" w:lineRule="auto"/>
        <w:ind w:firstLine="709"/>
        <w:jc w:val="both"/>
        <w:rPr>
          <w:rFonts w:ascii="Arial" w:eastAsia="Calibri" w:hAnsi="Arial" w:cs="Arial"/>
          <w:color w:val="1A1A1A" w:themeColor="background1" w:themeShade="1A"/>
          <w:sz w:val="22"/>
        </w:rPr>
      </w:pPr>
      <w:r w:rsidRPr="0091437B">
        <w:rPr>
          <w:rFonts w:ascii="Arial" w:eastAsia="Calibri" w:hAnsi="Arial" w:cs="Arial"/>
          <w:color w:val="1A1A1A" w:themeColor="background1" w:themeShade="1A"/>
          <w:sz w:val="22"/>
        </w:rPr>
        <w:t xml:space="preserve">Para la Corte Constitucional, el principio de publicidad es la garantía que tienen las personas de conocer las actuaciones judiciales y administrativas y con base en ese conocimiento tener la posibilidad de exigir que se surtan conforme a la ley: </w:t>
      </w:r>
    </w:p>
    <w:p w14:paraId="271998F1" w14:textId="77777777" w:rsidR="00772B97" w:rsidRPr="0091437B" w:rsidRDefault="00772B97" w:rsidP="00772B97">
      <w:pPr>
        <w:ind w:firstLine="709"/>
        <w:jc w:val="both"/>
        <w:rPr>
          <w:rFonts w:ascii="Arial" w:eastAsia="Calibri" w:hAnsi="Arial" w:cs="Arial"/>
          <w:color w:val="1A1A1A" w:themeColor="background1" w:themeShade="1A"/>
          <w:sz w:val="22"/>
        </w:rPr>
      </w:pPr>
    </w:p>
    <w:p w14:paraId="1C0D2C9F" w14:textId="77777777" w:rsidR="00772B97" w:rsidRPr="0091437B" w:rsidRDefault="00772B97" w:rsidP="00772B97">
      <w:pPr>
        <w:tabs>
          <w:tab w:val="left" w:pos="3885"/>
        </w:tabs>
        <w:ind w:left="709" w:right="709"/>
        <w:jc w:val="both"/>
        <w:rPr>
          <w:rFonts w:ascii="Arial" w:hAnsi="Arial" w:cs="Arial"/>
          <w:color w:val="1A1A1A" w:themeColor="background1" w:themeShade="1A"/>
          <w:sz w:val="21"/>
          <w:szCs w:val="21"/>
          <w:lang w:val="es-ES"/>
        </w:rPr>
      </w:pPr>
      <w:r w:rsidRPr="0091437B">
        <w:rPr>
          <w:rFonts w:ascii="Arial" w:hAnsi="Arial" w:cs="Arial"/>
          <w:color w:val="1A1A1A" w:themeColor="background1" w:themeShade="1A"/>
          <w:sz w:val="21"/>
          <w:szCs w:val="21"/>
          <w:lang w:val="es-ES"/>
        </w:rPr>
        <w:t>El principio de publicidad se encuentra consagrado en el artículo 209 de la Constitución Política, que señala que la función administrativa está al servicio de los intereses generales y se desarrolla con fundamento entre otros, en el «principio de publicidad», el cual se evidencia en dos dimensiones.</w:t>
      </w:r>
    </w:p>
    <w:p w14:paraId="407585C9" w14:textId="77777777" w:rsidR="00772B97" w:rsidRPr="0091437B" w:rsidRDefault="00772B97" w:rsidP="00772B97">
      <w:pPr>
        <w:tabs>
          <w:tab w:val="left" w:pos="3885"/>
        </w:tabs>
        <w:ind w:left="709" w:right="709"/>
        <w:jc w:val="both"/>
        <w:rPr>
          <w:rFonts w:ascii="Arial" w:hAnsi="Arial" w:cs="Arial"/>
          <w:color w:val="1A1A1A" w:themeColor="background1" w:themeShade="1A"/>
          <w:sz w:val="21"/>
          <w:szCs w:val="21"/>
          <w:lang w:val="es-ES"/>
        </w:rPr>
      </w:pPr>
    </w:p>
    <w:p w14:paraId="74D9B10C" w14:textId="32A6BB89" w:rsidR="00772B97" w:rsidRDefault="00772B97" w:rsidP="003D2A3B">
      <w:pPr>
        <w:tabs>
          <w:tab w:val="left" w:pos="3885"/>
          <w:tab w:val="left" w:pos="8222"/>
        </w:tabs>
        <w:ind w:left="709" w:right="709"/>
        <w:jc w:val="both"/>
        <w:rPr>
          <w:rFonts w:ascii="Arial" w:hAnsi="Arial" w:cs="Arial"/>
          <w:color w:val="1A1A1A" w:themeColor="background1" w:themeShade="1A"/>
          <w:sz w:val="22"/>
          <w:lang w:val="es-ES"/>
        </w:rPr>
      </w:pPr>
      <w:r w:rsidRPr="0091437B">
        <w:rPr>
          <w:rFonts w:ascii="Arial" w:hAnsi="Arial" w:cs="Arial"/>
          <w:color w:val="1A1A1A" w:themeColor="background1" w:themeShade="1A"/>
          <w:sz w:val="21"/>
          <w:szCs w:val="21"/>
          <w:lang w:val="es-ES"/>
        </w:rPr>
        <w:t xml:space="preserve">La primera de ellas, como el derecho que tienen las personas directamente involucradas, al conocimiento de las actuaciones judiciales y administrativas, la cual se concreta a través de los mecanismos de comunicación y la segunda, como el reconocimiento del derecho que tiene la comunidad de conocer las </w:t>
      </w:r>
      <w:r w:rsidRPr="0091437B">
        <w:rPr>
          <w:rFonts w:ascii="Arial" w:hAnsi="Arial" w:cs="Arial"/>
          <w:color w:val="1A1A1A" w:themeColor="background1" w:themeShade="1A"/>
          <w:sz w:val="21"/>
          <w:szCs w:val="21"/>
          <w:lang w:val="es-ES"/>
        </w:rPr>
        <w:lastRenderedPageBreak/>
        <w:t xml:space="preserve">actuaciones de las </w:t>
      </w:r>
      <w:proofErr w:type="gramStart"/>
      <w:r w:rsidRPr="0091437B">
        <w:rPr>
          <w:rFonts w:ascii="Arial" w:hAnsi="Arial" w:cs="Arial"/>
          <w:color w:val="1A1A1A" w:themeColor="background1" w:themeShade="1A"/>
          <w:sz w:val="21"/>
          <w:szCs w:val="21"/>
          <w:lang w:val="es-ES"/>
        </w:rPr>
        <w:t>autoridades públicas</w:t>
      </w:r>
      <w:proofErr w:type="gramEnd"/>
      <w:r w:rsidRPr="0091437B">
        <w:rPr>
          <w:rFonts w:ascii="Arial" w:hAnsi="Arial" w:cs="Arial"/>
          <w:color w:val="1A1A1A" w:themeColor="background1" w:themeShade="1A"/>
          <w:sz w:val="21"/>
          <w:szCs w:val="21"/>
          <w:lang w:val="es-ES"/>
        </w:rPr>
        <w:t xml:space="preserve"> y, a través de ese conocimiento, a exigir que ellas se surtan conforme a la ley</w:t>
      </w:r>
      <w:r w:rsidRPr="0091437B">
        <w:rPr>
          <w:rStyle w:val="Refdenotaalpie"/>
          <w:rFonts w:ascii="Arial" w:eastAsia="Calibri" w:hAnsi="Arial" w:cs="Arial"/>
          <w:color w:val="1A1A1A" w:themeColor="background1" w:themeShade="1A"/>
          <w:sz w:val="21"/>
          <w:szCs w:val="21"/>
        </w:rPr>
        <w:footnoteReference w:id="3"/>
      </w:r>
      <w:r w:rsidRPr="0091437B">
        <w:rPr>
          <w:rFonts w:ascii="Arial" w:eastAsia="Calibri" w:hAnsi="Arial" w:cs="Arial"/>
          <w:color w:val="1A1A1A" w:themeColor="background1" w:themeShade="1A"/>
          <w:sz w:val="21"/>
          <w:szCs w:val="21"/>
        </w:rPr>
        <w:t>.</w:t>
      </w:r>
    </w:p>
    <w:p w14:paraId="41754346" w14:textId="77777777" w:rsidR="003D2A3B" w:rsidRPr="003D2A3B" w:rsidRDefault="003D2A3B" w:rsidP="003D2A3B">
      <w:pPr>
        <w:tabs>
          <w:tab w:val="left" w:pos="3885"/>
          <w:tab w:val="left" w:pos="8222"/>
        </w:tabs>
        <w:ind w:left="709" w:right="709"/>
        <w:jc w:val="both"/>
        <w:rPr>
          <w:rFonts w:ascii="Arial" w:hAnsi="Arial" w:cs="Arial"/>
          <w:color w:val="1A1A1A" w:themeColor="background1" w:themeShade="1A"/>
          <w:sz w:val="22"/>
          <w:lang w:val="es-ES"/>
        </w:rPr>
      </w:pPr>
    </w:p>
    <w:p w14:paraId="5E6A1AC2" w14:textId="77777777" w:rsidR="00772B97" w:rsidRPr="0091437B" w:rsidRDefault="00772B97" w:rsidP="00772B97">
      <w:pPr>
        <w:spacing w:after="120" w:line="276" w:lineRule="auto"/>
        <w:ind w:firstLine="709"/>
        <w:jc w:val="both"/>
        <w:rPr>
          <w:rFonts w:ascii="Arial" w:eastAsia="Calibri" w:hAnsi="Arial" w:cs="Arial"/>
          <w:color w:val="1A1A1A" w:themeColor="background1" w:themeShade="1A"/>
          <w:sz w:val="22"/>
        </w:rPr>
      </w:pPr>
      <w:bookmarkStart w:id="5" w:name="_Hlk67655959"/>
      <w:r w:rsidRPr="0091437B">
        <w:rPr>
          <w:rFonts w:ascii="Arial" w:eastAsia="Calibri" w:hAnsi="Arial" w:cs="Arial"/>
          <w:color w:val="1A1A1A" w:themeColor="background1" w:themeShade="1A"/>
          <w:sz w:val="22"/>
        </w:rPr>
        <w:t>El literal c) del artículo 3 de la Ley 1150 de 2007 establece que el Sistema Electrónico para la Contratación Pública «contará con la información oficial de la contratación realizada con dineros públicos, para lo cual establecerá los patrones a que haya lugar y se encargará de su difusión a través de canales electrónicos»</w:t>
      </w:r>
      <w:r w:rsidRPr="0091437B">
        <w:rPr>
          <w:rStyle w:val="Refdenotaalpie"/>
          <w:rFonts w:ascii="Arial" w:eastAsia="Calibri" w:hAnsi="Arial" w:cs="Arial"/>
          <w:color w:val="1A1A1A" w:themeColor="background1" w:themeShade="1A"/>
          <w:sz w:val="22"/>
        </w:rPr>
        <w:footnoteReference w:id="4"/>
      </w:r>
      <w:r w:rsidRPr="0091437B">
        <w:rPr>
          <w:rFonts w:ascii="Arial" w:eastAsia="Calibri" w:hAnsi="Arial" w:cs="Arial"/>
          <w:color w:val="1A1A1A" w:themeColor="background1" w:themeShade="1A"/>
          <w:sz w:val="22"/>
        </w:rPr>
        <w:t xml:space="preserve">. </w:t>
      </w:r>
    </w:p>
    <w:bookmarkEnd w:id="5"/>
    <w:p w14:paraId="279178FE" w14:textId="77777777" w:rsidR="00772B97" w:rsidRPr="0091437B" w:rsidRDefault="00772B97" w:rsidP="00772B97">
      <w:pPr>
        <w:spacing w:after="120" w:line="276" w:lineRule="auto"/>
        <w:ind w:firstLine="709"/>
        <w:jc w:val="both"/>
        <w:rPr>
          <w:rFonts w:ascii="Arial" w:eastAsia="Calibri" w:hAnsi="Arial" w:cs="Arial"/>
          <w:color w:val="1A1A1A" w:themeColor="background1" w:themeShade="1A"/>
          <w:sz w:val="22"/>
        </w:rPr>
      </w:pPr>
      <w:r w:rsidRPr="0091437B">
        <w:rPr>
          <w:rFonts w:ascii="Arial" w:hAnsi="Arial" w:cs="Arial"/>
          <w:color w:val="1A1A1A" w:themeColor="background1" w:themeShade="1A"/>
          <w:sz w:val="22"/>
        </w:rPr>
        <w:t>De otra parte, la Ley 1712 de 2014, por medio de la cual se crea la Ley de Transparencia y del Derecho de Acceso a la Información Pública Nacional y se dictan otras disposiciones, identifica como principios que orientan el derecho de acceso a la información pública, el de máxima publicidad, transparencia en la información y buena fe. El principio de máxima publicidad establece que «toda información en posesión, bajo control o custodia de un sujeto obligado es pública y no podrá ser reservada o limitada sino por disposición constitucional o legal»</w:t>
      </w:r>
      <w:r w:rsidRPr="0091437B">
        <w:rPr>
          <w:rStyle w:val="Refdenotaalpie"/>
          <w:rFonts w:ascii="Arial" w:hAnsi="Arial" w:cs="Arial"/>
          <w:color w:val="1A1A1A" w:themeColor="background1" w:themeShade="1A"/>
          <w:sz w:val="22"/>
        </w:rPr>
        <w:footnoteReference w:id="5"/>
      </w:r>
      <w:r w:rsidRPr="0091437B">
        <w:rPr>
          <w:rFonts w:ascii="Arial" w:hAnsi="Arial" w:cs="Arial"/>
          <w:color w:val="1A1A1A" w:themeColor="background1" w:themeShade="1A"/>
          <w:sz w:val="22"/>
        </w:rPr>
        <w:t xml:space="preserve">. El principio de transparencia en la información alude al deber de los sujetos de proporcionar y facilitar el acceso a la misma en los términos más amplios posibles, y a través de los medios y procedimientos que establezca la ley. </w:t>
      </w:r>
      <w:r w:rsidRPr="00D62CD5">
        <w:rPr>
          <w:rFonts w:ascii="Arial" w:hAnsi="Arial" w:cs="Arial"/>
          <w:color w:val="1A1A1A" w:themeColor="background1" w:themeShade="1A"/>
          <w:sz w:val="22"/>
        </w:rPr>
        <w:t>Y el principio de buena fe sugiere que todo sujeto obligado cumplirá con las obligaciones derivadas del derecho de acceso a la información pública con motivación honesta, leal y desprovista de dolo o culpa.</w:t>
      </w:r>
    </w:p>
    <w:p w14:paraId="12DB6D10" w14:textId="73632CC2" w:rsidR="00772B97" w:rsidRPr="0091437B" w:rsidRDefault="00772B97" w:rsidP="00772B97">
      <w:pPr>
        <w:pStyle w:val="NormalWeb"/>
        <w:spacing w:before="0" w:beforeAutospacing="0" w:after="120" w:afterAutospacing="0" w:line="276" w:lineRule="auto"/>
        <w:ind w:firstLine="709"/>
        <w:jc w:val="both"/>
        <w:rPr>
          <w:rFonts w:ascii="Arial" w:eastAsiaTheme="minorHAnsi" w:hAnsi="Arial" w:cs="Arial"/>
          <w:color w:val="1A1A1A" w:themeColor="background1" w:themeShade="1A"/>
          <w:sz w:val="22"/>
          <w:szCs w:val="22"/>
          <w:lang w:val="es-MX" w:eastAsia="en-US"/>
        </w:rPr>
      </w:pPr>
      <w:r w:rsidRPr="0091437B">
        <w:rPr>
          <w:rFonts w:ascii="Arial" w:eastAsiaTheme="minorHAnsi" w:hAnsi="Arial" w:cs="Arial"/>
          <w:color w:val="1A1A1A" w:themeColor="background1" w:themeShade="1A"/>
          <w:sz w:val="22"/>
          <w:szCs w:val="22"/>
          <w:lang w:val="es-MX" w:eastAsia="en-US"/>
        </w:rPr>
        <w:t>La ley citada establece, en el literal e) del artículo 9, que los sujetos obligados, que son todas las entidades públicas</w:t>
      </w:r>
      <w:r w:rsidRPr="0091437B">
        <w:rPr>
          <w:rStyle w:val="Refdenotaalpie"/>
          <w:rFonts w:ascii="Arial" w:eastAsiaTheme="minorHAnsi" w:hAnsi="Arial" w:cs="Arial"/>
          <w:color w:val="1A1A1A" w:themeColor="background1" w:themeShade="1A"/>
          <w:sz w:val="22"/>
          <w:szCs w:val="22"/>
          <w:lang w:val="es-MX" w:eastAsia="en-US"/>
        </w:rPr>
        <w:footnoteReference w:id="6"/>
      </w:r>
      <w:r w:rsidRPr="0091437B">
        <w:rPr>
          <w:rFonts w:ascii="Arial" w:eastAsiaTheme="minorHAnsi" w:hAnsi="Arial" w:cs="Arial"/>
          <w:color w:val="1A1A1A" w:themeColor="background1" w:themeShade="1A"/>
          <w:sz w:val="22"/>
          <w:szCs w:val="22"/>
          <w:lang w:val="es-MX" w:eastAsia="en-US"/>
        </w:rPr>
        <w:t xml:space="preserve">, deben publicar la información relativa a su contratación. </w:t>
      </w:r>
      <w:r w:rsidRPr="0091437B">
        <w:rPr>
          <w:rFonts w:ascii="Arial" w:eastAsiaTheme="minorHAnsi" w:hAnsi="Arial" w:cs="Arial"/>
          <w:color w:val="1A1A1A" w:themeColor="background1" w:themeShade="1A"/>
          <w:sz w:val="22"/>
          <w:szCs w:val="22"/>
          <w:lang w:val="es-MX" w:eastAsia="en-US"/>
        </w:rPr>
        <w:lastRenderedPageBreak/>
        <w:t>Esta obligación fue desarrollada por el Decreto Único Reglamentario 1081 de 2015</w:t>
      </w:r>
      <w:r w:rsidRPr="0091437B">
        <w:rPr>
          <w:rStyle w:val="Refdenotaalpie"/>
          <w:rFonts w:ascii="Arial" w:eastAsiaTheme="minorHAnsi" w:hAnsi="Arial" w:cs="Arial"/>
          <w:color w:val="1A1A1A" w:themeColor="background1" w:themeShade="1A"/>
          <w:sz w:val="22"/>
          <w:szCs w:val="22"/>
          <w:lang w:val="es-MX" w:eastAsia="en-US"/>
        </w:rPr>
        <w:footnoteReference w:id="7"/>
      </w:r>
      <w:r w:rsidRPr="0091437B">
        <w:rPr>
          <w:rFonts w:ascii="Arial" w:eastAsiaTheme="minorHAnsi" w:hAnsi="Arial" w:cs="Arial"/>
          <w:color w:val="1A1A1A" w:themeColor="background1" w:themeShade="1A"/>
          <w:sz w:val="22"/>
          <w:szCs w:val="22"/>
          <w:lang w:val="es-MX" w:eastAsia="en-US"/>
        </w:rPr>
        <w:t>, el cual dispuso que la publicación de la información contractual de los sujetos obligados, que contratan con cargo a recursos públicos, debe hacerse en el Sistema Electrónico de Contratación Pública ─</w:t>
      </w:r>
      <w:r w:rsidRPr="0091437B">
        <w:rPr>
          <w:rFonts w:ascii="Arial" w:eastAsiaTheme="minorHAnsi" w:hAnsi="Arial" w:cs="Arial"/>
          <w:color w:val="1A1A1A" w:themeColor="background1" w:themeShade="1A"/>
          <w:sz w:val="22"/>
          <w:szCs w:val="22"/>
          <w:lang w:val="es-MX" w:eastAsia="en-US"/>
        </w:rPr>
        <w:softHyphen/>
        <w:t xml:space="preserve"> </w:t>
      </w:r>
      <w:r w:rsidRPr="0091437B">
        <w:rPr>
          <w:rFonts w:ascii="Arial" w:eastAsiaTheme="minorHAnsi" w:hAnsi="Arial" w:cs="Arial"/>
          <w:color w:val="1A1A1A" w:themeColor="background1" w:themeShade="1A"/>
          <w:sz w:val="22"/>
          <w:szCs w:val="22"/>
          <w:lang w:val="es-MX" w:eastAsia="en-US"/>
        </w:rPr>
        <w:softHyphen/>
        <w:t>SECOP.</w:t>
      </w:r>
    </w:p>
    <w:p w14:paraId="06F3A88D" w14:textId="77777777" w:rsidR="00772B97" w:rsidRPr="0091437B" w:rsidRDefault="00772B97" w:rsidP="00772B97">
      <w:pPr>
        <w:spacing w:after="120" w:line="276" w:lineRule="auto"/>
        <w:ind w:firstLine="709"/>
        <w:jc w:val="both"/>
        <w:rPr>
          <w:rFonts w:ascii="Arial" w:hAnsi="Arial" w:cs="Arial"/>
          <w:color w:val="1A1A1A" w:themeColor="background1" w:themeShade="1A"/>
          <w:sz w:val="22"/>
          <w:lang w:val="es-ES"/>
        </w:rPr>
      </w:pPr>
      <w:r w:rsidRPr="0091437B">
        <w:rPr>
          <w:rFonts w:ascii="Arial" w:hAnsi="Arial" w:cs="Arial"/>
          <w:color w:val="1A1A1A" w:themeColor="background1" w:themeShade="1A"/>
          <w:sz w:val="22"/>
        </w:rPr>
        <w:t>As</w:t>
      </w:r>
      <w:r>
        <w:rPr>
          <w:rFonts w:ascii="Arial" w:hAnsi="Arial" w:cs="Arial"/>
          <w:color w:val="1A1A1A" w:themeColor="background1" w:themeShade="1A"/>
          <w:sz w:val="22"/>
        </w:rPr>
        <w:t xml:space="preserve">í </w:t>
      </w:r>
      <w:r w:rsidRPr="0091437B">
        <w:rPr>
          <w:rFonts w:ascii="Arial" w:hAnsi="Arial" w:cs="Arial"/>
          <w:color w:val="1A1A1A" w:themeColor="background1" w:themeShade="1A"/>
          <w:sz w:val="22"/>
        </w:rPr>
        <w:t xml:space="preserve">mismo, de </w:t>
      </w:r>
      <w:r w:rsidRPr="0091437B">
        <w:rPr>
          <w:rFonts w:ascii="Arial" w:hAnsi="Arial" w:cs="Arial"/>
          <w:color w:val="1A1A1A" w:themeColor="background1" w:themeShade="1A"/>
          <w:sz w:val="22"/>
          <w:lang w:val="es-ES"/>
        </w:rPr>
        <w:t xml:space="preserve">acuerdo con el literal g) del artículo 11 de la misma Ley, todos los destinatarios de la ley de transparencia deben garantizar la publicidad de «sus procedimientos, lineamientos, políticas en materia de adquisiciones y compras, así como todos los datos de adjudicación y ejecución de contratos, incluidos concursos y licitaciones», y esta información también debe estar en el SECOP. </w:t>
      </w:r>
    </w:p>
    <w:p w14:paraId="5D0A4D91" w14:textId="0ED80402" w:rsidR="00A776CB" w:rsidRPr="0091437B" w:rsidRDefault="00772B97" w:rsidP="005C7AB0">
      <w:pPr>
        <w:spacing w:after="120" w:line="276" w:lineRule="auto"/>
        <w:ind w:firstLine="709"/>
        <w:jc w:val="both"/>
        <w:rPr>
          <w:rFonts w:ascii="Arial" w:eastAsia="Calibri" w:hAnsi="Arial" w:cs="Arial"/>
          <w:color w:val="1A1A1A" w:themeColor="background1" w:themeShade="1A"/>
          <w:sz w:val="22"/>
        </w:rPr>
      </w:pPr>
      <w:r w:rsidRPr="0091437B">
        <w:rPr>
          <w:rFonts w:ascii="Arial" w:eastAsia="Calibri" w:hAnsi="Arial" w:cs="Arial"/>
          <w:color w:val="1A1A1A" w:themeColor="background1" w:themeShade="1A"/>
          <w:sz w:val="22"/>
        </w:rPr>
        <w:t>El derecho de acceso a la información pública o de interés público permite a toda persona, sin necesidad de acreditar calidad, interés o condición particular, conocer la existencia de información pública, acceder a la misma y difundirla o publicarla, según su interés</w:t>
      </w:r>
      <w:r w:rsidRPr="0091437B">
        <w:rPr>
          <w:rStyle w:val="Refdenotaalpie"/>
          <w:rFonts w:ascii="Arial" w:eastAsia="Calibri" w:hAnsi="Arial" w:cs="Arial"/>
          <w:color w:val="1A1A1A" w:themeColor="background1" w:themeShade="1A"/>
          <w:sz w:val="22"/>
        </w:rPr>
        <w:footnoteReference w:id="8"/>
      </w:r>
      <w:r w:rsidRPr="0091437B">
        <w:rPr>
          <w:rFonts w:ascii="Arial" w:eastAsia="Calibri" w:hAnsi="Arial" w:cs="Arial"/>
          <w:color w:val="1A1A1A" w:themeColor="background1" w:themeShade="1A"/>
          <w:sz w:val="22"/>
        </w:rPr>
        <w:t>.</w:t>
      </w:r>
    </w:p>
    <w:p w14:paraId="47EDA01C" w14:textId="795342CC" w:rsidR="00E61EEB" w:rsidRDefault="00FE4DBD" w:rsidP="00FE4DBD">
      <w:pPr>
        <w:spacing w:before="120" w:line="276" w:lineRule="auto"/>
        <w:ind w:firstLine="709"/>
        <w:jc w:val="both"/>
        <w:rPr>
          <w:rFonts w:ascii="Arial" w:hAnsi="Arial" w:cs="Arial"/>
          <w:color w:val="1A1A1A" w:themeColor="background1" w:themeShade="1A"/>
          <w:sz w:val="22"/>
          <w:lang w:val="es-ES"/>
        </w:rPr>
      </w:pPr>
      <w:r>
        <w:rPr>
          <w:rFonts w:ascii="Arial" w:hAnsi="Arial" w:cs="Arial"/>
          <w:color w:val="1A1A1A" w:themeColor="background1" w:themeShade="1A"/>
          <w:sz w:val="22"/>
          <w:lang w:val="es-ES"/>
        </w:rPr>
        <w:t>Además del artículo 3, literal c) de la Ley 1150 de 2007, el deber de las entidades estatales de publicar su gestión contractual en el SECOP se fundamenta en su calidad de sujetos obligados en el marco de la normativa de la transparencia y el acceso a la información pública</w:t>
      </w:r>
      <w:r>
        <w:rPr>
          <w:rStyle w:val="Refdenotaalpie"/>
          <w:rFonts w:ascii="Arial" w:hAnsi="Arial" w:cs="Arial"/>
          <w:color w:val="1A1A1A" w:themeColor="background1" w:themeShade="1A"/>
          <w:sz w:val="22"/>
          <w:lang w:val="es-ES"/>
        </w:rPr>
        <w:footnoteReference w:id="9"/>
      </w:r>
      <w:r>
        <w:rPr>
          <w:rFonts w:ascii="Arial" w:hAnsi="Arial" w:cs="Arial"/>
          <w:color w:val="1A1A1A" w:themeColor="background1" w:themeShade="1A"/>
          <w:sz w:val="22"/>
          <w:lang w:val="es-ES"/>
        </w:rPr>
        <w:t>. En efecto</w:t>
      </w:r>
      <w:r w:rsidRPr="00F909C4">
        <w:rPr>
          <w:rFonts w:ascii="Arial" w:hAnsi="Arial" w:cs="Arial"/>
          <w:color w:val="1A1A1A" w:themeColor="background1" w:themeShade="1A"/>
          <w:sz w:val="22"/>
          <w:lang w:val="es-ES"/>
        </w:rPr>
        <w:t xml:space="preserve">, la Ley 1712 de 2014, </w:t>
      </w:r>
      <w:r>
        <w:rPr>
          <w:rFonts w:ascii="Arial" w:hAnsi="Arial" w:cs="Arial"/>
          <w:color w:val="1A1A1A" w:themeColor="background1" w:themeShade="1A"/>
          <w:sz w:val="22"/>
          <w:lang w:val="es-ES"/>
        </w:rPr>
        <w:t>también conocida como</w:t>
      </w:r>
      <w:r w:rsidRPr="00F909C4">
        <w:rPr>
          <w:rFonts w:ascii="Arial" w:hAnsi="Arial" w:cs="Arial"/>
          <w:color w:val="1A1A1A" w:themeColor="background1" w:themeShade="1A"/>
          <w:sz w:val="22"/>
          <w:lang w:val="es-ES"/>
        </w:rPr>
        <w:t xml:space="preserve"> </w:t>
      </w:r>
      <w:r w:rsidRPr="00D307CD">
        <w:rPr>
          <w:rFonts w:ascii="Arial" w:hAnsi="Arial" w:cs="Arial"/>
          <w:i/>
          <w:iCs/>
          <w:color w:val="1A1A1A" w:themeColor="background1" w:themeShade="1A"/>
          <w:sz w:val="22"/>
          <w:lang w:val="es-ES"/>
        </w:rPr>
        <w:t xml:space="preserve">Ley de </w:t>
      </w:r>
      <w:r w:rsidRPr="00D307CD">
        <w:rPr>
          <w:rFonts w:ascii="Arial" w:hAnsi="Arial" w:cs="Arial"/>
          <w:i/>
          <w:iCs/>
          <w:color w:val="1A1A1A" w:themeColor="background1" w:themeShade="1A"/>
          <w:sz w:val="22"/>
          <w:lang w:val="es-ES"/>
        </w:rPr>
        <w:lastRenderedPageBreak/>
        <w:t>Transparencia y del Derecho de Acceso a la Información Pública</w:t>
      </w:r>
      <w:r w:rsidRPr="00F909C4">
        <w:rPr>
          <w:rFonts w:ascii="Arial" w:hAnsi="Arial" w:cs="Arial"/>
          <w:color w:val="1A1A1A" w:themeColor="background1" w:themeShade="1A"/>
          <w:sz w:val="22"/>
          <w:lang w:val="es-ES"/>
        </w:rPr>
        <w:t xml:space="preserve">, señala en </w:t>
      </w:r>
      <w:r>
        <w:rPr>
          <w:rFonts w:ascii="Arial" w:hAnsi="Arial" w:cs="Arial"/>
          <w:color w:val="1A1A1A" w:themeColor="background1" w:themeShade="1A"/>
          <w:sz w:val="22"/>
          <w:lang w:val="es-ES"/>
        </w:rPr>
        <w:t>su</w:t>
      </w:r>
      <w:r w:rsidRPr="00F909C4">
        <w:rPr>
          <w:rFonts w:ascii="Arial" w:hAnsi="Arial" w:cs="Arial"/>
          <w:color w:val="1A1A1A" w:themeColor="background1" w:themeShade="1A"/>
          <w:sz w:val="22"/>
          <w:lang w:val="es-ES"/>
        </w:rPr>
        <w:t xml:space="preserve"> artículo 11,</w:t>
      </w:r>
      <w:r>
        <w:rPr>
          <w:rFonts w:ascii="Arial" w:hAnsi="Arial" w:cs="Arial"/>
          <w:color w:val="1A1A1A" w:themeColor="background1" w:themeShade="1A"/>
          <w:sz w:val="22"/>
          <w:lang w:val="es-ES"/>
        </w:rPr>
        <w:t xml:space="preserve"> literal g),</w:t>
      </w:r>
      <w:r w:rsidRPr="00F909C4">
        <w:rPr>
          <w:rFonts w:ascii="Arial" w:hAnsi="Arial" w:cs="Arial"/>
          <w:color w:val="1A1A1A" w:themeColor="background1" w:themeShade="1A"/>
          <w:sz w:val="22"/>
          <w:lang w:val="es-ES"/>
        </w:rPr>
        <w:t xml:space="preserve"> que todo sujeto obligado</w:t>
      </w:r>
      <w:r>
        <w:rPr>
          <w:rFonts w:ascii="Arial" w:hAnsi="Arial" w:cs="Arial"/>
          <w:color w:val="1A1A1A" w:themeColor="background1" w:themeShade="1A"/>
          <w:sz w:val="22"/>
          <w:lang w:val="es-ES"/>
        </w:rPr>
        <w:t xml:space="preserve"> </w:t>
      </w:r>
      <w:r w:rsidRPr="00F909C4">
        <w:rPr>
          <w:rFonts w:ascii="Arial" w:hAnsi="Arial" w:cs="Arial"/>
          <w:color w:val="1A1A1A" w:themeColor="background1" w:themeShade="1A"/>
          <w:sz w:val="22"/>
          <w:lang w:val="es-ES"/>
        </w:rPr>
        <w:t>debe publicar sus procedimientos, lineamientos, políticas en materia de adquisiciones y compras, así como todos los datos de adjudicación y ejecución de sus contratos. Lo anterior implica que se deberá publicar cada procedimiento para la adquisición de un producto o servicio, incluidos los datos de adjudicación y ejecución del contrato.</w:t>
      </w:r>
    </w:p>
    <w:p w14:paraId="0945F957" w14:textId="160DC6E8" w:rsidR="0017290B" w:rsidRPr="0048045C" w:rsidRDefault="0017290B" w:rsidP="0017290B">
      <w:pPr>
        <w:spacing w:before="120" w:line="276" w:lineRule="auto"/>
        <w:ind w:firstLine="709"/>
        <w:jc w:val="both"/>
        <w:rPr>
          <w:rFonts w:ascii="Arial" w:hAnsi="Arial" w:cs="Arial"/>
          <w:color w:val="1A1A1A" w:themeColor="background1" w:themeShade="1A"/>
          <w:sz w:val="22"/>
          <w:lang w:val="es-ES"/>
        </w:rPr>
      </w:pPr>
      <w:r>
        <w:rPr>
          <w:rFonts w:ascii="Arial" w:hAnsi="Arial" w:cs="Arial"/>
          <w:color w:val="1A1A1A" w:themeColor="background1" w:themeShade="1A"/>
          <w:sz w:val="22"/>
          <w:lang w:val="es-ES"/>
        </w:rPr>
        <w:t>Luego, el Decreto 1081 de 2015</w:t>
      </w:r>
      <w:r w:rsidRPr="00EC1AC0">
        <w:rPr>
          <w:rFonts w:ascii="Arial" w:hAnsi="Arial" w:cs="Arial"/>
          <w:color w:val="1A1A1A" w:themeColor="background1" w:themeShade="1A"/>
          <w:sz w:val="22"/>
          <w:lang w:val="es-ES"/>
        </w:rPr>
        <w:t xml:space="preserve"> señala en su artículo </w:t>
      </w:r>
      <w:r w:rsidRPr="00D307CD">
        <w:rPr>
          <w:rFonts w:ascii="Arial" w:hAnsi="Arial" w:cs="Arial"/>
          <w:sz w:val="22"/>
        </w:rPr>
        <w:t>2.1.1.2.1.8</w:t>
      </w:r>
      <w:r w:rsidRPr="00EC1AC0">
        <w:rPr>
          <w:rFonts w:ascii="Arial" w:hAnsi="Arial" w:cs="Arial"/>
          <w:color w:val="1A1A1A" w:themeColor="background1" w:themeShade="1A"/>
          <w:sz w:val="22"/>
          <w:lang w:val="es-ES"/>
        </w:rPr>
        <w:t>, de forma enunciativa, que se debe publicar la información relativa a la ejecución del contrato, como las aprobaciones, autorizaciones, requerimientos o informes del supervisor o interventor, que aprueben la ejecución del contrato</w:t>
      </w:r>
      <w:r w:rsidRPr="00EC1AC0">
        <w:rPr>
          <w:rFonts w:ascii="Arial" w:hAnsi="Arial" w:cs="Arial"/>
          <w:color w:val="1A1A1A" w:themeColor="background1" w:themeShade="1A"/>
          <w:sz w:val="22"/>
          <w:vertAlign w:val="superscript"/>
          <w:lang w:val="es-ES"/>
        </w:rPr>
        <w:footnoteReference w:id="10"/>
      </w:r>
      <w:r w:rsidRPr="00EC1AC0">
        <w:rPr>
          <w:rFonts w:ascii="Arial" w:hAnsi="Arial" w:cs="Arial"/>
          <w:color w:val="1A1A1A" w:themeColor="background1" w:themeShade="1A"/>
          <w:sz w:val="22"/>
          <w:lang w:val="es-ES"/>
        </w:rPr>
        <w:t xml:space="preserve">. Por su parte, el artículo </w:t>
      </w:r>
      <w:r w:rsidRPr="0048045C">
        <w:rPr>
          <w:rFonts w:ascii="Arial" w:hAnsi="Arial" w:cs="Arial"/>
          <w:color w:val="1A1A1A" w:themeColor="background1" w:themeShade="1A"/>
          <w:sz w:val="22"/>
          <w:lang w:val="es-ES"/>
        </w:rPr>
        <w:t>2.1.1.2.1.9</w:t>
      </w:r>
      <w:r w:rsidRPr="00EC1AC0">
        <w:rPr>
          <w:rFonts w:ascii="Arial" w:hAnsi="Arial" w:cs="Arial"/>
          <w:color w:val="1A1A1A" w:themeColor="background1" w:themeShade="1A"/>
          <w:sz w:val="22"/>
          <w:lang w:val="es-ES"/>
        </w:rPr>
        <w:t xml:space="preserve"> señala que las entidades deberán publicar los procedimientos, lineamientos y políticas en materia de adquisición, que no son otros que los previstos en el manual de contratación, que se expidió de acuerdo con los lineamientos de la Agencia Nacional de Contratación Pública, el cual debe publicarse en el sitio web del sujeto obligado</w:t>
      </w:r>
      <w:r w:rsidRPr="00EC1AC0">
        <w:rPr>
          <w:rFonts w:ascii="Arial" w:hAnsi="Arial" w:cs="Arial"/>
          <w:color w:val="1A1A1A" w:themeColor="background1" w:themeShade="1A"/>
          <w:sz w:val="22"/>
          <w:vertAlign w:val="superscript"/>
          <w:lang w:val="es-ES"/>
        </w:rPr>
        <w:footnoteReference w:id="11"/>
      </w:r>
      <w:r w:rsidRPr="00EC1AC0">
        <w:rPr>
          <w:rFonts w:ascii="Arial" w:hAnsi="Arial" w:cs="Arial"/>
          <w:color w:val="1A1A1A" w:themeColor="background1" w:themeShade="1A"/>
          <w:sz w:val="22"/>
          <w:lang w:val="es-ES"/>
        </w:rPr>
        <w:t xml:space="preserve">. Finalmente, el artículo </w:t>
      </w:r>
      <w:r w:rsidRPr="00D307CD">
        <w:rPr>
          <w:rFonts w:ascii="Arial" w:hAnsi="Arial" w:cs="Arial"/>
          <w:sz w:val="22"/>
        </w:rPr>
        <w:t xml:space="preserve">2.1.1.2.1.10. </w:t>
      </w:r>
      <w:r w:rsidRPr="00EC1AC0">
        <w:rPr>
          <w:rFonts w:ascii="Arial" w:hAnsi="Arial" w:cs="Arial"/>
          <w:color w:val="1A1A1A" w:themeColor="background1" w:themeShade="1A"/>
          <w:sz w:val="22"/>
          <w:lang w:val="es-ES"/>
        </w:rPr>
        <w:t xml:space="preserve"> </w:t>
      </w:r>
      <w:r w:rsidRPr="00EC1AC0">
        <w:rPr>
          <w:rFonts w:ascii="Arial" w:hAnsi="Arial" w:cs="Arial"/>
          <w:color w:val="1A1A1A" w:themeColor="background1" w:themeShade="1A"/>
          <w:sz w:val="22"/>
          <w:lang w:val="es-ES"/>
        </w:rPr>
        <w:lastRenderedPageBreak/>
        <w:t>establece la obligación que tienen las entidades de publicar en el SECOP el Plan Anual de Adquisiciones</w:t>
      </w:r>
      <w:r w:rsidRPr="00EC1AC0">
        <w:rPr>
          <w:rFonts w:ascii="Arial" w:hAnsi="Arial" w:cs="Arial"/>
          <w:color w:val="1A1A1A" w:themeColor="background1" w:themeShade="1A"/>
          <w:sz w:val="22"/>
          <w:vertAlign w:val="superscript"/>
          <w:lang w:val="es-ES"/>
        </w:rPr>
        <w:footnoteReference w:id="12"/>
      </w:r>
      <w:r w:rsidRPr="00EC1AC0">
        <w:rPr>
          <w:rFonts w:ascii="Arial" w:hAnsi="Arial" w:cs="Arial"/>
          <w:color w:val="1A1A1A" w:themeColor="background1" w:themeShade="1A"/>
          <w:sz w:val="22"/>
          <w:lang w:val="es-ES"/>
        </w:rPr>
        <w:t>.</w:t>
      </w:r>
    </w:p>
    <w:p w14:paraId="5C7B2FAF" w14:textId="074BB590" w:rsidR="0017290B" w:rsidRDefault="0017290B" w:rsidP="0017290B">
      <w:pPr>
        <w:spacing w:before="120" w:line="276" w:lineRule="auto"/>
        <w:ind w:firstLine="709"/>
        <w:jc w:val="both"/>
        <w:rPr>
          <w:rFonts w:ascii="Arial" w:hAnsi="Arial" w:cs="Arial"/>
          <w:color w:val="1A1A1A" w:themeColor="background1" w:themeShade="1A"/>
          <w:sz w:val="22"/>
          <w:lang w:val="es-ES"/>
        </w:rPr>
      </w:pPr>
      <w:r w:rsidRPr="00F909C4">
        <w:rPr>
          <w:rFonts w:ascii="Arial" w:hAnsi="Arial" w:cs="Arial"/>
          <w:color w:val="1A1A1A" w:themeColor="background1" w:themeShade="1A"/>
          <w:sz w:val="22"/>
          <w:lang w:val="es-ES"/>
        </w:rPr>
        <w:t xml:space="preserve">De conformidad con lo anterior, </w:t>
      </w:r>
      <w:bookmarkStart w:id="6" w:name="_Hlk65682198"/>
      <w:r w:rsidRPr="00F909C4">
        <w:rPr>
          <w:rFonts w:ascii="Arial" w:hAnsi="Arial" w:cs="Arial"/>
          <w:color w:val="1A1A1A" w:themeColor="background1" w:themeShade="1A"/>
          <w:sz w:val="22"/>
          <w:lang w:val="es-ES"/>
        </w:rPr>
        <w:t>el Decreto 10</w:t>
      </w:r>
      <w:r>
        <w:rPr>
          <w:rFonts w:ascii="Arial" w:hAnsi="Arial" w:cs="Arial"/>
          <w:color w:val="1A1A1A" w:themeColor="background1" w:themeShade="1A"/>
          <w:sz w:val="22"/>
          <w:lang w:val="es-ES"/>
        </w:rPr>
        <w:t>81</w:t>
      </w:r>
      <w:r w:rsidRPr="00F909C4">
        <w:rPr>
          <w:rFonts w:ascii="Arial" w:hAnsi="Arial" w:cs="Arial"/>
          <w:color w:val="1A1A1A" w:themeColor="background1" w:themeShade="1A"/>
          <w:sz w:val="22"/>
          <w:lang w:val="es-ES"/>
        </w:rPr>
        <w:t xml:space="preserve"> de 2015 señala que los documentos que deben publicar las entidades estatales</w:t>
      </w:r>
      <w:r w:rsidR="00061A7D">
        <w:rPr>
          <w:rFonts w:ascii="Arial" w:hAnsi="Arial" w:cs="Arial"/>
          <w:color w:val="1A1A1A" w:themeColor="background1" w:themeShade="1A"/>
          <w:sz w:val="22"/>
          <w:lang w:val="es-ES"/>
        </w:rPr>
        <w:t xml:space="preserve"> </w:t>
      </w:r>
      <w:r w:rsidRPr="00F909C4">
        <w:rPr>
          <w:rFonts w:ascii="Arial" w:hAnsi="Arial" w:cs="Arial"/>
          <w:color w:val="1A1A1A" w:themeColor="background1" w:themeShade="1A"/>
          <w:sz w:val="22"/>
          <w:lang w:val="es-ES"/>
        </w:rPr>
        <w:t xml:space="preserve">son: i) las autorizaciones, requerimientos, aprobaciones o informes del supervisor o del interventor, que prueben la ejecución del contrato, </w:t>
      </w:r>
      <w:proofErr w:type="spellStart"/>
      <w:r w:rsidRPr="00F909C4">
        <w:rPr>
          <w:rFonts w:ascii="Arial" w:hAnsi="Arial" w:cs="Arial"/>
          <w:color w:val="1A1A1A" w:themeColor="background1" w:themeShade="1A"/>
          <w:sz w:val="22"/>
          <w:lang w:val="es-ES"/>
        </w:rPr>
        <w:t>ii</w:t>
      </w:r>
      <w:proofErr w:type="spellEnd"/>
      <w:r w:rsidRPr="00F909C4">
        <w:rPr>
          <w:rFonts w:ascii="Arial" w:hAnsi="Arial" w:cs="Arial"/>
          <w:color w:val="1A1A1A" w:themeColor="background1" w:themeShade="1A"/>
          <w:sz w:val="22"/>
          <w:lang w:val="es-ES"/>
        </w:rPr>
        <w:t xml:space="preserve">) los procedimientos, lineamientos y políticas en materia de adquisición que corresponden a los documentos que los conforman, previstos en el manual de contratación de la entidad, y finalmente, </w:t>
      </w:r>
      <w:proofErr w:type="spellStart"/>
      <w:r w:rsidRPr="00F909C4">
        <w:rPr>
          <w:rFonts w:ascii="Arial" w:hAnsi="Arial" w:cs="Arial"/>
          <w:color w:val="1A1A1A" w:themeColor="background1" w:themeShade="1A"/>
          <w:sz w:val="22"/>
          <w:lang w:val="es-ES"/>
        </w:rPr>
        <w:t>iii</w:t>
      </w:r>
      <w:proofErr w:type="spellEnd"/>
      <w:r w:rsidRPr="00F909C4">
        <w:rPr>
          <w:rFonts w:ascii="Arial" w:hAnsi="Arial" w:cs="Arial"/>
          <w:color w:val="1A1A1A" w:themeColor="background1" w:themeShade="1A"/>
          <w:sz w:val="22"/>
          <w:lang w:val="es-ES"/>
        </w:rPr>
        <w:t>) el plan anual de adquisiciones.</w:t>
      </w:r>
    </w:p>
    <w:bookmarkEnd w:id="6"/>
    <w:p w14:paraId="085CDBAA" w14:textId="77777777" w:rsidR="00772B97" w:rsidRPr="00E85B58" w:rsidRDefault="00772B97" w:rsidP="00E61EEB">
      <w:pPr>
        <w:spacing w:line="276" w:lineRule="auto"/>
        <w:jc w:val="both"/>
        <w:rPr>
          <w:rFonts w:ascii="Arial" w:eastAsia="Calibri" w:hAnsi="Arial" w:cs="Arial"/>
          <w:color w:val="000000" w:themeColor="text1"/>
          <w:sz w:val="22"/>
        </w:rPr>
      </w:pPr>
    </w:p>
    <w:p w14:paraId="022438D4" w14:textId="16A97C8C" w:rsidR="00E61EEB" w:rsidRPr="00E85B58" w:rsidRDefault="00E61EEB" w:rsidP="00E61EEB">
      <w:pPr>
        <w:pStyle w:val="Prrafodelista"/>
        <w:tabs>
          <w:tab w:val="left" w:pos="0"/>
        </w:tabs>
        <w:spacing w:after="120" w:line="276" w:lineRule="auto"/>
        <w:ind w:left="0"/>
        <w:jc w:val="both"/>
        <w:rPr>
          <w:rFonts w:ascii="Arial" w:eastAsia="Calibri" w:hAnsi="Arial" w:cs="Arial"/>
          <w:b/>
          <w:color w:val="000000" w:themeColor="text1"/>
          <w:sz w:val="22"/>
          <w:lang w:val="es-ES"/>
        </w:rPr>
      </w:pPr>
      <w:r w:rsidRPr="00E85B58">
        <w:rPr>
          <w:rFonts w:ascii="Arial" w:eastAsia="Calibri" w:hAnsi="Arial" w:cs="Arial"/>
          <w:b/>
          <w:color w:val="000000" w:themeColor="text1"/>
          <w:sz w:val="22"/>
          <w:lang w:val="es-ES"/>
        </w:rPr>
        <w:t>2.2. Cómputo de</w:t>
      </w:r>
      <w:r w:rsidR="00A507D1">
        <w:rPr>
          <w:rFonts w:ascii="Arial" w:eastAsia="Calibri" w:hAnsi="Arial" w:cs="Arial"/>
          <w:b/>
          <w:color w:val="000000" w:themeColor="text1"/>
          <w:sz w:val="22"/>
          <w:lang w:val="es-ES"/>
        </w:rPr>
        <w:t xml:space="preserve">l </w:t>
      </w:r>
      <w:r w:rsidRPr="00E85B58">
        <w:rPr>
          <w:rFonts w:ascii="Arial" w:eastAsia="Calibri" w:hAnsi="Arial" w:cs="Arial"/>
          <w:b/>
          <w:color w:val="000000" w:themeColor="text1"/>
          <w:sz w:val="22"/>
          <w:lang w:val="es-ES"/>
        </w:rPr>
        <w:t xml:space="preserve">término de publicidad </w:t>
      </w:r>
      <w:r w:rsidRPr="00425414">
        <w:rPr>
          <w:rFonts w:ascii="Arial" w:eastAsia="Calibri" w:hAnsi="Arial" w:cs="Arial"/>
          <w:b/>
          <w:color w:val="000000" w:themeColor="text1"/>
          <w:sz w:val="22"/>
          <w:lang w:val="es-ES"/>
        </w:rPr>
        <w:t>de</w:t>
      </w:r>
      <w:r w:rsidR="00425414" w:rsidRPr="00425414">
        <w:rPr>
          <w:b/>
        </w:rPr>
        <w:t xml:space="preserve"> </w:t>
      </w:r>
      <w:r w:rsidR="00425414" w:rsidRPr="00425414">
        <w:rPr>
          <w:rFonts w:ascii="Arial" w:hAnsi="Arial" w:cs="Arial"/>
          <w:b/>
          <w:sz w:val="22"/>
          <w:szCs w:val="20"/>
        </w:rPr>
        <w:t xml:space="preserve">los </w:t>
      </w:r>
      <w:r w:rsidR="00425414" w:rsidRPr="00425414">
        <w:rPr>
          <w:rFonts w:ascii="Arial" w:eastAsia="Calibri" w:hAnsi="Arial" w:cs="Arial"/>
          <w:b/>
          <w:color w:val="000000" w:themeColor="text1"/>
          <w:sz w:val="22"/>
          <w:lang w:val="es-ES"/>
        </w:rPr>
        <w:t xml:space="preserve">Documentos del Proceso y los actos administrativos del Proceso de </w:t>
      </w:r>
      <w:r w:rsidR="0037129E">
        <w:rPr>
          <w:rFonts w:ascii="Arial" w:eastAsia="Calibri" w:hAnsi="Arial" w:cs="Arial"/>
          <w:b/>
          <w:color w:val="000000" w:themeColor="text1"/>
          <w:sz w:val="22"/>
          <w:lang w:val="es-ES"/>
        </w:rPr>
        <w:t>C</w:t>
      </w:r>
      <w:r w:rsidR="00425414" w:rsidRPr="00425414">
        <w:rPr>
          <w:rFonts w:ascii="Arial" w:eastAsia="Calibri" w:hAnsi="Arial" w:cs="Arial"/>
          <w:b/>
          <w:color w:val="000000" w:themeColor="text1"/>
          <w:sz w:val="22"/>
          <w:lang w:val="es-ES"/>
        </w:rPr>
        <w:t>ontratación</w:t>
      </w:r>
    </w:p>
    <w:p w14:paraId="42A4CAA6" w14:textId="77777777" w:rsidR="00E61EEB" w:rsidRPr="00E85B58" w:rsidRDefault="00E61EEB" w:rsidP="00E61EEB">
      <w:pPr>
        <w:pStyle w:val="Prrafodelista"/>
        <w:tabs>
          <w:tab w:val="left" w:pos="0"/>
        </w:tabs>
        <w:spacing w:line="276" w:lineRule="auto"/>
        <w:ind w:left="0"/>
        <w:contextualSpacing w:val="0"/>
        <w:jc w:val="both"/>
        <w:rPr>
          <w:rFonts w:ascii="Arial" w:eastAsia="Calibri" w:hAnsi="Arial" w:cs="Arial"/>
          <w:bCs/>
          <w:color w:val="000000" w:themeColor="text1"/>
          <w:sz w:val="22"/>
          <w:lang w:val="es-ES"/>
        </w:rPr>
      </w:pPr>
    </w:p>
    <w:p w14:paraId="0EA7B605" w14:textId="65CE06A7" w:rsidR="00E61EEB" w:rsidRPr="000E0391" w:rsidRDefault="00F90C2E" w:rsidP="000E0391">
      <w:pPr>
        <w:pStyle w:val="Prrafodelista"/>
        <w:tabs>
          <w:tab w:val="left" w:pos="0"/>
        </w:tabs>
        <w:spacing w:after="120" w:line="276" w:lineRule="auto"/>
        <w:ind w:left="0"/>
        <w:contextualSpacing w:val="0"/>
        <w:jc w:val="both"/>
        <w:rPr>
          <w:rFonts w:ascii="Arial" w:eastAsia="Calibri" w:hAnsi="Arial" w:cs="Arial"/>
          <w:bCs/>
          <w:color w:val="000000" w:themeColor="text1"/>
          <w:sz w:val="22"/>
          <w:lang w:val="es-ES"/>
        </w:rPr>
      </w:pPr>
      <w:bookmarkStart w:id="7" w:name="_Hlk67656101"/>
      <w:r w:rsidRPr="00142C6F">
        <w:rPr>
          <w:rFonts w:ascii="Arial" w:eastAsia="Calibri" w:hAnsi="Arial" w:cs="Arial"/>
          <w:color w:val="000000" w:themeColor="text1"/>
          <w:sz w:val="22"/>
        </w:rPr>
        <w:t>El artículo 2.2.1.1.1.7.1 del Decreto 1082 de 2015 establece que</w:t>
      </w:r>
      <w:r>
        <w:rPr>
          <w:rFonts w:ascii="Arial" w:eastAsia="Calibri" w:hAnsi="Arial" w:cs="Arial"/>
          <w:color w:val="000000" w:themeColor="text1"/>
          <w:sz w:val="22"/>
        </w:rPr>
        <w:t xml:space="preserve"> las entidades estatales, en desarrollo de su actividad contractual, se encuentran obligadas a publicar en el SECOP los Documentos del Proceso y los actos administrativos del Proceso de </w:t>
      </w:r>
      <w:r w:rsidR="0037129E">
        <w:rPr>
          <w:rFonts w:ascii="Arial" w:eastAsia="Calibri" w:hAnsi="Arial" w:cs="Arial"/>
          <w:color w:val="000000" w:themeColor="text1"/>
          <w:sz w:val="22"/>
        </w:rPr>
        <w:t>C</w:t>
      </w:r>
      <w:r>
        <w:rPr>
          <w:rFonts w:ascii="Arial" w:eastAsia="Calibri" w:hAnsi="Arial" w:cs="Arial"/>
          <w:color w:val="000000" w:themeColor="text1"/>
          <w:sz w:val="22"/>
        </w:rPr>
        <w:t>ontratación, dentro de los tres (3) días siguientes a su expedición.</w:t>
      </w:r>
      <w:r w:rsidR="00E61EEB" w:rsidRPr="00E85B58">
        <w:rPr>
          <w:rFonts w:ascii="Arial" w:eastAsia="Calibri" w:hAnsi="Arial" w:cs="Arial"/>
          <w:bCs/>
          <w:color w:val="000000" w:themeColor="text1"/>
          <w:sz w:val="22"/>
          <w:lang w:val="es-ES"/>
        </w:rPr>
        <w:t xml:space="preserve"> </w:t>
      </w:r>
    </w:p>
    <w:bookmarkEnd w:id="7"/>
    <w:p w14:paraId="1F2303C9" w14:textId="7F68520D" w:rsidR="00F55D05" w:rsidRDefault="00E61EEB" w:rsidP="00F55D05">
      <w:pPr>
        <w:tabs>
          <w:tab w:val="left" w:pos="0"/>
        </w:tabs>
        <w:spacing w:before="120" w:line="276" w:lineRule="auto"/>
        <w:jc w:val="both"/>
        <w:rPr>
          <w:rFonts w:ascii="Arial" w:eastAsia="Calibri" w:hAnsi="Arial" w:cs="Arial"/>
          <w:bCs/>
          <w:color w:val="000000" w:themeColor="text1"/>
          <w:sz w:val="22"/>
          <w:lang w:val="es-ES"/>
        </w:rPr>
      </w:pPr>
      <w:r w:rsidRPr="00E85B58">
        <w:rPr>
          <w:rFonts w:ascii="Arial" w:eastAsia="Calibri" w:hAnsi="Arial" w:cs="Arial"/>
          <w:bCs/>
          <w:color w:val="000000" w:themeColor="text1"/>
          <w:sz w:val="22"/>
          <w:lang w:val="es-ES"/>
        </w:rPr>
        <w:tab/>
        <w:t xml:space="preserve">Conviene </w:t>
      </w:r>
      <w:r w:rsidR="00317879">
        <w:rPr>
          <w:rFonts w:ascii="Arial" w:eastAsia="Calibri" w:hAnsi="Arial" w:cs="Arial"/>
          <w:bCs/>
          <w:color w:val="000000" w:themeColor="text1"/>
          <w:sz w:val="22"/>
          <w:lang w:val="es-ES"/>
        </w:rPr>
        <w:t xml:space="preserve">precisar </w:t>
      </w:r>
      <w:r w:rsidRPr="00E85B58">
        <w:rPr>
          <w:rFonts w:ascii="Arial" w:eastAsia="Calibri" w:hAnsi="Arial" w:cs="Arial"/>
          <w:bCs/>
          <w:color w:val="000000" w:themeColor="text1"/>
          <w:sz w:val="22"/>
          <w:lang w:val="es-ES"/>
        </w:rPr>
        <w:t>que</w:t>
      </w:r>
      <w:r w:rsidR="00ED7F38">
        <w:rPr>
          <w:rFonts w:ascii="Arial" w:eastAsia="Calibri" w:hAnsi="Arial" w:cs="Arial"/>
          <w:bCs/>
          <w:color w:val="000000" w:themeColor="text1"/>
          <w:sz w:val="22"/>
          <w:lang w:val="es-ES"/>
        </w:rPr>
        <w:t xml:space="preserve"> el término </w:t>
      </w:r>
      <w:r w:rsidR="007B4CCC">
        <w:rPr>
          <w:rFonts w:ascii="Arial" w:eastAsia="Calibri" w:hAnsi="Arial" w:cs="Arial"/>
          <w:bCs/>
          <w:color w:val="000000" w:themeColor="text1"/>
          <w:sz w:val="22"/>
          <w:lang w:val="es-ES"/>
        </w:rPr>
        <w:t xml:space="preserve">de días al que </w:t>
      </w:r>
      <w:r w:rsidRPr="00E85B58">
        <w:rPr>
          <w:rFonts w:ascii="Arial" w:eastAsia="Calibri" w:hAnsi="Arial" w:cs="Arial"/>
          <w:bCs/>
          <w:color w:val="000000" w:themeColor="text1"/>
          <w:sz w:val="22"/>
          <w:lang w:val="es-ES"/>
        </w:rPr>
        <w:t xml:space="preserve">se refiere la ley es un tiempo </w:t>
      </w:r>
      <w:r w:rsidR="007B4CCC">
        <w:rPr>
          <w:rFonts w:ascii="Arial" w:eastAsia="Calibri" w:hAnsi="Arial" w:cs="Arial"/>
          <w:bCs/>
          <w:color w:val="000000" w:themeColor="text1"/>
          <w:sz w:val="22"/>
          <w:lang w:val="es-ES"/>
        </w:rPr>
        <w:t>máximo</w:t>
      </w:r>
      <w:r w:rsidRPr="00E85B58">
        <w:rPr>
          <w:rFonts w:ascii="Arial" w:eastAsia="Calibri" w:hAnsi="Arial" w:cs="Arial"/>
          <w:bCs/>
          <w:color w:val="000000" w:themeColor="text1"/>
          <w:sz w:val="22"/>
          <w:lang w:val="es-ES"/>
        </w:rPr>
        <w:t>,</w:t>
      </w:r>
      <w:r w:rsidR="00E90843">
        <w:rPr>
          <w:rFonts w:ascii="Arial" w:eastAsia="Calibri" w:hAnsi="Arial" w:cs="Arial"/>
          <w:bCs/>
          <w:color w:val="000000" w:themeColor="text1"/>
          <w:sz w:val="22"/>
          <w:lang w:val="es-ES"/>
        </w:rPr>
        <w:t xml:space="preserve"> de </w:t>
      </w:r>
      <w:r w:rsidR="00B94D8D">
        <w:rPr>
          <w:rFonts w:ascii="Arial" w:eastAsia="Calibri" w:hAnsi="Arial" w:cs="Arial"/>
          <w:bCs/>
          <w:color w:val="000000" w:themeColor="text1"/>
          <w:sz w:val="22"/>
          <w:lang w:val="es-ES"/>
        </w:rPr>
        <w:t xml:space="preserve">manera </w:t>
      </w:r>
      <w:r w:rsidR="00E90843">
        <w:rPr>
          <w:rFonts w:ascii="Arial" w:eastAsia="Calibri" w:hAnsi="Arial" w:cs="Arial"/>
          <w:bCs/>
          <w:color w:val="000000" w:themeColor="text1"/>
          <w:sz w:val="22"/>
          <w:lang w:val="es-ES"/>
        </w:rPr>
        <w:t xml:space="preserve">que </w:t>
      </w:r>
      <w:r w:rsidRPr="00E85B58">
        <w:rPr>
          <w:rFonts w:ascii="Arial" w:eastAsia="Calibri" w:hAnsi="Arial" w:cs="Arial"/>
          <w:bCs/>
          <w:color w:val="000000" w:themeColor="text1"/>
          <w:sz w:val="22"/>
          <w:lang w:val="es-ES"/>
        </w:rPr>
        <w:t xml:space="preserve">las entidades </w:t>
      </w:r>
      <w:r w:rsidR="00E90843">
        <w:rPr>
          <w:rFonts w:ascii="Arial" w:eastAsia="Calibri" w:hAnsi="Arial" w:cs="Arial"/>
          <w:bCs/>
          <w:color w:val="000000" w:themeColor="text1"/>
          <w:sz w:val="22"/>
          <w:lang w:val="es-ES"/>
        </w:rPr>
        <w:t>públicas</w:t>
      </w:r>
      <w:r w:rsidR="005F7D89">
        <w:rPr>
          <w:rFonts w:ascii="Arial" w:eastAsia="Calibri" w:hAnsi="Arial" w:cs="Arial"/>
          <w:bCs/>
          <w:color w:val="000000" w:themeColor="text1"/>
          <w:sz w:val="22"/>
          <w:lang w:val="es-ES"/>
        </w:rPr>
        <w:t>, si así lo consideran,</w:t>
      </w:r>
      <w:r w:rsidR="00E90843">
        <w:rPr>
          <w:rFonts w:ascii="Arial" w:eastAsia="Calibri" w:hAnsi="Arial" w:cs="Arial"/>
          <w:bCs/>
          <w:color w:val="000000" w:themeColor="text1"/>
          <w:sz w:val="22"/>
          <w:lang w:val="es-ES"/>
        </w:rPr>
        <w:t xml:space="preserve"> podrán publicar en el SECOP </w:t>
      </w:r>
      <w:r w:rsidR="009E517E">
        <w:rPr>
          <w:rFonts w:ascii="Arial" w:eastAsia="Calibri" w:hAnsi="Arial" w:cs="Arial"/>
          <w:bCs/>
          <w:color w:val="000000" w:themeColor="text1"/>
          <w:sz w:val="22"/>
          <w:lang w:val="es-ES"/>
        </w:rPr>
        <w:t>los documentos a que hace referencia el precitado artículo en un tiempo menor,</w:t>
      </w:r>
      <w:r w:rsidR="005848E0">
        <w:rPr>
          <w:rFonts w:ascii="Arial" w:eastAsia="Calibri" w:hAnsi="Arial" w:cs="Arial"/>
          <w:bCs/>
          <w:color w:val="000000" w:themeColor="text1"/>
          <w:sz w:val="22"/>
          <w:lang w:val="es-ES"/>
        </w:rPr>
        <w:t xml:space="preserve"> pero</w:t>
      </w:r>
      <w:r w:rsidR="00403D06">
        <w:rPr>
          <w:rFonts w:ascii="Arial" w:eastAsia="Calibri" w:hAnsi="Arial" w:cs="Arial"/>
          <w:bCs/>
          <w:color w:val="000000" w:themeColor="text1"/>
          <w:sz w:val="22"/>
          <w:lang w:val="es-ES"/>
        </w:rPr>
        <w:t xml:space="preserve"> en ningún caso</w:t>
      </w:r>
      <w:r w:rsidR="005848E0">
        <w:rPr>
          <w:rFonts w:ascii="Arial" w:eastAsia="Calibri" w:hAnsi="Arial" w:cs="Arial"/>
          <w:bCs/>
          <w:color w:val="000000" w:themeColor="text1"/>
          <w:sz w:val="22"/>
          <w:lang w:val="es-ES"/>
        </w:rPr>
        <w:t xml:space="preserve"> </w:t>
      </w:r>
      <w:r w:rsidR="0061267C">
        <w:rPr>
          <w:rFonts w:ascii="Arial" w:eastAsia="Calibri" w:hAnsi="Arial" w:cs="Arial"/>
          <w:bCs/>
          <w:color w:val="000000" w:themeColor="text1"/>
          <w:sz w:val="22"/>
          <w:lang w:val="es-ES"/>
        </w:rPr>
        <w:t xml:space="preserve">podrán </w:t>
      </w:r>
      <w:r w:rsidR="001566A5">
        <w:rPr>
          <w:rFonts w:ascii="Arial" w:eastAsia="Calibri" w:hAnsi="Arial" w:cs="Arial"/>
          <w:bCs/>
          <w:color w:val="000000" w:themeColor="text1"/>
          <w:sz w:val="22"/>
          <w:lang w:val="es-ES"/>
        </w:rPr>
        <w:t xml:space="preserve">exceder </w:t>
      </w:r>
      <w:r w:rsidR="00F54B08">
        <w:rPr>
          <w:rFonts w:ascii="Arial" w:eastAsia="Calibri" w:hAnsi="Arial" w:cs="Arial"/>
          <w:bCs/>
          <w:color w:val="000000" w:themeColor="text1"/>
          <w:sz w:val="22"/>
          <w:lang w:val="es-ES"/>
        </w:rPr>
        <w:t>dicho plazo</w:t>
      </w:r>
      <w:r w:rsidR="00403D06">
        <w:rPr>
          <w:rFonts w:ascii="Arial" w:eastAsia="Calibri" w:hAnsi="Arial" w:cs="Arial"/>
          <w:bCs/>
          <w:color w:val="000000" w:themeColor="text1"/>
          <w:sz w:val="22"/>
          <w:lang w:val="es-ES"/>
        </w:rPr>
        <w:t>, salvo en las ex</w:t>
      </w:r>
      <w:r w:rsidR="009B357E">
        <w:rPr>
          <w:rFonts w:ascii="Arial" w:eastAsia="Calibri" w:hAnsi="Arial" w:cs="Arial"/>
          <w:bCs/>
          <w:color w:val="000000" w:themeColor="text1"/>
          <w:sz w:val="22"/>
          <w:lang w:val="es-ES"/>
        </w:rPr>
        <w:t>cepciones previstas por la ley.</w:t>
      </w:r>
      <w:r w:rsidR="000D0E6F">
        <w:rPr>
          <w:rFonts w:ascii="Arial" w:eastAsia="Calibri" w:hAnsi="Arial" w:cs="Arial"/>
          <w:bCs/>
          <w:color w:val="000000" w:themeColor="text1"/>
          <w:sz w:val="22"/>
          <w:lang w:val="es-ES"/>
        </w:rPr>
        <w:t xml:space="preserve"> No obstante,</w:t>
      </w:r>
      <w:r w:rsidR="00BF34F4">
        <w:rPr>
          <w:rFonts w:ascii="Arial" w:eastAsia="Calibri" w:hAnsi="Arial" w:cs="Arial"/>
          <w:bCs/>
          <w:color w:val="000000" w:themeColor="text1"/>
          <w:sz w:val="22"/>
          <w:lang w:val="es-ES"/>
        </w:rPr>
        <w:t xml:space="preserve"> el Decreto no especifica si se trata de días hábiles</w:t>
      </w:r>
      <w:r w:rsidR="00CC3DF0">
        <w:rPr>
          <w:rFonts w:ascii="Arial" w:eastAsia="Calibri" w:hAnsi="Arial" w:cs="Arial"/>
          <w:bCs/>
          <w:color w:val="000000" w:themeColor="text1"/>
          <w:sz w:val="22"/>
          <w:lang w:val="es-ES"/>
        </w:rPr>
        <w:t xml:space="preserve"> o </w:t>
      </w:r>
      <w:r w:rsidR="00FC39A8">
        <w:rPr>
          <w:rFonts w:ascii="Arial" w:eastAsia="Calibri" w:hAnsi="Arial" w:cs="Arial"/>
          <w:bCs/>
          <w:color w:val="000000" w:themeColor="text1"/>
          <w:sz w:val="22"/>
          <w:lang w:val="es-ES"/>
        </w:rPr>
        <w:t xml:space="preserve">días </w:t>
      </w:r>
      <w:r w:rsidR="00060628">
        <w:rPr>
          <w:rFonts w:ascii="Arial" w:eastAsia="Calibri" w:hAnsi="Arial" w:cs="Arial"/>
          <w:bCs/>
          <w:color w:val="000000" w:themeColor="text1"/>
          <w:sz w:val="22"/>
          <w:lang w:val="es-ES"/>
        </w:rPr>
        <w:t>calendario</w:t>
      </w:r>
      <w:r w:rsidR="00FB72E2">
        <w:rPr>
          <w:rFonts w:ascii="Arial" w:eastAsia="Calibri" w:hAnsi="Arial" w:cs="Arial"/>
          <w:bCs/>
          <w:color w:val="000000" w:themeColor="text1"/>
          <w:sz w:val="22"/>
          <w:lang w:val="es-ES"/>
        </w:rPr>
        <w:t xml:space="preserve">. </w:t>
      </w:r>
      <w:r w:rsidR="00F55D05" w:rsidRPr="00F55D05">
        <w:rPr>
          <w:rFonts w:ascii="Arial" w:eastAsia="Calibri" w:hAnsi="Arial" w:cs="Arial"/>
          <w:bCs/>
          <w:color w:val="000000" w:themeColor="text1"/>
          <w:sz w:val="22"/>
          <w:lang w:val="es-ES"/>
        </w:rPr>
        <w:t xml:space="preserve"> </w:t>
      </w:r>
    </w:p>
    <w:p w14:paraId="7685FBEC" w14:textId="1D54FEDA" w:rsidR="00F55D05" w:rsidRPr="00E85B58" w:rsidRDefault="00F55D05" w:rsidP="00F55D05">
      <w:pPr>
        <w:tabs>
          <w:tab w:val="left" w:pos="0"/>
        </w:tabs>
        <w:spacing w:before="120" w:line="276" w:lineRule="auto"/>
        <w:jc w:val="both"/>
        <w:rPr>
          <w:rFonts w:ascii="Arial" w:eastAsia="Calibri" w:hAnsi="Arial" w:cs="Arial"/>
          <w:bCs/>
          <w:color w:val="000000" w:themeColor="text1"/>
          <w:sz w:val="22"/>
          <w:lang w:val="es-ES"/>
        </w:rPr>
      </w:pPr>
      <w:r>
        <w:rPr>
          <w:rFonts w:ascii="Arial" w:eastAsia="Calibri" w:hAnsi="Arial" w:cs="Arial"/>
          <w:bCs/>
          <w:color w:val="000000" w:themeColor="text1"/>
          <w:sz w:val="22"/>
          <w:lang w:val="es-ES"/>
        </w:rPr>
        <w:tab/>
      </w:r>
      <w:r w:rsidRPr="00E85B58">
        <w:rPr>
          <w:rFonts w:ascii="Arial" w:eastAsia="Calibri" w:hAnsi="Arial" w:cs="Arial"/>
          <w:bCs/>
          <w:color w:val="000000" w:themeColor="text1"/>
          <w:sz w:val="22"/>
          <w:lang w:val="es-ES"/>
        </w:rPr>
        <w:t>A pesar de no existir una definición legal, existen normas supletivas que tienen como función servir de pautas para el cómputo de términos previstos en la ley, cuando no ha sido regulado de forma específica por las disposiciones que consagran dichos plazos. Los artículos 59 y 62 de la Ley 4 de 1913 determinan:</w:t>
      </w:r>
    </w:p>
    <w:p w14:paraId="0D1E7D0E" w14:textId="77777777" w:rsidR="00F55D05" w:rsidRPr="00E85B58" w:rsidRDefault="00F55D05" w:rsidP="00F55D05">
      <w:pPr>
        <w:tabs>
          <w:tab w:val="left" w:pos="0"/>
        </w:tabs>
        <w:spacing w:line="276" w:lineRule="auto"/>
        <w:jc w:val="both"/>
        <w:rPr>
          <w:rFonts w:ascii="Arial" w:eastAsia="Calibri" w:hAnsi="Arial" w:cs="Arial"/>
          <w:bCs/>
          <w:color w:val="000000" w:themeColor="text1"/>
          <w:sz w:val="22"/>
          <w:lang w:val="es-ES"/>
        </w:rPr>
      </w:pPr>
    </w:p>
    <w:p w14:paraId="65B04059" w14:textId="62841D4F" w:rsidR="00F55D05" w:rsidRDefault="00F55D05" w:rsidP="00F55D05">
      <w:pPr>
        <w:tabs>
          <w:tab w:val="left" w:pos="0"/>
        </w:tabs>
        <w:ind w:left="709" w:right="709"/>
        <w:jc w:val="both"/>
        <w:rPr>
          <w:rFonts w:ascii="Arial" w:hAnsi="Arial" w:cs="Arial"/>
          <w:color w:val="000000" w:themeColor="text1"/>
          <w:sz w:val="21"/>
          <w:szCs w:val="21"/>
        </w:rPr>
      </w:pPr>
      <w:r w:rsidRPr="00E85B58">
        <w:rPr>
          <w:rStyle w:val="Textoennegrita"/>
          <w:rFonts w:ascii="Arial" w:hAnsi="Arial" w:cs="Arial"/>
          <w:color w:val="000000" w:themeColor="text1"/>
          <w:sz w:val="21"/>
          <w:szCs w:val="21"/>
        </w:rPr>
        <w:t>Artículo 59.</w:t>
      </w:r>
      <w:r w:rsidRPr="00E85B58">
        <w:rPr>
          <w:rFonts w:ascii="Arial" w:hAnsi="Arial" w:cs="Arial"/>
          <w:color w:val="000000" w:themeColor="text1"/>
          <w:sz w:val="21"/>
          <w:szCs w:val="21"/>
        </w:rPr>
        <w:t xml:space="preserve"> Todos los plazos de días, meses o años, del que se haga mención legal, se entenderán que terminan a la medianoche del último día del plazo. Por año y por mes se entienden los del calendario común, y por día el espacio de </w:t>
      </w:r>
      <w:r w:rsidRPr="00E85B58">
        <w:rPr>
          <w:rFonts w:ascii="Arial" w:hAnsi="Arial" w:cs="Arial"/>
          <w:color w:val="000000" w:themeColor="text1"/>
          <w:sz w:val="21"/>
          <w:szCs w:val="21"/>
        </w:rPr>
        <w:lastRenderedPageBreak/>
        <w:t>veinticuatro horas; pero en la ejecución de las penas se estará a lo que disponga la ley penal. </w:t>
      </w:r>
    </w:p>
    <w:p w14:paraId="01653AE4" w14:textId="77777777" w:rsidR="00B94D8D" w:rsidRPr="00E85B58" w:rsidRDefault="00B94D8D" w:rsidP="00F55D05">
      <w:pPr>
        <w:tabs>
          <w:tab w:val="left" w:pos="0"/>
        </w:tabs>
        <w:ind w:left="709" w:right="709"/>
        <w:jc w:val="both"/>
        <w:rPr>
          <w:rFonts w:ascii="Arial" w:hAnsi="Arial" w:cs="Arial"/>
          <w:color w:val="000000" w:themeColor="text1"/>
          <w:sz w:val="21"/>
          <w:szCs w:val="21"/>
        </w:rPr>
      </w:pPr>
    </w:p>
    <w:p w14:paraId="35A1945D" w14:textId="77777777" w:rsidR="00F55D05" w:rsidRPr="00E85B58" w:rsidRDefault="00F55D05" w:rsidP="00F55D05">
      <w:pPr>
        <w:tabs>
          <w:tab w:val="left" w:pos="0"/>
        </w:tabs>
        <w:ind w:left="709" w:right="709"/>
        <w:jc w:val="both"/>
        <w:rPr>
          <w:rFonts w:ascii="Arial" w:hAnsi="Arial" w:cs="Arial"/>
          <w:color w:val="000000" w:themeColor="text1"/>
          <w:sz w:val="21"/>
          <w:szCs w:val="21"/>
        </w:rPr>
      </w:pPr>
      <w:r w:rsidRPr="00E85B58">
        <w:rPr>
          <w:rFonts w:ascii="Arial" w:hAnsi="Arial" w:cs="Arial"/>
          <w:color w:val="000000" w:themeColor="text1"/>
          <w:sz w:val="21"/>
          <w:szCs w:val="21"/>
        </w:rPr>
        <w:t>[…]</w:t>
      </w:r>
    </w:p>
    <w:p w14:paraId="12C57B32" w14:textId="77777777" w:rsidR="00F55D05" w:rsidRPr="00F12388" w:rsidRDefault="00F55D05" w:rsidP="00F55D05">
      <w:pPr>
        <w:tabs>
          <w:tab w:val="left" w:pos="0"/>
        </w:tabs>
        <w:ind w:left="709" w:right="709"/>
        <w:jc w:val="both"/>
        <w:rPr>
          <w:rFonts w:ascii="Arial" w:hAnsi="Arial" w:cs="Arial"/>
          <w:b/>
          <w:bCs/>
          <w:color w:val="000000" w:themeColor="text1"/>
          <w:sz w:val="21"/>
          <w:szCs w:val="21"/>
        </w:rPr>
      </w:pPr>
      <w:r w:rsidRPr="00E85B58">
        <w:rPr>
          <w:rStyle w:val="Textoennegrita"/>
          <w:rFonts w:ascii="Arial" w:hAnsi="Arial" w:cs="Arial"/>
          <w:color w:val="000000" w:themeColor="text1"/>
          <w:sz w:val="21"/>
          <w:szCs w:val="21"/>
        </w:rPr>
        <w:t>Artículo 62.</w:t>
      </w:r>
      <w:r w:rsidRPr="00E85B58">
        <w:rPr>
          <w:rFonts w:ascii="Arial" w:hAnsi="Arial" w:cs="Arial"/>
          <w:color w:val="000000" w:themeColor="text1"/>
          <w:sz w:val="21"/>
          <w:szCs w:val="21"/>
        </w:rPr>
        <w:t> En los plazos de días que se señalen en las leyes y actos oficiales, se entienden suprimidos los feriados y de vacantes, a menos de expresarse lo contrario. Los de meses y años se computan según el calendario; pero si el último día fuere feriado o de vacante, se extenderá el plazo hasta el primer día hábil. </w:t>
      </w:r>
    </w:p>
    <w:p w14:paraId="3D13E49D" w14:textId="77777777" w:rsidR="00F55D05" w:rsidRPr="00E85B58" w:rsidRDefault="00F55D05" w:rsidP="00F55D05">
      <w:pPr>
        <w:tabs>
          <w:tab w:val="left" w:pos="0"/>
        </w:tabs>
        <w:spacing w:line="276" w:lineRule="auto"/>
        <w:jc w:val="both"/>
        <w:rPr>
          <w:rFonts w:ascii="Arial" w:eastAsia="Calibri" w:hAnsi="Arial" w:cs="Arial"/>
          <w:bCs/>
          <w:color w:val="000000" w:themeColor="text1"/>
          <w:sz w:val="22"/>
          <w:lang w:val="es-ES"/>
        </w:rPr>
      </w:pPr>
    </w:p>
    <w:p w14:paraId="0D9033EB" w14:textId="49915D1E" w:rsidR="00984C06" w:rsidRDefault="00F55D05" w:rsidP="00125249">
      <w:pPr>
        <w:tabs>
          <w:tab w:val="left" w:pos="0"/>
        </w:tabs>
        <w:spacing w:after="120" w:line="276" w:lineRule="auto"/>
        <w:jc w:val="both"/>
        <w:rPr>
          <w:rFonts w:ascii="Arial" w:eastAsia="Calibri" w:hAnsi="Arial" w:cs="Arial"/>
          <w:bCs/>
          <w:color w:val="000000" w:themeColor="text1"/>
          <w:sz w:val="22"/>
          <w:lang w:val="es-ES"/>
        </w:rPr>
      </w:pPr>
      <w:r w:rsidRPr="00E85B58">
        <w:rPr>
          <w:rFonts w:ascii="Arial" w:eastAsia="Calibri" w:hAnsi="Arial" w:cs="Arial"/>
          <w:bCs/>
          <w:color w:val="000000" w:themeColor="text1"/>
          <w:sz w:val="22"/>
          <w:lang w:val="es-ES"/>
        </w:rPr>
        <w:tab/>
      </w:r>
      <w:bookmarkStart w:id="8" w:name="_Hlk67656302"/>
      <w:r w:rsidR="00DA03D4">
        <w:rPr>
          <w:rFonts w:ascii="Arial" w:eastAsia="Calibri" w:hAnsi="Arial" w:cs="Arial"/>
          <w:bCs/>
          <w:color w:val="000000" w:themeColor="text1"/>
          <w:sz w:val="22"/>
          <w:lang w:val="es-ES"/>
        </w:rPr>
        <w:t>Como se advierte, e</w:t>
      </w:r>
      <w:r w:rsidRPr="00E85B58">
        <w:rPr>
          <w:rFonts w:ascii="Arial" w:eastAsia="Calibri" w:hAnsi="Arial" w:cs="Arial"/>
          <w:bCs/>
          <w:color w:val="000000" w:themeColor="text1"/>
          <w:sz w:val="22"/>
          <w:lang w:val="es-ES"/>
        </w:rPr>
        <w:t xml:space="preserve">l artículo 59 establece que los plazos </w:t>
      </w:r>
      <w:r w:rsidR="00606E05">
        <w:rPr>
          <w:rFonts w:ascii="Arial" w:eastAsia="Calibri" w:hAnsi="Arial" w:cs="Arial"/>
          <w:bCs/>
          <w:color w:val="000000" w:themeColor="text1"/>
          <w:sz w:val="22"/>
          <w:lang w:val="es-ES"/>
        </w:rPr>
        <w:t>de días que se estable</w:t>
      </w:r>
      <w:r w:rsidR="00125249">
        <w:rPr>
          <w:rFonts w:ascii="Arial" w:eastAsia="Calibri" w:hAnsi="Arial" w:cs="Arial"/>
          <w:bCs/>
          <w:color w:val="000000" w:themeColor="text1"/>
          <w:sz w:val="22"/>
          <w:lang w:val="es-ES"/>
        </w:rPr>
        <w:t>zcan</w:t>
      </w:r>
      <w:r w:rsidRPr="00E85B58">
        <w:rPr>
          <w:rFonts w:ascii="Arial" w:eastAsia="Calibri" w:hAnsi="Arial" w:cs="Arial"/>
          <w:bCs/>
          <w:color w:val="000000" w:themeColor="text1"/>
          <w:sz w:val="22"/>
          <w:lang w:val="es-ES"/>
        </w:rPr>
        <w:t xml:space="preserve"> en la ley terminan a la medianoche, y que por </w:t>
      </w:r>
      <w:r w:rsidRPr="00E85B58">
        <w:rPr>
          <w:rFonts w:ascii="Arial" w:eastAsia="Calibri" w:hAnsi="Arial" w:cs="Arial"/>
          <w:bCs/>
          <w:i/>
          <w:iCs/>
          <w:color w:val="000000" w:themeColor="text1"/>
          <w:sz w:val="22"/>
          <w:lang w:val="es-ES"/>
        </w:rPr>
        <w:t xml:space="preserve">día </w:t>
      </w:r>
      <w:r w:rsidRPr="00E85B58">
        <w:rPr>
          <w:rFonts w:ascii="Arial" w:eastAsia="Calibri" w:hAnsi="Arial" w:cs="Arial"/>
          <w:bCs/>
          <w:color w:val="000000" w:themeColor="text1"/>
          <w:sz w:val="22"/>
          <w:lang w:val="es-ES"/>
        </w:rPr>
        <w:t xml:space="preserve">se entiende el espacio de veinticuatro horas; mientras que el artículo 62 establece que de los plazos de días señalados en la ley se entienden suprimidos los feriados, y que cuando se aluda a meses se computarán conforme al calendario, extendiéndose hasta el día hábil siguiente si el mes termina en un día feriado o vacante. </w:t>
      </w:r>
      <w:r w:rsidR="00984C06">
        <w:rPr>
          <w:rFonts w:ascii="Arial" w:eastAsia="Calibri" w:hAnsi="Arial" w:cs="Arial"/>
          <w:bCs/>
          <w:color w:val="000000" w:themeColor="text1"/>
          <w:sz w:val="22"/>
          <w:lang w:val="es-ES"/>
        </w:rPr>
        <w:t xml:space="preserve">Como se advierte, </w:t>
      </w:r>
      <w:r w:rsidR="007B4F95">
        <w:rPr>
          <w:rFonts w:ascii="Arial" w:eastAsia="Calibri" w:hAnsi="Arial" w:cs="Arial"/>
          <w:bCs/>
          <w:color w:val="000000" w:themeColor="text1"/>
          <w:sz w:val="22"/>
          <w:lang w:val="es-ES"/>
        </w:rPr>
        <w:t xml:space="preserve">plazos de días como el establecido en el artículo </w:t>
      </w:r>
      <w:r w:rsidR="007B4F95" w:rsidRPr="00142C6F">
        <w:rPr>
          <w:rFonts w:ascii="Arial" w:eastAsia="Calibri" w:hAnsi="Arial" w:cs="Arial"/>
          <w:color w:val="000000" w:themeColor="text1"/>
          <w:sz w:val="22"/>
        </w:rPr>
        <w:t>2.2.1.1.1.7.1</w:t>
      </w:r>
      <w:r w:rsidR="007B4F95">
        <w:rPr>
          <w:rFonts w:ascii="Arial" w:eastAsia="Calibri" w:hAnsi="Arial" w:cs="Arial"/>
          <w:color w:val="000000" w:themeColor="text1"/>
          <w:sz w:val="22"/>
        </w:rPr>
        <w:t xml:space="preserve"> del Decreto 1082 de 2015, </w:t>
      </w:r>
      <w:r w:rsidR="00EF3BD1">
        <w:rPr>
          <w:rFonts w:ascii="Arial" w:eastAsia="Calibri" w:hAnsi="Arial" w:cs="Arial"/>
          <w:color w:val="000000" w:themeColor="text1"/>
          <w:sz w:val="22"/>
        </w:rPr>
        <w:t>no involucran días vacantes o feriados.</w:t>
      </w:r>
      <w:r w:rsidR="007B4F95">
        <w:rPr>
          <w:rFonts w:ascii="Arial" w:eastAsia="Calibri" w:hAnsi="Arial" w:cs="Arial"/>
          <w:bCs/>
          <w:color w:val="000000" w:themeColor="text1"/>
          <w:sz w:val="22"/>
          <w:lang w:val="es-ES"/>
        </w:rPr>
        <w:t xml:space="preserve"> </w:t>
      </w:r>
      <w:bookmarkEnd w:id="8"/>
    </w:p>
    <w:p w14:paraId="3F361E65" w14:textId="3D7BAE12" w:rsidR="00F55D05" w:rsidRPr="00E85B58" w:rsidRDefault="007C7F85" w:rsidP="00A440A7">
      <w:pPr>
        <w:tabs>
          <w:tab w:val="left" w:pos="0"/>
        </w:tabs>
        <w:spacing w:before="120" w:after="120" w:line="276" w:lineRule="auto"/>
        <w:jc w:val="both"/>
        <w:rPr>
          <w:rFonts w:ascii="Arial" w:eastAsia="Calibri" w:hAnsi="Arial" w:cs="Arial"/>
          <w:bCs/>
          <w:color w:val="000000" w:themeColor="text1"/>
          <w:sz w:val="22"/>
          <w:lang w:val="es-ES"/>
        </w:rPr>
      </w:pPr>
      <w:r>
        <w:rPr>
          <w:rFonts w:ascii="Arial" w:eastAsia="Calibri" w:hAnsi="Arial" w:cs="Arial"/>
          <w:bCs/>
          <w:color w:val="000000" w:themeColor="text1"/>
          <w:sz w:val="22"/>
          <w:lang w:val="es-ES"/>
        </w:rPr>
        <w:tab/>
      </w:r>
      <w:r w:rsidRPr="00E85B58">
        <w:rPr>
          <w:rFonts w:ascii="Arial" w:eastAsia="Calibri" w:hAnsi="Arial" w:cs="Arial"/>
          <w:bCs/>
          <w:color w:val="000000" w:themeColor="text1"/>
          <w:sz w:val="22"/>
          <w:lang w:val="es-ES"/>
        </w:rPr>
        <w:t>La ausencia de definición legal de día hábil autoriza</w:t>
      </w:r>
      <w:r>
        <w:rPr>
          <w:rFonts w:ascii="Arial" w:eastAsia="Calibri" w:hAnsi="Arial" w:cs="Arial"/>
          <w:bCs/>
          <w:color w:val="000000" w:themeColor="text1"/>
          <w:sz w:val="22"/>
          <w:lang w:val="es-ES"/>
        </w:rPr>
        <w:t xml:space="preserve"> a</w:t>
      </w:r>
      <w:r w:rsidRPr="00E85B58">
        <w:rPr>
          <w:rFonts w:ascii="Arial" w:eastAsia="Calibri" w:hAnsi="Arial" w:cs="Arial"/>
          <w:bCs/>
          <w:color w:val="000000" w:themeColor="text1"/>
          <w:sz w:val="22"/>
          <w:lang w:val="es-ES"/>
        </w:rPr>
        <w:t xml:space="preserve"> acudir al sentido natural y obvio de la palabra </w:t>
      </w:r>
      <w:r w:rsidRPr="00A440A7">
        <w:rPr>
          <w:rFonts w:ascii="Arial" w:eastAsia="Calibri" w:hAnsi="Arial" w:cs="Arial"/>
          <w:bCs/>
          <w:i/>
          <w:iCs/>
          <w:color w:val="000000" w:themeColor="text1"/>
          <w:sz w:val="22"/>
          <w:lang w:val="es-ES"/>
        </w:rPr>
        <w:t>hábil</w:t>
      </w:r>
      <w:r w:rsidRPr="00E85B58">
        <w:rPr>
          <w:rFonts w:ascii="Arial" w:eastAsia="Calibri" w:hAnsi="Arial" w:cs="Arial"/>
          <w:bCs/>
          <w:color w:val="000000" w:themeColor="text1"/>
          <w:sz w:val="22"/>
          <w:lang w:val="es-ES"/>
        </w:rPr>
        <w:t>, encontrándonos las siguientes acepciones «1. adj. Capaz de realizar con éxito una tarea manual. 2. adj. Dotado del talento para actuar adecuadamente o lograr su objetivo. 3. adj. Propio de una persona hábil. 4. adj. Apto o adecuado para algo. 5. adj. Dicho de un período de tiempo: Establecido como válido o computable para realizar una actividad, especialmente administrativa o judicial»</w:t>
      </w:r>
      <w:r w:rsidRPr="00E85B58">
        <w:rPr>
          <w:rStyle w:val="Refdenotaalpie"/>
          <w:rFonts w:ascii="Arial" w:eastAsia="Calibri" w:hAnsi="Arial" w:cs="Arial"/>
          <w:bCs/>
          <w:color w:val="000000" w:themeColor="text1"/>
          <w:sz w:val="22"/>
          <w:lang w:val="es-ES"/>
        </w:rPr>
        <w:footnoteReference w:id="13"/>
      </w:r>
      <w:r w:rsidRPr="00E85B58">
        <w:rPr>
          <w:rFonts w:ascii="Arial" w:eastAsia="Calibri" w:hAnsi="Arial" w:cs="Arial"/>
          <w:bCs/>
          <w:color w:val="000000" w:themeColor="text1"/>
          <w:sz w:val="22"/>
          <w:lang w:val="es-ES"/>
        </w:rPr>
        <w:t>. La última acepción se ajusta al entendimiento normativo</w:t>
      </w:r>
      <w:r w:rsidR="00191842">
        <w:rPr>
          <w:rFonts w:ascii="Arial" w:eastAsia="Calibri" w:hAnsi="Arial" w:cs="Arial"/>
          <w:bCs/>
          <w:color w:val="000000" w:themeColor="text1"/>
          <w:sz w:val="22"/>
          <w:lang w:val="es-ES"/>
        </w:rPr>
        <w:t xml:space="preserve">. </w:t>
      </w:r>
      <w:r w:rsidR="00893336">
        <w:rPr>
          <w:rFonts w:ascii="Arial" w:eastAsia="Calibri" w:hAnsi="Arial" w:cs="Arial"/>
          <w:bCs/>
          <w:color w:val="000000" w:themeColor="text1"/>
          <w:sz w:val="22"/>
          <w:lang w:val="es-ES"/>
        </w:rPr>
        <w:t>En ese sentido, s</w:t>
      </w:r>
      <w:r w:rsidR="00F55D05" w:rsidRPr="00E85B58">
        <w:rPr>
          <w:rFonts w:ascii="Arial" w:eastAsia="Calibri" w:hAnsi="Arial" w:cs="Arial"/>
          <w:bCs/>
          <w:color w:val="000000" w:themeColor="text1"/>
          <w:sz w:val="22"/>
          <w:lang w:val="es-ES"/>
        </w:rPr>
        <w:t xml:space="preserve">i bien las reglas establecidas en </w:t>
      </w:r>
      <w:r w:rsidR="00893336">
        <w:rPr>
          <w:rFonts w:ascii="Arial" w:eastAsia="Calibri" w:hAnsi="Arial" w:cs="Arial"/>
          <w:bCs/>
          <w:color w:val="000000" w:themeColor="text1"/>
          <w:sz w:val="22"/>
          <w:lang w:val="es-ES"/>
        </w:rPr>
        <w:t xml:space="preserve">las </w:t>
      </w:r>
      <w:r w:rsidR="00F55D05" w:rsidRPr="00E85B58">
        <w:rPr>
          <w:rFonts w:ascii="Arial" w:eastAsia="Calibri" w:hAnsi="Arial" w:cs="Arial"/>
          <w:bCs/>
          <w:color w:val="000000" w:themeColor="text1"/>
          <w:sz w:val="22"/>
          <w:lang w:val="es-ES"/>
        </w:rPr>
        <w:t>normas</w:t>
      </w:r>
      <w:r w:rsidR="00893336">
        <w:rPr>
          <w:rFonts w:ascii="Arial" w:eastAsia="Calibri" w:hAnsi="Arial" w:cs="Arial"/>
          <w:bCs/>
          <w:color w:val="000000" w:themeColor="text1"/>
          <w:sz w:val="22"/>
          <w:lang w:val="es-ES"/>
        </w:rPr>
        <w:t xml:space="preserve"> transcritas</w:t>
      </w:r>
      <w:r w:rsidR="00F55D05" w:rsidRPr="00E85B58">
        <w:rPr>
          <w:rFonts w:ascii="Arial" w:eastAsia="Calibri" w:hAnsi="Arial" w:cs="Arial"/>
          <w:bCs/>
          <w:color w:val="000000" w:themeColor="text1"/>
          <w:sz w:val="22"/>
          <w:lang w:val="es-ES"/>
        </w:rPr>
        <w:t xml:space="preserve"> no definen l</w:t>
      </w:r>
      <w:r w:rsidR="00EF3BD1">
        <w:rPr>
          <w:rFonts w:ascii="Arial" w:eastAsia="Calibri" w:hAnsi="Arial" w:cs="Arial"/>
          <w:bCs/>
          <w:color w:val="000000" w:themeColor="text1"/>
          <w:sz w:val="22"/>
          <w:lang w:val="es-ES"/>
        </w:rPr>
        <w:t>o que debe entenderse por</w:t>
      </w:r>
      <w:r w:rsidR="00F55D05" w:rsidRPr="00E85B58">
        <w:rPr>
          <w:rFonts w:ascii="Arial" w:eastAsia="Calibri" w:hAnsi="Arial" w:cs="Arial"/>
          <w:bCs/>
          <w:color w:val="000000" w:themeColor="text1"/>
          <w:sz w:val="22"/>
          <w:lang w:val="es-ES"/>
        </w:rPr>
        <w:t xml:space="preserve"> día </w:t>
      </w:r>
      <w:r w:rsidR="00F55D05" w:rsidRPr="00A440A7">
        <w:rPr>
          <w:rFonts w:ascii="Arial" w:eastAsia="Calibri" w:hAnsi="Arial" w:cs="Arial"/>
          <w:bCs/>
          <w:i/>
          <w:iCs/>
          <w:color w:val="000000" w:themeColor="text1"/>
          <w:sz w:val="22"/>
          <w:lang w:val="es-ES"/>
        </w:rPr>
        <w:t>hábil</w:t>
      </w:r>
      <w:r w:rsidR="00F55D05" w:rsidRPr="00E85B58">
        <w:rPr>
          <w:rFonts w:ascii="Arial" w:eastAsia="Calibri" w:hAnsi="Arial" w:cs="Arial"/>
          <w:bCs/>
          <w:color w:val="000000" w:themeColor="text1"/>
          <w:sz w:val="22"/>
          <w:lang w:val="es-ES"/>
        </w:rPr>
        <w:t>, sí denotan cierta antonimia con los vacantes y feriados, lo cual, en línea con la definición de uso común a la que antes se hacía referencia, indica que por hábiles se entiende los días laborables</w:t>
      </w:r>
      <w:r w:rsidR="00F55D05" w:rsidRPr="00E85B58">
        <w:rPr>
          <w:rStyle w:val="Refdenotaalpie"/>
          <w:rFonts w:ascii="Arial" w:eastAsia="Calibri" w:hAnsi="Arial" w:cs="Arial"/>
          <w:bCs/>
          <w:color w:val="000000" w:themeColor="text1"/>
          <w:sz w:val="22"/>
          <w:lang w:val="es-ES"/>
        </w:rPr>
        <w:footnoteReference w:id="14"/>
      </w:r>
      <w:r w:rsidR="00F55D05" w:rsidRPr="00E85B58">
        <w:rPr>
          <w:rFonts w:ascii="Arial" w:eastAsia="Calibri" w:hAnsi="Arial" w:cs="Arial"/>
          <w:bCs/>
          <w:color w:val="000000" w:themeColor="text1"/>
          <w:sz w:val="22"/>
          <w:lang w:val="es-ES"/>
        </w:rPr>
        <w:t>.</w:t>
      </w:r>
    </w:p>
    <w:p w14:paraId="23CD01B6" w14:textId="3F511085" w:rsidR="00E61EEB" w:rsidRPr="00E85B58" w:rsidRDefault="00E61EEB" w:rsidP="00A440A7">
      <w:pPr>
        <w:tabs>
          <w:tab w:val="left" w:pos="0"/>
        </w:tabs>
        <w:spacing w:before="120" w:line="276" w:lineRule="auto"/>
        <w:jc w:val="both"/>
        <w:rPr>
          <w:rFonts w:ascii="Arial" w:eastAsia="Calibri" w:hAnsi="Arial" w:cs="Arial"/>
          <w:bCs/>
          <w:color w:val="000000" w:themeColor="text1"/>
          <w:sz w:val="22"/>
          <w:lang w:val="es-ES"/>
        </w:rPr>
      </w:pPr>
      <w:r w:rsidRPr="00E85B58">
        <w:rPr>
          <w:rFonts w:ascii="Arial" w:eastAsia="Calibri" w:hAnsi="Arial" w:cs="Arial"/>
          <w:bCs/>
          <w:color w:val="000000" w:themeColor="text1"/>
          <w:sz w:val="22"/>
          <w:lang w:val="es-ES"/>
        </w:rPr>
        <w:tab/>
        <w:t xml:space="preserve"> Con ello coincide la jurisprudencia de vieja data del Consejo de Estado, que al interpretar el contenido del artículo 62 de la Ley 4 de 1913</w:t>
      </w:r>
      <w:r w:rsidR="003D3F85">
        <w:rPr>
          <w:rFonts w:ascii="Arial" w:eastAsia="Calibri" w:hAnsi="Arial" w:cs="Arial"/>
          <w:bCs/>
          <w:color w:val="000000" w:themeColor="text1"/>
          <w:sz w:val="22"/>
          <w:lang w:val="es-ES"/>
        </w:rPr>
        <w:t>,</w:t>
      </w:r>
      <w:r w:rsidRPr="00E85B58">
        <w:rPr>
          <w:rFonts w:ascii="Arial" w:eastAsia="Calibri" w:hAnsi="Arial" w:cs="Arial"/>
          <w:bCs/>
          <w:color w:val="000000" w:themeColor="text1"/>
          <w:sz w:val="22"/>
          <w:lang w:val="es-ES"/>
        </w:rPr>
        <w:t xml:space="preserve"> ha relacionado los días hábiles con conceptos como el de «Despacho Público» y «días laborables forzosos», que implican que el entendimiento normativo de los días hábiles est</w:t>
      </w:r>
      <w:r w:rsidR="00385B4E">
        <w:rPr>
          <w:rFonts w:ascii="Arial" w:eastAsia="Calibri" w:hAnsi="Arial" w:cs="Arial"/>
          <w:bCs/>
          <w:color w:val="000000" w:themeColor="text1"/>
          <w:sz w:val="22"/>
          <w:lang w:val="es-ES"/>
        </w:rPr>
        <w:t>á</w:t>
      </w:r>
      <w:r w:rsidRPr="00E85B58">
        <w:rPr>
          <w:rFonts w:ascii="Arial" w:eastAsia="Calibri" w:hAnsi="Arial" w:cs="Arial"/>
          <w:bCs/>
          <w:color w:val="000000" w:themeColor="text1"/>
          <w:sz w:val="22"/>
          <w:lang w:val="es-ES"/>
        </w:rPr>
        <w:t xml:space="preserve"> relacionado con el espacio de tiempo durante el cual las entidades públicas desarrollan sus funciones administrativas y están abiertas para la atención al público. Así, por ejemplo, en la sentencia del 12 de abril de 1978 se expresó:</w:t>
      </w:r>
    </w:p>
    <w:p w14:paraId="0AC7729F" w14:textId="77777777" w:rsidR="00E61EEB" w:rsidRPr="00E85B58" w:rsidRDefault="00E61EEB" w:rsidP="00E61EEB">
      <w:pPr>
        <w:tabs>
          <w:tab w:val="left" w:pos="0"/>
        </w:tabs>
        <w:ind w:left="709" w:right="709"/>
        <w:jc w:val="both"/>
        <w:rPr>
          <w:rFonts w:ascii="Arial" w:hAnsi="Arial" w:cs="Arial"/>
          <w:color w:val="000000" w:themeColor="text1"/>
          <w:sz w:val="21"/>
          <w:szCs w:val="21"/>
          <w:lang w:val="es-ES"/>
        </w:rPr>
      </w:pPr>
    </w:p>
    <w:p w14:paraId="2084E686" w14:textId="77777777" w:rsidR="00E61EEB" w:rsidRPr="00E85B58" w:rsidRDefault="00E61EEB" w:rsidP="00E61EEB">
      <w:pPr>
        <w:tabs>
          <w:tab w:val="left" w:pos="0"/>
        </w:tabs>
        <w:ind w:left="709" w:right="709"/>
        <w:jc w:val="both"/>
        <w:rPr>
          <w:rFonts w:ascii="Arial" w:eastAsia="Calibri" w:hAnsi="Arial" w:cs="Arial"/>
          <w:bCs/>
          <w:color w:val="000000" w:themeColor="text1"/>
          <w:sz w:val="21"/>
          <w:szCs w:val="21"/>
          <w:lang w:val="es-ES"/>
        </w:rPr>
      </w:pPr>
      <w:r w:rsidRPr="00E85B58">
        <w:rPr>
          <w:rFonts w:ascii="Arial" w:hAnsi="Arial" w:cs="Arial"/>
          <w:color w:val="000000" w:themeColor="text1"/>
          <w:sz w:val="21"/>
          <w:szCs w:val="21"/>
        </w:rPr>
        <w:lastRenderedPageBreak/>
        <w:t xml:space="preserve">Debe entenderse por otra parte, que cuando la Ley habla de la supresión en los plazos de días de los de vacancia y feriados, se está refiriendo a los actos producidos por la Administración en las dependencias en que no hay despacho público en tales días y no pueden por lo tanto expedirse actos administrativos con consecuencias legales. Es «Despacho Público» el mantenimiento de la oficina abierta al público para ejecutar los actos y despachar los asuntos que corresponden a las funciones del empleo en los términos señalados en la Ley. Por lo </w:t>
      </w:r>
      <w:proofErr w:type="gramStart"/>
      <w:r w:rsidRPr="00E85B58">
        <w:rPr>
          <w:rFonts w:ascii="Arial" w:hAnsi="Arial" w:cs="Arial"/>
          <w:color w:val="000000" w:themeColor="text1"/>
          <w:sz w:val="21"/>
          <w:szCs w:val="21"/>
        </w:rPr>
        <w:t>tanto</w:t>
      </w:r>
      <w:proofErr w:type="gramEnd"/>
      <w:r w:rsidRPr="00E85B58">
        <w:rPr>
          <w:rFonts w:ascii="Arial" w:hAnsi="Arial" w:cs="Arial"/>
          <w:color w:val="000000" w:themeColor="text1"/>
          <w:sz w:val="21"/>
          <w:szCs w:val="21"/>
        </w:rPr>
        <w:t xml:space="preserve"> hay despacho cuando se tiene facultad para laborar, despachar los asuntos y ejecutar los actos propios de sus atribuciones; así no se haya empleado esa facultad. Entonces, las sesiones de la Asamblea en sábados, domingos y </w:t>
      </w:r>
      <w:proofErr w:type="gramStart"/>
      <w:r w:rsidRPr="00E85B58">
        <w:rPr>
          <w:rFonts w:ascii="Arial" w:hAnsi="Arial" w:cs="Arial"/>
          <w:color w:val="000000" w:themeColor="text1"/>
          <w:sz w:val="21"/>
          <w:szCs w:val="21"/>
        </w:rPr>
        <w:t>lunes,</w:t>
      </w:r>
      <w:proofErr w:type="gramEnd"/>
      <w:r w:rsidRPr="00E85B58">
        <w:rPr>
          <w:rFonts w:ascii="Arial" w:hAnsi="Arial" w:cs="Arial"/>
          <w:color w:val="000000" w:themeColor="text1"/>
          <w:sz w:val="21"/>
          <w:szCs w:val="21"/>
        </w:rPr>
        <w:t xml:space="preserve"> tienen la virtud y fuerza suficientes para producir o causar todos los efectos, aunque las sesiones no se hayan realizado efectivamente</w:t>
      </w:r>
      <w:r w:rsidRPr="00E85B58">
        <w:rPr>
          <w:rStyle w:val="Refdenotaalpie"/>
          <w:rFonts w:ascii="Arial" w:hAnsi="Arial" w:cs="Arial"/>
          <w:color w:val="000000" w:themeColor="text1"/>
          <w:sz w:val="21"/>
          <w:szCs w:val="21"/>
        </w:rPr>
        <w:footnoteReference w:id="15"/>
      </w:r>
      <w:r w:rsidRPr="00E85B58">
        <w:rPr>
          <w:rFonts w:ascii="Arial" w:hAnsi="Arial" w:cs="Arial"/>
          <w:color w:val="000000" w:themeColor="text1"/>
          <w:sz w:val="21"/>
          <w:szCs w:val="21"/>
        </w:rPr>
        <w:t>.</w:t>
      </w:r>
    </w:p>
    <w:p w14:paraId="258C7554" w14:textId="77777777" w:rsidR="00E61EEB" w:rsidRPr="00E85B58" w:rsidRDefault="00E61EEB" w:rsidP="00E61EEB">
      <w:pPr>
        <w:tabs>
          <w:tab w:val="left" w:pos="0"/>
        </w:tabs>
        <w:spacing w:line="276" w:lineRule="auto"/>
        <w:jc w:val="both"/>
        <w:rPr>
          <w:rFonts w:ascii="Arial" w:eastAsia="Calibri" w:hAnsi="Arial" w:cs="Arial"/>
          <w:bCs/>
          <w:color w:val="000000" w:themeColor="text1"/>
          <w:sz w:val="22"/>
          <w:lang w:val="es-ES"/>
        </w:rPr>
      </w:pPr>
    </w:p>
    <w:p w14:paraId="187DD868" w14:textId="1D964F16" w:rsidR="00E61EEB" w:rsidRPr="00E85B58" w:rsidRDefault="00E61EEB" w:rsidP="00E61EEB">
      <w:pPr>
        <w:tabs>
          <w:tab w:val="left" w:pos="0"/>
        </w:tabs>
        <w:spacing w:line="276" w:lineRule="auto"/>
        <w:jc w:val="both"/>
        <w:rPr>
          <w:rFonts w:ascii="Arial" w:eastAsia="Calibri" w:hAnsi="Arial" w:cs="Arial"/>
          <w:bCs/>
          <w:color w:val="000000" w:themeColor="text1"/>
          <w:sz w:val="22"/>
          <w:lang w:val="es-ES"/>
        </w:rPr>
      </w:pPr>
      <w:r w:rsidRPr="00E85B58">
        <w:rPr>
          <w:rFonts w:ascii="Arial" w:eastAsia="Calibri" w:hAnsi="Arial" w:cs="Arial"/>
          <w:bCs/>
          <w:color w:val="000000" w:themeColor="text1"/>
          <w:sz w:val="22"/>
          <w:lang w:val="es-ES"/>
        </w:rPr>
        <w:tab/>
        <w:t xml:space="preserve">Posteriormente, en el auto del 26 de febrero de 1983, </w:t>
      </w:r>
      <w:r w:rsidR="00DD3C58">
        <w:rPr>
          <w:rFonts w:ascii="Arial" w:eastAsia="Calibri" w:hAnsi="Arial" w:cs="Arial"/>
          <w:bCs/>
          <w:color w:val="000000" w:themeColor="text1"/>
          <w:sz w:val="22"/>
          <w:lang w:val="es-ES"/>
        </w:rPr>
        <w:t xml:space="preserve">al Alto Tribunal </w:t>
      </w:r>
      <w:r w:rsidRPr="00E85B58">
        <w:rPr>
          <w:rFonts w:ascii="Arial" w:eastAsia="Calibri" w:hAnsi="Arial" w:cs="Arial"/>
          <w:bCs/>
          <w:color w:val="000000" w:themeColor="text1"/>
          <w:sz w:val="22"/>
          <w:lang w:val="es-ES"/>
        </w:rPr>
        <w:t>manifestó que el cómputo de los días hábiles de los que trata la norma debe hacerse con relación a los «días laborables forzosos», introduciendo un criterio para determinar lo que se entiende por día hábil en los siguientes términos:</w:t>
      </w:r>
    </w:p>
    <w:p w14:paraId="2EE3CCCC" w14:textId="77777777" w:rsidR="00E61EEB" w:rsidRPr="00E85B58" w:rsidRDefault="00E61EEB" w:rsidP="00E61EEB">
      <w:pPr>
        <w:jc w:val="both"/>
        <w:rPr>
          <w:rFonts w:ascii="Arial" w:eastAsia="Times New Roman" w:hAnsi="Arial" w:cs="Arial"/>
          <w:color w:val="000000" w:themeColor="text1"/>
          <w:sz w:val="21"/>
          <w:szCs w:val="21"/>
          <w:lang w:val="es-ES" w:eastAsia="es-CO"/>
        </w:rPr>
      </w:pPr>
    </w:p>
    <w:p w14:paraId="74347EBB" w14:textId="77777777" w:rsidR="00E61EEB" w:rsidRPr="00E85B58" w:rsidRDefault="00E61EEB" w:rsidP="00E61EEB">
      <w:pPr>
        <w:ind w:left="709" w:right="709"/>
        <w:jc w:val="both"/>
        <w:rPr>
          <w:rFonts w:ascii="Arial" w:eastAsia="Times New Roman" w:hAnsi="Arial" w:cs="Arial"/>
          <w:color w:val="000000" w:themeColor="text1"/>
          <w:sz w:val="21"/>
          <w:szCs w:val="21"/>
          <w:lang w:val="es-CO" w:eastAsia="es-CO"/>
        </w:rPr>
      </w:pPr>
      <w:r w:rsidRPr="00E85B58">
        <w:rPr>
          <w:rFonts w:ascii="Arial" w:eastAsia="Times New Roman" w:hAnsi="Arial" w:cs="Arial"/>
          <w:color w:val="000000" w:themeColor="text1"/>
          <w:sz w:val="21"/>
          <w:szCs w:val="21"/>
          <w:lang w:val="es-CO" w:eastAsia="es-CO"/>
        </w:rPr>
        <w:t>[E]l cómputo de días hábiles de que trata el artículo 62 de la Ley 4.ª de 1913 debe realizarse con base en los días laborables forzosos, teniendo por tales todos los del año, excluidos los señalados por la ley como de descanso remunerado.</w:t>
      </w:r>
    </w:p>
    <w:p w14:paraId="1CEEB6DC" w14:textId="77777777" w:rsidR="00E61EEB" w:rsidRPr="00E85B58" w:rsidRDefault="00E61EEB" w:rsidP="00E61EEB">
      <w:pPr>
        <w:ind w:left="709" w:right="709"/>
        <w:jc w:val="both"/>
        <w:rPr>
          <w:rFonts w:ascii="Arial" w:eastAsia="Times New Roman" w:hAnsi="Arial" w:cs="Arial"/>
          <w:color w:val="000000" w:themeColor="text1"/>
          <w:sz w:val="21"/>
          <w:szCs w:val="21"/>
          <w:lang w:val="es-CO" w:eastAsia="es-CO"/>
        </w:rPr>
      </w:pPr>
    </w:p>
    <w:p w14:paraId="0CE9D132" w14:textId="3C4D6508" w:rsidR="00E61EEB" w:rsidRDefault="00E61EEB" w:rsidP="00E61EEB">
      <w:pPr>
        <w:ind w:left="709" w:right="709"/>
        <w:jc w:val="both"/>
        <w:rPr>
          <w:rFonts w:ascii="Arial" w:eastAsia="Times New Roman" w:hAnsi="Arial" w:cs="Arial"/>
          <w:color w:val="000000" w:themeColor="text1"/>
          <w:sz w:val="21"/>
          <w:szCs w:val="21"/>
          <w:lang w:val="es-CO" w:eastAsia="es-CO"/>
        </w:rPr>
      </w:pPr>
      <w:r w:rsidRPr="00E85B58">
        <w:rPr>
          <w:rFonts w:ascii="Arial" w:eastAsia="Times New Roman" w:hAnsi="Arial" w:cs="Arial"/>
          <w:color w:val="000000" w:themeColor="text1"/>
          <w:sz w:val="21"/>
          <w:szCs w:val="21"/>
          <w:lang w:val="es-CO" w:eastAsia="es-CO"/>
        </w:rPr>
        <w:t xml:space="preserve">Así, el criterio que determina el carácter de hábil de los días, para el cómputo de los términos legales, es el de su </w:t>
      </w:r>
      <w:proofErr w:type="spellStart"/>
      <w:r w:rsidRPr="00E85B58">
        <w:rPr>
          <w:rFonts w:ascii="Arial" w:eastAsia="Times New Roman" w:hAnsi="Arial" w:cs="Arial"/>
          <w:color w:val="000000" w:themeColor="text1"/>
          <w:sz w:val="21"/>
          <w:szCs w:val="21"/>
          <w:lang w:val="es-CO" w:eastAsia="es-CO"/>
        </w:rPr>
        <w:t>laborabilidad</w:t>
      </w:r>
      <w:proofErr w:type="spellEnd"/>
      <w:r w:rsidRPr="00E85B58">
        <w:rPr>
          <w:rFonts w:ascii="Arial" w:eastAsia="Times New Roman" w:hAnsi="Arial" w:cs="Arial"/>
          <w:color w:val="000000" w:themeColor="text1"/>
          <w:sz w:val="21"/>
          <w:szCs w:val="21"/>
          <w:lang w:val="es-CO" w:eastAsia="es-CO"/>
        </w:rPr>
        <w:t xml:space="preserve"> [sic]. Ello implica que son hábiles aquellos para los que no hay disposición legal expresa que exima del deber de trabajar, vale decir, los ordinarios, días en los que deben funcionar las oficinas públicas; y no hábiles aquellos para los cuales la ley ha previsto el derecho a descanso remunerado; tales son los domingos, los previstos por el artículo </w:t>
      </w:r>
      <w:proofErr w:type="gramStart"/>
      <w:r w:rsidRPr="00E85B58">
        <w:rPr>
          <w:rFonts w:ascii="Arial" w:eastAsia="Times New Roman" w:hAnsi="Arial" w:cs="Arial"/>
          <w:color w:val="000000" w:themeColor="text1"/>
          <w:sz w:val="21"/>
          <w:szCs w:val="21"/>
          <w:lang w:val="es-CO" w:eastAsia="es-CO"/>
        </w:rPr>
        <w:t>1.°</w:t>
      </w:r>
      <w:proofErr w:type="gramEnd"/>
      <w:r w:rsidRPr="00E85B58">
        <w:rPr>
          <w:rFonts w:ascii="Arial" w:eastAsia="Times New Roman" w:hAnsi="Arial" w:cs="Arial"/>
          <w:color w:val="000000" w:themeColor="text1"/>
          <w:sz w:val="21"/>
          <w:szCs w:val="21"/>
          <w:lang w:val="es-CO" w:eastAsia="es-CO"/>
        </w:rPr>
        <w:t xml:space="preserve"> de la Ley 51 de 1983 y los señalados como vacancia para la rama jurisdiccional, el Ministerio Público y las direcciones de instrucción criminal. Cabe anotar que para algunas oficinas no son hábiles los sábados, en cuanto no funcionan en esos días por trasladarse la respectiva jornada, en extensión de la ordinaria, a los demás de la semana</w:t>
      </w:r>
      <w:r w:rsidRPr="00E85B58">
        <w:rPr>
          <w:rStyle w:val="Refdenotaalpie"/>
          <w:rFonts w:ascii="Arial" w:eastAsia="Times New Roman" w:hAnsi="Arial" w:cs="Arial"/>
          <w:color w:val="000000" w:themeColor="text1"/>
          <w:sz w:val="21"/>
          <w:szCs w:val="21"/>
          <w:lang w:val="es-CO" w:eastAsia="es-CO"/>
        </w:rPr>
        <w:footnoteReference w:id="16"/>
      </w:r>
      <w:r w:rsidRPr="00E85B58">
        <w:rPr>
          <w:rFonts w:ascii="Arial" w:eastAsia="Times New Roman" w:hAnsi="Arial" w:cs="Arial"/>
          <w:color w:val="000000" w:themeColor="text1"/>
          <w:sz w:val="21"/>
          <w:szCs w:val="21"/>
          <w:lang w:val="es-CO" w:eastAsia="es-CO"/>
        </w:rPr>
        <w:t>.</w:t>
      </w:r>
    </w:p>
    <w:p w14:paraId="0029B608" w14:textId="77777777" w:rsidR="00AB16FA" w:rsidRPr="00E85B58" w:rsidRDefault="00AB16FA" w:rsidP="00E61EEB">
      <w:pPr>
        <w:ind w:left="709" w:right="709"/>
        <w:jc w:val="both"/>
        <w:rPr>
          <w:rFonts w:ascii="Arial" w:eastAsia="Times New Roman" w:hAnsi="Arial" w:cs="Arial"/>
          <w:color w:val="000000" w:themeColor="text1"/>
          <w:sz w:val="21"/>
          <w:szCs w:val="21"/>
          <w:lang w:val="es-CO" w:eastAsia="es-CO"/>
        </w:rPr>
      </w:pPr>
    </w:p>
    <w:p w14:paraId="010B1248" w14:textId="16D8BC2D" w:rsidR="00E61EEB" w:rsidRPr="00E85B58" w:rsidRDefault="00E61EEB" w:rsidP="006E0D91">
      <w:pPr>
        <w:tabs>
          <w:tab w:val="left" w:pos="0"/>
        </w:tabs>
        <w:spacing w:line="276" w:lineRule="auto"/>
        <w:ind w:firstLine="709"/>
        <w:jc w:val="both"/>
        <w:rPr>
          <w:rFonts w:ascii="Arial" w:eastAsia="Calibri" w:hAnsi="Arial" w:cs="Arial"/>
          <w:bCs/>
          <w:color w:val="000000" w:themeColor="text1"/>
          <w:sz w:val="22"/>
          <w:lang w:val="es-ES"/>
        </w:rPr>
      </w:pPr>
      <w:r w:rsidRPr="00E85B58">
        <w:rPr>
          <w:rFonts w:ascii="Arial" w:eastAsia="Calibri" w:hAnsi="Arial" w:cs="Arial"/>
          <w:bCs/>
          <w:color w:val="000000" w:themeColor="text1"/>
          <w:sz w:val="22"/>
          <w:lang w:val="es-ES"/>
        </w:rPr>
        <w:t xml:space="preserve"> </w:t>
      </w:r>
      <w:r w:rsidR="00D37C9A">
        <w:rPr>
          <w:rFonts w:ascii="Arial" w:eastAsia="Calibri" w:hAnsi="Arial" w:cs="Arial"/>
          <w:bCs/>
          <w:color w:val="000000" w:themeColor="text1"/>
          <w:sz w:val="22"/>
          <w:lang w:val="es-ES"/>
        </w:rPr>
        <w:t xml:space="preserve">Adicionalmente, el </w:t>
      </w:r>
      <w:r w:rsidR="00EA17AD">
        <w:rPr>
          <w:rFonts w:ascii="Arial" w:eastAsia="Calibri" w:hAnsi="Arial" w:cs="Arial"/>
          <w:bCs/>
          <w:color w:val="000000" w:themeColor="text1"/>
          <w:sz w:val="22"/>
          <w:lang w:val="es-ES"/>
        </w:rPr>
        <w:t>parágrafo 1 del artículo 829 del Código de</w:t>
      </w:r>
      <w:r w:rsidR="004F01CE">
        <w:rPr>
          <w:rFonts w:ascii="Arial" w:eastAsia="Calibri" w:hAnsi="Arial" w:cs="Arial"/>
          <w:bCs/>
          <w:color w:val="000000" w:themeColor="text1"/>
          <w:sz w:val="22"/>
          <w:lang w:val="es-ES"/>
        </w:rPr>
        <w:t xml:space="preserve"> Comercio</w:t>
      </w:r>
      <w:r w:rsidR="00B710DC">
        <w:rPr>
          <w:rStyle w:val="Refdenotaalpie"/>
          <w:rFonts w:ascii="Arial" w:eastAsia="Calibri" w:hAnsi="Arial" w:cs="Arial"/>
          <w:bCs/>
          <w:color w:val="000000" w:themeColor="text1"/>
          <w:sz w:val="22"/>
          <w:lang w:val="es-ES"/>
        </w:rPr>
        <w:footnoteReference w:id="17"/>
      </w:r>
      <w:r w:rsidR="00CF4309">
        <w:rPr>
          <w:rFonts w:ascii="Arial" w:eastAsia="Calibri" w:hAnsi="Arial" w:cs="Arial"/>
          <w:bCs/>
          <w:color w:val="000000" w:themeColor="text1"/>
          <w:sz w:val="22"/>
          <w:lang w:val="es-ES"/>
        </w:rPr>
        <w:t>,</w:t>
      </w:r>
      <w:r w:rsidR="004F01CE">
        <w:rPr>
          <w:rFonts w:ascii="Arial" w:eastAsia="Calibri" w:hAnsi="Arial" w:cs="Arial"/>
          <w:bCs/>
          <w:color w:val="000000" w:themeColor="text1"/>
          <w:sz w:val="22"/>
          <w:lang w:val="es-ES"/>
        </w:rPr>
        <w:t xml:space="preserve"> en concordancia con lo prescrito por la Ley 4 de 1913, </w:t>
      </w:r>
      <w:r w:rsidR="00CF4309">
        <w:rPr>
          <w:rFonts w:ascii="Arial" w:eastAsia="Calibri" w:hAnsi="Arial" w:cs="Arial"/>
          <w:bCs/>
          <w:color w:val="000000" w:themeColor="text1"/>
          <w:sz w:val="22"/>
          <w:lang w:val="es-ES"/>
        </w:rPr>
        <w:t xml:space="preserve">establece que </w:t>
      </w:r>
      <w:r w:rsidR="00CF4309" w:rsidRPr="00CF4309">
        <w:rPr>
          <w:rFonts w:ascii="Arial" w:eastAsia="Calibri" w:hAnsi="Arial" w:cs="Arial"/>
          <w:bCs/>
          <w:color w:val="000000" w:themeColor="text1"/>
          <w:sz w:val="22"/>
          <w:lang w:val="es-ES"/>
        </w:rPr>
        <w:t xml:space="preserve">los plazos en días </w:t>
      </w:r>
      <w:r w:rsidR="00CF4309" w:rsidRPr="00CF4309">
        <w:rPr>
          <w:rFonts w:ascii="Arial" w:eastAsia="Calibri" w:hAnsi="Arial" w:cs="Arial"/>
          <w:bCs/>
          <w:color w:val="000000" w:themeColor="text1"/>
          <w:sz w:val="22"/>
          <w:lang w:val="es-ES"/>
        </w:rPr>
        <w:lastRenderedPageBreak/>
        <w:t>establecidos por la ley que no señalan expresamente si se trata de días hábiles o días calendario deben entenderse como días hábiles</w:t>
      </w:r>
      <w:r w:rsidR="00893336">
        <w:rPr>
          <w:rFonts w:ascii="Arial" w:eastAsia="Calibri" w:hAnsi="Arial" w:cs="Arial"/>
          <w:bCs/>
          <w:color w:val="000000" w:themeColor="text1"/>
          <w:sz w:val="22"/>
          <w:lang w:val="es-ES"/>
        </w:rPr>
        <w:t>.</w:t>
      </w:r>
    </w:p>
    <w:p w14:paraId="20C90097" w14:textId="06587770" w:rsidR="00E61EEB" w:rsidRPr="00E85B58" w:rsidRDefault="00E61EEB" w:rsidP="006E0D91">
      <w:pPr>
        <w:tabs>
          <w:tab w:val="left" w:pos="0"/>
        </w:tabs>
        <w:spacing w:before="120" w:after="120" w:line="276" w:lineRule="auto"/>
        <w:jc w:val="both"/>
        <w:rPr>
          <w:rFonts w:ascii="Arial" w:eastAsia="Calibri" w:hAnsi="Arial" w:cs="Arial"/>
          <w:bCs/>
          <w:color w:val="000000" w:themeColor="text1"/>
          <w:sz w:val="22"/>
          <w:lang w:val="es-ES"/>
        </w:rPr>
      </w:pPr>
      <w:r w:rsidRPr="00E85B58">
        <w:rPr>
          <w:rFonts w:ascii="Arial" w:eastAsia="Calibri" w:hAnsi="Arial" w:cs="Arial"/>
          <w:bCs/>
          <w:color w:val="000000" w:themeColor="text1"/>
          <w:sz w:val="22"/>
          <w:lang w:val="es-ES"/>
        </w:rPr>
        <w:tab/>
        <w:t xml:space="preserve">Conforme a lo anterior, </w:t>
      </w:r>
      <w:bookmarkStart w:id="9" w:name="_Hlk67656400"/>
      <w:r w:rsidRPr="00E85B58">
        <w:rPr>
          <w:rFonts w:ascii="Arial" w:eastAsia="Calibri" w:hAnsi="Arial" w:cs="Arial"/>
          <w:bCs/>
          <w:color w:val="000000" w:themeColor="text1"/>
          <w:sz w:val="22"/>
          <w:lang w:val="es-ES"/>
        </w:rPr>
        <w:t>los días hábiles se determinan según la entidad, ya que «cada entidad pública establece la jornada laboral, a través de su reglamento interno, dando certeza sobre los días que atienden al público, e indirectamente definiendo qué día es hábil en determinada institución»</w:t>
      </w:r>
      <w:r w:rsidRPr="00E85B58">
        <w:rPr>
          <w:rStyle w:val="Refdenotaalpie"/>
          <w:rFonts w:ascii="Arial" w:eastAsia="Calibri" w:hAnsi="Arial" w:cs="Arial"/>
          <w:bCs/>
          <w:color w:val="000000" w:themeColor="text1"/>
          <w:sz w:val="22"/>
          <w:lang w:val="es-ES"/>
        </w:rPr>
        <w:footnoteReference w:id="18"/>
      </w:r>
      <w:r w:rsidRPr="00E85B58">
        <w:rPr>
          <w:rFonts w:ascii="Arial" w:eastAsia="Calibri" w:hAnsi="Arial" w:cs="Arial"/>
          <w:bCs/>
          <w:color w:val="000000" w:themeColor="text1"/>
          <w:sz w:val="22"/>
          <w:lang w:val="es-ES"/>
        </w:rPr>
        <w:t>, por lo que días hábiles son aquellos de la semana durante los cuales las entidades públicas ejercen sus funciones al público, los cuales son, por regla general, todos los días de la semana, con excepción de los sábados, domingos y feriados previstos en la generalidad de entidades como días de descanso. Lo anterior</w:t>
      </w:r>
      <w:r w:rsidR="0093531C">
        <w:rPr>
          <w:rFonts w:ascii="Arial" w:eastAsia="Calibri" w:hAnsi="Arial" w:cs="Arial"/>
          <w:bCs/>
          <w:color w:val="000000" w:themeColor="text1"/>
          <w:sz w:val="22"/>
          <w:lang w:val="es-ES"/>
        </w:rPr>
        <w:t>,</w:t>
      </w:r>
      <w:r w:rsidRPr="00E85B58">
        <w:rPr>
          <w:rFonts w:ascii="Arial" w:eastAsia="Calibri" w:hAnsi="Arial" w:cs="Arial"/>
          <w:bCs/>
          <w:color w:val="000000" w:themeColor="text1"/>
          <w:sz w:val="22"/>
          <w:lang w:val="es-ES"/>
        </w:rPr>
        <w:t xml:space="preserve"> sin perjuicio de que las entidades definan en sus reglamentos internos jornadas laborales distintas, que incluyan el sábado o el domingo, como «</w:t>
      </w:r>
      <w:r w:rsidR="001310FF">
        <w:rPr>
          <w:rFonts w:ascii="Arial" w:eastAsia="Calibri" w:hAnsi="Arial" w:cs="Arial"/>
          <w:bCs/>
          <w:color w:val="000000" w:themeColor="text1"/>
          <w:sz w:val="22"/>
          <w:lang w:val="es-ES"/>
        </w:rPr>
        <w:t xml:space="preserve">[…] </w:t>
      </w:r>
      <w:r w:rsidRPr="00E85B58">
        <w:rPr>
          <w:rFonts w:ascii="Arial" w:eastAsia="Calibri" w:hAnsi="Arial" w:cs="Arial"/>
          <w:bCs/>
          <w:color w:val="000000" w:themeColor="text1"/>
          <w:sz w:val="22"/>
          <w:lang w:val="es-ES"/>
        </w:rPr>
        <w:t xml:space="preserve">en los numerosos municipios del país donde la Administración labora los fines de semana ―sábados y domingos― normalmente para brindarle un buen servicio a la población campesina, que </w:t>
      </w:r>
      <w:r w:rsidR="001310FF">
        <w:rPr>
          <w:rFonts w:ascii="Arial" w:eastAsia="Calibri" w:hAnsi="Arial" w:cs="Arial"/>
          <w:bCs/>
          <w:color w:val="000000" w:themeColor="text1"/>
          <w:sz w:val="22"/>
          <w:lang w:val="es-ES"/>
        </w:rPr>
        <w:t xml:space="preserve">no </w:t>
      </w:r>
      <w:r w:rsidRPr="00E85B58">
        <w:rPr>
          <w:rFonts w:ascii="Arial" w:eastAsia="Calibri" w:hAnsi="Arial" w:cs="Arial"/>
          <w:bCs/>
          <w:color w:val="000000" w:themeColor="text1"/>
          <w:sz w:val="22"/>
          <w:lang w:val="es-ES"/>
        </w:rPr>
        <w:t>acostumbra ir al casco urbano en estos dos días y descansan un día de la semana ―usualmente el miércoles―»</w:t>
      </w:r>
      <w:r w:rsidRPr="00E85B58">
        <w:rPr>
          <w:rStyle w:val="Refdenotaalpie"/>
          <w:rFonts w:ascii="Arial" w:eastAsia="Calibri" w:hAnsi="Arial" w:cs="Arial"/>
          <w:bCs/>
          <w:color w:val="000000" w:themeColor="text1"/>
          <w:sz w:val="22"/>
          <w:lang w:val="es-ES"/>
        </w:rPr>
        <w:footnoteReference w:id="19"/>
      </w:r>
      <w:r w:rsidRPr="00E85B58">
        <w:rPr>
          <w:rFonts w:ascii="Arial" w:eastAsia="Calibri" w:hAnsi="Arial" w:cs="Arial"/>
          <w:bCs/>
          <w:color w:val="000000" w:themeColor="text1"/>
          <w:sz w:val="22"/>
          <w:lang w:val="es-ES"/>
        </w:rPr>
        <w:t xml:space="preserve">, ejemplo donde los días laborables o hábiles son todos los de la semana, con excepción del miércoles. </w:t>
      </w:r>
      <w:bookmarkEnd w:id="9"/>
    </w:p>
    <w:p w14:paraId="4FE04161" w14:textId="1ADF8F42" w:rsidR="00E253C6" w:rsidRDefault="00E61EEB">
      <w:pPr>
        <w:tabs>
          <w:tab w:val="left" w:pos="0"/>
        </w:tabs>
        <w:spacing w:before="120" w:line="276" w:lineRule="auto"/>
        <w:jc w:val="both"/>
        <w:rPr>
          <w:rFonts w:ascii="Arial" w:eastAsia="Calibri" w:hAnsi="Arial" w:cs="Arial"/>
          <w:bCs/>
          <w:color w:val="000000" w:themeColor="text1"/>
          <w:sz w:val="22"/>
          <w:lang w:val="es-ES"/>
        </w:rPr>
      </w:pPr>
      <w:r w:rsidRPr="00E85B58">
        <w:rPr>
          <w:rFonts w:ascii="Arial" w:eastAsia="Calibri" w:hAnsi="Arial" w:cs="Arial"/>
          <w:bCs/>
          <w:color w:val="000000" w:themeColor="text1"/>
          <w:sz w:val="22"/>
          <w:lang w:val="es-ES"/>
        </w:rPr>
        <w:tab/>
        <w:t>Lo anterior implica, respecto del término para publicar</w:t>
      </w:r>
      <w:r w:rsidR="0022473D">
        <w:rPr>
          <w:rFonts w:ascii="Arial" w:eastAsia="Calibri" w:hAnsi="Arial" w:cs="Arial"/>
          <w:bCs/>
          <w:color w:val="000000" w:themeColor="text1"/>
          <w:sz w:val="22"/>
          <w:lang w:val="es-ES"/>
        </w:rPr>
        <w:t xml:space="preserve"> </w:t>
      </w:r>
      <w:r w:rsidR="0022473D">
        <w:rPr>
          <w:rFonts w:ascii="Arial" w:eastAsia="Calibri" w:hAnsi="Arial" w:cs="Arial"/>
          <w:color w:val="000000" w:themeColor="text1"/>
          <w:sz w:val="22"/>
        </w:rPr>
        <w:t xml:space="preserve">los </w:t>
      </w:r>
      <w:r w:rsidR="00360732">
        <w:rPr>
          <w:rFonts w:ascii="Arial" w:eastAsia="Calibri" w:hAnsi="Arial" w:cs="Arial"/>
          <w:color w:val="000000" w:themeColor="text1"/>
          <w:sz w:val="22"/>
        </w:rPr>
        <w:t>d</w:t>
      </w:r>
      <w:r w:rsidR="0022473D">
        <w:rPr>
          <w:rFonts w:ascii="Arial" w:eastAsia="Calibri" w:hAnsi="Arial" w:cs="Arial"/>
          <w:color w:val="000000" w:themeColor="text1"/>
          <w:sz w:val="22"/>
        </w:rPr>
        <w:t xml:space="preserve">ocumentos del </w:t>
      </w:r>
      <w:r w:rsidR="0094462A">
        <w:rPr>
          <w:rFonts w:ascii="Arial" w:eastAsia="Calibri" w:hAnsi="Arial" w:cs="Arial"/>
          <w:color w:val="000000" w:themeColor="text1"/>
          <w:sz w:val="22"/>
        </w:rPr>
        <w:t>pr</w:t>
      </w:r>
      <w:r w:rsidR="0022473D">
        <w:rPr>
          <w:rFonts w:ascii="Arial" w:eastAsia="Calibri" w:hAnsi="Arial" w:cs="Arial"/>
          <w:color w:val="000000" w:themeColor="text1"/>
          <w:sz w:val="22"/>
        </w:rPr>
        <w:t xml:space="preserve">oceso y los actos administrativos del </w:t>
      </w:r>
      <w:r w:rsidR="0094462A">
        <w:rPr>
          <w:rFonts w:ascii="Arial" w:eastAsia="Calibri" w:hAnsi="Arial" w:cs="Arial"/>
          <w:color w:val="000000" w:themeColor="text1"/>
          <w:sz w:val="22"/>
        </w:rPr>
        <w:t>p</w:t>
      </w:r>
      <w:r w:rsidR="0022473D">
        <w:rPr>
          <w:rFonts w:ascii="Arial" w:eastAsia="Calibri" w:hAnsi="Arial" w:cs="Arial"/>
          <w:color w:val="000000" w:themeColor="text1"/>
          <w:sz w:val="22"/>
        </w:rPr>
        <w:t>roceso de contratación</w:t>
      </w:r>
      <w:r w:rsidRPr="00E85B58">
        <w:rPr>
          <w:rFonts w:ascii="Arial" w:eastAsia="Calibri" w:hAnsi="Arial" w:cs="Arial"/>
          <w:bCs/>
          <w:color w:val="000000" w:themeColor="text1"/>
          <w:sz w:val="22"/>
          <w:lang w:val="es-ES"/>
        </w:rPr>
        <w:t>, que deberá transcurrir dentro de los días definidos por cada entidad estatal como laborables en su correspondiente reglamento o manual de funciones.</w:t>
      </w:r>
      <w:r w:rsidR="002F1C8D">
        <w:rPr>
          <w:rFonts w:ascii="Arial" w:eastAsia="Calibri" w:hAnsi="Arial" w:cs="Arial"/>
          <w:bCs/>
          <w:color w:val="000000" w:themeColor="text1"/>
          <w:sz w:val="22"/>
          <w:lang w:val="es-ES"/>
        </w:rPr>
        <w:t xml:space="preserve"> Es decir que, </w:t>
      </w:r>
      <w:r w:rsidR="00893336">
        <w:rPr>
          <w:rFonts w:ascii="Arial" w:eastAsia="Calibri" w:hAnsi="Arial" w:cs="Arial"/>
          <w:bCs/>
          <w:color w:val="000000" w:themeColor="text1"/>
          <w:sz w:val="22"/>
          <w:lang w:val="es-ES"/>
        </w:rPr>
        <w:t>si,</w:t>
      </w:r>
      <w:r w:rsidR="001317BA">
        <w:rPr>
          <w:rFonts w:ascii="Arial" w:eastAsia="Calibri" w:hAnsi="Arial" w:cs="Arial"/>
          <w:bCs/>
          <w:color w:val="000000" w:themeColor="text1"/>
          <w:sz w:val="22"/>
          <w:lang w:val="es-ES"/>
        </w:rPr>
        <w:t xml:space="preserve"> </w:t>
      </w:r>
      <w:r w:rsidR="00DB0F1B">
        <w:rPr>
          <w:rFonts w:ascii="Arial" w:eastAsia="Calibri" w:hAnsi="Arial" w:cs="Arial"/>
          <w:bCs/>
          <w:color w:val="000000" w:themeColor="text1"/>
          <w:sz w:val="22"/>
          <w:lang w:val="es-ES"/>
        </w:rPr>
        <w:t xml:space="preserve">por ejemplo, una entidad tiene definido como días laborales de </w:t>
      </w:r>
      <w:r w:rsidR="00EE0A63">
        <w:rPr>
          <w:rFonts w:ascii="Arial" w:eastAsia="Calibri" w:hAnsi="Arial" w:cs="Arial"/>
          <w:bCs/>
          <w:color w:val="000000" w:themeColor="text1"/>
          <w:sz w:val="22"/>
          <w:lang w:val="es-ES"/>
        </w:rPr>
        <w:t xml:space="preserve">martes a sábado, </w:t>
      </w:r>
      <w:r w:rsidR="0025288F">
        <w:rPr>
          <w:rFonts w:ascii="Arial" w:eastAsia="Calibri" w:hAnsi="Arial" w:cs="Arial"/>
          <w:bCs/>
          <w:color w:val="000000" w:themeColor="text1"/>
          <w:sz w:val="22"/>
          <w:lang w:val="es-ES"/>
        </w:rPr>
        <w:t xml:space="preserve">el cómputo de los </w:t>
      </w:r>
      <w:r w:rsidR="00F3761B">
        <w:rPr>
          <w:rFonts w:ascii="Arial" w:eastAsia="Calibri" w:hAnsi="Arial" w:cs="Arial"/>
          <w:bCs/>
          <w:color w:val="000000" w:themeColor="text1"/>
          <w:sz w:val="22"/>
          <w:lang w:val="es-ES"/>
        </w:rPr>
        <w:t>tres (</w:t>
      </w:r>
      <w:r w:rsidR="0025288F">
        <w:rPr>
          <w:rFonts w:ascii="Arial" w:eastAsia="Calibri" w:hAnsi="Arial" w:cs="Arial"/>
          <w:bCs/>
          <w:color w:val="000000" w:themeColor="text1"/>
          <w:sz w:val="22"/>
          <w:lang w:val="es-ES"/>
        </w:rPr>
        <w:t>3</w:t>
      </w:r>
      <w:r w:rsidR="00F3761B">
        <w:rPr>
          <w:rFonts w:ascii="Arial" w:eastAsia="Calibri" w:hAnsi="Arial" w:cs="Arial"/>
          <w:bCs/>
          <w:color w:val="000000" w:themeColor="text1"/>
          <w:sz w:val="22"/>
          <w:lang w:val="es-ES"/>
        </w:rPr>
        <w:t>)</w:t>
      </w:r>
      <w:r w:rsidR="0025288F">
        <w:rPr>
          <w:rFonts w:ascii="Arial" w:eastAsia="Calibri" w:hAnsi="Arial" w:cs="Arial"/>
          <w:bCs/>
          <w:color w:val="000000" w:themeColor="text1"/>
          <w:sz w:val="22"/>
          <w:lang w:val="es-ES"/>
        </w:rPr>
        <w:t xml:space="preserve"> días del </w:t>
      </w:r>
      <w:r w:rsidR="007C55EE" w:rsidRPr="00142C6F">
        <w:rPr>
          <w:rFonts w:ascii="Arial" w:eastAsia="Calibri" w:hAnsi="Arial" w:cs="Arial"/>
          <w:color w:val="000000" w:themeColor="text1"/>
          <w:sz w:val="22"/>
        </w:rPr>
        <w:t>artículo 2.2.1.1.1.7.1 del Decreto 1082 de 2015</w:t>
      </w:r>
      <w:r w:rsidR="00BD4463">
        <w:rPr>
          <w:rFonts w:ascii="Arial" w:eastAsia="Calibri" w:hAnsi="Arial" w:cs="Arial"/>
          <w:color w:val="000000" w:themeColor="text1"/>
          <w:sz w:val="22"/>
        </w:rPr>
        <w:t>,</w:t>
      </w:r>
      <w:r w:rsidR="007C55EE" w:rsidRPr="00142C6F">
        <w:rPr>
          <w:rFonts w:ascii="Arial" w:eastAsia="Calibri" w:hAnsi="Arial" w:cs="Arial"/>
          <w:color w:val="000000" w:themeColor="text1"/>
          <w:sz w:val="22"/>
        </w:rPr>
        <w:t xml:space="preserve"> </w:t>
      </w:r>
      <w:r w:rsidR="00F3761B">
        <w:rPr>
          <w:rFonts w:ascii="Arial" w:eastAsia="Calibri" w:hAnsi="Arial" w:cs="Arial"/>
          <w:bCs/>
          <w:color w:val="000000" w:themeColor="text1"/>
          <w:sz w:val="22"/>
          <w:lang w:val="es-ES"/>
        </w:rPr>
        <w:t>deberá hacerse</w:t>
      </w:r>
      <w:r w:rsidR="0017568F">
        <w:rPr>
          <w:rFonts w:ascii="Arial" w:eastAsia="Calibri" w:hAnsi="Arial" w:cs="Arial"/>
          <w:bCs/>
          <w:color w:val="000000" w:themeColor="text1"/>
          <w:sz w:val="22"/>
          <w:lang w:val="es-ES"/>
        </w:rPr>
        <w:t xml:space="preserve"> dentro de la jornada determinada por dicha entidad</w:t>
      </w:r>
      <w:r w:rsidR="00C522EF">
        <w:rPr>
          <w:rFonts w:ascii="Arial" w:eastAsia="Calibri" w:hAnsi="Arial" w:cs="Arial"/>
          <w:bCs/>
          <w:color w:val="000000" w:themeColor="text1"/>
          <w:sz w:val="22"/>
          <w:lang w:val="es-ES"/>
        </w:rPr>
        <w:t>, de forma</w:t>
      </w:r>
      <w:r w:rsidR="00BD4463">
        <w:rPr>
          <w:rFonts w:ascii="Arial" w:eastAsia="Calibri" w:hAnsi="Arial" w:cs="Arial"/>
          <w:bCs/>
          <w:color w:val="000000" w:themeColor="text1"/>
          <w:sz w:val="22"/>
          <w:lang w:val="es-ES"/>
        </w:rPr>
        <w:t xml:space="preserve"> tal</w:t>
      </w:r>
      <w:r w:rsidR="00C522EF">
        <w:rPr>
          <w:rFonts w:ascii="Arial" w:eastAsia="Calibri" w:hAnsi="Arial" w:cs="Arial"/>
          <w:bCs/>
          <w:color w:val="000000" w:themeColor="text1"/>
          <w:sz w:val="22"/>
          <w:lang w:val="es-ES"/>
        </w:rPr>
        <w:t xml:space="preserve"> </w:t>
      </w:r>
      <w:r w:rsidR="00893336">
        <w:rPr>
          <w:rFonts w:ascii="Arial" w:eastAsia="Calibri" w:hAnsi="Arial" w:cs="Arial"/>
          <w:bCs/>
          <w:color w:val="000000" w:themeColor="text1"/>
          <w:sz w:val="22"/>
          <w:lang w:val="es-ES"/>
        </w:rPr>
        <w:t>que,</w:t>
      </w:r>
      <w:r w:rsidR="00C522EF">
        <w:rPr>
          <w:rFonts w:ascii="Arial" w:eastAsia="Calibri" w:hAnsi="Arial" w:cs="Arial"/>
          <w:bCs/>
          <w:color w:val="000000" w:themeColor="text1"/>
          <w:sz w:val="22"/>
          <w:lang w:val="es-ES"/>
        </w:rPr>
        <w:t xml:space="preserve"> si llegado el</w:t>
      </w:r>
      <w:r w:rsidR="00A459B1">
        <w:rPr>
          <w:rFonts w:ascii="Arial" w:eastAsia="Calibri" w:hAnsi="Arial" w:cs="Arial"/>
          <w:bCs/>
          <w:color w:val="000000" w:themeColor="text1"/>
          <w:sz w:val="22"/>
          <w:lang w:val="es-ES"/>
        </w:rPr>
        <w:t xml:space="preserve"> </w:t>
      </w:r>
      <w:proofErr w:type="gramStart"/>
      <w:r w:rsidR="00A459B1">
        <w:rPr>
          <w:rFonts w:ascii="Arial" w:eastAsia="Calibri" w:hAnsi="Arial" w:cs="Arial"/>
          <w:bCs/>
          <w:color w:val="000000" w:themeColor="text1"/>
          <w:sz w:val="22"/>
          <w:lang w:val="es-ES"/>
        </w:rPr>
        <w:t>día</w:t>
      </w:r>
      <w:r w:rsidR="00C522EF">
        <w:rPr>
          <w:rFonts w:ascii="Arial" w:eastAsia="Calibri" w:hAnsi="Arial" w:cs="Arial"/>
          <w:bCs/>
          <w:color w:val="000000" w:themeColor="text1"/>
          <w:sz w:val="22"/>
          <w:lang w:val="es-ES"/>
        </w:rPr>
        <w:t xml:space="preserve"> sábado</w:t>
      </w:r>
      <w:proofErr w:type="gramEnd"/>
      <w:r w:rsidR="00C522EF">
        <w:rPr>
          <w:rFonts w:ascii="Arial" w:eastAsia="Calibri" w:hAnsi="Arial" w:cs="Arial"/>
          <w:bCs/>
          <w:color w:val="000000" w:themeColor="text1"/>
          <w:sz w:val="22"/>
          <w:lang w:val="es-ES"/>
        </w:rPr>
        <w:t xml:space="preserve"> no ha ven</w:t>
      </w:r>
      <w:r w:rsidR="00107DD4">
        <w:rPr>
          <w:rFonts w:ascii="Arial" w:eastAsia="Calibri" w:hAnsi="Arial" w:cs="Arial"/>
          <w:bCs/>
          <w:color w:val="000000" w:themeColor="text1"/>
          <w:sz w:val="22"/>
          <w:lang w:val="es-ES"/>
        </w:rPr>
        <w:t xml:space="preserve">cido el plazo, este reanudará </w:t>
      </w:r>
      <w:r w:rsidR="00597138">
        <w:rPr>
          <w:rFonts w:ascii="Arial" w:eastAsia="Calibri" w:hAnsi="Arial" w:cs="Arial"/>
          <w:bCs/>
          <w:color w:val="000000" w:themeColor="text1"/>
          <w:sz w:val="22"/>
          <w:lang w:val="es-ES"/>
        </w:rPr>
        <w:t>el próximo día hábil</w:t>
      </w:r>
      <w:r w:rsidR="00B241CC">
        <w:rPr>
          <w:rFonts w:ascii="Arial" w:eastAsia="Calibri" w:hAnsi="Arial" w:cs="Arial"/>
          <w:bCs/>
          <w:color w:val="000000" w:themeColor="text1"/>
          <w:sz w:val="22"/>
          <w:lang w:val="es-ES"/>
        </w:rPr>
        <w:t xml:space="preserve"> que, en este caso hipotético, sería el martes.</w:t>
      </w:r>
    </w:p>
    <w:p w14:paraId="0100B9DE" w14:textId="39E5DB1A" w:rsidR="00E61EEB" w:rsidRPr="00E85B58" w:rsidRDefault="00E61EEB" w:rsidP="00E61EEB">
      <w:pPr>
        <w:pStyle w:val="Prrafodelista"/>
        <w:tabs>
          <w:tab w:val="left" w:pos="0"/>
        </w:tabs>
        <w:spacing w:line="276" w:lineRule="auto"/>
        <w:ind w:left="0"/>
        <w:contextualSpacing w:val="0"/>
        <w:jc w:val="both"/>
        <w:rPr>
          <w:color w:val="000000" w:themeColor="text1"/>
          <w:sz w:val="22"/>
        </w:rPr>
      </w:pPr>
      <w:r w:rsidRPr="00E85B58">
        <w:rPr>
          <w:rFonts w:ascii="Arial" w:eastAsia="Calibri" w:hAnsi="Arial" w:cs="Arial"/>
          <w:bCs/>
          <w:color w:val="000000" w:themeColor="text1"/>
          <w:sz w:val="22"/>
          <w:lang w:val="es-ES"/>
        </w:rPr>
        <w:tab/>
      </w:r>
    </w:p>
    <w:p w14:paraId="13E72423" w14:textId="77777777" w:rsidR="00E61EEB" w:rsidRPr="00E85B58" w:rsidRDefault="00E61EEB" w:rsidP="00E61EEB">
      <w:pPr>
        <w:pStyle w:val="Prrafodelista"/>
        <w:numPr>
          <w:ilvl w:val="0"/>
          <w:numId w:val="1"/>
        </w:numPr>
        <w:tabs>
          <w:tab w:val="left" w:pos="284"/>
        </w:tabs>
        <w:spacing w:line="276" w:lineRule="auto"/>
        <w:ind w:left="0" w:firstLine="0"/>
        <w:rPr>
          <w:rFonts w:ascii="Arial" w:eastAsia="Calibri" w:hAnsi="Arial" w:cs="Arial"/>
          <w:b/>
          <w:color w:val="000000" w:themeColor="text1"/>
          <w:sz w:val="22"/>
        </w:rPr>
      </w:pPr>
      <w:r w:rsidRPr="00E85B58">
        <w:rPr>
          <w:rFonts w:ascii="Arial" w:eastAsia="Calibri" w:hAnsi="Arial" w:cs="Arial"/>
          <w:b/>
          <w:color w:val="000000" w:themeColor="text1"/>
          <w:sz w:val="22"/>
        </w:rPr>
        <w:t>Respuesta</w:t>
      </w:r>
    </w:p>
    <w:p w14:paraId="256205D2" w14:textId="77777777" w:rsidR="00E61EEB" w:rsidRPr="00E85B58" w:rsidRDefault="00E61EEB" w:rsidP="00E61EEB">
      <w:pPr>
        <w:spacing w:line="276" w:lineRule="auto"/>
        <w:jc w:val="both"/>
        <w:rPr>
          <w:rFonts w:ascii="Arial" w:eastAsia="Calibri" w:hAnsi="Arial" w:cs="Arial"/>
          <w:color w:val="000000" w:themeColor="text1"/>
          <w:sz w:val="22"/>
        </w:rPr>
      </w:pPr>
    </w:p>
    <w:p w14:paraId="3C86039F" w14:textId="4F7A7811" w:rsidR="00E61EEB" w:rsidRPr="00E85B58" w:rsidRDefault="00E61EEB" w:rsidP="00D92871">
      <w:pPr>
        <w:ind w:left="709" w:right="709"/>
        <w:jc w:val="both"/>
        <w:rPr>
          <w:rFonts w:ascii="Arial" w:eastAsia="Calibri" w:hAnsi="Arial" w:cs="Arial"/>
          <w:color w:val="000000" w:themeColor="text1"/>
          <w:sz w:val="21"/>
          <w:szCs w:val="21"/>
        </w:rPr>
      </w:pPr>
      <w:r w:rsidRPr="00E85B58">
        <w:rPr>
          <w:rFonts w:ascii="Arial" w:eastAsia="Calibri" w:hAnsi="Arial" w:cs="Arial"/>
          <w:color w:val="000000" w:themeColor="text1"/>
          <w:sz w:val="21"/>
          <w:szCs w:val="21"/>
        </w:rPr>
        <w:t>«</w:t>
      </w:r>
      <w:r w:rsidR="00D92871" w:rsidRPr="00D92871">
        <w:rPr>
          <w:rFonts w:ascii="Arial" w:eastAsia="Calibri" w:hAnsi="Arial" w:cs="Arial"/>
          <w:color w:val="000000" w:themeColor="text1"/>
          <w:sz w:val="21"/>
          <w:szCs w:val="21"/>
        </w:rPr>
        <w:t xml:space="preserve">El artículo 2.2.1.1.1.7.1 del Decreto 1082 de 2015 establece que: "Publicidad en el SECOP. La Entidad Estatal está obligada a publicar en el SECOP los Documentos del Proceso y los actos administrativos del Proceso de Contratación, dentro de los tres (3) días siguientes a su </w:t>
      </w:r>
      <w:proofErr w:type="gramStart"/>
      <w:r w:rsidR="00D92871" w:rsidRPr="00D92871">
        <w:rPr>
          <w:rFonts w:ascii="Arial" w:eastAsia="Calibri" w:hAnsi="Arial" w:cs="Arial"/>
          <w:color w:val="000000" w:themeColor="text1"/>
          <w:sz w:val="21"/>
          <w:szCs w:val="21"/>
        </w:rPr>
        <w:t>expedición.(...)</w:t>
      </w:r>
      <w:proofErr w:type="gramEnd"/>
      <w:r w:rsidR="00D92871" w:rsidRPr="00D92871">
        <w:rPr>
          <w:rFonts w:ascii="Arial" w:eastAsia="Calibri" w:hAnsi="Arial" w:cs="Arial"/>
          <w:color w:val="000000" w:themeColor="text1"/>
          <w:sz w:val="21"/>
          <w:szCs w:val="21"/>
        </w:rPr>
        <w:t>"; de la norma en cita, solicito se me aclare si los tres días a que se refiere dicho artículo son días calendario o días hábiles.: [sic]»</w:t>
      </w:r>
    </w:p>
    <w:p w14:paraId="7C45C10A" w14:textId="77777777" w:rsidR="00E61EEB" w:rsidRPr="00E85B58" w:rsidRDefault="00E61EEB" w:rsidP="00E61EEB">
      <w:pPr>
        <w:spacing w:line="276" w:lineRule="auto"/>
        <w:ind w:left="567"/>
        <w:jc w:val="both"/>
        <w:rPr>
          <w:rFonts w:ascii="Arial" w:eastAsia="Calibri" w:hAnsi="Arial" w:cs="Arial"/>
          <w:color w:val="000000" w:themeColor="text1"/>
          <w:sz w:val="22"/>
        </w:rPr>
      </w:pPr>
    </w:p>
    <w:p w14:paraId="4C9AE5E5" w14:textId="0B34334F" w:rsidR="0047220A" w:rsidRDefault="00893336" w:rsidP="005A3382">
      <w:pPr>
        <w:spacing w:after="120" w:line="276" w:lineRule="auto"/>
        <w:jc w:val="both"/>
        <w:rPr>
          <w:rFonts w:ascii="Arial" w:eastAsia="Calibri" w:hAnsi="Arial" w:cs="Arial"/>
          <w:bCs/>
          <w:color w:val="000000" w:themeColor="text1"/>
          <w:sz w:val="22"/>
          <w:lang w:val="es-ES"/>
        </w:rPr>
      </w:pPr>
      <w:r>
        <w:rPr>
          <w:rFonts w:ascii="Arial" w:eastAsia="Calibri" w:hAnsi="Arial" w:cs="Arial"/>
          <w:bCs/>
          <w:color w:val="000000" w:themeColor="text1"/>
          <w:sz w:val="22"/>
          <w:lang w:val="es-ES"/>
        </w:rPr>
        <w:t xml:space="preserve">De conformidad con el artículo 62 de la Ley 4 de 1913, </w:t>
      </w:r>
      <w:r w:rsidR="00354B7B">
        <w:rPr>
          <w:rFonts w:ascii="Arial" w:eastAsia="Calibri" w:hAnsi="Arial" w:cs="Arial"/>
          <w:bCs/>
          <w:color w:val="000000" w:themeColor="text1"/>
          <w:sz w:val="22"/>
          <w:lang w:val="es-ES"/>
        </w:rPr>
        <w:t>los tres (3) días de los que consta el término</w:t>
      </w:r>
      <w:r w:rsidR="00027747" w:rsidRPr="00027747">
        <w:rPr>
          <w:rFonts w:ascii="Arial" w:eastAsia="Calibri" w:hAnsi="Arial" w:cs="Arial"/>
          <w:bCs/>
          <w:color w:val="000000" w:themeColor="text1"/>
          <w:sz w:val="22"/>
          <w:lang w:val="es-ES"/>
        </w:rPr>
        <w:t xml:space="preserve"> </w:t>
      </w:r>
      <w:r w:rsidR="00354B7B">
        <w:rPr>
          <w:rFonts w:ascii="Arial" w:eastAsia="Calibri" w:hAnsi="Arial" w:cs="Arial"/>
          <w:bCs/>
          <w:color w:val="000000" w:themeColor="text1"/>
          <w:sz w:val="22"/>
          <w:lang w:val="es-ES"/>
        </w:rPr>
        <w:t>establecido en</w:t>
      </w:r>
      <w:r w:rsidR="00027747" w:rsidRPr="00027747">
        <w:rPr>
          <w:rFonts w:ascii="Arial" w:eastAsia="Calibri" w:hAnsi="Arial" w:cs="Arial"/>
          <w:bCs/>
          <w:color w:val="000000" w:themeColor="text1"/>
          <w:sz w:val="22"/>
          <w:lang w:val="es-ES"/>
        </w:rPr>
        <w:t xml:space="preserve"> el artículo 2.2.1.1.1.7.1 del Decreto 1082 de 2015, </w:t>
      </w:r>
      <w:r w:rsidR="00354B7B">
        <w:rPr>
          <w:rFonts w:ascii="Arial" w:eastAsia="Calibri" w:hAnsi="Arial" w:cs="Arial"/>
          <w:bCs/>
          <w:color w:val="000000" w:themeColor="text1"/>
          <w:sz w:val="22"/>
          <w:lang w:val="es-ES"/>
        </w:rPr>
        <w:t xml:space="preserve">para la publicación de los Documentos del Proceso, deben entenderse como días hábiles. </w:t>
      </w:r>
    </w:p>
    <w:p w14:paraId="7B25A84B" w14:textId="4CC93FD8" w:rsidR="00E61EEB" w:rsidRDefault="00E57D37" w:rsidP="005A3382">
      <w:pPr>
        <w:spacing w:line="276" w:lineRule="auto"/>
        <w:ind w:firstLine="708"/>
        <w:jc w:val="both"/>
        <w:rPr>
          <w:rFonts w:ascii="Arial" w:eastAsia="Calibri" w:hAnsi="Arial" w:cs="Arial"/>
          <w:bCs/>
          <w:color w:val="000000" w:themeColor="text1"/>
          <w:sz w:val="22"/>
          <w:lang w:val="es-ES"/>
        </w:rPr>
      </w:pPr>
      <w:r>
        <w:rPr>
          <w:rFonts w:ascii="Arial" w:eastAsia="Calibri" w:hAnsi="Arial" w:cs="Arial"/>
          <w:bCs/>
          <w:color w:val="000000" w:themeColor="text1"/>
          <w:sz w:val="22"/>
          <w:lang w:val="es-ES"/>
        </w:rPr>
        <w:lastRenderedPageBreak/>
        <w:t xml:space="preserve"> </w:t>
      </w:r>
      <w:r w:rsidR="0047220A">
        <w:rPr>
          <w:rFonts w:ascii="Arial" w:eastAsia="Calibri" w:hAnsi="Arial" w:cs="Arial"/>
          <w:bCs/>
          <w:color w:val="000000" w:themeColor="text1"/>
          <w:sz w:val="22"/>
          <w:lang w:val="es-ES"/>
        </w:rPr>
        <w:t xml:space="preserve">A tales efectos, los días hábiles </w:t>
      </w:r>
      <w:r w:rsidR="00027747" w:rsidRPr="00027747">
        <w:rPr>
          <w:rFonts w:ascii="Arial" w:eastAsia="Calibri" w:hAnsi="Arial" w:cs="Arial"/>
          <w:bCs/>
          <w:color w:val="000000" w:themeColor="text1"/>
          <w:sz w:val="22"/>
          <w:lang w:val="es-ES"/>
        </w:rPr>
        <w:t xml:space="preserve">son aquellos de la semana durante los cuales las entidades públicas ejercen sus </w:t>
      </w:r>
      <w:r w:rsidR="00314F1B" w:rsidRPr="00027747">
        <w:rPr>
          <w:rFonts w:ascii="Arial" w:eastAsia="Calibri" w:hAnsi="Arial" w:cs="Arial"/>
          <w:bCs/>
          <w:color w:val="000000" w:themeColor="text1"/>
          <w:sz w:val="22"/>
          <w:lang w:val="es-ES"/>
        </w:rPr>
        <w:t xml:space="preserve">funciones </w:t>
      </w:r>
      <w:r w:rsidR="00314F1B">
        <w:rPr>
          <w:rFonts w:ascii="Arial" w:eastAsia="Calibri" w:hAnsi="Arial" w:cs="Arial"/>
          <w:bCs/>
          <w:color w:val="000000" w:themeColor="text1"/>
          <w:sz w:val="22"/>
          <w:lang w:val="es-ES"/>
        </w:rPr>
        <w:t>de</w:t>
      </w:r>
      <w:r w:rsidR="0047220A">
        <w:rPr>
          <w:rFonts w:ascii="Arial" w:eastAsia="Calibri" w:hAnsi="Arial" w:cs="Arial"/>
          <w:bCs/>
          <w:color w:val="000000" w:themeColor="text1"/>
          <w:sz w:val="22"/>
          <w:lang w:val="es-ES"/>
        </w:rPr>
        <w:t xml:space="preserve"> cara </w:t>
      </w:r>
      <w:r w:rsidR="00027747" w:rsidRPr="00027747">
        <w:rPr>
          <w:rFonts w:ascii="Arial" w:eastAsia="Calibri" w:hAnsi="Arial" w:cs="Arial"/>
          <w:bCs/>
          <w:color w:val="000000" w:themeColor="text1"/>
          <w:sz w:val="22"/>
          <w:lang w:val="es-ES"/>
        </w:rPr>
        <w:t xml:space="preserve">al público, </w:t>
      </w:r>
      <w:r w:rsidR="0047220A">
        <w:rPr>
          <w:rFonts w:ascii="Arial" w:eastAsia="Calibri" w:hAnsi="Arial" w:cs="Arial"/>
          <w:bCs/>
          <w:color w:val="000000" w:themeColor="text1"/>
          <w:sz w:val="22"/>
          <w:lang w:val="es-ES"/>
        </w:rPr>
        <w:t>que</w:t>
      </w:r>
      <w:r w:rsidR="00027747" w:rsidRPr="00027747">
        <w:rPr>
          <w:rFonts w:ascii="Arial" w:eastAsia="Calibri" w:hAnsi="Arial" w:cs="Arial"/>
          <w:bCs/>
          <w:color w:val="000000" w:themeColor="text1"/>
          <w:sz w:val="22"/>
          <w:lang w:val="es-ES"/>
        </w:rPr>
        <w:t xml:space="preserve"> son, por regla general, todos los días de la semana, con excepción de los sábados, domingos y feriados previstos en la generalidad de entidades como días de descanso</w:t>
      </w:r>
      <w:r>
        <w:rPr>
          <w:rFonts w:ascii="Arial" w:eastAsia="Calibri" w:hAnsi="Arial" w:cs="Arial"/>
          <w:bCs/>
          <w:color w:val="000000" w:themeColor="text1"/>
          <w:sz w:val="22"/>
          <w:lang w:val="es-ES"/>
        </w:rPr>
        <w:t xml:space="preserve">. Lo anterior, </w:t>
      </w:r>
      <w:r w:rsidR="00027747" w:rsidRPr="00027747">
        <w:rPr>
          <w:rFonts w:ascii="Arial" w:eastAsia="Calibri" w:hAnsi="Arial" w:cs="Arial"/>
          <w:bCs/>
          <w:color w:val="000000" w:themeColor="text1"/>
          <w:sz w:val="22"/>
          <w:lang w:val="es-ES"/>
        </w:rPr>
        <w:t xml:space="preserve">sin perjuicio de que </w:t>
      </w:r>
      <w:r w:rsidR="0047220A">
        <w:rPr>
          <w:rFonts w:ascii="Arial" w:eastAsia="Calibri" w:hAnsi="Arial" w:cs="Arial"/>
          <w:bCs/>
          <w:color w:val="000000" w:themeColor="text1"/>
          <w:sz w:val="22"/>
          <w:lang w:val="es-ES"/>
        </w:rPr>
        <w:t>las entidades</w:t>
      </w:r>
      <w:r w:rsidR="00314F1B">
        <w:rPr>
          <w:rFonts w:ascii="Arial" w:eastAsia="Calibri" w:hAnsi="Arial" w:cs="Arial"/>
          <w:bCs/>
          <w:color w:val="000000" w:themeColor="text1"/>
          <w:sz w:val="22"/>
          <w:lang w:val="es-ES"/>
        </w:rPr>
        <w:t xml:space="preserve"> esta</w:t>
      </w:r>
      <w:r w:rsidR="005072CD">
        <w:rPr>
          <w:rFonts w:ascii="Arial" w:eastAsia="Calibri" w:hAnsi="Arial" w:cs="Arial"/>
          <w:bCs/>
          <w:color w:val="000000" w:themeColor="text1"/>
          <w:sz w:val="22"/>
          <w:lang w:val="es-ES"/>
        </w:rPr>
        <w:t>tales</w:t>
      </w:r>
      <w:r w:rsidR="0047220A">
        <w:rPr>
          <w:rFonts w:ascii="Arial" w:eastAsia="Calibri" w:hAnsi="Arial" w:cs="Arial"/>
          <w:bCs/>
          <w:color w:val="000000" w:themeColor="text1"/>
          <w:sz w:val="22"/>
          <w:lang w:val="es-ES"/>
        </w:rPr>
        <w:t xml:space="preserve"> </w:t>
      </w:r>
      <w:r w:rsidR="00430828">
        <w:rPr>
          <w:rFonts w:ascii="Arial" w:eastAsia="Calibri" w:hAnsi="Arial" w:cs="Arial"/>
          <w:bCs/>
          <w:color w:val="000000" w:themeColor="text1"/>
          <w:sz w:val="22"/>
          <w:lang w:val="es-ES"/>
        </w:rPr>
        <w:t>f</w:t>
      </w:r>
      <w:r w:rsidR="00027747" w:rsidRPr="00027747">
        <w:rPr>
          <w:rFonts w:ascii="Arial" w:eastAsia="Calibri" w:hAnsi="Arial" w:cs="Arial"/>
          <w:bCs/>
          <w:color w:val="000000" w:themeColor="text1"/>
          <w:sz w:val="22"/>
          <w:lang w:val="es-ES"/>
        </w:rPr>
        <w:t xml:space="preserve">ijen </w:t>
      </w:r>
      <w:r w:rsidR="00430828">
        <w:rPr>
          <w:rFonts w:ascii="Arial" w:eastAsia="Calibri" w:hAnsi="Arial" w:cs="Arial"/>
          <w:bCs/>
          <w:color w:val="000000" w:themeColor="text1"/>
          <w:sz w:val="22"/>
          <w:lang w:val="es-ES"/>
        </w:rPr>
        <w:t xml:space="preserve">en sus reglamentos internos </w:t>
      </w:r>
      <w:r w:rsidR="00027747" w:rsidRPr="00027747">
        <w:rPr>
          <w:rFonts w:ascii="Arial" w:eastAsia="Calibri" w:hAnsi="Arial" w:cs="Arial"/>
          <w:bCs/>
          <w:color w:val="000000" w:themeColor="text1"/>
          <w:sz w:val="22"/>
          <w:lang w:val="es-ES"/>
        </w:rPr>
        <w:t>jornadas laborales distintas</w:t>
      </w:r>
      <w:r w:rsidR="00430828">
        <w:rPr>
          <w:rFonts w:ascii="Arial" w:eastAsia="Calibri" w:hAnsi="Arial" w:cs="Arial"/>
          <w:bCs/>
          <w:color w:val="000000" w:themeColor="text1"/>
          <w:sz w:val="22"/>
          <w:lang w:val="es-ES"/>
        </w:rPr>
        <w:t xml:space="preserve"> que incluy</w:t>
      </w:r>
      <w:r w:rsidR="009E3F07">
        <w:rPr>
          <w:rFonts w:ascii="Arial" w:eastAsia="Calibri" w:hAnsi="Arial" w:cs="Arial"/>
          <w:bCs/>
          <w:color w:val="000000" w:themeColor="text1"/>
          <w:sz w:val="22"/>
          <w:lang w:val="es-ES"/>
        </w:rPr>
        <w:t>a</w:t>
      </w:r>
      <w:r w:rsidR="00430828">
        <w:rPr>
          <w:rFonts w:ascii="Arial" w:eastAsia="Calibri" w:hAnsi="Arial" w:cs="Arial"/>
          <w:bCs/>
          <w:color w:val="000000" w:themeColor="text1"/>
          <w:sz w:val="22"/>
          <w:lang w:val="es-ES"/>
        </w:rPr>
        <w:t>n, por</w:t>
      </w:r>
      <w:r w:rsidR="00D6495F">
        <w:rPr>
          <w:rFonts w:ascii="Arial" w:eastAsia="Calibri" w:hAnsi="Arial" w:cs="Arial"/>
          <w:bCs/>
          <w:color w:val="000000" w:themeColor="text1"/>
          <w:sz w:val="22"/>
          <w:lang w:val="es-ES"/>
        </w:rPr>
        <w:t xml:space="preserve"> ejemplo, fines de semana como días hábiles.</w:t>
      </w:r>
    </w:p>
    <w:p w14:paraId="1598628C" w14:textId="77777777" w:rsidR="00027747" w:rsidRPr="00E85B58" w:rsidRDefault="00027747" w:rsidP="00027747">
      <w:pPr>
        <w:spacing w:line="276" w:lineRule="auto"/>
        <w:jc w:val="both"/>
        <w:rPr>
          <w:rFonts w:ascii="Arial" w:hAnsi="Arial" w:cs="Arial"/>
          <w:color w:val="000000" w:themeColor="text1"/>
          <w:sz w:val="22"/>
          <w:lang w:val="es-ES"/>
        </w:rPr>
      </w:pPr>
    </w:p>
    <w:p w14:paraId="5B44AB81" w14:textId="5AD0C17A" w:rsidR="00E61EEB" w:rsidRPr="0091437B" w:rsidRDefault="00E61EEB" w:rsidP="0077460F">
      <w:pPr>
        <w:spacing w:line="276" w:lineRule="auto"/>
        <w:jc w:val="both"/>
        <w:rPr>
          <w:rFonts w:ascii="Arial" w:hAnsi="Arial" w:cs="Arial"/>
          <w:color w:val="1A1A1A" w:themeColor="background1" w:themeShade="1A"/>
          <w:sz w:val="22"/>
        </w:rPr>
      </w:pPr>
      <w:r w:rsidRPr="0091437B">
        <w:rPr>
          <w:rFonts w:ascii="Arial" w:hAnsi="Arial" w:cs="Arial"/>
          <w:color w:val="1A1A1A" w:themeColor="background1" w:themeShade="1A"/>
          <w:sz w:val="22"/>
        </w:rPr>
        <w:t>Este concepto tiene el alcance previsto en el artículo 28 del Código de Procedimiento Administrativo y de lo Contencioso Administrativo, modificado por el artículo 1 de la Ley 1755 de 2015.</w:t>
      </w:r>
    </w:p>
    <w:p w14:paraId="7474575D" w14:textId="77777777" w:rsidR="00E61EEB" w:rsidRPr="0091437B" w:rsidRDefault="00E61EEB" w:rsidP="00E61EEB">
      <w:pPr>
        <w:jc w:val="center"/>
        <w:rPr>
          <w:rFonts w:ascii="Arial" w:eastAsia="Times New Roman" w:hAnsi="Arial" w:cs="Arial"/>
          <w:color w:val="1A1A1A" w:themeColor="background1" w:themeShade="1A"/>
          <w:sz w:val="18"/>
          <w:szCs w:val="20"/>
          <w:lang w:eastAsia="es-CO"/>
        </w:rPr>
      </w:pPr>
    </w:p>
    <w:p w14:paraId="67383ADF" w14:textId="625EF3EC" w:rsidR="00E61EEB" w:rsidRDefault="00E61EEB"/>
    <w:p w14:paraId="4BE923D8" w14:textId="77777777" w:rsidR="0077460F" w:rsidRPr="0091437B" w:rsidRDefault="0077460F" w:rsidP="0077460F">
      <w:pPr>
        <w:pStyle w:val="NormalWeb"/>
        <w:spacing w:before="0" w:beforeAutospacing="0" w:after="0" w:afterAutospacing="0" w:line="276" w:lineRule="auto"/>
        <w:jc w:val="both"/>
        <w:rPr>
          <w:rFonts w:ascii="Arial" w:hAnsi="Arial" w:cs="Arial"/>
          <w:color w:val="1A1A1A" w:themeColor="background1" w:themeShade="1A"/>
          <w:sz w:val="22"/>
          <w:szCs w:val="22"/>
          <w:lang w:val="es-MX"/>
        </w:rPr>
      </w:pPr>
      <w:r w:rsidRPr="0091437B">
        <w:rPr>
          <w:rFonts w:ascii="Arial" w:hAnsi="Arial" w:cs="Arial"/>
          <w:color w:val="1A1A1A" w:themeColor="background1" w:themeShade="1A"/>
          <w:sz w:val="22"/>
          <w:szCs w:val="22"/>
          <w:lang w:val="es-MX"/>
        </w:rPr>
        <w:t>Atentamente,</w:t>
      </w:r>
    </w:p>
    <w:bookmarkEnd w:id="2"/>
    <w:p w14:paraId="4A10E737" w14:textId="77777777" w:rsidR="0077460F" w:rsidRPr="0091437B" w:rsidRDefault="0077460F" w:rsidP="0077460F">
      <w:pPr>
        <w:jc w:val="center"/>
        <w:rPr>
          <w:rFonts w:ascii="Arial" w:eastAsia="Times New Roman" w:hAnsi="Arial" w:cs="Arial"/>
          <w:color w:val="1A1A1A" w:themeColor="background1" w:themeShade="1A"/>
          <w:sz w:val="18"/>
          <w:szCs w:val="20"/>
          <w:lang w:eastAsia="es-CO"/>
        </w:rPr>
      </w:pPr>
    </w:p>
    <w:p w14:paraId="05830958" w14:textId="7450CD81" w:rsidR="0077460F" w:rsidRPr="00606E0A" w:rsidRDefault="43ED54E2" w:rsidP="530CCD96">
      <w:pPr>
        <w:pStyle w:val="NormalWeb"/>
        <w:spacing w:before="0" w:beforeAutospacing="0" w:after="0" w:afterAutospacing="0" w:line="276" w:lineRule="auto"/>
        <w:jc w:val="center"/>
      </w:pPr>
      <w:r>
        <w:rPr>
          <w:noProof/>
        </w:rPr>
        <w:drawing>
          <wp:inline distT="0" distB="0" distL="0" distR="0" wp14:anchorId="533A53DB" wp14:editId="43ED54E2">
            <wp:extent cx="2514600" cy="1114425"/>
            <wp:effectExtent l="0" t="0" r="0" b="0"/>
            <wp:docPr id="499442992" name="Imagen 4994429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2514600" cy="1114425"/>
                    </a:xfrm>
                    <a:prstGeom prst="rect">
                      <a:avLst/>
                    </a:prstGeom>
                  </pic:spPr>
                </pic:pic>
              </a:graphicData>
            </a:graphic>
          </wp:inline>
        </w:drawing>
      </w:r>
    </w:p>
    <w:p w14:paraId="16CFB6D6" w14:textId="37183D0C" w:rsidR="00491CA2" w:rsidRDefault="00491CA2" w:rsidP="530CCD96">
      <w:pPr>
        <w:jc w:val="center"/>
        <w:rPr>
          <w:rFonts w:ascii="Arial" w:hAnsi="Arial" w:cs="Arial"/>
          <w:szCs w:val="24"/>
          <w:lang w:val="es-ES" w:eastAsia="es-CO"/>
        </w:rPr>
      </w:pPr>
    </w:p>
    <w:p w14:paraId="2AF3D990" w14:textId="77777777" w:rsidR="00491CA2" w:rsidRPr="00606E0A" w:rsidRDefault="00491CA2" w:rsidP="0077460F">
      <w:pPr>
        <w:jc w:val="center"/>
        <w:rPr>
          <w:rFonts w:ascii="Arial" w:hAnsi="Arial" w:cs="Arial"/>
          <w:sz w:val="18"/>
          <w:szCs w:val="20"/>
          <w:lang w:val="es-ES_tradnl"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4"/>
        <w:gridCol w:w="4413"/>
      </w:tblGrid>
      <w:tr w:rsidR="0077460F" w:rsidRPr="00606E0A" w14:paraId="2064D2E8" w14:textId="77777777" w:rsidTr="00A4653A">
        <w:trPr>
          <w:trHeight w:val="315"/>
        </w:trPr>
        <w:tc>
          <w:tcPr>
            <w:tcW w:w="1044" w:type="dxa"/>
            <w:vAlign w:val="center"/>
          </w:tcPr>
          <w:p w14:paraId="05348648" w14:textId="77777777" w:rsidR="0077460F" w:rsidRPr="00606E0A" w:rsidRDefault="0077460F" w:rsidP="00A4653A">
            <w:pPr>
              <w:jc w:val="both"/>
              <w:rPr>
                <w:rFonts w:ascii="Arial" w:hAnsi="Arial" w:cs="Arial"/>
                <w:sz w:val="16"/>
                <w:szCs w:val="16"/>
                <w:lang w:val="es-ES_tradnl" w:eastAsia="es-ES"/>
              </w:rPr>
            </w:pPr>
            <w:bookmarkStart w:id="10" w:name="_Hlk67661993"/>
            <w:r w:rsidRPr="00606E0A">
              <w:rPr>
                <w:rFonts w:ascii="Arial" w:hAnsi="Arial" w:cs="Arial"/>
                <w:sz w:val="16"/>
                <w:szCs w:val="16"/>
                <w:lang w:val="es-ES_tradnl" w:eastAsia="es-ES"/>
              </w:rPr>
              <w:t>Elaboró:</w:t>
            </w:r>
          </w:p>
        </w:tc>
        <w:tc>
          <w:tcPr>
            <w:tcW w:w="4413" w:type="dxa"/>
            <w:tcBorders>
              <w:top w:val="nil"/>
              <w:left w:val="nil"/>
              <w:bottom w:val="dotted" w:sz="4" w:space="0" w:color="7F7F7F" w:themeColor="text1" w:themeTint="80"/>
              <w:right w:val="nil"/>
            </w:tcBorders>
            <w:vAlign w:val="center"/>
          </w:tcPr>
          <w:p w14:paraId="4B103C31" w14:textId="77777777" w:rsidR="0077460F" w:rsidRPr="00606E0A" w:rsidRDefault="0077460F" w:rsidP="00A4653A">
            <w:pPr>
              <w:jc w:val="both"/>
              <w:rPr>
                <w:rFonts w:ascii="Arial" w:hAnsi="Arial" w:cs="Arial"/>
                <w:sz w:val="16"/>
                <w:szCs w:val="16"/>
                <w:lang w:val="es-ES_tradnl" w:eastAsia="es-ES"/>
              </w:rPr>
            </w:pPr>
            <w:r>
              <w:rPr>
                <w:rFonts w:ascii="Arial" w:hAnsi="Arial" w:cs="Arial"/>
                <w:sz w:val="16"/>
                <w:szCs w:val="16"/>
                <w:lang w:val="es-ES_tradnl" w:eastAsia="es-ES"/>
              </w:rPr>
              <w:t>Kevin Arlid Herrera Santa</w:t>
            </w:r>
          </w:p>
          <w:p w14:paraId="48E1FAF1" w14:textId="77777777" w:rsidR="0077460F" w:rsidRPr="00606E0A" w:rsidRDefault="0077460F" w:rsidP="00A4653A">
            <w:pPr>
              <w:jc w:val="both"/>
              <w:rPr>
                <w:rFonts w:ascii="Arial" w:hAnsi="Arial" w:cs="Arial"/>
                <w:sz w:val="16"/>
                <w:szCs w:val="16"/>
                <w:lang w:val="es-ES_tradnl" w:eastAsia="es-ES"/>
              </w:rPr>
            </w:pPr>
            <w:r>
              <w:rPr>
                <w:rFonts w:ascii="Arial" w:hAnsi="Arial" w:cs="Arial"/>
                <w:sz w:val="16"/>
                <w:szCs w:val="16"/>
                <w:lang w:val="es-ES_tradnl" w:eastAsia="es-ES"/>
              </w:rPr>
              <w:t>Analista T2-04</w:t>
            </w:r>
            <w:r w:rsidRPr="00606E0A">
              <w:rPr>
                <w:rFonts w:ascii="Arial" w:hAnsi="Arial" w:cs="Arial"/>
                <w:sz w:val="16"/>
                <w:szCs w:val="16"/>
                <w:lang w:val="es-ES_tradnl" w:eastAsia="es-ES"/>
              </w:rPr>
              <w:t xml:space="preserve"> de la Subdirección de Gestión Contractual</w:t>
            </w:r>
          </w:p>
        </w:tc>
      </w:tr>
      <w:tr w:rsidR="0077460F" w:rsidRPr="00606E0A" w14:paraId="27EECD34" w14:textId="77777777" w:rsidTr="00A4653A">
        <w:trPr>
          <w:trHeight w:val="330"/>
        </w:trPr>
        <w:tc>
          <w:tcPr>
            <w:tcW w:w="1044" w:type="dxa"/>
            <w:vAlign w:val="center"/>
            <w:hideMark/>
          </w:tcPr>
          <w:p w14:paraId="56FBE293" w14:textId="77777777" w:rsidR="0077460F" w:rsidRPr="00606E0A" w:rsidRDefault="0077460F" w:rsidP="00A4653A">
            <w:pPr>
              <w:jc w:val="both"/>
              <w:rPr>
                <w:rFonts w:ascii="Arial" w:hAnsi="Arial" w:cs="Arial"/>
                <w:sz w:val="16"/>
                <w:szCs w:val="16"/>
                <w:lang w:val="es-ES_tradnl" w:eastAsia="es-ES"/>
              </w:rPr>
            </w:pPr>
            <w:r w:rsidRPr="00606E0A">
              <w:rPr>
                <w:rFonts w:ascii="Arial" w:hAnsi="Arial" w:cs="Arial"/>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18300882" w14:textId="77777777" w:rsidR="0077460F" w:rsidRPr="00606E0A" w:rsidRDefault="0077460F" w:rsidP="00A4653A">
            <w:pPr>
              <w:jc w:val="both"/>
              <w:rPr>
                <w:rFonts w:ascii="Arial" w:hAnsi="Arial" w:cs="Arial"/>
                <w:sz w:val="16"/>
                <w:szCs w:val="16"/>
                <w:lang w:val="es-ES_tradnl" w:eastAsia="es-ES"/>
              </w:rPr>
            </w:pPr>
            <w:r w:rsidRPr="00606E0A">
              <w:rPr>
                <w:rFonts w:ascii="Arial" w:hAnsi="Arial" w:cs="Arial"/>
                <w:sz w:val="16"/>
                <w:szCs w:val="16"/>
                <w:lang w:val="es-ES_tradnl" w:eastAsia="es-ES"/>
              </w:rPr>
              <w:t>Alejandro Sarmiento Cantillo</w:t>
            </w:r>
          </w:p>
          <w:p w14:paraId="05C3144F" w14:textId="77777777" w:rsidR="0077460F" w:rsidRPr="00606E0A" w:rsidRDefault="0077460F" w:rsidP="00A4653A">
            <w:pPr>
              <w:jc w:val="both"/>
              <w:rPr>
                <w:rFonts w:ascii="Arial" w:hAnsi="Arial" w:cs="Arial"/>
                <w:sz w:val="16"/>
                <w:szCs w:val="16"/>
                <w:lang w:val="es-ES_tradnl" w:eastAsia="es-ES"/>
              </w:rPr>
            </w:pPr>
            <w:r w:rsidRPr="00606E0A">
              <w:rPr>
                <w:rFonts w:ascii="Arial" w:hAnsi="Arial" w:cs="Arial"/>
                <w:sz w:val="16"/>
                <w:szCs w:val="16"/>
                <w:lang w:val="es-ES_tradnl" w:eastAsia="es-ES"/>
              </w:rPr>
              <w:t>Gestor T1-11 de la Subdirección de Gestión Contractual</w:t>
            </w:r>
          </w:p>
        </w:tc>
      </w:tr>
      <w:tr w:rsidR="0077460F" w:rsidRPr="00606E0A" w14:paraId="0D33CCA5" w14:textId="77777777" w:rsidTr="00A4653A">
        <w:trPr>
          <w:trHeight w:val="300"/>
        </w:trPr>
        <w:tc>
          <w:tcPr>
            <w:tcW w:w="1044" w:type="dxa"/>
            <w:vAlign w:val="center"/>
            <w:hideMark/>
          </w:tcPr>
          <w:p w14:paraId="0F4307B4" w14:textId="77777777" w:rsidR="0077460F" w:rsidRPr="00606E0A" w:rsidRDefault="0077460F" w:rsidP="00A4653A">
            <w:pPr>
              <w:jc w:val="both"/>
              <w:rPr>
                <w:rFonts w:ascii="Arial" w:hAnsi="Arial" w:cs="Arial"/>
                <w:sz w:val="16"/>
                <w:szCs w:val="16"/>
                <w:lang w:val="es-ES_tradnl" w:eastAsia="es-ES"/>
              </w:rPr>
            </w:pPr>
            <w:r w:rsidRPr="00606E0A">
              <w:rPr>
                <w:rFonts w:ascii="Arial" w:hAnsi="Arial" w:cs="Arial"/>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198B46A1" w14:textId="77777777" w:rsidR="0077460F" w:rsidRPr="00606E0A" w:rsidRDefault="0077460F" w:rsidP="00A4653A">
            <w:pPr>
              <w:jc w:val="both"/>
              <w:rPr>
                <w:rFonts w:ascii="Arial" w:hAnsi="Arial" w:cs="Arial"/>
                <w:sz w:val="16"/>
                <w:szCs w:val="16"/>
                <w:lang w:val="es-ES_tradnl" w:eastAsia="es-ES"/>
              </w:rPr>
            </w:pPr>
            <w:r w:rsidRPr="00606E0A">
              <w:rPr>
                <w:rFonts w:ascii="Arial" w:hAnsi="Arial" w:cs="Arial"/>
                <w:sz w:val="16"/>
                <w:szCs w:val="16"/>
                <w:lang w:val="es-ES_tradnl" w:eastAsia="es-ES"/>
              </w:rPr>
              <w:t>Jorge Augusto Tirado Navarro</w:t>
            </w:r>
          </w:p>
          <w:p w14:paraId="0F2157D9" w14:textId="77777777" w:rsidR="0077460F" w:rsidRPr="00606E0A" w:rsidRDefault="0077460F" w:rsidP="00A4653A">
            <w:pPr>
              <w:jc w:val="both"/>
              <w:rPr>
                <w:rFonts w:ascii="Arial" w:hAnsi="Arial" w:cs="Arial"/>
                <w:sz w:val="16"/>
                <w:szCs w:val="16"/>
                <w:lang w:val="es-ES_tradnl" w:eastAsia="es-ES"/>
              </w:rPr>
            </w:pPr>
            <w:r w:rsidRPr="00606E0A">
              <w:rPr>
                <w:rFonts w:ascii="Arial" w:hAnsi="Arial" w:cs="Arial"/>
                <w:sz w:val="16"/>
                <w:szCs w:val="16"/>
                <w:lang w:val="es-ES_tradnl" w:eastAsia="es-ES"/>
              </w:rPr>
              <w:t>Subdirector de Gestión Contractual</w:t>
            </w:r>
            <w:r>
              <w:rPr>
                <w:rFonts w:ascii="Arial" w:hAnsi="Arial" w:cs="Arial"/>
                <w:sz w:val="16"/>
                <w:szCs w:val="16"/>
                <w:lang w:val="es-ES_tradnl" w:eastAsia="es-ES"/>
              </w:rPr>
              <w:t xml:space="preserve"> ANCP – CCE</w:t>
            </w:r>
          </w:p>
        </w:tc>
      </w:tr>
      <w:bookmarkEnd w:id="3"/>
      <w:bookmarkEnd w:id="10"/>
    </w:tbl>
    <w:p w14:paraId="6FC0A0E3" w14:textId="77777777" w:rsidR="0077460F" w:rsidRDefault="0077460F"/>
    <w:sectPr w:rsidR="0077460F" w:rsidSect="005B0C2C">
      <w:headerReference w:type="default" r:id="rId13"/>
      <w:footerReference w:type="default" r:id="rId14"/>
      <w:pgSz w:w="12240" w:h="15840"/>
      <w:pgMar w:top="1985"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A66B40" w14:textId="77777777" w:rsidR="003A49BB" w:rsidRDefault="003A49BB" w:rsidP="00E61EEB">
      <w:r>
        <w:separator/>
      </w:r>
    </w:p>
  </w:endnote>
  <w:endnote w:type="continuationSeparator" w:id="0">
    <w:p w14:paraId="5CC8FDFC" w14:textId="77777777" w:rsidR="003A49BB" w:rsidRDefault="003A49BB" w:rsidP="00E61E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9C9784" w14:textId="77777777" w:rsidR="00B10353" w:rsidRPr="00F820CA" w:rsidRDefault="003A49BB" w:rsidP="00322937">
    <w:pPr>
      <w:pStyle w:val="Sinespaciado"/>
      <w:jc w:val="right"/>
      <w:rPr>
        <w:rFonts w:ascii="Arial" w:hAnsi="Arial" w:cs="Arial"/>
        <w:sz w:val="16"/>
        <w:szCs w:val="16"/>
      </w:rPr>
    </w:pPr>
  </w:p>
  <w:p w14:paraId="356D9D9D" w14:textId="77777777" w:rsidR="00B10353" w:rsidRPr="008217B7" w:rsidRDefault="003A0784"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15</w:t>
    </w:r>
    <w:r w:rsidRPr="00084B97">
      <w:rPr>
        <w:rFonts w:ascii="Arial" w:hAnsi="Arial" w:cs="Arial"/>
        <w:b/>
        <w:bCs/>
        <w:color w:val="7F7F7F" w:themeColor="text1" w:themeTint="80"/>
        <w:sz w:val="16"/>
        <w:szCs w:val="16"/>
      </w:rPr>
      <w:fldChar w:fldCharType="end"/>
    </w:r>
  </w:p>
  <w:p w14:paraId="494450D9" w14:textId="77777777" w:rsidR="00B10353" w:rsidRDefault="530CCD96" w:rsidP="00322937">
    <w:pPr>
      <w:pStyle w:val="Piedepgina"/>
      <w:jc w:val="center"/>
      <w:rPr>
        <w:lang w:val="es-ES"/>
      </w:rPr>
    </w:pPr>
    <w:r>
      <w:rPr>
        <w:noProof/>
      </w:rPr>
      <w:drawing>
        <wp:inline distT="0" distB="0" distL="0" distR="0" wp14:anchorId="323437A9" wp14:editId="029103DF">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5CDE733E" w14:textId="77777777" w:rsidR="00B10353" w:rsidRPr="00F820CA" w:rsidRDefault="003A49BB" w:rsidP="007B0854">
    <w:pPr>
      <w:pStyle w:val="Piedepgina"/>
      <w:jc w:val="center"/>
      <w:rPr>
        <w:sz w:val="20"/>
        <w:szCs w:val="20"/>
        <w:lang w:val="es-ES"/>
      </w:rPr>
    </w:pPr>
  </w:p>
  <w:p w14:paraId="5CF7E644" w14:textId="77777777" w:rsidR="00B10353" w:rsidRPr="00F820CA" w:rsidRDefault="003A49BB" w:rsidP="007B0854">
    <w:pPr>
      <w:pStyle w:val="Piedepgina"/>
      <w:jc w:val="center"/>
      <w:rPr>
        <w:sz w:val="16"/>
        <w:szCs w:val="16"/>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AFA63B" w14:textId="77777777" w:rsidR="003A49BB" w:rsidRDefault="003A49BB" w:rsidP="00E61EEB">
      <w:r>
        <w:separator/>
      </w:r>
    </w:p>
  </w:footnote>
  <w:footnote w:type="continuationSeparator" w:id="0">
    <w:p w14:paraId="791DC476" w14:textId="77777777" w:rsidR="003A49BB" w:rsidRDefault="003A49BB" w:rsidP="00E61EEB">
      <w:r>
        <w:continuationSeparator/>
      </w:r>
    </w:p>
  </w:footnote>
  <w:footnote w:id="1">
    <w:p w14:paraId="1A76CCB0" w14:textId="77777777" w:rsidR="00772B97" w:rsidRPr="0062206A" w:rsidRDefault="00772B97" w:rsidP="00772B97">
      <w:pPr>
        <w:pStyle w:val="Textonotapie"/>
        <w:ind w:firstLine="708"/>
        <w:jc w:val="both"/>
        <w:rPr>
          <w:rFonts w:ascii="Arial" w:hAnsi="Arial" w:cs="Arial"/>
          <w:color w:val="000000" w:themeColor="text1"/>
          <w:sz w:val="19"/>
          <w:szCs w:val="19"/>
        </w:rPr>
      </w:pPr>
      <w:r w:rsidRPr="0062206A">
        <w:rPr>
          <w:rStyle w:val="Refdenotaalpie"/>
          <w:rFonts w:ascii="Arial" w:hAnsi="Arial" w:cs="Arial"/>
          <w:color w:val="000000" w:themeColor="text1"/>
          <w:sz w:val="19"/>
          <w:szCs w:val="19"/>
        </w:rPr>
        <w:footnoteRef/>
      </w:r>
      <w:r w:rsidRPr="0062206A">
        <w:rPr>
          <w:rFonts w:ascii="Arial" w:hAnsi="Arial" w:cs="Arial"/>
          <w:color w:val="000000" w:themeColor="text1"/>
          <w:sz w:val="19"/>
          <w:szCs w:val="19"/>
        </w:rPr>
        <w:t xml:space="preserve"> Constitución Política de Colombia: «Artículo 209. La función administrativa está al servicio de los intereses generales y se desarrolla con fundamento en los principios de igualdad, moralidad, eficacia, economía, celeridad, imparcialidad y publicidad, mediante la descentralización, la delegación y la desconcentración de funciones.</w:t>
      </w:r>
    </w:p>
    <w:p w14:paraId="5A974524" w14:textId="77777777" w:rsidR="00772B97" w:rsidRPr="0062206A" w:rsidRDefault="00772B97" w:rsidP="00772B97">
      <w:pPr>
        <w:pStyle w:val="Textonotapie"/>
        <w:ind w:firstLine="709"/>
        <w:jc w:val="both"/>
        <w:rPr>
          <w:rFonts w:ascii="Arial" w:hAnsi="Arial" w:cs="Arial"/>
          <w:color w:val="000000" w:themeColor="text1"/>
          <w:sz w:val="19"/>
          <w:szCs w:val="19"/>
        </w:rPr>
      </w:pPr>
      <w:proofErr w:type="gramStart"/>
      <w:r w:rsidRPr="0062206A">
        <w:rPr>
          <w:rFonts w:ascii="Arial" w:hAnsi="Arial" w:cs="Arial"/>
          <w:color w:val="000000" w:themeColor="text1"/>
          <w:sz w:val="19"/>
          <w:szCs w:val="19"/>
        </w:rPr>
        <w:t>»Las</w:t>
      </w:r>
      <w:proofErr w:type="gramEnd"/>
      <w:r w:rsidRPr="0062206A">
        <w:rPr>
          <w:rFonts w:ascii="Arial" w:hAnsi="Arial" w:cs="Arial"/>
          <w:color w:val="000000" w:themeColor="text1"/>
          <w:sz w:val="19"/>
          <w:szCs w:val="19"/>
        </w:rPr>
        <w:t xml:space="preserve"> autoridades administrativas deben coordinar sus actuaciones para el adecuado cumplimiento de los fines del Estado. La administración pública, en todos sus órdenes, tendrá un control interno que se ejercerá en los términos que señale la ley».</w:t>
      </w:r>
    </w:p>
    <w:p w14:paraId="784461AC" w14:textId="77777777" w:rsidR="00772B97" w:rsidRPr="0062206A" w:rsidRDefault="00772B97" w:rsidP="00772B97">
      <w:pPr>
        <w:pStyle w:val="Textonotapie"/>
        <w:ind w:firstLine="709"/>
        <w:rPr>
          <w:rFonts w:ascii="Arial" w:hAnsi="Arial" w:cs="Arial"/>
          <w:sz w:val="19"/>
          <w:szCs w:val="19"/>
        </w:rPr>
      </w:pPr>
    </w:p>
  </w:footnote>
  <w:footnote w:id="2">
    <w:p w14:paraId="7263FD64" w14:textId="4AA2995D" w:rsidR="00772B97" w:rsidRDefault="00772B97" w:rsidP="00772B97">
      <w:pPr>
        <w:pStyle w:val="Textonotapie"/>
        <w:ind w:firstLine="709"/>
        <w:jc w:val="both"/>
        <w:rPr>
          <w:rFonts w:ascii="Arial" w:hAnsi="Arial" w:cs="Arial"/>
          <w:sz w:val="19"/>
          <w:szCs w:val="19"/>
        </w:rPr>
      </w:pPr>
      <w:r w:rsidRPr="0062206A">
        <w:rPr>
          <w:rStyle w:val="Refdenotaalpie"/>
          <w:rFonts w:ascii="Arial" w:hAnsi="Arial" w:cs="Arial"/>
          <w:sz w:val="19"/>
          <w:szCs w:val="19"/>
        </w:rPr>
        <w:footnoteRef/>
      </w:r>
      <w:r w:rsidRPr="0062206A">
        <w:rPr>
          <w:rFonts w:ascii="Arial" w:hAnsi="Arial" w:cs="Arial"/>
          <w:sz w:val="19"/>
          <w:szCs w:val="19"/>
        </w:rPr>
        <w:t xml:space="preserve"> Para la Corte Constitucional, de acuerdo con el artículo 209 superior, la publicidad es uno de los principios que orientan la administración y la gestión pública: «Como se aprecia, en este mandato superior, la Carta Política consagra varias máximas: (i) el servicio al interés general como objetivo fundamental de la administración pública; (</w:t>
      </w:r>
      <w:proofErr w:type="spellStart"/>
      <w:r w:rsidRPr="0062206A">
        <w:rPr>
          <w:rFonts w:ascii="Arial" w:hAnsi="Arial" w:cs="Arial"/>
          <w:sz w:val="19"/>
          <w:szCs w:val="19"/>
        </w:rPr>
        <w:t>ii</w:t>
      </w:r>
      <w:proofErr w:type="spellEnd"/>
      <w:r w:rsidRPr="0062206A">
        <w:rPr>
          <w:rFonts w:ascii="Arial" w:hAnsi="Arial" w:cs="Arial"/>
          <w:sz w:val="19"/>
          <w:szCs w:val="19"/>
        </w:rPr>
        <w:t>) la igualdad, moralidad, eficacia, economía, celeridad, imparcialidad y publicidad, como principios orientadores de la administración pública […]». Corte Constitucional. Sentencia C-826 del 13 de noviembre de 2013. M.P. Luis Ernesto Vargas Silva.</w:t>
      </w:r>
    </w:p>
    <w:p w14:paraId="5AE262D2" w14:textId="77777777" w:rsidR="003D2A3B" w:rsidRPr="0062206A" w:rsidRDefault="003D2A3B" w:rsidP="00772B97">
      <w:pPr>
        <w:pStyle w:val="Textonotapie"/>
        <w:ind w:firstLine="709"/>
        <w:jc w:val="both"/>
        <w:rPr>
          <w:rFonts w:ascii="Arial" w:hAnsi="Arial" w:cs="Arial"/>
          <w:sz w:val="19"/>
          <w:szCs w:val="19"/>
        </w:rPr>
      </w:pPr>
    </w:p>
  </w:footnote>
  <w:footnote w:id="3">
    <w:p w14:paraId="00FCD38D" w14:textId="77777777" w:rsidR="00772B97" w:rsidRPr="0062206A" w:rsidRDefault="00772B97" w:rsidP="00772B97">
      <w:pPr>
        <w:pStyle w:val="Textonotapie"/>
        <w:ind w:firstLine="708"/>
        <w:jc w:val="both"/>
        <w:rPr>
          <w:rFonts w:ascii="Arial" w:hAnsi="Arial" w:cs="Arial"/>
          <w:color w:val="000000" w:themeColor="text1"/>
          <w:sz w:val="19"/>
          <w:szCs w:val="19"/>
        </w:rPr>
      </w:pPr>
      <w:r w:rsidRPr="0062206A">
        <w:rPr>
          <w:rStyle w:val="Refdenotaalpie"/>
          <w:rFonts w:ascii="Arial" w:hAnsi="Arial" w:cs="Arial"/>
          <w:color w:val="000000" w:themeColor="text1"/>
          <w:sz w:val="19"/>
          <w:szCs w:val="19"/>
        </w:rPr>
        <w:footnoteRef/>
      </w:r>
      <w:r w:rsidRPr="0062206A">
        <w:rPr>
          <w:rFonts w:ascii="Arial" w:hAnsi="Arial" w:cs="Arial"/>
          <w:color w:val="000000" w:themeColor="text1"/>
          <w:sz w:val="19"/>
          <w:szCs w:val="19"/>
        </w:rPr>
        <w:t xml:space="preserve"> Corte Constitucional. Sentencia C- 341 del 4 de junio de 2014. M. P. Mauricio González Cuervo.</w:t>
      </w:r>
    </w:p>
    <w:p w14:paraId="7E4C8330" w14:textId="77777777" w:rsidR="00772B97" w:rsidRPr="0062206A" w:rsidRDefault="00772B97" w:rsidP="00772B97">
      <w:pPr>
        <w:pStyle w:val="Textonotapie"/>
        <w:ind w:firstLine="708"/>
        <w:jc w:val="both"/>
        <w:rPr>
          <w:rFonts w:ascii="Arial" w:hAnsi="Arial" w:cs="Arial"/>
          <w:color w:val="000000" w:themeColor="text1"/>
          <w:sz w:val="19"/>
          <w:szCs w:val="19"/>
        </w:rPr>
      </w:pPr>
    </w:p>
  </w:footnote>
  <w:footnote w:id="4">
    <w:p w14:paraId="5851C6C4" w14:textId="77777777" w:rsidR="00772B97" w:rsidRPr="0062206A" w:rsidRDefault="00772B97" w:rsidP="00772B97">
      <w:pPr>
        <w:pStyle w:val="Textonotapie"/>
        <w:ind w:firstLine="708"/>
        <w:jc w:val="both"/>
        <w:rPr>
          <w:rFonts w:ascii="Arial" w:hAnsi="Arial" w:cs="Arial"/>
          <w:color w:val="000000" w:themeColor="text1"/>
          <w:sz w:val="19"/>
          <w:szCs w:val="19"/>
        </w:rPr>
      </w:pPr>
      <w:r w:rsidRPr="0062206A">
        <w:rPr>
          <w:rStyle w:val="Refdenotaalpie"/>
          <w:rFonts w:ascii="Arial" w:hAnsi="Arial" w:cs="Arial"/>
          <w:color w:val="000000" w:themeColor="text1"/>
          <w:sz w:val="19"/>
          <w:szCs w:val="19"/>
        </w:rPr>
        <w:footnoteRef/>
      </w:r>
      <w:r w:rsidRPr="0062206A">
        <w:rPr>
          <w:rFonts w:ascii="Arial" w:hAnsi="Arial" w:cs="Arial"/>
          <w:color w:val="000000" w:themeColor="text1"/>
          <w:sz w:val="19"/>
          <w:szCs w:val="19"/>
        </w:rPr>
        <w:t xml:space="preserve"> Ley 1150 de 2007: «Artículo 3. 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p>
    <w:p w14:paraId="54433C05" w14:textId="77777777" w:rsidR="00772B97" w:rsidRPr="0062206A" w:rsidRDefault="00772B97" w:rsidP="00772B97">
      <w:pPr>
        <w:pStyle w:val="Textonotapie"/>
        <w:ind w:firstLine="708"/>
        <w:jc w:val="both"/>
        <w:rPr>
          <w:rFonts w:ascii="Arial" w:hAnsi="Arial" w:cs="Arial"/>
          <w:color w:val="000000" w:themeColor="text1"/>
          <w:sz w:val="19"/>
          <w:szCs w:val="19"/>
        </w:rPr>
      </w:pPr>
      <w:proofErr w:type="gramStart"/>
      <w:r w:rsidRPr="0062206A">
        <w:rPr>
          <w:rFonts w:ascii="Arial" w:hAnsi="Arial" w:cs="Arial"/>
          <w:color w:val="000000" w:themeColor="text1"/>
          <w:sz w:val="19"/>
          <w:szCs w:val="19"/>
        </w:rPr>
        <w:t>»Lo</w:t>
      </w:r>
      <w:proofErr w:type="gramEnd"/>
      <w:r w:rsidRPr="0062206A">
        <w:rPr>
          <w:rFonts w:ascii="Arial" w:hAnsi="Arial" w:cs="Arial"/>
          <w:color w:val="000000" w:themeColor="text1"/>
          <w:sz w:val="19"/>
          <w:szCs w:val="19"/>
        </w:rPr>
        <w:t xml:space="preserve"> anterior, sin perjuicio de las publicaciones previstas en el numeral 3 del artículo 30 de la Ley 80 de 1993.</w:t>
      </w:r>
    </w:p>
    <w:p w14:paraId="32627E75" w14:textId="77777777" w:rsidR="00772B97" w:rsidRPr="0062206A" w:rsidRDefault="00772B97" w:rsidP="00772B97">
      <w:pPr>
        <w:pStyle w:val="Textonotapie"/>
        <w:ind w:firstLine="708"/>
        <w:jc w:val="both"/>
        <w:rPr>
          <w:rFonts w:ascii="Arial" w:hAnsi="Arial" w:cs="Arial"/>
          <w:color w:val="000000" w:themeColor="text1"/>
          <w:sz w:val="19"/>
          <w:szCs w:val="19"/>
        </w:rPr>
      </w:pPr>
      <w:proofErr w:type="gramStart"/>
      <w:r w:rsidRPr="0062206A">
        <w:rPr>
          <w:rFonts w:ascii="Arial" w:hAnsi="Arial" w:cs="Arial"/>
          <w:color w:val="000000" w:themeColor="text1"/>
          <w:sz w:val="19"/>
          <w:szCs w:val="19"/>
        </w:rPr>
        <w:t>»Con</w:t>
      </w:r>
      <w:proofErr w:type="gramEnd"/>
      <w:r w:rsidRPr="0062206A">
        <w:rPr>
          <w:rFonts w:ascii="Arial" w:hAnsi="Arial" w:cs="Arial"/>
          <w:color w:val="000000" w:themeColor="text1"/>
          <w:sz w:val="19"/>
          <w:szCs w:val="19"/>
        </w:rPr>
        <w:t xml:space="preserve"> el fin de materializar los objetivos a que se refiere el inciso anterior, el Gobierno Nacional desarrollará el Sistema Electrónico para la Contratación Pública, </w:t>
      </w:r>
      <w:proofErr w:type="spellStart"/>
      <w:r w:rsidRPr="0062206A">
        <w:rPr>
          <w:rFonts w:ascii="Arial" w:hAnsi="Arial" w:cs="Arial"/>
          <w:color w:val="000000" w:themeColor="text1"/>
          <w:sz w:val="19"/>
          <w:szCs w:val="19"/>
        </w:rPr>
        <w:t>Secop</w:t>
      </w:r>
      <w:proofErr w:type="spellEnd"/>
      <w:r w:rsidRPr="0062206A">
        <w:rPr>
          <w:rFonts w:ascii="Arial" w:hAnsi="Arial" w:cs="Arial"/>
          <w:color w:val="000000" w:themeColor="text1"/>
          <w:sz w:val="19"/>
          <w:szCs w:val="19"/>
        </w:rPr>
        <w:t xml:space="preserve">, el cual: </w:t>
      </w:r>
    </w:p>
    <w:p w14:paraId="079A24E6" w14:textId="77777777" w:rsidR="00772B97" w:rsidRPr="0062206A" w:rsidRDefault="00772B97" w:rsidP="00772B97">
      <w:pPr>
        <w:pStyle w:val="Textonotapie"/>
        <w:ind w:firstLine="708"/>
        <w:jc w:val="both"/>
        <w:rPr>
          <w:rFonts w:ascii="Arial" w:hAnsi="Arial" w:cs="Arial"/>
          <w:color w:val="000000" w:themeColor="text1"/>
          <w:sz w:val="19"/>
          <w:szCs w:val="19"/>
        </w:rPr>
      </w:pPr>
      <w:r w:rsidRPr="0062206A">
        <w:rPr>
          <w:rFonts w:ascii="Arial" w:hAnsi="Arial" w:cs="Arial"/>
          <w:color w:val="000000" w:themeColor="text1"/>
          <w:sz w:val="19"/>
          <w:szCs w:val="19"/>
        </w:rPr>
        <w:t>[…]</w:t>
      </w:r>
    </w:p>
    <w:p w14:paraId="3F864F97" w14:textId="20BA5BF5" w:rsidR="00772B97" w:rsidRDefault="00772B97" w:rsidP="00772B97">
      <w:pPr>
        <w:pStyle w:val="Textonotapie"/>
        <w:ind w:firstLine="708"/>
        <w:jc w:val="both"/>
        <w:rPr>
          <w:rFonts w:ascii="Arial" w:hAnsi="Arial" w:cs="Arial"/>
          <w:color w:val="000000" w:themeColor="text1"/>
          <w:sz w:val="19"/>
          <w:szCs w:val="19"/>
        </w:rPr>
      </w:pPr>
      <w:r w:rsidRPr="0062206A">
        <w:rPr>
          <w:rFonts w:ascii="Arial" w:hAnsi="Arial" w:cs="Arial"/>
          <w:color w:val="000000" w:themeColor="text1"/>
          <w:sz w:val="19"/>
          <w:szCs w:val="19"/>
        </w:rPr>
        <w:t xml:space="preserve">»c) Contará con la información oficial de la contratación realizada con dineros públicos, para lo cual establecerá los patrones a que haya lugar y se encargará de su difusión a través de canales electrónico». </w:t>
      </w:r>
    </w:p>
    <w:p w14:paraId="28669A86" w14:textId="77777777" w:rsidR="005206F9" w:rsidRPr="0062206A" w:rsidRDefault="005206F9" w:rsidP="00772B97">
      <w:pPr>
        <w:pStyle w:val="Textonotapie"/>
        <w:ind w:firstLine="708"/>
        <w:jc w:val="both"/>
        <w:rPr>
          <w:rFonts w:ascii="Arial" w:hAnsi="Arial" w:cs="Arial"/>
          <w:color w:val="000000" w:themeColor="text1"/>
          <w:sz w:val="19"/>
          <w:szCs w:val="19"/>
        </w:rPr>
      </w:pPr>
    </w:p>
  </w:footnote>
  <w:footnote w:id="5">
    <w:p w14:paraId="1EA82B00" w14:textId="77777777" w:rsidR="00772B97" w:rsidRPr="0062206A" w:rsidRDefault="00772B97" w:rsidP="00772B97">
      <w:pPr>
        <w:pStyle w:val="Textonotapie"/>
        <w:ind w:firstLine="708"/>
        <w:jc w:val="both"/>
        <w:rPr>
          <w:rFonts w:ascii="Arial" w:hAnsi="Arial" w:cs="Arial"/>
          <w:color w:val="000000" w:themeColor="text1"/>
          <w:sz w:val="19"/>
          <w:szCs w:val="19"/>
        </w:rPr>
      </w:pPr>
      <w:r w:rsidRPr="0062206A">
        <w:rPr>
          <w:rStyle w:val="Refdenotaalpie"/>
          <w:rFonts w:ascii="Arial" w:hAnsi="Arial" w:cs="Arial"/>
          <w:color w:val="000000" w:themeColor="text1"/>
          <w:sz w:val="19"/>
          <w:szCs w:val="19"/>
        </w:rPr>
        <w:footnoteRef/>
      </w:r>
      <w:r w:rsidRPr="0062206A">
        <w:rPr>
          <w:rFonts w:ascii="Arial" w:hAnsi="Arial" w:cs="Arial"/>
          <w:color w:val="000000" w:themeColor="text1"/>
          <w:sz w:val="19"/>
          <w:szCs w:val="19"/>
        </w:rPr>
        <w:t xml:space="preserve"> Ley 1712 de 2014: «Artículo 2. Toda información en posesión, bajo control o custodia de un sujeto obligado es pública y no podrá ser reservada o limitada sino por disposición constitucional o legal, de conformidad con la presente ley».</w:t>
      </w:r>
    </w:p>
    <w:p w14:paraId="34865BFE" w14:textId="77777777" w:rsidR="00772B97" w:rsidRPr="0062206A" w:rsidRDefault="00772B97" w:rsidP="00772B97">
      <w:pPr>
        <w:pStyle w:val="Textonotapie"/>
        <w:ind w:firstLine="708"/>
        <w:jc w:val="both"/>
        <w:rPr>
          <w:rFonts w:ascii="Arial" w:hAnsi="Arial" w:cs="Arial"/>
          <w:color w:val="000000" w:themeColor="text1"/>
          <w:sz w:val="19"/>
          <w:szCs w:val="19"/>
          <w:lang w:val="es-CO"/>
        </w:rPr>
      </w:pPr>
    </w:p>
  </w:footnote>
  <w:footnote w:id="6">
    <w:p w14:paraId="2183F392" w14:textId="77777777" w:rsidR="00772B97" w:rsidRPr="0062206A" w:rsidRDefault="00772B97" w:rsidP="00772B97">
      <w:pPr>
        <w:pStyle w:val="Textonotapie"/>
        <w:ind w:firstLine="708"/>
        <w:jc w:val="both"/>
        <w:rPr>
          <w:rFonts w:ascii="Arial" w:hAnsi="Arial" w:cs="Arial"/>
          <w:color w:val="000000" w:themeColor="text1"/>
          <w:sz w:val="19"/>
          <w:szCs w:val="19"/>
        </w:rPr>
      </w:pPr>
      <w:r w:rsidRPr="0062206A">
        <w:rPr>
          <w:rStyle w:val="Refdenotaalpie"/>
          <w:rFonts w:ascii="Arial" w:hAnsi="Arial" w:cs="Arial"/>
          <w:color w:val="000000" w:themeColor="text1"/>
          <w:sz w:val="19"/>
          <w:szCs w:val="19"/>
        </w:rPr>
        <w:footnoteRef/>
      </w:r>
      <w:r w:rsidRPr="0062206A">
        <w:rPr>
          <w:rFonts w:ascii="Arial" w:hAnsi="Arial" w:cs="Arial"/>
          <w:color w:val="000000" w:themeColor="text1"/>
          <w:sz w:val="19"/>
          <w:szCs w:val="19"/>
        </w:rPr>
        <w:t xml:space="preserve"> Ley 1712 de 2014: «Artículo 5. Ámbito de aplicación. Las disposiciones de esta ley serán aplicables a las siguientes personas en calidad de sujetos obligados: </w:t>
      </w:r>
    </w:p>
    <w:p w14:paraId="5E23E8C7" w14:textId="77777777" w:rsidR="00772B97" w:rsidRPr="0062206A" w:rsidRDefault="00772B97" w:rsidP="00772B97">
      <w:pPr>
        <w:pStyle w:val="Textonotapie"/>
        <w:ind w:firstLine="708"/>
        <w:jc w:val="both"/>
        <w:rPr>
          <w:rFonts w:ascii="Arial" w:hAnsi="Arial" w:cs="Arial"/>
          <w:color w:val="000000" w:themeColor="text1"/>
          <w:sz w:val="19"/>
          <w:szCs w:val="19"/>
        </w:rPr>
      </w:pPr>
      <w:proofErr w:type="gramStart"/>
      <w:r w:rsidRPr="0062206A">
        <w:rPr>
          <w:rFonts w:ascii="Arial" w:hAnsi="Arial" w:cs="Arial"/>
          <w:color w:val="000000" w:themeColor="text1"/>
          <w:sz w:val="19"/>
          <w:szCs w:val="19"/>
        </w:rPr>
        <w:t>»a</w:t>
      </w:r>
      <w:proofErr w:type="gramEnd"/>
      <w:r w:rsidRPr="0062206A">
        <w:rPr>
          <w:rFonts w:ascii="Arial" w:hAnsi="Arial" w:cs="Arial"/>
          <w:color w:val="000000" w:themeColor="text1"/>
          <w:sz w:val="19"/>
          <w:szCs w:val="19"/>
        </w:rPr>
        <w:t>) Toda entidad pública, incluyendo las pertenecientes a todas las Ramas del Poder Público, en todos los niveles de la estructura estatal, central o descentralizada por servicios o territorialmente, en los órdenes nacional, departamental, municipal y distrital.</w:t>
      </w:r>
    </w:p>
    <w:p w14:paraId="22A5F1BD" w14:textId="77777777" w:rsidR="00772B97" w:rsidRPr="0062206A" w:rsidRDefault="00772B97" w:rsidP="00772B97">
      <w:pPr>
        <w:pStyle w:val="Textonotapie"/>
        <w:ind w:firstLine="708"/>
        <w:jc w:val="both"/>
        <w:rPr>
          <w:rFonts w:ascii="Arial" w:hAnsi="Arial" w:cs="Arial"/>
          <w:color w:val="000000" w:themeColor="text1"/>
          <w:sz w:val="19"/>
          <w:szCs w:val="19"/>
          <w:lang w:val="es-CO"/>
        </w:rPr>
      </w:pPr>
      <w:r w:rsidRPr="0062206A">
        <w:rPr>
          <w:rFonts w:ascii="Arial" w:hAnsi="Arial" w:cs="Arial"/>
          <w:color w:val="000000" w:themeColor="text1"/>
          <w:sz w:val="19"/>
          <w:szCs w:val="19"/>
        </w:rPr>
        <w:t>»</w:t>
      </w:r>
      <w:r w:rsidRPr="0062206A">
        <w:rPr>
          <w:rFonts w:ascii="Arial" w:eastAsia="Times New Roman" w:hAnsi="Arial" w:cs="Arial"/>
          <w:color w:val="4B4949"/>
          <w:sz w:val="19"/>
          <w:szCs w:val="19"/>
          <w:lang w:val="es-CO" w:eastAsia="es-CO"/>
        </w:rPr>
        <w:t xml:space="preserve"> </w:t>
      </w:r>
      <w:r w:rsidRPr="0062206A">
        <w:rPr>
          <w:rFonts w:ascii="Arial" w:hAnsi="Arial" w:cs="Arial"/>
          <w:color w:val="000000" w:themeColor="text1"/>
          <w:sz w:val="19"/>
          <w:szCs w:val="19"/>
          <w:lang w:val="es-CO"/>
        </w:rPr>
        <w:t>b) Los órganos, organismos y entidades estatales independientes o autónomos y de control.</w:t>
      </w:r>
    </w:p>
    <w:p w14:paraId="53379229" w14:textId="77777777" w:rsidR="00772B97" w:rsidRPr="0062206A" w:rsidRDefault="00772B97" w:rsidP="00772B97">
      <w:pPr>
        <w:pStyle w:val="Textonotapie"/>
        <w:ind w:firstLine="708"/>
        <w:jc w:val="both"/>
        <w:rPr>
          <w:rFonts w:ascii="Arial" w:hAnsi="Arial" w:cs="Arial"/>
          <w:color w:val="000000" w:themeColor="text1"/>
          <w:sz w:val="19"/>
          <w:szCs w:val="19"/>
          <w:lang w:val="es-CO"/>
        </w:rPr>
      </w:pPr>
      <w:r w:rsidRPr="0062206A">
        <w:rPr>
          <w:rFonts w:ascii="Arial" w:hAnsi="Arial" w:cs="Arial"/>
          <w:color w:val="000000" w:themeColor="text1"/>
          <w:sz w:val="19"/>
          <w:szCs w:val="19"/>
          <w:lang w:val="es-CO"/>
        </w:rPr>
        <w:t>»c) Las personas naturales y jurídicas, públicas o privadas, que presten función pública, que presten servicios públicos respecto de la información directamente relacionada con la prestación del servicio público.</w:t>
      </w:r>
    </w:p>
    <w:p w14:paraId="15EF1912" w14:textId="77777777" w:rsidR="00772B97" w:rsidRPr="0062206A" w:rsidRDefault="00772B97" w:rsidP="00772B97">
      <w:pPr>
        <w:pStyle w:val="Textonotapie"/>
        <w:ind w:firstLine="708"/>
        <w:jc w:val="both"/>
        <w:rPr>
          <w:rFonts w:ascii="Arial" w:hAnsi="Arial" w:cs="Arial"/>
          <w:color w:val="000000" w:themeColor="text1"/>
          <w:sz w:val="19"/>
          <w:szCs w:val="19"/>
          <w:lang w:val="es-CO"/>
        </w:rPr>
      </w:pPr>
      <w:proofErr w:type="gramStart"/>
      <w:r w:rsidRPr="0062206A">
        <w:rPr>
          <w:rFonts w:ascii="Arial" w:hAnsi="Arial" w:cs="Arial"/>
          <w:color w:val="000000" w:themeColor="text1"/>
          <w:sz w:val="19"/>
          <w:szCs w:val="19"/>
          <w:lang w:val="es-CO"/>
        </w:rPr>
        <w:t>»d</w:t>
      </w:r>
      <w:proofErr w:type="gramEnd"/>
      <w:r w:rsidRPr="0062206A">
        <w:rPr>
          <w:rFonts w:ascii="Arial" w:hAnsi="Arial" w:cs="Arial"/>
          <w:color w:val="000000" w:themeColor="text1"/>
          <w:sz w:val="19"/>
          <w:szCs w:val="19"/>
          <w:lang w:val="es-CO"/>
        </w:rPr>
        <w:t>) Cualquier persona natural, jurídica o dependencia de persona jurídica que desempeñe función pública o de autoridad pública, respecto de la información directamente relacionada con el desempeño de su función».</w:t>
      </w:r>
    </w:p>
    <w:p w14:paraId="10A189C7" w14:textId="77777777" w:rsidR="00772B97" w:rsidRPr="0062206A" w:rsidRDefault="00772B97" w:rsidP="00772B97">
      <w:pPr>
        <w:pStyle w:val="Textonotapie"/>
        <w:jc w:val="both"/>
        <w:rPr>
          <w:rFonts w:ascii="Arial" w:hAnsi="Arial" w:cs="Arial"/>
          <w:color w:val="000000" w:themeColor="text1"/>
          <w:sz w:val="19"/>
          <w:szCs w:val="19"/>
          <w:lang w:val="es-CO"/>
        </w:rPr>
      </w:pPr>
    </w:p>
  </w:footnote>
  <w:footnote w:id="7">
    <w:p w14:paraId="202F60A6" w14:textId="77777777" w:rsidR="00772B97" w:rsidRPr="0062206A" w:rsidRDefault="00772B97" w:rsidP="00772B97">
      <w:pPr>
        <w:pStyle w:val="Textonotapie"/>
        <w:ind w:firstLine="709"/>
        <w:jc w:val="both"/>
        <w:rPr>
          <w:rFonts w:ascii="Arial" w:hAnsi="Arial" w:cs="Arial"/>
          <w:color w:val="000000" w:themeColor="text1"/>
          <w:sz w:val="19"/>
          <w:szCs w:val="19"/>
        </w:rPr>
      </w:pPr>
      <w:r w:rsidRPr="0062206A">
        <w:rPr>
          <w:rFonts w:ascii="Arial" w:eastAsia="Times New Roman" w:hAnsi="Arial" w:cs="Arial"/>
          <w:color w:val="000000" w:themeColor="text1"/>
          <w:sz w:val="19"/>
          <w:szCs w:val="19"/>
          <w:vertAlign w:val="superscript"/>
          <w:lang w:val="es-ES" w:eastAsia="es-ES"/>
        </w:rPr>
        <w:footnoteRef/>
      </w:r>
      <w:r w:rsidRPr="0062206A">
        <w:rPr>
          <w:rFonts w:ascii="Arial" w:eastAsia="Times New Roman" w:hAnsi="Arial" w:cs="Arial"/>
          <w:color w:val="000000" w:themeColor="text1"/>
          <w:sz w:val="19"/>
          <w:szCs w:val="19"/>
          <w:vertAlign w:val="superscript"/>
          <w:lang w:val="es-ES" w:eastAsia="es-ES"/>
        </w:rPr>
        <w:t xml:space="preserve"> </w:t>
      </w:r>
      <w:r w:rsidRPr="0062206A">
        <w:rPr>
          <w:rFonts w:ascii="Arial" w:eastAsia="Times New Roman" w:hAnsi="Arial" w:cs="Arial"/>
          <w:color w:val="000000" w:themeColor="text1"/>
          <w:sz w:val="19"/>
          <w:szCs w:val="19"/>
          <w:lang w:val="es-ES" w:eastAsia="es-ES"/>
        </w:rPr>
        <w:t>«</w:t>
      </w:r>
      <w:r w:rsidRPr="0062206A">
        <w:rPr>
          <w:rFonts w:ascii="Arial" w:hAnsi="Arial" w:cs="Arial"/>
          <w:color w:val="000000" w:themeColor="text1"/>
          <w:sz w:val="19"/>
          <w:szCs w:val="19"/>
        </w:rPr>
        <w:t xml:space="preserve">Artículo 2.1.1.2.1.7. Publicación de la información contractual. 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 </w:t>
      </w:r>
    </w:p>
    <w:p w14:paraId="549B9379" w14:textId="77777777" w:rsidR="00772B97" w:rsidRPr="0062206A" w:rsidRDefault="00772B97" w:rsidP="00772B97">
      <w:pPr>
        <w:pStyle w:val="Textonotapie"/>
        <w:ind w:firstLine="709"/>
        <w:jc w:val="both"/>
        <w:rPr>
          <w:rFonts w:ascii="Arial" w:eastAsia="Times New Roman" w:hAnsi="Arial" w:cs="Arial"/>
          <w:color w:val="000000" w:themeColor="text1"/>
          <w:sz w:val="19"/>
          <w:szCs w:val="19"/>
          <w:lang w:val="es-ES" w:eastAsia="es-ES"/>
        </w:rPr>
      </w:pPr>
      <w:r w:rsidRPr="0062206A">
        <w:rPr>
          <w:rFonts w:ascii="Arial" w:hAnsi="Arial" w:cs="Arial"/>
          <w:color w:val="000000" w:themeColor="text1"/>
          <w:sz w:val="19"/>
          <w:szCs w:val="19"/>
        </w:rPr>
        <w:t>[…]</w:t>
      </w:r>
    </w:p>
    <w:p w14:paraId="6F757A9F" w14:textId="77777777" w:rsidR="00772B97" w:rsidRPr="0062206A" w:rsidRDefault="00772B97" w:rsidP="00772B97">
      <w:pPr>
        <w:pStyle w:val="Textonotapie"/>
        <w:ind w:firstLine="709"/>
        <w:jc w:val="both"/>
        <w:rPr>
          <w:rFonts w:ascii="Arial" w:eastAsia="Times New Roman" w:hAnsi="Arial" w:cs="Arial"/>
          <w:color w:val="000000" w:themeColor="text1"/>
          <w:sz w:val="19"/>
          <w:szCs w:val="19"/>
          <w:lang w:val="es-ES" w:eastAsia="es-ES"/>
        </w:rPr>
      </w:pPr>
      <w:proofErr w:type="gramStart"/>
      <w:r w:rsidRPr="0062206A">
        <w:rPr>
          <w:rFonts w:ascii="Arial" w:eastAsia="Times New Roman" w:hAnsi="Arial" w:cs="Arial"/>
          <w:color w:val="000000" w:themeColor="text1"/>
          <w:sz w:val="19"/>
          <w:szCs w:val="19"/>
          <w:lang w:val="es-ES" w:eastAsia="es-ES"/>
        </w:rPr>
        <w:t>»Los</w:t>
      </w:r>
      <w:proofErr w:type="gramEnd"/>
      <w:r w:rsidRPr="0062206A">
        <w:rPr>
          <w:rFonts w:ascii="Arial" w:eastAsia="Times New Roman" w:hAnsi="Arial" w:cs="Arial"/>
          <w:color w:val="000000" w:themeColor="text1"/>
          <w:sz w:val="19"/>
          <w:szCs w:val="19"/>
          <w:lang w:val="es-ES" w:eastAsia="es-ES"/>
        </w:rPr>
        <w:t xml:space="preserve"> sujetos obligados que contratan con recursos públicos y recursos privados, deben publicar la información de su gestión contractual con cargo a recursos públicos en el Sistema Electrónico para la Contratación Pública [SECOP]».</w:t>
      </w:r>
    </w:p>
    <w:p w14:paraId="08EE14A9" w14:textId="77777777" w:rsidR="00772B97" w:rsidRPr="0062206A" w:rsidRDefault="00772B97" w:rsidP="00772B97">
      <w:pPr>
        <w:pStyle w:val="Textonotapie"/>
        <w:ind w:firstLine="709"/>
        <w:jc w:val="both"/>
        <w:rPr>
          <w:rFonts w:ascii="Arial" w:eastAsia="Times New Roman" w:hAnsi="Arial" w:cs="Arial"/>
          <w:color w:val="000000" w:themeColor="text1"/>
          <w:sz w:val="19"/>
          <w:szCs w:val="19"/>
          <w:lang w:val="es-ES" w:eastAsia="es-ES"/>
        </w:rPr>
      </w:pPr>
    </w:p>
  </w:footnote>
  <w:footnote w:id="8">
    <w:p w14:paraId="309B4447" w14:textId="77777777" w:rsidR="00772B97" w:rsidRPr="0062206A" w:rsidRDefault="00772B97" w:rsidP="00772B97">
      <w:pPr>
        <w:pStyle w:val="Textonotapie"/>
        <w:ind w:firstLine="708"/>
        <w:jc w:val="both"/>
        <w:rPr>
          <w:rFonts w:ascii="Arial" w:hAnsi="Arial" w:cs="Arial"/>
          <w:color w:val="000000" w:themeColor="text1"/>
          <w:sz w:val="19"/>
          <w:szCs w:val="19"/>
        </w:rPr>
      </w:pPr>
      <w:r w:rsidRPr="0062206A">
        <w:rPr>
          <w:rStyle w:val="Refdenotaalpie"/>
          <w:rFonts w:ascii="Arial" w:hAnsi="Arial" w:cs="Arial"/>
          <w:color w:val="000000" w:themeColor="text1"/>
          <w:sz w:val="19"/>
          <w:szCs w:val="19"/>
        </w:rPr>
        <w:footnoteRef/>
      </w:r>
      <w:r w:rsidRPr="0062206A">
        <w:rPr>
          <w:rFonts w:ascii="Arial" w:hAnsi="Arial" w:cs="Arial"/>
          <w:color w:val="000000" w:themeColor="text1"/>
          <w:sz w:val="19"/>
          <w:szCs w:val="19"/>
        </w:rPr>
        <w:t xml:space="preserve"> C</w:t>
      </w:r>
      <w:proofErr w:type="spellStart"/>
      <w:r w:rsidRPr="0062206A">
        <w:rPr>
          <w:rFonts w:ascii="Arial" w:eastAsia="Times New Roman" w:hAnsi="Arial" w:cs="Arial"/>
          <w:color w:val="000000" w:themeColor="text1"/>
          <w:sz w:val="19"/>
          <w:szCs w:val="19"/>
          <w:lang w:val="es-ES" w:eastAsia="es-ES"/>
        </w:rPr>
        <w:t>orte</w:t>
      </w:r>
      <w:proofErr w:type="spellEnd"/>
      <w:r w:rsidRPr="0062206A">
        <w:rPr>
          <w:rFonts w:ascii="Arial" w:eastAsia="Times New Roman" w:hAnsi="Arial" w:cs="Arial"/>
          <w:color w:val="000000" w:themeColor="text1"/>
          <w:sz w:val="19"/>
          <w:szCs w:val="19"/>
          <w:lang w:val="es-ES" w:eastAsia="es-ES"/>
        </w:rPr>
        <w:t xml:space="preserve"> Constitucional. Sentencia C─274 de 9 de mayo de 2013. M.P. María Victoria Calle Correa. </w:t>
      </w:r>
    </w:p>
    <w:p w14:paraId="4F972A10" w14:textId="77777777" w:rsidR="00772B97" w:rsidRPr="0062206A" w:rsidRDefault="00772B97" w:rsidP="00772B97">
      <w:pPr>
        <w:pStyle w:val="Textonotapie"/>
        <w:ind w:firstLine="708"/>
        <w:jc w:val="both"/>
        <w:rPr>
          <w:rFonts w:ascii="Arial" w:hAnsi="Arial" w:cs="Arial"/>
          <w:color w:val="000000" w:themeColor="text1"/>
          <w:sz w:val="19"/>
          <w:szCs w:val="19"/>
          <w:lang w:val="es-CO"/>
        </w:rPr>
      </w:pPr>
    </w:p>
  </w:footnote>
  <w:footnote w:id="9">
    <w:p w14:paraId="297D9DB9" w14:textId="77777777" w:rsidR="00FE4DBD" w:rsidRPr="0062206A" w:rsidRDefault="00FE4DBD" w:rsidP="00FE4DBD">
      <w:pPr>
        <w:pStyle w:val="Textonotapie"/>
        <w:ind w:firstLine="708"/>
        <w:jc w:val="both"/>
        <w:rPr>
          <w:rFonts w:ascii="Arial" w:eastAsia="Calibri" w:hAnsi="Arial" w:cs="Arial"/>
          <w:sz w:val="19"/>
          <w:szCs w:val="19"/>
          <w:lang w:val="es-CO"/>
        </w:rPr>
      </w:pPr>
      <w:r w:rsidRPr="0062206A">
        <w:rPr>
          <w:rStyle w:val="Refdenotaalpie"/>
          <w:rFonts w:ascii="Arial" w:hAnsi="Arial" w:cs="Arial"/>
          <w:sz w:val="19"/>
          <w:szCs w:val="19"/>
        </w:rPr>
        <w:footnoteRef/>
      </w:r>
      <w:r w:rsidRPr="0062206A">
        <w:rPr>
          <w:rFonts w:ascii="Arial" w:hAnsi="Arial" w:cs="Arial"/>
          <w:sz w:val="19"/>
          <w:szCs w:val="19"/>
        </w:rPr>
        <w:t xml:space="preserve"> </w:t>
      </w:r>
      <w:r w:rsidRPr="0062206A">
        <w:rPr>
          <w:rFonts w:ascii="Arial" w:eastAsia="Calibri" w:hAnsi="Arial" w:cs="Arial"/>
          <w:sz w:val="19"/>
          <w:szCs w:val="19"/>
          <w:lang w:val="es-CO"/>
        </w:rPr>
        <w:t xml:space="preserve">Ley 1712 de 2014 </w:t>
      </w:r>
      <w:r w:rsidRPr="0062206A">
        <w:rPr>
          <w:rFonts w:ascii="Arial" w:eastAsia="Calibri" w:hAnsi="Arial" w:cs="Arial"/>
          <w:sz w:val="19"/>
          <w:szCs w:val="19"/>
        </w:rPr>
        <w:t>«</w:t>
      </w:r>
      <w:r w:rsidRPr="0062206A">
        <w:rPr>
          <w:rFonts w:ascii="Arial" w:eastAsia="Calibri" w:hAnsi="Arial" w:cs="Arial"/>
          <w:sz w:val="19"/>
          <w:szCs w:val="19"/>
          <w:lang w:val="es-CO"/>
        </w:rPr>
        <w:t xml:space="preserve">Artículo 5°. Ámbito de aplicación. Las disposiciones de esta ley serán aplicables a las siguientes personas en calidad de sujetos obligados:  </w:t>
      </w:r>
    </w:p>
    <w:p w14:paraId="531898C0" w14:textId="77777777" w:rsidR="00FE4DBD" w:rsidRPr="0062206A" w:rsidRDefault="00FE4DBD" w:rsidP="00FE4DBD">
      <w:pPr>
        <w:ind w:firstLine="708"/>
        <w:jc w:val="both"/>
        <w:rPr>
          <w:rFonts w:ascii="Arial" w:eastAsia="Calibri" w:hAnsi="Arial" w:cs="Arial"/>
          <w:sz w:val="19"/>
          <w:szCs w:val="19"/>
          <w:lang w:val="es-CO"/>
        </w:rPr>
      </w:pPr>
      <w:proofErr w:type="gramStart"/>
      <w:r w:rsidRPr="0062206A">
        <w:rPr>
          <w:rFonts w:ascii="Arial" w:eastAsia="Calibri" w:hAnsi="Arial" w:cs="Arial"/>
          <w:sz w:val="19"/>
          <w:szCs w:val="19"/>
          <w:lang w:val="es-CO"/>
        </w:rPr>
        <w:t>»a</w:t>
      </w:r>
      <w:proofErr w:type="gramEnd"/>
      <w:r w:rsidRPr="0062206A">
        <w:rPr>
          <w:rFonts w:ascii="Arial" w:eastAsia="Calibri" w:hAnsi="Arial" w:cs="Arial"/>
          <w:sz w:val="19"/>
          <w:szCs w:val="19"/>
          <w:lang w:val="es-CO"/>
        </w:rPr>
        <w:t xml:space="preserve">) Toda entidad pública, incluyendo las pertenecientes a todas las Ramas del Poder Público, en todos los niveles de la estructura estatal, central o descentralizada por servicios o territorialmente, en los órdenes nacional, departamental, municipal y distrital.  </w:t>
      </w:r>
    </w:p>
    <w:p w14:paraId="71A8CFB8" w14:textId="77777777" w:rsidR="00FE4DBD" w:rsidRPr="0062206A" w:rsidRDefault="00FE4DBD" w:rsidP="00FE4DBD">
      <w:pPr>
        <w:ind w:firstLine="708"/>
        <w:jc w:val="both"/>
        <w:rPr>
          <w:rFonts w:ascii="Arial" w:eastAsia="Calibri" w:hAnsi="Arial" w:cs="Arial"/>
          <w:sz w:val="19"/>
          <w:szCs w:val="19"/>
          <w:lang w:val="es-CO"/>
        </w:rPr>
      </w:pPr>
      <w:proofErr w:type="gramStart"/>
      <w:r w:rsidRPr="0062206A">
        <w:rPr>
          <w:rFonts w:ascii="Arial" w:eastAsia="Calibri" w:hAnsi="Arial" w:cs="Arial"/>
          <w:sz w:val="19"/>
          <w:szCs w:val="19"/>
          <w:lang w:val="es-CO"/>
        </w:rPr>
        <w:t>»b</w:t>
      </w:r>
      <w:proofErr w:type="gramEnd"/>
      <w:r w:rsidRPr="0062206A">
        <w:rPr>
          <w:rFonts w:ascii="Arial" w:eastAsia="Calibri" w:hAnsi="Arial" w:cs="Arial"/>
          <w:sz w:val="19"/>
          <w:szCs w:val="19"/>
          <w:lang w:val="es-CO"/>
        </w:rPr>
        <w:t xml:space="preserve">) Los órganos, organismos y entidades estatales independientes o autónomos y de control.  </w:t>
      </w:r>
    </w:p>
    <w:p w14:paraId="7435BB1B" w14:textId="77777777" w:rsidR="00FE4DBD" w:rsidRPr="0062206A" w:rsidRDefault="00FE4DBD" w:rsidP="00FE4DBD">
      <w:pPr>
        <w:ind w:firstLine="708"/>
        <w:jc w:val="both"/>
        <w:rPr>
          <w:rFonts w:ascii="Arial" w:eastAsia="Calibri" w:hAnsi="Arial" w:cs="Arial"/>
          <w:sz w:val="19"/>
          <w:szCs w:val="19"/>
          <w:lang w:val="es-CO"/>
        </w:rPr>
      </w:pPr>
      <w:r w:rsidRPr="0062206A">
        <w:rPr>
          <w:rFonts w:ascii="Arial" w:eastAsia="Calibri" w:hAnsi="Arial" w:cs="Arial"/>
          <w:sz w:val="19"/>
          <w:szCs w:val="19"/>
          <w:lang w:val="es-CO"/>
        </w:rPr>
        <w:t xml:space="preserve">»c) Las personas naturales y jurídicas, públicas o privadas, que presten función pública, que presten servicios públicos respecto de la información directamente relacionada con la prestación del servicio público.  </w:t>
      </w:r>
    </w:p>
    <w:p w14:paraId="4C57DEFD" w14:textId="77777777" w:rsidR="00FE4DBD" w:rsidRPr="0062206A" w:rsidRDefault="00FE4DBD" w:rsidP="00FE4DBD">
      <w:pPr>
        <w:ind w:firstLine="708"/>
        <w:jc w:val="both"/>
        <w:rPr>
          <w:rFonts w:ascii="Arial" w:eastAsia="Calibri" w:hAnsi="Arial" w:cs="Arial"/>
          <w:sz w:val="19"/>
          <w:szCs w:val="19"/>
          <w:lang w:val="es-CO"/>
        </w:rPr>
      </w:pPr>
      <w:proofErr w:type="gramStart"/>
      <w:r w:rsidRPr="0062206A">
        <w:rPr>
          <w:rFonts w:ascii="Arial" w:eastAsia="Calibri" w:hAnsi="Arial" w:cs="Arial"/>
          <w:sz w:val="19"/>
          <w:szCs w:val="19"/>
          <w:lang w:val="es-CO"/>
        </w:rPr>
        <w:t>»d</w:t>
      </w:r>
      <w:proofErr w:type="gramEnd"/>
      <w:r w:rsidRPr="0062206A">
        <w:rPr>
          <w:rFonts w:ascii="Arial" w:eastAsia="Calibri" w:hAnsi="Arial" w:cs="Arial"/>
          <w:sz w:val="19"/>
          <w:szCs w:val="19"/>
          <w:lang w:val="es-CO"/>
        </w:rPr>
        <w:t xml:space="preserve">) Cualquier persona natural, jurídica o dependencia de persona jurídica que desempeñe función pública o de autoridad pública, respecto de la información directamente relacionada con el desempeño de su función.  </w:t>
      </w:r>
    </w:p>
    <w:p w14:paraId="62126434" w14:textId="77777777" w:rsidR="00FE4DBD" w:rsidRPr="0062206A" w:rsidRDefault="00FE4DBD" w:rsidP="00FE4DBD">
      <w:pPr>
        <w:ind w:firstLine="708"/>
        <w:jc w:val="both"/>
        <w:rPr>
          <w:rFonts w:ascii="Arial" w:eastAsia="Calibri" w:hAnsi="Arial" w:cs="Arial"/>
          <w:sz w:val="19"/>
          <w:szCs w:val="19"/>
          <w:lang w:val="es-CO"/>
        </w:rPr>
      </w:pPr>
      <w:proofErr w:type="gramStart"/>
      <w:r w:rsidRPr="0062206A">
        <w:rPr>
          <w:rFonts w:ascii="Arial" w:eastAsia="Calibri" w:hAnsi="Arial" w:cs="Arial"/>
          <w:sz w:val="19"/>
          <w:szCs w:val="19"/>
          <w:lang w:val="es-CO"/>
        </w:rPr>
        <w:t>»e</w:t>
      </w:r>
      <w:proofErr w:type="gramEnd"/>
      <w:r w:rsidRPr="0062206A">
        <w:rPr>
          <w:rFonts w:ascii="Arial" w:eastAsia="Calibri" w:hAnsi="Arial" w:cs="Arial"/>
          <w:sz w:val="19"/>
          <w:szCs w:val="19"/>
          <w:lang w:val="es-CO"/>
        </w:rPr>
        <w:t xml:space="preserve">) Las empresas públicas creadas por ley, las empresas del Estado y sociedades en que este tenga participación.  </w:t>
      </w:r>
    </w:p>
    <w:p w14:paraId="769B05FD" w14:textId="77777777" w:rsidR="00FE4DBD" w:rsidRPr="0062206A" w:rsidRDefault="00FE4DBD" w:rsidP="00FE4DBD">
      <w:pPr>
        <w:ind w:firstLine="708"/>
        <w:jc w:val="both"/>
        <w:rPr>
          <w:rFonts w:ascii="Arial" w:eastAsia="Calibri" w:hAnsi="Arial" w:cs="Arial"/>
          <w:sz w:val="19"/>
          <w:szCs w:val="19"/>
          <w:lang w:val="es-CO"/>
        </w:rPr>
      </w:pPr>
      <w:proofErr w:type="gramStart"/>
      <w:r w:rsidRPr="0062206A">
        <w:rPr>
          <w:rFonts w:ascii="Arial" w:eastAsia="Calibri" w:hAnsi="Arial" w:cs="Arial"/>
          <w:sz w:val="19"/>
          <w:szCs w:val="19"/>
          <w:lang w:val="es-CO"/>
        </w:rPr>
        <w:t>»f</w:t>
      </w:r>
      <w:proofErr w:type="gramEnd"/>
      <w:r w:rsidRPr="0062206A">
        <w:rPr>
          <w:rFonts w:ascii="Arial" w:eastAsia="Calibri" w:hAnsi="Arial" w:cs="Arial"/>
          <w:sz w:val="19"/>
          <w:szCs w:val="19"/>
          <w:lang w:val="es-CO"/>
        </w:rPr>
        <w:t xml:space="preserve">) Los partidos o movimientos políticos y los grupos significativos de ciudadanos.  </w:t>
      </w:r>
    </w:p>
    <w:p w14:paraId="3441B8B7" w14:textId="77777777" w:rsidR="00FE4DBD" w:rsidRPr="0062206A" w:rsidRDefault="00FE4DBD" w:rsidP="00FE4DBD">
      <w:pPr>
        <w:ind w:firstLine="708"/>
        <w:jc w:val="both"/>
        <w:rPr>
          <w:rFonts w:ascii="Arial" w:eastAsia="Calibri" w:hAnsi="Arial" w:cs="Arial"/>
          <w:sz w:val="19"/>
          <w:szCs w:val="19"/>
          <w:lang w:val="es-CO"/>
        </w:rPr>
      </w:pPr>
      <w:proofErr w:type="gramStart"/>
      <w:r w:rsidRPr="0062206A">
        <w:rPr>
          <w:rFonts w:ascii="Arial" w:eastAsia="Calibri" w:hAnsi="Arial" w:cs="Arial"/>
          <w:sz w:val="19"/>
          <w:szCs w:val="19"/>
          <w:lang w:val="es-CO"/>
        </w:rPr>
        <w:t>»g</w:t>
      </w:r>
      <w:proofErr w:type="gramEnd"/>
      <w:r w:rsidRPr="0062206A">
        <w:rPr>
          <w:rFonts w:ascii="Arial" w:eastAsia="Calibri" w:hAnsi="Arial" w:cs="Arial"/>
          <w:sz w:val="19"/>
          <w:szCs w:val="19"/>
          <w:lang w:val="es-CO"/>
        </w:rPr>
        <w:t xml:space="preserve">) Las entidades que administren instituciones parafiscales, fondos o recursos de naturaleza u origen público.  </w:t>
      </w:r>
    </w:p>
    <w:p w14:paraId="58581D6B" w14:textId="77777777" w:rsidR="00FE4DBD" w:rsidRPr="0062206A" w:rsidRDefault="00FE4DBD" w:rsidP="00FE4DBD">
      <w:pPr>
        <w:ind w:firstLine="708"/>
        <w:jc w:val="both"/>
        <w:rPr>
          <w:rFonts w:ascii="Arial" w:eastAsia="Calibri" w:hAnsi="Arial" w:cs="Arial"/>
          <w:sz w:val="19"/>
          <w:szCs w:val="19"/>
          <w:lang w:val="es-CO"/>
        </w:rPr>
      </w:pPr>
      <w:proofErr w:type="gramStart"/>
      <w:r w:rsidRPr="0062206A">
        <w:rPr>
          <w:rFonts w:ascii="Arial" w:eastAsia="Calibri" w:hAnsi="Arial" w:cs="Arial"/>
          <w:sz w:val="19"/>
          <w:szCs w:val="19"/>
          <w:lang w:val="es-CO"/>
        </w:rPr>
        <w:t>»Las</w:t>
      </w:r>
      <w:proofErr w:type="gramEnd"/>
      <w:r w:rsidRPr="0062206A">
        <w:rPr>
          <w:rFonts w:ascii="Arial" w:eastAsia="Calibri" w:hAnsi="Arial" w:cs="Arial"/>
          <w:sz w:val="19"/>
          <w:szCs w:val="19"/>
          <w:lang w:val="es-CO"/>
        </w:rPr>
        <w:t xml:space="preserve"> personas naturales o jurídicas que reciban o intermedien fondos o beneficios públicos territoriales y nacionales y no cumplan ninguno de los otros requisitos para ser considerados sujetos obligados, solo deberán cumplir con la presente ley respecto de aquella información que se produzca en relación con fondos públicos que reciban o intermedien.  </w:t>
      </w:r>
    </w:p>
    <w:p w14:paraId="476D8303" w14:textId="77777777" w:rsidR="00FE4DBD" w:rsidRPr="0062206A" w:rsidRDefault="00FE4DBD" w:rsidP="00FE4DBD">
      <w:pPr>
        <w:ind w:firstLine="708"/>
        <w:jc w:val="both"/>
        <w:rPr>
          <w:rFonts w:ascii="Arial" w:eastAsia="Calibri" w:hAnsi="Arial" w:cs="Arial"/>
          <w:sz w:val="19"/>
          <w:szCs w:val="19"/>
          <w:lang w:val="es-CO"/>
        </w:rPr>
      </w:pPr>
      <w:proofErr w:type="gramStart"/>
      <w:r w:rsidRPr="0062206A">
        <w:rPr>
          <w:rFonts w:ascii="Arial" w:eastAsia="Calibri" w:hAnsi="Arial" w:cs="Arial"/>
          <w:sz w:val="19"/>
          <w:szCs w:val="19"/>
          <w:lang w:val="es-CO"/>
        </w:rPr>
        <w:t>»Parágrafo</w:t>
      </w:r>
      <w:proofErr w:type="gramEnd"/>
      <w:r w:rsidRPr="0062206A">
        <w:rPr>
          <w:rFonts w:ascii="Arial" w:eastAsia="Calibri" w:hAnsi="Arial" w:cs="Arial"/>
          <w:sz w:val="19"/>
          <w:szCs w:val="19"/>
          <w:lang w:val="es-CO"/>
        </w:rPr>
        <w:t xml:space="preserve"> 1°. No serán sujetos obligados aquellas personas naturales o jurídicas de carácter privado que sean usuarios de información pública». </w:t>
      </w:r>
    </w:p>
    <w:p w14:paraId="4F47EE91" w14:textId="77777777" w:rsidR="00FE4DBD" w:rsidRPr="0062206A" w:rsidRDefault="00FE4DBD" w:rsidP="00FE4DBD">
      <w:pPr>
        <w:ind w:firstLine="708"/>
        <w:jc w:val="both"/>
        <w:rPr>
          <w:rFonts w:ascii="Arial" w:eastAsia="Calibri" w:hAnsi="Arial" w:cs="Arial"/>
          <w:sz w:val="19"/>
          <w:szCs w:val="19"/>
          <w:lang w:val="es-CO"/>
        </w:rPr>
      </w:pPr>
    </w:p>
  </w:footnote>
  <w:footnote w:id="10">
    <w:p w14:paraId="7CE12570" w14:textId="77777777" w:rsidR="0017290B" w:rsidRDefault="0017290B" w:rsidP="0017290B">
      <w:pPr>
        <w:ind w:firstLine="709"/>
        <w:jc w:val="both"/>
        <w:rPr>
          <w:rFonts w:ascii="Arial" w:hAnsi="Arial" w:cs="Arial"/>
          <w:sz w:val="19"/>
          <w:szCs w:val="19"/>
        </w:rPr>
      </w:pPr>
      <w:r w:rsidRPr="0062206A">
        <w:rPr>
          <w:rStyle w:val="Refdenotaalpie"/>
          <w:rFonts w:ascii="Arial" w:hAnsi="Arial" w:cs="Arial"/>
          <w:sz w:val="19"/>
          <w:szCs w:val="19"/>
        </w:rPr>
        <w:footnoteRef/>
      </w:r>
      <w:r w:rsidRPr="0062206A">
        <w:rPr>
          <w:rFonts w:ascii="Arial" w:hAnsi="Arial" w:cs="Arial"/>
          <w:sz w:val="19"/>
          <w:szCs w:val="19"/>
        </w:rPr>
        <w:t xml:space="preserve"> Decreto 10</w:t>
      </w:r>
      <w:r>
        <w:rPr>
          <w:rFonts w:ascii="Arial" w:hAnsi="Arial" w:cs="Arial"/>
          <w:sz w:val="19"/>
          <w:szCs w:val="19"/>
        </w:rPr>
        <w:t>81</w:t>
      </w:r>
      <w:r w:rsidRPr="0062206A">
        <w:rPr>
          <w:rFonts w:ascii="Arial" w:hAnsi="Arial" w:cs="Arial"/>
          <w:sz w:val="19"/>
          <w:szCs w:val="19"/>
        </w:rPr>
        <w:t xml:space="preserve"> de 2015: «</w:t>
      </w:r>
      <w:r w:rsidRPr="00A52EF5">
        <w:rPr>
          <w:rFonts w:ascii="Arial" w:hAnsi="Arial" w:cs="Arial"/>
          <w:sz w:val="19"/>
          <w:szCs w:val="19"/>
        </w:rPr>
        <w:t>Artículo 2.1.1.2.1.8. Publicación de la ejecución de contratos. Para efectos del cumplimiento de la obligación contenida en el literal g) del artículo 11 de la Ley 1712 de 2014, relativa a la información sobre la ejecución de contratos, el sujeto obligado debe publicar las aprobaciones, autorizaciones, requerimientos o informes del supervisor o del interventor, que prueben la ejecución del contrato</w:t>
      </w:r>
      <w:r>
        <w:rPr>
          <w:rFonts w:ascii="Arial" w:hAnsi="Arial" w:cs="Arial"/>
          <w:sz w:val="19"/>
          <w:szCs w:val="19"/>
        </w:rPr>
        <w:t>»</w:t>
      </w:r>
      <w:r w:rsidRPr="00A52EF5">
        <w:rPr>
          <w:rFonts w:ascii="Arial" w:hAnsi="Arial" w:cs="Arial"/>
          <w:sz w:val="19"/>
          <w:szCs w:val="19"/>
        </w:rPr>
        <w:t xml:space="preserve">. </w:t>
      </w:r>
    </w:p>
    <w:p w14:paraId="646623DC" w14:textId="77777777" w:rsidR="0017290B" w:rsidRPr="0062206A" w:rsidRDefault="0017290B" w:rsidP="0017290B">
      <w:pPr>
        <w:ind w:firstLine="709"/>
        <w:jc w:val="both"/>
        <w:rPr>
          <w:rFonts w:ascii="Arial" w:hAnsi="Arial" w:cs="Arial"/>
          <w:sz w:val="19"/>
          <w:szCs w:val="19"/>
        </w:rPr>
      </w:pPr>
    </w:p>
  </w:footnote>
  <w:footnote w:id="11">
    <w:p w14:paraId="3D7A9799" w14:textId="77777777" w:rsidR="0017290B" w:rsidRDefault="0017290B" w:rsidP="0017290B">
      <w:pPr>
        <w:ind w:firstLine="707"/>
        <w:jc w:val="both"/>
        <w:rPr>
          <w:rFonts w:ascii="Arial" w:hAnsi="Arial" w:cs="Arial"/>
          <w:sz w:val="19"/>
          <w:szCs w:val="19"/>
        </w:rPr>
      </w:pPr>
      <w:r w:rsidRPr="0062206A">
        <w:rPr>
          <w:rStyle w:val="Refdenotaalpie"/>
          <w:rFonts w:ascii="Arial" w:hAnsi="Arial" w:cs="Arial"/>
          <w:sz w:val="19"/>
          <w:szCs w:val="19"/>
        </w:rPr>
        <w:footnoteRef/>
      </w:r>
      <w:r w:rsidRPr="0062206A">
        <w:rPr>
          <w:rFonts w:ascii="Arial" w:hAnsi="Arial" w:cs="Arial"/>
          <w:sz w:val="19"/>
          <w:szCs w:val="19"/>
        </w:rPr>
        <w:t xml:space="preserve"> Decreto 10</w:t>
      </w:r>
      <w:r>
        <w:rPr>
          <w:rFonts w:ascii="Arial" w:hAnsi="Arial" w:cs="Arial"/>
          <w:sz w:val="19"/>
          <w:szCs w:val="19"/>
        </w:rPr>
        <w:t>81</w:t>
      </w:r>
      <w:r w:rsidRPr="0062206A">
        <w:rPr>
          <w:rFonts w:ascii="Arial" w:hAnsi="Arial" w:cs="Arial"/>
          <w:sz w:val="19"/>
          <w:szCs w:val="19"/>
        </w:rPr>
        <w:t xml:space="preserve"> de 2015: «Artículo </w:t>
      </w:r>
      <w:r w:rsidRPr="00A52EF5">
        <w:rPr>
          <w:rFonts w:ascii="Arial" w:hAnsi="Arial" w:cs="Arial"/>
          <w:sz w:val="19"/>
          <w:szCs w:val="19"/>
        </w:rPr>
        <w:t>2.1.1.2.1.9. Publicación de procedimientos, lineamientos y políticas en materia de adquisición y compras. Para los sujetos obligados que contratan con cargo a recursos públicos, los procedimientos, lineamientos y políticas en materia de adquisición y compras de los que trata el literal g) del artículo 11 de la Ley 1712 de 2014 son los previstos en el manual de contratación expedido conforme a las directrices señaladas por la Agencia Nacional de Contratación Pública –Colombia Compra Eficiente–, el cual debe estar publicado en el sitio web oficial del sujeto obligado</w:t>
      </w:r>
      <w:r w:rsidRPr="0062206A">
        <w:rPr>
          <w:rFonts w:ascii="Arial" w:hAnsi="Arial" w:cs="Arial"/>
          <w:sz w:val="19"/>
          <w:szCs w:val="19"/>
        </w:rPr>
        <w:t>».</w:t>
      </w:r>
    </w:p>
    <w:p w14:paraId="231698E8" w14:textId="77777777" w:rsidR="0017290B" w:rsidRPr="0062206A" w:rsidRDefault="0017290B" w:rsidP="0017290B">
      <w:pPr>
        <w:ind w:firstLine="707"/>
        <w:jc w:val="both"/>
        <w:rPr>
          <w:rFonts w:ascii="Arial" w:hAnsi="Arial" w:cs="Arial"/>
          <w:sz w:val="19"/>
          <w:szCs w:val="19"/>
        </w:rPr>
      </w:pPr>
    </w:p>
  </w:footnote>
  <w:footnote w:id="12">
    <w:p w14:paraId="34F4CB55" w14:textId="77777777" w:rsidR="0017290B" w:rsidRPr="00A52EF5" w:rsidRDefault="0017290B" w:rsidP="0017290B">
      <w:pPr>
        <w:ind w:firstLine="707"/>
        <w:jc w:val="both"/>
        <w:rPr>
          <w:rFonts w:ascii="Arial" w:hAnsi="Arial" w:cs="Arial"/>
          <w:sz w:val="19"/>
          <w:szCs w:val="19"/>
        </w:rPr>
      </w:pPr>
      <w:r w:rsidRPr="0062206A">
        <w:rPr>
          <w:rStyle w:val="Refdenotaalpie"/>
          <w:rFonts w:ascii="Arial" w:hAnsi="Arial" w:cs="Arial"/>
          <w:sz w:val="19"/>
          <w:szCs w:val="19"/>
        </w:rPr>
        <w:footnoteRef/>
      </w:r>
      <w:r w:rsidRPr="0062206A">
        <w:rPr>
          <w:rFonts w:ascii="Arial" w:hAnsi="Arial" w:cs="Arial"/>
          <w:sz w:val="19"/>
          <w:szCs w:val="19"/>
        </w:rPr>
        <w:t xml:space="preserve"> Decreto 10</w:t>
      </w:r>
      <w:r>
        <w:rPr>
          <w:rFonts w:ascii="Arial" w:hAnsi="Arial" w:cs="Arial"/>
          <w:sz w:val="19"/>
          <w:szCs w:val="19"/>
        </w:rPr>
        <w:t>81</w:t>
      </w:r>
      <w:r w:rsidRPr="0062206A">
        <w:rPr>
          <w:rFonts w:ascii="Arial" w:hAnsi="Arial" w:cs="Arial"/>
          <w:sz w:val="19"/>
          <w:szCs w:val="19"/>
        </w:rPr>
        <w:t xml:space="preserve"> de 2015: «Artículo </w:t>
      </w:r>
      <w:r w:rsidRPr="00A52EF5">
        <w:rPr>
          <w:rFonts w:ascii="Arial" w:hAnsi="Arial" w:cs="Arial"/>
          <w:sz w:val="19"/>
          <w:szCs w:val="19"/>
        </w:rPr>
        <w:t xml:space="preserve">2.1.1.2.1.10. Publicación del Plan Anual de Adquisiciones. Los sujetos obligados que contratan con cargo a recursos públicos deben publicar en su página web y en el SECOP el Plan Anual de Adquisiciones, de acuerdo con lo previsto en el artículo 74 de la Ley 1474 de 2011, el literal e) del artículo 9° de la Ley 1712 de 2014 y el Decreto 1510 de 2013, o el que lo modifique, sustituya o adicione. </w:t>
      </w:r>
    </w:p>
    <w:p w14:paraId="2E29478F" w14:textId="77777777" w:rsidR="0017290B" w:rsidRPr="00A52EF5" w:rsidRDefault="0017290B" w:rsidP="0017290B">
      <w:pPr>
        <w:ind w:firstLine="707"/>
        <w:jc w:val="both"/>
        <w:rPr>
          <w:rFonts w:ascii="Arial" w:hAnsi="Arial" w:cs="Arial"/>
          <w:sz w:val="19"/>
          <w:szCs w:val="19"/>
        </w:rPr>
      </w:pPr>
      <w:proofErr w:type="gramStart"/>
      <w:r>
        <w:rPr>
          <w:rFonts w:ascii="Arial" w:hAnsi="Arial" w:cs="Arial"/>
          <w:sz w:val="19"/>
          <w:szCs w:val="19"/>
        </w:rPr>
        <w:t>»</w:t>
      </w:r>
      <w:r w:rsidRPr="00A52EF5">
        <w:rPr>
          <w:rFonts w:ascii="Arial" w:hAnsi="Arial" w:cs="Arial"/>
          <w:sz w:val="19"/>
          <w:szCs w:val="19"/>
        </w:rPr>
        <w:t>Los</w:t>
      </w:r>
      <w:proofErr w:type="gramEnd"/>
      <w:r w:rsidRPr="00A52EF5">
        <w:rPr>
          <w:rFonts w:ascii="Arial" w:hAnsi="Arial" w:cs="Arial"/>
          <w:sz w:val="19"/>
          <w:szCs w:val="19"/>
        </w:rPr>
        <w:t xml:space="preserve"> sujetos obligados que no contratan con cargo a recursos públicos no están obligados a publicar su Plan Anual de Adquisiciones. </w:t>
      </w:r>
    </w:p>
    <w:p w14:paraId="00AAFDF6" w14:textId="77777777" w:rsidR="0017290B" w:rsidRPr="00A52EF5" w:rsidRDefault="0017290B" w:rsidP="0017290B">
      <w:pPr>
        <w:ind w:firstLine="707"/>
        <w:jc w:val="both"/>
        <w:rPr>
          <w:rFonts w:ascii="Arial" w:hAnsi="Arial" w:cs="Arial"/>
          <w:sz w:val="19"/>
          <w:szCs w:val="19"/>
        </w:rPr>
      </w:pPr>
      <w:proofErr w:type="gramStart"/>
      <w:r>
        <w:rPr>
          <w:rFonts w:ascii="Arial" w:hAnsi="Arial" w:cs="Arial"/>
          <w:sz w:val="19"/>
          <w:szCs w:val="19"/>
        </w:rPr>
        <w:t>»</w:t>
      </w:r>
      <w:r w:rsidRPr="00A52EF5">
        <w:rPr>
          <w:rFonts w:ascii="Arial" w:hAnsi="Arial" w:cs="Arial"/>
          <w:sz w:val="19"/>
          <w:szCs w:val="19"/>
        </w:rPr>
        <w:t>Los</w:t>
      </w:r>
      <w:proofErr w:type="gramEnd"/>
      <w:r w:rsidRPr="00A52EF5">
        <w:rPr>
          <w:rFonts w:ascii="Arial" w:hAnsi="Arial" w:cs="Arial"/>
          <w:sz w:val="19"/>
          <w:szCs w:val="19"/>
        </w:rPr>
        <w:t xml:space="preserve"> sujetos obligados que contratan con cargo a recursos públicos y recursos privados, deben publicar en su página web y en el SECOP el Plan Anual de Adquisiciones para los recursos de carácter público que ejecutarán en el año. </w:t>
      </w:r>
    </w:p>
    <w:p w14:paraId="3ADD8502" w14:textId="77777777" w:rsidR="0017290B" w:rsidRPr="0062206A" w:rsidRDefault="0017290B" w:rsidP="0017290B">
      <w:pPr>
        <w:ind w:firstLine="707"/>
        <w:jc w:val="both"/>
        <w:rPr>
          <w:rFonts w:ascii="Arial" w:hAnsi="Arial" w:cs="Arial"/>
          <w:sz w:val="19"/>
          <w:szCs w:val="19"/>
        </w:rPr>
      </w:pPr>
      <w:proofErr w:type="gramStart"/>
      <w:r>
        <w:rPr>
          <w:rFonts w:ascii="Arial" w:hAnsi="Arial" w:cs="Arial"/>
          <w:sz w:val="19"/>
          <w:szCs w:val="19"/>
        </w:rPr>
        <w:t>»</w:t>
      </w:r>
      <w:r w:rsidRPr="00A52EF5">
        <w:rPr>
          <w:rFonts w:ascii="Arial" w:hAnsi="Arial" w:cs="Arial"/>
          <w:sz w:val="19"/>
          <w:szCs w:val="19"/>
        </w:rPr>
        <w:t>Se</w:t>
      </w:r>
      <w:proofErr w:type="gramEnd"/>
      <w:r w:rsidRPr="00A52EF5">
        <w:rPr>
          <w:rFonts w:ascii="Arial" w:hAnsi="Arial" w:cs="Arial"/>
          <w:sz w:val="19"/>
          <w:szCs w:val="19"/>
        </w:rPr>
        <w:t xml:space="preserve"> entenderá como definición de Plan Anual de Adquisiciones respecto a todos los sujetos obligados que contratan con recursos públicos, la prevista en el artículo 3° del Decreto 1510 de 2013, o el que lo modifique, sustituya o adicione</w:t>
      </w:r>
      <w:r>
        <w:rPr>
          <w:rFonts w:ascii="Arial" w:hAnsi="Arial" w:cs="Arial"/>
          <w:sz w:val="19"/>
          <w:szCs w:val="19"/>
        </w:rPr>
        <w:t>»</w:t>
      </w:r>
      <w:r w:rsidRPr="00A52EF5">
        <w:rPr>
          <w:rFonts w:ascii="Arial" w:hAnsi="Arial" w:cs="Arial"/>
          <w:sz w:val="19"/>
          <w:szCs w:val="19"/>
        </w:rPr>
        <w:t>.</w:t>
      </w:r>
    </w:p>
    <w:p w14:paraId="5F4471DF" w14:textId="77777777" w:rsidR="0017290B" w:rsidRPr="0062206A" w:rsidRDefault="0017290B" w:rsidP="0017290B">
      <w:pPr>
        <w:pStyle w:val="Textonotapie"/>
        <w:rPr>
          <w:rFonts w:ascii="Arial" w:hAnsi="Arial" w:cs="Arial"/>
          <w:sz w:val="19"/>
          <w:szCs w:val="19"/>
        </w:rPr>
      </w:pPr>
    </w:p>
  </w:footnote>
  <w:footnote w:id="13">
    <w:p w14:paraId="1709A361" w14:textId="101E87FD" w:rsidR="007C7F85" w:rsidRDefault="007C7F85" w:rsidP="007C7F85">
      <w:pPr>
        <w:pStyle w:val="Textonotapie"/>
        <w:ind w:firstLine="708"/>
        <w:jc w:val="both"/>
        <w:rPr>
          <w:rFonts w:ascii="Arial" w:hAnsi="Arial" w:cs="Arial"/>
          <w:color w:val="000000" w:themeColor="text1"/>
          <w:sz w:val="18"/>
          <w:szCs w:val="18"/>
          <w:lang w:val="es-CO"/>
        </w:rPr>
      </w:pPr>
      <w:r w:rsidRPr="00E85B58">
        <w:rPr>
          <w:rStyle w:val="Refdenotaalpie"/>
          <w:rFonts w:ascii="Arial" w:hAnsi="Arial" w:cs="Arial"/>
          <w:color w:val="000000" w:themeColor="text1"/>
          <w:sz w:val="18"/>
          <w:szCs w:val="18"/>
        </w:rPr>
        <w:footnoteRef/>
      </w:r>
      <w:r w:rsidRPr="00E85B58">
        <w:rPr>
          <w:rFonts w:ascii="Arial" w:hAnsi="Arial" w:cs="Arial"/>
          <w:color w:val="000000" w:themeColor="text1"/>
          <w:sz w:val="18"/>
          <w:szCs w:val="18"/>
        </w:rPr>
        <w:t xml:space="preserve"> </w:t>
      </w:r>
      <w:r w:rsidRPr="00E85B58">
        <w:rPr>
          <w:rFonts w:ascii="Arial" w:hAnsi="Arial" w:cs="Arial"/>
          <w:color w:val="000000" w:themeColor="text1"/>
          <w:sz w:val="18"/>
          <w:szCs w:val="18"/>
          <w:lang w:val="es-CO"/>
        </w:rPr>
        <w:t xml:space="preserve">Real Academia Española de la Lengua. Diccionario de la Lengua Española. Edición Tricentenario. Disponible en: </w:t>
      </w:r>
      <w:hyperlink r:id="rId1" w:history="1">
        <w:r w:rsidRPr="00E85B58">
          <w:rPr>
            <w:rStyle w:val="Hipervnculo"/>
            <w:rFonts w:ascii="Arial" w:hAnsi="Arial" w:cs="Arial"/>
            <w:color w:val="000000" w:themeColor="text1"/>
            <w:sz w:val="18"/>
            <w:szCs w:val="18"/>
          </w:rPr>
          <w:t>https://dle.rae.es/h%C3%A1bil</w:t>
        </w:r>
      </w:hyperlink>
      <w:r w:rsidRPr="00E85B58">
        <w:rPr>
          <w:rFonts w:ascii="Arial" w:hAnsi="Arial" w:cs="Arial"/>
          <w:color w:val="000000" w:themeColor="text1"/>
          <w:sz w:val="18"/>
          <w:szCs w:val="18"/>
          <w:lang w:val="es-CO"/>
        </w:rPr>
        <w:t xml:space="preserve"> </w:t>
      </w:r>
    </w:p>
    <w:p w14:paraId="7E539E6B" w14:textId="77777777" w:rsidR="005C7AB0" w:rsidRPr="00E85B58" w:rsidRDefault="005C7AB0" w:rsidP="007C7F85">
      <w:pPr>
        <w:pStyle w:val="Textonotapie"/>
        <w:ind w:firstLine="708"/>
        <w:jc w:val="both"/>
        <w:rPr>
          <w:rFonts w:ascii="Arial" w:hAnsi="Arial" w:cs="Arial"/>
          <w:color w:val="000000" w:themeColor="text1"/>
          <w:sz w:val="18"/>
          <w:szCs w:val="18"/>
          <w:lang w:val="es-CO"/>
        </w:rPr>
      </w:pPr>
    </w:p>
  </w:footnote>
  <w:footnote w:id="14">
    <w:p w14:paraId="1509598E" w14:textId="77777777" w:rsidR="00F55D05" w:rsidRPr="00E85B58" w:rsidRDefault="00F55D05" w:rsidP="00F55D05">
      <w:pPr>
        <w:pStyle w:val="Textonotapie"/>
        <w:ind w:firstLine="708"/>
        <w:rPr>
          <w:rFonts w:ascii="Arial" w:hAnsi="Arial" w:cs="Arial"/>
          <w:color w:val="000000" w:themeColor="text1"/>
          <w:sz w:val="18"/>
          <w:szCs w:val="18"/>
        </w:rPr>
      </w:pPr>
      <w:r w:rsidRPr="00E85B58">
        <w:rPr>
          <w:rStyle w:val="Refdenotaalpie"/>
          <w:color w:val="000000" w:themeColor="text1"/>
        </w:rPr>
        <w:footnoteRef/>
      </w:r>
      <w:r w:rsidRPr="00E85B58">
        <w:rPr>
          <w:color w:val="000000" w:themeColor="text1"/>
        </w:rPr>
        <w:t xml:space="preserve"> </w:t>
      </w:r>
      <w:r w:rsidRPr="00E85B58">
        <w:rPr>
          <w:rFonts w:ascii="Arial" w:hAnsi="Arial" w:cs="Arial"/>
          <w:color w:val="000000" w:themeColor="text1"/>
          <w:sz w:val="18"/>
          <w:szCs w:val="18"/>
        </w:rPr>
        <w:t>MARÍN CORTÉS, Fabián G. Derecho de petición y procedimiento administrativo. 1</w:t>
      </w:r>
      <w:r w:rsidRPr="00E85B58">
        <w:rPr>
          <w:rFonts w:ascii="Arial" w:hAnsi="Arial" w:cs="Arial"/>
          <w:color w:val="000000" w:themeColor="text1"/>
          <w:sz w:val="18"/>
          <w:szCs w:val="18"/>
          <w:u w:val="single"/>
          <w:vertAlign w:val="superscript"/>
        </w:rPr>
        <w:t>a</w:t>
      </w:r>
      <w:r w:rsidRPr="00E85B58">
        <w:rPr>
          <w:rFonts w:ascii="Arial" w:hAnsi="Arial" w:cs="Arial"/>
          <w:color w:val="000000" w:themeColor="text1"/>
          <w:sz w:val="18"/>
          <w:szCs w:val="18"/>
        </w:rPr>
        <w:t xml:space="preserve"> ed. Medellín: Librería Jurídica Sánchez R </w:t>
      </w:r>
      <w:proofErr w:type="spellStart"/>
      <w:r w:rsidRPr="00E85B58">
        <w:rPr>
          <w:rFonts w:ascii="Arial" w:hAnsi="Arial" w:cs="Arial"/>
          <w:color w:val="000000" w:themeColor="text1"/>
          <w:sz w:val="18"/>
          <w:szCs w:val="18"/>
        </w:rPr>
        <w:t>Ltda</w:t>
      </w:r>
      <w:proofErr w:type="spellEnd"/>
      <w:r w:rsidRPr="00E85B58">
        <w:rPr>
          <w:rFonts w:ascii="Arial" w:hAnsi="Arial" w:cs="Arial"/>
          <w:color w:val="000000" w:themeColor="text1"/>
          <w:sz w:val="18"/>
          <w:szCs w:val="18"/>
        </w:rPr>
        <w:t xml:space="preserve"> y Centro de Estudios de Derecho Administrativo, 2017. p. 417.  </w:t>
      </w:r>
    </w:p>
    <w:p w14:paraId="22BD4726" w14:textId="77777777" w:rsidR="00F55D05" w:rsidRPr="00E85B58" w:rsidRDefault="00F55D05" w:rsidP="00F55D05">
      <w:pPr>
        <w:pStyle w:val="Textonotapie"/>
        <w:rPr>
          <w:color w:val="000000" w:themeColor="text1"/>
          <w:lang w:val="es-CO"/>
        </w:rPr>
      </w:pPr>
    </w:p>
  </w:footnote>
  <w:footnote w:id="15">
    <w:p w14:paraId="1EE55566" w14:textId="7DB0E470" w:rsidR="00E61EEB" w:rsidRDefault="00E61EEB" w:rsidP="00E61EEB">
      <w:pPr>
        <w:pStyle w:val="Textonotapie"/>
        <w:ind w:firstLine="708"/>
        <w:jc w:val="both"/>
        <w:rPr>
          <w:rFonts w:ascii="Arial" w:hAnsi="Arial" w:cs="Arial"/>
          <w:color w:val="000000" w:themeColor="text1"/>
          <w:sz w:val="18"/>
          <w:szCs w:val="18"/>
        </w:rPr>
      </w:pPr>
      <w:r w:rsidRPr="00E85B58">
        <w:rPr>
          <w:rStyle w:val="Refdenotaalpie"/>
          <w:rFonts w:ascii="Arial" w:hAnsi="Arial" w:cs="Arial"/>
          <w:color w:val="000000" w:themeColor="text1"/>
          <w:sz w:val="18"/>
          <w:szCs w:val="18"/>
        </w:rPr>
        <w:footnoteRef/>
      </w:r>
      <w:r w:rsidRPr="00E85B58">
        <w:rPr>
          <w:rFonts w:ascii="Arial" w:hAnsi="Arial" w:cs="Arial"/>
          <w:color w:val="000000" w:themeColor="text1"/>
          <w:sz w:val="18"/>
          <w:szCs w:val="18"/>
        </w:rPr>
        <w:t xml:space="preserve"> </w:t>
      </w:r>
      <w:r w:rsidRPr="00E85B58">
        <w:rPr>
          <w:rFonts w:ascii="Arial" w:hAnsi="Arial" w:cs="Arial"/>
          <w:color w:val="000000" w:themeColor="text1"/>
          <w:sz w:val="18"/>
          <w:szCs w:val="18"/>
          <w:lang w:val="es-CO"/>
        </w:rPr>
        <w:t xml:space="preserve">Consejo de Estado. </w:t>
      </w:r>
      <w:r w:rsidRPr="00E85B58">
        <w:rPr>
          <w:rFonts w:ascii="Arial" w:hAnsi="Arial" w:cs="Arial"/>
          <w:color w:val="000000" w:themeColor="text1"/>
          <w:sz w:val="18"/>
          <w:szCs w:val="18"/>
        </w:rPr>
        <w:t xml:space="preserve">Sala Plena de lo Contencioso Administrativo. Sentencia del 12 de abril de 1978. C.P. Carlos Portocarrero Mutis. </w:t>
      </w:r>
      <w:proofErr w:type="spellStart"/>
      <w:r w:rsidRPr="00E85B58">
        <w:rPr>
          <w:rFonts w:ascii="Arial" w:hAnsi="Arial" w:cs="Arial"/>
          <w:color w:val="000000" w:themeColor="text1"/>
          <w:sz w:val="18"/>
          <w:szCs w:val="18"/>
        </w:rPr>
        <w:t>Exp</w:t>
      </w:r>
      <w:proofErr w:type="spellEnd"/>
      <w:r w:rsidRPr="00E85B58">
        <w:rPr>
          <w:rFonts w:ascii="Arial" w:hAnsi="Arial" w:cs="Arial"/>
          <w:color w:val="000000" w:themeColor="text1"/>
          <w:sz w:val="18"/>
          <w:szCs w:val="18"/>
        </w:rPr>
        <w:t>. 355.</w:t>
      </w:r>
    </w:p>
    <w:p w14:paraId="06389613" w14:textId="77777777" w:rsidR="007C3C71" w:rsidRPr="00E85B58" w:rsidRDefault="007C3C71" w:rsidP="00E61EEB">
      <w:pPr>
        <w:pStyle w:val="Textonotapie"/>
        <w:ind w:firstLine="708"/>
        <w:jc w:val="both"/>
        <w:rPr>
          <w:rFonts w:ascii="Arial" w:hAnsi="Arial" w:cs="Arial"/>
          <w:color w:val="000000" w:themeColor="text1"/>
          <w:sz w:val="18"/>
          <w:szCs w:val="18"/>
          <w:lang w:val="es-CO"/>
        </w:rPr>
      </w:pPr>
    </w:p>
  </w:footnote>
  <w:footnote w:id="16">
    <w:p w14:paraId="5F09EAF1" w14:textId="43E21445" w:rsidR="00E61EEB" w:rsidRDefault="00E61EEB" w:rsidP="00E61EEB">
      <w:pPr>
        <w:pStyle w:val="Textonotapie"/>
        <w:ind w:firstLine="708"/>
        <w:jc w:val="both"/>
        <w:rPr>
          <w:rFonts w:ascii="Arial" w:hAnsi="Arial" w:cs="Arial"/>
          <w:color w:val="000000" w:themeColor="text1"/>
          <w:sz w:val="18"/>
          <w:szCs w:val="18"/>
        </w:rPr>
      </w:pPr>
      <w:r w:rsidRPr="00E85B58">
        <w:rPr>
          <w:rStyle w:val="Refdenotaalpie"/>
          <w:rFonts w:ascii="Arial" w:hAnsi="Arial" w:cs="Arial"/>
          <w:color w:val="000000" w:themeColor="text1"/>
          <w:sz w:val="18"/>
          <w:szCs w:val="18"/>
        </w:rPr>
        <w:footnoteRef/>
      </w:r>
      <w:r w:rsidRPr="00E85B58">
        <w:rPr>
          <w:rFonts w:ascii="Arial" w:hAnsi="Arial" w:cs="Arial"/>
          <w:color w:val="000000" w:themeColor="text1"/>
          <w:sz w:val="18"/>
          <w:szCs w:val="18"/>
        </w:rPr>
        <w:t xml:space="preserve"> Consejo de Estado. Sección Cuarta. Auto del 26 de febrero de 1983.</w:t>
      </w:r>
    </w:p>
    <w:p w14:paraId="53306BD7" w14:textId="77777777" w:rsidR="007C3C71" w:rsidRPr="00E85B58" w:rsidRDefault="007C3C71" w:rsidP="00E61EEB">
      <w:pPr>
        <w:pStyle w:val="Textonotapie"/>
        <w:ind w:firstLine="708"/>
        <w:jc w:val="both"/>
        <w:rPr>
          <w:rFonts w:ascii="Arial" w:hAnsi="Arial" w:cs="Arial"/>
          <w:color w:val="000000" w:themeColor="text1"/>
          <w:sz w:val="18"/>
          <w:szCs w:val="18"/>
          <w:lang w:val="es-CO"/>
        </w:rPr>
      </w:pPr>
    </w:p>
  </w:footnote>
  <w:footnote w:id="17">
    <w:p w14:paraId="06744463" w14:textId="436254F1" w:rsidR="00B710DC" w:rsidRPr="005C134E" w:rsidRDefault="00B710DC" w:rsidP="005C134E">
      <w:pPr>
        <w:pStyle w:val="Textonotapie"/>
        <w:ind w:firstLine="709"/>
        <w:jc w:val="both"/>
        <w:rPr>
          <w:rFonts w:ascii="Arial" w:hAnsi="Arial" w:cs="Arial"/>
          <w:sz w:val="18"/>
          <w:szCs w:val="18"/>
        </w:rPr>
      </w:pPr>
      <w:r w:rsidRPr="005C134E">
        <w:rPr>
          <w:rStyle w:val="Refdenotaalpie"/>
          <w:rFonts w:ascii="Arial" w:hAnsi="Arial" w:cs="Arial"/>
          <w:sz w:val="18"/>
          <w:szCs w:val="18"/>
        </w:rPr>
        <w:footnoteRef/>
      </w:r>
      <w:r w:rsidRPr="005C134E">
        <w:rPr>
          <w:rFonts w:ascii="Arial" w:hAnsi="Arial" w:cs="Arial"/>
          <w:sz w:val="18"/>
          <w:szCs w:val="18"/>
        </w:rPr>
        <w:t xml:space="preserve"> Código de Comercio</w:t>
      </w:r>
      <w:r w:rsidR="00BC5144" w:rsidRPr="005C134E">
        <w:rPr>
          <w:rFonts w:ascii="Arial" w:hAnsi="Arial" w:cs="Arial"/>
          <w:sz w:val="18"/>
          <w:szCs w:val="18"/>
        </w:rPr>
        <w:t xml:space="preserve">: </w:t>
      </w:r>
      <w:r w:rsidR="00D470CA" w:rsidRPr="005C134E">
        <w:rPr>
          <w:rFonts w:ascii="Arial" w:hAnsi="Arial" w:cs="Arial"/>
          <w:sz w:val="18"/>
          <w:szCs w:val="18"/>
        </w:rPr>
        <w:t>«Artículo 829</w:t>
      </w:r>
      <w:r w:rsidR="00633224" w:rsidRPr="005C134E">
        <w:rPr>
          <w:rFonts w:ascii="Arial" w:hAnsi="Arial" w:cs="Arial"/>
          <w:sz w:val="18"/>
          <w:szCs w:val="18"/>
        </w:rPr>
        <w:t xml:space="preserve">. Reglas para los plazos. </w:t>
      </w:r>
      <w:r w:rsidR="00D41A2C" w:rsidRPr="005C134E">
        <w:rPr>
          <w:rFonts w:ascii="Arial" w:hAnsi="Arial" w:cs="Arial"/>
          <w:sz w:val="18"/>
          <w:szCs w:val="18"/>
        </w:rPr>
        <w:t>En los plazos de horas, días, meses y años, se seguirán las reglas que a continuación se expresan:</w:t>
      </w:r>
    </w:p>
    <w:p w14:paraId="2E618967" w14:textId="58D1BBCB" w:rsidR="00D41A2C" w:rsidRPr="005C134E" w:rsidRDefault="00D41A2C" w:rsidP="005C134E">
      <w:pPr>
        <w:pStyle w:val="Textonotapie"/>
        <w:ind w:firstLine="709"/>
        <w:jc w:val="both"/>
        <w:rPr>
          <w:rFonts w:ascii="Arial" w:hAnsi="Arial" w:cs="Arial"/>
          <w:sz w:val="18"/>
          <w:szCs w:val="18"/>
        </w:rPr>
      </w:pPr>
      <w:r w:rsidRPr="005C134E">
        <w:rPr>
          <w:rFonts w:ascii="Arial" w:hAnsi="Arial" w:cs="Arial"/>
          <w:sz w:val="18"/>
          <w:szCs w:val="18"/>
        </w:rPr>
        <w:t>»[…]</w:t>
      </w:r>
    </w:p>
    <w:p w14:paraId="011E4945" w14:textId="6A9E5AD5" w:rsidR="00D41A2C" w:rsidRPr="005C134E" w:rsidRDefault="00D41A2C" w:rsidP="005C134E">
      <w:pPr>
        <w:pStyle w:val="Textonotapie"/>
        <w:ind w:firstLine="709"/>
        <w:jc w:val="both"/>
        <w:rPr>
          <w:rFonts w:ascii="Arial" w:hAnsi="Arial" w:cs="Arial"/>
          <w:sz w:val="18"/>
          <w:szCs w:val="18"/>
        </w:rPr>
      </w:pPr>
      <w:proofErr w:type="gramStart"/>
      <w:r w:rsidRPr="005C134E">
        <w:rPr>
          <w:rFonts w:ascii="Arial" w:hAnsi="Arial" w:cs="Arial"/>
          <w:sz w:val="18"/>
          <w:szCs w:val="18"/>
        </w:rPr>
        <w:t>»</w:t>
      </w:r>
      <w:r w:rsidR="00016F6F" w:rsidRPr="005C134E">
        <w:rPr>
          <w:rFonts w:ascii="Arial" w:hAnsi="Arial" w:cs="Arial"/>
          <w:sz w:val="18"/>
          <w:szCs w:val="18"/>
        </w:rPr>
        <w:t>Parágrafo</w:t>
      </w:r>
      <w:proofErr w:type="gramEnd"/>
      <w:r w:rsidR="00016F6F" w:rsidRPr="005C134E">
        <w:rPr>
          <w:rFonts w:ascii="Arial" w:hAnsi="Arial" w:cs="Arial"/>
          <w:sz w:val="18"/>
          <w:szCs w:val="18"/>
        </w:rPr>
        <w:t xml:space="preserve"> 1o. Los plazos de días señalados en la ley se entenderán hábiles; los convencionales, comunes.</w:t>
      </w:r>
    </w:p>
    <w:p w14:paraId="580F872D" w14:textId="0AD89CCF" w:rsidR="00016F6F" w:rsidRDefault="003E74F6" w:rsidP="005C134E">
      <w:pPr>
        <w:pStyle w:val="Textonotapie"/>
        <w:ind w:firstLine="709"/>
        <w:jc w:val="both"/>
      </w:pPr>
      <w:r w:rsidRPr="005C134E">
        <w:rPr>
          <w:rFonts w:ascii="Arial" w:hAnsi="Arial" w:cs="Arial"/>
          <w:sz w:val="18"/>
          <w:szCs w:val="18"/>
        </w:rPr>
        <w:t>»[…]».</w:t>
      </w:r>
    </w:p>
  </w:footnote>
  <w:footnote w:id="18">
    <w:p w14:paraId="48D4EF15" w14:textId="77777777" w:rsidR="00E61EEB" w:rsidRPr="00E85B58" w:rsidRDefault="00E61EEB" w:rsidP="00E61EEB">
      <w:pPr>
        <w:pStyle w:val="Textonotapie"/>
        <w:ind w:firstLine="708"/>
        <w:jc w:val="both"/>
        <w:rPr>
          <w:rFonts w:ascii="Arial" w:hAnsi="Arial" w:cs="Arial"/>
          <w:color w:val="000000" w:themeColor="text1"/>
          <w:sz w:val="18"/>
          <w:szCs w:val="18"/>
          <w:lang w:val="es-CO"/>
        </w:rPr>
      </w:pPr>
      <w:r w:rsidRPr="00E85B58">
        <w:rPr>
          <w:rStyle w:val="Refdenotaalpie"/>
          <w:rFonts w:ascii="Arial" w:hAnsi="Arial" w:cs="Arial"/>
          <w:color w:val="000000" w:themeColor="text1"/>
          <w:sz w:val="18"/>
          <w:szCs w:val="18"/>
        </w:rPr>
        <w:footnoteRef/>
      </w:r>
      <w:r w:rsidRPr="00E85B58">
        <w:rPr>
          <w:rFonts w:ascii="Arial" w:hAnsi="Arial" w:cs="Arial"/>
          <w:color w:val="000000" w:themeColor="text1"/>
          <w:sz w:val="18"/>
          <w:szCs w:val="18"/>
        </w:rPr>
        <w:t xml:space="preserve"> MARÍN CORTÉS, Fabián G. Derecho de petición y procedimiento administrativo. 1</w:t>
      </w:r>
      <w:r w:rsidRPr="00E85B58">
        <w:rPr>
          <w:rFonts w:ascii="Arial" w:hAnsi="Arial" w:cs="Arial"/>
          <w:color w:val="000000" w:themeColor="text1"/>
          <w:sz w:val="18"/>
          <w:szCs w:val="18"/>
          <w:u w:val="single"/>
          <w:vertAlign w:val="superscript"/>
        </w:rPr>
        <w:t>a</w:t>
      </w:r>
      <w:r w:rsidRPr="00E85B58">
        <w:rPr>
          <w:rFonts w:ascii="Arial" w:hAnsi="Arial" w:cs="Arial"/>
          <w:color w:val="000000" w:themeColor="text1"/>
          <w:sz w:val="18"/>
          <w:szCs w:val="18"/>
        </w:rPr>
        <w:t xml:space="preserve"> ed. Medellín: Librería Jurídica Sánchez R </w:t>
      </w:r>
      <w:proofErr w:type="spellStart"/>
      <w:r w:rsidRPr="00E85B58">
        <w:rPr>
          <w:rFonts w:ascii="Arial" w:hAnsi="Arial" w:cs="Arial"/>
          <w:color w:val="000000" w:themeColor="text1"/>
          <w:sz w:val="18"/>
          <w:szCs w:val="18"/>
        </w:rPr>
        <w:t>Ltda</w:t>
      </w:r>
      <w:proofErr w:type="spellEnd"/>
      <w:r w:rsidRPr="00E85B58">
        <w:rPr>
          <w:rFonts w:ascii="Arial" w:hAnsi="Arial" w:cs="Arial"/>
          <w:color w:val="000000" w:themeColor="text1"/>
          <w:sz w:val="18"/>
          <w:szCs w:val="18"/>
        </w:rPr>
        <w:t xml:space="preserve"> y Centro de Estudios de Derecho Administrativo, 2017. p. 417.  </w:t>
      </w:r>
    </w:p>
  </w:footnote>
  <w:footnote w:id="19">
    <w:p w14:paraId="2BE4E38E" w14:textId="77777777" w:rsidR="00E61EEB" w:rsidRPr="00E85B58" w:rsidRDefault="00E61EEB" w:rsidP="00E61EEB">
      <w:pPr>
        <w:pStyle w:val="Textonotapie"/>
        <w:ind w:firstLine="708"/>
        <w:jc w:val="both"/>
        <w:rPr>
          <w:rFonts w:ascii="Arial" w:hAnsi="Arial" w:cs="Arial"/>
          <w:color w:val="000000" w:themeColor="text1"/>
          <w:sz w:val="18"/>
          <w:szCs w:val="18"/>
        </w:rPr>
      </w:pPr>
    </w:p>
    <w:p w14:paraId="06FA79C8" w14:textId="77777777" w:rsidR="00E61EEB" w:rsidRPr="00E85B58" w:rsidRDefault="00E61EEB" w:rsidP="00E61EEB">
      <w:pPr>
        <w:pStyle w:val="Textonotapie"/>
        <w:ind w:firstLine="708"/>
        <w:jc w:val="both"/>
        <w:rPr>
          <w:rFonts w:ascii="Arial" w:hAnsi="Arial" w:cs="Arial"/>
          <w:color w:val="000000" w:themeColor="text1"/>
          <w:sz w:val="18"/>
          <w:szCs w:val="18"/>
          <w:lang w:val="es-CO"/>
        </w:rPr>
      </w:pPr>
      <w:r w:rsidRPr="00E85B58">
        <w:rPr>
          <w:rStyle w:val="Refdenotaalpie"/>
          <w:rFonts w:ascii="Arial" w:hAnsi="Arial" w:cs="Arial"/>
          <w:color w:val="000000" w:themeColor="text1"/>
          <w:sz w:val="18"/>
          <w:szCs w:val="18"/>
        </w:rPr>
        <w:footnoteRef/>
      </w:r>
      <w:r w:rsidRPr="00E85B58">
        <w:rPr>
          <w:rFonts w:ascii="Arial" w:hAnsi="Arial" w:cs="Arial"/>
          <w:color w:val="000000" w:themeColor="text1"/>
          <w:sz w:val="18"/>
          <w:szCs w:val="18"/>
        </w:rPr>
        <w:t xml:space="preserve"> </w:t>
      </w:r>
      <w:r w:rsidRPr="00E85B58">
        <w:rPr>
          <w:rFonts w:ascii="Arial" w:hAnsi="Arial" w:cs="Arial"/>
          <w:i/>
          <w:iCs/>
          <w:color w:val="000000" w:themeColor="text1"/>
          <w:sz w:val="18"/>
          <w:szCs w:val="18"/>
        </w:rPr>
        <w:t>Ibídem.</w:t>
      </w:r>
      <w:r w:rsidRPr="00E85B58">
        <w:rPr>
          <w:rFonts w:ascii="Arial" w:hAnsi="Arial" w:cs="Arial"/>
          <w:color w:val="000000" w:themeColor="text1"/>
          <w:sz w:val="18"/>
          <w:szCs w:val="18"/>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0E9A4C" w14:textId="2E9786A6" w:rsidR="00B10353" w:rsidRDefault="003A0784">
    <w:pPr>
      <w:pStyle w:val="Encabezado"/>
    </w:pPr>
    <w:r>
      <w:rPr>
        <w:noProof/>
        <w:lang w:val="en-US"/>
      </w:rPr>
      <w:drawing>
        <wp:anchor distT="0" distB="0" distL="114300" distR="114300" simplePos="0" relativeHeight="251659264" behindDoc="1" locked="0" layoutInCell="1" allowOverlap="1" wp14:anchorId="611289D3" wp14:editId="1F3E4044">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C73F5C"/>
    <w:multiLevelType w:val="multilevel"/>
    <w:tmpl w:val="AA5C0016"/>
    <w:lvl w:ilvl="0">
      <w:start w:val="1"/>
      <w:numFmt w:val="decimal"/>
      <w:lvlText w:val="%1."/>
      <w:lvlJc w:val="left"/>
      <w:pPr>
        <w:ind w:left="360" w:hanging="360"/>
      </w:pPr>
      <w:rPr>
        <w:rFonts w:hint="default"/>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16cid:durableId="16740689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1EEB"/>
    <w:rsid w:val="00015E0D"/>
    <w:rsid w:val="00016F6F"/>
    <w:rsid w:val="00021C4B"/>
    <w:rsid w:val="00027747"/>
    <w:rsid w:val="0004449E"/>
    <w:rsid w:val="00056F6F"/>
    <w:rsid w:val="00060628"/>
    <w:rsid w:val="00061A7D"/>
    <w:rsid w:val="00061BEF"/>
    <w:rsid w:val="0006422E"/>
    <w:rsid w:val="00072954"/>
    <w:rsid w:val="000C0C13"/>
    <w:rsid w:val="000D0E6F"/>
    <w:rsid w:val="000E0391"/>
    <w:rsid w:val="000F3A14"/>
    <w:rsid w:val="00102D79"/>
    <w:rsid w:val="00107DD4"/>
    <w:rsid w:val="00125249"/>
    <w:rsid w:val="001310FF"/>
    <w:rsid w:val="001317BA"/>
    <w:rsid w:val="00142C6F"/>
    <w:rsid w:val="00150AE6"/>
    <w:rsid w:val="001566A5"/>
    <w:rsid w:val="0017290B"/>
    <w:rsid w:val="0017568F"/>
    <w:rsid w:val="00191842"/>
    <w:rsid w:val="00192ADE"/>
    <w:rsid w:val="001A7193"/>
    <w:rsid w:val="001D0338"/>
    <w:rsid w:val="001F0088"/>
    <w:rsid w:val="001F798F"/>
    <w:rsid w:val="0022473D"/>
    <w:rsid w:val="0025288F"/>
    <w:rsid w:val="00283E94"/>
    <w:rsid w:val="002F1C8D"/>
    <w:rsid w:val="002F7BC4"/>
    <w:rsid w:val="00314F1B"/>
    <w:rsid w:val="003163B7"/>
    <w:rsid w:val="00317178"/>
    <w:rsid w:val="00317879"/>
    <w:rsid w:val="00354B7B"/>
    <w:rsid w:val="00360732"/>
    <w:rsid w:val="0037129E"/>
    <w:rsid w:val="00385B4E"/>
    <w:rsid w:val="003A0784"/>
    <w:rsid w:val="003A3982"/>
    <w:rsid w:val="003A49BB"/>
    <w:rsid w:val="003D2A3B"/>
    <w:rsid w:val="003D3F85"/>
    <w:rsid w:val="003E74F6"/>
    <w:rsid w:val="0040391D"/>
    <w:rsid w:val="00403D06"/>
    <w:rsid w:val="004139E8"/>
    <w:rsid w:val="00425414"/>
    <w:rsid w:val="00430828"/>
    <w:rsid w:val="00436640"/>
    <w:rsid w:val="00442ADA"/>
    <w:rsid w:val="00462C0D"/>
    <w:rsid w:val="004677BA"/>
    <w:rsid w:val="0047220A"/>
    <w:rsid w:val="00491CA2"/>
    <w:rsid w:val="004A2FE2"/>
    <w:rsid w:val="004B394D"/>
    <w:rsid w:val="004F01CE"/>
    <w:rsid w:val="005072CD"/>
    <w:rsid w:val="005206F9"/>
    <w:rsid w:val="0054078C"/>
    <w:rsid w:val="005848E0"/>
    <w:rsid w:val="00597138"/>
    <w:rsid w:val="005A3382"/>
    <w:rsid w:val="005B0C2C"/>
    <w:rsid w:val="005C134E"/>
    <w:rsid w:val="005C7AB0"/>
    <w:rsid w:val="005D0144"/>
    <w:rsid w:val="005F5A89"/>
    <w:rsid w:val="005F7D89"/>
    <w:rsid w:val="00606E05"/>
    <w:rsid w:val="0061267C"/>
    <w:rsid w:val="00615765"/>
    <w:rsid w:val="00633224"/>
    <w:rsid w:val="00643BCD"/>
    <w:rsid w:val="006B4DF0"/>
    <w:rsid w:val="006D0739"/>
    <w:rsid w:val="006E0D91"/>
    <w:rsid w:val="00710D4B"/>
    <w:rsid w:val="0072136D"/>
    <w:rsid w:val="00727368"/>
    <w:rsid w:val="007436B0"/>
    <w:rsid w:val="00750F4B"/>
    <w:rsid w:val="00772B97"/>
    <w:rsid w:val="0077460F"/>
    <w:rsid w:val="00781111"/>
    <w:rsid w:val="007A2223"/>
    <w:rsid w:val="007B4CCC"/>
    <w:rsid w:val="007B4F95"/>
    <w:rsid w:val="007C3C71"/>
    <w:rsid w:val="007C55EE"/>
    <w:rsid w:val="007C7F85"/>
    <w:rsid w:val="007E4DE9"/>
    <w:rsid w:val="0080169A"/>
    <w:rsid w:val="00824A03"/>
    <w:rsid w:val="00850A0F"/>
    <w:rsid w:val="00851F27"/>
    <w:rsid w:val="0086022D"/>
    <w:rsid w:val="00865D66"/>
    <w:rsid w:val="00883387"/>
    <w:rsid w:val="00893336"/>
    <w:rsid w:val="00895568"/>
    <w:rsid w:val="008C21E3"/>
    <w:rsid w:val="008C6BDB"/>
    <w:rsid w:val="008F4644"/>
    <w:rsid w:val="00925514"/>
    <w:rsid w:val="0093531C"/>
    <w:rsid w:val="0093670B"/>
    <w:rsid w:val="00937DCF"/>
    <w:rsid w:val="00943594"/>
    <w:rsid w:val="0094462A"/>
    <w:rsid w:val="00962CFF"/>
    <w:rsid w:val="00976B9E"/>
    <w:rsid w:val="00984C06"/>
    <w:rsid w:val="009B1C8F"/>
    <w:rsid w:val="009B357E"/>
    <w:rsid w:val="009E0F1A"/>
    <w:rsid w:val="009E2AB0"/>
    <w:rsid w:val="009E2B4F"/>
    <w:rsid w:val="009E3F07"/>
    <w:rsid w:val="009E517E"/>
    <w:rsid w:val="009F0233"/>
    <w:rsid w:val="00A103FC"/>
    <w:rsid w:val="00A440A7"/>
    <w:rsid w:val="00A445F8"/>
    <w:rsid w:val="00A459B1"/>
    <w:rsid w:val="00A50253"/>
    <w:rsid w:val="00A507D1"/>
    <w:rsid w:val="00A63DC8"/>
    <w:rsid w:val="00A7385B"/>
    <w:rsid w:val="00A776CB"/>
    <w:rsid w:val="00A823FF"/>
    <w:rsid w:val="00A84FCA"/>
    <w:rsid w:val="00AB0698"/>
    <w:rsid w:val="00AB16FA"/>
    <w:rsid w:val="00AC50CB"/>
    <w:rsid w:val="00AE06FF"/>
    <w:rsid w:val="00AF7481"/>
    <w:rsid w:val="00B241CC"/>
    <w:rsid w:val="00B633E4"/>
    <w:rsid w:val="00B710DC"/>
    <w:rsid w:val="00B72A2D"/>
    <w:rsid w:val="00B77FE8"/>
    <w:rsid w:val="00B86D17"/>
    <w:rsid w:val="00B94D8D"/>
    <w:rsid w:val="00BC5144"/>
    <w:rsid w:val="00BD4463"/>
    <w:rsid w:val="00BF2313"/>
    <w:rsid w:val="00BF34F4"/>
    <w:rsid w:val="00C128E4"/>
    <w:rsid w:val="00C21B80"/>
    <w:rsid w:val="00C522EF"/>
    <w:rsid w:val="00C637DE"/>
    <w:rsid w:val="00C77E8F"/>
    <w:rsid w:val="00C87A1B"/>
    <w:rsid w:val="00CC3DF0"/>
    <w:rsid w:val="00CC503C"/>
    <w:rsid w:val="00CD6BEE"/>
    <w:rsid w:val="00CF4309"/>
    <w:rsid w:val="00D37C9A"/>
    <w:rsid w:val="00D41A2C"/>
    <w:rsid w:val="00D470CA"/>
    <w:rsid w:val="00D6495F"/>
    <w:rsid w:val="00D712CA"/>
    <w:rsid w:val="00D92871"/>
    <w:rsid w:val="00DA03D4"/>
    <w:rsid w:val="00DA751C"/>
    <w:rsid w:val="00DB0F1B"/>
    <w:rsid w:val="00DD3C58"/>
    <w:rsid w:val="00DE542A"/>
    <w:rsid w:val="00DE66D5"/>
    <w:rsid w:val="00E15FFE"/>
    <w:rsid w:val="00E253C6"/>
    <w:rsid w:val="00E319B1"/>
    <w:rsid w:val="00E57D37"/>
    <w:rsid w:val="00E61EEB"/>
    <w:rsid w:val="00E90843"/>
    <w:rsid w:val="00EA17AD"/>
    <w:rsid w:val="00EA7B3A"/>
    <w:rsid w:val="00ED7262"/>
    <w:rsid w:val="00ED7F38"/>
    <w:rsid w:val="00EE0A63"/>
    <w:rsid w:val="00EF3BD1"/>
    <w:rsid w:val="00EF7279"/>
    <w:rsid w:val="00F0349E"/>
    <w:rsid w:val="00F12388"/>
    <w:rsid w:val="00F345F0"/>
    <w:rsid w:val="00F3761B"/>
    <w:rsid w:val="00F51AC8"/>
    <w:rsid w:val="00F54B08"/>
    <w:rsid w:val="00F55D05"/>
    <w:rsid w:val="00F90C2E"/>
    <w:rsid w:val="00F96D54"/>
    <w:rsid w:val="00FB72E2"/>
    <w:rsid w:val="00FC39A8"/>
    <w:rsid w:val="00FE4DBD"/>
    <w:rsid w:val="00FE5160"/>
    <w:rsid w:val="43ED54E2"/>
    <w:rsid w:val="530CCD96"/>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58A956"/>
  <w15:chartTrackingRefBased/>
  <w15:docId w15:val="{ECF1191C-FEBB-4D57-ADC8-E02C8EF73D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1EEB"/>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E61EEB"/>
    <w:pPr>
      <w:tabs>
        <w:tab w:val="center" w:pos="4419"/>
        <w:tab w:val="right" w:pos="8838"/>
      </w:tabs>
    </w:pPr>
  </w:style>
  <w:style w:type="character" w:customStyle="1" w:styleId="PiedepginaCar">
    <w:name w:val="Pie de página Car"/>
    <w:basedOn w:val="Fuentedeprrafopredeter"/>
    <w:link w:val="Piedepgina"/>
    <w:uiPriority w:val="99"/>
    <w:rsid w:val="00E61EEB"/>
    <w:rPr>
      <w:sz w:val="24"/>
      <w:lang w:val="es-MX"/>
    </w:rPr>
  </w:style>
  <w:style w:type="paragraph" w:styleId="Encabezado">
    <w:name w:val="header"/>
    <w:basedOn w:val="Normal"/>
    <w:link w:val="EncabezadoCar"/>
    <w:uiPriority w:val="99"/>
    <w:unhideWhenUsed/>
    <w:rsid w:val="00E61EEB"/>
    <w:pPr>
      <w:tabs>
        <w:tab w:val="center" w:pos="4252"/>
        <w:tab w:val="right" w:pos="8504"/>
      </w:tabs>
    </w:pPr>
  </w:style>
  <w:style w:type="character" w:customStyle="1" w:styleId="EncabezadoCar">
    <w:name w:val="Encabezado Car"/>
    <w:basedOn w:val="Fuentedeprrafopredeter"/>
    <w:link w:val="Encabezado"/>
    <w:uiPriority w:val="99"/>
    <w:rsid w:val="00E61EEB"/>
    <w:rPr>
      <w:sz w:val="24"/>
      <w:lang w:val="es-MX"/>
    </w:rPr>
  </w:style>
  <w:style w:type="table" w:styleId="Tablaconcuadrcula">
    <w:name w:val="Table Grid"/>
    <w:basedOn w:val="Tablanormal"/>
    <w:uiPriority w:val="59"/>
    <w:rsid w:val="00E61E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E61EEB"/>
    <w:pPr>
      <w:ind w:left="720"/>
      <w:contextualSpacing/>
    </w:pPr>
  </w:style>
  <w:style w:type="character" w:styleId="Hipervnculo">
    <w:name w:val="Hyperlink"/>
    <w:basedOn w:val="Fuentedeprrafopredeter"/>
    <w:uiPriority w:val="99"/>
    <w:unhideWhenUsed/>
    <w:rsid w:val="00E61EEB"/>
    <w:rPr>
      <w:color w:val="0563C1" w:themeColor="hyperlink"/>
      <w:u w:val="single"/>
    </w:rPr>
  </w:style>
  <w:style w:type="paragraph" w:styleId="Sinespaciado">
    <w:name w:val="No Spacing"/>
    <w:uiPriority w:val="1"/>
    <w:qFormat/>
    <w:rsid w:val="00E61EEB"/>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E61EEB"/>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E61EEB"/>
    <w:rPr>
      <w:sz w:val="20"/>
      <w:szCs w:val="20"/>
    </w:rPr>
  </w:style>
  <w:style w:type="character" w:customStyle="1" w:styleId="TextonotapieCar1">
    <w:name w:val="Texto nota pie Car1"/>
    <w:basedOn w:val="Fuentedeprrafopredeter"/>
    <w:uiPriority w:val="99"/>
    <w:semiHidden/>
    <w:rsid w:val="00E61EEB"/>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E61EEB"/>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
    <w:basedOn w:val="Fuentedeprrafopredeter"/>
    <w:uiPriority w:val="99"/>
    <w:unhideWhenUsed/>
    <w:qFormat/>
    <w:rsid w:val="00E61EEB"/>
    <w:rPr>
      <w:vertAlign w:val="superscript"/>
    </w:rPr>
  </w:style>
  <w:style w:type="character" w:styleId="Textoennegrita">
    <w:name w:val="Strong"/>
    <w:basedOn w:val="Fuentedeprrafopredeter"/>
    <w:uiPriority w:val="22"/>
    <w:qFormat/>
    <w:rsid w:val="00E61EEB"/>
    <w:rPr>
      <w:b/>
      <w:bCs/>
    </w:rPr>
  </w:style>
  <w:style w:type="paragraph" w:styleId="NormalWeb">
    <w:name w:val="Normal (Web)"/>
    <w:basedOn w:val="Normal"/>
    <w:link w:val="NormalWebCar"/>
    <w:uiPriority w:val="99"/>
    <w:unhideWhenUsed/>
    <w:rsid w:val="00E61EEB"/>
    <w:pPr>
      <w:spacing w:before="100" w:beforeAutospacing="1" w:after="100" w:afterAutospacing="1"/>
    </w:pPr>
    <w:rPr>
      <w:rFonts w:ascii="Times New Roman" w:eastAsia="Times New Roman" w:hAnsi="Times New Roman" w:cs="Times New Roman"/>
      <w:szCs w:val="24"/>
      <w:lang w:val="es-CO" w:eastAsia="es-CO"/>
    </w:rPr>
  </w:style>
  <w:style w:type="character" w:customStyle="1" w:styleId="NormalWebCar">
    <w:name w:val="Normal (Web) Car"/>
    <w:link w:val="NormalWeb"/>
    <w:uiPriority w:val="99"/>
    <w:rsid w:val="00E61EEB"/>
    <w:rPr>
      <w:rFonts w:ascii="Times New Roman" w:eastAsia="Times New Roman" w:hAnsi="Times New Roman" w:cs="Times New Roman"/>
      <w:sz w:val="24"/>
      <w:szCs w:val="24"/>
      <w:lang w:eastAsia="es-CO"/>
    </w:rPr>
  </w:style>
  <w:style w:type="character" w:styleId="Refdecomentario">
    <w:name w:val="annotation reference"/>
    <w:basedOn w:val="Fuentedeprrafopredeter"/>
    <w:uiPriority w:val="99"/>
    <w:semiHidden/>
    <w:unhideWhenUsed/>
    <w:rsid w:val="00AE06FF"/>
    <w:rPr>
      <w:sz w:val="16"/>
      <w:szCs w:val="16"/>
    </w:rPr>
  </w:style>
  <w:style w:type="paragraph" w:styleId="Textocomentario">
    <w:name w:val="annotation text"/>
    <w:basedOn w:val="Normal"/>
    <w:link w:val="TextocomentarioCar"/>
    <w:uiPriority w:val="99"/>
    <w:semiHidden/>
    <w:unhideWhenUsed/>
    <w:rsid w:val="00AE06FF"/>
    <w:rPr>
      <w:sz w:val="20"/>
      <w:szCs w:val="20"/>
    </w:rPr>
  </w:style>
  <w:style w:type="character" w:customStyle="1" w:styleId="TextocomentarioCar">
    <w:name w:val="Texto comentario Car"/>
    <w:basedOn w:val="Fuentedeprrafopredeter"/>
    <w:link w:val="Textocomentario"/>
    <w:uiPriority w:val="99"/>
    <w:semiHidden/>
    <w:rsid w:val="00AE06FF"/>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AE06FF"/>
    <w:rPr>
      <w:b/>
      <w:bCs/>
    </w:rPr>
  </w:style>
  <w:style w:type="character" w:customStyle="1" w:styleId="AsuntodelcomentarioCar">
    <w:name w:val="Asunto del comentario Car"/>
    <w:basedOn w:val="TextocomentarioCar"/>
    <w:link w:val="Asuntodelcomentario"/>
    <w:uiPriority w:val="99"/>
    <w:semiHidden/>
    <w:rsid w:val="00AE06FF"/>
    <w:rPr>
      <w:b/>
      <w:bCs/>
      <w:sz w:val="20"/>
      <w:szCs w:val="20"/>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1" Type="http://schemas.openxmlformats.org/officeDocument/2006/relationships/hyperlink" Target="https://dle.rae.es/h%C3%A1bi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037C2A-32E0-4B82-B86C-D2E37D68B736}">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03A8FE90-CB51-449A-A7B4-396E230D003C}">
  <ds:schemaRefs>
    <ds:schemaRef ds:uri="http://schemas.microsoft.com/sharepoint/v3/contenttype/forms"/>
  </ds:schemaRefs>
</ds:datastoreItem>
</file>

<file path=customXml/itemProps3.xml><?xml version="1.0" encoding="utf-8"?>
<ds:datastoreItem xmlns:ds="http://schemas.openxmlformats.org/officeDocument/2006/customXml" ds:itemID="{4660BF30-38CD-4AA8-B381-C3F2C73F39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AD9541B-C511-4CD6-80F2-18AF7016EF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3361</Words>
  <Characters>18489</Characters>
  <Application>Microsoft Office Word</Application>
  <DocSecurity>0</DocSecurity>
  <Lines>154</Lines>
  <Paragraphs>43</Paragraphs>
  <ScaleCrop>false</ScaleCrop>
  <Company/>
  <LinksUpToDate>false</LinksUpToDate>
  <CharactersWithSpaces>21807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Arlid</dc:creator>
  <cp:keywords/>
  <dc:description/>
  <cp:lastModifiedBy>Martin Rojas Mejia</cp:lastModifiedBy>
  <cp:revision>2</cp:revision>
  <dcterms:created xsi:type="dcterms:W3CDTF">2022-05-05T20:45:00Z</dcterms:created>
  <dcterms:modified xsi:type="dcterms:W3CDTF">2022-05-05T20:45:00Z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