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D7F8A" w14:textId="77777777" w:rsidR="009C42D6" w:rsidRPr="00AD5455" w:rsidRDefault="009C42D6" w:rsidP="009C42D6">
      <w:pPr>
        <w:spacing w:after="0" w:line="240" w:lineRule="auto"/>
        <w:jc w:val="both"/>
        <w:rPr>
          <w:rFonts w:ascii="Verdana" w:hAnsi="Verdana"/>
          <w:b/>
          <w:bCs/>
          <w:lang w:val="es-MX"/>
        </w:rPr>
      </w:pPr>
      <w:bookmarkStart w:id="0" w:name="_Hlk143780582"/>
      <w:r w:rsidRPr="00AD5455">
        <w:rPr>
          <w:rFonts w:ascii="Verdana" w:hAnsi="Verdana"/>
          <w:b/>
          <w:bCs/>
          <w:lang w:val="es-MX"/>
        </w:rPr>
        <w:t>MÍNIMA CUANTÍA – Generalidades – Ley 1150 de 2007</w:t>
      </w:r>
    </w:p>
    <w:p w14:paraId="35228270" w14:textId="77777777" w:rsidR="009C42D6" w:rsidRDefault="009C42D6" w:rsidP="009C42D6">
      <w:pPr>
        <w:spacing w:after="0" w:line="240" w:lineRule="auto"/>
        <w:jc w:val="both"/>
        <w:rPr>
          <w:rFonts w:ascii="Verdana" w:hAnsi="Verdana"/>
          <w:bCs/>
          <w:lang w:val="es-MX"/>
        </w:rPr>
      </w:pPr>
    </w:p>
    <w:p w14:paraId="07F2CA19" w14:textId="77777777" w:rsidR="009C42D6" w:rsidRDefault="009C42D6" w:rsidP="009C42D6">
      <w:pPr>
        <w:spacing w:after="0" w:line="240" w:lineRule="auto"/>
        <w:jc w:val="both"/>
        <w:rPr>
          <w:rFonts w:ascii="Verdana" w:hAnsi="Verdana"/>
          <w:bCs/>
          <w:sz w:val="20"/>
          <w:lang w:val="es-ES_tradnl"/>
        </w:rPr>
      </w:pPr>
      <w:r w:rsidRPr="00AD5455">
        <w:rPr>
          <w:rFonts w:ascii="Verdana" w:hAnsi="Verdana"/>
          <w:bCs/>
          <w:sz w:val="20"/>
          <w:lang w:val="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083FD888" w14:textId="77777777" w:rsidR="009C42D6" w:rsidRPr="00AD5455" w:rsidRDefault="009C42D6" w:rsidP="009C42D6">
      <w:pPr>
        <w:spacing w:after="0" w:line="240" w:lineRule="auto"/>
        <w:jc w:val="both"/>
        <w:rPr>
          <w:rFonts w:ascii="Verdana" w:hAnsi="Verdana"/>
          <w:bCs/>
          <w:sz w:val="20"/>
          <w:lang w:val="es-ES_tradnl"/>
        </w:rPr>
      </w:pPr>
    </w:p>
    <w:p w14:paraId="14629CC5" w14:textId="77777777" w:rsidR="009C42D6" w:rsidRPr="00AD5455" w:rsidRDefault="009C42D6" w:rsidP="009C42D6">
      <w:pPr>
        <w:spacing w:after="0" w:line="240" w:lineRule="auto"/>
        <w:jc w:val="both"/>
        <w:rPr>
          <w:rFonts w:ascii="Verdana" w:hAnsi="Verdana"/>
          <w:bCs/>
          <w:sz w:val="20"/>
          <w:lang w:val="es-ES_tradnl"/>
        </w:rPr>
      </w:pPr>
      <w:r w:rsidRPr="00AD5455">
        <w:rPr>
          <w:rFonts w:ascii="Verdana" w:hAnsi="Verdana"/>
          <w:bCs/>
          <w:sz w:val="20"/>
          <w:lang w:val="es-ES_tradnl"/>
        </w:rPr>
        <w:t>Dicho de otro modo, la mínima cuantía es un procedimiento de selección “especial”,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 y lo segundo, porque sus requisitos, etapas y términos son especiales.</w:t>
      </w:r>
    </w:p>
    <w:p w14:paraId="2624F05C" w14:textId="77777777" w:rsidR="009C42D6" w:rsidRPr="00AD5455" w:rsidRDefault="009C42D6" w:rsidP="009C42D6">
      <w:pPr>
        <w:spacing w:after="0" w:line="240" w:lineRule="auto"/>
        <w:jc w:val="both"/>
        <w:rPr>
          <w:rFonts w:ascii="Verdana" w:hAnsi="Verdana"/>
          <w:b/>
          <w:bCs/>
          <w:lang w:val="es-ES_tradnl"/>
        </w:rPr>
      </w:pPr>
    </w:p>
    <w:p w14:paraId="7225B523" w14:textId="77777777" w:rsidR="009C42D6" w:rsidRPr="00AD5455" w:rsidRDefault="009C42D6" w:rsidP="009C42D6">
      <w:pPr>
        <w:spacing w:after="0" w:line="240" w:lineRule="auto"/>
        <w:jc w:val="both"/>
        <w:rPr>
          <w:rFonts w:ascii="Verdana" w:hAnsi="Verdana"/>
          <w:b/>
          <w:bCs/>
          <w:lang w:val="es-MX"/>
        </w:rPr>
      </w:pPr>
      <w:r w:rsidRPr="00AD5455">
        <w:rPr>
          <w:rFonts w:ascii="Verdana" w:hAnsi="Verdana"/>
          <w:b/>
          <w:bCs/>
          <w:lang w:val="es-MX"/>
        </w:rPr>
        <w:t xml:space="preserve">MÍNIMA CUANTÍA – Normas reglamentarias – Decreto 1082 de 2015 – Procedimiento </w:t>
      </w:r>
    </w:p>
    <w:p w14:paraId="2BA2F701" w14:textId="77777777" w:rsidR="009C42D6" w:rsidRDefault="009C42D6" w:rsidP="009C42D6">
      <w:pPr>
        <w:spacing w:after="0" w:line="240" w:lineRule="auto"/>
        <w:jc w:val="both"/>
        <w:rPr>
          <w:rFonts w:ascii="Verdana" w:hAnsi="Verdana"/>
          <w:bCs/>
          <w:lang w:val="es-MX"/>
        </w:rPr>
      </w:pPr>
    </w:p>
    <w:p w14:paraId="25EA9B6F" w14:textId="77777777" w:rsidR="009C42D6" w:rsidRPr="00253A86" w:rsidRDefault="009C42D6" w:rsidP="009C42D6">
      <w:pPr>
        <w:spacing w:after="0" w:line="240" w:lineRule="auto"/>
        <w:jc w:val="both"/>
        <w:rPr>
          <w:rFonts w:ascii="Verdana" w:hAnsi="Verdana"/>
          <w:bCs/>
          <w:sz w:val="20"/>
          <w:lang w:val="es-ES"/>
        </w:rPr>
      </w:pPr>
      <w:r w:rsidRPr="00253A86">
        <w:rPr>
          <w:rFonts w:ascii="Verdana" w:hAnsi="Verdana"/>
          <w:bCs/>
          <w:sz w:val="20"/>
          <w:lang w:val="es-ES"/>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253A86">
        <w:rPr>
          <w:rFonts w:ascii="Verdana" w:hAnsi="Verdana"/>
          <w:bCs/>
          <w:sz w:val="20"/>
          <w:lang w:val="es-ES"/>
        </w:rPr>
        <w:t>ii</w:t>
      </w:r>
      <w:proofErr w:type="spellEnd"/>
      <w:r w:rsidRPr="00253A86">
        <w:rPr>
          <w:rFonts w:ascii="Verdana" w:hAnsi="Verdana"/>
          <w:bCs/>
          <w:sz w:val="20"/>
          <w:lang w:val="es-ES"/>
        </w:rPr>
        <w:t xml:space="preserve">) el plazo mínimo de recepción de las ofertas, </w:t>
      </w:r>
      <w:proofErr w:type="spellStart"/>
      <w:r w:rsidRPr="00253A86">
        <w:rPr>
          <w:rFonts w:ascii="Verdana" w:hAnsi="Verdana"/>
          <w:bCs/>
          <w:sz w:val="20"/>
          <w:lang w:val="es-ES"/>
        </w:rPr>
        <w:t>iii</w:t>
      </w:r>
      <w:proofErr w:type="spellEnd"/>
      <w:r w:rsidRPr="00253A86">
        <w:rPr>
          <w:rFonts w:ascii="Verdana" w:hAnsi="Verdana"/>
          <w:bCs/>
          <w:sz w:val="20"/>
          <w:lang w:val="es-ES"/>
        </w:rPr>
        <w:t xml:space="preserve">) el factor de evaluación que define la selección del proponente y </w:t>
      </w:r>
      <w:proofErr w:type="spellStart"/>
      <w:r w:rsidRPr="00253A86">
        <w:rPr>
          <w:rFonts w:ascii="Verdana" w:hAnsi="Verdana"/>
          <w:bCs/>
          <w:sz w:val="20"/>
          <w:lang w:val="es-ES"/>
        </w:rPr>
        <w:t>iv</w:t>
      </w:r>
      <w:proofErr w:type="spellEnd"/>
      <w:r w:rsidRPr="00253A86">
        <w:rPr>
          <w:rFonts w:ascii="Verdana" w:hAnsi="Verdana"/>
          <w:bCs/>
          <w:sz w:val="20"/>
          <w:lang w:val="es-ES"/>
        </w:rPr>
        <w:t>) el perfeccionamiento del contrato.</w:t>
      </w:r>
    </w:p>
    <w:p w14:paraId="3459C266" w14:textId="77777777" w:rsidR="009C42D6" w:rsidRPr="00253A86" w:rsidRDefault="009C42D6" w:rsidP="009C42D6">
      <w:pPr>
        <w:spacing w:after="0" w:line="240" w:lineRule="auto"/>
        <w:jc w:val="both"/>
        <w:rPr>
          <w:rFonts w:ascii="Verdana" w:hAnsi="Verdana"/>
          <w:bCs/>
          <w:sz w:val="20"/>
          <w:lang w:val="es-ES"/>
        </w:rPr>
      </w:pPr>
    </w:p>
    <w:p w14:paraId="72838B0F" w14:textId="77777777" w:rsidR="009C42D6" w:rsidRPr="00253A86" w:rsidRDefault="009C42D6" w:rsidP="009C42D6">
      <w:pPr>
        <w:spacing w:after="0" w:line="240" w:lineRule="auto"/>
        <w:jc w:val="both"/>
        <w:rPr>
          <w:rFonts w:ascii="Verdana" w:hAnsi="Verdana"/>
          <w:bCs/>
          <w:sz w:val="20"/>
          <w:lang w:val="es-ES"/>
        </w:rPr>
      </w:pPr>
      <w:r w:rsidRPr="00253A86">
        <w:rPr>
          <w:rFonts w:ascii="Verdana" w:hAnsi="Verdana"/>
          <w:bCs/>
          <w:sz w:val="20"/>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3B7AADA5" w14:textId="77777777" w:rsidR="009C42D6" w:rsidRPr="00253A86" w:rsidRDefault="009C42D6" w:rsidP="009C42D6">
      <w:pPr>
        <w:spacing w:after="0" w:line="240" w:lineRule="auto"/>
        <w:jc w:val="both"/>
        <w:rPr>
          <w:rFonts w:ascii="Verdana" w:hAnsi="Verdana"/>
          <w:bCs/>
          <w:sz w:val="20"/>
          <w:lang w:val="es-ES"/>
        </w:rPr>
      </w:pPr>
    </w:p>
    <w:p w14:paraId="6C645BB2" w14:textId="77777777" w:rsidR="009C42D6" w:rsidRPr="00253A86" w:rsidRDefault="009C42D6" w:rsidP="009C42D6">
      <w:pPr>
        <w:spacing w:after="0" w:line="240" w:lineRule="auto"/>
        <w:jc w:val="both"/>
        <w:rPr>
          <w:rFonts w:ascii="Verdana" w:hAnsi="Verdana"/>
          <w:bCs/>
          <w:sz w:val="20"/>
          <w:lang w:val="es-ES"/>
        </w:rPr>
      </w:pPr>
      <w:r w:rsidRPr="00253A86">
        <w:rPr>
          <w:rFonts w:ascii="Verdana" w:hAnsi="Verdana"/>
          <w:bCs/>
          <w:sz w:val="20"/>
          <w:lang w:val="es-ES"/>
        </w:rPr>
        <w:t xml:space="preserve">Teniendo en cuenta lo anterior, la nueva Subsección 5 a que se hizo referencia contiene los siguientes artículos: i) 2.2.1.2.1.5.1. que se ocupa de desarrollar el contenido de los estudios previos para la contratación de mínima cuantía. </w:t>
      </w:r>
      <w:proofErr w:type="spellStart"/>
      <w:r w:rsidRPr="00253A86">
        <w:rPr>
          <w:rFonts w:ascii="Verdana" w:hAnsi="Verdana"/>
          <w:bCs/>
          <w:sz w:val="20"/>
          <w:lang w:val="es-ES"/>
        </w:rPr>
        <w:t>ii</w:t>
      </w:r>
      <w:proofErr w:type="spellEnd"/>
      <w:r w:rsidRPr="00253A86">
        <w:rPr>
          <w:rFonts w:ascii="Verdana" w:hAnsi="Verdana"/>
          <w:bCs/>
          <w:sz w:val="20"/>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253A86">
        <w:rPr>
          <w:rFonts w:ascii="Verdana" w:hAnsi="Verdana"/>
          <w:bCs/>
          <w:sz w:val="20"/>
          <w:lang w:val="es-ES"/>
        </w:rPr>
        <w:t>mipymes</w:t>
      </w:r>
      <w:proofErr w:type="spellEnd"/>
      <w:r w:rsidRPr="00253A86">
        <w:rPr>
          <w:rFonts w:ascii="Verdana" w:hAnsi="Verdana"/>
          <w:bCs/>
          <w:sz w:val="20"/>
          <w:lang w:val="es-ES"/>
        </w:rPr>
        <w:t xml:space="preserve">, de acuerdo con el mandato del parágrafo 1 del artículo 30 de la Ley 2069 de 2020. </w:t>
      </w:r>
      <w:proofErr w:type="spellStart"/>
      <w:r w:rsidRPr="00253A86">
        <w:rPr>
          <w:rFonts w:ascii="Verdana" w:hAnsi="Verdana"/>
          <w:bCs/>
          <w:sz w:val="20"/>
          <w:lang w:val="es-ES"/>
        </w:rPr>
        <w:t>iii</w:t>
      </w:r>
      <w:proofErr w:type="spellEnd"/>
      <w:r w:rsidRPr="00253A86">
        <w:rPr>
          <w:rFonts w:ascii="Verdana" w:hAnsi="Verdana"/>
          <w:bCs/>
          <w:sz w:val="20"/>
          <w:lang w:val="es-ES"/>
        </w:rPr>
        <w:t xml:space="preserve">) 2.2.1.2.1.5.3. que regula un procedimiento especial para las adquisiciones en grandes </w:t>
      </w:r>
      <w:r w:rsidRPr="00253A86">
        <w:rPr>
          <w:rFonts w:ascii="Verdana" w:hAnsi="Verdana"/>
          <w:bCs/>
          <w:sz w:val="20"/>
          <w:lang w:val="es-ES"/>
        </w:rPr>
        <w:lastRenderedPageBreak/>
        <w:t xml:space="preserve">almacenes cuando se trate de mínima cuantía. </w:t>
      </w:r>
      <w:proofErr w:type="spellStart"/>
      <w:r w:rsidRPr="00253A86">
        <w:rPr>
          <w:rFonts w:ascii="Verdana" w:hAnsi="Verdana"/>
          <w:bCs/>
          <w:sz w:val="20"/>
          <w:lang w:val="es-ES"/>
        </w:rPr>
        <w:t>iv</w:t>
      </w:r>
      <w:proofErr w:type="spellEnd"/>
      <w:r w:rsidRPr="00253A86">
        <w:rPr>
          <w:rFonts w:ascii="Verdana" w:hAnsi="Verdana"/>
          <w:bCs/>
          <w:sz w:val="20"/>
          <w:lang w:val="es-ES"/>
        </w:rPr>
        <w:t xml:space="preserve">)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253A86">
        <w:rPr>
          <w:rFonts w:ascii="Verdana" w:hAnsi="Verdana"/>
          <w:bCs/>
          <w:sz w:val="20"/>
          <w:lang w:val="es-ES"/>
        </w:rPr>
        <w:t>Mipyme</w:t>
      </w:r>
      <w:proofErr w:type="spellEnd"/>
      <w:r w:rsidRPr="00253A86">
        <w:rPr>
          <w:rFonts w:ascii="Verdana" w:hAnsi="Verdana"/>
          <w:bCs/>
          <w:sz w:val="20"/>
          <w:lang w:val="es-ES"/>
        </w:rPr>
        <w:t xml:space="preserve"> y con grandes almacenes. Y v) 2.2.1.2.1.5.5. el cual establece que la entidad estatal es libre de exigir o no garantías en el proceso de selección de mínima cuantía y en la adquisición de “grandes almacenes”.</w:t>
      </w:r>
    </w:p>
    <w:p w14:paraId="611EA3D0" w14:textId="77777777" w:rsidR="009C42D6" w:rsidRPr="00253A86" w:rsidRDefault="009C42D6" w:rsidP="009C42D6">
      <w:pPr>
        <w:spacing w:after="0" w:line="240" w:lineRule="auto"/>
        <w:jc w:val="both"/>
        <w:rPr>
          <w:rFonts w:ascii="Verdana" w:hAnsi="Verdana"/>
          <w:bCs/>
          <w:sz w:val="20"/>
          <w:lang w:val="es-ES"/>
        </w:rPr>
      </w:pPr>
    </w:p>
    <w:p w14:paraId="6F7F4EFB" w14:textId="77777777" w:rsidR="009C42D6" w:rsidRPr="00253A86" w:rsidRDefault="009C42D6" w:rsidP="009C42D6">
      <w:pPr>
        <w:spacing w:after="0" w:line="240" w:lineRule="auto"/>
        <w:jc w:val="both"/>
        <w:rPr>
          <w:rFonts w:ascii="Verdana" w:hAnsi="Verdana"/>
          <w:b/>
          <w:bCs/>
          <w:lang w:val="es-MX"/>
        </w:rPr>
      </w:pPr>
      <w:r w:rsidRPr="00253A86">
        <w:rPr>
          <w:rFonts w:ascii="Verdana" w:hAnsi="Verdana"/>
          <w:b/>
          <w:bCs/>
          <w:lang w:val="es-MX"/>
        </w:rPr>
        <w:t xml:space="preserve">ACEPTACIÓN DE LA OFERTA – Perfeccionamiento del contrato </w:t>
      </w:r>
    </w:p>
    <w:p w14:paraId="0205ED05" w14:textId="77777777" w:rsidR="009C42D6" w:rsidRDefault="009C42D6" w:rsidP="009C42D6">
      <w:pPr>
        <w:spacing w:after="0" w:line="240" w:lineRule="auto"/>
        <w:jc w:val="both"/>
        <w:rPr>
          <w:rFonts w:ascii="Verdana" w:hAnsi="Verdana"/>
          <w:bCs/>
          <w:lang w:val="es-MX"/>
        </w:rPr>
      </w:pPr>
    </w:p>
    <w:p w14:paraId="386299C8" w14:textId="77777777" w:rsidR="009C42D6" w:rsidRPr="00253A86" w:rsidRDefault="009C42D6" w:rsidP="009C42D6">
      <w:pPr>
        <w:spacing w:after="0" w:line="240" w:lineRule="auto"/>
        <w:jc w:val="both"/>
        <w:rPr>
          <w:rFonts w:ascii="Verdana" w:hAnsi="Verdana"/>
          <w:bCs/>
          <w:sz w:val="20"/>
          <w:lang w:val="es-ES_tradnl"/>
        </w:rPr>
      </w:pPr>
      <w:r w:rsidRPr="00253A86">
        <w:rPr>
          <w:rFonts w:ascii="Verdana" w:hAnsi="Verdana"/>
          <w:bCs/>
          <w:sz w:val="20"/>
          <w:lang w:val="es-ES"/>
        </w:rPr>
        <w:t xml:space="preserve">En este sentido, el legislador estableció que en los procesos de mínima cuantía no habría un </w:t>
      </w:r>
      <w:r w:rsidRPr="00253A86">
        <w:rPr>
          <w:rFonts w:ascii="Verdana" w:hAnsi="Verdana"/>
          <w:bCs/>
          <w:i/>
          <w:sz w:val="20"/>
          <w:lang w:val="es-ES"/>
        </w:rPr>
        <w:t>“acto de adjudicación”</w:t>
      </w:r>
      <w:r w:rsidRPr="00253A86">
        <w:rPr>
          <w:rFonts w:ascii="Verdana" w:hAnsi="Verdana"/>
          <w:bCs/>
          <w:sz w:val="20"/>
          <w:lang w:val="es-ES"/>
        </w:rPr>
        <w:t xml:space="preserve">, sino que en aras de la celeridad y economía que se busca con esta modalidad, la selección de la mejor oferta se realiza mediante una </w:t>
      </w:r>
      <w:r w:rsidRPr="00253A86">
        <w:rPr>
          <w:rFonts w:ascii="Verdana" w:hAnsi="Verdana"/>
          <w:bCs/>
          <w:i/>
          <w:sz w:val="20"/>
          <w:lang w:val="es-ES"/>
        </w:rPr>
        <w:t>“comunicación de aceptación de la oferta”</w:t>
      </w:r>
      <w:r w:rsidRPr="00253A86">
        <w:rPr>
          <w:rFonts w:ascii="Verdana" w:hAnsi="Verdana"/>
          <w:bCs/>
          <w:sz w:val="2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39B253A4" w14:textId="6880E1CB" w:rsidR="009C42D6" w:rsidRDefault="009C42D6" w:rsidP="009C42D6">
      <w:pPr>
        <w:spacing w:after="0" w:line="240" w:lineRule="auto"/>
        <w:jc w:val="both"/>
        <w:rPr>
          <w:rFonts w:ascii="Verdana" w:hAnsi="Verdana"/>
          <w:bCs/>
          <w:lang w:val="es-ES_tradnl"/>
        </w:rPr>
      </w:pPr>
    </w:p>
    <w:p w14:paraId="02BF79FF" w14:textId="77777777" w:rsidR="009C42D6" w:rsidRPr="009C42D6" w:rsidRDefault="009C42D6" w:rsidP="009C42D6">
      <w:pPr>
        <w:spacing w:after="0" w:line="240" w:lineRule="auto"/>
        <w:jc w:val="both"/>
        <w:rPr>
          <w:rFonts w:ascii="Verdana" w:hAnsi="Verdana" w:cs="Arial"/>
          <w:b/>
          <w:lang w:val="es-ES" w:eastAsia="es-ES"/>
        </w:rPr>
      </w:pPr>
      <w:r w:rsidRPr="009C42D6">
        <w:rPr>
          <w:rFonts w:ascii="Verdana" w:hAnsi="Verdana" w:cs="Arial"/>
          <w:b/>
          <w:lang w:val="es-ES" w:eastAsia="es-ES"/>
        </w:rPr>
        <w:t>REQUISITOS HABILITANTES – Noción – Fundamento normativo</w:t>
      </w:r>
    </w:p>
    <w:p w14:paraId="27F30B51" w14:textId="21933827" w:rsidR="009C42D6" w:rsidRPr="009C42D6" w:rsidRDefault="009C42D6" w:rsidP="009C42D6">
      <w:pPr>
        <w:spacing w:after="0" w:line="240" w:lineRule="auto"/>
        <w:jc w:val="both"/>
        <w:rPr>
          <w:rFonts w:ascii="Verdana" w:hAnsi="Verdana" w:cs="Arial"/>
          <w:b/>
          <w:lang w:val="es-ES" w:eastAsia="es-ES"/>
        </w:rPr>
      </w:pPr>
    </w:p>
    <w:p w14:paraId="6F9D4937" w14:textId="77777777" w:rsidR="009C42D6" w:rsidRPr="009C42D6" w:rsidRDefault="009C42D6" w:rsidP="009C42D6">
      <w:pPr>
        <w:spacing w:after="0" w:line="240" w:lineRule="auto"/>
        <w:jc w:val="both"/>
        <w:rPr>
          <w:rFonts w:ascii="Verdana" w:hAnsi="Verdana" w:cs="Arial"/>
          <w:sz w:val="20"/>
          <w:lang w:val="es-ES_tradnl" w:eastAsia="es-ES"/>
        </w:rPr>
      </w:pPr>
      <w:r w:rsidRPr="009C42D6">
        <w:rPr>
          <w:rFonts w:ascii="Verdana" w:hAnsi="Verdana" w:cs="Arial"/>
          <w:sz w:val="20"/>
          <w:lang w:val="es-ES_tradnl" w:eastAsia="es-ES"/>
        </w:rPr>
        <w:t xml:space="preserve">Los </w:t>
      </w:r>
      <w:r w:rsidRPr="009C42D6">
        <w:rPr>
          <w:rFonts w:ascii="Verdana" w:hAnsi="Verdana" w:cs="Arial"/>
          <w:i/>
          <w:iCs/>
          <w:sz w:val="20"/>
          <w:lang w:val="es-ES_tradnl" w:eastAsia="es-ES"/>
        </w:rPr>
        <w:t>requisitos habilitantes</w:t>
      </w:r>
      <w:r w:rsidRPr="009C42D6">
        <w:rPr>
          <w:rFonts w:ascii="Verdana" w:hAnsi="Verdana" w:cs="Arial"/>
          <w:sz w:val="20"/>
          <w:lang w:val="es-ES_tradnl" w:eastAsia="es-ES"/>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9C42D6">
        <w:rPr>
          <w:rFonts w:ascii="Verdana" w:hAnsi="Verdana" w:cs="Arial"/>
          <w:i/>
          <w:iCs/>
          <w:sz w:val="20"/>
          <w:lang w:val="es-ES_tradnl" w:eastAsia="es-ES"/>
        </w:rPr>
        <w:t>criterios de evaluación</w:t>
      </w:r>
      <w:r w:rsidRPr="009C42D6">
        <w:rPr>
          <w:rFonts w:ascii="Verdana" w:hAnsi="Verdana" w:cs="Arial"/>
          <w:sz w:val="20"/>
          <w:lang w:val="es-ES_tradnl" w:eastAsia="es-ES"/>
        </w:rPr>
        <w:t xml:space="preserve"> –también conocidos como </w:t>
      </w:r>
      <w:r w:rsidRPr="009C42D6">
        <w:rPr>
          <w:rFonts w:ascii="Verdana" w:hAnsi="Verdana" w:cs="Arial"/>
          <w:i/>
          <w:iCs/>
          <w:sz w:val="20"/>
          <w:lang w:val="es-ES_tradnl" w:eastAsia="es-ES"/>
        </w:rPr>
        <w:t>criterios de calificación</w:t>
      </w:r>
      <w:r w:rsidRPr="009C42D6">
        <w:rPr>
          <w:rFonts w:ascii="Verdana" w:hAnsi="Verdana" w:cs="Arial"/>
          <w:sz w:val="20"/>
          <w:lang w:val="es-ES_tradnl" w:eastAsia="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31686964" w14:textId="77777777" w:rsidR="009C42D6" w:rsidRPr="009C42D6" w:rsidRDefault="009C42D6" w:rsidP="009C42D6">
      <w:pPr>
        <w:spacing w:after="0" w:line="240" w:lineRule="auto"/>
        <w:jc w:val="both"/>
        <w:rPr>
          <w:rFonts w:ascii="Verdana" w:hAnsi="Verdana" w:cs="Arial"/>
          <w:sz w:val="20"/>
          <w:lang w:val="es-ES" w:eastAsia="es-ES"/>
        </w:rPr>
      </w:pPr>
    </w:p>
    <w:p w14:paraId="000EA810" w14:textId="1EAEC280" w:rsidR="009C42D6" w:rsidRPr="009C42D6" w:rsidRDefault="009C42D6" w:rsidP="009C42D6">
      <w:pPr>
        <w:spacing w:after="0" w:line="240" w:lineRule="auto"/>
        <w:jc w:val="both"/>
        <w:rPr>
          <w:rFonts w:ascii="Verdana" w:hAnsi="Verdana" w:cs="Arial"/>
          <w:sz w:val="20"/>
          <w:lang w:val="es-ES" w:eastAsia="es-ES"/>
        </w:rPr>
      </w:pPr>
      <w:r w:rsidRPr="009C42D6">
        <w:rPr>
          <w:rFonts w:ascii="Verdana" w:hAnsi="Verdana" w:cs="Arial"/>
          <w:sz w:val="20"/>
          <w:lang w:val="es-ES" w:eastAsia="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27DDEFEF" w14:textId="77777777" w:rsidR="009C42D6" w:rsidRPr="009C42D6" w:rsidRDefault="009C42D6" w:rsidP="009C42D6">
      <w:pPr>
        <w:spacing w:after="0" w:line="240" w:lineRule="auto"/>
        <w:jc w:val="both"/>
        <w:rPr>
          <w:rFonts w:ascii="Verdana" w:hAnsi="Verdana" w:cs="Arial"/>
          <w:b/>
          <w:lang w:val="es-ES" w:eastAsia="es-ES"/>
        </w:rPr>
      </w:pPr>
    </w:p>
    <w:p w14:paraId="170F1987" w14:textId="77777777" w:rsidR="009C42D6" w:rsidRPr="009C42D6" w:rsidRDefault="009C42D6" w:rsidP="009C42D6">
      <w:pPr>
        <w:spacing w:after="0" w:line="240" w:lineRule="auto"/>
        <w:jc w:val="both"/>
        <w:rPr>
          <w:rFonts w:ascii="Verdana" w:hAnsi="Verdana" w:cs="Arial"/>
          <w:b/>
          <w:lang w:val="es-ES" w:eastAsia="es-ES"/>
        </w:rPr>
      </w:pPr>
      <w:r w:rsidRPr="009C42D6">
        <w:rPr>
          <w:rFonts w:ascii="Verdana" w:hAnsi="Verdana" w:cs="Arial"/>
          <w:b/>
          <w:lang w:val="es-ES" w:eastAsia="es-ES"/>
        </w:rPr>
        <w:t xml:space="preserve">REQUISITOS HABILITANTES – Fijación – parámetros – proporcionalidad </w:t>
      </w:r>
    </w:p>
    <w:p w14:paraId="2EE66699" w14:textId="77777777" w:rsidR="009C42D6" w:rsidRPr="009C42D6" w:rsidRDefault="009C42D6" w:rsidP="009C42D6">
      <w:pPr>
        <w:spacing w:after="0" w:line="240" w:lineRule="auto"/>
        <w:jc w:val="both"/>
        <w:rPr>
          <w:rFonts w:ascii="Verdana" w:hAnsi="Verdana" w:cs="Arial"/>
          <w:b/>
          <w:lang w:val="es-ES" w:eastAsia="es-ES"/>
        </w:rPr>
      </w:pPr>
    </w:p>
    <w:p w14:paraId="2D9DBEB3" w14:textId="3CF1AC43" w:rsidR="009C42D6" w:rsidRDefault="009C42D6" w:rsidP="009C42D6">
      <w:pPr>
        <w:spacing w:after="0" w:line="240" w:lineRule="auto"/>
        <w:jc w:val="both"/>
        <w:rPr>
          <w:rFonts w:ascii="Verdana" w:hAnsi="Verdana" w:cs="Arial"/>
          <w:sz w:val="20"/>
          <w:lang w:eastAsia="es-ES"/>
        </w:rPr>
      </w:pPr>
      <w:r w:rsidRPr="009C42D6">
        <w:rPr>
          <w:rFonts w:ascii="Verdana" w:hAnsi="Verdana" w:cs="Arial"/>
          <w:sz w:val="20"/>
          <w:lang w:eastAsia="es-ES"/>
        </w:rPr>
        <w:t xml:space="preserve">En este escenario, 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w:t>
      </w:r>
      <w:r w:rsidRPr="009C42D6">
        <w:rPr>
          <w:rFonts w:ascii="Verdana" w:hAnsi="Verdana" w:cs="Arial"/>
          <w:sz w:val="20"/>
          <w:lang w:eastAsia="es-ES"/>
        </w:rPr>
        <w:lastRenderedPageBreak/>
        <w:t xml:space="preserve">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1E6A4D26" w14:textId="77777777" w:rsidR="009C42D6" w:rsidRPr="009C42D6" w:rsidRDefault="009C42D6" w:rsidP="009C42D6">
      <w:pPr>
        <w:spacing w:after="0" w:line="240" w:lineRule="auto"/>
        <w:jc w:val="both"/>
        <w:rPr>
          <w:rFonts w:ascii="Verdana" w:hAnsi="Verdana" w:cs="Arial"/>
          <w:sz w:val="20"/>
          <w:lang w:eastAsia="es-ES"/>
        </w:rPr>
      </w:pPr>
    </w:p>
    <w:p w14:paraId="17A9AF59" w14:textId="62936377" w:rsidR="009C42D6" w:rsidRDefault="009C42D6" w:rsidP="009C42D6">
      <w:pPr>
        <w:spacing w:after="0" w:line="240" w:lineRule="auto"/>
        <w:jc w:val="both"/>
        <w:rPr>
          <w:rFonts w:ascii="Verdana" w:hAnsi="Verdana" w:cs="Arial"/>
          <w:sz w:val="20"/>
          <w:lang w:eastAsia="es-ES"/>
        </w:rPr>
      </w:pPr>
      <w:r w:rsidRPr="009C42D6">
        <w:rPr>
          <w:rFonts w:ascii="Verdana" w:hAnsi="Verdana" w:cs="Arial"/>
          <w:sz w:val="20"/>
          <w:lang w:eastAsia="es-ES"/>
        </w:rPr>
        <w:t>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4B5BA5EB" w14:textId="77777777" w:rsidR="009C42D6" w:rsidRPr="009C42D6" w:rsidRDefault="009C42D6" w:rsidP="009C42D6">
      <w:pPr>
        <w:spacing w:after="0" w:line="240" w:lineRule="auto"/>
        <w:jc w:val="both"/>
        <w:rPr>
          <w:rFonts w:ascii="Verdana" w:hAnsi="Verdana" w:cs="Arial"/>
          <w:sz w:val="20"/>
          <w:lang w:eastAsia="es-ES"/>
        </w:rPr>
      </w:pPr>
    </w:p>
    <w:p w14:paraId="63B8A666" w14:textId="77777777" w:rsidR="009C42D6" w:rsidRPr="009C42D6" w:rsidRDefault="009C42D6" w:rsidP="009C42D6">
      <w:pPr>
        <w:spacing w:after="0" w:line="240" w:lineRule="auto"/>
        <w:jc w:val="both"/>
        <w:rPr>
          <w:rFonts w:ascii="Verdana" w:hAnsi="Verdana" w:cs="Arial"/>
          <w:sz w:val="20"/>
          <w:lang w:eastAsia="es-ES"/>
        </w:rPr>
      </w:pPr>
      <w:r w:rsidRPr="009C42D6">
        <w:rPr>
          <w:rFonts w:ascii="Verdana" w:hAnsi="Verdana" w:cs="Arial"/>
          <w:sz w:val="20"/>
          <w:lang w:eastAsia="es-ES"/>
        </w:rPr>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 </w:t>
      </w:r>
    </w:p>
    <w:p w14:paraId="53564A9B" w14:textId="77777777" w:rsidR="009C42D6" w:rsidRPr="009C42D6" w:rsidRDefault="009C42D6" w:rsidP="009C42D6">
      <w:pPr>
        <w:spacing w:after="0" w:line="240" w:lineRule="auto"/>
        <w:jc w:val="both"/>
        <w:rPr>
          <w:rFonts w:ascii="Verdana" w:hAnsi="Verdana" w:cs="Arial"/>
          <w:b/>
          <w:lang w:eastAsia="es-ES"/>
        </w:rPr>
      </w:pPr>
    </w:p>
    <w:p w14:paraId="172FB467" w14:textId="625957D2" w:rsidR="009C42D6" w:rsidRPr="009C42D6" w:rsidRDefault="009C42D6" w:rsidP="009C42D6">
      <w:pPr>
        <w:spacing w:after="0" w:line="240" w:lineRule="auto"/>
        <w:jc w:val="both"/>
        <w:rPr>
          <w:rFonts w:ascii="Verdana" w:hAnsi="Verdana" w:cs="Arial"/>
          <w:b/>
          <w:lang w:val="es-ES" w:eastAsia="es-ES"/>
        </w:rPr>
      </w:pPr>
      <w:r w:rsidRPr="009C42D6">
        <w:rPr>
          <w:rFonts w:ascii="Verdana" w:hAnsi="Verdana" w:cs="Arial"/>
          <w:b/>
          <w:lang w:val="es-ES" w:eastAsia="es-ES"/>
        </w:rPr>
        <w:t>REQUISITOS HABILITANTES – Mínima Cuantía – Exigencias – Proporcionalidad</w:t>
      </w:r>
    </w:p>
    <w:p w14:paraId="188AEE41" w14:textId="656949E1" w:rsidR="009C42D6" w:rsidRPr="009C42D6" w:rsidRDefault="009C42D6" w:rsidP="009C42D6">
      <w:pPr>
        <w:spacing w:after="0" w:line="240" w:lineRule="auto"/>
        <w:jc w:val="both"/>
        <w:rPr>
          <w:rFonts w:ascii="Verdana" w:hAnsi="Verdana" w:cs="Arial"/>
          <w:b/>
          <w:lang w:val="es-ES" w:eastAsia="es-ES"/>
        </w:rPr>
      </w:pPr>
    </w:p>
    <w:p w14:paraId="7FA89F2A" w14:textId="400EC52E" w:rsidR="009C42D6" w:rsidRPr="009C42D6" w:rsidRDefault="009C42D6" w:rsidP="009C42D6">
      <w:pPr>
        <w:spacing w:after="0" w:line="240" w:lineRule="auto"/>
        <w:jc w:val="both"/>
        <w:rPr>
          <w:rFonts w:ascii="Verdana" w:hAnsi="Verdana" w:cs="Arial"/>
          <w:sz w:val="20"/>
          <w:lang w:eastAsia="es-ES"/>
        </w:rPr>
      </w:pPr>
      <w:r w:rsidRPr="009C42D6">
        <w:rPr>
          <w:rFonts w:ascii="Verdana" w:hAnsi="Verdana" w:cs="Arial"/>
          <w:sz w:val="20"/>
          <w:lang w:eastAsia="es-ES"/>
        </w:rPr>
        <w:t xml:space="preserve">[…] se plantea que exigir como requisito habilitante demostrar la tenencia del local en el lugar de ejecución del contrato puede constituirse en una exigencia desproporcionada para determinar la capacidad o idoneidad del contratista. En tal sentido, </w:t>
      </w:r>
      <w:r w:rsidRPr="009C42D6">
        <w:rPr>
          <w:rFonts w:ascii="Verdana" w:hAnsi="Verdana" w:cs="Arial"/>
          <w:sz w:val="20"/>
          <w:lang w:val="es-ES_tradnl" w:eastAsia="es-ES"/>
        </w:rPr>
        <w:t>el principio de proporcionalidad exige que los requisitos habilitantes o exigencias sean razonables, o sea, que guarden congruencia con el objeto, alcance, valor y plazo del contrato, que sean necesarios y no restrinjan injustificadamente la libre concurrencia. De tal modo, la discrecionalidad de cada entidad está condicionada a la proporcionalidad de las decisiones que toma en aras de garantizar la pluralidad de oferentes y la selección objetiva</w:t>
      </w:r>
      <w:r w:rsidRPr="009C42D6">
        <w:rPr>
          <w:rFonts w:ascii="Verdana" w:hAnsi="Verdana" w:cs="Arial"/>
          <w:sz w:val="20"/>
          <w:lang w:eastAsia="es-ES"/>
        </w:rPr>
        <w:t>.</w:t>
      </w:r>
    </w:p>
    <w:p w14:paraId="11AF39F9" w14:textId="77777777" w:rsidR="009C42D6" w:rsidRPr="009C42D6" w:rsidRDefault="009C42D6" w:rsidP="009C42D6">
      <w:pPr>
        <w:spacing w:after="0" w:line="240" w:lineRule="auto"/>
        <w:jc w:val="both"/>
        <w:rPr>
          <w:rFonts w:ascii="Verdana" w:hAnsi="Verdana" w:cs="Arial"/>
          <w:sz w:val="20"/>
          <w:lang w:eastAsia="es-ES"/>
        </w:rPr>
      </w:pPr>
    </w:p>
    <w:p w14:paraId="13442411" w14:textId="3A6F03E9" w:rsidR="009C42D6" w:rsidRPr="009C42D6" w:rsidRDefault="009C42D6" w:rsidP="009C42D6">
      <w:pPr>
        <w:spacing w:after="0" w:line="240" w:lineRule="auto"/>
        <w:jc w:val="both"/>
        <w:rPr>
          <w:rFonts w:ascii="Verdana" w:hAnsi="Verdana" w:cs="Arial"/>
          <w:sz w:val="20"/>
          <w:lang w:val="es-ES" w:eastAsia="es-ES"/>
        </w:rPr>
      </w:pPr>
      <w:r w:rsidRPr="009C42D6">
        <w:rPr>
          <w:rFonts w:ascii="Verdana" w:hAnsi="Verdana" w:cs="Arial"/>
          <w:bCs/>
          <w:sz w:val="20"/>
          <w:lang w:eastAsia="es-ES"/>
        </w:rPr>
        <w:t>En esa orientación, el Consejo de Estado ha cuestionado la exigencia de ciertos requisitos habilitantes en los procesos de contratación para determinar la idoneidad técnica del contratista, como es la exigencia de tener el domicilio, en el municipio que se prestara el servicio, justificado en la necesidad de atender las eventualidades en la prestación de las rutas escolares, lo cual no se considera justificado.</w:t>
      </w:r>
    </w:p>
    <w:p w14:paraId="224E2DFB" w14:textId="1562D9E4" w:rsidR="009C42D6" w:rsidRDefault="009C42D6" w:rsidP="009C42D6">
      <w:pPr>
        <w:spacing w:after="0" w:line="240" w:lineRule="auto"/>
        <w:jc w:val="both"/>
        <w:rPr>
          <w:rFonts w:ascii="Verdana" w:hAnsi="Verdana" w:cs="Arial"/>
          <w:lang w:val="es-ES" w:eastAsia="es-ES"/>
        </w:rPr>
      </w:pPr>
    </w:p>
    <w:p w14:paraId="0C4DB99A" w14:textId="2E208B36" w:rsidR="009C42D6" w:rsidRDefault="009C42D6" w:rsidP="009C42D6">
      <w:pPr>
        <w:spacing w:after="0" w:line="240" w:lineRule="auto"/>
        <w:jc w:val="both"/>
        <w:rPr>
          <w:rFonts w:ascii="Verdana" w:hAnsi="Verdana" w:cs="Arial"/>
          <w:lang w:val="es-ES" w:eastAsia="es-ES"/>
        </w:rPr>
      </w:pPr>
    </w:p>
    <w:p w14:paraId="3189739B" w14:textId="268FC142" w:rsidR="009C42D6" w:rsidRDefault="009C42D6" w:rsidP="009C42D6">
      <w:pPr>
        <w:spacing w:after="0" w:line="240" w:lineRule="auto"/>
        <w:jc w:val="both"/>
        <w:rPr>
          <w:rFonts w:ascii="Verdana" w:hAnsi="Verdana" w:cs="Arial"/>
          <w:lang w:val="es-ES" w:eastAsia="es-ES"/>
        </w:rPr>
      </w:pPr>
    </w:p>
    <w:p w14:paraId="73F5C1B6" w14:textId="31F58DA5" w:rsidR="009C42D6" w:rsidRDefault="009C42D6" w:rsidP="009C42D6">
      <w:pPr>
        <w:spacing w:after="0" w:line="240" w:lineRule="auto"/>
        <w:jc w:val="both"/>
        <w:rPr>
          <w:rFonts w:ascii="Verdana" w:hAnsi="Verdana" w:cs="Arial"/>
          <w:lang w:val="es-ES" w:eastAsia="es-ES"/>
        </w:rPr>
      </w:pPr>
    </w:p>
    <w:p w14:paraId="0DA1C224" w14:textId="5A34BC26" w:rsidR="009C42D6" w:rsidRPr="009C42D6" w:rsidRDefault="009C42D6" w:rsidP="009C42D6">
      <w:pPr>
        <w:spacing w:after="0" w:line="240" w:lineRule="auto"/>
        <w:jc w:val="both"/>
        <w:rPr>
          <w:rFonts w:ascii="Verdana" w:hAnsi="Verdana" w:cs="Arial"/>
          <w:lang w:val="es-ES" w:eastAsia="es-ES"/>
        </w:rPr>
      </w:pPr>
    </w:p>
    <w:p w14:paraId="36F1AA8C" w14:textId="60CE124B" w:rsidR="00391E3E" w:rsidRPr="0044528D" w:rsidRDefault="009C42D6" w:rsidP="00391E3E">
      <w:pPr>
        <w:spacing w:after="0"/>
        <w:rPr>
          <w:rFonts w:ascii="Verdana" w:hAnsi="Verdana"/>
        </w:rPr>
      </w:pPr>
      <w:r>
        <w:rPr>
          <w:rFonts w:ascii="Verdana" w:hAnsi="Verdana"/>
        </w:rPr>
        <w:lastRenderedPageBreak/>
        <w:t>Bogotá D.C., 19 de septiembre de 2025</w:t>
      </w:r>
      <w:r w:rsidR="00391E3E" w:rsidRPr="0044528D">
        <w:rPr>
          <w:rFonts w:ascii="Verdana" w:hAnsi="Verdana"/>
        </w:rPr>
        <w:tab/>
      </w:r>
    </w:p>
    <w:p w14:paraId="702883D0" w14:textId="5CA0A102" w:rsidR="00391E3E" w:rsidRPr="0044528D" w:rsidRDefault="001602FA" w:rsidP="00391E3E">
      <w:pPr>
        <w:spacing w:after="0"/>
        <w:rPr>
          <w:rFonts w:ascii="Verdana" w:hAnsi="Verdana"/>
        </w:rPr>
      </w:pPr>
      <w:r w:rsidRPr="001602FA">
        <w:rPr>
          <w:rFonts w:ascii="Verdana" w:hAnsi="Verdana"/>
          <w:noProof/>
          <w:lang w:val="en-US"/>
        </w:rPr>
        <w:drawing>
          <wp:anchor distT="0" distB="0" distL="114300" distR="114300" simplePos="0" relativeHeight="251658240" behindDoc="0" locked="0" layoutInCell="1" allowOverlap="1" wp14:anchorId="34AF094D" wp14:editId="67E500C9">
            <wp:simplePos x="0" y="0"/>
            <wp:positionH relativeFrom="margin">
              <wp:align>right</wp:align>
            </wp:positionH>
            <wp:positionV relativeFrom="paragraph">
              <wp:posOffset>8890</wp:posOffset>
            </wp:positionV>
            <wp:extent cx="2647950" cy="762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95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5C34A" w14:textId="6572F0BC" w:rsidR="00391E3E" w:rsidRDefault="00391E3E" w:rsidP="00391E3E">
      <w:pPr>
        <w:spacing w:after="0"/>
        <w:jc w:val="both"/>
        <w:rPr>
          <w:rStyle w:val="Hipervnculo"/>
          <w:rFonts w:ascii="Verdana" w:hAnsi="Verdana"/>
        </w:rPr>
      </w:pPr>
    </w:p>
    <w:p w14:paraId="058A3624" w14:textId="77777777" w:rsidR="001602FA" w:rsidRDefault="001602FA" w:rsidP="00391E3E">
      <w:pPr>
        <w:spacing w:after="0"/>
        <w:jc w:val="both"/>
        <w:rPr>
          <w:rStyle w:val="Hipervnculo"/>
          <w:rFonts w:ascii="Verdana" w:hAnsi="Verdana"/>
        </w:rPr>
      </w:pPr>
    </w:p>
    <w:p w14:paraId="3E31CA1F" w14:textId="4B3421F8" w:rsidR="00391E3E" w:rsidRPr="00185EE9" w:rsidRDefault="00391E3E" w:rsidP="00391E3E">
      <w:pPr>
        <w:spacing w:after="0" w:line="240" w:lineRule="auto"/>
        <w:rPr>
          <w:rFonts w:ascii="Verdana" w:eastAsia="Calibri" w:hAnsi="Verdana" w:cs="Times New Roman"/>
          <w:lang w:val="es-MX"/>
        </w:rPr>
      </w:pPr>
      <w:r w:rsidRPr="00185EE9">
        <w:rPr>
          <w:rFonts w:ascii="Verdana" w:eastAsia="Calibri" w:hAnsi="Verdana" w:cs="Times New Roman"/>
          <w:lang w:val="es-MX"/>
        </w:rPr>
        <w:t>Señor</w:t>
      </w:r>
      <w:r w:rsidR="001602FA">
        <w:rPr>
          <w:rFonts w:ascii="Verdana" w:eastAsia="Calibri" w:hAnsi="Verdana" w:cs="Times New Roman"/>
          <w:lang w:val="es-MX"/>
        </w:rPr>
        <w:t>a</w:t>
      </w:r>
    </w:p>
    <w:p w14:paraId="1723D1BE" w14:textId="72963230" w:rsidR="00391E3E" w:rsidRPr="00185EE9" w:rsidRDefault="001602FA" w:rsidP="00391E3E">
      <w:pPr>
        <w:spacing w:after="0" w:line="240" w:lineRule="auto"/>
        <w:rPr>
          <w:rFonts w:ascii="Verdana" w:eastAsia="Calibri" w:hAnsi="Verdana" w:cs="Times New Roman"/>
          <w:b/>
        </w:rPr>
      </w:pPr>
      <w:r w:rsidRPr="001602FA">
        <w:rPr>
          <w:rFonts w:ascii="Verdana" w:eastAsia="Calibri" w:hAnsi="Verdana" w:cs="Times New Roman"/>
          <w:noProof/>
          <w:lang w:val="en-US"/>
        </w:rPr>
        <w:drawing>
          <wp:anchor distT="0" distB="0" distL="114300" distR="114300" simplePos="0" relativeHeight="251659264" behindDoc="0" locked="0" layoutInCell="1" allowOverlap="1" wp14:anchorId="4A86F13C" wp14:editId="5378465A">
            <wp:simplePos x="0" y="0"/>
            <wp:positionH relativeFrom="margin">
              <wp:posOffset>2967355</wp:posOffset>
            </wp:positionH>
            <wp:positionV relativeFrom="paragraph">
              <wp:posOffset>13335</wp:posOffset>
            </wp:positionV>
            <wp:extent cx="2676525" cy="735965"/>
            <wp:effectExtent l="0" t="0" r="9525"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6525" cy="735965"/>
                    </a:xfrm>
                    <a:prstGeom prst="rect">
                      <a:avLst/>
                    </a:prstGeom>
                    <a:noFill/>
                    <a:ln>
                      <a:noFill/>
                    </a:ln>
                  </pic:spPr>
                </pic:pic>
              </a:graphicData>
            </a:graphic>
            <wp14:sizeRelH relativeFrom="margin">
              <wp14:pctWidth>0</wp14:pctWidth>
            </wp14:sizeRelH>
          </wp:anchor>
        </w:drawing>
      </w:r>
      <w:r w:rsidR="00391E3E">
        <w:rPr>
          <w:rFonts w:ascii="Verdana" w:eastAsia="Calibri" w:hAnsi="Verdana" w:cs="Times New Roman"/>
          <w:b/>
        </w:rPr>
        <w:t>Gloria Esperanza Mendoza Flórez</w:t>
      </w:r>
    </w:p>
    <w:p w14:paraId="54322EA1" w14:textId="6EB6B6F8" w:rsidR="00391E3E" w:rsidRDefault="00391E3E" w:rsidP="00391E3E">
      <w:pPr>
        <w:spacing w:after="0" w:line="240" w:lineRule="auto"/>
        <w:rPr>
          <w:rFonts w:ascii="Verdana" w:eastAsia="Calibri" w:hAnsi="Verdana" w:cs="Times New Roman"/>
        </w:rPr>
      </w:pPr>
      <w:hyperlink r:id="rId13" w:history="1">
        <w:r w:rsidRPr="00256E30">
          <w:rPr>
            <w:rStyle w:val="Hipervnculo"/>
            <w:rFonts w:ascii="Verdana" w:eastAsia="Calibri" w:hAnsi="Verdana" w:cs="Times New Roman"/>
          </w:rPr>
          <w:t>ivandariog@hotmail.com</w:t>
        </w:r>
      </w:hyperlink>
    </w:p>
    <w:p w14:paraId="2433B0B4" w14:textId="5F5CF3D0" w:rsidR="00391E3E" w:rsidRDefault="00391E3E" w:rsidP="00391E3E">
      <w:pPr>
        <w:spacing w:after="0" w:line="240" w:lineRule="auto"/>
        <w:rPr>
          <w:rFonts w:ascii="Verdana" w:eastAsia="Calibri" w:hAnsi="Verdana" w:cs="Times New Roman"/>
        </w:rPr>
      </w:pPr>
      <w:r>
        <w:rPr>
          <w:rFonts w:ascii="Verdana" w:eastAsia="Calibri" w:hAnsi="Verdana" w:cs="Times New Roman"/>
        </w:rPr>
        <w:t>Bogotá D.C.</w:t>
      </w:r>
    </w:p>
    <w:p w14:paraId="6E0EB78A" w14:textId="77777777" w:rsidR="00391E3E" w:rsidRDefault="00391E3E" w:rsidP="00391E3E">
      <w:pPr>
        <w:spacing w:after="0" w:line="256" w:lineRule="auto"/>
        <w:rPr>
          <w:rFonts w:ascii="Verdana" w:eastAsia="Calibri" w:hAnsi="Verdana" w:cs="Times New Roman"/>
        </w:rPr>
      </w:pPr>
    </w:p>
    <w:p w14:paraId="45A41448" w14:textId="24D080B8" w:rsidR="00391E3E" w:rsidRPr="00185EE9" w:rsidRDefault="00391E3E" w:rsidP="00391E3E">
      <w:pPr>
        <w:spacing w:after="0" w:line="256" w:lineRule="auto"/>
        <w:rPr>
          <w:rFonts w:ascii="Verdana" w:eastAsia="Calibri" w:hAnsi="Verdana" w:cs="Times New Roman"/>
        </w:rPr>
      </w:pPr>
    </w:p>
    <w:p w14:paraId="42AADE68" w14:textId="77777777" w:rsidR="00391E3E" w:rsidRPr="00185EE9" w:rsidRDefault="00391E3E" w:rsidP="00391E3E">
      <w:pPr>
        <w:spacing w:after="0" w:line="256" w:lineRule="auto"/>
        <w:rPr>
          <w:rFonts w:ascii="Verdana" w:eastAsia="Calibri" w:hAnsi="Verdana" w:cs="Times New Roman"/>
          <w:b/>
          <w:bCs/>
          <w:lang w:val="es-ES"/>
        </w:rPr>
      </w:pPr>
      <w:r w:rsidRPr="00185EE9">
        <w:rPr>
          <w:rFonts w:ascii="Verdana" w:eastAsia="Calibri" w:hAnsi="Verdana" w:cs="Times New Roman"/>
          <w:b/>
          <w:bCs/>
          <w:lang w:val="es-ES"/>
        </w:rPr>
        <w:t xml:space="preserve">                                    </w:t>
      </w:r>
      <w:r w:rsidRPr="00F611E3">
        <w:rPr>
          <w:rFonts w:ascii="Verdana" w:eastAsia="Calibri" w:hAnsi="Verdana" w:cs="Times New Roman"/>
          <w:b/>
          <w:bCs/>
          <w:lang w:val="es-ES"/>
        </w:rPr>
        <w:t>Concepto C–</w:t>
      </w:r>
      <w:r>
        <w:rPr>
          <w:rFonts w:ascii="Verdana" w:eastAsia="Calibri" w:hAnsi="Verdana" w:cs="Times New Roman"/>
          <w:b/>
          <w:bCs/>
          <w:lang w:val="es-ES"/>
        </w:rPr>
        <w:t>1183</w:t>
      </w:r>
      <w:r w:rsidRPr="00F611E3">
        <w:rPr>
          <w:rFonts w:ascii="Verdana" w:eastAsia="Calibri" w:hAnsi="Verdana" w:cs="Times New Roman"/>
          <w:b/>
          <w:bCs/>
          <w:lang w:val="es-ES"/>
        </w:rPr>
        <w:t xml:space="preserve"> de 2025</w:t>
      </w:r>
    </w:p>
    <w:p w14:paraId="302303DD" w14:textId="77777777" w:rsidR="00391E3E" w:rsidRPr="00185EE9" w:rsidRDefault="00391E3E" w:rsidP="00391E3E">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91E3E" w:rsidRPr="00185EE9" w14:paraId="53248C0E" w14:textId="77777777" w:rsidTr="00D2302C">
        <w:trPr>
          <w:trHeight w:val="884"/>
        </w:trPr>
        <w:tc>
          <w:tcPr>
            <w:tcW w:w="2685" w:type="dxa"/>
            <w:hideMark/>
          </w:tcPr>
          <w:p w14:paraId="4A580515" w14:textId="77777777" w:rsidR="00391E3E" w:rsidRPr="00185EE9" w:rsidRDefault="00391E3E" w:rsidP="00D2302C">
            <w:pPr>
              <w:spacing w:line="256" w:lineRule="auto"/>
              <w:rPr>
                <w:rFonts w:ascii="Verdana" w:hAnsi="Verdana"/>
                <w:b/>
                <w:bCs/>
                <w:lang w:val="es-ES_tradnl"/>
              </w:rPr>
            </w:pPr>
            <w:r w:rsidRPr="00185EE9">
              <w:rPr>
                <w:rFonts w:ascii="Verdana" w:hAnsi="Verdana"/>
                <w:b/>
                <w:bCs/>
                <w:lang w:val="es-ES_tradnl"/>
              </w:rPr>
              <w:t xml:space="preserve">Temas:                   </w:t>
            </w:r>
          </w:p>
        </w:tc>
        <w:tc>
          <w:tcPr>
            <w:tcW w:w="6241" w:type="dxa"/>
            <w:hideMark/>
          </w:tcPr>
          <w:p w14:paraId="2DC7E1A1" w14:textId="75D788E4" w:rsidR="009C42D6" w:rsidRPr="009C42D6" w:rsidRDefault="00391E3E" w:rsidP="00D2302C">
            <w:pPr>
              <w:spacing w:line="276" w:lineRule="auto"/>
              <w:jc w:val="both"/>
              <w:rPr>
                <w:rFonts w:ascii="Verdana" w:hAnsi="Verdana" w:cs="Arial"/>
                <w:lang w:val="es-ES" w:eastAsia="es-ES"/>
              </w:rPr>
            </w:pPr>
            <w:r w:rsidRPr="009534B9">
              <w:rPr>
                <w:rFonts w:ascii="Verdana" w:hAnsi="Verdana" w:cs="Arial"/>
                <w:bCs/>
                <w:lang w:val="es-MX" w:eastAsia="es-ES"/>
              </w:rPr>
              <w:t xml:space="preserve">MÍNIMA CUANTÍA – Generalidades – Ley 1150 de 2007 / MÍNIMA CUANTÍA – Normas reglamentarias – Decreto 1082 de 2015 – Procedimiento / ACEPTACIÓN DE LA OFERTA – Perfeccionamiento del contrato </w:t>
            </w:r>
            <w:r>
              <w:rPr>
                <w:rFonts w:ascii="Verdana" w:hAnsi="Verdana" w:cs="Arial"/>
                <w:bCs/>
                <w:lang w:val="es-MX" w:eastAsia="es-ES"/>
              </w:rPr>
              <w:t xml:space="preserve">/ </w:t>
            </w:r>
            <w:r w:rsidRPr="005C0FC8">
              <w:rPr>
                <w:rFonts w:ascii="Verdana" w:hAnsi="Verdana" w:cs="Arial"/>
                <w:lang w:val="es-ES" w:eastAsia="es-ES"/>
              </w:rPr>
              <w:t>REQUISITOS HABILITANTES – Noción</w:t>
            </w:r>
            <w:r>
              <w:rPr>
                <w:rFonts w:ascii="Verdana" w:hAnsi="Verdana" w:cs="Arial"/>
                <w:lang w:val="es-ES" w:eastAsia="es-ES"/>
              </w:rPr>
              <w:t xml:space="preserve"> – Fundamento normativo/ REQUISITOS HABILITANTES – Fijación – parámetros – proporcionalidad / REQUISITOS HABILITANTES – Mínima Cuantía </w:t>
            </w:r>
            <w:r w:rsidR="009C42D6">
              <w:rPr>
                <w:rFonts w:ascii="Verdana" w:hAnsi="Verdana" w:cs="Arial"/>
                <w:lang w:val="es-ES" w:eastAsia="es-ES"/>
              </w:rPr>
              <w:t>– Exigencias – Proporcionalidad.</w:t>
            </w:r>
          </w:p>
        </w:tc>
        <w:tc>
          <w:tcPr>
            <w:tcW w:w="6237" w:type="dxa"/>
          </w:tcPr>
          <w:p w14:paraId="68279FA6" w14:textId="77777777" w:rsidR="00391E3E" w:rsidRPr="003778AA" w:rsidRDefault="00391E3E" w:rsidP="00D2302C">
            <w:pPr>
              <w:spacing w:line="256" w:lineRule="auto"/>
              <w:rPr>
                <w:rFonts w:ascii="Verdana" w:hAnsi="Verdana"/>
                <w:lang w:val="es-ES"/>
              </w:rPr>
            </w:pPr>
            <w:r>
              <w:rPr>
                <w:rFonts w:ascii="Verdana" w:hAnsi="Verdana"/>
                <w:lang w:val="es-ES"/>
              </w:rPr>
              <w:t xml:space="preserve"> </w:t>
            </w:r>
          </w:p>
        </w:tc>
      </w:tr>
      <w:tr w:rsidR="00391E3E" w:rsidRPr="00185EE9" w14:paraId="473C4823" w14:textId="77777777" w:rsidTr="00D2302C">
        <w:tc>
          <w:tcPr>
            <w:tcW w:w="2685" w:type="dxa"/>
          </w:tcPr>
          <w:p w14:paraId="3C1DCC61" w14:textId="2600A4D9" w:rsidR="00391E3E" w:rsidRDefault="00391E3E" w:rsidP="00D2302C">
            <w:pPr>
              <w:spacing w:line="256" w:lineRule="auto"/>
              <w:rPr>
                <w:rFonts w:ascii="Verdana" w:hAnsi="Verdana"/>
                <w:lang w:val="es-ES_tradnl"/>
              </w:rPr>
            </w:pPr>
          </w:p>
          <w:p w14:paraId="01C0D108" w14:textId="77777777" w:rsidR="001602FA" w:rsidRPr="009534B9" w:rsidRDefault="001602FA" w:rsidP="00D2302C">
            <w:pPr>
              <w:spacing w:line="256" w:lineRule="auto"/>
              <w:rPr>
                <w:rFonts w:ascii="Verdana" w:hAnsi="Verdana"/>
                <w:lang w:val="es-ES_tradnl"/>
              </w:rPr>
            </w:pPr>
          </w:p>
          <w:p w14:paraId="5E36702A" w14:textId="77777777" w:rsidR="00391E3E" w:rsidRPr="009534B9" w:rsidRDefault="00391E3E" w:rsidP="00D2302C">
            <w:pPr>
              <w:spacing w:line="256" w:lineRule="auto"/>
              <w:rPr>
                <w:rFonts w:ascii="Verdana" w:hAnsi="Verdana"/>
                <w:b/>
                <w:bCs/>
                <w:lang w:val="es-ES_tradnl"/>
              </w:rPr>
            </w:pPr>
            <w:r w:rsidRPr="009534B9">
              <w:rPr>
                <w:rFonts w:ascii="Verdana" w:hAnsi="Verdana"/>
                <w:b/>
                <w:bCs/>
                <w:lang w:val="es-ES_tradnl"/>
              </w:rPr>
              <w:t xml:space="preserve">Radicación:               </w:t>
            </w:r>
          </w:p>
        </w:tc>
        <w:tc>
          <w:tcPr>
            <w:tcW w:w="6241" w:type="dxa"/>
          </w:tcPr>
          <w:p w14:paraId="6979EDAC" w14:textId="1AF18727" w:rsidR="00391E3E" w:rsidRDefault="00391E3E" w:rsidP="00D2302C">
            <w:pPr>
              <w:spacing w:line="257" w:lineRule="auto"/>
              <w:rPr>
                <w:rFonts w:ascii="Verdana" w:hAnsi="Verdana"/>
                <w:lang w:val="es-ES_tradnl"/>
              </w:rPr>
            </w:pPr>
          </w:p>
          <w:p w14:paraId="3EDA9BD0" w14:textId="77777777" w:rsidR="001602FA" w:rsidRPr="009534B9" w:rsidRDefault="001602FA" w:rsidP="00D2302C">
            <w:pPr>
              <w:spacing w:line="257" w:lineRule="auto"/>
              <w:rPr>
                <w:rFonts w:ascii="Verdana" w:hAnsi="Verdana"/>
                <w:lang w:val="es-ES_tradnl"/>
              </w:rPr>
            </w:pPr>
          </w:p>
          <w:p w14:paraId="059FC757" w14:textId="77777777" w:rsidR="00391E3E" w:rsidRPr="00D36AFE" w:rsidRDefault="00391E3E" w:rsidP="00D2302C">
            <w:pPr>
              <w:spacing w:line="257" w:lineRule="auto"/>
              <w:jc w:val="both"/>
              <w:rPr>
                <w:rFonts w:ascii="Verdana" w:hAnsi="Verdana"/>
              </w:rPr>
            </w:pPr>
            <w:r w:rsidRPr="009534B9">
              <w:rPr>
                <w:rFonts w:ascii="Verdana" w:hAnsi="Verdana"/>
                <w:lang w:val="es-ES_tradnl"/>
              </w:rPr>
              <w:t xml:space="preserve">Respuesta a consulta con radicado No. </w:t>
            </w:r>
            <w:r w:rsidRPr="009534B9">
              <w:rPr>
                <w:rFonts w:ascii="Verdana" w:hAnsi="Verdana" w:cs="Segoe UI"/>
                <w:shd w:val="clear" w:color="auto" w:fill="FFFFFF"/>
              </w:rPr>
              <w:t xml:space="preserve">1_2025_08_22_008912 y </w:t>
            </w:r>
            <w:r w:rsidRPr="009534B9">
              <w:rPr>
                <w:rFonts w:ascii="Verdana" w:hAnsi="Verdana"/>
              </w:rPr>
              <w:t>1_2025_08_22_008913 (</w:t>
            </w:r>
            <w:r>
              <w:rPr>
                <w:rFonts w:ascii="Verdana" w:hAnsi="Verdana"/>
              </w:rPr>
              <w:t>A</w:t>
            </w:r>
            <w:r w:rsidRPr="009534B9">
              <w:rPr>
                <w:rFonts w:ascii="Verdana" w:hAnsi="Verdana"/>
              </w:rPr>
              <w:t>cumulad</w:t>
            </w:r>
            <w:r>
              <w:rPr>
                <w:rFonts w:ascii="Verdana" w:hAnsi="Verdana"/>
              </w:rPr>
              <w:t>os</w:t>
            </w:r>
            <w:r w:rsidRPr="009534B9">
              <w:rPr>
                <w:rFonts w:ascii="Verdana" w:hAnsi="Verdana"/>
              </w:rPr>
              <w:t>)</w:t>
            </w:r>
          </w:p>
          <w:p w14:paraId="5DAEFEA4" w14:textId="77777777" w:rsidR="00391E3E" w:rsidRPr="009534B9" w:rsidRDefault="00391E3E" w:rsidP="00D2302C">
            <w:pPr>
              <w:spacing w:line="257" w:lineRule="auto"/>
              <w:jc w:val="both"/>
              <w:rPr>
                <w:rFonts w:ascii="Verdana" w:hAnsi="Verdana"/>
              </w:rPr>
            </w:pPr>
          </w:p>
        </w:tc>
        <w:tc>
          <w:tcPr>
            <w:tcW w:w="6237" w:type="dxa"/>
          </w:tcPr>
          <w:p w14:paraId="1D6BAF99" w14:textId="77777777" w:rsidR="00391E3E" w:rsidRPr="00185EE9" w:rsidRDefault="00391E3E" w:rsidP="00D2302C">
            <w:pPr>
              <w:spacing w:line="256" w:lineRule="auto"/>
              <w:rPr>
                <w:rFonts w:ascii="Verdana" w:hAnsi="Verdana"/>
                <w:lang w:val="es-ES_tradnl"/>
              </w:rPr>
            </w:pPr>
          </w:p>
        </w:tc>
      </w:tr>
    </w:tbl>
    <w:p w14:paraId="6EA85276" w14:textId="77777777" w:rsidR="00391E3E" w:rsidRPr="00185EE9" w:rsidRDefault="00391E3E" w:rsidP="00391E3E">
      <w:pPr>
        <w:spacing w:after="0" w:line="256" w:lineRule="auto"/>
        <w:rPr>
          <w:rFonts w:ascii="Verdana" w:eastAsia="Calibri" w:hAnsi="Verdana" w:cs="Times New Roman"/>
          <w:lang w:val="es-ES_tradnl"/>
        </w:rPr>
      </w:pPr>
    </w:p>
    <w:p w14:paraId="4A705A59" w14:textId="39BF1983" w:rsidR="00391E3E" w:rsidRPr="00185EE9" w:rsidRDefault="001602FA" w:rsidP="00391E3E">
      <w:pPr>
        <w:spacing w:after="0" w:line="256" w:lineRule="auto"/>
        <w:rPr>
          <w:rFonts w:ascii="Verdana" w:eastAsia="Calibri" w:hAnsi="Verdana" w:cs="Times New Roman"/>
          <w:lang w:val="es-ES"/>
        </w:rPr>
      </w:pPr>
      <w:r>
        <w:rPr>
          <w:rFonts w:ascii="Verdana" w:eastAsia="Calibri" w:hAnsi="Verdana" w:cs="Times New Roman"/>
          <w:lang w:val="es-ES"/>
        </w:rPr>
        <w:t>Estimada</w:t>
      </w:r>
      <w:r w:rsidR="00391E3E" w:rsidRPr="00185EE9">
        <w:rPr>
          <w:rFonts w:ascii="Verdana" w:eastAsia="Calibri" w:hAnsi="Verdana" w:cs="Times New Roman"/>
          <w:lang w:val="es-ES"/>
        </w:rPr>
        <w:t xml:space="preserve">: </w:t>
      </w:r>
    </w:p>
    <w:p w14:paraId="5346EE4F" w14:textId="77777777" w:rsidR="00391E3E" w:rsidRPr="00185EE9" w:rsidRDefault="00391E3E" w:rsidP="00391E3E">
      <w:pPr>
        <w:spacing w:after="0" w:line="256" w:lineRule="auto"/>
        <w:rPr>
          <w:rFonts w:ascii="Verdana" w:eastAsia="Calibri" w:hAnsi="Verdana" w:cs="Times New Roman"/>
          <w:lang w:val="es-ES"/>
        </w:rPr>
      </w:pPr>
    </w:p>
    <w:p w14:paraId="63312EB4" w14:textId="77777777" w:rsidR="00391E3E" w:rsidRPr="00185EE9" w:rsidRDefault="00391E3E" w:rsidP="00391E3E">
      <w:pPr>
        <w:spacing w:after="0" w:line="276" w:lineRule="auto"/>
        <w:jc w:val="both"/>
        <w:rPr>
          <w:rFonts w:ascii="Verdana" w:eastAsia="Calibri" w:hAnsi="Verdana" w:cs="Times New Roman"/>
          <w:lang w:val="es-ES"/>
        </w:rPr>
      </w:pPr>
      <w:r w:rsidRPr="005B0731">
        <w:rPr>
          <w:rFonts w:ascii="Verdana" w:eastAsia="Calibri" w:hAnsi="Verdana" w:cs="Times New Roman"/>
          <w:bCs/>
          <w:lang w:val="es-ES" w:bidi="es-ES"/>
        </w:rPr>
        <w:t xml:space="preserve">En ejercicio de la competencia otorgada por los artículos 3, numeral 5º, y 11, numeral 8º, del Decreto Ley 4170 de 2011, </w:t>
      </w:r>
      <w:r w:rsidRPr="005B0731">
        <w:rPr>
          <w:rFonts w:ascii="Verdana" w:eastAsia="Calibri" w:hAnsi="Verdana" w:cs="Times New Roman"/>
          <w:bCs/>
        </w:rPr>
        <w:t xml:space="preserve">así como lo establecido por la Resolución 469 de 2025 expedida por esta Entidad, </w:t>
      </w:r>
      <w:r w:rsidRPr="005B0731">
        <w:rPr>
          <w:rFonts w:ascii="Verdana" w:eastAsia="Calibri" w:hAnsi="Verdana" w:cs="Times New Roman"/>
          <w:bCs/>
          <w:lang w:val="es-ES" w:bidi="es-ES"/>
        </w:rPr>
        <w:t>la Agencia Nacional de Contratación Pública – Colombia Compra Eficiente–</w:t>
      </w:r>
      <w:r w:rsidRPr="005B0731">
        <w:rPr>
          <w:rFonts w:ascii="Verdana" w:eastAsia="Calibri" w:hAnsi="Verdana" w:cs="Times New Roman"/>
          <w:lang w:val="es-ES"/>
        </w:rPr>
        <w:t xml:space="preserve"> responde </w:t>
      </w:r>
      <w:r>
        <w:rPr>
          <w:rFonts w:ascii="Verdana" w:eastAsia="Calibri" w:hAnsi="Verdana" w:cs="Times New Roman"/>
          <w:lang w:val="es-ES"/>
        </w:rPr>
        <w:t xml:space="preserve">las solicitudes de </w:t>
      </w:r>
      <w:r w:rsidRPr="005B0731">
        <w:rPr>
          <w:rFonts w:ascii="Verdana" w:eastAsia="Calibri" w:hAnsi="Verdana" w:cs="Times New Roman"/>
          <w:lang w:val="es-ES"/>
        </w:rPr>
        <w:t>consulta presentadas el</w:t>
      </w:r>
      <w:r>
        <w:rPr>
          <w:rFonts w:ascii="Verdana" w:eastAsia="Calibri" w:hAnsi="Verdana" w:cs="Times New Roman"/>
          <w:lang w:val="es-ES"/>
        </w:rPr>
        <w:t xml:space="preserve"> 22 </w:t>
      </w:r>
      <w:r w:rsidRPr="005B0731">
        <w:rPr>
          <w:rFonts w:ascii="Verdana" w:eastAsia="Calibri" w:hAnsi="Verdana" w:cs="Times New Roman"/>
          <w:lang w:val="es-ES"/>
        </w:rPr>
        <w:t>de agosto,</w:t>
      </w:r>
      <w:r w:rsidRPr="00185EE9">
        <w:rPr>
          <w:rFonts w:ascii="Verdana" w:eastAsia="Calibri" w:hAnsi="Verdana" w:cs="Times New Roman"/>
          <w:lang w:val="es-ES"/>
        </w:rPr>
        <w:t xml:space="preserve"> en</w:t>
      </w:r>
      <w:r>
        <w:rPr>
          <w:rFonts w:ascii="Verdana" w:eastAsia="Calibri" w:hAnsi="Verdana" w:cs="Times New Roman"/>
          <w:lang w:val="es-ES"/>
        </w:rPr>
        <w:t xml:space="preserve"> la cual manifiesta</w:t>
      </w:r>
      <w:r w:rsidRPr="00185EE9">
        <w:rPr>
          <w:rFonts w:ascii="Verdana" w:eastAsia="Calibri" w:hAnsi="Verdana" w:cs="Times New Roman"/>
          <w:lang w:val="es-ES"/>
        </w:rPr>
        <w:t>:</w:t>
      </w:r>
    </w:p>
    <w:p w14:paraId="70D99FB5" w14:textId="77777777" w:rsidR="00391E3E" w:rsidRPr="0097354A" w:rsidRDefault="00391E3E" w:rsidP="00391E3E">
      <w:pPr>
        <w:spacing w:after="0" w:line="240" w:lineRule="auto"/>
        <w:jc w:val="both"/>
        <w:rPr>
          <w:rFonts w:ascii="Verdana" w:eastAsia="Calibri" w:hAnsi="Verdana" w:cs="Times New Roman"/>
          <w:i/>
          <w:lang w:val="es-ES"/>
        </w:rPr>
      </w:pPr>
    </w:p>
    <w:p w14:paraId="67D0C74E" w14:textId="77777777" w:rsidR="00391E3E" w:rsidRDefault="00391E3E" w:rsidP="00391E3E">
      <w:pPr>
        <w:spacing w:after="0" w:line="240" w:lineRule="auto"/>
        <w:ind w:left="709" w:right="709"/>
        <w:jc w:val="both"/>
        <w:rPr>
          <w:rFonts w:ascii="Verdana" w:eastAsia="Calibri" w:hAnsi="Verdana" w:cs="Times New Roman"/>
          <w:i/>
          <w:sz w:val="20"/>
          <w:szCs w:val="20"/>
        </w:rPr>
      </w:pPr>
      <w:r w:rsidRPr="0097354A">
        <w:rPr>
          <w:rFonts w:ascii="Verdana" w:eastAsia="Calibri" w:hAnsi="Verdana" w:cs="Times New Roman"/>
          <w:i/>
          <w:sz w:val="20"/>
          <w:szCs w:val="20"/>
          <w:lang w:val="es-ES"/>
        </w:rPr>
        <w:t>“</w:t>
      </w:r>
      <w:r w:rsidRPr="009534B9">
        <w:rPr>
          <w:rFonts w:ascii="Verdana" w:eastAsia="Calibri" w:hAnsi="Verdana" w:cs="Times New Roman"/>
          <w:i/>
          <w:sz w:val="20"/>
          <w:szCs w:val="20"/>
        </w:rPr>
        <w:t xml:space="preserve">1. ¿Es procedente exigir como requisito habilitante la tenencia de un local comercial en el municipio de ejecución, en lugar de admitir que se trate de una condición a cumplir durante la etapa de ejecución del contrato? </w:t>
      </w:r>
    </w:p>
    <w:p w14:paraId="4F7AF28C" w14:textId="77777777" w:rsidR="00391E3E" w:rsidRPr="0097354A" w:rsidRDefault="00391E3E" w:rsidP="00391E3E">
      <w:pPr>
        <w:spacing w:after="0" w:line="240" w:lineRule="auto"/>
        <w:ind w:left="709" w:right="709"/>
        <w:jc w:val="both"/>
        <w:rPr>
          <w:rFonts w:ascii="Verdana" w:eastAsia="Calibri" w:hAnsi="Verdana" w:cs="Times New Roman"/>
          <w:i/>
          <w:sz w:val="20"/>
          <w:szCs w:val="20"/>
        </w:rPr>
      </w:pPr>
      <w:r w:rsidRPr="009534B9">
        <w:rPr>
          <w:rFonts w:ascii="Verdana" w:eastAsia="Calibri" w:hAnsi="Verdana" w:cs="Times New Roman"/>
          <w:i/>
          <w:sz w:val="20"/>
          <w:szCs w:val="20"/>
        </w:rPr>
        <w:t xml:space="preserve">2. ¿La exigencia de este requisito en procesos de mínima cuantía, con plazos tan reducidos (menos de 24 horas), puede considerarse contraria </w:t>
      </w:r>
      <w:r w:rsidRPr="009534B9">
        <w:rPr>
          <w:rFonts w:ascii="Verdana" w:eastAsia="Calibri" w:hAnsi="Verdana" w:cs="Times New Roman"/>
          <w:i/>
          <w:sz w:val="20"/>
          <w:szCs w:val="20"/>
        </w:rPr>
        <w:lastRenderedPageBreak/>
        <w:t>a los principios de selección objetiva, transpar</w:t>
      </w:r>
      <w:r>
        <w:rPr>
          <w:rFonts w:ascii="Verdana" w:eastAsia="Calibri" w:hAnsi="Verdana" w:cs="Times New Roman"/>
          <w:i/>
          <w:sz w:val="20"/>
          <w:szCs w:val="20"/>
        </w:rPr>
        <w:t>encia y pluralidad de oferentes?</w:t>
      </w:r>
      <w:r w:rsidRPr="0097354A">
        <w:rPr>
          <w:rFonts w:ascii="Verdana" w:eastAsia="Calibri" w:hAnsi="Verdana" w:cs="Times New Roman"/>
          <w:i/>
          <w:sz w:val="20"/>
          <w:szCs w:val="20"/>
          <w:lang w:val="es-ES"/>
        </w:rPr>
        <w:t xml:space="preserve">”. </w:t>
      </w:r>
    </w:p>
    <w:p w14:paraId="3AB7BE53" w14:textId="77777777" w:rsidR="00391E3E" w:rsidRPr="00185EE9" w:rsidRDefault="00391E3E" w:rsidP="00391E3E">
      <w:pPr>
        <w:spacing w:after="0" w:line="256" w:lineRule="auto"/>
        <w:rPr>
          <w:rFonts w:ascii="Verdana" w:eastAsia="Calibri" w:hAnsi="Verdana" w:cs="Times New Roman"/>
          <w:lang w:val="es-ES"/>
        </w:rPr>
      </w:pPr>
    </w:p>
    <w:p w14:paraId="360D4B59" w14:textId="77777777" w:rsidR="00391E3E" w:rsidRPr="00A94D14" w:rsidRDefault="00391E3E" w:rsidP="00391E3E">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7105CF7" w14:textId="77777777" w:rsidR="00391E3E" w:rsidRPr="00A32373" w:rsidRDefault="00391E3E" w:rsidP="00391E3E">
      <w:pPr>
        <w:spacing w:after="0" w:line="276" w:lineRule="auto"/>
        <w:ind w:firstLine="708"/>
        <w:jc w:val="both"/>
        <w:rPr>
          <w:rFonts w:ascii="Verdana" w:eastAsia="Calibri" w:hAnsi="Verdana" w:cs="Times New Roman"/>
          <w:lang w:val="es-ES"/>
        </w:rPr>
      </w:pPr>
      <w:r w:rsidRPr="00A32373">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9CB3C16" w14:textId="77777777" w:rsidR="00391E3E" w:rsidRPr="00A32373" w:rsidRDefault="00391E3E" w:rsidP="00391E3E">
      <w:pPr>
        <w:spacing w:after="0" w:line="256" w:lineRule="auto"/>
        <w:rPr>
          <w:rFonts w:ascii="Verdana" w:eastAsia="Calibri" w:hAnsi="Verdana" w:cs="Times New Roman"/>
          <w:lang w:val="es-ES"/>
        </w:rPr>
      </w:pPr>
    </w:p>
    <w:p w14:paraId="54CCCEFD" w14:textId="77777777" w:rsidR="00391E3E" w:rsidRPr="00A32373" w:rsidRDefault="00391E3E" w:rsidP="00391E3E">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Problema planteado:</w:t>
      </w:r>
    </w:p>
    <w:p w14:paraId="502DA630" w14:textId="77777777" w:rsidR="00391E3E" w:rsidRPr="00A32373" w:rsidRDefault="00391E3E" w:rsidP="00391E3E">
      <w:pPr>
        <w:spacing w:after="0" w:line="256" w:lineRule="auto"/>
        <w:rPr>
          <w:rFonts w:ascii="Verdana" w:eastAsia="Calibri" w:hAnsi="Verdana" w:cs="Times New Roman"/>
        </w:rPr>
      </w:pPr>
    </w:p>
    <w:p w14:paraId="024D56F5" w14:textId="77777777" w:rsidR="00391E3E" w:rsidRPr="00610786" w:rsidRDefault="00391E3E" w:rsidP="00391E3E">
      <w:pPr>
        <w:spacing w:after="0" w:line="276" w:lineRule="auto"/>
        <w:jc w:val="both"/>
        <w:rPr>
          <w:rFonts w:ascii="Verdana" w:eastAsia="Calibri" w:hAnsi="Verdana" w:cs="Times New Roman"/>
          <w:i/>
        </w:rPr>
      </w:pPr>
      <w:r w:rsidRPr="00A32373">
        <w:rPr>
          <w:rFonts w:ascii="Verdana" w:eastAsia="Calibri" w:hAnsi="Verdana" w:cs="Times New Roman"/>
        </w:rPr>
        <w:t xml:space="preserve">De acuerdo con el contenido de su solicitud, esta Agencia procede a resolver el siguiente </w:t>
      </w:r>
      <w:r>
        <w:rPr>
          <w:rFonts w:ascii="Verdana" w:eastAsia="Calibri" w:hAnsi="Verdana" w:cs="Times New Roman"/>
        </w:rPr>
        <w:t>problema jurídico:</w:t>
      </w:r>
      <w:r w:rsidRPr="00B453EC">
        <w:rPr>
          <w:rFonts w:ascii="Verdana" w:eastAsia="Calibri" w:hAnsi="Verdana" w:cs="Times New Roman"/>
        </w:rPr>
        <w:t xml:space="preserve"> ¿Es procedente que en los procesos de mínima cuantía se establezca como requisito habilitante la tenencia de un local comercial en el lugar de ejecución del contrato, acreditado mediante certificado de libertad y tradición, o contrato de arrendamiento</w:t>
      </w:r>
      <w:r w:rsidRPr="00B453EC">
        <w:rPr>
          <w:rFonts w:ascii="Verdana" w:eastAsia="Calibri" w:hAnsi="Verdana" w:cs="Times New Roman"/>
          <w:lang w:val="es-ES"/>
        </w:rPr>
        <w:t>?</w:t>
      </w:r>
    </w:p>
    <w:p w14:paraId="6C0DAE79" w14:textId="77777777" w:rsidR="00391E3E" w:rsidRPr="00A32373" w:rsidRDefault="00391E3E" w:rsidP="00391E3E">
      <w:pPr>
        <w:spacing w:after="0" w:line="256" w:lineRule="auto"/>
        <w:rPr>
          <w:rFonts w:ascii="Verdana" w:eastAsia="Calibri" w:hAnsi="Verdana" w:cs="Times New Roman"/>
        </w:rPr>
      </w:pPr>
    </w:p>
    <w:p w14:paraId="63EB3E03" w14:textId="77777777" w:rsidR="00391E3E" w:rsidRPr="00A32373" w:rsidRDefault="00391E3E" w:rsidP="00391E3E">
      <w:pPr>
        <w:pStyle w:val="Prrafodelista"/>
        <w:numPr>
          <w:ilvl w:val="0"/>
          <w:numId w:val="19"/>
        </w:numPr>
        <w:spacing w:after="0" w:line="256" w:lineRule="auto"/>
        <w:rPr>
          <w:rFonts w:ascii="Verdana" w:eastAsia="Calibri" w:hAnsi="Verdana" w:cs="Times New Roman"/>
          <w:b/>
          <w:bCs/>
        </w:rPr>
      </w:pPr>
      <w:r w:rsidRPr="00A32373">
        <w:rPr>
          <w:rFonts w:ascii="Verdana" w:eastAsia="Calibri" w:hAnsi="Verdana" w:cs="Times New Roman"/>
          <w:b/>
          <w:bCs/>
        </w:rPr>
        <w:t>Respuesta:</w:t>
      </w:r>
    </w:p>
    <w:p w14:paraId="52B6D2C7" w14:textId="77777777" w:rsidR="00391E3E" w:rsidRDefault="00391E3E" w:rsidP="00391E3E">
      <w:pPr>
        <w:spacing w:after="0" w:line="25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91E3E" w:rsidRPr="009B3595" w14:paraId="6E7B7D86" w14:textId="77777777" w:rsidTr="00D2302C">
        <w:trPr>
          <w:trHeight w:val="207"/>
          <w:jc w:val="center"/>
        </w:trPr>
        <w:tc>
          <w:tcPr>
            <w:tcW w:w="8784" w:type="dxa"/>
          </w:tcPr>
          <w:p w14:paraId="4AC10664" w14:textId="77777777" w:rsidR="00391E3E" w:rsidRPr="00AC76F6" w:rsidRDefault="00391E3E" w:rsidP="00D2302C">
            <w:pPr>
              <w:widowControl w:val="0"/>
              <w:autoSpaceDE w:val="0"/>
              <w:autoSpaceDN w:val="0"/>
              <w:spacing w:before="120"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Ahora bien, en atención al problema jurídico, objeto de consulta, se plantea que exigir como requisito habilitante </w:t>
            </w:r>
            <w:r w:rsidRPr="00376372">
              <w:rPr>
                <w:rFonts w:ascii="Verdana" w:eastAsia="Calibri" w:hAnsi="Verdana" w:cs="Arial"/>
                <w:color w:val="000000" w:themeColor="text1"/>
              </w:rPr>
              <w:t>de</w:t>
            </w:r>
            <w:r>
              <w:rPr>
                <w:rFonts w:ascii="Verdana" w:eastAsia="Calibri" w:hAnsi="Verdana" w:cs="Arial"/>
                <w:color w:val="000000" w:themeColor="text1"/>
              </w:rPr>
              <w:t xml:space="preserve">mostrar la tenencia del local en el lugar de ejecución del contrato puede constituirse en una exigencia desproporcionada para determinar la capacidad o idoneidad del contratista. En tal sentido, </w:t>
            </w:r>
            <w:r>
              <w:rPr>
                <w:rFonts w:ascii="Verdana" w:eastAsia="Calibri" w:hAnsi="Verdana" w:cs="Arial"/>
                <w:color w:val="000000"/>
                <w:lang w:val="es-ES_tradnl" w:eastAsia="es-ES_tradnl"/>
              </w:rPr>
              <w:t>e</w:t>
            </w:r>
            <w:r w:rsidRPr="00B453EC">
              <w:rPr>
                <w:rFonts w:ascii="Verdana" w:eastAsia="Calibri" w:hAnsi="Verdana" w:cs="Arial"/>
                <w:color w:val="000000"/>
                <w:lang w:val="es-ES_tradnl" w:eastAsia="es-ES_tradnl"/>
              </w:rPr>
              <w:t xml:space="preserve">l principio de proporcionalidad exige que </w:t>
            </w:r>
            <w:r>
              <w:rPr>
                <w:rFonts w:ascii="Verdana" w:eastAsia="Calibri" w:hAnsi="Verdana" w:cs="Arial"/>
                <w:color w:val="000000"/>
                <w:lang w:val="es-ES_tradnl" w:eastAsia="es-ES_tradnl"/>
              </w:rPr>
              <w:t xml:space="preserve">los requisitos </w:t>
            </w:r>
            <w:r>
              <w:rPr>
                <w:rFonts w:ascii="Verdana" w:eastAsia="Calibri" w:hAnsi="Verdana" w:cs="Arial"/>
                <w:color w:val="000000"/>
                <w:lang w:val="es-ES_tradnl" w:eastAsia="es-ES_tradnl"/>
              </w:rPr>
              <w:lastRenderedPageBreak/>
              <w:t xml:space="preserve">habilitantes o exigencias </w:t>
            </w:r>
            <w:r w:rsidRPr="00B453EC">
              <w:rPr>
                <w:rFonts w:ascii="Verdana" w:eastAsia="Calibri" w:hAnsi="Verdana" w:cs="Arial"/>
                <w:color w:val="000000"/>
                <w:lang w:val="es-ES_tradnl" w:eastAsia="es-ES_tradnl"/>
              </w:rPr>
              <w:t>sean razonables, o sea, que guarden congruencia con el objeto, alcance, valor y plazo del contrato, que sean necesarios y no restrinjan injustificadament</w:t>
            </w:r>
            <w:r>
              <w:rPr>
                <w:rFonts w:ascii="Verdana" w:eastAsia="Calibri" w:hAnsi="Verdana" w:cs="Arial"/>
                <w:color w:val="000000"/>
                <w:lang w:val="es-ES_tradnl" w:eastAsia="es-ES_tradnl"/>
              </w:rPr>
              <w:t>e la libre concurrencia. De tal modo</w:t>
            </w:r>
            <w:r w:rsidRPr="00B453EC">
              <w:rPr>
                <w:rFonts w:ascii="Verdana" w:eastAsia="Calibri" w:hAnsi="Verdana" w:cs="Arial"/>
                <w:color w:val="000000"/>
                <w:lang w:val="es-ES_tradnl" w:eastAsia="es-ES_tradnl"/>
              </w:rPr>
              <w:t xml:space="preserve">, la discrecionalidad del </w:t>
            </w:r>
            <w:r>
              <w:rPr>
                <w:rFonts w:ascii="Verdana" w:eastAsia="Calibri" w:hAnsi="Verdana" w:cs="Arial"/>
                <w:color w:val="000000"/>
                <w:lang w:val="es-ES_tradnl" w:eastAsia="es-ES_tradnl"/>
              </w:rPr>
              <w:t xml:space="preserve">de </w:t>
            </w:r>
            <w:r w:rsidRPr="00B453EC">
              <w:rPr>
                <w:rFonts w:ascii="Verdana" w:eastAsia="Calibri" w:hAnsi="Verdana" w:cs="Arial"/>
                <w:color w:val="000000"/>
                <w:lang w:val="es-ES_tradnl" w:eastAsia="es-ES_tradnl"/>
              </w:rPr>
              <w:t>cada entidad está condicionada a la proporcionalidad de las decisiones que toma en aras de garantizar la pluralidad de oferentes y la selección objetiva</w:t>
            </w:r>
            <w:r w:rsidRPr="00B453EC">
              <w:rPr>
                <w:rFonts w:ascii="Verdana" w:eastAsia="Times New Roman" w:hAnsi="Verdana" w:cs="Arial"/>
                <w:lang w:eastAsia="es-ES_tradnl"/>
              </w:rPr>
              <w:t>.</w:t>
            </w:r>
          </w:p>
          <w:p w14:paraId="6A1F0BF5" w14:textId="77777777" w:rsidR="00391E3E" w:rsidRDefault="00391E3E" w:rsidP="00D2302C">
            <w:pPr>
              <w:spacing w:before="120" w:after="120" w:line="276" w:lineRule="auto"/>
              <w:ind w:firstLine="709"/>
              <w:jc w:val="both"/>
              <w:rPr>
                <w:rFonts w:ascii="Verdana" w:hAnsi="Verdana" w:cs="Arial"/>
                <w:bCs/>
                <w:lang w:eastAsia="es-ES" w:bidi="es-ES"/>
              </w:rPr>
            </w:pPr>
            <w:r>
              <w:rPr>
                <w:rFonts w:ascii="Verdana" w:hAnsi="Verdana" w:cs="Arial"/>
                <w:bCs/>
                <w:lang w:eastAsia="es-ES" w:bidi="es-ES"/>
              </w:rPr>
              <w:t xml:space="preserve">En esa orientación, el Consejo de Estado ha cuestionado la exigencia de ciertos requisitos habilitantes en los procesos de contratación para determinar la idoneidad técnica del contratista, como es la exigencia de tener el domicilio, en el municipio que se prestara el servicio, justificado en la necesidad de atender las eventualidades en la prestación de las rutas escolares, lo cual no se considera justificado. En esta perspectiva, las entidades estatales no pueden establecer condiciones o requisitos habilitantes en los pliegos de condiciones o en sus equivalentes, como es el caso de la invitación pública, que no sean proporcionales y justificables, teniendo en cuenta la naturaleza, valor y alcance del proceso de contratación. </w:t>
            </w:r>
          </w:p>
          <w:p w14:paraId="441AA9D8" w14:textId="77777777" w:rsidR="00391E3E" w:rsidRDefault="00391E3E" w:rsidP="00D2302C">
            <w:pPr>
              <w:spacing w:before="120" w:after="120" w:line="276" w:lineRule="auto"/>
              <w:ind w:firstLine="709"/>
              <w:jc w:val="both"/>
              <w:rPr>
                <w:rFonts w:ascii="Verdana" w:hAnsi="Verdana" w:cs="Arial"/>
                <w:bCs/>
                <w:lang w:eastAsia="es-ES" w:bidi="es-ES"/>
              </w:rPr>
            </w:pPr>
            <w:r>
              <w:rPr>
                <w:rFonts w:ascii="Verdana" w:hAnsi="Verdana" w:cs="Arial"/>
                <w:bCs/>
                <w:lang w:eastAsia="es-ES" w:bidi="es-ES"/>
              </w:rPr>
              <w:t xml:space="preserve">En ese sentido, requisitos tendientes a exigir, como condición habilitante, tener domicilio o establecimientos de comercio en un determinado sitio, no se justifican </w:t>
            </w:r>
            <w:r w:rsidRPr="00A24122">
              <w:rPr>
                <w:rFonts w:ascii="Verdana" w:hAnsi="Verdana" w:cs="Arial"/>
                <w:bCs/>
                <w:i/>
                <w:iCs/>
                <w:lang w:eastAsia="es-ES" w:bidi="es-ES"/>
              </w:rPr>
              <w:t>per se</w:t>
            </w:r>
            <w:r>
              <w:rPr>
                <w:rFonts w:ascii="Verdana" w:hAnsi="Verdana" w:cs="Arial"/>
                <w:bCs/>
                <w:i/>
                <w:iCs/>
                <w:lang w:eastAsia="es-ES" w:bidi="es-ES"/>
              </w:rPr>
              <w:t xml:space="preserve">, </w:t>
            </w:r>
            <w:r>
              <w:rPr>
                <w:rFonts w:ascii="Verdana" w:hAnsi="Verdana" w:cs="Arial"/>
                <w:bCs/>
                <w:lang w:eastAsia="es-ES" w:bidi="es-ES"/>
              </w:rPr>
              <w:t xml:space="preserve">pudiendo resultar en barreras artificiales a libre competencia, cuando su inclusión no está precedida de un análisis que justifique su necesidad, con base en criterios de proporcionalidad y adecuación. Ello no significa, que en la etapa de ejecución no pueda exigirse este tipo de condiciones, en los eventos, que por la naturaleza del contrato se requiera para un debido cumplimiento del objeto contractual.  </w:t>
            </w:r>
          </w:p>
          <w:p w14:paraId="4DF29644" w14:textId="77777777" w:rsidR="00391E3E" w:rsidRPr="00A33EE7" w:rsidRDefault="00391E3E" w:rsidP="00D2302C">
            <w:pPr>
              <w:spacing w:before="120" w:after="120" w:line="276" w:lineRule="auto"/>
              <w:ind w:firstLine="708"/>
              <w:jc w:val="both"/>
              <w:rPr>
                <w:rFonts w:ascii="Verdana" w:hAnsi="Verdana" w:cs="Arial"/>
                <w:bCs/>
                <w:lang w:eastAsia="es-ES" w:bidi="es-ES"/>
              </w:rPr>
            </w:pPr>
            <w:r w:rsidRPr="00BD787A">
              <w:rPr>
                <w:rFonts w:ascii="Verdana" w:hAnsi="Verdana" w:cs="Arial"/>
                <w:bCs/>
                <w:lang w:val="es-ES_tradnl" w:eastAsia="es-ES" w:bidi="es-ES"/>
              </w:rPr>
              <w:t xml:space="preserve">En todo caso, las entidades </w:t>
            </w:r>
            <w:r w:rsidRPr="00BD787A">
              <w:rPr>
                <w:rFonts w:ascii="Verdana" w:hAnsi="Verdana" w:cs="Arial"/>
                <w:bCs/>
                <w:color w:val="000000" w:themeColor="text1"/>
              </w:rPr>
              <w:t>son autónomas en la estructuración de sus procedimientos contractuales, por lo cual en sus pliegos de condiciones o en los documentos que hagan sus veces, como son las invitaciones públicas en la mínima cuantía deben establecer los requisitos habilitantes, con la</w:t>
            </w:r>
            <w:r w:rsidRPr="00BD787A" w:rsidDel="0019679C">
              <w:rPr>
                <w:rFonts w:ascii="Verdana" w:hAnsi="Verdana" w:cs="Arial"/>
                <w:bCs/>
                <w:color w:val="000000" w:themeColor="text1"/>
              </w:rPr>
              <w:t xml:space="preserve"> </w:t>
            </w:r>
            <w:r w:rsidRPr="00BD787A">
              <w:rPr>
                <w:rFonts w:ascii="Verdana" w:hAnsi="Verdana" w:cs="Arial"/>
                <w:bCs/>
                <w:color w:val="000000" w:themeColor="text1"/>
              </w:rPr>
              <w:t>condición de que sean proporcionales y conducentes para el respectivo proceso de selección, para así garantizar la pluralidad de oferentes y la participación en el respectivo proceso.</w:t>
            </w:r>
          </w:p>
        </w:tc>
      </w:tr>
    </w:tbl>
    <w:p w14:paraId="128B812F" w14:textId="77777777" w:rsidR="00391E3E" w:rsidRPr="00185EE9" w:rsidRDefault="00391E3E" w:rsidP="00391E3E">
      <w:pPr>
        <w:tabs>
          <w:tab w:val="left" w:pos="567"/>
        </w:tabs>
        <w:spacing w:after="120" w:line="276" w:lineRule="auto"/>
        <w:jc w:val="both"/>
        <w:rPr>
          <w:rFonts w:ascii="Verdana" w:eastAsia="Calibri" w:hAnsi="Verdana" w:cs="Arial"/>
          <w:bCs/>
          <w:color w:val="000000" w:themeColor="text1"/>
        </w:rPr>
      </w:pPr>
    </w:p>
    <w:p w14:paraId="0CE79329" w14:textId="77777777" w:rsidR="00391E3E" w:rsidRPr="00185EE9" w:rsidRDefault="00391E3E" w:rsidP="00391E3E">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Razones de la respuesta:</w:t>
      </w:r>
    </w:p>
    <w:p w14:paraId="2B055061" w14:textId="77777777" w:rsidR="00391E3E" w:rsidRPr="00185EE9" w:rsidRDefault="00391E3E" w:rsidP="00391E3E">
      <w:pPr>
        <w:spacing w:after="0" w:line="256" w:lineRule="auto"/>
        <w:rPr>
          <w:rFonts w:ascii="Verdana" w:eastAsia="Calibri" w:hAnsi="Verdana" w:cs="Times New Roman"/>
          <w:b/>
          <w:bCs/>
          <w:lang w:val="es-ES"/>
        </w:rPr>
      </w:pPr>
    </w:p>
    <w:p w14:paraId="05E973D5" w14:textId="77777777" w:rsidR="00391E3E" w:rsidRDefault="00391E3E" w:rsidP="00391E3E">
      <w:pPr>
        <w:spacing w:after="0" w:line="276" w:lineRule="auto"/>
        <w:jc w:val="both"/>
        <w:rPr>
          <w:rFonts w:ascii="Verdana" w:eastAsia="Calibri" w:hAnsi="Verdana" w:cs="Arial"/>
          <w:lang w:val="es-ES"/>
        </w:rPr>
      </w:pPr>
      <w:r w:rsidRPr="00185EE9">
        <w:rPr>
          <w:rFonts w:ascii="Verdana" w:eastAsia="Calibri" w:hAnsi="Verdana" w:cs="Arial"/>
          <w:lang w:val="es-ES"/>
        </w:rPr>
        <w:t xml:space="preserve">Lo anterior se sustenta en </w:t>
      </w:r>
      <w:r>
        <w:rPr>
          <w:rFonts w:ascii="Verdana" w:eastAsia="Calibri" w:hAnsi="Verdana" w:cs="Arial"/>
          <w:lang w:val="es-ES"/>
        </w:rPr>
        <w:t>las siguientes consideraciones:</w:t>
      </w:r>
    </w:p>
    <w:p w14:paraId="680D56A4" w14:textId="77777777" w:rsidR="00391E3E" w:rsidRPr="00EE13B9" w:rsidRDefault="00391E3E" w:rsidP="00391E3E">
      <w:pPr>
        <w:spacing w:after="0" w:line="276" w:lineRule="auto"/>
        <w:jc w:val="both"/>
        <w:rPr>
          <w:rFonts w:ascii="Verdana" w:eastAsia="Calibri" w:hAnsi="Verdana" w:cs="Arial"/>
          <w:lang w:val="es-ES"/>
        </w:rPr>
      </w:pPr>
    </w:p>
    <w:p w14:paraId="62C1CE7B" w14:textId="77777777" w:rsidR="00391E3E" w:rsidRPr="0030549B" w:rsidRDefault="00391E3E" w:rsidP="00391E3E">
      <w:pPr>
        <w:spacing w:after="120" w:line="276" w:lineRule="auto"/>
        <w:jc w:val="both"/>
        <w:rPr>
          <w:rFonts w:ascii="Verdana" w:eastAsia="Calibri" w:hAnsi="Verdana" w:cs="Arial"/>
          <w:lang w:val="es-ES_tradnl"/>
        </w:rPr>
      </w:pPr>
      <w:bookmarkStart w:id="1" w:name="_Hlk100131579"/>
      <w:r w:rsidRPr="0030549B">
        <w:rPr>
          <w:rFonts w:ascii="Verdana" w:eastAsia="Calibri" w:hAnsi="Verdana" w:cs="Arial"/>
          <w:lang w:val="es-ES_tradnl"/>
        </w:rPr>
        <w:lastRenderedPageBreak/>
        <w:t>i. 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30549B">
        <w:rPr>
          <w:rFonts w:ascii="Verdana" w:eastAsia="Calibri" w:hAnsi="Verdana" w:cs="Arial"/>
          <w:vertAlign w:val="superscript"/>
          <w:lang w:val="es-ES_tradnl"/>
        </w:rPr>
        <w:footnoteReference w:id="2"/>
      </w:r>
      <w:r w:rsidRPr="0030549B">
        <w:rPr>
          <w:rFonts w:ascii="Verdana" w:eastAsia="Calibri" w:hAnsi="Verdana" w:cs="Arial"/>
          <w:lang w:val="es-ES_tradnl"/>
        </w:rPr>
        <w:t>.</w:t>
      </w:r>
    </w:p>
    <w:bookmarkEnd w:id="1"/>
    <w:p w14:paraId="401B3D05" w14:textId="77777777" w:rsidR="00391E3E" w:rsidRPr="0030549B" w:rsidRDefault="00391E3E" w:rsidP="00391E3E">
      <w:pPr>
        <w:tabs>
          <w:tab w:val="left" w:pos="709"/>
        </w:tabs>
        <w:spacing w:after="120" w:line="276" w:lineRule="auto"/>
        <w:ind w:firstLine="709"/>
        <w:jc w:val="both"/>
        <w:rPr>
          <w:rFonts w:ascii="Verdana" w:eastAsia="Calibri" w:hAnsi="Verdana" w:cs="Arial"/>
          <w:lang w:val="es-ES_tradnl"/>
        </w:rPr>
      </w:pPr>
      <w:r w:rsidRPr="0030549B">
        <w:rPr>
          <w:rFonts w:ascii="Verdana" w:eastAsia="Calibri" w:hAnsi="Verdana" w:cs="Arial"/>
          <w:lang w:val="es-ES_tradnl"/>
        </w:rPr>
        <w:t>Dicho de otro modo, la mínima cuantía es un procedimiento de selección “especial”</w:t>
      </w:r>
      <w:r w:rsidRPr="0030549B">
        <w:rPr>
          <w:rFonts w:ascii="Verdana" w:eastAsia="Calibri" w:hAnsi="Verdana" w:cs="Arial"/>
          <w:vertAlign w:val="superscript"/>
          <w:lang w:val="es-ES_tradnl"/>
        </w:rPr>
        <w:footnoteReference w:id="3"/>
      </w:r>
      <w:r w:rsidRPr="0030549B">
        <w:rPr>
          <w:rFonts w:ascii="Verdana" w:eastAsia="Calibri" w:hAnsi="Verdana" w:cs="Arial"/>
          <w:lang w:val="es-ES_tradnl"/>
        </w:rPr>
        <w:t>,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conducencia y su procedimiento: lo primero, porque solo procede por razón de una cuantía específica</w:t>
      </w:r>
      <w:r w:rsidRPr="0030549B">
        <w:rPr>
          <w:rFonts w:ascii="Verdana" w:eastAsia="Calibri" w:hAnsi="Verdana" w:cs="Arial"/>
          <w:vertAlign w:val="superscript"/>
          <w:lang w:val="es-ES_tradnl"/>
        </w:rPr>
        <w:footnoteReference w:id="4"/>
      </w:r>
      <w:r w:rsidRPr="0030549B">
        <w:rPr>
          <w:rFonts w:ascii="Verdana" w:eastAsia="Calibri" w:hAnsi="Verdana" w:cs="Arial"/>
          <w:lang w:val="es-ES_tradnl"/>
        </w:rPr>
        <w:t>, y lo segundo, porque sus requisitos, etapas y términos son especiales.</w:t>
      </w:r>
    </w:p>
    <w:p w14:paraId="7000B7B7" w14:textId="77777777" w:rsidR="00391E3E" w:rsidRPr="0030549B" w:rsidRDefault="00391E3E" w:rsidP="00391E3E">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30549B">
        <w:rPr>
          <w:rFonts w:ascii="Verdana" w:eastAsia="Calibri" w:hAnsi="Verdana" w:cs="Arial"/>
          <w:color w:val="000000" w:themeColor="text1"/>
          <w:lang w:val="es-ES"/>
        </w:rPr>
        <w:t>ii</w:t>
      </w:r>
      <w:proofErr w:type="spellEnd"/>
      <w:r w:rsidRPr="0030549B">
        <w:rPr>
          <w:rFonts w:ascii="Verdana" w:eastAsia="Calibri" w:hAnsi="Verdana" w:cs="Arial"/>
          <w:color w:val="000000" w:themeColor="text1"/>
          <w:lang w:val="es-ES"/>
        </w:rPr>
        <w:t xml:space="preserve">) el plazo mínimo de recepción de las ofertas, </w:t>
      </w:r>
      <w:proofErr w:type="spellStart"/>
      <w:r w:rsidRPr="0030549B">
        <w:rPr>
          <w:rFonts w:ascii="Verdana" w:eastAsia="Calibri" w:hAnsi="Verdana" w:cs="Arial"/>
          <w:color w:val="000000" w:themeColor="text1"/>
          <w:lang w:val="es-ES"/>
        </w:rPr>
        <w:t>iii</w:t>
      </w:r>
      <w:proofErr w:type="spellEnd"/>
      <w:r w:rsidRPr="0030549B">
        <w:rPr>
          <w:rFonts w:ascii="Verdana" w:eastAsia="Calibri" w:hAnsi="Verdana" w:cs="Arial"/>
          <w:color w:val="000000" w:themeColor="text1"/>
          <w:lang w:val="es-ES"/>
        </w:rPr>
        <w:t xml:space="preserve">) el factor </w:t>
      </w:r>
      <w:r w:rsidRPr="0030549B">
        <w:rPr>
          <w:rFonts w:ascii="Verdana" w:eastAsia="Calibri" w:hAnsi="Verdana" w:cs="Arial"/>
          <w:color w:val="000000" w:themeColor="text1"/>
          <w:lang w:val="es-ES"/>
        </w:rPr>
        <w:lastRenderedPageBreak/>
        <w:t xml:space="preserve">de evaluación que define la selección del proponente y </w:t>
      </w: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el perfeccionamiento del contrato.</w:t>
      </w:r>
    </w:p>
    <w:p w14:paraId="6694CB95" w14:textId="77777777" w:rsidR="00391E3E" w:rsidRPr="0030549B" w:rsidRDefault="00391E3E" w:rsidP="00391E3E">
      <w:pPr>
        <w:tabs>
          <w:tab w:val="left" w:pos="709"/>
        </w:tabs>
        <w:spacing w:after="120" w:line="276" w:lineRule="auto"/>
        <w:ind w:firstLine="709"/>
        <w:jc w:val="both"/>
        <w:rPr>
          <w:rFonts w:ascii="Verdana" w:eastAsia="Calibri" w:hAnsi="Verdana" w:cs="Arial"/>
          <w:color w:val="000000" w:themeColor="text1"/>
          <w:lang w:val="es-ES"/>
        </w:rPr>
      </w:pPr>
      <w:r w:rsidRPr="0030549B">
        <w:rPr>
          <w:rFonts w:ascii="Verdana" w:eastAsia="Calibri" w:hAnsi="Verdana" w:cs="Arial"/>
          <w:color w:val="000000" w:themeColor="text1"/>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755306BE" w14:textId="77777777" w:rsidR="00391E3E" w:rsidRPr="0030549B" w:rsidRDefault="00391E3E" w:rsidP="00391E3E">
      <w:pPr>
        <w:tabs>
          <w:tab w:val="left" w:pos="709"/>
        </w:tabs>
        <w:spacing w:after="120" w:line="276" w:lineRule="auto"/>
        <w:jc w:val="both"/>
        <w:rPr>
          <w:rFonts w:ascii="Verdana" w:eastAsia="Calibri" w:hAnsi="Verdana" w:cs="Arial"/>
          <w:color w:val="000000" w:themeColor="text1"/>
          <w:lang w:val="es-ES"/>
        </w:rPr>
      </w:pPr>
      <w:r w:rsidRPr="0030549B">
        <w:rPr>
          <w:rFonts w:ascii="Verdana" w:eastAsia="Calibri" w:hAnsi="Verdana" w:cs="Arial"/>
          <w:bCs/>
          <w:color w:val="000000" w:themeColor="text1"/>
          <w:lang w:val="es-ES_tradnl"/>
        </w:rPr>
        <w:tab/>
      </w:r>
      <w:r w:rsidRPr="0030549B">
        <w:rPr>
          <w:rFonts w:ascii="Verdana" w:eastAsia="Calibri" w:hAnsi="Verdana" w:cs="Arial"/>
          <w:color w:val="000000" w:themeColor="text1"/>
          <w:lang w:val="es-ES"/>
        </w:rPr>
        <w:t>Teniendo en cuenta lo anterior, la nueva Subsección 5 a que se hizo referencia contiene los siguientes artículos: i) 2.2.1.2.1.5.1. que se ocupa de desarrollar el contenido de los estudios previos para la contratación de mínima cuantía</w:t>
      </w:r>
      <w:r w:rsidRPr="0030549B">
        <w:rPr>
          <w:rFonts w:ascii="Verdana" w:eastAsia="Calibri" w:hAnsi="Verdana" w:cs="Arial"/>
          <w:color w:val="000000" w:themeColor="text1"/>
          <w:vertAlign w:val="superscript"/>
          <w:lang w:val="es-ES"/>
        </w:rPr>
        <w:footnoteReference w:id="5"/>
      </w:r>
      <w:r w:rsidRPr="0030549B">
        <w:rPr>
          <w:rFonts w:ascii="Verdana" w:eastAsia="Calibri" w:hAnsi="Verdana" w:cs="Arial"/>
          <w:color w:val="000000" w:themeColor="text1"/>
          <w:lang w:val="es-ES"/>
        </w:rPr>
        <w:t xml:space="preserve">. </w:t>
      </w:r>
      <w:proofErr w:type="spellStart"/>
      <w:r w:rsidRPr="0030549B">
        <w:rPr>
          <w:rFonts w:ascii="Verdana" w:eastAsia="Calibri" w:hAnsi="Verdana" w:cs="Arial"/>
          <w:color w:val="000000" w:themeColor="text1"/>
          <w:lang w:val="es-ES"/>
        </w:rPr>
        <w:t>ii</w:t>
      </w:r>
      <w:proofErr w:type="spellEnd"/>
      <w:r w:rsidRPr="0030549B">
        <w:rPr>
          <w:rFonts w:ascii="Verdana" w:eastAsia="Calibri" w:hAnsi="Verdana" w:cs="Arial"/>
          <w:color w:val="000000" w:themeColor="text1"/>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30549B">
        <w:rPr>
          <w:rFonts w:ascii="Verdana" w:eastAsia="Calibri" w:hAnsi="Verdana" w:cs="Arial"/>
          <w:color w:val="000000" w:themeColor="text1"/>
          <w:lang w:val="es-ES"/>
        </w:rPr>
        <w:t>mipymes</w:t>
      </w:r>
      <w:proofErr w:type="spellEnd"/>
      <w:r w:rsidRPr="0030549B">
        <w:rPr>
          <w:rFonts w:ascii="Verdana" w:eastAsia="Calibri" w:hAnsi="Verdana" w:cs="Arial"/>
          <w:color w:val="000000" w:themeColor="text1"/>
          <w:lang w:val="es-ES"/>
        </w:rPr>
        <w:t>, de acuerdo con el mandato del parágrafo 1 del artículo 30 de la Ley 2069 de 2020</w:t>
      </w:r>
      <w:r w:rsidRPr="0030549B">
        <w:rPr>
          <w:rFonts w:ascii="Verdana" w:eastAsia="Calibri" w:hAnsi="Verdana" w:cs="Arial"/>
          <w:color w:val="000000" w:themeColor="text1"/>
          <w:vertAlign w:val="superscript"/>
          <w:lang w:val="es-ES"/>
        </w:rPr>
        <w:footnoteReference w:id="6"/>
      </w:r>
      <w:r w:rsidRPr="0030549B">
        <w:rPr>
          <w:rFonts w:ascii="Verdana" w:eastAsia="Calibri" w:hAnsi="Verdana" w:cs="Arial"/>
          <w:color w:val="000000" w:themeColor="text1"/>
          <w:lang w:val="es-ES"/>
        </w:rPr>
        <w:t xml:space="preserve">. </w:t>
      </w:r>
      <w:proofErr w:type="spellStart"/>
      <w:r w:rsidRPr="0030549B">
        <w:rPr>
          <w:rFonts w:ascii="Verdana" w:eastAsia="Calibri" w:hAnsi="Verdana" w:cs="Arial"/>
          <w:color w:val="000000" w:themeColor="text1"/>
          <w:lang w:val="es-ES"/>
        </w:rPr>
        <w:t>iii</w:t>
      </w:r>
      <w:proofErr w:type="spellEnd"/>
      <w:r w:rsidRPr="0030549B">
        <w:rPr>
          <w:rFonts w:ascii="Verdana" w:eastAsia="Calibri" w:hAnsi="Verdana" w:cs="Arial"/>
          <w:color w:val="000000" w:themeColor="text1"/>
          <w:lang w:val="es-ES"/>
        </w:rPr>
        <w:t xml:space="preserve">) 2.2.1.2.1.5.3. que regula un procedimiento especial para las adquisiciones en grandes almacenes cuando se trate de mínima cuantía. </w:t>
      </w: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xml:space="preserve">)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30549B">
        <w:rPr>
          <w:rFonts w:ascii="Verdana" w:eastAsia="Calibri" w:hAnsi="Verdana" w:cs="Arial"/>
          <w:color w:val="000000" w:themeColor="text1"/>
          <w:lang w:val="es-ES"/>
        </w:rPr>
        <w:t>Mipyme</w:t>
      </w:r>
      <w:proofErr w:type="spellEnd"/>
      <w:r w:rsidRPr="0030549B">
        <w:rPr>
          <w:rFonts w:ascii="Verdana" w:eastAsia="Calibri" w:hAnsi="Verdana" w:cs="Arial"/>
          <w:color w:val="000000" w:themeColor="text1"/>
          <w:lang w:val="es-ES"/>
        </w:rPr>
        <w:t xml:space="preserve"> </w:t>
      </w:r>
      <w:r w:rsidRPr="0030549B">
        <w:rPr>
          <w:rFonts w:ascii="Verdana" w:eastAsia="Calibri" w:hAnsi="Verdana" w:cs="Arial"/>
          <w:color w:val="000000" w:themeColor="text1"/>
          <w:lang w:val="es-ES"/>
        </w:rPr>
        <w:lastRenderedPageBreak/>
        <w:t>y con grandes almacenes. Y v) 2.2.1.2.1.5.5. el cual establece que la entidad estatal es libre de exigir o no garantías en el proceso de selección de mínima cuantía y en la adquisición de “grandes almacenes”.</w:t>
      </w:r>
    </w:p>
    <w:p w14:paraId="0D368B48" w14:textId="77777777" w:rsidR="00391E3E" w:rsidRPr="0030549B" w:rsidRDefault="00391E3E" w:rsidP="00391E3E">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0089FE22" w14:textId="77777777" w:rsidR="00391E3E" w:rsidRPr="0030549B" w:rsidRDefault="00391E3E" w:rsidP="00391E3E">
      <w:pPr>
        <w:tabs>
          <w:tab w:val="left" w:pos="709"/>
        </w:tabs>
        <w:spacing w:after="120" w:line="276" w:lineRule="auto"/>
        <w:jc w:val="both"/>
        <w:rPr>
          <w:rFonts w:ascii="Verdana" w:eastAsia="Calibri" w:hAnsi="Verdana" w:cs="Arial"/>
          <w:color w:val="000000" w:themeColor="text1"/>
          <w:lang w:val="es-ES_tradnl"/>
        </w:rPr>
      </w:pPr>
      <w:r w:rsidRPr="0030549B">
        <w:rPr>
          <w:rFonts w:ascii="Verdana" w:eastAsia="Calibri" w:hAnsi="Verdana" w:cs="Arial"/>
          <w:color w:val="000000" w:themeColor="text1"/>
          <w:lang w:val="es-ES_tradnl"/>
        </w:rPr>
        <w:tab/>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48E721F0" w14:textId="77777777" w:rsidR="00391E3E" w:rsidRPr="0030549B" w:rsidRDefault="00391E3E" w:rsidP="00391E3E">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660DC7E2" w14:textId="77777777" w:rsidR="00391E3E" w:rsidRPr="0030549B" w:rsidRDefault="00391E3E" w:rsidP="00391E3E">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lang w:val="es-ES"/>
        </w:rPr>
        <w:t>ii</w:t>
      </w:r>
      <w:proofErr w:type="spellEnd"/>
      <w:r w:rsidRPr="0030549B">
        <w:rPr>
          <w:rFonts w:ascii="Verdana" w:eastAsia="Calibri" w:hAnsi="Verdana" w:cs="Arial"/>
          <w:color w:val="000000"/>
          <w:lang w:val="es-ES"/>
        </w:rPr>
        <w:t>)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30549B">
        <w:rPr>
          <w:rFonts w:ascii="Verdana" w:eastAsia="Calibri" w:hAnsi="Verdana" w:cs="Arial"/>
          <w:color w:val="000000"/>
          <w:vertAlign w:val="superscript"/>
          <w:lang w:val="es-ES"/>
        </w:rPr>
        <w:footnoteReference w:id="7"/>
      </w:r>
      <w:r w:rsidRPr="0030549B">
        <w:rPr>
          <w:rFonts w:ascii="Verdana" w:eastAsia="Calibri" w:hAnsi="Verdana" w:cs="Arial"/>
          <w:color w:val="000000"/>
          <w:lang w:val="es-ES"/>
        </w:rPr>
        <w:t>.</w:t>
      </w:r>
    </w:p>
    <w:p w14:paraId="39BA0A49" w14:textId="77777777" w:rsidR="00391E3E" w:rsidRPr="0030549B" w:rsidRDefault="00391E3E" w:rsidP="00391E3E">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iii</w:t>
      </w:r>
      <w:proofErr w:type="spellEnd"/>
      <w:r w:rsidRPr="0030549B">
        <w:rPr>
          <w:rFonts w:ascii="Verdana" w:eastAsia="Calibri" w:hAnsi="Verdana" w:cs="Arial"/>
          <w:color w:val="000000" w:themeColor="text1"/>
          <w:lang w:val="es-ES"/>
        </w:rPr>
        <w:t>) La invitación se debe hacer por un término no inferior a un (1) día hábil.</w:t>
      </w:r>
    </w:p>
    <w:p w14:paraId="31295C8D" w14:textId="77777777" w:rsidR="00391E3E" w:rsidRPr="0030549B" w:rsidRDefault="00391E3E" w:rsidP="00391E3E">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iv</w:t>
      </w:r>
      <w:proofErr w:type="spellEnd"/>
      <w:r w:rsidRPr="0030549B">
        <w:rPr>
          <w:rFonts w:ascii="Verdana" w:eastAsia="Calibri" w:hAnsi="Verdana" w:cs="Arial"/>
          <w:color w:val="000000" w:themeColor="text1"/>
          <w:lang w:val="es-ES"/>
        </w:rPr>
        <w:t>) Las observaciones que presenten los interesados a la invitación deben responderse a más tardar antes del vencimiento del término para presentar las ofertas.</w:t>
      </w:r>
    </w:p>
    <w:p w14:paraId="1AD05262" w14:textId="77777777" w:rsidR="00391E3E" w:rsidRPr="0030549B" w:rsidRDefault="00391E3E" w:rsidP="00391E3E">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 xml:space="preserve">v) Presentadas las propuestas, la entidad estatal debe revisar las ofertas económicas y verificar que la del menor precio cumpla los requisitos de </w:t>
      </w:r>
      <w:r w:rsidRPr="0030549B">
        <w:rPr>
          <w:rFonts w:ascii="Verdana" w:eastAsia="Calibri" w:hAnsi="Verdana" w:cs="Arial"/>
          <w:color w:val="000000"/>
          <w:lang w:val="es-ES_tradnl"/>
        </w:rPr>
        <w:lastRenderedPageBreak/>
        <w:t>participación. Si no los satisface debe revisar la oferta económica inmediatamente inferior, y así sucesivamente. Esto significa que en la mínima cuantía el precio es el único factor de calificación</w:t>
      </w:r>
      <w:r w:rsidRPr="0030549B">
        <w:rPr>
          <w:rFonts w:ascii="Verdana" w:eastAsia="Calibri" w:hAnsi="Verdana" w:cs="Arial"/>
          <w:color w:val="000000"/>
          <w:vertAlign w:val="superscript"/>
          <w:lang w:val="es-ES_tradnl"/>
        </w:rPr>
        <w:footnoteReference w:id="8"/>
      </w:r>
      <w:r w:rsidRPr="0030549B">
        <w:rPr>
          <w:rFonts w:ascii="Verdana" w:eastAsia="Calibri" w:hAnsi="Verdana" w:cs="Arial"/>
          <w:color w:val="000000"/>
          <w:lang w:val="es-ES_tradnl"/>
        </w:rPr>
        <w:t>.</w:t>
      </w:r>
    </w:p>
    <w:p w14:paraId="44F5462E" w14:textId="77777777" w:rsidR="00391E3E" w:rsidRPr="0030549B" w:rsidRDefault="00391E3E" w:rsidP="00391E3E">
      <w:pPr>
        <w:spacing w:after="120" w:line="276" w:lineRule="auto"/>
        <w:ind w:firstLine="709"/>
        <w:jc w:val="both"/>
        <w:rPr>
          <w:rFonts w:ascii="Verdana" w:eastAsia="Calibri" w:hAnsi="Verdana" w:cs="Arial"/>
          <w:color w:val="000000"/>
          <w:lang w:val="es-ES_tradnl"/>
        </w:rPr>
      </w:pPr>
      <w:r w:rsidRPr="0030549B">
        <w:rPr>
          <w:rFonts w:ascii="Verdana" w:eastAsia="Calibri" w:hAnsi="Verdana" w:cs="Arial"/>
          <w:color w:val="000000"/>
          <w:lang w:val="es-ES_tradnl"/>
        </w:rPr>
        <w:t>vi) El informe de evaluación se debe publicar por lo menos un (1) día hábil.</w:t>
      </w:r>
    </w:p>
    <w:p w14:paraId="10921E9E" w14:textId="77777777" w:rsidR="00391E3E" w:rsidRPr="0030549B" w:rsidRDefault="00391E3E" w:rsidP="00391E3E">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vii</w:t>
      </w:r>
      <w:proofErr w:type="spellEnd"/>
      <w:r w:rsidRPr="0030549B">
        <w:rPr>
          <w:rFonts w:ascii="Verdana" w:eastAsia="Calibri" w:hAnsi="Verdana" w:cs="Arial"/>
          <w:color w:val="000000" w:themeColor="text1"/>
          <w:lang w:val="es-ES"/>
        </w:rPr>
        <w:t xml:space="preserve">) </w:t>
      </w:r>
      <w:bookmarkStart w:id="2" w:name="_Hlk134700391"/>
      <w:r w:rsidRPr="0030549B">
        <w:rPr>
          <w:rFonts w:ascii="Verdana" w:eastAsia="Calibri" w:hAnsi="Verdana" w:cs="Arial"/>
          <w:color w:val="000000" w:themeColor="text1"/>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2"/>
    <w:p w14:paraId="50AD46F3" w14:textId="77777777" w:rsidR="00391E3E" w:rsidRPr="0030549B" w:rsidRDefault="00391E3E" w:rsidP="00391E3E">
      <w:pPr>
        <w:spacing w:after="120" w:line="276" w:lineRule="auto"/>
        <w:ind w:firstLine="709"/>
        <w:jc w:val="both"/>
        <w:rPr>
          <w:rFonts w:ascii="Verdana" w:eastAsia="Calibri" w:hAnsi="Verdana" w:cs="Arial"/>
          <w:color w:val="000000"/>
          <w:lang w:val="es-ES"/>
        </w:rPr>
      </w:pPr>
      <w:proofErr w:type="spellStart"/>
      <w:r w:rsidRPr="0030549B">
        <w:rPr>
          <w:rFonts w:ascii="Verdana" w:eastAsia="Calibri" w:hAnsi="Verdana" w:cs="Arial"/>
          <w:color w:val="000000" w:themeColor="text1"/>
          <w:lang w:val="es-ES"/>
        </w:rPr>
        <w:t>viii</w:t>
      </w:r>
      <w:proofErr w:type="spellEnd"/>
      <w:r w:rsidRPr="0030549B">
        <w:rPr>
          <w:rFonts w:ascii="Verdana" w:eastAsia="Calibri" w:hAnsi="Verdana" w:cs="Arial"/>
          <w:color w:val="000000" w:themeColor="text1"/>
          <w:lang w:val="es-ES"/>
        </w:rPr>
        <w:t xml:space="preserve">) De existir empate debe </w:t>
      </w:r>
      <w:r>
        <w:rPr>
          <w:rFonts w:ascii="Verdana" w:eastAsia="Calibri" w:hAnsi="Verdana" w:cs="Arial"/>
          <w:color w:val="000000" w:themeColor="text1"/>
          <w:lang w:val="es-ES"/>
        </w:rPr>
        <w:t xml:space="preserve">tenerse en cuenta lo dispuesto en el artículo 35 de la Ley 2069 de 2020. </w:t>
      </w:r>
    </w:p>
    <w:p w14:paraId="2287B0EB" w14:textId="77777777" w:rsidR="00391E3E" w:rsidRPr="0030549B" w:rsidRDefault="00391E3E" w:rsidP="00391E3E">
      <w:pPr>
        <w:tabs>
          <w:tab w:val="left" w:pos="709"/>
        </w:tabs>
        <w:spacing w:after="120" w:line="276" w:lineRule="auto"/>
        <w:jc w:val="both"/>
        <w:rPr>
          <w:rFonts w:ascii="Verdana" w:eastAsia="Calibri" w:hAnsi="Verdana" w:cs="Arial"/>
          <w:bCs/>
          <w:color w:val="000000" w:themeColor="text1"/>
          <w:lang w:val="es-ES_tradnl"/>
        </w:rPr>
      </w:pPr>
      <w:r w:rsidRPr="0030549B">
        <w:rPr>
          <w:rFonts w:ascii="Verdana" w:eastAsia="Calibri" w:hAnsi="Verdana" w:cs="Arial"/>
          <w:bCs/>
          <w:color w:val="000000" w:themeColor="text1"/>
          <w:lang w:val="es-ES_tradnl"/>
        </w:rPr>
        <w:tab/>
        <w:t xml:space="preserve">De conformidad con lo expuesto, y con fundamento en lo previsto en el numeral 9 del artículo 2.2.1.2.1.5.2. del Decreto 1082 del 2015 según el cual “la oferta y su aceptación constituyen el contrato estatal”, es claro que la comunicación de la aceptación de la oferta por parte de la entidad al proponente perfecciona los requisitos de existencia del contrato. </w:t>
      </w:r>
      <w:r w:rsidRPr="0030549B">
        <w:rPr>
          <w:rFonts w:ascii="Verdana" w:eastAsia="Calibri" w:hAnsi="Verdana" w:cs="Arial"/>
          <w:bCs/>
          <w:color w:val="000000" w:themeColor="text1"/>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30549B">
        <w:rPr>
          <w:rFonts w:ascii="Verdana" w:eastAsia="Calibri" w:hAnsi="Verdana" w:cs="Arial"/>
          <w:bCs/>
          <w:i/>
          <w:iCs/>
          <w:color w:val="000000" w:themeColor="text1"/>
        </w:rPr>
        <w:t>onstituye para todos los efectos el contrato celebrado</w:t>
      </w:r>
      <w:r w:rsidRPr="0030549B">
        <w:rPr>
          <w:rFonts w:ascii="Verdana" w:eastAsia="Calibri" w:hAnsi="Verdana" w:cs="Arial"/>
          <w:bCs/>
          <w:color w:val="000000" w:themeColor="text1"/>
        </w:rPr>
        <w:t>, con base en lo cual se efectuará el respectivo registro presupuestal". Esto implica que, en este tipo de procedimientos, el contrato se entiende perfeccionado en el momento en que se produce dicha comunicación, sin necesidad de cumplir con requisitos adicionales.</w:t>
      </w:r>
    </w:p>
    <w:p w14:paraId="4A9AFCA4" w14:textId="77777777" w:rsidR="00391E3E" w:rsidRPr="0030549B" w:rsidRDefault="00391E3E" w:rsidP="00391E3E">
      <w:pPr>
        <w:tabs>
          <w:tab w:val="left" w:pos="709"/>
        </w:tabs>
        <w:spacing w:after="120" w:line="276" w:lineRule="auto"/>
        <w:ind w:firstLine="709"/>
        <w:jc w:val="both"/>
        <w:rPr>
          <w:rFonts w:ascii="Verdana" w:eastAsia="Calibri" w:hAnsi="Verdana" w:cs="Arial"/>
          <w:bCs/>
          <w:color w:val="000000" w:themeColor="text1"/>
          <w:lang w:val="es-ES_tradnl"/>
        </w:rPr>
      </w:pPr>
      <w:r w:rsidRPr="0030549B">
        <w:rPr>
          <w:rFonts w:ascii="Verdana" w:eastAsia="Calibri" w:hAnsi="Verdana" w:cs="Arial"/>
          <w:bCs/>
          <w:color w:val="000000"/>
          <w:lang w:val="es-ES"/>
        </w:rPr>
        <w:t xml:space="preserve">En este sentido, el legislador estableció que en los procesos de mínima cuantía no habría un </w:t>
      </w:r>
      <w:r w:rsidRPr="0030549B">
        <w:rPr>
          <w:rFonts w:ascii="Verdana" w:eastAsia="Calibri" w:hAnsi="Verdana" w:cs="Arial"/>
          <w:bCs/>
          <w:i/>
          <w:color w:val="000000"/>
          <w:lang w:val="es-ES"/>
        </w:rPr>
        <w:t>“acto de adjudicación”</w:t>
      </w:r>
      <w:r w:rsidRPr="0030549B">
        <w:rPr>
          <w:rFonts w:ascii="Verdana" w:eastAsia="Calibri" w:hAnsi="Verdana" w:cs="Arial"/>
          <w:bCs/>
          <w:color w:val="000000"/>
          <w:lang w:val="es-ES"/>
        </w:rPr>
        <w:t xml:space="preserve">, sino que en aras de la celeridad y economía que se busca con esta modalidad, la selección de la mejor oferta se realiza mediante una </w:t>
      </w:r>
      <w:r w:rsidRPr="0030549B">
        <w:rPr>
          <w:rFonts w:ascii="Verdana" w:eastAsia="Calibri" w:hAnsi="Verdana" w:cs="Arial"/>
          <w:bCs/>
          <w:i/>
          <w:color w:val="000000"/>
          <w:lang w:val="es-ES"/>
        </w:rPr>
        <w:t>“comunicación de aceptación de la oferta”</w:t>
      </w:r>
      <w:r w:rsidRPr="0030549B">
        <w:rPr>
          <w:rFonts w:ascii="Verdana" w:eastAsia="Calibri" w:hAnsi="Verdana" w:cs="Arial"/>
          <w:bCs/>
          <w:color w:val="00000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36DAEE2E" w14:textId="77777777" w:rsidR="00391E3E" w:rsidRPr="00A0298E" w:rsidRDefault="00391E3E" w:rsidP="00391E3E">
      <w:pPr>
        <w:spacing w:after="120" w:line="276" w:lineRule="auto"/>
        <w:jc w:val="both"/>
        <w:rPr>
          <w:rFonts w:ascii="Verdana" w:eastAsia="Calibri" w:hAnsi="Verdana" w:cs="Arial"/>
          <w:bCs/>
          <w:color w:val="000000" w:themeColor="text1"/>
          <w:lang w:val="es-ES_tradnl"/>
        </w:rPr>
      </w:pPr>
    </w:p>
    <w:p w14:paraId="07F022F2" w14:textId="77777777" w:rsidR="00391E3E" w:rsidRPr="00BD787A" w:rsidRDefault="00391E3E" w:rsidP="00391E3E">
      <w:pPr>
        <w:spacing w:after="120" w:line="276" w:lineRule="auto"/>
        <w:jc w:val="both"/>
        <w:rPr>
          <w:rFonts w:ascii="Verdana" w:hAnsi="Verdana" w:cs="Arial"/>
          <w:color w:val="000000" w:themeColor="text1"/>
          <w:lang w:val="es-ES_tradnl"/>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00BD787A">
        <w:rPr>
          <w:rFonts w:ascii="Verdana" w:hAnsi="Verdana" w:cs="Arial"/>
          <w:color w:val="000000" w:themeColor="text1"/>
          <w:lang w:val="es-ES_tradnl"/>
        </w:rPr>
        <w:t xml:space="preserve">Los </w:t>
      </w:r>
      <w:r w:rsidRPr="00BD787A">
        <w:rPr>
          <w:rFonts w:ascii="Verdana" w:hAnsi="Verdana" w:cs="Arial"/>
          <w:i/>
          <w:iCs/>
          <w:color w:val="000000" w:themeColor="text1"/>
          <w:lang w:val="es-ES_tradnl"/>
        </w:rPr>
        <w:t>requisitos habilitantes</w:t>
      </w:r>
      <w:r w:rsidRPr="00BD787A">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BD787A">
        <w:rPr>
          <w:rFonts w:ascii="Verdana" w:hAnsi="Verdana" w:cs="Arial"/>
          <w:i/>
          <w:iCs/>
          <w:color w:val="000000" w:themeColor="text1"/>
          <w:lang w:val="es-ES_tradnl"/>
        </w:rPr>
        <w:t>criterios de evaluación</w:t>
      </w:r>
      <w:r w:rsidRPr="00BD787A">
        <w:rPr>
          <w:rFonts w:ascii="Verdana" w:hAnsi="Verdana" w:cs="Arial"/>
          <w:color w:val="000000" w:themeColor="text1"/>
          <w:lang w:val="es-ES_tradnl"/>
        </w:rPr>
        <w:t xml:space="preserve"> –también conocidos como </w:t>
      </w:r>
      <w:r w:rsidRPr="00BD787A">
        <w:rPr>
          <w:rFonts w:ascii="Verdana" w:hAnsi="Verdana" w:cs="Arial"/>
          <w:i/>
          <w:iCs/>
          <w:color w:val="000000" w:themeColor="text1"/>
          <w:lang w:val="es-ES_tradnl"/>
        </w:rPr>
        <w:t>criterios de calificación</w:t>
      </w:r>
      <w:r w:rsidRPr="00BD787A">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2279554A" w14:textId="77777777" w:rsidR="00391E3E" w:rsidRPr="00BD787A" w:rsidRDefault="00391E3E" w:rsidP="00391E3E">
      <w:pPr>
        <w:spacing w:after="120" w:line="276" w:lineRule="auto"/>
        <w:ind w:firstLine="708"/>
        <w:jc w:val="both"/>
        <w:rPr>
          <w:rFonts w:ascii="Verdana" w:hAnsi="Verdana" w:cs="Arial"/>
          <w:color w:val="000000" w:themeColor="text1"/>
          <w:lang w:val="es-ES"/>
        </w:rPr>
      </w:pPr>
      <w:r w:rsidRPr="54A232F0">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23C9B447" w14:textId="77777777" w:rsidR="00391E3E" w:rsidRPr="00BD787A" w:rsidRDefault="00391E3E" w:rsidP="00391E3E">
      <w:pPr>
        <w:spacing w:after="120" w:line="276" w:lineRule="auto"/>
        <w:ind w:firstLine="708"/>
        <w:jc w:val="both"/>
        <w:rPr>
          <w:rFonts w:ascii="Verdana" w:hAnsi="Verdana" w:cs="Arial"/>
          <w:color w:val="000000" w:themeColor="text1"/>
          <w:lang w:val="es-ES_tradnl"/>
        </w:rPr>
      </w:pPr>
      <w:r w:rsidRPr="00BD787A">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BD787A">
        <w:rPr>
          <w:rFonts w:ascii="Verdana" w:hAnsi="Verdana" w:cs="Arial"/>
          <w:i/>
          <w:iCs/>
          <w:color w:val="000000" w:themeColor="text1"/>
          <w:lang w:val="es-ES_tradnl"/>
        </w:rPr>
        <w:t>.</w:t>
      </w:r>
      <w:r w:rsidRPr="00BD787A">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0C15CAB5" w14:textId="77777777" w:rsidR="00391E3E" w:rsidRPr="00BD787A" w:rsidRDefault="00391E3E" w:rsidP="00391E3E">
      <w:pPr>
        <w:spacing w:after="0" w:line="276" w:lineRule="auto"/>
        <w:ind w:firstLine="708"/>
        <w:jc w:val="both"/>
        <w:rPr>
          <w:rFonts w:ascii="Verdana" w:hAnsi="Verdana" w:cs="Arial"/>
          <w:color w:val="000000" w:themeColor="text1"/>
          <w:lang w:val="es-ES"/>
        </w:rPr>
      </w:pPr>
      <w:r w:rsidRPr="00BD787A">
        <w:rPr>
          <w:rFonts w:ascii="Verdana" w:hAnsi="Verdana" w:cs="Arial"/>
          <w:color w:val="000000" w:themeColor="text1"/>
          <w:lang w:val="es-ES"/>
        </w:rPr>
        <w:t xml:space="preserve">En especial, el numeral 1º del referido artículo 5 establece que en los procesos de selección de contratistas serán objeto de verificación, como requisitos habilitantes, </w:t>
      </w:r>
      <w:r w:rsidRPr="00BD787A">
        <w:rPr>
          <w:rFonts w:ascii="Verdana" w:hAnsi="Verdana" w:cs="Arial"/>
          <w:i/>
          <w:color w:val="000000" w:themeColor="text1"/>
          <w:lang w:val="es-ES"/>
        </w:rPr>
        <w:t>entre otros</w:t>
      </w:r>
      <w:r w:rsidRPr="00BD787A">
        <w:rPr>
          <w:rFonts w:ascii="Verdana" w:hAnsi="Verdana" w:cs="Arial"/>
          <w:color w:val="000000" w:themeColor="text1"/>
          <w:lang w:val="es-ES"/>
        </w:rPr>
        <w:t xml:space="preserve">, los siguientes: i) la capacidad jurídica; </w:t>
      </w:r>
      <w:proofErr w:type="spellStart"/>
      <w:r w:rsidRPr="00BD787A">
        <w:rPr>
          <w:rFonts w:ascii="Verdana" w:hAnsi="Verdana" w:cs="Arial"/>
          <w:color w:val="000000" w:themeColor="text1"/>
          <w:lang w:val="es-ES"/>
        </w:rPr>
        <w:t>ii</w:t>
      </w:r>
      <w:proofErr w:type="spellEnd"/>
      <w:r w:rsidRPr="00BD787A">
        <w:rPr>
          <w:rFonts w:ascii="Verdana" w:hAnsi="Verdana" w:cs="Arial"/>
          <w:color w:val="000000" w:themeColor="text1"/>
          <w:lang w:val="es-ES"/>
        </w:rPr>
        <w:t xml:space="preserve">) la experiencia; </w:t>
      </w:r>
      <w:proofErr w:type="spellStart"/>
      <w:r w:rsidRPr="00BD787A">
        <w:rPr>
          <w:rFonts w:ascii="Verdana" w:hAnsi="Verdana" w:cs="Arial"/>
          <w:color w:val="000000" w:themeColor="text1"/>
          <w:lang w:val="es-ES"/>
        </w:rPr>
        <w:t>iii</w:t>
      </w:r>
      <w:proofErr w:type="spellEnd"/>
      <w:r w:rsidRPr="00BD787A">
        <w:rPr>
          <w:rFonts w:ascii="Verdana" w:hAnsi="Verdana" w:cs="Arial"/>
          <w:color w:val="000000" w:themeColor="text1"/>
          <w:lang w:val="es-ES"/>
        </w:rPr>
        <w:t xml:space="preserve">) la capacidad financiera y </w:t>
      </w:r>
      <w:proofErr w:type="spellStart"/>
      <w:r w:rsidRPr="00BD787A">
        <w:rPr>
          <w:rFonts w:ascii="Verdana" w:hAnsi="Verdana" w:cs="Arial"/>
          <w:color w:val="000000" w:themeColor="text1"/>
          <w:lang w:val="es-ES"/>
        </w:rPr>
        <w:t>iv</w:t>
      </w:r>
      <w:proofErr w:type="spellEnd"/>
      <w:r w:rsidRPr="00BD787A">
        <w:rPr>
          <w:rFonts w:ascii="Verdana" w:hAnsi="Verdana" w:cs="Arial"/>
          <w:color w:val="000000" w:themeColor="text1"/>
          <w:lang w:val="es-ES"/>
        </w:rPr>
        <w:t xml:space="preserve">) la capacidad de organización. En efecto, la normativa citada prescribe lo siguiente: </w:t>
      </w:r>
    </w:p>
    <w:p w14:paraId="3B0E3D19" w14:textId="77777777" w:rsidR="00391E3E" w:rsidRPr="00BD787A" w:rsidRDefault="00391E3E" w:rsidP="00391E3E">
      <w:pPr>
        <w:spacing w:after="0" w:line="276" w:lineRule="auto"/>
        <w:ind w:firstLine="708"/>
        <w:jc w:val="both"/>
        <w:rPr>
          <w:rFonts w:ascii="Verdana" w:hAnsi="Verdana" w:cs="Arial"/>
          <w:color w:val="000000" w:themeColor="text1"/>
        </w:rPr>
      </w:pPr>
    </w:p>
    <w:p w14:paraId="2C4ABC87" w14:textId="77777777" w:rsidR="00391E3E" w:rsidRPr="00BD787A" w:rsidRDefault="00391E3E" w:rsidP="00391E3E">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i/>
          <w:color w:val="000000" w:themeColor="text1"/>
          <w:sz w:val="20"/>
          <w:szCs w:val="20"/>
          <w:lang w:val="es-ES_tradnl"/>
        </w:rPr>
        <w:t>“</w:t>
      </w:r>
      <w:r w:rsidRPr="00BD787A">
        <w:rPr>
          <w:rFonts w:ascii="Verdana" w:hAnsi="Verdana" w:cs="Arial"/>
          <w:color w:val="000000" w:themeColor="text1"/>
          <w:sz w:val="20"/>
          <w:szCs w:val="20"/>
          <w:lang w:val="es-ES_tradnl"/>
        </w:rPr>
        <w:t xml:space="preserve">Artículo 5. De la Selección Objetiva. </w:t>
      </w:r>
    </w:p>
    <w:p w14:paraId="4A2F55B8" w14:textId="77777777" w:rsidR="00391E3E" w:rsidRPr="00BD787A" w:rsidRDefault="00391E3E" w:rsidP="00391E3E">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color w:val="000000" w:themeColor="text1"/>
          <w:sz w:val="20"/>
          <w:szCs w:val="20"/>
          <w:lang w:val="es-ES_tradnl"/>
        </w:rPr>
        <w:t>[…]</w:t>
      </w:r>
    </w:p>
    <w:p w14:paraId="14F8430C" w14:textId="77777777" w:rsidR="00391E3E" w:rsidRPr="00BD787A" w:rsidRDefault="00391E3E" w:rsidP="00391E3E">
      <w:pPr>
        <w:spacing w:after="0" w:line="240" w:lineRule="auto"/>
        <w:ind w:left="709" w:right="709"/>
        <w:contextualSpacing/>
        <w:jc w:val="both"/>
        <w:rPr>
          <w:rFonts w:ascii="Verdana" w:eastAsia="Calibri" w:hAnsi="Verdana" w:cs="Arial"/>
          <w:color w:val="000000" w:themeColor="text1"/>
          <w:sz w:val="20"/>
          <w:szCs w:val="20"/>
          <w:lang w:val="es-ES"/>
        </w:rPr>
      </w:pPr>
      <w:r w:rsidRPr="00BD787A">
        <w:rPr>
          <w:rFonts w:ascii="Verdana" w:eastAsia="Calibri" w:hAnsi="Verdana" w:cs="Arial"/>
          <w:color w:val="000000" w:themeColor="text1"/>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w:t>
      </w:r>
      <w:r w:rsidRPr="00BD787A">
        <w:rPr>
          <w:rFonts w:ascii="Verdana" w:eastAsia="Calibri" w:hAnsi="Verdana" w:cs="Arial"/>
          <w:color w:val="000000" w:themeColor="text1"/>
          <w:sz w:val="20"/>
          <w:szCs w:val="20"/>
          <w:lang w:val="es-ES"/>
        </w:rPr>
        <w:lastRenderedPageBreak/>
        <w:t>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BD787A">
        <w:rPr>
          <w:rFonts w:ascii="Verdana" w:eastAsia="Calibri" w:hAnsi="Verdana" w:cs="Arial"/>
          <w:i/>
          <w:color w:val="000000" w:themeColor="text1"/>
          <w:sz w:val="20"/>
          <w:szCs w:val="20"/>
          <w:lang w:val="es-ES"/>
        </w:rPr>
        <w:t>”</w:t>
      </w:r>
      <w:r w:rsidRPr="00BD787A">
        <w:rPr>
          <w:rFonts w:ascii="Verdana" w:eastAsia="Calibri" w:hAnsi="Verdana" w:cs="Arial"/>
          <w:color w:val="000000" w:themeColor="text1"/>
          <w:sz w:val="20"/>
          <w:szCs w:val="20"/>
          <w:lang w:val="es-ES"/>
        </w:rPr>
        <w:t>.</w:t>
      </w:r>
    </w:p>
    <w:p w14:paraId="1330D69D" w14:textId="77777777" w:rsidR="00391E3E" w:rsidRPr="00BD787A" w:rsidRDefault="00391E3E" w:rsidP="00391E3E">
      <w:pPr>
        <w:spacing w:after="0" w:line="276" w:lineRule="auto"/>
        <w:ind w:right="709"/>
        <w:jc w:val="both"/>
        <w:rPr>
          <w:rFonts w:ascii="Verdana" w:eastAsia="Calibri" w:hAnsi="Verdana" w:cs="Arial"/>
          <w:color w:val="000000" w:themeColor="text1"/>
          <w:lang w:val="es-ES_tradnl"/>
        </w:rPr>
      </w:pPr>
    </w:p>
    <w:p w14:paraId="53A601CD" w14:textId="77777777" w:rsidR="00391E3E" w:rsidRPr="00B453EC" w:rsidRDefault="00391E3E" w:rsidP="00391E3E">
      <w:pPr>
        <w:spacing w:after="120" w:line="276" w:lineRule="auto"/>
        <w:ind w:firstLine="708"/>
        <w:jc w:val="both"/>
        <w:rPr>
          <w:rFonts w:ascii="Verdana" w:eastAsia="Times New Roman" w:hAnsi="Verdana" w:cs="Arial"/>
          <w:lang w:val="es-ES_tradnl" w:eastAsia="es-MX"/>
        </w:rPr>
      </w:pPr>
      <w:r w:rsidRPr="00BD787A">
        <w:rPr>
          <w:rFonts w:ascii="Verdana" w:eastAsia="Times New Roman" w:hAnsi="Verdana" w:cs="Arial"/>
          <w:lang w:val="es-ES_tradnl" w:eastAsia="es-MX"/>
        </w:rPr>
        <w:t>La Agencia Nacional de Contratación Pública – Colombia Compra Eficiente ha defendido el carácter enunciativo del listado de los requisitos habilitantes contenidos en el numeral 1 del artículo 5 de la Ley 1150 de 2007, en la medida en que la mencionada disposición, al referirse a los requisitos habilitantes, no contiene una expresión como “únicamente” o “solo”, de la que pueda inferirse la taxatividad de los requisitos señalados. Esta conclusión además se apoya en una interpretación sistemática de las disposiciones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r w:rsidRPr="00BD787A">
        <w:rPr>
          <w:rFonts w:ascii="Verdana" w:eastAsia="Times New Roman" w:hAnsi="Verdana" w:cs="Arial"/>
          <w:vertAlign w:val="superscript"/>
          <w:lang w:val="es-ES_tradnl" w:eastAsia="es-MX"/>
        </w:rPr>
        <w:footnoteReference w:id="9"/>
      </w:r>
      <w:r w:rsidRPr="00BD787A">
        <w:rPr>
          <w:rFonts w:ascii="Verdana" w:eastAsia="Times New Roman" w:hAnsi="Verdana" w:cs="Arial"/>
          <w:lang w:val="es-ES_tradnl" w:eastAsia="es-MX"/>
        </w:rPr>
        <w:t>.</w:t>
      </w:r>
    </w:p>
    <w:p w14:paraId="229FFB3A" w14:textId="77777777" w:rsidR="00391E3E" w:rsidRDefault="00391E3E" w:rsidP="00391E3E">
      <w:pPr>
        <w:spacing w:after="120" w:line="276" w:lineRule="auto"/>
        <w:ind w:firstLine="708"/>
        <w:jc w:val="both"/>
        <w:rPr>
          <w:rFonts w:ascii="Verdana" w:hAnsi="Verdana" w:cs="Arial"/>
          <w:bCs/>
          <w:lang w:eastAsia="es-ES" w:bidi="es-ES"/>
        </w:rPr>
      </w:pPr>
      <w:r>
        <w:rPr>
          <w:rFonts w:ascii="Verdana" w:hAnsi="Verdana" w:cs="Arial"/>
          <w:bCs/>
          <w:lang w:eastAsia="es-ES" w:bidi="es-ES"/>
        </w:rPr>
        <w:t>En efecto, las Entidades Estatales deben establecer</w:t>
      </w:r>
      <w:r w:rsidRPr="00BD787A">
        <w:rPr>
          <w:rFonts w:ascii="Verdana" w:hAnsi="Verdana" w:cs="Arial"/>
          <w:bCs/>
          <w:lang w:eastAsia="es-ES" w:bidi="es-ES"/>
        </w:rPr>
        <w:t xml:space="preserve"> los requisitos habilitantes de forma adecuada y proporcional a la naturaleza y valor del contrato</w:t>
      </w:r>
      <w:r>
        <w:rPr>
          <w:rFonts w:ascii="Verdana" w:hAnsi="Verdana" w:cs="Arial"/>
          <w:bCs/>
          <w:lang w:eastAsia="es-ES" w:bidi="es-ES"/>
        </w:rPr>
        <w:t>, esto es, las condiciones exigidas correspondan a una relación directa con el objeto del contrato, de tal manera, que su acreditación sea congruente para evidenciar que el proponente es idóneo para ejecutar el contrato</w:t>
      </w:r>
      <w:r w:rsidRPr="00BD787A">
        <w:rPr>
          <w:rFonts w:ascii="Verdana" w:hAnsi="Verdana" w:cs="Arial"/>
          <w:bCs/>
          <w:lang w:eastAsia="es-ES" w:bidi="es-ES"/>
        </w:rPr>
        <w:t>.</w:t>
      </w:r>
      <w:r>
        <w:rPr>
          <w:rFonts w:ascii="Verdana" w:hAnsi="Verdana" w:cs="Arial"/>
          <w:bCs/>
          <w:lang w:eastAsia="es-ES" w:bidi="es-ES"/>
        </w:rPr>
        <w:t xml:space="preserve"> Para ello, la Agencia expresa: “</w:t>
      </w:r>
      <w:r>
        <w:rPr>
          <w:rFonts w:ascii="Verdana" w:eastAsia="Times New Roman" w:hAnsi="Verdana" w:cs="Arial"/>
          <w:bCs/>
          <w:lang w:eastAsia="es-MX"/>
        </w:rPr>
        <w:t xml:space="preserve">[…] </w:t>
      </w:r>
      <w:r w:rsidRPr="00BD787A">
        <w:rPr>
          <w:rFonts w:ascii="Verdana" w:hAnsi="Verdana" w:cs="Arial"/>
          <w:bCs/>
          <w:lang w:eastAsia="es-ES" w:bidi="es-ES"/>
        </w:rPr>
        <w:t>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w:t>
      </w:r>
      <w:r>
        <w:rPr>
          <w:rFonts w:ascii="Verdana" w:hAnsi="Verdana" w:cs="Arial"/>
          <w:bCs/>
          <w:lang w:eastAsia="es-ES" w:bidi="es-ES"/>
        </w:rPr>
        <w:t>”</w:t>
      </w:r>
      <w:r>
        <w:rPr>
          <w:rStyle w:val="Refdenotaalpie"/>
          <w:rFonts w:ascii="Verdana" w:hAnsi="Verdana" w:cs="Arial"/>
          <w:bCs/>
          <w:lang w:eastAsia="es-ES" w:bidi="es-ES"/>
        </w:rPr>
        <w:footnoteReference w:id="10"/>
      </w:r>
      <w:r w:rsidRPr="00BD787A">
        <w:rPr>
          <w:rFonts w:ascii="Verdana" w:hAnsi="Verdana" w:cs="Arial"/>
          <w:bCs/>
          <w:lang w:eastAsia="es-ES" w:bidi="es-ES"/>
        </w:rPr>
        <w:t xml:space="preserve">. </w:t>
      </w:r>
    </w:p>
    <w:p w14:paraId="6E75AD2B" w14:textId="77777777" w:rsidR="00391E3E" w:rsidRPr="009859FE"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este escenario</w:t>
      </w:r>
      <w:r w:rsidRPr="009859FE">
        <w:rPr>
          <w:rFonts w:ascii="Verdana" w:eastAsia="Calibri" w:hAnsi="Verdana" w:cs="Arial"/>
          <w:color w:val="000000" w:themeColor="text1"/>
        </w:rPr>
        <w:t xml:space="preserve">, 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w:t>
      </w:r>
      <w:r w:rsidRPr="009859FE">
        <w:rPr>
          <w:rFonts w:ascii="Verdana" w:eastAsia="Calibri" w:hAnsi="Verdana" w:cs="Arial"/>
          <w:color w:val="000000" w:themeColor="text1"/>
        </w:rPr>
        <w:lastRenderedPageBreak/>
        <w:t xml:space="preserve">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3381474E" w14:textId="77777777" w:rsidR="00391E3E" w:rsidRPr="009859FE"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01993868" w14:textId="77777777" w:rsidR="00391E3E"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r>
        <w:rPr>
          <w:rFonts w:ascii="Verdana" w:eastAsia="Calibri" w:hAnsi="Verdana" w:cs="Arial"/>
          <w:color w:val="000000" w:themeColor="text1"/>
        </w:rPr>
        <w:t xml:space="preserve"> </w:t>
      </w:r>
    </w:p>
    <w:p w14:paraId="6E15A2AE" w14:textId="77777777" w:rsidR="00391E3E"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Teniendo en cuenta lo expuesto, en los procesos de contratación, cuya modalidad de selección es la Mínima Cuantía, que no se caracteriza por ser obligatorio el RUP, implica que las entidades deben verificar directamente la capacidad jurídica, la experiencia, la capacidad financiera y la capacidad organizacional, en los eventos que se hayan solicitado. No obstante, debe tenerse presente que es posible solicitar </w:t>
      </w:r>
      <w:r w:rsidRPr="00AC76F6">
        <w:rPr>
          <w:rFonts w:ascii="Verdana" w:eastAsia="Calibri" w:hAnsi="Verdana" w:cs="Arial"/>
          <w:color w:val="000000" w:themeColor="text1"/>
        </w:rPr>
        <w:t>otros requisitos habilitantes de considerarlo conveniente y necesario.</w:t>
      </w:r>
    </w:p>
    <w:p w14:paraId="4F0ED031" w14:textId="77777777" w:rsidR="00391E3E"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el “Manual de la Modalidad de Selección de Mínima Cuantía”, se exponen algunos aspectos </w:t>
      </w:r>
      <w:proofErr w:type="gramStart"/>
      <w:r>
        <w:rPr>
          <w:rFonts w:ascii="Verdana" w:eastAsia="Calibri" w:hAnsi="Verdana" w:cs="Arial"/>
          <w:color w:val="000000" w:themeColor="text1"/>
        </w:rPr>
        <w:t>a</w:t>
      </w:r>
      <w:proofErr w:type="gramEnd"/>
      <w:r>
        <w:rPr>
          <w:rFonts w:ascii="Verdana" w:eastAsia="Calibri" w:hAnsi="Verdana" w:cs="Arial"/>
          <w:color w:val="000000" w:themeColor="text1"/>
        </w:rPr>
        <w:t xml:space="preserve"> tener en cuenta frente a la exigencia de requisitos habilitantes. Al respecto, se hace una mención especial a </w:t>
      </w:r>
      <w:r w:rsidRPr="00FC00CB">
        <w:rPr>
          <w:rFonts w:ascii="Verdana" w:eastAsia="Calibri" w:hAnsi="Verdana" w:cs="Arial"/>
          <w:color w:val="000000" w:themeColor="text1"/>
        </w:rPr>
        <w:t>la capacidad jurídica de los proponentes, ya sean personas jurídicas o naturales, para participar en un proceso de contratación bajo la modalidad de mínima cuantía. Este proceso incluye:</w:t>
      </w:r>
      <w:r>
        <w:rPr>
          <w:rFonts w:ascii="Verdana" w:eastAsia="Calibri" w:hAnsi="Verdana" w:cs="Arial"/>
          <w:color w:val="000000" w:themeColor="text1"/>
        </w:rPr>
        <w:t xml:space="preserve"> a) </w:t>
      </w:r>
      <w:r w:rsidRPr="00443623">
        <w:rPr>
          <w:rFonts w:ascii="Verdana" w:eastAsia="Calibri" w:hAnsi="Verdana" w:cs="Arial"/>
          <w:bCs/>
          <w:color w:val="000000" w:themeColor="text1"/>
        </w:rPr>
        <w:t>Para personas jurídicas</w:t>
      </w:r>
      <w:r w:rsidRPr="00443623">
        <w:rPr>
          <w:rFonts w:ascii="Verdana" w:eastAsia="Calibri" w:hAnsi="Verdana" w:cs="Arial"/>
          <w:color w:val="000000" w:themeColor="text1"/>
        </w:rPr>
        <w:t xml:space="preserve">: </w:t>
      </w:r>
      <w:r>
        <w:rPr>
          <w:rFonts w:ascii="Verdana" w:eastAsia="Calibri" w:hAnsi="Verdana" w:cs="Arial"/>
          <w:color w:val="000000" w:themeColor="text1"/>
        </w:rPr>
        <w:t>i) v</w:t>
      </w:r>
      <w:r w:rsidRPr="00FC00CB">
        <w:rPr>
          <w:rFonts w:ascii="Verdana" w:eastAsia="Calibri" w:hAnsi="Verdana" w:cs="Arial"/>
          <w:color w:val="000000" w:themeColor="text1"/>
        </w:rPr>
        <w:t xml:space="preserve">erificar el certificado de existencia y </w:t>
      </w:r>
      <w:r w:rsidRPr="00FC00CB">
        <w:rPr>
          <w:rFonts w:ascii="Verdana" w:eastAsia="Calibri" w:hAnsi="Verdana" w:cs="Arial"/>
          <w:color w:val="000000" w:themeColor="text1"/>
        </w:rPr>
        <w:lastRenderedPageBreak/>
        <w:t>representación legal expedido por la cámara de comercio, con una antigüeda</w:t>
      </w:r>
      <w:r>
        <w:rPr>
          <w:rFonts w:ascii="Verdana" w:eastAsia="Calibri" w:hAnsi="Verdana" w:cs="Arial"/>
          <w:color w:val="000000" w:themeColor="text1"/>
        </w:rPr>
        <w:t xml:space="preserve">d no mayor a 30 días calendario;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r</w:t>
      </w:r>
      <w:r w:rsidRPr="00FC00CB">
        <w:rPr>
          <w:rFonts w:ascii="Verdana" w:eastAsia="Calibri" w:hAnsi="Verdana" w:cs="Arial"/>
          <w:color w:val="000000" w:themeColor="text1"/>
        </w:rPr>
        <w:t>evisar el objeto social para confirmar que la entidad está autoriza</w:t>
      </w:r>
      <w:r>
        <w:rPr>
          <w:rFonts w:ascii="Verdana" w:eastAsia="Calibri" w:hAnsi="Verdana" w:cs="Arial"/>
          <w:color w:val="000000" w:themeColor="text1"/>
        </w:rPr>
        <w:t xml:space="preserve">da para cumplir con el contrato </w:t>
      </w:r>
      <w:r w:rsidRPr="00FC00CB">
        <w:rPr>
          <w:rFonts w:ascii="Verdana" w:eastAsia="Calibri" w:hAnsi="Verdana" w:cs="Arial"/>
          <w:color w:val="000000" w:themeColor="text1"/>
        </w:rPr>
        <w:t xml:space="preserve"> </w:t>
      </w:r>
      <w:proofErr w:type="spellStart"/>
      <w:r>
        <w:rPr>
          <w:rFonts w:ascii="Arial" w:eastAsia="Calibri" w:hAnsi="Arial" w:cs="Arial"/>
          <w:color w:val="000000" w:themeColor="text1"/>
        </w:rPr>
        <w:t>iii</w:t>
      </w:r>
      <w:proofErr w:type="spellEnd"/>
      <w:r>
        <w:rPr>
          <w:rFonts w:ascii="Arial" w:eastAsia="Calibri" w:hAnsi="Arial" w:cs="Arial"/>
          <w:color w:val="000000" w:themeColor="text1"/>
        </w:rPr>
        <w:t xml:space="preserve">) </w:t>
      </w:r>
      <w:r w:rsidRPr="00FC00CB">
        <w:rPr>
          <w:rFonts w:ascii="Verdana" w:eastAsia="Calibri" w:hAnsi="Verdana" w:cs="Arial"/>
          <w:color w:val="000000" w:themeColor="text1"/>
        </w:rPr>
        <w:t>Comprobar las facultades del representante legal para p</w:t>
      </w:r>
      <w:r>
        <w:rPr>
          <w:rFonts w:ascii="Verdana" w:eastAsia="Calibri" w:hAnsi="Verdana" w:cs="Arial"/>
          <w:color w:val="000000" w:themeColor="text1"/>
        </w:rPr>
        <w:t xml:space="preserve">resentar y suscribir la oferta; </w:t>
      </w:r>
      <w:proofErr w:type="spellStart"/>
      <w:r>
        <w:rPr>
          <w:rFonts w:ascii="Verdana" w:eastAsia="Calibri" w:hAnsi="Verdana" w:cs="Arial"/>
          <w:color w:val="000000" w:themeColor="text1"/>
        </w:rPr>
        <w:t>iv</w:t>
      </w:r>
      <w:proofErr w:type="spellEnd"/>
      <w:r>
        <w:rPr>
          <w:rFonts w:ascii="Verdana" w:eastAsia="Calibri" w:hAnsi="Verdana" w:cs="Arial"/>
          <w:color w:val="000000" w:themeColor="text1"/>
        </w:rPr>
        <w:t xml:space="preserve">) </w:t>
      </w:r>
      <w:r w:rsidRPr="00FC00CB">
        <w:rPr>
          <w:rFonts w:ascii="Verdana" w:eastAsia="Calibri" w:hAnsi="Verdana" w:cs="Arial"/>
          <w:color w:val="000000" w:themeColor="text1"/>
        </w:rPr>
        <w:t>Asegurar la ausencia de inhabilidades, incompatibilidades, conflicto de intereses o prohibiciones para contratar con el Estado, mediante una decl</w:t>
      </w:r>
      <w:r>
        <w:rPr>
          <w:rFonts w:ascii="Verdana" w:eastAsia="Calibri" w:hAnsi="Verdana" w:cs="Arial"/>
          <w:color w:val="000000" w:themeColor="text1"/>
        </w:rPr>
        <w:t>aración de la persona jurídica; v) c</w:t>
      </w:r>
      <w:r w:rsidRPr="00FC00CB">
        <w:rPr>
          <w:rFonts w:ascii="Verdana" w:eastAsia="Calibri" w:hAnsi="Verdana" w:cs="Arial"/>
          <w:color w:val="000000" w:themeColor="text1"/>
        </w:rPr>
        <w:t>onsultar antecedentes judiciales en sistemas oficiales como la Procuraduría General, Contraloría General, Policía Nacional, Registro Nacional de Medidas Correctivas y Registro de Deudo</w:t>
      </w:r>
      <w:r>
        <w:rPr>
          <w:rFonts w:ascii="Verdana" w:eastAsia="Calibri" w:hAnsi="Verdana" w:cs="Arial"/>
          <w:color w:val="000000" w:themeColor="text1"/>
        </w:rPr>
        <w:t xml:space="preserve">res Alimentarios Morosos. b) </w:t>
      </w:r>
      <w:r w:rsidRPr="00635BEF">
        <w:rPr>
          <w:rFonts w:ascii="Verdana" w:eastAsia="Calibri" w:hAnsi="Verdana" w:cs="Arial"/>
          <w:bCs/>
          <w:color w:val="000000" w:themeColor="text1"/>
        </w:rPr>
        <w:t>Para personas naturales</w:t>
      </w:r>
      <w:r w:rsidRPr="00635BEF">
        <w:rPr>
          <w:rFonts w:ascii="Verdana" w:eastAsia="Calibri" w:hAnsi="Verdana" w:cs="Arial"/>
          <w:color w:val="000000" w:themeColor="text1"/>
        </w:rPr>
        <w:t>:</w:t>
      </w:r>
      <w:r>
        <w:rPr>
          <w:rFonts w:ascii="Verdana" w:eastAsia="Calibri" w:hAnsi="Verdana" w:cs="Arial"/>
          <w:color w:val="000000" w:themeColor="text1"/>
        </w:rPr>
        <w:t xml:space="preserve"> i) c</w:t>
      </w:r>
      <w:r w:rsidRPr="00FC00CB">
        <w:rPr>
          <w:rFonts w:ascii="Verdana" w:eastAsia="Calibri" w:hAnsi="Verdana" w:cs="Arial"/>
          <w:color w:val="000000" w:themeColor="text1"/>
        </w:rPr>
        <w:t>onfirmar la mayoría de edad mediante cédula de ciudadanía, céd</w:t>
      </w:r>
      <w:r>
        <w:rPr>
          <w:rFonts w:ascii="Verdana" w:eastAsia="Calibri" w:hAnsi="Verdana" w:cs="Arial"/>
          <w:color w:val="000000" w:themeColor="text1"/>
        </w:rPr>
        <w:t xml:space="preserve">ula de extranjería o pasaporte;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v</w:t>
      </w:r>
      <w:r w:rsidRPr="00FC00CB">
        <w:rPr>
          <w:rFonts w:ascii="Verdana" w:eastAsia="Calibri" w:hAnsi="Verdana" w:cs="Arial"/>
          <w:color w:val="000000" w:themeColor="text1"/>
        </w:rPr>
        <w:t>erificar la ausencia de limitaciones a la capacidad jurídica mediante una dec</w:t>
      </w:r>
      <w:r>
        <w:rPr>
          <w:rFonts w:ascii="Verdana" w:eastAsia="Calibri" w:hAnsi="Verdana" w:cs="Arial"/>
          <w:color w:val="000000" w:themeColor="text1"/>
        </w:rPr>
        <w:t xml:space="preserve">laración de la persona natural;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c</w:t>
      </w:r>
      <w:r w:rsidRPr="00FC00CB">
        <w:rPr>
          <w:rFonts w:ascii="Verdana" w:eastAsia="Calibri" w:hAnsi="Verdana" w:cs="Arial"/>
          <w:color w:val="000000" w:themeColor="text1"/>
        </w:rPr>
        <w:t>onsultar antecedentes judiciales en los mismos sistemas mencionados para personas jurídicas.</w:t>
      </w:r>
    </w:p>
    <w:p w14:paraId="0655CB3C" w14:textId="0EBB9D82" w:rsidR="00391E3E" w:rsidRPr="00AC76F6" w:rsidRDefault="00391E3E" w:rsidP="00391E3E">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Ahora bien, en atención al problema jurídico, objeto de consulta, se plantea que exigir como requisito habilitante </w:t>
      </w:r>
      <w:r w:rsidRPr="00376372">
        <w:rPr>
          <w:rFonts w:ascii="Verdana" w:eastAsia="Calibri" w:hAnsi="Verdana" w:cs="Arial"/>
          <w:color w:val="000000" w:themeColor="text1"/>
        </w:rPr>
        <w:t>de</w:t>
      </w:r>
      <w:r>
        <w:rPr>
          <w:rFonts w:ascii="Verdana" w:eastAsia="Calibri" w:hAnsi="Verdana" w:cs="Arial"/>
          <w:color w:val="000000" w:themeColor="text1"/>
        </w:rPr>
        <w:t xml:space="preserve">mostrar la tenencia del local en el lugar de ejecución del contrato puede constituirse en una exigencia desproporcionada para determinar la capacidad o idoneidad del contratista. En tal sentido, </w:t>
      </w:r>
      <w:r>
        <w:rPr>
          <w:rFonts w:ascii="Verdana" w:eastAsia="Calibri" w:hAnsi="Verdana" w:cs="Arial"/>
          <w:color w:val="000000"/>
          <w:lang w:val="es-ES_tradnl" w:eastAsia="es-ES_tradnl"/>
        </w:rPr>
        <w:t>e</w:t>
      </w:r>
      <w:r w:rsidRPr="00B453EC">
        <w:rPr>
          <w:rFonts w:ascii="Verdana" w:eastAsia="Calibri" w:hAnsi="Verdana" w:cs="Arial"/>
          <w:color w:val="000000"/>
          <w:lang w:val="es-ES_tradnl" w:eastAsia="es-ES_tradnl"/>
        </w:rPr>
        <w:t xml:space="preserve">l principio de proporcionalidad exige que </w:t>
      </w:r>
      <w:r>
        <w:rPr>
          <w:rFonts w:ascii="Verdana" w:eastAsia="Calibri" w:hAnsi="Verdana" w:cs="Arial"/>
          <w:color w:val="000000"/>
          <w:lang w:val="es-ES_tradnl" w:eastAsia="es-ES_tradnl"/>
        </w:rPr>
        <w:t xml:space="preserve">los requisitos habilitantes o exigencias </w:t>
      </w:r>
      <w:r w:rsidRPr="00B453EC">
        <w:rPr>
          <w:rFonts w:ascii="Verdana" w:eastAsia="Calibri" w:hAnsi="Verdana" w:cs="Arial"/>
          <w:color w:val="000000"/>
          <w:lang w:val="es-ES_tradnl" w:eastAsia="es-ES_tradnl"/>
        </w:rPr>
        <w:t>sean razonables, o sea, que guarden congruencia con el objeto, alcance, valor y plazo del contrato, que sean necesarios y no restrinjan injustificadament</w:t>
      </w:r>
      <w:r>
        <w:rPr>
          <w:rFonts w:ascii="Verdana" w:eastAsia="Calibri" w:hAnsi="Verdana" w:cs="Arial"/>
          <w:color w:val="000000"/>
          <w:lang w:val="es-ES_tradnl" w:eastAsia="es-ES_tradnl"/>
        </w:rPr>
        <w:t>e la libre concurrencia. De tal modo</w:t>
      </w:r>
      <w:r w:rsidR="009C42D6">
        <w:rPr>
          <w:rFonts w:ascii="Verdana" w:eastAsia="Calibri" w:hAnsi="Verdana" w:cs="Arial"/>
          <w:color w:val="000000"/>
          <w:lang w:val="es-ES_tradnl" w:eastAsia="es-ES_tradnl"/>
        </w:rPr>
        <w:t xml:space="preserve">, la discrecionalidad </w:t>
      </w:r>
      <w:r>
        <w:rPr>
          <w:rFonts w:ascii="Verdana" w:eastAsia="Calibri" w:hAnsi="Verdana" w:cs="Arial"/>
          <w:color w:val="000000"/>
          <w:lang w:val="es-ES_tradnl" w:eastAsia="es-ES_tradnl"/>
        </w:rPr>
        <w:t xml:space="preserve">de </w:t>
      </w:r>
      <w:r w:rsidRPr="00B453EC">
        <w:rPr>
          <w:rFonts w:ascii="Verdana" w:eastAsia="Calibri" w:hAnsi="Verdana" w:cs="Arial"/>
          <w:color w:val="000000"/>
          <w:lang w:val="es-ES_tradnl" w:eastAsia="es-ES_tradnl"/>
        </w:rPr>
        <w:t>cada entidad está condicionada a la proporcionalidad de las decisiones que toma en aras de garantizar la pluralidad de oferentes y la selección objetiva</w:t>
      </w:r>
      <w:r w:rsidRPr="00B453EC">
        <w:rPr>
          <w:rFonts w:ascii="Verdana" w:eastAsia="Times New Roman" w:hAnsi="Verdana" w:cs="Arial"/>
          <w:vertAlign w:val="superscript"/>
          <w:lang w:eastAsia="es-ES_tradnl"/>
        </w:rPr>
        <w:footnoteReference w:id="11"/>
      </w:r>
      <w:r w:rsidRPr="00B453EC">
        <w:rPr>
          <w:rFonts w:ascii="Verdana" w:eastAsia="Times New Roman" w:hAnsi="Verdana" w:cs="Arial"/>
          <w:lang w:eastAsia="es-ES_tradnl"/>
        </w:rPr>
        <w:t>.</w:t>
      </w:r>
    </w:p>
    <w:p w14:paraId="246271B3" w14:textId="77777777" w:rsidR="00391E3E" w:rsidRDefault="00391E3E" w:rsidP="00391E3E">
      <w:pPr>
        <w:spacing w:after="0" w:line="276" w:lineRule="auto"/>
        <w:ind w:firstLine="709"/>
        <w:jc w:val="both"/>
        <w:rPr>
          <w:rFonts w:ascii="Verdana" w:hAnsi="Verdana" w:cs="Arial"/>
          <w:bCs/>
          <w:lang w:eastAsia="es-ES" w:bidi="es-ES"/>
        </w:rPr>
      </w:pPr>
      <w:r>
        <w:rPr>
          <w:rFonts w:ascii="Verdana" w:hAnsi="Verdana" w:cs="Arial"/>
          <w:bCs/>
          <w:lang w:eastAsia="es-ES" w:bidi="es-ES"/>
        </w:rPr>
        <w:lastRenderedPageBreak/>
        <w:t>En esa orientación, el Consejo de Estado ha cuestionado la exigencia de ciertos requisitos habilitantes en los procesos de contratación para determinar la idoneidad técnica del contratista, como es la exigencia de tener el domicilio, en el municipio que se prestara el servicio, justificado en la necesidad de atender las eventualidades en la prestación de las rutas escolares</w:t>
      </w:r>
      <w:r>
        <w:rPr>
          <w:rStyle w:val="Refdenotaalpie"/>
          <w:rFonts w:ascii="Verdana" w:hAnsi="Verdana" w:cs="Arial"/>
          <w:bCs/>
          <w:lang w:eastAsia="es-ES" w:bidi="es-ES"/>
        </w:rPr>
        <w:footnoteReference w:id="12"/>
      </w:r>
      <w:r>
        <w:rPr>
          <w:rFonts w:ascii="Verdana" w:hAnsi="Verdana" w:cs="Arial"/>
          <w:bCs/>
          <w:lang w:eastAsia="es-ES" w:bidi="es-ES"/>
        </w:rPr>
        <w:t xml:space="preserve">, lo cual no se considera justificado. Al respecto, el Alto Tribunal expresó: </w:t>
      </w:r>
    </w:p>
    <w:p w14:paraId="6FB09CA4" w14:textId="77777777" w:rsidR="00391E3E" w:rsidRPr="00DD5328" w:rsidRDefault="00391E3E" w:rsidP="00391E3E">
      <w:pPr>
        <w:spacing w:after="0" w:line="240" w:lineRule="auto"/>
        <w:ind w:left="709" w:right="709" w:firstLine="708"/>
        <w:jc w:val="both"/>
        <w:rPr>
          <w:rFonts w:ascii="Verdana" w:hAnsi="Verdana" w:cs="Arial"/>
          <w:bCs/>
          <w:sz w:val="21"/>
          <w:szCs w:val="21"/>
          <w:lang w:eastAsia="es-ES" w:bidi="es-ES"/>
        </w:rPr>
      </w:pPr>
    </w:p>
    <w:p w14:paraId="65763DC1" w14:textId="77777777" w:rsidR="00391E3E" w:rsidRDefault="00391E3E" w:rsidP="00391E3E">
      <w:pPr>
        <w:spacing w:after="0" w:line="240" w:lineRule="auto"/>
        <w:ind w:left="709" w:right="709"/>
        <w:jc w:val="both"/>
        <w:rPr>
          <w:rFonts w:ascii="Verdana" w:hAnsi="Verdana" w:cs="Arial"/>
          <w:bCs/>
          <w:sz w:val="21"/>
          <w:szCs w:val="21"/>
          <w:lang w:eastAsia="es-ES" w:bidi="es-ES"/>
        </w:rPr>
      </w:pPr>
      <w:r>
        <w:rPr>
          <w:rFonts w:ascii="Verdana" w:hAnsi="Verdana" w:cs="Arial"/>
          <w:bCs/>
          <w:sz w:val="21"/>
          <w:szCs w:val="21"/>
          <w:lang w:eastAsia="es-ES" w:bidi="es-ES"/>
        </w:rPr>
        <w:t>“</w:t>
      </w:r>
      <w:r w:rsidRPr="00DD5328">
        <w:rPr>
          <w:rFonts w:ascii="Verdana" w:hAnsi="Verdana" w:cs="Arial"/>
          <w:bCs/>
          <w:sz w:val="21"/>
          <w:szCs w:val="21"/>
          <w:lang w:eastAsia="es-ES" w:bidi="es-ES"/>
        </w:rPr>
        <w:t>66. Por tanto, la Sala no encuentra razones valederas que justifiquen la decisión de la Administración de hacer del domicilio un requisito habilitante de orden técnico, pues no se tienen luces de la forma en que tal atributo podría respaldar la prestación del servicio y permitiera sortear las eventualidades (aducidas como fundamento de tal inclusión), para garantizar que el “tiempo de respuesta sea más corto, al tener la disposición de los vehículos dentro del área urbana y rural de la entidad contratante”, pues tal objetivo, realmente, hace parte del ámbito de la operatividad del proponente y no de la conformación del domicilio en la sede de municipio demandado</w:t>
      </w:r>
      <w:r>
        <w:rPr>
          <w:rFonts w:ascii="Verdana" w:hAnsi="Verdana" w:cs="Arial"/>
          <w:bCs/>
          <w:sz w:val="21"/>
          <w:szCs w:val="21"/>
          <w:lang w:eastAsia="es-ES" w:bidi="es-ES"/>
        </w:rPr>
        <w:t>.</w:t>
      </w:r>
    </w:p>
    <w:p w14:paraId="042C10D3" w14:textId="77777777" w:rsidR="00391E3E" w:rsidRPr="00DD5328" w:rsidRDefault="00391E3E" w:rsidP="00391E3E">
      <w:pPr>
        <w:spacing w:after="0" w:line="240" w:lineRule="auto"/>
        <w:ind w:left="709" w:right="709"/>
        <w:jc w:val="both"/>
        <w:rPr>
          <w:rFonts w:ascii="Verdana" w:hAnsi="Verdana" w:cs="Arial"/>
          <w:bCs/>
          <w:sz w:val="21"/>
          <w:szCs w:val="21"/>
          <w:lang w:eastAsia="es-ES" w:bidi="es-ES"/>
        </w:rPr>
      </w:pPr>
      <w:r>
        <w:rPr>
          <w:rFonts w:ascii="Verdana" w:hAnsi="Verdana" w:cs="Arial"/>
          <w:bCs/>
          <w:sz w:val="21"/>
          <w:szCs w:val="21"/>
          <w:lang w:eastAsia="es-ES" w:bidi="es-ES"/>
        </w:rPr>
        <w:t>[…]</w:t>
      </w:r>
    </w:p>
    <w:p w14:paraId="298E1DDC" w14:textId="77777777" w:rsidR="00391E3E" w:rsidRDefault="00391E3E" w:rsidP="00391E3E">
      <w:pPr>
        <w:spacing w:after="0" w:line="240" w:lineRule="auto"/>
        <w:ind w:left="709" w:right="709"/>
        <w:jc w:val="both"/>
        <w:rPr>
          <w:rFonts w:ascii="Verdana" w:hAnsi="Verdana" w:cs="Arial"/>
          <w:bCs/>
          <w:sz w:val="21"/>
          <w:szCs w:val="21"/>
          <w:lang w:eastAsia="es-ES" w:bidi="es-ES"/>
        </w:rPr>
      </w:pPr>
      <w:r w:rsidRPr="00DD5328">
        <w:rPr>
          <w:rFonts w:ascii="Verdana" w:hAnsi="Verdana" w:cs="Arial"/>
          <w:bCs/>
          <w:sz w:val="21"/>
          <w:szCs w:val="21"/>
          <w:lang w:eastAsia="es-ES" w:bidi="es-ES"/>
        </w:rPr>
        <w:t>68. En suma, la determinación del domicilio de los proponentes en el Municipio como requisito técnico de habilitación resulta en una exigencia infundada, pues dicho atributo no se corresponde con las razones aducidas para su exigencia, no afecta la prestación del servicio por contratar, tampoco concierne a un elemento sin el cual no puede efectuarse la prestación del servicio de transporte escolar; por el contrario, lo que se advierte es que éste configura una regla ajena a la selección objetiva, en tanto que establece un supuesto que limita, sin justificación, la participación de multiplicidad de oferentes al proceso de contratación</w:t>
      </w:r>
      <w:r>
        <w:rPr>
          <w:rFonts w:ascii="Verdana" w:hAnsi="Verdana" w:cs="Arial"/>
          <w:bCs/>
          <w:sz w:val="21"/>
          <w:szCs w:val="21"/>
          <w:lang w:eastAsia="es-ES" w:bidi="es-ES"/>
        </w:rPr>
        <w:t>”</w:t>
      </w:r>
      <w:r>
        <w:rPr>
          <w:rStyle w:val="Refdenotaalpie"/>
          <w:rFonts w:ascii="Verdana" w:hAnsi="Verdana" w:cs="Arial"/>
          <w:bCs/>
          <w:sz w:val="21"/>
          <w:szCs w:val="21"/>
          <w:lang w:eastAsia="es-ES" w:bidi="es-ES"/>
        </w:rPr>
        <w:footnoteReference w:id="13"/>
      </w:r>
      <w:r w:rsidRPr="00DD5328">
        <w:rPr>
          <w:rFonts w:ascii="Verdana" w:hAnsi="Verdana" w:cs="Arial"/>
          <w:bCs/>
          <w:sz w:val="21"/>
          <w:szCs w:val="21"/>
          <w:lang w:eastAsia="es-ES" w:bidi="es-ES"/>
        </w:rPr>
        <w:t>.</w:t>
      </w:r>
    </w:p>
    <w:p w14:paraId="4C1C4508" w14:textId="77777777" w:rsidR="00391E3E" w:rsidRPr="00DD5328" w:rsidRDefault="00391E3E" w:rsidP="00391E3E">
      <w:pPr>
        <w:spacing w:after="0" w:line="240" w:lineRule="auto"/>
        <w:ind w:left="709" w:right="709"/>
        <w:jc w:val="both"/>
        <w:rPr>
          <w:rFonts w:ascii="Verdana" w:hAnsi="Verdana" w:cs="Arial"/>
          <w:bCs/>
          <w:sz w:val="21"/>
          <w:szCs w:val="21"/>
          <w:lang w:eastAsia="es-ES" w:bidi="es-ES"/>
        </w:rPr>
      </w:pPr>
    </w:p>
    <w:p w14:paraId="73912203" w14:textId="77777777" w:rsidR="00391E3E" w:rsidRDefault="00391E3E" w:rsidP="00391E3E">
      <w:pPr>
        <w:spacing w:after="120" w:line="276" w:lineRule="auto"/>
        <w:ind w:firstLine="708"/>
        <w:jc w:val="both"/>
        <w:rPr>
          <w:rFonts w:ascii="Verdana" w:hAnsi="Verdana" w:cs="Arial"/>
          <w:bCs/>
          <w:lang w:eastAsia="es-ES" w:bidi="es-ES"/>
        </w:rPr>
      </w:pPr>
      <w:r>
        <w:rPr>
          <w:rFonts w:ascii="Verdana" w:hAnsi="Verdana" w:cs="Arial"/>
          <w:bCs/>
          <w:lang w:eastAsia="es-ES" w:bidi="es-ES"/>
        </w:rPr>
        <w:t xml:space="preserve">En ese sentido, requisitos tendientes a exigir, como condición habilitante, tener domicilio o establecimientos de comercio en un determinado sitio, no se justifican </w:t>
      </w:r>
      <w:r w:rsidRPr="00A24122">
        <w:rPr>
          <w:rFonts w:ascii="Verdana" w:hAnsi="Verdana" w:cs="Arial"/>
          <w:bCs/>
          <w:i/>
          <w:iCs/>
          <w:lang w:eastAsia="es-ES" w:bidi="es-ES"/>
        </w:rPr>
        <w:t>per se</w:t>
      </w:r>
      <w:r>
        <w:rPr>
          <w:rFonts w:ascii="Verdana" w:hAnsi="Verdana" w:cs="Arial"/>
          <w:bCs/>
          <w:i/>
          <w:iCs/>
          <w:lang w:eastAsia="es-ES" w:bidi="es-ES"/>
        </w:rPr>
        <w:t xml:space="preserve">, </w:t>
      </w:r>
      <w:r>
        <w:rPr>
          <w:rFonts w:ascii="Verdana" w:hAnsi="Verdana" w:cs="Arial"/>
          <w:bCs/>
          <w:lang w:eastAsia="es-ES" w:bidi="es-ES"/>
        </w:rPr>
        <w:t xml:space="preserve">pudiendo resultar en barreras artificiales a libre competencia, cuando su inclusión no está precedida de un análisis que justifique su necesidad, con base en criterios de proporcionalidad y adecuación. Ello no significa, que en la etapa de ejecución no pueda exigirse este tipo de condiciones, en los eventos, </w:t>
      </w:r>
      <w:r>
        <w:rPr>
          <w:rFonts w:ascii="Verdana" w:hAnsi="Verdana" w:cs="Arial"/>
          <w:bCs/>
          <w:lang w:eastAsia="es-ES" w:bidi="es-ES"/>
        </w:rPr>
        <w:lastRenderedPageBreak/>
        <w:t xml:space="preserve">que por la naturaleza del contrato se requiera para un debido cumplimiento del objeto contractual.  </w:t>
      </w:r>
    </w:p>
    <w:p w14:paraId="21D2D2B0" w14:textId="77777777" w:rsidR="00391E3E" w:rsidRPr="00C93D4D" w:rsidRDefault="00391E3E" w:rsidP="00391E3E">
      <w:pPr>
        <w:spacing w:after="120" w:line="276" w:lineRule="auto"/>
        <w:ind w:firstLine="708"/>
        <w:jc w:val="both"/>
        <w:rPr>
          <w:rFonts w:ascii="Verdana" w:hAnsi="Verdana" w:cs="Arial"/>
          <w:bCs/>
          <w:lang w:val="es-ES_tradnl" w:eastAsia="es-ES" w:bidi="es-ES"/>
        </w:rPr>
      </w:pPr>
      <w:r w:rsidRPr="00BD787A">
        <w:rPr>
          <w:rFonts w:ascii="Verdana" w:hAnsi="Verdana" w:cs="Arial"/>
          <w:bCs/>
          <w:lang w:val="es-ES_tradnl" w:eastAsia="es-ES" w:bidi="es-ES"/>
        </w:rPr>
        <w:t xml:space="preserve">En todo caso, las entidades </w:t>
      </w:r>
      <w:r w:rsidRPr="00BD787A">
        <w:rPr>
          <w:rFonts w:ascii="Verdana" w:hAnsi="Verdana" w:cs="Arial"/>
          <w:bCs/>
          <w:color w:val="000000" w:themeColor="text1"/>
        </w:rPr>
        <w:t>son autónomas en la estructuración de sus procedimientos contractuales, por lo cual en sus pliegos de condiciones o en los documentos que hagan sus veces, como son las invitaciones públicas en la mínima cuantía deben establecer los requisitos habilitantes, con la</w:t>
      </w:r>
      <w:r w:rsidRPr="00BD787A" w:rsidDel="0019679C">
        <w:rPr>
          <w:rFonts w:ascii="Verdana" w:hAnsi="Verdana" w:cs="Arial"/>
          <w:bCs/>
          <w:color w:val="000000" w:themeColor="text1"/>
        </w:rPr>
        <w:t xml:space="preserve"> </w:t>
      </w:r>
      <w:r w:rsidRPr="00BD787A">
        <w:rPr>
          <w:rFonts w:ascii="Verdana" w:hAnsi="Verdana" w:cs="Arial"/>
          <w:bCs/>
          <w:color w:val="000000" w:themeColor="text1"/>
        </w:rPr>
        <w:t>condición de que sean proporcionales y conducentes para el respectivo proceso de selección, para así garantizar la pluralidad de oferentes y la participación en el respectivo proceso.</w:t>
      </w:r>
    </w:p>
    <w:p w14:paraId="2FE97EAF" w14:textId="77777777" w:rsidR="00391E3E" w:rsidRPr="005E0C91" w:rsidRDefault="00391E3E" w:rsidP="00391E3E">
      <w:pPr>
        <w:spacing w:after="120" w:line="240" w:lineRule="auto"/>
        <w:ind w:right="900"/>
        <w:jc w:val="both"/>
        <w:textAlignment w:val="baseline"/>
        <w:rPr>
          <w:rFonts w:ascii="Verdana" w:eastAsia="Arial" w:hAnsi="Verdana" w:cs="Arial"/>
          <w:sz w:val="20"/>
          <w:szCs w:val="20"/>
        </w:rPr>
      </w:pPr>
    </w:p>
    <w:p w14:paraId="2BADC3C3" w14:textId="77777777" w:rsidR="00391E3E" w:rsidRPr="002B5C7D" w:rsidRDefault="00391E3E" w:rsidP="00391E3E">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Referencias normativas, jurisprudenciales y otras fuentes:</w:t>
      </w:r>
    </w:p>
    <w:p w14:paraId="443BCE8E" w14:textId="77777777" w:rsidR="00391E3E" w:rsidRDefault="00391E3E" w:rsidP="00391E3E">
      <w:pPr>
        <w:spacing w:after="0" w:line="240" w:lineRule="auto"/>
        <w:rPr>
          <w:rFonts w:ascii="Verdana" w:eastAsia="Calibri" w:hAnsi="Verdana" w:cs="Times New Roman"/>
          <w:bCs/>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1E3E" w:rsidRPr="001205D1" w14:paraId="21F6AF5A" w14:textId="77777777" w:rsidTr="00D2302C">
        <w:trPr>
          <w:trHeight w:val="870"/>
          <w:jc w:val="center"/>
        </w:trPr>
        <w:tc>
          <w:tcPr>
            <w:tcW w:w="8647" w:type="dxa"/>
          </w:tcPr>
          <w:p w14:paraId="456FF8B3" w14:textId="77777777" w:rsidR="00391E3E" w:rsidRDefault="00391E3E" w:rsidP="00391E3E">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Ley 80 de 1993, artículo 77. </w:t>
            </w:r>
          </w:p>
          <w:p w14:paraId="73A4C011" w14:textId="77777777" w:rsidR="00391E3E" w:rsidRPr="00367ED9" w:rsidRDefault="00391E3E" w:rsidP="00391E3E">
            <w:pPr>
              <w:widowControl w:val="0"/>
              <w:numPr>
                <w:ilvl w:val="0"/>
                <w:numId w:val="20"/>
              </w:numPr>
              <w:autoSpaceDE w:val="0"/>
              <w:autoSpaceDN w:val="0"/>
              <w:spacing w:before="120" w:after="120" w:line="276" w:lineRule="auto"/>
              <w:ind w:left="714" w:hanging="357"/>
              <w:jc w:val="both"/>
              <w:rPr>
                <w:rFonts w:ascii="Verdana" w:hAnsi="Verdana" w:cs="Arial"/>
                <w:lang w:val="es-ES"/>
              </w:rPr>
            </w:pPr>
            <w:r w:rsidRPr="00367ED9">
              <w:rPr>
                <w:rFonts w:ascii="Verdana" w:hAnsi="Verdana" w:cs="Arial"/>
                <w:lang w:val="es-ES"/>
              </w:rPr>
              <w:t xml:space="preserve">Ley 1150 de 2007, artículos </w:t>
            </w:r>
            <w:r>
              <w:rPr>
                <w:rFonts w:ascii="Verdana" w:hAnsi="Verdana" w:cs="Arial"/>
                <w:lang w:val="es-ES"/>
              </w:rPr>
              <w:t>2,</w:t>
            </w:r>
            <w:r w:rsidRPr="00367ED9">
              <w:rPr>
                <w:rFonts w:ascii="Verdana" w:hAnsi="Verdana" w:cs="Arial"/>
                <w:lang w:val="es-ES"/>
              </w:rPr>
              <w:t xml:space="preserve"> 5 y 6.</w:t>
            </w:r>
          </w:p>
          <w:p w14:paraId="1269529A" w14:textId="77777777" w:rsidR="00391E3E" w:rsidRPr="00A0298E" w:rsidRDefault="00391E3E" w:rsidP="00391E3E">
            <w:pPr>
              <w:widowControl w:val="0"/>
              <w:numPr>
                <w:ilvl w:val="0"/>
                <w:numId w:val="20"/>
              </w:numPr>
              <w:autoSpaceDE w:val="0"/>
              <w:autoSpaceDN w:val="0"/>
              <w:spacing w:before="120" w:after="120" w:line="276" w:lineRule="auto"/>
              <w:ind w:left="714" w:hanging="357"/>
              <w:jc w:val="both"/>
              <w:rPr>
                <w:rFonts w:ascii="Verdana" w:hAnsi="Verdana" w:cs="Arial"/>
                <w:lang w:val="es-ES"/>
              </w:rPr>
            </w:pPr>
            <w:r>
              <w:rPr>
                <w:rFonts w:ascii="Verdana" w:hAnsi="Verdana" w:cs="Arial"/>
                <w:lang w:val="es-ES"/>
              </w:rPr>
              <w:t xml:space="preserve">Ley 1437 de 2011, artículo 44. </w:t>
            </w:r>
          </w:p>
          <w:p w14:paraId="6D928C53" w14:textId="77777777" w:rsidR="00391E3E" w:rsidRPr="000C28B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0C28B7">
              <w:rPr>
                <w:rFonts w:ascii="Verdana" w:hAnsi="Verdana" w:cs="Arial"/>
                <w:lang w:val="es-ES"/>
              </w:rPr>
              <w:t xml:space="preserve">Ley 2069 de 2020, artículo 30 y 35. </w:t>
            </w:r>
          </w:p>
          <w:p w14:paraId="2A1E36B4" w14:textId="77777777" w:rsidR="00391E3E" w:rsidRPr="000C28B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0C28B7">
              <w:rPr>
                <w:rFonts w:ascii="Verdana" w:hAnsi="Verdana" w:cs="Arial"/>
                <w:lang w:val="es-ES"/>
              </w:rPr>
              <w:t>Decreto 1082 de 2015, artículos 2.2.1.2.1.5.1., 2.2.1.2.1.5.2., 2.2.1.2.1.5.3.,</w:t>
            </w:r>
            <w:r>
              <w:rPr>
                <w:rFonts w:ascii="Verdana" w:hAnsi="Verdana" w:cs="Arial"/>
                <w:lang w:val="es-ES"/>
              </w:rPr>
              <w:t xml:space="preserve"> 2.2.1.2.1.5.4., 2.2.1.2.1.5.5., </w:t>
            </w:r>
            <w:r w:rsidRPr="00090C9E">
              <w:rPr>
                <w:rFonts w:ascii="Verdana" w:hAnsi="Verdana" w:cs="Arial"/>
              </w:rPr>
              <w:t>2.2.1.1.1.6.2</w:t>
            </w:r>
            <w:r>
              <w:rPr>
                <w:rFonts w:ascii="Verdana" w:hAnsi="Verdana" w:cs="Arial"/>
              </w:rPr>
              <w:t xml:space="preserve">. </w:t>
            </w:r>
          </w:p>
          <w:p w14:paraId="64255641" w14:textId="77777777" w:rsidR="00391E3E" w:rsidRPr="00A33EE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A33EE7">
              <w:rPr>
                <w:rFonts w:ascii="Verdana" w:hAnsi="Verdana" w:cs="Arial"/>
                <w:lang w:val="es-ES"/>
              </w:rPr>
              <w:t xml:space="preserve">CONSEJO DE ESTADO. Sección Tercera, Subsección A. Sentencia del 19 de mayo de 2025. </w:t>
            </w:r>
            <w:r>
              <w:rPr>
                <w:rFonts w:ascii="Verdana" w:hAnsi="Verdana" w:cs="Arial"/>
                <w:lang w:val="es-ES"/>
              </w:rPr>
              <w:t xml:space="preserve">C.P. José Roberto Sáchica Méndez. </w:t>
            </w:r>
            <w:proofErr w:type="spellStart"/>
            <w:r w:rsidRPr="00A33EE7">
              <w:rPr>
                <w:rFonts w:ascii="Verdana" w:hAnsi="Verdana" w:cs="Arial"/>
                <w:lang w:val="es-ES"/>
              </w:rPr>
              <w:t>Exp</w:t>
            </w:r>
            <w:proofErr w:type="spellEnd"/>
            <w:r w:rsidRPr="00A33EE7">
              <w:rPr>
                <w:rFonts w:ascii="Verdana" w:hAnsi="Verdana" w:cs="Arial"/>
                <w:lang w:val="es-ES"/>
              </w:rPr>
              <w:t>. 69.503.</w:t>
            </w:r>
          </w:p>
          <w:p w14:paraId="076AE4AB" w14:textId="77777777" w:rsidR="00391E3E" w:rsidRPr="00AF44FB"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 xml:space="preserve">DÁVILA VINUEZA, Luis Guillermo. Régimen jurídico de la contratación estatal. Tercera Edición. Bogotá: Legis, 2016. </w:t>
            </w:r>
          </w:p>
          <w:p w14:paraId="2AD31A90" w14:textId="77777777" w:rsidR="00391E3E" w:rsidRPr="00A33EE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A33EE7">
              <w:rPr>
                <w:rFonts w:ascii="Verdana" w:hAnsi="Verdana" w:cs="Arial"/>
                <w:lang w:val="es-ES"/>
              </w:rPr>
              <w:t xml:space="preserve">MARÍN HERNÁNDEZ, Hugo Alberto. Naturaleza jurídica de las facultades de la Administración para confeccionar pliego de condiciones. En: Revista digital de Derecho Administrativo. </w:t>
            </w:r>
            <w:proofErr w:type="spellStart"/>
            <w:r w:rsidRPr="00A33EE7">
              <w:rPr>
                <w:rFonts w:ascii="Verdana" w:hAnsi="Verdana" w:cs="Arial"/>
                <w:lang w:val="es-ES"/>
              </w:rPr>
              <w:t>Vol</w:t>
            </w:r>
            <w:proofErr w:type="spellEnd"/>
            <w:r w:rsidRPr="00A33EE7">
              <w:rPr>
                <w:rFonts w:ascii="Verdana" w:hAnsi="Verdana" w:cs="Arial"/>
                <w:lang w:val="es-ES"/>
              </w:rPr>
              <w:t xml:space="preserve"> I. </w:t>
            </w:r>
            <w:proofErr w:type="spellStart"/>
            <w:r w:rsidRPr="00A33EE7">
              <w:rPr>
                <w:rFonts w:ascii="Verdana" w:hAnsi="Verdana" w:cs="Arial"/>
                <w:lang w:val="es-ES"/>
              </w:rPr>
              <w:t>Bogota</w:t>
            </w:r>
            <w:proofErr w:type="spellEnd"/>
            <w:r w:rsidRPr="00A33EE7">
              <w:rPr>
                <w:rFonts w:ascii="Verdana" w:hAnsi="Verdana" w:cs="Arial"/>
                <w:lang w:val="es-ES"/>
              </w:rPr>
              <w:t xml:space="preserve">: Universidad Externado de Colombia, 2008. pp. 13-14.  </w:t>
            </w:r>
          </w:p>
          <w:p w14:paraId="7FAEC0C1" w14:textId="77777777" w:rsidR="00391E3E" w:rsidRPr="00A33EE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AF44FB">
              <w:rPr>
                <w:rFonts w:ascii="Verdana" w:hAnsi="Verdana" w:cs="Arial"/>
                <w:lang w:val="es-ES"/>
              </w:rPr>
              <w:t>PALACIO HINCAPIÉ, Juan Ángel. La contratación de las entidades estatales. 8 ed. Medellín: Librería Jurídica R S.A.S., 2020.</w:t>
            </w:r>
          </w:p>
          <w:p w14:paraId="6E25A006" w14:textId="77777777" w:rsidR="00391E3E" w:rsidRPr="00A33EE7" w:rsidRDefault="00391E3E" w:rsidP="00391E3E">
            <w:pPr>
              <w:widowControl w:val="0"/>
              <w:numPr>
                <w:ilvl w:val="0"/>
                <w:numId w:val="20"/>
              </w:numPr>
              <w:autoSpaceDE w:val="0"/>
              <w:autoSpaceDN w:val="0"/>
              <w:spacing w:before="120" w:after="120" w:line="276" w:lineRule="auto"/>
              <w:jc w:val="both"/>
              <w:rPr>
                <w:rFonts w:ascii="Verdana" w:hAnsi="Verdana" w:cs="Arial"/>
                <w:lang w:val="es-ES"/>
              </w:rPr>
            </w:pPr>
            <w:r w:rsidRPr="00A33EE7">
              <w:rPr>
                <w:rFonts w:ascii="Verdana" w:hAnsi="Verdana" w:cs="Arial"/>
                <w:lang w:val="es-ES"/>
              </w:rPr>
              <w:t xml:space="preserve">AGENCIA NACIONAL DE CONTRATACIÓN PÚBLICA – COLOMBIA COMPRA EFICIENTE. Manual de la Modalidad de Selección de Mínima Cuantía En: </w:t>
            </w:r>
            <w:hyperlink r:id="rId14" w:history="1">
              <w:r w:rsidRPr="00EC2D3C">
                <w:rPr>
                  <w:rStyle w:val="Hipervnculo"/>
                  <w:rFonts w:ascii="Verdana" w:hAnsi="Verdana" w:cs="Arial"/>
                  <w:lang w:val="es-ES"/>
                </w:rPr>
                <w:t>https://www.colombiacompra.gov.co/manuales-guias-y-pliegos-tipo/manuales-y-guias</w:t>
              </w:r>
            </w:hyperlink>
            <w:r>
              <w:rPr>
                <w:rFonts w:ascii="Verdana" w:hAnsi="Verdana" w:cs="Arial"/>
                <w:lang w:val="es-ES"/>
              </w:rPr>
              <w:t xml:space="preserve">. </w:t>
            </w:r>
          </w:p>
          <w:p w14:paraId="34790662" w14:textId="77777777" w:rsidR="00391E3E" w:rsidRPr="00CE3B27" w:rsidRDefault="00391E3E" w:rsidP="00391E3E">
            <w:pPr>
              <w:widowControl w:val="0"/>
              <w:numPr>
                <w:ilvl w:val="0"/>
                <w:numId w:val="20"/>
              </w:numPr>
              <w:autoSpaceDE w:val="0"/>
              <w:autoSpaceDN w:val="0"/>
              <w:spacing w:after="120" w:line="276" w:lineRule="auto"/>
              <w:jc w:val="both"/>
              <w:rPr>
                <w:rFonts w:ascii="Verdana" w:hAnsi="Verdana" w:cs="Arial"/>
                <w:lang w:val="es-ES"/>
              </w:rPr>
            </w:pPr>
            <w:r w:rsidRPr="00367ED9">
              <w:rPr>
                <w:rFonts w:ascii="Verdana" w:hAnsi="Verdana" w:cs="Arial"/>
                <w:lang w:val="es-ES"/>
              </w:rPr>
              <w:t xml:space="preserve">AGENCIA NACIONAL DE CONTRATACIÓN PÚBLICA –COLOMBIA </w:t>
            </w:r>
            <w:r w:rsidRPr="00367ED9">
              <w:rPr>
                <w:rFonts w:ascii="Verdana" w:hAnsi="Verdana" w:cs="Arial"/>
                <w:lang w:val="es-ES"/>
              </w:rPr>
              <w:lastRenderedPageBreak/>
              <w:t xml:space="preserve">COMPRA EFICIENTE. </w:t>
            </w:r>
            <w:r w:rsidRPr="00367ED9">
              <w:rPr>
                <w:rFonts w:ascii="Verdana" w:hAnsi="Verdana" w:cs="Arial"/>
              </w:rPr>
              <w:t xml:space="preserve">Manual para determinar los requisitos habilitantes en los procesos de contratación, 2023. Disponible en línea: </w:t>
            </w:r>
            <w:hyperlink r:id="rId15" w:history="1">
              <w:r w:rsidRPr="00367ED9">
                <w:rPr>
                  <w:rFonts w:ascii="Verdana" w:hAnsi="Verdana" w:cs="Arial"/>
                  <w:color w:val="0000FF"/>
                  <w:u w:val="single"/>
                </w:rPr>
                <w:t>https://www.colombiacompra.gov.co/archivos/manual/manual-para-determinar-y-verificar-los-requisitos-habilitantes-en-los-procesos-de-contratacion</w:t>
              </w:r>
            </w:hyperlink>
            <w:r w:rsidRPr="00367ED9">
              <w:rPr>
                <w:rFonts w:ascii="Verdana" w:hAnsi="Verdana" w:cs="Arial"/>
              </w:rPr>
              <w:t xml:space="preserve"> </w:t>
            </w:r>
          </w:p>
        </w:tc>
      </w:tr>
    </w:tbl>
    <w:p w14:paraId="0FB1C9B1" w14:textId="77777777" w:rsidR="00391E3E" w:rsidRPr="00CE3B27" w:rsidRDefault="00391E3E" w:rsidP="00391E3E">
      <w:pPr>
        <w:spacing w:line="276" w:lineRule="auto"/>
        <w:ind w:right="709"/>
        <w:contextualSpacing/>
        <w:jc w:val="both"/>
        <w:rPr>
          <w:rFonts w:ascii="Verdana" w:hAnsi="Verdana" w:cs="Arial"/>
          <w:color w:val="000000" w:themeColor="text1"/>
        </w:rPr>
      </w:pPr>
    </w:p>
    <w:p w14:paraId="32935568" w14:textId="77777777" w:rsidR="00391E3E" w:rsidRPr="002B5C7D" w:rsidRDefault="00391E3E" w:rsidP="00391E3E">
      <w:pPr>
        <w:numPr>
          <w:ilvl w:val="0"/>
          <w:numId w:val="19"/>
        </w:numPr>
        <w:spacing w:after="0" w:line="256" w:lineRule="auto"/>
        <w:rPr>
          <w:rFonts w:ascii="Verdana" w:eastAsia="Calibri" w:hAnsi="Verdana" w:cs="Times New Roman"/>
          <w:b/>
          <w:bCs/>
          <w:lang w:val="es-ES"/>
        </w:rPr>
      </w:pPr>
      <w:r w:rsidRPr="002B5C7D">
        <w:rPr>
          <w:rFonts w:ascii="Verdana" w:eastAsia="Calibri" w:hAnsi="Verdana" w:cs="Times New Roman"/>
          <w:b/>
          <w:bCs/>
          <w:lang w:val="es-ES"/>
        </w:rPr>
        <w:t>Doctrina de la Agencia Nacional de Contratación Pública:</w:t>
      </w:r>
    </w:p>
    <w:p w14:paraId="594042E8" w14:textId="77777777" w:rsidR="00391E3E" w:rsidRPr="002B5C7D" w:rsidRDefault="00391E3E" w:rsidP="00391E3E">
      <w:pPr>
        <w:spacing w:after="0" w:line="256" w:lineRule="auto"/>
        <w:rPr>
          <w:rFonts w:ascii="Verdana" w:eastAsia="Calibri" w:hAnsi="Verdana" w:cs="Times New Roman"/>
          <w:lang w:val="es-ES"/>
        </w:rPr>
      </w:pPr>
    </w:p>
    <w:p w14:paraId="1153AD1A" w14:textId="77777777" w:rsidR="00391E3E" w:rsidRPr="00A33EE7" w:rsidRDefault="00391E3E" w:rsidP="00391E3E">
      <w:pPr>
        <w:widowControl w:val="0"/>
        <w:autoSpaceDE w:val="0"/>
        <w:autoSpaceDN w:val="0"/>
        <w:spacing w:after="0" w:line="276" w:lineRule="auto"/>
        <w:jc w:val="both"/>
        <w:rPr>
          <w:rFonts w:ascii="Verdana" w:hAnsi="Verdana" w:cs="Arial"/>
          <w:bCs/>
          <w:shd w:val="clear" w:color="auto" w:fill="FFFFFF"/>
          <w:lang w:val="es-ES_tradnl"/>
        </w:rPr>
      </w:pPr>
      <w:r w:rsidRPr="00A0298E">
        <w:rPr>
          <w:rFonts w:ascii="Verdana" w:hAnsi="Verdana" w:cs="Arial"/>
          <w:shd w:val="clear" w:color="auto" w:fill="FFFFFF"/>
          <w:lang w:val="es-ES"/>
        </w:rPr>
        <w:t xml:space="preserve">La Subdirección de Gestión Contractual de la Agencia Nacional de Contratación Pública – Colombia Compra Eficiente ha analizado </w:t>
      </w:r>
      <w:r w:rsidRPr="00A0298E">
        <w:rPr>
          <w:rFonts w:ascii="Verdana" w:hAnsi="Verdana" w:cs="Arial"/>
          <w:bCs/>
          <w:shd w:val="clear" w:color="auto" w:fill="FFFFFF"/>
          <w:lang w:val="es-ES_tradnl"/>
        </w:rPr>
        <w:t>particularidades de la modalidad de selección de mínima cuantía en los conceptos con radicado No. 2201913000006236 de 26 de agosto de 2019, C–108 del 3 de marzo de 2020, C–121 del 3 de marzo de 2020, C–122 del 25 de marzo de 2020 y C–160 del 3 de abril de 2020, C-465 del 27 de julio de 2020, C-557 del 21 de agosto de 2020, C-734 del 16 de diciembre de 2020, C-123 del 12 de mayo de 2023, C-069 del 26 de febrero de 2025, C-069 del 26</w:t>
      </w:r>
      <w:r>
        <w:rPr>
          <w:rFonts w:ascii="Verdana" w:hAnsi="Verdana" w:cs="Arial"/>
          <w:bCs/>
          <w:shd w:val="clear" w:color="auto" w:fill="FFFFFF"/>
          <w:lang w:val="es-ES_tradnl"/>
        </w:rPr>
        <w:t xml:space="preserve"> de febrero de 2025, C-945 del 23 de agosto de 2025, entre otros.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2248AB9" w14:textId="77777777" w:rsidR="00391E3E" w:rsidRPr="00185EE9" w:rsidRDefault="00391E3E" w:rsidP="00391E3E">
      <w:pPr>
        <w:spacing w:after="0" w:line="256" w:lineRule="auto"/>
        <w:jc w:val="both"/>
        <w:rPr>
          <w:rFonts w:ascii="Verdana" w:eastAsia="Calibri" w:hAnsi="Verdana" w:cs="Times New Roman"/>
        </w:rPr>
      </w:pPr>
      <w:hyperlink r:id="rId16"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5EEAB199" w14:textId="77777777" w:rsidR="00391E3E" w:rsidRDefault="00391E3E" w:rsidP="00391E3E">
      <w:pPr>
        <w:spacing w:after="0"/>
        <w:jc w:val="both"/>
        <w:rPr>
          <w:rFonts w:ascii="Verdana" w:hAnsi="Verdana"/>
        </w:rPr>
      </w:pPr>
    </w:p>
    <w:p w14:paraId="6CAC24FA" w14:textId="77777777" w:rsidR="00391E3E" w:rsidRPr="0044528D" w:rsidRDefault="00391E3E" w:rsidP="00391E3E">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3138854" w14:textId="77777777" w:rsidR="00391E3E" w:rsidRPr="0044528D" w:rsidRDefault="00391E3E" w:rsidP="00391E3E">
      <w:pPr>
        <w:spacing w:after="0" w:line="240" w:lineRule="auto"/>
        <w:jc w:val="both"/>
        <w:rPr>
          <w:rFonts w:ascii="Verdana" w:hAnsi="Verdana"/>
        </w:rPr>
      </w:pPr>
    </w:p>
    <w:p w14:paraId="3F61BB95" w14:textId="77777777" w:rsidR="00391E3E" w:rsidRPr="0044528D" w:rsidRDefault="00391E3E" w:rsidP="00391E3E">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23661E65" w14:textId="77777777" w:rsidR="00391E3E" w:rsidRPr="0044528D" w:rsidRDefault="00391E3E" w:rsidP="00391E3E">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1FA8C550" w14:textId="77777777" w:rsidR="00391E3E" w:rsidRPr="0044528D" w:rsidRDefault="00391E3E" w:rsidP="00391E3E">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28A63F84" w14:textId="77777777" w:rsidR="00391E3E" w:rsidRPr="0044528D" w:rsidRDefault="00391E3E" w:rsidP="00391E3E">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7" w:history="1">
        <w:r w:rsidRPr="0044528D">
          <w:rPr>
            <w:rStyle w:val="Hipervnculo"/>
            <w:rFonts w:ascii="Verdana" w:hAnsi="Verdana"/>
          </w:rPr>
          <w:t>www.colombiacompra.gov.co</w:t>
        </w:r>
      </w:hyperlink>
    </w:p>
    <w:p w14:paraId="0CDF804D" w14:textId="77777777" w:rsidR="00391E3E" w:rsidRPr="0044528D" w:rsidRDefault="00391E3E" w:rsidP="00391E3E">
      <w:pPr>
        <w:pStyle w:val="Prrafodelista"/>
        <w:spacing w:after="0" w:line="240" w:lineRule="auto"/>
        <w:ind w:left="785"/>
        <w:jc w:val="both"/>
        <w:rPr>
          <w:rFonts w:ascii="Verdana" w:hAnsi="Verdana"/>
        </w:rPr>
      </w:pPr>
    </w:p>
    <w:p w14:paraId="7549B92D" w14:textId="77777777" w:rsidR="00391E3E" w:rsidRPr="0044528D" w:rsidRDefault="00391E3E" w:rsidP="00391E3E">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2851DDD3" w14:textId="77777777" w:rsidR="00391E3E" w:rsidRPr="0044528D" w:rsidRDefault="00391E3E" w:rsidP="00391E3E">
      <w:pPr>
        <w:spacing w:after="0" w:line="240" w:lineRule="auto"/>
        <w:jc w:val="both"/>
        <w:rPr>
          <w:rFonts w:ascii="Verdana" w:hAnsi="Verdana"/>
        </w:rPr>
      </w:pPr>
    </w:p>
    <w:p w14:paraId="67B79F79" w14:textId="77777777" w:rsidR="00391E3E" w:rsidRPr="0044528D" w:rsidRDefault="00391E3E" w:rsidP="00391E3E">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0A6DCB2A" w14:textId="77777777" w:rsidR="00391E3E" w:rsidRPr="0044528D" w:rsidRDefault="00391E3E" w:rsidP="00391E3E">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3117B472" w14:textId="77777777" w:rsidR="00391E3E" w:rsidRPr="0044528D" w:rsidRDefault="00391E3E" w:rsidP="00391E3E">
      <w:pPr>
        <w:spacing w:after="0" w:line="240" w:lineRule="auto"/>
        <w:jc w:val="both"/>
        <w:rPr>
          <w:rFonts w:ascii="Verdana" w:hAnsi="Verdana"/>
        </w:rPr>
      </w:pPr>
      <w:r w:rsidRPr="0044528D">
        <w:rPr>
          <w:rFonts w:ascii="Verdana" w:hAnsi="Verdana"/>
        </w:rPr>
        <w:lastRenderedPageBreak/>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75723701" w14:textId="77777777" w:rsidR="00391E3E" w:rsidRDefault="00391E3E" w:rsidP="00391E3E">
      <w:pPr>
        <w:spacing w:after="0" w:line="240" w:lineRule="auto"/>
        <w:jc w:val="both"/>
        <w:rPr>
          <w:rFonts w:ascii="Verdana" w:hAnsi="Verdana"/>
        </w:rPr>
      </w:pPr>
    </w:p>
    <w:p w14:paraId="39B5070B" w14:textId="77777777" w:rsidR="00391E3E" w:rsidRPr="00A12CB6" w:rsidRDefault="00391E3E" w:rsidP="00391E3E">
      <w:pPr>
        <w:spacing w:after="0" w:line="256" w:lineRule="auto"/>
        <w:jc w:val="both"/>
        <w:rPr>
          <w:rFonts w:ascii="Verdana" w:eastAsia="Calibri" w:hAnsi="Verdana" w:cs="Times New Roman"/>
          <w:bCs/>
          <w:lang w:val="es-ES_tradnl"/>
        </w:rPr>
      </w:pPr>
      <w:r w:rsidRPr="00A12CB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0DBF734" w14:textId="77777777" w:rsidR="00391E3E" w:rsidRPr="001358C0" w:rsidRDefault="00391E3E" w:rsidP="00391E3E">
      <w:pPr>
        <w:spacing w:after="0" w:line="240" w:lineRule="auto"/>
        <w:jc w:val="both"/>
        <w:rPr>
          <w:rFonts w:ascii="Verdana" w:hAnsi="Verdana"/>
          <w:lang w:val="es-ES_tradnl"/>
        </w:rPr>
      </w:pPr>
    </w:p>
    <w:p w14:paraId="41A7674C" w14:textId="77777777" w:rsidR="00391E3E" w:rsidRDefault="00391E3E" w:rsidP="00391E3E">
      <w:pPr>
        <w:spacing w:after="0" w:line="240" w:lineRule="auto"/>
        <w:jc w:val="both"/>
        <w:rPr>
          <w:rFonts w:ascii="Verdana" w:hAnsi="Verdana"/>
          <w:lang w:val="es-MX"/>
        </w:rPr>
      </w:pPr>
      <w:r w:rsidRPr="0044528D">
        <w:rPr>
          <w:rFonts w:ascii="Verdana" w:hAnsi="Verdana"/>
          <w:lang w:val="es-MX"/>
        </w:rPr>
        <w:t>Cordialmente,</w:t>
      </w:r>
    </w:p>
    <w:p w14:paraId="4E32AD8B" w14:textId="77777777" w:rsidR="00391E3E" w:rsidRDefault="00391E3E" w:rsidP="00391E3E">
      <w:pPr>
        <w:rPr>
          <w:lang w:val="es-ES"/>
        </w:rPr>
      </w:pPr>
    </w:p>
    <w:p w14:paraId="09388CA9" w14:textId="10782C26" w:rsidR="00391E3E" w:rsidRPr="00045117" w:rsidRDefault="001602FA" w:rsidP="00391E3E">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D427715" wp14:editId="29DF5332">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312722" cy="1229722"/>
                    </a:xfrm>
                    <a:prstGeom prst="rect">
                      <a:avLst/>
                    </a:prstGeom>
                  </pic:spPr>
                </pic:pic>
              </a:graphicData>
            </a:graphic>
          </wp:inline>
        </w:drawing>
      </w:r>
    </w:p>
    <w:p w14:paraId="5978D6BB" w14:textId="77777777" w:rsidR="00391E3E" w:rsidRPr="00045117" w:rsidRDefault="00391E3E" w:rsidP="00391E3E">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91E3E" w:rsidRPr="00045117" w14:paraId="50E4F5FA" w14:textId="77777777" w:rsidTr="00D2302C">
        <w:trPr>
          <w:trHeight w:val="409"/>
        </w:trPr>
        <w:tc>
          <w:tcPr>
            <w:tcW w:w="817" w:type="dxa"/>
            <w:tcBorders>
              <w:top w:val="nil"/>
              <w:left w:val="nil"/>
              <w:bottom w:val="nil"/>
              <w:right w:val="nil"/>
            </w:tcBorders>
            <w:vAlign w:val="center"/>
            <w:hideMark/>
          </w:tcPr>
          <w:p w14:paraId="0BD2ABA3"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C0F4EAE"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José Luis Sánchez Cardona</w:t>
            </w:r>
          </w:p>
          <w:p w14:paraId="624A211B"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Contratista de la Subdirección de Gestión Contractual</w:t>
            </w:r>
          </w:p>
        </w:tc>
      </w:tr>
      <w:tr w:rsidR="00391E3E" w:rsidRPr="00045117" w14:paraId="283E0F4B" w14:textId="77777777" w:rsidTr="00D2302C">
        <w:trPr>
          <w:trHeight w:val="409"/>
        </w:trPr>
        <w:tc>
          <w:tcPr>
            <w:tcW w:w="817" w:type="dxa"/>
            <w:tcBorders>
              <w:top w:val="nil"/>
              <w:left w:val="nil"/>
              <w:bottom w:val="nil"/>
              <w:right w:val="nil"/>
            </w:tcBorders>
            <w:vAlign w:val="center"/>
            <w:hideMark/>
          </w:tcPr>
          <w:p w14:paraId="7ABD6A9B"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FAFC700"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Alejandro Sarmiento Cantillo</w:t>
            </w:r>
          </w:p>
          <w:p w14:paraId="25722D3C"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Gestor T1-15 de la Subdirección de Gestión Contractual </w:t>
            </w:r>
          </w:p>
        </w:tc>
      </w:tr>
      <w:tr w:rsidR="00391E3E" w:rsidRPr="00045117" w14:paraId="28F53992" w14:textId="77777777" w:rsidTr="00D2302C">
        <w:trPr>
          <w:trHeight w:val="389"/>
        </w:trPr>
        <w:tc>
          <w:tcPr>
            <w:tcW w:w="817" w:type="dxa"/>
            <w:tcBorders>
              <w:top w:val="nil"/>
              <w:left w:val="nil"/>
              <w:bottom w:val="nil"/>
              <w:right w:val="nil"/>
            </w:tcBorders>
            <w:vAlign w:val="center"/>
            <w:hideMark/>
          </w:tcPr>
          <w:p w14:paraId="6FDD886F"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0C80283"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 xml:space="preserve">Carolina Quintero </w:t>
            </w:r>
            <w:proofErr w:type="spellStart"/>
            <w:r w:rsidRPr="00045117">
              <w:rPr>
                <w:rFonts w:ascii="Verdana" w:eastAsia="Calibri" w:hAnsi="Verdana" w:cs="Times New Roman"/>
                <w:sz w:val="16"/>
                <w:szCs w:val="16"/>
              </w:rPr>
              <w:t>Gacharná</w:t>
            </w:r>
            <w:proofErr w:type="spellEnd"/>
          </w:p>
          <w:p w14:paraId="34151C8E" w14:textId="77777777" w:rsidR="00391E3E" w:rsidRPr="00045117" w:rsidRDefault="00391E3E" w:rsidP="00D2302C">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Subdirectora de Gestión Contractual ANCP – CCE</w:t>
            </w:r>
          </w:p>
        </w:tc>
      </w:tr>
      <w:bookmarkEnd w:id="0"/>
    </w:tbl>
    <w:p w14:paraId="62AE628A" w14:textId="77777777" w:rsidR="00391E3E" w:rsidRPr="0044528D" w:rsidRDefault="00391E3E" w:rsidP="00391E3E">
      <w:pPr>
        <w:spacing w:after="0"/>
        <w:rPr>
          <w:rFonts w:ascii="Verdana" w:hAnsi="Verdana"/>
        </w:rPr>
      </w:pPr>
    </w:p>
    <w:p w14:paraId="4E7E531D" w14:textId="77777777" w:rsidR="009534B9" w:rsidRPr="00391E3E" w:rsidRDefault="009534B9" w:rsidP="00391E3E"/>
    <w:sectPr w:rsidR="009534B9" w:rsidRPr="00391E3E"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827EC" w14:textId="77777777" w:rsidR="00B51C8F" w:rsidRDefault="00B51C8F" w:rsidP="004A1847">
      <w:pPr>
        <w:spacing w:after="0" w:line="240" w:lineRule="auto"/>
      </w:pPr>
      <w:r>
        <w:separator/>
      </w:r>
    </w:p>
  </w:endnote>
  <w:endnote w:type="continuationSeparator" w:id="0">
    <w:p w14:paraId="2FE6A8E0" w14:textId="77777777" w:rsidR="00B51C8F" w:rsidRDefault="00B51C8F" w:rsidP="004A1847">
      <w:pPr>
        <w:spacing w:after="0" w:line="240" w:lineRule="auto"/>
      </w:pPr>
      <w:r>
        <w:continuationSeparator/>
      </w:r>
    </w:p>
  </w:endnote>
  <w:endnote w:type="continuationNotice" w:id="1">
    <w:p w14:paraId="1B18AC1F" w14:textId="77777777" w:rsidR="00B51C8F" w:rsidRDefault="00B51C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5182791"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1602FA" w:rsidRPr="001602FA">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0EC9A" w14:textId="77777777" w:rsidR="00B51C8F" w:rsidRDefault="00B51C8F" w:rsidP="004A1847">
      <w:pPr>
        <w:spacing w:after="0" w:line="240" w:lineRule="auto"/>
      </w:pPr>
      <w:r>
        <w:separator/>
      </w:r>
    </w:p>
  </w:footnote>
  <w:footnote w:type="continuationSeparator" w:id="0">
    <w:p w14:paraId="208A1052" w14:textId="77777777" w:rsidR="00B51C8F" w:rsidRDefault="00B51C8F" w:rsidP="004A1847">
      <w:pPr>
        <w:spacing w:after="0" w:line="240" w:lineRule="auto"/>
      </w:pPr>
      <w:r>
        <w:continuationSeparator/>
      </w:r>
    </w:p>
  </w:footnote>
  <w:footnote w:type="continuationNotice" w:id="1">
    <w:p w14:paraId="129C1F21" w14:textId="77777777" w:rsidR="00B51C8F" w:rsidRDefault="00B51C8F">
      <w:pPr>
        <w:spacing w:after="0" w:line="240" w:lineRule="auto"/>
      </w:pPr>
    </w:p>
  </w:footnote>
  <w:footnote w:id="2">
    <w:p w14:paraId="02606EE8" w14:textId="77777777" w:rsidR="00391E3E" w:rsidRPr="007E6C64" w:rsidRDefault="00391E3E" w:rsidP="00391E3E">
      <w:pPr>
        <w:pStyle w:val="Textonotapie"/>
        <w:ind w:firstLine="709"/>
        <w:jc w:val="both"/>
        <w:rPr>
          <w:rFonts w:ascii="Verdana" w:hAnsi="Verdana"/>
          <w:sz w:val="16"/>
          <w:szCs w:val="16"/>
          <w:lang w:val="es-ES_tradnl"/>
        </w:rPr>
      </w:pPr>
      <w:r w:rsidRPr="00085DA5">
        <w:rPr>
          <w:rStyle w:val="Refdenotaalpie"/>
          <w:rFonts w:ascii="Verdana" w:hAnsi="Verdana"/>
          <w:sz w:val="16"/>
          <w:szCs w:val="16"/>
        </w:rPr>
        <w:footnoteRef/>
      </w:r>
      <w:r w:rsidRPr="00085DA5">
        <w:rPr>
          <w:rFonts w:ascii="Verdana" w:hAnsi="Verdana"/>
          <w:sz w:val="16"/>
          <w:szCs w:val="16"/>
        </w:rPr>
        <w:t xml:space="preserve"> </w:t>
      </w:r>
      <w:r w:rsidRPr="00085DA5">
        <w:rPr>
          <w:rFonts w:ascii="Verdana" w:hAnsi="Verdana"/>
          <w:sz w:val="16"/>
          <w:szCs w:val="16"/>
          <w:lang w:val="es-ES_tradnl"/>
        </w:rPr>
        <w:t>Esto lo ratifica el artículo 2.2.1.2.1.5.2. del Decreto 1082 de 2015.</w:t>
      </w:r>
    </w:p>
  </w:footnote>
  <w:footnote w:id="3">
    <w:p w14:paraId="488B6CB5"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DÁVILA VINUEZA, Luis Guillermo. Régimen jurídico de la contratación estatal. 3ª ed. Bogotá: Legis, 2016. p. 463.</w:t>
      </w:r>
    </w:p>
  </w:footnote>
  <w:footnote w:id="4">
    <w:p w14:paraId="27D63EF7"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613A40BA"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“Para las entidades que tengan un presupuesto anual superior o igual a 1.200.000 salarios mínimos legales mensuales, la menor cuantía será hasta 1.000 salarios mínimos legales mensuales.</w:t>
      </w:r>
    </w:p>
    <w:p w14:paraId="12D205DA"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1E372D5A"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45D38F2A"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6028244F" w14:textId="77777777" w:rsidR="00391E3E" w:rsidRPr="00085DA5" w:rsidRDefault="00391E3E" w:rsidP="00391E3E">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inferior a 120.000 salarios mínimos legales mensuales, la menor cuantía será hasta 280 salarios mínimos legales mensuales”.</w:t>
      </w:r>
    </w:p>
  </w:footnote>
  <w:footnote w:id="5">
    <w:p w14:paraId="7F05D3AC" w14:textId="77777777" w:rsidR="00391E3E" w:rsidRPr="007E6C64" w:rsidRDefault="00391E3E" w:rsidP="00391E3E">
      <w:pPr>
        <w:pStyle w:val="Textonotapie"/>
        <w:ind w:firstLine="709"/>
        <w:jc w:val="both"/>
        <w:rPr>
          <w:rFonts w:ascii="Verdana" w:hAnsi="Verdana"/>
          <w:sz w:val="16"/>
          <w:szCs w:val="16"/>
        </w:rPr>
      </w:pPr>
      <w:r w:rsidRPr="007E6C64">
        <w:rPr>
          <w:rStyle w:val="Refdenotaalpie"/>
          <w:rFonts w:ascii="Verdana" w:hAnsi="Verdana"/>
          <w:sz w:val="16"/>
          <w:szCs w:val="16"/>
        </w:rPr>
        <w:footnoteRef/>
      </w:r>
      <w:r w:rsidRPr="007E6C64">
        <w:rPr>
          <w:rFonts w:ascii="Verdana" w:hAnsi="Verdana"/>
          <w:sz w:val="16"/>
          <w:szCs w:val="16"/>
        </w:rPr>
        <w:t xml:space="preserve"> </w:t>
      </w:r>
      <w:r w:rsidRPr="007E6C64">
        <w:rPr>
          <w:rFonts w:ascii="Verdana" w:hAnsi="Verdana"/>
          <w:sz w:val="16"/>
          <w:szCs w:val="16"/>
          <w:lang w:val="es-CO"/>
        </w:rPr>
        <w:t xml:space="preserve">Este artículo fue modificado por el artículo 5 del Decreto 142 de 2023 en los siguientes términos: </w:t>
      </w:r>
      <w:r w:rsidRPr="007E6C64">
        <w:rPr>
          <w:rFonts w:ascii="Verdana" w:hAnsi="Verdana"/>
          <w:bCs/>
          <w:iCs/>
          <w:sz w:val="16"/>
          <w:szCs w:val="16"/>
        </w:rPr>
        <w:t>"Artículo 2.2.1.2.1.5.1. Estudios previos para la contratación de mínima cuantía.</w:t>
      </w:r>
      <w:r w:rsidRPr="007E6C64">
        <w:rPr>
          <w:rFonts w:ascii="Verdana" w:hAnsi="Verdana"/>
          <w:iCs/>
          <w:sz w:val="16"/>
          <w:szCs w:val="16"/>
        </w:rPr>
        <w:t> La Entidad Estatal debe elaborar unos estudios previos que deben contener, como mínimo, lo siguiente: </w:t>
      </w:r>
    </w:p>
    <w:p w14:paraId="1D9659AF" w14:textId="77777777" w:rsidR="00391E3E" w:rsidRPr="007E6C64" w:rsidRDefault="00391E3E" w:rsidP="00391E3E">
      <w:pPr>
        <w:pStyle w:val="Textonotapie"/>
        <w:tabs>
          <w:tab w:val="left" w:pos="142"/>
        </w:tabs>
        <w:ind w:firstLine="709"/>
        <w:jc w:val="both"/>
        <w:rPr>
          <w:rFonts w:ascii="Verdana" w:hAnsi="Verdana"/>
          <w:iCs/>
          <w:sz w:val="16"/>
          <w:szCs w:val="16"/>
        </w:rPr>
      </w:pPr>
      <w:r w:rsidRPr="007E6C64">
        <w:rPr>
          <w:rFonts w:ascii="Verdana" w:hAnsi="Verdana"/>
          <w:iCs/>
          <w:sz w:val="16"/>
          <w:szCs w:val="16"/>
        </w:rPr>
        <w:t xml:space="preserve">1. La descripción de la necesidad que pretende satisfacer con la contratación.  </w:t>
      </w:r>
    </w:p>
    <w:p w14:paraId="2BFB4D24" w14:textId="77777777" w:rsidR="00391E3E" w:rsidRPr="007E6C64" w:rsidRDefault="00391E3E" w:rsidP="00391E3E">
      <w:pPr>
        <w:pStyle w:val="Textonotapie"/>
        <w:tabs>
          <w:tab w:val="left" w:pos="142"/>
        </w:tabs>
        <w:ind w:firstLine="709"/>
        <w:jc w:val="both"/>
        <w:rPr>
          <w:rFonts w:ascii="Verdana" w:hAnsi="Verdana"/>
          <w:sz w:val="16"/>
          <w:szCs w:val="16"/>
        </w:rPr>
      </w:pPr>
      <w:r w:rsidRPr="007E6C64">
        <w:rPr>
          <w:rFonts w:ascii="Verdana" w:hAnsi="Verdana"/>
          <w:iCs/>
          <w:sz w:val="16"/>
          <w:szCs w:val="16"/>
        </w:rPr>
        <w:t>2. La descripción del objeto a contratar identificado con el cuarto nivel del Clasificador de Bienes y Servicios, de ser posible, o de lo contrario con el tercer nivel. </w:t>
      </w:r>
    </w:p>
    <w:p w14:paraId="62CB2B41" w14:textId="77777777" w:rsidR="00391E3E" w:rsidRPr="007E6C64" w:rsidRDefault="00391E3E" w:rsidP="00391E3E">
      <w:pPr>
        <w:pStyle w:val="Textonotapie"/>
        <w:tabs>
          <w:tab w:val="left" w:pos="142"/>
        </w:tabs>
        <w:ind w:firstLine="709"/>
        <w:jc w:val="both"/>
        <w:rPr>
          <w:rFonts w:ascii="Verdana" w:hAnsi="Verdana"/>
          <w:sz w:val="16"/>
          <w:szCs w:val="16"/>
        </w:rPr>
      </w:pPr>
      <w:r w:rsidRPr="007E6C64">
        <w:rPr>
          <w:rFonts w:ascii="Verdana" w:hAnsi="Verdana"/>
          <w:iCs/>
          <w:sz w:val="16"/>
          <w:szCs w:val="16"/>
        </w:rPr>
        <w:t>3. Las condiciones técnicas exigidas.</w:t>
      </w:r>
    </w:p>
    <w:p w14:paraId="274739E7" w14:textId="77777777" w:rsidR="00391E3E" w:rsidRPr="007E6C64" w:rsidRDefault="00391E3E" w:rsidP="00391E3E">
      <w:pPr>
        <w:pStyle w:val="Textonotapie"/>
        <w:tabs>
          <w:tab w:val="left" w:pos="142"/>
        </w:tabs>
        <w:ind w:firstLine="709"/>
        <w:jc w:val="both"/>
        <w:rPr>
          <w:rFonts w:ascii="Verdana" w:hAnsi="Verdana"/>
          <w:sz w:val="16"/>
          <w:szCs w:val="16"/>
        </w:rPr>
      </w:pPr>
      <w:r w:rsidRPr="007E6C64">
        <w:rPr>
          <w:rFonts w:ascii="Verdana" w:hAnsi="Verdana"/>
          <w:iCs/>
          <w:sz w:val="16"/>
          <w:szCs w:val="16"/>
        </w:rPr>
        <w:t>4. El valor estimado del contrato y su justificación.</w:t>
      </w:r>
    </w:p>
    <w:p w14:paraId="72850BDC" w14:textId="77777777" w:rsidR="00391E3E" w:rsidRPr="007E6C64" w:rsidRDefault="00391E3E" w:rsidP="00391E3E">
      <w:pPr>
        <w:pStyle w:val="Textonotapie"/>
        <w:tabs>
          <w:tab w:val="left" w:pos="142"/>
        </w:tabs>
        <w:ind w:firstLine="709"/>
        <w:jc w:val="both"/>
        <w:rPr>
          <w:rFonts w:ascii="Verdana" w:hAnsi="Verdana"/>
          <w:sz w:val="16"/>
          <w:szCs w:val="16"/>
        </w:rPr>
      </w:pPr>
      <w:r w:rsidRPr="007E6C64">
        <w:rPr>
          <w:rFonts w:ascii="Verdana" w:hAnsi="Verdana"/>
          <w:iCs/>
          <w:sz w:val="16"/>
          <w:szCs w:val="16"/>
        </w:rPr>
        <w:t>5. El plazo de ejecución del contrato. </w:t>
      </w:r>
    </w:p>
    <w:p w14:paraId="7524F8EB" w14:textId="77777777" w:rsidR="00391E3E" w:rsidRPr="007E6C64" w:rsidRDefault="00391E3E" w:rsidP="00391E3E">
      <w:pPr>
        <w:pStyle w:val="Textonotapie"/>
        <w:tabs>
          <w:tab w:val="left" w:pos="142"/>
        </w:tabs>
        <w:ind w:firstLine="709"/>
        <w:jc w:val="both"/>
        <w:rPr>
          <w:rFonts w:ascii="Verdana" w:hAnsi="Verdana"/>
          <w:sz w:val="16"/>
          <w:szCs w:val="16"/>
        </w:rPr>
      </w:pPr>
      <w:r w:rsidRPr="007E6C64">
        <w:rPr>
          <w:rFonts w:ascii="Verdana" w:hAnsi="Verdana"/>
          <w:iCs/>
          <w:sz w:val="16"/>
          <w:szCs w:val="16"/>
        </w:rPr>
        <w:t>6. El certificado de disponibilidad presupuesta! que respalda la contratación.</w:t>
      </w:r>
    </w:p>
    <w:p w14:paraId="266E5545" w14:textId="77777777" w:rsidR="00391E3E" w:rsidRDefault="00391E3E" w:rsidP="00391E3E">
      <w:pPr>
        <w:pStyle w:val="Textonotapie"/>
        <w:ind w:firstLine="709"/>
        <w:jc w:val="both"/>
        <w:rPr>
          <w:rFonts w:ascii="Verdana" w:hAnsi="Verdana"/>
          <w:iCs/>
          <w:sz w:val="16"/>
          <w:szCs w:val="16"/>
        </w:rPr>
      </w:pPr>
      <w:r w:rsidRPr="007E6C64">
        <w:rPr>
          <w:rFonts w:ascii="Verdana" w:hAnsi="Verdana"/>
          <w:iCs/>
          <w:sz w:val="16"/>
          <w:szCs w:val="16"/>
        </w:rPr>
        <w:t>Parágrafo. Dentro de las condiciones técnicas exigidas se podrán incluir aspectos ambientales y sociales en los términos establecidos en el parágrafo del artículo 2.2.1.1.2.2.2. del presente Decreto."</w:t>
      </w:r>
    </w:p>
    <w:p w14:paraId="71CA0251" w14:textId="77777777" w:rsidR="00391E3E" w:rsidRPr="007E6C64" w:rsidRDefault="00391E3E" w:rsidP="00391E3E">
      <w:pPr>
        <w:pStyle w:val="Textonotapie"/>
        <w:ind w:firstLine="709"/>
        <w:jc w:val="both"/>
        <w:rPr>
          <w:rFonts w:ascii="Verdana" w:hAnsi="Verdana"/>
          <w:sz w:val="16"/>
          <w:szCs w:val="16"/>
        </w:rPr>
      </w:pPr>
      <w:r w:rsidRPr="007E6C64">
        <w:rPr>
          <w:rFonts w:ascii="Verdana" w:hAnsi="Verdana"/>
          <w:iCs/>
          <w:sz w:val="16"/>
          <w:szCs w:val="16"/>
        </w:rPr>
        <w:t> </w:t>
      </w:r>
    </w:p>
  </w:footnote>
  <w:footnote w:id="6">
    <w:p w14:paraId="6DC7DDDA" w14:textId="77777777" w:rsidR="00391E3E" w:rsidRPr="007F0BA4" w:rsidRDefault="00391E3E" w:rsidP="00391E3E">
      <w:pPr>
        <w:pStyle w:val="Textonotapie"/>
        <w:ind w:firstLine="708"/>
        <w:jc w:val="both"/>
        <w:rPr>
          <w:rFonts w:ascii="Verdana" w:hAnsi="Verdana" w:cs="Arial"/>
          <w:sz w:val="14"/>
          <w:szCs w:val="14"/>
        </w:rPr>
      </w:pPr>
      <w:r w:rsidRPr="007E6C64">
        <w:rPr>
          <w:rStyle w:val="Refdenotaalpie"/>
          <w:rFonts w:ascii="Verdana" w:hAnsi="Verdana" w:cs="Arial"/>
          <w:sz w:val="16"/>
          <w:szCs w:val="16"/>
        </w:rPr>
        <w:footnoteRef/>
      </w:r>
      <w:r w:rsidRPr="007E6C64">
        <w:rPr>
          <w:rFonts w:ascii="Verdana" w:hAnsi="Verdana" w:cs="Arial"/>
          <w:sz w:val="16"/>
          <w:szCs w:val="16"/>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7">
    <w:p w14:paraId="2796DAEC" w14:textId="77777777" w:rsidR="00391E3E" w:rsidRPr="007F0BA4" w:rsidRDefault="00391E3E" w:rsidP="00391E3E">
      <w:pPr>
        <w:pStyle w:val="Textonotapie"/>
        <w:ind w:firstLine="709"/>
        <w:jc w:val="both"/>
        <w:rPr>
          <w:rFonts w:ascii="Verdana" w:hAnsi="Verdana" w:cs="Arial"/>
          <w:i/>
          <w:iCs/>
          <w:color w:val="000000"/>
          <w:sz w:val="14"/>
          <w:szCs w:val="14"/>
          <w:lang w:val="es-ES_tradnl"/>
        </w:rPr>
      </w:pPr>
      <w:r w:rsidRPr="007F0BA4">
        <w:rPr>
          <w:rStyle w:val="Refdenotaalpie"/>
          <w:rFonts w:ascii="Verdana" w:hAnsi="Verdana" w:cs="Arial"/>
          <w:i/>
          <w:iCs/>
          <w:color w:val="000000"/>
          <w:sz w:val="14"/>
          <w:szCs w:val="14"/>
          <w:lang w:val="es-ES_tradnl"/>
        </w:rPr>
        <w:footnoteRef/>
      </w:r>
      <w:r w:rsidRPr="007F0BA4">
        <w:rPr>
          <w:rFonts w:ascii="Verdana" w:hAnsi="Verdana" w:cs="Arial"/>
          <w:i/>
          <w:iCs/>
          <w:color w:val="000000"/>
          <w:sz w:val="14"/>
          <w:szCs w:val="14"/>
          <w:lang w:val="es-ES_tradnl"/>
        </w:rPr>
        <w:t xml:space="preserve"> Agencia Nacional de Contratación Pública – Colombia Compra Eficiente. Manual de la Modalidad de Selección de Mínima Cuantía En:</w:t>
      </w:r>
      <w:r w:rsidRPr="007F0BA4">
        <w:rPr>
          <w:rFonts w:ascii="Verdana" w:hAnsi="Verdana"/>
          <w:i/>
          <w:iCs/>
          <w:sz w:val="14"/>
          <w:szCs w:val="14"/>
        </w:rPr>
        <w:t xml:space="preserve"> </w:t>
      </w:r>
      <w:hyperlink r:id="rId1" w:history="1">
        <w:r w:rsidRPr="007F0BA4">
          <w:rPr>
            <w:rStyle w:val="Hipervnculo"/>
            <w:rFonts w:ascii="Verdana" w:hAnsi="Verdana" w:cs="Arial"/>
            <w:i/>
            <w:iCs/>
            <w:sz w:val="14"/>
            <w:szCs w:val="14"/>
            <w:lang w:val="es-ES_tradnl"/>
          </w:rPr>
          <w:t>https://www.colombiacompra.gov.co/manuales-guias-y-pliegos-tipo/manuales-y-guias</w:t>
        </w:r>
      </w:hyperlink>
    </w:p>
  </w:footnote>
  <w:footnote w:id="8">
    <w:p w14:paraId="61596AC5" w14:textId="77777777" w:rsidR="00391E3E" w:rsidRPr="007F0BA4" w:rsidRDefault="00391E3E" w:rsidP="00391E3E">
      <w:pPr>
        <w:pStyle w:val="Textonotapie"/>
        <w:ind w:firstLine="709"/>
        <w:jc w:val="both"/>
        <w:rPr>
          <w:rFonts w:ascii="Verdana" w:hAnsi="Verdana" w:cs="Arial"/>
          <w:i/>
          <w:iCs/>
          <w:color w:val="000000"/>
          <w:sz w:val="14"/>
          <w:szCs w:val="14"/>
          <w:lang w:val="es-ES_tradnl"/>
        </w:rPr>
      </w:pPr>
      <w:r w:rsidRPr="007F0BA4">
        <w:rPr>
          <w:rStyle w:val="Refdenotaalpie"/>
          <w:rFonts w:ascii="Verdana" w:hAnsi="Verdana" w:cs="Arial"/>
          <w:i/>
          <w:iCs/>
          <w:color w:val="000000"/>
          <w:sz w:val="14"/>
          <w:szCs w:val="14"/>
          <w:lang w:val="es-ES_tradnl"/>
        </w:rPr>
        <w:footnoteRef/>
      </w:r>
      <w:r w:rsidRPr="007F0BA4">
        <w:rPr>
          <w:rFonts w:ascii="Verdana" w:hAnsi="Verdana" w:cs="Arial"/>
          <w:i/>
          <w:iCs/>
          <w:color w:val="000000"/>
          <w:sz w:val="14"/>
          <w:szCs w:val="14"/>
          <w:lang w:val="es-ES_tradnl"/>
        </w:rPr>
        <w:t xml:space="preserve"> Como lo indica la doctrina, en la mínima cuantía “El precio es el factor de selección del proponente. Es decir, la entidad estatal debe adjudicar el proceso de contratación al oferente que cumpla con todas las condiciones exigidas por la entidad estatal en los documentos del proceso (estudios previos e invitación a participar), y que ofrezca el menor valor. No hay lugar a puntajes para evaluar las ofertas sobre las características del objeto a contratar, su calidad o condiciones” (DÁVILA, Op.cit., p. 515).</w:t>
      </w:r>
    </w:p>
  </w:footnote>
  <w:footnote w:id="9">
    <w:p w14:paraId="3E61FC01" w14:textId="77777777" w:rsidR="00391E3E" w:rsidRPr="008849FF" w:rsidRDefault="00391E3E" w:rsidP="00391E3E">
      <w:pPr>
        <w:pStyle w:val="NormalWeb"/>
        <w:snapToGrid w:val="0"/>
        <w:spacing w:before="0" w:beforeAutospacing="0" w:after="0" w:afterAutospacing="0"/>
        <w:ind w:firstLine="709"/>
        <w:contextualSpacing/>
        <w:jc w:val="both"/>
        <w:rPr>
          <w:rFonts w:ascii="Verdana" w:hAnsi="Verdana" w:cs="Arial"/>
          <w:sz w:val="16"/>
          <w:szCs w:val="16"/>
        </w:rPr>
      </w:pPr>
      <w:r w:rsidRPr="008849FF">
        <w:rPr>
          <w:rStyle w:val="Refdenotaalpie"/>
          <w:rFonts w:ascii="Verdana" w:hAnsi="Verdana" w:cs="Arial"/>
          <w:sz w:val="16"/>
          <w:szCs w:val="16"/>
        </w:rPr>
        <w:footnoteRef/>
      </w:r>
      <w:r w:rsidRPr="008849FF">
        <w:rPr>
          <w:rFonts w:ascii="Verdana" w:hAnsi="Verdana" w:cs="Arial"/>
          <w:sz w:val="16"/>
          <w:szCs w:val="16"/>
        </w:rPr>
        <w:t xml:space="preserve"> </w:t>
      </w:r>
      <w:r w:rsidRPr="008849FF">
        <w:rPr>
          <w:rFonts w:ascii="Verdana" w:hAnsi="Verdana" w:cs="Arial"/>
          <w:sz w:val="16"/>
          <w:szCs w:val="16"/>
          <w:lang w:val="es-ES"/>
        </w:rPr>
        <w:t>“</w:t>
      </w:r>
      <w:r w:rsidRPr="008849FF">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500D968B" w14:textId="77777777" w:rsidR="00391E3E" w:rsidRPr="008849FF" w:rsidRDefault="00391E3E" w:rsidP="00391E3E">
      <w:pPr>
        <w:snapToGrid w:val="0"/>
        <w:spacing w:after="0" w:line="240" w:lineRule="auto"/>
        <w:ind w:firstLine="708"/>
        <w:contextualSpacing/>
        <w:jc w:val="both"/>
        <w:rPr>
          <w:rFonts w:ascii="Verdana" w:hAnsi="Verdana" w:cs="Arial"/>
          <w:sz w:val="16"/>
          <w:szCs w:val="16"/>
        </w:rPr>
      </w:pPr>
      <w:r w:rsidRPr="008849FF">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10">
    <w:p w14:paraId="345526B7" w14:textId="77777777" w:rsidR="00391E3E" w:rsidRPr="008849FF" w:rsidRDefault="00391E3E" w:rsidP="00391E3E">
      <w:pPr>
        <w:pStyle w:val="Textonotapie"/>
        <w:ind w:firstLine="708"/>
        <w:rPr>
          <w:rFonts w:ascii="Verdana" w:hAnsi="Verdana"/>
          <w:sz w:val="16"/>
          <w:szCs w:val="16"/>
        </w:rPr>
      </w:pPr>
      <w:r w:rsidRPr="008849FF">
        <w:rPr>
          <w:rStyle w:val="Refdenotaalpie"/>
          <w:rFonts w:ascii="Verdana" w:hAnsi="Verdana"/>
          <w:sz w:val="16"/>
          <w:szCs w:val="16"/>
        </w:rPr>
        <w:footnoteRef/>
      </w:r>
      <w:r w:rsidRPr="008849FF">
        <w:rPr>
          <w:rFonts w:ascii="Verdana" w:hAnsi="Verdana"/>
          <w:sz w:val="16"/>
          <w:szCs w:val="16"/>
        </w:rPr>
        <w:t xml:space="preserve"> Ibídem., p. 5. </w:t>
      </w:r>
    </w:p>
  </w:footnote>
  <w:footnote w:id="11">
    <w:p w14:paraId="41BB1A9D" w14:textId="77777777" w:rsidR="00391E3E" w:rsidRPr="00635BEF" w:rsidRDefault="00391E3E" w:rsidP="00391E3E">
      <w:pPr>
        <w:pStyle w:val="Textonotapie"/>
        <w:spacing w:after="60"/>
        <w:ind w:firstLine="709"/>
        <w:jc w:val="both"/>
        <w:rPr>
          <w:rFonts w:ascii="Verdana" w:hAnsi="Verdana" w:cs="Arial"/>
          <w:sz w:val="16"/>
          <w:szCs w:val="16"/>
        </w:rPr>
      </w:pPr>
      <w:r w:rsidRPr="00635BEF">
        <w:rPr>
          <w:rStyle w:val="Refdenotaalpie"/>
          <w:rFonts w:ascii="Verdana" w:hAnsi="Verdana" w:cs="Arial"/>
          <w:sz w:val="16"/>
          <w:szCs w:val="16"/>
        </w:rPr>
        <w:footnoteRef/>
      </w:r>
      <w:r w:rsidRPr="00635BEF">
        <w:rPr>
          <w:rFonts w:ascii="Verdana" w:hAnsi="Verdana" w:cs="Arial"/>
          <w:sz w:val="16"/>
          <w:szCs w:val="16"/>
        </w:rPr>
        <w:t xml:space="preserve"> Sobre el principio de proporcionalidad en la discrecionalidad administrativa la </w:t>
      </w:r>
      <w:r>
        <w:rPr>
          <w:rFonts w:ascii="Verdana" w:hAnsi="Verdana" w:cs="Arial"/>
          <w:sz w:val="16"/>
          <w:szCs w:val="16"/>
        </w:rPr>
        <w:t>doctrina nacional ha señalado: “</w:t>
      </w:r>
      <w:r w:rsidRPr="00635BEF">
        <w:rPr>
          <w:rFonts w:ascii="Verdana" w:hAnsi="Verdana" w:cs="Arial"/>
          <w:sz w:val="16"/>
          <w:szCs w:val="16"/>
        </w:rPr>
        <w:t>[…]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41F8D499" w14:textId="77777777" w:rsidR="00391E3E" w:rsidRPr="00635BEF" w:rsidRDefault="00391E3E" w:rsidP="00391E3E">
      <w:pPr>
        <w:pStyle w:val="Textonotapie"/>
        <w:ind w:firstLine="708"/>
        <w:jc w:val="both"/>
        <w:rPr>
          <w:rFonts w:ascii="Verdana" w:hAnsi="Verdana" w:cs="Arial"/>
          <w:sz w:val="16"/>
          <w:szCs w:val="16"/>
        </w:rPr>
      </w:pPr>
      <w:r w:rsidRPr="00635BEF">
        <w:rPr>
          <w:rFonts w:ascii="Verdana" w:hAnsi="Verdana" w:cs="Arial"/>
          <w:sz w:val="16"/>
          <w:szCs w:val="16"/>
        </w:rPr>
        <w:t>»Y,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w:t>
      </w:r>
      <w:r>
        <w:rPr>
          <w:rFonts w:ascii="Verdana" w:hAnsi="Verdana" w:cs="Arial"/>
          <w:sz w:val="16"/>
          <w:szCs w:val="16"/>
        </w:rPr>
        <w:t xml:space="preserve"> en sus documentos equivalentes” (</w:t>
      </w:r>
      <w:r w:rsidRPr="00635BEF">
        <w:rPr>
          <w:rFonts w:ascii="Verdana" w:hAnsi="Verdana" w:cs="Arial"/>
          <w:sz w:val="16"/>
          <w:szCs w:val="16"/>
        </w:rPr>
        <w:t>MARÍN HERNÁNDEZ, Hugo Alberto. Naturaleza jurídica de las facultades de la Administración para confeccionar pliego de condiciones. En: Revista digital de Derecho Administrativo. Vol I. Bogota: Universidad Externado de Colombia, 2008. pp. 13-14</w:t>
      </w:r>
      <w:r>
        <w:rPr>
          <w:rFonts w:ascii="Verdana" w:hAnsi="Verdana" w:cs="Arial"/>
          <w:sz w:val="16"/>
          <w:szCs w:val="16"/>
        </w:rPr>
        <w:t>)</w:t>
      </w:r>
      <w:r w:rsidRPr="00635BEF">
        <w:rPr>
          <w:rFonts w:ascii="Verdana" w:hAnsi="Verdana" w:cs="Arial"/>
          <w:sz w:val="16"/>
          <w:szCs w:val="16"/>
        </w:rPr>
        <w:t xml:space="preserve">.  </w:t>
      </w:r>
    </w:p>
  </w:footnote>
  <w:footnote w:id="12">
    <w:p w14:paraId="0200CA14" w14:textId="77777777" w:rsidR="00391E3E" w:rsidRPr="00C93D4D" w:rsidRDefault="00391E3E" w:rsidP="00391E3E">
      <w:pPr>
        <w:pStyle w:val="Textonotapie"/>
        <w:ind w:firstLine="708"/>
        <w:rPr>
          <w:lang w:val="es-ES"/>
        </w:rPr>
      </w:pPr>
      <w:r w:rsidRPr="008849FF">
        <w:rPr>
          <w:rStyle w:val="Refdenotaalpie"/>
          <w:rFonts w:ascii="Verdana" w:hAnsi="Verdana"/>
          <w:sz w:val="16"/>
          <w:szCs w:val="16"/>
        </w:rPr>
        <w:footnoteRef/>
      </w:r>
      <w:r w:rsidRPr="008849FF">
        <w:rPr>
          <w:rFonts w:ascii="Verdana" w:hAnsi="Verdana"/>
          <w:sz w:val="16"/>
          <w:szCs w:val="16"/>
        </w:rPr>
        <w:t xml:space="preserve"> CONSEJO DE ESTADO. Sección Tercera, Subsección A. Sentencia del 19 de mayo de 2025. </w:t>
      </w:r>
      <w:r>
        <w:rPr>
          <w:rFonts w:ascii="Verdana" w:hAnsi="Verdana"/>
          <w:sz w:val="16"/>
          <w:szCs w:val="16"/>
        </w:rPr>
        <w:t xml:space="preserve">C.P. José Roberto Sáchica Méndez. </w:t>
      </w:r>
      <w:r w:rsidRPr="008849FF">
        <w:rPr>
          <w:rFonts w:ascii="Verdana" w:hAnsi="Verdana"/>
          <w:sz w:val="16"/>
          <w:szCs w:val="16"/>
        </w:rPr>
        <w:t xml:space="preserve">Exp. 69.503. </w:t>
      </w:r>
    </w:p>
  </w:footnote>
  <w:footnote w:id="13">
    <w:p w14:paraId="7355023B" w14:textId="77777777" w:rsidR="00391E3E" w:rsidRPr="00C93D4D" w:rsidRDefault="00391E3E" w:rsidP="00391E3E">
      <w:pPr>
        <w:pStyle w:val="Textonotapie"/>
        <w:ind w:firstLine="708"/>
      </w:pPr>
      <w:r>
        <w:rPr>
          <w:rStyle w:val="Refdenotaalpie"/>
        </w:rPr>
        <w:footnoteRef/>
      </w:r>
      <w: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3.25pt;height:13.25pt" o:bullet="t">
        <v:imagedata r:id="rId1" o:title="mso1B13"/>
      </v:shape>
    </w:pict>
  </w:numPicBullet>
  <w:abstractNum w:abstractNumId="0" w15:restartNumberingAfterBreak="0">
    <w:nsid w:val="8F5DCA1F"/>
    <w:multiLevelType w:val="hybridMultilevel"/>
    <w:tmpl w:val="EA4963F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9F9BA34"/>
    <w:multiLevelType w:val="hybridMultilevel"/>
    <w:tmpl w:val="DB3A347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E54514D"/>
    <w:multiLevelType w:val="multilevel"/>
    <w:tmpl w:val="58D42C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251F4A53"/>
    <w:multiLevelType w:val="hybridMultilevel"/>
    <w:tmpl w:val="C9F0B1E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489BC7"/>
    <w:multiLevelType w:val="hybridMultilevel"/>
    <w:tmpl w:val="6C64DB9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3BD23FB"/>
    <w:multiLevelType w:val="multilevel"/>
    <w:tmpl w:val="16E6B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543359C"/>
    <w:multiLevelType w:val="hybridMultilevel"/>
    <w:tmpl w:val="4CD80C0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E9CC98B"/>
    <w:multiLevelType w:val="hybridMultilevel"/>
    <w:tmpl w:val="93ED4B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064134318">
    <w:abstractNumId w:val="13"/>
  </w:num>
  <w:num w:numId="2" w16cid:durableId="779883877">
    <w:abstractNumId w:val="4"/>
  </w:num>
  <w:num w:numId="3" w16cid:durableId="1444689144">
    <w:abstractNumId w:val="11"/>
  </w:num>
  <w:num w:numId="4" w16cid:durableId="17170066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8946414">
    <w:abstractNumId w:val="4"/>
  </w:num>
  <w:num w:numId="6" w16cid:durableId="90898995">
    <w:abstractNumId w:val="26"/>
  </w:num>
  <w:num w:numId="7" w16cid:durableId="1001084881">
    <w:abstractNumId w:val="12"/>
  </w:num>
  <w:num w:numId="8" w16cid:durableId="783156894">
    <w:abstractNumId w:val="25"/>
  </w:num>
  <w:num w:numId="9" w16cid:durableId="302320860">
    <w:abstractNumId w:val="15"/>
  </w:num>
  <w:num w:numId="10" w16cid:durableId="1082216116">
    <w:abstractNumId w:val="24"/>
  </w:num>
  <w:num w:numId="11" w16cid:durableId="1403796379">
    <w:abstractNumId w:val="16"/>
  </w:num>
  <w:num w:numId="12" w16cid:durableId="7366345">
    <w:abstractNumId w:val="3"/>
  </w:num>
  <w:num w:numId="13" w16cid:durableId="1875921728">
    <w:abstractNumId w:val="8"/>
  </w:num>
  <w:num w:numId="14" w16cid:durableId="205993518">
    <w:abstractNumId w:val="27"/>
  </w:num>
  <w:num w:numId="15" w16cid:durableId="2012179921">
    <w:abstractNumId w:val="23"/>
  </w:num>
  <w:num w:numId="16" w16cid:durableId="1771200467">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4927556">
    <w:abstractNumId w:val="6"/>
  </w:num>
  <w:num w:numId="18" w16cid:durableId="1423843883">
    <w:abstractNumId w:val="21"/>
  </w:num>
  <w:num w:numId="19" w16cid:durableId="782917174">
    <w:abstractNumId w:val="10"/>
  </w:num>
  <w:num w:numId="20" w16cid:durableId="789737778">
    <w:abstractNumId w:val="17"/>
  </w:num>
  <w:num w:numId="21" w16cid:durableId="1560361459">
    <w:abstractNumId w:val="29"/>
  </w:num>
  <w:num w:numId="22" w16cid:durableId="1037657310">
    <w:abstractNumId w:val="14"/>
  </w:num>
  <w:num w:numId="23" w16cid:durableId="1796830969">
    <w:abstractNumId w:val="7"/>
  </w:num>
  <w:num w:numId="24" w16cid:durableId="1950818690">
    <w:abstractNumId w:val="28"/>
  </w:num>
  <w:num w:numId="25" w16cid:durableId="1537891284">
    <w:abstractNumId w:val="18"/>
  </w:num>
  <w:num w:numId="26" w16cid:durableId="280108943">
    <w:abstractNumId w:val="19"/>
  </w:num>
  <w:num w:numId="27" w16cid:durableId="1728989938">
    <w:abstractNumId w:val="9"/>
  </w:num>
  <w:num w:numId="28" w16cid:durableId="1253658423">
    <w:abstractNumId w:val="1"/>
  </w:num>
  <w:num w:numId="29" w16cid:durableId="131020386">
    <w:abstractNumId w:val="0"/>
  </w:num>
  <w:num w:numId="30" w16cid:durableId="1784375499">
    <w:abstractNumId w:val="20"/>
  </w:num>
  <w:num w:numId="31" w16cid:durableId="57017858">
    <w:abstractNumId w:val="22"/>
  </w:num>
  <w:num w:numId="32" w16cid:durableId="261039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5EA"/>
    <w:rsid w:val="000039A2"/>
    <w:rsid w:val="000062F3"/>
    <w:rsid w:val="00006CD3"/>
    <w:rsid w:val="0000797D"/>
    <w:rsid w:val="0001094A"/>
    <w:rsid w:val="0001328B"/>
    <w:rsid w:val="000224F2"/>
    <w:rsid w:val="00023C3E"/>
    <w:rsid w:val="0003068D"/>
    <w:rsid w:val="0004434A"/>
    <w:rsid w:val="0005281E"/>
    <w:rsid w:val="00053149"/>
    <w:rsid w:val="0005682C"/>
    <w:rsid w:val="00056D71"/>
    <w:rsid w:val="00061B2A"/>
    <w:rsid w:val="00062BAF"/>
    <w:rsid w:val="000630B9"/>
    <w:rsid w:val="000643B2"/>
    <w:rsid w:val="00064E96"/>
    <w:rsid w:val="0007022C"/>
    <w:rsid w:val="00077439"/>
    <w:rsid w:val="000774B8"/>
    <w:rsid w:val="00082362"/>
    <w:rsid w:val="0008328D"/>
    <w:rsid w:val="00083765"/>
    <w:rsid w:val="00090C9E"/>
    <w:rsid w:val="00092FC8"/>
    <w:rsid w:val="0009313A"/>
    <w:rsid w:val="0009387A"/>
    <w:rsid w:val="0009387B"/>
    <w:rsid w:val="000963C6"/>
    <w:rsid w:val="000A31B9"/>
    <w:rsid w:val="000A3D63"/>
    <w:rsid w:val="000A52A1"/>
    <w:rsid w:val="000A683A"/>
    <w:rsid w:val="000A683E"/>
    <w:rsid w:val="000B19B9"/>
    <w:rsid w:val="000C28B7"/>
    <w:rsid w:val="000C669A"/>
    <w:rsid w:val="000D0152"/>
    <w:rsid w:val="000D0334"/>
    <w:rsid w:val="000D3B29"/>
    <w:rsid w:val="000E06F4"/>
    <w:rsid w:val="000E4CE4"/>
    <w:rsid w:val="000F6486"/>
    <w:rsid w:val="000F6679"/>
    <w:rsid w:val="000F669F"/>
    <w:rsid w:val="001063B3"/>
    <w:rsid w:val="001114A9"/>
    <w:rsid w:val="00111979"/>
    <w:rsid w:val="00116537"/>
    <w:rsid w:val="00120766"/>
    <w:rsid w:val="001240BD"/>
    <w:rsid w:val="00125105"/>
    <w:rsid w:val="00127233"/>
    <w:rsid w:val="001358C0"/>
    <w:rsid w:val="0013649F"/>
    <w:rsid w:val="00143E81"/>
    <w:rsid w:val="00143FD9"/>
    <w:rsid w:val="00145047"/>
    <w:rsid w:val="00146C57"/>
    <w:rsid w:val="001602FA"/>
    <w:rsid w:val="00161AFF"/>
    <w:rsid w:val="0016332F"/>
    <w:rsid w:val="001717E9"/>
    <w:rsid w:val="00183253"/>
    <w:rsid w:val="00185EE9"/>
    <w:rsid w:val="00187F79"/>
    <w:rsid w:val="00197274"/>
    <w:rsid w:val="001A237A"/>
    <w:rsid w:val="001A26CF"/>
    <w:rsid w:val="001A2919"/>
    <w:rsid w:val="001B40AA"/>
    <w:rsid w:val="001C222E"/>
    <w:rsid w:val="001C22F9"/>
    <w:rsid w:val="001D1C29"/>
    <w:rsid w:val="001E4177"/>
    <w:rsid w:val="001F4EFD"/>
    <w:rsid w:val="001F5E13"/>
    <w:rsid w:val="001F6D11"/>
    <w:rsid w:val="001F7DC6"/>
    <w:rsid w:val="00202886"/>
    <w:rsid w:val="00215CEF"/>
    <w:rsid w:val="00217A08"/>
    <w:rsid w:val="00220B77"/>
    <w:rsid w:val="00237233"/>
    <w:rsid w:val="002421BB"/>
    <w:rsid w:val="00246A81"/>
    <w:rsid w:val="00251A5F"/>
    <w:rsid w:val="0025796E"/>
    <w:rsid w:val="002603E5"/>
    <w:rsid w:val="002638B2"/>
    <w:rsid w:val="002660F2"/>
    <w:rsid w:val="002664BB"/>
    <w:rsid w:val="002707A2"/>
    <w:rsid w:val="00274075"/>
    <w:rsid w:val="002835A6"/>
    <w:rsid w:val="002844ED"/>
    <w:rsid w:val="002951A0"/>
    <w:rsid w:val="002962BC"/>
    <w:rsid w:val="002A093D"/>
    <w:rsid w:val="002A0DD0"/>
    <w:rsid w:val="002A49AC"/>
    <w:rsid w:val="002A64FD"/>
    <w:rsid w:val="002A6BBF"/>
    <w:rsid w:val="002B1E57"/>
    <w:rsid w:val="002C110E"/>
    <w:rsid w:val="002C379A"/>
    <w:rsid w:val="002C765E"/>
    <w:rsid w:val="002C7A84"/>
    <w:rsid w:val="002D13A1"/>
    <w:rsid w:val="002D3F0D"/>
    <w:rsid w:val="002E1D98"/>
    <w:rsid w:val="002E2C3F"/>
    <w:rsid w:val="002E4FD9"/>
    <w:rsid w:val="002E6F15"/>
    <w:rsid w:val="002F13FD"/>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40D"/>
    <w:rsid w:val="00354BCA"/>
    <w:rsid w:val="003612F8"/>
    <w:rsid w:val="00363836"/>
    <w:rsid w:val="0036594E"/>
    <w:rsid w:val="003665EE"/>
    <w:rsid w:val="00367ED9"/>
    <w:rsid w:val="0037010E"/>
    <w:rsid w:val="0037221D"/>
    <w:rsid w:val="003734F4"/>
    <w:rsid w:val="00374F5E"/>
    <w:rsid w:val="00376372"/>
    <w:rsid w:val="00377E3E"/>
    <w:rsid w:val="003815E8"/>
    <w:rsid w:val="00391E3E"/>
    <w:rsid w:val="00392A49"/>
    <w:rsid w:val="003A26D1"/>
    <w:rsid w:val="003A364F"/>
    <w:rsid w:val="003A3B30"/>
    <w:rsid w:val="003A779E"/>
    <w:rsid w:val="003B005A"/>
    <w:rsid w:val="003C3FA5"/>
    <w:rsid w:val="003D0F4D"/>
    <w:rsid w:val="003D2E82"/>
    <w:rsid w:val="003D5B0D"/>
    <w:rsid w:val="003D6525"/>
    <w:rsid w:val="003E0499"/>
    <w:rsid w:val="003E40F2"/>
    <w:rsid w:val="003E6AC6"/>
    <w:rsid w:val="003F3941"/>
    <w:rsid w:val="003F5ED1"/>
    <w:rsid w:val="00400676"/>
    <w:rsid w:val="00400C52"/>
    <w:rsid w:val="00406575"/>
    <w:rsid w:val="00410906"/>
    <w:rsid w:val="0041655A"/>
    <w:rsid w:val="0042722E"/>
    <w:rsid w:val="00427DA0"/>
    <w:rsid w:val="00440391"/>
    <w:rsid w:val="00442C7F"/>
    <w:rsid w:val="00443623"/>
    <w:rsid w:val="0044528D"/>
    <w:rsid w:val="00445908"/>
    <w:rsid w:val="00450920"/>
    <w:rsid w:val="00454D48"/>
    <w:rsid w:val="004554F9"/>
    <w:rsid w:val="0046004D"/>
    <w:rsid w:val="004633DE"/>
    <w:rsid w:val="00465E71"/>
    <w:rsid w:val="004734BD"/>
    <w:rsid w:val="00482608"/>
    <w:rsid w:val="00483749"/>
    <w:rsid w:val="00484809"/>
    <w:rsid w:val="004971D4"/>
    <w:rsid w:val="004A0980"/>
    <w:rsid w:val="004A1847"/>
    <w:rsid w:val="004A305D"/>
    <w:rsid w:val="004A3312"/>
    <w:rsid w:val="004A48F7"/>
    <w:rsid w:val="004B2217"/>
    <w:rsid w:val="004B740F"/>
    <w:rsid w:val="004C4B37"/>
    <w:rsid w:val="004D026D"/>
    <w:rsid w:val="004E221E"/>
    <w:rsid w:val="004E2892"/>
    <w:rsid w:val="004E460E"/>
    <w:rsid w:val="004E4C0B"/>
    <w:rsid w:val="004E505B"/>
    <w:rsid w:val="004F21C4"/>
    <w:rsid w:val="004F3012"/>
    <w:rsid w:val="004F5559"/>
    <w:rsid w:val="004F685F"/>
    <w:rsid w:val="004F7EC9"/>
    <w:rsid w:val="00514598"/>
    <w:rsid w:val="005163B5"/>
    <w:rsid w:val="0052543A"/>
    <w:rsid w:val="0052785C"/>
    <w:rsid w:val="00540C2D"/>
    <w:rsid w:val="00547285"/>
    <w:rsid w:val="00551BD7"/>
    <w:rsid w:val="00552502"/>
    <w:rsid w:val="005566E8"/>
    <w:rsid w:val="00560CB5"/>
    <w:rsid w:val="00574122"/>
    <w:rsid w:val="00574867"/>
    <w:rsid w:val="00577D09"/>
    <w:rsid w:val="00590286"/>
    <w:rsid w:val="00591460"/>
    <w:rsid w:val="00592628"/>
    <w:rsid w:val="00597C75"/>
    <w:rsid w:val="005A0868"/>
    <w:rsid w:val="005A0CFB"/>
    <w:rsid w:val="005A282F"/>
    <w:rsid w:val="005A2AC9"/>
    <w:rsid w:val="005B0731"/>
    <w:rsid w:val="005B2CCE"/>
    <w:rsid w:val="005B58C1"/>
    <w:rsid w:val="005B6033"/>
    <w:rsid w:val="005C3777"/>
    <w:rsid w:val="005C5CDC"/>
    <w:rsid w:val="005D2B2B"/>
    <w:rsid w:val="005D476C"/>
    <w:rsid w:val="005D4ADB"/>
    <w:rsid w:val="005D5F91"/>
    <w:rsid w:val="005D7B25"/>
    <w:rsid w:val="005E0C91"/>
    <w:rsid w:val="005F0A6A"/>
    <w:rsid w:val="005F7C43"/>
    <w:rsid w:val="00605A00"/>
    <w:rsid w:val="00610786"/>
    <w:rsid w:val="00610812"/>
    <w:rsid w:val="00612CE7"/>
    <w:rsid w:val="006219F8"/>
    <w:rsid w:val="0063165E"/>
    <w:rsid w:val="00632C08"/>
    <w:rsid w:val="00635BEF"/>
    <w:rsid w:val="006423B6"/>
    <w:rsid w:val="00650FF7"/>
    <w:rsid w:val="00652217"/>
    <w:rsid w:val="00665D70"/>
    <w:rsid w:val="00671DAC"/>
    <w:rsid w:val="006747C7"/>
    <w:rsid w:val="006773FC"/>
    <w:rsid w:val="006827AC"/>
    <w:rsid w:val="006859A3"/>
    <w:rsid w:val="006900D9"/>
    <w:rsid w:val="0069570A"/>
    <w:rsid w:val="006A0008"/>
    <w:rsid w:val="006A10DF"/>
    <w:rsid w:val="006A3147"/>
    <w:rsid w:val="006B6B1E"/>
    <w:rsid w:val="006C0240"/>
    <w:rsid w:val="006C17DF"/>
    <w:rsid w:val="006C2F05"/>
    <w:rsid w:val="006C5595"/>
    <w:rsid w:val="006D12F8"/>
    <w:rsid w:val="006F2501"/>
    <w:rsid w:val="00704D9B"/>
    <w:rsid w:val="00705E5F"/>
    <w:rsid w:val="00706C16"/>
    <w:rsid w:val="00711C85"/>
    <w:rsid w:val="0071458F"/>
    <w:rsid w:val="00715D5A"/>
    <w:rsid w:val="00723A7F"/>
    <w:rsid w:val="0073016B"/>
    <w:rsid w:val="00737C53"/>
    <w:rsid w:val="00737DFA"/>
    <w:rsid w:val="00756841"/>
    <w:rsid w:val="00762AA9"/>
    <w:rsid w:val="007649AB"/>
    <w:rsid w:val="00771D0C"/>
    <w:rsid w:val="007814FE"/>
    <w:rsid w:val="007833AC"/>
    <w:rsid w:val="00784D58"/>
    <w:rsid w:val="00786FBF"/>
    <w:rsid w:val="00790AB7"/>
    <w:rsid w:val="00791769"/>
    <w:rsid w:val="00796340"/>
    <w:rsid w:val="007A23EA"/>
    <w:rsid w:val="007A5189"/>
    <w:rsid w:val="007B268C"/>
    <w:rsid w:val="007B7171"/>
    <w:rsid w:val="007B7D02"/>
    <w:rsid w:val="007C0C0F"/>
    <w:rsid w:val="007C3DC2"/>
    <w:rsid w:val="007D0457"/>
    <w:rsid w:val="007D43C9"/>
    <w:rsid w:val="007D719F"/>
    <w:rsid w:val="007E5497"/>
    <w:rsid w:val="007F28CA"/>
    <w:rsid w:val="007F52A4"/>
    <w:rsid w:val="007F60FB"/>
    <w:rsid w:val="007F7B94"/>
    <w:rsid w:val="00804981"/>
    <w:rsid w:val="00806F5F"/>
    <w:rsid w:val="008163D7"/>
    <w:rsid w:val="00820278"/>
    <w:rsid w:val="008265B5"/>
    <w:rsid w:val="00834554"/>
    <w:rsid w:val="00834B31"/>
    <w:rsid w:val="00836323"/>
    <w:rsid w:val="00840ADC"/>
    <w:rsid w:val="00843BF7"/>
    <w:rsid w:val="008449B3"/>
    <w:rsid w:val="00846276"/>
    <w:rsid w:val="00850E23"/>
    <w:rsid w:val="00851137"/>
    <w:rsid w:val="00853978"/>
    <w:rsid w:val="0085432F"/>
    <w:rsid w:val="00864209"/>
    <w:rsid w:val="0087325B"/>
    <w:rsid w:val="00880003"/>
    <w:rsid w:val="00881ABA"/>
    <w:rsid w:val="008843B6"/>
    <w:rsid w:val="008849FF"/>
    <w:rsid w:val="00886C89"/>
    <w:rsid w:val="00891928"/>
    <w:rsid w:val="00894B8B"/>
    <w:rsid w:val="008A00A4"/>
    <w:rsid w:val="008A108E"/>
    <w:rsid w:val="008A1C75"/>
    <w:rsid w:val="008A446D"/>
    <w:rsid w:val="008A4801"/>
    <w:rsid w:val="008A7F08"/>
    <w:rsid w:val="008B2F0E"/>
    <w:rsid w:val="008B5A2E"/>
    <w:rsid w:val="008C6451"/>
    <w:rsid w:val="008D180B"/>
    <w:rsid w:val="008D298A"/>
    <w:rsid w:val="008D7227"/>
    <w:rsid w:val="008E1F92"/>
    <w:rsid w:val="008E7333"/>
    <w:rsid w:val="008E7B09"/>
    <w:rsid w:val="008F0EA7"/>
    <w:rsid w:val="008F7BB9"/>
    <w:rsid w:val="00904692"/>
    <w:rsid w:val="00905E69"/>
    <w:rsid w:val="00910097"/>
    <w:rsid w:val="0091561E"/>
    <w:rsid w:val="00923EEF"/>
    <w:rsid w:val="009411F5"/>
    <w:rsid w:val="009419F9"/>
    <w:rsid w:val="009534B9"/>
    <w:rsid w:val="00953AA4"/>
    <w:rsid w:val="00955305"/>
    <w:rsid w:val="0095685E"/>
    <w:rsid w:val="009572D9"/>
    <w:rsid w:val="00961409"/>
    <w:rsid w:val="00961B09"/>
    <w:rsid w:val="00962300"/>
    <w:rsid w:val="00965334"/>
    <w:rsid w:val="0097093E"/>
    <w:rsid w:val="00976025"/>
    <w:rsid w:val="009800BE"/>
    <w:rsid w:val="00982E41"/>
    <w:rsid w:val="00984649"/>
    <w:rsid w:val="009858BE"/>
    <w:rsid w:val="009A0DFA"/>
    <w:rsid w:val="009A3C2C"/>
    <w:rsid w:val="009A4A40"/>
    <w:rsid w:val="009B2D26"/>
    <w:rsid w:val="009B780F"/>
    <w:rsid w:val="009C2AD6"/>
    <w:rsid w:val="009C2DD0"/>
    <w:rsid w:val="009C3AC7"/>
    <w:rsid w:val="009C42D6"/>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2465"/>
    <w:rsid w:val="00A027B7"/>
    <w:rsid w:val="00A0298E"/>
    <w:rsid w:val="00A03415"/>
    <w:rsid w:val="00A04A81"/>
    <w:rsid w:val="00A104A4"/>
    <w:rsid w:val="00A122D3"/>
    <w:rsid w:val="00A14D3D"/>
    <w:rsid w:val="00A17F13"/>
    <w:rsid w:val="00A20739"/>
    <w:rsid w:val="00A211D0"/>
    <w:rsid w:val="00A23361"/>
    <w:rsid w:val="00A24433"/>
    <w:rsid w:val="00A2443A"/>
    <w:rsid w:val="00A32373"/>
    <w:rsid w:val="00A332DD"/>
    <w:rsid w:val="00A339A9"/>
    <w:rsid w:val="00A33C78"/>
    <w:rsid w:val="00A33EE7"/>
    <w:rsid w:val="00A34B38"/>
    <w:rsid w:val="00A34D87"/>
    <w:rsid w:val="00A35538"/>
    <w:rsid w:val="00A37BC4"/>
    <w:rsid w:val="00A43292"/>
    <w:rsid w:val="00A445C0"/>
    <w:rsid w:val="00A56FCA"/>
    <w:rsid w:val="00A6004A"/>
    <w:rsid w:val="00A613C2"/>
    <w:rsid w:val="00A61857"/>
    <w:rsid w:val="00A74DE6"/>
    <w:rsid w:val="00A8086A"/>
    <w:rsid w:val="00A80F32"/>
    <w:rsid w:val="00A87F7D"/>
    <w:rsid w:val="00A9244C"/>
    <w:rsid w:val="00A94D14"/>
    <w:rsid w:val="00AA50DE"/>
    <w:rsid w:val="00AB0ADB"/>
    <w:rsid w:val="00AB3FD1"/>
    <w:rsid w:val="00AC0EAB"/>
    <w:rsid w:val="00AC4701"/>
    <w:rsid w:val="00AC49A2"/>
    <w:rsid w:val="00AC76F6"/>
    <w:rsid w:val="00AD73E2"/>
    <w:rsid w:val="00AE2631"/>
    <w:rsid w:val="00AF1BEC"/>
    <w:rsid w:val="00AF342C"/>
    <w:rsid w:val="00B009B8"/>
    <w:rsid w:val="00B01B1A"/>
    <w:rsid w:val="00B14E03"/>
    <w:rsid w:val="00B26B98"/>
    <w:rsid w:val="00B35ADC"/>
    <w:rsid w:val="00B37C24"/>
    <w:rsid w:val="00B40FBC"/>
    <w:rsid w:val="00B453EC"/>
    <w:rsid w:val="00B47FD7"/>
    <w:rsid w:val="00B51C8F"/>
    <w:rsid w:val="00B51F75"/>
    <w:rsid w:val="00B53E27"/>
    <w:rsid w:val="00B558AF"/>
    <w:rsid w:val="00B615BA"/>
    <w:rsid w:val="00B62D8B"/>
    <w:rsid w:val="00B72CD3"/>
    <w:rsid w:val="00B72FFF"/>
    <w:rsid w:val="00B76CEB"/>
    <w:rsid w:val="00B8257D"/>
    <w:rsid w:val="00B82B8B"/>
    <w:rsid w:val="00B91186"/>
    <w:rsid w:val="00B93423"/>
    <w:rsid w:val="00B976CC"/>
    <w:rsid w:val="00BB42FC"/>
    <w:rsid w:val="00BC0036"/>
    <w:rsid w:val="00BC05A6"/>
    <w:rsid w:val="00BC2AD3"/>
    <w:rsid w:val="00BC3D36"/>
    <w:rsid w:val="00BD787A"/>
    <w:rsid w:val="00BD7F72"/>
    <w:rsid w:val="00BE03BC"/>
    <w:rsid w:val="00BE0A18"/>
    <w:rsid w:val="00BF1201"/>
    <w:rsid w:val="00BF1D4A"/>
    <w:rsid w:val="00BF230F"/>
    <w:rsid w:val="00C002E3"/>
    <w:rsid w:val="00C012CC"/>
    <w:rsid w:val="00C02BEA"/>
    <w:rsid w:val="00C04FB3"/>
    <w:rsid w:val="00C050E7"/>
    <w:rsid w:val="00C159C1"/>
    <w:rsid w:val="00C16346"/>
    <w:rsid w:val="00C21B15"/>
    <w:rsid w:val="00C32523"/>
    <w:rsid w:val="00C330EB"/>
    <w:rsid w:val="00C371C9"/>
    <w:rsid w:val="00C40E9F"/>
    <w:rsid w:val="00C41481"/>
    <w:rsid w:val="00C42469"/>
    <w:rsid w:val="00C4268F"/>
    <w:rsid w:val="00C47A07"/>
    <w:rsid w:val="00C57281"/>
    <w:rsid w:val="00C65D65"/>
    <w:rsid w:val="00C67703"/>
    <w:rsid w:val="00C7173F"/>
    <w:rsid w:val="00C730B6"/>
    <w:rsid w:val="00C754BE"/>
    <w:rsid w:val="00C76466"/>
    <w:rsid w:val="00C76B1C"/>
    <w:rsid w:val="00C915DD"/>
    <w:rsid w:val="00C93D4D"/>
    <w:rsid w:val="00CA6A9D"/>
    <w:rsid w:val="00CA7F6B"/>
    <w:rsid w:val="00CB6357"/>
    <w:rsid w:val="00CC0FA3"/>
    <w:rsid w:val="00CC1B26"/>
    <w:rsid w:val="00CC4164"/>
    <w:rsid w:val="00CC49F7"/>
    <w:rsid w:val="00CC54DB"/>
    <w:rsid w:val="00CD087D"/>
    <w:rsid w:val="00CD41CB"/>
    <w:rsid w:val="00CE3B27"/>
    <w:rsid w:val="00CE5414"/>
    <w:rsid w:val="00CF7826"/>
    <w:rsid w:val="00D0157A"/>
    <w:rsid w:val="00D036D8"/>
    <w:rsid w:val="00D038ED"/>
    <w:rsid w:val="00D06D26"/>
    <w:rsid w:val="00D10B75"/>
    <w:rsid w:val="00D13351"/>
    <w:rsid w:val="00D15E25"/>
    <w:rsid w:val="00D20368"/>
    <w:rsid w:val="00D22361"/>
    <w:rsid w:val="00D22598"/>
    <w:rsid w:val="00D26924"/>
    <w:rsid w:val="00D413F6"/>
    <w:rsid w:val="00D4231B"/>
    <w:rsid w:val="00D423A2"/>
    <w:rsid w:val="00D520D8"/>
    <w:rsid w:val="00D52961"/>
    <w:rsid w:val="00D55048"/>
    <w:rsid w:val="00D57FA4"/>
    <w:rsid w:val="00D62DE7"/>
    <w:rsid w:val="00D63AC2"/>
    <w:rsid w:val="00D7383B"/>
    <w:rsid w:val="00D7609E"/>
    <w:rsid w:val="00D76710"/>
    <w:rsid w:val="00D81A63"/>
    <w:rsid w:val="00D81D25"/>
    <w:rsid w:val="00D94C40"/>
    <w:rsid w:val="00DA231B"/>
    <w:rsid w:val="00DA23A0"/>
    <w:rsid w:val="00DA7F66"/>
    <w:rsid w:val="00DB186F"/>
    <w:rsid w:val="00DC38D1"/>
    <w:rsid w:val="00DC39FC"/>
    <w:rsid w:val="00DC4385"/>
    <w:rsid w:val="00DC484F"/>
    <w:rsid w:val="00DC4C27"/>
    <w:rsid w:val="00DC51BC"/>
    <w:rsid w:val="00DC793F"/>
    <w:rsid w:val="00DD5328"/>
    <w:rsid w:val="00DF5254"/>
    <w:rsid w:val="00E07B2B"/>
    <w:rsid w:val="00E12426"/>
    <w:rsid w:val="00E16408"/>
    <w:rsid w:val="00E20894"/>
    <w:rsid w:val="00E245AB"/>
    <w:rsid w:val="00E26239"/>
    <w:rsid w:val="00E2764C"/>
    <w:rsid w:val="00E27ABE"/>
    <w:rsid w:val="00E27F2E"/>
    <w:rsid w:val="00E3576F"/>
    <w:rsid w:val="00E413EA"/>
    <w:rsid w:val="00E47F28"/>
    <w:rsid w:val="00E50AFE"/>
    <w:rsid w:val="00E52E49"/>
    <w:rsid w:val="00E577AC"/>
    <w:rsid w:val="00E578B6"/>
    <w:rsid w:val="00E61547"/>
    <w:rsid w:val="00E61702"/>
    <w:rsid w:val="00E62DAE"/>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A0E3D"/>
    <w:rsid w:val="00EA1CD8"/>
    <w:rsid w:val="00EA393B"/>
    <w:rsid w:val="00EA39A5"/>
    <w:rsid w:val="00EA74F5"/>
    <w:rsid w:val="00EB2C4B"/>
    <w:rsid w:val="00EB7E00"/>
    <w:rsid w:val="00EC1A2C"/>
    <w:rsid w:val="00EC1FE1"/>
    <w:rsid w:val="00EC38A7"/>
    <w:rsid w:val="00ED042A"/>
    <w:rsid w:val="00ED0D4A"/>
    <w:rsid w:val="00ED74B8"/>
    <w:rsid w:val="00EE13B9"/>
    <w:rsid w:val="00EE1AA8"/>
    <w:rsid w:val="00EE7F94"/>
    <w:rsid w:val="00EF26C3"/>
    <w:rsid w:val="00EF489F"/>
    <w:rsid w:val="00F11213"/>
    <w:rsid w:val="00F11BAA"/>
    <w:rsid w:val="00F15862"/>
    <w:rsid w:val="00F238F2"/>
    <w:rsid w:val="00F25C35"/>
    <w:rsid w:val="00F260AA"/>
    <w:rsid w:val="00F273D2"/>
    <w:rsid w:val="00F27B26"/>
    <w:rsid w:val="00F31EDC"/>
    <w:rsid w:val="00F34D02"/>
    <w:rsid w:val="00F34E84"/>
    <w:rsid w:val="00F40BAD"/>
    <w:rsid w:val="00F462B3"/>
    <w:rsid w:val="00F5184B"/>
    <w:rsid w:val="00F55081"/>
    <w:rsid w:val="00F55168"/>
    <w:rsid w:val="00F5664F"/>
    <w:rsid w:val="00F606C2"/>
    <w:rsid w:val="00F611E3"/>
    <w:rsid w:val="00F626C4"/>
    <w:rsid w:val="00F64D9E"/>
    <w:rsid w:val="00F666C4"/>
    <w:rsid w:val="00F7684C"/>
    <w:rsid w:val="00F76AFC"/>
    <w:rsid w:val="00F80CBE"/>
    <w:rsid w:val="00F85198"/>
    <w:rsid w:val="00F939CB"/>
    <w:rsid w:val="00F9479C"/>
    <w:rsid w:val="00F965EE"/>
    <w:rsid w:val="00F97949"/>
    <w:rsid w:val="00FA1110"/>
    <w:rsid w:val="00FA358D"/>
    <w:rsid w:val="00FA47C0"/>
    <w:rsid w:val="00FB4425"/>
    <w:rsid w:val="00FB5615"/>
    <w:rsid w:val="00FB5DD1"/>
    <w:rsid w:val="00FB7F81"/>
    <w:rsid w:val="00FC00CB"/>
    <w:rsid w:val="00FC07B5"/>
    <w:rsid w:val="00FC19CC"/>
    <w:rsid w:val="00FC2B5D"/>
    <w:rsid w:val="00FD00E9"/>
    <w:rsid w:val="00FD1F19"/>
    <w:rsid w:val="00FE122A"/>
    <w:rsid w:val="00FE20E6"/>
    <w:rsid w:val="00FF0C0E"/>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E3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table" w:customStyle="1" w:styleId="Tablaconcuadrcula2">
    <w:name w:val="Tabla con cuadrícula2"/>
    <w:basedOn w:val="Tablanormal"/>
    <w:next w:val="Tablaconcuadrcula"/>
    <w:uiPriority w:val="39"/>
    <w:qFormat/>
    <w:rsid w:val="0036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qFormat/>
    <w:rsid w:val="003612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811">
      <w:bodyDiv w:val="1"/>
      <w:marLeft w:val="0"/>
      <w:marRight w:val="0"/>
      <w:marTop w:val="0"/>
      <w:marBottom w:val="0"/>
      <w:divBdr>
        <w:top w:val="none" w:sz="0" w:space="0" w:color="auto"/>
        <w:left w:val="none" w:sz="0" w:space="0" w:color="auto"/>
        <w:bottom w:val="none" w:sz="0" w:space="0" w:color="auto"/>
        <w:right w:val="none" w:sz="0" w:space="0" w:color="auto"/>
      </w:divBdr>
      <w:divsChild>
        <w:div w:id="470442951">
          <w:marLeft w:val="0"/>
          <w:marRight w:val="0"/>
          <w:marTop w:val="0"/>
          <w:marBottom w:val="0"/>
          <w:divBdr>
            <w:top w:val="none" w:sz="0" w:space="0" w:color="auto"/>
            <w:left w:val="none" w:sz="0" w:space="0" w:color="auto"/>
            <w:bottom w:val="none" w:sz="0" w:space="0" w:color="auto"/>
            <w:right w:val="none" w:sz="0" w:space="0" w:color="auto"/>
          </w:divBdr>
          <w:divsChild>
            <w:div w:id="37246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04247525">
      <w:bodyDiv w:val="1"/>
      <w:marLeft w:val="0"/>
      <w:marRight w:val="0"/>
      <w:marTop w:val="0"/>
      <w:marBottom w:val="0"/>
      <w:divBdr>
        <w:top w:val="none" w:sz="0" w:space="0" w:color="auto"/>
        <w:left w:val="none" w:sz="0" w:space="0" w:color="auto"/>
        <w:bottom w:val="none" w:sz="0" w:space="0" w:color="auto"/>
        <w:right w:val="none" w:sz="0" w:space="0" w:color="auto"/>
      </w:divBdr>
      <w:divsChild>
        <w:div w:id="798498248">
          <w:marLeft w:val="0"/>
          <w:marRight w:val="0"/>
          <w:marTop w:val="0"/>
          <w:marBottom w:val="0"/>
          <w:divBdr>
            <w:top w:val="none" w:sz="0" w:space="0" w:color="auto"/>
            <w:left w:val="none" w:sz="0" w:space="0" w:color="auto"/>
            <w:bottom w:val="none" w:sz="0" w:space="0" w:color="auto"/>
            <w:right w:val="none" w:sz="0" w:space="0" w:color="auto"/>
          </w:divBdr>
          <w:divsChild>
            <w:div w:id="625507675">
              <w:marLeft w:val="0"/>
              <w:marRight w:val="0"/>
              <w:marTop w:val="0"/>
              <w:marBottom w:val="0"/>
              <w:divBdr>
                <w:top w:val="none" w:sz="0" w:space="0" w:color="auto"/>
                <w:left w:val="none" w:sz="0" w:space="0" w:color="auto"/>
                <w:bottom w:val="none" w:sz="0" w:space="0" w:color="auto"/>
                <w:right w:val="none" w:sz="0" w:space="0" w:color="auto"/>
              </w:divBdr>
            </w:div>
          </w:divsChild>
        </w:div>
        <w:div w:id="263005484">
          <w:marLeft w:val="0"/>
          <w:marRight w:val="0"/>
          <w:marTop w:val="0"/>
          <w:marBottom w:val="0"/>
          <w:divBdr>
            <w:top w:val="none" w:sz="0" w:space="0" w:color="auto"/>
            <w:left w:val="none" w:sz="0" w:space="0" w:color="auto"/>
            <w:bottom w:val="none" w:sz="0" w:space="0" w:color="auto"/>
            <w:right w:val="none" w:sz="0" w:space="0" w:color="auto"/>
          </w:divBdr>
          <w:divsChild>
            <w:div w:id="33383074">
              <w:marLeft w:val="0"/>
              <w:marRight w:val="0"/>
              <w:marTop w:val="0"/>
              <w:marBottom w:val="0"/>
              <w:divBdr>
                <w:top w:val="none" w:sz="0" w:space="0" w:color="auto"/>
                <w:left w:val="none" w:sz="0" w:space="0" w:color="auto"/>
                <w:bottom w:val="none" w:sz="0" w:space="0" w:color="auto"/>
                <w:right w:val="none" w:sz="0" w:space="0" w:color="auto"/>
              </w:divBdr>
            </w:div>
          </w:divsChild>
        </w:div>
        <w:div w:id="1752972562">
          <w:marLeft w:val="0"/>
          <w:marRight w:val="0"/>
          <w:marTop w:val="0"/>
          <w:marBottom w:val="0"/>
          <w:divBdr>
            <w:top w:val="none" w:sz="0" w:space="0" w:color="auto"/>
            <w:left w:val="none" w:sz="0" w:space="0" w:color="auto"/>
            <w:bottom w:val="none" w:sz="0" w:space="0" w:color="auto"/>
            <w:right w:val="none" w:sz="0" w:space="0" w:color="auto"/>
          </w:divBdr>
          <w:divsChild>
            <w:div w:id="403458026">
              <w:marLeft w:val="0"/>
              <w:marRight w:val="0"/>
              <w:marTop w:val="0"/>
              <w:marBottom w:val="0"/>
              <w:divBdr>
                <w:top w:val="none" w:sz="0" w:space="0" w:color="auto"/>
                <w:left w:val="none" w:sz="0" w:space="0" w:color="auto"/>
                <w:bottom w:val="none" w:sz="0" w:space="0" w:color="auto"/>
                <w:right w:val="none" w:sz="0" w:space="0" w:color="auto"/>
              </w:divBdr>
            </w:div>
          </w:divsChild>
        </w:div>
        <w:div w:id="379938772">
          <w:marLeft w:val="0"/>
          <w:marRight w:val="0"/>
          <w:marTop w:val="0"/>
          <w:marBottom w:val="0"/>
          <w:divBdr>
            <w:top w:val="none" w:sz="0" w:space="0" w:color="auto"/>
            <w:left w:val="none" w:sz="0" w:space="0" w:color="auto"/>
            <w:bottom w:val="none" w:sz="0" w:space="0" w:color="auto"/>
            <w:right w:val="none" w:sz="0" w:space="0" w:color="auto"/>
          </w:divBdr>
          <w:divsChild>
            <w:div w:id="17953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58662152">
      <w:bodyDiv w:val="1"/>
      <w:marLeft w:val="0"/>
      <w:marRight w:val="0"/>
      <w:marTop w:val="0"/>
      <w:marBottom w:val="0"/>
      <w:divBdr>
        <w:top w:val="none" w:sz="0" w:space="0" w:color="auto"/>
        <w:left w:val="none" w:sz="0" w:space="0" w:color="auto"/>
        <w:bottom w:val="none" w:sz="0" w:space="0" w:color="auto"/>
        <w:right w:val="none" w:sz="0" w:space="0" w:color="auto"/>
      </w:divBdr>
      <w:divsChild>
        <w:div w:id="1154028147">
          <w:marLeft w:val="0"/>
          <w:marRight w:val="0"/>
          <w:marTop w:val="0"/>
          <w:marBottom w:val="0"/>
          <w:divBdr>
            <w:top w:val="none" w:sz="0" w:space="0" w:color="auto"/>
            <w:left w:val="none" w:sz="0" w:space="0" w:color="auto"/>
            <w:bottom w:val="none" w:sz="0" w:space="0" w:color="auto"/>
            <w:right w:val="none" w:sz="0" w:space="0" w:color="auto"/>
          </w:divBdr>
          <w:divsChild>
            <w:div w:id="1382556312">
              <w:marLeft w:val="0"/>
              <w:marRight w:val="0"/>
              <w:marTop w:val="0"/>
              <w:marBottom w:val="0"/>
              <w:divBdr>
                <w:top w:val="none" w:sz="0" w:space="0" w:color="auto"/>
                <w:left w:val="none" w:sz="0" w:space="0" w:color="auto"/>
                <w:bottom w:val="none" w:sz="0" w:space="0" w:color="auto"/>
                <w:right w:val="none" w:sz="0" w:space="0" w:color="auto"/>
              </w:divBdr>
            </w:div>
          </w:divsChild>
        </w:div>
        <w:div w:id="14963590">
          <w:marLeft w:val="0"/>
          <w:marRight w:val="0"/>
          <w:marTop w:val="0"/>
          <w:marBottom w:val="0"/>
          <w:divBdr>
            <w:top w:val="none" w:sz="0" w:space="0" w:color="auto"/>
            <w:left w:val="none" w:sz="0" w:space="0" w:color="auto"/>
            <w:bottom w:val="none" w:sz="0" w:space="0" w:color="auto"/>
            <w:right w:val="none" w:sz="0" w:space="0" w:color="auto"/>
          </w:divBdr>
          <w:divsChild>
            <w:div w:id="1660697003">
              <w:marLeft w:val="0"/>
              <w:marRight w:val="0"/>
              <w:marTop w:val="0"/>
              <w:marBottom w:val="0"/>
              <w:divBdr>
                <w:top w:val="none" w:sz="0" w:space="0" w:color="auto"/>
                <w:left w:val="none" w:sz="0" w:space="0" w:color="auto"/>
                <w:bottom w:val="none" w:sz="0" w:space="0" w:color="auto"/>
                <w:right w:val="none" w:sz="0" w:space="0" w:color="auto"/>
              </w:divBdr>
            </w:div>
          </w:divsChild>
        </w:div>
        <w:div w:id="227765794">
          <w:marLeft w:val="0"/>
          <w:marRight w:val="0"/>
          <w:marTop w:val="0"/>
          <w:marBottom w:val="0"/>
          <w:divBdr>
            <w:top w:val="none" w:sz="0" w:space="0" w:color="auto"/>
            <w:left w:val="none" w:sz="0" w:space="0" w:color="auto"/>
            <w:bottom w:val="none" w:sz="0" w:space="0" w:color="auto"/>
            <w:right w:val="none" w:sz="0" w:space="0" w:color="auto"/>
          </w:divBdr>
          <w:divsChild>
            <w:div w:id="1447970551">
              <w:marLeft w:val="0"/>
              <w:marRight w:val="0"/>
              <w:marTop w:val="0"/>
              <w:marBottom w:val="0"/>
              <w:divBdr>
                <w:top w:val="none" w:sz="0" w:space="0" w:color="auto"/>
                <w:left w:val="none" w:sz="0" w:space="0" w:color="auto"/>
                <w:bottom w:val="none" w:sz="0" w:space="0" w:color="auto"/>
                <w:right w:val="none" w:sz="0" w:space="0" w:color="auto"/>
              </w:divBdr>
            </w:div>
          </w:divsChild>
        </w:div>
        <w:div w:id="1179153889">
          <w:marLeft w:val="0"/>
          <w:marRight w:val="0"/>
          <w:marTop w:val="0"/>
          <w:marBottom w:val="0"/>
          <w:divBdr>
            <w:top w:val="none" w:sz="0" w:space="0" w:color="auto"/>
            <w:left w:val="none" w:sz="0" w:space="0" w:color="auto"/>
            <w:bottom w:val="none" w:sz="0" w:space="0" w:color="auto"/>
            <w:right w:val="none" w:sz="0" w:space="0" w:color="auto"/>
          </w:divBdr>
          <w:divsChild>
            <w:div w:id="102945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922712180">
      <w:bodyDiv w:val="1"/>
      <w:marLeft w:val="0"/>
      <w:marRight w:val="0"/>
      <w:marTop w:val="0"/>
      <w:marBottom w:val="0"/>
      <w:divBdr>
        <w:top w:val="none" w:sz="0" w:space="0" w:color="auto"/>
        <w:left w:val="none" w:sz="0" w:space="0" w:color="auto"/>
        <w:bottom w:val="none" w:sz="0" w:space="0" w:color="auto"/>
        <w:right w:val="none" w:sz="0" w:space="0" w:color="auto"/>
      </w:divBdr>
      <w:divsChild>
        <w:div w:id="1520007011">
          <w:marLeft w:val="0"/>
          <w:marRight w:val="0"/>
          <w:marTop w:val="0"/>
          <w:marBottom w:val="0"/>
          <w:divBdr>
            <w:top w:val="none" w:sz="0" w:space="0" w:color="auto"/>
            <w:left w:val="none" w:sz="0" w:space="0" w:color="auto"/>
            <w:bottom w:val="none" w:sz="0" w:space="0" w:color="auto"/>
            <w:right w:val="none" w:sz="0" w:space="0" w:color="auto"/>
          </w:divBdr>
          <w:divsChild>
            <w:div w:id="429352846">
              <w:marLeft w:val="0"/>
              <w:marRight w:val="0"/>
              <w:marTop w:val="0"/>
              <w:marBottom w:val="0"/>
              <w:divBdr>
                <w:top w:val="none" w:sz="0" w:space="0" w:color="auto"/>
                <w:left w:val="none" w:sz="0" w:space="0" w:color="auto"/>
                <w:bottom w:val="none" w:sz="0" w:space="0" w:color="auto"/>
                <w:right w:val="none" w:sz="0" w:space="0" w:color="auto"/>
              </w:divBdr>
            </w:div>
          </w:divsChild>
        </w:div>
        <w:div w:id="718822323">
          <w:marLeft w:val="0"/>
          <w:marRight w:val="0"/>
          <w:marTop w:val="0"/>
          <w:marBottom w:val="0"/>
          <w:divBdr>
            <w:top w:val="none" w:sz="0" w:space="0" w:color="auto"/>
            <w:left w:val="none" w:sz="0" w:space="0" w:color="auto"/>
            <w:bottom w:val="none" w:sz="0" w:space="0" w:color="auto"/>
            <w:right w:val="none" w:sz="0" w:space="0" w:color="auto"/>
          </w:divBdr>
          <w:divsChild>
            <w:div w:id="755827950">
              <w:marLeft w:val="0"/>
              <w:marRight w:val="0"/>
              <w:marTop w:val="0"/>
              <w:marBottom w:val="0"/>
              <w:divBdr>
                <w:top w:val="none" w:sz="0" w:space="0" w:color="auto"/>
                <w:left w:val="none" w:sz="0" w:space="0" w:color="auto"/>
                <w:bottom w:val="none" w:sz="0" w:space="0" w:color="auto"/>
                <w:right w:val="none" w:sz="0" w:space="0" w:color="auto"/>
              </w:divBdr>
            </w:div>
          </w:divsChild>
        </w:div>
        <w:div w:id="406615399">
          <w:marLeft w:val="0"/>
          <w:marRight w:val="0"/>
          <w:marTop w:val="0"/>
          <w:marBottom w:val="0"/>
          <w:divBdr>
            <w:top w:val="none" w:sz="0" w:space="0" w:color="auto"/>
            <w:left w:val="none" w:sz="0" w:space="0" w:color="auto"/>
            <w:bottom w:val="none" w:sz="0" w:space="0" w:color="auto"/>
            <w:right w:val="none" w:sz="0" w:space="0" w:color="auto"/>
          </w:divBdr>
          <w:divsChild>
            <w:div w:id="49115181">
              <w:marLeft w:val="0"/>
              <w:marRight w:val="0"/>
              <w:marTop w:val="0"/>
              <w:marBottom w:val="0"/>
              <w:divBdr>
                <w:top w:val="none" w:sz="0" w:space="0" w:color="auto"/>
                <w:left w:val="none" w:sz="0" w:space="0" w:color="auto"/>
                <w:bottom w:val="none" w:sz="0" w:space="0" w:color="auto"/>
                <w:right w:val="none" w:sz="0" w:space="0" w:color="auto"/>
              </w:divBdr>
            </w:div>
          </w:divsChild>
        </w:div>
        <w:div w:id="927617329">
          <w:marLeft w:val="0"/>
          <w:marRight w:val="0"/>
          <w:marTop w:val="0"/>
          <w:marBottom w:val="0"/>
          <w:divBdr>
            <w:top w:val="none" w:sz="0" w:space="0" w:color="auto"/>
            <w:left w:val="none" w:sz="0" w:space="0" w:color="auto"/>
            <w:bottom w:val="none" w:sz="0" w:space="0" w:color="auto"/>
            <w:right w:val="none" w:sz="0" w:space="0" w:color="auto"/>
          </w:divBdr>
          <w:divsChild>
            <w:div w:id="25883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1848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vandariog@hotmail.com"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manual-para-determinar-y-verificar-los-requisitos-habilitantes-en-los-procesos-de-contratacion"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190AE0C-C7A0-4B49-838D-4DE623802F5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9d85dbaf-23eb-4e57-a637-93dcacc8b1a1"/>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6193</Words>
  <Characters>34063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2025-09-19T18:10:00Z</dcterms:created>
  <dcterms:modified xsi:type="dcterms:W3CDTF">2025-09-19T18:10:00Z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