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8CC90" w14:textId="77777777" w:rsidR="004C0F29" w:rsidRPr="003E4F32" w:rsidRDefault="004C0F29" w:rsidP="004C0F29">
      <w:pPr>
        <w:spacing w:after="0" w:line="240" w:lineRule="auto"/>
        <w:jc w:val="both"/>
        <w:rPr>
          <w:rFonts w:ascii="Verdana" w:hAnsi="Verdana"/>
          <w:b/>
          <w:lang w:val="es-ES"/>
        </w:rPr>
      </w:pPr>
      <w:bookmarkStart w:id="0" w:name="_Hlk143780582"/>
      <w:r w:rsidRPr="003E4F32">
        <w:rPr>
          <w:rFonts w:ascii="Verdana" w:hAnsi="Verdana"/>
          <w:b/>
          <w:lang w:val="es-ES"/>
        </w:rPr>
        <w:t xml:space="preserve">CONTRATOS Y CONVENIOS INTERADMINISTRATIVOS – Noción – Diferencias </w:t>
      </w:r>
    </w:p>
    <w:p w14:paraId="21BCA115" w14:textId="77777777" w:rsidR="004C0F29" w:rsidRDefault="004C0F29" w:rsidP="004C0F29">
      <w:pPr>
        <w:spacing w:after="0" w:line="240" w:lineRule="auto"/>
        <w:jc w:val="both"/>
        <w:rPr>
          <w:rFonts w:ascii="Verdana" w:hAnsi="Verdana"/>
          <w:b/>
          <w:lang w:val="es-ES"/>
        </w:rPr>
      </w:pPr>
    </w:p>
    <w:p w14:paraId="5C7C6457" w14:textId="77777777" w:rsidR="004C0F29" w:rsidRDefault="004C0F29" w:rsidP="004C0F29">
      <w:pPr>
        <w:spacing w:after="0" w:line="240" w:lineRule="auto"/>
        <w:jc w:val="both"/>
        <w:rPr>
          <w:rFonts w:ascii="Verdana" w:hAnsi="Verdana"/>
          <w:sz w:val="20"/>
        </w:rPr>
      </w:pPr>
      <w:r w:rsidRPr="003E4F32">
        <w:rPr>
          <w:rFonts w:ascii="Verdana" w:hAnsi="Verdana"/>
          <w:sz w:val="20"/>
        </w:rPr>
        <w:t>La tipología del contrato interadministrativo fue creada en la Ley 80 de 1993, y el Decreto 1082 de 2015 la califica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al ser necesario que los extremos de la relación contractual sean Entidades Estatales.</w:t>
      </w:r>
    </w:p>
    <w:p w14:paraId="2B2242E9" w14:textId="77777777" w:rsidR="004C0F29" w:rsidRPr="003E4F32" w:rsidRDefault="004C0F29" w:rsidP="004C0F29">
      <w:pPr>
        <w:spacing w:after="0" w:line="240" w:lineRule="auto"/>
        <w:jc w:val="both"/>
        <w:rPr>
          <w:rFonts w:ascii="Verdana" w:hAnsi="Verdana"/>
          <w:sz w:val="20"/>
        </w:rPr>
      </w:pPr>
    </w:p>
    <w:p w14:paraId="5C6DAE4C" w14:textId="77777777" w:rsidR="004C0F29" w:rsidRPr="003E4F32" w:rsidRDefault="004C0F29" w:rsidP="004C0F29">
      <w:pPr>
        <w:spacing w:after="0" w:line="240" w:lineRule="auto"/>
        <w:jc w:val="both"/>
        <w:rPr>
          <w:rFonts w:ascii="Verdana" w:hAnsi="Verdana"/>
          <w:sz w:val="20"/>
        </w:rPr>
      </w:pPr>
      <w:r w:rsidRPr="003E4F32">
        <w:rPr>
          <w:rFonts w:ascii="Verdana" w:hAnsi="Verdana"/>
          <w:sz w:val="20"/>
        </w:rPr>
        <w:t>Si bien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76C488A6" w14:textId="77777777" w:rsidR="004C0F29" w:rsidRPr="003E4F32" w:rsidRDefault="004C0F29" w:rsidP="004C0F29">
      <w:pPr>
        <w:spacing w:after="0" w:line="240" w:lineRule="auto"/>
        <w:jc w:val="both"/>
        <w:rPr>
          <w:rFonts w:ascii="Verdana" w:hAnsi="Verdana"/>
          <w:b/>
        </w:rPr>
      </w:pPr>
    </w:p>
    <w:p w14:paraId="6CBB4FD9" w14:textId="77777777" w:rsidR="004C0F29" w:rsidRPr="003E4F32" w:rsidRDefault="004C0F29" w:rsidP="004C0F29">
      <w:pPr>
        <w:spacing w:after="0" w:line="240" w:lineRule="auto"/>
        <w:jc w:val="both"/>
        <w:rPr>
          <w:rFonts w:ascii="Verdana" w:hAnsi="Verdana"/>
          <w:b/>
          <w:lang w:val="es-ES"/>
        </w:rPr>
      </w:pPr>
      <w:r w:rsidRPr="003E4F32">
        <w:rPr>
          <w:rFonts w:ascii="Verdana" w:hAnsi="Verdana"/>
          <w:b/>
          <w:lang w:val="es-ES"/>
        </w:rPr>
        <w:t xml:space="preserve">CONVENIO INTERADMINISTRATIVO – Naturaleza – Inaplicabilidad – Ley 80 de 1993 </w:t>
      </w:r>
    </w:p>
    <w:p w14:paraId="68F3284C" w14:textId="77777777" w:rsidR="004C0F29" w:rsidRDefault="004C0F29" w:rsidP="004C0F29">
      <w:pPr>
        <w:spacing w:after="0" w:line="240" w:lineRule="auto"/>
        <w:jc w:val="both"/>
        <w:rPr>
          <w:rFonts w:ascii="Verdana" w:hAnsi="Verdana"/>
          <w:b/>
          <w:lang w:val="es-ES"/>
        </w:rPr>
      </w:pPr>
    </w:p>
    <w:p w14:paraId="535DDE2D" w14:textId="77777777" w:rsidR="004C0F29" w:rsidRPr="003E4F32" w:rsidRDefault="004C0F29" w:rsidP="004C0F29">
      <w:pPr>
        <w:spacing w:after="0" w:line="240" w:lineRule="auto"/>
        <w:jc w:val="both"/>
        <w:rPr>
          <w:rFonts w:ascii="Verdana" w:hAnsi="Verdana"/>
          <w:sz w:val="20"/>
        </w:rPr>
      </w:pPr>
      <w:r w:rsidRPr="003E4F32">
        <w:rPr>
          <w:rFonts w:ascii="Verdana" w:hAnsi="Verdana"/>
          <w:sz w:val="20"/>
        </w:rPr>
        <w:t xml:space="preserve">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 </w:t>
      </w:r>
    </w:p>
    <w:p w14:paraId="532133C5" w14:textId="77777777" w:rsidR="004C0F29" w:rsidRPr="003E4F32" w:rsidRDefault="004C0F29" w:rsidP="004C0F29">
      <w:pPr>
        <w:spacing w:after="0" w:line="240" w:lineRule="auto"/>
        <w:jc w:val="both"/>
        <w:rPr>
          <w:rFonts w:ascii="Verdana" w:hAnsi="Verdana"/>
          <w:sz w:val="20"/>
        </w:rPr>
      </w:pPr>
    </w:p>
    <w:p w14:paraId="3BCBFB16" w14:textId="77777777" w:rsidR="004C0F29" w:rsidRPr="003E4F32" w:rsidRDefault="004C0F29" w:rsidP="004C0F29">
      <w:pPr>
        <w:spacing w:after="0" w:line="240" w:lineRule="auto"/>
        <w:jc w:val="both"/>
        <w:rPr>
          <w:rFonts w:ascii="Verdana" w:hAnsi="Verdana"/>
          <w:sz w:val="20"/>
        </w:rPr>
      </w:pPr>
      <w:r w:rsidRPr="003E4F32">
        <w:rPr>
          <w:rFonts w:ascii="Verdana" w:hAnsi="Verdana"/>
          <w:sz w:val="20"/>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p>
    <w:p w14:paraId="6A517F99" w14:textId="4317BF46" w:rsidR="004C0F29" w:rsidRDefault="004C0F29" w:rsidP="004C0F29">
      <w:pPr>
        <w:spacing w:after="0" w:line="240" w:lineRule="auto"/>
        <w:rPr>
          <w:rFonts w:ascii="Verdana" w:hAnsi="Verdana"/>
        </w:rPr>
      </w:pPr>
    </w:p>
    <w:p w14:paraId="2BB3C924" w14:textId="77777777" w:rsidR="004C0F29" w:rsidRPr="004C0F29" w:rsidRDefault="004C0F29" w:rsidP="004C0F29">
      <w:pPr>
        <w:spacing w:after="0" w:line="240" w:lineRule="auto"/>
        <w:rPr>
          <w:rFonts w:ascii="Verdana" w:hAnsi="Verdana" w:cs="Arial"/>
          <w:b/>
          <w:bCs/>
          <w:lang w:val="es-ES_tradnl"/>
        </w:rPr>
      </w:pPr>
      <w:r w:rsidRPr="004C0F29">
        <w:rPr>
          <w:rFonts w:ascii="Verdana" w:hAnsi="Verdana" w:cs="Arial"/>
          <w:b/>
          <w:bCs/>
          <w:lang w:val="es-ES_tradnl"/>
        </w:rPr>
        <w:t xml:space="preserve">ASOCIACIONES DE MUNICIPIOS – Naturaleza </w:t>
      </w:r>
    </w:p>
    <w:p w14:paraId="51973232" w14:textId="77777777" w:rsidR="004C0F29" w:rsidRDefault="004C0F29" w:rsidP="004C0F29">
      <w:pPr>
        <w:spacing w:after="0" w:line="240" w:lineRule="auto"/>
        <w:rPr>
          <w:rFonts w:ascii="Verdana" w:hAnsi="Verdana" w:cs="Arial"/>
          <w:bCs/>
          <w:lang w:val="es-ES_tradnl"/>
        </w:rPr>
      </w:pPr>
    </w:p>
    <w:p w14:paraId="1A7B833B" w14:textId="77777777" w:rsidR="004C0F29" w:rsidRPr="004C0F29" w:rsidRDefault="004C0F29" w:rsidP="004C0F29">
      <w:pPr>
        <w:spacing w:after="0" w:line="240" w:lineRule="auto"/>
        <w:jc w:val="both"/>
        <w:rPr>
          <w:rFonts w:ascii="Verdana" w:hAnsi="Verdana" w:cs="Arial"/>
          <w:bCs/>
          <w:sz w:val="20"/>
        </w:rPr>
      </w:pPr>
      <w:r w:rsidRPr="004C0F29">
        <w:rPr>
          <w:rFonts w:ascii="Verdana" w:hAnsi="Verdana" w:cs="Arial"/>
          <w:bCs/>
          <w:sz w:val="20"/>
        </w:rPr>
        <w:t xml:space="preserve">En lo referente a la </w:t>
      </w:r>
      <w:r w:rsidRPr="004C0F29">
        <w:rPr>
          <w:rFonts w:ascii="Verdana" w:hAnsi="Verdana" w:cs="Arial"/>
          <w:bCs/>
          <w:i/>
          <w:iCs/>
          <w:sz w:val="20"/>
        </w:rPr>
        <w:t>asociación de municipios</w:t>
      </w:r>
      <w:r w:rsidRPr="004C0F29">
        <w:rPr>
          <w:rFonts w:ascii="Verdana" w:hAnsi="Verdana" w:cs="Arial"/>
          <w:bCs/>
          <w:sz w:val="20"/>
        </w:rPr>
        <w:t>, la Ley 136 de 1994, en el artículo 149 señaló que esas asociaciones “son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revisables y anulables por la Jurisdicción Contencioso-administrativa”.</w:t>
      </w:r>
    </w:p>
    <w:p w14:paraId="0F662A88" w14:textId="77777777" w:rsidR="004C0F29" w:rsidRPr="004C0F29" w:rsidRDefault="004C0F29" w:rsidP="001C01E9">
      <w:pPr>
        <w:spacing w:after="0" w:line="240" w:lineRule="auto"/>
        <w:jc w:val="both"/>
        <w:rPr>
          <w:rFonts w:ascii="Verdana" w:hAnsi="Verdana" w:cs="Arial"/>
          <w:bCs/>
          <w:sz w:val="20"/>
        </w:rPr>
      </w:pPr>
      <w:r w:rsidRPr="004C0F29">
        <w:rPr>
          <w:rFonts w:ascii="Verdana" w:hAnsi="Verdana" w:cs="Arial"/>
          <w:bCs/>
          <w:sz w:val="20"/>
        </w:rPr>
        <w:lastRenderedPageBreak/>
        <w:t>Por su parte, el artículo 148 de la referida Ley 136 de 1994 autorizó que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p>
    <w:p w14:paraId="5D7A4A71" w14:textId="6C6D27CD" w:rsidR="004C0F29" w:rsidRPr="004C0F29" w:rsidRDefault="004C0F29" w:rsidP="001C01E9">
      <w:pPr>
        <w:spacing w:after="0" w:line="240" w:lineRule="auto"/>
        <w:jc w:val="both"/>
        <w:rPr>
          <w:rFonts w:ascii="Verdana" w:hAnsi="Verdana" w:cs="Arial"/>
          <w:bCs/>
          <w:sz w:val="20"/>
        </w:rPr>
      </w:pPr>
      <w:r w:rsidRPr="004C0F29">
        <w:rPr>
          <w:rFonts w:ascii="Verdana" w:hAnsi="Verdana" w:cs="Arial"/>
          <w:bCs/>
          <w:sz w:val="20"/>
        </w:rPr>
        <w:t xml:space="preserve">A su vez, la Ley 1454 de 2011, orgánica del ordenamiento territorial, concibió a las asociaciones de municipios como una clase de los denominados esquemas asociativos territoriales, sobre los que el artículo 17 señala que “son entidades administrativas de derecho público, con personería jurídica y patrimonio propio e independiente de los entes que la conforman”. </w:t>
      </w:r>
    </w:p>
    <w:p w14:paraId="7AB99561" w14:textId="77777777" w:rsidR="004C0F29" w:rsidRPr="004C0F29" w:rsidRDefault="004C0F29" w:rsidP="001C01E9">
      <w:pPr>
        <w:spacing w:after="0" w:line="240" w:lineRule="auto"/>
        <w:rPr>
          <w:rFonts w:ascii="Verdana" w:hAnsi="Verdana" w:cs="Arial"/>
          <w:bCs/>
        </w:rPr>
      </w:pPr>
    </w:p>
    <w:p w14:paraId="4CED60D7" w14:textId="77777777" w:rsidR="004C0F29" w:rsidRPr="007B2914" w:rsidRDefault="004C0F29" w:rsidP="001C01E9">
      <w:pPr>
        <w:spacing w:after="0" w:line="240" w:lineRule="auto"/>
        <w:rPr>
          <w:rFonts w:ascii="Verdana" w:hAnsi="Verdana" w:cs="Arial"/>
          <w:b/>
          <w:bCs/>
          <w:lang w:val="es-ES_tradnl"/>
        </w:rPr>
      </w:pPr>
      <w:r w:rsidRPr="007B2914">
        <w:rPr>
          <w:rFonts w:ascii="Verdana" w:hAnsi="Verdana" w:cs="Arial"/>
          <w:b/>
          <w:bCs/>
          <w:lang w:val="es-ES_tradnl"/>
        </w:rPr>
        <w:t xml:space="preserve">ASOCIACIONES DE MUNICIPIOS - - Régimen Jurídico </w:t>
      </w:r>
    </w:p>
    <w:p w14:paraId="2A443CEC" w14:textId="612CD265" w:rsidR="004C0F29" w:rsidRDefault="004C0F29" w:rsidP="001C01E9">
      <w:pPr>
        <w:spacing w:after="0" w:line="240" w:lineRule="auto"/>
        <w:rPr>
          <w:rFonts w:ascii="Verdana" w:hAnsi="Verdana" w:cs="Arial"/>
          <w:bCs/>
          <w:lang w:val="es-ES_tradnl"/>
        </w:rPr>
      </w:pPr>
    </w:p>
    <w:p w14:paraId="0F906328" w14:textId="73E61115" w:rsidR="004C0F29" w:rsidRPr="007B2914" w:rsidRDefault="007B2914" w:rsidP="001C01E9">
      <w:pPr>
        <w:spacing w:after="0" w:line="240" w:lineRule="auto"/>
        <w:jc w:val="both"/>
        <w:rPr>
          <w:rFonts w:ascii="Verdana" w:hAnsi="Verdana" w:cs="Arial"/>
          <w:bCs/>
          <w:sz w:val="20"/>
          <w:lang w:val="es-ES"/>
        </w:rPr>
      </w:pPr>
      <w:r w:rsidRPr="007B2914">
        <w:rPr>
          <w:rFonts w:ascii="Verdana" w:hAnsi="Verdana" w:cs="Arial"/>
          <w:bCs/>
          <w:sz w:val="20"/>
        </w:rPr>
        <w:t xml:space="preserve">La Ley 80 de 1993, en el parágrafo 1 del artículo 2, incluía a las cooperativas y asociaciones de entidades territoriales dentro de la categoría de entidades estatales sometidas a la Ley 80 de 1993, y las facultaba para suscribir convenios interadministrativos: </w:t>
      </w:r>
      <w:r w:rsidRPr="007B2914">
        <w:rPr>
          <w:rFonts w:ascii="Verdana" w:hAnsi="Verdana" w:cs="Arial"/>
          <w:bCs/>
          <w:sz w:val="20"/>
          <w:lang w:val="es-ES"/>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 entidades”.</w:t>
      </w:r>
    </w:p>
    <w:p w14:paraId="5C2A5869" w14:textId="77777777" w:rsidR="007B2914" w:rsidRPr="004C0F29" w:rsidRDefault="007B2914" w:rsidP="001C01E9">
      <w:pPr>
        <w:spacing w:after="0" w:line="240" w:lineRule="auto"/>
        <w:rPr>
          <w:rFonts w:ascii="Verdana" w:hAnsi="Verdana" w:cs="Arial"/>
          <w:b/>
          <w:bCs/>
          <w:lang w:val="es-ES_tradnl"/>
        </w:rPr>
      </w:pPr>
    </w:p>
    <w:p w14:paraId="03FF3DF0" w14:textId="77777777" w:rsidR="004C0F29" w:rsidRPr="004C0F29" w:rsidRDefault="004C0F29" w:rsidP="001C01E9">
      <w:pPr>
        <w:spacing w:after="0" w:line="240" w:lineRule="auto"/>
        <w:jc w:val="both"/>
        <w:rPr>
          <w:rFonts w:ascii="Verdana" w:hAnsi="Verdana" w:cs="Arial"/>
          <w:b/>
          <w:bCs/>
          <w:lang w:val="es-ES_tradnl"/>
        </w:rPr>
      </w:pPr>
      <w:r w:rsidRPr="004C0F29">
        <w:rPr>
          <w:rFonts w:ascii="Verdana" w:hAnsi="Verdana" w:cs="Arial"/>
          <w:b/>
          <w:bCs/>
          <w:lang w:val="es-ES_tradnl"/>
        </w:rPr>
        <w:t>CONTRATOS INTERADMINISTRATIVOS – Asociaciones de Municipios – Prohibición – Contratación Directa</w:t>
      </w:r>
    </w:p>
    <w:p w14:paraId="0423CE83" w14:textId="4291AB5A" w:rsidR="004C0F29" w:rsidRDefault="004C0F29" w:rsidP="001C01E9">
      <w:pPr>
        <w:spacing w:after="0" w:line="240" w:lineRule="auto"/>
        <w:rPr>
          <w:rFonts w:ascii="Verdana" w:hAnsi="Verdana" w:cs="Arial"/>
          <w:bCs/>
          <w:lang w:val="es-ES_tradnl"/>
        </w:rPr>
      </w:pPr>
    </w:p>
    <w:p w14:paraId="0C04F78F" w14:textId="1E547ED8" w:rsidR="004C0F29" w:rsidRDefault="004C0F29" w:rsidP="001C01E9">
      <w:pPr>
        <w:spacing w:after="0" w:line="240" w:lineRule="auto"/>
        <w:jc w:val="both"/>
        <w:rPr>
          <w:rFonts w:ascii="Verdana" w:hAnsi="Verdana" w:cs="Arial"/>
          <w:bCs/>
          <w:sz w:val="20"/>
          <w:lang w:val="es-ES"/>
        </w:rPr>
      </w:pPr>
      <w:r w:rsidRPr="004C0F29">
        <w:rPr>
          <w:rFonts w:ascii="Verdana" w:hAnsi="Verdana" w:cs="Arial"/>
          <w:bCs/>
          <w:sz w:val="20"/>
          <w:lang w:val="es-ES"/>
        </w:rPr>
        <w:t xml:space="preserve">[…] la celebración de contratos con entidades estatales, las cooperativas y asociaciones conformadas por entidades territoriales deben someterse a los procesos de selección de la Ley 1150 de 2007, en igualdad de condiciones con los particulares. Así las cosas, la finalidad de la norma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modalidad de contratación directa. </w:t>
      </w:r>
    </w:p>
    <w:p w14:paraId="2A92F1A6" w14:textId="77777777" w:rsidR="004C0F29" w:rsidRPr="004C0F29" w:rsidRDefault="004C0F29" w:rsidP="001C01E9">
      <w:pPr>
        <w:spacing w:after="0" w:line="240" w:lineRule="auto"/>
        <w:jc w:val="both"/>
        <w:rPr>
          <w:rFonts w:ascii="Verdana" w:hAnsi="Verdana" w:cs="Arial"/>
          <w:bCs/>
          <w:sz w:val="20"/>
          <w:lang w:val="es-ES"/>
        </w:rPr>
      </w:pPr>
    </w:p>
    <w:p w14:paraId="3599E857" w14:textId="77777777" w:rsidR="004C0F29" w:rsidRPr="004C0F29" w:rsidRDefault="004C0F29" w:rsidP="001C01E9">
      <w:pPr>
        <w:spacing w:after="0" w:line="240" w:lineRule="auto"/>
        <w:jc w:val="both"/>
        <w:rPr>
          <w:rFonts w:ascii="Verdana" w:hAnsi="Verdana" w:cs="Arial"/>
          <w:bCs/>
          <w:sz w:val="20"/>
          <w:lang w:val="es-ES"/>
        </w:rPr>
      </w:pPr>
      <w:r w:rsidRPr="004C0F29">
        <w:rPr>
          <w:rFonts w:ascii="Verdana" w:hAnsi="Verdana" w:cs="Arial"/>
          <w:bCs/>
          <w:sz w:val="20"/>
          <w:lang w:val="es-ES"/>
        </w:rPr>
        <w:t xml:space="preserve">De la evolución normativa expuesta se advierte que la prohibición de celebrar contratos mediante la modalidad de contratación directa, incluyendo la imposibilidad de acudir a la causal de contratos interadministrativos, por parte de asociaciones de entidades territoriales tiene como fundamento: i) la derogatoria expresa del artículo 32 de la Ley 1150 de 2007, que dejó sin efectos el parágrafo 1 del artículo 2 de la Ley 80 de 1993; y, particularmente, </w:t>
      </w:r>
      <w:proofErr w:type="spellStart"/>
      <w:r w:rsidRPr="004C0F29">
        <w:rPr>
          <w:rFonts w:ascii="Verdana" w:hAnsi="Verdana" w:cs="Arial"/>
          <w:bCs/>
          <w:sz w:val="20"/>
          <w:lang w:val="es-ES"/>
        </w:rPr>
        <w:t>ii</w:t>
      </w:r>
      <w:proofErr w:type="spellEnd"/>
      <w:r w:rsidRPr="004C0F29">
        <w:rPr>
          <w:rFonts w:ascii="Verdana" w:hAnsi="Verdana" w:cs="Arial"/>
          <w:bCs/>
          <w:sz w:val="20"/>
          <w:lang w:val="es-ES"/>
        </w:rPr>
        <w:t>) el artículo 10 de la ley 1150 de 2007 que establece que la celebración de contratos entre una entidad estatal con, entre otras, asociaciones de entidades territoriales  únicamente pueden realizarse mediante un proceso competitivo, pues deben participar “en igualdad de condiciones con los particulares” y no mediante la modalidad de contratación directa, incluyendo en la prohibición acudir a la causal de los contratos interadministrativos.</w:t>
      </w:r>
    </w:p>
    <w:p w14:paraId="6967796E" w14:textId="77777777" w:rsidR="004C0F29" w:rsidRPr="004C0F29" w:rsidRDefault="004C0F29" w:rsidP="001C01E9">
      <w:pPr>
        <w:spacing w:after="0" w:line="240" w:lineRule="auto"/>
        <w:rPr>
          <w:rFonts w:ascii="Verdana" w:hAnsi="Verdana" w:cs="Arial"/>
          <w:bCs/>
          <w:lang w:val="es-ES"/>
        </w:rPr>
      </w:pPr>
    </w:p>
    <w:p w14:paraId="0111A631" w14:textId="58D99A6E" w:rsidR="004C0F29" w:rsidRPr="004C0F29" w:rsidRDefault="004C0F29" w:rsidP="001C01E9">
      <w:pPr>
        <w:spacing w:after="0" w:line="240" w:lineRule="auto"/>
        <w:rPr>
          <w:rFonts w:ascii="Verdana" w:hAnsi="Verdana"/>
          <w:b/>
        </w:rPr>
      </w:pPr>
      <w:r w:rsidRPr="004C0F29">
        <w:rPr>
          <w:rFonts w:ascii="Verdana" w:hAnsi="Verdana" w:cs="Arial"/>
          <w:b/>
          <w:bCs/>
          <w:lang w:val="es-ES_tradnl"/>
        </w:rPr>
        <w:lastRenderedPageBreak/>
        <w:t>CONVENIOS INTERADMINISTRATIVOS – Procedencia – Contratación Directa</w:t>
      </w:r>
      <w:r w:rsidRPr="004C0F29">
        <w:rPr>
          <w:rFonts w:ascii="Verdana" w:hAnsi="Verdana" w:cs="Arial"/>
          <w:b/>
          <w:bCs/>
          <w:color w:val="000000"/>
          <w:kern w:val="2"/>
          <w:lang w:val="es-MX"/>
          <w14:ligatures w14:val="standardContextual"/>
        </w:rPr>
        <w:t xml:space="preserve"> </w:t>
      </w:r>
    </w:p>
    <w:p w14:paraId="29752763" w14:textId="29708A38" w:rsidR="004C0F29" w:rsidRDefault="004C0F29" w:rsidP="001C01E9">
      <w:pPr>
        <w:spacing w:after="0" w:line="240" w:lineRule="auto"/>
        <w:rPr>
          <w:rFonts w:ascii="Verdana" w:hAnsi="Verdana"/>
        </w:rPr>
      </w:pPr>
    </w:p>
    <w:p w14:paraId="7B37BC79" w14:textId="087BFA35" w:rsidR="004C0F29" w:rsidRPr="004C0F29" w:rsidRDefault="004C0F29" w:rsidP="001C01E9">
      <w:pPr>
        <w:spacing w:after="0" w:line="240" w:lineRule="auto"/>
        <w:jc w:val="both"/>
        <w:rPr>
          <w:rFonts w:ascii="Verdana" w:hAnsi="Verdana"/>
          <w:sz w:val="20"/>
        </w:rPr>
      </w:pPr>
      <w:r>
        <w:rPr>
          <w:rFonts w:ascii="Verdana" w:hAnsi="Verdana"/>
          <w:sz w:val="20"/>
          <w:lang w:val="es-ES"/>
        </w:rPr>
        <w:t xml:space="preserve">[…] </w:t>
      </w:r>
      <w:r w:rsidRPr="004C0F29">
        <w:rPr>
          <w:rFonts w:ascii="Verdana" w:hAnsi="Verdana"/>
          <w:sz w:val="20"/>
          <w:lang w:val="es-ES"/>
        </w:rPr>
        <w:t xml:space="preserve">estos efectos jurídicos de prohibición de contratación directa no son extensibles a los convenios interadministrativos, como se ha expresado en los Conceptos C-605 del 27 de junio de 2025, </w:t>
      </w:r>
      <w:r w:rsidRPr="004C0F29">
        <w:rPr>
          <w:rFonts w:ascii="Verdana" w:hAnsi="Verdana"/>
          <w:sz w:val="20"/>
        </w:rPr>
        <w:t xml:space="preserve">C-1046 del 9 de septiembre de 2025, C-1152 del 23 de septiembre de 2025 y como se explica en el primer apartado </w:t>
      </w:r>
      <w:r w:rsidRPr="004C0F29">
        <w:rPr>
          <w:rFonts w:ascii="Verdana" w:hAnsi="Verdana"/>
          <w:sz w:val="20"/>
          <w:lang w:val="es-ES_tradnl"/>
        </w:rPr>
        <w:t xml:space="preserve">no hay aplicación automática del Estatuto General de Contratación de la Administración. </w:t>
      </w:r>
      <w:r w:rsidRPr="004C0F29">
        <w:rPr>
          <w:rFonts w:ascii="Verdana" w:hAnsi="Verdana"/>
          <w:sz w:val="20"/>
        </w:rPr>
        <w:t>Estos negocios jurídicos se caracterizan por estar sujetos a la autorregulación establecida a través de sus propias estipulaciones, que son el resultado de la autonomía de la voluntad de las entidades que actúan como colaboradoras o cooperantes. En efecto, en los convenios interadministrativos puros o genuinos, el valor del negocio jurídico es determinado por los aportes en dinero y/o en especie requeridos para ejecutar el objeto, los cuales pueden ser realizados por ambos cooperantes en los montos que estos estipulen.</w:t>
      </w:r>
    </w:p>
    <w:p w14:paraId="60D3C998" w14:textId="77777777" w:rsidR="004C0F29" w:rsidRDefault="004C0F29" w:rsidP="001C01E9">
      <w:pPr>
        <w:spacing w:after="0" w:line="240" w:lineRule="auto"/>
        <w:jc w:val="both"/>
        <w:rPr>
          <w:rFonts w:ascii="Verdana" w:hAnsi="Verdana"/>
          <w:sz w:val="20"/>
        </w:rPr>
      </w:pPr>
    </w:p>
    <w:p w14:paraId="24467428" w14:textId="25186451" w:rsidR="004C0F29" w:rsidRDefault="004C0F29" w:rsidP="001C01E9">
      <w:pPr>
        <w:spacing w:after="0" w:line="240" w:lineRule="auto"/>
        <w:jc w:val="both"/>
        <w:rPr>
          <w:rFonts w:ascii="Verdana" w:hAnsi="Verdana"/>
          <w:sz w:val="20"/>
          <w:lang w:val="es-ES_tradnl"/>
        </w:rPr>
      </w:pPr>
      <w:r w:rsidRPr="004C0F29">
        <w:rPr>
          <w:rFonts w:ascii="Verdana" w:hAnsi="Verdana"/>
          <w:sz w:val="20"/>
        </w:rPr>
        <w:t xml:space="preserve">En estos términos, en los convenios interadministrativos no se alude a las categorías de contratante y contratista, sino que ambas partes son cooperantes o colaboradoras. En el marco de su relación de colaboración </w:t>
      </w:r>
      <w:r w:rsidRPr="004C0F29">
        <w:rPr>
          <w:rFonts w:ascii="Verdana" w:hAnsi="Verdana"/>
          <w:sz w:val="20"/>
          <w:lang w:val="es-ES_tradnl"/>
        </w:rPr>
        <w:t xml:space="preserve">pueden estipularse diferentes formas de vinculación de las partes, donde pueden configurar condiciones y cláusulas de mandatos con o sin representación bajo la forma de una administración delegada. En este aspecto, puede pactarse que una de las entidades cooperantes actué como la ejecutora de las principales obligaciones del convenio. En este caso, una de las entidades cooperantes puede encargarse de la administración y ejecución del convenio, sin que pueda estipularse categorías conceptuales como la utilidad o costos por concepto de pago de honorarios.  </w:t>
      </w:r>
    </w:p>
    <w:p w14:paraId="33CD4414" w14:textId="77777777" w:rsidR="004C0F29" w:rsidRPr="004C0F29" w:rsidRDefault="004C0F29" w:rsidP="001C01E9">
      <w:pPr>
        <w:spacing w:after="0" w:line="240" w:lineRule="auto"/>
        <w:jc w:val="both"/>
        <w:rPr>
          <w:rFonts w:ascii="Verdana" w:hAnsi="Verdana"/>
          <w:sz w:val="20"/>
        </w:rPr>
      </w:pPr>
    </w:p>
    <w:p w14:paraId="5D7344AF" w14:textId="1FAD58FE" w:rsidR="004C0F29" w:rsidRDefault="00BD2E7B" w:rsidP="001C01E9">
      <w:pPr>
        <w:spacing w:after="0" w:line="240" w:lineRule="auto"/>
        <w:rPr>
          <w:rFonts w:ascii="Verdana" w:hAnsi="Verdana"/>
        </w:rPr>
      </w:pPr>
      <w:r w:rsidRPr="004C0F29">
        <w:rPr>
          <w:rFonts w:ascii="Verdana" w:hAnsi="Verdana" w:cs="Arial"/>
          <w:b/>
          <w:bCs/>
          <w:color w:val="000000"/>
          <w:kern w:val="2"/>
          <w:lang w:val="es-ES_tradnl"/>
          <w14:ligatures w14:val="standardContextual"/>
        </w:rPr>
        <w:t>LEY 2195 DE 2022 – Artículo 56 – Aplicación.</w:t>
      </w:r>
    </w:p>
    <w:p w14:paraId="048BD542" w14:textId="08AF7266" w:rsidR="007B2914" w:rsidRDefault="007B2914" w:rsidP="001C01E9">
      <w:pPr>
        <w:spacing w:after="0" w:line="240" w:lineRule="auto"/>
        <w:rPr>
          <w:rFonts w:ascii="Verdana" w:hAnsi="Verdana"/>
        </w:rPr>
      </w:pPr>
    </w:p>
    <w:p w14:paraId="672F2FD9" w14:textId="1349F783" w:rsidR="00BD2E7B" w:rsidRPr="001C01E9" w:rsidRDefault="00BD2E7B" w:rsidP="001C01E9">
      <w:pPr>
        <w:spacing w:after="0" w:line="240" w:lineRule="auto"/>
        <w:jc w:val="both"/>
        <w:rPr>
          <w:rFonts w:ascii="Verdana" w:hAnsi="Verdana"/>
          <w:bCs/>
          <w:sz w:val="20"/>
          <w:lang w:val="es-ES_tradnl"/>
        </w:rPr>
      </w:pPr>
      <w:r w:rsidRPr="001C01E9">
        <w:rPr>
          <w:rFonts w:ascii="Verdana" w:hAnsi="Verdana"/>
          <w:sz w:val="20"/>
          <w:lang w:val="es-ES"/>
        </w:rPr>
        <w:t xml:space="preserve">Finalmente, es preciso indicar que la celebración de estos convenios interadministrativos también se encuentra supeditada a lo dispuesto por el artículo 56 de la Ley 2195 de 2022, que establece un mandato </w:t>
      </w:r>
      <w:r w:rsidRPr="001C01E9">
        <w:rPr>
          <w:rFonts w:ascii="Verdana" w:hAnsi="Verdana"/>
          <w:bCs/>
          <w:sz w:val="20"/>
          <w:lang w:val="es-ES_tradnl"/>
        </w:rPr>
        <w:t>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Ello es así en la medida en que, como se explicó, en los términos d</w:t>
      </w:r>
      <w:r w:rsidRPr="001C01E9">
        <w:rPr>
          <w:rFonts w:ascii="Verdana" w:hAnsi="Verdana"/>
          <w:sz w:val="20"/>
        </w:rPr>
        <w:t xml:space="preserve">el numeral 1 del artículo 2 de la Ley 80 de 1993, las asociaciones de municipios son entidades estatales. </w:t>
      </w:r>
    </w:p>
    <w:p w14:paraId="4DC46435" w14:textId="6AFDA9F5" w:rsidR="007B2914" w:rsidRPr="00BD2E7B" w:rsidRDefault="007B2914" w:rsidP="00475DAF">
      <w:pPr>
        <w:spacing w:after="0"/>
        <w:rPr>
          <w:rFonts w:ascii="Verdana" w:hAnsi="Verdana"/>
          <w:lang w:val="es-ES"/>
        </w:rPr>
      </w:pPr>
    </w:p>
    <w:p w14:paraId="206E123E" w14:textId="4389C6BA" w:rsidR="007B2914" w:rsidRDefault="007B2914" w:rsidP="00475DAF">
      <w:pPr>
        <w:spacing w:after="0"/>
        <w:rPr>
          <w:rFonts w:ascii="Verdana" w:hAnsi="Verdana"/>
        </w:rPr>
      </w:pPr>
    </w:p>
    <w:p w14:paraId="1799B87F" w14:textId="7A12973D" w:rsidR="007B2914" w:rsidRDefault="007B2914" w:rsidP="00475DAF">
      <w:pPr>
        <w:spacing w:after="0"/>
        <w:rPr>
          <w:rFonts w:ascii="Verdana" w:hAnsi="Verdana"/>
        </w:rPr>
      </w:pPr>
    </w:p>
    <w:p w14:paraId="3640FD31" w14:textId="351ECF43" w:rsidR="007B2914" w:rsidRDefault="007B2914" w:rsidP="00475DAF">
      <w:pPr>
        <w:spacing w:after="0"/>
        <w:rPr>
          <w:rFonts w:ascii="Verdana" w:hAnsi="Verdana"/>
        </w:rPr>
      </w:pPr>
    </w:p>
    <w:p w14:paraId="7A0204E5" w14:textId="5A9A1CD7" w:rsidR="007B2914" w:rsidRDefault="007B2914" w:rsidP="00475DAF">
      <w:pPr>
        <w:spacing w:after="0"/>
        <w:rPr>
          <w:rFonts w:ascii="Verdana" w:hAnsi="Verdana"/>
        </w:rPr>
      </w:pPr>
    </w:p>
    <w:p w14:paraId="05D2DC2B" w14:textId="79F5DCC8" w:rsidR="00475DAF" w:rsidRPr="0044528D" w:rsidRDefault="007B2914" w:rsidP="00475DAF">
      <w:pPr>
        <w:spacing w:after="0"/>
        <w:rPr>
          <w:rFonts w:ascii="Verdana" w:hAnsi="Verdana"/>
        </w:rPr>
      </w:pPr>
      <w:r w:rsidRPr="007B2914">
        <w:rPr>
          <w:rFonts w:ascii="Verdana" w:hAnsi="Verdana"/>
          <w:noProof/>
          <w:lang w:val="en-US"/>
        </w:rPr>
        <w:lastRenderedPageBreak/>
        <w:drawing>
          <wp:anchor distT="0" distB="0" distL="114300" distR="114300" simplePos="0" relativeHeight="251658240" behindDoc="0" locked="0" layoutInCell="1" allowOverlap="1" wp14:anchorId="6AEF034C" wp14:editId="0035C429">
            <wp:simplePos x="0" y="0"/>
            <wp:positionH relativeFrom="margin">
              <wp:align>right</wp:align>
            </wp:positionH>
            <wp:positionV relativeFrom="paragraph">
              <wp:posOffset>12700</wp:posOffset>
            </wp:positionV>
            <wp:extent cx="2740660" cy="777240"/>
            <wp:effectExtent l="0" t="0" r="2540" b="381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0660" cy="777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0F29">
        <w:rPr>
          <w:rFonts w:ascii="Verdana" w:hAnsi="Verdana"/>
        </w:rPr>
        <w:t xml:space="preserve">Bogotá D.C., 6 de octubre de 2025. </w:t>
      </w:r>
    </w:p>
    <w:p w14:paraId="05551586" w14:textId="77777777" w:rsidR="00475DAF" w:rsidRPr="00DB56B2" w:rsidRDefault="00475DAF" w:rsidP="00475DAF">
      <w:pPr>
        <w:spacing w:after="0" w:line="240" w:lineRule="auto"/>
        <w:rPr>
          <w:rFonts w:ascii="Verdana" w:hAnsi="Verdana"/>
        </w:rPr>
      </w:pPr>
    </w:p>
    <w:p w14:paraId="2C275620" w14:textId="77777777" w:rsidR="00475DAF" w:rsidRPr="00DB56B2" w:rsidRDefault="00475DAF" w:rsidP="00475DAF">
      <w:pPr>
        <w:spacing w:after="0" w:line="240" w:lineRule="auto"/>
        <w:rPr>
          <w:rFonts w:ascii="Verdana" w:hAnsi="Verdana"/>
        </w:rPr>
      </w:pPr>
    </w:p>
    <w:p w14:paraId="7C1FD60C" w14:textId="77777777" w:rsidR="00475DAF" w:rsidRPr="00B06E13" w:rsidRDefault="00475DAF" w:rsidP="00475DAF">
      <w:pPr>
        <w:spacing w:after="0" w:line="240" w:lineRule="auto"/>
        <w:rPr>
          <w:rFonts w:ascii="Verdana" w:eastAsia="Calibri" w:hAnsi="Verdana" w:cs="Times New Roman"/>
          <w:lang w:val="en-US"/>
        </w:rPr>
      </w:pPr>
      <w:proofErr w:type="spellStart"/>
      <w:r w:rsidRPr="00B06E13">
        <w:rPr>
          <w:rFonts w:ascii="Verdana" w:eastAsia="Calibri" w:hAnsi="Verdana" w:cs="Times New Roman"/>
          <w:lang w:val="en-US"/>
        </w:rPr>
        <w:t>Señor</w:t>
      </w:r>
      <w:proofErr w:type="spellEnd"/>
    </w:p>
    <w:p w14:paraId="6C63950D" w14:textId="77777777" w:rsidR="00475DAF" w:rsidRPr="00B06E13" w:rsidRDefault="00475DAF" w:rsidP="00475DAF">
      <w:pPr>
        <w:spacing w:after="0" w:line="240" w:lineRule="auto"/>
        <w:rPr>
          <w:rFonts w:ascii="Verdana" w:hAnsi="Verdana"/>
          <w:b/>
          <w:lang w:val="en-US"/>
        </w:rPr>
      </w:pPr>
      <w:r w:rsidRPr="00B06E13">
        <w:rPr>
          <w:rFonts w:ascii="Verdana" w:hAnsi="Verdana"/>
          <w:b/>
          <w:lang w:val="en-US"/>
        </w:rPr>
        <w:t>Wilson David Bustos Ortega</w:t>
      </w:r>
    </w:p>
    <w:p w14:paraId="4359F5F4" w14:textId="77777777" w:rsidR="00475DAF" w:rsidRPr="00B06E13" w:rsidRDefault="00475DAF" w:rsidP="00475DAF">
      <w:pPr>
        <w:spacing w:after="0" w:line="240" w:lineRule="auto"/>
        <w:rPr>
          <w:rFonts w:ascii="Verdana" w:hAnsi="Verdana"/>
          <w:lang w:val="en-US"/>
        </w:rPr>
      </w:pPr>
      <w:hyperlink r:id="rId12" w:history="1">
        <w:r w:rsidRPr="00B06E13">
          <w:rPr>
            <w:rStyle w:val="Hipervnculo"/>
            <w:rFonts w:ascii="Verdana" w:hAnsi="Verdana"/>
            <w:lang w:val="en-US"/>
          </w:rPr>
          <w:t>wdbustosabogado@gmail.com</w:t>
        </w:r>
      </w:hyperlink>
      <w:r w:rsidRPr="00B06E13">
        <w:rPr>
          <w:rFonts w:ascii="Verdana" w:hAnsi="Verdana"/>
          <w:lang w:val="en-US"/>
        </w:rPr>
        <w:t xml:space="preserve"> </w:t>
      </w:r>
    </w:p>
    <w:p w14:paraId="6D3D7093" w14:textId="77777777" w:rsidR="00475DAF" w:rsidRPr="00A404DA" w:rsidRDefault="00475DAF" w:rsidP="00475DAF">
      <w:pPr>
        <w:spacing w:after="0" w:line="240" w:lineRule="auto"/>
        <w:rPr>
          <w:rFonts w:ascii="Verdana" w:eastAsia="Calibri" w:hAnsi="Verdana" w:cs="Times New Roman"/>
        </w:rPr>
      </w:pPr>
      <w:r w:rsidRPr="00A404DA">
        <w:rPr>
          <w:rFonts w:ascii="Verdana" w:eastAsia="Calibri" w:hAnsi="Verdana" w:cs="Times New Roman"/>
        </w:rPr>
        <w:t xml:space="preserve">Bogotá D.C. </w:t>
      </w:r>
    </w:p>
    <w:p w14:paraId="6914968F" w14:textId="77777777" w:rsidR="00475DAF" w:rsidRPr="00A404DA" w:rsidRDefault="00475DAF" w:rsidP="00475DAF">
      <w:pPr>
        <w:spacing w:after="0" w:line="240" w:lineRule="auto"/>
        <w:rPr>
          <w:rFonts w:ascii="Verdana" w:eastAsia="Calibri" w:hAnsi="Verdana" w:cs="Times New Roman"/>
        </w:rPr>
      </w:pPr>
    </w:p>
    <w:p w14:paraId="55E0E029" w14:textId="77777777" w:rsidR="00475DAF" w:rsidRPr="009563E7" w:rsidRDefault="00475DAF" w:rsidP="00475DAF">
      <w:pPr>
        <w:spacing w:after="0" w:line="240" w:lineRule="auto"/>
        <w:rPr>
          <w:rFonts w:ascii="Verdana" w:eastAsia="Calibri" w:hAnsi="Verdana" w:cs="Times New Roman"/>
        </w:rPr>
      </w:pPr>
    </w:p>
    <w:p w14:paraId="2F047A89" w14:textId="77777777" w:rsidR="00475DAF" w:rsidRPr="009563E7" w:rsidRDefault="00475DAF" w:rsidP="00475DAF">
      <w:pPr>
        <w:spacing w:after="0" w:line="240" w:lineRule="auto"/>
        <w:rPr>
          <w:rFonts w:ascii="Verdana" w:eastAsia="Calibri" w:hAnsi="Verdana" w:cs="Times New Roman"/>
          <w:b/>
          <w:bCs/>
          <w:lang w:val="es-ES"/>
        </w:rPr>
      </w:pPr>
      <w:r w:rsidRPr="009563E7">
        <w:rPr>
          <w:rFonts w:ascii="Verdana" w:eastAsia="Calibri" w:hAnsi="Verdana" w:cs="Times New Roman"/>
          <w:b/>
          <w:bCs/>
          <w:lang w:val="es-ES"/>
        </w:rPr>
        <w:t xml:space="preserve">                                    </w:t>
      </w:r>
      <w:r>
        <w:rPr>
          <w:rFonts w:ascii="Verdana" w:eastAsia="Calibri" w:hAnsi="Verdana" w:cs="Times New Roman"/>
          <w:b/>
          <w:bCs/>
          <w:lang w:val="es-ES"/>
        </w:rPr>
        <w:t>Concepto C–1194</w:t>
      </w:r>
      <w:r w:rsidRPr="009563E7">
        <w:rPr>
          <w:rFonts w:ascii="Verdana" w:eastAsia="Calibri" w:hAnsi="Verdana" w:cs="Times New Roman"/>
          <w:b/>
          <w:bCs/>
          <w:lang w:val="es-ES"/>
        </w:rPr>
        <w:t xml:space="preserve"> de 2025</w:t>
      </w:r>
    </w:p>
    <w:p w14:paraId="59DD93FD" w14:textId="77777777" w:rsidR="00475DAF" w:rsidRPr="009563E7" w:rsidRDefault="00475DAF" w:rsidP="00475DAF">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475DAF" w:rsidRPr="009563E7" w14:paraId="36F781E9" w14:textId="77777777" w:rsidTr="005F31E7">
        <w:trPr>
          <w:trHeight w:val="80"/>
        </w:trPr>
        <w:tc>
          <w:tcPr>
            <w:tcW w:w="2685" w:type="dxa"/>
            <w:hideMark/>
          </w:tcPr>
          <w:p w14:paraId="24832FEC" w14:textId="77777777" w:rsidR="00475DAF" w:rsidRPr="009563E7" w:rsidRDefault="00475DAF" w:rsidP="005F31E7">
            <w:pPr>
              <w:rPr>
                <w:rFonts w:ascii="Verdana" w:hAnsi="Verdana"/>
                <w:b/>
                <w:bCs/>
                <w:lang w:val="es-ES_tradnl"/>
              </w:rPr>
            </w:pPr>
            <w:r w:rsidRPr="009563E7">
              <w:rPr>
                <w:rFonts w:ascii="Verdana" w:hAnsi="Verdana"/>
                <w:b/>
                <w:bCs/>
                <w:lang w:val="es-ES_tradnl"/>
              </w:rPr>
              <w:t xml:space="preserve">Temas:                   </w:t>
            </w:r>
          </w:p>
        </w:tc>
        <w:tc>
          <w:tcPr>
            <w:tcW w:w="6241" w:type="dxa"/>
            <w:hideMark/>
          </w:tcPr>
          <w:p w14:paraId="57D2307F" w14:textId="77777777" w:rsidR="00475DAF" w:rsidRPr="005669A9" w:rsidRDefault="00475DAF" w:rsidP="005F31E7">
            <w:pPr>
              <w:spacing w:line="276" w:lineRule="auto"/>
              <w:jc w:val="both"/>
              <w:rPr>
                <w:rFonts w:ascii="Verdana" w:hAnsi="Verdana" w:cs="Arial"/>
                <w:bCs/>
                <w:color w:val="000000"/>
                <w:kern w:val="2"/>
                <w:lang w:val="es-ES_tradnl"/>
                <w14:ligatures w14:val="standardContextual"/>
              </w:rPr>
            </w:pPr>
            <w:r w:rsidRPr="00B57A1B">
              <w:rPr>
                <w:rFonts w:ascii="Verdana" w:hAnsi="Verdana" w:cs="Arial"/>
                <w:lang w:val="es-ES" w:eastAsia="es-ES"/>
              </w:rPr>
              <w:t xml:space="preserve">CONTRATOS Y CONVENIOS INTERADMINISTRATIVOS – Noción – Diferencias / CONVENIO INTERADMINISTRATIVO – Naturaleza – Inaplicabilidad – Ley 80 de 1993 / </w:t>
            </w:r>
            <w:r w:rsidRPr="00C45C5D">
              <w:rPr>
                <w:rFonts w:ascii="Verdana" w:hAnsi="Verdana" w:cs="Arial"/>
                <w:bCs/>
                <w:lang w:val="es-ES_tradnl"/>
              </w:rPr>
              <w:t xml:space="preserve">ASOCIACIONES DE MUNICIPIOS – Naturaleza </w:t>
            </w:r>
            <w:r>
              <w:rPr>
                <w:rFonts w:ascii="Verdana" w:hAnsi="Verdana" w:cs="Arial"/>
                <w:bCs/>
                <w:lang w:val="es-ES_tradnl"/>
              </w:rPr>
              <w:t>/ ASOCIACIONES DE MUNICIPIOS - - Régimen Jurídico / CONTRATO</w:t>
            </w:r>
            <w:r w:rsidRPr="00C45C5D">
              <w:rPr>
                <w:rFonts w:ascii="Verdana" w:hAnsi="Verdana" w:cs="Arial"/>
                <w:bCs/>
                <w:lang w:val="es-ES_tradnl"/>
              </w:rPr>
              <w:t>S INTERADMINISTRATIVOS – Asociaciones de Municipios</w:t>
            </w:r>
            <w:r>
              <w:rPr>
                <w:rFonts w:ascii="Verdana" w:hAnsi="Verdana" w:cs="Arial"/>
                <w:bCs/>
                <w:lang w:val="es-ES_tradnl"/>
              </w:rPr>
              <w:t xml:space="preserve"> – Prohibición – Contratación Directa / CONVENIOS INTERADMINISTRATIVOS – Procedencia – Contratación Directa</w:t>
            </w:r>
            <w:r w:rsidRPr="009563E7">
              <w:rPr>
                <w:rFonts w:ascii="Verdana" w:hAnsi="Verdana" w:cs="Arial"/>
                <w:bCs/>
                <w:color w:val="000000"/>
                <w:kern w:val="2"/>
                <w:lang w:val="es-MX"/>
                <w14:ligatures w14:val="standardContextual"/>
              </w:rPr>
              <w:t xml:space="preserve"> </w:t>
            </w:r>
            <w:r>
              <w:rPr>
                <w:rFonts w:ascii="Verdana" w:hAnsi="Verdana" w:cs="Arial"/>
                <w:bCs/>
                <w:color w:val="000000"/>
                <w:kern w:val="2"/>
                <w:lang w:val="es-MX"/>
                <w14:ligatures w14:val="standardContextual"/>
              </w:rPr>
              <w:t xml:space="preserve">/ </w:t>
            </w:r>
            <w:r>
              <w:rPr>
                <w:rFonts w:ascii="Verdana" w:hAnsi="Verdana" w:cs="Arial"/>
                <w:bCs/>
                <w:color w:val="000000"/>
                <w:kern w:val="2"/>
                <w:lang w:val="es-ES_tradnl"/>
                <w14:ligatures w14:val="standardContextual"/>
              </w:rPr>
              <w:t xml:space="preserve">LEY 2195 DE 2022 – Artículo 56 – Aplicación. </w:t>
            </w:r>
          </w:p>
          <w:p w14:paraId="359B6815" w14:textId="77777777" w:rsidR="00475DAF" w:rsidRPr="009563E7" w:rsidRDefault="00475DAF" w:rsidP="005F31E7">
            <w:pPr>
              <w:spacing w:line="276" w:lineRule="auto"/>
              <w:jc w:val="both"/>
              <w:rPr>
                <w:rFonts w:ascii="Verdana" w:hAnsi="Verdana"/>
                <w:lang w:val="es-MX"/>
              </w:rPr>
            </w:pPr>
          </w:p>
        </w:tc>
        <w:tc>
          <w:tcPr>
            <w:tcW w:w="6237" w:type="dxa"/>
          </w:tcPr>
          <w:p w14:paraId="25F4AF58" w14:textId="77777777" w:rsidR="00475DAF" w:rsidRPr="009563E7" w:rsidRDefault="00475DAF" w:rsidP="005F31E7">
            <w:pPr>
              <w:rPr>
                <w:rFonts w:ascii="Verdana" w:hAnsi="Verdana"/>
              </w:rPr>
            </w:pPr>
          </w:p>
        </w:tc>
      </w:tr>
      <w:tr w:rsidR="00475DAF" w:rsidRPr="001B10CB" w14:paraId="0ADB1104" w14:textId="77777777" w:rsidTr="005F31E7">
        <w:tc>
          <w:tcPr>
            <w:tcW w:w="2685" w:type="dxa"/>
          </w:tcPr>
          <w:p w14:paraId="503F914C" w14:textId="77777777" w:rsidR="00475DAF" w:rsidRPr="009563E7" w:rsidRDefault="00475DAF" w:rsidP="005F31E7">
            <w:pPr>
              <w:rPr>
                <w:rFonts w:ascii="Verdana" w:hAnsi="Verdana"/>
                <w:lang w:val="es-ES_tradnl"/>
              </w:rPr>
            </w:pPr>
          </w:p>
          <w:p w14:paraId="31B5FFA8" w14:textId="77777777" w:rsidR="00475DAF" w:rsidRPr="009563E7" w:rsidRDefault="00475DAF" w:rsidP="005F31E7">
            <w:pPr>
              <w:rPr>
                <w:rFonts w:ascii="Verdana" w:hAnsi="Verdana"/>
                <w:b/>
                <w:bCs/>
                <w:lang w:val="es-ES_tradnl"/>
              </w:rPr>
            </w:pPr>
            <w:r w:rsidRPr="009563E7">
              <w:rPr>
                <w:rFonts w:ascii="Verdana" w:hAnsi="Verdana"/>
                <w:b/>
                <w:bCs/>
                <w:lang w:val="es-ES_tradnl"/>
              </w:rPr>
              <w:t xml:space="preserve">Radicación:               </w:t>
            </w:r>
          </w:p>
        </w:tc>
        <w:tc>
          <w:tcPr>
            <w:tcW w:w="6241" w:type="dxa"/>
          </w:tcPr>
          <w:p w14:paraId="2E1D8ADA" w14:textId="77777777" w:rsidR="00475DAF" w:rsidRPr="001B10CB" w:rsidRDefault="00475DAF" w:rsidP="005F31E7">
            <w:pPr>
              <w:rPr>
                <w:rFonts w:ascii="Verdana" w:hAnsi="Verdana"/>
                <w:lang w:val="es-ES_tradnl"/>
              </w:rPr>
            </w:pPr>
          </w:p>
          <w:p w14:paraId="3E64973A" w14:textId="77777777" w:rsidR="00475DAF" w:rsidRPr="001B10CB" w:rsidRDefault="00475DAF" w:rsidP="005F31E7">
            <w:pPr>
              <w:jc w:val="both"/>
              <w:rPr>
                <w:rFonts w:ascii="Verdana" w:hAnsi="Verdana"/>
                <w:lang w:val="es-ES_tradnl"/>
              </w:rPr>
            </w:pPr>
            <w:r w:rsidRPr="001B10CB">
              <w:rPr>
                <w:rFonts w:ascii="Verdana" w:hAnsi="Verdana"/>
                <w:lang w:val="es-ES_tradnl"/>
              </w:rPr>
              <w:t xml:space="preserve">Respuesta a consulta con radicado </w:t>
            </w:r>
            <w:proofErr w:type="gramStart"/>
            <w:r w:rsidRPr="001B10CB">
              <w:rPr>
                <w:rFonts w:ascii="Verdana" w:hAnsi="Verdana"/>
                <w:lang w:val="es-ES_tradnl"/>
              </w:rPr>
              <w:t xml:space="preserve">No.  </w:t>
            </w:r>
            <w:r w:rsidRPr="001B10CB">
              <w:rPr>
                <w:rFonts w:ascii="Verdana" w:hAnsi="Verdana"/>
              </w:rPr>
              <w:t>1</w:t>
            </w:r>
            <w:proofErr w:type="gramEnd"/>
            <w:r w:rsidRPr="001B10CB">
              <w:rPr>
                <w:rFonts w:ascii="Verdana" w:hAnsi="Verdana"/>
              </w:rPr>
              <w:t>_2025_08_25_009000</w:t>
            </w:r>
          </w:p>
        </w:tc>
        <w:tc>
          <w:tcPr>
            <w:tcW w:w="6237" w:type="dxa"/>
          </w:tcPr>
          <w:p w14:paraId="340A513B" w14:textId="77777777" w:rsidR="00475DAF" w:rsidRPr="001B10CB" w:rsidRDefault="00475DAF" w:rsidP="005F31E7">
            <w:pPr>
              <w:rPr>
                <w:rFonts w:ascii="Verdana" w:hAnsi="Verdana"/>
                <w:lang w:val="es-ES_tradnl"/>
              </w:rPr>
            </w:pPr>
          </w:p>
        </w:tc>
      </w:tr>
    </w:tbl>
    <w:p w14:paraId="11286BFF" w14:textId="77777777" w:rsidR="00475DAF" w:rsidRDefault="00475DAF" w:rsidP="00475DAF">
      <w:pPr>
        <w:spacing w:after="0" w:line="240" w:lineRule="auto"/>
        <w:rPr>
          <w:rFonts w:ascii="Verdana" w:eastAsia="Calibri" w:hAnsi="Verdana" w:cs="Times New Roman"/>
          <w:lang w:val="es-ES_tradnl"/>
        </w:rPr>
      </w:pPr>
    </w:p>
    <w:p w14:paraId="56C3C930" w14:textId="77777777" w:rsidR="00475DAF" w:rsidRPr="009563E7" w:rsidRDefault="00475DAF" w:rsidP="00475DAF">
      <w:pPr>
        <w:spacing w:after="0" w:line="240" w:lineRule="auto"/>
        <w:rPr>
          <w:rFonts w:ascii="Verdana" w:eastAsia="Calibri" w:hAnsi="Verdana" w:cs="Times New Roman"/>
          <w:lang w:val="es-ES_tradnl"/>
        </w:rPr>
      </w:pPr>
    </w:p>
    <w:p w14:paraId="300A0F14" w14:textId="77777777" w:rsidR="00475DAF" w:rsidRPr="009563E7" w:rsidRDefault="00475DAF" w:rsidP="00475DAF">
      <w:pPr>
        <w:spacing w:after="0" w:line="256" w:lineRule="auto"/>
        <w:rPr>
          <w:rFonts w:ascii="Verdana" w:eastAsia="Calibri" w:hAnsi="Verdana" w:cs="Times New Roman"/>
          <w:lang w:val="es-ES"/>
        </w:rPr>
      </w:pPr>
      <w:r w:rsidRPr="009563E7">
        <w:rPr>
          <w:rFonts w:ascii="Verdana" w:eastAsia="Calibri" w:hAnsi="Verdana" w:cs="Times New Roman"/>
          <w:lang w:val="es-ES"/>
        </w:rPr>
        <w:t>Estimado Señor</w:t>
      </w:r>
      <w:r>
        <w:rPr>
          <w:rFonts w:ascii="Verdana" w:eastAsia="Calibri" w:hAnsi="Verdana" w:cs="Times New Roman"/>
          <w:lang w:val="es-ES"/>
        </w:rPr>
        <w:t xml:space="preserve"> Bustos Ortega</w:t>
      </w:r>
      <w:r w:rsidRPr="009563E7">
        <w:rPr>
          <w:rFonts w:ascii="Verdana" w:eastAsia="Calibri" w:hAnsi="Verdana" w:cs="Times New Roman"/>
          <w:lang w:val="es-ES"/>
        </w:rPr>
        <w:t xml:space="preserve">: </w:t>
      </w:r>
    </w:p>
    <w:p w14:paraId="0CF1478A" w14:textId="77777777" w:rsidR="00475DAF" w:rsidRPr="009563E7" w:rsidRDefault="00475DAF" w:rsidP="00475DAF">
      <w:pPr>
        <w:spacing w:after="0" w:line="276" w:lineRule="auto"/>
        <w:rPr>
          <w:rFonts w:ascii="Verdana" w:eastAsia="Calibri" w:hAnsi="Verdana" w:cs="Times New Roman"/>
          <w:lang w:val="es-ES"/>
        </w:rPr>
      </w:pPr>
    </w:p>
    <w:p w14:paraId="1F52215F" w14:textId="77777777" w:rsidR="00475DAF" w:rsidRDefault="00475DAF" w:rsidP="00475DAF">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del 25 de agosto</w:t>
      </w:r>
      <w:r w:rsidRPr="00B57A1B">
        <w:rPr>
          <w:rFonts w:ascii="Verdana" w:eastAsia="Calibri" w:hAnsi="Verdana" w:cs="Times New Roman"/>
          <w:bCs/>
          <w:lang w:val="es-ES" w:bidi="es-ES"/>
        </w:rPr>
        <w:t>, en la cual manifiesta:</w:t>
      </w:r>
    </w:p>
    <w:p w14:paraId="2CD701BE" w14:textId="77777777" w:rsidR="00475DAF" w:rsidRDefault="00475DAF" w:rsidP="00475DAF">
      <w:pPr>
        <w:spacing w:after="0" w:line="276" w:lineRule="auto"/>
        <w:jc w:val="both"/>
        <w:rPr>
          <w:rFonts w:ascii="Verdana" w:eastAsia="Calibri" w:hAnsi="Verdana" w:cs="Times New Roman"/>
          <w:lang w:val="es-ES"/>
        </w:rPr>
      </w:pPr>
    </w:p>
    <w:p w14:paraId="4F6AB3C2" w14:textId="77777777" w:rsidR="00475DAF" w:rsidRPr="001B10CB" w:rsidRDefault="00475DAF" w:rsidP="00475DAF">
      <w:pPr>
        <w:spacing w:after="0" w:line="240" w:lineRule="auto"/>
        <w:ind w:left="709" w:right="709"/>
        <w:jc w:val="both"/>
        <w:rPr>
          <w:rFonts w:ascii="Verdana" w:eastAsia="Calibri" w:hAnsi="Verdana" w:cs="Times New Roman"/>
          <w:iCs/>
          <w:sz w:val="20"/>
          <w:szCs w:val="20"/>
        </w:rPr>
      </w:pPr>
      <w:r w:rsidRPr="00197991">
        <w:rPr>
          <w:rFonts w:ascii="Verdana" w:eastAsia="Calibri" w:hAnsi="Verdana" w:cs="Times New Roman"/>
          <w:iCs/>
          <w:sz w:val="20"/>
          <w:szCs w:val="20"/>
        </w:rPr>
        <w:t>”</w:t>
      </w:r>
      <w:r w:rsidRPr="001B10CB">
        <w:rPr>
          <w:rFonts w:ascii="Verdana" w:eastAsia="Calibri" w:hAnsi="Verdana" w:cs="Times New Roman"/>
          <w:iCs/>
          <w:sz w:val="20"/>
          <w:szCs w:val="20"/>
        </w:rPr>
        <w:t>1. Pueden las asociaciones de municipios ejecutar mediante convenio y/o</w:t>
      </w:r>
      <w:r>
        <w:rPr>
          <w:rFonts w:ascii="Verdana" w:eastAsia="Calibri" w:hAnsi="Verdana" w:cs="Times New Roman"/>
          <w:iCs/>
          <w:sz w:val="20"/>
          <w:szCs w:val="20"/>
        </w:rPr>
        <w:t xml:space="preserve"> </w:t>
      </w:r>
      <w:r w:rsidRPr="001B10CB">
        <w:rPr>
          <w:rFonts w:ascii="Verdana" w:eastAsia="Calibri" w:hAnsi="Verdana" w:cs="Times New Roman"/>
          <w:iCs/>
          <w:sz w:val="20"/>
          <w:szCs w:val="20"/>
        </w:rPr>
        <w:t>contratos interadministrativos por contratación directa, obras civiles y proyectos</w:t>
      </w:r>
      <w:r>
        <w:rPr>
          <w:rFonts w:ascii="Verdana" w:eastAsia="Calibri" w:hAnsi="Verdana" w:cs="Times New Roman"/>
          <w:iCs/>
          <w:sz w:val="20"/>
          <w:szCs w:val="20"/>
        </w:rPr>
        <w:t xml:space="preserve"> </w:t>
      </w:r>
      <w:r w:rsidRPr="001B10CB">
        <w:rPr>
          <w:rFonts w:ascii="Verdana" w:eastAsia="Calibri" w:hAnsi="Verdana" w:cs="Times New Roman"/>
          <w:iCs/>
          <w:sz w:val="20"/>
          <w:szCs w:val="20"/>
        </w:rPr>
        <w:t>de infraestructura con municipios?</w:t>
      </w:r>
    </w:p>
    <w:p w14:paraId="4B7EFC3B" w14:textId="77777777" w:rsidR="00475DAF" w:rsidRPr="001B10CB" w:rsidRDefault="00475DAF" w:rsidP="00475DAF">
      <w:pPr>
        <w:spacing w:after="0" w:line="240" w:lineRule="auto"/>
        <w:ind w:left="709" w:right="709"/>
        <w:jc w:val="both"/>
        <w:rPr>
          <w:rFonts w:ascii="Verdana" w:eastAsia="Calibri" w:hAnsi="Verdana" w:cs="Times New Roman"/>
          <w:iCs/>
          <w:sz w:val="20"/>
          <w:szCs w:val="20"/>
        </w:rPr>
      </w:pPr>
      <w:r w:rsidRPr="001B10CB">
        <w:rPr>
          <w:rFonts w:ascii="Verdana" w:eastAsia="Calibri" w:hAnsi="Verdana" w:cs="Times New Roman"/>
          <w:iCs/>
          <w:sz w:val="20"/>
          <w:szCs w:val="20"/>
        </w:rPr>
        <w:t>2. Pueden los municipios suscribir contratos y/o convenios interadministrativos</w:t>
      </w:r>
      <w:r>
        <w:rPr>
          <w:rFonts w:ascii="Verdana" w:eastAsia="Calibri" w:hAnsi="Verdana" w:cs="Times New Roman"/>
          <w:iCs/>
          <w:sz w:val="20"/>
          <w:szCs w:val="20"/>
        </w:rPr>
        <w:t xml:space="preserve"> </w:t>
      </w:r>
      <w:r w:rsidRPr="001B10CB">
        <w:rPr>
          <w:rFonts w:ascii="Verdana" w:eastAsia="Calibri" w:hAnsi="Verdana" w:cs="Times New Roman"/>
          <w:iCs/>
          <w:sz w:val="20"/>
          <w:szCs w:val="20"/>
        </w:rPr>
        <w:t>de administración delegadas con asociaciones de municipios para la ejecución de</w:t>
      </w:r>
      <w:r>
        <w:rPr>
          <w:rFonts w:ascii="Verdana" w:eastAsia="Calibri" w:hAnsi="Verdana" w:cs="Times New Roman"/>
          <w:iCs/>
          <w:sz w:val="20"/>
          <w:szCs w:val="20"/>
        </w:rPr>
        <w:t xml:space="preserve"> </w:t>
      </w:r>
      <w:r w:rsidRPr="001B10CB">
        <w:rPr>
          <w:rFonts w:ascii="Verdana" w:eastAsia="Calibri" w:hAnsi="Verdana" w:cs="Times New Roman"/>
          <w:iCs/>
          <w:sz w:val="20"/>
          <w:szCs w:val="20"/>
        </w:rPr>
        <w:t>proyectos y/</w:t>
      </w:r>
      <w:proofErr w:type="spellStart"/>
      <w:r w:rsidRPr="001B10CB">
        <w:rPr>
          <w:rFonts w:ascii="Verdana" w:eastAsia="Calibri" w:hAnsi="Verdana" w:cs="Times New Roman"/>
          <w:iCs/>
          <w:sz w:val="20"/>
          <w:szCs w:val="20"/>
        </w:rPr>
        <w:t>o</w:t>
      </w:r>
      <w:proofErr w:type="spellEnd"/>
      <w:r w:rsidRPr="001B10CB">
        <w:rPr>
          <w:rFonts w:ascii="Verdana" w:eastAsia="Calibri" w:hAnsi="Verdana" w:cs="Times New Roman"/>
          <w:iCs/>
          <w:sz w:val="20"/>
          <w:szCs w:val="20"/>
        </w:rPr>
        <w:t xml:space="preserve"> obras de infraestructura?</w:t>
      </w:r>
    </w:p>
    <w:p w14:paraId="619F4CB5" w14:textId="77777777" w:rsidR="00475DAF" w:rsidRPr="001B10CB" w:rsidRDefault="00475DAF" w:rsidP="00475DAF">
      <w:pPr>
        <w:spacing w:after="0" w:line="240" w:lineRule="auto"/>
        <w:ind w:left="709" w:right="709"/>
        <w:jc w:val="both"/>
        <w:rPr>
          <w:rFonts w:ascii="Verdana" w:eastAsia="Calibri" w:hAnsi="Verdana" w:cs="Times New Roman"/>
          <w:iCs/>
          <w:sz w:val="20"/>
          <w:szCs w:val="20"/>
        </w:rPr>
      </w:pPr>
      <w:r w:rsidRPr="001B10CB">
        <w:rPr>
          <w:rFonts w:ascii="Verdana" w:eastAsia="Calibri" w:hAnsi="Verdana" w:cs="Times New Roman"/>
          <w:iCs/>
          <w:sz w:val="20"/>
          <w:szCs w:val="20"/>
        </w:rPr>
        <w:t>4. Las asociaciones de municipios son iguales que las asociaciones de entidades</w:t>
      </w:r>
      <w:r>
        <w:rPr>
          <w:rFonts w:ascii="Verdana" w:eastAsia="Calibri" w:hAnsi="Verdana" w:cs="Times New Roman"/>
          <w:iCs/>
          <w:sz w:val="20"/>
          <w:szCs w:val="20"/>
        </w:rPr>
        <w:t xml:space="preserve"> </w:t>
      </w:r>
      <w:r w:rsidRPr="001B10CB">
        <w:rPr>
          <w:rFonts w:ascii="Verdana" w:eastAsia="Calibri" w:hAnsi="Verdana" w:cs="Times New Roman"/>
          <w:iCs/>
          <w:sz w:val="20"/>
          <w:szCs w:val="20"/>
        </w:rPr>
        <w:t>públicas y asociaciones de entidades territoriales?</w:t>
      </w:r>
    </w:p>
    <w:p w14:paraId="374E9D76" w14:textId="77777777" w:rsidR="00475DAF" w:rsidRPr="00197991" w:rsidRDefault="00475DAF" w:rsidP="00475DAF">
      <w:pPr>
        <w:spacing w:after="0" w:line="240" w:lineRule="auto"/>
        <w:ind w:left="709" w:right="709"/>
        <w:jc w:val="both"/>
        <w:rPr>
          <w:rFonts w:ascii="Verdana" w:eastAsia="Calibri" w:hAnsi="Verdana" w:cs="Times New Roman"/>
          <w:iCs/>
          <w:sz w:val="20"/>
          <w:szCs w:val="20"/>
        </w:rPr>
      </w:pPr>
      <w:r w:rsidRPr="001B10CB">
        <w:rPr>
          <w:rFonts w:ascii="Verdana" w:eastAsia="Calibri" w:hAnsi="Verdana" w:cs="Times New Roman"/>
          <w:iCs/>
          <w:sz w:val="20"/>
          <w:szCs w:val="20"/>
        </w:rPr>
        <w:lastRenderedPageBreak/>
        <w:t>5. Las asociaciones de municipio se encuentran inmersas en las asociaciones de</w:t>
      </w:r>
      <w:r>
        <w:rPr>
          <w:rFonts w:ascii="Verdana" w:eastAsia="Calibri" w:hAnsi="Verdana" w:cs="Times New Roman"/>
          <w:iCs/>
          <w:sz w:val="20"/>
          <w:szCs w:val="20"/>
        </w:rPr>
        <w:t xml:space="preserve"> </w:t>
      </w:r>
      <w:r w:rsidRPr="001B10CB">
        <w:rPr>
          <w:rFonts w:ascii="Verdana" w:eastAsia="Calibri" w:hAnsi="Verdana" w:cs="Times New Roman"/>
          <w:iCs/>
          <w:sz w:val="20"/>
          <w:szCs w:val="20"/>
        </w:rPr>
        <w:t>entidades públicas?</w:t>
      </w:r>
      <w:r w:rsidRPr="00197991">
        <w:rPr>
          <w:rFonts w:ascii="Verdana" w:eastAsia="Calibri" w:hAnsi="Verdana" w:cs="Times New Roman"/>
          <w:iCs/>
          <w:sz w:val="20"/>
          <w:szCs w:val="20"/>
        </w:rPr>
        <w:t>”</w:t>
      </w:r>
    </w:p>
    <w:p w14:paraId="5DFB8C4F" w14:textId="77777777" w:rsidR="00475DAF" w:rsidRPr="00803F91" w:rsidRDefault="00475DAF" w:rsidP="00475DAF">
      <w:pPr>
        <w:spacing w:after="0" w:line="240" w:lineRule="auto"/>
        <w:ind w:left="709" w:right="709"/>
        <w:jc w:val="both"/>
        <w:rPr>
          <w:rFonts w:ascii="Verdana" w:eastAsia="Calibri" w:hAnsi="Verdana" w:cs="Times New Roman"/>
          <w:iCs/>
        </w:rPr>
      </w:pPr>
    </w:p>
    <w:p w14:paraId="1642A7BD" w14:textId="77777777" w:rsidR="00475DAF" w:rsidRPr="009563E7" w:rsidRDefault="00475DAF" w:rsidP="00475DAF">
      <w:pPr>
        <w:spacing w:after="120" w:line="276" w:lineRule="auto"/>
        <w:ind w:firstLine="709"/>
        <w:jc w:val="both"/>
        <w:rPr>
          <w:rFonts w:ascii="Verdana" w:eastAsia="Calibri" w:hAnsi="Verdana" w:cs="Times New Roman"/>
          <w:lang w:val="es-ES"/>
        </w:rPr>
      </w:pPr>
      <w:r w:rsidRPr="009563E7">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629CCDD" w14:textId="77777777" w:rsidR="00475DAF" w:rsidRPr="009563E7" w:rsidRDefault="00475DAF" w:rsidP="00475DAF">
      <w:pPr>
        <w:spacing w:after="0" w:line="276" w:lineRule="auto"/>
        <w:ind w:firstLine="708"/>
        <w:jc w:val="both"/>
        <w:rPr>
          <w:rFonts w:ascii="Verdana" w:eastAsia="Calibri" w:hAnsi="Verdana" w:cs="Times New Roman"/>
          <w:lang w:val="es-ES"/>
        </w:rPr>
      </w:pPr>
      <w:r w:rsidRPr="009563E7">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Pr>
          <w:rFonts w:ascii="Verdana" w:eastAsia="Calibri" w:hAnsi="Verdana" w:cs="Times New Roman"/>
          <w:lang w:val="es-ES"/>
        </w:rPr>
        <w:t xml:space="preserve">los problemas jurídicos de su consulta. </w:t>
      </w:r>
    </w:p>
    <w:p w14:paraId="5CA4ED89" w14:textId="77777777" w:rsidR="00475DAF" w:rsidRPr="009563E7" w:rsidRDefault="00475DAF" w:rsidP="00475DAF">
      <w:pPr>
        <w:spacing w:after="0" w:line="256" w:lineRule="auto"/>
        <w:rPr>
          <w:rFonts w:ascii="Verdana" w:eastAsia="Calibri" w:hAnsi="Verdana" w:cs="Times New Roman"/>
          <w:lang w:val="es-ES"/>
        </w:rPr>
      </w:pPr>
    </w:p>
    <w:p w14:paraId="3E3983E6" w14:textId="77777777" w:rsidR="00475DAF" w:rsidRPr="009563E7" w:rsidRDefault="00475DAF" w:rsidP="00475DAF">
      <w:pPr>
        <w:numPr>
          <w:ilvl w:val="0"/>
          <w:numId w:val="19"/>
        </w:numPr>
        <w:spacing w:after="0" w:line="256" w:lineRule="auto"/>
        <w:contextualSpacing/>
        <w:rPr>
          <w:rFonts w:ascii="Verdana" w:eastAsia="Calibri" w:hAnsi="Verdana" w:cs="Times New Roman"/>
          <w:b/>
          <w:bCs/>
          <w:lang w:val="es-ES"/>
        </w:rPr>
      </w:pPr>
      <w:r w:rsidRPr="009563E7">
        <w:rPr>
          <w:rFonts w:ascii="Verdana" w:eastAsia="Calibri" w:hAnsi="Verdana" w:cs="Times New Roman"/>
          <w:b/>
          <w:bCs/>
          <w:lang w:val="es-ES"/>
        </w:rPr>
        <w:t>Problema planteado:</w:t>
      </w:r>
    </w:p>
    <w:p w14:paraId="3F85F44F" w14:textId="77777777" w:rsidR="00475DAF" w:rsidRPr="009563E7" w:rsidRDefault="00475DAF" w:rsidP="00475DAF">
      <w:pPr>
        <w:spacing w:after="0" w:line="256" w:lineRule="auto"/>
        <w:rPr>
          <w:rFonts w:ascii="Verdana" w:eastAsia="Calibri" w:hAnsi="Verdana" w:cs="Times New Roman"/>
        </w:rPr>
      </w:pPr>
    </w:p>
    <w:p w14:paraId="10FA47CE" w14:textId="77777777" w:rsidR="00475DAF" w:rsidRPr="003E4DDB" w:rsidRDefault="00475DAF" w:rsidP="00475DAF">
      <w:pPr>
        <w:spacing w:after="0" w:line="276" w:lineRule="auto"/>
        <w:jc w:val="both"/>
        <w:rPr>
          <w:rFonts w:ascii="Verdana" w:eastAsia="Calibri" w:hAnsi="Verdana" w:cs="Times New Roman"/>
          <w:iCs/>
        </w:rPr>
      </w:pPr>
      <w:r w:rsidRPr="009563E7">
        <w:rPr>
          <w:rFonts w:ascii="Verdana" w:eastAsia="Calibri" w:hAnsi="Verdana" w:cs="Times New Roman"/>
        </w:rPr>
        <w:t>De acuerdo con el contenido de</w:t>
      </w:r>
      <w:r>
        <w:rPr>
          <w:rFonts w:ascii="Verdana" w:eastAsia="Calibri" w:hAnsi="Verdana" w:cs="Times New Roman"/>
        </w:rPr>
        <w:t xml:space="preserve"> sus solicitudes</w:t>
      </w:r>
      <w:r w:rsidRPr="009563E7">
        <w:rPr>
          <w:rFonts w:ascii="Verdana" w:eastAsia="Calibri" w:hAnsi="Verdana" w:cs="Times New Roman"/>
        </w:rPr>
        <w:t>, es</w:t>
      </w:r>
      <w:r>
        <w:rPr>
          <w:rFonts w:ascii="Verdana" w:eastAsia="Calibri" w:hAnsi="Verdana" w:cs="Times New Roman"/>
        </w:rPr>
        <w:t>ta Agencia procede a resolver los siguientes problemas jurídicos</w:t>
      </w:r>
      <w:r w:rsidRPr="009563E7">
        <w:rPr>
          <w:rFonts w:ascii="Verdana" w:eastAsia="Calibri" w:hAnsi="Verdana" w:cs="Times New Roman"/>
        </w:rPr>
        <w:t xml:space="preserve">: </w:t>
      </w:r>
      <w:r>
        <w:rPr>
          <w:rFonts w:ascii="Verdana" w:eastAsia="Calibri" w:hAnsi="Verdana" w:cs="Times New Roman"/>
        </w:rPr>
        <w:t>i) ¿Es asimilable l</w:t>
      </w:r>
      <w:r w:rsidRPr="00A06991">
        <w:rPr>
          <w:rFonts w:ascii="Verdana" w:eastAsia="Calibri" w:hAnsi="Verdana" w:cs="Times New Roman"/>
          <w:iCs/>
        </w:rPr>
        <w:t xml:space="preserve">as </w:t>
      </w:r>
      <w:r>
        <w:rPr>
          <w:rFonts w:ascii="Verdana" w:eastAsia="Calibri" w:hAnsi="Verdana" w:cs="Times New Roman"/>
          <w:iCs/>
        </w:rPr>
        <w:t>asociaciones de municipios a</w:t>
      </w:r>
      <w:r w:rsidRPr="00A06991">
        <w:rPr>
          <w:rFonts w:ascii="Verdana" w:eastAsia="Calibri" w:hAnsi="Verdana" w:cs="Times New Roman"/>
          <w:iCs/>
        </w:rPr>
        <w:t xml:space="preserve"> las asociaciones de entidades públicas y asociaciones de entidades territoriales?</w:t>
      </w:r>
      <w:r>
        <w:rPr>
          <w:rFonts w:ascii="Verdana" w:eastAsia="Calibri" w:hAnsi="Verdana" w:cs="Times New Roman"/>
          <w:iCs/>
        </w:rPr>
        <w:t xml:space="preserve">; </w:t>
      </w:r>
      <w:proofErr w:type="spellStart"/>
      <w:r>
        <w:rPr>
          <w:rFonts w:ascii="Verdana" w:eastAsia="Calibri" w:hAnsi="Verdana" w:cs="Times New Roman"/>
          <w:iCs/>
        </w:rPr>
        <w:t>ii</w:t>
      </w:r>
      <w:proofErr w:type="spellEnd"/>
      <w:r>
        <w:rPr>
          <w:rFonts w:ascii="Verdana" w:eastAsia="Calibri" w:hAnsi="Verdana" w:cs="Times New Roman"/>
          <w:iCs/>
        </w:rPr>
        <w:t xml:space="preserve">) </w:t>
      </w:r>
      <w:r>
        <w:rPr>
          <w:rFonts w:ascii="Verdana" w:eastAsia="Calibri" w:hAnsi="Verdana" w:cs="Times New Roman"/>
        </w:rPr>
        <w:t xml:space="preserve">¿Es procedente que </w:t>
      </w:r>
      <w:r w:rsidRPr="003E4DDB">
        <w:rPr>
          <w:rFonts w:ascii="Verdana" w:eastAsia="Calibri" w:hAnsi="Verdana" w:cs="Times New Roman"/>
          <w:iCs/>
        </w:rPr>
        <w:t>las aso</w:t>
      </w:r>
      <w:r>
        <w:rPr>
          <w:rFonts w:ascii="Verdana" w:eastAsia="Calibri" w:hAnsi="Verdana" w:cs="Times New Roman"/>
          <w:iCs/>
        </w:rPr>
        <w:t>ciaciones de municipios ejecuten</w:t>
      </w:r>
      <w:r w:rsidRPr="003E4DDB">
        <w:rPr>
          <w:rFonts w:ascii="Verdana" w:eastAsia="Calibri" w:hAnsi="Verdana" w:cs="Times New Roman"/>
          <w:iCs/>
        </w:rPr>
        <w:t xml:space="preserve"> mediante </w:t>
      </w:r>
      <w:r>
        <w:rPr>
          <w:rFonts w:ascii="Verdana" w:eastAsia="Calibri" w:hAnsi="Verdana" w:cs="Times New Roman"/>
          <w:iCs/>
        </w:rPr>
        <w:t>contrato</w:t>
      </w:r>
      <w:r w:rsidRPr="003E4DDB">
        <w:rPr>
          <w:rFonts w:ascii="Verdana" w:eastAsia="Calibri" w:hAnsi="Verdana" w:cs="Times New Roman"/>
          <w:iCs/>
        </w:rPr>
        <w:t>s interadministrativos</w:t>
      </w:r>
      <w:r>
        <w:rPr>
          <w:rFonts w:ascii="Verdana" w:eastAsia="Calibri" w:hAnsi="Verdana" w:cs="Times New Roman"/>
          <w:iCs/>
        </w:rPr>
        <w:t xml:space="preserve"> de administración delegada mediante la modalidad de</w:t>
      </w:r>
      <w:r w:rsidRPr="003E4DDB">
        <w:rPr>
          <w:rFonts w:ascii="Verdana" w:eastAsia="Calibri" w:hAnsi="Verdana" w:cs="Times New Roman"/>
          <w:iCs/>
        </w:rPr>
        <w:t xml:space="preserve"> contratación directa, obras civiles y proyectos de infraestructura con municipios?</w:t>
      </w:r>
      <w:r>
        <w:rPr>
          <w:rFonts w:ascii="Verdana" w:eastAsia="Calibri" w:hAnsi="Verdana" w:cs="Times New Roman"/>
          <w:iCs/>
        </w:rPr>
        <w:t xml:space="preserve">; </w:t>
      </w:r>
      <w:proofErr w:type="spellStart"/>
      <w:r>
        <w:rPr>
          <w:rFonts w:ascii="Verdana" w:eastAsia="Calibri" w:hAnsi="Verdana" w:cs="Times New Roman"/>
          <w:iCs/>
        </w:rPr>
        <w:t>iii</w:t>
      </w:r>
      <w:proofErr w:type="spellEnd"/>
      <w:r>
        <w:rPr>
          <w:rFonts w:ascii="Verdana" w:eastAsia="Calibri" w:hAnsi="Verdana" w:cs="Times New Roman"/>
          <w:iCs/>
        </w:rPr>
        <w:t xml:space="preserve">) </w:t>
      </w:r>
      <w:r>
        <w:rPr>
          <w:rFonts w:ascii="Verdana" w:eastAsia="Calibri" w:hAnsi="Verdana" w:cs="Times New Roman"/>
        </w:rPr>
        <w:t xml:space="preserve">¿Es procedente que </w:t>
      </w:r>
      <w:r w:rsidRPr="003E4DDB">
        <w:rPr>
          <w:rFonts w:ascii="Verdana" w:eastAsia="Calibri" w:hAnsi="Verdana" w:cs="Times New Roman"/>
          <w:iCs/>
        </w:rPr>
        <w:t>las aso</w:t>
      </w:r>
      <w:r>
        <w:rPr>
          <w:rFonts w:ascii="Verdana" w:eastAsia="Calibri" w:hAnsi="Verdana" w:cs="Times New Roman"/>
          <w:iCs/>
        </w:rPr>
        <w:t>ciaciones de municipios celebren de forma directa convenios</w:t>
      </w:r>
      <w:r w:rsidRPr="003E4DDB">
        <w:rPr>
          <w:rFonts w:ascii="Verdana" w:eastAsia="Calibri" w:hAnsi="Verdana" w:cs="Times New Roman"/>
          <w:iCs/>
        </w:rPr>
        <w:t xml:space="preserve"> interadministrativos</w:t>
      </w:r>
      <w:r>
        <w:rPr>
          <w:rFonts w:ascii="Verdana" w:eastAsia="Calibri" w:hAnsi="Verdana" w:cs="Times New Roman"/>
          <w:iCs/>
        </w:rPr>
        <w:t xml:space="preserve"> de administración delegada para la ejecución de</w:t>
      </w:r>
      <w:r w:rsidRPr="003E4DDB">
        <w:rPr>
          <w:rFonts w:ascii="Verdana" w:eastAsia="Calibri" w:hAnsi="Verdana" w:cs="Times New Roman"/>
          <w:iCs/>
        </w:rPr>
        <w:t xml:space="preserve"> obras civiles y proyectos de infraestructura con municipios?</w:t>
      </w:r>
      <w:r>
        <w:rPr>
          <w:rFonts w:ascii="Verdana" w:eastAsia="Calibri" w:hAnsi="Verdana" w:cs="Times New Roman"/>
          <w:iCs/>
        </w:rPr>
        <w:t xml:space="preserve">;  </w:t>
      </w:r>
    </w:p>
    <w:p w14:paraId="6CA159CA" w14:textId="77777777" w:rsidR="00475DAF" w:rsidRPr="009563E7" w:rsidRDefault="00475DAF" w:rsidP="00475DAF">
      <w:pPr>
        <w:spacing w:after="0" w:line="256" w:lineRule="auto"/>
        <w:rPr>
          <w:rFonts w:ascii="Verdana" w:eastAsia="Calibri" w:hAnsi="Verdana" w:cs="Times New Roman"/>
        </w:rPr>
      </w:pPr>
    </w:p>
    <w:p w14:paraId="04FE7DD1" w14:textId="77777777" w:rsidR="00475DAF" w:rsidRPr="009563E7" w:rsidRDefault="00475DAF" w:rsidP="00475DAF">
      <w:pPr>
        <w:numPr>
          <w:ilvl w:val="0"/>
          <w:numId w:val="19"/>
        </w:numPr>
        <w:spacing w:after="0" w:line="256" w:lineRule="auto"/>
        <w:contextualSpacing/>
        <w:rPr>
          <w:rFonts w:ascii="Verdana" w:eastAsia="Calibri" w:hAnsi="Verdana" w:cs="Times New Roman"/>
          <w:b/>
          <w:bCs/>
          <w:lang w:val="es-ES"/>
        </w:rPr>
      </w:pPr>
      <w:r w:rsidRPr="009563E7">
        <w:rPr>
          <w:rFonts w:ascii="Verdana" w:eastAsia="Calibri" w:hAnsi="Verdana" w:cs="Times New Roman"/>
          <w:b/>
          <w:bCs/>
          <w:lang w:val="es-ES"/>
        </w:rPr>
        <w:t>Respuesta:</w:t>
      </w:r>
    </w:p>
    <w:p w14:paraId="322D6FE7" w14:textId="77777777" w:rsidR="00475DAF" w:rsidRPr="009563E7" w:rsidRDefault="00475DAF" w:rsidP="00475DAF">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475DAF" w:rsidRPr="009563E7" w14:paraId="574457A8" w14:textId="77777777" w:rsidTr="005F31E7">
        <w:trPr>
          <w:trHeight w:val="870"/>
          <w:jc w:val="center"/>
        </w:trPr>
        <w:tc>
          <w:tcPr>
            <w:tcW w:w="8784" w:type="dxa"/>
          </w:tcPr>
          <w:p w14:paraId="142AB482" w14:textId="77777777" w:rsidR="00475DAF" w:rsidRDefault="00475DAF" w:rsidP="005F31E7">
            <w:pPr>
              <w:spacing w:before="120" w:after="120" w:line="276" w:lineRule="auto"/>
              <w:jc w:val="both"/>
              <w:rPr>
                <w:rFonts w:ascii="Verdana" w:hAnsi="Verdana" w:cs="Arial"/>
                <w:bCs/>
              </w:rPr>
            </w:pPr>
            <w:r>
              <w:rPr>
                <w:rFonts w:ascii="Verdana" w:hAnsi="Verdana" w:cs="Arial"/>
                <w:bCs/>
              </w:rPr>
              <w:lastRenderedPageBreak/>
              <w:t>Para responder a los problemas jurídicos, objeto de consulta, se señala:</w:t>
            </w:r>
          </w:p>
          <w:p w14:paraId="455B8C8F" w14:textId="77777777" w:rsidR="00475DAF" w:rsidRPr="00C45C5D" w:rsidRDefault="00475DAF" w:rsidP="005F31E7">
            <w:pPr>
              <w:spacing w:before="120" w:line="276" w:lineRule="auto"/>
              <w:jc w:val="both"/>
              <w:rPr>
                <w:rFonts w:ascii="Verdana" w:eastAsia="Calibri" w:hAnsi="Verdana" w:cs="Times New Roman"/>
                <w:color w:val="000000"/>
              </w:rPr>
            </w:pPr>
            <w:r>
              <w:rPr>
                <w:rFonts w:ascii="Verdana" w:hAnsi="Verdana" w:cs="Arial"/>
                <w:bCs/>
              </w:rPr>
              <w:t>i. E</w:t>
            </w:r>
            <w:r w:rsidRPr="00C45C5D">
              <w:rPr>
                <w:rFonts w:ascii="Verdana" w:eastAsia="Calibri" w:hAnsi="Verdana" w:cs="Times New Roman"/>
                <w:color w:val="000000"/>
              </w:rPr>
              <w:t>l artículo 148 de la referida Ley 136 de 1994 autorizó que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p>
          <w:p w14:paraId="642C1FAA" w14:textId="77777777" w:rsidR="00475DAF" w:rsidRPr="00FC2F50" w:rsidRDefault="00475DAF" w:rsidP="005F31E7">
            <w:pPr>
              <w:spacing w:before="120" w:after="120" w:line="276" w:lineRule="auto"/>
              <w:ind w:firstLine="709"/>
              <w:jc w:val="both"/>
              <w:rPr>
                <w:rFonts w:ascii="Verdana" w:eastAsia="Calibri" w:hAnsi="Verdana" w:cs="Times New Roman"/>
                <w:color w:val="000000"/>
              </w:rPr>
            </w:pPr>
            <w:r w:rsidRPr="00C45C5D">
              <w:rPr>
                <w:rFonts w:ascii="Verdana" w:eastAsia="Calibri" w:hAnsi="Verdana" w:cs="Times New Roman"/>
                <w:color w:val="000000"/>
              </w:rPr>
              <w:t xml:space="preserve">A su vez, la Ley 1454 de 2011, </w:t>
            </w:r>
            <w:r>
              <w:rPr>
                <w:rFonts w:ascii="Verdana" w:eastAsia="Calibri" w:hAnsi="Verdana" w:cs="Times New Roman"/>
                <w:color w:val="000000"/>
              </w:rPr>
              <w:t>“</w:t>
            </w:r>
            <w:r w:rsidRPr="00987D4B">
              <w:rPr>
                <w:rFonts w:ascii="Verdana" w:eastAsia="Calibri" w:hAnsi="Verdana" w:cs="Times New Roman"/>
                <w:color w:val="000000"/>
              </w:rPr>
              <w:t>Por la cual se dictan normas orgánicas sobre ordenamiento territorial y se modifican otras disposiciones</w:t>
            </w:r>
            <w:r>
              <w:rPr>
                <w:rFonts w:ascii="Verdana" w:eastAsia="Calibri" w:hAnsi="Verdana" w:cs="Times New Roman"/>
                <w:color w:val="000000"/>
              </w:rPr>
              <w:t>”</w:t>
            </w:r>
            <w:r w:rsidRPr="00C45C5D">
              <w:rPr>
                <w:rFonts w:ascii="Verdana" w:eastAsia="Calibri" w:hAnsi="Verdana" w:cs="Times New Roman"/>
                <w:color w:val="000000"/>
              </w:rPr>
              <w:t>, concibió a las asociaciones de municipios como una clase de los denominados esquemas asociativos territoriales</w:t>
            </w:r>
            <w:r>
              <w:rPr>
                <w:rFonts w:ascii="Verdana" w:eastAsia="Calibri" w:hAnsi="Verdana" w:cs="Times New Roman"/>
                <w:color w:val="000000"/>
              </w:rPr>
              <w:t xml:space="preserve">, sobre los que el artículo 17 dispone </w:t>
            </w:r>
            <w:r w:rsidRPr="00C45C5D">
              <w:rPr>
                <w:rFonts w:ascii="Verdana" w:eastAsia="Calibri" w:hAnsi="Verdana" w:cs="Times New Roman"/>
                <w:color w:val="000000"/>
              </w:rPr>
              <w:t xml:space="preserve">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Es decir, la diferencia entre las asociaciones de entidades territoriales y las asociaciones de municipios es de género y especie: si bien todas las asociaciones de municipios son asociaciones de entidades territoriales, no todas las asociaciones de entidades territoriales </w:t>
            </w:r>
            <w:r>
              <w:rPr>
                <w:rFonts w:ascii="Verdana" w:eastAsia="Calibri" w:hAnsi="Verdana" w:cs="Times New Roman"/>
                <w:color w:val="000000"/>
              </w:rPr>
              <w:t>son asociaciones de municipios.</w:t>
            </w:r>
          </w:p>
          <w:p w14:paraId="0BC7B52C" w14:textId="77777777" w:rsidR="00475DAF" w:rsidRPr="00C45C5D" w:rsidRDefault="00475DAF" w:rsidP="005F31E7">
            <w:pPr>
              <w:spacing w:after="120" w:line="276" w:lineRule="auto"/>
              <w:ind w:right="108"/>
              <w:jc w:val="both"/>
              <w:rPr>
                <w:rFonts w:ascii="Verdana" w:eastAsia="Times New Roman" w:hAnsi="Verdana" w:cs="Times New Roman"/>
                <w:color w:val="000000" w:themeColor="text1"/>
                <w:lang w:eastAsia="es-CO"/>
              </w:rPr>
            </w:pPr>
            <w:proofErr w:type="spellStart"/>
            <w:r>
              <w:rPr>
                <w:rFonts w:ascii="Verdana" w:hAnsi="Verdana" w:cs="Arial"/>
                <w:bCs/>
              </w:rPr>
              <w:t>ii</w:t>
            </w:r>
            <w:proofErr w:type="spellEnd"/>
            <w:r>
              <w:rPr>
                <w:rFonts w:ascii="Verdana" w:hAnsi="Verdana" w:cs="Arial"/>
                <w:bCs/>
              </w:rPr>
              <w:t>. De acuerdo, al segundo problema jurídico, objeto de consulta, y e</w:t>
            </w:r>
            <w:r>
              <w:rPr>
                <w:rFonts w:ascii="Verdana" w:eastAsia="Times New Roman" w:hAnsi="Verdana" w:cs="Times New Roman"/>
                <w:color w:val="000000" w:themeColor="text1"/>
                <w:lang w:eastAsia="es-CO"/>
              </w:rPr>
              <w:t xml:space="preserve">n </w:t>
            </w:r>
            <w:r w:rsidRPr="00C45C5D">
              <w:rPr>
                <w:rFonts w:ascii="Verdana" w:eastAsia="Times New Roman" w:hAnsi="Verdana" w:cs="Times New Roman"/>
                <w:color w:val="000000" w:themeColor="text1"/>
                <w:lang w:eastAsia="es-CO"/>
              </w:rPr>
              <w:t xml:space="preserve">función de la naturaleza jurídica que se termine en cada caso concreto, deben observarse las prohibiciones establecidas en el artículo 10 de la Ley 1150 de 2007 y en el artículo 92 de la Ley 1474 de 2011, los cuales limitan la modalidad de contratación directa. </w:t>
            </w:r>
          </w:p>
          <w:p w14:paraId="077E087E" w14:textId="77777777" w:rsidR="00475DAF" w:rsidRPr="00C45C5D" w:rsidRDefault="00475DAF" w:rsidP="005F31E7">
            <w:pPr>
              <w:spacing w:after="120" w:line="276" w:lineRule="auto"/>
              <w:ind w:right="108" w:firstLine="709"/>
              <w:jc w:val="both"/>
              <w:rPr>
                <w:rFonts w:ascii="Verdana" w:eastAsia="Times New Roman" w:hAnsi="Verdana" w:cs="Times New Roman"/>
                <w:color w:val="000000"/>
                <w:shd w:val="clear" w:color="auto" w:fill="FFFFFF"/>
                <w:lang w:eastAsia="es-CO"/>
              </w:rPr>
            </w:pPr>
            <w:r w:rsidRPr="00C45C5D">
              <w:rPr>
                <w:rFonts w:ascii="Verdana" w:eastAsia="Times New Roman" w:hAnsi="Verdana" w:cs="Times New Roman"/>
                <w:color w:val="000000" w:themeColor="text1"/>
                <w:lang w:eastAsia="es-CO"/>
              </w:rPr>
              <w:t xml:space="preserve">Por un lado, la celebración de contratos con entidades estatales, las cooperativas y asociaciones conformadas por entidades territoriales deben someterse a los procesos de selección de la Ley 1150 de 2007, en igualdad de condiciones con los particulares. </w:t>
            </w:r>
            <w:r w:rsidRPr="00C45C5D">
              <w:rPr>
                <w:rFonts w:ascii="Verdana" w:eastAsia="Times New Roman" w:hAnsi="Verdana" w:cs="Times New Roman"/>
                <w:color w:val="000000"/>
                <w:shd w:val="clear" w:color="auto" w:fill="FFFFFF"/>
                <w:lang w:eastAsia="es-CO"/>
              </w:rPr>
              <w:t xml:space="preserve">Así las cosas, la finalidad del artículo 10 </w:t>
            </w:r>
            <w:r w:rsidRPr="00C45C5D">
              <w:rPr>
                <w:rFonts w:ascii="Verdana" w:eastAsia="Times New Roman" w:hAnsi="Verdana" w:cs="Times New Roman"/>
                <w:i/>
                <w:iCs/>
                <w:color w:val="000000"/>
                <w:shd w:val="clear" w:color="auto" w:fill="FFFFFF"/>
                <w:lang w:eastAsia="es-CO"/>
              </w:rPr>
              <w:t>ibidem</w:t>
            </w:r>
            <w:r w:rsidRPr="00C45C5D">
              <w:rPr>
                <w:rFonts w:ascii="Verdana" w:eastAsia="Times New Roman" w:hAnsi="Verdana" w:cs="Times New Roman"/>
                <w:color w:val="000000"/>
                <w:shd w:val="clear" w:color="auto" w:fill="FFFFFF"/>
                <w:lang w:eastAsia="es-CO"/>
              </w:rPr>
              <w:t xml:space="preserve">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w:t>
            </w:r>
            <w:r w:rsidRPr="00C45C5D">
              <w:rPr>
                <w:rFonts w:ascii="Verdana" w:eastAsia="Times New Roman" w:hAnsi="Verdana" w:cs="Times New Roman"/>
                <w:color w:val="000000"/>
                <w:shd w:val="clear" w:color="auto" w:fill="FFFFFF"/>
                <w:lang w:eastAsia="es-CO"/>
              </w:rPr>
              <w:lastRenderedPageBreak/>
              <w:t xml:space="preserve">competitivos, limitándose, en consecuencia, la modalidad de contratación directa. </w:t>
            </w:r>
          </w:p>
          <w:p w14:paraId="09188366" w14:textId="77777777" w:rsidR="00475DAF" w:rsidRDefault="00475DAF" w:rsidP="005F31E7">
            <w:pPr>
              <w:spacing w:before="120" w:after="120" w:line="276" w:lineRule="auto"/>
              <w:ind w:firstLine="709"/>
              <w:jc w:val="both"/>
              <w:rPr>
                <w:rFonts w:ascii="Verdana" w:eastAsia="Times New Roman" w:hAnsi="Verdana" w:cs="Times New Roman"/>
                <w:color w:val="000000" w:themeColor="text1"/>
                <w:lang w:eastAsia="es-CO"/>
              </w:rPr>
            </w:pPr>
            <w:r w:rsidRPr="00C45C5D">
              <w:rPr>
                <w:rFonts w:ascii="Verdana" w:eastAsia="Times New Roman" w:hAnsi="Verdana" w:cs="Times New Roman"/>
                <w:color w:val="000000"/>
                <w:shd w:val="clear" w:color="auto" w:fill="FFFFFF"/>
                <w:lang w:eastAsia="es-CO"/>
              </w:rPr>
              <w:t xml:space="preserve">Por otra parte, </w:t>
            </w:r>
            <w:r w:rsidRPr="00C45C5D">
              <w:rPr>
                <w:rFonts w:ascii="Verdana" w:eastAsia="Times New Roman" w:hAnsi="Verdana" w:cs="Times New Roman"/>
                <w:color w:val="000000" w:themeColor="text1"/>
                <w:lang w:eastAsia="es-CO"/>
              </w:rPr>
              <w:t xml:space="preserve">el artículo 92 de la Ley 1474 de 2011 </w:t>
            </w:r>
            <w:r>
              <w:rPr>
                <w:rFonts w:ascii="Verdana" w:eastAsia="Times New Roman" w:hAnsi="Verdana" w:cs="Times New Roman"/>
                <w:color w:val="000000" w:themeColor="text1"/>
                <w:lang w:eastAsia="es-CO"/>
              </w:rPr>
              <w:t xml:space="preserve">que modifica </w:t>
            </w:r>
            <w:r w:rsidRPr="004E0510">
              <w:rPr>
                <w:rFonts w:ascii="Verdana" w:eastAsia="Times New Roman" w:hAnsi="Verdana" w:cs="Times New Roman"/>
                <w:color w:val="000000" w:themeColor="text1"/>
                <w:lang w:val="es-ES_tradnl" w:eastAsia="es-CO"/>
              </w:rPr>
              <w:t>el artículo 2, numeral 4, literal c) de la Ley 1150 de 2007</w:t>
            </w:r>
            <w:r>
              <w:rPr>
                <w:rFonts w:ascii="Verdana" w:eastAsia="Times New Roman" w:hAnsi="Verdana" w:cs="Times New Roman"/>
                <w:color w:val="000000" w:themeColor="text1"/>
                <w:lang w:val="es-ES_tradnl" w:eastAsia="es-CO"/>
              </w:rPr>
              <w:t xml:space="preserve">, </w:t>
            </w:r>
            <w:r w:rsidRPr="00C45C5D">
              <w:rPr>
                <w:rFonts w:ascii="Verdana" w:eastAsia="Times New Roman" w:hAnsi="Verdana" w:cs="Times New Roman"/>
                <w:color w:val="000000" w:themeColor="text1"/>
                <w:lang w:eastAsia="es-CO"/>
              </w:rPr>
              <w:t>constituye otra prohibición precisa para celebrar ciertos objetos y tipologías contractuales por parte de personas jurídicas sin ánimo de lucro conformadas por la asociación de entidades públicas. En particular, se exceptúa la posibilidad de acudir a la causal de contratos interadministrativos para celebrar directamente contratos de obra, suministro, prestación de servicios de evaluación de conformidad respecto de las normas o reglamentos técnicos, encargos fiduciarios y fiducia pública. Teniendo en cuenta que es una norma de excepción, no es posible aplicarla extensiva ni analógicamente. Por tanto, corresponde a cada ente verificar su naturaleza jurídica para determinar si es o no una persona jurídica sin ánimo de lucro conformada por la asociación de entidades públicas, lo cual podrá validar –por ejemplo– con los fundamentos, el contenido del respe</w:t>
            </w:r>
            <w:r>
              <w:rPr>
                <w:rFonts w:ascii="Verdana" w:eastAsia="Times New Roman" w:hAnsi="Verdana" w:cs="Times New Roman"/>
                <w:color w:val="000000" w:themeColor="text1"/>
                <w:lang w:eastAsia="es-CO"/>
              </w:rPr>
              <w:t>c</w:t>
            </w:r>
            <w:r w:rsidRPr="00C45C5D">
              <w:rPr>
                <w:rFonts w:ascii="Verdana" w:eastAsia="Times New Roman" w:hAnsi="Verdana" w:cs="Times New Roman"/>
                <w:color w:val="000000" w:themeColor="text1"/>
                <w:lang w:eastAsia="es-CO"/>
              </w:rPr>
              <w:t>tivo acto de creación y su objeto.</w:t>
            </w:r>
          </w:p>
          <w:p w14:paraId="0C758752" w14:textId="77777777" w:rsidR="00475DAF" w:rsidRPr="006F248B" w:rsidRDefault="00475DAF" w:rsidP="005F31E7">
            <w:pPr>
              <w:spacing w:before="120" w:after="120" w:line="276" w:lineRule="auto"/>
              <w:ind w:firstLine="709"/>
              <w:jc w:val="both"/>
              <w:rPr>
                <w:rFonts w:ascii="Verdana" w:eastAsia="Arial" w:hAnsi="Verdana" w:cs="Arial"/>
                <w:color w:val="000000"/>
                <w:lang w:val="es-ES"/>
              </w:rPr>
            </w:pPr>
            <w:r>
              <w:rPr>
                <w:rFonts w:ascii="Verdana" w:eastAsia="Times New Roman" w:hAnsi="Verdana" w:cs="Times New Roman"/>
                <w:color w:val="000000" w:themeColor="text1"/>
                <w:lang w:eastAsia="es-CO"/>
              </w:rPr>
              <w:t>Ahora bien, con respecto a la posibilidad de celebrarse contratos interadministrativos mediante administración delegada</w:t>
            </w:r>
            <w:r w:rsidRPr="00987D4B">
              <w:rPr>
                <w:rFonts w:ascii="Verdana" w:hAnsi="Verdana" w:cs="Arial"/>
                <w:color w:val="000000" w:themeColor="text1"/>
                <w:lang w:val="es-ES_tradnl"/>
              </w:rPr>
              <w:t>,</w:t>
            </w:r>
            <w:r>
              <w:rPr>
                <w:rFonts w:ascii="Verdana" w:hAnsi="Verdana" w:cs="Arial"/>
                <w:color w:val="000000" w:themeColor="text1"/>
                <w:lang w:val="es-ES_tradnl"/>
              </w:rPr>
              <w:t xml:space="preserve"> se precisa que puede entenderse como</w:t>
            </w:r>
            <w:r w:rsidRPr="00987D4B">
              <w:rPr>
                <w:rFonts w:ascii="Verdana" w:hAnsi="Verdana" w:cs="Arial"/>
                <w:color w:val="000000" w:themeColor="text1"/>
                <w:lang w:val="es-ES_tradnl"/>
              </w:rPr>
              <w:t xml:space="preserve"> forma de mandato o como modalidad de administración de los re</w:t>
            </w:r>
            <w:r>
              <w:rPr>
                <w:rFonts w:ascii="Verdana" w:hAnsi="Verdana" w:cs="Arial"/>
                <w:color w:val="000000" w:themeColor="text1"/>
                <w:lang w:val="es-ES_tradnl"/>
              </w:rPr>
              <w:t xml:space="preserve">cursos destinados a la obra. Teniendo </w:t>
            </w:r>
            <w:r w:rsidRPr="00987D4B">
              <w:rPr>
                <w:rFonts w:ascii="Verdana" w:hAnsi="Verdana" w:cs="Arial"/>
                <w:color w:val="000000" w:themeColor="text1"/>
                <w:lang w:val="es-ES_tradnl"/>
              </w:rPr>
              <w:t xml:space="preserve">en cuenta la remisión de los </w:t>
            </w:r>
            <w:r>
              <w:rPr>
                <w:rFonts w:ascii="Verdana" w:hAnsi="Verdana" w:cs="Arial"/>
                <w:color w:val="000000" w:themeColor="text1"/>
                <w:lang w:val="es-ES_tradnl"/>
              </w:rPr>
              <w:t xml:space="preserve">artículos </w:t>
            </w:r>
            <w:r w:rsidRPr="00987D4B">
              <w:rPr>
                <w:rFonts w:ascii="Verdana" w:hAnsi="Verdana" w:cs="Arial"/>
                <w:color w:val="000000" w:themeColor="text1"/>
                <w:lang w:val="es-ES_tradnl"/>
              </w:rPr>
              <w:t xml:space="preserve">13, 32 y 40 de la Ley 80 de 1993 a las normas comerciales </w:t>
            </w:r>
            <w:r>
              <w:rPr>
                <w:rFonts w:ascii="Verdana" w:hAnsi="Verdana" w:cs="Arial"/>
                <w:color w:val="000000" w:themeColor="text1"/>
                <w:lang w:val="es-ES_tradnl"/>
              </w:rPr>
              <w:t xml:space="preserve">y civiles y a partir del análisis realizado, se enmarca </w:t>
            </w:r>
            <w:r w:rsidRPr="00987D4B">
              <w:rPr>
                <w:rFonts w:ascii="Verdana" w:hAnsi="Verdana" w:cs="Arial"/>
                <w:color w:val="000000" w:themeColor="text1"/>
                <w:lang w:val="es-ES_tradnl"/>
              </w:rPr>
              <w:t xml:space="preserve">en </w:t>
            </w:r>
            <w:r w:rsidRPr="00C45C5D">
              <w:rPr>
                <w:rFonts w:ascii="Verdana" w:eastAsia="Arial" w:hAnsi="Verdana" w:cs="Arial"/>
                <w:color w:val="000000"/>
                <w:lang w:val="es-ES"/>
              </w:rPr>
              <w:t>las prohibiciones establecidas en el artículo 10 de la Ley 1150 de 2007 y en el artículo 92 de la Ley 1474 de 2011</w:t>
            </w:r>
            <w:r>
              <w:rPr>
                <w:rFonts w:ascii="Verdana" w:eastAsia="Arial" w:hAnsi="Verdana" w:cs="Arial"/>
                <w:color w:val="000000"/>
                <w:lang w:val="es-ES"/>
              </w:rPr>
              <w:t xml:space="preserve"> que modifica el literal c del artículo 2 numeral 4° de la Ley 1150 de 2007</w:t>
            </w:r>
            <w:r w:rsidRPr="00C45C5D">
              <w:rPr>
                <w:rFonts w:ascii="Verdana" w:eastAsia="Arial" w:hAnsi="Verdana" w:cs="Arial"/>
                <w:color w:val="000000"/>
                <w:lang w:val="es-ES"/>
              </w:rPr>
              <w:t>, los cuales limitan la modalidad de contratación directa.</w:t>
            </w:r>
          </w:p>
          <w:p w14:paraId="13D50F29" w14:textId="77777777" w:rsidR="00475DAF" w:rsidRPr="00B57A1B" w:rsidRDefault="00475DAF" w:rsidP="005F31E7">
            <w:pPr>
              <w:widowControl w:val="0"/>
              <w:autoSpaceDE w:val="0"/>
              <w:autoSpaceDN w:val="0"/>
              <w:spacing w:after="120" w:line="276" w:lineRule="auto"/>
              <w:jc w:val="both"/>
              <w:rPr>
                <w:rFonts w:ascii="Verdana" w:eastAsia="Arial MT" w:hAnsi="Verdana" w:cs="Arial MT"/>
              </w:rPr>
            </w:pPr>
            <w:proofErr w:type="spellStart"/>
            <w:r>
              <w:rPr>
                <w:rFonts w:ascii="Verdana" w:hAnsi="Verdana" w:cs="Arial"/>
                <w:color w:val="000000" w:themeColor="text1"/>
                <w:lang w:val="es-ES_tradnl"/>
              </w:rPr>
              <w:t>iii</w:t>
            </w:r>
            <w:proofErr w:type="spellEnd"/>
            <w:r>
              <w:rPr>
                <w:rFonts w:ascii="Verdana" w:hAnsi="Verdana" w:cs="Arial"/>
                <w:color w:val="000000" w:themeColor="text1"/>
                <w:lang w:val="es-ES_tradnl"/>
              </w:rPr>
              <w:t xml:space="preserve">. </w:t>
            </w:r>
            <w:r>
              <w:rPr>
                <w:rFonts w:ascii="Verdana" w:eastAsia="Arial" w:hAnsi="Verdana" w:cs="Arial"/>
                <w:color w:val="000000"/>
                <w:lang w:val="es-ES_tradnl"/>
              </w:rPr>
              <w:t xml:space="preserve">La </w:t>
            </w:r>
            <w:r>
              <w:rPr>
                <w:rFonts w:ascii="Verdana" w:eastAsia="Arial" w:hAnsi="Verdana" w:cs="Arial"/>
                <w:color w:val="000000"/>
                <w:lang w:val="es-ES"/>
              </w:rPr>
              <w:t xml:space="preserve">prohibición de contratación directa no son extensibles a los convenios interadministrativos, como se ha expresado en los Conceptos C-605 del 27 de junio, </w:t>
            </w:r>
            <w:r w:rsidRPr="00B57A1B">
              <w:rPr>
                <w:rFonts w:ascii="Verdana" w:hAnsi="Verdana" w:cs="Arial"/>
                <w:shd w:val="clear" w:color="auto" w:fill="FFFFFF"/>
              </w:rPr>
              <w:t>C-1046 del 9 de septiembre de 2025</w:t>
            </w:r>
            <w:r>
              <w:rPr>
                <w:rFonts w:ascii="Verdana" w:hAnsi="Verdana" w:cs="Arial"/>
                <w:shd w:val="clear" w:color="auto" w:fill="FFFFFF"/>
              </w:rPr>
              <w:t xml:space="preserve">, C-1152 del 23 de septiembre de 2025 y como se explica en las razones de la respuesta, en el sentido de que </w:t>
            </w:r>
            <w:r>
              <w:rPr>
                <w:rFonts w:ascii="Verdana" w:eastAsia="Calibri" w:hAnsi="Verdana" w:cs="Arial"/>
                <w:color w:val="000000" w:themeColor="text1"/>
                <w:lang w:val="es-ES_tradnl"/>
              </w:rPr>
              <w:t xml:space="preserve">no hay aplicación automática del Estatuto General de Contratación de la Administración. </w:t>
            </w:r>
            <w:r w:rsidRPr="00B57A1B">
              <w:rPr>
                <w:rFonts w:ascii="Verdana" w:eastAsia="Arial MT" w:hAnsi="Verdana" w:cs="Arial MT"/>
              </w:rPr>
              <w:t xml:space="preserve">Estos negocios jurídicos se caracterizan por estar sujetos a la autorregulación establecida a través de sus propias estipulaciones, que son el resultado de la autonomía de la voluntad de las entidades que actúan como colaboradoras o cooperantes. En efecto, en los convenios interadministrativos puros o genuinos, el valor del negocio jurídico es determinado por los aportes en dinero y/o en especie requeridos para ejecutar el objeto, los cuales pueden </w:t>
            </w:r>
            <w:r w:rsidRPr="00B57A1B">
              <w:rPr>
                <w:rFonts w:ascii="Verdana" w:eastAsia="Arial MT" w:hAnsi="Verdana" w:cs="Arial MT"/>
              </w:rPr>
              <w:lastRenderedPageBreak/>
              <w:t>ser realizados por ambos cooperantes en los montos que estos estipulen.</w:t>
            </w:r>
          </w:p>
          <w:p w14:paraId="6FB35E79" w14:textId="77777777" w:rsidR="00475DAF" w:rsidRPr="0067295A" w:rsidRDefault="00475DAF" w:rsidP="005F31E7">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t xml:space="preserve">En estos términos, en los convenios interadministrativos no se alude a las categorías de contratante y contratista, sino que ambas partes son cooperantes o colaboradoras. En el marco de su relación de colaboración </w:t>
            </w:r>
            <w:r>
              <w:rPr>
                <w:rFonts w:ascii="Verdana" w:eastAsia="Calibri" w:hAnsi="Verdana" w:cs="Arial"/>
                <w:color w:val="000000" w:themeColor="text1"/>
                <w:lang w:val="es-ES_tradnl"/>
              </w:rPr>
              <w:t xml:space="preserve">pueden estipularse diferentes formas de vinculación de las partes, donde pueden configurar condiciones y cláusulas de mandatos con o sin representación bajo la forma de una administración delegada. En este aspecto, puede pactarse que </w:t>
            </w:r>
            <w:r w:rsidRPr="00B57A1B">
              <w:rPr>
                <w:rFonts w:ascii="Verdana" w:eastAsia="Calibri" w:hAnsi="Verdana" w:cs="Arial"/>
                <w:color w:val="000000" w:themeColor="text1"/>
                <w:lang w:val="es-ES_tradnl"/>
              </w:rPr>
              <w:t xml:space="preserve">una de las entidades cooperantes actué como la ejecutora de las principales obligaciones del convenio. En este caso, una de las entidades cooperantes puede encargarse de </w:t>
            </w:r>
            <w:r>
              <w:rPr>
                <w:rFonts w:ascii="Verdana" w:eastAsia="Calibri" w:hAnsi="Verdana" w:cs="Arial"/>
                <w:color w:val="000000" w:themeColor="text1"/>
                <w:lang w:val="es-ES_tradnl"/>
              </w:rPr>
              <w:t xml:space="preserve">la administración y ejecución del convenio, sin que pueda estipularse categorías conceptuales como la utilidad o costos por concepto de pago de honorarios. A </w:t>
            </w:r>
            <w:r w:rsidRPr="00B57A1B">
              <w:rPr>
                <w:rFonts w:ascii="Verdana" w:eastAsia="Calibri" w:hAnsi="Verdana" w:cs="Arial"/>
                <w:color w:val="000000" w:themeColor="text1"/>
                <w:lang w:val="es-ES_tradnl"/>
              </w:rPr>
              <w:t xml:space="preserve">diferencia de los contratos </w:t>
            </w:r>
            <w:r w:rsidRPr="00B57A1B">
              <w:rPr>
                <w:rFonts w:ascii="Verdana" w:eastAsia="Arial MT" w:hAnsi="Verdana" w:cs="Arial MT"/>
              </w:rPr>
              <w:t>interadministrativos, en tanto negocios jurídicos típicamente conmutativos, su valor está determinado por el precio al que equivale la contraprestación a recibir por la entidad contratista, a cambio del suministro del bien, obra o servicio requerido por la entidad contratante, como puede ocurrir cuando se pacte por administración delegada</w:t>
            </w:r>
            <w:r w:rsidRPr="00B57A1B">
              <w:rPr>
                <w:rFonts w:ascii="Verdana" w:eastAsia="Calibri" w:hAnsi="Verdana" w:cs="Arial"/>
                <w:color w:val="000000" w:themeColor="text1"/>
                <w:lang w:val="es-ES_tradnl"/>
              </w:rPr>
              <w:t xml:space="preserve">. </w:t>
            </w:r>
          </w:p>
          <w:p w14:paraId="4F3C4C34" w14:textId="77777777" w:rsidR="00475DAF" w:rsidRPr="001649B6" w:rsidRDefault="00475DAF" w:rsidP="005F31E7">
            <w:pPr>
              <w:spacing w:after="120" w:line="276" w:lineRule="auto"/>
              <w:jc w:val="both"/>
              <w:rPr>
                <w:rFonts w:ascii="Verdana" w:eastAsiaTheme="minorEastAsia" w:hAnsi="Verdana" w:cs="Arial"/>
                <w:lang w:eastAsia="es-CO"/>
              </w:rPr>
            </w:pPr>
            <w:r>
              <w:rPr>
                <w:rFonts w:ascii="Verdana" w:eastAsia="Calibri" w:hAnsi="Verdana" w:cs="Arial"/>
                <w:color w:val="000000" w:themeColor="text1"/>
                <w:lang w:val="es-ES_tradnl"/>
              </w:rPr>
              <w:tab/>
              <w:t>Teniendo en cuenta esta precisión, para determinar si es contrato o convenio interadministrativo no está determinada por la denominación que se haga en el negocio jurídico entre entidades, sino por las cláusulas y condiciones que se pactaron.</w:t>
            </w:r>
            <w:r w:rsidRPr="00B57A1B">
              <w:rPr>
                <w:rFonts w:ascii="Verdana" w:eastAsia="Calibri" w:hAnsi="Verdana" w:cs="Arial"/>
                <w:color w:val="000000" w:themeColor="text1"/>
                <w:lang w:val="es-ES_tradnl"/>
              </w:rPr>
              <w:t xml:space="preserve"> </w:t>
            </w:r>
            <w:r>
              <w:rPr>
                <w:rFonts w:ascii="Verdana" w:eastAsiaTheme="minorEastAsia" w:hAnsi="Verdana" w:cs="Arial"/>
                <w:lang w:eastAsia="es-CO"/>
              </w:rPr>
              <w:t xml:space="preserve">Entonces, será </w:t>
            </w:r>
            <w:r w:rsidRPr="00B57A1B">
              <w:rPr>
                <w:rFonts w:ascii="Verdana" w:eastAsiaTheme="minorEastAsia" w:hAnsi="Verdana" w:cs="Arial"/>
                <w:lang w:eastAsia="es-CO"/>
              </w:rPr>
              <w:t xml:space="preserve">convenio interadministrativo </w:t>
            </w:r>
            <w:r>
              <w:rPr>
                <w:rFonts w:ascii="Verdana" w:eastAsiaTheme="minorEastAsia" w:hAnsi="Verdana" w:cs="Arial"/>
                <w:lang w:eastAsia="es-CO"/>
              </w:rPr>
              <w:t xml:space="preserve">si su </w:t>
            </w:r>
            <w:r w:rsidRPr="00B57A1B">
              <w:rPr>
                <w:rFonts w:ascii="Verdana" w:eastAsiaTheme="minorEastAsia" w:hAnsi="Verdana" w:cs="Arial"/>
                <w:lang w:eastAsia="es-CO"/>
              </w:rPr>
              <w:t>objeto</w:t>
            </w:r>
            <w:r>
              <w:rPr>
                <w:rFonts w:ascii="Verdana" w:eastAsiaTheme="minorEastAsia" w:hAnsi="Verdana" w:cs="Arial"/>
                <w:lang w:eastAsia="es-CO"/>
              </w:rPr>
              <w:t xml:space="preserve"> y demás cláusulas</w:t>
            </w:r>
            <w:r w:rsidRPr="00B57A1B">
              <w:rPr>
                <w:rFonts w:ascii="Verdana" w:eastAsiaTheme="minorEastAsia" w:hAnsi="Verdana" w:cs="Arial"/>
                <w:lang w:eastAsia="es-CO"/>
              </w:rPr>
              <w:t xml:space="preserve"> se relaciona</w:t>
            </w:r>
            <w:r>
              <w:rPr>
                <w:rFonts w:ascii="Verdana" w:eastAsiaTheme="minorEastAsia" w:hAnsi="Verdana" w:cs="Arial"/>
                <w:lang w:eastAsia="es-CO"/>
              </w:rPr>
              <w:t>n</w:t>
            </w:r>
            <w:r w:rsidRPr="00B57A1B">
              <w:rPr>
                <w:rFonts w:ascii="Verdana" w:eastAsiaTheme="minorEastAsia" w:hAnsi="Verdana" w:cs="Arial"/>
                <w:lang w:eastAsia="es-CO"/>
              </w:rPr>
              <w:t xml:space="preserve"> con la coordinación o cooperación para el cumplimiento de los fines comunes </w:t>
            </w:r>
            <w:r>
              <w:rPr>
                <w:rFonts w:ascii="Verdana" w:eastAsiaTheme="minorEastAsia" w:hAnsi="Verdana" w:cs="Arial"/>
                <w:lang w:eastAsia="es-CO"/>
              </w:rPr>
              <w:t>de las partes, y por tanto no será aplicable el Estatuto General de Contratación de la Administración Pública. Por otro lado, será</w:t>
            </w:r>
            <w:r w:rsidRPr="00B57A1B">
              <w:rPr>
                <w:rFonts w:ascii="Verdana" w:eastAsiaTheme="minorEastAsia" w:hAnsi="Verdana" w:cs="Arial"/>
                <w:lang w:eastAsia="es-CO"/>
              </w:rPr>
              <w:t xml:space="preserve"> contrato interadministrativo </w:t>
            </w:r>
            <w:r>
              <w:rPr>
                <w:rFonts w:ascii="Verdana" w:eastAsiaTheme="minorEastAsia" w:hAnsi="Verdana" w:cs="Arial"/>
                <w:lang w:eastAsia="es-CO"/>
              </w:rPr>
              <w:t xml:space="preserve">si su objeto </w:t>
            </w:r>
            <w:r w:rsidRPr="00B57A1B">
              <w:rPr>
                <w:rFonts w:ascii="Verdana" w:eastAsiaTheme="minorEastAsia" w:hAnsi="Verdana" w:cs="Arial"/>
                <w:lang w:eastAsia="es-CO"/>
              </w:rPr>
              <w:t>está relacionado con la prestación de bienes y servicios, en el que una de las partes actúa como contratante y otra como contratista</w:t>
            </w:r>
            <w:r>
              <w:rPr>
                <w:rFonts w:ascii="Verdana" w:eastAsiaTheme="minorEastAsia" w:hAnsi="Verdana" w:cs="Arial"/>
                <w:lang w:eastAsia="es-CO"/>
              </w:rPr>
              <w:t xml:space="preserve">, y en el supuesto genérico que nos incumbe estará sujeto a las restricciones de contratación directa, conforme </w:t>
            </w:r>
            <w:r w:rsidRPr="00C45C5D">
              <w:rPr>
                <w:rFonts w:ascii="Verdana" w:eastAsia="Arial" w:hAnsi="Verdana" w:cs="Arial"/>
                <w:color w:val="000000"/>
                <w:lang w:val="es-ES"/>
              </w:rPr>
              <w:t>en el artículo 10 de la Ley 1150 de 2007 y en el artículo 92 de la Ley 1474 de 2011</w:t>
            </w:r>
            <w:r>
              <w:rPr>
                <w:rFonts w:ascii="Verdana" w:eastAsia="Arial" w:hAnsi="Verdana" w:cs="Arial"/>
                <w:color w:val="000000"/>
                <w:lang w:val="es-ES"/>
              </w:rPr>
              <w:t xml:space="preserve"> que modifica el literal c del artículo 2 numeral 4° de la Ley 1150 de 2007.</w:t>
            </w:r>
          </w:p>
        </w:tc>
      </w:tr>
    </w:tbl>
    <w:p w14:paraId="73E3B007" w14:textId="77777777" w:rsidR="00475DAF" w:rsidRPr="009563E7" w:rsidRDefault="00475DAF" w:rsidP="00475DAF">
      <w:pPr>
        <w:spacing w:after="0" w:line="276" w:lineRule="auto"/>
        <w:jc w:val="both"/>
        <w:rPr>
          <w:rFonts w:ascii="Verdana" w:eastAsia="Calibri" w:hAnsi="Verdana" w:cs="Arial"/>
          <w:bCs/>
          <w:color w:val="000000" w:themeColor="text1"/>
        </w:rPr>
      </w:pPr>
    </w:p>
    <w:p w14:paraId="00E5013F" w14:textId="77777777" w:rsidR="00475DAF" w:rsidRPr="009563E7" w:rsidRDefault="00475DAF" w:rsidP="00475DAF">
      <w:pPr>
        <w:numPr>
          <w:ilvl w:val="0"/>
          <w:numId w:val="19"/>
        </w:numPr>
        <w:spacing w:after="0" w:line="256" w:lineRule="auto"/>
        <w:rPr>
          <w:rFonts w:ascii="Verdana" w:eastAsia="Calibri" w:hAnsi="Verdana" w:cs="Times New Roman"/>
          <w:b/>
          <w:bCs/>
          <w:lang w:val="es-ES"/>
        </w:rPr>
      </w:pPr>
      <w:r w:rsidRPr="009563E7">
        <w:rPr>
          <w:rFonts w:ascii="Verdana" w:eastAsia="Calibri" w:hAnsi="Verdana" w:cs="Times New Roman"/>
          <w:b/>
          <w:bCs/>
          <w:lang w:val="es-ES"/>
        </w:rPr>
        <w:t>Razones de la respuesta:</w:t>
      </w:r>
    </w:p>
    <w:p w14:paraId="6C6D755F" w14:textId="77777777" w:rsidR="00475DAF" w:rsidRPr="00C45C5D" w:rsidRDefault="00475DAF" w:rsidP="00475DAF">
      <w:pPr>
        <w:spacing w:after="0" w:line="276" w:lineRule="auto"/>
        <w:jc w:val="both"/>
        <w:rPr>
          <w:rFonts w:ascii="Verdana" w:eastAsia="Calibri" w:hAnsi="Verdana" w:cs="Arial"/>
          <w:color w:val="7030A0"/>
          <w:lang w:val="es-ES"/>
        </w:rPr>
      </w:pPr>
    </w:p>
    <w:p w14:paraId="3E3CB327" w14:textId="77777777" w:rsidR="00475DAF" w:rsidRPr="00C45C5D" w:rsidRDefault="00475DAF" w:rsidP="00475DAF">
      <w:pPr>
        <w:spacing w:after="0" w:line="276" w:lineRule="auto"/>
        <w:jc w:val="both"/>
        <w:rPr>
          <w:rFonts w:ascii="Verdana" w:eastAsia="Calibri" w:hAnsi="Verdana" w:cs="Arial"/>
          <w:lang w:val="es-ES"/>
        </w:rPr>
      </w:pPr>
      <w:r w:rsidRPr="00C45C5D">
        <w:rPr>
          <w:rFonts w:ascii="Verdana" w:eastAsia="Calibri" w:hAnsi="Verdana" w:cs="Arial"/>
          <w:lang w:val="es-ES"/>
        </w:rPr>
        <w:t>Lo anterior se sustenta en las siguientes consideraciones:</w:t>
      </w:r>
    </w:p>
    <w:p w14:paraId="39B1A4ED" w14:textId="77777777" w:rsidR="00475DAF" w:rsidRPr="00C45C5D" w:rsidRDefault="00475DAF" w:rsidP="00475DAF">
      <w:pPr>
        <w:spacing w:after="0" w:line="276" w:lineRule="auto"/>
        <w:jc w:val="both"/>
        <w:rPr>
          <w:rFonts w:ascii="Verdana" w:eastAsia="Calibri" w:hAnsi="Verdana" w:cs="Arial"/>
          <w:color w:val="000000" w:themeColor="text1"/>
        </w:rPr>
      </w:pPr>
    </w:p>
    <w:p w14:paraId="6F10F60E" w14:textId="77777777" w:rsidR="00475DAF" w:rsidRPr="00C45C5D" w:rsidRDefault="00475DAF" w:rsidP="00475DAF">
      <w:pPr>
        <w:spacing w:after="120" w:line="276" w:lineRule="auto"/>
        <w:jc w:val="both"/>
        <w:rPr>
          <w:rFonts w:ascii="Verdana" w:eastAsia="Times New Roman" w:hAnsi="Verdana" w:cs="Arial"/>
          <w:color w:val="000000"/>
          <w:lang w:eastAsia="es-CO"/>
        </w:rPr>
      </w:pPr>
      <w:r w:rsidRPr="00C45C5D">
        <w:rPr>
          <w:rFonts w:ascii="Verdana" w:eastAsia="Times New Roman" w:hAnsi="Verdana" w:cs="Arial"/>
          <w:color w:val="000000"/>
          <w:lang w:val="es-ES_tradnl" w:eastAsia="es-CO"/>
        </w:rPr>
        <w:lastRenderedPageBreak/>
        <w:t>i. La contratación Estatal constituye un instrumento a través del cual las Entidades Públicas realizan el aprovisionamiento de sus bienes, obras y servicios, con el propósito de satisfacer las necesidades e intereses colectivos</w:t>
      </w:r>
      <w:r w:rsidRPr="00C45C5D">
        <w:rPr>
          <w:vertAlign w:val="superscript"/>
          <w:lang w:eastAsia="es-CO"/>
        </w:rPr>
        <w:footnoteReference w:id="2"/>
      </w:r>
      <w:r w:rsidRPr="00C45C5D">
        <w:rPr>
          <w:rFonts w:ascii="Verdana" w:eastAsia="Times New Roman" w:hAnsi="Verdana" w:cs="Arial"/>
          <w:color w:val="000000"/>
          <w:lang w:val="es-ES_tradnl" w:eastAsia="es-CO"/>
        </w:rPr>
        <w:t xml:space="preserve">. Para este propósito se sirve de la colaboración de los particulares o de otras entidades que integran la administración pública. </w:t>
      </w:r>
      <w:r w:rsidRPr="00C45C5D">
        <w:rPr>
          <w:rFonts w:ascii="Verdana" w:eastAsia="Times New Roman" w:hAnsi="Verdana" w:cs="Arial"/>
          <w:color w:val="000000"/>
          <w:lang w:eastAsia="es-CO"/>
        </w:rPr>
        <w:t>Cuando se trata de contratos celebrados por dos Entidades Estatales, tales negocios jurídicos se han denominado como interadministrativos, en el entendido de que son celebrados entre Entidades Públicas. En efecto, la doctrina ha señalado que “se denominan contratos interadministrativos los contratos bilaterales celebrados entre dos entidades estatales”</w:t>
      </w:r>
      <w:r w:rsidRPr="00C45C5D">
        <w:rPr>
          <w:vertAlign w:val="superscript"/>
          <w:lang w:eastAsia="es-CO"/>
        </w:rPr>
        <w:footnoteReference w:id="3"/>
      </w:r>
      <w:r w:rsidRPr="00C45C5D">
        <w:rPr>
          <w:rFonts w:ascii="Verdana" w:eastAsia="Times New Roman" w:hAnsi="Verdana" w:cs="Arial"/>
          <w:color w:val="000000"/>
          <w:lang w:eastAsia="es-CO"/>
        </w:rPr>
        <w:t xml:space="preserve">. </w:t>
      </w:r>
    </w:p>
    <w:p w14:paraId="78BC6EBE" w14:textId="77777777" w:rsidR="00475DAF" w:rsidRPr="00B57A1B" w:rsidRDefault="00475DAF" w:rsidP="00475DAF">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Si bien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6FF1725F" w14:textId="77777777" w:rsidR="00475DAF" w:rsidRPr="00B57A1B" w:rsidRDefault="00475DAF" w:rsidP="00475DAF">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B57A1B">
        <w:rPr>
          <w:rFonts w:ascii="Verdana" w:eastAsiaTheme="minorEastAsia" w:hAnsi="Verdana" w:cs="Arial"/>
          <w:vertAlign w:val="superscript"/>
          <w:lang w:eastAsia="es-CO"/>
        </w:rPr>
        <w:footnoteReference w:id="4"/>
      </w:r>
      <w:r w:rsidRPr="00B57A1B">
        <w:rPr>
          <w:rFonts w:ascii="Verdana" w:eastAsiaTheme="minorEastAsia" w:hAnsi="Verdana" w:cs="Arial"/>
          <w:lang w:eastAsia="es-CO"/>
        </w:rPr>
        <w:t>. Nótese que, en este caso, lo que cambia es la modalidad de selección y no la naturaleza de contrato</w:t>
      </w:r>
      <w:r w:rsidRPr="00B57A1B">
        <w:rPr>
          <w:rFonts w:ascii="Verdana" w:eastAsiaTheme="minorEastAsia" w:hAnsi="Verdana" w:cs="Arial"/>
          <w:spacing w:val="-18"/>
          <w:lang w:eastAsia="es-CO"/>
        </w:rPr>
        <w:t xml:space="preserve"> </w:t>
      </w:r>
      <w:r w:rsidRPr="00B57A1B">
        <w:rPr>
          <w:rFonts w:ascii="Verdana" w:eastAsiaTheme="minorEastAsia" w:hAnsi="Verdana" w:cs="Arial"/>
          <w:lang w:eastAsia="es-CO"/>
        </w:rPr>
        <w:t>interadministrativo.</w:t>
      </w:r>
    </w:p>
    <w:p w14:paraId="1CBD9063" w14:textId="77777777" w:rsidR="00475DAF" w:rsidRPr="00B57A1B" w:rsidRDefault="00475DAF" w:rsidP="00475DAF">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La Corte Constitucional, en Sentencia C-671 de 2015, expresó que “Lo que hace interadministrativo a un contrato o convenio no es el procedimiento de selección aplicable, sino la calidad de los sujetos contratantes, esto es que las </w:t>
      </w:r>
      <w:r w:rsidRPr="00B57A1B">
        <w:rPr>
          <w:rFonts w:ascii="Verdana" w:eastAsiaTheme="minorEastAsia" w:hAnsi="Verdana" w:cs="Arial"/>
          <w:lang w:eastAsia="es-CO"/>
        </w:rPr>
        <w:lastRenderedPageBreak/>
        <w:t>dos partes de la relación jurídica contractual formen parte de la administración pública”</w:t>
      </w:r>
      <w:r w:rsidRPr="00B57A1B">
        <w:rPr>
          <w:rFonts w:ascii="Verdana" w:eastAsiaTheme="minorEastAsia" w:hAnsi="Verdana" w:cs="Arial"/>
          <w:vertAlign w:val="superscript"/>
          <w:lang w:eastAsia="es-CO"/>
        </w:rPr>
        <w:footnoteReference w:id="5"/>
      </w:r>
      <w:r w:rsidRPr="00B57A1B">
        <w:rPr>
          <w:rFonts w:ascii="Verdana" w:eastAsiaTheme="minorEastAsia" w:hAnsi="Verdana" w:cs="Arial"/>
          <w:lang w:eastAsia="es-CO"/>
        </w:rPr>
        <w:t xml:space="preserve">. Así las cosas, esta clase de acuerdos de voluntades se definen por un criterio orgánico, por lo que uno de sus elementos esenciales es que en los extremos de la relación jurídico negocial concurran personas de derecho público. </w:t>
      </w:r>
    </w:p>
    <w:p w14:paraId="2F58F2C5" w14:textId="77777777" w:rsidR="00475DAF" w:rsidRPr="00B57A1B" w:rsidRDefault="00475DAF" w:rsidP="00475DAF">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Al respecto, el Consejo de Estado distingue las dos instituciones, de la siguiente forma: </w:t>
      </w:r>
    </w:p>
    <w:p w14:paraId="02662A04" w14:textId="77777777" w:rsidR="00475DAF" w:rsidRPr="00B57A1B" w:rsidRDefault="00475DAF" w:rsidP="00475DAF">
      <w:pPr>
        <w:spacing w:after="0" w:line="276" w:lineRule="auto"/>
        <w:ind w:firstLine="709"/>
        <w:jc w:val="both"/>
        <w:rPr>
          <w:rFonts w:ascii="Verdana" w:eastAsiaTheme="minorEastAsia" w:hAnsi="Verdana" w:cs="Arial"/>
          <w:lang w:eastAsia="es-CO"/>
        </w:rPr>
      </w:pPr>
    </w:p>
    <w:p w14:paraId="246682A5" w14:textId="77777777" w:rsidR="00475DAF" w:rsidRPr="00B06E13" w:rsidRDefault="00475DAF" w:rsidP="00475DAF">
      <w:pPr>
        <w:spacing w:after="0" w:line="240" w:lineRule="auto"/>
        <w:ind w:left="709" w:right="709"/>
        <w:jc w:val="both"/>
        <w:rPr>
          <w:rFonts w:ascii="Verdana" w:eastAsiaTheme="minorEastAsia" w:hAnsi="Verdana" w:cs="Arial"/>
          <w:sz w:val="20"/>
          <w:szCs w:val="20"/>
          <w:lang w:eastAsia="es-CO"/>
        </w:rPr>
      </w:pPr>
      <w:r w:rsidRPr="00B06E13">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0BAEA759" w14:textId="77777777" w:rsidR="00475DAF" w:rsidRPr="00B06E13" w:rsidRDefault="00475DAF" w:rsidP="00475DAF">
      <w:pPr>
        <w:numPr>
          <w:ilvl w:val="0"/>
          <w:numId w:val="27"/>
        </w:numPr>
        <w:spacing w:after="0" w:line="240" w:lineRule="auto"/>
        <w:ind w:left="709" w:right="709"/>
        <w:contextualSpacing/>
        <w:jc w:val="both"/>
        <w:rPr>
          <w:rFonts w:ascii="Verdana" w:eastAsiaTheme="minorEastAsia" w:hAnsi="Verdana" w:cs="Arial"/>
          <w:sz w:val="20"/>
          <w:szCs w:val="20"/>
          <w:lang w:val="es-ES" w:eastAsia="es-CO"/>
        </w:rPr>
      </w:pPr>
      <w:r w:rsidRPr="00B06E13">
        <w:rPr>
          <w:rFonts w:ascii="Verdana" w:eastAsiaTheme="minorEastAsia" w:hAnsi="Verdana" w:cs="Arial"/>
          <w:sz w:val="20"/>
          <w:szCs w:val="20"/>
          <w:lang w:val="es-ES" w:eastAsia="es-CO"/>
        </w:rPr>
        <w:t xml:space="preserve">El objeto de los contratos lo constituyen obligaciones de contenido patrimonial y, por </w:t>
      </w:r>
      <w:r w:rsidRPr="00B06E13">
        <w:rPr>
          <w:rFonts w:ascii="Verdana" w:eastAsiaTheme="minorEastAsia" w:hAnsi="Verdana" w:cs="Arial"/>
          <w:sz w:val="20"/>
          <w:szCs w:val="20"/>
          <w:lang w:eastAsia="es-CO"/>
        </w:rPr>
        <w:t>lo mismo, son onerosos, lo que implica el gravamen de cada parte en beneficio de la otra. En el contrato, como verdadero acuerdo 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4656BCAD" w14:textId="77777777" w:rsidR="00475DAF" w:rsidRPr="00B06E13" w:rsidRDefault="00475DAF" w:rsidP="00475DAF">
      <w:pPr>
        <w:numPr>
          <w:ilvl w:val="0"/>
          <w:numId w:val="27"/>
        </w:numPr>
        <w:spacing w:after="0" w:line="240" w:lineRule="auto"/>
        <w:ind w:left="709" w:right="709"/>
        <w:contextualSpacing/>
        <w:jc w:val="both"/>
        <w:rPr>
          <w:rFonts w:ascii="Verdana" w:eastAsiaTheme="minorEastAsia" w:hAnsi="Verdana" w:cs="Arial"/>
          <w:sz w:val="20"/>
          <w:szCs w:val="20"/>
          <w:lang w:val="es-ES" w:eastAsia="es-CO"/>
        </w:rPr>
      </w:pPr>
      <w:r w:rsidRPr="00B06E13">
        <w:rPr>
          <w:rFonts w:ascii="Verdana" w:eastAsiaTheme="minorEastAsia" w:hAnsi="Verdana" w:cs="Arial"/>
          <w:sz w:val="20"/>
          <w:szCs w:val="20"/>
          <w:lang w:eastAsia="es-CO"/>
        </w:rPr>
        <w:t>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08910D4C" w14:textId="77777777" w:rsidR="00475DAF" w:rsidRPr="00B06E13" w:rsidRDefault="00475DAF" w:rsidP="00475DAF">
      <w:pPr>
        <w:numPr>
          <w:ilvl w:val="0"/>
          <w:numId w:val="27"/>
        </w:numPr>
        <w:spacing w:after="0" w:line="240" w:lineRule="auto"/>
        <w:ind w:left="709" w:right="709"/>
        <w:contextualSpacing/>
        <w:jc w:val="both"/>
        <w:rPr>
          <w:rFonts w:ascii="Verdana" w:eastAsiaTheme="minorEastAsia" w:hAnsi="Verdana" w:cs="Arial"/>
          <w:sz w:val="20"/>
          <w:szCs w:val="20"/>
          <w:lang w:val="es-ES" w:eastAsia="es-CO"/>
        </w:rPr>
      </w:pPr>
      <w:r w:rsidRPr="00B06E13">
        <w:rPr>
          <w:rFonts w:ascii="Verdana" w:eastAsiaTheme="minorEastAsia" w:hAnsi="Verdana" w:cs="Arial"/>
          <w:sz w:val="20"/>
          <w:szCs w:val="20"/>
          <w:lang w:eastAsia="es-CO"/>
        </w:rPr>
        <w:t xml:space="preserve">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analizadas, se desarrollan en un ámbito de preeminencia o  superioridad jurídica de la entidad estatal contratante respecto de la entidad contratista y, por lo mismo, podrá haber prerrogativas a favor de una de las partes. </w:t>
      </w:r>
      <w:r w:rsidRPr="00B06E13">
        <w:rPr>
          <w:rFonts w:ascii="Verdana" w:eastAsiaTheme="minorEastAsia" w:hAnsi="Verdana" w:cs="Arial"/>
          <w:sz w:val="20"/>
          <w:szCs w:val="20"/>
          <w:lang w:eastAsia="es-CO"/>
        </w:rPr>
        <w:lastRenderedPageBreak/>
        <w:t>De esta manera, en el contrato 'se puede identificar contratante y contratista, y el segundo, aunque persona pública, tiene intereses y está en un mercado de forma similar a como lo hace un particular”</w:t>
      </w:r>
      <w:r w:rsidRPr="00B06E13">
        <w:rPr>
          <w:rFonts w:ascii="Verdana" w:eastAsiaTheme="minorEastAsia" w:hAnsi="Verdana" w:cs="Arial"/>
          <w:sz w:val="20"/>
          <w:szCs w:val="20"/>
          <w:vertAlign w:val="superscript"/>
          <w:lang w:eastAsia="es-CO"/>
        </w:rPr>
        <w:footnoteReference w:id="6"/>
      </w:r>
      <w:r w:rsidRPr="00B06E13">
        <w:rPr>
          <w:rFonts w:ascii="Verdana" w:eastAsiaTheme="minorEastAsia" w:hAnsi="Verdana" w:cs="Arial"/>
          <w:sz w:val="20"/>
          <w:szCs w:val="20"/>
          <w:lang w:eastAsia="es-CO"/>
        </w:rPr>
        <w:t>.</w:t>
      </w:r>
    </w:p>
    <w:p w14:paraId="3FB7C4EC" w14:textId="77777777" w:rsidR="00475DAF" w:rsidRPr="00B57A1B" w:rsidRDefault="00475DAF" w:rsidP="00475DAF">
      <w:pPr>
        <w:spacing w:after="0" w:line="276" w:lineRule="auto"/>
        <w:ind w:right="709"/>
        <w:jc w:val="both"/>
        <w:rPr>
          <w:rFonts w:ascii="Verdana" w:eastAsia="Times New Roman" w:hAnsi="Verdana" w:cs="Arial"/>
          <w:lang w:eastAsia="es-ES_tradnl"/>
        </w:rPr>
      </w:pPr>
    </w:p>
    <w:p w14:paraId="080A60F0" w14:textId="77777777" w:rsidR="00475DAF" w:rsidRPr="00B57A1B" w:rsidRDefault="00475DAF" w:rsidP="00475DAF">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 Al respecto, la doctrina expresa: </w:t>
      </w:r>
    </w:p>
    <w:p w14:paraId="11358A71" w14:textId="77777777" w:rsidR="00475DAF" w:rsidRPr="00B57A1B" w:rsidRDefault="00475DAF" w:rsidP="00475DAF">
      <w:pPr>
        <w:spacing w:after="0" w:line="276" w:lineRule="auto"/>
        <w:ind w:firstLine="709"/>
        <w:jc w:val="both"/>
        <w:rPr>
          <w:rFonts w:ascii="Verdana" w:eastAsiaTheme="minorEastAsia" w:hAnsi="Verdana" w:cs="Arial"/>
          <w:lang w:eastAsia="es-CO"/>
        </w:rPr>
      </w:pPr>
    </w:p>
    <w:p w14:paraId="4E0CCDD1" w14:textId="77777777" w:rsidR="00475DAF" w:rsidRPr="00B06E13" w:rsidRDefault="00475DAF" w:rsidP="00475DAF">
      <w:pPr>
        <w:spacing w:after="0" w:line="240" w:lineRule="auto"/>
        <w:ind w:left="709" w:right="709"/>
        <w:jc w:val="both"/>
        <w:rPr>
          <w:rFonts w:ascii="Verdana" w:eastAsiaTheme="minorEastAsia" w:hAnsi="Verdana" w:cs="Arial"/>
          <w:sz w:val="20"/>
          <w:szCs w:val="20"/>
          <w:lang w:eastAsia="es-CO"/>
        </w:rPr>
      </w:pPr>
      <w:r w:rsidRPr="00B06E13">
        <w:rPr>
          <w:rFonts w:ascii="Verdana" w:eastAsiaTheme="minorEastAsia" w:hAnsi="Verdana" w:cs="Arial"/>
          <w:sz w:val="20"/>
          <w:szCs w:val="20"/>
          <w:lang w:eastAsia="es-CO"/>
        </w:rPr>
        <w:t>“De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5C40B0AD" w14:textId="77777777" w:rsidR="00475DAF" w:rsidRPr="00B06E13" w:rsidRDefault="00475DAF" w:rsidP="00475DAF">
      <w:pPr>
        <w:spacing w:after="0" w:line="240" w:lineRule="auto"/>
        <w:ind w:left="709" w:right="709"/>
        <w:jc w:val="both"/>
        <w:rPr>
          <w:rFonts w:ascii="Verdana" w:eastAsiaTheme="minorEastAsia" w:hAnsi="Verdana" w:cs="Arial"/>
          <w:sz w:val="20"/>
          <w:szCs w:val="20"/>
          <w:lang w:eastAsia="es-CO"/>
        </w:rPr>
      </w:pPr>
      <w:r w:rsidRPr="00B06E13">
        <w:rPr>
          <w:rFonts w:ascii="Verdana" w:eastAsiaTheme="minorEastAsia" w:hAnsi="Verdana" w:cs="Arial"/>
          <w:sz w:val="20"/>
          <w:szCs w:val="20"/>
          <w:lang w:eastAsia="es-CO"/>
        </w:rPr>
        <w:t>[…]</w:t>
      </w:r>
    </w:p>
    <w:p w14:paraId="38C6D050" w14:textId="77777777" w:rsidR="00475DAF" w:rsidRPr="00B06E13" w:rsidRDefault="00475DAF" w:rsidP="00475DAF">
      <w:pPr>
        <w:autoSpaceDE w:val="0"/>
        <w:autoSpaceDN w:val="0"/>
        <w:adjustRightInd w:val="0"/>
        <w:spacing w:after="0" w:line="240" w:lineRule="auto"/>
        <w:ind w:left="709" w:right="709"/>
        <w:jc w:val="both"/>
        <w:rPr>
          <w:rFonts w:ascii="Verdana" w:hAnsi="Verdana" w:cs="Weiss"/>
          <w:sz w:val="20"/>
          <w:szCs w:val="20"/>
        </w:rPr>
      </w:pPr>
      <w:r w:rsidRPr="00B06E13">
        <w:rPr>
          <w:rFonts w:ascii="Verdana" w:hAnsi="Verdana" w:cs="Weiss"/>
          <w:sz w:val="20"/>
          <w:szCs w:val="20"/>
        </w:rPr>
        <w:t>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y el segundo, aunque persona pública, tiene intereses y está en un mercado de forma similar a como lo hace el particular”</w:t>
      </w:r>
      <w:r w:rsidRPr="00B06E13">
        <w:rPr>
          <w:rFonts w:ascii="Verdana" w:hAnsi="Verdana" w:cs="Weiss"/>
          <w:sz w:val="20"/>
          <w:szCs w:val="20"/>
          <w:vertAlign w:val="superscript"/>
        </w:rPr>
        <w:footnoteReference w:id="7"/>
      </w:r>
      <w:r w:rsidRPr="00B06E13">
        <w:rPr>
          <w:rFonts w:ascii="Verdana" w:hAnsi="Verdana" w:cs="Weiss"/>
          <w:sz w:val="20"/>
          <w:szCs w:val="20"/>
        </w:rPr>
        <w:t>.</w:t>
      </w:r>
    </w:p>
    <w:p w14:paraId="3E326361" w14:textId="77777777" w:rsidR="00475DAF" w:rsidRPr="00B06E13" w:rsidRDefault="00475DAF" w:rsidP="00475DAF">
      <w:pPr>
        <w:spacing w:after="120" w:line="276" w:lineRule="auto"/>
        <w:jc w:val="both"/>
        <w:rPr>
          <w:rFonts w:ascii="Verdana" w:eastAsiaTheme="minorEastAsia" w:hAnsi="Verdana" w:cs="Arial"/>
          <w:sz w:val="20"/>
          <w:szCs w:val="20"/>
          <w:lang w:eastAsia="es-CO"/>
        </w:rPr>
      </w:pPr>
    </w:p>
    <w:p w14:paraId="2E1B63AB" w14:textId="77777777" w:rsidR="00475DAF" w:rsidRPr="00B57A1B" w:rsidRDefault="00475DAF" w:rsidP="00475DAF">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w:t>
      </w:r>
      <w:r w:rsidRPr="00B57A1B">
        <w:rPr>
          <w:rFonts w:ascii="Verdana" w:eastAsiaTheme="minorEastAsia" w:hAnsi="Verdana" w:cs="Arial"/>
          <w:lang w:eastAsia="es-CO"/>
        </w:rPr>
        <w:lastRenderedPageBreak/>
        <w:t>autonomía de la voluntad de las entidades que actúan como colaboradoras o cooperantes, sin que pueda aludirse a la preponderancia de ciertos regímenes, por lo que no es procedente la aplicación automática del régimen contractual de los contratos estatales</w:t>
      </w:r>
      <w:r w:rsidRPr="00B57A1B">
        <w:rPr>
          <w:rFonts w:ascii="Verdana" w:eastAsiaTheme="minorEastAsia" w:hAnsi="Verdana" w:cs="Arial"/>
          <w:vertAlign w:val="superscript"/>
          <w:lang w:eastAsia="es-CO"/>
        </w:rPr>
        <w:footnoteReference w:id="8"/>
      </w:r>
      <w:r w:rsidRPr="00B57A1B">
        <w:rPr>
          <w:rFonts w:ascii="Verdana" w:eastAsiaTheme="minorEastAsia" w:hAnsi="Verdana" w:cs="Arial"/>
          <w:lang w:eastAsia="es-CO"/>
        </w:rPr>
        <w:t xml:space="preserve">. De esta manera, el Consejo de Estado expresa:  </w:t>
      </w:r>
    </w:p>
    <w:p w14:paraId="6BCB7262" w14:textId="77777777" w:rsidR="00475DAF" w:rsidRPr="00B57A1B" w:rsidRDefault="00475DAF" w:rsidP="00475DAF">
      <w:pPr>
        <w:widowControl w:val="0"/>
        <w:autoSpaceDE w:val="0"/>
        <w:autoSpaceDN w:val="0"/>
        <w:spacing w:after="120" w:line="276" w:lineRule="auto"/>
        <w:jc w:val="both"/>
        <w:rPr>
          <w:rFonts w:ascii="Verdana" w:eastAsia="Arial MT" w:hAnsi="Verdana" w:cs="Arial MT"/>
        </w:rPr>
      </w:pPr>
    </w:p>
    <w:p w14:paraId="76EFFC94" w14:textId="77777777" w:rsidR="00475DAF" w:rsidRPr="00B06E13" w:rsidRDefault="00475DAF" w:rsidP="00475DAF">
      <w:pPr>
        <w:widowControl w:val="0"/>
        <w:autoSpaceDE w:val="0"/>
        <w:autoSpaceDN w:val="0"/>
        <w:spacing w:after="0" w:line="240" w:lineRule="auto"/>
        <w:ind w:left="709" w:right="709"/>
        <w:jc w:val="both"/>
        <w:rPr>
          <w:rFonts w:ascii="Verdana" w:eastAsia="Arial MT" w:hAnsi="Verdana" w:cs="Arial MT"/>
          <w:i/>
          <w:iCs/>
          <w:sz w:val="20"/>
          <w:szCs w:val="20"/>
        </w:rPr>
      </w:pPr>
      <w:r w:rsidRPr="00B06E13">
        <w:rPr>
          <w:rFonts w:ascii="Verdana" w:eastAsia="Arial MT" w:hAnsi="Verdana" w:cs="Arial MT"/>
          <w:i/>
          <w:iCs/>
          <w:sz w:val="20"/>
          <w:szCs w:val="20"/>
        </w:rPr>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6FB9B804" w14:textId="77777777" w:rsidR="00475DAF" w:rsidRPr="00B06E13" w:rsidRDefault="00475DAF" w:rsidP="00475DAF">
      <w:pPr>
        <w:widowControl w:val="0"/>
        <w:autoSpaceDE w:val="0"/>
        <w:autoSpaceDN w:val="0"/>
        <w:spacing w:after="0" w:line="240" w:lineRule="auto"/>
        <w:ind w:left="709" w:right="709"/>
        <w:jc w:val="both"/>
        <w:rPr>
          <w:rFonts w:ascii="Verdana" w:eastAsia="Arial MT" w:hAnsi="Verdana" w:cs="Arial MT"/>
          <w:sz w:val="20"/>
          <w:szCs w:val="20"/>
        </w:rPr>
      </w:pPr>
    </w:p>
    <w:p w14:paraId="42D57434" w14:textId="77777777" w:rsidR="00475DAF" w:rsidRPr="00B06E13" w:rsidRDefault="00475DAF" w:rsidP="00475DAF">
      <w:pPr>
        <w:widowControl w:val="0"/>
        <w:autoSpaceDE w:val="0"/>
        <w:autoSpaceDN w:val="0"/>
        <w:spacing w:after="0" w:line="240" w:lineRule="auto"/>
        <w:ind w:left="709" w:right="709"/>
        <w:jc w:val="both"/>
        <w:rPr>
          <w:rFonts w:ascii="Verdana" w:eastAsia="Arial MT" w:hAnsi="Verdana" w:cs="Arial MT"/>
          <w:i/>
          <w:iCs/>
          <w:sz w:val="20"/>
          <w:szCs w:val="20"/>
        </w:rPr>
      </w:pPr>
      <w:r w:rsidRPr="00B06E13">
        <w:rPr>
          <w:rFonts w:ascii="Verdana" w:eastAsia="Arial MT" w:hAnsi="Verdana" w:cs="Arial MT"/>
          <w:i/>
          <w:iCs/>
          <w:sz w:val="20"/>
          <w:szCs w:val="20"/>
        </w:rPr>
        <w:t xml:space="preserve">En ese sentido, más allá de la concurrencia de voluntades, se trata de la asunción de objetivos comunes orientados predominantemente por una 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o falta de regulación normativa y/o convencional. </w:t>
      </w:r>
    </w:p>
    <w:p w14:paraId="11D7C762" w14:textId="77777777" w:rsidR="00475DAF" w:rsidRPr="00B06E13" w:rsidRDefault="00475DAF" w:rsidP="00475DAF">
      <w:pPr>
        <w:widowControl w:val="0"/>
        <w:autoSpaceDE w:val="0"/>
        <w:autoSpaceDN w:val="0"/>
        <w:spacing w:after="0" w:line="240" w:lineRule="auto"/>
        <w:ind w:left="709" w:right="709"/>
        <w:jc w:val="both"/>
        <w:rPr>
          <w:rFonts w:ascii="Verdana" w:eastAsia="Arial MT" w:hAnsi="Verdana" w:cs="Arial MT"/>
          <w:sz w:val="20"/>
          <w:szCs w:val="20"/>
        </w:rPr>
      </w:pPr>
    </w:p>
    <w:p w14:paraId="1E08C1F0" w14:textId="77777777" w:rsidR="00475DAF" w:rsidRPr="00B06E13" w:rsidRDefault="00475DAF" w:rsidP="00475DAF">
      <w:pPr>
        <w:widowControl w:val="0"/>
        <w:autoSpaceDE w:val="0"/>
        <w:autoSpaceDN w:val="0"/>
        <w:spacing w:after="0" w:line="240" w:lineRule="auto"/>
        <w:ind w:left="709" w:right="709"/>
        <w:jc w:val="both"/>
        <w:rPr>
          <w:rFonts w:ascii="Verdana" w:eastAsia="Arial MT" w:hAnsi="Verdana" w:cs="Arial MT"/>
          <w:sz w:val="20"/>
          <w:szCs w:val="20"/>
          <w:lang w:val="es-ES"/>
        </w:rPr>
      </w:pPr>
      <w:r w:rsidRPr="00B06E13">
        <w:rPr>
          <w:rFonts w:ascii="Verdana" w:eastAsia="Arial MT" w:hAnsi="Verdana" w:cs="Arial MT"/>
          <w:i/>
          <w:iCs/>
          <w:sz w:val="20"/>
          <w:szCs w:val="20"/>
        </w:rPr>
        <w:t>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conduciría a resultados que malogren y/o desincentiven la cooperación entre ellas, producto de las incompatibilidades que puedan presentarse”</w:t>
      </w:r>
      <w:r w:rsidRPr="00B06E13">
        <w:rPr>
          <w:rFonts w:ascii="Verdana" w:eastAsia="Arial MT" w:hAnsi="Verdana" w:cs="Arial MT"/>
          <w:i/>
          <w:iCs/>
          <w:sz w:val="20"/>
          <w:szCs w:val="20"/>
          <w:vertAlign w:val="superscript"/>
        </w:rPr>
        <w:footnoteReference w:id="9"/>
      </w:r>
      <w:r w:rsidRPr="00B06E13">
        <w:rPr>
          <w:rFonts w:ascii="Verdana" w:eastAsia="Arial MT" w:hAnsi="Verdana" w:cs="Arial MT"/>
          <w:i/>
          <w:iCs/>
          <w:sz w:val="20"/>
          <w:szCs w:val="20"/>
        </w:rPr>
        <w:t>.</w:t>
      </w:r>
    </w:p>
    <w:p w14:paraId="5104C4AA" w14:textId="77777777" w:rsidR="00475DAF" w:rsidRPr="00B06E13" w:rsidRDefault="00475DAF" w:rsidP="00475DAF">
      <w:pPr>
        <w:spacing w:after="0" w:line="276" w:lineRule="auto"/>
        <w:ind w:firstLine="708"/>
        <w:jc w:val="both"/>
        <w:rPr>
          <w:rFonts w:ascii="Verdana" w:eastAsiaTheme="minorEastAsia" w:hAnsi="Verdana" w:cs="Arial"/>
          <w:sz w:val="20"/>
          <w:szCs w:val="20"/>
          <w:lang w:val="es-ES" w:eastAsia="es-CO"/>
        </w:rPr>
      </w:pPr>
    </w:p>
    <w:p w14:paraId="3EF99B9A" w14:textId="77777777" w:rsidR="00475DAF" w:rsidRDefault="00475DAF" w:rsidP="00475DAF">
      <w:pPr>
        <w:spacing w:after="0" w:line="276" w:lineRule="auto"/>
        <w:ind w:firstLine="708"/>
        <w:jc w:val="both"/>
        <w:rPr>
          <w:rFonts w:ascii="Verdana" w:eastAsia="Calibri" w:hAnsi="Verdana" w:cs="Arial"/>
          <w:lang w:val="es-ES_tradnl"/>
        </w:rPr>
      </w:pPr>
      <w:r w:rsidRPr="00B57A1B">
        <w:rPr>
          <w:rFonts w:ascii="Verdana" w:eastAsiaTheme="minorEastAsia" w:hAnsi="Verdana" w:cs="Arial"/>
          <w:lang w:eastAsia="es-CO"/>
        </w:rPr>
        <w:t xml:space="preserve">Teniendo en cuenta, </w:t>
      </w:r>
      <w:r>
        <w:rPr>
          <w:rFonts w:ascii="Verdana" w:eastAsiaTheme="minorEastAsia" w:hAnsi="Verdana" w:cs="Arial"/>
          <w:lang w:eastAsia="es-CO"/>
        </w:rPr>
        <w:t xml:space="preserve">será menester analizar la procedencia de suscribir contratos interadministrativos, así como convenios interadministrativos entre las asociaciones de municipios con los municipios, para la ejecución contratos, en especial los de obra o infraestructura, precisando que la jurisprudencia del Consejo de Estado los ha diferenciado. </w:t>
      </w:r>
    </w:p>
    <w:p w14:paraId="08D347BA" w14:textId="77777777" w:rsidR="00475DAF" w:rsidRPr="00C45C5D" w:rsidRDefault="00475DAF" w:rsidP="00475DAF">
      <w:pPr>
        <w:spacing w:before="120" w:after="0" w:line="276" w:lineRule="auto"/>
        <w:ind w:firstLine="708"/>
        <w:jc w:val="both"/>
        <w:rPr>
          <w:rFonts w:ascii="Verdana" w:eastAsia="Calibri" w:hAnsi="Verdana" w:cs="Arial"/>
          <w:lang w:val="es-ES_tradnl"/>
        </w:rPr>
      </w:pPr>
    </w:p>
    <w:p w14:paraId="2C7369D0" w14:textId="77777777" w:rsidR="00475DAF" w:rsidRPr="00C45C5D" w:rsidRDefault="00475DAF" w:rsidP="00475DAF">
      <w:pPr>
        <w:spacing w:after="0" w:line="276" w:lineRule="auto"/>
        <w:jc w:val="both"/>
        <w:rPr>
          <w:rFonts w:ascii="Verdana" w:eastAsia="Calibri" w:hAnsi="Verdana" w:cs="Times New Roman"/>
          <w:color w:val="000000"/>
        </w:rPr>
      </w:pPr>
      <w:proofErr w:type="spellStart"/>
      <w:r w:rsidRPr="00C45C5D">
        <w:rPr>
          <w:rFonts w:ascii="Verdana" w:eastAsia="Calibri" w:hAnsi="Verdana" w:cs="Arial"/>
          <w:lang w:val="es-ES_tradnl"/>
        </w:rPr>
        <w:t>ii</w:t>
      </w:r>
      <w:proofErr w:type="spellEnd"/>
      <w:r w:rsidRPr="00C45C5D">
        <w:rPr>
          <w:rFonts w:ascii="Verdana" w:eastAsia="Calibri" w:hAnsi="Verdana" w:cs="Arial"/>
          <w:lang w:val="es-ES_tradnl"/>
        </w:rPr>
        <w:t xml:space="preserve">. </w:t>
      </w:r>
      <w:r w:rsidRPr="00C45C5D">
        <w:rPr>
          <w:rFonts w:ascii="Verdana" w:eastAsia="Calibri" w:hAnsi="Verdana" w:cs="Times New Roman"/>
          <w:color w:val="000000"/>
        </w:rPr>
        <w:t xml:space="preserve">En lo referente a la </w:t>
      </w:r>
      <w:r w:rsidRPr="00C45C5D">
        <w:rPr>
          <w:rFonts w:ascii="Verdana" w:eastAsia="Calibri" w:hAnsi="Verdana" w:cs="Times New Roman"/>
          <w:i/>
          <w:iCs/>
          <w:color w:val="000000"/>
        </w:rPr>
        <w:t>asociación de municipios</w:t>
      </w:r>
      <w:r w:rsidRPr="00C45C5D">
        <w:rPr>
          <w:rFonts w:ascii="Verdana" w:eastAsia="Calibri" w:hAnsi="Verdana" w:cs="Times New Roman"/>
          <w:color w:val="000000"/>
        </w:rPr>
        <w:t>, la Ley 136 de 1994, en el artículo 149 señaló que esas asociaciones “son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revisables y anulables por la Jurisdicción Contencioso-administrativa”.</w:t>
      </w:r>
    </w:p>
    <w:p w14:paraId="62AF0FBA" w14:textId="77777777" w:rsidR="00475DAF" w:rsidRPr="00C45C5D" w:rsidRDefault="00475DAF" w:rsidP="00475DAF">
      <w:pPr>
        <w:spacing w:before="120" w:after="0" w:line="276" w:lineRule="auto"/>
        <w:ind w:firstLine="708"/>
        <w:jc w:val="both"/>
        <w:rPr>
          <w:rFonts w:ascii="Verdana" w:eastAsia="Calibri" w:hAnsi="Verdana" w:cs="Times New Roman"/>
          <w:color w:val="000000"/>
        </w:rPr>
      </w:pPr>
      <w:r w:rsidRPr="00C45C5D">
        <w:rPr>
          <w:rFonts w:ascii="Verdana" w:eastAsia="Calibri" w:hAnsi="Verdana" w:cs="Times New Roman"/>
          <w:color w:val="000000"/>
        </w:rPr>
        <w:t>Por su parte, el artículo 148 de la referida Ley 136 de 1994 autorizó que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p>
    <w:p w14:paraId="70FB3121" w14:textId="77777777" w:rsidR="00475DAF" w:rsidRPr="00C45C5D" w:rsidRDefault="00475DAF" w:rsidP="00475DAF">
      <w:pPr>
        <w:spacing w:before="120" w:after="0" w:line="276" w:lineRule="auto"/>
        <w:ind w:firstLine="708"/>
        <w:jc w:val="both"/>
        <w:rPr>
          <w:rFonts w:ascii="Verdana" w:eastAsia="Calibri" w:hAnsi="Verdana" w:cs="Times New Roman"/>
          <w:color w:val="000000"/>
        </w:rPr>
      </w:pPr>
      <w:r w:rsidRPr="00C45C5D">
        <w:rPr>
          <w:rFonts w:ascii="Verdana" w:eastAsia="Calibri" w:hAnsi="Verdana" w:cs="Times New Roman"/>
          <w:color w:val="000000"/>
        </w:rPr>
        <w:t>A su vez, la Ley 1454 de 2011, orgánica del ordenamiento territorial, concibió a las asociaciones de municipios como una clase de los denominados esquemas asociativos territoriales</w:t>
      </w:r>
      <w:r w:rsidRPr="00C45C5D">
        <w:rPr>
          <w:rFonts w:ascii="Verdana" w:eastAsia="Calibri" w:hAnsi="Verdana" w:cs="Times New Roman"/>
          <w:vertAlign w:val="superscript"/>
        </w:rPr>
        <w:footnoteReference w:id="10"/>
      </w:r>
      <w:r w:rsidRPr="00C45C5D">
        <w:rPr>
          <w:rFonts w:ascii="Verdana" w:eastAsia="Calibri" w:hAnsi="Verdana" w:cs="Times New Roman"/>
          <w:color w:val="000000"/>
        </w:rPr>
        <w:t>,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Es decir, la diferencia entre las asociaciones de entidades territoriales y las asociaciones de municipios es de género y especie: si bien todas las asociaciones de municipios son asociaciones de entidades territoriales, no todas las asociaciones de entidades territoriales son asociaciones de municipios.</w:t>
      </w:r>
    </w:p>
    <w:p w14:paraId="6F98A1AB" w14:textId="77777777" w:rsidR="00475DAF" w:rsidRPr="00C45C5D" w:rsidRDefault="00475DAF" w:rsidP="00475DAF">
      <w:pPr>
        <w:spacing w:before="120" w:after="0" w:line="276" w:lineRule="auto"/>
        <w:ind w:firstLine="708"/>
        <w:jc w:val="both"/>
        <w:rPr>
          <w:rFonts w:ascii="Verdana" w:eastAsia="Calibri" w:hAnsi="Verdana" w:cs="Times New Roman"/>
          <w:color w:val="000000"/>
        </w:rPr>
      </w:pPr>
      <w:r w:rsidRPr="00C45C5D">
        <w:rPr>
          <w:rFonts w:ascii="Verdana" w:eastAsia="Calibri" w:hAnsi="Verdana" w:cs="Times New Roman"/>
          <w:color w:val="000000"/>
        </w:rPr>
        <w:t>En cuanto a la manera como se conforman las asociaciones de municipios, tanto la Ley 136 de 1994 –artículo 150–</w:t>
      </w:r>
      <w:r w:rsidRPr="00C45C5D">
        <w:rPr>
          <w:rFonts w:ascii="Verdana" w:eastAsia="Calibri" w:hAnsi="Verdana" w:cs="Times New Roman"/>
          <w:vertAlign w:val="superscript"/>
        </w:rPr>
        <w:footnoteReference w:id="11"/>
      </w:r>
      <w:r w:rsidRPr="00C45C5D">
        <w:rPr>
          <w:rFonts w:ascii="Verdana" w:eastAsia="Calibri" w:hAnsi="Verdana" w:cs="Times New Roman"/>
          <w:color w:val="000000"/>
        </w:rPr>
        <w:t xml:space="preserve">, como la Ley 1454 de 2011 –artículo 14–, establecen que se hace a través de convenios, en los términos indicados </w:t>
      </w:r>
      <w:r w:rsidRPr="00C45C5D">
        <w:rPr>
          <w:rFonts w:ascii="Verdana" w:eastAsia="Calibri" w:hAnsi="Verdana" w:cs="Times New Roman"/>
          <w:color w:val="000000"/>
        </w:rPr>
        <w:lastRenderedPageBreak/>
        <w:t>en dichas disposiciones</w:t>
      </w:r>
      <w:r w:rsidRPr="00C45C5D">
        <w:rPr>
          <w:rFonts w:ascii="Verdana" w:eastAsia="Calibri" w:hAnsi="Verdana" w:cs="Times New Roman"/>
          <w:vertAlign w:val="superscript"/>
        </w:rPr>
        <w:footnoteReference w:id="12"/>
      </w:r>
      <w:r w:rsidRPr="00C45C5D">
        <w:rPr>
          <w:rFonts w:ascii="Verdana" w:eastAsia="Calibri" w:hAnsi="Verdana" w:cs="Times New Roman"/>
          <w:color w:val="000000"/>
        </w:rPr>
        <w:t>.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14:paraId="4D7EFF80" w14:textId="77777777" w:rsidR="00475DAF" w:rsidRPr="00C45C5D" w:rsidRDefault="00475DAF" w:rsidP="00475DAF">
      <w:pPr>
        <w:spacing w:before="120" w:after="0" w:line="276" w:lineRule="auto"/>
        <w:ind w:firstLine="708"/>
        <w:jc w:val="both"/>
        <w:rPr>
          <w:rFonts w:ascii="Verdana" w:eastAsia="Calibri" w:hAnsi="Verdana" w:cs="Times New Roman"/>
          <w:color w:val="000000"/>
        </w:rPr>
      </w:pPr>
      <w:r w:rsidRPr="00C45C5D">
        <w:rPr>
          <w:rFonts w:ascii="Verdana" w:eastAsia="Calibri" w:hAnsi="Verdana" w:cs="Times New Roman"/>
          <w:color w:val="000000"/>
        </w:rPr>
        <w:t>Ahora bien, la normativa expuesta se relaciona con las asociaciones de entidades territoriales, particularmente de municipios. Sin embargo, lo anterior no implica desconocer la posibilidad que existe, en general, para las demás entidades estatales para asociarse, particularmente, con fundamento en lo prescrito en el artículo 95 de la Ley 489 de 1998, que permite la asociación de entidades públicas, estableciendo la posibilidad de conformar personas jurídicas sin ánimo de lucro</w:t>
      </w:r>
      <w:r w:rsidRPr="00C45C5D">
        <w:rPr>
          <w:rFonts w:ascii="Verdana" w:eastAsia="Calibri" w:hAnsi="Verdana" w:cs="Times New Roman"/>
          <w:color w:val="000000"/>
          <w:vertAlign w:val="superscript"/>
        </w:rPr>
        <w:footnoteReference w:id="13"/>
      </w:r>
      <w:r w:rsidRPr="00C45C5D">
        <w:rPr>
          <w:rFonts w:ascii="Verdana" w:eastAsia="Calibri" w:hAnsi="Verdana" w:cs="Times New Roman"/>
          <w:color w:val="000000"/>
        </w:rPr>
        <w:t xml:space="preserve">. </w:t>
      </w:r>
      <w:r w:rsidRPr="00C45C5D">
        <w:rPr>
          <w:rFonts w:ascii="Verdana" w:eastAsia="Calibri" w:hAnsi="Verdana" w:cs="Times New Roman"/>
          <w:color w:val="000000"/>
          <w:shd w:val="clear" w:color="auto" w:fill="FFFFFF"/>
        </w:rPr>
        <w:t>De este modo, la naturaleza y el carácter de persona jurídica que dichas leyes le atribuyen a las asociaciones de municipios conducen a entender que son entidades diferentes a los municipios que las conforman. </w:t>
      </w:r>
    </w:p>
    <w:p w14:paraId="1C1CBE60" w14:textId="77777777" w:rsidR="00475DAF" w:rsidRPr="00C45C5D" w:rsidRDefault="00475DAF" w:rsidP="00475DAF">
      <w:pPr>
        <w:spacing w:before="120" w:after="0" w:line="276" w:lineRule="auto"/>
        <w:ind w:firstLine="708"/>
        <w:jc w:val="both"/>
        <w:rPr>
          <w:rFonts w:ascii="Verdana" w:eastAsia="Calibri" w:hAnsi="Verdana" w:cs="Segoe UI"/>
          <w:sz w:val="18"/>
          <w:szCs w:val="18"/>
        </w:rPr>
      </w:pPr>
      <w:r w:rsidRPr="00C45C5D">
        <w:rPr>
          <w:rFonts w:ascii="Verdana" w:eastAsia="Calibri" w:hAnsi="Verdana" w:cs="Arial"/>
          <w:color w:val="000000"/>
        </w:rPr>
        <w:t xml:space="preserve">Dicho lo anterior, en relación con la naturaleza jurídica de las asociaciones de municipios, puede afirmarse que su régimen de contratación es el general. Lo anterior se desprende, además, de lo previsto en </w:t>
      </w:r>
      <w:bookmarkStart w:id="1" w:name="_Hlk190464686"/>
      <w:r w:rsidRPr="00C45C5D">
        <w:rPr>
          <w:rFonts w:ascii="Verdana" w:eastAsia="Calibri" w:hAnsi="Verdana" w:cs="Arial"/>
          <w:color w:val="000000"/>
        </w:rPr>
        <w:t xml:space="preserve">el numeral 1 del artículo 2 de la Ley 80 de 1993, que define como entidades estatales, sujetas a dicho estatuto a: “La Nación, las regiones, los departamentos, las provincias, el distrito capital y los distritos especiales, las áreas metropolitanas, </w:t>
      </w:r>
      <w:r w:rsidRPr="00C45C5D">
        <w:rPr>
          <w:rFonts w:ascii="Verdana" w:eastAsia="Calibri" w:hAnsi="Verdana" w:cs="Arial"/>
          <w:i/>
          <w:iCs/>
          <w:color w:val="000000"/>
        </w:rPr>
        <w:t>las asociaciones de municipios</w:t>
      </w:r>
      <w:r w:rsidRPr="00C45C5D">
        <w:rPr>
          <w:rFonts w:ascii="Verdana" w:eastAsia="Calibri" w:hAnsi="Verdana" w:cs="Arial"/>
          <w:color w:val="000000"/>
        </w:rPr>
        <w:t>, los territorios indígenas y los munic</w:t>
      </w:r>
      <w:r>
        <w:rPr>
          <w:rFonts w:ascii="Verdana" w:eastAsia="Calibri" w:hAnsi="Verdana" w:cs="Arial"/>
          <w:color w:val="000000"/>
        </w:rPr>
        <w:t>ipios […]</w:t>
      </w:r>
      <w:r w:rsidRPr="00C45C5D">
        <w:rPr>
          <w:rFonts w:ascii="Verdana" w:eastAsia="Calibri" w:hAnsi="Verdana" w:cs="Arial"/>
          <w:color w:val="000000"/>
        </w:rPr>
        <w:t>” (Énfasis fuera de texto). Así las cosas, el Estatuto General de Contratación de la Administración Pública establece que las asociaciones de municipios son entidades estatales para efectos contractuales, razón por la cual se someten a dicho estatuto</w:t>
      </w:r>
      <w:bookmarkEnd w:id="1"/>
      <w:r w:rsidRPr="00C45C5D">
        <w:rPr>
          <w:rFonts w:ascii="Verdana" w:eastAsia="Calibri" w:hAnsi="Verdana" w:cs="Arial"/>
          <w:color w:val="000000"/>
        </w:rPr>
        <w:t>.  </w:t>
      </w:r>
      <w:r w:rsidRPr="00C45C5D">
        <w:rPr>
          <w:rFonts w:ascii="Verdana" w:eastAsia="Arial" w:hAnsi="Verdana" w:cs="Times New Roman"/>
          <w:color w:val="000000"/>
        </w:rPr>
        <w:t> </w:t>
      </w:r>
    </w:p>
    <w:p w14:paraId="15C0196E" w14:textId="77777777" w:rsidR="00475DAF" w:rsidRDefault="00475DAF" w:rsidP="00475DAF">
      <w:pPr>
        <w:spacing w:before="120" w:after="0" w:line="276" w:lineRule="auto"/>
        <w:ind w:firstLine="708"/>
        <w:jc w:val="both"/>
        <w:rPr>
          <w:rFonts w:ascii="Verdana" w:eastAsia="Calibri" w:hAnsi="Verdana" w:cs="Arial"/>
          <w:color w:val="000000"/>
        </w:rPr>
      </w:pPr>
      <w:r w:rsidRPr="00C45C5D">
        <w:rPr>
          <w:rFonts w:ascii="Verdana" w:eastAsia="Calibri" w:hAnsi="Verdana" w:cs="Arial"/>
          <w:color w:val="000000"/>
        </w:rPr>
        <w:lastRenderedPageBreak/>
        <w:t>De forma más precisa, el artículo 10 de la Ley 1150 de 2007 establece que “Las cooperativas, las asociaciones conformadas por entidades territoriales y en general los entes solidarios de carácter público estarán sometidos a las disposiciones del Estatuto General de Contratación de la Administración Pública […]”. Dicho lo anterior, resulta claro que el régimen contractual de las asociaciones de municipios no es especial, puesto que por mandato legal se someten al EGCAP.</w:t>
      </w:r>
    </w:p>
    <w:p w14:paraId="059C5F6A" w14:textId="77777777" w:rsidR="00475DAF" w:rsidRPr="00380E4B" w:rsidRDefault="00475DAF" w:rsidP="00475DAF">
      <w:pPr>
        <w:spacing w:before="120" w:after="120" w:line="276" w:lineRule="auto"/>
        <w:ind w:firstLine="708"/>
        <w:jc w:val="both"/>
        <w:rPr>
          <w:rFonts w:ascii="Calibri" w:eastAsia="Calibri" w:hAnsi="Calibri" w:cs="Arial"/>
          <w:color w:val="000000"/>
        </w:rPr>
      </w:pPr>
    </w:p>
    <w:p w14:paraId="5B051FCD" w14:textId="77777777" w:rsidR="00475DAF" w:rsidRPr="00380E4B" w:rsidRDefault="00475DAF" w:rsidP="00475DAF">
      <w:pPr>
        <w:spacing w:before="120" w:after="120" w:line="276" w:lineRule="auto"/>
        <w:jc w:val="both"/>
        <w:rPr>
          <w:rFonts w:ascii="Calibri" w:eastAsia="Calibri" w:hAnsi="Calibri" w:cs="Times New Roman"/>
          <w:color w:val="000000"/>
          <w:lang w:val="es-ES"/>
        </w:rPr>
      </w:pPr>
      <w:proofErr w:type="spellStart"/>
      <w:r w:rsidRPr="00380E4B">
        <w:rPr>
          <w:rFonts w:ascii="Verdana" w:eastAsia="Calibri" w:hAnsi="Verdana" w:cs="Times New Roman"/>
          <w:color w:val="000000"/>
        </w:rPr>
        <w:t>iii</w:t>
      </w:r>
      <w:proofErr w:type="spellEnd"/>
      <w:r w:rsidRPr="00380E4B">
        <w:rPr>
          <w:rFonts w:ascii="Verdana" w:eastAsia="Calibri" w:hAnsi="Verdana" w:cs="Times New Roman"/>
          <w:color w:val="000000"/>
        </w:rPr>
        <w:t>. La Ley 80 de 1993, en el parágrafo 1 del artículo 2, incluía a las cooperativas y asociaciones de entidades territoriales dentro de la categoría de entidades estatales sometidas a la Ley 80 de 1993, y las facultaba para suscribir convenios</w:t>
      </w:r>
      <w:r w:rsidRPr="00380E4B">
        <w:rPr>
          <w:rFonts w:ascii="Verdana" w:eastAsia="Calibri" w:hAnsi="Verdana" w:cs="Times New Roman"/>
          <w:color w:val="000000"/>
          <w:spacing w:val="-18"/>
        </w:rPr>
        <w:t xml:space="preserve"> </w:t>
      </w:r>
      <w:r w:rsidRPr="00380E4B">
        <w:rPr>
          <w:rFonts w:ascii="Verdana" w:eastAsia="Calibri" w:hAnsi="Verdana" w:cs="Times New Roman"/>
          <w:color w:val="000000"/>
        </w:rPr>
        <w:t>interadministrativos:</w:t>
      </w:r>
      <w:r w:rsidRPr="00380E4B">
        <w:rPr>
          <w:rFonts w:ascii="Calibri" w:eastAsia="Calibri" w:hAnsi="Calibri" w:cs="Times New Roman"/>
          <w:color w:val="000000"/>
        </w:rPr>
        <w:t xml:space="preserve"> </w:t>
      </w:r>
      <w:r w:rsidRPr="00380E4B">
        <w:rPr>
          <w:rFonts w:ascii="Verdana" w:eastAsia="Arial" w:hAnsi="Verdana" w:cs="Arial"/>
          <w:color w:val="000000"/>
          <w:lang w:val="es-ES"/>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 entidades”.</w:t>
      </w:r>
    </w:p>
    <w:p w14:paraId="6EA1E173" w14:textId="77777777" w:rsidR="00475DAF" w:rsidRPr="00C45C5D" w:rsidRDefault="00475DAF" w:rsidP="00475DAF">
      <w:pPr>
        <w:widowControl w:val="0"/>
        <w:autoSpaceDE w:val="0"/>
        <w:autoSpaceDN w:val="0"/>
        <w:spacing w:after="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En virtud de lo anterior, el parágrafo del artículo 2 de la Ley 80 de 1993 facultaba a las cooperativas y asociaciones de entidades t</w:t>
      </w:r>
      <w:r>
        <w:rPr>
          <w:rFonts w:ascii="Verdana" w:eastAsia="Arial" w:hAnsi="Verdana" w:cs="Arial"/>
          <w:color w:val="000000"/>
          <w:lang w:val="es-ES"/>
        </w:rPr>
        <w:t>erritoriales para celebrar contratos</w:t>
      </w:r>
      <w:r w:rsidRPr="00C45C5D">
        <w:rPr>
          <w:rFonts w:ascii="Verdana" w:eastAsia="Arial" w:hAnsi="Verdana" w:cs="Arial"/>
          <w:color w:val="000000"/>
          <w:lang w:val="es-ES"/>
        </w:rPr>
        <w:t xml:space="preserve"> interadministrativos. Posteriormente, el numeral 2 del artículo 14 Decreto 2170 de 2002 desarrolló la posibilidad de que los entes solidarios de carácter público, como las cooperativas y las asociaciones de entidades territoriales, pudieran suscribir directamente, sin necesidad de adelantar procesos de s</w:t>
      </w:r>
      <w:r>
        <w:rPr>
          <w:rFonts w:ascii="Verdana" w:eastAsia="Arial" w:hAnsi="Verdana" w:cs="Arial"/>
          <w:color w:val="000000"/>
          <w:lang w:val="es-ES"/>
        </w:rPr>
        <w:t>elección competitivos, contratos</w:t>
      </w:r>
      <w:r w:rsidRPr="00C45C5D">
        <w:rPr>
          <w:rFonts w:ascii="Verdana" w:eastAsia="Arial" w:hAnsi="Verdana" w:cs="Arial"/>
          <w:color w:val="000000"/>
          <w:lang w:val="es-ES"/>
        </w:rPr>
        <w:t xml:space="preserve"> interadministrativos, siempre que se acreditaran los siguientes requisitos establecidos en la norma indicada:</w:t>
      </w:r>
    </w:p>
    <w:p w14:paraId="5352DAC8" w14:textId="77777777" w:rsidR="00475DAF" w:rsidRPr="00C45C5D" w:rsidRDefault="00475DAF" w:rsidP="00475DAF">
      <w:pPr>
        <w:widowControl w:val="0"/>
        <w:autoSpaceDE w:val="0"/>
        <w:autoSpaceDN w:val="0"/>
        <w:spacing w:before="2" w:after="0" w:line="276" w:lineRule="auto"/>
        <w:rPr>
          <w:rFonts w:ascii="Verdana" w:eastAsia="Arial" w:hAnsi="Verdana" w:cs="Arial"/>
          <w:color w:val="000000"/>
          <w:lang w:val="es-ES"/>
        </w:rPr>
      </w:pPr>
    </w:p>
    <w:p w14:paraId="2CA01AFA" w14:textId="77777777" w:rsidR="00475DAF" w:rsidRPr="00C45C5D"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“Artículo 14. De conformidad con lo previsto en el parágrafo del artículo 2o. de la Ley 80 de 1993, los contratos que se celebren en desarrollo de los convenios interadministrativos estarán sujetos a dicha ley.</w:t>
      </w:r>
    </w:p>
    <w:p w14:paraId="1537A704" w14:textId="77777777" w:rsidR="00475DAF" w:rsidRPr="00C45C5D" w:rsidRDefault="00475DAF" w:rsidP="00475DAF">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w:t>
      </w:r>
    </w:p>
    <w:p w14:paraId="130EEECA" w14:textId="77777777" w:rsidR="00475DAF" w:rsidRPr="00C45C5D"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Cuando el objeto del contrato solamente pueda ser desarrollado por una entidad, el mismo se celebrará sin necesidad de adelantar proceso de selección alguno, circunstancia que deberá ser certificada por la Superintendencia de Economía Solidaria o quien haga sus veces en el caso de cooperativas o por el Ministerio del Interior en el caso de asociaciones de entidades territoriales”.</w:t>
      </w:r>
    </w:p>
    <w:p w14:paraId="3EEB86E9" w14:textId="77777777" w:rsidR="00475DAF" w:rsidRPr="00C45C5D" w:rsidRDefault="00475DAF" w:rsidP="00475DAF">
      <w:pPr>
        <w:widowControl w:val="0"/>
        <w:autoSpaceDE w:val="0"/>
        <w:autoSpaceDN w:val="0"/>
        <w:spacing w:before="3" w:after="0" w:line="276" w:lineRule="auto"/>
        <w:rPr>
          <w:rFonts w:ascii="Verdana" w:eastAsia="Arial" w:hAnsi="Verdana" w:cs="Arial"/>
          <w:color w:val="000000"/>
          <w:lang w:val="es-ES"/>
        </w:rPr>
      </w:pPr>
    </w:p>
    <w:p w14:paraId="6CA37614" w14:textId="77777777" w:rsidR="00475DAF" w:rsidRPr="00C45C5D" w:rsidRDefault="00475DAF" w:rsidP="00475DAF">
      <w:pPr>
        <w:widowControl w:val="0"/>
        <w:autoSpaceDE w:val="0"/>
        <w:autoSpaceDN w:val="0"/>
        <w:spacing w:after="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No obstante, el artículo 1 del Decreto 4375 de 2006 modificó el artículo 14 del Decreto 2170 de 2002, para restringir la celebración de los co</w:t>
      </w:r>
      <w:r>
        <w:rPr>
          <w:rFonts w:ascii="Verdana" w:eastAsia="Arial" w:hAnsi="Verdana" w:cs="Arial"/>
          <w:color w:val="000000"/>
          <w:lang w:val="es-ES"/>
        </w:rPr>
        <w:t>ntratos</w:t>
      </w:r>
      <w:r w:rsidRPr="00C45C5D">
        <w:rPr>
          <w:rFonts w:ascii="Verdana" w:eastAsia="Arial" w:hAnsi="Verdana" w:cs="Arial"/>
          <w:color w:val="000000"/>
          <w:lang w:val="es-ES"/>
        </w:rPr>
        <w:t xml:space="preserve"> </w:t>
      </w:r>
      <w:r w:rsidRPr="00C45C5D">
        <w:rPr>
          <w:rFonts w:ascii="Verdana" w:eastAsia="Arial" w:hAnsi="Verdana" w:cs="Arial"/>
          <w:color w:val="000000"/>
          <w:lang w:val="es-ES"/>
        </w:rPr>
        <w:lastRenderedPageBreak/>
        <w:t>interadministrativos por parte de dichas entidades, al introducir como requisito para su celebración la aplicación del artículo</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29</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de</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la</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Ley</w:t>
      </w:r>
      <w:r w:rsidRPr="00C45C5D">
        <w:rPr>
          <w:rFonts w:ascii="Verdana" w:eastAsia="Arial" w:hAnsi="Verdana" w:cs="Arial"/>
          <w:color w:val="000000"/>
          <w:spacing w:val="38"/>
          <w:lang w:val="es-ES"/>
        </w:rPr>
        <w:t xml:space="preserve"> </w:t>
      </w:r>
      <w:r w:rsidRPr="00C45C5D">
        <w:rPr>
          <w:rFonts w:ascii="Verdana" w:eastAsia="Arial" w:hAnsi="Verdana" w:cs="Arial"/>
          <w:color w:val="000000"/>
          <w:lang w:val="es-ES"/>
        </w:rPr>
        <w:t>80</w:t>
      </w:r>
      <w:r w:rsidRPr="00C45C5D">
        <w:rPr>
          <w:rFonts w:ascii="Verdana" w:eastAsia="Arial" w:hAnsi="Verdana" w:cs="Arial"/>
          <w:color w:val="000000"/>
          <w:spacing w:val="44"/>
          <w:lang w:val="es-ES"/>
        </w:rPr>
        <w:t xml:space="preserve"> </w:t>
      </w:r>
      <w:r w:rsidRPr="00C45C5D">
        <w:rPr>
          <w:rFonts w:ascii="Verdana" w:eastAsia="Arial" w:hAnsi="Verdana" w:cs="Arial"/>
          <w:color w:val="000000"/>
          <w:lang w:val="es-ES"/>
        </w:rPr>
        <w:t>de</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1993,</w:t>
      </w:r>
      <w:r w:rsidRPr="00C45C5D">
        <w:rPr>
          <w:rFonts w:ascii="Verdana" w:eastAsia="Arial" w:hAnsi="Verdana" w:cs="Arial"/>
          <w:color w:val="000000"/>
          <w:spacing w:val="39"/>
          <w:lang w:val="es-ES"/>
        </w:rPr>
        <w:t xml:space="preserve"> </w:t>
      </w:r>
      <w:r w:rsidRPr="00C45C5D">
        <w:rPr>
          <w:rFonts w:ascii="Verdana" w:eastAsia="Arial" w:hAnsi="Verdana" w:cs="Arial"/>
          <w:color w:val="000000"/>
          <w:lang w:val="es-ES"/>
        </w:rPr>
        <w:t>normativa</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que</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desarrolla</w:t>
      </w:r>
      <w:r w:rsidRPr="00C45C5D">
        <w:rPr>
          <w:rFonts w:ascii="Verdana" w:eastAsia="Arial" w:hAnsi="Verdana" w:cs="Arial"/>
          <w:color w:val="000000"/>
          <w:spacing w:val="40"/>
          <w:lang w:val="es-ES"/>
        </w:rPr>
        <w:t xml:space="preserve"> </w:t>
      </w:r>
      <w:r w:rsidRPr="00C45C5D">
        <w:rPr>
          <w:rFonts w:ascii="Verdana" w:eastAsia="Arial" w:hAnsi="Verdana" w:cs="Arial"/>
          <w:color w:val="000000"/>
          <w:lang w:val="es-ES"/>
        </w:rPr>
        <w:t>la</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selección</w:t>
      </w:r>
      <w:r w:rsidRPr="00C45C5D">
        <w:rPr>
          <w:rFonts w:ascii="Verdana" w:eastAsia="Arial" w:hAnsi="Verdana" w:cs="Arial"/>
          <w:color w:val="000000"/>
          <w:spacing w:val="38"/>
          <w:lang w:val="es-ES"/>
        </w:rPr>
        <w:t xml:space="preserve"> </w:t>
      </w:r>
      <w:r w:rsidRPr="00C45C5D">
        <w:rPr>
          <w:rFonts w:ascii="Verdana" w:eastAsia="Arial" w:hAnsi="Verdana" w:cs="Arial"/>
          <w:color w:val="000000"/>
          <w:lang w:val="es-ES"/>
        </w:rPr>
        <w:t>objetiva</w:t>
      </w:r>
      <w:r w:rsidRPr="00C45C5D">
        <w:rPr>
          <w:rFonts w:ascii="Verdana" w:eastAsia="Arial" w:hAnsi="Verdana" w:cs="Arial"/>
          <w:color w:val="000000"/>
          <w:spacing w:val="41"/>
          <w:lang w:val="es-ES"/>
        </w:rPr>
        <w:t xml:space="preserve"> </w:t>
      </w:r>
      <w:r w:rsidRPr="00C45C5D">
        <w:rPr>
          <w:rFonts w:ascii="Verdana" w:eastAsia="Arial" w:hAnsi="Verdana" w:cs="Arial"/>
          <w:color w:val="000000"/>
          <w:lang w:val="es-ES"/>
        </w:rPr>
        <w:t>como principio orientador para los procesos de selección sometidos al Estatuto General de Contratación de la Administración Pública:</w:t>
      </w:r>
    </w:p>
    <w:p w14:paraId="55F5CA83" w14:textId="77777777" w:rsidR="00475DAF" w:rsidRPr="00C45C5D" w:rsidRDefault="00475DAF" w:rsidP="00475DAF">
      <w:pPr>
        <w:widowControl w:val="0"/>
        <w:autoSpaceDE w:val="0"/>
        <w:autoSpaceDN w:val="0"/>
        <w:spacing w:before="1" w:after="0" w:line="276" w:lineRule="auto"/>
        <w:rPr>
          <w:rFonts w:ascii="Verdana" w:eastAsia="Arial" w:hAnsi="Verdana" w:cs="Arial"/>
          <w:color w:val="000000"/>
          <w:lang w:val="es-ES"/>
        </w:rPr>
      </w:pPr>
    </w:p>
    <w:p w14:paraId="5166D722" w14:textId="77777777" w:rsidR="00475DAF" w:rsidRPr="00C45C5D" w:rsidRDefault="00475DAF" w:rsidP="00475DAF">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“Artículo 14. De los contratos interadministrativos con cooperativas y asociaciones conformadas por entidades territoriales. De conformidad con lo previsto en el parágrafo del artículo 2o de la Ley 80 de 1993, los contratos que se celebren en desarrollo de los convenios interadministrativos estarán sujetos a dicha ley.</w:t>
      </w:r>
    </w:p>
    <w:p w14:paraId="7158217E" w14:textId="77777777" w:rsidR="00475DAF" w:rsidRPr="00C45C5D" w:rsidRDefault="00475DAF" w:rsidP="00475DAF">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La selección de estas entidades se hará conforme a las siguientes reglas:</w:t>
      </w:r>
    </w:p>
    <w:p w14:paraId="5D09DF6D" w14:textId="77777777" w:rsidR="00475DAF" w:rsidRPr="00C45C5D" w:rsidRDefault="00475DAF" w:rsidP="00475DAF">
      <w:pPr>
        <w:widowControl w:val="0"/>
        <w:autoSpaceDE w:val="0"/>
        <w:autoSpaceDN w:val="0"/>
        <w:spacing w:after="12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La entidad demandante del bien, obra o servicio invitará a presentar ofertas a todas aquellas cooperativas o asociaciones de entidades territoriales que puedan ejecutar el contrato, para adelantar entre ellas un concurso que permita la selección de la oferta más favorable en los términos del artículo 29 de la Ley 80 de 1993.</w:t>
      </w:r>
    </w:p>
    <w:p w14:paraId="5ECD2DCA" w14:textId="77777777" w:rsidR="00475DAF" w:rsidRPr="00C45C5D"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Las entidades a que se refiere el presente artículo deberán inscribirse en el RUP, en relación con los contratos a que se refiere el artículo 22 de la Ley 80 de 1993 y sólo podrán celebrar contratos respecto de los cuales posean la debida y comprobada experiencia, solidez financiera, capacidad técnica, administrativa y jurídica que les permita ejecutar directamente y sin la necesidad de ningún tercero el correspondiente contrato”.</w:t>
      </w:r>
    </w:p>
    <w:p w14:paraId="00628C62" w14:textId="77777777" w:rsidR="00475DAF" w:rsidRPr="00C45C5D" w:rsidRDefault="00475DAF" w:rsidP="00475DAF">
      <w:pPr>
        <w:widowControl w:val="0"/>
        <w:autoSpaceDE w:val="0"/>
        <w:autoSpaceDN w:val="0"/>
        <w:spacing w:after="0" w:line="276" w:lineRule="auto"/>
        <w:ind w:left="668" w:right="531"/>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ab/>
      </w:r>
    </w:p>
    <w:p w14:paraId="5FB03197" w14:textId="77777777" w:rsidR="00475DAF" w:rsidRPr="00C45C5D" w:rsidRDefault="00475DAF" w:rsidP="00475DAF">
      <w:pPr>
        <w:widowControl w:val="0"/>
        <w:autoSpaceDE w:val="0"/>
        <w:autoSpaceDN w:val="0"/>
        <w:spacing w:after="12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De este modo, la modificación realizada por el artículo 1 del Decreto 4375 de 2006 restringió la libertad contractual de las cooperativas y asociaciones de entidades t</w:t>
      </w:r>
      <w:r>
        <w:rPr>
          <w:rFonts w:ascii="Verdana" w:eastAsia="Arial" w:hAnsi="Verdana" w:cs="Arial"/>
          <w:color w:val="000000"/>
          <w:lang w:val="es-ES"/>
        </w:rPr>
        <w:t>erritoriales para celebrar contrato</w:t>
      </w:r>
      <w:r w:rsidRPr="00C45C5D">
        <w:rPr>
          <w:rFonts w:ascii="Verdana" w:eastAsia="Arial" w:hAnsi="Verdana" w:cs="Arial"/>
          <w:color w:val="000000"/>
          <w:lang w:val="es-ES"/>
        </w:rPr>
        <w:t>s interadministrativos de forma directa, sometiéndolas a las reglas de la selección objetiva indicadas en caso de que estas pretendieran contratar o ser contratadas por una entidad</w:t>
      </w:r>
      <w:r w:rsidRPr="00C45C5D">
        <w:rPr>
          <w:rFonts w:ascii="Verdana" w:eastAsia="Arial" w:hAnsi="Verdana" w:cs="Arial"/>
          <w:color w:val="000000"/>
          <w:spacing w:val="-2"/>
          <w:lang w:val="es-ES"/>
        </w:rPr>
        <w:t xml:space="preserve"> </w:t>
      </w:r>
      <w:r w:rsidRPr="00C45C5D">
        <w:rPr>
          <w:rFonts w:ascii="Verdana" w:eastAsia="Arial" w:hAnsi="Verdana" w:cs="Arial"/>
          <w:color w:val="000000"/>
          <w:lang w:val="es-ES"/>
        </w:rPr>
        <w:t>estatal.</w:t>
      </w:r>
    </w:p>
    <w:p w14:paraId="056B4B39" w14:textId="77777777" w:rsidR="00475DAF" w:rsidRPr="00C45C5D" w:rsidRDefault="00475DAF" w:rsidP="00475DAF">
      <w:pPr>
        <w:widowControl w:val="0"/>
        <w:autoSpaceDE w:val="0"/>
        <w:autoSpaceDN w:val="0"/>
        <w:spacing w:after="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 xml:space="preserve">A su vez, con la vigencia de la Ley 1150 de 2007, normativa que </w:t>
      </w:r>
      <w:r>
        <w:rPr>
          <w:rFonts w:ascii="Verdana" w:eastAsia="Arial" w:hAnsi="Verdana" w:cs="Arial"/>
          <w:color w:val="000000"/>
          <w:lang w:val="es-ES"/>
        </w:rPr>
        <w:t xml:space="preserve">estableció </w:t>
      </w:r>
      <w:r w:rsidRPr="00C45C5D">
        <w:rPr>
          <w:rFonts w:ascii="Verdana" w:eastAsia="Arial" w:hAnsi="Verdana" w:cs="Arial"/>
          <w:color w:val="000000"/>
          <w:lang w:val="es-ES"/>
        </w:rPr>
        <w:t xml:space="preserve">medidas para la eficiencia y la transparencia en </w:t>
      </w:r>
      <w:r>
        <w:rPr>
          <w:rFonts w:ascii="Verdana" w:eastAsia="Arial" w:hAnsi="Verdana" w:cs="Arial"/>
          <w:color w:val="000000"/>
          <w:lang w:val="es-ES"/>
        </w:rPr>
        <w:t xml:space="preserve">la contratación pública, se dispusieron </w:t>
      </w:r>
      <w:r w:rsidRPr="00C45C5D">
        <w:rPr>
          <w:rFonts w:ascii="Verdana" w:eastAsia="Arial" w:hAnsi="Verdana" w:cs="Arial"/>
          <w:color w:val="000000"/>
          <w:lang w:val="es-ES"/>
        </w:rPr>
        <w:t>nuevos criter</w:t>
      </w:r>
      <w:r>
        <w:rPr>
          <w:rFonts w:ascii="Verdana" w:eastAsia="Arial" w:hAnsi="Verdana" w:cs="Arial"/>
          <w:color w:val="000000"/>
          <w:lang w:val="es-ES"/>
        </w:rPr>
        <w:t xml:space="preserve">ios para la celebración de </w:t>
      </w:r>
      <w:proofErr w:type="spellStart"/>
      <w:r>
        <w:rPr>
          <w:rFonts w:ascii="Verdana" w:eastAsia="Arial" w:hAnsi="Verdana" w:cs="Arial"/>
          <w:color w:val="000000"/>
          <w:lang w:val="es-ES"/>
        </w:rPr>
        <w:t>contra</w:t>
      </w:r>
      <w:r w:rsidRPr="00C45C5D">
        <w:rPr>
          <w:rFonts w:ascii="Verdana" w:eastAsia="Arial" w:hAnsi="Verdana" w:cs="Arial"/>
          <w:color w:val="000000"/>
          <w:lang w:val="es-ES"/>
        </w:rPr>
        <w:t>nios</w:t>
      </w:r>
      <w:proofErr w:type="spellEnd"/>
      <w:r w:rsidRPr="00C45C5D">
        <w:rPr>
          <w:rFonts w:ascii="Verdana" w:eastAsia="Arial" w:hAnsi="Verdana" w:cs="Arial"/>
          <w:color w:val="000000"/>
          <w:lang w:val="es-ES"/>
        </w:rPr>
        <w:t xml:space="preserve"> interadministrativos para la actividad contractual de cooperativas y asociaciones de entidades territoriales. Particularmente, el artículo 32 de la Ley 1150 de 2007 derogó de manera expresa el parágrafo 1 del artículo 2 de la Ley 80 de 1993, que p</w:t>
      </w:r>
      <w:r>
        <w:rPr>
          <w:rFonts w:ascii="Verdana" w:eastAsia="Arial" w:hAnsi="Verdana" w:cs="Arial"/>
          <w:color w:val="000000"/>
          <w:lang w:val="es-ES"/>
        </w:rPr>
        <w:t>ermitía la celebración de contrato</w:t>
      </w:r>
      <w:r w:rsidRPr="00C45C5D">
        <w:rPr>
          <w:rFonts w:ascii="Verdana" w:eastAsia="Arial" w:hAnsi="Verdana" w:cs="Arial"/>
          <w:color w:val="000000"/>
          <w:lang w:val="es-ES"/>
        </w:rPr>
        <w:t>s interadministrativos por parte de cooperativas y asociaciones de entidades</w:t>
      </w:r>
      <w:r w:rsidRPr="00C45C5D">
        <w:rPr>
          <w:rFonts w:ascii="Verdana" w:eastAsia="Arial" w:hAnsi="Verdana" w:cs="Arial"/>
          <w:color w:val="000000"/>
          <w:spacing w:val="-12"/>
          <w:lang w:val="es-ES"/>
        </w:rPr>
        <w:t xml:space="preserve"> </w:t>
      </w:r>
      <w:r w:rsidRPr="00C45C5D">
        <w:rPr>
          <w:rFonts w:ascii="Verdana" w:eastAsia="Arial" w:hAnsi="Verdana" w:cs="Arial"/>
          <w:color w:val="000000"/>
          <w:lang w:val="es-ES"/>
        </w:rPr>
        <w:t>territoriales</w:t>
      </w:r>
      <w:r w:rsidRPr="00C45C5D">
        <w:rPr>
          <w:rFonts w:ascii="Verdana" w:eastAsia="Arial" w:hAnsi="Verdana" w:cs="Arial"/>
          <w:color w:val="000000"/>
          <w:vertAlign w:val="superscript"/>
          <w:lang w:val="es-ES"/>
        </w:rPr>
        <w:footnoteReference w:id="14"/>
      </w:r>
      <w:r w:rsidRPr="00C45C5D">
        <w:rPr>
          <w:rFonts w:ascii="Verdana" w:eastAsia="Arial" w:hAnsi="Verdana" w:cs="Arial"/>
          <w:color w:val="000000"/>
          <w:lang w:val="es-ES"/>
        </w:rPr>
        <w:t xml:space="preserve">. Además, en </w:t>
      </w:r>
      <w:r w:rsidRPr="00C45C5D">
        <w:rPr>
          <w:rFonts w:ascii="Verdana" w:eastAsia="Arial" w:hAnsi="Verdana" w:cs="Arial"/>
          <w:color w:val="000000"/>
          <w:lang w:val="es-ES"/>
        </w:rPr>
        <w:lastRenderedPageBreak/>
        <w:t>armonía con lo anterior, el artículo 10</w:t>
      </w:r>
      <w:r>
        <w:rPr>
          <w:rFonts w:ascii="Verdana" w:eastAsia="Arial" w:hAnsi="Verdana" w:cs="Arial"/>
          <w:color w:val="000000"/>
          <w:lang w:val="es-ES"/>
        </w:rPr>
        <w:t xml:space="preserve"> de la Ley 1150 de 2007 prescrib</w:t>
      </w:r>
      <w:r w:rsidRPr="00C45C5D">
        <w:rPr>
          <w:rFonts w:ascii="Verdana" w:eastAsia="Arial" w:hAnsi="Verdana" w:cs="Arial"/>
          <w:color w:val="000000"/>
          <w:lang w:val="es-ES"/>
        </w:rPr>
        <w:t>ió:</w:t>
      </w:r>
    </w:p>
    <w:p w14:paraId="003171A6" w14:textId="77777777" w:rsidR="00475DAF" w:rsidRPr="00C45C5D" w:rsidRDefault="00475DAF" w:rsidP="00475DAF">
      <w:pPr>
        <w:widowControl w:val="0"/>
        <w:autoSpaceDE w:val="0"/>
        <w:autoSpaceDN w:val="0"/>
        <w:spacing w:before="8" w:after="0" w:line="276" w:lineRule="auto"/>
        <w:rPr>
          <w:rFonts w:ascii="Verdana" w:eastAsia="Arial" w:hAnsi="Verdana" w:cs="Arial"/>
          <w:color w:val="000000"/>
          <w:lang w:val="es-ES"/>
        </w:rPr>
      </w:pPr>
    </w:p>
    <w:p w14:paraId="03E199AB" w14:textId="77777777" w:rsidR="00475DAF" w:rsidRPr="00C45C5D"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p>
    <w:p w14:paraId="00D0D69F" w14:textId="77777777" w:rsidR="00475DAF" w:rsidRPr="00C45C5D" w:rsidRDefault="00475DAF" w:rsidP="00475DAF">
      <w:pPr>
        <w:widowControl w:val="0"/>
        <w:autoSpaceDE w:val="0"/>
        <w:autoSpaceDN w:val="0"/>
        <w:spacing w:before="4" w:after="0" w:line="276" w:lineRule="auto"/>
        <w:rPr>
          <w:rFonts w:ascii="Verdana" w:eastAsia="Arial" w:hAnsi="Verdana" w:cs="Arial"/>
          <w:color w:val="000000"/>
          <w:lang w:val="es-ES"/>
        </w:rPr>
      </w:pPr>
    </w:p>
    <w:p w14:paraId="66C634AA" w14:textId="77777777" w:rsidR="00475DAF" w:rsidRPr="00C45C5D" w:rsidRDefault="00475DAF" w:rsidP="00475DAF">
      <w:pPr>
        <w:widowControl w:val="0"/>
        <w:autoSpaceDE w:val="0"/>
        <w:autoSpaceDN w:val="0"/>
        <w:spacing w:after="12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 xml:space="preserve">A partir de la norma citada, la celebración de contratos con entidades estatales, las cooperativas y asociaciones conformadas por entidades territoriales deben someterse a los procesos de selección de la Ley 1150 de 2007, en igualdad de condiciones con los particulares. </w:t>
      </w:r>
      <w:r w:rsidRPr="00C45C5D">
        <w:rPr>
          <w:rFonts w:ascii="Verdana" w:eastAsia="Arial" w:hAnsi="Verdana" w:cs="Arial"/>
          <w:color w:val="000000"/>
          <w:shd w:val="clear" w:color="auto" w:fill="FFFFFF"/>
          <w:lang w:val="es-ES"/>
        </w:rPr>
        <w:t xml:space="preserve">Así las cosas, la finalidad de la norma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modalidad de contratación directa. </w:t>
      </w:r>
    </w:p>
    <w:p w14:paraId="5CDF3970" w14:textId="77777777" w:rsidR="00475DAF" w:rsidRPr="00C45C5D" w:rsidRDefault="00475DAF" w:rsidP="00475DAF">
      <w:pPr>
        <w:widowControl w:val="0"/>
        <w:autoSpaceDE w:val="0"/>
        <w:autoSpaceDN w:val="0"/>
        <w:spacing w:after="12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 xml:space="preserve">De la evolución normativa expuesta se advierte que la prohibición de celebrar contratos mediante la modalidad de contratación directa, incluyendo la imposibilidad de acudir a la causal de contratos interadministrativos, por parte de asociaciones de entidades territoriales tiene como fundamento: i) la derogatoria expresa del artículo 32 de la Ley 1150 de 2007, que dejó sin efectos el parágrafo 1 del artículo 2 de la Ley 80 de 1993; y, particularmente, </w:t>
      </w:r>
      <w:proofErr w:type="spellStart"/>
      <w:r w:rsidRPr="00C45C5D">
        <w:rPr>
          <w:rFonts w:ascii="Verdana" w:eastAsia="Arial" w:hAnsi="Verdana" w:cs="Arial"/>
          <w:color w:val="000000"/>
          <w:lang w:val="es-ES"/>
        </w:rPr>
        <w:t>ii</w:t>
      </w:r>
      <w:proofErr w:type="spellEnd"/>
      <w:r w:rsidRPr="00C45C5D">
        <w:rPr>
          <w:rFonts w:ascii="Verdana" w:eastAsia="Arial" w:hAnsi="Verdana" w:cs="Arial"/>
          <w:color w:val="000000"/>
          <w:lang w:val="es-ES"/>
        </w:rPr>
        <w:t>) el artículo 10 de la ley 1150 de 2007 que establece que la celebración de contratos entre una entidad estatal con, entre otras, asociaciones de entidad</w:t>
      </w:r>
      <w:r>
        <w:rPr>
          <w:rFonts w:ascii="Verdana" w:eastAsia="Arial" w:hAnsi="Verdana" w:cs="Arial"/>
          <w:color w:val="000000"/>
          <w:lang w:val="es-ES"/>
        </w:rPr>
        <w:t xml:space="preserve">es territoriales  únicamente </w:t>
      </w:r>
      <w:r w:rsidRPr="00C45C5D">
        <w:rPr>
          <w:rFonts w:ascii="Verdana" w:eastAsia="Arial" w:hAnsi="Verdana" w:cs="Arial"/>
          <w:color w:val="000000"/>
          <w:lang w:val="es-ES"/>
        </w:rPr>
        <w:t>pueden realizar</w:t>
      </w:r>
      <w:r>
        <w:rPr>
          <w:rFonts w:ascii="Verdana" w:eastAsia="Arial" w:hAnsi="Verdana" w:cs="Arial"/>
          <w:color w:val="000000"/>
          <w:lang w:val="es-ES"/>
        </w:rPr>
        <w:t>se</w:t>
      </w:r>
      <w:r w:rsidRPr="00C45C5D">
        <w:rPr>
          <w:rFonts w:ascii="Verdana" w:eastAsia="Arial" w:hAnsi="Verdana" w:cs="Arial"/>
          <w:color w:val="000000"/>
          <w:lang w:val="es-ES"/>
        </w:rPr>
        <w:t xml:space="preserve"> mediante un proceso competitivo, pues deben participar “en igualdad de condiciones con los particulares” y no mediante la modalidad de contratación directa, incluyendo en la prohibición acudir a la causal de los contratos interadministrativos.</w:t>
      </w:r>
    </w:p>
    <w:p w14:paraId="7AAB6097" w14:textId="77777777" w:rsidR="00475DAF" w:rsidRPr="00C45C5D" w:rsidRDefault="00475DAF" w:rsidP="00475DAF">
      <w:pPr>
        <w:widowControl w:val="0"/>
        <w:autoSpaceDE w:val="0"/>
        <w:autoSpaceDN w:val="0"/>
        <w:spacing w:after="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 xml:space="preserve">No obstante, continuando con el análisis del desarrollo normativo, debe tenerse en cuenta que posterior a la Ley 1150 de 2007 se expidió la Ley 1454 de 2011, que en el parágrafo del artículo 17 es concluyente frente a la posibilidad que tienen las asociaciones de departamentos, las provincias y las asociaciones de distritos y de municipios de suscribir convenios </w:t>
      </w:r>
      <w:r w:rsidRPr="00C45C5D">
        <w:rPr>
          <w:rFonts w:ascii="Verdana" w:eastAsia="Arial" w:hAnsi="Verdana" w:cs="Arial"/>
          <w:color w:val="000000"/>
          <w:lang w:val="es-ES"/>
        </w:rPr>
        <w:lastRenderedPageBreak/>
        <w:t>interadministrativos, en los términos establecidos en el artículo 95 de la ley 489 de 1998</w:t>
      </w:r>
      <w:r>
        <w:rPr>
          <w:rFonts w:ascii="Verdana" w:eastAsia="Arial" w:hAnsi="Verdana" w:cs="Arial"/>
          <w:color w:val="000000"/>
          <w:lang w:val="es-ES"/>
        </w:rPr>
        <w:t xml:space="preserve"> o mediante la conformación de personas jurídicas de derecho público o de derecho privado</w:t>
      </w:r>
      <w:r w:rsidRPr="00C45C5D">
        <w:rPr>
          <w:rFonts w:ascii="Verdana" w:eastAsia="Arial" w:hAnsi="Verdana" w:cs="Arial"/>
          <w:color w:val="000000"/>
          <w:lang w:val="es-ES"/>
        </w:rPr>
        <w:t>:</w:t>
      </w:r>
    </w:p>
    <w:p w14:paraId="1BA57812" w14:textId="77777777" w:rsidR="00475DAF" w:rsidRPr="00C45C5D" w:rsidRDefault="00475DAF" w:rsidP="00475DAF">
      <w:pPr>
        <w:widowControl w:val="0"/>
        <w:autoSpaceDE w:val="0"/>
        <w:autoSpaceDN w:val="0"/>
        <w:spacing w:after="0" w:line="276" w:lineRule="auto"/>
        <w:ind w:right="108" w:firstLine="709"/>
        <w:jc w:val="both"/>
        <w:rPr>
          <w:rFonts w:ascii="Verdana" w:eastAsia="Arial" w:hAnsi="Verdana" w:cs="Arial"/>
          <w:color w:val="000000"/>
          <w:lang w:val="es-ES"/>
        </w:rPr>
      </w:pPr>
    </w:p>
    <w:p w14:paraId="35FBFDB7" w14:textId="77777777" w:rsidR="00475DAF" w:rsidRPr="00B06E13"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B06E13">
        <w:rPr>
          <w:rFonts w:ascii="Verdana" w:eastAsia="Arial" w:hAnsi="Verdana" w:cs="Arial"/>
          <w:color w:val="000000"/>
          <w:sz w:val="20"/>
          <w:szCs w:val="20"/>
          <w:lang w:val="es-ES"/>
        </w:rPr>
        <w:t xml:space="preserve">“Artículo 17. Naturaleza y funcionamiento de los esquemas asociativos. Las asociaciones de departamentos, las provincias y las </w:t>
      </w:r>
      <w:r w:rsidRPr="00B06E13">
        <w:rPr>
          <w:rFonts w:ascii="Verdana" w:eastAsia="Arial" w:hAnsi="Verdana" w:cs="Arial"/>
          <w:i/>
          <w:iCs/>
          <w:color w:val="000000"/>
          <w:sz w:val="20"/>
          <w:szCs w:val="20"/>
          <w:lang w:val="es-ES"/>
        </w:rPr>
        <w:t>asociaciones de distritos y de municipios</w:t>
      </w:r>
      <w:r w:rsidRPr="00B06E13">
        <w:rPr>
          <w:rFonts w:ascii="Verdana" w:eastAsia="Arial" w:hAnsi="Verdana" w:cs="Arial"/>
          <w:color w:val="000000"/>
          <w:sz w:val="20"/>
          <w:szCs w:val="20"/>
          <w:lang w:val="es-ES"/>
        </w:rPr>
        <w:t xml:space="preserve"> son entidades administrativas de derecho público, con personería jurídica y patrimonio propio e independiente de los entes que la conforman.</w:t>
      </w:r>
    </w:p>
    <w:p w14:paraId="1F4131A5" w14:textId="77777777" w:rsidR="00475DAF" w:rsidRPr="00B06E13"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p>
    <w:p w14:paraId="231A4A74" w14:textId="77777777" w:rsidR="00475DAF" w:rsidRPr="00B06E13"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B06E13">
        <w:rPr>
          <w:rFonts w:ascii="Verdana" w:eastAsia="Arial" w:hAnsi="Verdana" w:cs="Arial"/>
          <w:color w:val="000000"/>
          <w:sz w:val="20"/>
          <w:szCs w:val="20"/>
          <w:lang w:val="es-ES"/>
        </w:rPr>
        <w:t>Las asociaciones de departamentos podrán constituirse en regiones administrativas y de planificación, previa autorización de sus asambleas departamentales.</w:t>
      </w:r>
    </w:p>
    <w:p w14:paraId="42A710DE" w14:textId="77777777" w:rsidR="00475DAF" w:rsidRPr="00B06E13"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p>
    <w:p w14:paraId="1E3EEE7D" w14:textId="77777777" w:rsidR="00475DAF" w:rsidRPr="00B06E13"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B06E13">
        <w:rPr>
          <w:rFonts w:ascii="Verdana" w:eastAsia="Arial" w:hAnsi="Verdana" w:cs="Arial"/>
          <w:color w:val="000000"/>
          <w:sz w:val="20"/>
          <w:szCs w:val="20"/>
          <w:lang w:val="es-ES"/>
        </w:rPr>
        <w:t>En ningún caso las entidades territoriales que se asocien podrán generar gastos de funcionamiento adicionales con cargo a su presupuesto o al presupuesto general de la Nación, ni incrementar la planta burocrática de las respectivas entidades que las conformen.</w:t>
      </w:r>
    </w:p>
    <w:p w14:paraId="6F500314" w14:textId="77777777" w:rsidR="00475DAF" w:rsidRPr="00B06E13"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p>
    <w:p w14:paraId="6B931604" w14:textId="77777777" w:rsidR="00475DAF" w:rsidRPr="00B06E13"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B06E13">
        <w:rPr>
          <w:rFonts w:ascii="Verdana" w:eastAsia="Arial" w:hAnsi="Verdana" w:cs="Arial"/>
          <w:color w:val="000000"/>
          <w:sz w:val="20"/>
          <w:szCs w:val="20"/>
          <w:lang w:val="es-ES"/>
        </w:rPr>
        <w:t>PARÁGRAFO. En concordancia con lo previsto en el artículo </w:t>
      </w:r>
      <w:hyperlink r:id="rId13" w:anchor="95" w:history="1">
        <w:r w:rsidRPr="00B06E13">
          <w:rPr>
            <w:rFonts w:ascii="Verdana" w:eastAsia="Arial" w:hAnsi="Verdana" w:cs="Arial"/>
            <w:color w:val="000000"/>
            <w:sz w:val="20"/>
            <w:szCs w:val="20"/>
            <w:lang w:val="es-ES"/>
          </w:rPr>
          <w:t>95</w:t>
        </w:r>
      </w:hyperlink>
      <w:r w:rsidRPr="00B06E13">
        <w:rPr>
          <w:rFonts w:ascii="Verdana" w:eastAsia="Arial" w:hAnsi="Verdana" w:cs="Arial"/>
          <w:color w:val="000000"/>
          <w:sz w:val="20"/>
          <w:szCs w:val="20"/>
          <w:lang w:val="es-ES"/>
        </w:rPr>
        <w:t xml:space="preserve"> de la Ley 489 de 1998, las Entidades Territoriales podrán continuar asociándose mediante la celebración de convenios interadministrativos o mediante la conformación de personas jurídicas de derecho público o derecho privado”. </w:t>
      </w:r>
    </w:p>
    <w:p w14:paraId="04C08C1F" w14:textId="77777777" w:rsidR="00475DAF" w:rsidRPr="00C45C5D" w:rsidRDefault="00475DAF" w:rsidP="00475DAF">
      <w:pPr>
        <w:widowControl w:val="0"/>
        <w:autoSpaceDE w:val="0"/>
        <w:autoSpaceDN w:val="0"/>
        <w:spacing w:after="0" w:line="276" w:lineRule="auto"/>
        <w:ind w:right="108" w:firstLine="709"/>
        <w:jc w:val="both"/>
        <w:rPr>
          <w:rFonts w:ascii="Verdana" w:eastAsia="Arial" w:hAnsi="Verdana" w:cs="Arial"/>
          <w:color w:val="000000"/>
          <w:lang w:val="es-ES"/>
        </w:rPr>
      </w:pPr>
    </w:p>
    <w:p w14:paraId="69CC2DB1" w14:textId="77777777" w:rsidR="00475DAF" w:rsidRPr="00C45C5D" w:rsidRDefault="00475DAF" w:rsidP="00475DAF">
      <w:pPr>
        <w:widowControl w:val="0"/>
        <w:autoSpaceDE w:val="0"/>
        <w:autoSpaceDN w:val="0"/>
        <w:spacing w:after="0" w:line="276" w:lineRule="auto"/>
        <w:ind w:right="108"/>
        <w:jc w:val="both"/>
        <w:rPr>
          <w:rFonts w:ascii="Verdana" w:eastAsia="Arial" w:hAnsi="Verdana" w:cs="Arial"/>
          <w:color w:val="000000"/>
          <w:lang w:val="es-ES"/>
        </w:rPr>
      </w:pPr>
      <w:r w:rsidRPr="00C45C5D">
        <w:rPr>
          <w:rFonts w:ascii="Verdana" w:eastAsia="Arial" w:hAnsi="Verdana" w:cs="Arial"/>
          <w:color w:val="000000"/>
          <w:lang w:val="es-ES"/>
        </w:rPr>
        <w:tab/>
        <w:t>Para finalizar el recuento normativo, es necesario hacer referencia a la modificación realizada por el artículo 92 de la Ley 1474 de 2011 al literal </w:t>
      </w:r>
      <w:hyperlink r:id="rId14" w:anchor="2.4.c" w:history="1">
        <w:r w:rsidRPr="00C45C5D">
          <w:rPr>
            <w:rFonts w:ascii="Verdana" w:eastAsia="Arial" w:hAnsi="Verdana" w:cs="Arial"/>
            <w:color w:val="000000"/>
            <w:lang w:val="es-ES"/>
          </w:rPr>
          <w:t>c)</w:t>
        </w:r>
      </w:hyperlink>
      <w:r w:rsidRPr="00C45C5D">
        <w:rPr>
          <w:rFonts w:ascii="Verdana" w:eastAsia="Arial" w:hAnsi="Verdana" w:cs="Arial"/>
          <w:color w:val="000000"/>
          <w:lang w:val="es-ES"/>
        </w:rPr>
        <w:t> del numeral 4 del artículo 2 de la Ley 1150 de 2007. En efecto, el artículo 92 indicado prohíbe acudir a la causal de contratación directa para celebrar ciertas tipologías y objetos contractuales por parte de ciertas entidades, donde se incluye esta restricción precisa frente a las asociaciones de entidades públicas. En efecto, la disposición establece:</w:t>
      </w:r>
    </w:p>
    <w:p w14:paraId="5901D47D" w14:textId="77777777" w:rsidR="00475DAF" w:rsidRPr="00C45C5D" w:rsidRDefault="00475DAF" w:rsidP="00475DAF">
      <w:pPr>
        <w:widowControl w:val="0"/>
        <w:autoSpaceDE w:val="0"/>
        <w:autoSpaceDN w:val="0"/>
        <w:spacing w:after="0" w:line="276" w:lineRule="auto"/>
        <w:ind w:right="108" w:firstLine="708"/>
        <w:jc w:val="both"/>
        <w:rPr>
          <w:rFonts w:ascii="Verdana" w:eastAsia="Arial" w:hAnsi="Verdana" w:cs="Arial"/>
          <w:color w:val="000000"/>
          <w:lang w:val="es-ES"/>
        </w:rPr>
      </w:pPr>
    </w:p>
    <w:p w14:paraId="36419C8C" w14:textId="77777777" w:rsidR="00475DAF"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 xml:space="preserve">“Artículo 92. Contratos interadministrativos. </w:t>
      </w:r>
      <w:proofErr w:type="spellStart"/>
      <w:r w:rsidRPr="00C45C5D">
        <w:rPr>
          <w:rFonts w:ascii="Verdana" w:eastAsia="Arial" w:hAnsi="Verdana" w:cs="Arial"/>
          <w:color w:val="000000"/>
          <w:sz w:val="20"/>
          <w:szCs w:val="20"/>
          <w:lang w:val="es-ES"/>
        </w:rPr>
        <w:t>Modifícase</w:t>
      </w:r>
      <w:proofErr w:type="spellEnd"/>
      <w:r w:rsidRPr="00C45C5D">
        <w:rPr>
          <w:rFonts w:ascii="Verdana" w:eastAsia="Arial" w:hAnsi="Verdana" w:cs="Arial"/>
          <w:color w:val="000000"/>
          <w:sz w:val="20"/>
          <w:szCs w:val="20"/>
          <w:lang w:val="es-ES"/>
        </w:rPr>
        <w:t xml:space="preserve"> el inciso primero del literal c) del numeral 4 del artículo 2o de la Ley 1150 de 2007, el cual quedará así:</w:t>
      </w:r>
    </w:p>
    <w:p w14:paraId="0E1F783C" w14:textId="77777777" w:rsidR="00475DAF" w:rsidRPr="00C45C5D"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p>
    <w:p w14:paraId="68545350" w14:textId="77777777" w:rsidR="00475DAF"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color w:val="000000"/>
          <w:sz w:val="20"/>
          <w:szCs w:val="20"/>
          <w:lang w:val="es-ES"/>
        </w:rPr>
        <w:t>c) Contratos interadministrativos, siempre que las obligaciones derivadas del mismo tengan relación directa con el objeto de la entidad ejecutora señalado en la ley o en sus reglamentos.</w:t>
      </w:r>
    </w:p>
    <w:p w14:paraId="060D02C7" w14:textId="77777777" w:rsidR="00475DAF" w:rsidRPr="00C45C5D"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p>
    <w:p w14:paraId="3C30302F" w14:textId="77777777" w:rsidR="00475DAF" w:rsidRPr="00C45C5D" w:rsidRDefault="00475DAF" w:rsidP="00475DAF">
      <w:pPr>
        <w:widowControl w:val="0"/>
        <w:autoSpaceDE w:val="0"/>
        <w:autoSpaceDN w:val="0"/>
        <w:spacing w:after="0" w:line="240" w:lineRule="auto"/>
        <w:ind w:left="709" w:right="709"/>
        <w:jc w:val="both"/>
        <w:rPr>
          <w:rFonts w:ascii="Verdana" w:eastAsia="Arial" w:hAnsi="Verdana" w:cs="Arial"/>
          <w:color w:val="000000"/>
          <w:sz w:val="20"/>
          <w:szCs w:val="20"/>
          <w:lang w:val="es-ES"/>
        </w:rPr>
      </w:pPr>
      <w:r w:rsidRPr="00C45C5D">
        <w:rPr>
          <w:rFonts w:ascii="Verdana" w:eastAsia="Arial" w:hAnsi="Verdana" w:cs="Arial"/>
          <w:i/>
          <w:iCs/>
          <w:color w:val="000000"/>
          <w:sz w:val="20"/>
          <w:szCs w:val="20"/>
          <w:lang w:val="es-ES"/>
        </w:rPr>
        <w:t>Se exceptúan los contratos de obra, suministro, prestación de servicios de evaluación de conformidad respecto de las normas o reglamentos técnicos, encargos fiduciarios y fiducia pública cuando</w:t>
      </w:r>
      <w:r w:rsidRPr="00C45C5D">
        <w:rPr>
          <w:rFonts w:ascii="Verdana" w:eastAsia="Arial" w:hAnsi="Verdana" w:cs="Arial"/>
          <w:color w:val="000000"/>
          <w:sz w:val="20"/>
          <w:szCs w:val="20"/>
          <w:lang w:val="es-ES"/>
        </w:rPr>
        <w:t xml:space="preserve"> las instituciones de educación superior públicas o las Sociedades de Economía Mixta con participación mayoritaria del Estado, o </w:t>
      </w:r>
      <w:r w:rsidRPr="00C45C5D">
        <w:rPr>
          <w:rFonts w:ascii="Verdana" w:eastAsia="Arial" w:hAnsi="Verdana" w:cs="Arial"/>
          <w:i/>
          <w:iCs/>
          <w:color w:val="000000"/>
          <w:sz w:val="20"/>
          <w:szCs w:val="20"/>
          <w:lang w:val="es-ES"/>
        </w:rPr>
        <w:t xml:space="preserve">las personas jurídicas sin ánimo de </w:t>
      </w:r>
      <w:r w:rsidRPr="00C45C5D">
        <w:rPr>
          <w:rFonts w:ascii="Verdana" w:eastAsia="Arial" w:hAnsi="Verdana" w:cs="Arial"/>
          <w:i/>
          <w:iCs/>
          <w:color w:val="000000"/>
          <w:sz w:val="20"/>
          <w:szCs w:val="20"/>
          <w:lang w:val="es-ES"/>
        </w:rPr>
        <w:lastRenderedPageBreak/>
        <w:t>lucro conformadas por la asociación de entidades públicas</w:t>
      </w:r>
      <w:r w:rsidRPr="00C45C5D">
        <w:rPr>
          <w:rFonts w:ascii="Verdana" w:eastAsia="Arial" w:hAnsi="Verdana" w:cs="Arial"/>
          <w:color w:val="000000"/>
          <w:sz w:val="20"/>
          <w:szCs w:val="20"/>
          <w:lang w:val="es-ES"/>
        </w:rPr>
        <w:t>, o</w:t>
      </w:r>
      <w:r w:rsidRPr="00C45C5D">
        <w:rPr>
          <w:rFonts w:ascii="Verdana" w:eastAsia="Arial" w:hAnsi="Verdana" w:cs="Arial"/>
          <w:i/>
          <w:iCs/>
          <w:color w:val="000000"/>
          <w:sz w:val="20"/>
          <w:szCs w:val="20"/>
          <w:lang w:val="es-ES"/>
        </w:rPr>
        <w:t xml:space="preserve"> </w:t>
      </w:r>
      <w:r w:rsidRPr="00C45C5D">
        <w:rPr>
          <w:rFonts w:ascii="Verdana" w:eastAsia="Arial" w:hAnsi="Verdana" w:cs="Arial"/>
          <w:color w:val="000000"/>
          <w:sz w:val="20"/>
          <w:szCs w:val="20"/>
          <w:lang w:val="es-ES"/>
        </w:rPr>
        <w:t>las federaciones de entidades territoriales</w:t>
      </w:r>
      <w:r w:rsidRPr="00C45C5D">
        <w:rPr>
          <w:rFonts w:ascii="Verdana" w:eastAsia="Arial" w:hAnsi="Verdana" w:cs="Arial"/>
          <w:i/>
          <w:iCs/>
          <w:color w:val="000000"/>
          <w:sz w:val="20"/>
          <w:szCs w:val="20"/>
          <w:lang w:val="es-ES"/>
        </w:rPr>
        <w:t xml:space="preserve"> sean las ejecutoras</w:t>
      </w:r>
      <w:r w:rsidRPr="00C45C5D">
        <w:rPr>
          <w:rFonts w:ascii="Verdana" w:eastAsia="Arial" w:hAnsi="Verdana" w:cs="Arial"/>
          <w:color w:val="000000"/>
          <w:sz w:val="20"/>
          <w:szCs w:val="20"/>
          <w:lang w:val="es-ES"/>
        </w:rPr>
        <w:t>. Estos contratos podrán ser ejecutados por las mismas, siempre que participen en procesos de licitación pública o contratación abreviada de acuerdo con lo dispuesto por los numerales 1 y 2 del presente artículo”. (Énfasis fuera de texto)</w:t>
      </w:r>
    </w:p>
    <w:p w14:paraId="1FB55524" w14:textId="77777777" w:rsidR="00475DAF" w:rsidRPr="00C45C5D" w:rsidRDefault="00475DAF" w:rsidP="00475DAF">
      <w:pPr>
        <w:widowControl w:val="0"/>
        <w:autoSpaceDE w:val="0"/>
        <w:autoSpaceDN w:val="0"/>
        <w:spacing w:after="0" w:line="276" w:lineRule="auto"/>
        <w:ind w:right="108" w:firstLine="709"/>
        <w:jc w:val="both"/>
        <w:rPr>
          <w:rFonts w:ascii="Verdana" w:eastAsia="Arial" w:hAnsi="Verdana" w:cs="Arial"/>
          <w:color w:val="000000"/>
          <w:lang w:val="es-ES"/>
        </w:rPr>
      </w:pPr>
    </w:p>
    <w:p w14:paraId="0A90064C" w14:textId="77777777" w:rsidR="00475DAF" w:rsidRPr="00C45C5D" w:rsidRDefault="00475DAF" w:rsidP="00475DAF">
      <w:pPr>
        <w:widowControl w:val="0"/>
        <w:autoSpaceDE w:val="0"/>
        <w:autoSpaceDN w:val="0"/>
        <w:spacing w:after="120" w:line="276" w:lineRule="auto"/>
        <w:ind w:right="108" w:firstLine="709"/>
        <w:jc w:val="both"/>
        <w:rPr>
          <w:rFonts w:ascii="Verdana" w:eastAsia="Arial" w:hAnsi="Verdana" w:cs="Arial"/>
          <w:color w:val="000000"/>
          <w:lang w:val="es-ES"/>
        </w:rPr>
      </w:pPr>
      <w:r w:rsidRPr="00C45C5D">
        <w:rPr>
          <w:rFonts w:ascii="Verdana" w:eastAsia="Arial" w:hAnsi="Verdana" w:cs="Arial"/>
          <w:color w:val="000000"/>
          <w:lang w:val="es-ES"/>
        </w:rPr>
        <w:t xml:space="preserve">La anterior constituye </w:t>
      </w:r>
      <w:r>
        <w:rPr>
          <w:rFonts w:ascii="Verdana" w:eastAsia="Arial" w:hAnsi="Verdana" w:cs="Arial"/>
          <w:color w:val="000000"/>
          <w:lang w:val="es-ES"/>
        </w:rPr>
        <w:t xml:space="preserve">una </w:t>
      </w:r>
      <w:r w:rsidRPr="00C45C5D">
        <w:rPr>
          <w:rFonts w:ascii="Verdana" w:eastAsia="Arial" w:hAnsi="Verdana" w:cs="Arial"/>
          <w:color w:val="000000"/>
          <w:lang w:val="es-ES"/>
        </w:rPr>
        <w:t xml:space="preserve">prohibición precisa para celebrar ciertos objetos y tipologías contractuales por parte de personas jurídicas sin ánimo de lucro conformadas por la asociación de entidades públicas. En particular, se exceptúa la posibilidad de acudir a la causal de contratos interadministrativos para celebrar directamente contratos de obra, suministro, prestación de servicios de evaluación de conformidad respecto de las normas o reglamentos técnicos, encargos fiduciarios y fiducia pública. </w:t>
      </w:r>
    </w:p>
    <w:p w14:paraId="524E3846" w14:textId="77777777" w:rsidR="00475DAF" w:rsidRPr="00216AE7" w:rsidRDefault="00475DAF" w:rsidP="00475DAF">
      <w:pPr>
        <w:spacing w:before="120" w:after="120" w:line="276" w:lineRule="auto"/>
        <w:ind w:firstLine="709"/>
        <w:jc w:val="both"/>
        <w:rPr>
          <w:rFonts w:ascii="Verdana" w:eastAsia="Times New Roman" w:hAnsi="Verdana" w:cs="Times New Roman"/>
          <w:color w:val="000000" w:themeColor="text1"/>
          <w:lang w:val="es-ES_tradnl" w:eastAsia="es-CO"/>
        </w:rPr>
      </w:pPr>
      <w:r>
        <w:rPr>
          <w:rFonts w:ascii="Verdana" w:eastAsia="Times New Roman" w:hAnsi="Verdana" w:cs="Times New Roman"/>
          <w:color w:val="000000" w:themeColor="text1"/>
          <w:lang w:eastAsia="es-CO"/>
        </w:rPr>
        <w:t>Ahora bien, con respecto a la posibilidad de celebrarse contratos interadministrativos mediante administración delegada</w:t>
      </w:r>
      <w:r w:rsidRPr="00987D4B">
        <w:rPr>
          <w:rFonts w:ascii="Verdana" w:hAnsi="Verdana" w:cs="Arial"/>
          <w:color w:val="000000" w:themeColor="text1"/>
          <w:lang w:val="es-ES_tradnl"/>
        </w:rPr>
        <w:t>,</w:t>
      </w:r>
      <w:r>
        <w:rPr>
          <w:rFonts w:ascii="Verdana" w:hAnsi="Verdana" w:cs="Arial"/>
          <w:color w:val="000000" w:themeColor="text1"/>
          <w:lang w:val="es-ES_tradnl"/>
        </w:rPr>
        <w:t xml:space="preserve"> se precisa que puede entenderse como</w:t>
      </w:r>
      <w:r w:rsidRPr="00987D4B">
        <w:rPr>
          <w:rFonts w:ascii="Verdana" w:hAnsi="Verdana" w:cs="Arial"/>
          <w:color w:val="000000" w:themeColor="text1"/>
          <w:lang w:val="es-ES_tradnl"/>
        </w:rPr>
        <w:t xml:space="preserve"> forma de mandato o como modalidad de administración de los re</w:t>
      </w:r>
      <w:r>
        <w:rPr>
          <w:rFonts w:ascii="Verdana" w:hAnsi="Verdana" w:cs="Arial"/>
          <w:color w:val="000000" w:themeColor="text1"/>
          <w:lang w:val="es-ES_tradnl"/>
        </w:rPr>
        <w:t xml:space="preserve">cursos destinados a la obra. Teniendo </w:t>
      </w:r>
      <w:r w:rsidRPr="00987D4B">
        <w:rPr>
          <w:rFonts w:ascii="Verdana" w:hAnsi="Verdana" w:cs="Arial"/>
          <w:color w:val="000000" w:themeColor="text1"/>
          <w:lang w:val="es-ES_tradnl"/>
        </w:rPr>
        <w:t xml:space="preserve">en cuenta la remisión de los </w:t>
      </w:r>
      <w:r>
        <w:rPr>
          <w:rFonts w:ascii="Verdana" w:hAnsi="Verdana" w:cs="Arial"/>
          <w:color w:val="000000" w:themeColor="text1"/>
          <w:lang w:val="es-ES_tradnl"/>
        </w:rPr>
        <w:t xml:space="preserve">artículos </w:t>
      </w:r>
      <w:r w:rsidRPr="00987D4B">
        <w:rPr>
          <w:rFonts w:ascii="Verdana" w:hAnsi="Verdana" w:cs="Arial"/>
          <w:color w:val="000000" w:themeColor="text1"/>
          <w:lang w:val="es-ES_tradnl"/>
        </w:rPr>
        <w:t xml:space="preserve">13, 32 y 40 de la Ley 80 de 1993 a las normas comerciales </w:t>
      </w:r>
      <w:r>
        <w:rPr>
          <w:rFonts w:ascii="Verdana" w:hAnsi="Verdana" w:cs="Arial"/>
          <w:color w:val="000000" w:themeColor="text1"/>
          <w:lang w:val="es-ES_tradnl"/>
        </w:rPr>
        <w:t xml:space="preserve">y civiles y a partir del análisis realizado, se enmarca </w:t>
      </w:r>
      <w:r w:rsidRPr="00987D4B">
        <w:rPr>
          <w:rFonts w:ascii="Verdana" w:hAnsi="Verdana" w:cs="Arial"/>
          <w:color w:val="000000" w:themeColor="text1"/>
          <w:lang w:val="es-ES_tradnl"/>
        </w:rPr>
        <w:t xml:space="preserve">en </w:t>
      </w:r>
      <w:r w:rsidRPr="00C45C5D">
        <w:rPr>
          <w:rFonts w:ascii="Verdana" w:eastAsia="Arial" w:hAnsi="Verdana" w:cs="Arial"/>
          <w:color w:val="000000"/>
          <w:lang w:val="es-ES"/>
        </w:rPr>
        <w:t>las prohibiciones establecidas en el artículo 10 de la Ley 1150 de 2007 y en el artículo 92 de la Ley 1474 de 2011</w:t>
      </w:r>
      <w:r>
        <w:rPr>
          <w:rFonts w:ascii="Verdana" w:eastAsia="Arial" w:hAnsi="Verdana" w:cs="Arial"/>
          <w:color w:val="000000"/>
          <w:lang w:val="es-ES"/>
        </w:rPr>
        <w:t xml:space="preserve"> que modifica el literal c del artículo 2 numeral 4° de la Ley 1150 de 2007</w:t>
      </w:r>
      <w:r w:rsidRPr="00C45C5D">
        <w:rPr>
          <w:rFonts w:ascii="Verdana" w:eastAsia="Arial" w:hAnsi="Verdana" w:cs="Arial"/>
          <w:color w:val="000000"/>
          <w:lang w:val="es-ES"/>
        </w:rPr>
        <w:t>, los cuales limitan la modalidad de contratación directa.</w:t>
      </w:r>
    </w:p>
    <w:p w14:paraId="1DD1A4C8" w14:textId="77777777" w:rsidR="00475DAF" w:rsidRPr="006E5249" w:rsidRDefault="00475DAF" w:rsidP="00475DAF">
      <w:pPr>
        <w:tabs>
          <w:tab w:val="left" w:pos="0"/>
        </w:tabs>
        <w:spacing w:after="120" w:line="276" w:lineRule="auto"/>
        <w:jc w:val="both"/>
        <w:rPr>
          <w:rFonts w:ascii="Verdana" w:hAnsi="Verdana" w:cs="Arial"/>
          <w:lang w:val="es-ES" w:eastAsia="es-ES"/>
        </w:rPr>
      </w:pPr>
      <w:r>
        <w:rPr>
          <w:rFonts w:ascii="Verdana" w:hAnsi="Verdana" w:cs="Arial"/>
          <w:lang w:val="es-ES" w:eastAsia="es-ES"/>
        </w:rPr>
        <w:tab/>
      </w:r>
      <w:r w:rsidRPr="1AE1532E">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EAB4DD9" w14:textId="77777777" w:rsidR="00475DAF" w:rsidRPr="00B57A1B" w:rsidRDefault="00475DAF" w:rsidP="00475DAF">
      <w:pPr>
        <w:widowControl w:val="0"/>
        <w:autoSpaceDE w:val="0"/>
        <w:autoSpaceDN w:val="0"/>
        <w:spacing w:before="120" w:after="120" w:line="276" w:lineRule="auto"/>
        <w:ind w:firstLine="708"/>
        <w:jc w:val="both"/>
        <w:rPr>
          <w:rFonts w:ascii="Verdana" w:eastAsia="Arial MT" w:hAnsi="Verdana" w:cs="Arial MT"/>
        </w:rPr>
      </w:pPr>
      <w:r>
        <w:rPr>
          <w:rFonts w:ascii="Verdana" w:eastAsia="Arial" w:hAnsi="Verdana" w:cs="Arial"/>
          <w:color w:val="000000"/>
          <w:lang w:val="es-ES"/>
        </w:rPr>
        <w:t xml:space="preserve">No obstante, estos efectos jurídicos de prohibición de contratación directa no son extensibles a los convenios interadministrativos, como se ha expresado en los Conceptos C-605 del 27 de junio de 2025, </w:t>
      </w:r>
      <w:r w:rsidRPr="00B57A1B">
        <w:rPr>
          <w:rFonts w:ascii="Verdana" w:hAnsi="Verdana" w:cs="Arial"/>
          <w:shd w:val="clear" w:color="auto" w:fill="FFFFFF"/>
        </w:rPr>
        <w:t>C-1046 del 9 de septiembre de 2025</w:t>
      </w:r>
      <w:r>
        <w:rPr>
          <w:rFonts w:ascii="Verdana" w:hAnsi="Verdana" w:cs="Arial"/>
          <w:shd w:val="clear" w:color="auto" w:fill="FFFFFF"/>
        </w:rPr>
        <w:t xml:space="preserve">, C-1152 del 23 de septiembre de 2025 y como se explica en el primer apartado </w:t>
      </w:r>
      <w:r>
        <w:rPr>
          <w:rFonts w:ascii="Verdana" w:eastAsia="Calibri" w:hAnsi="Verdana" w:cs="Arial"/>
          <w:color w:val="000000" w:themeColor="text1"/>
          <w:lang w:val="es-ES_tradnl"/>
        </w:rPr>
        <w:t xml:space="preserve">no hay aplicación automática del Estatuto General de Contratación de la Administración. </w:t>
      </w:r>
      <w:r w:rsidRPr="00B57A1B">
        <w:rPr>
          <w:rFonts w:ascii="Verdana" w:eastAsia="Arial MT" w:hAnsi="Verdana" w:cs="Arial MT"/>
        </w:rPr>
        <w:t xml:space="preserve">Estos negocios jurídicos se caracterizan por estar sujetos a la autorregulación establecida a través de sus propias estipulaciones, que son el </w:t>
      </w:r>
      <w:r w:rsidRPr="00B57A1B">
        <w:rPr>
          <w:rFonts w:ascii="Verdana" w:eastAsia="Arial MT" w:hAnsi="Verdana" w:cs="Arial MT"/>
        </w:rPr>
        <w:lastRenderedPageBreak/>
        <w:t>resultado de la autonomía de la voluntad de las entidades que actúan como colaboradoras o cooperantes. En efecto, en los convenios interadministrativos puros o genuinos, el valor del negocio jurídico es determinado por los aportes en dinero y/o en especie requeridos para ejecutar el objeto, los cuales pueden ser realizados por ambos cooperantes en los montos que estos estipulen.</w:t>
      </w:r>
    </w:p>
    <w:p w14:paraId="5CD6325B" w14:textId="77777777" w:rsidR="00475DAF" w:rsidRPr="00EF2B06" w:rsidRDefault="00475DAF" w:rsidP="00475DAF">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t xml:space="preserve">En estos términos, en los convenios interadministrativos no se alude a las categorías de contratante y contratista, sino que ambas partes son cooperantes o colaboradoras. En el marco de su relación de colaboración </w:t>
      </w:r>
      <w:r>
        <w:rPr>
          <w:rFonts w:ascii="Verdana" w:eastAsia="Calibri" w:hAnsi="Verdana" w:cs="Arial"/>
          <w:color w:val="000000" w:themeColor="text1"/>
          <w:lang w:val="es-ES_tradnl"/>
        </w:rPr>
        <w:t xml:space="preserve">pueden estipularse diferentes formas de vinculación de las partes, donde pueden configurar condiciones y cláusulas de mandatos con o sin representación bajo la forma de una administración delegada. En este aspecto, puede pactarse que </w:t>
      </w:r>
      <w:r w:rsidRPr="00B57A1B">
        <w:rPr>
          <w:rFonts w:ascii="Verdana" w:eastAsia="Calibri" w:hAnsi="Verdana" w:cs="Arial"/>
          <w:color w:val="000000" w:themeColor="text1"/>
          <w:lang w:val="es-ES_tradnl"/>
        </w:rPr>
        <w:t xml:space="preserve">una de las entidades cooperantes actué como la ejecutora de las principales obligaciones del convenio. En este caso, una de las entidades cooperantes puede encargarse de </w:t>
      </w:r>
      <w:r>
        <w:rPr>
          <w:rFonts w:ascii="Verdana" w:eastAsia="Calibri" w:hAnsi="Verdana" w:cs="Arial"/>
          <w:color w:val="000000" w:themeColor="text1"/>
          <w:lang w:val="es-ES_tradnl"/>
        </w:rPr>
        <w:t xml:space="preserve">la administración y ejecución del convenio, sin que pueda estipularse categorías conceptuales como la utilidad o costos por concepto de pago de honorarios.  </w:t>
      </w:r>
    </w:p>
    <w:p w14:paraId="2056B390" w14:textId="77777777" w:rsidR="00475DAF" w:rsidRPr="00FC0901" w:rsidRDefault="00475DAF" w:rsidP="00475DAF">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_tradnl"/>
        </w:rPr>
        <w:t xml:space="preserve">En los convenios interadministrativos bajo la forma de una administración delegada como mandato pueden incluirse </w:t>
      </w:r>
      <w:r>
        <w:rPr>
          <w:rFonts w:ascii="Verdana" w:eastAsia="Calibri" w:hAnsi="Verdana" w:cs="Arial"/>
          <w:color w:val="000000" w:themeColor="text1"/>
          <w:lang w:val="es-ES"/>
        </w:rPr>
        <w:t>los costos directos y</w:t>
      </w:r>
      <w:r w:rsidRPr="00AF3B7F">
        <w:rPr>
          <w:rFonts w:ascii="Verdana" w:eastAsia="Calibri" w:hAnsi="Verdana" w:cs="Arial"/>
          <w:color w:val="000000" w:themeColor="text1"/>
          <w:lang w:val="es-ES"/>
        </w:rPr>
        <w:t xml:space="preserve"> los costos administrativos</w:t>
      </w:r>
      <w:r>
        <w:rPr>
          <w:rFonts w:ascii="Verdana" w:eastAsia="Calibri" w:hAnsi="Verdana" w:cs="Arial"/>
          <w:color w:val="000000" w:themeColor="text1"/>
          <w:lang w:val="es-ES_tradnl"/>
        </w:rPr>
        <w:t xml:space="preserve">, que son aquellos </w:t>
      </w:r>
      <w:r w:rsidRPr="00AF3B7F">
        <w:rPr>
          <w:rFonts w:ascii="Verdana" w:eastAsia="Calibri" w:hAnsi="Verdana" w:cs="Arial"/>
          <w:color w:val="000000" w:themeColor="text1"/>
        </w:rPr>
        <w:t xml:space="preserve">gastos que </w:t>
      </w:r>
      <w:r>
        <w:rPr>
          <w:rFonts w:ascii="Verdana" w:eastAsia="Calibri" w:hAnsi="Verdana" w:cs="Arial"/>
          <w:color w:val="000000" w:themeColor="text1"/>
        </w:rPr>
        <w:t xml:space="preserve">están </w:t>
      </w:r>
      <w:r w:rsidRPr="00AF3B7F">
        <w:rPr>
          <w:rFonts w:ascii="Verdana" w:eastAsia="Calibri" w:hAnsi="Verdana" w:cs="Arial"/>
          <w:color w:val="000000" w:themeColor="text1"/>
        </w:rPr>
        <w:t xml:space="preserve">directamente relacionados con la gestión, seguimiento y administración del convenio. </w:t>
      </w:r>
      <w:r w:rsidRPr="00FC0901">
        <w:rPr>
          <w:rFonts w:ascii="Verdana" w:eastAsia="Calibri" w:hAnsi="Verdana" w:cs="Arial"/>
          <w:color w:val="000000" w:themeColor="text1"/>
        </w:rPr>
        <w:t xml:space="preserve">De esta manera, si los costos de honorarios de un contador, así como los costos de legalización e impuestos </w:t>
      </w:r>
      <w:r>
        <w:rPr>
          <w:rFonts w:ascii="Verdana" w:eastAsia="Calibri" w:hAnsi="Verdana" w:cs="Arial"/>
          <w:color w:val="000000" w:themeColor="text1"/>
        </w:rPr>
        <w:t>están vinculados</w:t>
      </w:r>
      <w:r w:rsidRPr="00FC0901">
        <w:rPr>
          <w:rFonts w:ascii="Verdana" w:eastAsia="Calibri" w:hAnsi="Verdana" w:cs="Arial"/>
          <w:color w:val="000000" w:themeColor="text1"/>
        </w:rPr>
        <w:t xml:space="preserve"> con la ejecución del convenio, podrían incluirse dentro del ru</w:t>
      </w:r>
      <w:r>
        <w:rPr>
          <w:rFonts w:ascii="Verdana" w:eastAsia="Calibri" w:hAnsi="Verdana" w:cs="Arial"/>
          <w:color w:val="000000" w:themeColor="text1"/>
        </w:rPr>
        <w:t>bro de costos administrativos</w:t>
      </w:r>
      <w:r w:rsidRPr="00FC0901">
        <w:rPr>
          <w:rFonts w:ascii="Verdana" w:eastAsia="Calibri" w:hAnsi="Verdana" w:cs="Arial"/>
          <w:color w:val="000000" w:themeColor="text1"/>
        </w:rPr>
        <w:t>.</w:t>
      </w:r>
      <w:r>
        <w:rPr>
          <w:rFonts w:ascii="Verdana" w:eastAsia="Calibri" w:hAnsi="Verdana" w:cs="Arial"/>
          <w:color w:val="000000" w:themeColor="text1"/>
        </w:rPr>
        <w:t xml:space="preserve"> </w:t>
      </w:r>
      <w:r w:rsidRPr="00FC0901">
        <w:rPr>
          <w:rFonts w:ascii="Verdana" w:eastAsia="Calibri" w:hAnsi="Verdana" w:cs="Arial"/>
          <w:color w:val="000000" w:themeColor="text1"/>
        </w:rPr>
        <w:t xml:space="preserve">Estos costos deberán incluirse en el ejercicio de planeación que realice </w:t>
      </w:r>
      <w:r>
        <w:rPr>
          <w:rFonts w:ascii="Verdana" w:eastAsia="Calibri" w:hAnsi="Verdana" w:cs="Arial"/>
          <w:color w:val="000000" w:themeColor="text1"/>
        </w:rPr>
        <w:t xml:space="preserve">las entidades cooperantes </w:t>
      </w:r>
      <w:r w:rsidRPr="00FC0901">
        <w:rPr>
          <w:rFonts w:ascii="Verdana" w:eastAsia="Calibri" w:hAnsi="Verdana" w:cs="Arial"/>
          <w:color w:val="000000" w:themeColor="text1"/>
        </w:rPr>
        <w:t>y estar debidamente justificados.</w:t>
      </w:r>
    </w:p>
    <w:p w14:paraId="3933615F" w14:textId="77777777" w:rsidR="00475DAF" w:rsidRDefault="00475DAF" w:rsidP="00475DAF">
      <w:pPr>
        <w:spacing w:after="120" w:line="276" w:lineRule="auto"/>
        <w:ind w:firstLine="709"/>
        <w:jc w:val="both"/>
        <w:rPr>
          <w:rFonts w:ascii="Verdana" w:eastAsia="Calibri" w:hAnsi="Verdana" w:cs="Arial"/>
          <w:color w:val="000000" w:themeColor="text1"/>
          <w:lang w:val="es-ES_tradnl"/>
        </w:rPr>
      </w:pPr>
      <w:r w:rsidRPr="00AF3B7F">
        <w:rPr>
          <w:rFonts w:ascii="Verdana" w:eastAsia="Calibri" w:hAnsi="Verdana" w:cs="Arial"/>
          <w:color w:val="000000" w:themeColor="text1"/>
        </w:rPr>
        <w:t>D</w:t>
      </w:r>
      <w:r>
        <w:rPr>
          <w:rFonts w:ascii="Verdana" w:eastAsia="Calibri" w:hAnsi="Verdana" w:cs="Arial"/>
          <w:color w:val="000000" w:themeColor="text1"/>
        </w:rPr>
        <w:t xml:space="preserve">e esta forma, puede estipularse en el marco del convenio interadministrativo diferentes aspectos a resaltar: i) los aportes en dinero o en especie de las entidades cooperantes; </w:t>
      </w:r>
      <w:proofErr w:type="spellStart"/>
      <w:r>
        <w:rPr>
          <w:rFonts w:ascii="Verdana" w:eastAsia="Calibri" w:hAnsi="Verdana" w:cs="Arial"/>
          <w:color w:val="000000" w:themeColor="text1"/>
        </w:rPr>
        <w:t>ii</w:t>
      </w:r>
      <w:proofErr w:type="spellEnd"/>
      <w:r>
        <w:rPr>
          <w:rFonts w:ascii="Verdana" w:eastAsia="Calibri" w:hAnsi="Verdana" w:cs="Arial"/>
          <w:color w:val="000000" w:themeColor="text1"/>
        </w:rPr>
        <w:t xml:space="preserve">) el valor del convenio; </w:t>
      </w:r>
      <w:proofErr w:type="spellStart"/>
      <w:r>
        <w:rPr>
          <w:rFonts w:ascii="Verdana" w:eastAsia="Calibri" w:hAnsi="Verdana" w:cs="Arial"/>
          <w:color w:val="000000" w:themeColor="text1"/>
        </w:rPr>
        <w:t>iii</w:t>
      </w:r>
      <w:proofErr w:type="spellEnd"/>
      <w:r>
        <w:rPr>
          <w:rFonts w:ascii="Verdana" w:eastAsia="Calibri" w:hAnsi="Verdana" w:cs="Arial"/>
          <w:color w:val="000000" w:themeColor="text1"/>
        </w:rPr>
        <w:t xml:space="preserve">) la entidad o entidades ejecutoras del convenio; </w:t>
      </w:r>
      <w:proofErr w:type="spellStart"/>
      <w:r>
        <w:rPr>
          <w:rFonts w:ascii="Verdana" w:eastAsia="Calibri" w:hAnsi="Verdana" w:cs="Arial"/>
          <w:color w:val="000000" w:themeColor="text1"/>
        </w:rPr>
        <w:t>iii</w:t>
      </w:r>
      <w:proofErr w:type="spellEnd"/>
      <w:r>
        <w:rPr>
          <w:rFonts w:ascii="Verdana" w:eastAsia="Calibri" w:hAnsi="Verdana" w:cs="Arial"/>
          <w:color w:val="000000" w:themeColor="text1"/>
        </w:rPr>
        <w:t xml:space="preserve">) los costos directos y costos administrativos propios del convenio, así como otras formas que se requieren para la ejecución del convenio. </w:t>
      </w:r>
      <w:r>
        <w:rPr>
          <w:rFonts w:ascii="Verdana" w:eastAsia="Calibri" w:hAnsi="Verdana" w:cs="Arial"/>
          <w:color w:val="000000" w:themeColor="text1"/>
          <w:lang w:val="es-ES_tradnl"/>
        </w:rPr>
        <w:t xml:space="preserve">En esta línea, pueden estipularse convenios interadministrativos bajo la forma de una administración delegada sin el pacto de costos por concepto de honorarios, donde la entidad como actúa como administradora y ejecutora del convenio. A </w:t>
      </w:r>
      <w:r w:rsidRPr="00B57A1B">
        <w:rPr>
          <w:rFonts w:ascii="Verdana" w:eastAsia="Calibri" w:hAnsi="Verdana" w:cs="Arial"/>
          <w:color w:val="000000" w:themeColor="text1"/>
          <w:lang w:val="es-ES_tradnl"/>
        </w:rPr>
        <w:t xml:space="preserve">diferencia de los contratos </w:t>
      </w:r>
      <w:r w:rsidRPr="00B57A1B">
        <w:rPr>
          <w:rFonts w:ascii="Verdana" w:eastAsia="Arial MT" w:hAnsi="Verdana" w:cs="Arial MT"/>
        </w:rPr>
        <w:t xml:space="preserve">interadministrativos, en tanto negocios jurídicos típicamente conmutativos, su valor está determinado por el precio al que equivale la contraprestación a recibir por la entidad contratista, a cambio del suministro del bien, obra o servicio </w:t>
      </w:r>
      <w:r w:rsidRPr="00B57A1B">
        <w:rPr>
          <w:rFonts w:ascii="Verdana" w:eastAsia="Arial MT" w:hAnsi="Verdana" w:cs="Arial MT"/>
        </w:rPr>
        <w:lastRenderedPageBreak/>
        <w:t>requerido por la entidad contratante, como puede ocurrir cuando se pacte por administración delegada</w:t>
      </w:r>
      <w:r w:rsidRPr="00B57A1B">
        <w:rPr>
          <w:rFonts w:ascii="Verdana" w:eastAsia="Calibri" w:hAnsi="Verdana" w:cs="Arial"/>
          <w:color w:val="000000" w:themeColor="text1"/>
          <w:lang w:val="es-ES_tradnl"/>
        </w:rPr>
        <w:t>. De este modo, el contrato interadministrativo puede estipularse como administración o modalidad de pago, con o sin representación.</w:t>
      </w:r>
    </w:p>
    <w:p w14:paraId="032B4CFC" w14:textId="77777777" w:rsidR="00475DAF" w:rsidRPr="006E5249" w:rsidRDefault="00475DAF" w:rsidP="00475DAF">
      <w:pPr>
        <w:spacing w:after="12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b/>
        <w:t>Teniendo en cuenta esta precisión, para determinar si es contrato o convenio interadministrativo no está determinada por la denominación que se haga en el negocio jurídico entre entidades, sino por las cláusulas y condiciones que se pactaron.</w:t>
      </w:r>
      <w:r w:rsidRPr="00B57A1B">
        <w:rPr>
          <w:rFonts w:ascii="Verdana" w:eastAsia="Calibri" w:hAnsi="Verdana" w:cs="Arial"/>
          <w:color w:val="000000" w:themeColor="text1"/>
          <w:lang w:val="es-ES_tradnl"/>
        </w:rPr>
        <w:t xml:space="preserve"> </w:t>
      </w:r>
      <w:r>
        <w:rPr>
          <w:rFonts w:ascii="Verdana" w:eastAsiaTheme="minorEastAsia" w:hAnsi="Verdana" w:cs="Arial"/>
          <w:lang w:eastAsia="es-CO"/>
        </w:rPr>
        <w:t xml:space="preserve">Entonces, será </w:t>
      </w:r>
      <w:r w:rsidRPr="00B57A1B">
        <w:rPr>
          <w:rFonts w:ascii="Verdana" w:eastAsiaTheme="minorEastAsia" w:hAnsi="Verdana" w:cs="Arial"/>
          <w:lang w:eastAsia="es-CO"/>
        </w:rPr>
        <w:t xml:space="preserve">convenio interadministrativo </w:t>
      </w:r>
      <w:r>
        <w:rPr>
          <w:rFonts w:ascii="Verdana" w:eastAsiaTheme="minorEastAsia" w:hAnsi="Verdana" w:cs="Arial"/>
          <w:lang w:eastAsia="es-CO"/>
        </w:rPr>
        <w:t xml:space="preserve">si su </w:t>
      </w:r>
      <w:r w:rsidRPr="00B57A1B">
        <w:rPr>
          <w:rFonts w:ascii="Verdana" w:eastAsiaTheme="minorEastAsia" w:hAnsi="Verdana" w:cs="Arial"/>
          <w:lang w:eastAsia="es-CO"/>
        </w:rPr>
        <w:t>objeto</w:t>
      </w:r>
      <w:r>
        <w:rPr>
          <w:rFonts w:ascii="Verdana" w:eastAsiaTheme="minorEastAsia" w:hAnsi="Verdana" w:cs="Arial"/>
          <w:lang w:eastAsia="es-CO"/>
        </w:rPr>
        <w:t xml:space="preserve"> y demás cláusulas</w:t>
      </w:r>
      <w:r w:rsidRPr="00B57A1B">
        <w:rPr>
          <w:rFonts w:ascii="Verdana" w:eastAsiaTheme="minorEastAsia" w:hAnsi="Verdana" w:cs="Arial"/>
          <w:lang w:eastAsia="es-CO"/>
        </w:rPr>
        <w:t xml:space="preserve"> se relaciona</w:t>
      </w:r>
      <w:r>
        <w:rPr>
          <w:rFonts w:ascii="Verdana" w:eastAsiaTheme="minorEastAsia" w:hAnsi="Verdana" w:cs="Arial"/>
          <w:lang w:eastAsia="es-CO"/>
        </w:rPr>
        <w:t>n</w:t>
      </w:r>
      <w:r w:rsidRPr="00B57A1B">
        <w:rPr>
          <w:rFonts w:ascii="Verdana" w:eastAsiaTheme="minorEastAsia" w:hAnsi="Verdana" w:cs="Arial"/>
          <w:lang w:eastAsia="es-CO"/>
        </w:rPr>
        <w:t xml:space="preserve"> con la coordinación o cooperación para el cumplimiento de los fines comunes </w:t>
      </w:r>
      <w:r>
        <w:rPr>
          <w:rFonts w:ascii="Verdana" w:eastAsiaTheme="minorEastAsia" w:hAnsi="Verdana" w:cs="Arial"/>
          <w:lang w:eastAsia="es-CO"/>
        </w:rPr>
        <w:t>de las partes. Por otro lado, será</w:t>
      </w:r>
      <w:r w:rsidRPr="00B57A1B">
        <w:rPr>
          <w:rFonts w:ascii="Verdana" w:eastAsiaTheme="minorEastAsia" w:hAnsi="Verdana" w:cs="Arial"/>
          <w:lang w:eastAsia="es-CO"/>
        </w:rPr>
        <w:t xml:space="preserve"> contrato interadministrativo </w:t>
      </w:r>
      <w:r>
        <w:rPr>
          <w:rFonts w:ascii="Verdana" w:eastAsiaTheme="minorEastAsia" w:hAnsi="Verdana" w:cs="Arial"/>
          <w:lang w:eastAsia="es-CO"/>
        </w:rPr>
        <w:t xml:space="preserve">si su objeto </w:t>
      </w:r>
      <w:r w:rsidRPr="00B57A1B">
        <w:rPr>
          <w:rFonts w:ascii="Verdana" w:eastAsiaTheme="minorEastAsia" w:hAnsi="Verdana" w:cs="Arial"/>
          <w:lang w:eastAsia="es-CO"/>
        </w:rPr>
        <w:t xml:space="preserve">está relacionado con la prestación de bienes y servicios, en el que una de las partes actúa como contratante y otra como contratista. </w:t>
      </w:r>
      <w:r w:rsidRPr="00B57A1B">
        <w:rPr>
          <w:rFonts w:ascii="Verdana" w:eastAsia="Calibri" w:hAnsi="Verdana" w:cs="Arial"/>
          <w:color w:val="000000" w:themeColor="text1"/>
          <w:lang w:val="es-ES_tradnl"/>
        </w:rPr>
        <w:t xml:space="preserve"> </w:t>
      </w:r>
    </w:p>
    <w:p w14:paraId="2F35205C" w14:textId="77777777" w:rsidR="00475DAF" w:rsidRPr="00C45C5D" w:rsidRDefault="00475DAF" w:rsidP="00475DAF">
      <w:pPr>
        <w:tabs>
          <w:tab w:val="left" w:pos="0"/>
        </w:tabs>
        <w:spacing w:after="120" w:line="276" w:lineRule="auto"/>
        <w:ind w:firstLine="709"/>
        <w:jc w:val="both"/>
        <w:rPr>
          <w:rFonts w:ascii="Verdana" w:eastAsia="Calibri" w:hAnsi="Verdana" w:cs="Arial"/>
          <w:bCs/>
          <w:lang w:val="es-ES_tradnl" w:eastAsia="es-ES_tradnl"/>
        </w:rPr>
      </w:pPr>
      <w:r w:rsidRPr="00C45C5D">
        <w:rPr>
          <w:rFonts w:ascii="Verdana" w:eastAsia="Arial" w:hAnsi="Verdana" w:cs="Arial"/>
          <w:color w:val="000000"/>
          <w:lang w:val="es-ES"/>
        </w:rPr>
        <w:t xml:space="preserve">Finalmente, es preciso indicar que la celebración de estos convenios interadministrativos también se encuentra supeditada a lo dispuesto por el artículo 56 de la Ley 2195 de 2022, que establece un mandato </w:t>
      </w:r>
      <w:r w:rsidRPr="00C45C5D">
        <w:rPr>
          <w:rFonts w:ascii="Verdana" w:eastAsia="Calibri" w:hAnsi="Verdana" w:cs="Arial"/>
          <w:bCs/>
          <w:lang w:val="es-ES_tradnl" w:eastAsia="es-ES_tradnl"/>
        </w:rPr>
        <w:t>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w:t>
      </w:r>
      <w:r w:rsidRPr="00C45C5D">
        <w:rPr>
          <w:rFonts w:ascii="Verdana" w:eastAsia="Calibri" w:hAnsi="Verdana" w:cs="Arial"/>
          <w:bCs/>
          <w:vertAlign w:val="superscript"/>
          <w:lang w:val="es-ES_tradnl" w:eastAsia="es-ES_tradnl"/>
        </w:rPr>
        <w:footnoteReference w:id="15"/>
      </w:r>
      <w:r w:rsidRPr="00C45C5D">
        <w:rPr>
          <w:rFonts w:ascii="Verdana" w:eastAsia="Calibri" w:hAnsi="Verdana" w:cs="Arial"/>
          <w:bCs/>
          <w:lang w:val="es-ES_tradnl" w:eastAsia="es-ES_tradnl"/>
        </w:rPr>
        <w:t>. Ello es así en la medida en que, como se explicó, en los términos d</w:t>
      </w:r>
      <w:r w:rsidRPr="00C45C5D">
        <w:rPr>
          <w:rFonts w:ascii="Verdana" w:eastAsia="Calibri" w:hAnsi="Verdana" w:cs="Arial"/>
          <w:color w:val="000000"/>
        </w:rPr>
        <w:t xml:space="preserve">el numeral 1 del artículo 2 de la Ley 80 de 1993, las asociaciones de municipios son entidades estatales. </w:t>
      </w:r>
    </w:p>
    <w:p w14:paraId="242747D6" w14:textId="77777777" w:rsidR="00475DAF" w:rsidRPr="00C45C5D" w:rsidRDefault="00475DAF" w:rsidP="00475DAF">
      <w:pPr>
        <w:spacing w:after="120" w:line="276" w:lineRule="auto"/>
        <w:ind w:firstLine="708"/>
        <w:jc w:val="both"/>
        <w:rPr>
          <w:rFonts w:ascii="Verdana" w:eastAsia="Calibri" w:hAnsi="Verdana" w:cs="Arial"/>
          <w:lang w:val="es-ES" w:eastAsia="es-ES"/>
        </w:rPr>
      </w:pPr>
      <w:bookmarkStart w:id="2" w:name="_Hlk144075437"/>
      <w:r w:rsidRPr="00C45C5D">
        <w:rPr>
          <w:rFonts w:ascii="Verdana" w:eastAsia="Times New Roman" w:hAnsi="Verdana" w:cs="Arial"/>
          <w:lang w:eastAsia="es-ES_tradnl"/>
        </w:rPr>
        <w:t xml:space="preserve">Sobre este aspecto, es pertinente indicar que esta Agencia ha considerado en sus diferentes conceptos, que </w:t>
      </w:r>
      <w:r w:rsidRPr="00C45C5D">
        <w:rPr>
          <w:rFonts w:ascii="Verdana" w:eastAsia="Calibri" w:hAnsi="Verdana" w:cs="Arial"/>
          <w:lang w:val="es-ES" w:eastAsia="es-ES"/>
        </w:rPr>
        <w:t xml:space="preserve">el artículo 56 de la Ley 2195 de 2022 surge como una disposición complementaria de la Ley 2022 de 2020, en la medida en </w:t>
      </w:r>
      <w:r w:rsidRPr="00C45C5D">
        <w:rPr>
          <w:rFonts w:ascii="Verdana" w:eastAsia="Calibri" w:hAnsi="Verdana" w:cs="Arial"/>
          <w:lang w:val="es-ES" w:eastAsia="es-ES"/>
        </w:rPr>
        <w:lastRenderedPageBreak/>
        <w:t xml:space="preserve">que la norma busca extender la aplicación obligatoria de los Documentos Tipo para las entidades regidas por EGCAP cuando celebren contratos o convenios interadministrativos o de otra índole. Por lo tanto, ante la presencia de estos negocios jurídicos que, antes de la expedición de la norma en comento, estaban relevados de aplicar los Documentos Tipo, debido a la existencia de disposiciones como la contenida en el inciso 2 del literal c) del artículo 2-4 de la Ley 1150 de 2007, ahora deberán tenerse en cuenta las siguientes reglas: </w:t>
      </w:r>
      <w:bookmarkStart w:id="3" w:name="_Hlk176862658"/>
      <w:r w:rsidRPr="00C45C5D">
        <w:rPr>
          <w:rFonts w:ascii="Verdana" w:eastAsia="Calibri" w:hAnsi="Verdana" w:cs="Arial"/>
          <w:lang w:val="es-ES" w:eastAsia="es-ES"/>
        </w:rPr>
        <w:t xml:space="preserve">i) </w:t>
      </w:r>
      <w:r w:rsidRPr="00C45C5D">
        <w:rPr>
          <w:rFonts w:ascii="Verdana" w:eastAsia="Calibri" w:hAnsi="Verdana" w:cs="Arial"/>
          <w:i/>
          <w:lang w:val="es-ES" w:eastAsia="es-ES"/>
        </w:rPr>
        <w:t>en el caso de los convenios interadministrativos o de cualquier otra índole:</w:t>
      </w:r>
      <w:r w:rsidRPr="00C45C5D">
        <w:rPr>
          <w:rFonts w:ascii="Verdana" w:eastAsia="Calibri" w:hAnsi="Verdana" w:cs="Arial"/>
          <w:lang w:val="es-ES" w:eastAsia="es-ES"/>
        </w:rPr>
        <w:t xml:space="preserve"> la obligación de llevar a cabo la selección de los Procesos de Contratación y celebrar los respectivos contratos para adquirir aquellas obras o servicios para cuya contratación le fuese aplicable los Documentos Tipo vigentes y que deban contratarse en el marco del convenio, deberán ser adelantados por la entidad sometida al EGCAP; y, </w:t>
      </w:r>
      <w:proofErr w:type="spellStart"/>
      <w:r w:rsidRPr="00C45C5D">
        <w:rPr>
          <w:rFonts w:ascii="Verdana" w:eastAsia="Calibri" w:hAnsi="Verdana" w:cs="Arial"/>
          <w:lang w:val="es-ES" w:eastAsia="es-ES"/>
        </w:rPr>
        <w:t>ii</w:t>
      </w:r>
      <w:proofErr w:type="spellEnd"/>
      <w:r w:rsidRPr="00C45C5D">
        <w:rPr>
          <w:rFonts w:ascii="Verdana" w:eastAsia="Calibri" w:hAnsi="Verdana" w:cs="Arial"/>
          <w:lang w:val="es-ES" w:eastAsia="es-ES"/>
        </w:rPr>
        <w:t xml:space="preserve">) </w:t>
      </w:r>
      <w:r w:rsidRPr="00C45C5D">
        <w:rPr>
          <w:rFonts w:ascii="Verdana" w:eastAsia="Calibri" w:hAnsi="Verdana" w:cs="Arial"/>
          <w:i/>
          <w:lang w:val="es-ES" w:eastAsia="es-ES"/>
        </w:rPr>
        <w:t>en el caso de los contratos interadministrativos</w:t>
      </w:r>
      <w:r w:rsidRPr="00C45C5D">
        <w:rPr>
          <w:rFonts w:ascii="Verdana" w:eastAsia="Calibri" w:hAnsi="Verdana" w:cs="Arial"/>
          <w:lang w:val="es-ES" w:eastAsia="es-ES"/>
        </w:rPr>
        <w:t xml:space="preserve"> </w:t>
      </w:r>
      <w:r w:rsidRPr="00C45C5D">
        <w:rPr>
          <w:rFonts w:ascii="Verdana" w:eastAsia="Calibri" w:hAnsi="Verdana" w:cs="Arial"/>
          <w:i/>
          <w:lang w:val="es-ES" w:eastAsia="es-ES"/>
        </w:rPr>
        <w:t>o de cualquier otra índole</w:t>
      </w:r>
      <w:r w:rsidRPr="00C45C5D">
        <w:rPr>
          <w:rFonts w:ascii="Verdana" w:eastAsia="Calibri" w:hAnsi="Verdana" w:cs="Arial"/>
          <w:lang w:val="es-ES" w:eastAsia="es-ES"/>
        </w:rPr>
        <w:t xml:space="preserve">: </w:t>
      </w:r>
      <w:r w:rsidRPr="00C45C5D">
        <w:rPr>
          <w:rFonts w:ascii="Verdana" w:eastAsia="Times New Roman" w:hAnsi="Verdana" w:cs="Arial"/>
          <w:lang w:eastAsia="es-ES"/>
        </w:rPr>
        <w:t xml:space="preserve">implica que si las Entidades Estatales exceptuadas, los patrimonios autónomos y las personas naturales o jurídicas de derecho privado pretenden ser adjudicatarias de estos contratos, deben someterse a un proceso de selección en el que se apliquen Documentos Tipo expedidos por esta Agencia a cargo de la </w:t>
      </w:r>
      <w:r w:rsidRPr="00C45C5D">
        <w:rPr>
          <w:rFonts w:ascii="Verdana" w:eastAsia="Calibri" w:hAnsi="Verdana" w:cs="Arial"/>
          <w:lang w:val="es-ES" w:eastAsia="es-ES"/>
        </w:rPr>
        <w:t>entidad sometida al EGCAP</w:t>
      </w:r>
      <w:bookmarkEnd w:id="2"/>
      <w:bookmarkEnd w:id="3"/>
      <w:r w:rsidRPr="00C45C5D">
        <w:rPr>
          <w:rFonts w:ascii="Verdana" w:eastAsia="Arial" w:hAnsi="Verdana" w:cs="Arial"/>
          <w:color w:val="000000"/>
        </w:rPr>
        <w:t>.</w:t>
      </w:r>
    </w:p>
    <w:p w14:paraId="11FBA221" w14:textId="77777777" w:rsidR="00475DAF" w:rsidRDefault="00475DAF" w:rsidP="00475DAF">
      <w:pPr>
        <w:tabs>
          <w:tab w:val="left" w:pos="0"/>
        </w:tabs>
        <w:spacing w:after="0" w:line="276" w:lineRule="auto"/>
        <w:ind w:firstLine="709"/>
        <w:jc w:val="both"/>
        <w:rPr>
          <w:rFonts w:ascii="Verdana" w:eastAsia="Arial" w:hAnsi="Verdana" w:cs="Arial"/>
          <w:color w:val="000000"/>
          <w:lang w:val="es-ES"/>
        </w:rPr>
      </w:pPr>
      <w:r w:rsidRPr="00C45C5D">
        <w:rPr>
          <w:rFonts w:ascii="Verdana" w:eastAsia="Arial" w:hAnsi="Verdana" w:cs="Arial"/>
          <w:color w:val="000000"/>
          <w:lang w:val="es-ES"/>
        </w:rPr>
        <w:t>En consecuencia, de acuerdo con la interpretación del artículo 56 de la Ley 2195 de 2022,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w:t>
      </w:r>
    </w:p>
    <w:p w14:paraId="7D87871A" w14:textId="77777777" w:rsidR="00475DAF" w:rsidRDefault="00475DAF" w:rsidP="00475DAF">
      <w:pPr>
        <w:tabs>
          <w:tab w:val="left" w:pos="0"/>
        </w:tabs>
        <w:spacing w:after="0" w:line="276" w:lineRule="auto"/>
        <w:ind w:firstLine="709"/>
        <w:jc w:val="both"/>
        <w:rPr>
          <w:rFonts w:ascii="Verdana" w:eastAsia="Arial" w:hAnsi="Verdana" w:cs="Arial"/>
          <w:color w:val="000000"/>
          <w:lang w:val="es-ES"/>
        </w:rPr>
      </w:pPr>
    </w:p>
    <w:p w14:paraId="5356FCB6" w14:textId="77777777" w:rsidR="00475DAF" w:rsidRPr="00DB7367" w:rsidRDefault="00475DAF" w:rsidP="00475DAF">
      <w:pPr>
        <w:pStyle w:val="Prrafodelista"/>
        <w:numPr>
          <w:ilvl w:val="0"/>
          <w:numId w:val="19"/>
        </w:numPr>
        <w:tabs>
          <w:tab w:val="left" w:pos="0"/>
        </w:tabs>
        <w:spacing w:after="120" w:line="276" w:lineRule="auto"/>
        <w:jc w:val="both"/>
        <w:rPr>
          <w:rFonts w:ascii="Verdana" w:eastAsia="Arial" w:hAnsi="Verdana" w:cs="Arial"/>
          <w:b/>
          <w:color w:val="000000"/>
        </w:rPr>
      </w:pPr>
      <w:r w:rsidRPr="00DB7367">
        <w:rPr>
          <w:rFonts w:ascii="Verdana" w:eastAsia="Arial" w:hAnsi="Verdana" w:cs="Arial"/>
          <w:b/>
          <w:color w:val="000000"/>
        </w:rPr>
        <w:t>Referencias normativas, jurisprudenciales y otras fuentes</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75DAF" w:rsidRPr="00C45C5D" w14:paraId="75E933C8" w14:textId="77777777" w:rsidTr="005F31E7">
        <w:trPr>
          <w:trHeight w:val="491"/>
          <w:jc w:val="center"/>
        </w:trPr>
        <w:tc>
          <w:tcPr>
            <w:tcW w:w="8647" w:type="dxa"/>
          </w:tcPr>
          <w:p w14:paraId="4B29AD28" w14:textId="77777777" w:rsidR="00475DAF" w:rsidRPr="00161BD7" w:rsidRDefault="00475DAF" w:rsidP="00475DAF">
            <w:pPr>
              <w:numPr>
                <w:ilvl w:val="0"/>
                <w:numId w:val="20"/>
              </w:numPr>
              <w:spacing w:before="120" w:after="120" w:line="276" w:lineRule="auto"/>
              <w:rPr>
                <w:rFonts w:ascii="Verdana" w:eastAsia="Calibri" w:hAnsi="Verdana" w:cs="Arial"/>
                <w:color w:val="000000"/>
                <w:lang w:val="es-MX" w:eastAsia="es-ES"/>
              </w:rPr>
            </w:pPr>
            <w:r w:rsidRPr="00161BD7">
              <w:rPr>
                <w:rFonts w:ascii="Verdana" w:eastAsia="Arial MT" w:hAnsi="Verdana" w:cs="Arial"/>
                <w:lang w:val="es-MX" w:eastAsia="es-ES" w:bidi="es-ES"/>
              </w:rPr>
              <w:t xml:space="preserve">Ley 80 de 1993, artículo 41, parágrafo 1 del artículo 2 </w:t>
            </w:r>
          </w:p>
          <w:p w14:paraId="18E4A59C" w14:textId="77777777" w:rsidR="00475DAF" w:rsidRPr="00161BD7" w:rsidRDefault="00475DAF" w:rsidP="00475DAF">
            <w:pPr>
              <w:numPr>
                <w:ilvl w:val="0"/>
                <w:numId w:val="20"/>
              </w:numPr>
              <w:spacing w:before="120" w:after="120" w:line="276" w:lineRule="auto"/>
              <w:jc w:val="both"/>
              <w:rPr>
                <w:rFonts w:ascii="Verdana" w:eastAsia="Calibri" w:hAnsi="Verdana" w:cs="Arial"/>
                <w:shd w:val="clear" w:color="auto" w:fill="FFFFFF"/>
                <w:lang w:val="es-MX"/>
              </w:rPr>
            </w:pPr>
            <w:r w:rsidRPr="00161BD7">
              <w:rPr>
                <w:rFonts w:ascii="Verdana" w:eastAsia="Calibri" w:hAnsi="Verdana" w:cs="Arial"/>
                <w:shd w:val="clear" w:color="auto" w:fill="FFFFFF"/>
                <w:lang w:val="es-MX"/>
              </w:rPr>
              <w:t>Ley 136 de 1994, artículo 148, 149 y 150.</w:t>
            </w:r>
          </w:p>
          <w:p w14:paraId="16B20F7E" w14:textId="77777777" w:rsidR="00475DAF" w:rsidRPr="00161BD7" w:rsidRDefault="00475DAF" w:rsidP="00475DAF">
            <w:pPr>
              <w:numPr>
                <w:ilvl w:val="0"/>
                <w:numId w:val="20"/>
              </w:numPr>
              <w:spacing w:before="120" w:after="120" w:line="276" w:lineRule="auto"/>
              <w:jc w:val="both"/>
              <w:rPr>
                <w:rFonts w:ascii="Verdana" w:eastAsia="Calibri" w:hAnsi="Verdana" w:cs="Arial"/>
                <w:shd w:val="clear" w:color="auto" w:fill="FFFFFF"/>
                <w:lang w:val="es-MX"/>
              </w:rPr>
            </w:pPr>
            <w:r w:rsidRPr="00161BD7">
              <w:rPr>
                <w:rFonts w:ascii="Verdana" w:eastAsia="Calibri" w:hAnsi="Verdana" w:cs="Arial"/>
                <w:shd w:val="clear" w:color="auto" w:fill="FFFFFF"/>
                <w:lang w:val="es-MX"/>
              </w:rPr>
              <w:t xml:space="preserve">Ley 489 de 1998, artículo 95. </w:t>
            </w:r>
          </w:p>
          <w:p w14:paraId="480902A1" w14:textId="77777777" w:rsidR="00475DAF" w:rsidRPr="00161BD7" w:rsidRDefault="00475DAF" w:rsidP="00475DAF">
            <w:pPr>
              <w:numPr>
                <w:ilvl w:val="0"/>
                <w:numId w:val="20"/>
              </w:numPr>
              <w:spacing w:before="120" w:after="120" w:line="276" w:lineRule="auto"/>
              <w:jc w:val="both"/>
              <w:rPr>
                <w:rFonts w:ascii="Verdana" w:eastAsia="Calibri" w:hAnsi="Verdana" w:cs="Arial"/>
                <w:shd w:val="clear" w:color="auto" w:fill="FFFFFF"/>
                <w:lang w:val="es-MX"/>
              </w:rPr>
            </w:pPr>
            <w:r w:rsidRPr="00161BD7">
              <w:rPr>
                <w:rFonts w:ascii="Verdana" w:eastAsia="Calibri" w:hAnsi="Verdana" w:cs="Arial"/>
                <w:color w:val="000000"/>
                <w:lang w:val="es-MX" w:eastAsia="es-ES"/>
              </w:rPr>
              <w:t>Ley 1150 de 2007, artículo 2, numeral 4, literal c, artículo 32.</w:t>
            </w:r>
          </w:p>
          <w:p w14:paraId="1CB6BAA0" w14:textId="77777777" w:rsidR="00475DAF" w:rsidRPr="00161BD7" w:rsidRDefault="00475DAF" w:rsidP="00475DAF">
            <w:pPr>
              <w:numPr>
                <w:ilvl w:val="0"/>
                <w:numId w:val="20"/>
              </w:numPr>
              <w:spacing w:before="120" w:after="120" w:line="276" w:lineRule="auto"/>
              <w:jc w:val="both"/>
              <w:rPr>
                <w:rFonts w:ascii="Verdana" w:eastAsia="Calibri" w:hAnsi="Verdana" w:cs="Arial"/>
                <w:shd w:val="clear" w:color="auto" w:fill="FFFFFF"/>
                <w:lang w:val="es-MX"/>
              </w:rPr>
            </w:pPr>
            <w:r w:rsidRPr="00161BD7">
              <w:rPr>
                <w:rFonts w:ascii="Verdana" w:hAnsi="Verdana"/>
                <w:color w:val="000000" w:themeColor="text1"/>
                <w:lang w:val="es-MX"/>
              </w:rPr>
              <w:t xml:space="preserve">Ley 1454 de 2011, artículo 17. </w:t>
            </w:r>
          </w:p>
          <w:p w14:paraId="29224153" w14:textId="77777777" w:rsidR="00475DAF" w:rsidRPr="00161BD7" w:rsidRDefault="00475DAF" w:rsidP="00475DAF">
            <w:pPr>
              <w:numPr>
                <w:ilvl w:val="0"/>
                <w:numId w:val="20"/>
              </w:numPr>
              <w:spacing w:before="120" w:after="120" w:line="276" w:lineRule="auto"/>
              <w:jc w:val="both"/>
              <w:rPr>
                <w:rFonts w:ascii="Verdana" w:eastAsia="Calibri" w:hAnsi="Verdana" w:cs="Arial"/>
                <w:shd w:val="clear" w:color="auto" w:fill="FFFFFF"/>
                <w:lang w:val="es-MX"/>
              </w:rPr>
            </w:pPr>
            <w:r w:rsidRPr="00161BD7">
              <w:rPr>
                <w:rFonts w:ascii="Verdana" w:eastAsia="Calibri" w:hAnsi="Verdana" w:cs="Arial"/>
                <w:shd w:val="clear" w:color="auto" w:fill="FFFFFF"/>
                <w:lang w:val="es-MX"/>
              </w:rPr>
              <w:t xml:space="preserve">Ley 1474 de 2011, artículo 92. </w:t>
            </w:r>
          </w:p>
          <w:p w14:paraId="2230E5A5" w14:textId="77777777" w:rsidR="00475DAF" w:rsidRPr="00161BD7" w:rsidRDefault="00475DAF" w:rsidP="00475DAF">
            <w:pPr>
              <w:numPr>
                <w:ilvl w:val="0"/>
                <w:numId w:val="20"/>
              </w:numPr>
              <w:spacing w:before="120" w:after="120" w:line="276" w:lineRule="auto"/>
              <w:jc w:val="both"/>
              <w:rPr>
                <w:rFonts w:ascii="Verdana" w:eastAsia="Calibri" w:hAnsi="Verdana" w:cs="Arial"/>
                <w:shd w:val="clear" w:color="auto" w:fill="FFFFFF"/>
                <w:lang w:val="es-MX"/>
              </w:rPr>
            </w:pPr>
            <w:r w:rsidRPr="00161BD7">
              <w:rPr>
                <w:rFonts w:ascii="Verdana" w:eastAsia="Calibri" w:hAnsi="Verdana" w:cs="Arial"/>
                <w:shd w:val="clear" w:color="auto" w:fill="FFFFFF"/>
                <w:lang w:val="es-MX"/>
              </w:rPr>
              <w:t>Decreto 1082 de 2015, artículo 2.2.1.2.1.4.4.</w:t>
            </w:r>
          </w:p>
          <w:p w14:paraId="48E6B246" w14:textId="77777777" w:rsidR="00475DAF" w:rsidRPr="006F248B" w:rsidRDefault="00475DAF" w:rsidP="00475DAF">
            <w:pPr>
              <w:numPr>
                <w:ilvl w:val="0"/>
                <w:numId w:val="20"/>
              </w:numPr>
              <w:spacing w:before="120" w:after="120" w:line="276" w:lineRule="auto"/>
              <w:jc w:val="both"/>
              <w:rPr>
                <w:rFonts w:ascii="Verdana" w:eastAsia="Calibri" w:hAnsi="Verdana" w:cs="Arial"/>
                <w:shd w:val="clear" w:color="auto" w:fill="FFFFFF"/>
                <w:lang w:val="es-MX"/>
              </w:rPr>
            </w:pPr>
            <w:r w:rsidRPr="00161BD7">
              <w:rPr>
                <w:rFonts w:ascii="Verdana" w:eastAsia="Calibri" w:hAnsi="Verdana" w:cs="Arial"/>
                <w:shd w:val="clear" w:color="auto" w:fill="FFFFFF"/>
                <w:lang w:val="es-MX"/>
              </w:rPr>
              <w:lastRenderedPageBreak/>
              <w:t xml:space="preserve">Ley 2156 de 2021, artículo 56.  </w:t>
            </w:r>
          </w:p>
          <w:p w14:paraId="5551FE45" w14:textId="77777777" w:rsidR="00475DAF" w:rsidRDefault="00475DAF" w:rsidP="00475DAF">
            <w:pPr>
              <w:numPr>
                <w:ilvl w:val="0"/>
                <w:numId w:val="20"/>
              </w:numPr>
              <w:spacing w:before="120" w:after="120" w:line="276" w:lineRule="auto"/>
              <w:jc w:val="both"/>
              <w:rPr>
                <w:rFonts w:ascii="Verdana" w:eastAsia="Calibri" w:hAnsi="Verdana" w:cs="Arial"/>
                <w:shd w:val="clear" w:color="auto" w:fill="FFFFFF"/>
                <w:lang w:val="es-MX"/>
              </w:rPr>
            </w:pPr>
            <w:r w:rsidRPr="006F248B">
              <w:rPr>
                <w:rFonts w:ascii="Verdana" w:eastAsia="Calibri" w:hAnsi="Verdana" w:cs="Arial"/>
                <w:shd w:val="clear" w:color="auto" w:fill="FFFFFF"/>
                <w:lang w:val="es-MX"/>
              </w:rPr>
              <w:t>Consejo de Estado, Sala de lo Contencioso Administrativo, Sección Tercera, Sentencia del 3 de diciembre de 2007, expedientes acumulados: (25206, 25409, 24524, 27834, 25410, 26105, 28244, 31447).</w:t>
            </w:r>
          </w:p>
          <w:p w14:paraId="45948AE9" w14:textId="77777777" w:rsidR="00475DAF" w:rsidRPr="006F248B" w:rsidRDefault="00475DAF" w:rsidP="00475DAF">
            <w:pPr>
              <w:numPr>
                <w:ilvl w:val="0"/>
                <w:numId w:val="20"/>
              </w:numPr>
              <w:spacing w:before="120" w:after="120" w:line="276" w:lineRule="auto"/>
              <w:jc w:val="both"/>
              <w:rPr>
                <w:rFonts w:ascii="Verdana" w:eastAsia="Calibri" w:hAnsi="Verdana" w:cs="Arial"/>
                <w:shd w:val="clear" w:color="auto" w:fill="FFFFFF"/>
                <w:lang w:val="es-MX"/>
              </w:rPr>
            </w:pPr>
            <w:r w:rsidRPr="006F248B">
              <w:rPr>
                <w:rFonts w:ascii="Verdana" w:eastAsia="Calibri" w:hAnsi="Verdana" w:cs="Arial"/>
                <w:shd w:val="clear" w:color="auto" w:fill="FFFFFF"/>
                <w:lang w:val="es-MX"/>
              </w:rPr>
              <w:t xml:space="preserve">Consejo de Estado, Sección Tercera, Subsección A. Sentencia del 23 de junio de 2010. C.P. Mauricio Fajardo Gómez. </w:t>
            </w:r>
            <w:proofErr w:type="spellStart"/>
            <w:r w:rsidRPr="006F248B">
              <w:rPr>
                <w:rFonts w:ascii="Verdana" w:eastAsia="Calibri" w:hAnsi="Verdana" w:cs="Arial"/>
                <w:shd w:val="clear" w:color="auto" w:fill="FFFFFF"/>
                <w:lang w:val="es-MX"/>
              </w:rPr>
              <w:t>Exp</w:t>
            </w:r>
            <w:proofErr w:type="spellEnd"/>
            <w:r w:rsidRPr="006F248B">
              <w:rPr>
                <w:rFonts w:ascii="Verdana" w:eastAsia="Calibri" w:hAnsi="Verdana" w:cs="Arial"/>
                <w:shd w:val="clear" w:color="auto" w:fill="FFFFFF"/>
                <w:lang w:val="es-MX"/>
              </w:rPr>
              <w:t xml:space="preserve"> 17860. </w:t>
            </w:r>
          </w:p>
          <w:p w14:paraId="6EA1F16C" w14:textId="77777777" w:rsidR="00475DAF" w:rsidRPr="006F248B" w:rsidRDefault="00475DAF" w:rsidP="00475DAF">
            <w:pPr>
              <w:numPr>
                <w:ilvl w:val="0"/>
                <w:numId w:val="20"/>
              </w:numPr>
              <w:spacing w:before="120" w:after="120" w:line="276" w:lineRule="auto"/>
              <w:jc w:val="both"/>
              <w:rPr>
                <w:rFonts w:ascii="Verdana" w:eastAsia="Calibri" w:hAnsi="Verdana" w:cs="Arial"/>
                <w:shd w:val="clear" w:color="auto" w:fill="FFFFFF"/>
                <w:lang w:val="es-MX"/>
              </w:rPr>
            </w:pPr>
            <w:r w:rsidRPr="006F248B">
              <w:rPr>
                <w:rFonts w:ascii="Verdana" w:eastAsia="Calibri" w:hAnsi="Verdana" w:cs="Arial"/>
                <w:shd w:val="clear" w:color="auto" w:fill="FFFFFF"/>
                <w:lang w:val="es-MX"/>
              </w:rPr>
              <w:t xml:space="preserve">Consejo de Estado, Sala de Consulta y Servicio Civil. Concepto no. 2257 del 26 de julio de 2016, C.P. Álvaro </w:t>
            </w:r>
            <w:proofErr w:type="spellStart"/>
            <w:r w:rsidRPr="006F248B">
              <w:rPr>
                <w:rFonts w:ascii="Verdana" w:eastAsia="Calibri" w:hAnsi="Verdana" w:cs="Arial"/>
                <w:shd w:val="clear" w:color="auto" w:fill="FFFFFF"/>
                <w:lang w:val="es-MX"/>
              </w:rPr>
              <w:t>Namén</w:t>
            </w:r>
            <w:proofErr w:type="spellEnd"/>
            <w:r w:rsidRPr="006F248B">
              <w:rPr>
                <w:rFonts w:ascii="Verdana" w:eastAsia="Calibri" w:hAnsi="Verdana" w:cs="Arial"/>
                <w:shd w:val="clear" w:color="auto" w:fill="FFFFFF"/>
                <w:lang w:val="es-MX"/>
              </w:rPr>
              <w:t xml:space="preserve"> Vargas.</w:t>
            </w:r>
          </w:p>
          <w:p w14:paraId="55B7A1D6" w14:textId="77777777" w:rsidR="00475DAF" w:rsidRPr="006F248B" w:rsidRDefault="00475DAF" w:rsidP="00475DAF">
            <w:pPr>
              <w:numPr>
                <w:ilvl w:val="0"/>
                <w:numId w:val="20"/>
              </w:numPr>
              <w:spacing w:before="120" w:after="120" w:line="276" w:lineRule="auto"/>
              <w:jc w:val="both"/>
              <w:rPr>
                <w:rFonts w:ascii="Verdana" w:eastAsia="Calibri" w:hAnsi="Verdana" w:cs="Arial"/>
                <w:shd w:val="clear" w:color="auto" w:fill="FFFFFF"/>
                <w:lang w:val="es-MX"/>
              </w:rPr>
            </w:pPr>
            <w:r w:rsidRPr="006F248B">
              <w:rPr>
                <w:rFonts w:ascii="Verdana" w:eastAsia="Calibri" w:hAnsi="Verdana" w:cs="Arial"/>
                <w:shd w:val="clear" w:color="auto" w:fill="FFFFFF"/>
                <w:lang w:val="es-MX"/>
              </w:rPr>
              <w:t>Consejo de Estado. Sección Tercera, Subsección A. Sentencia del 14 de junio de 2019, C.P.: Marta Nubia Velásquez Rico. Rad.: 25000-23-37-000-2010-02552-01 (AP).</w:t>
            </w:r>
          </w:p>
          <w:p w14:paraId="00C87446" w14:textId="77777777" w:rsidR="00475DAF" w:rsidRPr="006F248B" w:rsidRDefault="00475DAF" w:rsidP="00475DAF">
            <w:pPr>
              <w:numPr>
                <w:ilvl w:val="0"/>
                <w:numId w:val="20"/>
              </w:numPr>
              <w:spacing w:before="120" w:after="120" w:line="276" w:lineRule="auto"/>
              <w:jc w:val="both"/>
              <w:rPr>
                <w:rFonts w:ascii="Verdana" w:eastAsia="Calibri" w:hAnsi="Verdana" w:cs="Arial"/>
                <w:shd w:val="clear" w:color="auto" w:fill="FFFFFF"/>
                <w:lang w:val="es-MX"/>
              </w:rPr>
            </w:pPr>
            <w:r w:rsidRPr="006F248B">
              <w:rPr>
                <w:rFonts w:ascii="Verdana" w:eastAsia="Calibri" w:hAnsi="Verdana" w:cs="Arial"/>
                <w:shd w:val="clear" w:color="auto" w:fill="FFFFFF"/>
                <w:lang w:val="es-MX"/>
              </w:rPr>
              <w:t xml:space="preserve">Consejo de Estado. Sección Tercera, Subsección A. Sentencia del 16 de agosto de 2022, C.P.: María Adriana Marín. </w:t>
            </w:r>
            <w:proofErr w:type="spellStart"/>
            <w:r w:rsidRPr="006F248B">
              <w:rPr>
                <w:rFonts w:ascii="Verdana" w:eastAsia="Calibri" w:hAnsi="Verdana" w:cs="Arial"/>
                <w:shd w:val="clear" w:color="auto" w:fill="FFFFFF"/>
                <w:lang w:val="es-MX"/>
              </w:rPr>
              <w:t>Exp</w:t>
            </w:r>
            <w:proofErr w:type="spellEnd"/>
            <w:r w:rsidRPr="006F248B">
              <w:rPr>
                <w:rFonts w:ascii="Verdana" w:eastAsia="Calibri" w:hAnsi="Verdana" w:cs="Arial"/>
                <w:shd w:val="clear" w:color="auto" w:fill="FFFFFF"/>
                <w:lang w:val="es-MX"/>
              </w:rPr>
              <w:t>. 60434.</w:t>
            </w:r>
          </w:p>
          <w:p w14:paraId="252159A1" w14:textId="77777777" w:rsidR="00475DAF" w:rsidRPr="006F248B" w:rsidRDefault="00475DAF" w:rsidP="00475DAF">
            <w:pPr>
              <w:numPr>
                <w:ilvl w:val="0"/>
                <w:numId w:val="20"/>
              </w:numPr>
              <w:spacing w:before="120" w:after="120" w:line="276" w:lineRule="auto"/>
              <w:jc w:val="both"/>
              <w:rPr>
                <w:rFonts w:ascii="Verdana" w:eastAsia="Calibri" w:hAnsi="Verdana" w:cs="Arial"/>
                <w:shd w:val="clear" w:color="auto" w:fill="FFFFFF"/>
                <w:lang w:val="es-MX"/>
              </w:rPr>
            </w:pPr>
            <w:r w:rsidRPr="006F248B">
              <w:rPr>
                <w:rFonts w:ascii="Verdana" w:eastAsia="Calibri" w:hAnsi="Verdana" w:cs="Arial"/>
                <w:shd w:val="clear" w:color="auto" w:fill="FFFFFF"/>
                <w:lang w:val="es-MX"/>
              </w:rPr>
              <w:t xml:space="preserve">Consejo de Estado. Sección Tercera. Auto del 4 de octubre de 2024. C.P. Fredy Ibarra Martínez. </w:t>
            </w:r>
            <w:proofErr w:type="spellStart"/>
            <w:r w:rsidRPr="006F248B">
              <w:rPr>
                <w:rFonts w:ascii="Verdana" w:eastAsia="Calibri" w:hAnsi="Verdana" w:cs="Arial"/>
                <w:shd w:val="clear" w:color="auto" w:fill="FFFFFF"/>
                <w:lang w:val="es-MX"/>
              </w:rPr>
              <w:t>Exp</w:t>
            </w:r>
            <w:proofErr w:type="spellEnd"/>
            <w:r w:rsidRPr="006F248B">
              <w:rPr>
                <w:rFonts w:ascii="Verdana" w:eastAsia="Calibri" w:hAnsi="Verdana" w:cs="Arial"/>
                <w:shd w:val="clear" w:color="auto" w:fill="FFFFFF"/>
                <w:lang w:val="es-MX"/>
              </w:rPr>
              <w:t xml:space="preserve"> 70313. </w:t>
            </w:r>
          </w:p>
          <w:p w14:paraId="0B7831CF" w14:textId="77777777" w:rsidR="00475DAF" w:rsidRPr="00161BD7" w:rsidRDefault="00475DAF" w:rsidP="00475DAF">
            <w:pPr>
              <w:numPr>
                <w:ilvl w:val="0"/>
                <w:numId w:val="20"/>
              </w:numPr>
              <w:spacing w:before="120" w:after="120" w:line="276" w:lineRule="auto"/>
              <w:jc w:val="both"/>
              <w:rPr>
                <w:rFonts w:ascii="Verdana" w:eastAsia="Calibri" w:hAnsi="Verdana" w:cs="Arial"/>
                <w:shd w:val="clear" w:color="auto" w:fill="FFFFFF"/>
                <w:lang w:val="es-MX"/>
              </w:rPr>
            </w:pPr>
            <w:r w:rsidRPr="006F248B">
              <w:rPr>
                <w:rFonts w:ascii="Verdana" w:eastAsia="Calibri" w:hAnsi="Verdana" w:cs="Arial"/>
                <w:shd w:val="clear" w:color="auto" w:fill="FFFFFF"/>
                <w:lang w:val="es-MX"/>
              </w:rPr>
              <w:t xml:space="preserve">Consejo de Estado. Sección Tercera, Subsección A. Sentencia del 25 de mayo de 2025. C.P. María Adriana Marín Hernández. </w:t>
            </w:r>
            <w:proofErr w:type="spellStart"/>
            <w:r w:rsidRPr="006F248B">
              <w:rPr>
                <w:rFonts w:ascii="Verdana" w:eastAsia="Calibri" w:hAnsi="Verdana" w:cs="Arial"/>
                <w:shd w:val="clear" w:color="auto" w:fill="FFFFFF"/>
                <w:lang w:val="es-MX"/>
              </w:rPr>
              <w:t>Exp</w:t>
            </w:r>
            <w:proofErr w:type="spellEnd"/>
            <w:r w:rsidRPr="006F248B">
              <w:rPr>
                <w:rFonts w:ascii="Verdana" w:eastAsia="Calibri" w:hAnsi="Verdana" w:cs="Arial"/>
                <w:shd w:val="clear" w:color="auto" w:fill="FFFFFF"/>
                <w:lang w:val="es-MX"/>
              </w:rPr>
              <w:t>. 70.504.</w:t>
            </w:r>
          </w:p>
          <w:p w14:paraId="1D1B99A5" w14:textId="77777777" w:rsidR="00475DAF" w:rsidRPr="002E326F" w:rsidRDefault="00475DAF" w:rsidP="00475DAF">
            <w:pPr>
              <w:numPr>
                <w:ilvl w:val="0"/>
                <w:numId w:val="20"/>
              </w:numPr>
              <w:spacing w:before="120" w:after="120" w:line="276" w:lineRule="auto"/>
              <w:ind w:left="714" w:hanging="357"/>
              <w:jc w:val="both"/>
              <w:rPr>
                <w:rFonts w:ascii="Verdana" w:eastAsia="Calibri" w:hAnsi="Verdana" w:cs="Arial"/>
                <w:shd w:val="clear" w:color="auto" w:fill="FFFFFF"/>
                <w:lang w:val="pt-BR"/>
              </w:rPr>
            </w:pPr>
            <w:r w:rsidRPr="002E326F">
              <w:rPr>
                <w:rFonts w:ascii="Verdana" w:eastAsia="Calibri" w:hAnsi="Verdana" w:cs="Arial"/>
                <w:shd w:val="clear" w:color="auto" w:fill="FFFFFF"/>
                <w:lang w:val="pt-BR"/>
              </w:rPr>
              <w:t xml:space="preserve">Corte Constitucional, Sentencia C-449 de 1992.  </w:t>
            </w:r>
          </w:p>
          <w:p w14:paraId="46E21D0E" w14:textId="77777777" w:rsidR="00475DAF" w:rsidRPr="00161BD7" w:rsidRDefault="00475DAF" w:rsidP="00475DAF">
            <w:pPr>
              <w:numPr>
                <w:ilvl w:val="0"/>
                <w:numId w:val="20"/>
              </w:numPr>
              <w:spacing w:before="120" w:after="120" w:line="276" w:lineRule="auto"/>
              <w:ind w:left="714" w:hanging="357"/>
              <w:jc w:val="both"/>
              <w:rPr>
                <w:rFonts w:ascii="Verdana" w:eastAsia="Calibri" w:hAnsi="Verdana" w:cs="Arial"/>
                <w:shd w:val="clear" w:color="auto" w:fill="FFFFFF"/>
                <w:lang w:val="es-MX"/>
              </w:rPr>
            </w:pPr>
            <w:r w:rsidRPr="002A30BB">
              <w:rPr>
                <w:rFonts w:ascii="Verdana" w:eastAsia="Calibri" w:hAnsi="Verdana" w:cs="Times New Roman"/>
                <w:lang w:val="pt-BR"/>
              </w:rPr>
              <w:t xml:space="preserve">Corte Constitucional. Sentencia C-671 de 2005. </w:t>
            </w:r>
            <w:r w:rsidRPr="002A30BB">
              <w:rPr>
                <w:rFonts w:ascii="Verdana" w:eastAsia="Calibri" w:hAnsi="Verdana" w:cs="Times New Roman"/>
                <w:lang w:val="es-MX"/>
              </w:rPr>
              <w:t>M.P. Álvaro Tafur Galvis.</w:t>
            </w:r>
          </w:p>
          <w:p w14:paraId="6B817691" w14:textId="77777777" w:rsidR="00475DAF" w:rsidRPr="00FC2F50" w:rsidRDefault="00475DAF" w:rsidP="00475DAF">
            <w:pPr>
              <w:widowControl w:val="0"/>
              <w:numPr>
                <w:ilvl w:val="0"/>
                <w:numId w:val="20"/>
              </w:numPr>
              <w:autoSpaceDE w:val="0"/>
              <w:autoSpaceDN w:val="0"/>
              <w:spacing w:before="120" w:after="120" w:line="276" w:lineRule="auto"/>
              <w:ind w:left="714" w:hanging="357"/>
              <w:jc w:val="both"/>
              <w:rPr>
                <w:rFonts w:ascii="Verdana" w:hAnsi="Verdana" w:cs="Arial"/>
                <w:lang w:val="es-ES_tradnl"/>
              </w:rPr>
            </w:pPr>
            <w:r w:rsidRPr="00C45C5D">
              <w:rPr>
                <w:rFonts w:ascii="Verdana" w:eastAsia="Calibri" w:hAnsi="Verdana" w:cs="Arial"/>
                <w:shd w:val="clear" w:color="auto" w:fill="FFFFFF"/>
              </w:rPr>
              <w:t>DÁVILA VINUEZA. Luis Guillermo. Régimen jurídico de la contratación estatal. 3ª ed. Bogotá: Temis, 2016. p. 494.</w:t>
            </w:r>
          </w:p>
          <w:p w14:paraId="60AE7DFA" w14:textId="77777777" w:rsidR="00475DAF" w:rsidRPr="00FC2F50" w:rsidRDefault="00475DAF" w:rsidP="00475DAF">
            <w:pPr>
              <w:widowControl w:val="0"/>
              <w:numPr>
                <w:ilvl w:val="0"/>
                <w:numId w:val="20"/>
              </w:numPr>
              <w:autoSpaceDE w:val="0"/>
              <w:autoSpaceDN w:val="0"/>
              <w:spacing w:before="120" w:after="120" w:line="276" w:lineRule="auto"/>
              <w:jc w:val="both"/>
              <w:rPr>
                <w:rFonts w:ascii="Verdana" w:hAnsi="Verdana" w:cs="Arial"/>
                <w:lang w:val="es-ES_tradnl"/>
              </w:rPr>
            </w:pPr>
            <w:r w:rsidRPr="00FC2F50">
              <w:rPr>
                <w:rFonts w:ascii="Verdana" w:hAnsi="Verdana" w:cs="Arial"/>
                <w:lang w:val="es-ES_tradnl"/>
              </w:rPr>
              <w:t xml:space="preserve">CHAVÉZ MARÍN, Augusto Ramón. Los convenios de la Administración. Entre la gestión pública y la actividad contractual. Bogotá: Temis, 2020. </w:t>
            </w:r>
          </w:p>
          <w:p w14:paraId="2123CFD7" w14:textId="77777777" w:rsidR="00475DAF" w:rsidRPr="00C45C5D" w:rsidRDefault="00475DAF" w:rsidP="00475DAF">
            <w:pPr>
              <w:widowControl w:val="0"/>
              <w:numPr>
                <w:ilvl w:val="0"/>
                <w:numId w:val="20"/>
              </w:numPr>
              <w:autoSpaceDE w:val="0"/>
              <w:autoSpaceDN w:val="0"/>
              <w:spacing w:before="120" w:after="120" w:line="276" w:lineRule="auto"/>
              <w:jc w:val="both"/>
              <w:rPr>
                <w:rFonts w:ascii="Verdana" w:hAnsi="Verdana" w:cs="Arial"/>
                <w:lang w:val="es-ES_tradnl"/>
              </w:rPr>
            </w:pPr>
            <w:r w:rsidRPr="00FC2F50">
              <w:rPr>
                <w:rFonts w:ascii="Verdana" w:hAnsi="Verdana" w:cs="Arial"/>
                <w:lang w:val="es-ES_tradnl"/>
              </w:rPr>
              <w:t>SANTOS RODRÍGUEZ, Jorge Enrique. Consideraciones sobre los contratos y convenios interadministrativos. En: Revista Digital de Derecho Administrativo, 2008.</w:t>
            </w:r>
          </w:p>
        </w:tc>
      </w:tr>
    </w:tbl>
    <w:p w14:paraId="0E748734" w14:textId="77777777" w:rsidR="00475DAF" w:rsidRPr="00C45C5D" w:rsidRDefault="00475DAF" w:rsidP="00475DAF">
      <w:pPr>
        <w:widowControl w:val="0"/>
        <w:autoSpaceDE w:val="0"/>
        <w:autoSpaceDN w:val="0"/>
        <w:spacing w:after="0" w:line="276" w:lineRule="auto"/>
        <w:jc w:val="both"/>
        <w:rPr>
          <w:rFonts w:ascii="Verdana" w:hAnsi="Verdana" w:cs="Arial"/>
        </w:rPr>
      </w:pPr>
    </w:p>
    <w:p w14:paraId="27739FFF" w14:textId="77777777" w:rsidR="00475DAF" w:rsidRPr="00DB7367" w:rsidRDefault="00475DAF" w:rsidP="00475DAF">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DB7367">
        <w:rPr>
          <w:rFonts w:ascii="Verdana" w:eastAsia="Century Gothic" w:hAnsi="Verdana" w:cs="Century Gothic"/>
          <w:b/>
          <w:bCs/>
        </w:rPr>
        <w:t>Doctrina de la Agencia Nacional de Contratación Pública:</w:t>
      </w:r>
    </w:p>
    <w:p w14:paraId="19CDC5C4" w14:textId="77777777" w:rsidR="00475DAF" w:rsidRPr="00C45C5D" w:rsidRDefault="00475DAF" w:rsidP="00475DAF">
      <w:pPr>
        <w:widowControl w:val="0"/>
        <w:autoSpaceDE w:val="0"/>
        <w:autoSpaceDN w:val="0"/>
        <w:spacing w:after="0" w:line="276" w:lineRule="auto"/>
        <w:jc w:val="both"/>
        <w:rPr>
          <w:rFonts w:ascii="Verdana" w:hAnsi="Verdana" w:cs="Arial"/>
        </w:rPr>
      </w:pPr>
    </w:p>
    <w:p w14:paraId="0628B8AA" w14:textId="77777777" w:rsidR="00475DAF" w:rsidRPr="00FC2F50" w:rsidRDefault="00475DAF" w:rsidP="00475DAF">
      <w:pPr>
        <w:widowControl w:val="0"/>
        <w:autoSpaceDE w:val="0"/>
        <w:autoSpaceDN w:val="0"/>
        <w:spacing w:after="0" w:line="276" w:lineRule="auto"/>
        <w:jc w:val="both"/>
        <w:rPr>
          <w:rFonts w:ascii="Verdana" w:hAnsi="Verdana" w:cs="Arial"/>
          <w:shd w:val="clear" w:color="auto" w:fill="FFFFFF"/>
          <w:lang w:val="es-ES"/>
        </w:rPr>
      </w:pPr>
      <w:r w:rsidRPr="00C45C5D">
        <w:rPr>
          <w:rFonts w:ascii="Verdana" w:eastAsia="Calibri" w:hAnsi="Verdana" w:cs="Arial"/>
          <w:color w:val="000000" w:themeColor="text1"/>
          <w:lang w:val="es-ES" w:eastAsia="es-ES_tradnl"/>
        </w:rPr>
        <w:t xml:space="preserve">La Agencia Nacional de Contratación Pública – Colombia Compra Eficiente, en </w:t>
      </w:r>
      <w:r w:rsidRPr="00C45C5D">
        <w:rPr>
          <w:rFonts w:ascii="Verdana" w:eastAsia="Calibri" w:hAnsi="Verdana" w:cs="Arial"/>
          <w:color w:val="000000" w:themeColor="text1"/>
          <w:lang w:val="es-ES" w:eastAsia="es-ES_tradnl"/>
        </w:rPr>
        <w:lastRenderedPageBreak/>
        <w:t>los Conceptos 2201913000005444 del 30 de julio de 2019, 2201913000005649 del 8 de agosto de 2019, 4201912000007676 del 20 de diciembre de 2019, C-059 del 25 de febrero de 2020, C-659 del 10 de noviembre de 2020,</w:t>
      </w:r>
      <w:r w:rsidRPr="00C45C5D">
        <w:rPr>
          <w:rFonts w:ascii="Verdana" w:eastAsia="Calibri" w:hAnsi="Verdana" w:cs="Arial"/>
          <w:color w:val="000000" w:themeColor="text1"/>
          <w:lang w:val="es-MX" w:eastAsia="es-ES_tradnl"/>
        </w:rPr>
        <w:t xml:space="preserve"> C-788 del 21 de enero de 2021, C-054 del 10 de marzo de 2021, C-116 del 30 de marzo de 2021, C-149 de 8 de abril de 2021, C-173 del 16 de abril de 2021, C-214 del 13 de mayo de 2021, C-284 del 18 de junio de 2021, C-347 del 23 de julio de 2021, C-664 del 30 de agosto de 2021, C-554 del 6 de octubre de 2021, C-249 del 16 de junio de 2022, C-033 del 27 de febrero de 2023, C-285 del 4 de julio de 2023</w:t>
      </w:r>
      <w:r w:rsidRPr="00C45C5D">
        <w:rPr>
          <w:rFonts w:ascii="Verdana" w:eastAsia="Calibri" w:hAnsi="Verdana" w:cs="Arial"/>
          <w:color w:val="000000" w:themeColor="text1"/>
          <w:lang w:val="es-ES" w:eastAsia="es-ES_tradnl"/>
        </w:rPr>
        <w:t>, C-379 del 29 de octubre de 2023 y C-1044 del 11 de febrero de 2025</w:t>
      </w:r>
      <w:r>
        <w:rPr>
          <w:rFonts w:ascii="Verdana" w:eastAsia="Calibri" w:hAnsi="Verdana" w:cs="Arial"/>
          <w:color w:val="000000" w:themeColor="text1"/>
          <w:lang w:val="es-ES" w:eastAsia="es-ES_tradnl"/>
        </w:rPr>
        <w:t>, C-049</w:t>
      </w:r>
      <w:r w:rsidRPr="00C45C5D">
        <w:rPr>
          <w:rFonts w:ascii="Verdana" w:eastAsia="Calibri" w:hAnsi="Verdana" w:cs="Arial"/>
          <w:color w:val="000000" w:themeColor="text1"/>
          <w:lang w:val="es-ES" w:eastAsia="es-ES_tradnl"/>
        </w:rPr>
        <w:t xml:space="preserve"> </w:t>
      </w:r>
      <w:r>
        <w:rPr>
          <w:rFonts w:ascii="Verdana" w:eastAsia="Calibri" w:hAnsi="Verdana" w:cs="Arial"/>
          <w:color w:val="000000" w:themeColor="text1"/>
          <w:lang w:val="es-ES" w:eastAsia="es-ES_tradnl"/>
        </w:rPr>
        <w:t xml:space="preserve">del 17 de febrero de 2025, entre otros, </w:t>
      </w:r>
      <w:r w:rsidRPr="00C45C5D">
        <w:rPr>
          <w:rFonts w:ascii="Verdana" w:eastAsia="Calibri" w:hAnsi="Verdana" w:cs="Arial"/>
          <w:color w:val="000000" w:themeColor="text1"/>
          <w:lang w:val="es-ES" w:eastAsia="es-ES_tradnl"/>
        </w:rPr>
        <w:t>se ha pronunciado sobre los esquemas asociativos de entidades territoriales</w:t>
      </w:r>
      <w:r w:rsidRPr="00C45C5D">
        <w:rPr>
          <w:rFonts w:ascii="Verdana" w:hAnsi="Verdana" w:cs="Arial"/>
          <w:shd w:val="clear" w:color="auto" w:fill="FFFFFF"/>
          <w:lang w:val="es-ES"/>
        </w:rPr>
        <w:t>.</w:t>
      </w:r>
      <w:r>
        <w:rPr>
          <w:rFonts w:ascii="Verdana" w:hAnsi="Verdana" w:cs="Arial"/>
          <w:shd w:val="clear" w:color="auto" w:fill="FFFFFF"/>
          <w:lang w:val="es-ES"/>
        </w:rPr>
        <w:t xml:space="preserve"> En torno a la celebración de convenios interadministrativos y su diferencia con los contratos interadministrativos se han expedido los siguientes conceptos </w:t>
      </w:r>
      <w:r>
        <w:rPr>
          <w:rFonts w:ascii="Verdana" w:eastAsia="Arial" w:hAnsi="Verdana" w:cs="Arial"/>
          <w:color w:val="000000"/>
          <w:lang w:val="es-ES"/>
        </w:rPr>
        <w:t xml:space="preserve">C-605 del 27 de junio de 2025, </w:t>
      </w:r>
      <w:r w:rsidRPr="00B57A1B">
        <w:rPr>
          <w:rFonts w:ascii="Verdana" w:hAnsi="Verdana" w:cs="Arial"/>
          <w:shd w:val="clear" w:color="auto" w:fill="FFFFFF"/>
        </w:rPr>
        <w:t>C-1046 del 9 de septiembre de 2025</w:t>
      </w:r>
      <w:r>
        <w:rPr>
          <w:rFonts w:ascii="Verdana" w:hAnsi="Verdana" w:cs="Arial"/>
          <w:shd w:val="clear" w:color="auto" w:fill="FFFFFF"/>
        </w:rPr>
        <w:t>, C-1152 del 23 de septiembre de 2025</w:t>
      </w:r>
      <w:r>
        <w:rPr>
          <w:rFonts w:ascii="Verdana" w:hAnsi="Verdana" w:cs="Arial"/>
          <w:shd w:val="clear" w:color="auto" w:fill="FFFFFF"/>
          <w:lang w:val="es-ES"/>
        </w:rPr>
        <w:t>, entre otros.</w:t>
      </w:r>
      <w:r w:rsidRPr="00C45C5D">
        <w:rPr>
          <w:rFonts w:ascii="Verdana" w:hAnsi="Verdana" w:cs="Arial"/>
          <w:shd w:val="clear" w:color="auto" w:fill="FFFFFF"/>
          <w:lang w:val="es-ES"/>
        </w:rPr>
        <w:t xml:space="preserve"> </w:t>
      </w:r>
      <w:r w:rsidRPr="00392E13">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340F7AB" w14:textId="77777777" w:rsidR="00475DAF" w:rsidRPr="00392E13" w:rsidRDefault="00475DAF" w:rsidP="00475DAF">
      <w:pPr>
        <w:spacing w:after="0" w:line="256" w:lineRule="auto"/>
        <w:jc w:val="both"/>
        <w:rPr>
          <w:rFonts w:ascii="Verdana" w:eastAsia="Calibri" w:hAnsi="Verdana" w:cs="Times New Roman"/>
        </w:rPr>
      </w:pPr>
      <w:hyperlink r:id="rId15" w:history="1">
        <w:r w:rsidRPr="00E47CAB">
          <w:rPr>
            <w:rStyle w:val="Hipervnculo"/>
            <w:rFonts w:ascii="Verdana" w:hAnsi="Verdana"/>
          </w:rPr>
          <w:t>https://www.colombiacompra.gov.co/normativa-y-relatoria/conoce-la-relatoria</w:t>
        </w:r>
      </w:hyperlink>
      <w:r w:rsidRPr="00E47CAB">
        <w:rPr>
          <w:rFonts w:ascii="Verdana" w:hAnsi="Verdana"/>
        </w:rPr>
        <w:t xml:space="preserve"> </w:t>
      </w:r>
    </w:p>
    <w:p w14:paraId="4E6A57E0" w14:textId="77777777" w:rsidR="00475DAF" w:rsidRPr="009563E7" w:rsidRDefault="00475DAF" w:rsidP="00475DAF">
      <w:pPr>
        <w:widowControl w:val="0"/>
        <w:autoSpaceDE w:val="0"/>
        <w:autoSpaceDN w:val="0"/>
        <w:spacing w:after="0" w:line="276" w:lineRule="auto"/>
        <w:jc w:val="both"/>
        <w:rPr>
          <w:rFonts w:ascii="Verdana" w:hAnsi="Verdana"/>
        </w:rPr>
      </w:pPr>
    </w:p>
    <w:p w14:paraId="60BA16C6" w14:textId="77777777" w:rsidR="00475DAF" w:rsidRPr="00EC0E3F" w:rsidRDefault="00475DAF" w:rsidP="00475DAF">
      <w:pPr>
        <w:spacing w:after="0" w:line="256" w:lineRule="auto"/>
        <w:jc w:val="both"/>
        <w:rPr>
          <w:rFonts w:ascii="Verdana" w:eastAsia="Calibri" w:hAnsi="Verdana" w:cs="Times New Roman"/>
        </w:rPr>
      </w:pPr>
      <w:r w:rsidRPr="00EC0E3F">
        <w:rPr>
          <w:rFonts w:ascii="Verdana" w:eastAsia="Calibri" w:hAnsi="Verdana" w:cs="Times New Roman"/>
        </w:rPr>
        <w:t xml:space="preserve">Te informamos que ya se encuentra disponible la </w:t>
      </w:r>
      <w:r w:rsidRPr="00EC0E3F">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C0E3F">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C0E3F">
        <w:rPr>
          <w:rFonts w:ascii="Verdana" w:eastAsia="Calibri" w:hAnsi="Verdana" w:cs="Times New Roman"/>
        </w:rPr>
        <w:t>Wayúu</w:t>
      </w:r>
      <w:proofErr w:type="spellEnd"/>
      <w:r w:rsidRPr="00EC0E3F">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5E088112" w14:textId="77777777" w:rsidR="00475DAF" w:rsidRPr="009563E7" w:rsidRDefault="00475DAF" w:rsidP="00475DAF">
      <w:pPr>
        <w:spacing w:after="0" w:line="276" w:lineRule="auto"/>
        <w:jc w:val="both"/>
        <w:rPr>
          <w:rFonts w:ascii="Verdana" w:hAnsi="Verdana"/>
        </w:rPr>
      </w:pPr>
    </w:p>
    <w:p w14:paraId="074C72E6" w14:textId="77777777" w:rsidR="00475DAF" w:rsidRPr="009563E7" w:rsidRDefault="00475DAF" w:rsidP="00475DAF">
      <w:pPr>
        <w:spacing w:after="0" w:line="276" w:lineRule="auto"/>
        <w:jc w:val="both"/>
        <w:rPr>
          <w:rFonts w:ascii="Verdana" w:eastAsia="Calibri" w:hAnsi="Verdana" w:cs="Times New Roman"/>
          <w:bCs/>
          <w:lang w:val="es-ES_tradnl"/>
        </w:rPr>
      </w:pPr>
      <w:r w:rsidRPr="009563E7">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AE08F7D" w14:textId="77777777" w:rsidR="00475DAF" w:rsidRPr="009563E7" w:rsidRDefault="00475DAF" w:rsidP="00475DAF">
      <w:pPr>
        <w:spacing w:after="0" w:line="276" w:lineRule="auto"/>
        <w:jc w:val="both"/>
        <w:rPr>
          <w:rFonts w:ascii="Verdana" w:hAnsi="Verdana"/>
        </w:rPr>
      </w:pPr>
    </w:p>
    <w:p w14:paraId="33ED6F26" w14:textId="77777777" w:rsidR="00475DAF" w:rsidRPr="00D47296" w:rsidRDefault="00475DAF" w:rsidP="00475DAF">
      <w:pPr>
        <w:spacing w:after="0" w:line="276" w:lineRule="auto"/>
        <w:jc w:val="both"/>
        <w:rPr>
          <w:rFonts w:ascii="Verdana" w:hAnsi="Verdana"/>
          <w:lang w:val="es-MX"/>
        </w:rPr>
      </w:pPr>
      <w:r w:rsidRPr="009563E7">
        <w:rPr>
          <w:rFonts w:ascii="Verdana" w:hAnsi="Verdana"/>
          <w:lang w:val="es-MX"/>
        </w:rPr>
        <w:t>Cordialmente,</w:t>
      </w:r>
    </w:p>
    <w:p w14:paraId="36CDDC3F" w14:textId="51D227A9" w:rsidR="00475DAF" w:rsidRDefault="00475DAF" w:rsidP="00475DAF">
      <w:pPr>
        <w:spacing w:after="0" w:line="256" w:lineRule="auto"/>
        <w:jc w:val="center"/>
        <w:rPr>
          <w:noProof/>
          <w:lang w:val="en-US"/>
        </w:rPr>
      </w:pPr>
    </w:p>
    <w:p w14:paraId="064869FF" w14:textId="4504E961" w:rsidR="004C0F29" w:rsidRPr="00DB7367" w:rsidRDefault="004C0F29" w:rsidP="00475DAF">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687A054E" wp14:editId="2C2A5DB9">
            <wp:extent cx="3279697" cy="121746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12722" cy="1229722"/>
                    </a:xfrm>
                    <a:prstGeom prst="rect">
                      <a:avLst/>
                    </a:prstGeom>
                  </pic:spPr>
                </pic:pic>
              </a:graphicData>
            </a:graphic>
          </wp:inline>
        </w:drawing>
      </w:r>
    </w:p>
    <w:p w14:paraId="128735C1" w14:textId="77777777" w:rsidR="00475DAF" w:rsidRPr="00DB7367" w:rsidRDefault="00475DAF" w:rsidP="00475DAF">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75DAF" w:rsidRPr="00DB7367" w14:paraId="75D1E2C0" w14:textId="77777777" w:rsidTr="005F31E7">
        <w:trPr>
          <w:trHeight w:val="409"/>
        </w:trPr>
        <w:tc>
          <w:tcPr>
            <w:tcW w:w="817" w:type="dxa"/>
            <w:tcBorders>
              <w:top w:val="nil"/>
              <w:left w:val="nil"/>
              <w:bottom w:val="nil"/>
              <w:right w:val="nil"/>
            </w:tcBorders>
            <w:vAlign w:val="center"/>
            <w:hideMark/>
          </w:tcPr>
          <w:p w14:paraId="6825F0EC" w14:textId="77777777" w:rsidR="00475DAF" w:rsidRPr="00DB7367" w:rsidRDefault="00475DAF" w:rsidP="005F31E7">
            <w:pPr>
              <w:spacing w:after="0" w:line="256" w:lineRule="auto"/>
              <w:rPr>
                <w:rFonts w:ascii="Verdana" w:eastAsia="Calibri" w:hAnsi="Verdana" w:cs="Times New Roman"/>
                <w:sz w:val="16"/>
                <w:szCs w:val="16"/>
              </w:rPr>
            </w:pPr>
            <w:r w:rsidRPr="00DB7367">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2987656" w14:textId="77777777" w:rsidR="00475DAF" w:rsidRPr="00DB7367" w:rsidRDefault="00475DAF" w:rsidP="005F31E7">
            <w:pPr>
              <w:spacing w:after="0" w:line="256" w:lineRule="auto"/>
              <w:rPr>
                <w:rFonts w:ascii="Verdana" w:eastAsia="Calibri" w:hAnsi="Verdana" w:cs="Times New Roman"/>
                <w:sz w:val="16"/>
                <w:szCs w:val="16"/>
              </w:rPr>
            </w:pPr>
            <w:r w:rsidRPr="00DB7367">
              <w:rPr>
                <w:rFonts w:ascii="Verdana" w:eastAsia="Calibri" w:hAnsi="Verdana" w:cs="Times New Roman"/>
                <w:sz w:val="16"/>
                <w:szCs w:val="16"/>
              </w:rPr>
              <w:t>José Luis Sánchez Cardona</w:t>
            </w:r>
          </w:p>
          <w:p w14:paraId="7E008A98" w14:textId="77777777" w:rsidR="00475DAF" w:rsidRPr="00DB7367" w:rsidRDefault="00475DAF" w:rsidP="005F31E7">
            <w:pPr>
              <w:spacing w:after="0" w:line="256" w:lineRule="auto"/>
              <w:rPr>
                <w:rFonts w:ascii="Verdana" w:eastAsia="Calibri" w:hAnsi="Verdana" w:cs="Times New Roman"/>
                <w:sz w:val="16"/>
                <w:szCs w:val="16"/>
              </w:rPr>
            </w:pPr>
            <w:r w:rsidRPr="00DB7367">
              <w:rPr>
                <w:rFonts w:ascii="Verdana" w:eastAsia="Calibri" w:hAnsi="Verdana" w:cs="Times New Roman"/>
                <w:sz w:val="16"/>
                <w:szCs w:val="16"/>
              </w:rPr>
              <w:t>Contratista de la Subdirección de Gestión Contractual</w:t>
            </w:r>
          </w:p>
        </w:tc>
      </w:tr>
      <w:tr w:rsidR="00475DAF" w:rsidRPr="00DB7367" w14:paraId="70127E53" w14:textId="77777777" w:rsidTr="005F31E7">
        <w:trPr>
          <w:trHeight w:val="409"/>
        </w:trPr>
        <w:tc>
          <w:tcPr>
            <w:tcW w:w="817" w:type="dxa"/>
            <w:tcBorders>
              <w:top w:val="nil"/>
              <w:left w:val="nil"/>
              <w:bottom w:val="nil"/>
              <w:right w:val="nil"/>
            </w:tcBorders>
            <w:vAlign w:val="center"/>
            <w:hideMark/>
          </w:tcPr>
          <w:p w14:paraId="0FF4D192" w14:textId="77777777" w:rsidR="00475DAF" w:rsidRPr="00DB7367" w:rsidRDefault="00475DAF" w:rsidP="005F31E7">
            <w:pPr>
              <w:spacing w:after="0" w:line="256" w:lineRule="auto"/>
              <w:rPr>
                <w:rFonts w:ascii="Verdana" w:eastAsia="Calibri" w:hAnsi="Verdana" w:cs="Times New Roman"/>
                <w:sz w:val="16"/>
                <w:szCs w:val="16"/>
              </w:rPr>
            </w:pPr>
            <w:r w:rsidRPr="00DB7367">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E187E38" w14:textId="77777777" w:rsidR="00475DAF" w:rsidRPr="00DB7367" w:rsidRDefault="00475DAF" w:rsidP="005F31E7">
            <w:pPr>
              <w:spacing w:after="0" w:line="256" w:lineRule="auto"/>
              <w:rPr>
                <w:rFonts w:ascii="Verdana" w:eastAsia="Calibri" w:hAnsi="Verdana" w:cs="Times New Roman"/>
                <w:sz w:val="16"/>
                <w:szCs w:val="16"/>
              </w:rPr>
            </w:pPr>
            <w:r w:rsidRPr="00DB7367">
              <w:rPr>
                <w:rFonts w:ascii="Verdana" w:eastAsia="Calibri" w:hAnsi="Verdana" w:cs="Times New Roman"/>
                <w:sz w:val="16"/>
                <w:szCs w:val="16"/>
              </w:rPr>
              <w:t>Alejandro Sarmiento Cantillo</w:t>
            </w:r>
          </w:p>
          <w:p w14:paraId="4CAEFC51" w14:textId="77777777" w:rsidR="00475DAF" w:rsidRPr="00DB7367" w:rsidRDefault="00475DAF" w:rsidP="005F31E7">
            <w:pPr>
              <w:spacing w:after="0" w:line="256" w:lineRule="auto"/>
              <w:rPr>
                <w:rFonts w:ascii="Verdana" w:eastAsia="Calibri" w:hAnsi="Verdana" w:cs="Times New Roman"/>
                <w:sz w:val="16"/>
                <w:szCs w:val="16"/>
              </w:rPr>
            </w:pPr>
            <w:r w:rsidRPr="00DB7367">
              <w:rPr>
                <w:rFonts w:ascii="Verdana" w:eastAsia="Calibri" w:hAnsi="Verdana" w:cs="Times New Roman"/>
                <w:sz w:val="16"/>
                <w:szCs w:val="16"/>
              </w:rPr>
              <w:t>Gestor T1-15 de la Subdirección de Gestión Contractual </w:t>
            </w:r>
          </w:p>
        </w:tc>
      </w:tr>
      <w:tr w:rsidR="00475DAF" w:rsidRPr="00DB7367" w14:paraId="7775E756" w14:textId="77777777" w:rsidTr="005F31E7">
        <w:trPr>
          <w:trHeight w:val="389"/>
        </w:trPr>
        <w:tc>
          <w:tcPr>
            <w:tcW w:w="817" w:type="dxa"/>
            <w:tcBorders>
              <w:top w:val="nil"/>
              <w:left w:val="nil"/>
              <w:bottom w:val="nil"/>
              <w:right w:val="nil"/>
            </w:tcBorders>
            <w:vAlign w:val="center"/>
            <w:hideMark/>
          </w:tcPr>
          <w:p w14:paraId="10851A42" w14:textId="77777777" w:rsidR="00475DAF" w:rsidRPr="00DB7367" w:rsidRDefault="00475DAF" w:rsidP="005F31E7">
            <w:pPr>
              <w:spacing w:after="0" w:line="256" w:lineRule="auto"/>
              <w:rPr>
                <w:rFonts w:ascii="Verdana" w:eastAsia="Calibri" w:hAnsi="Verdana" w:cs="Times New Roman"/>
                <w:sz w:val="16"/>
                <w:szCs w:val="16"/>
              </w:rPr>
            </w:pPr>
            <w:r w:rsidRPr="00DB7367">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D4D233A" w14:textId="77777777" w:rsidR="00475DAF" w:rsidRPr="00DB7367" w:rsidRDefault="00475DAF" w:rsidP="005F31E7">
            <w:pPr>
              <w:spacing w:after="0" w:line="256" w:lineRule="auto"/>
              <w:rPr>
                <w:rFonts w:ascii="Verdana" w:eastAsia="Calibri" w:hAnsi="Verdana" w:cs="Times New Roman"/>
                <w:sz w:val="16"/>
                <w:szCs w:val="16"/>
              </w:rPr>
            </w:pPr>
            <w:r w:rsidRPr="00DB7367">
              <w:rPr>
                <w:rFonts w:ascii="Verdana" w:eastAsia="Calibri" w:hAnsi="Verdana" w:cs="Times New Roman"/>
                <w:sz w:val="16"/>
                <w:szCs w:val="16"/>
              </w:rPr>
              <w:t xml:space="preserve">Carolina Quintero </w:t>
            </w:r>
            <w:proofErr w:type="spellStart"/>
            <w:r w:rsidRPr="00DB7367">
              <w:rPr>
                <w:rFonts w:ascii="Verdana" w:eastAsia="Calibri" w:hAnsi="Verdana" w:cs="Times New Roman"/>
                <w:sz w:val="16"/>
                <w:szCs w:val="16"/>
              </w:rPr>
              <w:t>Gacharná</w:t>
            </w:r>
            <w:proofErr w:type="spellEnd"/>
          </w:p>
          <w:p w14:paraId="734D4C52" w14:textId="77777777" w:rsidR="00475DAF" w:rsidRPr="00DB7367" w:rsidRDefault="00475DAF" w:rsidP="005F31E7">
            <w:pPr>
              <w:spacing w:after="0" w:line="256" w:lineRule="auto"/>
              <w:rPr>
                <w:rFonts w:ascii="Verdana" w:eastAsia="Calibri" w:hAnsi="Verdana" w:cs="Times New Roman"/>
                <w:sz w:val="16"/>
                <w:szCs w:val="16"/>
              </w:rPr>
            </w:pPr>
            <w:r w:rsidRPr="00DB7367">
              <w:rPr>
                <w:rFonts w:ascii="Verdana" w:eastAsia="Calibri" w:hAnsi="Verdana" w:cs="Times New Roman"/>
                <w:sz w:val="16"/>
                <w:szCs w:val="16"/>
              </w:rPr>
              <w:t>Subdirectora de Gestión Contractual ANCP – CCE</w:t>
            </w:r>
          </w:p>
        </w:tc>
      </w:tr>
      <w:bookmarkEnd w:id="0"/>
    </w:tbl>
    <w:p w14:paraId="0138D0B2" w14:textId="77777777" w:rsidR="00475DAF" w:rsidRPr="0044528D" w:rsidRDefault="00475DAF" w:rsidP="00475DAF">
      <w:pPr>
        <w:spacing w:after="0"/>
        <w:rPr>
          <w:rFonts w:ascii="Verdana" w:hAnsi="Verdana"/>
        </w:rPr>
      </w:pPr>
    </w:p>
    <w:p w14:paraId="0F293BF4" w14:textId="7E84C67D" w:rsidR="00127233" w:rsidRPr="00475DAF" w:rsidRDefault="00127233" w:rsidP="00475DAF"/>
    <w:sectPr w:rsidR="00127233" w:rsidRPr="00475DAF"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1881A" w14:textId="77777777" w:rsidR="00E369F1" w:rsidRDefault="00E369F1" w:rsidP="004A1847">
      <w:pPr>
        <w:spacing w:after="0" w:line="240" w:lineRule="auto"/>
      </w:pPr>
      <w:r>
        <w:separator/>
      </w:r>
    </w:p>
  </w:endnote>
  <w:endnote w:type="continuationSeparator" w:id="0">
    <w:p w14:paraId="46A41176" w14:textId="77777777" w:rsidR="00E369F1" w:rsidRDefault="00E369F1" w:rsidP="004A1847">
      <w:pPr>
        <w:spacing w:after="0" w:line="240" w:lineRule="auto"/>
      </w:pPr>
      <w:r>
        <w:continuationSeparator/>
      </w:r>
    </w:p>
  </w:endnote>
  <w:endnote w:type="continuationNotice" w:id="1">
    <w:p w14:paraId="411EB156" w14:textId="77777777" w:rsidR="00E369F1" w:rsidRDefault="00E369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Weiss">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2F4280" w:rsidRDefault="002F4280">
    <w:pPr>
      <w:pStyle w:val="Piedepgina"/>
    </w:pPr>
  </w:p>
  <w:p w14:paraId="594D6D9F" w14:textId="6A69D999" w:rsidR="002F4280" w:rsidRPr="00174B77" w:rsidRDefault="002F428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1C01E9" w:rsidRPr="001C01E9">
      <w:rPr>
        <w:rFonts w:ascii="Verdana" w:eastAsiaTheme="minorEastAsia" w:hAnsi="Verdana"/>
        <w:b/>
        <w:bCs/>
        <w:noProof/>
        <w:sz w:val="16"/>
        <w:szCs w:val="16"/>
      </w:rPr>
      <w:t>25</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2F4280" w:rsidRDefault="002F428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2F4280" w:rsidRPr="00E41027" w:rsidRDefault="002F4280"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2F4280" w:rsidRDefault="002F428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EB47A" w14:textId="77777777" w:rsidR="00E369F1" w:rsidRDefault="00E369F1" w:rsidP="004A1847">
      <w:pPr>
        <w:spacing w:after="0" w:line="240" w:lineRule="auto"/>
      </w:pPr>
      <w:r>
        <w:separator/>
      </w:r>
    </w:p>
  </w:footnote>
  <w:footnote w:type="continuationSeparator" w:id="0">
    <w:p w14:paraId="59B38FD1" w14:textId="77777777" w:rsidR="00E369F1" w:rsidRDefault="00E369F1" w:rsidP="004A1847">
      <w:pPr>
        <w:spacing w:after="0" w:line="240" w:lineRule="auto"/>
      </w:pPr>
      <w:r>
        <w:continuationSeparator/>
      </w:r>
    </w:p>
  </w:footnote>
  <w:footnote w:type="continuationNotice" w:id="1">
    <w:p w14:paraId="3A11A0C3" w14:textId="77777777" w:rsidR="00E369F1" w:rsidRDefault="00E369F1">
      <w:pPr>
        <w:spacing w:after="0" w:line="240" w:lineRule="auto"/>
      </w:pPr>
    </w:p>
  </w:footnote>
  <w:footnote w:id="2">
    <w:p w14:paraId="0EC02F58" w14:textId="77777777" w:rsidR="00475DAF" w:rsidRPr="00B91C08" w:rsidRDefault="00475DAF" w:rsidP="00475DAF">
      <w:pPr>
        <w:pStyle w:val="Textonotapie"/>
        <w:ind w:firstLine="708"/>
        <w:jc w:val="both"/>
        <w:rPr>
          <w:rFonts w:ascii="Verdana" w:hAnsi="Verdana" w:cs="Arial"/>
          <w:sz w:val="16"/>
          <w:szCs w:val="16"/>
        </w:rPr>
      </w:pPr>
      <w:r w:rsidRPr="00B91C08">
        <w:rPr>
          <w:rFonts w:ascii="Verdana" w:hAnsi="Verdana"/>
          <w:sz w:val="16"/>
          <w:szCs w:val="16"/>
          <w:vertAlign w:val="superscript"/>
        </w:rPr>
        <w:footnoteRef/>
      </w:r>
      <w:r w:rsidRPr="00B91C08">
        <w:rPr>
          <w:rFonts w:ascii="Verdana" w:hAnsi="Verdana" w:cs="Arial"/>
          <w:sz w:val="16"/>
          <w:szCs w:val="16"/>
        </w:rPr>
        <w:t xml:space="preserve"> Corte Constitucional, Sentencia C-449 de 1992, y Consejo de Estado, Sala de lo Contencioso Administrativo, Sección Tercera, Sentencia del 3 de diciembre de 2007, expedientes acumulados: (25206, 25409, 24524, 27834, 25410, 26105, 28244, 31447).</w:t>
      </w:r>
    </w:p>
  </w:footnote>
  <w:footnote w:id="3">
    <w:p w14:paraId="7DE4F11F" w14:textId="77777777" w:rsidR="00475DAF" w:rsidRPr="00B91C08" w:rsidRDefault="00475DAF" w:rsidP="00475DAF">
      <w:pPr>
        <w:pStyle w:val="Textonotapie"/>
        <w:ind w:firstLine="708"/>
        <w:jc w:val="both"/>
        <w:rPr>
          <w:rFonts w:ascii="Verdana" w:hAnsi="Verdana" w:cs="Arial"/>
          <w:sz w:val="16"/>
          <w:szCs w:val="16"/>
        </w:rPr>
      </w:pPr>
      <w:r w:rsidRPr="00B91C08">
        <w:rPr>
          <w:rFonts w:ascii="Verdana" w:hAnsi="Verdana"/>
          <w:sz w:val="16"/>
          <w:szCs w:val="16"/>
          <w:vertAlign w:val="superscript"/>
        </w:rPr>
        <w:footnoteRef/>
      </w:r>
      <w:r w:rsidRPr="00B91C08">
        <w:rPr>
          <w:rFonts w:ascii="Verdana" w:hAnsi="Verdana" w:cs="Arial"/>
          <w:sz w:val="16"/>
          <w:szCs w:val="16"/>
          <w:vertAlign w:val="superscript"/>
        </w:rPr>
        <w:t xml:space="preserve"> </w:t>
      </w:r>
      <w:r w:rsidRPr="00B91C08">
        <w:rPr>
          <w:rFonts w:ascii="Verdana" w:hAnsi="Verdana" w:cs="Arial"/>
          <w:sz w:val="16"/>
          <w:szCs w:val="16"/>
        </w:rPr>
        <w:t>DÁVILA VINUEZA. Luis Guillermo. Régimen jurídico de la contratación estatal. 3ª ed. Bogotá: Temis, 2016. p. 494</w:t>
      </w:r>
    </w:p>
  </w:footnote>
  <w:footnote w:id="4">
    <w:p w14:paraId="53032E44" w14:textId="77777777" w:rsidR="00475DAF" w:rsidRPr="00B91C08" w:rsidRDefault="00475DAF" w:rsidP="00475DAF">
      <w:pPr>
        <w:spacing w:after="0" w:line="240" w:lineRule="auto"/>
        <w:ind w:firstLine="709"/>
        <w:contextualSpacing/>
        <w:jc w:val="both"/>
        <w:rPr>
          <w:rFonts w:ascii="Verdana" w:hAnsi="Verdana" w:cs="Arial"/>
          <w:sz w:val="16"/>
          <w:szCs w:val="16"/>
        </w:rPr>
      </w:pPr>
      <w:r w:rsidRPr="00B91C08">
        <w:rPr>
          <w:rStyle w:val="Refdenotaalpie"/>
          <w:rFonts w:ascii="Verdana" w:hAnsi="Verdana" w:cs="Arial"/>
          <w:sz w:val="16"/>
          <w:szCs w:val="16"/>
        </w:rPr>
        <w:footnoteRef/>
      </w:r>
      <w:r w:rsidRPr="00B91C08">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B91C08">
        <w:rPr>
          <w:rFonts w:ascii="Verdana" w:hAnsi="Verdana" w:cs="Arial"/>
          <w:spacing w:val="-6"/>
          <w:sz w:val="16"/>
          <w:szCs w:val="16"/>
        </w:rPr>
        <w:t xml:space="preserve"> </w:t>
      </w:r>
      <w:r w:rsidRPr="00B91C08">
        <w:rPr>
          <w:rFonts w:ascii="Verdana" w:hAnsi="Verdana" w:cs="Arial"/>
          <w:sz w:val="16"/>
          <w:szCs w:val="16"/>
        </w:rPr>
        <w:t>artículo”.</w:t>
      </w:r>
    </w:p>
  </w:footnote>
  <w:footnote w:id="5">
    <w:p w14:paraId="3C12D838" w14:textId="77777777" w:rsidR="00475DAF" w:rsidRPr="00161BD7" w:rsidRDefault="00475DAF" w:rsidP="00475DAF">
      <w:pPr>
        <w:pStyle w:val="Textonotapie"/>
        <w:ind w:firstLine="708"/>
        <w:rPr>
          <w:rFonts w:ascii="Verdana" w:hAnsi="Verdana"/>
          <w:sz w:val="16"/>
          <w:szCs w:val="16"/>
        </w:rPr>
      </w:pPr>
      <w:r w:rsidRPr="00161BD7">
        <w:rPr>
          <w:rStyle w:val="Refdenotaalpie"/>
          <w:rFonts w:ascii="Verdana" w:hAnsi="Verdana"/>
          <w:sz w:val="16"/>
          <w:szCs w:val="16"/>
        </w:rPr>
        <w:footnoteRef/>
      </w:r>
      <w:r w:rsidRPr="00161BD7">
        <w:rPr>
          <w:rFonts w:ascii="Verdana" w:hAnsi="Verdana"/>
          <w:sz w:val="16"/>
          <w:szCs w:val="16"/>
          <w:lang w:val="pt-BR"/>
        </w:rPr>
        <w:t xml:space="preserve"> Corte Constitucional. Sentencia C-671 de 2005. </w:t>
      </w:r>
      <w:r w:rsidRPr="00161BD7">
        <w:rPr>
          <w:rFonts w:ascii="Verdana" w:hAnsi="Verdana"/>
          <w:sz w:val="16"/>
          <w:szCs w:val="16"/>
        </w:rPr>
        <w:t xml:space="preserve">M.P. Álvaro Tafur Galvis. </w:t>
      </w:r>
    </w:p>
  </w:footnote>
  <w:footnote w:id="6">
    <w:p w14:paraId="39FDBD4D" w14:textId="77777777" w:rsidR="00475DAF" w:rsidRPr="00B91C08" w:rsidRDefault="00475DAF" w:rsidP="00475DAF">
      <w:pPr>
        <w:pStyle w:val="Textonotapie"/>
        <w:ind w:firstLine="708"/>
        <w:jc w:val="both"/>
        <w:rPr>
          <w:rFonts w:ascii="Verdana" w:hAnsi="Verdana"/>
          <w:sz w:val="16"/>
          <w:szCs w:val="16"/>
          <w:lang w:val="es-CO"/>
        </w:rPr>
      </w:pPr>
      <w:r w:rsidRPr="00B91C08">
        <w:rPr>
          <w:rStyle w:val="Refdenotaalpie"/>
          <w:rFonts w:ascii="Verdana" w:hAnsi="Verdana"/>
          <w:sz w:val="16"/>
          <w:szCs w:val="16"/>
        </w:rPr>
        <w:footnoteRef/>
      </w:r>
      <w:r w:rsidRPr="00B91C08">
        <w:rPr>
          <w:rFonts w:ascii="Verdana" w:hAnsi="Verdana"/>
          <w:sz w:val="16"/>
          <w:szCs w:val="16"/>
        </w:rPr>
        <w:t xml:space="preserve"> </w:t>
      </w:r>
      <w:r>
        <w:rPr>
          <w:rFonts w:ascii="Verdana" w:hAnsi="Verdana"/>
          <w:sz w:val="16"/>
          <w:szCs w:val="16"/>
          <w:lang w:val="es-CO"/>
        </w:rPr>
        <w:t>Consejo d</w:t>
      </w:r>
      <w:r w:rsidRPr="00B91C08">
        <w:rPr>
          <w:rFonts w:ascii="Verdana" w:hAnsi="Verdana"/>
          <w:sz w:val="16"/>
          <w:szCs w:val="16"/>
          <w:lang w:val="es-CO"/>
        </w:rPr>
        <w:t>e Estado</w:t>
      </w:r>
      <w:r>
        <w:rPr>
          <w:rFonts w:ascii="Verdana" w:hAnsi="Verdana"/>
          <w:sz w:val="16"/>
          <w:szCs w:val="16"/>
          <w:lang w:val="es-CO"/>
        </w:rPr>
        <w:t>.</w:t>
      </w:r>
      <w:r w:rsidRPr="00B91C08">
        <w:rPr>
          <w:rFonts w:ascii="Verdana" w:hAnsi="Verdana"/>
          <w:sz w:val="16"/>
          <w:szCs w:val="16"/>
          <w:lang w:val="es-CO"/>
        </w:rPr>
        <w:t xml:space="preserve"> Sala de Consulta y Servicio Civil. Concepto no. 2257 del 26 de julio de 2016, C.P. Álvaro Namén Vargas; CONSEJO DE ESTADO, Sección Tercera, Subsección A. Sentencia del 23 de junio de 2010. C.P. Mauricio Fajardo Gómez. Exp 17860; Sección Tercera. Auto del 4 de octubre de 2024. C.P. Fredy Ibarra Martínez. Exp </w:t>
      </w:r>
      <w:r w:rsidRPr="00B91C08">
        <w:rPr>
          <w:rFonts w:ascii="Verdana" w:hAnsi="Verdana"/>
          <w:bCs/>
          <w:sz w:val="16"/>
          <w:szCs w:val="16"/>
        </w:rPr>
        <w:t xml:space="preserve">70313. </w:t>
      </w:r>
    </w:p>
  </w:footnote>
  <w:footnote w:id="7">
    <w:p w14:paraId="56540E76" w14:textId="77777777" w:rsidR="00475DAF" w:rsidRPr="00B91C08" w:rsidRDefault="00475DAF" w:rsidP="00475DAF">
      <w:pPr>
        <w:pStyle w:val="Textonotapie"/>
        <w:ind w:firstLine="708"/>
        <w:jc w:val="both"/>
        <w:rPr>
          <w:rFonts w:ascii="Verdana" w:hAnsi="Verdana"/>
          <w:sz w:val="16"/>
          <w:szCs w:val="16"/>
          <w:lang w:val="es-CO"/>
        </w:rPr>
      </w:pPr>
      <w:r w:rsidRPr="00B91C08">
        <w:rPr>
          <w:rStyle w:val="Refdenotaalpie"/>
          <w:rFonts w:ascii="Verdana" w:hAnsi="Verdana"/>
          <w:sz w:val="16"/>
          <w:szCs w:val="16"/>
        </w:rPr>
        <w:footnoteRef/>
      </w:r>
      <w:r w:rsidRPr="00B91C08">
        <w:rPr>
          <w:rFonts w:ascii="Verdana" w:hAnsi="Verdana"/>
          <w:sz w:val="16"/>
          <w:szCs w:val="16"/>
        </w:rPr>
        <w:t xml:space="preserve"> SANTOS RODRÍGUEZ, Jorge Enrique. Consideraciones sobre los contratos y convenios interadministrativos. En: Revista Digital de Derecho Administrativo, 2008. p.p. 10-11. De igual forma, Augusto Ramón Chavéz Marín expresa: “</w:t>
      </w:r>
      <w:r w:rsidRPr="00B91C08">
        <w:rPr>
          <w:rFonts w:ascii="Verdana" w:hAnsi="Verdana"/>
          <w:sz w:val="16"/>
          <w:szCs w:val="16"/>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footnote>
  <w:footnote w:id="8">
    <w:p w14:paraId="71BB9663" w14:textId="77777777" w:rsidR="00475DAF" w:rsidRPr="00B91C08" w:rsidRDefault="00475DAF" w:rsidP="00475DAF">
      <w:pPr>
        <w:pStyle w:val="Textonotapie"/>
        <w:ind w:firstLine="708"/>
        <w:jc w:val="both"/>
        <w:rPr>
          <w:rFonts w:ascii="Verdana" w:hAnsi="Verdana"/>
          <w:sz w:val="16"/>
          <w:szCs w:val="16"/>
          <w:lang w:val="es-ES"/>
        </w:rPr>
      </w:pPr>
      <w:r w:rsidRPr="00B91C08">
        <w:rPr>
          <w:rStyle w:val="Refdenotaalpie"/>
          <w:rFonts w:ascii="Verdana" w:hAnsi="Verdana"/>
          <w:sz w:val="16"/>
          <w:szCs w:val="16"/>
        </w:rPr>
        <w:footnoteRef/>
      </w:r>
      <w:r w:rsidRPr="00B91C08">
        <w:rPr>
          <w:rFonts w:ascii="Verdana" w:hAnsi="Verdana"/>
          <w:sz w:val="16"/>
          <w:szCs w:val="16"/>
        </w:rPr>
        <w:t xml:space="preserve"> </w:t>
      </w:r>
      <w:r>
        <w:rPr>
          <w:rFonts w:ascii="Verdana" w:hAnsi="Verdana"/>
          <w:sz w:val="16"/>
          <w:szCs w:val="16"/>
        </w:rPr>
        <w:t>Consejo d</w:t>
      </w:r>
      <w:r w:rsidRPr="00B91C08">
        <w:rPr>
          <w:rFonts w:ascii="Verdana" w:hAnsi="Verdana"/>
          <w:sz w:val="16"/>
          <w:szCs w:val="16"/>
        </w:rPr>
        <w:t>e Estado. Sección Tercera, Subsección A. Sentencia del 25 de mayo de 2025. C.P. María Adriana Marín Hernández. Exp. 70.504; Sección Tercera, Subsección A. Sentencia del 16 de agosto de 2022, C.P.: María Adriana Marín. Exp. 60434.</w:t>
      </w:r>
    </w:p>
  </w:footnote>
  <w:footnote w:id="9">
    <w:p w14:paraId="448545C8" w14:textId="77777777" w:rsidR="00475DAF" w:rsidRPr="00B91C08" w:rsidRDefault="00475DAF" w:rsidP="00475DAF">
      <w:pPr>
        <w:pStyle w:val="Textonotapie"/>
        <w:ind w:firstLine="708"/>
        <w:jc w:val="both"/>
        <w:rPr>
          <w:rFonts w:ascii="Verdana" w:hAnsi="Verdana"/>
          <w:sz w:val="16"/>
          <w:szCs w:val="16"/>
          <w:lang w:val="es-ES"/>
        </w:rPr>
      </w:pPr>
      <w:r w:rsidRPr="00B91C08">
        <w:rPr>
          <w:rStyle w:val="Refdenotaalpie"/>
          <w:rFonts w:ascii="Verdana" w:hAnsi="Verdana"/>
          <w:sz w:val="16"/>
          <w:szCs w:val="16"/>
        </w:rPr>
        <w:footnoteRef/>
      </w:r>
      <w:r w:rsidRPr="00B91C08">
        <w:rPr>
          <w:rFonts w:ascii="Verdana" w:hAnsi="Verdana"/>
          <w:sz w:val="16"/>
          <w:szCs w:val="16"/>
        </w:rPr>
        <w:t xml:space="preserve"> </w:t>
      </w:r>
      <w:r>
        <w:rPr>
          <w:rFonts w:ascii="Verdana" w:hAnsi="Verdana"/>
          <w:sz w:val="16"/>
          <w:szCs w:val="16"/>
          <w:lang w:val="es-CO"/>
        </w:rPr>
        <w:t>Consejo d</w:t>
      </w:r>
      <w:r w:rsidRPr="00B91C08">
        <w:rPr>
          <w:rFonts w:ascii="Verdana" w:hAnsi="Verdana"/>
          <w:sz w:val="16"/>
          <w:szCs w:val="16"/>
          <w:lang w:val="es-CO"/>
        </w:rPr>
        <w:t xml:space="preserve">e Estado. Sección Tercera, Subsección A. Sentencia del 14 de junio de 2019, C.P.: Marta Nubia Velásquez Rico. Rad.: 25000-23-37-000-2010-02552-01 (AP); Sección Tercera, Subsección A. Sentencia del 25 de mayo de 2025. C.P. María Adriana Marín Hernández. Exp. 70.504. </w:t>
      </w:r>
    </w:p>
  </w:footnote>
  <w:footnote w:id="10">
    <w:p w14:paraId="47D2E033" w14:textId="77777777" w:rsidR="00475DAF" w:rsidRPr="00B91C08" w:rsidRDefault="00475DAF" w:rsidP="00475DAF">
      <w:pPr>
        <w:spacing w:after="0" w:line="240" w:lineRule="auto"/>
        <w:ind w:firstLine="720"/>
        <w:jc w:val="both"/>
        <w:rPr>
          <w:rFonts w:ascii="Verdana" w:hAnsi="Verdana" w:cs="Arial"/>
          <w:sz w:val="16"/>
          <w:szCs w:val="16"/>
        </w:rPr>
      </w:pPr>
      <w:r w:rsidRPr="00B91C08">
        <w:rPr>
          <w:rStyle w:val="Refdenotaalpie"/>
          <w:rFonts w:ascii="Verdana" w:hAnsi="Verdana" w:cs="Arial"/>
          <w:sz w:val="16"/>
          <w:szCs w:val="16"/>
        </w:rPr>
        <w:footnoteRef/>
      </w:r>
      <w:r w:rsidRPr="00B91C08">
        <w:rPr>
          <w:rFonts w:ascii="Verdana" w:hAnsi="Verdana" w:cs="Arial"/>
          <w:sz w:val="16"/>
          <w:szCs w:val="16"/>
        </w:rP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p>
  </w:footnote>
  <w:footnote w:id="11">
    <w:p w14:paraId="7FEFD67F" w14:textId="77777777" w:rsidR="00475DAF" w:rsidRPr="00B91C08" w:rsidRDefault="00475DAF" w:rsidP="00475DAF">
      <w:pPr>
        <w:spacing w:after="0" w:line="240" w:lineRule="auto"/>
        <w:ind w:firstLine="720"/>
        <w:jc w:val="both"/>
        <w:rPr>
          <w:rFonts w:ascii="Verdana" w:hAnsi="Verdana" w:cs="Arial"/>
          <w:color w:val="000000"/>
          <w:sz w:val="16"/>
          <w:szCs w:val="16"/>
        </w:rPr>
      </w:pPr>
      <w:r w:rsidRPr="00B91C08">
        <w:rPr>
          <w:rStyle w:val="Refdenotaalpie"/>
          <w:rFonts w:ascii="Verdana" w:hAnsi="Verdana" w:cs="Arial"/>
          <w:sz w:val="16"/>
          <w:szCs w:val="16"/>
        </w:rPr>
        <w:footnoteRef/>
      </w:r>
      <w:r w:rsidRPr="00B91C08">
        <w:rPr>
          <w:rFonts w:ascii="Verdana" w:hAnsi="Verdana" w:cs="Arial"/>
          <w:sz w:val="16"/>
          <w:szCs w:val="16"/>
        </w:rPr>
        <w:t xml:space="preserve"> Ley 136 de 1994: </w:t>
      </w:r>
      <w:r w:rsidRPr="00B91C08">
        <w:rPr>
          <w:rFonts w:ascii="Verdana" w:hAnsi="Verdana" w:cs="Arial"/>
          <w:color w:val="000000"/>
          <w:sz w:val="16"/>
          <w:szCs w:val="16"/>
        </w:rPr>
        <w:t>“Artículo 150. Conformación y funcionamiento. Las asociaciones para su conformación y funcionamiento se sujetarán a las siguientes reglas:</w:t>
      </w:r>
    </w:p>
    <w:p w14:paraId="2F04BB67" w14:textId="77777777" w:rsidR="00475DAF" w:rsidRPr="00B91C08" w:rsidRDefault="00475DAF" w:rsidP="00475DAF">
      <w:pPr>
        <w:spacing w:after="0" w:line="240" w:lineRule="auto"/>
        <w:ind w:firstLine="720"/>
        <w:jc w:val="both"/>
        <w:rPr>
          <w:rFonts w:ascii="Verdana" w:hAnsi="Verdana" w:cs="Arial"/>
          <w:color w:val="000000"/>
          <w:sz w:val="16"/>
          <w:szCs w:val="16"/>
        </w:rPr>
      </w:pPr>
      <w:r w:rsidRPr="00B91C08">
        <w:rPr>
          <w:rFonts w:ascii="Verdana" w:hAnsi="Verdana" w:cs="Arial"/>
          <w:color w:val="000000"/>
          <w:sz w:val="16"/>
          <w:szCs w:val="16"/>
        </w:rPr>
        <w:t xml:space="preserve">1. Toda asociación de municipios será siempre voluntaria. </w:t>
      </w:r>
      <w:r w:rsidRPr="00B91C08">
        <w:rPr>
          <w:rFonts w:ascii="Verdana" w:hAnsi="Verdana" w:cs="Arial"/>
          <w:i/>
          <w:iCs/>
          <w:color w:val="000000"/>
          <w:sz w:val="16"/>
          <w:szCs w:val="16"/>
        </w:rPr>
        <w:t>Se conformará mediante convenio</w:t>
      </w:r>
      <w:r w:rsidRPr="00B91C08">
        <w:rPr>
          <w:rFonts w:ascii="Verdana" w:hAnsi="Verdana" w:cs="Arial"/>
          <w:color w:val="000000"/>
          <w:sz w:val="16"/>
          <w:szCs w:val="16"/>
        </w:rPr>
        <w:t xml:space="preserve"> suscrito por sus alcaldes, previa autorización de los respectivos concejos” (Cursiva fuera de texto).</w:t>
      </w:r>
    </w:p>
  </w:footnote>
  <w:footnote w:id="12">
    <w:p w14:paraId="63961C3B" w14:textId="77777777" w:rsidR="00475DAF" w:rsidRPr="00B91C08" w:rsidRDefault="00475DAF" w:rsidP="00475DAF">
      <w:pPr>
        <w:spacing w:after="0" w:line="240" w:lineRule="auto"/>
        <w:ind w:firstLine="720"/>
        <w:jc w:val="both"/>
        <w:rPr>
          <w:rFonts w:ascii="Verdana" w:hAnsi="Verdana" w:cs="Arial"/>
          <w:color w:val="000000"/>
          <w:sz w:val="16"/>
          <w:szCs w:val="16"/>
        </w:rPr>
      </w:pPr>
      <w:r w:rsidRPr="00B91C08">
        <w:rPr>
          <w:rStyle w:val="Refdenotaalpie"/>
          <w:rFonts w:ascii="Verdana" w:hAnsi="Verdana" w:cs="Arial"/>
          <w:sz w:val="16"/>
          <w:szCs w:val="16"/>
        </w:rPr>
        <w:footnoteRef/>
      </w:r>
      <w:r w:rsidRPr="00B91C08">
        <w:rPr>
          <w:rFonts w:ascii="Verdana" w:hAnsi="Verdana" w:cs="Arial"/>
          <w:sz w:val="16"/>
          <w:szCs w:val="16"/>
        </w:rPr>
        <w:t xml:space="preserve"> </w:t>
      </w:r>
      <w:r w:rsidRPr="00B91C08">
        <w:rPr>
          <w:rFonts w:ascii="Verdana" w:hAnsi="Verdana" w:cs="Arial"/>
          <w:color w:val="000000"/>
          <w:position w:val="6"/>
          <w:sz w:val="16"/>
          <w:szCs w:val="16"/>
        </w:rPr>
        <w:t xml:space="preserve"> </w:t>
      </w:r>
      <w:r w:rsidRPr="00B91C08">
        <w:rPr>
          <w:rFonts w:ascii="Verdana" w:hAnsi="Verdana" w:cs="Arial"/>
          <w:color w:val="000000"/>
          <w:sz w:val="16"/>
          <w:szCs w:val="16"/>
        </w:rPr>
        <w:t xml:space="preserve">Ley 1454 de 2011: “Artículo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w:t>
      </w:r>
      <w:r w:rsidRPr="00B91C08">
        <w:rPr>
          <w:rFonts w:ascii="Verdana" w:hAnsi="Verdana" w:cs="Arial"/>
          <w:i/>
          <w:iCs/>
          <w:color w:val="000000"/>
          <w:sz w:val="16"/>
          <w:szCs w:val="16"/>
        </w:rPr>
        <w:t>mediante convenio o contrato-plan</w:t>
      </w:r>
      <w:r w:rsidRPr="00B91C08">
        <w:rPr>
          <w:rFonts w:ascii="Verdana" w:hAnsi="Verdana" w:cs="Arial"/>
          <w:color w:val="000000"/>
          <w:sz w:val="16"/>
          <w:szCs w:val="16"/>
        </w:rPr>
        <w:t xml:space="preserve">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 (Cursiva fuera de texto).</w:t>
      </w:r>
    </w:p>
  </w:footnote>
  <w:footnote w:id="13">
    <w:p w14:paraId="10C5FE05" w14:textId="77777777" w:rsidR="00475DAF" w:rsidRPr="00B91C08" w:rsidRDefault="00475DAF" w:rsidP="00475DAF">
      <w:pPr>
        <w:spacing w:after="0" w:line="240" w:lineRule="auto"/>
        <w:ind w:firstLine="720"/>
        <w:jc w:val="both"/>
        <w:rPr>
          <w:rFonts w:ascii="Verdana" w:hAnsi="Verdana" w:cs="Arial"/>
          <w:color w:val="000000"/>
          <w:sz w:val="16"/>
          <w:szCs w:val="16"/>
        </w:rPr>
      </w:pPr>
      <w:r w:rsidRPr="00B91C08">
        <w:rPr>
          <w:rStyle w:val="Refdenotaalpie"/>
          <w:rFonts w:ascii="Verdana" w:hAnsi="Verdana" w:cs="Arial"/>
          <w:sz w:val="16"/>
          <w:szCs w:val="16"/>
        </w:rPr>
        <w:footnoteRef/>
      </w:r>
      <w:r w:rsidRPr="00B91C08">
        <w:rPr>
          <w:rFonts w:ascii="Verdana" w:hAnsi="Verdana" w:cs="Arial"/>
          <w:sz w:val="16"/>
          <w:szCs w:val="16"/>
        </w:rPr>
        <w:t xml:space="preserve"> </w:t>
      </w:r>
      <w:r w:rsidRPr="00B91C08">
        <w:rPr>
          <w:rFonts w:ascii="Verdana" w:hAnsi="Verdana" w:cs="Arial"/>
          <w:color w:val="000000"/>
          <w:sz w:val="16"/>
          <w:szCs w:val="16"/>
        </w:rPr>
        <w:t>“Artículo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w:t>
      </w:r>
      <w:r w:rsidRPr="00B91C08">
        <w:rPr>
          <w:rFonts w:ascii="Verdana" w:hAnsi="Verdana" w:cs="Arial"/>
          <w:color w:val="000000"/>
          <w:spacing w:val="-4"/>
          <w:sz w:val="16"/>
          <w:szCs w:val="16"/>
        </w:rPr>
        <w:t xml:space="preserve"> </w:t>
      </w:r>
      <w:r w:rsidRPr="00B91C08">
        <w:rPr>
          <w:rFonts w:ascii="Verdana" w:hAnsi="Verdana" w:cs="Arial"/>
          <w:color w:val="000000"/>
          <w:sz w:val="16"/>
          <w:szCs w:val="16"/>
        </w:rPr>
        <w:t>lucro.</w:t>
      </w:r>
    </w:p>
    <w:p w14:paraId="16AEBF97" w14:textId="77777777" w:rsidR="00475DAF" w:rsidRPr="00B91C08" w:rsidRDefault="00475DAF" w:rsidP="00475DAF">
      <w:pPr>
        <w:spacing w:after="0" w:line="240" w:lineRule="auto"/>
        <w:ind w:firstLine="720"/>
        <w:jc w:val="both"/>
        <w:rPr>
          <w:rFonts w:ascii="Verdana" w:hAnsi="Verdana" w:cs="Arial"/>
          <w:color w:val="000000"/>
          <w:sz w:val="16"/>
          <w:szCs w:val="16"/>
        </w:rPr>
      </w:pPr>
      <w:r w:rsidRPr="00B91C08">
        <w:rPr>
          <w:rFonts w:ascii="Verdana" w:hAnsi="Verdana" w:cs="Arial"/>
          <w:color w:val="000000"/>
          <w:sz w:val="16"/>
          <w:szCs w:val="16"/>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footnote>
  <w:footnote w:id="14">
    <w:p w14:paraId="48F8B90E" w14:textId="77777777" w:rsidR="00475DAF" w:rsidRPr="00B91C08" w:rsidRDefault="00475DAF" w:rsidP="00475DAF">
      <w:pPr>
        <w:spacing w:after="0" w:line="240" w:lineRule="auto"/>
        <w:ind w:firstLine="720"/>
        <w:jc w:val="both"/>
        <w:rPr>
          <w:rFonts w:ascii="Verdana" w:hAnsi="Verdana" w:cs="Arial"/>
          <w:color w:val="000000"/>
          <w:sz w:val="16"/>
          <w:szCs w:val="16"/>
        </w:rPr>
      </w:pPr>
      <w:r w:rsidRPr="00B91C08">
        <w:rPr>
          <w:rStyle w:val="Refdenotaalpie"/>
          <w:rFonts w:ascii="Verdana" w:hAnsi="Verdana" w:cs="Arial"/>
          <w:sz w:val="16"/>
          <w:szCs w:val="16"/>
        </w:rPr>
        <w:footnoteRef/>
      </w:r>
      <w:r w:rsidRPr="00B91C08">
        <w:rPr>
          <w:rFonts w:ascii="Verdana" w:hAnsi="Verdana" w:cs="Arial"/>
          <w:sz w:val="16"/>
          <w:szCs w:val="16"/>
        </w:rPr>
        <w:t xml:space="preserve"> </w:t>
      </w:r>
      <w:r w:rsidRPr="00B91C08">
        <w:rPr>
          <w:rFonts w:ascii="Verdana" w:hAnsi="Verdana" w:cs="Arial"/>
          <w:color w:val="000000"/>
          <w:sz w:val="16"/>
          <w:szCs w:val="16"/>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w:t>
      </w:r>
      <w:r w:rsidRPr="00B91C08">
        <w:rPr>
          <w:rFonts w:ascii="Verdana" w:hAnsi="Verdana" w:cs="Arial"/>
          <w:color w:val="000000"/>
          <w:spacing w:val="-5"/>
          <w:sz w:val="16"/>
          <w:szCs w:val="16"/>
        </w:rPr>
        <w:t xml:space="preserve"> </w:t>
      </w:r>
      <w:r w:rsidRPr="00B91C08">
        <w:rPr>
          <w:rFonts w:ascii="Verdana" w:hAnsi="Verdana" w:cs="Arial"/>
          <w:color w:val="000000"/>
          <w:sz w:val="16"/>
          <w:szCs w:val="16"/>
        </w:rPr>
        <w:t>entidades”.</w:t>
      </w:r>
    </w:p>
  </w:footnote>
  <w:footnote w:id="15">
    <w:p w14:paraId="08E02694" w14:textId="77777777" w:rsidR="00475DAF" w:rsidRPr="007B2F28" w:rsidRDefault="00475DAF" w:rsidP="00475DAF">
      <w:pPr>
        <w:tabs>
          <w:tab w:val="left" w:pos="0"/>
        </w:tabs>
        <w:spacing w:after="0" w:line="240" w:lineRule="auto"/>
        <w:ind w:right="51" w:firstLine="851"/>
        <w:contextualSpacing/>
        <w:jc w:val="both"/>
        <w:rPr>
          <w:rFonts w:ascii="Verdana" w:eastAsia="Times New Roman" w:hAnsi="Verdana" w:cs="Arial"/>
          <w:sz w:val="16"/>
          <w:szCs w:val="16"/>
          <w:lang w:val="es-ES_tradnl" w:eastAsia="es-ES_tradnl"/>
        </w:rPr>
      </w:pPr>
      <w:r w:rsidRPr="007B2F28">
        <w:rPr>
          <w:rStyle w:val="Refdenotaalpie"/>
          <w:rFonts w:ascii="Verdana" w:hAnsi="Verdana"/>
          <w:sz w:val="16"/>
          <w:szCs w:val="16"/>
        </w:rPr>
        <w:footnoteRef/>
      </w:r>
      <w:r w:rsidRPr="007B2F28">
        <w:rPr>
          <w:rFonts w:ascii="Verdana" w:hAnsi="Verdana"/>
          <w:sz w:val="16"/>
          <w:szCs w:val="16"/>
        </w:rPr>
        <w:t xml:space="preserve"> </w:t>
      </w:r>
      <w:r w:rsidRPr="007B2F28">
        <w:rPr>
          <w:rFonts w:ascii="Verdana" w:eastAsia="Times New Roman" w:hAnsi="Verdana" w:cs="Arial"/>
          <w:sz w:val="16"/>
          <w:szCs w:val="16"/>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1A34C31A" w14:textId="77777777" w:rsidR="00475DAF" w:rsidRPr="007B2F28" w:rsidRDefault="00475DAF" w:rsidP="00475DAF">
      <w:pPr>
        <w:tabs>
          <w:tab w:val="left" w:pos="0"/>
        </w:tabs>
        <w:spacing w:after="0" w:line="240" w:lineRule="auto"/>
        <w:ind w:right="51" w:firstLine="851"/>
        <w:contextualSpacing/>
        <w:jc w:val="both"/>
        <w:rPr>
          <w:rFonts w:ascii="Verdana" w:eastAsia="Times New Roman" w:hAnsi="Verdana" w:cs="Arial"/>
          <w:sz w:val="16"/>
          <w:szCs w:val="16"/>
          <w:lang w:val="es-ES_tradnl" w:eastAsia="es-ES_tradnl"/>
        </w:rPr>
      </w:pPr>
      <w:r w:rsidRPr="007B2F28">
        <w:rPr>
          <w:rFonts w:ascii="Verdana" w:eastAsia="Times New Roman" w:hAnsi="Verdana" w:cs="Arial"/>
          <w:sz w:val="16"/>
          <w:szCs w:val="16"/>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752D6CEC" w14:textId="77777777" w:rsidR="00475DAF" w:rsidRPr="007B2F28" w:rsidRDefault="00475DAF" w:rsidP="00475DAF">
      <w:pPr>
        <w:tabs>
          <w:tab w:val="left" w:pos="0"/>
        </w:tabs>
        <w:spacing w:after="0" w:line="240" w:lineRule="auto"/>
        <w:ind w:right="51" w:firstLine="851"/>
        <w:contextualSpacing/>
        <w:jc w:val="both"/>
        <w:rPr>
          <w:rFonts w:ascii="Verdana" w:eastAsia="Times New Roman" w:hAnsi="Verdana" w:cs="Arial"/>
          <w:sz w:val="16"/>
          <w:szCs w:val="16"/>
          <w:lang w:val="es-ES_tradnl" w:eastAsia="es-ES_tradnl"/>
        </w:rPr>
      </w:pPr>
      <w:r w:rsidRPr="007B2F28">
        <w:rPr>
          <w:rFonts w:ascii="Verdana" w:eastAsia="Times New Roman" w:hAnsi="Verdana" w:cs="Arial"/>
          <w:sz w:val="16"/>
          <w:szCs w:val="16"/>
          <w:lang w:val="es-ES" w:eastAsia="es-ES"/>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6AB88794" w14:textId="77777777" w:rsidR="00475DAF" w:rsidRPr="007B2F28" w:rsidRDefault="00475DAF" w:rsidP="00475DAF">
      <w:pPr>
        <w:pStyle w:val="Textonotapie"/>
        <w:rPr>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2F4280" w:rsidRDefault="002F4280">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2F4280" w:rsidRDefault="002F4280">
    <w:pPr>
      <w:pStyle w:val="Encabezado"/>
    </w:pPr>
  </w:p>
  <w:p w14:paraId="3079FC11" w14:textId="77777777" w:rsidR="002F4280" w:rsidRDefault="002F4280" w:rsidP="004A305D">
    <w:pPr>
      <w:spacing w:after="0"/>
      <w:rPr>
        <w:rFonts w:ascii="Verdana" w:hAnsi="Verdana"/>
        <w:b/>
        <w:bCs/>
      </w:rPr>
    </w:pPr>
  </w:p>
  <w:p w14:paraId="5E18350A" w14:textId="705F7B76" w:rsidR="002F4280" w:rsidRPr="004A305D" w:rsidRDefault="002F4280" w:rsidP="00B01B1A">
    <w:pPr>
      <w:spacing w:after="0" w:line="120" w:lineRule="auto"/>
      <w:rPr>
        <w:rFonts w:ascii="Century Gothic" w:eastAsia="Geo" w:hAnsi="Century Gothic" w:cs="Geo"/>
        <w:sz w:val="16"/>
        <w:szCs w:val="16"/>
        <w:lang w:eastAsia="es-CO"/>
      </w:rPr>
    </w:pPr>
  </w:p>
  <w:p w14:paraId="1FD1C243" w14:textId="6D74A3CF" w:rsidR="002F4280" w:rsidRDefault="002F428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729033371">
    <w:abstractNumId w:val="10"/>
  </w:num>
  <w:num w:numId="2" w16cid:durableId="1206455367">
    <w:abstractNumId w:val="3"/>
  </w:num>
  <w:num w:numId="3" w16cid:durableId="114754431">
    <w:abstractNumId w:val="8"/>
  </w:num>
  <w:num w:numId="4" w16cid:durableId="10389711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3558534">
    <w:abstractNumId w:val="3"/>
  </w:num>
  <w:num w:numId="6" w16cid:durableId="1768161475">
    <w:abstractNumId w:val="20"/>
  </w:num>
  <w:num w:numId="7" w16cid:durableId="171603174">
    <w:abstractNumId w:val="9"/>
  </w:num>
  <w:num w:numId="8" w16cid:durableId="1978294004">
    <w:abstractNumId w:val="19"/>
  </w:num>
  <w:num w:numId="9" w16cid:durableId="1524632681">
    <w:abstractNumId w:val="11"/>
  </w:num>
  <w:num w:numId="10" w16cid:durableId="1342008622">
    <w:abstractNumId w:val="18"/>
  </w:num>
  <w:num w:numId="11" w16cid:durableId="1903908594">
    <w:abstractNumId w:val="12"/>
  </w:num>
  <w:num w:numId="12" w16cid:durableId="880673665">
    <w:abstractNumId w:val="1"/>
  </w:num>
  <w:num w:numId="13" w16cid:durableId="1761559409">
    <w:abstractNumId w:val="6"/>
  </w:num>
  <w:num w:numId="14" w16cid:durableId="1913857057">
    <w:abstractNumId w:val="21"/>
  </w:num>
  <w:num w:numId="15" w16cid:durableId="1865240876">
    <w:abstractNumId w:val="17"/>
  </w:num>
  <w:num w:numId="16" w16cid:durableId="147163270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89755334">
    <w:abstractNumId w:val="4"/>
  </w:num>
  <w:num w:numId="18" w16cid:durableId="280961968">
    <w:abstractNumId w:val="16"/>
  </w:num>
  <w:num w:numId="19" w16cid:durableId="616446756">
    <w:abstractNumId w:val="7"/>
  </w:num>
  <w:num w:numId="20" w16cid:durableId="1091438902">
    <w:abstractNumId w:val="13"/>
  </w:num>
  <w:num w:numId="21" w16cid:durableId="1810201865">
    <w:abstractNumId w:val="23"/>
  </w:num>
  <w:num w:numId="22" w16cid:durableId="2094858448">
    <w:abstractNumId w:val="15"/>
  </w:num>
  <w:num w:numId="23" w16cid:durableId="447092610">
    <w:abstractNumId w:val="5"/>
  </w:num>
  <w:num w:numId="24" w16cid:durableId="1424690557">
    <w:abstractNumId w:val="14"/>
  </w:num>
  <w:num w:numId="25" w16cid:durableId="1667977758">
    <w:abstractNumId w:val="2"/>
  </w:num>
  <w:num w:numId="26" w16cid:durableId="1740859426">
    <w:abstractNumId w:val="0"/>
  </w:num>
  <w:num w:numId="27" w16cid:durableId="10377050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328B"/>
    <w:rsid w:val="00020D86"/>
    <w:rsid w:val="000224F2"/>
    <w:rsid w:val="00023C3E"/>
    <w:rsid w:val="0002653B"/>
    <w:rsid w:val="00034682"/>
    <w:rsid w:val="00035E21"/>
    <w:rsid w:val="0004434A"/>
    <w:rsid w:val="0005281E"/>
    <w:rsid w:val="0005682C"/>
    <w:rsid w:val="00056D71"/>
    <w:rsid w:val="00061B2A"/>
    <w:rsid w:val="000626A0"/>
    <w:rsid w:val="00062BAF"/>
    <w:rsid w:val="000630B9"/>
    <w:rsid w:val="000643B2"/>
    <w:rsid w:val="00065E80"/>
    <w:rsid w:val="0007022C"/>
    <w:rsid w:val="00071DE6"/>
    <w:rsid w:val="0007235A"/>
    <w:rsid w:val="000754B0"/>
    <w:rsid w:val="00075C16"/>
    <w:rsid w:val="0007719D"/>
    <w:rsid w:val="00077439"/>
    <w:rsid w:val="000774B8"/>
    <w:rsid w:val="00082362"/>
    <w:rsid w:val="0008328D"/>
    <w:rsid w:val="0009387A"/>
    <w:rsid w:val="0009387B"/>
    <w:rsid w:val="000963C6"/>
    <w:rsid w:val="0009762F"/>
    <w:rsid w:val="000A31B9"/>
    <w:rsid w:val="000A3330"/>
    <w:rsid w:val="000A3D63"/>
    <w:rsid w:val="000A683A"/>
    <w:rsid w:val="000A683E"/>
    <w:rsid w:val="000B0B05"/>
    <w:rsid w:val="000B19B9"/>
    <w:rsid w:val="000B2DC1"/>
    <w:rsid w:val="000C2889"/>
    <w:rsid w:val="000C3673"/>
    <w:rsid w:val="000D0152"/>
    <w:rsid w:val="000D0334"/>
    <w:rsid w:val="000D0B4D"/>
    <w:rsid w:val="000D3B29"/>
    <w:rsid w:val="000E06F4"/>
    <w:rsid w:val="000E1AC7"/>
    <w:rsid w:val="000E4CE4"/>
    <w:rsid w:val="000F6486"/>
    <w:rsid w:val="000F669F"/>
    <w:rsid w:val="001063B3"/>
    <w:rsid w:val="00107ACA"/>
    <w:rsid w:val="001114A9"/>
    <w:rsid w:val="00111979"/>
    <w:rsid w:val="00116537"/>
    <w:rsid w:val="00120766"/>
    <w:rsid w:val="00121D60"/>
    <w:rsid w:val="001240BD"/>
    <w:rsid w:val="00125105"/>
    <w:rsid w:val="00127233"/>
    <w:rsid w:val="00130189"/>
    <w:rsid w:val="001372FC"/>
    <w:rsid w:val="00143E81"/>
    <w:rsid w:val="00143FD9"/>
    <w:rsid w:val="00145047"/>
    <w:rsid w:val="00146C57"/>
    <w:rsid w:val="00150ADA"/>
    <w:rsid w:val="00161BD7"/>
    <w:rsid w:val="0016332F"/>
    <w:rsid w:val="001649B6"/>
    <w:rsid w:val="0016642E"/>
    <w:rsid w:val="00166C52"/>
    <w:rsid w:val="001717E9"/>
    <w:rsid w:val="0017238A"/>
    <w:rsid w:val="00172B22"/>
    <w:rsid w:val="001800BA"/>
    <w:rsid w:val="00180A30"/>
    <w:rsid w:val="00181648"/>
    <w:rsid w:val="001820D4"/>
    <w:rsid w:val="00185EE9"/>
    <w:rsid w:val="00187F79"/>
    <w:rsid w:val="00197274"/>
    <w:rsid w:val="001A237A"/>
    <w:rsid w:val="001A26CF"/>
    <w:rsid w:val="001A2919"/>
    <w:rsid w:val="001B10CB"/>
    <w:rsid w:val="001B2CFE"/>
    <w:rsid w:val="001C01E9"/>
    <w:rsid w:val="001C222E"/>
    <w:rsid w:val="001C22F9"/>
    <w:rsid w:val="001C3E7D"/>
    <w:rsid w:val="001D16E9"/>
    <w:rsid w:val="001D1C29"/>
    <w:rsid w:val="001D2638"/>
    <w:rsid w:val="001E3C06"/>
    <w:rsid w:val="001E4177"/>
    <w:rsid w:val="001F0A0F"/>
    <w:rsid w:val="001F4EFD"/>
    <w:rsid w:val="001F5E13"/>
    <w:rsid w:val="001F6D11"/>
    <w:rsid w:val="001F7196"/>
    <w:rsid w:val="001F7DC6"/>
    <w:rsid w:val="0020188E"/>
    <w:rsid w:val="00202886"/>
    <w:rsid w:val="002047E7"/>
    <w:rsid w:val="00205784"/>
    <w:rsid w:val="00213510"/>
    <w:rsid w:val="0021372A"/>
    <w:rsid w:val="00215CEF"/>
    <w:rsid w:val="00216AE7"/>
    <w:rsid w:val="00217A08"/>
    <w:rsid w:val="00220B77"/>
    <w:rsid w:val="00221D27"/>
    <w:rsid w:val="00237233"/>
    <w:rsid w:val="002402D3"/>
    <w:rsid w:val="002421BB"/>
    <w:rsid w:val="00246A81"/>
    <w:rsid w:val="00247133"/>
    <w:rsid w:val="00251A5F"/>
    <w:rsid w:val="0025796E"/>
    <w:rsid w:val="002603E5"/>
    <w:rsid w:val="00260981"/>
    <w:rsid w:val="002638B2"/>
    <w:rsid w:val="00263BAB"/>
    <w:rsid w:val="00264E91"/>
    <w:rsid w:val="002660F2"/>
    <w:rsid w:val="002664BB"/>
    <w:rsid w:val="002707A2"/>
    <w:rsid w:val="00272EAF"/>
    <w:rsid w:val="002835A6"/>
    <w:rsid w:val="002844ED"/>
    <w:rsid w:val="00286C70"/>
    <w:rsid w:val="002951A0"/>
    <w:rsid w:val="002962BC"/>
    <w:rsid w:val="002A093D"/>
    <w:rsid w:val="002A0DD0"/>
    <w:rsid w:val="002A1D2F"/>
    <w:rsid w:val="002A3B6F"/>
    <w:rsid w:val="002A49AC"/>
    <w:rsid w:val="002A64FD"/>
    <w:rsid w:val="002A6BBF"/>
    <w:rsid w:val="002B1E57"/>
    <w:rsid w:val="002B1F7F"/>
    <w:rsid w:val="002B290B"/>
    <w:rsid w:val="002C110E"/>
    <w:rsid w:val="002C379A"/>
    <w:rsid w:val="002C765E"/>
    <w:rsid w:val="002C7A84"/>
    <w:rsid w:val="002D13A1"/>
    <w:rsid w:val="002D3F0D"/>
    <w:rsid w:val="002E1D98"/>
    <w:rsid w:val="002E2C3F"/>
    <w:rsid w:val="002E4FD9"/>
    <w:rsid w:val="002E6F15"/>
    <w:rsid w:val="002F13FD"/>
    <w:rsid w:val="002F4280"/>
    <w:rsid w:val="002F53FB"/>
    <w:rsid w:val="00303544"/>
    <w:rsid w:val="003039C1"/>
    <w:rsid w:val="00310DBE"/>
    <w:rsid w:val="00313882"/>
    <w:rsid w:val="0031430F"/>
    <w:rsid w:val="00320BBD"/>
    <w:rsid w:val="00322A85"/>
    <w:rsid w:val="00324168"/>
    <w:rsid w:val="0033032A"/>
    <w:rsid w:val="00334C6A"/>
    <w:rsid w:val="00336C05"/>
    <w:rsid w:val="00342675"/>
    <w:rsid w:val="00343512"/>
    <w:rsid w:val="003448F4"/>
    <w:rsid w:val="00345330"/>
    <w:rsid w:val="003522B4"/>
    <w:rsid w:val="003528DF"/>
    <w:rsid w:val="00352C12"/>
    <w:rsid w:val="00354BCA"/>
    <w:rsid w:val="00362DEE"/>
    <w:rsid w:val="0036594E"/>
    <w:rsid w:val="003664E8"/>
    <w:rsid w:val="003665EE"/>
    <w:rsid w:val="0037010E"/>
    <w:rsid w:val="003734F4"/>
    <w:rsid w:val="00374F5E"/>
    <w:rsid w:val="00377E3E"/>
    <w:rsid w:val="00380E4B"/>
    <w:rsid w:val="003815B3"/>
    <w:rsid w:val="003815E8"/>
    <w:rsid w:val="00386D13"/>
    <w:rsid w:val="00392A49"/>
    <w:rsid w:val="003A26D1"/>
    <w:rsid w:val="003A3B30"/>
    <w:rsid w:val="003A477B"/>
    <w:rsid w:val="003A629F"/>
    <w:rsid w:val="003A6CF9"/>
    <w:rsid w:val="003A779E"/>
    <w:rsid w:val="003B005A"/>
    <w:rsid w:val="003B0636"/>
    <w:rsid w:val="003B3775"/>
    <w:rsid w:val="003B78C4"/>
    <w:rsid w:val="003C3FA5"/>
    <w:rsid w:val="003D0F4D"/>
    <w:rsid w:val="003D1B5E"/>
    <w:rsid w:val="003D5B0D"/>
    <w:rsid w:val="003E0499"/>
    <w:rsid w:val="003E40F2"/>
    <w:rsid w:val="003E4DDB"/>
    <w:rsid w:val="003F29AA"/>
    <w:rsid w:val="003F3941"/>
    <w:rsid w:val="00400676"/>
    <w:rsid w:val="004008A9"/>
    <w:rsid w:val="0040480E"/>
    <w:rsid w:val="00406575"/>
    <w:rsid w:val="004069AB"/>
    <w:rsid w:val="00410906"/>
    <w:rsid w:val="0041655A"/>
    <w:rsid w:val="00426FD7"/>
    <w:rsid w:val="0042722E"/>
    <w:rsid w:val="00427DA0"/>
    <w:rsid w:val="00440391"/>
    <w:rsid w:val="004426AD"/>
    <w:rsid w:val="00442C7F"/>
    <w:rsid w:val="004443A2"/>
    <w:rsid w:val="0044528D"/>
    <w:rsid w:val="00450920"/>
    <w:rsid w:val="004530EA"/>
    <w:rsid w:val="00454D48"/>
    <w:rsid w:val="004554F9"/>
    <w:rsid w:val="0046004D"/>
    <w:rsid w:val="00461A6A"/>
    <w:rsid w:val="004633DE"/>
    <w:rsid w:val="00465E71"/>
    <w:rsid w:val="00466430"/>
    <w:rsid w:val="004734BD"/>
    <w:rsid w:val="00475DAF"/>
    <w:rsid w:val="00480BAF"/>
    <w:rsid w:val="00482608"/>
    <w:rsid w:val="00483749"/>
    <w:rsid w:val="00484809"/>
    <w:rsid w:val="00484BB1"/>
    <w:rsid w:val="00487E7C"/>
    <w:rsid w:val="004A0980"/>
    <w:rsid w:val="004A0B8B"/>
    <w:rsid w:val="004A1847"/>
    <w:rsid w:val="004A305D"/>
    <w:rsid w:val="004A3312"/>
    <w:rsid w:val="004B740F"/>
    <w:rsid w:val="004C0F29"/>
    <w:rsid w:val="004C4B37"/>
    <w:rsid w:val="004C6074"/>
    <w:rsid w:val="004D026D"/>
    <w:rsid w:val="004D36F1"/>
    <w:rsid w:val="004E0510"/>
    <w:rsid w:val="004E221E"/>
    <w:rsid w:val="004E2892"/>
    <w:rsid w:val="004E4C0B"/>
    <w:rsid w:val="004E505B"/>
    <w:rsid w:val="004F21C4"/>
    <w:rsid w:val="004F3012"/>
    <w:rsid w:val="004F3B9E"/>
    <w:rsid w:val="004F5559"/>
    <w:rsid w:val="004F685F"/>
    <w:rsid w:val="004F7EC9"/>
    <w:rsid w:val="00504CBE"/>
    <w:rsid w:val="005129DE"/>
    <w:rsid w:val="00514598"/>
    <w:rsid w:val="005150A0"/>
    <w:rsid w:val="005163B5"/>
    <w:rsid w:val="0052543A"/>
    <w:rsid w:val="00525FDB"/>
    <w:rsid w:val="0052785C"/>
    <w:rsid w:val="005339E3"/>
    <w:rsid w:val="00533E1B"/>
    <w:rsid w:val="00534765"/>
    <w:rsid w:val="00540C2D"/>
    <w:rsid w:val="00543859"/>
    <w:rsid w:val="00552502"/>
    <w:rsid w:val="005566E8"/>
    <w:rsid w:val="00557C16"/>
    <w:rsid w:val="00560CB5"/>
    <w:rsid w:val="00564F8B"/>
    <w:rsid w:val="005669A9"/>
    <w:rsid w:val="00574122"/>
    <w:rsid w:val="00574867"/>
    <w:rsid w:val="00577D09"/>
    <w:rsid w:val="0058087F"/>
    <w:rsid w:val="005900B0"/>
    <w:rsid w:val="00591460"/>
    <w:rsid w:val="00592628"/>
    <w:rsid w:val="00594164"/>
    <w:rsid w:val="00597C75"/>
    <w:rsid w:val="005A0868"/>
    <w:rsid w:val="005A0CFB"/>
    <w:rsid w:val="005A282F"/>
    <w:rsid w:val="005A2AC9"/>
    <w:rsid w:val="005B2CCE"/>
    <w:rsid w:val="005B58C1"/>
    <w:rsid w:val="005B6033"/>
    <w:rsid w:val="005C2488"/>
    <w:rsid w:val="005C3777"/>
    <w:rsid w:val="005C5CDC"/>
    <w:rsid w:val="005D17C8"/>
    <w:rsid w:val="005D2B2B"/>
    <w:rsid w:val="005D476C"/>
    <w:rsid w:val="005D5F91"/>
    <w:rsid w:val="005D7B25"/>
    <w:rsid w:val="005F7C43"/>
    <w:rsid w:val="00601DFC"/>
    <w:rsid w:val="00605A00"/>
    <w:rsid w:val="00610812"/>
    <w:rsid w:val="00612CE7"/>
    <w:rsid w:val="006219F8"/>
    <w:rsid w:val="0063165E"/>
    <w:rsid w:val="00632C08"/>
    <w:rsid w:val="00650F43"/>
    <w:rsid w:val="00650FF7"/>
    <w:rsid w:val="00656421"/>
    <w:rsid w:val="00660F6A"/>
    <w:rsid w:val="00665D70"/>
    <w:rsid w:val="00671DAC"/>
    <w:rsid w:val="0067295A"/>
    <w:rsid w:val="00673531"/>
    <w:rsid w:val="006747C7"/>
    <w:rsid w:val="006827AC"/>
    <w:rsid w:val="006859A3"/>
    <w:rsid w:val="006900D9"/>
    <w:rsid w:val="00693B52"/>
    <w:rsid w:val="0069492E"/>
    <w:rsid w:val="0069570C"/>
    <w:rsid w:val="00697B17"/>
    <w:rsid w:val="006A0008"/>
    <w:rsid w:val="006A10DF"/>
    <w:rsid w:val="006A3147"/>
    <w:rsid w:val="006A5470"/>
    <w:rsid w:val="006B04BF"/>
    <w:rsid w:val="006B25DE"/>
    <w:rsid w:val="006C0173"/>
    <w:rsid w:val="006C0240"/>
    <w:rsid w:val="006C5595"/>
    <w:rsid w:val="006D12F8"/>
    <w:rsid w:val="006D1F4A"/>
    <w:rsid w:val="006D4E33"/>
    <w:rsid w:val="006E319A"/>
    <w:rsid w:val="006E5249"/>
    <w:rsid w:val="006F0D40"/>
    <w:rsid w:val="006F1816"/>
    <w:rsid w:val="006F248B"/>
    <w:rsid w:val="006F2501"/>
    <w:rsid w:val="00701D2C"/>
    <w:rsid w:val="00704D9B"/>
    <w:rsid w:val="00705E5F"/>
    <w:rsid w:val="00706C16"/>
    <w:rsid w:val="00711C85"/>
    <w:rsid w:val="0071458F"/>
    <w:rsid w:val="0071627C"/>
    <w:rsid w:val="00723A7F"/>
    <w:rsid w:val="007312C3"/>
    <w:rsid w:val="00737C53"/>
    <w:rsid w:val="00737DFA"/>
    <w:rsid w:val="00741D10"/>
    <w:rsid w:val="00756841"/>
    <w:rsid w:val="0076136E"/>
    <w:rsid w:val="00762AA9"/>
    <w:rsid w:val="007649AB"/>
    <w:rsid w:val="007670E3"/>
    <w:rsid w:val="00771D0C"/>
    <w:rsid w:val="00771FD2"/>
    <w:rsid w:val="007820ED"/>
    <w:rsid w:val="007821FD"/>
    <w:rsid w:val="007833AC"/>
    <w:rsid w:val="00784D58"/>
    <w:rsid w:val="00786FBF"/>
    <w:rsid w:val="00790AB7"/>
    <w:rsid w:val="00791769"/>
    <w:rsid w:val="00796340"/>
    <w:rsid w:val="007A23EA"/>
    <w:rsid w:val="007A5189"/>
    <w:rsid w:val="007B0D88"/>
    <w:rsid w:val="007B268C"/>
    <w:rsid w:val="007B2914"/>
    <w:rsid w:val="007B2F28"/>
    <w:rsid w:val="007B7171"/>
    <w:rsid w:val="007B7D02"/>
    <w:rsid w:val="007C0C0F"/>
    <w:rsid w:val="007C3DC2"/>
    <w:rsid w:val="007D0457"/>
    <w:rsid w:val="007D43C9"/>
    <w:rsid w:val="007D6299"/>
    <w:rsid w:val="007E4F3C"/>
    <w:rsid w:val="007E5497"/>
    <w:rsid w:val="007E7637"/>
    <w:rsid w:val="007F000A"/>
    <w:rsid w:val="007F28CA"/>
    <w:rsid w:val="007F52A4"/>
    <w:rsid w:val="007F60FB"/>
    <w:rsid w:val="007F7B94"/>
    <w:rsid w:val="00800789"/>
    <w:rsid w:val="00803F91"/>
    <w:rsid w:val="00804981"/>
    <w:rsid w:val="00806F5F"/>
    <w:rsid w:val="008163D7"/>
    <w:rsid w:val="00820278"/>
    <w:rsid w:val="00834554"/>
    <w:rsid w:val="00834B31"/>
    <w:rsid w:val="0083767A"/>
    <w:rsid w:val="00840ADC"/>
    <w:rsid w:val="00843BF7"/>
    <w:rsid w:val="008449B3"/>
    <w:rsid w:val="00846276"/>
    <w:rsid w:val="00850E23"/>
    <w:rsid w:val="00851137"/>
    <w:rsid w:val="00853978"/>
    <w:rsid w:val="0085432F"/>
    <w:rsid w:val="00864209"/>
    <w:rsid w:val="0087325B"/>
    <w:rsid w:val="00877EBA"/>
    <w:rsid w:val="00881ABA"/>
    <w:rsid w:val="0088243A"/>
    <w:rsid w:val="008843B6"/>
    <w:rsid w:val="00886C89"/>
    <w:rsid w:val="00887569"/>
    <w:rsid w:val="00890A17"/>
    <w:rsid w:val="00891928"/>
    <w:rsid w:val="00894B8B"/>
    <w:rsid w:val="008961BA"/>
    <w:rsid w:val="00896E8A"/>
    <w:rsid w:val="008A00A4"/>
    <w:rsid w:val="008A446D"/>
    <w:rsid w:val="008A7A64"/>
    <w:rsid w:val="008A7F08"/>
    <w:rsid w:val="008B2F0E"/>
    <w:rsid w:val="008B5A2E"/>
    <w:rsid w:val="008C43AD"/>
    <w:rsid w:val="008D180B"/>
    <w:rsid w:val="008D40A5"/>
    <w:rsid w:val="008D7227"/>
    <w:rsid w:val="008E1F92"/>
    <w:rsid w:val="008E7333"/>
    <w:rsid w:val="008E7B09"/>
    <w:rsid w:val="008F0EA7"/>
    <w:rsid w:val="008F7395"/>
    <w:rsid w:val="008F7BB9"/>
    <w:rsid w:val="00904692"/>
    <w:rsid w:val="00910097"/>
    <w:rsid w:val="00911C7C"/>
    <w:rsid w:val="0091561E"/>
    <w:rsid w:val="0091757F"/>
    <w:rsid w:val="00923EEF"/>
    <w:rsid w:val="009411F5"/>
    <w:rsid w:val="009419F9"/>
    <w:rsid w:val="00953AA4"/>
    <w:rsid w:val="00955305"/>
    <w:rsid w:val="009563E7"/>
    <w:rsid w:val="0095685E"/>
    <w:rsid w:val="009572D9"/>
    <w:rsid w:val="009600D2"/>
    <w:rsid w:val="00961409"/>
    <w:rsid w:val="00961B09"/>
    <w:rsid w:val="00962300"/>
    <w:rsid w:val="00965334"/>
    <w:rsid w:val="0097093E"/>
    <w:rsid w:val="00976025"/>
    <w:rsid w:val="00976F04"/>
    <w:rsid w:val="009800BE"/>
    <w:rsid w:val="00982E41"/>
    <w:rsid w:val="00984649"/>
    <w:rsid w:val="009858BE"/>
    <w:rsid w:val="00987D4B"/>
    <w:rsid w:val="009A0DFA"/>
    <w:rsid w:val="009A3C2C"/>
    <w:rsid w:val="009A4A40"/>
    <w:rsid w:val="009B0AEB"/>
    <w:rsid w:val="009B2D26"/>
    <w:rsid w:val="009B3595"/>
    <w:rsid w:val="009B3AF3"/>
    <w:rsid w:val="009B5228"/>
    <w:rsid w:val="009B780F"/>
    <w:rsid w:val="009C2DD0"/>
    <w:rsid w:val="009C3AC7"/>
    <w:rsid w:val="009C71FA"/>
    <w:rsid w:val="009C72E7"/>
    <w:rsid w:val="009D0555"/>
    <w:rsid w:val="009D3058"/>
    <w:rsid w:val="009D3A11"/>
    <w:rsid w:val="009D44C4"/>
    <w:rsid w:val="009D6427"/>
    <w:rsid w:val="009D67FD"/>
    <w:rsid w:val="009E584F"/>
    <w:rsid w:val="009E5A30"/>
    <w:rsid w:val="009E7C05"/>
    <w:rsid w:val="009F15C5"/>
    <w:rsid w:val="009F3831"/>
    <w:rsid w:val="009F3832"/>
    <w:rsid w:val="009F3A13"/>
    <w:rsid w:val="009F4AB2"/>
    <w:rsid w:val="009F73F7"/>
    <w:rsid w:val="00A02465"/>
    <w:rsid w:val="00A03415"/>
    <w:rsid w:val="00A04A81"/>
    <w:rsid w:val="00A06991"/>
    <w:rsid w:val="00A122D3"/>
    <w:rsid w:val="00A14D3D"/>
    <w:rsid w:val="00A17F13"/>
    <w:rsid w:val="00A20739"/>
    <w:rsid w:val="00A211D0"/>
    <w:rsid w:val="00A23361"/>
    <w:rsid w:val="00A241DD"/>
    <w:rsid w:val="00A24433"/>
    <w:rsid w:val="00A2443A"/>
    <w:rsid w:val="00A25580"/>
    <w:rsid w:val="00A332DD"/>
    <w:rsid w:val="00A339A9"/>
    <w:rsid w:val="00A33C78"/>
    <w:rsid w:val="00A34B38"/>
    <w:rsid w:val="00A34D87"/>
    <w:rsid w:val="00A35538"/>
    <w:rsid w:val="00A3685A"/>
    <w:rsid w:val="00A3783B"/>
    <w:rsid w:val="00A37BC4"/>
    <w:rsid w:val="00A404DA"/>
    <w:rsid w:val="00A42050"/>
    <w:rsid w:val="00A43292"/>
    <w:rsid w:val="00A445C0"/>
    <w:rsid w:val="00A52D82"/>
    <w:rsid w:val="00A56959"/>
    <w:rsid w:val="00A56FCA"/>
    <w:rsid w:val="00A6004A"/>
    <w:rsid w:val="00A613C2"/>
    <w:rsid w:val="00A745FA"/>
    <w:rsid w:val="00A74DE6"/>
    <w:rsid w:val="00A75D19"/>
    <w:rsid w:val="00A8086A"/>
    <w:rsid w:val="00A80F32"/>
    <w:rsid w:val="00A828F1"/>
    <w:rsid w:val="00A868C2"/>
    <w:rsid w:val="00A87F7D"/>
    <w:rsid w:val="00A9244C"/>
    <w:rsid w:val="00A94D14"/>
    <w:rsid w:val="00A95106"/>
    <w:rsid w:val="00AA0CF5"/>
    <w:rsid w:val="00AA23BB"/>
    <w:rsid w:val="00AB0ADB"/>
    <w:rsid w:val="00AB3FD1"/>
    <w:rsid w:val="00AB75FF"/>
    <w:rsid w:val="00AC0DF9"/>
    <w:rsid w:val="00AC0EAB"/>
    <w:rsid w:val="00AC4701"/>
    <w:rsid w:val="00AC49A2"/>
    <w:rsid w:val="00AD73E2"/>
    <w:rsid w:val="00AE2631"/>
    <w:rsid w:val="00AE3D6C"/>
    <w:rsid w:val="00AF03EA"/>
    <w:rsid w:val="00AF1BEC"/>
    <w:rsid w:val="00B009B8"/>
    <w:rsid w:val="00B01B1A"/>
    <w:rsid w:val="00B07DDD"/>
    <w:rsid w:val="00B14E03"/>
    <w:rsid w:val="00B26B98"/>
    <w:rsid w:val="00B35201"/>
    <w:rsid w:val="00B35ADC"/>
    <w:rsid w:val="00B36B39"/>
    <w:rsid w:val="00B37C24"/>
    <w:rsid w:val="00B40FBC"/>
    <w:rsid w:val="00B43248"/>
    <w:rsid w:val="00B46F27"/>
    <w:rsid w:val="00B47FD7"/>
    <w:rsid w:val="00B51F75"/>
    <w:rsid w:val="00B52169"/>
    <w:rsid w:val="00B53E27"/>
    <w:rsid w:val="00B558AF"/>
    <w:rsid w:val="00B615BA"/>
    <w:rsid w:val="00B62D8B"/>
    <w:rsid w:val="00B72CD3"/>
    <w:rsid w:val="00B72FFF"/>
    <w:rsid w:val="00B76CEB"/>
    <w:rsid w:val="00B8257D"/>
    <w:rsid w:val="00B82B8B"/>
    <w:rsid w:val="00B86FE2"/>
    <w:rsid w:val="00B87378"/>
    <w:rsid w:val="00B91186"/>
    <w:rsid w:val="00B91C08"/>
    <w:rsid w:val="00B93423"/>
    <w:rsid w:val="00B948E8"/>
    <w:rsid w:val="00BA0A22"/>
    <w:rsid w:val="00BA2EF4"/>
    <w:rsid w:val="00BA62A2"/>
    <w:rsid w:val="00BB22DA"/>
    <w:rsid w:val="00BB2C9D"/>
    <w:rsid w:val="00BC0036"/>
    <w:rsid w:val="00BC05A6"/>
    <w:rsid w:val="00BC3D36"/>
    <w:rsid w:val="00BC4B34"/>
    <w:rsid w:val="00BD2E7B"/>
    <w:rsid w:val="00BD37EA"/>
    <w:rsid w:val="00BD7F72"/>
    <w:rsid w:val="00BE03BC"/>
    <w:rsid w:val="00BE0A18"/>
    <w:rsid w:val="00BE5F4C"/>
    <w:rsid w:val="00BF0D99"/>
    <w:rsid w:val="00BF1201"/>
    <w:rsid w:val="00BF1D4A"/>
    <w:rsid w:val="00BF230F"/>
    <w:rsid w:val="00C002E3"/>
    <w:rsid w:val="00C012CC"/>
    <w:rsid w:val="00C04FB3"/>
    <w:rsid w:val="00C147D0"/>
    <w:rsid w:val="00C159C1"/>
    <w:rsid w:val="00C16346"/>
    <w:rsid w:val="00C21B15"/>
    <w:rsid w:val="00C21B8C"/>
    <w:rsid w:val="00C32062"/>
    <w:rsid w:val="00C32523"/>
    <w:rsid w:val="00C3281B"/>
    <w:rsid w:val="00C330EB"/>
    <w:rsid w:val="00C36000"/>
    <w:rsid w:val="00C371C9"/>
    <w:rsid w:val="00C40E9F"/>
    <w:rsid w:val="00C41481"/>
    <w:rsid w:val="00C42469"/>
    <w:rsid w:val="00C46D91"/>
    <w:rsid w:val="00C47A07"/>
    <w:rsid w:val="00C47B74"/>
    <w:rsid w:val="00C50855"/>
    <w:rsid w:val="00C57281"/>
    <w:rsid w:val="00C65D65"/>
    <w:rsid w:val="00C67703"/>
    <w:rsid w:val="00C7173F"/>
    <w:rsid w:val="00C730B6"/>
    <w:rsid w:val="00C754BE"/>
    <w:rsid w:val="00C76466"/>
    <w:rsid w:val="00C76B1C"/>
    <w:rsid w:val="00C915DD"/>
    <w:rsid w:val="00C91B94"/>
    <w:rsid w:val="00C92665"/>
    <w:rsid w:val="00C9305E"/>
    <w:rsid w:val="00CA538F"/>
    <w:rsid w:val="00CA6A9D"/>
    <w:rsid w:val="00CA7F6B"/>
    <w:rsid w:val="00CB0AD1"/>
    <w:rsid w:val="00CB6357"/>
    <w:rsid w:val="00CC0FA3"/>
    <w:rsid w:val="00CC1B26"/>
    <w:rsid w:val="00CC49F7"/>
    <w:rsid w:val="00CC54DB"/>
    <w:rsid w:val="00CC7787"/>
    <w:rsid w:val="00CD087D"/>
    <w:rsid w:val="00CD239E"/>
    <w:rsid w:val="00CD41CB"/>
    <w:rsid w:val="00CD5EE0"/>
    <w:rsid w:val="00CE3273"/>
    <w:rsid w:val="00CE509A"/>
    <w:rsid w:val="00CE5414"/>
    <w:rsid w:val="00CF241F"/>
    <w:rsid w:val="00CF710A"/>
    <w:rsid w:val="00CF7826"/>
    <w:rsid w:val="00D0157A"/>
    <w:rsid w:val="00D036D8"/>
    <w:rsid w:val="00D038ED"/>
    <w:rsid w:val="00D06D26"/>
    <w:rsid w:val="00D10B75"/>
    <w:rsid w:val="00D13351"/>
    <w:rsid w:val="00D15E25"/>
    <w:rsid w:val="00D20368"/>
    <w:rsid w:val="00D22361"/>
    <w:rsid w:val="00D22598"/>
    <w:rsid w:val="00D2339F"/>
    <w:rsid w:val="00D26924"/>
    <w:rsid w:val="00D36CB5"/>
    <w:rsid w:val="00D413F6"/>
    <w:rsid w:val="00D4231B"/>
    <w:rsid w:val="00D423A2"/>
    <w:rsid w:val="00D4556B"/>
    <w:rsid w:val="00D47296"/>
    <w:rsid w:val="00D520D8"/>
    <w:rsid w:val="00D52961"/>
    <w:rsid w:val="00D53A84"/>
    <w:rsid w:val="00D55048"/>
    <w:rsid w:val="00D57EB1"/>
    <w:rsid w:val="00D57FA4"/>
    <w:rsid w:val="00D62DE7"/>
    <w:rsid w:val="00D63AC2"/>
    <w:rsid w:val="00D665B4"/>
    <w:rsid w:val="00D7383B"/>
    <w:rsid w:val="00D7609E"/>
    <w:rsid w:val="00D81A63"/>
    <w:rsid w:val="00D81D25"/>
    <w:rsid w:val="00D85C60"/>
    <w:rsid w:val="00D91C0D"/>
    <w:rsid w:val="00D91F8B"/>
    <w:rsid w:val="00D94C40"/>
    <w:rsid w:val="00D962BC"/>
    <w:rsid w:val="00DA231B"/>
    <w:rsid w:val="00DA23A0"/>
    <w:rsid w:val="00DA7F66"/>
    <w:rsid w:val="00DB186F"/>
    <w:rsid w:val="00DB7367"/>
    <w:rsid w:val="00DC39FC"/>
    <w:rsid w:val="00DC4385"/>
    <w:rsid w:val="00DC484F"/>
    <w:rsid w:val="00DC4C27"/>
    <w:rsid w:val="00DC51BC"/>
    <w:rsid w:val="00DC78A7"/>
    <w:rsid w:val="00DC793F"/>
    <w:rsid w:val="00DD0891"/>
    <w:rsid w:val="00DD1A37"/>
    <w:rsid w:val="00DE3BDD"/>
    <w:rsid w:val="00DE4629"/>
    <w:rsid w:val="00DE6EAA"/>
    <w:rsid w:val="00DF11FD"/>
    <w:rsid w:val="00DF5254"/>
    <w:rsid w:val="00E0164D"/>
    <w:rsid w:val="00E05B31"/>
    <w:rsid w:val="00E12426"/>
    <w:rsid w:val="00E16408"/>
    <w:rsid w:val="00E20894"/>
    <w:rsid w:val="00E23B70"/>
    <w:rsid w:val="00E245AB"/>
    <w:rsid w:val="00E26239"/>
    <w:rsid w:val="00E2764C"/>
    <w:rsid w:val="00E27F2E"/>
    <w:rsid w:val="00E35539"/>
    <w:rsid w:val="00E369F1"/>
    <w:rsid w:val="00E413EA"/>
    <w:rsid w:val="00E47F28"/>
    <w:rsid w:val="00E50AFE"/>
    <w:rsid w:val="00E52E49"/>
    <w:rsid w:val="00E52F44"/>
    <w:rsid w:val="00E561D3"/>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A8D"/>
    <w:rsid w:val="00EA0E3D"/>
    <w:rsid w:val="00EA1CD8"/>
    <w:rsid w:val="00EA29F8"/>
    <w:rsid w:val="00EA393B"/>
    <w:rsid w:val="00EA39A5"/>
    <w:rsid w:val="00EB2C4B"/>
    <w:rsid w:val="00EB3B79"/>
    <w:rsid w:val="00EB7E00"/>
    <w:rsid w:val="00EC1A2C"/>
    <w:rsid w:val="00EC1FE1"/>
    <w:rsid w:val="00EC38A7"/>
    <w:rsid w:val="00ED042A"/>
    <w:rsid w:val="00ED0D4A"/>
    <w:rsid w:val="00ED501A"/>
    <w:rsid w:val="00ED5B3A"/>
    <w:rsid w:val="00EE1AA8"/>
    <w:rsid w:val="00EF26C3"/>
    <w:rsid w:val="00EF2B06"/>
    <w:rsid w:val="00EF419E"/>
    <w:rsid w:val="00EF489F"/>
    <w:rsid w:val="00EF5E27"/>
    <w:rsid w:val="00F11213"/>
    <w:rsid w:val="00F11BAA"/>
    <w:rsid w:val="00F177C1"/>
    <w:rsid w:val="00F17EB6"/>
    <w:rsid w:val="00F238B3"/>
    <w:rsid w:val="00F238F2"/>
    <w:rsid w:val="00F260AA"/>
    <w:rsid w:val="00F27B26"/>
    <w:rsid w:val="00F31EDC"/>
    <w:rsid w:val="00F34D02"/>
    <w:rsid w:val="00F34E84"/>
    <w:rsid w:val="00F40BAD"/>
    <w:rsid w:val="00F462B3"/>
    <w:rsid w:val="00F5184B"/>
    <w:rsid w:val="00F54218"/>
    <w:rsid w:val="00F5491E"/>
    <w:rsid w:val="00F55081"/>
    <w:rsid w:val="00F55168"/>
    <w:rsid w:val="00F558D9"/>
    <w:rsid w:val="00F5664F"/>
    <w:rsid w:val="00F626C4"/>
    <w:rsid w:val="00F64D9E"/>
    <w:rsid w:val="00F666C4"/>
    <w:rsid w:val="00F7684C"/>
    <w:rsid w:val="00F76AFC"/>
    <w:rsid w:val="00F80CBE"/>
    <w:rsid w:val="00F85198"/>
    <w:rsid w:val="00F85237"/>
    <w:rsid w:val="00F86F45"/>
    <w:rsid w:val="00F92BB4"/>
    <w:rsid w:val="00F939CB"/>
    <w:rsid w:val="00F94459"/>
    <w:rsid w:val="00F9479C"/>
    <w:rsid w:val="00F965EE"/>
    <w:rsid w:val="00F97949"/>
    <w:rsid w:val="00FA1110"/>
    <w:rsid w:val="00FA1361"/>
    <w:rsid w:val="00FA358D"/>
    <w:rsid w:val="00FA47C0"/>
    <w:rsid w:val="00FB4425"/>
    <w:rsid w:val="00FB5615"/>
    <w:rsid w:val="00FB5CB7"/>
    <w:rsid w:val="00FB5DD1"/>
    <w:rsid w:val="00FB5F87"/>
    <w:rsid w:val="00FB675F"/>
    <w:rsid w:val="00FC07B5"/>
    <w:rsid w:val="00FC2B5D"/>
    <w:rsid w:val="00FC2F50"/>
    <w:rsid w:val="00FD00BB"/>
    <w:rsid w:val="00FD00E9"/>
    <w:rsid w:val="00FD03E3"/>
    <w:rsid w:val="00FD108E"/>
    <w:rsid w:val="00FE06C8"/>
    <w:rsid w:val="00FE122A"/>
    <w:rsid w:val="00FE20E6"/>
    <w:rsid w:val="00FF1187"/>
    <w:rsid w:val="00FF1449"/>
    <w:rsid w:val="00FF3F03"/>
    <w:rsid w:val="00FF4187"/>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DA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table" w:customStyle="1" w:styleId="Tablaconcuadrcula11">
    <w:name w:val="Tabla con cuadrícula11"/>
    <w:basedOn w:val="Tablanormal"/>
    <w:next w:val="Tablaconcuadrcula"/>
    <w:uiPriority w:val="39"/>
    <w:qFormat/>
    <w:rsid w:val="00956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563E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1B1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15736660">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976298735">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496797806">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489_1998_pr002.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wdbustosabogado@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lombiacompra.gov.co/normativa-y-relatoria/conoce-la-relatoria"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256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D9C3222-BF49-44AC-8692-D6C79AF4CF8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openxmlformats.org/package/2006/metadata/core-properties"/>
    <ds:schemaRef ds:uri="9d85dbaf-23eb-4e57-a637-93dcacc8b1a1"/>
    <ds:schemaRef ds:uri="http://www.w3.org/XML/1998/namespace"/>
    <ds:schemaRef ds:uri="a6cb9e4b-f1d1-4245-83ec-6cad768d538a"/>
    <ds:schemaRef ds:uri="http://purl.org/dc/terms/"/>
    <ds:schemaRef ds:uri="http://schemas.microsoft.com/office/2006/documentManagement/types"/>
    <ds:schemaRef ds:uri="http://purl.org/dc/dcmitype/"/>
    <ds:schemaRef ds:uri="http://schemas.microsoft.com/office/2006/metadata/properties"/>
    <ds:schemaRef ds:uri="http://purl.org/dc/elements/1.1/"/>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8920</Words>
  <Characters>49062</Characters>
  <Application>Microsoft Office Word</Application>
  <DocSecurity>0</DocSecurity>
  <Lines>408</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2025-02-25T15:45:00Z</cp:lastPrinted>
  <dcterms:created xsi:type="dcterms:W3CDTF">2025-10-06T20:14:00Z</dcterms:created>
  <dcterms:modified xsi:type="dcterms:W3CDTF">2025-10-06T20:14:00Z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