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4D0DCE" w14:textId="77777777" w:rsidR="008A55D0" w:rsidRPr="008A55D0" w:rsidRDefault="008A55D0" w:rsidP="008A55D0">
      <w:pPr>
        <w:spacing w:after="0" w:line="240" w:lineRule="auto"/>
        <w:contextualSpacing/>
        <w:jc w:val="both"/>
        <w:rPr>
          <w:rFonts w:ascii="Century Gothic" w:eastAsia="Calibri" w:hAnsi="Century Gothic" w:cs="Arial"/>
          <w:b/>
          <w:kern w:val="2"/>
          <w:lang w:val="es-ES_tradnl" w:eastAsia="es-ES_tradnl"/>
          <w14:ligatures w14:val="standardContextual"/>
        </w:rPr>
      </w:pPr>
      <w:bookmarkStart w:id="0" w:name="_Hlk143780582"/>
      <w:r w:rsidRPr="008A55D0">
        <w:rPr>
          <w:rFonts w:ascii="Century Gothic" w:eastAsia="Calibri" w:hAnsi="Century Gothic" w:cs="Arial"/>
          <w:b/>
          <w:kern w:val="2"/>
          <w:lang w:val="es-ES_tradnl" w:eastAsia="es-ES_tradnl"/>
          <w14:ligatures w14:val="standardContextual"/>
        </w:rPr>
        <w:t xml:space="preserve">DOCUMENTOS TIPO – Fundamento normativo – Ley 2022 de 2020 </w:t>
      </w:r>
    </w:p>
    <w:p w14:paraId="1B17520F" w14:textId="77777777" w:rsidR="008A55D0" w:rsidRPr="008A55D0" w:rsidRDefault="008A55D0" w:rsidP="008A55D0">
      <w:pPr>
        <w:spacing w:after="0" w:line="240" w:lineRule="auto"/>
        <w:contextualSpacing/>
        <w:jc w:val="both"/>
        <w:rPr>
          <w:rFonts w:ascii="Century Gothic" w:eastAsia="Calibri" w:hAnsi="Century Gothic" w:cs="Arial"/>
          <w:kern w:val="2"/>
          <w:sz w:val="20"/>
          <w:szCs w:val="20"/>
          <w:lang w:val="es-ES_tradnl" w:eastAsia="es-ES"/>
          <w14:ligatures w14:val="standardContextual"/>
        </w:rPr>
      </w:pPr>
    </w:p>
    <w:p w14:paraId="68B3C218" w14:textId="77777777" w:rsidR="008A55D0" w:rsidRPr="008A55D0" w:rsidRDefault="008A55D0" w:rsidP="008A55D0">
      <w:pPr>
        <w:spacing w:after="0" w:line="240" w:lineRule="auto"/>
        <w:contextualSpacing/>
        <w:jc w:val="both"/>
        <w:rPr>
          <w:rFonts w:ascii="Century Gothic" w:eastAsia="Calibri" w:hAnsi="Century Gothic" w:cs="Arial"/>
          <w:kern w:val="2"/>
          <w:sz w:val="20"/>
          <w:szCs w:val="20"/>
          <w:lang w:val="es-ES_tradnl"/>
          <w14:ligatures w14:val="standardContextual"/>
        </w:rPr>
      </w:pPr>
      <w:r w:rsidRPr="008A55D0">
        <w:rPr>
          <w:rFonts w:ascii="Century Gothic" w:eastAsia="Calibri" w:hAnsi="Century Gothic" w:cs="Arial"/>
          <w:kern w:val="2"/>
          <w:sz w:val="20"/>
          <w:szCs w:val="20"/>
          <w:lang w:val="es-ES_tradnl" w:eastAsia="es-ES"/>
          <w14:ligatures w14:val="standardContextual"/>
        </w:rPr>
        <w:t xml:space="preserve">Posteriormente,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8A55D0">
        <w:rPr>
          <w:rFonts w:ascii="Century Gothic" w:eastAsia="Calibri" w:hAnsi="Century Gothic" w:cs="Arial"/>
          <w:bCs/>
          <w:kern w:val="2"/>
          <w:sz w:val="20"/>
          <w:szCs w:val="20"/>
          <w:lang w:val="es-ES_tradnl" w:eastAsia="es-ES_tradnl"/>
          <w14:ligatures w14:val="standardContextual"/>
        </w:rPr>
        <w:t>EGCAP</w:t>
      </w:r>
      <w:r w:rsidRPr="008A55D0">
        <w:rPr>
          <w:rFonts w:ascii="Century Gothic" w:eastAsia="Calibri" w:hAnsi="Century Gothic" w:cs="Arial"/>
          <w:kern w:val="2"/>
          <w:sz w:val="20"/>
          <w:szCs w:val="20"/>
          <w:lang w:val="es-ES_tradnl" w:eastAsia="es-ES"/>
          <w14:ligatures w14:val="standardContextual"/>
        </w:rPr>
        <w:t xml:space="preserve">, se atribuyó a la </w:t>
      </w:r>
      <w:r w:rsidRPr="008A55D0">
        <w:rPr>
          <w:rFonts w:ascii="Century Gothic" w:eastAsia="Calibri" w:hAnsi="Century Gothic" w:cs="Arial"/>
          <w:kern w:val="2"/>
          <w:sz w:val="20"/>
          <w:szCs w:val="20"/>
          <w:lang w:val="es-ES_tradnl"/>
          <w14:ligatures w14:val="standardContextual"/>
        </w:rPr>
        <w:t>Agencia Nacional de Contratación Pública – Colombia Compra Eficiente la competencia para su expedición.</w:t>
      </w:r>
    </w:p>
    <w:p w14:paraId="5329F8D8" w14:textId="77777777" w:rsidR="008A55D0" w:rsidRPr="008A55D0" w:rsidRDefault="008A55D0" w:rsidP="008A55D0">
      <w:pPr>
        <w:spacing w:after="0" w:line="240" w:lineRule="auto"/>
        <w:contextualSpacing/>
        <w:jc w:val="both"/>
        <w:rPr>
          <w:rFonts w:ascii="Century Gothic" w:eastAsia="Times New Roman" w:hAnsi="Century Gothic" w:cs="Arial"/>
          <w:kern w:val="2"/>
          <w:sz w:val="20"/>
          <w:szCs w:val="20"/>
          <w:lang w:val="es-ES_tradnl" w:eastAsia="es-ES_tradnl"/>
          <w14:ligatures w14:val="standardContextual"/>
        </w:rPr>
      </w:pPr>
      <w:r w:rsidRPr="008A55D0">
        <w:rPr>
          <w:rFonts w:ascii="Century Gothic" w:eastAsia="Times New Roman" w:hAnsi="Century Gothic" w:cs="Arial"/>
          <w:kern w:val="2"/>
          <w:sz w:val="20"/>
          <w:szCs w:val="20"/>
          <w:lang w:val="es-ES_tradnl" w:eastAsia="es-ES_tradnl"/>
          <w14:ligatures w14:val="standardContextual"/>
        </w:rPr>
        <w:t>[…]</w:t>
      </w:r>
    </w:p>
    <w:p w14:paraId="0C3C666A" w14:textId="77777777" w:rsidR="008A55D0" w:rsidRPr="008A55D0" w:rsidRDefault="008A55D0" w:rsidP="008A55D0">
      <w:pPr>
        <w:shd w:val="clear" w:color="auto" w:fill="FFFFFF"/>
        <w:spacing w:after="0" w:line="240" w:lineRule="auto"/>
        <w:jc w:val="both"/>
        <w:textAlignment w:val="baseline"/>
        <w:rPr>
          <w:rFonts w:ascii="Century Gothic" w:eastAsia="Calibri" w:hAnsi="Century Gothic" w:cs="Arial"/>
          <w:kern w:val="2"/>
          <w:sz w:val="20"/>
          <w:szCs w:val="20"/>
          <w:lang w:val="es-ES_tradnl" w:eastAsia="en-GB"/>
          <w14:ligatures w14:val="standardContextual"/>
        </w:rPr>
      </w:pPr>
      <w:r w:rsidRPr="008A55D0">
        <w:rPr>
          <w:rFonts w:ascii="Century Gothic" w:eastAsia="Calibri" w:hAnsi="Century Gothic" w:cs="Arial"/>
          <w:kern w:val="2"/>
          <w:sz w:val="20"/>
          <w:szCs w:val="20"/>
          <w:lang w:val="es-ES_tradnl" w:eastAsia="es-ES_tradnl"/>
          <w14:ligatures w14:val="standardContextual"/>
        </w:rPr>
        <w:t xml:space="preserve">De acuerdo con lo expuesto, </w:t>
      </w:r>
      <w:r w:rsidRPr="008A55D0">
        <w:rPr>
          <w:rFonts w:ascii="Century Gothic" w:eastAsia="Calibri" w:hAnsi="Century Gothic" w:cs="Arial"/>
          <w:kern w:val="2"/>
          <w:sz w:val="20"/>
          <w:szCs w:val="20"/>
          <w:bdr w:val="none" w:sz="0" w:space="0" w:color="auto" w:frame="1"/>
          <w:lang w:val="es-ES_tradnl" w:eastAsia="es-ES_tradnl"/>
          <w14:ligatures w14:val="standardContextual"/>
        </w:rPr>
        <w:t xml:space="preserve">los documentos tipo adoptados son obligatorios para las entidades estatales regidas por el </w:t>
      </w:r>
      <w:r w:rsidRPr="008A55D0">
        <w:rPr>
          <w:rFonts w:ascii="Century Gothic" w:eastAsia="Calibri" w:hAnsi="Century Gothic" w:cs="Arial"/>
          <w:bCs/>
          <w:kern w:val="2"/>
          <w:sz w:val="20"/>
          <w:szCs w:val="20"/>
          <w:lang w:val="es-ES_tradnl" w:eastAsia="es-ES_tradnl"/>
          <w14:ligatures w14:val="standardContextual"/>
        </w:rPr>
        <w:t>EGCAP</w:t>
      </w:r>
      <w:r w:rsidRPr="008A55D0">
        <w:rPr>
          <w:rFonts w:ascii="Century Gothic" w:eastAsia="Calibri" w:hAnsi="Century Gothic" w:cs="Arial"/>
          <w:kern w:val="2"/>
          <w:sz w:val="20"/>
          <w:szCs w:val="20"/>
          <w:bdr w:val="none" w:sz="0" w:space="0" w:color="auto" w:frame="1"/>
          <w:lang w:val="es-ES_tradnl" w:eastAsia="es-ES_tradnl"/>
          <w14:ligatures w14:val="standardContextual"/>
        </w:rPr>
        <w:t xml:space="preserve"> que adelanten procesos de contratación mediante las modalidades de selección y objetos contractuales cobijados por alguno de los documentos tipo vigentes en los diferentes sectores. </w:t>
      </w:r>
      <w:r w:rsidRPr="008A55D0">
        <w:rPr>
          <w:rFonts w:ascii="Century Gothic" w:eastAsia="Calibri" w:hAnsi="Century Gothic" w:cs="Arial"/>
          <w:kern w:val="2"/>
          <w:sz w:val="20"/>
          <w:szCs w:val="20"/>
          <w:lang w:val="es-ES_tradnl" w:eastAsia="en-GB"/>
          <w14:ligatures w14:val="standardContextual"/>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p w14:paraId="0431B239" w14:textId="77777777" w:rsidR="008A55D0" w:rsidRPr="008A55D0" w:rsidRDefault="008A55D0" w:rsidP="008A55D0">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018EF3A7" w14:textId="77777777" w:rsidR="008A55D0" w:rsidRPr="008A55D0" w:rsidRDefault="008A55D0" w:rsidP="008A55D0">
      <w:pPr>
        <w:tabs>
          <w:tab w:val="left" w:pos="0"/>
        </w:tabs>
        <w:spacing w:after="0" w:line="240" w:lineRule="auto"/>
        <w:ind w:left="11"/>
        <w:jc w:val="both"/>
        <w:rPr>
          <w:rFonts w:ascii="Century Gothic" w:eastAsia="Aptos" w:hAnsi="Century Gothic" w:cs="Arial"/>
          <w:b/>
          <w:bCs/>
          <w:color w:val="000000"/>
          <w:kern w:val="2"/>
          <w:lang w:val="es-ES_tradnl"/>
          <w14:ligatures w14:val="standardContextual"/>
        </w:rPr>
      </w:pPr>
      <w:r w:rsidRPr="008A55D0">
        <w:rPr>
          <w:rFonts w:ascii="Century Gothic" w:eastAsia="Aptos" w:hAnsi="Century Gothic" w:cs="Arial"/>
          <w:b/>
          <w:bCs/>
          <w:color w:val="000000"/>
          <w:kern w:val="2"/>
          <w:lang w:val="es-ES_tradnl"/>
          <w14:ligatures w14:val="standardContextual"/>
        </w:rPr>
        <w:t xml:space="preserve">EXPERIENCIA – Acreditación − Documentos tipo − Licitación de obra pública de infraestructura de transporte </w:t>
      </w:r>
    </w:p>
    <w:p w14:paraId="6425F0F5" w14:textId="77777777" w:rsidR="008A55D0" w:rsidRPr="008A55D0" w:rsidRDefault="008A55D0" w:rsidP="008A55D0">
      <w:pPr>
        <w:tabs>
          <w:tab w:val="left" w:pos="0"/>
        </w:tabs>
        <w:spacing w:after="0" w:line="240" w:lineRule="auto"/>
        <w:ind w:left="11"/>
        <w:jc w:val="both"/>
        <w:rPr>
          <w:rFonts w:ascii="Century Gothic" w:eastAsia="Aptos" w:hAnsi="Century Gothic" w:cs="Arial"/>
          <w:b/>
          <w:bCs/>
          <w:color w:val="000000"/>
          <w:kern w:val="2"/>
          <w:lang w:val="es-ES_tradnl"/>
          <w14:ligatures w14:val="standardContextual"/>
        </w:rPr>
      </w:pPr>
    </w:p>
    <w:p w14:paraId="1E99D60D" w14:textId="77777777" w:rsidR="008A55D0" w:rsidRPr="008A55D0" w:rsidRDefault="008A55D0" w:rsidP="008A55D0">
      <w:pPr>
        <w:spacing w:after="120" w:line="240" w:lineRule="auto"/>
        <w:jc w:val="both"/>
        <w:rPr>
          <w:rFonts w:ascii="Century Gothic" w:eastAsia="Aptos" w:hAnsi="Century Gothic" w:cs="Arial"/>
          <w:kern w:val="2"/>
          <w:sz w:val="20"/>
          <w:szCs w:val="20"/>
          <w:lang w:val="es-MX"/>
          <w14:ligatures w14:val="standardContextual"/>
        </w:rPr>
      </w:pPr>
      <w:r w:rsidRPr="008A55D0">
        <w:rPr>
          <w:rFonts w:ascii="Century Gothic" w:eastAsia="Aptos" w:hAnsi="Century Gothic" w:cs="Arial"/>
          <w:kern w:val="2"/>
          <w:sz w:val="20"/>
          <w:szCs w:val="20"/>
          <w:lang w:val="es-MX"/>
          <w14:ligatures w14:val="standardContextual"/>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p>
    <w:p w14:paraId="0EB57702" w14:textId="77777777" w:rsidR="008A55D0" w:rsidRPr="008A55D0" w:rsidRDefault="008A55D0" w:rsidP="008A55D0">
      <w:pPr>
        <w:spacing w:after="120" w:line="240" w:lineRule="auto"/>
        <w:jc w:val="both"/>
        <w:rPr>
          <w:rFonts w:ascii="Century Gothic" w:eastAsia="Aptos" w:hAnsi="Century Gothic" w:cs="Arial"/>
          <w:color w:val="000000"/>
          <w:kern w:val="2"/>
          <w:sz w:val="20"/>
          <w:szCs w:val="20"/>
          <w:lang w:val="es-ES_tradnl"/>
          <w14:ligatures w14:val="standardContextual"/>
        </w:rPr>
      </w:pPr>
      <w:r w:rsidRPr="008A55D0">
        <w:rPr>
          <w:rFonts w:ascii="Century Gothic" w:eastAsia="Aptos" w:hAnsi="Century Gothic" w:cs="Arial"/>
          <w:color w:val="000000"/>
          <w:kern w:val="2"/>
          <w:sz w:val="20"/>
          <w:szCs w:val="20"/>
          <w:lang w:val="es-ES_tradnl"/>
          <w14:ligatures w14:val="standardContextual"/>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62A349BD" w14:textId="77777777" w:rsidR="008A55D0" w:rsidRPr="008A55D0" w:rsidRDefault="008A55D0" w:rsidP="2EAFBCDC">
      <w:pPr>
        <w:spacing w:after="0" w:line="240" w:lineRule="auto"/>
        <w:ind w:left="11"/>
        <w:jc w:val="both"/>
        <w:rPr>
          <w:rFonts w:ascii="Century Gothic" w:eastAsia="Aptos" w:hAnsi="Century Gothic" w:cs="Arial"/>
          <w:color w:val="000000"/>
          <w:kern w:val="2"/>
          <w:sz w:val="20"/>
          <w:szCs w:val="20"/>
          <w:lang w:val="es-ES"/>
          <w14:ligatures w14:val="standardContextual"/>
        </w:rPr>
      </w:pPr>
      <w:r w:rsidRPr="2EAFBCDC">
        <w:rPr>
          <w:rFonts w:ascii="Century Gothic" w:eastAsia="Aptos" w:hAnsi="Century Gothic" w:cs="Arial"/>
          <w:color w:val="000000"/>
          <w:kern w:val="2"/>
          <w:sz w:val="20"/>
          <w:szCs w:val="20"/>
          <w:lang w:val="es-ES"/>
          <w14:ligatures w14:val="standardContextual"/>
        </w:rPr>
        <w:t xml:space="preserve">Para fijar las condiciones que deben cumplir los contratos aportados, en términos de actividades ejecutadas, las entidades deberán emplear la Matriz 1, documento que estandariza las condiciones de experiencia general y/o experiencia específica que deben </w:t>
      </w:r>
      <w:r w:rsidRPr="2EAFBCDC">
        <w:rPr>
          <w:rFonts w:ascii="Century Gothic" w:eastAsia="Aptos" w:hAnsi="Century Gothic" w:cs="Arial"/>
          <w:color w:val="000000"/>
          <w:kern w:val="2"/>
          <w:sz w:val="20"/>
          <w:szCs w:val="20"/>
          <w:lang w:val="es-ES"/>
          <w14:ligatures w14:val="standardContextual"/>
        </w:rPr>
        <w:lastRenderedPageBreak/>
        <w:t>requerir las entidades estatales de acuerdo con: i) el tipo de obra de infraestructura de transporte; ii) la actividad a contratar, y iii) la cuantía del Proceso de Contratación.</w:t>
      </w:r>
    </w:p>
    <w:p w14:paraId="2D50B27A" w14:textId="77777777" w:rsidR="008A55D0" w:rsidRPr="008A55D0" w:rsidRDefault="008A55D0" w:rsidP="008A55D0">
      <w:pPr>
        <w:tabs>
          <w:tab w:val="left" w:pos="0"/>
        </w:tabs>
        <w:spacing w:after="0" w:line="240" w:lineRule="auto"/>
        <w:ind w:left="11"/>
        <w:jc w:val="both"/>
        <w:rPr>
          <w:rFonts w:ascii="Century Gothic" w:eastAsia="Aptos" w:hAnsi="Century Gothic" w:cs="Arial"/>
          <w:b/>
          <w:bCs/>
          <w:color w:val="000000"/>
          <w:kern w:val="2"/>
          <w:lang w:val="es-ES_tradnl"/>
          <w14:ligatures w14:val="standardContextual"/>
        </w:rPr>
      </w:pPr>
    </w:p>
    <w:p w14:paraId="0BDBAB7E" w14:textId="77777777" w:rsidR="008A55D0" w:rsidRPr="008A55D0" w:rsidRDefault="008A55D0" w:rsidP="008A55D0">
      <w:pPr>
        <w:tabs>
          <w:tab w:val="left" w:pos="0"/>
        </w:tabs>
        <w:spacing w:after="0" w:line="240" w:lineRule="auto"/>
        <w:ind w:left="11"/>
        <w:jc w:val="both"/>
        <w:rPr>
          <w:rFonts w:ascii="Century Gothic" w:eastAsia="Arial" w:hAnsi="Century Gothic" w:cs="Arial"/>
          <w:b/>
          <w:kern w:val="2"/>
          <w:lang w:val="es-ES"/>
          <w14:ligatures w14:val="standardContextual"/>
        </w:rPr>
      </w:pPr>
      <w:r w:rsidRPr="008A55D0">
        <w:rPr>
          <w:rFonts w:ascii="Century Gothic" w:eastAsia="Arial" w:hAnsi="Century Gothic" w:cs="Arial"/>
          <w:b/>
          <w:kern w:val="2"/>
          <w:lang w:val="es-ES"/>
          <w14:ligatures w14:val="standardContextual"/>
        </w:rPr>
        <w:t xml:space="preserve">EXPERIENCIA ADICIONAL − Bienes y servicios adicionales a la obra pública – Infraestructura de transporte </w:t>
      </w:r>
    </w:p>
    <w:p w14:paraId="054ECAF5" w14:textId="77777777" w:rsidR="008A55D0" w:rsidRPr="008A55D0" w:rsidRDefault="008A55D0" w:rsidP="008A55D0">
      <w:pPr>
        <w:tabs>
          <w:tab w:val="left" w:pos="0"/>
        </w:tabs>
        <w:spacing w:after="0" w:line="240" w:lineRule="auto"/>
        <w:ind w:left="11"/>
        <w:jc w:val="both"/>
        <w:rPr>
          <w:rFonts w:ascii="Century Gothic" w:eastAsia="Arial" w:hAnsi="Century Gothic" w:cs="Arial"/>
          <w:b/>
          <w:kern w:val="2"/>
          <w:lang w:val="es-ES"/>
          <w14:ligatures w14:val="standardContextual"/>
        </w:rPr>
      </w:pPr>
    </w:p>
    <w:p w14:paraId="3ACCC5BD" w14:textId="77777777" w:rsidR="008A55D0" w:rsidRPr="008A55D0" w:rsidRDefault="008A55D0" w:rsidP="008A55D0">
      <w:pPr>
        <w:spacing w:after="120" w:line="240" w:lineRule="auto"/>
        <w:jc w:val="both"/>
        <w:rPr>
          <w:rFonts w:ascii="Century Gothic" w:eastAsia="Aptos" w:hAnsi="Century Gothic" w:cs="Arial"/>
          <w:color w:val="000000"/>
          <w:kern w:val="2"/>
          <w:sz w:val="20"/>
          <w:szCs w:val="20"/>
          <w:lang w:val="es-MX"/>
          <w14:ligatures w14:val="standardContextual"/>
        </w:rPr>
      </w:pPr>
      <w:r w:rsidRPr="008A55D0">
        <w:rPr>
          <w:rFonts w:ascii="Century Gothic" w:eastAsia="Arial" w:hAnsi="Century Gothic" w:cs="Arial"/>
          <w:kern w:val="2"/>
          <w:sz w:val="20"/>
          <w:szCs w:val="20"/>
          <w:lang w:val="es-ES"/>
          <w14:ligatures w14:val="standardContextual"/>
        </w:rPr>
        <w:t xml:space="preserve">Una regla especial en relación con lo anterior se desarrolla </w:t>
      </w:r>
      <w:r w:rsidRPr="008A55D0">
        <w:rPr>
          <w:rFonts w:ascii="Century Gothic" w:eastAsia="Arial" w:hAnsi="Century Gothic" w:cs="Arial"/>
          <w:kern w:val="2"/>
          <w:sz w:val="20"/>
          <w:szCs w:val="20"/>
          <w:lang w:val="es-ES_tradnl"/>
          <w14:ligatures w14:val="standardContextual"/>
        </w:rPr>
        <w:t xml:space="preserve">en el </w:t>
      </w:r>
      <w:r w:rsidRPr="008A55D0">
        <w:rPr>
          <w:rFonts w:ascii="Century Gothic" w:eastAsia="Arial" w:hAnsi="Century Gothic" w:cs="Arial"/>
          <w:kern w:val="2"/>
          <w:sz w:val="20"/>
          <w:szCs w:val="20"/>
          <w:lang w:val="es-ES"/>
          <w14:ligatures w14:val="standardContextual"/>
        </w:rPr>
        <w:t>artículo 4 de la Resolución 240 No. del 27 de noviembre de 2020,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fundamento</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en</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esta</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disposición,</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las</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entidades</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pueden</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requerir</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experiencia</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añadida cuando el bien o servicio adicional a la obra de infraestructura de transporte es de tal relevancia que se considere que no es posible valorar la idoneidad</w:t>
      </w:r>
      <w:r w:rsidRPr="008A55D0">
        <w:rPr>
          <w:rFonts w:ascii="Century Gothic" w:eastAsia="Arial" w:hAnsi="Century Gothic" w:cs="Arial"/>
          <w:spacing w:val="-9"/>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del</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contratista</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únicamente</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w:t>
      </w:r>
      <w:r w:rsidRPr="008A55D0">
        <w:rPr>
          <w:rFonts w:ascii="Century Gothic" w:eastAsia="Arial" w:hAnsi="Century Gothic" w:cs="Arial"/>
          <w:spacing w:val="-9"/>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partir</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experiencia</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establecida</w:t>
      </w:r>
      <w:r w:rsidRPr="008A55D0">
        <w:rPr>
          <w:rFonts w:ascii="Century Gothic" w:eastAsia="Arial" w:hAnsi="Century Gothic" w:cs="Arial"/>
          <w:spacing w:val="-9"/>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en</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“Matriz 1 –</w:t>
      </w:r>
      <w:r w:rsidRPr="008A55D0">
        <w:rPr>
          <w:rFonts w:ascii="Century Gothic" w:eastAsia="Arial" w:hAnsi="Century Gothic" w:cs="Arial"/>
          <w:spacing w:val="-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Experiencia”.</w:t>
      </w:r>
    </w:p>
    <w:p w14:paraId="5CCAA7FE" w14:textId="77777777" w:rsidR="008A55D0" w:rsidRPr="008A55D0" w:rsidRDefault="008A55D0" w:rsidP="008A55D0">
      <w:pPr>
        <w:widowControl w:val="0"/>
        <w:autoSpaceDE w:val="0"/>
        <w:autoSpaceDN w:val="0"/>
        <w:spacing w:before="120" w:after="0" w:line="240" w:lineRule="auto"/>
        <w:jc w:val="both"/>
        <w:rPr>
          <w:rFonts w:ascii="Century Gothic" w:eastAsia="Arial" w:hAnsi="Century Gothic" w:cs="Arial"/>
          <w:kern w:val="2"/>
          <w:sz w:val="20"/>
          <w:szCs w:val="20"/>
          <w:lang w:val="es-ES"/>
          <w14:ligatures w14:val="standardContextual"/>
        </w:rPr>
      </w:pPr>
      <w:r w:rsidRPr="008A55D0">
        <w:rPr>
          <w:rFonts w:ascii="Century Gothic" w:eastAsia="Arial" w:hAnsi="Century Gothic" w:cs="Arial"/>
          <w:kern w:val="2"/>
          <w:sz w:val="20"/>
          <w:szCs w:val="20"/>
          <w:lang w:val="es-ES"/>
          <w14:ligatures w14:val="standardContextual"/>
        </w:rPr>
        <w:t>Cuando la entidad requiere bienes y servicios que no se encuentran incluidos como</w:t>
      </w:r>
      <w:r w:rsidRPr="008A55D0">
        <w:rPr>
          <w:rFonts w:ascii="Century Gothic" w:eastAsia="Arial" w:hAnsi="Century Gothic" w:cs="Arial"/>
          <w:spacing w:val="-11"/>
          <w:kern w:val="2"/>
          <w:sz w:val="20"/>
          <w:szCs w:val="20"/>
          <w:lang w:val="es-ES"/>
          <w14:ligatures w14:val="standardContextual"/>
        </w:rPr>
        <w:t xml:space="preserve"> obra de </w:t>
      </w:r>
      <w:r w:rsidRPr="008A55D0">
        <w:rPr>
          <w:rFonts w:ascii="Century Gothic" w:eastAsia="Arial" w:hAnsi="Century Gothic" w:cs="Arial"/>
          <w:kern w:val="2"/>
          <w:sz w:val="20"/>
          <w:szCs w:val="20"/>
          <w:lang w:val="es-ES"/>
          <w14:ligatures w14:val="standardContextual"/>
        </w:rPr>
        <w:t>infraestructura</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transporte</w:t>
      </w:r>
      <w:r w:rsidRPr="008A55D0">
        <w:rPr>
          <w:rFonts w:ascii="Century Gothic" w:eastAsia="Arial" w:hAnsi="Century Gothic" w:cs="Arial"/>
          <w:spacing w:val="-10"/>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en</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“Matriz</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1</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Experiencia”</w:t>
      </w:r>
      <w:r w:rsidRPr="008A55D0">
        <w:rPr>
          <w:rFonts w:ascii="Century Gothic" w:eastAsia="Arial" w:hAnsi="Century Gothic" w:cs="Arial"/>
          <w:spacing w:val="-10"/>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y</w:t>
      </w:r>
      <w:r w:rsidRPr="008A55D0">
        <w:rPr>
          <w:rFonts w:ascii="Century Gothic" w:eastAsia="Arial" w:hAnsi="Century Gothic" w:cs="Arial"/>
          <w:spacing w:val="-10"/>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considera</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necesario exigir</w:t>
      </w:r>
      <w:r w:rsidRPr="008A55D0">
        <w:rPr>
          <w:rFonts w:ascii="Century Gothic" w:eastAsia="Arial" w:hAnsi="Century Gothic" w:cs="Arial"/>
          <w:spacing w:val="-19"/>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experiencia</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adicional,</w:t>
      </w:r>
      <w:r w:rsidRPr="008A55D0">
        <w:rPr>
          <w:rFonts w:ascii="Century Gothic" w:eastAsia="Arial" w:hAnsi="Century Gothic" w:cs="Arial"/>
          <w:spacing w:val="-18"/>
          <w:kern w:val="2"/>
          <w:sz w:val="20"/>
          <w:szCs w:val="20"/>
          <w:lang w:val="es-ES"/>
          <w14:ligatures w14:val="standardContextual"/>
        </w:rPr>
        <w:t xml:space="preserve"> se </w:t>
      </w:r>
      <w:r w:rsidRPr="008A55D0">
        <w:rPr>
          <w:rFonts w:ascii="Century Gothic" w:eastAsia="Arial" w:hAnsi="Century Gothic" w:cs="Arial"/>
          <w:kern w:val="2"/>
          <w:sz w:val="20"/>
          <w:szCs w:val="20"/>
          <w:lang w:val="es-ES"/>
          <w14:ligatures w14:val="standardContextual"/>
        </w:rPr>
        <w:t>debe</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aplicar</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el</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artículo</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4</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Resolución No.</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240</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2020.</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 xml:space="preserve">Esta norma dispone los eventos en los que el objeto contractual incluye bienes o servicios adicionales a la obra pública de infraestructura de transporte. En este caso, la entidad </w:t>
      </w:r>
      <w:r w:rsidRPr="008A55D0">
        <w:rPr>
          <w:rFonts w:ascii="Century Gothic" w:eastAsia="Arial" w:hAnsi="Century Gothic" w:cs="Arial"/>
          <w:i/>
          <w:iCs/>
          <w:kern w:val="2"/>
          <w:sz w:val="20"/>
          <w:szCs w:val="20"/>
          <w:lang w:val="es-ES"/>
          <w14:ligatures w14:val="standardContextual"/>
        </w:rPr>
        <w:t>puede</w:t>
      </w:r>
      <w:r w:rsidRPr="008A55D0">
        <w:rPr>
          <w:rFonts w:ascii="Century Gothic" w:eastAsia="Arial" w:hAnsi="Century Gothic" w:cs="Arial"/>
          <w:kern w:val="2"/>
          <w:sz w:val="20"/>
          <w:szCs w:val="20"/>
          <w:lang w:val="es-ES"/>
          <w14:ligatures w14:val="standardContextual"/>
        </w:rPr>
        <w:t xml:space="preserve"> incluir experiencia adicional para evaluar la idoneidad respecto de los bienes o servicios ajenos a la obra pública de infraestructura de</w:t>
      </w:r>
      <w:r w:rsidRPr="008A55D0">
        <w:rPr>
          <w:rFonts w:ascii="Century Gothic" w:eastAsia="Arial" w:hAnsi="Century Gothic" w:cs="Arial"/>
          <w:spacing w:val="-18"/>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transporte.</w:t>
      </w:r>
    </w:p>
    <w:p w14:paraId="659BAE49" w14:textId="77777777" w:rsidR="008A55D0" w:rsidRPr="008A55D0" w:rsidRDefault="008A55D0" w:rsidP="008A55D0">
      <w:pPr>
        <w:widowControl w:val="0"/>
        <w:autoSpaceDE w:val="0"/>
        <w:autoSpaceDN w:val="0"/>
        <w:spacing w:before="119" w:after="0" w:line="240" w:lineRule="auto"/>
        <w:jc w:val="both"/>
        <w:rPr>
          <w:rFonts w:ascii="Century Gothic" w:eastAsia="Arial" w:hAnsi="Century Gothic" w:cs="Arial"/>
          <w:kern w:val="2"/>
          <w:sz w:val="20"/>
          <w:szCs w:val="20"/>
          <w:lang w:val="es-ES"/>
          <w14:ligatures w14:val="standardContextual"/>
        </w:rPr>
      </w:pPr>
      <w:r w:rsidRPr="008A55D0">
        <w:rPr>
          <w:rFonts w:ascii="Century Gothic" w:eastAsia="Arial" w:hAnsi="Century Gothic" w:cs="Arial"/>
          <w:kern w:val="2"/>
          <w:sz w:val="20"/>
          <w:szCs w:val="20"/>
          <w:lang w:val="es-ES"/>
          <w14:ligatures w14:val="standardContextual"/>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w:t>
      </w:r>
      <w:proofErr w:type="spellStart"/>
      <w:r w:rsidRPr="008A55D0">
        <w:rPr>
          <w:rFonts w:ascii="Century Gothic" w:eastAsia="Arial" w:hAnsi="Century Gothic" w:cs="Arial"/>
          <w:kern w:val="2"/>
          <w:sz w:val="20"/>
          <w:szCs w:val="20"/>
          <w:lang w:val="es-ES"/>
          <w14:ligatures w14:val="standardContextual"/>
        </w:rPr>
        <w:t>iv</w:t>
      </w:r>
      <w:proofErr w:type="spellEnd"/>
      <w:r w:rsidRPr="008A55D0">
        <w:rPr>
          <w:rFonts w:ascii="Century Gothic" w:eastAsia="Arial" w:hAnsi="Century Gothic" w:cs="Arial"/>
          <w:kern w:val="2"/>
          <w:sz w:val="20"/>
          <w:szCs w:val="20"/>
          <w:lang w:val="es-ES"/>
          <w14:ligatures w14:val="standardContextual"/>
        </w:rPr>
        <w:t>) clasificar la experiencia requerida</w:t>
      </w:r>
      <w:r w:rsidRPr="008A55D0">
        <w:rPr>
          <w:rFonts w:ascii="Century Gothic" w:eastAsia="Arial" w:hAnsi="Century Gothic" w:cs="Arial"/>
          <w:spacing w:val="-13"/>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solo</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hasta</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el</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tercer</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nivel</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del</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clasificador</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bienes</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y</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servicios,</w:t>
      </w:r>
      <w:r w:rsidRPr="008A55D0">
        <w:rPr>
          <w:rFonts w:ascii="Century Gothic" w:eastAsia="Arial" w:hAnsi="Century Gothic" w:cs="Arial"/>
          <w:spacing w:val="-13"/>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así</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como</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incluir exclusivamente los códigos que estén relacionados directamente con el objeto a contratar.</w:t>
      </w:r>
    </w:p>
    <w:p w14:paraId="207A1FC1" w14:textId="77777777" w:rsidR="008A55D0" w:rsidRPr="008A55D0" w:rsidRDefault="008A55D0" w:rsidP="008A55D0">
      <w:pPr>
        <w:tabs>
          <w:tab w:val="left" w:pos="0"/>
        </w:tabs>
        <w:spacing w:after="120" w:line="240" w:lineRule="auto"/>
        <w:ind w:left="11"/>
        <w:jc w:val="both"/>
        <w:rPr>
          <w:rFonts w:ascii="Century Gothic" w:eastAsia="Arial" w:hAnsi="Century Gothic" w:cs="Arial"/>
          <w:b/>
          <w:kern w:val="2"/>
          <w:sz w:val="20"/>
          <w:szCs w:val="20"/>
          <w:lang w:val="es-ES"/>
          <w14:ligatures w14:val="standardContextual"/>
        </w:rPr>
      </w:pPr>
      <w:r w:rsidRPr="008A55D0">
        <w:rPr>
          <w:rFonts w:ascii="Century Gothic" w:eastAsia="Arial" w:hAnsi="Century Gothic" w:cs="Arial"/>
          <w:kern w:val="2"/>
          <w:sz w:val="20"/>
          <w:szCs w:val="20"/>
          <w:lang w:val="es-ES"/>
          <w14:ligatures w14:val="standardContextual"/>
        </w:rPr>
        <w:t>[…]</w:t>
      </w:r>
    </w:p>
    <w:p w14:paraId="082104E9" w14:textId="77777777" w:rsidR="008A55D0" w:rsidRPr="008A55D0" w:rsidRDefault="008A55D0" w:rsidP="008A55D0">
      <w:pPr>
        <w:spacing w:after="120" w:line="240" w:lineRule="auto"/>
        <w:jc w:val="both"/>
        <w:rPr>
          <w:rFonts w:ascii="Century Gothic" w:eastAsia="Arial" w:hAnsi="Century Gothic" w:cs="Arial"/>
          <w:kern w:val="2"/>
          <w:sz w:val="20"/>
          <w:szCs w:val="20"/>
          <w:lang w:val="es-MX"/>
          <w14:ligatures w14:val="standardContextual"/>
        </w:rPr>
      </w:pPr>
      <w:r w:rsidRPr="008A55D0">
        <w:rPr>
          <w:rFonts w:ascii="Century Gothic" w:eastAsia="Arial" w:hAnsi="Century Gothic" w:cs="Arial"/>
          <w:kern w:val="2"/>
          <w:sz w:val="20"/>
          <w:szCs w:val="20"/>
          <w:lang w:val="es-ES"/>
          <w14:ligatures w14:val="standardContextual"/>
        </w:rPr>
        <w:t>para solicitar experiencia</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frente</w:t>
      </w:r>
      <w:r w:rsidRPr="008A55D0">
        <w:rPr>
          <w:rFonts w:ascii="Century Gothic" w:eastAsia="Arial" w:hAnsi="Century Gothic" w:cs="Arial"/>
          <w:spacing w:val="-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w:t>
      </w:r>
      <w:r w:rsidRPr="008A55D0">
        <w:rPr>
          <w:rFonts w:ascii="Century Gothic" w:eastAsia="Arial" w:hAnsi="Century Gothic" w:cs="Arial"/>
          <w:spacing w:val="-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bienes</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o</w:t>
      </w:r>
      <w:r w:rsidRPr="008A55D0">
        <w:rPr>
          <w:rFonts w:ascii="Century Gothic" w:eastAsia="Arial" w:hAnsi="Century Gothic" w:cs="Arial"/>
          <w:spacing w:val="-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servicios</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adicionales</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que</w:t>
      </w:r>
      <w:r w:rsidRPr="008A55D0">
        <w:rPr>
          <w:rFonts w:ascii="Century Gothic" w:eastAsia="Arial" w:hAnsi="Century Gothic" w:cs="Arial"/>
          <w:spacing w:val="-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no</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se</w:t>
      </w:r>
      <w:r w:rsidRPr="008A55D0">
        <w:rPr>
          <w:rFonts w:ascii="Century Gothic" w:eastAsia="Arial" w:hAnsi="Century Gothic" w:cs="Arial"/>
          <w:spacing w:val="-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encuentren</w:t>
      </w:r>
      <w:r w:rsidRPr="008A55D0">
        <w:rPr>
          <w:rFonts w:ascii="Century Gothic" w:eastAsia="Arial" w:hAnsi="Century Gothic" w:cs="Arial"/>
          <w:spacing w:val="-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contemplados en</w:t>
      </w:r>
      <w:r w:rsidRPr="008A55D0">
        <w:rPr>
          <w:rFonts w:ascii="Century Gothic" w:eastAsia="Arial" w:hAnsi="Century Gothic" w:cs="Arial"/>
          <w:spacing w:val="-1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1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“Matriz</w:t>
      </w:r>
      <w:r w:rsidRPr="008A55D0">
        <w:rPr>
          <w:rFonts w:ascii="Century Gothic" w:eastAsia="Arial" w:hAnsi="Century Gothic" w:cs="Arial"/>
          <w:spacing w:val="-1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1</w:t>
      </w:r>
      <w:r w:rsidRPr="008A55D0">
        <w:rPr>
          <w:rFonts w:ascii="Century Gothic" w:eastAsia="Arial" w:hAnsi="Century Gothic" w:cs="Arial"/>
          <w:spacing w:val="-1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w:t>
      </w:r>
      <w:r w:rsidRPr="008A55D0">
        <w:rPr>
          <w:rFonts w:ascii="Century Gothic" w:eastAsia="Arial" w:hAnsi="Century Gothic" w:cs="Arial"/>
          <w:spacing w:val="-1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Experiencia”,</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el</w:t>
      </w:r>
      <w:r w:rsidRPr="008A55D0">
        <w:rPr>
          <w:rFonts w:ascii="Century Gothic" w:eastAsia="Arial" w:hAnsi="Century Gothic" w:cs="Arial"/>
          <w:spacing w:val="-1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literal</w:t>
      </w:r>
      <w:r w:rsidRPr="008A55D0">
        <w:rPr>
          <w:rFonts w:ascii="Century Gothic" w:eastAsia="Arial" w:hAnsi="Century Gothic" w:cs="Arial"/>
          <w:spacing w:val="-1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H</w:t>
      </w:r>
      <w:r w:rsidRPr="008A55D0">
        <w:rPr>
          <w:rFonts w:ascii="Century Gothic" w:eastAsia="Arial" w:hAnsi="Century Gothic" w:cs="Arial"/>
          <w:spacing w:val="-1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del</w:t>
      </w:r>
      <w:r w:rsidRPr="008A55D0">
        <w:rPr>
          <w:rFonts w:ascii="Century Gothic" w:eastAsia="Arial" w:hAnsi="Century Gothic" w:cs="Arial"/>
          <w:spacing w:val="-1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numeral</w:t>
      </w:r>
      <w:r w:rsidRPr="008A55D0">
        <w:rPr>
          <w:rFonts w:ascii="Century Gothic" w:eastAsia="Arial" w:hAnsi="Century Gothic" w:cs="Arial"/>
          <w:spacing w:val="-1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 xml:space="preserve">3.5.2 </w:t>
      </w:r>
      <w:r w:rsidRPr="008A55D0">
        <w:rPr>
          <w:rFonts w:ascii="Century Gothic" w:eastAsia="Arial" w:hAnsi="Century Gothic" w:cs="Arial"/>
          <w:kern w:val="2"/>
          <w:sz w:val="20"/>
          <w:szCs w:val="20"/>
          <w:lang w:val="es-MX"/>
          <w14:ligatures w14:val="standardContextual"/>
        </w:rPr>
        <w:t>“CARACTERÍSTICAS DE LOS CONTRATOS PRESENTADOS PARA ACREDITAR EXPERIENCIA</w:t>
      </w:r>
      <w:r w:rsidRPr="008A55D0">
        <w:rPr>
          <w:rFonts w:ascii="Century Gothic" w:eastAsia="Arial" w:hAnsi="Century Gothic" w:cs="Arial"/>
          <w:kern w:val="2"/>
          <w:sz w:val="20"/>
          <w:szCs w:val="20"/>
          <w:lang w:val="es-ES"/>
          <w14:ligatures w14:val="standardContextual"/>
        </w:rPr>
        <w:t>”</w:t>
      </w:r>
      <w:r w:rsidRPr="008A55D0">
        <w:rPr>
          <w:rFonts w:ascii="Century Gothic" w:eastAsia="Arial" w:hAnsi="Century Gothic" w:cs="Arial"/>
          <w:kern w:val="2"/>
          <w:sz w:val="20"/>
          <w:szCs w:val="20"/>
          <w:lang w:val="es-MX"/>
          <w14:ligatures w14:val="standardContextual"/>
        </w:rPr>
        <w:t xml:space="preserve"> […]</w:t>
      </w:r>
    </w:p>
    <w:p w14:paraId="75C6114B" w14:textId="77777777" w:rsidR="008A55D0" w:rsidRPr="008A55D0" w:rsidRDefault="008A55D0" w:rsidP="008A55D0">
      <w:pPr>
        <w:spacing w:after="120" w:line="240" w:lineRule="auto"/>
        <w:jc w:val="both"/>
        <w:rPr>
          <w:rFonts w:ascii="Century Gothic" w:eastAsia="Aptos" w:hAnsi="Century Gothic" w:cs="Times New Roman"/>
          <w:color w:val="000000"/>
          <w:kern w:val="2"/>
          <w:sz w:val="20"/>
          <w:szCs w:val="20"/>
          <w:lang w:val="es-MX"/>
          <w14:ligatures w14:val="standardContextual"/>
        </w:rPr>
      </w:pPr>
      <w:r w:rsidRPr="008A55D0">
        <w:rPr>
          <w:rFonts w:ascii="Century Gothic" w:eastAsia="Arial" w:hAnsi="Century Gothic" w:cs="Arial"/>
          <w:kern w:val="2"/>
          <w:sz w:val="20"/>
          <w:szCs w:val="20"/>
          <w:lang w:val="es-MX"/>
          <w14:ligatures w14:val="standardContextual"/>
        </w:rPr>
        <w:t>[…]</w:t>
      </w:r>
    </w:p>
    <w:p w14:paraId="4A92625B" w14:textId="77777777" w:rsidR="008A55D0" w:rsidRPr="008A55D0" w:rsidRDefault="008A55D0" w:rsidP="008A55D0">
      <w:pPr>
        <w:widowControl w:val="0"/>
        <w:autoSpaceDE w:val="0"/>
        <w:autoSpaceDN w:val="0"/>
        <w:spacing w:after="0" w:line="240" w:lineRule="auto"/>
        <w:jc w:val="both"/>
        <w:rPr>
          <w:rFonts w:ascii="Century Gothic" w:eastAsia="Arial" w:hAnsi="Century Gothic" w:cs="Arial"/>
          <w:kern w:val="2"/>
          <w:sz w:val="20"/>
          <w:szCs w:val="20"/>
          <w:lang w:val="es-ES"/>
          <w14:ligatures w14:val="standardContextual"/>
        </w:rPr>
      </w:pP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esta</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manera,</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regla</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general</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frente</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aplicación</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del</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documento</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base</w:t>
      </w:r>
      <w:r w:rsidRPr="008A55D0">
        <w:rPr>
          <w:rFonts w:ascii="Century Gothic" w:eastAsia="Arial" w:hAnsi="Century Gothic" w:cs="Arial"/>
          <w:spacing w:val="-11"/>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es</w:t>
      </w:r>
      <w:r w:rsidRPr="008A55D0">
        <w:rPr>
          <w:rFonts w:ascii="Century Gothic" w:eastAsia="Arial" w:hAnsi="Century Gothic" w:cs="Arial"/>
          <w:spacing w:val="-12"/>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4</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Resolución</w:t>
      </w:r>
      <w:r w:rsidRPr="008A55D0">
        <w:rPr>
          <w:rFonts w:ascii="Century Gothic" w:eastAsia="Arial" w:hAnsi="Century Gothic" w:cs="Arial"/>
          <w:spacing w:val="-13"/>
          <w:kern w:val="2"/>
          <w:sz w:val="20"/>
          <w:szCs w:val="20"/>
          <w:lang w:val="es-ES"/>
          <w14:ligatures w14:val="standardContextual"/>
        </w:rPr>
        <w:t xml:space="preserve"> No. </w:t>
      </w:r>
      <w:r w:rsidRPr="008A55D0">
        <w:rPr>
          <w:rFonts w:ascii="Century Gothic" w:eastAsia="Arial" w:hAnsi="Century Gothic" w:cs="Arial"/>
          <w:kern w:val="2"/>
          <w:sz w:val="20"/>
          <w:szCs w:val="20"/>
          <w:lang w:val="es-ES"/>
          <w14:ligatures w14:val="standardContextual"/>
        </w:rPr>
        <w:t>240</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2020.</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Por</w:t>
      </w:r>
      <w:r w:rsidRPr="008A55D0">
        <w:rPr>
          <w:rFonts w:ascii="Century Gothic" w:eastAsia="Arial" w:hAnsi="Century Gothic" w:cs="Arial"/>
          <w:spacing w:val="-13"/>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tanto,</w:t>
      </w:r>
      <w:r w:rsidRPr="008A55D0">
        <w:rPr>
          <w:rFonts w:ascii="Century Gothic" w:eastAsia="Arial" w:hAnsi="Century Gothic" w:cs="Arial"/>
          <w:spacing w:val="-13"/>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si</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el</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objeto</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contractual</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incluye</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lastRenderedPageBreak/>
        <w:t>bienes o</w:t>
      </w:r>
      <w:r w:rsidRPr="008A55D0">
        <w:rPr>
          <w:rFonts w:ascii="Century Gothic" w:eastAsia="Arial" w:hAnsi="Century Gothic" w:cs="Arial"/>
          <w:spacing w:val="-1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servicios</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ajenos</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la</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obra</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pública</w:t>
      </w:r>
      <w:r w:rsidRPr="008A55D0">
        <w:rPr>
          <w:rFonts w:ascii="Century Gothic" w:eastAsia="Arial" w:hAnsi="Century Gothic" w:cs="Arial"/>
          <w:spacing w:val="-1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infraestructura</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transporte,</w:t>
      </w:r>
      <w:r w:rsidRPr="008A55D0">
        <w:rPr>
          <w:rFonts w:ascii="Century Gothic" w:eastAsia="Arial" w:hAnsi="Century Gothic" w:cs="Arial"/>
          <w:spacing w:val="-14"/>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w:t>
      </w:r>
      <w:r w:rsidRPr="008A55D0">
        <w:rPr>
          <w:rFonts w:ascii="Century Gothic" w:eastAsia="Arial" w:hAnsi="Century Gothic" w:cs="Arial"/>
          <w:spacing w:val="-16"/>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allí</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solo</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se</w:t>
      </w:r>
      <w:r w:rsidRPr="008A55D0">
        <w:rPr>
          <w:rFonts w:ascii="Century Gothic" w:eastAsia="Arial" w:hAnsi="Century Gothic" w:cs="Arial"/>
          <w:spacing w:val="-15"/>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deriva que podrá incluirse la experiencia adicional que se considere conveniente, atendiendo a las reglas explicadas con</w:t>
      </w:r>
      <w:r w:rsidRPr="008A55D0">
        <w:rPr>
          <w:rFonts w:ascii="Century Gothic" w:eastAsia="Arial" w:hAnsi="Century Gothic" w:cs="Arial"/>
          <w:spacing w:val="-7"/>
          <w:kern w:val="2"/>
          <w:sz w:val="20"/>
          <w:szCs w:val="20"/>
          <w:lang w:val="es-ES"/>
          <w14:ligatures w14:val="standardContextual"/>
        </w:rPr>
        <w:t xml:space="preserve"> </w:t>
      </w:r>
      <w:r w:rsidRPr="008A55D0">
        <w:rPr>
          <w:rFonts w:ascii="Century Gothic" w:eastAsia="Arial" w:hAnsi="Century Gothic" w:cs="Arial"/>
          <w:kern w:val="2"/>
          <w:sz w:val="20"/>
          <w:szCs w:val="20"/>
          <w:lang w:val="es-ES"/>
          <w14:ligatures w14:val="standardContextual"/>
        </w:rPr>
        <w:t>anterioridad.</w:t>
      </w:r>
    </w:p>
    <w:p w14:paraId="6CD41D7D" w14:textId="77777777" w:rsidR="008A55D0" w:rsidRPr="008A55D0" w:rsidRDefault="008A55D0" w:rsidP="008A55D0">
      <w:pPr>
        <w:tabs>
          <w:tab w:val="left" w:pos="0"/>
        </w:tabs>
        <w:spacing w:after="0" w:line="240" w:lineRule="auto"/>
        <w:ind w:left="11"/>
        <w:jc w:val="both"/>
        <w:rPr>
          <w:rFonts w:ascii="Century Gothic" w:eastAsia="Arial" w:hAnsi="Century Gothic" w:cs="Arial"/>
          <w:b/>
          <w:kern w:val="2"/>
          <w:sz w:val="21"/>
          <w:szCs w:val="21"/>
          <w:lang w:val="es-ES"/>
          <w14:ligatures w14:val="standardContextual"/>
        </w:rPr>
      </w:pPr>
    </w:p>
    <w:p w14:paraId="207C3BD9" w14:textId="77777777" w:rsidR="008A55D0" w:rsidRPr="008A55D0" w:rsidRDefault="008A55D0" w:rsidP="008A55D0">
      <w:pPr>
        <w:tabs>
          <w:tab w:val="left" w:pos="0"/>
        </w:tabs>
        <w:spacing w:after="0" w:line="240" w:lineRule="auto"/>
        <w:ind w:left="11"/>
        <w:jc w:val="both"/>
        <w:rPr>
          <w:rFonts w:ascii="Century Gothic" w:eastAsia="Calibri" w:hAnsi="Century Gothic" w:cs="Arial"/>
          <w:b/>
          <w:bCs/>
          <w:color w:val="000000"/>
          <w:kern w:val="2"/>
          <w:lang w:val="es-ES_tradnl"/>
          <w14:ligatures w14:val="standardContextual"/>
        </w:rPr>
      </w:pPr>
      <w:r w:rsidRPr="008A55D0">
        <w:rPr>
          <w:rFonts w:ascii="Century Gothic" w:eastAsia="Calibri" w:hAnsi="Century Gothic" w:cs="Arial"/>
          <w:b/>
          <w:bCs/>
          <w:color w:val="000000"/>
          <w:kern w:val="2"/>
          <w:lang w:val="es-ES_tradnl"/>
          <w14:ligatures w14:val="standardContextual"/>
        </w:rPr>
        <w:t>COMBINACIÓN DE EXPERIENCIA − Documentos tipo − Infraestructura de transporte – Actividad principal y secundaria</w:t>
      </w:r>
    </w:p>
    <w:p w14:paraId="5910BBFD" w14:textId="77777777" w:rsidR="008A55D0" w:rsidRPr="008A55D0" w:rsidRDefault="008A55D0" w:rsidP="008A55D0">
      <w:pPr>
        <w:tabs>
          <w:tab w:val="left" w:pos="0"/>
        </w:tabs>
        <w:spacing w:after="0" w:line="240" w:lineRule="auto"/>
        <w:ind w:left="11"/>
        <w:jc w:val="both"/>
        <w:rPr>
          <w:rFonts w:ascii="Century Gothic" w:eastAsia="Calibri" w:hAnsi="Century Gothic" w:cs="Arial"/>
          <w:b/>
          <w:bCs/>
          <w:color w:val="000000"/>
          <w:kern w:val="2"/>
          <w:lang w:val="es-ES_tradnl"/>
          <w14:ligatures w14:val="standardContextual"/>
        </w:rPr>
      </w:pPr>
    </w:p>
    <w:p w14:paraId="7208AFAD" w14:textId="77777777" w:rsidR="008A55D0" w:rsidRPr="008A55D0" w:rsidRDefault="008A55D0" w:rsidP="008A55D0">
      <w:pPr>
        <w:spacing w:after="120" w:line="240" w:lineRule="auto"/>
        <w:jc w:val="both"/>
        <w:rPr>
          <w:rFonts w:ascii="Century Gothic" w:eastAsia="Calibri" w:hAnsi="Century Gothic" w:cs="Arial"/>
          <w:color w:val="000000"/>
          <w:kern w:val="2"/>
          <w:sz w:val="20"/>
          <w:szCs w:val="20"/>
          <w:lang w:val="es-MX"/>
          <w14:ligatures w14:val="standardContextual"/>
        </w:rPr>
      </w:pPr>
      <w:r w:rsidRPr="008A55D0">
        <w:rPr>
          <w:rFonts w:ascii="Century Gothic" w:eastAsia="Calibri" w:hAnsi="Century Gothic" w:cs="Arial"/>
          <w:color w:val="000000"/>
          <w:kern w:val="2"/>
          <w:sz w:val="20"/>
          <w:szCs w:val="20"/>
          <w:lang w:val="es-MX"/>
          <w14:ligatures w14:val="standardContextual"/>
        </w:rPr>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14:paraId="524866B9" w14:textId="77777777" w:rsidR="008A55D0" w:rsidRPr="008A55D0" w:rsidRDefault="008A55D0" w:rsidP="008A55D0">
      <w:pPr>
        <w:spacing w:before="120" w:after="120" w:line="240" w:lineRule="auto"/>
        <w:jc w:val="both"/>
        <w:rPr>
          <w:rFonts w:ascii="Century Gothic" w:eastAsia="Calibri" w:hAnsi="Century Gothic" w:cs="Arial"/>
          <w:color w:val="000000"/>
          <w:kern w:val="2"/>
          <w:sz w:val="20"/>
          <w:szCs w:val="20"/>
          <w:lang w:val="es-ES_tradnl"/>
          <w14:ligatures w14:val="standardContextual"/>
        </w:rPr>
      </w:pPr>
      <w:r w:rsidRPr="008A55D0">
        <w:rPr>
          <w:rFonts w:ascii="Century Gothic" w:eastAsia="Calibri" w:hAnsi="Century Gothic" w:cs="Arial"/>
          <w:color w:val="000000"/>
          <w:kern w:val="2"/>
          <w:sz w:val="20"/>
          <w:szCs w:val="20"/>
          <w:lang w:val="es-MX"/>
          <w14:ligatures w14:val="standardContextual"/>
        </w:rPr>
        <w:t>Particularmente, la “Matriz 1 – Experiencia”</w:t>
      </w:r>
      <w:r w:rsidRPr="008A55D0">
        <w:rPr>
          <w:rFonts w:ascii="Century Gothic" w:eastAsia="Calibri" w:hAnsi="Century Gothic" w:cs="Arial"/>
          <w:kern w:val="2"/>
          <w:sz w:val="20"/>
          <w:szCs w:val="20"/>
          <w:lang w:val="es-MX"/>
          <w14:ligatures w14:val="standardContextual"/>
        </w:rPr>
        <w:t>,</w:t>
      </w:r>
      <w:r w:rsidRPr="008A55D0">
        <w:rPr>
          <w:rFonts w:ascii="Century Gothic" w:eastAsia="Calibri" w:hAnsi="Century Gothic" w:cs="Arial"/>
          <w:color w:val="000000"/>
          <w:kern w:val="2"/>
          <w:sz w:val="20"/>
          <w:szCs w:val="20"/>
          <w:lang w:val="es-MX"/>
          <w14:ligatures w14:val="standardContextual"/>
        </w:rPr>
        <w:t xml:space="preserve"> en el acápite de “Reglas para definir la experiencia exigible en el proceso de contratación” </w:t>
      </w:r>
      <w:r w:rsidRPr="008A55D0">
        <w:rPr>
          <w:rFonts w:ascii="Century Gothic" w:eastAsia="Calibri" w:hAnsi="Century Gothic" w:cs="Arial"/>
          <w:color w:val="000000"/>
          <w:kern w:val="2"/>
          <w:sz w:val="20"/>
          <w:szCs w:val="20"/>
          <w:lang w:val="es-ES_tradnl"/>
          <w14:ligatures w14:val="standardContextual"/>
        </w:rPr>
        <w:t>tanto de baja o mediana y alta complejidad de los documentos tipo actuales se establece la regla vi).</w:t>
      </w:r>
    </w:p>
    <w:p w14:paraId="3E99B02F" w14:textId="77777777" w:rsidR="008A55D0" w:rsidRPr="008A55D0" w:rsidRDefault="008A55D0" w:rsidP="008A55D0">
      <w:pPr>
        <w:spacing w:after="120" w:line="240" w:lineRule="auto"/>
        <w:jc w:val="both"/>
        <w:rPr>
          <w:rFonts w:ascii="Century Gothic" w:eastAsia="Calibri" w:hAnsi="Century Gothic" w:cs="Arial"/>
          <w:color w:val="000000"/>
          <w:kern w:val="2"/>
          <w:sz w:val="20"/>
          <w:szCs w:val="20"/>
          <w:lang w:val="es-MX"/>
          <w14:ligatures w14:val="standardContextual"/>
        </w:rPr>
      </w:pPr>
      <w:r w:rsidRPr="008A55D0">
        <w:rPr>
          <w:rFonts w:ascii="Century Gothic" w:eastAsia="Calibri" w:hAnsi="Century Gothic" w:cs="Arial"/>
          <w:color w:val="000000"/>
          <w:kern w:val="2"/>
          <w:sz w:val="20"/>
          <w:szCs w:val="20"/>
          <w:lang w:val="es-ES_tradnl"/>
          <w14:ligatures w14:val="standardContextual"/>
        </w:rPr>
        <w:t>[…]</w:t>
      </w:r>
    </w:p>
    <w:p w14:paraId="2908C0E9" w14:textId="77777777" w:rsidR="008A55D0" w:rsidRPr="008A55D0" w:rsidRDefault="008A55D0" w:rsidP="008A55D0">
      <w:pPr>
        <w:tabs>
          <w:tab w:val="left" w:pos="0"/>
        </w:tabs>
        <w:spacing w:after="120" w:line="240" w:lineRule="auto"/>
        <w:ind w:left="11"/>
        <w:jc w:val="both"/>
        <w:rPr>
          <w:rFonts w:ascii="Century Gothic" w:eastAsia="Aptos" w:hAnsi="Century Gothic" w:cs="Arial"/>
          <w:kern w:val="2"/>
          <w:sz w:val="20"/>
          <w:szCs w:val="20"/>
          <w:lang w:val="es-ES_tradnl"/>
          <w14:ligatures w14:val="standardContextual"/>
        </w:rPr>
      </w:pPr>
      <w:r w:rsidRPr="008A55D0">
        <w:rPr>
          <w:rFonts w:ascii="Century Gothic" w:eastAsia="Aptos" w:hAnsi="Century Gothic" w:cs="Arial"/>
          <w:kern w:val="2"/>
          <w:sz w:val="20"/>
          <w:szCs w:val="20"/>
          <w:lang w:val="es-ES_tradnl"/>
          <w14:ligatures w14:val="standardContextual"/>
        </w:rPr>
        <w:t>En armonía con lo anterior, el literal A del numeral 3.5.2.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14:paraId="4FDD6936" w14:textId="77777777" w:rsidR="008A55D0" w:rsidRPr="008A55D0" w:rsidRDefault="008A55D0" w:rsidP="008A55D0">
      <w:pPr>
        <w:spacing w:after="120" w:line="240" w:lineRule="auto"/>
        <w:jc w:val="both"/>
        <w:rPr>
          <w:rFonts w:ascii="Century Gothic" w:eastAsia="Calibri" w:hAnsi="Century Gothic" w:cs="Arial"/>
          <w:color w:val="000000"/>
          <w:kern w:val="2"/>
          <w:sz w:val="20"/>
          <w:szCs w:val="20"/>
          <w:lang w:val="es-MX"/>
          <w14:ligatures w14:val="standardContextual"/>
        </w:rPr>
      </w:pPr>
      <w:r w:rsidRPr="008A55D0">
        <w:rPr>
          <w:rFonts w:ascii="Century Gothic" w:eastAsia="Calibri" w:hAnsi="Century Gothic" w:cs="Arial"/>
          <w:color w:val="000000"/>
          <w:kern w:val="2"/>
          <w:sz w:val="20"/>
          <w:szCs w:val="20"/>
          <w:lang w:val="es-MX"/>
          <w14:ligatures w14:val="standardContextual"/>
        </w:rPr>
        <w:t>[…]</w:t>
      </w:r>
    </w:p>
    <w:p w14:paraId="7C1A09CA" w14:textId="77777777" w:rsidR="008A55D0" w:rsidRPr="008A55D0" w:rsidRDefault="008A55D0" w:rsidP="008A55D0">
      <w:pPr>
        <w:spacing w:after="0" w:line="240" w:lineRule="auto"/>
        <w:jc w:val="both"/>
        <w:rPr>
          <w:rFonts w:ascii="Century Gothic" w:eastAsia="Calibri" w:hAnsi="Century Gothic" w:cs="Arial"/>
          <w:color w:val="000000"/>
          <w:kern w:val="2"/>
          <w:sz w:val="24"/>
          <w:szCs w:val="24"/>
          <w:lang w:val="es-MX"/>
          <w14:ligatures w14:val="standardContextual"/>
        </w:rPr>
      </w:pPr>
      <w:r w:rsidRPr="008A55D0">
        <w:rPr>
          <w:rFonts w:ascii="Century Gothic" w:eastAsia="Calibri" w:hAnsi="Century Gothic" w:cs="Arial"/>
          <w:color w:val="000000"/>
          <w:kern w:val="2"/>
          <w:sz w:val="20"/>
          <w:szCs w:val="20"/>
          <w:lang w:val="es-MX"/>
          <w14:ligatures w14:val="standardContextual"/>
        </w:rPr>
        <w:t>Como se advierte, 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0DF68E09" w14:textId="77777777" w:rsidR="008A55D0" w:rsidRPr="008A55D0" w:rsidRDefault="008A55D0" w:rsidP="008A55D0">
      <w:pPr>
        <w:spacing w:after="0"/>
        <w:rPr>
          <w:rFonts w:ascii="Century Gothic" w:eastAsia="Calibri" w:hAnsi="Century Gothic" w:cs="Arial"/>
        </w:rPr>
      </w:pPr>
    </w:p>
    <w:p w14:paraId="46B3A84A" w14:textId="77777777" w:rsidR="008A55D0" w:rsidRPr="008A55D0" w:rsidRDefault="008A55D0" w:rsidP="008A55D0">
      <w:pPr>
        <w:spacing w:after="0"/>
        <w:rPr>
          <w:rFonts w:ascii="Century Gothic" w:eastAsia="Calibri" w:hAnsi="Century Gothic" w:cs="Arial"/>
        </w:rPr>
      </w:pPr>
    </w:p>
    <w:p w14:paraId="754C017C" w14:textId="77777777" w:rsidR="008A55D0" w:rsidRPr="008A55D0" w:rsidRDefault="008A55D0" w:rsidP="008A55D0">
      <w:pPr>
        <w:rPr>
          <w:rFonts w:ascii="Century Gothic" w:eastAsia="Calibri" w:hAnsi="Century Gothic" w:cs="Times New Roman"/>
        </w:rPr>
      </w:pPr>
    </w:p>
    <w:p w14:paraId="7FE1F3BF" w14:textId="77777777" w:rsidR="008A55D0" w:rsidRPr="008A55D0" w:rsidRDefault="008A55D0" w:rsidP="008A55D0">
      <w:pPr>
        <w:rPr>
          <w:rFonts w:ascii="Century Gothic" w:eastAsia="Calibri" w:hAnsi="Century Gothic" w:cs="Times New Roman"/>
        </w:rPr>
      </w:pPr>
    </w:p>
    <w:p w14:paraId="1A50D06A" w14:textId="77777777" w:rsidR="008A55D0" w:rsidRPr="008A55D0" w:rsidRDefault="008A55D0" w:rsidP="008A55D0">
      <w:pPr>
        <w:rPr>
          <w:rFonts w:ascii="Century Gothic" w:eastAsia="Calibri" w:hAnsi="Century Gothic" w:cs="Times New Roman"/>
        </w:rPr>
      </w:pPr>
    </w:p>
    <w:p w14:paraId="4A0A8FA5" w14:textId="77777777" w:rsidR="00C86883" w:rsidRDefault="00C86883" w:rsidP="008A55D0">
      <w:pPr>
        <w:rPr>
          <w:rFonts w:ascii="Century Gothic" w:eastAsia="Calibri" w:hAnsi="Century Gothic" w:cs="Times New Roman"/>
        </w:rPr>
      </w:pPr>
    </w:p>
    <w:p w14:paraId="3FC78B7E" w14:textId="77777777" w:rsidR="00C86883" w:rsidRDefault="00C86883" w:rsidP="008A55D0">
      <w:pPr>
        <w:rPr>
          <w:rFonts w:ascii="Century Gothic" w:eastAsia="Calibri" w:hAnsi="Century Gothic" w:cs="Times New Roman"/>
        </w:rPr>
      </w:pPr>
    </w:p>
    <w:p w14:paraId="0B975794" w14:textId="77777777" w:rsidR="00C86883" w:rsidRDefault="00C86883" w:rsidP="008A55D0">
      <w:pPr>
        <w:rPr>
          <w:rFonts w:ascii="Century Gothic" w:eastAsia="Calibri" w:hAnsi="Century Gothic" w:cs="Times New Roman"/>
        </w:rPr>
      </w:pPr>
    </w:p>
    <w:p w14:paraId="5B4C5748" w14:textId="77777777" w:rsidR="00C86883" w:rsidRPr="008A55D0" w:rsidRDefault="00C86883" w:rsidP="008A55D0">
      <w:pPr>
        <w:rPr>
          <w:rFonts w:ascii="Century Gothic" w:eastAsia="Calibri" w:hAnsi="Century Gothic" w:cs="Times New Roman"/>
        </w:rPr>
      </w:pPr>
    </w:p>
    <w:p w14:paraId="3FB2F065" w14:textId="4AE7186D" w:rsidR="008A55D0" w:rsidRDefault="00C86883" w:rsidP="00C86883">
      <w:pPr>
        <w:rPr>
          <w:rFonts w:ascii="Century Gothic" w:hAnsi="Century Gothic"/>
          <w:lang w:val="es-MX"/>
        </w:rPr>
      </w:pPr>
      <w:r>
        <w:rPr>
          <w:rFonts w:ascii="Century Gothic" w:hAnsi="Century Gothic"/>
        </w:rPr>
        <w:lastRenderedPageBreak/>
        <w:t>B</w:t>
      </w:r>
      <w:r w:rsidR="008A55D0" w:rsidRPr="687B05C8">
        <w:rPr>
          <w:rFonts w:ascii="Century Gothic" w:hAnsi="Century Gothic"/>
        </w:rPr>
        <w:t>ogotá D.C., [Día] [</w:t>
      </w:r>
      <w:proofErr w:type="spellStart"/>
      <w:r w:rsidR="008A55D0" w:rsidRPr="687B05C8">
        <w:rPr>
          <w:rFonts w:ascii="Century Gothic" w:hAnsi="Century Gothic"/>
        </w:rPr>
        <w:t>Mes.NombreCapitalizado</w:t>
      </w:r>
      <w:proofErr w:type="spellEnd"/>
      <w:r w:rsidR="008A55D0" w:rsidRPr="687B05C8">
        <w:rPr>
          <w:rFonts w:ascii="Century Gothic" w:hAnsi="Century Gothic"/>
        </w:rPr>
        <w:t>] [Año]</w:t>
      </w:r>
    </w:p>
    <w:p w14:paraId="48DA9BF4" w14:textId="77777777" w:rsidR="008A55D0" w:rsidRPr="008A55D0" w:rsidRDefault="008A55D0" w:rsidP="008A55D0">
      <w:pPr>
        <w:spacing w:after="0"/>
        <w:jc w:val="right"/>
        <w:rPr>
          <w:rFonts w:ascii="Century Gothic" w:eastAsia="Calibri" w:hAnsi="Century Gothic" w:cs="Arial"/>
        </w:rPr>
      </w:pPr>
      <w:r w:rsidRPr="008A55D0">
        <w:rPr>
          <w:rFonts w:ascii="Century Gothic" w:eastAsia="Calibri" w:hAnsi="Century Gothic" w:cs="Arial"/>
        </w:rPr>
        <w:tab/>
      </w:r>
    </w:p>
    <w:p w14:paraId="059DCDDD" w14:textId="77777777" w:rsidR="008A55D0" w:rsidRPr="008A55D0" w:rsidRDefault="008A55D0" w:rsidP="008A55D0">
      <w:pPr>
        <w:spacing w:after="0"/>
        <w:rPr>
          <w:rFonts w:ascii="Century Gothic" w:eastAsia="Calibri" w:hAnsi="Century Gothic" w:cs="Arial"/>
        </w:rPr>
      </w:pPr>
      <w:bookmarkStart w:id="1" w:name="_Hlk94281581"/>
      <w:bookmarkStart w:id="2" w:name="_Hlk102489058"/>
      <w:bookmarkStart w:id="3" w:name="_Hlk34951122"/>
    </w:p>
    <w:p w14:paraId="36180579" w14:textId="77777777" w:rsidR="00C86883" w:rsidRPr="00231886" w:rsidRDefault="00C86883" w:rsidP="00C86883">
      <w:pPr>
        <w:spacing w:after="0"/>
        <w:rPr>
          <w:rFonts w:ascii="Century Gothic" w:eastAsia="Arial" w:hAnsi="Century Gothic" w:cs="Arial"/>
          <w:color w:val="000000"/>
        </w:rPr>
      </w:pPr>
      <w:bookmarkStart w:id="4" w:name="_Hlk169015177"/>
      <w:r w:rsidRPr="00231886">
        <w:rPr>
          <w:rFonts w:ascii="Century Gothic" w:eastAsia="Arial" w:hAnsi="Century Gothic" w:cs="Arial"/>
          <w:color w:val="000000"/>
        </w:rPr>
        <w:t>Señor</w:t>
      </w:r>
      <w:r>
        <w:rPr>
          <w:rFonts w:ascii="Century Gothic" w:eastAsia="Arial" w:hAnsi="Century Gothic" w:cs="Arial"/>
          <w:color w:val="000000"/>
        </w:rPr>
        <w:t>a</w:t>
      </w:r>
    </w:p>
    <w:p w14:paraId="5296BDE2" w14:textId="77777777" w:rsidR="00C86883" w:rsidRDefault="00C86883" w:rsidP="00C86883">
      <w:pPr>
        <w:spacing w:after="0"/>
        <w:rPr>
          <w:rFonts w:ascii="Century Gothic" w:eastAsia="Arial" w:hAnsi="Century Gothic" w:cs="Arial"/>
          <w:b/>
          <w:color w:val="000000"/>
        </w:rPr>
      </w:pPr>
      <w:r w:rsidRPr="00F02FA4">
        <w:rPr>
          <w:rFonts w:ascii="Century Gothic" w:eastAsia="Arial" w:hAnsi="Century Gothic" w:cs="Arial"/>
          <w:b/>
          <w:color w:val="000000"/>
        </w:rPr>
        <w:t xml:space="preserve">Ana </w:t>
      </w:r>
      <w:proofErr w:type="spellStart"/>
      <w:r w:rsidRPr="00F02FA4">
        <w:rPr>
          <w:rFonts w:ascii="Century Gothic" w:eastAsia="Arial" w:hAnsi="Century Gothic" w:cs="Arial"/>
          <w:b/>
          <w:color w:val="000000"/>
        </w:rPr>
        <w:t>Maria</w:t>
      </w:r>
      <w:proofErr w:type="spellEnd"/>
      <w:r w:rsidRPr="00F02FA4">
        <w:rPr>
          <w:rFonts w:ascii="Century Gothic" w:eastAsia="Arial" w:hAnsi="Century Gothic" w:cs="Arial"/>
          <w:b/>
          <w:color w:val="000000"/>
        </w:rPr>
        <w:t xml:space="preserve"> Suarez </w:t>
      </w:r>
      <w:proofErr w:type="spellStart"/>
      <w:r w:rsidRPr="00F02FA4">
        <w:rPr>
          <w:rFonts w:ascii="Century Gothic" w:eastAsia="Arial" w:hAnsi="Century Gothic" w:cs="Arial"/>
          <w:b/>
          <w:color w:val="000000"/>
        </w:rPr>
        <w:t>Niampira</w:t>
      </w:r>
      <w:proofErr w:type="spellEnd"/>
    </w:p>
    <w:p w14:paraId="7BFF7984" w14:textId="77777777" w:rsidR="00C86883" w:rsidRPr="001C6B45" w:rsidRDefault="00C86883" w:rsidP="00C86883">
      <w:pPr>
        <w:spacing w:after="0"/>
        <w:rPr>
          <w:rFonts w:ascii="Century Gothic" w:eastAsia="Arial" w:hAnsi="Century Gothic" w:cs="Arial"/>
          <w:color w:val="000000"/>
          <w:u w:val="single"/>
        </w:rPr>
      </w:pPr>
      <w:r w:rsidRPr="001C6B45">
        <w:rPr>
          <w:rFonts w:ascii="Century Gothic" w:eastAsia="Arial" w:hAnsi="Century Gothic" w:cs="Arial"/>
          <w:color w:val="000000"/>
          <w:u w:val="single"/>
        </w:rPr>
        <w:t>Anita0941@hotmail.com</w:t>
      </w:r>
    </w:p>
    <w:p w14:paraId="12E5A4CF" w14:textId="77777777" w:rsidR="00C86883" w:rsidRDefault="00C86883" w:rsidP="00C86883">
      <w:pPr>
        <w:spacing w:after="0"/>
        <w:rPr>
          <w:rFonts w:ascii="Century Gothic" w:hAnsi="Century Gothic"/>
        </w:rPr>
      </w:pPr>
      <w:r w:rsidRPr="687B05C8">
        <w:rPr>
          <w:rFonts w:ascii="Century Gothic" w:hAnsi="Century Gothic"/>
        </w:rPr>
        <w:t>Bogotá D.C.</w:t>
      </w:r>
    </w:p>
    <w:p w14:paraId="329FD6C3" w14:textId="77777777" w:rsidR="00342BA7" w:rsidRDefault="00342BA7" w:rsidP="00C86883">
      <w:pPr>
        <w:spacing w:after="0"/>
        <w:rPr>
          <w:rFonts w:ascii="Century Gothic" w:hAnsi="Century Gothic"/>
        </w:rPr>
      </w:pPr>
    </w:p>
    <w:p w14:paraId="21E07D29" w14:textId="514B0189" w:rsidR="00342BA7" w:rsidRDefault="00342BA7" w:rsidP="00342BA7">
      <w:pPr>
        <w:spacing w:after="0"/>
        <w:jc w:val="right"/>
        <w:rPr>
          <w:rFonts w:ascii="Century Gothic" w:hAnsi="Century Gothic"/>
          <w:lang w:val="es-MX"/>
        </w:rPr>
      </w:pPr>
      <w:r w:rsidRPr="00342BA7">
        <w:rPr>
          <w:rFonts w:ascii="Century Gothic" w:hAnsi="Century Gothic"/>
          <w:noProof/>
          <w:lang w:val="es-MX"/>
        </w:rPr>
        <w:drawing>
          <wp:inline distT="0" distB="0" distL="0" distR="0" wp14:anchorId="4586B491" wp14:editId="70E1F402">
            <wp:extent cx="3924848" cy="1143160"/>
            <wp:effectExtent l="0" t="0" r="0" b="0"/>
            <wp:docPr id="156221626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16264" name="Imagen 1" descr="Texto&#10;&#10;Descripción generada automáticamente"/>
                    <pic:cNvPicPr/>
                  </pic:nvPicPr>
                  <pic:blipFill>
                    <a:blip r:embed="rId10"/>
                    <a:stretch>
                      <a:fillRect/>
                    </a:stretch>
                  </pic:blipFill>
                  <pic:spPr>
                    <a:xfrm>
                      <a:off x="0" y="0"/>
                      <a:ext cx="3924848" cy="1143160"/>
                    </a:xfrm>
                    <a:prstGeom prst="rect">
                      <a:avLst/>
                    </a:prstGeom>
                  </pic:spPr>
                </pic:pic>
              </a:graphicData>
            </a:graphic>
          </wp:inline>
        </w:drawing>
      </w:r>
    </w:p>
    <w:p w14:paraId="2B7E0D7C" w14:textId="77777777" w:rsidR="008A55D0" w:rsidRPr="008A55D0" w:rsidRDefault="008A55D0" w:rsidP="008A55D0">
      <w:pPr>
        <w:spacing w:after="0"/>
        <w:rPr>
          <w:rFonts w:ascii="Century Gothic" w:eastAsia="Calibri" w:hAnsi="Century Gothic" w:cs="Arial"/>
        </w:rPr>
      </w:pPr>
    </w:p>
    <w:p w14:paraId="1DD8166E" w14:textId="63CE26CA" w:rsidR="008A55D0" w:rsidRPr="008A55D0" w:rsidRDefault="008A55D0" w:rsidP="008A55D0">
      <w:pPr>
        <w:shd w:val="clear" w:color="auto" w:fill="FFFFFF"/>
        <w:ind w:left="2124" w:firstLine="570"/>
        <w:contextualSpacing/>
        <w:rPr>
          <w:rFonts w:ascii="Century Gothic" w:eastAsia="Calibri" w:hAnsi="Century Gothic" w:cs="Arial"/>
          <w:b/>
          <w:bCs/>
          <w:lang w:val="es-ES_tradnl" w:eastAsia="es-ES_tradnl"/>
        </w:rPr>
      </w:pPr>
      <w:r w:rsidRPr="008A55D0">
        <w:rPr>
          <w:rFonts w:ascii="Century Gothic" w:eastAsia="Calibri" w:hAnsi="Century Gothic" w:cs="Arial"/>
          <w:b/>
          <w:bCs/>
          <w:lang w:val="es-ES_tradnl" w:eastAsia="es-ES_tradnl"/>
        </w:rPr>
        <w:t xml:space="preserve">Concepto C – </w:t>
      </w:r>
      <w:r w:rsidR="00CA65AB">
        <w:rPr>
          <w:rFonts w:ascii="Century Gothic" w:eastAsia="Calibri" w:hAnsi="Century Gothic" w:cs="Arial"/>
          <w:b/>
          <w:bCs/>
          <w:lang w:val="es-ES_tradnl" w:eastAsia="es-ES_tradnl"/>
        </w:rPr>
        <w:t xml:space="preserve">120 </w:t>
      </w:r>
      <w:r w:rsidRPr="008A55D0">
        <w:rPr>
          <w:rFonts w:ascii="Century Gothic" w:eastAsia="Calibri" w:hAnsi="Century Gothic" w:cs="Arial"/>
          <w:b/>
          <w:bCs/>
          <w:lang w:val="es-ES_tradnl" w:eastAsia="es-ES_tradnl"/>
        </w:rPr>
        <w:t>de 2024</w:t>
      </w:r>
    </w:p>
    <w:p w14:paraId="05E13F46" w14:textId="77777777" w:rsidR="008A55D0" w:rsidRPr="008A55D0" w:rsidRDefault="008A55D0" w:rsidP="008A55D0">
      <w:pPr>
        <w:shd w:val="clear" w:color="auto" w:fill="FFFFFF"/>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A55D0" w:rsidRPr="008A55D0" w14:paraId="15FAB0F6" w14:textId="77777777" w:rsidTr="00F07092">
        <w:tc>
          <w:tcPr>
            <w:tcW w:w="2689" w:type="dxa"/>
          </w:tcPr>
          <w:p w14:paraId="2D451495" w14:textId="77777777" w:rsidR="008A55D0" w:rsidRPr="008A55D0" w:rsidRDefault="008A55D0" w:rsidP="008A55D0">
            <w:pPr>
              <w:shd w:val="clear" w:color="auto" w:fill="FFFFFF"/>
              <w:contextualSpacing/>
              <w:jc w:val="both"/>
              <w:rPr>
                <w:rFonts w:ascii="Century Gothic" w:eastAsia="Calibri" w:hAnsi="Century Gothic" w:cs="Arial"/>
                <w:lang w:val="es-ES_tradnl" w:eastAsia="es-ES_tradnl"/>
              </w:rPr>
            </w:pPr>
            <w:r w:rsidRPr="008A55D0">
              <w:rPr>
                <w:rFonts w:ascii="Century Gothic" w:eastAsia="Calibri" w:hAnsi="Century Gothic" w:cs="Arial"/>
                <w:b/>
                <w:lang w:val="es-ES_tradnl" w:eastAsia="es-ES_tradnl"/>
              </w:rPr>
              <w:t>Temas:</w:t>
            </w:r>
            <w:r w:rsidRPr="008A55D0">
              <w:rPr>
                <w:rFonts w:ascii="Century Gothic" w:eastAsia="Calibri" w:hAnsi="Century Gothic" w:cs="Arial"/>
                <w:lang w:val="es-ES_tradnl" w:eastAsia="es-ES_tradnl"/>
              </w:rPr>
              <w:t xml:space="preserve">                                      </w:t>
            </w:r>
          </w:p>
        </w:tc>
        <w:tc>
          <w:tcPr>
            <w:tcW w:w="6237" w:type="dxa"/>
          </w:tcPr>
          <w:p w14:paraId="4E335BCA" w14:textId="6AE0E972" w:rsidR="008A55D0" w:rsidRPr="008A55D0" w:rsidRDefault="008A55D0" w:rsidP="008A55D0">
            <w:pPr>
              <w:jc w:val="both"/>
              <w:rPr>
                <w:rFonts w:ascii="Century Gothic" w:eastAsia="Calibri" w:hAnsi="Century Gothic" w:cs="Arial"/>
                <w:bCs/>
                <w:lang w:val="es-MX" w:eastAsia="es-ES_tradnl"/>
              </w:rPr>
            </w:pPr>
            <w:r w:rsidRPr="008A55D0">
              <w:rPr>
                <w:rFonts w:ascii="Century Gothic" w:eastAsia="Calibri" w:hAnsi="Century Gothic" w:cs="Arial"/>
                <w:bCs/>
                <w:lang w:val="es-MX" w:eastAsia="es-ES_tradnl"/>
              </w:rPr>
              <w:t>DOCUMENTOS TIPO – Fundamento normativo – Ley 2022 de 2020 / EXPERIENCIA – Acreditación − Documentos tipo − Licitación de obra pública de infraestructura de transporte / EXPERIENCIA ADICIONAL − Bienes y servicios adicionales a la obra pública – Infraestructura de transporte / COMBINACIÓN DE EXPERIENCIA − Documentos tipo − Infraestructura de transporte – Actividad principal y secundaria</w:t>
            </w:r>
            <w:r w:rsidR="00C86883">
              <w:rPr>
                <w:rFonts w:ascii="Century Gothic" w:eastAsia="Calibri" w:hAnsi="Century Gothic" w:cs="Arial"/>
                <w:bCs/>
                <w:lang w:val="es-MX" w:eastAsia="es-ES_tradnl"/>
              </w:rPr>
              <w:t xml:space="preserve"> /CAPACIDAD RESIDUAL </w:t>
            </w:r>
          </w:p>
          <w:p w14:paraId="23552F0C" w14:textId="77777777" w:rsidR="008A55D0" w:rsidRPr="008A55D0" w:rsidRDefault="008A55D0" w:rsidP="008A55D0">
            <w:pPr>
              <w:shd w:val="clear" w:color="auto" w:fill="FFFFFF"/>
              <w:spacing w:after="120"/>
              <w:contextualSpacing/>
              <w:jc w:val="both"/>
              <w:rPr>
                <w:rFonts w:ascii="Century Gothic" w:eastAsia="Calibri" w:hAnsi="Century Gothic" w:cs="Arial"/>
                <w:bCs/>
                <w:sz w:val="12"/>
                <w:szCs w:val="12"/>
                <w:lang w:val="es-ES_tradnl" w:eastAsia="es-ES_tradnl"/>
              </w:rPr>
            </w:pPr>
          </w:p>
        </w:tc>
      </w:tr>
      <w:tr w:rsidR="008A55D0" w:rsidRPr="008A55D0" w14:paraId="43013B4B" w14:textId="77777777" w:rsidTr="00F07092">
        <w:trPr>
          <w:trHeight w:val="309"/>
        </w:trPr>
        <w:tc>
          <w:tcPr>
            <w:tcW w:w="2689" w:type="dxa"/>
          </w:tcPr>
          <w:p w14:paraId="4D63796D" w14:textId="77777777" w:rsidR="008A55D0" w:rsidRPr="008A55D0" w:rsidRDefault="008A55D0" w:rsidP="008A55D0">
            <w:pPr>
              <w:shd w:val="clear" w:color="auto" w:fill="FFFFFF"/>
              <w:contextualSpacing/>
              <w:jc w:val="both"/>
              <w:rPr>
                <w:rFonts w:ascii="Century Gothic" w:eastAsia="Calibri" w:hAnsi="Century Gothic" w:cs="Arial"/>
                <w:b/>
                <w:lang w:val="es-ES_tradnl" w:eastAsia="es-ES_tradnl"/>
              </w:rPr>
            </w:pPr>
            <w:r w:rsidRPr="008A55D0">
              <w:rPr>
                <w:rFonts w:ascii="Century Gothic" w:eastAsia="Calibri" w:hAnsi="Century Gothic" w:cs="Arial"/>
                <w:b/>
                <w:lang w:val="es-ES_tradnl" w:eastAsia="es-ES_tradnl"/>
              </w:rPr>
              <w:t>Radicación:</w:t>
            </w:r>
            <w:r w:rsidRPr="008A55D0">
              <w:rPr>
                <w:rFonts w:ascii="Century Gothic" w:eastAsia="Calibri" w:hAnsi="Century Gothic" w:cs="Arial"/>
                <w:lang w:val="es-ES_tradnl" w:eastAsia="es-ES_tradnl"/>
              </w:rPr>
              <w:t xml:space="preserve">                             </w:t>
            </w:r>
          </w:p>
        </w:tc>
        <w:tc>
          <w:tcPr>
            <w:tcW w:w="6237" w:type="dxa"/>
          </w:tcPr>
          <w:p w14:paraId="7C361CF1" w14:textId="4B13DBDA" w:rsidR="008A55D0" w:rsidRPr="008A55D0" w:rsidRDefault="008A55D0" w:rsidP="008A55D0">
            <w:pPr>
              <w:shd w:val="clear" w:color="auto" w:fill="FFFFFF"/>
              <w:contextualSpacing/>
              <w:jc w:val="both"/>
              <w:rPr>
                <w:rFonts w:ascii="Century Gothic" w:eastAsia="Calibri" w:hAnsi="Century Gothic" w:cs="Arial"/>
                <w:lang w:val="es-ES_tradnl" w:eastAsia="es-ES_tradnl"/>
              </w:rPr>
            </w:pPr>
            <w:r w:rsidRPr="008A55D0">
              <w:rPr>
                <w:rFonts w:ascii="Century Gothic" w:eastAsia="Calibri" w:hAnsi="Century Gothic" w:cs="Arial"/>
                <w:lang w:val="es-ES_tradnl" w:eastAsia="es-ES_tradnl"/>
              </w:rPr>
              <w:t xml:space="preserve">Respuesta a consulta </w:t>
            </w:r>
            <w:r w:rsidR="00C86883" w:rsidRPr="00EA22D1">
              <w:rPr>
                <w:rFonts w:ascii="Century Gothic" w:eastAsia="Calibri" w:hAnsi="Century Gothic" w:cs="Arial"/>
                <w:lang w:val="es-ES_tradnl" w:eastAsia="es-ES_tradnl"/>
              </w:rPr>
              <w:t>P20240424004301</w:t>
            </w:r>
          </w:p>
        </w:tc>
      </w:tr>
    </w:tbl>
    <w:p w14:paraId="214C7BE6" w14:textId="77777777" w:rsidR="008A55D0" w:rsidRPr="008A55D0" w:rsidRDefault="008A55D0" w:rsidP="008A55D0">
      <w:pPr>
        <w:shd w:val="clear" w:color="auto" w:fill="FFFFFF"/>
        <w:contextualSpacing/>
        <w:jc w:val="both"/>
        <w:rPr>
          <w:rFonts w:ascii="Century Gothic" w:eastAsia="Calibri" w:hAnsi="Century Gothic" w:cs="Arial"/>
          <w:lang w:val="es-ES_tradnl" w:eastAsia="es-ES_tradnl"/>
        </w:rPr>
      </w:pPr>
    </w:p>
    <w:p w14:paraId="317E0B96" w14:textId="77777777" w:rsidR="00C86883" w:rsidRPr="00231886" w:rsidRDefault="00C86883" w:rsidP="00C86883">
      <w:pPr>
        <w:spacing w:after="0"/>
        <w:rPr>
          <w:rFonts w:ascii="Century Gothic" w:eastAsia="Arial" w:hAnsi="Century Gothic" w:cs="Arial"/>
          <w:color w:val="000000"/>
        </w:rPr>
      </w:pPr>
      <w:r w:rsidRPr="00231886">
        <w:rPr>
          <w:rFonts w:ascii="Century Gothic" w:eastAsia="Calibri" w:hAnsi="Century Gothic" w:cs="Arial"/>
          <w:lang w:val="es-ES_tradnl"/>
        </w:rPr>
        <w:t>Estimad</w:t>
      </w:r>
      <w:r>
        <w:rPr>
          <w:rFonts w:ascii="Century Gothic" w:eastAsia="Calibri" w:hAnsi="Century Gothic" w:cs="Arial"/>
          <w:lang w:val="es-ES_tradnl"/>
        </w:rPr>
        <w:t>a señora Suarez</w:t>
      </w:r>
      <w:r w:rsidRPr="00231886">
        <w:rPr>
          <w:rFonts w:ascii="Century Gothic" w:eastAsia="Calibri" w:hAnsi="Century Gothic" w:cs="Arial"/>
          <w:lang w:val="es-ES_tradnl"/>
        </w:rPr>
        <w:t>:</w:t>
      </w:r>
    </w:p>
    <w:p w14:paraId="5CE9D104" w14:textId="77777777" w:rsidR="008A55D0" w:rsidRPr="008A55D0" w:rsidRDefault="008A55D0" w:rsidP="008A55D0">
      <w:pPr>
        <w:shd w:val="clear" w:color="auto" w:fill="FFFFFF"/>
        <w:spacing w:line="276" w:lineRule="auto"/>
        <w:contextualSpacing/>
        <w:jc w:val="both"/>
        <w:rPr>
          <w:rFonts w:ascii="Century Gothic" w:eastAsia="Calibri" w:hAnsi="Century Gothic" w:cs="Arial"/>
          <w:szCs w:val="24"/>
          <w:lang w:val="es-ES_tradnl" w:eastAsia="es-ES_tradnl"/>
        </w:rPr>
      </w:pPr>
    </w:p>
    <w:bookmarkEnd w:id="1"/>
    <w:bookmarkEnd w:id="2"/>
    <w:p w14:paraId="11046E75" w14:textId="77777777" w:rsidR="008A55D0" w:rsidRPr="008A55D0" w:rsidRDefault="008A55D0" w:rsidP="008A55D0">
      <w:pPr>
        <w:shd w:val="clear" w:color="auto" w:fill="FFFFFF"/>
        <w:spacing w:after="0" w:line="276" w:lineRule="auto"/>
        <w:jc w:val="both"/>
        <w:rPr>
          <w:rFonts w:ascii="Century Gothic" w:eastAsia="Calibri" w:hAnsi="Century Gothic" w:cs="Arial"/>
          <w:color w:val="000000"/>
          <w:lang w:val="es-ES_tradnl"/>
        </w:rPr>
      </w:pPr>
      <w:r w:rsidRPr="008A55D0">
        <w:rPr>
          <w:rFonts w:ascii="Century Gothic" w:eastAsia="Calibri" w:hAnsi="Century Gothic" w:cs="Arial"/>
          <w:color w:val="000000"/>
          <w:lang w:val="es-ES_tradnl"/>
        </w:rPr>
        <w:t>En ejercicio de la competencia otorgada por el numeral 8 del artículo 11 y el numeral 5 del artículo 3 del Decreto Ley 4170 de 2011</w:t>
      </w:r>
      <w:bookmarkStart w:id="5" w:name="_Hlk99120496"/>
      <w:r w:rsidRPr="008A55D0">
        <w:rPr>
          <w:rFonts w:ascii="Century Gothic" w:eastAsia="Arial MT" w:hAnsi="Century Gothic" w:cs="Arial"/>
          <w:lang w:val="es-ES"/>
        </w:rPr>
        <w:t xml:space="preserve">, </w:t>
      </w:r>
      <w:bookmarkEnd w:id="5"/>
      <w:r w:rsidRPr="008A55D0">
        <w:rPr>
          <w:rFonts w:ascii="Century Gothic" w:eastAsia="Calibri" w:hAnsi="Century Gothic" w:cs="Arial"/>
          <w:color w:val="000000"/>
          <w:lang w:val="es-ES_tradnl"/>
        </w:rPr>
        <w:t>la Agencia Nacional de Contratación Pública –Colombia Compra Eficiente– responde la consulta radicada el 3 de abril de 2024.</w:t>
      </w:r>
    </w:p>
    <w:p w14:paraId="720E3679" w14:textId="77777777" w:rsidR="008A55D0" w:rsidRPr="008A55D0" w:rsidRDefault="008A55D0" w:rsidP="008A55D0">
      <w:pPr>
        <w:shd w:val="clear" w:color="auto" w:fill="FFFFFF"/>
        <w:spacing w:after="0" w:line="276" w:lineRule="auto"/>
        <w:jc w:val="both"/>
        <w:rPr>
          <w:rFonts w:ascii="Century Gothic" w:eastAsia="Calibri" w:hAnsi="Century Gothic" w:cs="Arial"/>
          <w:b/>
          <w:color w:val="000000"/>
          <w:lang w:val="es-ES_tradnl"/>
        </w:rPr>
      </w:pPr>
    </w:p>
    <w:p w14:paraId="264CB419" w14:textId="77777777" w:rsidR="008A55D0" w:rsidRPr="008A55D0" w:rsidRDefault="008A55D0" w:rsidP="008A55D0">
      <w:pPr>
        <w:numPr>
          <w:ilvl w:val="0"/>
          <w:numId w:val="6"/>
        </w:numPr>
        <w:shd w:val="clear" w:color="auto" w:fill="FFFFFF"/>
        <w:tabs>
          <w:tab w:val="left" w:pos="0"/>
          <w:tab w:val="left" w:pos="142"/>
          <w:tab w:val="left" w:pos="284"/>
        </w:tabs>
        <w:spacing w:after="0" w:line="276" w:lineRule="auto"/>
        <w:ind w:left="357" w:hanging="357"/>
        <w:contextualSpacing/>
        <w:rPr>
          <w:rFonts w:ascii="Century Gothic" w:eastAsia="Calibri" w:hAnsi="Century Gothic" w:cs="Arial"/>
          <w:b/>
          <w:color w:val="000000"/>
          <w:lang w:val="es-ES_tradnl"/>
        </w:rPr>
      </w:pPr>
      <w:r w:rsidRPr="008A55D0">
        <w:rPr>
          <w:rFonts w:ascii="Century Gothic" w:eastAsia="Calibri" w:hAnsi="Century Gothic" w:cs="Arial"/>
          <w:b/>
          <w:color w:val="000000"/>
          <w:lang w:val="es-ES_tradnl"/>
        </w:rPr>
        <w:t xml:space="preserve">Problema planteado </w:t>
      </w:r>
    </w:p>
    <w:p w14:paraId="67A5EB89" w14:textId="77777777" w:rsidR="008A55D0" w:rsidRPr="008A55D0" w:rsidRDefault="008A55D0" w:rsidP="008A55D0">
      <w:pPr>
        <w:shd w:val="clear" w:color="auto" w:fill="FFFFFF"/>
        <w:tabs>
          <w:tab w:val="left" w:pos="426"/>
        </w:tabs>
        <w:spacing w:after="0" w:line="276" w:lineRule="auto"/>
        <w:jc w:val="both"/>
        <w:rPr>
          <w:rFonts w:ascii="Century Gothic" w:eastAsia="Calibri" w:hAnsi="Century Gothic" w:cs="Arial"/>
          <w:b/>
          <w:color w:val="000000"/>
          <w:lang w:val="es-ES_tradnl"/>
        </w:rPr>
      </w:pPr>
    </w:p>
    <w:p w14:paraId="6349D968" w14:textId="77777777" w:rsidR="008A55D0" w:rsidRDefault="008A55D0" w:rsidP="008A55D0">
      <w:pPr>
        <w:shd w:val="clear" w:color="auto" w:fill="FFFFFF"/>
        <w:spacing w:after="0" w:line="276" w:lineRule="auto"/>
        <w:jc w:val="both"/>
        <w:rPr>
          <w:rFonts w:ascii="Century Gothic" w:eastAsia="Calibri" w:hAnsi="Century Gothic" w:cs="Arial"/>
          <w:color w:val="000000"/>
          <w:lang w:val="es-ES_tradnl"/>
        </w:rPr>
      </w:pPr>
      <w:r w:rsidRPr="008A55D0">
        <w:rPr>
          <w:rFonts w:ascii="Century Gothic" w:eastAsia="Calibri" w:hAnsi="Century Gothic" w:cs="Arial"/>
          <w:color w:val="000000"/>
          <w:lang w:val="es-ES_tradnl"/>
        </w:rPr>
        <w:lastRenderedPageBreak/>
        <w:t>En relación con los documentos tipo de licitación de obra pública de infraestructura de transporte, usted realiza las siguientes preguntas:</w:t>
      </w:r>
    </w:p>
    <w:p w14:paraId="19139FC0" w14:textId="77777777" w:rsidR="00C86883" w:rsidRPr="00C86883" w:rsidRDefault="00C86883" w:rsidP="008A55D0">
      <w:pPr>
        <w:shd w:val="clear" w:color="auto" w:fill="FFFFFF"/>
        <w:spacing w:after="0" w:line="276" w:lineRule="auto"/>
        <w:jc w:val="both"/>
        <w:rPr>
          <w:rFonts w:ascii="Century Gothic" w:eastAsia="Calibri" w:hAnsi="Century Gothic" w:cs="Arial"/>
          <w:color w:val="000000"/>
          <w:sz w:val="20"/>
          <w:szCs w:val="20"/>
          <w:lang w:val="es-ES_tradnl"/>
        </w:rPr>
      </w:pPr>
    </w:p>
    <w:p w14:paraId="37C57500" w14:textId="77777777" w:rsidR="00C86883" w:rsidRDefault="00C86883" w:rsidP="00C86883">
      <w:pPr>
        <w:spacing w:after="0" w:line="240" w:lineRule="auto"/>
        <w:ind w:left="709" w:right="709"/>
        <w:jc w:val="both"/>
        <w:rPr>
          <w:rFonts w:ascii="Century Gothic" w:eastAsia="Arial" w:hAnsi="Century Gothic" w:cs="Arial"/>
          <w:color w:val="000000"/>
          <w:sz w:val="21"/>
          <w:szCs w:val="21"/>
        </w:rPr>
      </w:pPr>
      <w:r w:rsidRPr="00231886">
        <w:rPr>
          <w:rFonts w:ascii="Century Gothic" w:eastAsia="Arial" w:hAnsi="Century Gothic" w:cs="Arial"/>
          <w:color w:val="000000"/>
          <w:sz w:val="21"/>
          <w:szCs w:val="21"/>
        </w:rPr>
        <w:t>“</w:t>
      </w:r>
      <w:r>
        <w:rPr>
          <w:rFonts w:ascii="Century Gothic" w:eastAsia="Arial" w:hAnsi="Century Gothic" w:cs="Arial"/>
          <w:color w:val="000000"/>
          <w:sz w:val="21"/>
          <w:szCs w:val="21"/>
        </w:rPr>
        <w:t>P</w:t>
      </w:r>
      <w:r w:rsidRPr="000F0F6C">
        <w:rPr>
          <w:rFonts w:ascii="Century Gothic" w:eastAsia="Arial" w:hAnsi="Century Gothic" w:cs="Arial"/>
          <w:color w:val="000000"/>
          <w:sz w:val="21"/>
          <w:szCs w:val="21"/>
        </w:rPr>
        <w:t>ara los procesos de consultoría de estudios y diseños, las entidades pueden</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 xml:space="preserve">solicitar el </w:t>
      </w:r>
      <w:proofErr w:type="spellStart"/>
      <w:r w:rsidRPr="000F0F6C">
        <w:rPr>
          <w:rFonts w:ascii="Century Gothic" w:eastAsia="Arial" w:hAnsi="Century Gothic" w:cs="Arial"/>
          <w:color w:val="000000"/>
          <w:sz w:val="21"/>
          <w:szCs w:val="21"/>
        </w:rPr>
        <w:t>calculo</w:t>
      </w:r>
      <w:proofErr w:type="spellEnd"/>
      <w:r w:rsidRPr="000F0F6C">
        <w:rPr>
          <w:rFonts w:ascii="Century Gothic" w:eastAsia="Arial" w:hAnsi="Century Gothic" w:cs="Arial"/>
          <w:color w:val="000000"/>
          <w:sz w:val="21"/>
          <w:szCs w:val="21"/>
        </w:rPr>
        <w:t xml:space="preserve"> de capacidad residual aun cuando este es aplicado a contratos</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 xml:space="preserve">de obra </w:t>
      </w:r>
      <w:r>
        <w:rPr>
          <w:rFonts w:ascii="Century Gothic" w:eastAsia="Arial" w:hAnsi="Century Gothic" w:cs="Arial"/>
          <w:color w:val="000000"/>
          <w:sz w:val="21"/>
          <w:szCs w:val="21"/>
        </w:rPr>
        <w:t xml:space="preserve"> </w:t>
      </w:r>
    </w:p>
    <w:p w14:paraId="2D26505A" w14:textId="77777777" w:rsidR="00C86883" w:rsidRPr="000F0F6C" w:rsidRDefault="00C86883" w:rsidP="00C86883">
      <w:pPr>
        <w:spacing w:after="0" w:line="240" w:lineRule="auto"/>
        <w:ind w:left="709" w:right="709"/>
        <w:jc w:val="both"/>
        <w:rPr>
          <w:rFonts w:ascii="Century Gothic" w:eastAsia="Arial" w:hAnsi="Century Gothic" w:cs="Arial"/>
          <w:color w:val="000000"/>
          <w:sz w:val="21"/>
          <w:szCs w:val="21"/>
        </w:rPr>
      </w:pPr>
      <w:r w:rsidRPr="000F0F6C">
        <w:rPr>
          <w:rFonts w:ascii="Century Gothic" w:eastAsia="Arial" w:hAnsi="Century Gothic" w:cs="Arial"/>
          <w:color w:val="000000"/>
          <w:sz w:val="21"/>
          <w:szCs w:val="21"/>
        </w:rPr>
        <w:t>Para procesos de consultoría de estudios y diseños, las entidades pueden utilizar</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 xml:space="preserve">los documentos tipo de licitación </w:t>
      </w:r>
      <w:proofErr w:type="spellStart"/>
      <w:r w:rsidRPr="000F0F6C">
        <w:rPr>
          <w:rFonts w:ascii="Century Gothic" w:eastAsia="Arial" w:hAnsi="Century Gothic" w:cs="Arial"/>
          <w:color w:val="000000"/>
          <w:sz w:val="21"/>
          <w:szCs w:val="21"/>
        </w:rPr>
        <w:t>publica</w:t>
      </w:r>
      <w:proofErr w:type="spellEnd"/>
      <w:r w:rsidRPr="000F0F6C">
        <w:rPr>
          <w:rFonts w:ascii="Century Gothic" w:eastAsia="Arial" w:hAnsi="Century Gothic" w:cs="Arial"/>
          <w:color w:val="000000"/>
          <w:sz w:val="21"/>
          <w:szCs w:val="21"/>
        </w:rPr>
        <w:t xml:space="preserve"> (obra </w:t>
      </w:r>
      <w:proofErr w:type="spellStart"/>
      <w:r w:rsidRPr="000F0F6C">
        <w:rPr>
          <w:rFonts w:ascii="Century Gothic" w:eastAsia="Arial" w:hAnsi="Century Gothic" w:cs="Arial"/>
          <w:color w:val="000000"/>
          <w:sz w:val="21"/>
          <w:szCs w:val="21"/>
        </w:rPr>
        <w:t>publica</w:t>
      </w:r>
      <w:proofErr w:type="spellEnd"/>
      <w:r w:rsidRPr="000F0F6C">
        <w:rPr>
          <w:rFonts w:ascii="Century Gothic" w:eastAsia="Arial" w:hAnsi="Century Gothic" w:cs="Arial"/>
          <w:color w:val="000000"/>
          <w:sz w:val="21"/>
          <w:szCs w:val="21"/>
        </w:rPr>
        <w:t>)</w:t>
      </w:r>
    </w:p>
    <w:p w14:paraId="31E54DE2" w14:textId="77777777" w:rsidR="00C86883" w:rsidRPr="000F0F6C" w:rsidRDefault="00C86883" w:rsidP="00C86883">
      <w:pPr>
        <w:spacing w:after="0" w:line="240" w:lineRule="auto"/>
        <w:ind w:left="709" w:right="709"/>
        <w:jc w:val="both"/>
        <w:rPr>
          <w:rFonts w:ascii="Century Gothic" w:eastAsia="Arial" w:hAnsi="Century Gothic" w:cs="Arial"/>
          <w:color w:val="000000"/>
          <w:sz w:val="21"/>
          <w:szCs w:val="21"/>
        </w:rPr>
      </w:pPr>
      <w:r w:rsidRPr="000F0F6C">
        <w:rPr>
          <w:rFonts w:ascii="Century Gothic" w:eastAsia="Arial" w:hAnsi="Century Gothic" w:cs="Arial"/>
          <w:color w:val="000000"/>
          <w:sz w:val="21"/>
          <w:szCs w:val="21"/>
        </w:rPr>
        <w:t>Para procesos de consultoría de estudios y diseños, las entidades pueden</w:t>
      </w:r>
    </w:p>
    <w:p w14:paraId="23892777" w14:textId="74AD32B0" w:rsidR="00C86883" w:rsidRPr="00C86883" w:rsidRDefault="00C86883" w:rsidP="00C86883">
      <w:pPr>
        <w:spacing w:after="0" w:line="240" w:lineRule="auto"/>
        <w:ind w:left="709" w:right="709"/>
        <w:jc w:val="both"/>
        <w:rPr>
          <w:rFonts w:ascii="Century Gothic" w:eastAsia="Calibri" w:hAnsi="Century Gothic" w:cs="Arial"/>
          <w:color w:val="000000"/>
          <w:sz w:val="20"/>
          <w:szCs w:val="20"/>
          <w:lang w:val="es-ES_tradnl"/>
        </w:rPr>
      </w:pPr>
      <w:r w:rsidRPr="000F0F6C">
        <w:rPr>
          <w:rFonts w:ascii="Century Gothic" w:eastAsia="Arial" w:hAnsi="Century Gothic" w:cs="Arial"/>
          <w:color w:val="000000"/>
          <w:sz w:val="21"/>
          <w:szCs w:val="21"/>
        </w:rPr>
        <w:t>establecer la experiencia basándose en la matriz de experiencia del sector de</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infraestructura social</w:t>
      </w:r>
      <w:r w:rsidRPr="00C86883">
        <w:rPr>
          <w:rFonts w:ascii="Century Gothic" w:eastAsia="Calibri" w:hAnsi="Century Gothic" w:cs="Arial"/>
          <w:color w:val="000000"/>
          <w:sz w:val="20"/>
          <w:szCs w:val="20"/>
          <w:lang w:val="es-ES_tradnl"/>
        </w:rPr>
        <w:t xml:space="preserve">”. </w:t>
      </w:r>
      <w:r>
        <w:rPr>
          <w:rFonts w:ascii="Century Gothic" w:eastAsia="Calibri" w:hAnsi="Century Gothic" w:cs="Arial"/>
          <w:color w:val="000000"/>
          <w:sz w:val="20"/>
          <w:szCs w:val="20"/>
          <w:lang w:val="es-ES_tradnl"/>
        </w:rPr>
        <w:t>[</w:t>
      </w:r>
      <w:r w:rsidRPr="00C86883">
        <w:rPr>
          <w:rFonts w:ascii="Century Gothic" w:eastAsia="Calibri" w:hAnsi="Century Gothic" w:cs="Arial"/>
          <w:color w:val="000000"/>
          <w:sz w:val="20"/>
          <w:szCs w:val="20"/>
          <w:lang w:val="es-ES_tradnl"/>
        </w:rPr>
        <w:t>SIC</w:t>
      </w:r>
      <w:r>
        <w:rPr>
          <w:rFonts w:ascii="Century Gothic" w:eastAsia="Calibri" w:hAnsi="Century Gothic" w:cs="Arial"/>
          <w:color w:val="000000"/>
          <w:sz w:val="20"/>
          <w:szCs w:val="20"/>
          <w:lang w:val="es-ES_tradnl"/>
        </w:rPr>
        <w:t>]</w:t>
      </w:r>
    </w:p>
    <w:p w14:paraId="1F591101" w14:textId="77777777" w:rsidR="00C86883" w:rsidRPr="00C86883" w:rsidRDefault="00C86883" w:rsidP="008A55D0">
      <w:pPr>
        <w:shd w:val="clear" w:color="auto" w:fill="FFFFFF"/>
        <w:spacing w:after="0" w:line="276" w:lineRule="auto"/>
        <w:jc w:val="both"/>
        <w:rPr>
          <w:rFonts w:ascii="Century Gothic" w:eastAsia="Calibri" w:hAnsi="Century Gothic" w:cs="Arial"/>
          <w:color w:val="000000"/>
          <w:lang w:val="es-ES_tradnl"/>
        </w:rPr>
      </w:pPr>
    </w:p>
    <w:p w14:paraId="2326678A" w14:textId="77777777" w:rsidR="008A55D0" w:rsidRPr="008A55D0" w:rsidRDefault="008A55D0" w:rsidP="008A55D0">
      <w:pPr>
        <w:shd w:val="clear" w:color="auto" w:fill="FFFFFF"/>
        <w:spacing w:after="0" w:line="276" w:lineRule="auto"/>
        <w:jc w:val="both"/>
        <w:rPr>
          <w:rFonts w:ascii="Century Gothic" w:eastAsia="Calibri" w:hAnsi="Century Gothic" w:cs="Arial"/>
          <w:color w:val="000000"/>
        </w:rPr>
      </w:pPr>
    </w:p>
    <w:p w14:paraId="18B493A0" w14:textId="77777777" w:rsidR="008A55D0" w:rsidRPr="008A55D0" w:rsidRDefault="008A55D0" w:rsidP="008A55D0">
      <w:pPr>
        <w:numPr>
          <w:ilvl w:val="0"/>
          <w:numId w:val="6"/>
        </w:numPr>
        <w:shd w:val="clear" w:color="auto" w:fill="FFFFFF"/>
        <w:tabs>
          <w:tab w:val="left" w:pos="0"/>
          <w:tab w:val="left" w:pos="284"/>
        </w:tabs>
        <w:spacing w:after="0" w:line="278" w:lineRule="auto"/>
        <w:ind w:left="357" w:hanging="357"/>
        <w:contextualSpacing/>
        <w:jc w:val="both"/>
        <w:rPr>
          <w:rFonts w:ascii="Century Gothic" w:eastAsia="Calibri" w:hAnsi="Century Gothic" w:cs="Arial"/>
          <w:b/>
          <w:color w:val="000000"/>
          <w:lang w:val="es-ES_tradnl"/>
        </w:rPr>
      </w:pPr>
      <w:r w:rsidRPr="008A55D0">
        <w:rPr>
          <w:rFonts w:ascii="Century Gothic" w:eastAsia="Calibri" w:hAnsi="Century Gothic" w:cs="Arial"/>
          <w:b/>
          <w:color w:val="000000"/>
          <w:lang w:val="es-ES_tradnl"/>
        </w:rPr>
        <w:t>Consideraciones</w:t>
      </w:r>
    </w:p>
    <w:p w14:paraId="62900F81" w14:textId="77777777" w:rsidR="008A55D0" w:rsidRPr="008A55D0" w:rsidRDefault="008A55D0" w:rsidP="008A55D0">
      <w:pPr>
        <w:shd w:val="clear" w:color="auto" w:fill="FFFFFF"/>
        <w:spacing w:after="0" w:line="276" w:lineRule="auto"/>
        <w:jc w:val="both"/>
        <w:rPr>
          <w:rFonts w:ascii="Century Gothic" w:eastAsia="Calibri" w:hAnsi="Century Gothic" w:cs="Arial"/>
          <w:color w:val="000000"/>
          <w:lang w:val="es-ES"/>
        </w:rPr>
      </w:pPr>
    </w:p>
    <w:p w14:paraId="4BAFB269" w14:textId="77777777" w:rsidR="008A55D0" w:rsidRPr="008A55D0" w:rsidRDefault="008A55D0" w:rsidP="008A55D0">
      <w:pPr>
        <w:shd w:val="clear" w:color="auto" w:fill="FFFFFF"/>
        <w:spacing w:after="120" w:line="276" w:lineRule="auto"/>
        <w:jc w:val="both"/>
        <w:rPr>
          <w:rFonts w:ascii="Century Gothic" w:eastAsia="Calibri" w:hAnsi="Century Gothic" w:cs="Arial"/>
          <w:color w:val="000000"/>
        </w:rPr>
      </w:pPr>
      <w:r w:rsidRPr="008A55D0">
        <w:rPr>
          <w:rFonts w:ascii="Century Gothic" w:eastAsia="Calibri" w:hAnsi="Century Gothic" w:cs="Arial"/>
          <w:color w:val="000000"/>
        </w:rPr>
        <w:t>La Agencia Nacional de Contratación Pública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2E5C4B39" w14:textId="77777777" w:rsidR="008A55D0" w:rsidRPr="008A55D0" w:rsidRDefault="008A55D0" w:rsidP="008A55D0">
      <w:pPr>
        <w:shd w:val="clear" w:color="auto" w:fill="FFFFFF"/>
        <w:spacing w:after="120" w:line="276" w:lineRule="auto"/>
        <w:ind w:firstLine="708"/>
        <w:jc w:val="both"/>
        <w:rPr>
          <w:rFonts w:ascii="Century Gothic" w:eastAsia="Calibri" w:hAnsi="Century Gothic" w:cs="Arial"/>
          <w:color w:val="000000"/>
        </w:rPr>
      </w:pPr>
      <w:r w:rsidRPr="008A55D0">
        <w:rPr>
          <w:rFonts w:ascii="Century Gothic" w:eastAsia="Calibri" w:hAnsi="Century Gothic"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47242E6C" w14:textId="5A94D857" w:rsidR="00C86883" w:rsidRPr="00EC00ED" w:rsidRDefault="008A55D0" w:rsidP="00C86883">
      <w:pPr>
        <w:tabs>
          <w:tab w:val="left" w:pos="0"/>
        </w:tabs>
        <w:spacing w:after="0" w:line="240" w:lineRule="auto"/>
        <w:ind w:left="11"/>
        <w:jc w:val="both"/>
        <w:rPr>
          <w:rFonts w:ascii="Arial" w:eastAsia="Calibri" w:hAnsi="Arial" w:cs="Arial"/>
          <w:b/>
          <w:bCs/>
        </w:rPr>
      </w:pPr>
      <w:r w:rsidRPr="008A55D0">
        <w:rPr>
          <w:rFonts w:ascii="Century Gothic" w:eastAsia="Calibri" w:hAnsi="Century Gothic" w:cs="Arial"/>
          <w:color w:val="000000"/>
        </w:rPr>
        <w:tab/>
        <w:t>En este contexto, la Subdirección de Gestión Contractual, dentro de los límites de sus atribuciones, resolverá la consulta conforme a las normas generales en materia de contratación estatal. Con este objetivo se analizarán</w:t>
      </w:r>
      <w:r w:rsidRPr="008A55D0">
        <w:rPr>
          <w:rFonts w:ascii="Century Gothic" w:eastAsia="Calibri" w:hAnsi="Century Gothic" w:cs="Arial"/>
          <w:color w:val="000000"/>
          <w:lang w:val="es-ES"/>
        </w:rPr>
        <w:t xml:space="preserve"> los siguientes temas: </w:t>
      </w:r>
      <w:r w:rsidRPr="008A55D0">
        <w:rPr>
          <w:rFonts w:ascii="Century Gothic" w:eastAsia="Calibri" w:hAnsi="Century Gothic" w:cs="Arial"/>
          <w:color w:val="000000"/>
          <w:lang w:val="es-ES_tradnl"/>
        </w:rPr>
        <w:t xml:space="preserve">i) fundamento normativo y ámbito de aplicación de los documentos tipo; ii) acreditación de experiencia en los documentos tipo de licitación de obra pública de infraestructura de transporte –versión 3–, y experiencia adicional respecto a los bienes y servicios adicionales a la obra pública, iii) combinación de experiencia en </w:t>
      </w:r>
      <w:r w:rsidRPr="008A55D0">
        <w:rPr>
          <w:rFonts w:ascii="Century Gothic" w:eastAsia="Calibri" w:hAnsi="Century Gothic" w:cs="Arial"/>
          <w:color w:val="000000"/>
          <w:lang w:val="es-ES_tradnl"/>
        </w:rPr>
        <w:lastRenderedPageBreak/>
        <w:t>los documentos tipo de infraestructura de transporte</w:t>
      </w:r>
      <w:r w:rsidR="00C86883">
        <w:rPr>
          <w:rFonts w:ascii="Century Gothic" w:eastAsia="Calibri" w:hAnsi="Century Gothic" w:cs="Arial"/>
          <w:color w:val="000000"/>
          <w:lang w:val="es-ES_tradnl"/>
        </w:rPr>
        <w:t xml:space="preserve"> y </w:t>
      </w:r>
      <w:proofErr w:type="spellStart"/>
      <w:r w:rsidR="00C86883">
        <w:rPr>
          <w:rFonts w:ascii="Century Gothic" w:eastAsia="Calibri" w:hAnsi="Century Gothic" w:cs="Arial"/>
          <w:color w:val="000000"/>
          <w:lang w:val="es-ES_tradnl"/>
        </w:rPr>
        <w:t>iv</w:t>
      </w:r>
      <w:proofErr w:type="spellEnd"/>
      <w:r w:rsidR="00C86883">
        <w:rPr>
          <w:rFonts w:ascii="Century Gothic" w:eastAsia="Calibri" w:hAnsi="Century Gothic" w:cs="Arial"/>
          <w:color w:val="000000"/>
          <w:lang w:val="es-ES_tradnl"/>
        </w:rPr>
        <w:t xml:space="preserve">) </w:t>
      </w:r>
      <w:r w:rsidR="00C86883" w:rsidRPr="00C86883">
        <w:rPr>
          <w:rFonts w:ascii="Century Gothic" w:eastAsia="Calibri" w:hAnsi="Century Gothic" w:cs="Arial"/>
          <w:color w:val="000000"/>
          <w:lang w:val="es-ES_tradnl"/>
        </w:rPr>
        <w:t>Generalidades de la Capacidad Residual o K de contratación como requisito habilitante</w:t>
      </w:r>
      <w:r w:rsidR="00C86883">
        <w:rPr>
          <w:rFonts w:ascii="Century Gothic" w:eastAsia="Calibri" w:hAnsi="Century Gothic" w:cs="Arial"/>
          <w:color w:val="000000"/>
          <w:lang w:val="es-ES_tradnl"/>
        </w:rPr>
        <w:t>.</w:t>
      </w:r>
    </w:p>
    <w:p w14:paraId="25BEA4D2" w14:textId="1B3C6D94" w:rsidR="008A55D0" w:rsidRPr="008A55D0" w:rsidRDefault="008A55D0" w:rsidP="008A55D0">
      <w:pPr>
        <w:shd w:val="clear" w:color="auto" w:fill="FFFFFF"/>
        <w:spacing w:after="120" w:line="276" w:lineRule="auto"/>
        <w:jc w:val="both"/>
        <w:rPr>
          <w:rFonts w:ascii="Century Gothic" w:eastAsia="Calibri" w:hAnsi="Century Gothic" w:cs="Arial"/>
          <w:bCs/>
          <w:color w:val="000000"/>
          <w:lang w:val="es-ES"/>
        </w:rPr>
      </w:pPr>
    </w:p>
    <w:p w14:paraId="1DC5E156" w14:textId="77777777" w:rsidR="008A55D0" w:rsidRPr="008A55D0" w:rsidRDefault="008A55D0" w:rsidP="008A55D0">
      <w:pPr>
        <w:shd w:val="clear" w:color="auto" w:fill="FFFFFF"/>
        <w:spacing w:after="0" w:line="276" w:lineRule="auto"/>
        <w:ind w:firstLine="708"/>
        <w:jc w:val="both"/>
        <w:rPr>
          <w:rFonts w:ascii="Century Gothic" w:eastAsia="Calibri" w:hAnsi="Century Gothic" w:cs="Arial"/>
          <w:color w:val="000000"/>
        </w:rPr>
      </w:pPr>
      <w:r w:rsidRPr="008A55D0">
        <w:rPr>
          <w:rFonts w:ascii="Century Gothic" w:eastAsia="Calibri" w:hAnsi="Century Gothic" w:cs="Arial"/>
          <w:color w:val="000000"/>
        </w:rPr>
        <w:t>La Agencia Nacional de Contratación Pública – Colombia Compra Eficiente se ha pronunciado</w:t>
      </w:r>
      <w:r w:rsidRPr="008A55D0">
        <w:rPr>
          <w:rFonts w:ascii="Aptos" w:eastAsia="Aptos" w:hAnsi="Aptos" w:cs="Times New Roman"/>
          <w:kern w:val="2"/>
          <w:sz w:val="24"/>
          <w:szCs w:val="24"/>
          <w:lang w:val="es-ES_tradnl"/>
          <w14:ligatures w14:val="standardContextual"/>
        </w:rPr>
        <w:t xml:space="preserve"> </w:t>
      </w:r>
      <w:r w:rsidRPr="008A55D0">
        <w:rPr>
          <w:rFonts w:ascii="Century Gothic" w:eastAsia="Calibri" w:hAnsi="Century Gothic" w:cs="Arial"/>
          <w:color w:val="000000"/>
        </w:rPr>
        <w:t>sobre la forma de establecer y acreditar la experiencia exigible en procesos de contratación de obra pública de infraestructura de transporte que aplican documentos tipo, en los conceptos C-056  del 8 de enero de 2020, C-069 del 24 de enero de 2020, C-097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 C-698 del 19 de noviembre de 2020, C-697 del 2 de diciembre de 2020,</w:t>
      </w:r>
      <w:r w:rsidRPr="008A55D0">
        <w:rPr>
          <w:rFonts w:ascii="Aptos" w:eastAsia="Aptos" w:hAnsi="Aptos" w:cs="Times New Roman"/>
          <w:kern w:val="2"/>
          <w:sz w:val="24"/>
          <w:szCs w:val="24"/>
          <w:lang w:val="es-ES_tradnl"/>
          <w14:ligatures w14:val="standardContextual"/>
        </w:rPr>
        <w:t xml:space="preserve"> </w:t>
      </w:r>
      <w:r w:rsidRPr="008A55D0">
        <w:rPr>
          <w:rFonts w:ascii="Century Gothic" w:eastAsia="Calibri" w:hAnsi="Century Gothic" w:cs="Arial"/>
          <w:color w:val="000000"/>
        </w:rPr>
        <w:t>C-804 del 1 de febrero de 2021, C-018 del 23 de febrero de 2021 y C-053 del 28 de marzo de 2023, entre otros</w:t>
      </w:r>
      <w:r w:rsidRPr="008A55D0">
        <w:rPr>
          <w:rFonts w:ascii="Century Gothic" w:eastAsia="Aptos" w:hAnsi="Century Gothic" w:cs="Arial"/>
          <w:color w:val="000000"/>
          <w:kern w:val="2"/>
          <w:sz w:val="24"/>
          <w:szCs w:val="24"/>
          <w:vertAlign w:val="superscript"/>
          <w:lang w:val="es-ES_tradnl"/>
          <w14:ligatures w14:val="standardContextual"/>
        </w:rPr>
        <w:footnoteReference w:id="1"/>
      </w:r>
      <w:r w:rsidRPr="008A55D0">
        <w:rPr>
          <w:rFonts w:ascii="Century Gothic" w:eastAsia="Calibri" w:hAnsi="Century Gothic" w:cs="Arial"/>
          <w:bCs/>
          <w:kern w:val="2"/>
          <w:lang w:val="es-MX"/>
          <w14:ligatures w14:val="standardContextual"/>
        </w:rPr>
        <w:t>.</w:t>
      </w:r>
      <w:r w:rsidRPr="008A55D0">
        <w:rPr>
          <w:rFonts w:ascii="Century Gothic" w:eastAsia="Calibri" w:hAnsi="Century Gothic" w:cs="Arial"/>
          <w:color w:val="000000"/>
        </w:rPr>
        <w:t xml:space="preserve"> Las tesis propuestas en estos conceptos se reiteran a continuación y se complementan en lo pertinente, de acuerdo con las preguntas realizadas.  </w:t>
      </w:r>
    </w:p>
    <w:p w14:paraId="4B6259F0" w14:textId="77777777" w:rsidR="008A55D0" w:rsidRPr="008A55D0" w:rsidRDefault="008A55D0" w:rsidP="008A55D0">
      <w:pPr>
        <w:shd w:val="clear" w:color="auto" w:fill="FFFFFF"/>
        <w:spacing w:after="0" w:line="276" w:lineRule="auto"/>
        <w:jc w:val="both"/>
        <w:rPr>
          <w:rFonts w:ascii="Century Gothic" w:eastAsia="Calibri" w:hAnsi="Century Gothic" w:cs="Arial"/>
          <w:color w:val="000000"/>
        </w:rPr>
      </w:pPr>
    </w:p>
    <w:p w14:paraId="172120C9" w14:textId="77777777" w:rsidR="008A55D0" w:rsidRPr="008A55D0" w:rsidRDefault="008A55D0" w:rsidP="008A55D0">
      <w:pPr>
        <w:spacing w:after="0" w:line="276" w:lineRule="auto"/>
        <w:contextualSpacing/>
        <w:jc w:val="both"/>
        <w:rPr>
          <w:rFonts w:ascii="Century Gothic" w:eastAsia="Arial" w:hAnsi="Century Gothic" w:cs="Arial"/>
          <w:b/>
          <w:bCs/>
          <w:lang w:val="es-ES_tradnl" w:eastAsia="es-ES_tradnl"/>
        </w:rPr>
      </w:pPr>
      <w:r w:rsidRPr="008A55D0">
        <w:rPr>
          <w:rFonts w:ascii="Century Gothic" w:eastAsia="Arial" w:hAnsi="Century Gothic" w:cs="Arial"/>
          <w:b/>
          <w:bCs/>
          <w:lang w:val="es-ES_tradnl" w:eastAsia="es-ES_tradnl"/>
        </w:rPr>
        <w:t xml:space="preserve">2.1. </w:t>
      </w:r>
      <w:bookmarkStart w:id="6" w:name="_Hlk110852287"/>
      <w:r w:rsidRPr="008A55D0">
        <w:rPr>
          <w:rFonts w:ascii="Century Gothic" w:eastAsia="Arial" w:hAnsi="Century Gothic" w:cs="Arial"/>
          <w:b/>
          <w:bCs/>
          <w:lang w:val="es-ES_tradnl" w:eastAsia="es-ES_tradnl"/>
        </w:rPr>
        <w:t xml:space="preserve">Fundamento normativo y ámbito de aplicación de los documentos tipo </w:t>
      </w:r>
      <w:bookmarkEnd w:id="6"/>
    </w:p>
    <w:p w14:paraId="6CF37544" w14:textId="77777777" w:rsidR="008A55D0" w:rsidRPr="008A55D0" w:rsidRDefault="008A55D0" w:rsidP="008A55D0">
      <w:pPr>
        <w:spacing w:after="0" w:line="240" w:lineRule="auto"/>
        <w:contextualSpacing/>
        <w:jc w:val="both"/>
        <w:rPr>
          <w:rFonts w:ascii="Century Gothic" w:eastAsia="Arial" w:hAnsi="Century Gothic" w:cs="Arial"/>
          <w:b/>
          <w:bCs/>
          <w:lang w:val="es-ES_tradnl" w:eastAsia="es-ES_tradnl"/>
        </w:rPr>
      </w:pPr>
    </w:p>
    <w:p w14:paraId="52E69F06" w14:textId="77777777" w:rsidR="008A55D0" w:rsidRPr="008A55D0" w:rsidRDefault="008A55D0" w:rsidP="008A55D0">
      <w:pPr>
        <w:spacing w:after="120" w:line="276" w:lineRule="auto"/>
        <w:jc w:val="both"/>
        <w:rPr>
          <w:rFonts w:ascii="Century Gothic" w:eastAsia="Calibri" w:hAnsi="Century Gothic" w:cs="Arial"/>
          <w:color w:val="000000"/>
          <w:szCs w:val="24"/>
          <w:lang w:val="es-ES" w:eastAsia="es-ES_tradnl"/>
        </w:rPr>
      </w:pPr>
      <w:bookmarkStart w:id="7" w:name="_Hlk113022941"/>
      <w:r w:rsidRPr="008A55D0">
        <w:rPr>
          <w:rFonts w:ascii="Century Gothic" w:eastAsia="Calibri" w:hAnsi="Century Gothic" w:cs="Arial"/>
          <w:color w:val="000000"/>
          <w:szCs w:val="24"/>
          <w:lang w:val="es-ES" w:eastAsia="es-ES_tradnl"/>
        </w:rPr>
        <w:t>La adopción de los documentos tipo obligatorios en el ordenamiento jurídico colombiano se incluyó por primera vez en el parágrafo 3 del artículo 2 de la Ley 1150 de 2007</w:t>
      </w:r>
      <w:r w:rsidRPr="008A55D0">
        <w:rPr>
          <w:rFonts w:ascii="Century Gothic" w:eastAsia="Calibri" w:hAnsi="Century Gothic" w:cs="Arial"/>
          <w:color w:val="000000"/>
          <w:szCs w:val="24"/>
          <w:vertAlign w:val="superscript"/>
          <w:lang w:val="es-ES" w:eastAsia="es-ES_tradnl"/>
        </w:rPr>
        <w:footnoteReference w:id="2"/>
      </w:r>
      <w:r w:rsidRPr="008A55D0">
        <w:rPr>
          <w:rFonts w:ascii="Century Gothic" w:eastAsia="Calibri" w:hAnsi="Century Gothic"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14:paraId="746F839E" w14:textId="77777777" w:rsidR="008A55D0" w:rsidRPr="008A55D0" w:rsidRDefault="008A55D0" w:rsidP="008A55D0">
      <w:pPr>
        <w:spacing w:after="120" w:line="276" w:lineRule="auto"/>
        <w:ind w:firstLine="708"/>
        <w:jc w:val="both"/>
        <w:rPr>
          <w:rFonts w:ascii="Century Gothic" w:eastAsia="Calibri" w:hAnsi="Century Gothic" w:cs="Arial"/>
          <w:color w:val="000000"/>
          <w:szCs w:val="24"/>
          <w:lang w:val="es-ES" w:eastAsia="es-ES_tradnl"/>
        </w:rPr>
      </w:pPr>
      <w:r w:rsidRPr="008A55D0">
        <w:rPr>
          <w:rFonts w:ascii="Century Gothic" w:eastAsia="Calibri" w:hAnsi="Century Gothic" w:cs="Arial"/>
          <w:color w:val="000000"/>
          <w:szCs w:val="24"/>
          <w:lang w:val="es-ES" w:eastAsia="es-ES_tradnl"/>
        </w:rPr>
        <w:lastRenderedPageBreak/>
        <w:t>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A55D0">
        <w:rPr>
          <w:rFonts w:ascii="Century Gothic" w:eastAsia="Calibri" w:hAnsi="Century Gothic" w:cs="Arial"/>
          <w:color w:val="000000"/>
          <w:szCs w:val="24"/>
          <w:vertAlign w:val="superscript"/>
          <w:lang w:val="es-ES" w:eastAsia="es-ES_tradnl"/>
        </w:rPr>
        <w:footnoteReference w:id="3"/>
      </w:r>
      <w:r w:rsidRPr="008A55D0">
        <w:rPr>
          <w:rFonts w:ascii="Century Gothic" w:eastAsia="Calibri" w:hAnsi="Century Gothic" w:cs="Arial"/>
          <w:color w:val="000000"/>
          <w:szCs w:val="24"/>
          <w:lang w:val="es-ES" w:eastAsia="es-ES_tradnl"/>
        </w:rPr>
        <w:t>.</w:t>
      </w:r>
    </w:p>
    <w:p w14:paraId="75192773" w14:textId="77777777" w:rsidR="008A55D0" w:rsidRPr="008A55D0" w:rsidRDefault="008A55D0" w:rsidP="008A55D0">
      <w:pPr>
        <w:spacing w:before="120" w:after="120" w:line="276" w:lineRule="auto"/>
        <w:jc w:val="both"/>
        <w:rPr>
          <w:rFonts w:ascii="Century Gothic" w:eastAsia="Calibri" w:hAnsi="Century Gothic" w:cs="Arial"/>
          <w:color w:val="000000"/>
          <w:szCs w:val="24"/>
          <w:lang w:val="es-ES" w:eastAsia="es-ES_tradnl"/>
        </w:rPr>
      </w:pPr>
      <w:r w:rsidRPr="008A55D0">
        <w:rPr>
          <w:rFonts w:ascii="Century Gothic" w:eastAsia="Calibri" w:hAnsi="Century Gothic"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10B6C13" w14:textId="77777777" w:rsidR="008A55D0" w:rsidRPr="008A55D0" w:rsidRDefault="008A55D0" w:rsidP="008A55D0">
      <w:pPr>
        <w:spacing w:before="120" w:after="120" w:line="276" w:lineRule="auto"/>
        <w:jc w:val="both"/>
        <w:rPr>
          <w:rFonts w:ascii="Century Gothic" w:eastAsia="Calibri" w:hAnsi="Century Gothic" w:cs="Arial"/>
          <w:color w:val="000000"/>
          <w:szCs w:val="24"/>
          <w:lang w:val="es-ES" w:eastAsia="es-ES_tradnl"/>
        </w:rPr>
      </w:pPr>
      <w:r w:rsidRPr="008A55D0">
        <w:rPr>
          <w:rFonts w:ascii="Century Gothic" w:eastAsia="Calibri" w:hAnsi="Century Gothic" w:cs="Arial"/>
          <w:color w:val="000000"/>
          <w:szCs w:val="24"/>
          <w:lang w:val="es-ES" w:eastAsia="es-ES_tradnl"/>
        </w:rPr>
        <w:tab/>
        <w:t xml:space="preserve">De la norma descrita se concluía lo siguiente: i) la adopción de los documentos tipo estaba en cabeza del gobierno nacional; ii) estos debían relacionarse con procesos de obra públicas, interventoría para las obras públicas, </w:t>
      </w:r>
      <w:r w:rsidRPr="008A55D0">
        <w:rPr>
          <w:rFonts w:ascii="Century Gothic" w:eastAsia="Calibri" w:hAnsi="Century Gothic" w:cs="Arial"/>
          <w:color w:val="000000"/>
          <w:szCs w:val="24"/>
          <w:lang w:val="es-ES" w:eastAsia="es-ES_tradnl"/>
        </w:rPr>
        <w:lastRenderedPageBreak/>
        <w:t xml:space="preserve">interventoría para consultoría de estudios y diseños y, finalmente, consultoría en ingeniería para obras; iii) eran de obligatorio cumplimiento por parte de todas las entidades sometidas al Estatuto General de Contratación de la Administración Pública; </w:t>
      </w:r>
      <w:proofErr w:type="spellStart"/>
      <w:r w:rsidRPr="008A55D0">
        <w:rPr>
          <w:rFonts w:ascii="Century Gothic" w:eastAsia="Calibri" w:hAnsi="Century Gothic" w:cs="Arial"/>
          <w:color w:val="000000"/>
          <w:szCs w:val="24"/>
          <w:lang w:val="es-ES" w:eastAsia="es-ES_tradnl"/>
        </w:rPr>
        <w:t>iv</w:t>
      </w:r>
      <w:proofErr w:type="spellEnd"/>
      <w:r w:rsidRPr="008A55D0">
        <w:rPr>
          <w:rFonts w:ascii="Century Gothic" w:eastAsia="Calibri" w:hAnsi="Century Gothic"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0E3DF424" w14:textId="77777777" w:rsidR="008A55D0" w:rsidRPr="008A55D0" w:rsidRDefault="008A55D0" w:rsidP="008A55D0">
      <w:pPr>
        <w:spacing w:before="120" w:after="120" w:line="276" w:lineRule="auto"/>
        <w:jc w:val="both"/>
        <w:rPr>
          <w:rFonts w:ascii="Century Gothic" w:eastAsia="Calibri" w:hAnsi="Century Gothic" w:cs="Arial"/>
          <w:color w:val="000000"/>
          <w:szCs w:val="24"/>
          <w:lang w:val="es-ES" w:eastAsia="es-ES_tradnl"/>
        </w:rPr>
      </w:pPr>
      <w:r w:rsidRPr="008A55D0">
        <w:rPr>
          <w:rFonts w:ascii="Century Gothic" w:eastAsia="Calibri" w:hAnsi="Century Gothic"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8A55D0">
        <w:rPr>
          <w:rFonts w:ascii="Century Gothic" w:eastAsia="Calibri" w:hAnsi="Century Gothic" w:cs="Arial"/>
          <w:color w:val="000000"/>
          <w:szCs w:val="24"/>
          <w:vertAlign w:val="superscript"/>
          <w:lang w:val="es-ES" w:eastAsia="es-ES_tradnl"/>
        </w:rPr>
        <w:footnoteReference w:id="4"/>
      </w:r>
      <w:r w:rsidRPr="008A55D0">
        <w:rPr>
          <w:rFonts w:ascii="Century Gothic" w:eastAsia="Calibri" w:hAnsi="Century Gothic" w:cs="Arial"/>
          <w:color w:val="000000"/>
          <w:szCs w:val="24"/>
          <w:lang w:val="es-ES" w:eastAsia="es-ES_tradnl"/>
        </w:rPr>
        <w:t>.</w:t>
      </w:r>
    </w:p>
    <w:p w14:paraId="79CBB761" w14:textId="77777777" w:rsidR="008A55D0" w:rsidRPr="008A55D0" w:rsidRDefault="008A55D0" w:rsidP="008A55D0">
      <w:pPr>
        <w:spacing w:before="120" w:after="120" w:line="276" w:lineRule="auto"/>
        <w:jc w:val="both"/>
        <w:rPr>
          <w:rFonts w:ascii="Century Gothic" w:eastAsia="Calibri" w:hAnsi="Century Gothic" w:cs="Arial"/>
          <w:color w:val="000000"/>
          <w:szCs w:val="24"/>
          <w:lang w:val="es-ES" w:eastAsia="es-ES_tradnl"/>
        </w:rPr>
      </w:pPr>
      <w:r w:rsidRPr="008A55D0">
        <w:rPr>
          <w:rFonts w:ascii="Century Gothic" w:eastAsia="Calibri" w:hAnsi="Century Gothic"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7470E2F" w14:textId="77777777" w:rsidR="008A55D0" w:rsidRPr="008A55D0" w:rsidRDefault="008A55D0" w:rsidP="008A55D0">
      <w:pPr>
        <w:spacing w:before="120" w:after="120" w:line="276" w:lineRule="auto"/>
        <w:jc w:val="both"/>
        <w:rPr>
          <w:rFonts w:ascii="Century Gothic" w:eastAsia="Calibri" w:hAnsi="Century Gothic" w:cs="Arial"/>
          <w:lang w:val="es-ES"/>
        </w:rPr>
      </w:pPr>
      <w:r w:rsidRPr="008A55D0">
        <w:rPr>
          <w:rFonts w:ascii="Century Gothic" w:eastAsia="Calibri" w:hAnsi="Century Gothic" w:cs="Arial"/>
          <w:color w:val="000000"/>
          <w:lang w:val="es-ES" w:eastAsia="es-ES_tradnl"/>
        </w:rPr>
        <w:lastRenderedPageBreak/>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8A55D0">
        <w:rPr>
          <w:rFonts w:ascii="Century Gothic" w:eastAsia="Calibri" w:hAnsi="Century Gothic"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BF7E3FD" w14:textId="77777777" w:rsidR="008A55D0" w:rsidRPr="008A55D0" w:rsidRDefault="008A55D0" w:rsidP="008A55D0">
      <w:pPr>
        <w:spacing w:before="120" w:after="120" w:line="276" w:lineRule="auto"/>
        <w:jc w:val="both"/>
        <w:rPr>
          <w:rFonts w:ascii="Century Gothic" w:eastAsia="Calibri" w:hAnsi="Century Gothic" w:cs="Arial"/>
          <w:color w:val="000000"/>
          <w:lang w:val="es-ES" w:eastAsia="es-ES_tradnl"/>
        </w:rPr>
      </w:pPr>
      <w:r w:rsidRPr="008A55D0">
        <w:rPr>
          <w:rFonts w:ascii="Century Gothic" w:eastAsia="Calibri" w:hAnsi="Century Gothic"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A55D0" w:rsidDel="00A434AB">
        <w:rPr>
          <w:rFonts w:ascii="Century Gothic" w:eastAsia="Calibri" w:hAnsi="Century Gothic" w:cs="Arial"/>
          <w:lang w:val="es-ES"/>
        </w:rPr>
        <w:t xml:space="preserve"> </w:t>
      </w:r>
      <w:r w:rsidRPr="008A55D0">
        <w:rPr>
          <w:rFonts w:ascii="Century Gothic" w:eastAsia="Calibri" w:hAnsi="Century Gothic"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0FF21C42" w14:textId="77777777" w:rsidR="008A55D0" w:rsidRPr="008A55D0" w:rsidRDefault="008A55D0" w:rsidP="008A55D0">
      <w:pPr>
        <w:spacing w:before="120" w:after="120" w:line="276" w:lineRule="auto"/>
        <w:ind w:firstLine="709"/>
        <w:jc w:val="both"/>
        <w:rPr>
          <w:rFonts w:ascii="Century Gothic" w:eastAsia="Calibri" w:hAnsi="Century Gothic" w:cs="Arial"/>
          <w:bdr w:val="none" w:sz="0" w:space="0" w:color="auto" w:frame="1"/>
        </w:rPr>
      </w:pPr>
      <w:bookmarkStart w:id="8" w:name="_Hlk143271549"/>
      <w:r w:rsidRPr="008A55D0">
        <w:rPr>
          <w:rFonts w:ascii="Century Gothic" w:eastAsia="Calibri" w:hAnsi="Century Gothic" w:cs="Arial"/>
          <w:color w:val="000000"/>
          <w:lang w:val="es-ES" w:eastAsia="es-ES"/>
        </w:rPr>
        <w:t>Por otra parte</w:t>
      </w:r>
      <w:r w:rsidRPr="008A55D0">
        <w:rPr>
          <w:rFonts w:ascii="Century Gothic" w:eastAsia="Calibri" w:hAnsi="Century Gothic" w:cs="Arial"/>
          <w:i/>
          <w:iCs/>
          <w:color w:val="000000"/>
          <w:lang w:val="es-ES" w:eastAsia="es-ES"/>
        </w:rPr>
        <w:t>,</w:t>
      </w:r>
      <w:r w:rsidRPr="008A55D0">
        <w:rPr>
          <w:rFonts w:ascii="Century Gothic" w:eastAsia="Calibri" w:hAnsi="Century Gothic"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8A55D0">
        <w:rPr>
          <w:rFonts w:ascii="Century Gothic" w:eastAsia="Calibri" w:hAnsi="Century Gothic" w:cs="Arial"/>
          <w:color w:val="000000"/>
          <w:vertAlign w:val="superscript"/>
          <w:lang w:val="es-ES" w:eastAsia="es-ES"/>
        </w:rPr>
        <w:footnoteReference w:id="5"/>
      </w:r>
      <w:r w:rsidRPr="008A55D0">
        <w:rPr>
          <w:rFonts w:ascii="Century Gothic" w:eastAsia="Calibri" w:hAnsi="Century Gothic" w:cs="Arial"/>
          <w:color w:val="000000"/>
          <w:lang w:val="es-ES" w:eastAsia="es-ES"/>
        </w:rPr>
        <w:t xml:space="preserve">. En este sentido, con la finalidad de </w:t>
      </w:r>
      <w:r w:rsidRPr="008A55D0">
        <w:rPr>
          <w:rFonts w:ascii="Century Gothic" w:eastAsia="Calibri" w:hAnsi="Century Gothic" w:cs="Arial"/>
          <w:color w:val="000000"/>
          <w:lang w:val="es-ES" w:eastAsia="es-ES"/>
        </w:rPr>
        <w:lastRenderedPageBreak/>
        <w:t xml:space="preserve">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bookmarkEnd w:id="8"/>
    <w:p w14:paraId="5632BE0E" w14:textId="77777777" w:rsidR="008A55D0" w:rsidRPr="008A55D0" w:rsidRDefault="008A55D0" w:rsidP="008A55D0">
      <w:pPr>
        <w:spacing w:before="120" w:after="120" w:line="276" w:lineRule="auto"/>
        <w:ind w:firstLine="709"/>
        <w:jc w:val="both"/>
        <w:rPr>
          <w:rFonts w:ascii="Century Gothic" w:eastAsia="Calibri" w:hAnsi="Century Gothic" w:cs="Arial"/>
          <w:lang w:val="es-ES" w:eastAsia="es-ES"/>
        </w:rPr>
      </w:pPr>
      <w:r w:rsidRPr="008A55D0">
        <w:rPr>
          <w:rFonts w:ascii="Century Gothic" w:eastAsia="Calibri" w:hAnsi="Century Gothic"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73B2141F" w14:textId="301C289A" w:rsidR="008A55D0" w:rsidRPr="008A55D0" w:rsidRDefault="008A55D0" w:rsidP="008A55D0">
      <w:pPr>
        <w:spacing w:before="120" w:after="120" w:line="276" w:lineRule="auto"/>
        <w:ind w:firstLine="709"/>
        <w:jc w:val="both"/>
        <w:rPr>
          <w:rFonts w:ascii="Century Gothic" w:eastAsia="Calibri" w:hAnsi="Century Gothic" w:cs="Arial"/>
          <w:lang w:val="es-ES" w:eastAsia="es-ES"/>
        </w:rPr>
      </w:pPr>
      <w:r w:rsidRPr="008A55D0">
        <w:rPr>
          <w:rFonts w:ascii="Century Gothic" w:eastAsia="Calibri" w:hAnsi="Century Gothic" w:cs="Arial"/>
          <w:lang w:val="es-ES" w:eastAsia="es-ES"/>
        </w:rPr>
        <w:t>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w:t>
      </w:r>
      <w:r w:rsidR="00762F7E">
        <w:rPr>
          <w:rFonts w:ascii="Century Gothic" w:eastAsia="Calibri" w:hAnsi="Century Gothic" w:cs="Arial"/>
          <w:lang w:val="es-ES" w:eastAsia="es-ES"/>
        </w:rPr>
        <w:t>,</w:t>
      </w:r>
      <w:r w:rsidRPr="008A55D0">
        <w:rPr>
          <w:rFonts w:ascii="Century Gothic" w:eastAsia="Calibri" w:hAnsi="Century Gothic" w:cs="Arial"/>
          <w:lang w:val="es-ES" w:eastAsia="es-ES"/>
        </w:rPr>
        <w:t xml:space="preserve"> la Resolución 269 de 2020, “Por la cual se adopta el documento tipo para los procesos de gestión catastral con enfoque multipropósito que se celebren a través de contratos interadministrativos”. </w:t>
      </w:r>
    </w:p>
    <w:p w14:paraId="11BADED4" w14:textId="77777777" w:rsidR="008A55D0" w:rsidRPr="008A55D0" w:rsidRDefault="008A55D0" w:rsidP="008A55D0">
      <w:pPr>
        <w:spacing w:before="120" w:after="120" w:line="276" w:lineRule="auto"/>
        <w:ind w:firstLine="709"/>
        <w:jc w:val="both"/>
        <w:rPr>
          <w:rFonts w:ascii="Century Gothic" w:eastAsia="Calibri" w:hAnsi="Century Gothic" w:cs="Arial"/>
        </w:rPr>
      </w:pPr>
      <w:r w:rsidRPr="008A55D0">
        <w:rPr>
          <w:rFonts w:ascii="Century Gothic" w:eastAsia="Calibri" w:hAnsi="Century Gothic" w:cs="Arial"/>
          <w:color w:val="000000"/>
          <w:lang w:val="es-ES" w:eastAsia="es-ES"/>
        </w:rPr>
        <w:t xml:space="preserve">Asimismo, en el transcurso del año 2021, esta Agencia expidió la Resolución 193 del 14 de julio de 2021, “Por la cual se adoptan los documentos tipo para los </w:t>
      </w:r>
      <w:r w:rsidRPr="008A55D0">
        <w:rPr>
          <w:rFonts w:ascii="Century Gothic" w:eastAsia="Calibri" w:hAnsi="Century Gothic" w:cs="Arial"/>
          <w:color w:val="000000"/>
          <w:lang w:val="es-ES" w:eastAsia="es-ES"/>
        </w:rPr>
        <w:lastRenderedPageBreak/>
        <w:t xml:space="preserve">procesos de </w:t>
      </w:r>
      <w:r w:rsidRPr="008A55D0">
        <w:rPr>
          <w:rFonts w:ascii="Century Gothic" w:eastAsia="Calibri" w:hAnsi="Century Gothic"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8A55D0">
        <w:rPr>
          <w:rFonts w:ascii="Century Gothic" w:eastAsia="Calibri" w:hAnsi="Century Gothic" w:cs="Arial"/>
          <w:bCs/>
          <w:iCs/>
          <w:shd w:val="clear" w:color="auto" w:fill="FFFFFF"/>
        </w:rPr>
        <w:t>Por la cual se adoptan los documentos tipo complementarios para los procesos de licitación de obra pública de infraestructura social relacionados con el sector salud</w:t>
      </w:r>
      <w:r w:rsidRPr="008A55D0">
        <w:rPr>
          <w:rFonts w:ascii="Century Gothic" w:eastAsia="Calibri" w:hAnsi="Century Gothic" w:cs="Arial"/>
          <w:lang w:val="es-ES" w:eastAsia="es-ES"/>
        </w:rPr>
        <w:t>”. Luego, se expidió la Resolución 454 del 16 de diciembre de 2021, “</w:t>
      </w:r>
      <w:r w:rsidRPr="008A55D0">
        <w:rPr>
          <w:rFonts w:ascii="Century Gothic" w:eastAsia="Calibri" w:hAnsi="Century Gothic" w:cs="Arial"/>
        </w:rPr>
        <w:t>Por la cual se adoptan los documentos tipo complementarios para los procesos de licitación de obra pública de infraestructura social relacionados con el sector cultura, recreación y deporte</w:t>
      </w:r>
      <w:r w:rsidRPr="008A55D0">
        <w:rPr>
          <w:rFonts w:ascii="Century Gothic" w:eastAsia="Calibri" w:hAnsi="Century Gothic" w:cs="Arial"/>
          <w:lang w:val="es-ES" w:eastAsia="es-ES"/>
        </w:rPr>
        <w:t>”</w:t>
      </w:r>
      <w:r w:rsidRPr="008A55D0">
        <w:rPr>
          <w:rFonts w:ascii="Century Gothic" w:eastAsia="Calibri" w:hAnsi="Century Gothic" w:cs="Arial"/>
        </w:rPr>
        <w:t>.</w:t>
      </w:r>
    </w:p>
    <w:p w14:paraId="49031E57" w14:textId="77777777" w:rsidR="008A55D0" w:rsidRPr="008A55D0" w:rsidRDefault="008A55D0" w:rsidP="008A55D0">
      <w:pPr>
        <w:spacing w:before="120" w:after="120" w:line="276" w:lineRule="auto"/>
        <w:ind w:firstLine="709"/>
        <w:jc w:val="both"/>
        <w:rPr>
          <w:rFonts w:ascii="Century Gothic" w:eastAsia="Times New Roman" w:hAnsi="Century Gothic" w:cs="Arial"/>
          <w:bdr w:val="none" w:sz="0" w:space="0" w:color="auto" w:frame="1"/>
          <w:lang w:val="es-ES_tradnl" w:eastAsia="es-CO"/>
        </w:rPr>
      </w:pPr>
      <w:r w:rsidRPr="008A55D0">
        <w:rPr>
          <w:rFonts w:ascii="Century Gothic" w:eastAsia="Times New Roman" w:hAnsi="Century Gothic"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17AFD9B5" w14:textId="77777777" w:rsidR="008A55D0" w:rsidRPr="008A55D0" w:rsidRDefault="008A55D0" w:rsidP="008A55D0">
      <w:pPr>
        <w:spacing w:before="120" w:after="120" w:line="276" w:lineRule="auto"/>
        <w:ind w:firstLine="709"/>
        <w:jc w:val="both"/>
        <w:rPr>
          <w:rFonts w:ascii="Century Gothic" w:eastAsia="Calibri" w:hAnsi="Century Gothic" w:cs="Arial"/>
          <w:lang w:val="es-ES" w:eastAsia="es-ES"/>
        </w:rPr>
      </w:pPr>
      <w:r w:rsidRPr="008A55D0">
        <w:rPr>
          <w:rFonts w:ascii="Century Gothic" w:eastAsia="Calibri" w:hAnsi="Century Gothic" w:cs="Arial"/>
          <w:lang w:val="es-ES"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503FB006" w14:textId="77777777" w:rsidR="008A55D0" w:rsidRPr="008A55D0" w:rsidRDefault="008A55D0" w:rsidP="008A55D0">
      <w:pPr>
        <w:spacing w:after="0" w:line="276" w:lineRule="auto"/>
        <w:ind w:firstLine="709"/>
        <w:jc w:val="both"/>
        <w:rPr>
          <w:rFonts w:ascii="Century Gothic" w:eastAsia="Calibri" w:hAnsi="Century Gothic" w:cs="Arial"/>
          <w:spacing w:val="2"/>
          <w:lang w:eastAsia="es-CO"/>
        </w:rPr>
      </w:pPr>
      <w:r w:rsidRPr="008A55D0">
        <w:rPr>
          <w:rFonts w:ascii="Century Gothic" w:eastAsia="Calibri" w:hAnsi="Century Gothic" w:cs="Arial"/>
          <w:spacing w:val="2"/>
          <w:lang w:eastAsia="es-CO"/>
        </w:rPr>
        <w:t xml:space="preserve">Con posterioridad, el Decreto 1860 de 2021 modificó </w:t>
      </w:r>
      <w:r w:rsidRPr="008A55D0">
        <w:rPr>
          <w:rFonts w:ascii="Century Gothic" w:eastAsia="Arial" w:hAnsi="Century Gothic"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8A55D0">
        <w:rPr>
          <w:rFonts w:ascii="Century Gothic" w:eastAsia="Times New Roman" w:hAnsi="Century Gothic" w:cs="Arial"/>
          <w:szCs w:val="24"/>
          <w:lang w:eastAsia="es-MX"/>
        </w:rPr>
        <w:t>además de incluir algunas disposiciones adicionales para la reglamentación efectiva de la citada Ley.</w:t>
      </w:r>
      <w:r w:rsidRPr="008A55D0">
        <w:rPr>
          <w:rFonts w:ascii="Century Gothic" w:eastAsia="Arial" w:hAnsi="Century Gothic" w:cs="Arial"/>
          <w:szCs w:val="24"/>
          <w:lang w:eastAsia="es-CO"/>
        </w:rPr>
        <w:t xml:space="preserve"> </w:t>
      </w:r>
      <w:r w:rsidRPr="008A55D0">
        <w:rPr>
          <w:rFonts w:ascii="Century Gothic" w:eastAsia="Times New Roman" w:hAnsi="Century Gothic" w:cs="Arial"/>
          <w:spacing w:val="2"/>
          <w:lang w:eastAsia="es-CO"/>
        </w:rPr>
        <w:t xml:space="preserve">En este sentido, el parágrafo del artículo 8 del Decreto 1860 de 2021 </w:t>
      </w:r>
      <w:r w:rsidRPr="008A55D0">
        <w:rPr>
          <w:rFonts w:ascii="Century Gothic" w:eastAsia="Times New Roman" w:hAnsi="Century Gothic" w:cs="Arial"/>
          <w:spacing w:val="2"/>
          <w:lang w:eastAsia="es-CO"/>
        </w:rPr>
        <w:lastRenderedPageBreak/>
        <w:t xml:space="preserve">otorgó un plazo de seis (6) meses contados a partir de su expedición, para que la Agencia Nacional de Contratación Pública – Colombia Compra Eficiente adecuara los Documentos Tipo a las disposiciones previstas en dicho decreto. </w:t>
      </w:r>
      <w:r w:rsidRPr="008A55D0">
        <w:rPr>
          <w:rFonts w:ascii="Century Gothic" w:eastAsia="Calibri" w:hAnsi="Century Gothic"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3650A3A8" w14:textId="77777777" w:rsidR="008A55D0" w:rsidRPr="008A55D0" w:rsidRDefault="008A55D0" w:rsidP="008A55D0">
      <w:pPr>
        <w:spacing w:before="120" w:after="0" w:line="276" w:lineRule="auto"/>
        <w:ind w:firstLine="709"/>
        <w:jc w:val="both"/>
        <w:rPr>
          <w:rFonts w:ascii="Century Gothic" w:eastAsia="Calibri" w:hAnsi="Century Gothic" w:cs="Arial"/>
          <w:spacing w:val="2"/>
          <w:lang w:eastAsia="es-CO"/>
        </w:rPr>
      </w:pPr>
      <w:r w:rsidRPr="008A55D0">
        <w:rPr>
          <w:rFonts w:ascii="Century Gothic" w:eastAsia="Calibri" w:hAnsi="Century Gothic" w:cs="Arial"/>
          <w:spacing w:val="2"/>
          <w:lang w:eastAsia="es-CO"/>
        </w:rPr>
        <w:t>Por lo demás,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y la Resolución 625 del 16 de diciembre del 2022, "Por la cual se actualizan los documentos tipo para los procesos de obra pública de infraestructura de transporte que se adelanten por la modalidad de mínima cuantía y se deroga la Resolución 094 de 2020"</w:t>
      </w:r>
      <w:r w:rsidRPr="008A55D0">
        <w:rPr>
          <w:rFonts w:ascii="Century Gothic" w:eastAsia="Calibri" w:hAnsi="Century Gothic" w:cs="Arial"/>
          <w:spacing w:val="2"/>
          <w:vertAlign w:val="superscript"/>
          <w:lang w:eastAsia="es-CO"/>
        </w:rPr>
        <w:footnoteReference w:id="6"/>
      </w:r>
      <w:r w:rsidRPr="008A55D0">
        <w:rPr>
          <w:rFonts w:ascii="Century Gothic" w:eastAsia="Calibri" w:hAnsi="Century Gothic" w:cs="Arial"/>
          <w:spacing w:val="2"/>
          <w:lang w:eastAsia="es-CO"/>
        </w:rPr>
        <w:t xml:space="preserve">. </w:t>
      </w:r>
    </w:p>
    <w:p w14:paraId="4EA336D4" w14:textId="77777777" w:rsidR="008A55D0" w:rsidRPr="008A55D0" w:rsidRDefault="008A55D0" w:rsidP="008A55D0">
      <w:pPr>
        <w:spacing w:before="120" w:after="0" w:line="276" w:lineRule="auto"/>
        <w:ind w:firstLine="709"/>
        <w:jc w:val="both"/>
        <w:rPr>
          <w:rFonts w:ascii="Century Gothic" w:eastAsia="Calibri" w:hAnsi="Century Gothic" w:cs="Arial"/>
          <w:spacing w:val="2"/>
          <w:lang w:eastAsia="es-CO"/>
        </w:rPr>
      </w:pPr>
      <w:r w:rsidRPr="008A55D0">
        <w:rPr>
          <w:rFonts w:ascii="Century Gothic" w:eastAsia="Calibri" w:hAnsi="Century Gothic" w:cs="Arial"/>
          <w:spacing w:val="2"/>
          <w:lang w:eastAsia="es-CO"/>
        </w:rPr>
        <w:t xml:space="preserve">Para efectos del artículo 95 de la Ley 2166 de 2021, Colombia Compra Eficiente también expidió la Resolución 358 del 30 de junio de 2023, “Por la cual se adopta el documento tipo para la contratación directa de convenios solidarios para la ejecución de obras hasta la menor cuantía con organismos de acción comunal”. </w:t>
      </w:r>
      <w:r w:rsidRPr="008A55D0">
        <w:rPr>
          <w:rFonts w:ascii="Century Gothic" w:eastAsia="Calibri" w:hAnsi="Century Gothic" w:cs="Arial"/>
          <w:spacing w:val="2"/>
          <w:kern w:val="2"/>
          <w:lang w:val="es-ES_tradnl" w:eastAsia="es-CO"/>
          <w14:ligatures w14:val="standardContextual"/>
        </w:rPr>
        <w:t>Finalmente, la Agencia expidió la Resolución 798 de 2023,</w:t>
      </w:r>
      <w:r w:rsidRPr="008A55D0">
        <w:rPr>
          <w:rFonts w:ascii="Century Gothic" w:eastAsia="Aptos" w:hAnsi="Century Gothic" w:cs="Times New Roman"/>
          <w:kern w:val="2"/>
          <w:lang w:val="es-ES_tradnl"/>
          <w14:ligatures w14:val="standardContextual"/>
        </w:rPr>
        <w:t xml:space="preserve"> “</w:t>
      </w:r>
      <w:r w:rsidRPr="008A55D0">
        <w:rPr>
          <w:rFonts w:ascii="Century Gothic" w:eastAsia="Calibri" w:hAnsi="Century Gothic" w:cs="Arial"/>
          <w:spacing w:val="2"/>
          <w:kern w:val="2"/>
          <w:lang w:val="es-ES_tradnl" w:eastAsia="es-CO"/>
          <w14:ligatures w14:val="standardContextual"/>
        </w:rPr>
        <w:t xml:space="preserve">Por la cual se adoptan los documentos tipo para los procesos de concurso de méritos para contratar la interventoría de obras públicas de infraestructura social; que agrupa los sectores de educación, salud, cultura, recreación y deporte”. Para mayor información sobre los </w:t>
      </w:r>
      <w:r w:rsidRPr="008A55D0">
        <w:rPr>
          <w:rFonts w:ascii="Century Gothic" w:eastAsia="Calibri" w:hAnsi="Century Gothic" w:cs="Arial"/>
          <w:spacing w:val="2"/>
          <w:lang w:eastAsia="es-CO"/>
        </w:rPr>
        <w:t xml:space="preserve">actos administrativos que han implementado documentos tipo en el ordenamiento jurídico, puede consultar el siguiente enlace: </w:t>
      </w:r>
      <w:hyperlink r:id="rId11" w:history="1">
        <w:r w:rsidRPr="008A55D0">
          <w:rPr>
            <w:rFonts w:ascii="Century Gothic" w:eastAsia="Calibri" w:hAnsi="Century Gothic" w:cs="Arial"/>
            <w:color w:val="0000FF"/>
            <w:spacing w:val="2"/>
            <w:u w:val="single"/>
          </w:rPr>
          <w:t>https://www.colombiacompra.gov.co/documentos-tipo/documentos-tipo</w:t>
        </w:r>
      </w:hyperlink>
      <w:r w:rsidRPr="008A55D0">
        <w:rPr>
          <w:rFonts w:ascii="Century Gothic" w:eastAsia="Calibri" w:hAnsi="Century Gothic" w:cs="Arial"/>
          <w:spacing w:val="2"/>
          <w:lang w:eastAsia="es-CO"/>
        </w:rPr>
        <w:t xml:space="preserve">. </w:t>
      </w:r>
      <w:r w:rsidRPr="008A55D0">
        <w:rPr>
          <w:rFonts w:ascii="Century Gothic" w:eastAsia="Calibri" w:hAnsi="Century Gothic" w:cs="Arial"/>
          <w:lang w:eastAsia="en-GB"/>
        </w:rPr>
        <w:t xml:space="preserve"> </w:t>
      </w:r>
      <w:bookmarkEnd w:id="7"/>
    </w:p>
    <w:p w14:paraId="667B31D7" w14:textId="77777777" w:rsidR="008A55D0" w:rsidRPr="008A55D0" w:rsidRDefault="008A55D0" w:rsidP="008A55D0">
      <w:pPr>
        <w:tabs>
          <w:tab w:val="left" w:pos="0"/>
        </w:tabs>
        <w:spacing w:after="0" w:line="276" w:lineRule="auto"/>
        <w:contextualSpacing/>
        <w:jc w:val="both"/>
        <w:rPr>
          <w:rFonts w:ascii="Century Gothic" w:eastAsia="Calibri" w:hAnsi="Century Gothic" w:cs="Arial"/>
          <w:b/>
          <w:lang w:val="es-ES_tradnl" w:eastAsia="es-ES_tradnl"/>
        </w:rPr>
      </w:pPr>
    </w:p>
    <w:p w14:paraId="1F33E23E" w14:textId="77777777" w:rsidR="008A55D0" w:rsidRPr="008A55D0" w:rsidRDefault="008A55D0" w:rsidP="008A55D0">
      <w:pPr>
        <w:tabs>
          <w:tab w:val="left" w:pos="0"/>
        </w:tabs>
        <w:spacing w:after="0" w:line="276" w:lineRule="auto"/>
        <w:contextualSpacing/>
        <w:jc w:val="both"/>
        <w:rPr>
          <w:rFonts w:ascii="Century Gothic" w:eastAsia="Calibri" w:hAnsi="Century Gothic" w:cs="Arial"/>
          <w:b/>
          <w:lang w:val="es-ES_tradnl" w:eastAsia="es-ES_tradnl"/>
        </w:rPr>
      </w:pPr>
      <w:r w:rsidRPr="008A55D0">
        <w:rPr>
          <w:rFonts w:ascii="Century Gothic" w:eastAsia="Calibri" w:hAnsi="Century Gothic" w:cs="Arial"/>
          <w:b/>
          <w:lang w:val="es-ES_tradnl" w:eastAsia="es-ES_tradnl"/>
        </w:rPr>
        <w:lastRenderedPageBreak/>
        <w:t xml:space="preserve">2.2. </w:t>
      </w:r>
      <w:bookmarkStart w:id="9" w:name="_Hlk95322387"/>
      <w:r w:rsidRPr="008A55D0">
        <w:rPr>
          <w:rFonts w:ascii="Century Gothic" w:eastAsia="Calibri" w:hAnsi="Century Gothic" w:cs="Arial"/>
          <w:b/>
          <w:lang w:val="es-ES_tradnl"/>
        </w:rPr>
        <w:t>Acreditación de la experiencia en los documentos tipo de licitación de obra pública de infraestructura de transporte –versión 3–,</w:t>
      </w:r>
      <w:r w:rsidRPr="008A55D0">
        <w:rPr>
          <w:rFonts w:ascii="Century Gothic" w:eastAsia="Aptos" w:hAnsi="Century Gothic" w:cs="Times New Roman"/>
          <w:kern w:val="2"/>
          <w:sz w:val="24"/>
          <w:szCs w:val="24"/>
          <w:lang w:val="es-ES_tradnl"/>
          <w14:ligatures w14:val="standardContextual"/>
        </w:rPr>
        <w:t xml:space="preserve"> </w:t>
      </w:r>
      <w:r w:rsidRPr="008A55D0">
        <w:rPr>
          <w:rFonts w:ascii="Century Gothic" w:eastAsia="Calibri" w:hAnsi="Century Gothic" w:cs="Arial"/>
          <w:b/>
          <w:lang w:val="es-ES_tradnl"/>
        </w:rPr>
        <w:t>y experiencia adicional respecto a los bienes y servicios adicionales a la obra pública</w:t>
      </w:r>
    </w:p>
    <w:bookmarkEnd w:id="9"/>
    <w:p w14:paraId="247B35E6" w14:textId="77777777" w:rsidR="008A55D0" w:rsidRPr="008A55D0" w:rsidRDefault="008A55D0" w:rsidP="008A55D0">
      <w:pPr>
        <w:tabs>
          <w:tab w:val="left" w:pos="0"/>
        </w:tabs>
        <w:spacing w:after="0" w:line="276" w:lineRule="auto"/>
        <w:contextualSpacing/>
        <w:jc w:val="both"/>
        <w:rPr>
          <w:rFonts w:ascii="Century Gothic" w:eastAsia="Calibri" w:hAnsi="Century Gothic" w:cs="Arial"/>
          <w:bCs/>
          <w:lang w:val="es-ES_tradnl" w:eastAsia="es-ES_tradnl"/>
        </w:rPr>
      </w:pPr>
    </w:p>
    <w:p w14:paraId="25CF7613" w14:textId="77777777" w:rsidR="008A55D0" w:rsidRPr="008A55D0" w:rsidRDefault="008A55D0" w:rsidP="008A55D0">
      <w:pPr>
        <w:spacing w:after="120" w:line="276" w:lineRule="auto"/>
        <w:jc w:val="both"/>
        <w:rPr>
          <w:rFonts w:ascii="Century Gothic" w:eastAsia="Calibri" w:hAnsi="Century Gothic" w:cs="Arial"/>
          <w:lang w:val="es-MX"/>
        </w:rPr>
      </w:pPr>
      <w:bookmarkStart w:id="10" w:name="_Hlk109395818"/>
      <w:r w:rsidRPr="008A55D0">
        <w:rPr>
          <w:rFonts w:ascii="Century Gothic" w:eastAsia="Calibri" w:hAnsi="Century Gothic" w:cs="Arial"/>
          <w:lang w:val="es-MX"/>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r w:rsidRPr="008A55D0">
        <w:rPr>
          <w:rFonts w:ascii="Century Gothic" w:eastAsia="Calibri" w:hAnsi="Century Gothic" w:cs="Arial"/>
          <w:vertAlign w:val="superscript"/>
          <w:lang w:val="es-MX"/>
        </w:rPr>
        <w:footnoteReference w:id="7"/>
      </w:r>
      <w:r w:rsidRPr="008A55D0">
        <w:rPr>
          <w:rFonts w:ascii="Century Gothic" w:eastAsia="Calibri" w:hAnsi="Century Gothic" w:cs="Arial"/>
          <w:lang w:val="es-MX"/>
        </w:rPr>
        <w:t>.</w:t>
      </w:r>
    </w:p>
    <w:bookmarkEnd w:id="10"/>
    <w:p w14:paraId="22F16F40" w14:textId="77777777" w:rsidR="008A55D0" w:rsidRPr="008A55D0" w:rsidRDefault="008A55D0" w:rsidP="008A55D0">
      <w:pPr>
        <w:spacing w:after="120" w:line="276" w:lineRule="auto"/>
        <w:ind w:firstLine="709"/>
        <w:jc w:val="both"/>
        <w:rPr>
          <w:rFonts w:ascii="Century Gothic" w:eastAsia="Calibri" w:hAnsi="Century Gothic" w:cs="Arial"/>
          <w:color w:val="000000"/>
        </w:rPr>
      </w:pPr>
      <w:r w:rsidRPr="008A55D0">
        <w:rPr>
          <w:rFonts w:ascii="Century Gothic" w:eastAsia="Calibri" w:hAnsi="Century Gothic" w:cs="Arial"/>
          <w:color w:val="00000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w:t>
      </w:r>
      <w:r w:rsidRPr="008A55D0">
        <w:rPr>
          <w:rFonts w:ascii="Century Gothic" w:eastAsia="Calibri" w:hAnsi="Century Gothic" w:cs="Arial"/>
          <w:color w:val="000000"/>
        </w:rPr>
        <w:lastRenderedPageBreak/>
        <w:t xml:space="preserve">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2345B482" w14:textId="77777777" w:rsidR="008A55D0" w:rsidRPr="008A55D0" w:rsidRDefault="008A55D0" w:rsidP="008A55D0">
      <w:pPr>
        <w:spacing w:after="120" w:line="276" w:lineRule="auto"/>
        <w:ind w:firstLine="709"/>
        <w:jc w:val="both"/>
        <w:rPr>
          <w:rFonts w:ascii="Century Gothic" w:eastAsia="Calibri" w:hAnsi="Century Gothic" w:cs="Arial"/>
          <w:color w:val="000000"/>
        </w:rPr>
      </w:pPr>
      <w:r w:rsidRPr="008A55D0">
        <w:rPr>
          <w:rFonts w:ascii="Century Gothic" w:eastAsia="Calibri" w:hAnsi="Century Gothic" w:cs="Arial"/>
          <w:color w:val="000000"/>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442A92ED" w14:textId="77777777" w:rsidR="008A55D0" w:rsidRPr="008A55D0" w:rsidRDefault="008A55D0" w:rsidP="008A55D0">
      <w:pPr>
        <w:spacing w:after="120" w:line="276" w:lineRule="auto"/>
        <w:ind w:firstLine="709"/>
        <w:jc w:val="both"/>
        <w:rPr>
          <w:rFonts w:ascii="Century Gothic" w:eastAsia="Calibri" w:hAnsi="Century Gothic" w:cs="Arial"/>
          <w:color w:val="000000"/>
        </w:rPr>
      </w:pPr>
      <w:r w:rsidRPr="008A55D0">
        <w:rPr>
          <w:rFonts w:ascii="Century Gothic" w:eastAsia="Calibri" w:hAnsi="Century Gothic" w:cs="Arial"/>
          <w:color w:val="000000"/>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305374AD" w14:textId="77777777" w:rsidR="008A55D0" w:rsidRPr="008A55D0" w:rsidRDefault="008A55D0" w:rsidP="008A55D0">
      <w:pPr>
        <w:spacing w:after="120" w:line="276" w:lineRule="auto"/>
        <w:ind w:firstLine="709"/>
        <w:jc w:val="both"/>
        <w:rPr>
          <w:rFonts w:ascii="Century Gothic" w:eastAsia="Calibri" w:hAnsi="Century Gothic" w:cs="Arial"/>
          <w:color w:val="000000"/>
          <w:highlight w:val="yellow"/>
        </w:rPr>
      </w:pPr>
      <w:r w:rsidRPr="008A55D0">
        <w:rPr>
          <w:rFonts w:ascii="Century Gothic" w:eastAsia="Calibri" w:hAnsi="Century Gothic" w:cs="Arial"/>
          <w:color w:val="000000"/>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8A55D0">
        <w:rPr>
          <w:rFonts w:ascii="Century Gothic" w:eastAsia="Calibri" w:hAnsi="Century Gothic" w:cs="Arial"/>
          <w:color w:val="000000"/>
          <w:vertAlign w:val="superscript"/>
        </w:rPr>
        <w:footnoteReference w:id="8"/>
      </w:r>
      <w:r w:rsidRPr="008A55D0">
        <w:rPr>
          <w:rFonts w:ascii="Century Gothic" w:eastAsia="Calibri" w:hAnsi="Century Gothic" w:cs="Arial"/>
          <w:color w:val="000000"/>
        </w:rPr>
        <w:t>.</w:t>
      </w:r>
    </w:p>
    <w:p w14:paraId="0CAFDDE1" w14:textId="77777777" w:rsidR="008A55D0" w:rsidRPr="008A55D0" w:rsidRDefault="008A55D0" w:rsidP="008A55D0">
      <w:pPr>
        <w:spacing w:after="120" w:line="276" w:lineRule="auto"/>
        <w:ind w:firstLine="709"/>
        <w:jc w:val="both"/>
        <w:rPr>
          <w:rFonts w:ascii="Century Gothic" w:eastAsia="Calibri" w:hAnsi="Century Gothic" w:cs="Arial"/>
          <w:color w:val="000000"/>
        </w:rPr>
      </w:pPr>
      <w:r w:rsidRPr="008A55D0">
        <w:rPr>
          <w:rFonts w:ascii="Century Gothic" w:eastAsia="Calibri" w:hAnsi="Century Gothic" w:cs="Arial"/>
          <w:color w:val="000000"/>
        </w:rPr>
        <w:t xml:space="preserve">De otra parte, el documento establece los rangos dentro de los cuales se debe identificar el presupuesto del Proceso de Contratación. Estos abarcan las cuantías mínimas y máximas que son frecuentes en los procesos de contratación </w:t>
      </w:r>
      <w:r w:rsidRPr="008A55D0">
        <w:rPr>
          <w:rFonts w:ascii="Century Gothic" w:eastAsia="Calibri" w:hAnsi="Century Gothic" w:cs="Arial"/>
          <w:color w:val="000000"/>
        </w:rPr>
        <w:lastRenderedPageBreak/>
        <w:t xml:space="preserve">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51DFA9B9" w14:textId="77777777" w:rsidR="008A55D0" w:rsidRPr="008A55D0" w:rsidRDefault="008A55D0" w:rsidP="008A55D0">
      <w:pPr>
        <w:spacing w:after="120" w:line="276" w:lineRule="auto"/>
        <w:ind w:firstLine="709"/>
        <w:jc w:val="both"/>
        <w:rPr>
          <w:rFonts w:ascii="Century Gothic" w:eastAsia="Calibri" w:hAnsi="Century Gothic" w:cs="Arial"/>
          <w:color w:val="000000"/>
        </w:rPr>
      </w:pPr>
      <w:r w:rsidRPr="008A55D0">
        <w:rPr>
          <w:rFonts w:ascii="Century Gothic" w:eastAsia="Calibri" w:hAnsi="Century Gothic" w:cs="Arial"/>
          <w:color w:val="000000"/>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0C7F05C3" w14:textId="77777777" w:rsidR="008A55D0" w:rsidRPr="008A55D0" w:rsidRDefault="008A55D0" w:rsidP="008A55D0">
      <w:pPr>
        <w:spacing w:line="276" w:lineRule="auto"/>
        <w:ind w:firstLine="709"/>
        <w:jc w:val="both"/>
        <w:rPr>
          <w:rFonts w:ascii="Century Gothic" w:eastAsia="Calibri" w:hAnsi="Century Gothic" w:cs="Arial"/>
          <w:color w:val="000000"/>
        </w:rPr>
      </w:pPr>
      <w:r w:rsidRPr="008A55D0">
        <w:rPr>
          <w:rFonts w:ascii="Century Gothic" w:eastAsia="Calibri" w:hAnsi="Century Gothic" w:cs="Arial"/>
          <w:lang w:val="es-MX"/>
        </w:rPr>
        <w:t xml:space="preserve">Ahora bien, en el documento base o pliego tipo adoptado por la Resolución No. 240 del 27 de noviembre de 2020, se desarrolla el numeral 3.5.1 “Determinación de los requisitos mínimos de experiencia según la Matriz 1 – Experiencia”, </w:t>
      </w:r>
      <w:r w:rsidRPr="008A55D0">
        <w:rPr>
          <w:rFonts w:ascii="Century Gothic" w:eastAsia="Arial" w:hAnsi="Century Gothic" w:cs="Arial"/>
          <w:lang w:val="es-ES"/>
        </w:rPr>
        <w:t>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se crean dos matrices</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experiencia: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i)</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una</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para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proyectos</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complejidad</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técnica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baja</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o</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media</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y</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ii) otra para proyectos de complejidad técnica</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 xml:space="preserve">alta. </w:t>
      </w:r>
      <w:r w:rsidRPr="008A55D0">
        <w:rPr>
          <w:rFonts w:ascii="Century Gothic" w:eastAsia="Calibri" w:hAnsi="Century Gothic" w:cs="Arial"/>
          <w:color w:val="000000"/>
        </w:rPr>
        <w:t xml:space="preserve">Es decir, corresponde a la entidad 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14:paraId="000CBE5E" w14:textId="77777777" w:rsidR="008A55D0" w:rsidRPr="008A55D0" w:rsidRDefault="008A55D0" w:rsidP="008A55D0">
      <w:pPr>
        <w:spacing w:before="120" w:after="120" w:line="276" w:lineRule="auto"/>
        <w:ind w:firstLine="708"/>
        <w:jc w:val="both"/>
        <w:rPr>
          <w:rFonts w:ascii="Century Gothic" w:eastAsia="Calibri" w:hAnsi="Century Gothic" w:cs="Arial"/>
          <w:lang w:val="es-MX"/>
        </w:rPr>
      </w:pPr>
      <w:r w:rsidRPr="008A55D0">
        <w:rPr>
          <w:rFonts w:ascii="Century Gothic" w:eastAsia="Calibri" w:hAnsi="Century Gothic" w:cs="Arial"/>
          <w:lang w:val="es-MX"/>
        </w:rPr>
        <w:t xml:space="preserve">Asimismo, en el referido numeral se indica que la entidad indicará el número y nombre de la actividad a contratar, para lo cual transcribirá textualmente lo indicado en la </w:t>
      </w:r>
      <w:r w:rsidRPr="008A55D0">
        <w:rPr>
          <w:rFonts w:ascii="Century Gothic" w:eastAsia="Calibri" w:hAnsi="Century Gothic" w:cs="Arial"/>
          <w:lang w:eastAsia="es-MX"/>
        </w:rPr>
        <w:t>“</w:t>
      </w:r>
      <w:r w:rsidRPr="008A55D0">
        <w:rPr>
          <w:rFonts w:ascii="Century Gothic" w:eastAsia="Calibri" w:hAnsi="Century Gothic" w:cs="Arial"/>
          <w:lang w:val="es-MX"/>
        </w:rPr>
        <w:t>Matriz 1-Experiencia</w:t>
      </w:r>
      <w:r w:rsidRPr="008A55D0">
        <w:rPr>
          <w:rFonts w:ascii="Century Gothic" w:eastAsia="Calibri" w:hAnsi="Century Gothic" w:cs="Arial"/>
          <w:lang w:val="es-MX" w:eastAsia="es-MX"/>
        </w:rPr>
        <w:t>”</w:t>
      </w:r>
      <w:r w:rsidRPr="008A55D0">
        <w:rPr>
          <w:rFonts w:ascii="Century Gothic" w:eastAsia="Calibri" w:hAnsi="Century Gothic" w:cs="Arial"/>
          <w:lang w:val="es-MX"/>
        </w:rPr>
        <w:t xml:space="preserve">. Además, se señala que, en caso de requerir combinar experiencia se procederá según lo establecido en el literal A) del numeral 3.5.2, al cual se hará referencia más adelante. </w:t>
      </w:r>
    </w:p>
    <w:p w14:paraId="03EFDC4B" w14:textId="77777777" w:rsidR="008A55D0" w:rsidRPr="008A55D0" w:rsidRDefault="008A55D0" w:rsidP="008A55D0">
      <w:pPr>
        <w:widowControl w:val="0"/>
        <w:autoSpaceDE w:val="0"/>
        <w:autoSpaceDN w:val="0"/>
        <w:spacing w:before="120" w:after="0" w:line="276" w:lineRule="auto"/>
        <w:ind w:firstLine="708"/>
        <w:jc w:val="both"/>
        <w:rPr>
          <w:rFonts w:ascii="Century Gothic" w:eastAsia="Arial" w:hAnsi="Century Gothic" w:cs="Arial"/>
          <w:lang w:val="es-ES"/>
        </w:rPr>
      </w:pPr>
      <w:r w:rsidRPr="008A55D0">
        <w:rPr>
          <w:rFonts w:ascii="Century Gothic" w:eastAsia="Arial" w:hAnsi="Century Gothic" w:cs="Arial"/>
          <w:lang w:val="es-ES"/>
        </w:rPr>
        <w:t>El método para determinar los requisitos de experiencia estandarizados a partir de la “Matriz 1 –</w:t>
      </w:r>
      <w:r w:rsidRPr="008A55D0">
        <w:rPr>
          <w:rFonts w:ascii="Century Gothic" w:eastAsia="Arial" w:hAnsi="Century Gothic" w:cs="Arial"/>
          <w:spacing w:val="-2"/>
          <w:lang w:val="es-ES"/>
        </w:rPr>
        <w:t xml:space="preserve"> </w:t>
      </w:r>
      <w:r w:rsidRPr="008A55D0">
        <w:rPr>
          <w:rFonts w:ascii="Century Gothic" w:eastAsia="Arial" w:hAnsi="Century Gothic" w:cs="Arial"/>
          <w:lang w:val="es-ES"/>
        </w:rPr>
        <w:t xml:space="preserve">Experiencia” sigue siendo el mismo que en las versiones </w:t>
      </w:r>
      <w:r w:rsidRPr="008A55D0">
        <w:rPr>
          <w:rFonts w:ascii="Century Gothic" w:eastAsia="Arial" w:hAnsi="Century Gothic" w:cs="Arial"/>
          <w:lang w:val="es-ES"/>
        </w:rPr>
        <w:lastRenderedPageBreak/>
        <w:t>anteriores, con la salvedad de que ahora, antes de proceder a acotar el requisito a exigirse, la entidad debe determinar y justificar si el proyecto es de media–baja o de alta complejidad técnica y, en función de ello, aplicar alguna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las</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matrices</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experiencia.</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Por</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tanto,</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entidad</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debe</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establecer</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si</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aplica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la “Matriz 1 –</w:t>
      </w:r>
      <w:r w:rsidRPr="008A55D0">
        <w:rPr>
          <w:rFonts w:ascii="Century Gothic" w:eastAsia="Arial" w:hAnsi="Century Gothic" w:cs="Arial"/>
          <w:spacing w:val="-2"/>
          <w:lang w:val="es-ES"/>
        </w:rPr>
        <w:t xml:space="preserve"> </w:t>
      </w:r>
      <w:r w:rsidRPr="008A55D0">
        <w:rPr>
          <w:rFonts w:ascii="Century Gothic" w:eastAsia="Arial" w:hAnsi="Century Gothic" w:cs="Arial"/>
          <w:lang w:val="es-ES"/>
        </w:rPr>
        <w:t>Experiencia” de</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proyectos</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complejidad</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media-baja</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o</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proyectos</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complejidad</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8A55D0">
        <w:rPr>
          <w:rFonts w:ascii="Century Gothic" w:eastAsia="Arial" w:hAnsi="Century Gothic" w:cs="Arial"/>
          <w:spacing w:val="-30"/>
          <w:lang w:val="es-ES"/>
        </w:rPr>
        <w:t xml:space="preserve"> </w:t>
      </w:r>
      <w:r w:rsidRPr="008A55D0">
        <w:rPr>
          <w:rFonts w:ascii="Century Gothic" w:eastAsia="Arial" w:hAnsi="Century Gothic" w:cs="Arial"/>
          <w:lang w:val="es-ES"/>
        </w:rPr>
        <w:t>contratación.</w:t>
      </w:r>
    </w:p>
    <w:p w14:paraId="23E2C8F2" w14:textId="77777777" w:rsidR="008A55D0" w:rsidRPr="008A55D0" w:rsidRDefault="008A55D0" w:rsidP="008A55D0">
      <w:pPr>
        <w:widowControl w:val="0"/>
        <w:autoSpaceDE w:val="0"/>
        <w:autoSpaceDN w:val="0"/>
        <w:spacing w:before="120" w:line="276" w:lineRule="auto"/>
        <w:ind w:firstLine="709"/>
        <w:jc w:val="both"/>
        <w:rPr>
          <w:rFonts w:ascii="Century Gothic" w:eastAsia="Arial" w:hAnsi="Century Gothic" w:cs="Arial"/>
          <w:lang w:val="es-ES"/>
        </w:rPr>
      </w:pPr>
      <w:r w:rsidRPr="008A55D0">
        <w:rPr>
          <w:rFonts w:ascii="Century Gothic" w:eastAsia="Arial" w:hAnsi="Century Gothic" w:cs="Arial"/>
          <w:lang w:val="es-ES"/>
        </w:rPr>
        <w:t>De esta manera, la entidad estatal que adelanta un proceso de contratación de obra pública de infraestructura de transporte debe definir la experiencia exigible teniendo en cuenta las condiciones fijadas en la “Matriz 1 –</w:t>
      </w:r>
      <w:r w:rsidRPr="008A55D0">
        <w:rPr>
          <w:rFonts w:ascii="Century Gothic" w:eastAsia="Arial" w:hAnsi="Century Gothic" w:cs="Arial"/>
          <w:spacing w:val="-2"/>
          <w:lang w:val="es-ES"/>
        </w:rPr>
        <w:t xml:space="preserve"> </w:t>
      </w:r>
      <w:r w:rsidRPr="008A55D0">
        <w:rPr>
          <w:rFonts w:ascii="Century Gothic" w:eastAsia="Arial" w:hAnsi="Century Gothic" w:cs="Arial"/>
          <w:lang w:val="es-ES"/>
        </w:rPr>
        <w:t>Experiencia”, de acuerdo con los siguientes pasos:</w:t>
      </w:r>
    </w:p>
    <w:p w14:paraId="4E43A6AD" w14:textId="77777777" w:rsidR="008A55D0" w:rsidRPr="008A55D0" w:rsidRDefault="008A55D0" w:rsidP="008A55D0">
      <w:pPr>
        <w:spacing w:before="120" w:line="276" w:lineRule="auto"/>
        <w:ind w:firstLine="709"/>
        <w:jc w:val="both"/>
        <w:rPr>
          <w:rFonts w:ascii="Century Gothic" w:eastAsia="Calibri" w:hAnsi="Century Gothic" w:cs="Arial"/>
          <w:color w:val="000000"/>
          <w:lang w:val="es-MX"/>
        </w:rPr>
      </w:pPr>
      <w:r w:rsidRPr="008A55D0">
        <w:rPr>
          <w:rFonts w:ascii="Century Gothic" w:eastAsia="Calibri" w:hAnsi="Century Gothic" w:cs="Arial"/>
          <w:color w:val="000000"/>
          <w:lang w:val="es-MX"/>
        </w:rPr>
        <w:t>a) Establecer si se trata de un proyecto de complejidad baja-media o alta, y en función de ello establecer la Matriz 1 aplicable.</w:t>
      </w:r>
    </w:p>
    <w:p w14:paraId="145E1C68" w14:textId="77777777" w:rsidR="008A55D0" w:rsidRPr="008A55D0" w:rsidRDefault="008A55D0" w:rsidP="008A55D0">
      <w:pPr>
        <w:spacing w:before="120" w:after="0" w:line="276" w:lineRule="auto"/>
        <w:ind w:firstLine="708"/>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79748849" w14:textId="77777777" w:rsidR="008A55D0" w:rsidRPr="008A55D0" w:rsidRDefault="008A55D0" w:rsidP="008A55D0">
      <w:pPr>
        <w:spacing w:before="120" w:after="0" w:line="276" w:lineRule="auto"/>
        <w:ind w:firstLine="708"/>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c) Definido el tipo de infraestructura, identificar la “ACTIVIDAD A CONTRATAR” acorde con la Matriz 1. </w:t>
      </w:r>
    </w:p>
    <w:p w14:paraId="069D55CE" w14:textId="77777777" w:rsidR="008A55D0" w:rsidRPr="008A55D0" w:rsidRDefault="008A55D0" w:rsidP="008A55D0">
      <w:pPr>
        <w:spacing w:before="120" w:after="0" w:line="276" w:lineRule="auto"/>
        <w:ind w:firstLine="708"/>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d)  Identificar el rango en el cual se encuentra el proceso de contratación de acuerdo con el presupuesto oficial. </w:t>
      </w:r>
    </w:p>
    <w:p w14:paraId="5CF167EC" w14:textId="77777777" w:rsidR="008A55D0" w:rsidRPr="008A55D0" w:rsidRDefault="008A55D0" w:rsidP="008A55D0">
      <w:pPr>
        <w:spacing w:before="120" w:after="120" w:line="276" w:lineRule="auto"/>
        <w:ind w:firstLine="709"/>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e) Identificar la “experiencia general” exigible acorde con la Matriz 1, teniendo en cuenta la actividad a contratar y el rango de la cuantía del Proceso de Contratación. </w:t>
      </w:r>
    </w:p>
    <w:p w14:paraId="342CA965" w14:textId="77777777" w:rsidR="008A55D0" w:rsidRPr="008A55D0" w:rsidRDefault="008A55D0" w:rsidP="008A55D0">
      <w:pPr>
        <w:spacing w:after="120" w:line="276" w:lineRule="auto"/>
        <w:ind w:firstLine="709"/>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w:t>
      </w:r>
      <w:r w:rsidRPr="008A55D0">
        <w:rPr>
          <w:rFonts w:ascii="Century Gothic" w:eastAsia="Calibri" w:hAnsi="Century Gothic" w:cs="Arial"/>
          <w:i/>
          <w:iCs/>
          <w:color w:val="000000"/>
          <w:lang w:val="es-MX"/>
        </w:rPr>
        <w:t>N.A,</w:t>
      </w:r>
      <w:r w:rsidRPr="008A55D0">
        <w:rPr>
          <w:rFonts w:ascii="Century Gothic" w:eastAsia="Calibri" w:hAnsi="Century Gothic" w:cs="Arial"/>
          <w:color w:val="000000"/>
          <w:lang w:val="es-MX"/>
        </w:rPr>
        <w:t xml:space="preserve"> significa que la entidad estatal no puede exigir a los proponentes experiencia específica en los procesos de contratación. </w:t>
      </w:r>
    </w:p>
    <w:p w14:paraId="306B474F" w14:textId="77777777" w:rsidR="008A55D0" w:rsidRPr="008A55D0" w:rsidRDefault="008A55D0" w:rsidP="008A55D0">
      <w:pPr>
        <w:spacing w:after="120" w:line="276" w:lineRule="auto"/>
        <w:ind w:firstLine="709"/>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g) Establecidos los requisitos de experiencia exigibles, la entidad deberá consignarlos en los apartados grises entre corchetes del literal A del numeral 3.5.2 </w:t>
      </w:r>
      <w:r w:rsidRPr="008A55D0">
        <w:rPr>
          <w:rFonts w:ascii="Century Gothic" w:eastAsia="Calibri" w:hAnsi="Century Gothic" w:cs="Arial"/>
          <w:color w:val="000000"/>
          <w:lang w:val="es-MX"/>
        </w:rPr>
        <w:lastRenderedPageBreak/>
        <w:t>del documento base, para que los oferentes puedan conocer los requisitos de experiencia general y específica exigidos por la entidad.</w:t>
      </w:r>
      <w:bookmarkStart w:id="11" w:name="_Hlk85528500"/>
    </w:p>
    <w:p w14:paraId="1E9B5D58" w14:textId="77777777" w:rsidR="008A55D0" w:rsidRPr="008A55D0" w:rsidRDefault="008A55D0" w:rsidP="008A55D0">
      <w:pPr>
        <w:spacing w:after="120" w:line="276" w:lineRule="auto"/>
        <w:ind w:firstLine="709"/>
        <w:jc w:val="both"/>
        <w:rPr>
          <w:rFonts w:ascii="Century Gothic" w:eastAsia="Calibri" w:hAnsi="Century Gothic" w:cs="Arial"/>
          <w:color w:val="000000"/>
          <w:lang w:val="es-MX"/>
        </w:rPr>
      </w:pPr>
      <w:r w:rsidRPr="008A55D0">
        <w:rPr>
          <w:rFonts w:ascii="Century Gothic" w:eastAsia="Arial" w:hAnsi="Century Gothic" w:cs="Arial"/>
          <w:lang w:val="es-ES"/>
        </w:rPr>
        <w:t xml:space="preserve">Una regla especial en relación con lo anterior se desarrolla </w:t>
      </w:r>
      <w:r w:rsidRPr="008A55D0">
        <w:rPr>
          <w:rFonts w:ascii="Century Gothic" w:eastAsia="Arial" w:hAnsi="Century Gothic" w:cs="Arial"/>
        </w:rPr>
        <w:t xml:space="preserve">en el </w:t>
      </w:r>
      <w:bookmarkStart w:id="12" w:name="_Hlk100244165"/>
      <w:bookmarkStart w:id="13" w:name="_Hlk100312504"/>
      <w:r w:rsidRPr="008A55D0">
        <w:rPr>
          <w:rFonts w:ascii="Century Gothic" w:eastAsia="Arial" w:hAnsi="Century Gothic" w:cs="Arial"/>
          <w:lang w:val="es-ES"/>
        </w:rPr>
        <w:t>artículo 4 de la Resolución 240 No. del 27 de noviembre de 2020</w:t>
      </w:r>
      <w:r w:rsidRPr="008A55D0">
        <w:rPr>
          <w:rFonts w:ascii="Century Gothic" w:eastAsia="Arial" w:hAnsi="Century Gothic" w:cs="Arial"/>
          <w:vertAlign w:val="superscript"/>
          <w:lang w:val="es-ES"/>
        </w:rPr>
        <w:footnoteReference w:id="9"/>
      </w:r>
      <w:r w:rsidRPr="008A55D0">
        <w:rPr>
          <w:rFonts w:ascii="Century Gothic" w:eastAsia="Arial" w:hAnsi="Century Gothic" w:cs="Arial"/>
          <w:lang w:val="es-ES"/>
        </w:rPr>
        <w:t>,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fundamento</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en</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esta</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disposición,</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las</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entidades</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pueden</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requerir</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experiencia</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añadida cuando el bien o servicio adicional a la obra de infraestructura de transporte es de tal relevancia que se considere que no es posible valorar la idoneidad</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del</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contratista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únicamente</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a</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partir</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experiencia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establecida</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en</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8"/>
          <w:lang w:val="es-ES"/>
        </w:rPr>
        <w:t xml:space="preserve"> </w:t>
      </w:r>
      <w:bookmarkStart w:id="14" w:name="_Hlk100239925"/>
      <w:r w:rsidRPr="008A55D0">
        <w:rPr>
          <w:rFonts w:ascii="Century Gothic" w:eastAsia="Arial" w:hAnsi="Century Gothic" w:cs="Arial"/>
          <w:lang w:val="es-ES"/>
        </w:rPr>
        <w:t>“Matriz 1 –</w:t>
      </w:r>
      <w:r w:rsidRPr="008A55D0">
        <w:rPr>
          <w:rFonts w:ascii="Century Gothic" w:eastAsia="Arial" w:hAnsi="Century Gothic" w:cs="Arial"/>
          <w:spacing w:val="-2"/>
          <w:lang w:val="es-ES"/>
        </w:rPr>
        <w:t xml:space="preserve"> </w:t>
      </w:r>
      <w:r w:rsidRPr="008A55D0">
        <w:rPr>
          <w:rFonts w:ascii="Century Gothic" w:eastAsia="Arial" w:hAnsi="Century Gothic" w:cs="Arial"/>
          <w:lang w:val="es-ES"/>
        </w:rPr>
        <w:t>Experiencia</w:t>
      </w:r>
      <w:bookmarkEnd w:id="14"/>
      <w:r w:rsidRPr="008A55D0">
        <w:rPr>
          <w:rFonts w:ascii="Century Gothic" w:eastAsia="Arial" w:hAnsi="Century Gothic" w:cs="Arial"/>
          <w:lang w:val="es-ES"/>
        </w:rPr>
        <w:t>”.</w:t>
      </w:r>
    </w:p>
    <w:bookmarkEnd w:id="12"/>
    <w:p w14:paraId="4958C2EC" w14:textId="77777777" w:rsidR="008A55D0" w:rsidRPr="008A55D0" w:rsidRDefault="008A55D0" w:rsidP="008A55D0">
      <w:pPr>
        <w:widowControl w:val="0"/>
        <w:autoSpaceDE w:val="0"/>
        <w:autoSpaceDN w:val="0"/>
        <w:spacing w:before="120" w:after="0" w:line="276" w:lineRule="auto"/>
        <w:ind w:firstLine="708"/>
        <w:jc w:val="both"/>
        <w:rPr>
          <w:rFonts w:ascii="Century Gothic" w:eastAsia="Arial" w:hAnsi="Century Gothic" w:cs="Arial"/>
          <w:lang w:val="es-ES"/>
        </w:rPr>
      </w:pPr>
      <w:r w:rsidRPr="008A55D0">
        <w:rPr>
          <w:rFonts w:ascii="Century Gothic" w:eastAsia="Arial" w:hAnsi="Century Gothic" w:cs="Arial"/>
          <w:lang w:val="es-ES"/>
        </w:rPr>
        <w:t>Cuando la entidad requiere bienes y servicios que no se encuentran incluidos como</w:t>
      </w:r>
      <w:r w:rsidRPr="008A55D0">
        <w:rPr>
          <w:rFonts w:ascii="Century Gothic" w:eastAsia="Arial" w:hAnsi="Century Gothic" w:cs="Arial"/>
          <w:spacing w:val="-11"/>
          <w:lang w:val="es-ES"/>
        </w:rPr>
        <w:t xml:space="preserve"> obra de </w:t>
      </w:r>
      <w:r w:rsidRPr="008A55D0">
        <w:rPr>
          <w:rFonts w:ascii="Century Gothic" w:eastAsia="Arial" w:hAnsi="Century Gothic" w:cs="Arial"/>
          <w:lang w:val="es-ES"/>
        </w:rPr>
        <w:t>infraestructura</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transporte</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en</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“Matriz</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1</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Experiencia”</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y</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considera</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necesario exigir</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experiencia</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adicional,</w:t>
      </w:r>
      <w:r w:rsidRPr="008A55D0">
        <w:rPr>
          <w:rFonts w:ascii="Century Gothic" w:eastAsia="Arial" w:hAnsi="Century Gothic" w:cs="Arial"/>
          <w:spacing w:val="-18"/>
          <w:lang w:val="es-ES"/>
        </w:rPr>
        <w:t xml:space="preserve"> se </w:t>
      </w:r>
      <w:r w:rsidRPr="008A55D0">
        <w:rPr>
          <w:rFonts w:ascii="Century Gothic" w:eastAsia="Arial" w:hAnsi="Century Gothic" w:cs="Arial"/>
          <w:lang w:val="es-ES"/>
        </w:rPr>
        <w:t>debe</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aplicar</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el</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artículo</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4</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Resolución No.</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240</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2020.</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 xml:space="preserve">Esta norma dispone los eventos en los que el objeto contractual incluye bienes o servicios adicionales a la obra pública de infraestructura de transporte. En este caso, la entidad </w:t>
      </w:r>
      <w:r w:rsidRPr="008A55D0">
        <w:rPr>
          <w:rFonts w:ascii="Century Gothic" w:eastAsia="Arial" w:hAnsi="Century Gothic" w:cs="Arial"/>
          <w:i/>
          <w:iCs/>
          <w:lang w:val="es-ES"/>
        </w:rPr>
        <w:t>puede</w:t>
      </w:r>
      <w:r w:rsidRPr="008A55D0">
        <w:rPr>
          <w:rFonts w:ascii="Century Gothic" w:eastAsia="Arial" w:hAnsi="Century Gothic" w:cs="Arial"/>
          <w:lang w:val="es-ES"/>
        </w:rPr>
        <w:t xml:space="preserve"> incluir experiencia adicional para evaluar la idoneidad respecto de los bienes o servicios ajenos a la obra pública de infraestructura de</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transporte.</w:t>
      </w:r>
    </w:p>
    <w:p w14:paraId="6D3ABC49" w14:textId="77777777" w:rsidR="008A55D0" w:rsidRPr="008A55D0" w:rsidRDefault="008A55D0" w:rsidP="008A55D0">
      <w:pPr>
        <w:widowControl w:val="0"/>
        <w:autoSpaceDE w:val="0"/>
        <w:autoSpaceDN w:val="0"/>
        <w:spacing w:before="119" w:after="0" w:line="276" w:lineRule="auto"/>
        <w:ind w:firstLine="708"/>
        <w:jc w:val="both"/>
        <w:rPr>
          <w:rFonts w:ascii="Century Gothic" w:eastAsia="Arial" w:hAnsi="Century Gothic" w:cs="Arial"/>
          <w:lang w:val="es-ES"/>
        </w:rPr>
      </w:pPr>
      <w:r w:rsidRPr="008A55D0">
        <w:rPr>
          <w:rFonts w:ascii="Century Gothic" w:eastAsia="Arial" w:hAnsi="Century Gothic" w:cs="Arial"/>
          <w:lang w:val="es-ES"/>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w:t>
      </w:r>
      <w:proofErr w:type="spellStart"/>
      <w:r w:rsidRPr="008A55D0">
        <w:rPr>
          <w:rFonts w:ascii="Century Gothic" w:eastAsia="Arial" w:hAnsi="Century Gothic" w:cs="Arial"/>
          <w:lang w:val="es-ES"/>
        </w:rPr>
        <w:t>iv</w:t>
      </w:r>
      <w:proofErr w:type="spellEnd"/>
      <w:r w:rsidRPr="008A55D0">
        <w:rPr>
          <w:rFonts w:ascii="Century Gothic" w:eastAsia="Arial" w:hAnsi="Century Gothic" w:cs="Arial"/>
          <w:lang w:val="es-ES"/>
        </w:rPr>
        <w:t>) clasificar la experiencia requerida</w:t>
      </w:r>
      <w:r w:rsidRPr="008A55D0">
        <w:rPr>
          <w:rFonts w:ascii="Century Gothic" w:eastAsia="Arial" w:hAnsi="Century Gothic" w:cs="Arial"/>
          <w:spacing w:val="-13"/>
          <w:lang w:val="es-ES"/>
        </w:rPr>
        <w:t xml:space="preserve"> </w:t>
      </w:r>
      <w:r w:rsidRPr="008A55D0">
        <w:rPr>
          <w:rFonts w:ascii="Century Gothic" w:eastAsia="Arial" w:hAnsi="Century Gothic" w:cs="Arial"/>
          <w:lang w:val="es-ES"/>
        </w:rPr>
        <w:t>solo</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hasta</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el</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tercer</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nivel</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del</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clasificador</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bienes</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y</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servicios,</w:t>
      </w:r>
      <w:r w:rsidRPr="008A55D0">
        <w:rPr>
          <w:rFonts w:ascii="Century Gothic" w:eastAsia="Arial" w:hAnsi="Century Gothic" w:cs="Arial"/>
          <w:spacing w:val="-13"/>
          <w:lang w:val="es-ES"/>
        </w:rPr>
        <w:t xml:space="preserve"> </w:t>
      </w:r>
      <w:r w:rsidRPr="008A55D0">
        <w:rPr>
          <w:rFonts w:ascii="Century Gothic" w:eastAsia="Arial" w:hAnsi="Century Gothic" w:cs="Arial"/>
          <w:lang w:val="es-ES"/>
        </w:rPr>
        <w:t>así</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como</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incluir exclusivamente los códigos que estén relacionados directamente con el objeto a contratar</w:t>
      </w:r>
      <w:bookmarkEnd w:id="13"/>
      <w:r w:rsidRPr="008A55D0">
        <w:rPr>
          <w:rFonts w:ascii="Century Gothic" w:eastAsia="Arial" w:hAnsi="Century Gothic" w:cs="Arial"/>
          <w:lang w:val="es-ES"/>
        </w:rPr>
        <w:t>.</w:t>
      </w:r>
    </w:p>
    <w:p w14:paraId="01563396" w14:textId="77777777" w:rsidR="008A55D0" w:rsidRPr="008A55D0" w:rsidRDefault="008A55D0" w:rsidP="008A55D0">
      <w:pPr>
        <w:widowControl w:val="0"/>
        <w:autoSpaceDE w:val="0"/>
        <w:autoSpaceDN w:val="0"/>
        <w:spacing w:before="120" w:after="0" w:line="276" w:lineRule="auto"/>
        <w:ind w:firstLine="708"/>
        <w:jc w:val="both"/>
        <w:rPr>
          <w:rFonts w:ascii="Century Gothic" w:eastAsia="Arial" w:hAnsi="Century Gothic" w:cs="Arial"/>
          <w:lang w:val="es-ES"/>
        </w:rPr>
      </w:pPr>
      <w:r w:rsidRPr="008A55D0">
        <w:rPr>
          <w:rFonts w:ascii="Century Gothic" w:eastAsia="Arial" w:hAnsi="Century Gothic" w:cs="Arial"/>
          <w:lang w:val="es-ES"/>
        </w:rPr>
        <w:lastRenderedPageBreak/>
        <w:t>La entidad que opte por solicitar experiencia adicional en desarrollo de esta norma debe evidenciar en los documentos del proceso que agotó estos parámetros. Para</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ello,</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debe</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justificar</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en</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los</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estudios</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y</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documentos</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previos,</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como</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parte</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del</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deber</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condiciones.</w:t>
      </w:r>
    </w:p>
    <w:p w14:paraId="6305A6BB" w14:textId="77777777" w:rsidR="008A55D0" w:rsidRPr="008A55D0" w:rsidRDefault="008A55D0" w:rsidP="008A55D0">
      <w:pPr>
        <w:widowControl w:val="0"/>
        <w:autoSpaceDE w:val="0"/>
        <w:autoSpaceDN w:val="0"/>
        <w:spacing w:before="120" w:after="0" w:line="276" w:lineRule="auto"/>
        <w:ind w:firstLine="708"/>
        <w:jc w:val="both"/>
        <w:rPr>
          <w:rFonts w:ascii="Century Gothic" w:eastAsia="Arial" w:hAnsi="Century Gothic" w:cs="Arial"/>
          <w:lang w:val="es-ES"/>
        </w:rPr>
      </w:pPr>
      <w:r w:rsidRPr="008A55D0">
        <w:rPr>
          <w:rFonts w:ascii="Century Gothic" w:eastAsia="Arial" w:hAnsi="Century Gothic" w:cs="Arial"/>
          <w:lang w:val="es-ES"/>
        </w:rPr>
        <w:t>En segundo lugar, la solicitud de esta experiencia no permite que la entidad modifique los requisitos habilitantes y de ponderación de la propuesta, por lo cual se deben mantener los establecidos en los documentos tipo.</w:t>
      </w:r>
    </w:p>
    <w:p w14:paraId="6ADA3856" w14:textId="77777777" w:rsidR="008A55D0" w:rsidRPr="008A55D0" w:rsidRDefault="008A55D0" w:rsidP="008A55D0">
      <w:pPr>
        <w:widowControl w:val="0"/>
        <w:autoSpaceDE w:val="0"/>
        <w:autoSpaceDN w:val="0"/>
        <w:spacing w:before="119" w:after="0" w:line="276" w:lineRule="auto"/>
        <w:ind w:firstLine="708"/>
        <w:jc w:val="both"/>
        <w:rPr>
          <w:rFonts w:ascii="Century Gothic" w:eastAsia="Arial" w:hAnsi="Century Gothic" w:cs="Arial"/>
          <w:lang w:val="es-ES"/>
        </w:rPr>
      </w:pPr>
      <w:r w:rsidRPr="008A55D0">
        <w:rPr>
          <w:rFonts w:ascii="Century Gothic" w:eastAsia="Arial" w:hAnsi="Century Gothic"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adquirido</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en</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un</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territorio</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o</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con</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alguna</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entidad</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determinada,</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ni</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establecer</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limitantes temporales</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o</w:t>
      </w:r>
      <w:r w:rsidRPr="008A55D0">
        <w:rPr>
          <w:rFonts w:ascii="Century Gothic" w:eastAsia="Arial" w:hAnsi="Century Gothic" w:cs="Arial"/>
          <w:spacing w:val="-20"/>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acreditación</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volúmenes</w:t>
      </w:r>
      <w:r w:rsidRPr="008A55D0">
        <w:rPr>
          <w:rFonts w:ascii="Century Gothic" w:eastAsia="Arial" w:hAnsi="Century Gothic" w:cs="Arial"/>
          <w:spacing w:val="-20"/>
          <w:lang w:val="es-ES"/>
        </w:rPr>
        <w:t xml:space="preserve"> </w:t>
      </w:r>
      <w:r w:rsidRPr="008A55D0">
        <w:rPr>
          <w:rFonts w:ascii="Century Gothic" w:eastAsia="Arial" w:hAnsi="Century Gothic" w:cs="Arial"/>
          <w:lang w:val="es-ES"/>
        </w:rPr>
        <w:t>o</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cantidades.</w:t>
      </w:r>
      <w:r w:rsidRPr="008A55D0">
        <w:rPr>
          <w:rFonts w:ascii="Century Gothic" w:eastAsia="Arial" w:hAnsi="Century Gothic" w:cs="Arial"/>
          <w:spacing w:val="-20"/>
          <w:lang w:val="es-ES"/>
        </w:rPr>
        <w:t xml:space="preserve"> </w:t>
      </w:r>
      <w:r w:rsidRPr="008A55D0">
        <w:rPr>
          <w:rFonts w:ascii="Century Gothic" w:eastAsia="Arial" w:hAnsi="Century Gothic" w:cs="Arial"/>
          <w:lang w:val="es-ES"/>
        </w:rPr>
        <w:t>Este</w:t>
      </w:r>
      <w:r w:rsidRPr="008A55D0">
        <w:rPr>
          <w:rFonts w:ascii="Century Gothic" w:eastAsia="Arial" w:hAnsi="Century Gothic" w:cs="Arial"/>
          <w:spacing w:val="-18"/>
          <w:lang w:val="es-ES"/>
        </w:rPr>
        <w:t xml:space="preserve"> </w:t>
      </w:r>
      <w:r w:rsidRPr="008A55D0">
        <w:rPr>
          <w:rFonts w:ascii="Century Gothic" w:eastAsia="Arial" w:hAnsi="Century Gothic" w:cs="Arial"/>
          <w:lang w:val="es-ES"/>
        </w:rPr>
        <w:t>parámetro</w:t>
      </w:r>
      <w:r w:rsidRPr="008A55D0">
        <w:rPr>
          <w:rFonts w:ascii="Century Gothic" w:eastAsia="Arial" w:hAnsi="Century Gothic" w:cs="Arial"/>
          <w:spacing w:val="-19"/>
          <w:lang w:val="es-ES"/>
        </w:rPr>
        <w:t xml:space="preserve"> </w:t>
      </w:r>
      <w:r w:rsidRPr="008A55D0">
        <w:rPr>
          <w:rFonts w:ascii="Century Gothic" w:eastAsia="Arial" w:hAnsi="Century Gothic" w:cs="Arial"/>
          <w:lang w:val="es-ES"/>
        </w:rPr>
        <w:t>va</w:t>
      </w:r>
      <w:r w:rsidRPr="008A55D0">
        <w:rPr>
          <w:rFonts w:ascii="Century Gothic" w:eastAsia="Arial" w:hAnsi="Century Gothic" w:cs="Arial"/>
          <w:spacing w:val="-20"/>
          <w:lang w:val="es-ES"/>
        </w:rPr>
        <w:t xml:space="preserve"> </w:t>
      </w:r>
      <w:r w:rsidRPr="008A55D0">
        <w:rPr>
          <w:rFonts w:ascii="Century Gothic" w:eastAsia="Arial" w:hAnsi="Century Gothic" w:cs="Arial"/>
          <w:lang w:val="es-ES"/>
        </w:rPr>
        <w:t>encaminado a determinar si la experiencia solicitada es acorde, adecuada y proporcional a la necesidad identificada por la entidad, por lo cual no puede desbordar los límites racionales ni solicitar experiencias de imposible</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cumplimiento.</w:t>
      </w:r>
    </w:p>
    <w:p w14:paraId="50B02FD4" w14:textId="77777777" w:rsidR="008A55D0" w:rsidRPr="008A55D0" w:rsidRDefault="008A55D0" w:rsidP="008A55D0">
      <w:pPr>
        <w:widowControl w:val="0"/>
        <w:autoSpaceDE w:val="0"/>
        <w:autoSpaceDN w:val="0"/>
        <w:spacing w:before="121" w:after="0" w:line="276" w:lineRule="auto"/>
        <w:ind w:firstLine="708"/>
        <w:jc w:val="both"/>
        <w:rPr>
          <w:rFonts w:ascii="Century Gothic" w:eastAsia="Arial" w:hAnsi="Century Gothic" w:cs="Arial"/>
          <w:lang w:val="es-ES"/>
        </w:rPr>
      </w:pPr>
      <w:r w:rsidRPr="008A55D0">
        <w:rPr>
          <w:rFonts w:ascii="Century Gothic" w:eastAsia="Arial" w:hAnsi="Century Gothic" w:cs="Arial"/>
          <w:lang w:val="es-ES"/>
        </w:rPr>
        <w:t>Por último, la experiencia requerida debe clasificarse hasta el tercer nivel del clasificador de bienes y servicios. Por lo tanto, la entidad no puede requerir que se acredite el “producto” de este clasificador.</w:t>
      </w:r>
    </w:p>
    <w:p w14:paraId="1227CA22" w14:textId="77777777" w:rsidR="008A55D0" w:rsidRPr="008A55D0" w:rsidRDefault="008A55D0" w:rsidP="008A55D0">
      <w:pPr>
        <w:widowControl w:val="0"/>
        <w:autoSpaceDE w:val="0"/>
        <w:autoSpaceDN w:val="0"/>
        <w:spacing w:before="121" w:after="0" w:line="276" w:lineRule="auto"/>
        <w:ind w:firstLine="708"/>
        <w:jc w:val="both"/>
        <w:rPr>
          <w:rFonts w:ascii="Century Gothic" w:eastAsia="Arial" w:hAnsi="Century Gothic" w:cs="Arial"/>
          <w:lang w:val="es-ES"/>
        </w:rPr>
      </w:pPr>
      <w:bookmarkStart w:id="15" w:name="_Hlk100241757"/>
      <w:r w:rsidRPr="008A55D0">
        <w:rPr>
          <w:rFonts w:ascii="Century Gothic" w:eastAsia="Arial" w:hAnsi="Century Gothic" w:cs="Arial"/>
          <w:lang w:val="es-ES"/>
        </w:rPr>
        <w:t>La posibilidad de solicitar experiencia adicional solo ocurre cuando el objeto contractual</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incluye</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bienes</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o</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servicios</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adicionales</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a</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obra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pública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infraestructura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de transporte.</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Esto</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implica</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que: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i)</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actividad</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que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se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requiere,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si</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bien</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es</w:t>
      </w:r>
      <w:r w:rsidRPr="008A55D0">
        <w:rPr>
          <w:rFonts w:ascii="Century Gothic" w:eastAsia="Arial" w:hAnsi="Century Gothic" w:cs="Arial"/>
          <w:spacing w:val="-10"/>
          <w:lang w:val="es-ES"/>
        </w:rPr>
        <w:t xml:space="preserve"> </w:t>
      </w:r>
      <w:r w:rsidRPr="008A55D0">
        <w:rPr>
          <w:rFonts w:ascii="Century Gothic" w:eastAsia="Arial" w:hAnsi="Century Gothic" w:cs="Arial"/>
          <w:lang w:val="es-ES"/>
        </w:rPr>
        <w:t>una</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labor</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obra, no</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está</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relacionada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con</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infraestructura</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transporte,</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por</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ejemplo,</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9"/>
          <w:lang w:val="es-ES"/>
        </w:rPr>
        <w:t xml:space="preserve"> </w:t>
      </w:r>
      <w:r w:rsidRPr="008A55D0">
        <w:rPr>
          <w:rFonts w:ascii="Century Gothic" w:eastAsia="Arial" w:hAnsi="Century Gothic" w:cs="Arial"/>
          <w:lang w:val="es-ES"/>
        </w:rPr>
        <w:t>construcción</w:t>
      </w:r>
      <w:r w:rsidRPr="008A55D0">
        <w:rPr>
          <w:rFonts w:ascii="Century Gothic" w:eastAsia="Arial" w:hAnsi="Century Gothic" w:cs="Arial"/>
          <w:spacing w:val="-8"/>
          <w:lang w:val="es-ES"/>
        </w:rPr>
        <w:t xml:space="preserve"> </w:t>
      </w:r>
      <w:r w:rsidRPr="008A55D0">
        <w:rPr>
          <w:rFonts w:ascii="Century Gothic" w:eastAsia="Arial" w:hAnsi="Century Gothic" w:cs="Arial"/>
          <w:lang w:val="es-ES"/>
        </w:rPr>
        <w:t xml:space="preserve">de un parque cerca de la vía, y ii) el bien o servicio adicional es distinto a la actividad principal, aun cuando se relaciona con la infraestructura de transporte, </w:t>
      </w:r>
      <w:r w:rsidRPr="008A55D0">
        <w:rPr>
          <w:rFonts w:ascii="Century Gothic" w:eastAsia="Arial" w:hAnsi="Century Gothic" w:cs="Arial"/>
          <w:i/>
          <w:iCs/>
          <w:lang w:val="es-ES"/>
        </w:rPr>
        <w:t>v.</w:t>
      </w:r>
      <w:r w:rsidRPr="008A55D0">
        <w:rPr>
          <w:rFonts w:ascii="Century Gothic" w:eastAsia="Arial" w:hAnsi="Century Gothic" w:cs="Arial"/>
          <w:i/>
          <w:iCs/>
          <w:spacing w:val="41"/>
          <w:lang w:val="es-ES"/>
        </w:rPr>
        <w:t xml:space="preserve"> </w:t>
      </w:r>
      <w:r w:rsidRPr="008A55D0">
        <w:rPr>
          <w:rFonts w:ascii="Century Gothic" w:eastAsia="Arial" w:hAnsi="Century Gothic" w:cs="Arial"/>
          <w:i/>
          <w:iCs/>
          <w:lang w:val="es-ES"/>
        </w:rPr>
        <w:t>gr</w:t>
      </w:r>
      <w:r w:rsidRPr="008A55D0">
        <w:rPr>
          <w:rFonts w:ascii="Century Gothic" w:eastAsia="Arial" w:hAnsi="Century Gothic" w:cs="Arial"/>
          <w:lang w:val="es-ES"/>
        </w:rPr>
        <w:t>., cuando se requiere que el contratista ejecute actividades de consultoría como la realización, revisión o actualización de los estudios y diseños relacionados con la obra. En supuestos como los indicados es posible que la entidad exija experiencia adicional para acreditar la idoneidad del contratista en la ejecución de estos bienes o servicios adicionales a la obra de infraestructura de transporte.</w:t>
      </w:r>
    </w:p>
    <w:bookmarkEnd w:id="15"/>
    <w:p w14:paraId="1B824655" w14:textId="77777777" w:rsidR="008A55D0" w:rsidRPr="008A55D0" w:rsidRDefault="008A55D0" w:rsidP="008A55D0">
      <w:pPr>
        <w:spacing w:before="120" w:after="120" w:line="276" w:lineRule="auto"/>
        <w:ind w:firstLine="709"/>
        <w:jc w:val="both"/>
        <w:rPr>
          <w:rFonts w:ascii="Century Gothic" w:eastAsia="Calibri" w:hAnsi="Century Gothic" w:cs="Arial"/>
          <w:lang w:val="es-MX"/>
        </w:rPr>
      </w:pPr>
      <w:r w:rsidRPr="008A55D0">
        <w:rPr>
          <w:rFonts w:ascii="Century Gothic" w:eastAsia="Calibri" w:hAnsi="Century Gothic" w:cs="Arial"/>
          <w:lang w:val="es-MX"/>
        </w:rPr>
        <w:lastRenderedPageBreak/>
        <w:t>Adicionalmente, debe tenerse presente la regla de la inalterabilidad de los Documentos Tipo, que se fundamenta en los artículos 2 y 3 de la Resolución No. 240 del 27 de noviembre de 2020</w:t>
      </w:r>
      <w:r w:rsidRPr="008A55D0">
        <w:rPr>
          <w:rFonts w:ascii="Century Gothic" w:eastAsia="Calibri" w:hAnsi="Century Gothic" w:cs="Arial"/>
          <w:vertAlign w:val="superscript"/>
          <w:lang w:val="es-MX"/>
        </w:rPr>
        <w:footnoteReference w:id="10"/>
      </w:r>
      <w:r w:rsidRPr="008A55D0">
        <w:rPr>
          <w:rFonts w:ascii="Century Gothic" w:eastAsia="Calibri" w:hAnsi="Century Gothic" w:cs="Arial"/>
          <w:lang w:val="es-MX"/>
        </w:rPr>
        <w:t xml:space="preserve">, que dispone que las entidades contratantes no podrán incluir o modificar dentro de los documentos del proceso las condiciones habilitantes, los factores técnicos y económicos de escogencia y los sistemas de ponderación señalados en los documentos tipo. </w:t>
      </w:r>
    </w:p>
    <w:p w14:paraId="6FD0E565" w14:textId="77777777" w:rsidR="008A55D0" w:rsidRPr="008A55D0" w:rsidRDefault="008A55D0" w:rsidP="008A55D0">
      <w:pPr>
        <w:spacing w:after="0" w:line="276" w:lineRule="auto"/>
        <w:ind w:firstLine="709"/>
        <w:jc w:val="both"/>
        <w:rPr>
          <w:rFonts w:ascii="Century Gothic" w:eastAsia="Arial" w:hAnsi="Century Gothic" w:cs="Arial"/>
          <w:lang w:val="es-ES"/>
        </w:rPr>
      </w:pPr>
      <w:r w:rsidRPr="008A55D0">
        <w:rPr>
          <w:rFonts w:ascii="Century Gothic" w:eastAsia="Calibri" w:hAnsi="Century Gothic" w:cs="Arial"/>
          <w:lang w:val="es-MX"/>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w:t>
      </w:r>
      <w:r w:rsidRPr="008A55D0">
        <w:rPr>
          <w:rFonts w:ascii="Century Gothic" w:eastAsia="Arial" w:hAnsi="Century Gothic" w:cs="Arial"/>
          <w:lang w:val="es-ES"/>
        </w:rPr>
        <w:t>Por consiguiente, para solicitar experiencia</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frente</w:t>
      </w:r>
      <w:r w:rsidRPr="008A55D0">
        <w:rPr>
          <w:rFonts w:ascii="Century Gothic" w:eastAsia="Arial" w:hAnsi="Century Gothic" w:cs="Arial"/>
          <w:spacing w:val="-5"/>
          <w:lang w:val="es-ES"/>
        </w:rPr>
        <w:t xml:space="preserve"> </w:t>
      </w:r>
      <w:r w:rsidRPr="008A55D0">
        <w:rPr>
          <w:rFonts w:ascii="Century Gothic" w:eastAsia="Arial" w:hAnsi="Century Gothic" w:cs="Arial"/>
          <w:lang w:val="es-ES"/>
        </w:rPr>
        <w:t>a</w:t>
      </w:r>
      <w:r w:rsidRPr="008A55D0">
        <w:rPr>
          <w:rFonts w:ascii="Century Gothic" w:eastAsia="Arial" w:hAnsi="Century Gothic" w:cs="Arial"/>
          <w:spacing w:val="-5"/>
          <w:lang w:val="es-ES"/>
        </w:rPr>
        <w:t xml:space="preserve"> </w:t>
      </w:r>
      <w:r w:rsidRPr="008A55D0">
        <w:rPr>
          <w:rFonts w:ascii="Century Gothic" w:eastAsia="Arial" w:hAnsi="Century Gothic" w:cs="Arial"/>
          <w:lang w:val="es-ES"/>
        </w:rPr>
        <w:t>bienes</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o</w:t>
      </w:r>
      <w:r w:rsidRPr="008A55D0">
        <w:rPr>
          <w:rFonts w:ascii="Century Gothic" w:eastAsia="Arial" w:hAnsi="Century Gothic" w:cs="Arial"/>
          <w:spacing w:val="-5"/>
          <w:lang w:val="es-ES"/>
        </w:rPr>
        <w:t xml:space="preserve"> </w:t>
      </w:r>
      <w:r w:rsidRPr="008A55D0">
        <w:rPr>
          <w:rFonts w:ascii="Century Gothic" w:eastAsia="Arial" w:hAnsi="Century Gothic" w:cs="Arial"/>
          <w:lang w:val="es-ES"/>
        </w:rPr>
        <w:t>servicios</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adicionales</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que</w:t>
      </w:r>
      <w:r w:rsidRPr="008A55D0">
        <w:rPr>
          <w:rFonts w:ascii="Century Gothic" w:eastAsia="Arial" w:hAnsi="Century Gothic" w:cs="Arial"/>
          <w:spacing w:val="-5"/>
          <w:lang w:val="es-ES"/>
        </w:rPr>
        <w:t xml:space="preserve"> </w:t>
      </w:r>
      <w:r w:rsidRPr="008A55D0">
        <w:rPr>
          <w:rFonts w:ascii="Century Gothic" w:eastAsia="Arial" w:hAnsi="Century Gothic" w:cs="Arial"/>
          <w:lang w:val="es-ES"/>
        </w:rPr>
        <w:t>no</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se</w:t>
      </w:r>
      <w:r w:rsidRPr="008A55D0">
        <w:rPr>
          <w:rFonts w:ascii="Century Gothic" w:eastAsia="Arial" w:hAnsi="Century Gothic" w:cs="Arial"/>
          <w:spacing w:val="-5"/>
          <w:lang w:val="es-ES"/>
        </w:rPr>
        <w:t xml:space="preserve"> </w:t>
      </w:r>
      <w:r w:rsidRPr="008A55D0">
        <w:rPr>
          <w:rFonts w:ascii="Century Gothic" w:eastAsia="Arial" w:hAnsi="Century Gothic" w:cs="Arial"/>
          <w:lang w:val="es-ES"/>
        </w:rPr>
        <w:t>encuentren</w:t>
      </w:r>
      <w:r w:rsidRPr="008A55D0">
        <w:rPr>
          <w:rFonts w:ascii="Century Gothic" w:eastAsia="Arial" w:hAnsi="Century Gothic" w:cs="Arial"/>
          <w:spacing w:val="-6"/>
          <w:lang w:val="es-ES"/>
        </w:rPr>
        <w:t xml:space="preserve"> </w:t>
      </w:r>
      <w:r w:rsidRPr="008A55D0">
        <w:rPr>
          <w:rFonts w:ascii="Century Gothic" w:eastAsia="Arial" w:hAnsi="Century Gothic" w:cs="Arial"/>
          <w:lang w:val="es-ES"/>
        </w:rPr>
        <w:t>contemplados en</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“Matriz</w:t>
      </w:r>
      <w:r w:rsidRPr="008A55D0">
        <w:rPr>
          <w:rFonts w:ascii="Century Gothic" w:eastAsia="Arial" w:hAnsi="Century Gothic" w:cs="Arial"/>
          <w:spacing w:val="-16"/>
          <w:lang w:val="es-ES"/>
        </w:rPr>
        <w:t xml:space="preserve"> </w:t>
      </w:r>
      <w:r w:rsidRPr="008A55D0">
        <w:rPr>
          <w:rFonts w:ascii="Century Gothic" w:eastAsia="Arial" w:hAnsi="Century Gothic" w:cs="Arial"/>
          <w:lang w:val="es-ES"/>
        </w:rPr>
        <w:t>1</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Experiencia”,</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el</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literal</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H</w:t>
      </w:r>
      <w:r w:rsidRPr="008A55D0">
        <w:rPr>
          <w:rFonts w:ascii="Century Gothic" w:eastAsia="Arial" w:hAnsi="Century Gothic" w:cs="Arial"/>
          <w:spacing w:val="-16"/>
          <w:lang w:val="es-ES"/>
        </w:rPr>
        <w:t xml:space="preserve"> </w:t>
      </w:r>
      <w:r w:rsidRPr="008A55D0">
        <w:rPr>
          <w:rFonts w:ascii="Century Gothic" w:eastAsia="Arial" w:hAnsi="Century Gothic" w:cs="Arial"/>
          <w:lang w:val="es-ES"/>
        </w:rPr>
        <w:t>del</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numeral</w:t>
      </w:r>
      <w:r w:rsidRPr="008A55D0">
        <w:rPr>
          <w:rFonts w:ascii="Century Gothic" w:eastAsia="Arial" w:hAnsi="Century Gothic" w:cs="Arial"/>
          <w:spacing w:val="-16"/>
          <w:lang w:val="es-ES"/>
        </w:rPr>
        <w:t xml:space="preserve"> </w:t>
      </w:r>
      <w:r w:rsidRPr="008A55D0">
        <w:rPr>
          <w:rFonts w:ascii="Century Gothic" w:eastAsia="Arial" w:hAnsi="Century Gothic" w:cs="Arial"/>
          <w:lang w:val="es-ES"/>
        </w:rPr>
        <w:t xml:space="preserve">3.5.2 </w:t>
      </w:r>
      <w:r w:rsidRPr="008A55D0">
        <w:rPr>
          <w:rFonts w:ascii="Century Gothic" w:eastAsia="Arial" w:hAnsi="Century Gothic" w:cs="Arial"/>
          <w:lang w:val="es-MX"/>
        </w:rPr>
        <w:t>“CARACTERÍSTICAS DE LOS CONTRATOS PRESENTADOS PARA ACREDITAR EXPERIENCIA</w:t>
      </w:r>
      <w:r w:rsidRPr="008A55D0">
        <w:rPr>
          <w:rFonts w:ascii="Century Gothic" w:eastAsia="Arial" w:hAnsi="Century Gothic" w:cs="Arial"/>
          <w:lang w:val="es-ES"/>
        </w:rPr>
        <w:t>”</w:t>
      </w:r>
      <w:r w:rsidRPr="008A55D0">
        <w:rPr>
          <w:rFonts w:ascii="Century Gothic" w:eastAsia="Arial" w:hAnsi="Century Gothic" w:cs="Arial"/>
          <w:lang w:val="es-MX"/>
        </w:rPr>
        <w:t>,</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del</w:t>
      </w:r>
      <w:r w:rsidRPr="008A55D0">
        <w:rPr>
          <w:rFonts w:ascii="Century Gothic" w:eastAsia="Arial" w:hAnsi="Century Gothic" w:cs="Arial"/>
          <w:spacing w:val="-17"/>
          <w:lang w:val="es-ES"/>
        </w:rPr>
        <w:t xml:space="preserve"> </w:t>
      </w:r>
      <w:r w:rsidRPr="008A55D0">
        <w:rPr>
          <w:rFonts w:ascii="Century Gothic" w:eastAsia="Arial" w:hAnsi="Century Gothic" w:cs="Arial"/>
          <w:lang w:val="es-ES"/>
        </w:rPr>
        <w:t>Documento</w:t>
      </w:r>
      <w:r w:rsidRPr="008A55D0">
        <w:rPr>
          <w:rFonts w:ascii="Century Gothic" w:eastAsia="Arial" w:hAnsi="Century Gothic" w:cs="Arial"/>
          <w:spacing w:val="-16"/>
          <w:lang w:val="es-ES"/>
        </w:rPr>
        <w:t xml:space="preserve"> </w:t>
      </w:r>
      <w:r w:rsidRPr="008A55D0">
        <w:rPr>
          <w:rFonts w:ascii="Century Gothic" w:eastAsia="Arial" w:hAnsi="Century Gothic" w:cs="Arial"/>
          <w:lang w:val="es-ES"/>
        </w:rPr>
        <w:t>Base actualmente dispone lo siguiente:</w:t>
      </w:r>
    </w:p>
    <w:p w14:paraId="3BFD4E93" w14:textId="77777777" w:rsidR="008A55D0" w:rsidRPr="008A55D0" w:rsidRDefault="008A55D0" w:rsidP="008A55D0">
      <w:pPr>
        <w:widowControl w:val="0"/>
        <w:autoSpaceDE w:val="0"/>
        <w:autoSpaceDN w:val="0"/>
        <w:spacing w:after="0" w:line="240" w:lineRule="auto"/>
        <w:ind w:left="709" w:right="709"/>
        <w:rPr>
          <w:rFonts w:ascii="Century Gothic" w:eastAsia="Arial" w:hAnsi="Century Gothic" w:cs="Arial"/>
          <w:sz w:val="21"/>
          <w:szCs w:val="21"/>
          <w:lang w:val="es-ES"/>
        </w:rPr>
      </w:pPr>
    </w:p>
    <w:p w14:paraId="7FBC330B" w14:textId="77777777" w:rsidR="008A55D0" w:rsidRPr="008A55D0" w:rsidRDefault="008A55D0" w:rsidP="008A55D0">
      <w:pPr>
        <w:numPr>
          <w:ilvl w:val="0"/>
          <w:numId w:val="7"/>
        </w:numPr>
        <w:spacing w:after="120" w:line="240" w:lineRule="auto"/>
        <w:ind w:left="1069" w:right="709"/>
        <w:contextualSpacing/>
        <w:jc w:val="both"/>
        <w:rPr>
          <w:rFonts w:ascii="Century Gothic" w:eastAsia="Times New Roman" w:hAnsi="Century Gothic" w:cs="Arial"/>
          <w:color w:val="000000"/>
          <w:sz w:val="21"/>
          <w:szCs w:val="21"/>
          <w:lang w:eastAsia="es-ES"/>
        </w:rPr>
      </w:pPr>
      <w:r w:rsidRPr="008A55D0">
        <w:rPr>
          <w:rFonts w:ascii="Century Gothic" w:eastAsia="Calibri" w:hAnsi="Century Gothic" w:cs="Arial"/>
          <w:color w:val="000000"/>
          <w:sz w:val="21"/>
          <w:szCs w:val="21"/>
          <w:highlight w:val="lightGray"/>
          <w:lang w:val="es-MX"/>
        </w:rPr>
        <w:t>[</w:t>
      </w:r>
      <w:r w:rsidRPr="008A55D0">
        <w:rPr>
          <w:rFonts w:ascii="Century Gothic" w:eastAsia="Times New Roman" w:hAnsi="Century Gothic" w:cs="Arial"/>
          <w:color w:val="000000"/>
          <w:sz w:val="21"/>
          <w:szCs w:val="21"/>
          <w:highlight w:val="lightGray"/>
          <w:lang w:val="es-MX" w:eastAsia="es-ES"/>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8A55D0">
        <w:rPr>
          <w:rFonts w:ascii="Century Gothic" w:eastAsia="Times New Roman" w:hAnsi="Century Gothic" w:cs="Arial"/>
          <w:color w:val="000000"/>
          <w:sz w:val="21"/>
          <w:szCs w:val="21"/>
          <w:highlight w:val="lightGray"/>
          <w:lang w:eastAsia="es-ES"/>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8A55D0">
        <w:rPr>
          <w:rFonts w:ascii="Century Gothic" w:eastAsia="Times New Roman" w:hAnsi="Century Gothic" w:cs="Arial"/>
          <w:color w:val="000000"/>
          <w:sz w:val="21"/>
          <w:szCs w:val="21"/>
          <w:highlight w:val="lightGray"/>
          <w:lang w:val="es-MX" w:eastAsia="es-ES"/>
        </w:rPr>
        <w:t xml:space="preserve"> En todo caso, si el objeto contractual contempla bienes o servicios ajenos que no están regulados en los Documentos Tipo, la Entidad Estatal aplicará los parámetros del artículo 4 de la Resolución 240 de 2020</w:t>
      </w:r>
      <w:r w:rsidRPr="008A55D0">
        <w:rPr>
          <w:rFonts w:ascii="Century Gothic" w:eastAsia="Times New Roman" w:hAnsi="Century Gothic" w:cs="Arial"/>
          <w:color w:val="000000"/>
          <w:sz w:val="21"/>
          <w:szCs w:val="21"/>
          <w:lang w:val="es-MX" w:eastAsia="es-ES"/>
        </w:rPr>
        <w:t>.</w:t>
      </w:r>
      <w:r w:rsidRPr="008A55D0">
        <w:rPr>
          <w:rFonts w:ascii="Century Gothic" w:eastAsia="Times New Roman" w:hAnsi="Century Gothic" w:cs="Arial"/>
          <w:color w:val="000000"/>
          <w:sz w:val="21"/>
          <w:szCs w:val="21"/>
          <w:lang w:eastAsia="es-ES"/>
        </w:rPr>
        <w:t xml:space="preserve"> </w:t>
      </w:r>
    </w:p>
    <w:p w14:paraId="71FF1E6F" w14:textId="77777777" w:rsidR="008A55D0" w:rsidRPr="008A55D0" w:rsidRDefault="008A55D0" w:rsidP="008A55D0">
      <w:pPr>
        <w:spacing w:after="120" w:line="240" w:lineRule="auto"/>
        <w:ind w:left="1069" w:right="709"/>
        <w:contextualSpacing/>
        <w:jc w:val="both"/>
        <w:rPr>
          <w:rFonts w:ascii="Century Gothic" w:eastAsia="Times New Roman" w:hAnsi="Century Gothic" w:cs="Arial"/>
          <w:color w:val="000000"/>
          <w:sz w:val="21"/>
          <w:szCs w:val="21"/>
          <w:lang w:eastAsia="es-ES"/>
        </w:rPr>
      </w:pPr>
    </w:p>
    <w:p w14:paraId="633F88D3" w14:textId="77777777" w:rsidR="008A55D0" w:rsidRPr="008A55D0" w:rsidRDefault="008A55D0" w:rsidP="008A55D0">
      <w:pPr>
        <w:spacing w:after="120" w:line="240" w:lineRule="auto"/>
        <w:ind w:left="1069" w:right="709"/>
        <w:jc w:val="both"/>
        <w:rPr>
          <w:rFonts w:ascii="Century Gothic" w:eastAsia="Times New Roman" w:hAnsi="Century Gothic" w:cs="Arial"/>
          <w:color w:val="000000"/>
          <w:sz w:val="21"/>
          <w:szCs w:val="21"/>
          <w:highlight w:val="lightGray"/>
          <w:lang w:val="es-MX" w:eastAsia="es-ES"/>
        </w:rPr>
      </w:pPr>
      <w:r w:rsidRPr="008A55D0">
        <w:rPr>
          <w:rFonts w:ascii="Century Gothic" w:eastAsia="Times New Roman" w:hAnsi="Century Gothic" w:cs="Arial"/>
          <w:color w:val="000000"/>
          <w:sz w:val="21"/>
          <w:szCs w:val="21"/>
          <w:highlight w:val="lightGray"/>
          <w:lang w:val="es-MX" w:eastAsia="es-ES"/>
        </w:rPr>
        <w:lastRenderedPageBreak/>
        <w:t>Conforme con esta disposición, la Entidad no puede requerir experiencia adicional que incluya volúmenes o cantidades de obra específica expresada en SMMLV.</w:t>
      </w:r>
    </w:p>
    <w:p w14:paraId="1770F446" w14:textId="77777777" w:rsidR="008A55D0" w:rsidRPr="008A55D0" w:rsidRDefault="008A55D0" w:rsidP="008A55D0">
      <w:pPr>
        <w:spacing w:after="0" w:line="240" w:lineRule="auto"/>
        <w:ind w:left="1069" w:right="709"/>
        <w:jc w:val="both"/>
        <w:rPr>
          <w:rFonts w:ascii="Century Gothic" w:eastAsia="Times New Roman" w:hAnsi="Century Gothic" w:cs="Arial"/>
          <w:color w:val="000000"/>
          <w:sz w:val="21"/>
          <w:szCs w:val="21"/>
          <w:lang w:val="es-MX" w:eastAsia="es-ES"/>
        </w:rPr>
      </w:pPr>
      <w:r w:rsidRPr="008A55D0">
        <w:rPr>
          <w:rFonts w:ascii="Century Gothic" w:eastAsia="Times New Roman" w:hAnsi="Century Gothic" w:cs="Arial"/>
          <w:color w:val="000000"/>
          <w:sz w:val="21"/>
          <w:szCs w:val="21"/>
          <w:highlight w:val="lightGray"/>
          <w:lang w:val="es-MX" w:eastAsia="es-ES"/>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6357F14D" w14:textId="77777777" w:rsidR="008A55D0" w:rsidRPr="008A55D0" w:rsidRDefault="008A55D0" w:rsidP="008A55D0">
      <w:pPr>
        <w:spacing w:after="0"/>
        <w:ind w:left="1069" w:right="709"/>
        <w:jc w:val="both"/>
        <w:rPr>
          <w:rFonts w:ascii="Century Gothic" w:eastAsia="Calibri" w:hAnsi="Century Gothic" w:cs="Times New Roman"/>
          <w:color w:val="000000"/>
          <w:sz w:val="20"/>
          <w:lang w:val="es-MX"/>
        </w:rPr>
      </w:pPr>
    </w:p>
    <w:p w14:paraId="3FD108F0" w14:textId="77777777" w:rsidR="008A55D0" w:rsidRPr="008A55D0" w:rsidRDefault="008A55D0" w:rsidP="008A55D0">
      <w:pPr>
        <w:widowControl w:val="0"/>
        <w:autoSpaceDE w:val="0"/>
        <w:autoSpaceDN w:val="0"/>
        <w:spacing w:after="120" w:line="276" w:lineRule="auto"/>
        <w:ind w:firstLine="709"/>
        <w:jc w:val="both"/>
        <w:rPr>
          <w:rFonts w:ascii="Century Gothic" w:eastAsia="Arial" w:hAnsi="Century Gothic" w:cs="Arial"/>
          <w:lang w:val="es-ES"/>
        </w:rPr>
      </w:pPr>
      <w:r w:rsidRPr="008A55D0">
        <w:rPr>
          <w:rFonts w:ascii="Century Gothic" w:eastAsia="Arial" w:hAnsi="Century Gothic" w:cs="Arial"/>
          <w:lang w:val="es-ES"/>
        </w:rPr>
        <w:t>De</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esta</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manera,</w:t>
      </w:r>
      <w:r w:rsidRPr="008A55D0">
        <w:rPr>
          <w:rFonts w:ascii="Century Gothic" w:eastAsia="Arial" w:hAnsi="Century Gothic" w:cs="Arial"/>
          <w:spacing w:val="-11"/>
          <w:lang w:val="es-ES"/>
        </w:rPr>
        <w:t xml:space="preserve"> </w:t>
      </w:r>
      <w:bookmarkStart w:id="16" w:name="_Hlk100312268"/>
      <w:r w:rsidRPr="008A55D0">
        <w:rPr>
          <w:rFonts w:ascii="Century Gothic" w:eastAsia="Arial" w:hAnsi="Century Gothic" w:cs="Arial"/>
          <w:lang w:val="es-ES"/>
        </w:rPr>
        <w:t>la</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regla</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general</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frente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a</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aplicación</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del</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documento</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base</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es</w:t>
      </w:r>
      <w:r w:rsidRPr="008A55D0">
        <w:rPr>
          <w:rFonts w:ascii="Century Gothic" w:eastAsia="Arial" w:hAnsi="Century Gothic" w:cs="Arial"/>
          <w:spacing w:val="-12"/>
          <w:lang w:val="es-ES"/>
        </w:rPr>
        <w:t xml:space="preserve"> </w:t>
      </w:r>
      <w:r w:rsidRPr="008A55D0">
        <w:rPr>
          <w:rFonts w:ascii="Century Gothic" w:eastAsia="Arial" w:hAnsi="Century Gothic"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4</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Resolución</w:t>
      </w:r>
      <w:r w:rsidRPr="008A55D0">
        <w:rPr>
          <w:rFonts w:ascii="Century Gothic" w:eastAsia="Arial" w:hAnsi="Century Gothic" w:cs="Arial"/>
          <w:spacing w:val="-13"/>
          <w:lang w:val="es-ES"/>
        </w:rPr>
        <w:t xml:space="preserve"> No. </w:t>
      </w:r>
      <w:r w:rsidRPr="008A55D0">
        <w:rPr>
          <w:rFonts w:ascii="Century Gothic" w:eastAsia="Arial" w:hAnsi="Century Gothic" w:cs="Arial"/>
          <w:lang w:val="es-ES"/>
        </w:rPr>
        <w:t>240</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2020.</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Por</w:t>
      </w:r>
      <w:r w:rsidRPr="008A55D0">
        <w:rPr>
          <w:rFonts w:ascii="Century Gothic" w:eastAsia="Arial" w:hAnsi="Century Gothic" w:cs="Arial"/>
          <w:spacing w:val="-13"/>
          <w:lang w:val="es-ES"/>
        </w:rPr>
        <w:t xml:space="preserve"> </w:t>
      </w:r>
      <w:r w:rsidRPr="008A55D0">
        <w:rPr>
          <w:rFonts w:ascii="Century Gothic" w:eastAsia="Arial" w:hAnsi="Century Gothic" w:cs="Arial"/>
          <w:lang w:val="es-ES"/>
        </w:rPr>
        <w:t>tanto,</w:t>
      </w:r>
      <w:r w:rsidRPr="008A55D0">
        <w:rPr>
          <w:rFonts w:ascii="Century Gothic" w:eastAsia="Arial" w:hAnsi="Century Gothic" w:cs="Arial"/>
          <w:spacing w:val="-13"/>
          <w:lang w:val="es-ES"/>
        </w:rPr>
        <w:t xml:space="preserve"> </w:t>
      </w:r>
      <w:r w:rsidRPr="008A55D0">
        <w:rPr>
          <w:rFonts w:ascii="Century Gothic" w:eastAsia="Arial" w:hAnsi="Century Gothic" w:cs="Arial"/>
          <w:lang w:val="es-ES"/>
        </w:rPr>
        <w:t>si</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el</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objeto</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contractual</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incluye</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bienes o</w:t>
      </w:r>
      <w:r w:rsidRPr="008A55D0">
        <w:rPr>
          <w:rFonts w:ascii="Century Gothic" w:eastAsia="Arial" w:hAnsi="Century Gothic" w:cs="Arial"/>
          <w:spacing w:val="-16"/>
          <w:lang w:val="es-ES"/>
        </w:rPr>
        <w:t xml:space="preserve"> </w:t>
      </w:r>
      <w:r w:rsidRPr="008A55D0">
        <w:rPr>
          <w:rFonts w:ascii="Century Gothic" w:eastAsia="Arial" w:hAnsi="Century Gothic" w:cs="Arial"/>
          <w:lang w:val="es-ES"/>
        </w:rPr>
        <w:t>servicios</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ajenos</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a</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la</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obra</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pública</w:t>
      </w:r>
      <w:r w:rsidRPr="008A55D0">
        <w:rPr>
          <w:rFonts w:ascii="Century Gothic" w:eastAsia="Arial" w:hAnsi="Century Gothic" w:cs="Arial"/>
          <w:spacing w:val="-16"/>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infraestructura</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transporte,</w:t>
      </w:r>
      <w:r w:rsidRPr="008A55D0">
        <w:rPr>
          <w:rFonts w:ascii="Century Gothic" w:eastAsia="Arial" w:hAnsi="Century Gothic" w:cs="Arial"/>
          <w:spacing w:val="-14"/>
          <w:lang w:val="es-ES"/>
        </w:rPr>
        <w:t xml:space="preserve"> </w:t>
      </w:r>
      <w:r w:rsidRPr="008A55D0">
        <w:rPr>
          <w:rFonts w:ascii="Century Gothic" w:eastAsia="Arial" w:hAnsi="Century Gothic" w:cs="Arial"/>
          <w:lang w:val="es-ES"/>
        </w:rPr>
        <w:t>de</w:t>
      </w:r>
      <w:r w:rsidRPr="008A55D0">
        <w:rPr>
          <w:rFonts w:ascii="Century Gothic" w:eastAsia="Arial" w:hAnsi="Century Gothic" w:cs="Arial"/>
          <w:spacing w:val="-16"/>
          <w:lang w:val="es-ES"/>
        </w:rPr>
        <w:t xml:space="preserve"> </w:t>
      </w:r>
      <w:r w:rsidRPr="008A55D0">
        <w:rPr>
          <w:rFonts w:ascii="Century Gothic" w:eastAsia="Arial" w:hAnsi="Century Gothic" w:cs="Arial"/>
          <w:lang w:val="es-ES"/>
        </w:rPr>
        <w:t>allí</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solo</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se</w:t>
      </w:r>
      <w:r w:rsidRPr="008A55D0">
        <w:rPr>
          <w:rFonts w:ascii="Century Gothic" w:eastAsia="Arial" w:hAnsi="Century Gothic" w:cs="Arial"/>
          <w:spacing w:val="-15"/>
          <w:lang w:val="es-ES"/>
        </w:rPr>
        <w:t xml:space="preserve"> </w:t>
      </w:r>
      <w:r w:rsidRPr="008A55D0">
        <w:rPr>
          <w:rFonts w:ascii="Century Gothic" w:eastAsia="Arial" w:hAnsi="Century Gothic" w:cs="Arial"/>
          <w:lang w:val="es-ES"/>
        </w:rPr>
        <w:t>deriva que podrá incluirse la experiencia adicional que se considere conveniente, atendiendo a las reglas explicadas con</w:t>
      </w:r>
      <w:r w:rsidRPr="008A55D0">
        <w:rPr>
          <w:rFonts w:ascii="Century Gothic" w:eastAsia="Arial" w:hAnsi="Century Gothic" w:cs="Arial"/>
          <w:spacing w:val="-7"/>
          <w:lang w:val="es-ES"/>
        </w:rPr>
        <w:t xml:space="preserve"> </w:t>
      </w:r>
      <w:r w:rsidRPr="008A55D0">
        <w:rPr>
          <w:rFonts w:ascii="Century Gothic" w:eastAsia="Arial" w:hAnsi="Century Gothic" w:cs="Arial"/>
          <w:lang w:val="es-ES"/>
        </w:rPr>
        <w:t>anterioridad.</w:t>
      </w:r>
      <w:bookmarkEnd w:id="16"/>
    </w:p>
    <w:p w14:paraId="5150C397" w14:textId="77777777" w:rsidR="008A55D0" w:rsidRPr="008A55D0" w:rsidRDefault="008A55D0" w:rsidP="008A55D0">
      <w:pPr>
        <w:tabs>
          <w:tab w:val="left" w:pos="709"/>
          <w:tab w:val="left" w:pos="851"/>
        </w:tabs>
        <w:spacing w:after="120" w:line="276" w:lineRule="auto"/>
        <w:jc w:val="both"/>
        <w:rPr>
          <w:rFonts w:ascii="Century Gothic" w:eastAsia="Arial" w:hAnsi="Century Gothic" w:cs="Arial"/>
        </w:rPr>
      </w:pPr>
      <w:r w:rsidRPr="008A55D0">
        <w:rPr>
          <w:rFonts w:ascii="Century Gothic" w:eastAsia="Calibri" w:hAnsi="Century Gothic" w:cs="Arial"/>
          <w:lang w:val="es-MX"/>
        </w:rPr>
        <w:tab/>
        <w:t xml:space="preserve">Cuando se pretenda ejecutar una de las actividades establecidas en la </w:t>
      </w:r>
      <w:bookmarkEnd w:id="11"/>
      <w:r w:rsidRPr="008A55D0">
        <w:rPr>
          <w:rFonts w:ascii="Century Gothic" w:eastAsia="Arial" w:hAnsi="Century Gothic" w:cs="Arial"/>
          <w:lang w:val="es-ES"/>
        </w:rPr>
        <w:t>“Matriz</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1</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w:t>
      </w:r>
      <w:r w:rsidRPr="008A55D0">
        <w:rPr>
          <w:rFonts w:ascii="Century Gothic" w:eastAsia="Arial" w:hAnsi="Century Gothic" w:cs="Arial"/>
          <w:spacing w:val="-11"/>
          <w:lang w:val="es-ES"/>
        </w:rPr>
        <w:t xml:space="preserve"> </w:t>
      </w:r>
      <w:r w:rsidRPr="008A55D0">
        <w:rPr>
          <w:rFonts w:ascii="Century Gothic" w:eastAsia="Arial" w:hAnsi="Century Gothic" w:cs="Arial"/>
          <w:lang w:val="es-ES"/>
        </w:rPr>
        <w:t xml:space="preserve">Experiencia” y adicionalmente se requiera contratar otro tipo de bienes y servicios adicionales a la obra pública de infraestructura de transporte, </w:t>
      </w:r>
      <w:r w:rsidRPr="008A55D0">
        <w:rPr>
          <w:rFonts w:ascii="Century Gothic" w:eastAsia="Arial" w:hAnsi="Century Gothic" w:cs="Arial"/>
        </w:rPr>
        <w:t>los documentos tipo adoptados mediante la Resolución 240 de 2020 son obligatorios.</w:t>
      </w:r>
      <w:bookmarkStart w:id="17" w:name="_Hlk100312172"/>
    </w:p>
    <w:bookmarkEnd w:id="17"/>
    <w:p w14:paraId="226C60FB" w14:textId="77777777" w:rsidR="008A55D0" w:rsidRPr="008A55D0" w:rsidRDefault="008A55D0" w:rsidP="008A55D0">
      <w:pPr>
        <w:spacing w:after="120" w:line="276" w:lineRule="auto"/>
        <w:ind w:firstLine="709"/>
        <w:jc w:val="both"/>
        <w:rPr>
          <w:rFonts w:ascii="Century Gothic" w:eastAsia="Calibri" w:hAnsi="Century Gothic" w:cs="Arial"/>
          <w:color w:val="000000"/>
        </w:rPr>
      </w:pPr>
      <w:r w:rsidRPr="008A55D0">
        <w:rPr>
          <w:rFonts w:ascii="Century Gothic" w:eastAsia="Calibri" w:hAnsi="Century Gothic" w:cs="Arial"/>
          <w:color w:val="000000"/>
        </w:rPr>
        <w:t>Por otra parte, es pertinente mencionar que el numeral 3.5.2. del Documento Base o pliego tipo consagra las características que deben cumplir los contratos a través de los cuales se acredita la experiencia exigida</w:t>
      </w:r>
      <w:r w:rsidRPr="008A55D0">
        <w:rPr>
          <w:rFonts w:ascii="Century Gothic" w:eastAsia="Calibri" w:hAnsi="Century Gothic" w:cs="Arial"/>
          <w:color w:val="000000"/>
          <w:vertAlign w:val="superscript"/>
        </w:rPr>
        <w:footnoteReference w:id="11"/>
      </w:r>
      <w:r w:rsidRPr="008A55D0">
        <w:rPr>
          <w:rFonts w:ascii="Century Gothic" w:eastAsia="Calibri" w:hAnsi="Century Gothic" w:cs="Arial"/>
          <w:color w:val="000000"/>
        </w:rPr>
        <w:t xml:space="preserve"> conforme a los lineamientos antes descritos. </w:t>
      </w:r>
    </w:p>
    <w:p w14:paraId="32D150F4" w14:textId="77777777" w:rsidR="008A55D0" w:rsidRPr="008A55D0" w:rsidRDefault="008A55D0" w:rsidP="008A55D0">
      <w:pPr>
        <w:spacing w:after="120" w:line="276" w:lineRule="auto"/>
        <w:ind w:firstLine="708"/>
        <w:jc w:val="both"/>
        <w:rPr>
          <w:rFonts w:ascii="Century Gothic" w:eastAsia="Calibri" w:hAnsi="Century Gothic" w:cs="Arial"/>
        </w:rPr>
      </w:pPr>
      <w:r w:rsidRPr="008A55D0">
        <w:rPr>
          <w:rFonts w:ascii="Century Gothic" w:eastAsia="Calibri" w:hAnsi="Century Gothic" w:cs="Arial"/>
        </w:rPr>
        <w:t xml:space="preserve">En lo que tiene que ver con la cantidad de contratos con los que se debe cumplir la experiencia exigida por la entidad estatal, es necesario observar lo </w:t>
      </w:r>
      <w:r w:rsidRPr="008A55D0">
        <w:rPr>
          <w:rFonts w:ascii="Century Gothic" w:eastAsia="Calibri" w:hAnsi="Century Gothic" w:cs="Arial"/>
        </w:rPr>
        <w:lastRenderedPageBreak/>
        <w:t>dispuesto en los literales B) y C) del numeral 3.5.2 del Documento Base</w:t>
      </w:r>
      <w:r w:rsidRPr="008A55D0">
        <w:rPr>
          <w:rFonts w:ascii="Century Gothic" w:eastAsia="Calibri" w:hAnsi="Century Gothic" w:cs="Arial"/>
          <w:vertAlign w:val="superscript"/>
        </w:rPr>
        <w:footnoteReference w:id="12"/>
      </w:r>
      <w:r w:rsidRPr="008A55D0">
        <w:rPr>
          <w:rFonts w:ascii="Century Gothic" w:eastAsia="Calibri" w:hAnsi="Century Gothic" w:cs="Arial"/>
        </w:rPr>
        <w:t>. En el primero de estos literales, se establece que el contratista, además de allegar el RUP, deberá diligenciar el “Formato 3 – Experiencia” identificando los contratos con los que pretende cumplir la experiencia exigible.</w:t>
      </w:r>
    </w:p>
    <w:p w14:paraId="231B7D54" w14:textId="77777777" w:rsidR="008A55D0" w:rsidRPr="008A55D0" w:rsidRDefault="008A55D0" w:rsidP="008A55D0">
      <w:pPr>
        <w:spacing w:after="120" w:line="276" w:lineRule="auto"/>
        <w:ind w:firstLine="708"/>
        <w:jc w:val="both"/>
        <w:rPr>
          <w:rFonts w:ascii="Century Gothic" w:eastAsia="Calibri" w:hAnsi="Century Gothic" w:cs="Arial"/>
          <w:color w:val="000000"/>
        </w:rPr>
      </w:pPr>
      <w:r w:rsidRPr="008A55D0">
        <w:rPr>
          <w:rFonts w:ascii="Century Gothic" w:eastAsia="Calibri" w:hAnsi="Century Gothic" w:cs="Arial"/>
        </w:rPr>
        <w:t xml:space="preserve">Asimismo, en el referido literal, se señala que con los contratos relacionados en el “Formato 3 – Experiencia” la entidad verificará la acreditación de los requisitos de experiencia general y específica </w:t>
      </w:r>
      <w:r w:rsidRPr="008A55D0">
        <w:rPr>
          <w:rFonts w:ascii="Century Gothic" w:eastAsia="Calibri" w:hAnsi="Century Gothic" w:cs="Arial"/>
          <w:lang w:val="es-MX"/>
        </w:rPr>
        <w:t>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70A3CD70" w14:textId="77777777" w:rsidR="008A55D0" w:rsidRPr="008A55D0" w:rsidRDefault="008A55D0" w:rsidP="008A55D0">
      <w:pPr>
        <w:spacing w:after="120" w:line="276" w:lineRule="auto"/>
        <w:ind w:firstLine="709"/>
        <w:jc w:val="both"/>
        <w:rPr>
          <w:rFonts w:ascii="Century Gothic" w:eastAsia="Calibri" w:hAnsi="Century Gothic" w:cs="Arial"/>
          <w:color w:val="000000"/>
        </w:rPr>
      </w:pPr>
      <w:r w:rsidRPr="008A55D0">
        <w:rPr>
          <w:rFonts w:ascii="Century Gothic" w:eastAsia="Calibri" w:hAnsi="Century Gothic" w:cs="Arial"/>
          <w:color w:val="000000"/>
        </w:rPr>
        <w:t xml:space="preserve">Por su parte, el literal C del referido numeral prevé que “los proponentes podrán acreditar la experiencia con mínimo uno (1) y máximo cinco (5) contratos, los cuales serán evaluados teniendo en cuenta la tabla incluida en el numeral 3.5.8 </w:t>
      </w:r>
      <w:r w:rsidRPr="008A55D0">
        <w:rPr>
          <w:rFonts w:ascii="Century Gothic" w:eastAsia="Calibri" w:hAnsi="Century Gothic" w:cs="Arial"/>
          <w:color w:val="000000"/>
        </w:rPr>
        <w:lastRenderedPageBreak/>
        <w:t xml:space="preserve">del Documento Base, así como el contenido establecido en la “Matriz 1 – Experiencia”.  </w:t>
      </w:r>
    </w:p>
    <w:p w14:paraId="570D3E4B" w14:textId="77777777" w:rsidR="008A55D0" w:rsidRPr="008A55D0" w:rsidRDefault="008A55D0" w:rsidP="008A55D0">
      <w:pPr>
        <w:spacing w:after="120" w:line="276" w:lineRule="auto"/>
        <w:ind w:firstLine="709"/>
        <w:jc w:val="both"/>
        <w:rPr>
          <w:rFonts w:ascii="Century Gothic" w:eastAsia="Calibri" w:hAnsi="Century Gothic" w:cs="Arial"/>
        </w:rPr>
      </w:pPr>
      <w:r w:rsidRPr="008A55D0">
        <w:rPr>
          <w:rFonts w:ascii="Century Gothic" w:eastAsia="Calibri" w:hAnsi="Century Gothic" w:cs="Arial"/>
        </w:rPr>
        <w:t xml:space="preserve">De acuerdo con esto, los proponentes podrán optar por acreditar los requisitos de experiencia exigibles mediante mínimo uno (1) y máximo cinco (5) contratos, independientemente de que se exija o no experiencia adicional a la obra pública de infraestructura de transporte. </w:t>
      </w:r>
    </w:p>
    <w:p w14:paraId="321B9FC9" w14:textId="77777777" w:rsidR="008A55D0" w:rsidRPr="008A55D0" w:rsidRDefault="008A55D0" w:rsidP="008A55D0">
      <w:pPr>
        <w:spacing w:before="120" w:after="120" w:line="276" w:lineRule="auto"/>
        <w:ind w:firstLine="709"/>
        <w:jc w:val="both"/>
        <w:rPr>
          <w:rFonts w:ascii="Century Gothic" w:eastAsia="Calibri" w:hAnsi="Century Gothic" w:cs="Arial"/>
          <w:szCs w:val="24"/>
          <w:lang w:eastAsia="es-MX"/>
        </w:rPr>
      </w:pPr>
      <w:r w:rsidRPr="008A55D0">
        <w:rPr>
          <w:rFonts w:ascii="Century Gothic" w:eastAsia="Calibri" w:hAnsi="Century Gothic" w:cs="Arial"/>
          <w:szCs w:val="24"/>
          <w:lang w:eastAsia="es-MX"/>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14:paraId="68CDA202" w14:textId="77777777" w:rsidR="008A55D0" w:rsidRPr="008A55D0" w:rsidRDefault="008A55D0" w:rsidP="008A55D0">
      <w:pPr>
        <w:spacing w:after="120" w:line="276" w:lineRule="auto"/>
        <w:ind w:firstLine="708"/>
        <w:jc w:val="both"/>
        <w:rPr>
          <w:rFonts w:ascii="Century Gothic" w:eastAsia="Calibri" w:hAnsi="Century Gothic" w:cs="Arial"/>
          <w:color w:val="000000"/>
          <w:szCs w:val="24"/>
          <w:lang w:eastAsia="es-MX"/>
        </w:rPr>
      </w:pPr>
      <w:r w:rsidRPr="008A55D0">
        <w:rPr>
          <w:rFonts w:ascii="Century Gothic" w:eastAsia="Calibri" w:hAnsi="Century Gothic" w:cs="Arial"/>
          <w:color w:val="000000"/>
          <w:szCs w:val="24"/>
          <w:lang w:eastAsia="es-MX"/>
        </w:rPr>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14:paraId="33CD0536" w14:textId="77777777" w:rsidR="008A55D0" w:rsidRPr="008A55D0" w:rsidRDefault="008A55D0" w:rsidP="008A55D0">
      <w:pPr>
        <w:spacing w:after="0" w:line="276" w:lineRule="auto"/>
        <w:ind w:firstLine="708"/>
        <w:jc w:val="both"/>
        <w:rPr>
          <w:rFonts w:ascii="Century Gothic" w:eastAsia="Calibri" w:hAnsi="Century Gothic" w:cs="Arial"/>
          <w:color w:val="000000"/>
          <w:szCs w:val="24"/>
          <w:lang w:eastAsia="es-MX"/>
        </w:rPr>
      </w:pPr>
      <w:r w:rsidRPr="008A55D0">
        <w:rPr>
          <w:rFonts w:ascii="Century Gothic" w:eastAsia="Calibri" w:hAnsi="Century Gothic" w:cs="Arial"/>
          <w:color w:val="000000"/>
          <w:szCs w:val="24"/>
          <w:lang w:eastAsia="es-MX"/>
        </w:rPr>
        <w:t xml:space="preserve">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 que establece: </w:t>
      </w:r>
    </w:p>
    <w:p w14:paraId="5B4DC454" w14:textId="77777777" w:rsidR="008A55D0" w:rsidRPr="008A55D0" w:rsidRDefault="008A55D0" w:rsidP="008A55D0">
      <w:pPr>
        <w:spacing w:after="0" w:line="276" w:lineRule="auto"/>
        <w:jc w:val="both"/>
        <w:rPr>
          <w:rFonts w:ascii="Century Gothic" w:eastAsia="Calibri" w:hAnsi="Century Gothic" w:cs="Arial"/>
          <w:color w:val="000000"/>
          <w:szCs w:val="24"/>
          <w:lang w:eastAsia="es-MX"/>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8A55D0" w:rsidRPr="008A55D0" w14:paraId="1AE22B72" w14:textId="77777777" w:rsidTr="00F07092">
        <w:trPr>
          <w:trHeight w:val="737"/>
          <w:tblHeader/>
        </w:trPr>
        <w:tc>
          <w:tcPr>
            <w:tcW w:w="3055"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5171B0F1" w14:textId="77777777" w:rsidR="008A55D0" w:rsidRPr="008A55D0" w:rsidRDefault="008A55D0" w:rsidP="008A55D0">
            <w:pPr>
              <w:spacing w:after="0" w:line="240" w:lineRule="auto"/>
              <w:jc w:val="center"/>
              <w:rPr>
                <w:rFonts w:ascii="Century Gothic" w:eastAsia="Arial" w:hAnsi="Century Gothic" w:cs="Arial"/>
                <w:b/>
                <w:bCs/>
                <w:color w:val="FFFFFF"/>
                <w:sz w:val="21"/>
                <w:szCs w:val="21"/>
                <w:lang w:val="es-ES" w:eastAsia="es-MX"/>
              </w:rPr>
            </w:pPr>
            <w:r w:rsidRPr="008A55D0">
              <w:rPr>
                <w:rFonts w:ascii="Century Gothic" w:eastAsia="Times New Roman" w:hAnsi="Century Gothic" w:cs="Arial"/>
                <w:b/>
                <w:bCs/>
                <w:color w:val="FFFFFF"/>
                <w:sz w:val="21"/>
                <w:szCs w:val="21"/>
                <w:lang w:val="es-ES" w:eastAsia="es-MX"/>
              </w:rPr>
              <w:t>Número</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de</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contratos</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con</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los</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cuales</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el</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Proponente</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cumple</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la</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experiencia</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acreditada</w:t>
            </w:r>
          </w:p>
        </w:tc>
        <w:tc>
          <w:tcPr>
            <w:tcW w:w="419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119DF302" w14:textId="77777777" w:rsidR="008A55D0" w:rsidRPr="008A55D0" w:rsidRDefault="008A55D0" w:rsidP="008A55D0">
            <w:pPr>
              <w:spacing w:after="0" w:line="240" w:lineRule="auto"/>
              <w:jc w:val="center"/>
              <w:rPr>
                <w:rFonts w:ascii="Century Gothic" w:eastAsia="Arial" w:hAnsi="Century Gothic" w:cs="Arial"/>
                <w:b/>
                <w:bCs/>
                <w:color w:val="FFFFFF"/>
                <w:sz w:val="21"/>
                <w:szCs w:val="21"/>
                <w:lang w:val="es-ES" w:eastAsia="es-MX"/>
              </w:rPr>
            </w:pPr>
            <w:proofErr w:type="gramStart"/>
            <w:r w:rsidRPr="008A55D0">
              <w:rPr>
                <w:rFonts w:ascii="Century Gothic" w:eastAsia="Times New Roman" w:hAnsi="Century Gothic" w:cs="Arial"/>
                <w:b/>
                <w:bCs/>
                <w:color w:val="FFFFFF"/>
                <w:sz w:val="21"/>
                <w:szCs w:val="21"/>
                <w:lang w:val="es-ES" w:eastAsia="es-MX"/>
              </w:rPr>
              <w:t>Valor</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mínimo</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a</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certificar</w:t>
            </w:r>
            <w:proofErr w:type="gramEnd"/>
          </w:p>
          <w:p w14:paraId="738044F4" w14:textId="77777777" w:rsidR="008A55D0" w:rsidRPr="008A55D0" w:rsidRDefault="008A55D0" w:rsidP="008A55D0">
            <w:pPr>
              <w:spacing w:after="0" w:line="240" w:lineRule="auto"/>
              <w:jc w:val="center"/>
              <w:rPr>
                <w:rFonts w:ascii="Century Gothic" w:eastAsia="Arial" w:hAnsi="Century Gothic" w:cs="Arial"/>
                <w:b/>
                <w:bCs/>
                <w:color w:val="FFFFFF"/>
                <w:sz w:val="21"/>
                <w:szCs w:val="21"/>
                <w:lang w:val="es-ES" w:eastAsia="es-MX"/>
              </w:rPr>
            </w:pPr>
            <w:r w:rsidRPr="008A55D0">
              <w:rPr>
                <w:rFonts w:ascii="Century Gothic" w:eastAsia="Times New Roman" w:hAnsi="Century Gothic" w:cs="Arial"/>
                <w:b/>
                <w:bCs/>
                <w:color w:val="FFFFFF"/>
                <w:sz w:val="21"/>
                <w:szCs w:val="21"/>
                <w:lang w:val="es-ES" w:eastAsia="es-MX"/>
              </w:rPr>
              <w:t>(como</w:t>
            </w:r>
            <w:r w:rsidRPr="008A55D0">
              <w:rPr>
                <w:rFonts w:ascii="Century Gothic" w:eastAsia="Arial" w:hAnsi="Century Gothic" w:cs="Arial"/>
                <w:b/>
                <w:bCs/>
                <w:color w:val="FFFFFF"/>
                <w:sz w:val="21"/>
                <w:szCs w:val="21"/>
                <w:lang w:val="es-ES" w:eastAsia="es-MX"/>
              </w:rPr>
              <w:t xml:space="preserve"> % </w:t>
            </w:r>
            <w:r w:rsidRPr="008A55D0">
              <w:rPr>
                <w:rFonts w:ascii="Century Gothic" w:eastAsia="Times New Roman" w:hAnsi="Century Gothic" w:cs="Arial"/>
                <w:b/>
                <w:bCs/>
                <w:color w:val="FFFFFF"/>
                <w:sz w:val="21"/>
                <w:szCs w:val="21"/>
                <w:lang w:val="es-ES" w:eastAsia="es-MX"/>
              </w:rPr>
              <w:t>del</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Presupuesto</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Oficial</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de</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obra</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expresado</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en</w:t>
            </w:r>
            <w:r w:rsidRPr="008A55D0">
              <w:rPr>
                <w:rFonts w:ascii="Century Gothic" w:eastAsia="Arial" w:hAnsi="Century Gothic" w:cs="Arial"/>
                <w:b/>
                <w:bCs/>
                <w:color w:val="FFFFFF"/>
                <w:sz w:val="21"/>
                <w:szCs w:val="21"/>
                <w:lang w:val="es-ES" w:eastAsia="es-MX"/>
              </w:rPr>
              <w:t xml:space="preserve"> </w:t>
            </w:r>
            <w:r w:rsidRPr="008A55D0">
              <w:rPr>
                <w:rFonts w:ascii="Century Gothic" w:eastAsia="Times New Roman" w:hAnsi="Century Gothic" w:cs="Arial"/>
                <w:b/>
                <w:bCs/>
                <w:color w:val="FFFFFF"/>
                <w:sz w:val="21"/>
                <w:szCs w:val="21"/>
                <w:lang w:val="es-ES" w:eastAsia="es-MX"/>
              </w:rPr>
              <w:t>SMMLV)</w:t>
            </w:r>
          </w:p>
        </w:tc>
      </w:tr>
      <w:tr w:rsidR="008A55D0" w:rsidRPr="008A55D0" w14:paraId="225B1F3C" w14:textId="77777777" w:rsidTr="00F07092">
        <w:tc>
          <w:tcPr>
            <w:tcW w:w="3055" w:type="dxa"/>
            <w:tcBorders>
              <w:top w:val="single" w:sz="4" w:space="0" w:color="000000"/>
              <w:left w:val="double" w:sz="4" w:space="0" w:color="auto"/>
              <w:bottom w:val="single" w:sz="4" w:space="0" w:color="000000"/>
              <w:right w:val="single" w:sz="4" w:space="0" w:color="000000"/>
            </w:tcBorders>
            <w:vAlign w:val="center"/>
            <w:hideMark/>
          </w:tcPr>
          <w:p w14:paraId="71A96FFB" w14:textId="77777777" w:rsidR="008A55D0" w:rsidRPr="008A55D0" w:rsidRDefault="008A55D0" w:rsidP="008A55D0">
            <w:pPr>
              <w:spacing w:after="0" w:line="240" w:lineRule="auto"/>
              <w:jc w:val="center"/>
              <w:rPr>
                <w:rFonts w:ascii="Century Gothic" w:eastAsia="Arial" w:hAnsi="Century Gothic" w:cs="Arial"/>
                <w:sz w:val="21"/>
                <w:szCs w:val="21"/>
                <w:lang w:val="es-ES" w:eastAsia="es-MX"/>
              </w:rPr>
            </w:pPr>
            <w:r w:rsidRPr="008A55D0">
              <w:rPr>
                <w:rFonts w:ascii="Century Gothic" w:eastAsia="Times New Roman" w:hAnsi="Century Gothic" w:cs="Arial"/>
                <w:sz w:val="21"/>
                <w:szCs w:val="21"/>
                <w:lang w:val="es-ES" w:eastAsia="es-MX"/>
              </w:rPr>
              <w:t>De</w:t>
            </w:r>
            <w:r w:rsidRPr="008A55D0">
              <w:rPr>
                <w:rFonts w:ascii="Century Gothic" w:eastAsia="Arial" w:hAnsi="Century Gothic" w:cs="Arial"/>
                <w:sz w:val="21"/>
                <w:szCs w:val="21"/>
                <w:lang w:val="es-ES" w:eastAsia="es-MX"/>
              </w:rPr>
              <w:t xml:space="preserve"> </w:t>
            </w:r>
            <w:r w:rsidRPr="008A55D0">
              <w:rPr>
                <w:rFonts w:ascii="Century Gothic" w:eastAsia="Times New Roman" w:hAnsi="Century Gothic" w:cs="Arial"/>
                <w:sz w:val="21"/>
                <w:szCs w:val="21"/>
                <w:lang w:val="es-ES" w:eastAsia="es-MX"/>
              </w:rPr>
              <w:t>1</w:t>
            </w:r>
            <w:r w:rsidRPr="008A55D0">
              <w:rPr>
                <w:rFonts w:ascii="Century Gothic" w:eastAsia="Arial" w:hAnsi="Century Gothic" w:cs="Arial"/>
                <w:sz w:val="21"/>
                <w:szCs w:val="21"/>
                <w:lang w:val="es-ES" w:eastAsia="es-MX"/>
              </w:rPr>
              <w:t xml:space="preserve"> </w:t>
            </w:r>
            <w:r w:rsidRPr="008A55D0">
              <w:rPr>
                <w:rFonts w:ascii="Century Gothic" w:eastAsia="Times New Roman" w:hAnsi="Century Gothic" w:cs="Arial"/>
                <w:sz w:val="21"/>
                <w:szCs w:val="21"/>
                <w:lang w:val="es-ES" w:eastAsia="es-MX"/>
              </w:rPr>
              <w:t>hasta</w:t>
            </w:r>
            <w:r w:rsidRPr="008A55D0">
              <w:rPr>
                <w:rFonts w:ascii="Century Gothic" w:eastAsia="Arial" w:hAnsi="Century Gothic" w:cs="Arial"/>
                <w:sz w:val="21"/>
                <w:szCs w:val="21"/>
                <w:lang w:val="es-ES" w:eastAsia="es-MX"/>
              </w:rPr>
              <w:t xml:space="preserve"> </w:t>
            </w:r>
            <w:r w:rsidRPr="008A55D0">
              <w:rPr>
                <w:rFonts w:ascii="Century Gothic" w:eastAsia="Times New Roman" w:hAnsi="Century Gothic" w:cs="Arial"/>
                <w:sz w:val="21"/>
                <w:szCs w:val="21"/>
                <w:lang w:val="es-ES" w:eastAsia="es-MX"/>
              </w:rPr>
              <w:t>2</w:t>
            </w:r>
          </w:p>
        </w:tc>
        <w:tc>
          <w:tcPr>
            <w:tcW w:w="4192" w:type="dxa"/>
            <w:tcBorders>
              <w:top w:val="single" w:sz="4" w:space="0" w:color="000000"/>
              <w:left w:val="single" w:sz="4" w:space="0" w:color="000000"/>
              <w:bottom w:val="single" w:sz="4" w:space="0" w:color="000000"/>
              <w:right w:val="double" w:sz="4" w:space="0" w:color="auto"/>
            </w:tcBorders>
            <w:vAlign w:val="center"/>
            <w:hideMark/>
          </w:tcPr>
          <w:p w14:paraId="0C39D989" w14:textId="77777777" w:rsidR="008A55D0" w:rsidRPr="008A55D0" w:rsidRDefault="008A55D0" w:rsidP="008A55D0">
            <w:pPr>
              <w:spacing w:after="0" w:line="240" w:lineRule="auto"/>
              <w:jc w:val="center"/>
              <w:rPr>
                <w:rFonts w:ascii="Century Gothic" w:eastAsia="Arial" w:hAnsi="Century Gothic" w:cs="Arial"/>
                <w:sz w:val="21"/>
                <w:szCs w:val="21"/>
                <w:lang w:val="es-ES" w:eastAsia="es-MX"/>
              </w:rPr>
            </w:pPr>
            <w:r w:rsidRPr="008A55D0">
              <w:rPr>
                <w:rFonts w:ascii="Century Gothic" w:eastAsia="Times New Roman" w:hAnsi="Century Gothic" w:cs="Arial"/>
                <w:sz w:val="21"/>
                <w:szCs w:val="21"/>
                <w:lang w:val="es-ES" w:eastAsia="es-MX"/>
              </w:rPr>
              <w:t>75%</w:t>
            </w:r>
          </w:p>
        </w:tc>
      </w:tr>
      <w:tr w:rsidR="008A55D0" w:rsidRPr="008A55D0" w14:paraId="12316D63" w14:textId="77777777" w:rsidTr="00F07092">
        <w:tc>
          <w:tcPr>
            <w:tcW w:w="3055" w:type="dxa"/>
            <w:tcBorders>
              <w:top w:val="single" w:sz="4" w:space="0" w:color="000000"/>
              <w:left w:val="double" w:sz="4" w:space="0" w:color="auto"/>
              <w:bottom w:val="single" w:sz="4" w:space="0" w:color="000000"/>
              <w:right w:val="single" w:sz="4" w:space="0" w:color="000000"/>
            </w:tcBorders>
            <w:vAlign w:val="center"/>
            <w:hideMark/>
          </w:tcPr>
          <w:p w14:paraId="1CC9F8B2" w14:textId="77777777" w:rsidR="008A55D0" w:rsidRPr="008A55D0" w:rsidRDefault="008A55D0" w:rsidP="008A55D0">
            <w:pPr>
              <w:spacing w:after="0" w:line="240" w:lineRule="auto"/>
              <w:jc w:val="center"/>
              <w:rPr>
                <w:rFonts w:ascii="Century Gothic" w:eastAsia="Arial" w:hAnsi="Century Gothic" w:cs="Arial"/>
                <w:sz w:val="21"/>
                <w:szCs w:val="21"/>
                <w:lang w:val="es-ES" w:eastAsia="es-MX"/>
              </w:rPr>
            </w:pPr>
            <w:r w:rsidRPr="008A55D0">
              <w:rPr>
                <w:rFonts w:ascii="Century Gothic" w:eastAsia="Times New Roman" w:hAnsi="Century Gothic" w:cs="Arial"/>
                <w:sz w:val="21"/>
                <w:szCs w:val="21"/>
                <w:lang w:val="es-ES" w:eastAsia="es-MX"/>
              </w:rPr>
              <w:t>De</w:t>
            </w:r>
            <w:r w:rsidRPr="008A55D0">
              <w:rPr>
                <w:rFonts w:ascii="Century Gothic" w:eastAsia="Arial" w:hAnsi="Century Gothic" w:cs="Arial"/>
                <w:sz w:val="21"/>
                <w:szCs w:val="21"/>
                <w:lang w:val="es-ES" w:eastAsia="es-MX"/>
              </w:rPr>
              <w:t xml:space="preserve"> </w:t>
            </w:r>
            <w:r w:rsidRPr="008A55D0">
              <w:rPr>
                <w:rFonts w:ascii="Century Gothic" w:eastAsia="Times New Roman" w:hAnsi="Century Gothic" w:cs="Arial"/>
                <w:sz w:val="21"/>
                <w:szCs w:val="21"/>
                <w:lang w:val="es-ES" w:eastAsia="es-MX"/>
              </w:rPr>
              <w:t>3</w:t>
            </w:r>
            <w:r w:rsidRPr="008A55D0">
              <w:rPr>
                <w:rFonts w:ascii="Century Gothic" w:eastAsia="Arial" w:hAnsi="Century Gothic" w:cs="Arial"/>
                <w:sz w:val="21"/>
                <w:szCs w:val="21"/>
                <w:lang w:val="es-ES" w:eastAsia="es-MX"/>
              </w:rPr>
              <w:t xml:space="preserve"> </w:t>
            </w:r>
            <w:r w:rsidRPr="008A55D0">
              <w:rPr>
                <w:rFonts w:ascii="Century Gothic" w:eastAsia="Times New Roman" w:hAnsi="Century Gothic" w:cs="Arial"/>
                <w:sz w:val="21"/>
                <w:szCs w:val="21"/>
                <w:lang w:val="es-ES" w:eastAsia="es-MX"/>
              </w:rPr>
              <w:t>hasta</w:t>
            </w:r>
            <w:r w:rsidRPr="008A55D0">
              <w:rPr>
                <w:rFonts w:ascii="Century Gothic" w:eastAsia="Arial" w:hAnsi="Century Gothic" w:cs="Arial"/>
                <w:sz w:val="21"/>
                <w:szCs w:val="21"/>
                <w:lang w:val="es-ES" w:eastAsia="es-MX"/>
              </w:rPr>
              <w:t xml:space="preserve"> </w:t>
            </w:r>
            <w:r w:rsidRPr="008A55D0">
              <w:rPr>
                <w:rFonts w:ascii="Century Gothic" w:eastAsia="Times New Roman" w:hAnsi="Century Gothic" w:cs="Arial"/>
                <w:sz w:val="21"/>
                <w:szCs w:val="21"/>
                <w:lang w:val="es-ES" w:eastAsia="es-MX"/>
              </w:rPr>
              <w:t>4</w:t>
            </w:r>
          </w:p>
        </w:tc>
        <w:tc>
          <w:tcPr>
            <w:tcW w:w="4192" w:type="dxa"/>
            <w:tcBorders>
              <w:top w:val="single" w:sz="4" w:space="0" w:color="000000"/>
              <w:left w:val="single" w:sz="4" w:space="0" w:color="000000"/>
              <w:bottom w:val="single" w:sz="4" w:space="0" w:color="000000"/>
              <w:right w:val="double" w:sz="4" w:space="0" w:color="auto"/>
            </w:tcBorders>
            <w:vAlign w:val="center"/>
            <w:hideMark/>
          </w:tcPr>
          <w:p w14:paraId="0B568B7A" w14:textId="77777777" w:rsidR="008A55D0" w:rsidRPr="008A55D0" w:rsidRDefault="008A55D0" w:rsidP="008A55D0">
            <w:pPr>
              <w:spacing w:after="0" w:line="240" w:lineRule="auto"/>
              <w:jc w:val="center"/>
              <w:rPr>
                <w:rFonts w:ascii="Century Gothic" w:eastAsia="Arial" w:hAnsi="Century Gothic" w:cs="Arial"/>
                <w:sz w:val="21"/>
                <w:szCs w:val="21"/>
                <w:lang w:val="es-ES" w:eastAsia="es-MX"/>
              </w:rPr>
            </w:pPr>
            <w:r w:rsidRPr="008A55D0">
              <w:rPr>
                <w:rFonts w:ascii="Century Gothic" w:eastAsia="Times New Roman" w:hAnsi="Century Gothic" w:cs="Arial"/>
                <w:sz w:val="21"/>
                <w:szCs w:val="21"/>
                <w:lang w:val="es-ES" w:eastAsia="es-MX"/>
              </w:rPr>
              <w:t>120%</w:t>
            </w:r>
          </w:p>
        </w:tc>
      </w:tr>
      <w:tr w:rsidR="008A55D0" w:rsidRPr="008A55D0" w14:paraId="50DBED4A" w14:textId="77777777" w:rsidTr="00F07092">
        <w:tc>
          <w:tcPr>
            <w:tcW w:w="3055" w:type="dxa"/>
            <w:tcBorders>
              <w:top w:val="single" w:sz="4" w:space="0" w:color="000000"/>
              <w:left w:val="double" w:sz="4" w:space="0" w:color="auto"/>
              <w:bottom w:val="double" w:sz="4" w:space="0" w:color="auto"/>
              <w:right w:val="single" w:sz="4" w:space="0" w:color="000000"/>
            </w:tcBorders>
            <w:vAlign w:val="center"/>
            <w:hideMark/>
          </w:tcPr>
          <w:p w14:paraId="0D3E2CEF" w14:textId="77777777" w:rsidR="008A55D0" w:rsidRPr="008A55D0" w:rsidRDefault="008A55D0" w:rsidP="008A55D0">
            <w:pPr>
              <w:spacing w:after="0" w:line="240" w:lineRule="auto"/>
              <w:jc w:val="center"/>
              <w:rPr>
                <w:rFonts w:ascii="Century Gothic" w:eastAsia="Arial" w:hAnsi="Century Gothic" w:cs="Arial"/>
                <w:sz w:val="21"/>
                <w:szCs w:val="21"/>
                <w:lang w:val="es-ES" w:eastAsia="es-MX"/>
              </w:rPr>
            </w:pPr>
            <w:r w:rsidRPr="008A55D0">
              <w:rPr>
                <w:rFonts w:ascii="Century Gothic" w:eastAsia="Times New Roman" w:hAnsi="Century Gothic" w:cs="Arial"/>
                <w:sz w:val="21"/>
                <w:szCs w:val="21"/>
                <w:lang w:val="es-ES" w:eastAsia="es-MX"/>
              </w:rPr>
              <w:t>Hasta 5</w:t>
            </w:r>
          </w:p>
        </w:tc>
        <w:tc>
          <w:tcPr>
            <w:tcW w:w="4192" w:type="dxa"/>
            <w:tcBorders>
              <w:top w:val="single" w:sz="4" w:space="0" w:color="000000"/>
              <w:left w:val="single" w:sz="4" w:space="0" w:color="000000"/>
              <w:bottom w:val="double" w:sz="4" w:space="0" w:color="auto"/>
              <w:right w:val="double" w:sz="4" w:space="0" w:color="auto"/>
            </w:tcBorders>
            <w:vAlign w:val="center"/>
            <w:hideMark/>
          </w:tcPr>
          <w:p w14:paraId="254E889E" w14:textId="77777777" w:rsidR="008A55D0" w:rsidRPr="008A55D0" w:rsidRDefault="008A55D0" w:rsidP="008A55D0">
            <w:pPr>
              <w:spacing w:after="0" w:line="240" w:lineRule="auto"/>
              <w:jc w:val="center"/>
              <w:rPr>
                <w:rFonts w:ascii="Century Gothic" w:eastAsia="Arial" w:hAnsi="Century Gothic" w:cs="Arial"/>
                <w:sz w:val="21"/>
                <w:szCs w:val="21"/>
                <w:lang w:val="es-ES" w:eastAsia="es-MX"/>
              </w:rPr>
            </w:pPr>
            <w:r w:rsidRPr="008A55D0">
              <w:rPr>
                <w:rFonts w:ascii="Century Gothic" w:eastAsia="Times New Roman" w:hAnsi="Century Gothic" w:cs="Arial"/>
                <w:sz w:val="21"/>
                <w:szCs w:val="21"/>
                <w:lang w:val="es-ES" w:eastAsia="es-MX"/>
              </w:rPr>
              <w:t>150%</w:t>
            </w:r>
          </w:p>
        </w:tc>
      </w:tr>
    </w:tbl>
    <w:p w14:paraId="202B0C32" w14:textId="77777777" w:rsidR="008A55D0" w:rsidRPr="008A55D0" w:rsidRDefault="008A55D0" w:rsidP="008A55D0">
      <w:pPr>
        <w:spacing w:after="0" w:line="276" w:lineRule="auto"/>
        <w:jc w:val="both"/>
        <w:rPr>
          <w:rFonts w:ascii="Century Gothic" w:eastAsia="Calibri" w:hAnsi="Century Gothic" w:cs="Arial"/>
          <w:color w:val="000000"/>
          <w:szCs w:val="24"/>
          <w:lang w:eastAsia="es-MX"/>
        </w:rPr>
      </w:pPr>
    </w:p>
    <w:p w14:paraId="2E7FAB9D" w14:textId="77777777" w:rsidR="008A55D0" w:rsidRPr="008A55D0" w:rsidRDefault="008A55D0" w:rsidP="008A55D0">
      <w:pPr>
        <w:spacing w:after="120" w:line="276" w:lineRule="auto"/>
        <w:ind w:firstLine="709"/>
        <w:jc w:val="both"/>
        <w:rPr>
          <w:rFonts w:ascii="Century Gothic" w:eastAsia="Calibri" w:hAnsi="Century Gothic" w:cs="Arial"/>
          <w:color w:val="000000"/>
          <w:szCs w:val="24"/>
          <w:lang w:eastAsia="es-MX"/>
        </w:rPr>
      </w:pPr>
      <w:r w:rsidRPr="008A55D0">
        <w:rPr>
          <w:rFonts w:ascii="Century Gothic" w:eastAsia="Calibri" w:hAnsi="Century Gothic" w:cs="Arial"/>
          <w:color w:val="000000"/>
          <w:szCs w:val="24"/>
          <w:lang w:eastAsia="es-MX"/>
        </w:rPr>
        <w:t xml:space="preserve">Es decir, la verificación se hará con base en la sumatoria de los valores </w:t>
      </w:r>
      <w:proofErr w:type="gramStart"/>
      <w:r w:rsidRPr="008A55D0">
        <w:rPr>
          <w:rFonts w:ascii="Century Gothic" w:eastAsia="Calibri" w:hAnsi="Century Gothic" w:cs="Arial"/>
          <w:color w:val="000000"/>
          <w:szCs w:val="24"/>
          <w:lang w:eastAsia="es-MX"/>
        </w:rPr>
        <w:t xml:space="preserve">totales  </w:t>
      </w:r>
      <w:r w:rsidRPr="008A55D0">
        <w:rPr>
          <w:rFonts w:ascii="Arial" w:eastAsia="Calibri" w:hAnsi="Arial" w:cs="Arial"/>
          <w:color w:val="000000"/>
          <w:szCs w:val="24"/>
          <w:lang w:eastAsia="es-MX"/>
        </w:rPr>
        <w:t>̶</w:t>
      </w:r>
      <w:proofErr w:type="gramEnd"/>
      <w:r w:rsidRPr="008A55D0">
        <w:rPr>
          <w:rFonts w:ascii="Century Gothic" w:eastAsia="Calibri" w:hAnsi="Century Gothic" w:cs="Arial"/>
          <w:color w:val="000000"/>
          <w:szCs w:val="24"/>
          <w:lang w:eastAsia="es-MX"/>
        </w:rPr>
        <w:t xml:space="preserve"> incluido IVA </w:t>
      </w:r>
      <w:r w:rsidRPr="008A55D0">
        <w:rPr>
          <w:rFonts w:ascii="Arial" w:eastAsia="Calibri" w:hAnsi="Arial" w:cs="Arial"/>
          <w:color w:val="000000"/>
          <w:szCs w:val="24"/>
          <w:lang w:eastAsia="es-MX"/>
        </w:rPr>
        <w:t>̶</w:t>
      </w:r>
      <w:r w:rsidRPr="008A55D0">
        <w:rPr>
          <w:rFonts w:ascii="Century Gothic" w:eastAsia="Calibri" w:hAnsi="Century Gothic" w:cs="Arial"/>
          <w:color w:val="000000"/>
          <w:szCs w:val="24"/>
          <w:lang w:eastAsia="es-MX"/>
        </w:rPr>
        <w:t xml:space="preserve">   en SMMLV ejecutados de los contratos relacionados con la </w:t>
      </w:r>
      <w:r w:rsidRPr="008A55D0">
        <w:rPr>
          <w:rFonts w:ascii="Century Gothic" w:eastAsia="Calibri" w:hAnsi="Century Gothic" w:cs="Arial"/>
          <w:color w:val="000000"/>
          <w:szCs w:val="24"/>
          <w:lang w:eastAsia="es-MX"/>
        </w:rPr>
        <w:lastRenderedPageBreak/>
        <w:t>obra pública de infraestructura de transporte y los contratos que acreditan la verificación de bienes y servicios adicionales a la obra pública que cumplen con los requisitos establecidos en este Pliego de Condiciones, sin que puedan aportarse más de cinco (5) contratos.</w:t>
      </w:r>
    </w:p>
    <w:p w14:paraId="72E76A84" w14:textId="77777777" w:rsidR="008A55D0" w:rsidRPr="008A55D0" w:rsidRDefault="008A55D0" w:rsidP="008A55D0">
      <w:pPr>
        <w:spacing w:after="120" w:line="276" w:lineRule="auto"/>
        <w:ind w:firstLine="709"/>
        <w:jc w:val="both"/>
        <w:rPr>
          <w:rFonts w:ascii="Century Gothic" w:eastAsia="Calibri" w:hAnsi="Century Gothic" w:cs="Arial"/>
          <w:color w:val="000000"/>
          <w:szCs w:val="24"/>
          <w:lang w:eastAsia="es-MX"/>
        </w:rPr>
      </w:pPr>
      <w:r w:rsidRPr="008A55D0">
        <w:rPr>
          <w:rFonts w:ascii="Century Gothic" w:eastAsia="Calibri" w:hAnsi="Century Gothic" w:cs="Arial"/>
          <w:color w:val="000000"/>
          <w:szCs w:val="24"/>
          <w:lang w:eastAsia="es-MX"/>
        </w:rPr>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14:paraId="32EE4AE8" w14:textId="77777777" w:rsidR="008A55D0" w:rsidRPr="008A55D0" w:rsidRDefault="008A55D0" w:rsidP="008A55D0">
      <w:pPr>
        <w:spacing w:after="120" w:line="276" w:lineRule="auto"/>
        <w:ind w:firstLine="709"/>
        <w:jc w:val="both"/>
        <w:rPr>
          <w:rFonts w:ascii="Century Gothic" w:eastAsia="Calibri" w:hAnsi="Century Gothic" w:cs="Arial"/>
          <w:color w:val="000000"/>
          <w:szCs w:val="24"/>
          <w:lang w:eastAsia="es-MX"/>
        </w:rPr>
      </w:pPr>
      <w:r w:rsidRPr="008A55D0">
        <w:rPr>
          <w:rFonts w:ascii="Century Gothic" w:eastAsia="Calibri" w:hAnsi="Century Gothic" w:cs="Arial"/>
          <w:color w:val="000000"/>
          <w:szCs w:val="24"/>
          <w:lang w:val="es-ES" w:eastAsia="es-MX"/>
        </w:rPr>
        <w:t xml:space="preserve">En caso de que el número de contratos con los cuales el Proponente acredita la experiencia no satisfaga el porcentaje mínimo a certificar, establecido en la anterior tabla, se </w:t>
      </w:r>
      <w:r w:rsidRPr="008A55D0">
        <w:rPr>
          <w:rFonts w:ascii="Century Gothic" w:eastAsia="Calibri" w:hAnsi="Century Gothic" w:cs="Arial"/>
          <w:color w:val="000000"/>
          <w:szCs w:val="24"/>
          <w:lang w:eastAsia="es-MX"/>
        </w:rPr>
        <w:t>calificará la propuesta como no hábil.</w:t>
      </w:r>
    </w:p>
    <w:p w14:paraId="7ABC70FB" w14:textId="77777777" w:rsidR="008A55D0" w:rsidRPr="008A55D0" w:rsidRDefault="008A55D0" w:rsidP="008A55D0">
      <w:pPr>
        <w:spacing w:after="0" w:line="276" w:lineRule="auto"/>
        <w:ind w:firstLine="709"/>
        <w:jc w:val="both"/>
        <w:rPr>
          <w:rFonts w:ascii="Century Gothic" w:eastAsia="Calibri" w:hAnsi="Century Gothic" w:cs="Arial"/>
          <w:color w:val="000000"/>
          <w:szCs w:val="24"/>
          <w:lang w:eastAsia="es-MX"/>
        </w:rPr>
      </w:pPr>
      <w:r w:rsidRPr="008A55D0">
        <w:rPr>
          <w:rFonts w:ascii="Century Gothic" w:eastAsia="Calibri" w:hAnsi="Century Gothic" w:cs="Arial"/>
          <w:color w:val="000000"/>
          <w:szCs w:val="24"/>
          <w:lang w:eastAsia="es-MX"/>
        </w:rPr>
        <w:t xml:space="preserve">Asimismo, es pertinente señalar que, el literal J del numeral 3.5.3 “Consideraciones para la validez de la experiencia requerida”, señala que, en los contratos aportados como experiencia que contengan actividades ejecutadas ajenas a la obra de infraestructura de transporte, la Entidad solo tendrá en cuenta los valores y magnitudes ejecutadas relacionadas con este tipo de infraestructura. </w:t>
      </w:r>
    </w:p>
    <w:p w14:paraId="2A47510F" w14:textId="77777777" w:rsidR="008A55D0" w:rsidRPr="008A55D0" w:rsidRDefault="008A55D0" w:rsidP="008A55D0">
      <w:pPr>
        <w:shd w:val="clear" w:color="auto" w:fill="FFFFFF"/>
        <w:tabs>
          <w:tab w:val="left" w:pos="0"/>
        </w:tabs>
        <w:spacing w:after="0"/>
        <w:jc w:val="both"/>
        <w:rPr>
          <w:rFonts w:ascii="Century Gothic" w:eastAsia="Calibri" w:hAnsi="Century Gothic" w:cs="Arial"/>
          <w:bCs/>
          <w:lang w:val="es-MX"/>
        </w:rPr>
      </w:pPr>
    </w:p>
    <w:p w14:paraId="0CFD7A4E" w14:textId="77777777" w:rsidR="008A55D0" w:rsidRPr="008A55D0" w:rsidRDefault="008A55D0" w:rsidP="008A55D0">
      <w:pPr>
        <w:spacing w:after="0" w:line="276" w:lineRule="auto"/>
        <w:jc w:val="both"/>
        <w:rPr>
          <w:rFonts w:ascii="Century Gothic" w:eastAsia="Calibri" w:hAnsi="Century Gothic" w:cs="Arial"/>
          <w:b/>
          <w:bCs/>
          <w:color w:val="000000"/>
        </w:rPr>
      </w:pPr>
      <w:r w:rsidRPr="008A55D0">
        <w:rPr>
          <w:rFonts w:ascii="Century Gothic" w:eastAsia="Calibri" w:hAnsi="Century Gothic" w:cs="Arial"/>
          <w:b/>
          <w:color w:val="000000"/>
          <w:lang w:val="es-ES_tradnl" w:eastAsia="es-ES_tradnl"/>
        </w:rPr>
        <w:t xml:space="preserve">2.3. </w:t>
      </w:r>
      <w:bookmarkStart w:id="18" w:name="_Hlk109396231"/>
      <w:bookmarkStart w:id="19" w:name="_Hlk109297697"/>
      <w:r w:rsidRPr="008A55D0">
        <w:rPr>
          <w:rFonts w:ascii="Century Gothic" w:eastAsia="Calibri" w:hAnsi="Century Gothic" w:cs="Arial"/>
          <w:b/>
          <w:bCs/>
          <w:color w:val="000000"/>
        </w:rPr>
        <w:t>Combinación de experiencia en los documentos tipo de infraestructura de transporte</w:t>
      </w:r>
    </w:p>
    <w:bookmarkEnd w:id="18"/>
    <w:bookmarkEnd w:id="19"/>
    <w:p w14:paraId="7349AB3E" w14:textId="77777777" w:rsidR="008A55D0" w:rsidRPr="008A55D0" w:rsidRDefault="008A55D0" w:rsidP="008A55D0">
      <w:pPr>
        <w:spacing w:after="0" w:line="276" w:lineRule="auto"/>
        <w:jc w:val="both"/>
        <w:rPr>
          <w:rFonts w:ascii="Century Gothic" w:eastAsia="Calibri" w:hAnsi="Century Gothic" w:cs="Arial"/>
          <w:b/>
          <w:bCs/>
          <w:color w:val="000000"/>
        </w:rPr>
      </w:pPr>
    </w:p>
    <w:p w14:paraId="6C3B7078" w14:textId="77777777" w:rsidR="008A55D0" w:rsidRPr="008A55D0" w:rsidRDefault="008A55D0" w:rsidP="008A55D0">
      <w:pPr>
        <w:spacing w:after="120" w:line="276" w:lineRule="auto"/>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14:paraId="3F568AAE" w14:textId="77777777" w:rsidR="008A55D0" w:rsidRPr="008A55D0" w:rsidRDefault="008A55D0" w:rsidP="008A55D0">
      <w:pPr>
        <w:spacing w:after="0" w:line="276" w:lineRule="auto"/>
        <w:ind w:firstLine="708"/>
        <w:jc w:val="both"/>
        <w:rPr>
          <w:rFonts w:ascii="Century Gothic" w:eastAsia="Calibri" w:hAnsi="Century Gothic" w:cs="Arial"/>
          <w:color w:val="000000"/>
        </w:rPr>
      </w:pPr>
      <w:r w:rsidRPr="008A55D0">
        <w:rPr>
          <w:rFonts w:ascii="Century Gothic" w:eastAsia="Calibri" w:hAnsi="Century Gothic" w:cs="Arial"/>
          <w:color w:val="000000"/>
          <w:lang w:val="es-MX"/>
        </w:rPr>
        <w:t>Particularmente, en la “Matriz 1 – Experiencia”</w:t>
      </w:r>
      <w:r w:rsidRPr="008A55D0">
        <w:rPr>
          <w:rFonts w:ascii="Century Gothic" w:eastAsia="Calibri" w:hAnsi="Century Gothic" w:cs="Arial"/>
          <w:lang w:val="es-MX"/>
        </w:rPr>
        <w:t>,</w:t>
      </w:r>
      <w:r w:rsidRPr="008A55D0">
        <w:rPr>
          <w:rFonts w:ascii="Century Gothic" w:eastAsia="Calibri" w:hAnsi="Century Gothic" w:cs="Arial"/>
          <w:color w:val="000000"/>
          <w:lang w:val="es-MX"/>
        </w:rPr>
        <w:t xml:space="preserve"> en el acápite de “Reglas para definir la experiencia exigible en el proceso de contratación” </w:t>
      </w:r>
      <w:r w:rsidRPr="008A55D0">
        <w:rPr>
          <w:rFonts w:ascii="Century Gothic" w:eastAsia="Calibri" w:hAnsi="Century Gothic" w:cs="Arial"/>
          <w:color w:val="000000"/>
        </w:rPr>
        <w:t>tanto de baja o mediana y alta complejidad de los documentos tipo actuales, se establece la regla vi) que prescribe lo siguiente:</w:t>
      </w:r>
    </w:p>
    <w:p w14:paraId="7612FC04" w14:textId="77777777" w:rsidR="008A55D0" w:rsidRPr="008A55D0" w:rsidRDefault="008A55D0" w:rsidP="008A55D0">
      <w:pPr>
        <w:spacing w:after="0" w:line="276" w:lineRule="auto"/>
        <w:ind w:firstLine="708"/>
        <w:jc w:val="both"/>
        <w:rPr>
          <w:rFonts w:ascii="Century Gothic" w:eastAsia="Calibri" w:hAnsi="Century Gothic" w:cs="Arial"/>
          <w:color w:val="000000"/>
        </w:rPr>
      </w:pPr>
    </w:p>
    <w:p w14:paraId="515B183E" w14:textId="77777777" w:rsidR="008A55D0" w:rsidRPr="008A55D0" w:rsidRDefault="008A55D0" w:rsidP="008A55D0">
      <w:pPr>
        <w:spacing w:after="0" w:line="240" w:lineRule="auto"/>
        <w:ind w:left="709" w:right="709"/>
        <w:jc w:val="both"/>
        <w:rPr>
          <w:rFonts w:ascii="Century Gothic" w:eastAsia="Calibri" w:hAnsi="Century Gothic" w:cs="Arial"/>
          <w:color w:val="000000"/>
          <w:sz w:val="21"/>
          <w:szCs w:val="21"/>
          <w:lang w:val="es-MX"/>
        </w:rPr>
      </w:pPr>
      <w:r w:rsidRPr="008A55D0">
        <w:rPr>
          <w:rFonts w:ascii="Century Gothic" w:eastAsia="Calibri" w:hAnsi="Century Gothic" w:cs="Arial"/>
          <w:color w:val="000000"/>
          <w:sz w:val="21"/>
          <w:szCs w:val="21"/>
          <w:lang w:val="es-MX"/>
        </w:rPr>
        <w:t xml:space="preserve">“vi) Cuando el objeto del proceso de contratación </w:t>
      </w:r>
      <w:proofErr w:type="gramStart"/>
      <w:r w:rsidRPr="008A55D0">
        <w:rPr>
          <w:rFonts w:ascii="Century Gothic" w:eastAsia="Calibri" w:hAnsi="Century Gothic" w:cs="Arial"/>
          <w:color w:val="000000"/>
          <w:sz w:val="21"/>
          <w:szCs w:val="21"/>
          <w:lang w:val="es-MX"/>
        </w:rPr>
        <w:t>contemple</w:t>
      </w:r>
      <w:proofErr w:type="gramEnd"/>
      <w:r w:rsidRPr="008A55D0">
        <w:rPr>
          <w:rFonts w:ascii="Century Gothic" w:eastAsia="Calibri" w:hAnsi="Century Gothic" w:cs="Arial"/>
          <w:color w:val="000000"/>
          <w:sz w:val="21"/>
          <w:szCs w:val="21"/>
          <w:lang w:val="es-MX"/>
        </w:rPr>
        <w:t xml:space="preserve"> la ejecución de dos o más “Actividades a Contratar” (ej.: 1.1 y 7.1, o de </w:t>
      </w:r>
      <w:r w:rsidRPr="008A55D0">
        <w:rPr>
          <w:rFonts w:ascii="Century Gothic" w:eastAsia="Calibri" w:hAnsi="Century Gothic" w:cs="Arial"/>
          <w:color w:val="000000"/>
          <w:sz w:val="21"/>
          <w:szCs w:val="21"/>
          <w:lang w:val="es-MX"/>
        </w:rPr>
        <w:lastRenderedPageBreak/>
        <w:t xml:space="preserve">actividades de diferentes matrices de experiencia y/o sectores), la entidad procederá de acuerdo con lo indicado en el Documento Base en relación con la combinación de experiencia”. </w:t>
      </w:r>
    </w:p>
    <w:p w14:paraId="2EBDE6DB" w14:textId="77777777" w:rsidR="008A55D0" w:rsidRPr="008A55D0" w:rsidRDefault="008A55D0" w:rsidP="008A55D0">
      <w:pPr>
        <w:spacing w:after="0" w:line="240" w:lineRule="auto"/>
        <w:jc w:val="both"/>
        <w:rPr>
          <w:rFonts w:ascii="Century Gothic" w:eastAsia="Calibri" w:hAnsi="Century Gothic" w:cs="Arial"/>
          <w:color w:val="000000"/>
          <w:lang w:val="es-MX"/>
        </w:rPr>
      </w:pPr>
    </w:p>
    <w:p w14:paraId="464E1B5A" w14:textId="77777777" w:rsidR="008A55D0" w:rsidRPr="008A55D0" w:rsidRDefault="008A55D0" w:rsidP="008A55D0">
      <w:pPr>
        <w:spacing w:after="0" w:line="276" w:lineRule="auto"/>
        <w:ind w:firstLine="709"/>
        <w:jc w:val="both"/>
        <w:rPr>
          <w:rFonts w:ascii="Century Gothic" w:eastAsia="Calibri" w:hAnsi="Century Gothic" w:cs="Arial"/>
        </w:rPr>
      </w:pPr>
      <w:r w:rsidRPr="008A55D0">
        <w:rPr>
          <w:rFonts w:ascii="Century Gothic" w:eastAsia="Calibri" w:hAnsi="Century Gothic" w:cs="Arial"/>
        </w:rPr>
        <w:t>En armonía con lo anterior, el literal A del numeral 3.5.2.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14:paraId="3D7C2396" w14:textId="77777777" w:rsidR="008A55D0" w:rsidRPr="008A55D0" w:rsidRDefault="008A55D0" w:rsidP="008A55D0">
      <w:pPr>
        <w:spacing w:after="0" w:line="240" w:lineRule="auto"/>
        <w:contextualSpacing/>
        <w:jc w:val="both"/>
        <w:rPr>
          <w:rFonts w:ascii="Century Gothic" w:eastAsia="Calibri" w:hAnsi="Century Gothic" w:cs="Arial"/>
          <w:color w:val="000000"/>
          <w:lang w:val="es-MX"/>
        </w:rPr>
      </w:pPr>
    </w:p>
    <w:p w14:paraId="5E6E0DCD" w14:textId="77777777" w:rsidR="008A55D0" w:rsidRPr="008A55D0" w:rsidRDefault="008A55D0" w:rsidP="008A55D0">
      <w:pPr>
        <w:spacing w:after="120" w:line="240" w:lineRule="auto"/>
        <w:ind w:left="709" w:right="709" w:hanging="142"/>
        <w:jc w:val="both"/>
        <w:rPr>
          <w:rFonts w:ascii="Century Gothic" w:eastAsia="Times New Roman" w:hAnsi="Century Gothic" w:cs="Arial"/>
          <w:color w:val="000000"/>
          <w:sz w:val="21"/>
          <w:szCs w:val="21"/>
          <w:highlight w:val="lightGray"/>
          <w:lang w:eastAsia="es-ES"/>
        </w:rPr>
      </w:pPr>
      <w:r w:rsidRPr="008A55D0">
        <w:rPr>
          <w:rFonts w:ascii="Century Gothic" w:eastAsia="Calibri" w:hAnsi="Century Gothic" w:cs="Arial"/>
          <w:color w:val="000000"/>
          <w:lang w:val="es-MX"/>
        </w:rPr>
        <w:tab/>
      </w:r>
      <w:r w:rsidRPr="008A55D0">
        <w:rPr>
          <w:rFonts w:ascii="Century Gothic" w:eastAsia="Calibri" w:hAnsi="Century Gothic" w:cs="Arial"/>
          <w:color w:val="000000"/>
          <w:sz w:val="21"/>
          <w:szCs w:val="21"/>
          <w:lang w:val="es-MX"/>
        </w:rPr>
        <w:t>“</w:t>
      </w:r>
      <w:r w:rsidRPr="008A55D0">
        <w:rPr>
          <w:rFonts w:ascii="Century Gothic" w:eastAsia="Times New Roman" w:hAnsi="Century Gothic" w:cs="Arial"/>
          <w:color w:val="000000"/>
          <w:sz w:val="21"/>
          <w:szCs w:val="21"/>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3F146949" w14:textId="77777777" w:rsidR="008A55D0" w:rsidRPr="008A55D0" w:rsidRDefault="008A55D0" w:rsidP="008A55D0">
      <w:pPr>
        <w:spacing w:after="120" w:line="240" w:lineRule="auto"/>
        <w:ind w:left="709" w:right="709"/>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b/>
          <w:bCs/>
          <w:color w:val="000000"/>
          <w:sz w:val="21"/>
          <w:szCs w:val="21"/>
          <w:highlight w:val="lightGray"/>
          <w:lang w:eastAsia="es-ES"/>
        </w:rPr>
        <w:t>Actividad Principal:</w:t>
      </w:r>
      <w:r w:rsidRPr="008A55D0">
        <w:rPr>
          <w:rFonts w:ascii="Century Gothic" w:eastAsia="Times New Roman" w:hAnsi="Century Gothic" w:cs="Arial"/>
          <w:color w:val="000000"/>
          <w:sz w:val="21"/>
          <w:szCs w:val="21"/>
          <w:highlight w:val="lightGray"/>
          <w:lang w:eastAsia="es-ES"/>
        </w:rPr>
        <w:t xml:space="preserve">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14:paraId="0D17DA02" w14:textId="77777777" w:rsidR="008A55D0" w:rsidRPr="008A55D0" w:rsidRDefault="008A55D0" w:rsidP="008A55D0">
      <w:pPr>
        <w:spacing w:after="120" w:line="240" w:lineRule="auto"/>
        <w:ind w:left="709" w:right="709"/>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 xml:space="preserve">[La Entidad deberá establecer como actividad principal alguna de las “actividades a contratar” definidas en la Matriz 1 – Experiencia de estos Documentos Tipo]. </w:t>
      </w:r>
    </w:p>
    <w:p w14:paraId="671332F3" w14:textId="77777777" w:rsidR="008A55D0" w:rsidRPr="008A55D0" w:rsidRDefault="008A55D0" w:rsidP="008A55D0">
      <w:pPr>
        <w:spacing w:after="120" w:line="240" w:lineRule="auto"/>
        <w:ind w:left="709" w:right="709"/>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b/>
          <w:bCs/>
          <w:color w:val="000000"/>
          <w:sz w:val="21"/>
          <w:szCs w:val="21"/>
          <w:highlight w:val="lightGray"/>
          <w:lang w:eastAsia="es-ES"/>
        </w:rPr>
        <w:t>Actividad Secundaria</w:t>
      </w:r>
      <w:r w:rsidRPr="008A55D0">
        <w:rPr>
          <w:rFonts w:ascii="Century Gothic" w:eastAsia="Times New Roman" w:hAnsi="Century Gothic" w:cs="Arial"/>
          <w:color w:val="000000"/>
          <w:sz w:val="21"/>
          <w:szCs w:val="21"/>
          <w:highlight w:val="lightGray"/>
          <w:lang w:eastAsia="es-ES"/>
        </w:rPr>
        <w:t xml:space="preserve"> </w:t>
      </w:r>
      <w:r w:rsidRPr="008A55D0">
        <w:rPr>
          <w:rFonts w:ascii="Century Gothic" w:eastAsia="Times New Roman" w:hAnsi="Century Gothic" w:cs="Arial"/>
          <w:b/>
          <w:bCs/>
          <w:color w:val="000000"/>
          <w:sz w:val="21"/>
          <w:szCs w:val="21"/>
          <w:highlight w:val="lightGray"/>
          <w:lang w:eastAsia="es-ES"/>
        </w:rPr>
        <w:t>(1)</w:t>
      </w:r>
      <w:r w:rsidRPr="008A55D0">
        <w:rPr>
          <w:rFonts w:ascii="Century Gothic" w:eastAsia="Times New Roman" w:hAnsi="Century Gothic" w:cs="Arial"/>
          <w:color w:val="000000"/>
          <w:sz w:val="21"/>
          <w:szCs w:val="21"/>
          <w:highlight w:val="lightGray"/>
          <w:lang w:eastAsia="es-ES"/>
        </w:rPr>
        <w:t>: [La Entidad definirá la actividad secundaria o accesoria aplicable en el Proceso de Contratación de acuerdo con la matriz de experiencia aplicable, ya sea cuando: i) en un mismo proyecto se incluyen otras actividades definidas en la Matriz 1 – Experiencia de estos Documentos Tipo o ii) cuando en un Proceso de Contratación aplican matrices de experiencia de otros Documentos Tipo y la Entidad considera conveniente incluir dicha experiencia, como por ejemplo: las Matrices de Experiencia de los Documentos Tipo de licitación de obra pública de infraestructura de social o de licitación de obra pública de infraestructura de agua potable y saneamiento básico.]</w:t>
      </w:r>
    </w:p>
    <w:p w14:paraId="66968544" w14:textId="77777777" w:rsidR="008A55D0" w:rsidRPr="008A55D0" w:rsidRDefault="008A55D0" w:rsidP="008A55D0">
      <w:pPr>
        <w:spacing w:after="120" w:line="240" w:lineRule="auto"/>
        <w:ind w:left="709" w:right="709"/>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b/>
          <w:bCs/>
          <w:color w:val="000000"/>
          <w:sz w:val="21"/>
          <w:szCs w:val="21"/>
          <w:highlight w:val="lightGray"/>
          <w:lang w:eastAsia="es-ES"/>
        </w:rPr>
        <w:t>Actividad Secundaria (2):</w:t>
      </w:r>
      <w:r w:rsidRPr="008A55D0">
        <w:rPr>
          <w:rFonts w:ascii="Century Gothic" w:eastAsia="Times New Roman" w:hAnsi="Century Gothic" w:cs="Arial"/>
          <w:color w:val="000000"/>
          <w:sz w:val="21"/>
          <w:szCs w:val="21"/>
          <w:highlight w:val="lightGray"/>
          <w:lang w:eastAsia="es-ES"/>
        </w:rPr>
        <w:t xml:space="preserve"> [La Entidad diligenciará la experiencia aplicable a esta actividad secundaria de acuerdo con los lineamientos </w:t>
      </w:r>
      <w:r w:rsidRPr="008A55D0">
        <w:rPr>
          <w:rFonts w:ascii="Century Gothic" w:eastAsia="Times New Roman" w:hAnsi="Century Gothic" w:cs="Arial"/>
          <w:color w:val="000000"/>
          <w:sz w:val="21"/>
          <w:szCs w:val="21"/>
          <w:highlight w:val="lightGray"/>
          <w:lang w:eastAsia="es-ES"/>
        </w:rPr>
        <w:lastRenderedPageBreak/>
        <w:t>previstos en el párrafo anterior, en caso de que aplique y si considera conveniente incluir dicha experiencia.]</w:t>
      </w:r>
    </w:p>
    <w:p w14:paraId="37837E9C" w14:textId="77777777" w:rsidR="008A55D0" w:rsidRPr="008A55D0" w:rsidRDefault="008A55D0" w:rsidP="008A55D0">
      <w:pPr>
        <w:spacing w:after="120" w:line="240" w:lineRule="auto"/>
        <w:ind w:left="709" w:right="709"/>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En caso de que se combinen diferentes actividades, la Entidad en este espacio definirá los requisitos de experiencia exigibles conforme</w:t>
      </w:r>
      <w:r w:rsidRPr="008A55D0">
        <w:rPr>
          <w:rFonts w:ascii="Century Gothic" w:eastAsia="Times New Roman" w:hAnsi="Century Gothic" w:cs="Arial"/>
          <w:color w:val="000000"/>
          <w:sz w:val="21"/>
          <w:szCs w:val="21"/>
          <w:highlight w:val="lightGray"/>
          <w:shd w:val="clear" w:color="auto" w:fill="C0C0C0"/>
          <w:lang w:val="es-MX" w:eastAsia="es-CO"/>
        </w:rPr>
        <w:t xml:space="preserve"> </w:t>
      </w:r>
      <w:r w:rsidRPr="008A55D0">
        <w:rPr>
          <w:rFonts w:ascii="Century Gothic" w:eastAsia="Times New Roman" w:hAnsi="Century Gothic" w:cs="Arial"/>
          <w:color w:val="000000"/>
          <w:sz w:val="21"/>
          <w:szCs w:val="21"/>
          <w:highlight w:val="lightGray"/>
          <w:lang w:val="es-MX" w:eastAsia="es-ES"/>
        </w:rPr>
        <w:t>con la Matriz 1 – Experiencia</w:t>
      </w:r>
      <w:r w:rsidRPr="008A55D0">
        <w:rPr>
          <w:rFonts w:ascii="Century Gothic" w:eastAsia="Times New Roman" w:hAnsi="Century Gothic" w:cs="Arial"/>
          <w:color w:val="000000"/>
          <w:sz w:val="21"/>
          <w:szCs w:val="21"/>
          <w:highlight w:val="lightGray"/>
          <w:lang w:eastAsia="es-ES"/>
        </w:rPr>
        <w:t xml:space="preserve">, optando por una de las siguientes alternativas: </w:t>
      </w:r>
    </w:p>
    <w:p w14:paraId="4A9CF8A5" w14:textId="77777777" w:rsidR="008A55D0" w:rsidRPr="008A55D0" w:rsidRDefault="008A55D0" w:rsidP="008A55D0">
      <w:pPr>
        <w:spacing w:after="120" w:line="240" w:lineRule="auto"/>
        <w:ind w:left="709" w:right="709" w:hanging="1"/>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 xml:space="preserve">a) No solicitar experiencia para la actividad secundaria, sino únicamente la experiencia de la actividad principal, siempre que esta se trate de una de las actividades definidas en la Matriz 1 – Experiencia de estos Documentos Tipo. </w:t>
      </w:r>
    </w:p>
    <w:p w14:paraId="02FBA0D8" w14:textId="77777777" w:rsidR="008A55D0" w:rsidRPr="008A55D0" w:rsidRDefault="008A55D0" w:rsidP="008A55D0">
      <w:pPr>
        <w:spacing w:after="120" w:line="240" w:lineRule="auto"/>
        <w:ind w:left="709" w:right="709" w:hanging="1"/>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 xml:space="preserve">b) Solicitar la experiencia general y específica de la “actividad a contratar” de la actividad principal y para las demás actividades secundarias a contratar requerir la experiencia general 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0A563C37" w14:textId="77777777" w:rsidR="008A55D0" w:rsidRPr="008A55D0" w:rsidRDefault="008A55D0" w:rsidP="008A55D0">
      <w:pPr>
        <w:spacing w:after="120" w:line="240" w:lineRule="auto"/>
        <w:ind w:left="709" w:right="709"/>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 xml:space="preserve">Para la actividad secundaria en caso de requerirse la experiencia específica, se entenderá en el contexto de la experiencia general solicitada en dicha actividad. </w:t>
      </w:r>
    </w:p>
    <w:p w14:paraId="2950B0DF" w14:textId="77777777" w:rsidR="008A55D0" w:rsidRPr="008A55D0" w:rsidRDefault="008A55D0" w:rsidP="008A55D0">
      <w:pPr>
        <w:spacing w:after="120" w:line="240" w:lineRule="auto"/>
        <w:ind w:left="709" w:right="709" w:hanging="1"/>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 xml:space="preserve">ii)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179E2FE6" w14:textId="77777777" w:rsidR="008A55D0" w:rsidRPr="008A55D0" w:rsidRDefault="008A55D0" w:rsidP="008A55D0">
      <w:pPr>
        <w:spacing w:after="120" w:line="240" w:lineRule="auto"/>
        <w:ind w:left="709" w:right="709" w:hanging="1"/>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iii)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2AA04D6E" w14:textId="77777777" w:rsidR="008A55D0" w:rsidRPr="008A55D0" w:rsidRDefault="008A55D0" w:rsidP="008A55D0">
      <w:pPr>
        <w:spacing w:after="120" w:line="240" w:lineRule="auto"/>
        <w:ind w:left="709" w:right="709" w:hanging="1"/>
        <w:jc w:val="both"/>
        <w:rPr>
          <w:rFonts w:ascii="Century Gothic" w:eastAsia="Times New Roman" w:hAnsi="Century Gothic" w:cs="Arial"/>
          <w:color w:val="000000"/>
          <w:sz w:val="21"/>
          <w:szCs w:val="21"/>
          <w:highlight w:val="lightGray"/>
          <w:lang w:eastAsia="es-ES"/>
        </w:rPr>
      </w:pPr>
      <w:proofErr w:type="spellStart"/>
      <w:r w:rsidRPr="008A55D0">
        <w:rPr>
          <w:rFonts w:ascii="Century Gothic" w:eastAsia="Times New Roman" w:hAnsi="Century Gothic" w:cs="Arial"/>
          <w:color w:val="000000"/>
          <w:sz w:val="21"/>
          <w:szCs w:val="21"/>
          <w:highlight w:val="lightGray"/>
          <w:lang w:eastAsia="es-ES"/>
        </w:rPr>
        <w:lastRenderedPageBreak/>
        <w:t>iv</w:t>
      </w:r>
      <w:proofErr w:type="spellEnd"/>
      <w:r w:rsidRPr="008A55D0">
        <w:rPr>
          <w:rFonts w:ascii="Century Gothic" w:eastAsia="Times New Roman" w:hAnsi="Century Gothic" w:cs="Arial"/>
          <w:color w:val="000000"/>
          <w:sz w:val="21"/>
          <w:szCs w:val="21"/>
          <w:highlight w:val="lightGray"/>
          <w:lang w:eastAsia="es-ES"/>
        </w:rPr>
        <w:t>) Si en la actividad secundaria se solicita la experiencia específica y ésta contempla más de un requisito, la Entidad escogerá solo la que sea de mayor relevancia para el proyecto a ejecutar.</w:t>
      </w:r>
    </w:p>
    <w:p w14:paraId="62C74000" w14:textId="77777777" w:rsidR="008A55D0" w:rsidRPr="008A55D0" w:rsidRDefault="008A55D0" w:rsidP="008A55D0">
      <w:pPr>
        <w:spacing w:after="120" w:line="240" w:lineRule="auto"/>
        <w:ind w:left="709" w:right="709" w:hanging="1"/>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v) En los casos en que la Entidad opte por la exigencia de la experiencia específica para las actividades distintas a la actividad principal, deberá incluirse la siguiente nota:</w:t>
      </w:r>
    </w:p>
    <w:p w14:paraId="10EF29B1" w14:textId="77777777" w:rsidR="008A55D0" w:rsidRPr="008A55D0" w:rsidRDefault="008A55D0" w:rsidP="008A55D0">
      <w:pPr>
        <w:spacing w:after="120" w:line="240" w:lineRule="auto"/>
        <w:ind w:left="709" w:right="709"/>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“Nota: Para el caso de experiencias combinadas un Proponente podrá acreditar experiencia en una o más actividades con un contrato o con contratos distintos”.</w:t>
      </w:r>
    </w:p>
    <w:p w14:paraId="421F1376" w14:textId="77777777" w:rsidR="008A55D0" w:rsidRPr="008A55D0" w:rsidRDefault="008A55D0" w:rsidP="008A55D0">
      <w:pPr>
        <w:spacing w:after="120" w:line="240" w:lineRule="auto"/>
        <w:ind w:left="709" w:right="709" w:hanging="1"/>
        <w:jc w:val="both"/>
        <w:rPr>
          <w:rFonts w:ascii="Century Gothic" w:eastAsia="Times New Roman" w:hAnsi="Century Gothic" w:cs="Arial"/>
          <w:color w:val="000000"/>
          <w:sz w:val="21"/>
          <w:szCs w:val="21"/>
          <w:highlight w:val="lightGray"/>
          <w:lang w:eastAsia="es-ES"/>
        </w:rPr>
      </w:pPr>
      <w:r w:rsidRPr="008A55D0">
        <w:rPr>
          <w:rFonts w:ascii="Century Gothic" w:eastAsia="Times New Roman" w:hAnsi="Century Gothic" w:cs="Arial"/>
          <w:color w:val="000000"/>
          <w:sz w:val="21"/>
          <w:szCs w:val="21"/>
          <w:highlight w:val="lightGray"/>
          <w:lang w:eastAsia="es-ES"/>
        </w:rPr>
        <w:t>vi) [En los Procesos de Contratación estructurados por lotes o por grupos, la Entidad establecerá la experiencia de cada uno de ellos, de acuerdo con las actividades definidas en la matriz de experiencia aplicable]</w:t>
      </w:r>
    </w:p>
    <w:p w14:paraId="3D3A7D7E" w14:textId="77777777" w:rsidR="008A55D0" w:rsidRPr="008A55D0" w:rsidRDefault="008A55D0" w:rsidP="008A55D0">
      <w:pPr>
        <w:spacing w:after="0" w:line="240" w:lineRule="auto"/>
        <w:ind w:left="709" w:right="709"/>
        <w:jc w:val="both"/>
        <w:rPr>
          <w:rFonts w:ascii="Century Gothic" w:eastAsia="Calibri" w:hAnsi="Century Gothic" w:cs="Arial"/>
          <w:color w:val="000000"/>
          <w:sz w:val="21"/>
          <w:szCs w:val="21"/>
          <w:lang w:val="es-MX"/>
        </w:rPr>
      </w:pPr>
      <w:r w:rsidRPr="008A55D0">
        <w:rPr>
          <w:rFonts w:ascii="Century Gothic" w:eastAsia="Times New Roman" w:hAnsi="Century Gothic" w:cs="Arial"/>
          <w:color w:val="000000"/>
          <w:sz w:val="21"/>
          <w:szCs w:val="21"/>
          <w:highlight w:val="lightGray"/>
          <w:lang w:eastAsia="es-ES"/>
        </w:rPr>
        <w:t>[La experiencia que deberá acreditar el Proponente será la establecida por la Entidad de forma independiente para cada uno de los lotes o grupos de acuerdo con las actividades definidas en la matriz de experiencia aplicable en el respectivo proyecto de infraestructura de transporte, en el literal A de esta sección]</w:t>
      </w:r>
      <w:r w:rsidRPr="008A55D0">
        <w:rPr>
          <w:rFonts w:ascii="Century Gothic" w:eastAsia="Times New Roman" w:hAnsi="Century Gothic" w:cs="Arial"/>
          <w:color w:val="000000"/>
          <w:sz w:val="21"/>
          <w:szCs w:val="21"/>
          <w:lang w:eastAsia="es-ES"/>
        </w:rPr>
        <w:t>”.</w:t>
      </w:r>
    </w:p>
    <w:p w14:paraId="07ED2CA2" w14:textId="77777777" w:rsidR="008A55D0" w:rsidRPr="008A55D0" w:rsidRDefault="008A55D0" w:rsidP="008A55D0">
      <w:pPr>
        <w:spacing w:after="0" w:line="276" w:lineRule="auto"/>
        <w:jc w:val="both"/>
        <w:rPr>
          <w:rFonts w:ascii="Century Gothic" w:eastAsia="Calibri" w:hAnsi="Century Gothic" w:cs="Arial"/>
          <w:color w:val="000000"/>
          <w:lang w:val="es-MX"/>
        </w:rPr>
      </w:pPr>
      <w:bookmarkStart w:id="20" w:name="_Hlk109293638"/>
    </w:p>
    <w:p w14:paraId="30D5FEDF" w14:textId="77777777" w:rsidR="008A55D0" w:rsidRPr="008A55D0" w:rsidRDefault="008A55D0" w:rsidP="008A55D0">
      <w:pPr>
        <w:spacing w:after="120" w:line="276" w:lineRule="auto"/>
        <w:ind w:firstLine="709"/>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Como se advierte, </w:t>
      </w:r>
      <w:bookmarkStart w:id="21" w:name="_Hlk109396275"/>
      <w:r w:rsidRPr="008A55D0">
        <w:rPr>
          <w:rFonts w:ascii="Century Gothic" w:eastAsia="Calibri" w:hAnsi="Century Gothic" w:cs="Arial"/>
          <w:color w:val="000000"/>
          <w:lang w:val="es-MX"/>
        </w:rPr>
        <w:t>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1C9F7772" w14:textId="77777777" w:rsidR="008A55D0" w:rsidRPr="008A55D0" w:rsidRDefault="008A55D0" w:rsidP="008A55D0">
      <w:pPr>
        <w:spacing w:after="120" w:line="276" w:lineRule="auto"/>
        <w:ind w:firstLine="709"/>
        <w:jc w:val="both"/>
        <w:rPr>
          <w:rFonts w:ascii="Century Gothic" w:eastAsia="Calibri" w:hAnsi="Century Gothic" w:cs="Arial"/>
          <w:color w:val="000000"/>
          <w:lang w:val="es-MX"/>
        </w:rPr>
      </w:pPr>
      <w:r w:rsidRPr="008A55D0">
        <w:rPr>
          <w:rFonts w:ascii="Century Gothic" w:eastAsia="Calibri" w:hAnsi="Century Gothic" w:cs="Arial"/>
          <w:color w:val="000000"/>
          <w:lang w:val="es-MX"/>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id="22" w:name="_Hlk109293655"/>
      <w:bookmarkEnd w:id="20"/>
      <w:bookmarkEnd w:id="21"/>
      <w:r w:rsidRPr="008A55D0">
        <w:rPr>
          <w:rFonts w:ascii="Century Gothic" w:eastAsia="Calibri" w:hAnsi="Century Gothic" w:cs="Arial"/>
          <w:color w:val="000000"/>
          <w:lang w:val="es-MX"/>
        </w:rPr>
        <w:t xml:space="preserve">i) en un mismo proyecto se incluyen otras actividades definidas en la Matriz 1 – Experiencia de estos Documentos Tipo o ii) cuando en un Proceso de Contratación aplican matrices de experiencia de otros Documentos Tipo y la Entidad considera conveniente incluir dicha experiencia. </w:t>
      </w:r>
    </w:p>
    <w:p w14:paraId="2CB6205D" w14:textId="77777777" w:rsidR="008A55D0" w:rsidRPr="008A55D0" w:rsidRDefault="008A55D0" w:rsidP="008A55D0">
      <w:pPr>
        <w:spacing w:after="120" w:line="276" w:lineRule="auto"/>
        <w:ind w:firstLine="708"/>
        <w:jc w:val="both"/>
        <w:rPr>
          <w:rFonts w:ascii="Century Gothic" w:eastAsia="Calibri" w:hAnsi="Century Gothic" w:cs="Arial"/>
        </w:rPr>
      </w:pPr>
      <w:r w:rsidRPr="008A55D0">
        <w:rPr>
          <w:rFonts w:ascii="Century Gothic" w:eastAsia="Calibri" w:hAnsi="Century Gothic" w:cs="Arial"/>
        </w:rPr>
        <w:t xml:space="preserve">Una vez definida la actividad principal y secundaria, la entidad estatal debe determinar los requisitos de experiencia exigibles de acuerdo con la matriz de </w:t>
      </w:r>
      <w:r w:rsidRPr="008A55D0">
        <w:rPr>
          <w:rFonts w:ascii="Century Gothic" w:eastAsia="Calibri" w:hAnsi="Century Gothic" w:cs="Arial"/>
        </w:rPr>
        <w:lastRenderedPageBreak/>
        <w:t xml:space="preserve">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ii) solicitando experiencia general y específica de la actividad principal, y requiriendo la experiencia general o específica correspondiente a la respectiva matriz de experiencia para el caso de las actividades secundarias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6204625B" w14:textId="77777777" w:rsidR="008A55D0" w:rsidRPr="008A55D0" w:rsidRDefault="008A55D0" w:rsidP="008A55D0">
      <w:pPr>
        <w:spacing w:line="276" w:lineRule="auto"/>
        <w:ind w:firstLine="709"/>
        <w:jc w:val="both"/>
        <w:rPr>
          <w:rFonts w:ascii="Century Gothic" w:eastAsia="Calibri" w:hAnsi="Century Gothic" w:cs="Arial"/>
        </w:rPr>
      </w:pPr>
      <w:r w:rsidRPr="008A55D0">
        <w:rPr>
          <w:rFonts w:ascii="Century Gothic" w:eastAsia="Calibri" w:hAnsi="Century Gothic" w:cs="Arial"/>
        </w:rPr>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5D3E1D57" w14:textId="77777777" w:rsidR="008A55D0" w:rsidRPr="008A55D0" w:rsidRDefault="008A55D0" w:rsidP="008A55D0">
      <w:pPr>
        <w:spacing w:line="276" w:lineRule="auto"/>
        <w:ind w:firstLine="709"/>
        <w:jc w:val="both"/>
        <w:rPr>
          <w:rFonts w:ascii="Century Gothic" w:eastAsia="Calibri" w:hAnsi="Century Gothic" w:cs="Arial"/>
        </w:rPr>
      </w:pPr>
      <w:r w:rsidRPr="008A55D0">
        <w:rPr>
          <w:rFonts w:ascii="Century Gothic" w:eastAsia="Calibri" w:hAnsi="Century Gothic" w:cs="Arial"/>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p>
    <w:p w14:paraId="32F87C1B" w14:textId="77777777" w:rsidR="008A55D0" w:rsidRPr="008A55D0" w:rsidRDefault="008A55D0" w:rsidP="008A55D0">
      <w:pPr>
        <w:spacing w:before="120" w:after="120" w:line="276" w:lineRule="auto"/>
        <w:ind w:firstLine="709"/>
        <w:jc w:val="both"/>
        <w:rPr>
          <w:rFonts w:ascii="Century Gothic" w:eastAsia="Calibri" w:hAnsi="Century Gothic" w:cs="Arial"/>
          <w:color w:val="000000"/>
          <w:lang w:val="es-MX"/>
        </w:rPr>
      </w:pPr>
      <w:bookmarkStart w:id="23" w:name="_Hlk99446177"/>
      <w:bookmarkEnd w:id="22"/>
      <w:r w:rsidRPr="008A55D0">
        <w:rPr>
          <w:rFonts w:ascii="Century Gothic" w:eastAsia="Calibri" w:hAnsi="Century Gothic" w:cs="Arial"/>
          <w:color w:val="000000"/>
          <w:lang w:val="es-MX"/>
        </w:rPr>
        <w:t xml:space="preserve">Si en la actividad secundaria se solicita la experiencia específica, y esta contempla más de un requisito, </w:t>
      </w:r>
      <w:bookmarkStart w:id="24" w:name="_Hlk109294879"/>
      <w:r w:rsidRPr="008A55D0">
        <w:rPr>
          <w:rFonts w:ascii="Century Gothic" w:eastAsia="Times New Roman" w:hAnsi="Century Gothic" w:cs="Arial"/>
          <w:szCs w:val="24"/>
          <w:lang w:eastAsia="es-MX"/>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bookmarkEnd w:id="23"/>
    <w:bookmarkEnd w:id="24"/>
    <w:p w14:paraId="01BDE810" w14:textId="77777777" w:rsidR="008A55D0" w:rsidRPr="008A55D0" w:rsidRDefault="008A55D0" w:rsidP="008A55D0">
      <w:pPr>
        <w:spacing w:after="120" w:line="276" w:lineRule="auto"/>
        <w:jc w:val="both"/>
        <w:rPr>
          <w:rFonts w:ascii="Century Gothic" w:eastAsia="Calibri" w:hAnsi="Century Gothic" w:cs="Arial"/>
          <w:color w:val="000000"/>
          <w:lang w:val="es-MX"/>
        </w:rPr>
      </w:pPr>
      <w:r w:rsidRPr="008A55D0">
        <w:rPr>
          <w:rFonts w:ascii="Century Gothic" w:eastAsia="Calibri" w:hAnsi="Century Gothic" w:cs="Arial"/>
          <w:color w:val="000000"/>
          <w:lang w:val="es-MX"/>
        </w:rPr>
        <w:lastRenderedPageBreak/>
        <w:tab/>
        <w:t xml:space="preserve">En el evento que la entidad opte por exigir experiencia específica para las actividades distintas a la actividad principal, deberá incluir la nota que se señala en el numeral v). </w:t>
      </w:r>
    </w:p>
    <w:p w14:paraId="6D7C4F87" w14:textId="77777777" w:rsidR="008A55D0" w:rsidRDefault="008A55D0" w:rsidP="008A55D0">
      <w:pPr>
        <w:shd w:val="clear" w:color="auto" w:fill="FFFFFF"/>
        <w:tabs>
          <w:tab w:val="left" w:pos="0"/>
        </w:tabs>
        <w:spacing w:after="0" w:line="276" w:lineRule="auto"/>
        <w:jc w:val="both"/>
        <w:rPr>
          <w:rFonts w:ascii="Century Gothic" w:eastAsia="Calibri" w:hAnsi="Century Gothic" w:cs="Arial"/>
          <w:color w:val="000000"/>
          <w:lang w:val="es-MX"/>
        </w:rPr>
      </w:pPr>
      <w:r w:rsidRPr="008A55D0">
        <w:rPr>
          <w:rFonts w:ascii="Century Gothic" w:eastAsia="Calibri" w:hAnsi="Century Gothic" w:cs="Arial"/>
          <w:color w:val="000000"/>
          <w:lang w:val="es-MX"/>
        </w:rPr>
        <w:tab/>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14:paraId="14B031AA" w14:textId="77777777" w:rsidR="00C86883" w:rsidRDefault="00C86883" w:rsidP="008A55D0">
      <w:pPr>
        <w:shd w:val="clear" w:color="auto" w:fill="FFFFFF"/>
        <w:tabs>
          <w:tab w:val="left" w:pos="0"/>
        </w:tabs>
        <w:spacing w:after="0" w:line="276" w:lineRule="auto"/>
        <w:jc w:val="both"/>
        <w:rPr>
          <w:rFonts w:ascii="Century Gothic" w:eastAsia="Calibri" w:hAnsi="Century Gothic" w:cs="Arial"/>
          <w:color w:val="000000"/>
          <w:lang w:val="es-MX"/>
        </w:rPr>
      </w:pPr>
    </w:p>
    <w:p w14:paraId="472FC368" w14:textId="1D21905C" w:rsidR="00C86883" w:rsidRPr="00EC00ED" w:rsidRDefault="00C86883" w:rsidP="00C86883">
      <w:pPr>
        <w:tabs>
          <w:tab w:val="left" w:pos="0"/>
        </w:tabs>
        <w:spacing w:after="0" w:line="240" w:lineRule="auto"/>
        <w:ind w:left="11"/>
        <w:jc w:val="both"/>
        <w:rPr>
          <w:rFonts w:ascii="Arial" w:eastAsia="Calibri" w:hAnsi="Arial" w:cs="Arial"/>
          <w:b/>
          <w:bCs/>
        </w:rPr>
      </w:pPr>
      <w:r w:rsidRPr="00EC00ED">
        <w:rPr>
          <w:rFonts w:ascii="Arial" w:eastAsia="Arial" w:hAnsi="Arial" w:cs="Arial"/>
          <w:b/>
          <w:lang w:val="es-ES"/>
        </w:rPr>
        <w:t>2.</w:t>
      </w:r>
      <w:r>
        <w:rPr>
          <w:rFonts w:ascii="Arial" w:eastAsia="Arial" w:hAnsi="Arial" w:cs="Arial"/>
          <w:b/>
          <w:lang w:val="es-ES"/>
        </w:rPr>
        <w:t>4</w:t>
      </w:r>
      <w:r w:rsidRPr="00EC00ED">
        <w:rPr>
          <w:rFonts w:ascii="Arial" w:eastAsia="Arial" w:hAnsi="Arial" w:cs="Arial"/>
          <w:b/>
          <w:lang w:val="es-ES"/>
        </w:rPr>
        <w:t xml:space="preserve"> </w:t>
      </w:r>
      <w:bookmarkStart w:id="25" w:name="_Hlk121298041"/>
      <w:r w:rsidRPr="00EC00ED">
        <w:rPr>
          <w:rFonts w:ascii="Arial" w:eastAsia="Calibri" w:hAnsi="Arial" w:cs="Arial"/>
          <w:b/>
          <w:bCs/>
        </w:rPr>
        <w:t>Generalidades de la Capacidad Residual o K de contratación como requisito habilitante</w:t>
      </w:r>
    </w:p>
    <w:bookmarkEnd w:id="25"/>
    <w:p w14:paraId="0E685409" w14:textId="77777777" w:rsidR="00C86883" w:rsidRPr="00EC00ED" w:rsidRDefault="00C86883" w:rsidP="00C86883">
      <w:pPr>
        <w:shd w:val="clear" w:color="auto" w:fill="FFFFFF"/>
        <w:spacing w:after="0" w:line="276" w:lineRule="auto"/>
        <w:jc w:val="both"/>
        <w:textAlignment w:val="baseline"/>
        <w:rPr>
          <w:rFonts w:ascii="Arial" w:eastAsia="Times New Roman" w:hAnsi="Arial" w:cs="Arial"/>
          <w:lang w:eastAsia="es-CO"/>
        </w:rPr>
      </w:pPr>
    </w:p>
    <w:p w14:paraId="536C9C49" w14:textId="77777777" w:rsidR="00C86883" w:rsidRPr="00C86883" w:rsidRDefault="00C86883" w:rsidP="00C86883">
      <w:pPr>
        <w:widowControl w:val="0"/>
        <w:autoSpaceDE w:val="0"/>
        <w:autoSpaceDN w:val="0"/>
        <w:spacing w:after="120" w:line="276" w:lineRule="auto"/>
        <w:ind w:right="51"/>
        <w:jc w:val="both"/>
        <w:rPr>
          <w:rFonts w:ascii="Century Gothic" w:eastAsia="Calibri" w:hAnsi="Century Gothic" w:cs="Arial"/>
        </w:rPr>
      </w:pPr>
      <w:r w:rsidRPr="00C86883">
        <w:rPr>
          <w:rFonts w:ascii="Century Gothic" w:eastAsia="Calibri" w:hAnsi="Century Gothic" w:cs="Arial"/>
        </w:rPr>
        <w:t>La capacidad residual es una aptitud que se exige a los oferentes con el objetivo de 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w:t>
      </w:r>
      <w:r w:rsidRPr="00C86883">
        <w:rPr>
          <w:rFonts w:ascii="Century Gothic" w:eastAsia="Calibri" w:hAnsi="Century Gothic" w:cs="Arial"/>
        </w:rPr>
        <w:footnoteReference w:id="13"/>
      </w:r>
      <w:r w:rsidRPr="00C86883">
        <w:rPr>
          <w:rFonts w:ascii="Century Gothic" w:eastAsia="Calibri" w:hAnsi="Century Gothic" w:cs="Arial"/>
        </w:rPr>
        <w:t xml:space="preserve">. </w:t>
      </w:r>
    </w:p>
    <w:p w14:paraId="08B46D25" w14:textId="77777777" w:rsidR="00C86883" w:rsidRPr="00C86883" w:rsidRDefault="00C86883" w:rsidP="00C86883">
      <w:pPr>
        <w:widowControl w:val="0"/>
        <w:autoSpaceDE w:val="0"/>
        <w:autoSpaceDN w:val="0"/>
        <w:spacing w:before="120" w:after="120" w:line="276" w:lineRule="auto"/>
        <w:ind w:right="51" w:firstLine="709"/>
        <w:jc w:val="both"/>
        <w:rPr>
          <w:rFonts w:ascii="Century Gothic" w:eastAsia="Calibri" w:hAnsi="Century Gothic" w:cs="Arial"/>
        </w:rPr>
      </w:pPr>
      <w:r w:rsidRPr="00C86883">
        <w:rPr>
          <w:rFonts w:ascii="Century Gothic" w:eastAsia="Calibri" w:hAnsi="Century Gothic" w:cs="Arial"/>
        </w:rPr>
        <w:t>Teniendo en cuenta lo anterior, la Agencia Nacional de Contratación Pública considera que la capacidad residual hace referencia a la suficiencia que se predica del proponente para asumir nuevas obligaciones que se derivan del contrato objeto del procedimiento de contratación, en relación con las obligaciones que ya ha adquirido simultáneamente.</w:t>
      </w:r>
    </w:p>
    <w:p w14:paraId="0CCBE901" w14:textId="77777777" w:rsidR="00C86883" w:rsidRPr="00C86883" w:rsidRDefault="00C86883" w:rsidP="00C86883">
      <w:pPr>
        <w:widowControl w:val="0"/>
        <w:autoSpaceDE w:val="0"/>
        <w:autoSpaceDN w:val="0"/>
        <w:spacing w:after="0" w:line="276" w:lineRule="auto"/>
        <w:ind w:right="51" w:firstLine="709"/>
        <w:jc w:val="both"/>
        <w:rPr>
          <w:rFonts w:ascii="Century Gothic" w:eastAsia="Calibri" w:hAnsi="Century Gothic" w:cs="Arial"/>
        </w:rPr>
      </w:pPr>
      <w:r w:rsidRPr="00C86883">
        <w:rPr>
          <w:rFonts w:ascii="Century Gothic" w:eastAsia="Calibri" w:hAnsi="Century Gothic" w:cs="Arial"/>
        </w:rPr>
        <w:t>La Ley 1150 de 2007 establece que la capacidad residual de los interesados en participar en procesos de selección para contratos de obra deberá ser igual o superior al que la entidad ha establecido en los pliegos de condiciones, en los siguientes términos:</w:t>
      </w:r>
    </w:p>
    <w:p w14:paraId="05B6868F" w14:textId="77777777" w:rsidR="00C86883" w:rsidRPr="00C86883" w:rsidRDefault="00C86883" w:rsidP="00C86883">
      <w:pPr>
        <w:widowControl w:val="0"/>
        <w:autoSpaceDE w:val="0"/>
        <w:autoSpaceDN w:val="0"/>
        <w:spacing w:after="0" w:line="240" w:lineRule="auto"/>
        <w:ind w:right="49"/>
        <w:rPr>
          <w:rFonts w:ascii="Century Gothic" w:eastAsia="Calibri" w:hAnsi="Century Gothic" w:cs="Arial"/>
        </w:rPr>
      </w:pPr>
    </w:p>
    <w:p w14:paraId="4654E275" w14:textId="77777777" w:rsidR="00C86883" w:rsidRPr="00C86883" w:rsidRDefault="00C86883" w:rsidP="00C86883">
      <w:pPr>
        <w:widowControl w:val="0"/>
        <w:autoSpaceDE w:val="0"/>
        <w:autoSpaceDN w:val="0"/>
        <w:spacing w:after="120" w:line="240" w:lineRule="auto"/>
        <w:ind w:left="709" w:right="709"/>
        <w:jc w:val="both"/>
        <w:rPr>
          <w:rFonts w:ascii="Century Gothic" w:eastAsia="Calibri" w:hAnsi="Century Gothic" w:cs="Arial"/>
        </w:rPr>
      </w:pPr>
      <w:r w:rsidRPr="00C86883">
        <w:rPr>
          <w:rFonts w:ascii="Century Gothic" w:eastAsia="Calibri" w:hAnsi="Century Gothic" w:cs="Arial"/>
        </w:rPr>
        <w:t xml:space="preserve">“Artículo 6. De la verificación de las condiciones de los proponentes. Todas las personas naturales o jurídicas nacionales o extranjeras domiciliadas o con sucursal en Colombia, que aspiren a celebrar contratos con las entidades estatales, se inscribirán en el Registro </w:t>
      </w:r>
      <w:r w:rsidRPr="00C86883">
        <w:rPr>
          <w:rFonts w:ascii="Century Gothic" w:eastAsia="Calibri" w:hAnsi="Century Gothic" w:cs="Arial"/>
        </w:rPr>
        <w:lastRenderedPageBreak/>
        <w:t>único de Proponentes del Registro Único Empresarial de la Cámara de Comercio con jurisdicción en su domicilio principal.</w:t>
      </w:r>
    </w:p>
    <w:p w14:paraId="4180796C" w14:textId="77777777" w:rsidR="00C86883" w:rsidRPr="00C86883" w:rsidRDefault="00C86883" w:rsidP="00C86883">
      <w:pPr>
        <w:widowControl w:val="0"/>
        <w:autoSpaceDE w:val="0"/>
        <w:autoSpaceDN w:val="0"/>
        <w:spacing w:after="120" w:line="240" w:lineRule="auto"/>
        <w:ind w:left="709" w:right="709"/>
        <w:rPr>
          <w:rFonts w:ascii="Century Gothic" w:eastAsia="Calibri" w:hAnsi="Century Gothic" w:cs="Arial"/>
        </w:rPr>
      </w:pPr>
      <w:r w:rsidRPr="00C86883">
        <w:rPr>
          <w:rFonts w:ascii="Century Gothic" w:eastAsia="Calibri" w:hAnsi="Century Gothic" w:cs="Arial"/>
        </w:rPr>
        <w:t>[…]</w:t>
      </w:r>
    </w:p>
    <w:p w14:paraId="78BEF2AE" w14:textId="77777777" w:rsidR="00C86883" w:rsidRPr="00C86883" w:rsidRDefault="00C86883" w:rsidP="00C86883">
      <w:pPr>
        <w:widowControl w:val="0"/>
        <w:autoSpaceDE w:val="0"/>
        <w:autoSpaceDN w:val="0"/>
        <w:spacing w:after="0" w:line="240" w:lineRule="auto"/>
        <w:ind w:left="709" w:right="709"/>
        <w:jc w:val="both"/>
        <w:rPr>
          <w:rFonts w:ascii="Century Gothic" w:eastAsia="Calibri" w:hAnsi="Century Gothic" w:cs="Arial"/>
        </w:rPr>
      </w:pPr>
      <w:r w:rsidRPr="00C86883">
        <w:rPr>
          <w:rFonts w:ascii="Century Gothic" w:eastAsia="Calibri" w:hAnsi="Century Gothic" w:cs="Arial"/>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5071043B" w14:textId="77777777" w:rsidR="00C86883" w:rsidRPr="00C86883" w:rsidRDefault="00C86883" w:rsidP="00C86883">
      <w:pPr>
        <w:widowControl w:val="0"/>
        <w:autoSpaceDE w:val="0"/>
        <w:autoSpaceDN w:val="0"/>
        <w:spacing w:after="0" w:line="240" w:lineRule="auto"/>
        <w:ind w:right="49"/>
        <w:rPr>
          <w:rFonts w:ascii="Century Gothic" w:eastAsia="Calibri" w:hAnsi="Century Gothic" w:cs="Arial"/>
        </w:rPr>
      </w:pPr>
    </w:p>
    <w:p w14:paraId="1ABC3190" w14:textId="77777777" w:rsidR="00C86883" w:rsidRPr="00C86883" w:rsidRDefault="00C86883" w:rsidP="00C86883">
      <w:pPr>
        <w:widowControl w:val="0"/>
        <w:autoSpaceDE w:val="0"/>
        <w:autoSpaceDN w:val="0"/>
        <w:spacing w:before="1" w:after="0" w:line="276" w:lineRule="auto"/>
        <w:ind w:right="49" w:firstLine="708"/>
        <w:jc w:val="both"/>
        <w:rPr>
          <w:rFonts w:ascii="Century Gothic" w:eastAsia="Calibri" w:hAnsi="Century Gothic" w:cs="Arial"/>
        </w:rPr>
      </w:pPr>
      <w:r w:rsidRPr="00C86883">
        <w:rPr>
          <w:rFonts w:ascii="Century Gothic" w:eastAsia="Calibri" w:hAnsi="Century Gothic" w:cs="Arial"/>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esta disposición, “[…] se deberá calcular mediante la evaluación de los siguientes factores: Experiencia (E), Capacidad Financiera (CF), Capacidad Técnica (CT), y Capacidad de Organización (CO)”.</w:t>
      </w:r>
    </w:p>
    <w:p w14:paraId="40C62AE4" w14:textId="77777777" w:rsidR="00C86883" w:rsidRPr="00C86883" w:rsidRDefault="00C86883" w:rsidP="00C86883">
      <w:pPr>
        <w:spacing w:before="120" w:after="120" w:line="276" w:lineRule="auto"/>
        <w:ind w:firstLine="709"/>
        <w:jc w:val="both"/>
        <w:rPr>
          <w:rFonts w:ascii="Century Gothic" w:eastAsia="Calibri" w:hAnsi="Century Gothic" w:cs="Arial"/>
        </w:rPr>
      </w:pPr>
      <w:r w:rsidRPr="00C86883">
        <w:rPr>
          <w:rFonts w:ascii="Century Gothic" w:eastAsia="Calibri" w:hAnsi="Century Gothic" w:cs="Arial"/>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w:t>
      </w:r>
      <w:proofErr w:type="spellStart"/>
      <w:r w:rsidRPr="00C86883">
        <w:rPr>
          <w:rFonts w:ascii="Century Gothic" w:eastAsia="Calibri" w:hAnsi="Century Gothic" w:cs="Arial"/>
        </w:rPr>
        <w:t>iv</w:t>
      </w:r>
      <w:proofErr w:type="spellEnd"/>
      <w:r w:rsidRPr="00C86883">
        <w:rPr>
          <w:rFonts w:ascii="Century Gothic" w:eastAsia="Calibri" w:hAnsi="Century Gothic" w:cs="Arial"/>
        </w:rPr>
        <w:t>) Capacidad de Organización y v) los Saldos de los Contratos en Ejecución –SCE–</w:t>
      </w:r>
      <w:r w:rsidRPr="00C86883">
        <w:rPr>
          <w:rFonts w:ascii="Century Gothic" w:eastAsia="Calibri" w:hAnsi="Century Gothic" w:cs="Arial"/>
        </w:rPr>
        <w:footnoteReference w:id="14"/>
      </w:r>
      <w:r w:rsidRPr="00C86883">
        <w:rPr>
          <w:rFonts w:ascii="Century Gothic" w:eastAsia="Calibri" w:hAnsi="Century Gothic" w:cs="Arial"/>
        </w:rPr>
        <w:t>.</w:t>
      </w:r>
    </w:p>
    <w:p w14:paraId="0D6854E8" w14:textId="77777777" w:rsidR="00C86883" w:rsidRPr="00C86883" w:rsidRDefault="00C86883" w:rsidP="00C86883">
      <w:pPr>
        <w:spacing w:before="120" w:after="120" w:line="276" w:lineRule="auto"/>
        <w:ind w:firstLine="709"/>
        <w:jc w:val="both"/>
        <w:rPr>
          <w:rFonts w:ascii="Century Gothic" w:eastAsia="Calibri" w:hAnsi="Century Gothic" w:cs="Arial"/>
        </w:rPr>
      </w:pPr>
      <w:r w:rsidRPr="00C86883">
        <w:rPr>
          <w:rFonts w:ascii="Century Gothic" w:eastAsia="Calibri" w:hAnsi="Century Gothic" w:cs="Arial"/>
        </w:rPr>
        <w:t xml:space="preserve">De igual manera, 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w:t>
      </w:r>
      <w:r w:rsidRPr="00C86883">
        <w:rPr>
          <w:rFonts w:ascii="Century Gothic" w:eastAsia="Calibri" w:hAnsi="Century Gothic" w:cs="Arial"/>
        </w:rPr>
        <w:lastRenderedPageBreak/>
        <w:t>ingreso operacional en los últimos cinco (5) años</w:t>
      </w:r>
      <w:r w:rsidRPr="00C86883">
        <w:rPr>
          <w:rFonts w:ascii="Century Gothic" w:eastAsia="Calibri" w:hAnsi="Century Gothic" w:cs="Arial"/>
        </w:rPr>
        <w:footnoteReference w:id="15"/>
      </w:r>
      <w:r w:rsidRPr="00C86883">
        <w:rPr>
          <w:rFonts w:ascii="Century Gothic" w:eastAsia="Calibri" w:hAnsi="Century Gothic" w:cs="Arial"/>
        </w:rPr>
        <w:t>. Al respecto, se debe tener en cuenta lo siguientes criterios para la acreditación de la Capacidad Residual.</w:t>
      </w:r>
    </w:p>
    <w:p w14:paraId="5B4D5FAA" w14:textId="77777777" w:rsidR="00C86883" w:rsidRPr="008A55D0" w:rsidRDefault="00C86883" w:rsidP="008A55D0">
      <w:pPr>
        <w:shd w:val="clear" w:color="auto" w:fill="FFFFFF"/>
        <w:tabs>
          <w:tab w:val="left" w:pos="0"/>
        </w:tabs>
        <w:spacing w:after="0" w:line="276" w:lineRule="auto"/>
        <w:jc w:val="both"/>
        <w:rPr>
          <w:rFonts w:ascii="Century Gothic" w:eastAsia="Calibri" w:hAnsi="Century Gothic" w:cs="Arial"/>
          <w:bCs/>
          <w:lang w:val="es-MX"/>
        </w:rPr>
      </w:pPr>
    </w:p>
    <w:p w14:paraId="5503E435" w14:textId="77777777" w:rsidR="008A55D0" w:rsidRPr="008A55D0" w:rsidRDefault="008A55D0" w:rsidP="008A55D0">
      <w:pPr>
        <w:shd w:val="clear" w:color="auto" w:fill="FFFFFF"/>
        <w:tabs>
          <w:tab w:val="left" w:pos="0"/>
        </w:tabs>
        <w:spacing w:after="0"/>
        <w:jc w:val="both"/>
        <w:rPr>
          <w:rFonts w:ascii="Century Gothic" w:eastAsia="Calibri" w:hAnsi="Century Gothic" w:cs="Arial"/>
          <w:b/>
          <w:color w:val="000000"/>
          <w:lang w:val="es-ES_tradnl"/>
        </w:rPr>
      </w:pPr>
    </w:p>
    <w:p w14:paraId="1156A0E5" w14:textId="77777777" w:rsidR="008A55D0" w:rsidRPr="008A55D0" w:rsidRDefault="008A55D0" w:rsidP="008A55D0">
      <w:pPr>
        <w:shd w:val="clear" w:color="auto" w:fill="FFFFFF"/>
        <w:tabs>
          <w:tab w:val="left" w:pos="0"/>
        </w:tabs>
        <w:spacing w:after="0"/>
        <w:jc w:val="both"/>
        <w:rPr>
          <w:rFonts w:ascii="Century Gothic" w:eastAsia="Calibri" w:hAnsi="Century Gothic" w:cs="Arial"/>
          <w:b/>
          <w:color w:val="000000"/>
          <w:lang w:val="es-ES_tradnl"/>
        </w:rPr>
      </w:pPr>
      <w:r w:rsidRPr="008A55D0">
        <w:rPr>
          <w:rFonts w:ascii="Century Gothic" w:eastAsia="Calibri" w:hAnsi="Century Gothic" w:cs="Arial"/>
          <w:b/>
          <w:color w:val="000000"/>
          <w:lang w:val="es-ES_tradnl"/>
        </w:rPr>
        <w:t>3. Respuesta</w:t>
      </w:r>
    </w:p>
    <w:p w14:paraId="43672A49" w14:textId="77777777" w:rsidR="008A55D0" w:rsidRPr="008A55D0" w:rsidRDefault="008A55D0" w:rsidP="008A55D0">
      <w:pPr>
        <w:shd w:val="clear" w:color="auto" w:fill="FFFFFF"/>
        <w:spacing w:after="0" w:line="240" w:lineRule="auto"/>
        <w:ind w:right="709"/>
        <w:jc w:val="both"/>
        <w:rPr>
          <w:rFonts w:ascii="Century Gothic" w:eastAsia="Calibri" w:hAnsi="Century Gothic" w:cs="Arial"/>
          <w:color w:val="000000"/>
          <w:lang w:val="es-ES_tradnl"/>
        </w:rPr>
      </w:pPr>
    </w:p>
    <w:p w14:paraId="0BB7014E" w14:textId="77777777" w:rsidR="00C86883" w:rsidRDefault="00C86883" w:rsidP="00C86883">
      <w:pPr>
        <w:spacing w:after="0" w:line="240" w:lineRule="auto"/>
        <w:ind w:left="709" w:right="709"/>
        <w:jc w:val="both"/>
        <w:rPr>
          <w:rFonts w:ascii="Century Gothic" w:eastAsia="Arial" w:hAnsi="Century Gothic" w:cs="Arial"/>
          <w:color w:val="000000"/>
          <w:sz w:val="21"/>
          <w:szCs w:val="21"/>
        </w:rPr>
      </w:pPr>
      <w:r w:rsidRPr="00231886">
        <w:rPr>
          <w:rFonts w:ascii="Century Gothic" w:eastAsia="Arial" w:hAnsi="Century Gothic" w:cs="Arial"/>
          <w:color w:val="000000"/>
          <w:sz w:val="21"/>
          <w:szCs w:val="21"/>
        </w:rPr>
        <w:t>“</w:t>
      </w:r>
      <w:r>
        <w:rPr>
          <w:rFonts w:ascii="Century Gothic" w:eastAsia="Arial" w:hAnsi="Century Gothic" w:cs="Arial"/>
          <w:color w:val="000000"/>
          <w:sz w:val="21"/>
          <w:szCs w:val="21"/>
        </w:rPr>
        <w:t>P</w:t>
      </w:r>
      <w:r w:rsidRPr="000F0F6C">
        <w:rPr>
          <w:rFonts w:ascii="Century Gothic" w:eastAsia="Arial" w:hAnsi="Century Gothic" w:cs="Arial"/>
          <w:color w:val="000000"/>
          <w:sz w:val="21"/>
          <w:szCs w:val="21"/>
        </w:rPr>
        <w:t>ara los procesos de consultoría de estudios y diseños, las entidades pueden</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 xml:space="preserve">solicitar el </w:t>
      </w:r>
      <w:proofErr w:type="spellStart"/>
      <w:r w:rsidRPr="000F0F6C">
        <w:rPr>
          <w:rFonts w:ascii="Century Gothic" w:eastAsia="Arial" w:hAnsi="Century Gothic" w:cs="Arial"/>
          <w:color w:val="000000"/>
          <w:sz w:val="21"/>
          <w:szCs w:val="21"/>
        </w:rPr>
        <w:t>calculo</w:t>
      </w:r>
      <w:proofErr w:type="spellEnd"/>
      <w:r w:rsidRPr="000F0F6C">
        <w:rPr>
          <w:rFonts w:ascii="Century Gothic" w:eastAsia="Arial" w:hAnsi="Century Gothic" w:cs="Arial"/>
          <w:color w:val="000000"/>
          <w:sz w:val="21"/>
          <w:szCs w:val="21"/>
        </w:rPr>
        <w:t xml:space="preserve"> de capacidad residual aun cuando este es aplicado a contratos</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 xml:space="preserve">de obra </w:t>
      </w:r>
      <w:r>
        <w:rPr>
          <w:rFonts w:ascii="Century Gothic" w:eastAsia="Arial" w:hAnsi="Century Gothic" w:cs="Arial"/>
          <w:color w:val="000000"/>
          <w:sz w:val="21"/>
          <w:szCs w:val="21"/>
        </w:rPr>
        <w:t xml:space="preserve"> </w:t>
      </w:r>
    </w:p>
    <w:p w14:paraId="06B9B2A7" w14:textId="77777777" w:rsidR="00C86883" w:rsidRPr="000F0F6C" w:rsidRDefault="00C86883" w:rsidP="00C86883">
      <w:pPr>
        <w:spacing w:after="0" w:line="240" w:lineRule="auto"/>
        <w:ind w:left="709" w:right="709"/>
        <w:jc w:val="both"/>
        <w:rPr>
          <w:rFonts w:ascii="Century Gothic" w:eastAsia="Arial" w:hAnsi="Century Gothic" w:cs="Arial"/>
          <w:color w:val="000000"/>
          <w:sz w:val="21"/>
          <w:szCs w:val="21"/>
        </w:rPr>
      </w:pPr>
      <w:r w:rsidRPr="000F0F6C">
        <w:rPr>
          <w:rFonts w:ascii="Century Gothic" w:eastAsia="Arial" w:hAnsi="Century Gothic" w:cs="Arial"/>
          <w:color w:val="000000"/>
          <w:sz w:val="21"/>
          <w:szCs w:val="21"/>
        </w:rPr>
        <w:t>Para procesos de consultoría de estudios y diseños, las entidades pueden utilizar</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 xml:space="preserve">los documentos tipo de licitación </w:t>
      </w:r>
      <w:proofErr w:type="spellStart"/>
      <w:r w:rsidRPr="000F0F6C">
        <w:rPr>
          <w:rFonts w:ascii="Century Gothic" w:eastAsia="Arial" w:hAnsi="Century Gothic" w:cs="Arial"/>
          <w:color w:val="000000"/>
          <w:sz w:val="21"/>
          <w:szCs w:val="21"/>
        </w:rPr>
        <w:t>publica</w:t>
      </w:r>
      <w:proofErr w:type="spellEnd"/>
      <w:r w:rsidRPr="000F0F6C">
        <w:rPr>
          <w:rFonts w:ascii="Century Gothic" w:eastAsia="Arial" w:hAnsi="Century Gothic" w:cs="Arial"/>
          <w:color w:val="000000"/>
          <w:sz w:val="21"/>
          <w:szCs w:val="21"/>
        </w:rPr>
        <w:t xml:space="preserve"> (obra </w:t>
      </w:r>
      <w:proofErr w:type="spellStart"/>
      <w:r w:rsidRPr="000F0F6C">
        <w:rPr>
          <w:rFonts w:ascii="Century Gothic" w:eastAsia="Arial" w:hAnsi="Century Gothic" w:cs="Arial"/>
          <w:color w:val="000000"/>
          <w:sz w:val="21"/>
          <w:szCs w:val="21"/>
        </w:rPr>
        <w:t>publica</w:t>
      </w:r>
      <w:proofErr w:type="spellEnd"/>
      <w:r w:rsidRPr="000F0F6C">
        <w:rPr>
          <w:rFonts w:ascii="Century Gothic" w:eastAsia="Arial" w:hAnsi="Century Gothic" w:cs="Arial"/>
          <w:color w:val="000000"/>
          <w:sz w:val="21"/>
          <w:szCs w:val="21"/>
        </w:rPr>
        <w:t>)</w:t>
      </w:r>
    </w:p>
    <w:p w14:paraId="1D0775AE" w14:textId="77777777" w:rsidR="00C86883" w:rsidRPr="000F0F6C" w:rsidRDefault="00C86883" w:rsidP="00C86883">
      <w:pPr>
        <w:spacing w:after="0" w:line="240" w:lineRule="auto"/>
        <w:ind w:left="709" w:right="709"/>
        <w:jc w:val="both"/>
        <w:rPr>
          <w:rFonts w:ascii="Century Gothic" w:eastAsia="Arial" w:hAnsi="Century Gothic" w:cs="Arial"/>
          <w:color w:val="000000"/>
          <w:sz w:val="21"/>
          <w:szCs w:val="21"/>
        </w:rPr>
      </w:pPr>
      <w:r w:rsidRPr="000F0F6C">
        <w:rPr>
          <w:rFonts w:ascii="Century Gothic" w:eastAsia="Arial" w:hAnsi="Century Gothic" w:cs="Arial"/>
          <w:color w:val="000000"/>
          <w:sz w:val="21"/>
          <w:szCs w:val="21"/>
        </w:rPr>
        <w:t>Para procesos de consultoría de estudios y diseños, las entidades pueden</w:t>
      </w:r>
    </w:p>
    <w:p w14:paraId="423A52DA" w14:textId="77777777" w:rsidR="00C86883" w:rsidRPr="00231886" w:rsidRDefault="00C86883" w:rsidP="00C86883">
      <w:pPr>
        <w:spacing w:after="0" w:line="240" w:lineRule="auto"/>
        <w:ind w:left="709" w:right="709"/>
        <w:jc w:val="both"/>
        <w:rPr>
          <w:rFonts w:ascii="Century Gothic" w:eastAsia="Arial" w:hAnsi="Century Gothic" w:cs="Arial"/>
          <w:color w:val="000000"/>
          <w:sz w:val="21"/>
          <w:szCs w:val="21"/>
        </w:rPr>
      </w:pPr>
      <w:r w:rsidRPr="000F0F6C">
        <w:rPr>
          <w:rFonts w:ascii="Century Gothic" w:eastAsia="Arial" w:hAnsi="Century Gothic" w:cs="Arial"/>
          <w:color w:val="000000"/>
          <w:sz w:val="21"/>
          <w:szCs w:val="21"/>
        </w:rPr>
        <w:t>establecer la experiencia basándose en la matriz de experiencia del sector de</w:t>
      </w:r>
      <w:r>
        <w:rPr>
          <w:rFonts w:ascii="Century Gothic" w:eastAsia="Arial" w:hAnsi="Century Gothic" w:cs="Arial"/>
          <w:color w:val="000000"/>
          <w:sz w:val="21"/>
          <w:szCs w:val="21"/>
        </w:rPr>
        <w:t xml:space="preserve"> </w:t>
      </w:r>
      <w:r w:rsidRPr="000F0F6C">
        <w:rPr>
          <w:rFonts w:ascii="Century Gothic" w:eastAsia="Arial" w:hAnsi="Century Gothic" w:cs="Arial"/>
          <w:color w:val="000000"/>
          <w:sz w:val="21"/>
          <w:szCs w:val="21"/>
        </w:rPr>
        <w:t>infraestructura social</w:t>
      </w:r>
      <w:r w:rsidRPr="00231886">
        <w:rPr>
          <w:rFonts w:ascii="Century Gothic" w:eastAsia="Arial" w:hAnsi="Century Gothic" w:cs="Arial"/>
          <w:color w:val="000000"/>
          <w:sz w:val="21"/>
          <w:szCs w:val="21"/>
        </w:rPr>
        <w:t>.</w:t>
      </w:r>
      <w:r w:rsidRPr="00DE47ED">
        <w:rPr>
          <w:rFonts w:ascii="Century Gothic" w:eastAsia="Arial" w:hAnsi="Century Gothic" w:cs="Arial"/>
          <w:color w:val="000000"/>
          <w:sz w:val="21"/>
          <w:szCs w:val="21"/>
        </w:rPr>
        <w:t xml:space="preserve"> </w:t>
      </w:r>
      <w:r>
        <w:rPr>
          <w:rFonts w:ascii="Century Gothic" w:eastAsia="Arial" w:hAnsi="Century Gothic" w:cs="Arial"/>
          <w:color w:val="000000"/>
          <w:sz w:val="21"/>
          <w:szCs w:val="21"/>
        </w:rPr>
        <w:t>(Sic)</w:t>
      </w:r>
      <w:r w:rsidRPr="00231886">
        <w:rPr>
          <w:rFonts w:ascii="Century Gothic" w:eastAsia="Arial" w:hAnsi="Century Gothic" w:cs="Arial"/>
          <w:color w:val="000000"/>
          <w:sz w:val="21"/>
          <w:szCs w:val="21"/>
        </w:rPr>
        <w:t>”</w:t>
      </w:r>
    </w:p>
    <w:p w14:paraId="0FF61573" w14:textId="77777777" w:rsidR="008A55D0" w:rsidRPr="008A55D0" w:rsidRDefault="008A55D0" w:rsidP="008A55D0">
      <w:pPr>
        <w:shd w:val="clear" w:color="auto" w:fill="FFFFFF"/>
        <w:spacing w:after="0" w:line="240" w:lineRule="auto"/>
        <w:ind w:left="709" w:right="709"/>
        <w:jc w:val="both"/>
        <w:rPr>
          <w:rFonts w:ascii="Century Gothic" w:eastAsia="Calibri" w:hAnsi="Century Gothic" w:cs="Arial"/>
          <w:color w:val="000000"/>
          <w:lang w:val="es-ES_tradnl"/>
        </w:rPr>
      </w:pPr>
    </w:p>
    <w:p w14:paraId="7C4CD2D2" w14:textId="73A7D225" w:rsidR="00FB3BCB" w:rsidRPr="00231886" w:rsidRDefault="008A55D0" w:rsidP="00FB3BCB">
      <w:pPr>
        <w:spacing w:after="120" w:line="276" w:lineRule="auto"/>
        <w:ind w:firstLine="709"/>
        <w:jc w:val="both"/>
        <w:rPr>
          <w:rFonts w:ascii="Century Gothic" w:eastAsia="Calibri" w:hAnsi="Century Gothic" w:cs="Arial"/>
          <w:lang w:val="es-MX" w:eastAsia="en-GB"/>
        </w:rPr>
      </w:pPr>
      <w:r w:rsidRPr="008A55D0">
        <w:rPr>
          <w:rFonts w:ascii="Century Gothic" w:eastAsia="Calibri" w:hAnsi="Century Gothic" w:cs="Arial"/>
          <w:kern w:val="2"/>
          <w:lang w:val="es-MX"/>
          <w14:ligatures w14:val="standardContextual"/>
        </w:rPr>
        <w:t xml:space="preserve">En relación con sus </w:t>
      </w:r>
      <w:r w:rsidR="00C86883" w:rsidRPr="008A55D0">
        <w:rPr>
          <w:rFonts w:ascii="Century Gothic" w:eastAsia="Calibri" w:hAnsi="Century Gothic" w:cs="Arial"/>
          <w:kern w:val="2"/>
          <w:lang w:val="es-MX"/>
          <w14:ligatures w14:val="standardContextual"/>
        </w:rPr>
        <w:t>inquietudes</w:t>
      </w:r>
      <w:r w:rsidRPr="008A55D0">
        <w:rPr>
          <w:rFonts w:ascii="Century Gothic" w:eastAsia="Calibri" w:hAnsi="Century Gothic" w:cs="Arial"/>
          <w:kern w:val="2"/>
          <w:lang w:val="es-MX"/>
          <w14:ligatures w14:val="standardContextual"/>
        </w:rPr>
        <w:t xml:space="preserve">, </w:t>
      </w:r>
      <w:r w:rsidRPr="008A55D0">
        <w:rPr>
          <w:rFonts w:ascii="Century Gothic" w:eastAsia="Aptos" w:hAnsi="Century Gothic" w:cs="Arial"/>
          <w:color w:val="000000"/>
          <w:kern w:val="2"/>
          <w:lang w:val="es-ES_tradnl"/>
          <w14:ligatures w14:val="standardContextual"/>
        </w:rPr>
        <w:t xml:space="preserve">es pertinente mencionar que </w:t>
      </w:r>
      <w:r w:rsidR="00FB3BCB">
        <w:rPr>
          <w:rFonts w:ascii="Century Gothic" w:eastAsia="Calibri" w:hAnsi="Century Gothic" w:cs="Arial"/>
          <w:lang w:val="es-MX" w:eastAsia="en-GB"/>
        </w:rPr>
        <w:t>de acuerdo con lo establecido en el</w:t>
      </w:r>
      <w:r w:rsidR="00FB3BCB" w:rsidRPr="00614313">
        <w:rPr>
          <w:rFonts w:ascii="Century Gothic" w:eastAsia="Calibri" w:hAnsi="Century Gothic" w:cs="Arial"/>
          <w:lang w:val="es-MX" w:eastAsia="en-GB"/>
        </w:rPr>
        <w:t xml:space="preserve"> artículo 6 de la Ley 1150 de 2007 la capacidad residual del proponente o K de contratación es una condición para participar en los Procesos de Contratación de obra pública, es decir, </w:t>
      </w:r>
      <w:r w:rsidR="00FB3BCB">
        <w:rPr>
          <w:rFonts w:ascii="Century Gothic" w:eastAsia="Calibri" w:hAnsi="Century Gothic" w:cs="Arial"/>
          <w:lang w:val="es-MX" w:eastAsia="en-GB"/>
        </w:rPr>
        <w:t xml:space="preserve">no aplica para los Procesos adelantados bajo la modalidad de concurso de méritos, como es el caso de Consultoría e Interventoría. </w:t>
      </w:r>
      <w:r w:rsidR="00FB3BCB">
        <w:t xml:space="preserve"> </w:t>
      </w:r>
    </w:p>
    <w:p w14:paraId="05848A94" w14:textId="0DEAA710" w:rsidR="005813AD" w:rsidRPr="005813AD" w:rsidRDefault="00FB3BCB" w:rsidP="00FB3BCB">
      <w:pPr>
        <w:spacing w:after="120" w:line="276" w:lineRule="auto"/>
        <w:ind w:firstLine="708"/>
        <w:jc w:val="both"/>
        <w:rPr>
          <w:rFonts w:ascii="Century Gothic" w:eastAsia="Calibri" w:hAnsi="Century Gothic" w:cs="Arial"/>
          <w:lang w:val="es-MX" w:eastAsia="en-GB"/>
        </w:rPr>
      </w:pPr>
      <w:r w:rsidRPr="005813AD">
        <w:rPr>
          <w:rFonts w:ascii="Century Gothic" w:eastAsia="Calibri" w:hAnsi="Century Gothic" w:cs="Arial"/>
          <w:lang w:val="es-MX" w:eastAsia="en-GB"/>
        </w:rPr>
        <w:t xml:space="preserve">Ahora bien, con relación a la consulta </w:t>
      </w:r>
      <w:r w:rsidR="005813AD" w:rsidRPr="005813AD">
        <w:rPr>
          <w:rFonts w:ascii="Century Gothic" w:eastAsia="Calibri" w:hAnsi="Century Gothic" w:cs="Arial"/>
          <w:lang w:val="es-MX" w:eastAsia="en-GB"/>
        </w:rPr>
        <w:t>relacionada con la aplicación de Documentos Tipo, es necesario informar que</w:t>
      </w:r>
      <w:r w:rsidR="005813AD">
        <w:rPr>
          <w:rFonts w:ascii="Century Gothic" w:eastAsia="Calibri" w:hAnsi="Century Gothic" w:cs="Arial"/>
          <w:lang w:val="es-MX" w:eastAsia="en-GB"/>
        </w:rPr>
        <w:t xml:space="preserve"> la Agencia Nacional de Contratación Pública – Colombia Compra Eficiente – adoptó  </w:t>
      </w:r>
      <w:hyperlink r:id="rId12" w:history="1">
        <w:r w:rsidR="005813AD" w:rsidRPr="005813AD">
          <w:rPr>
            <w:rFonts w:ascii="Century Gothic" w:eastAsia="Calibri" w:hAnsi="Century Gothic" w:cs="Arial"/>
            <w:lang w:val="es-MX" w:eastAsia="en-GB"/>
          </w:rPr>
          <w:t>Documentos tipo de interventoría de obra pública de infraestructura de transporte</w:t>
        </w:r>
      </w:hyperlink>
      <w:r w:rsidR="005813AD" w:rsidRPr="005813AD">
        <w:rPr>
          <w:rFonts w:ascii="Century Gothic" w:eastAsia="Calibri" w:hAnsi="Century Gothic" w:cs="Arial"/>
          <w:lang w:val="es-MX" w:eastAsia="en-GB"/>
        </w:rPr>
        <w:t xml:space="preserve"> y </w:t>
      </w:r>
      <w:hyperlink r:id="rId13" w:history="1">
        <w:r w:rsidR="005813AD" w:rsidRPr="005813AD">
          <w:rPr>
            <w:rFonts w:ascii="Century Gothic" w:eastAsia="Calibri" w:hAnsi="Century Gothic" w:cs="Arial"/>
            <w:lang w:val="es-MX" w:eastAsia="en-GB"/>
          </w:rPr>
          <w:t> Documentos tipo de consultoría de estudios de ingeniería de infraestructura de Transporte</w:t>
        </w:r>
      </w:hyperlink>
      <w:r w:rsidR="005813AD" w:rsidRPr="005813AD">
        <w:rPr>
          <w:rFonts w:ascii="Century Gothic" w:eastAsia="Calibri" w:hAnsi="Century Gothic" w:cs="Arial"/>
          <w:lang w:val="es-MX" w:eastAsia="en-GB"/>
        </w:rPr>
        <w:t xml:space="preserve">, los cuales </w:t>
      </w:r>
      <w:r w:rsidR="005813AD">
        <w:rPr>
          <w:rFonts w:ascii="Century Gothic" w:eastAsia="Calibri" w:hAnsi="Century Gothic" w:cs="Arial"/>
          <w:lang w:val="es-MX" w:eastAsia="en-GB"/>
        </w:rPr>
        <w:t xml:space="preserve">se encuentran vigentes y </w:t>
      </w:r>
      <w:r w:rsidR="005813AD" w:rsidRPr="005813AD">
        <w:rPr>
          <w:rFonts w:ascii="Century Gothic" w:eastAsia="Calibri" w:hAnsi="Century Gothic" w:cs="Arial"/>
          <w:lang w:val="es-MX" w:eastAsia="en-GB"/>
        </w:rPr>
        <w:t>son de obligatorio cumplimiento</w:t>
      </w:r>
      <w:r w:rsidR="005813AD">
        <w:rPr>
          <w:rFonts w:ascii="Century Gothic" w:eastAsia="Calibri" w:hAnsi="Century Gothic" w:cs="Arial"/>
          <w:lang w:val="es-MX" w:eastAsia="en-GB"/>
        </w:rPr>
        <w:t>. Dichos documentos los puede</w:t>
      </w:r>
      <w:r w:rsidR="005813AD" w:rsidRPr="005813AD">
        <w:rPr>
          <w:rFonts w:ascii="Century Gothic" w:eastAsia="Calibri" w:hAnsi="Century Gothic" w:cs="Arial"/>
          <w:lang w:val="es-MX" w:eastAsia="en-GB"/>
        </w:rPr>
        <w:t xml:space="preserve"> encontrar en el siguiente enlace:</w:t>
      </w:r>
    </w:p>
    <w:p w14:paraId="44E127D8" w14:textId="0B67B65E" w:rsidR="005813AD" w:rsidRPr="005813AD" w:rsidRDefault="005813AD" w:rsidP="00FB3BCB">
      <w:pPr>
        <w:spacing w:after="120" w:line="276" w:lineRule="auto"/>
        <w:ind w:firstLine="708"/>
        <w:jc w:val="both"/>
        <w:rPr>
          <w:rFonts w:ascii="Century Gothic" w:eastAsia="Aptos" w:hAnsi="Century Gothic" w:cs="Arial"/>
          <w:color w:val="000000"/>
          <w:kern w:val="2"/>
          <w:u w:val="single"/>
          <w:lang w:val="es-ES_tradnl"/>
          <w14:ligatures w14:val="standardContextual"/>
        </w:rPr>
      </w:pPr>
      <w:r w:rsidRPr="005813AD">
        <w:rPr>
          <w:rFonts w:ascii="Century Gothic" w:eastAsia="Aptos" w:hAnsi="Century Gothic" w:cs="Arial"/>
          <w:color w:val="000000"/>
          <w:kern w:val="2"/>
          <w:u w:val="single"/>
          <w:lang w:val="es-ES_tradnl"/>
          <w14:ligatures w14:val="standardContextual"/>
        </w:rPr>
        <w:lastRenderedPageBreak/>
        <w:t>https://www.colombiacompra.gov.co/content/documentos-tipo-de-infraestructura-de-transporte</w:t>
      </w:r>
    </w:p>
    <w:p w14:paraId="6EA19845" w14:textId="472750C6" w:rsidR="008A55D0" w:rsidRPr="008A55D0" w:rsidRDefault="005813AD" w:rsidP="005813AD">
      <w:pPr>
        <w:spacing w:after="120" w:line="276" w:lineRule="auto"/>
        <w:ind w:firstLine="708"/>
        <w:jc w:val="both"/>
        <w:rPr>
          <w:rFonts w:ascii="Century Gothic" w:eastAsia="Aptos" w:hAnsi="Century Gothic" w:cs="Arial"/>
          <w:color w:val="000000"/>
          <w:kern w:val="2"/>
          <w:lang w:val="es-ES_tradnl"/>
          <w14:ligatures w14:val="standardContextual"/>
        </w:rPr>
      </w:pPr>
      <w:r>
        <w:rPr>
          <w:rFonts w:ascii="Century Gothic" w:eastAsia="Aptos" w:hAnsi="Century Gothic" w:cs="Arial"/>
          <w:color w:val="000000"/>
          <w:kern w:val="2"/>
          <w:lang w:val="es-ES_tradnl"/>
          <w14:ligatures w14:val="standardContextual"/>
        </w:rPr>
        <w:t>S</w:t>
      </w:r>
      <w:r w:rsidR="00FB3BCB">
        <w:rPr>
          <w:rFonts w:ascii="Century Gothic" w:eastAsia="Aptos" w:hAnsi="Century Gothic" w:cs="Arial"/>
          <w:color w:val="000000"/>
          <w:kern w:val="2"/>
          <w:lang w:val="es-ES_tradnl"/>
          <w14:ligatures w14:val="standardContextual"/>
        </w:rPr>
        <w:t>obre</w:t>
      </w:r>
      <w:r>
        <w:rPr>
          <w:rFonts w:ascii="Century Gothic" w:eastAsia="Aptos" w:hAnsi="Century Gothic" w:cs="Arial"/>
          <w:color w:val="000000"/>
          <w:kern w:val="2"/>
          <w:lang w:val="es-ES_tradnl"/>
          <w14:ligatures w14:val="standardContextual"/>
        </w:rPr>
        <w:t xml:space="preserve"> la acreditación de e</w:t>
      </w:r>
      <w:r w:rsidR="00FB3BCB">
        <w:rPr>
          <w:rFonts w:ascii="Century Gothic" w:eastAsia="Aptos" w:hAnsi="Century Gothic" w:cs="Arial"/>
          <w:color w:val="000000"/>
          <w:kern w:val="2"/>
          <w:lang w:val="es-ES_tradnl"/>
          <w14:ligatures w14:val="standardContextual"/>
        </w:rPr>
        <w:t xml:space="preserve">xperiencia es menester informar que </w:t>
      </w:r>
      <w:r w:rsidR="008A55D0" w:rsidRPr="008A55D0">
        <w:rPr>
          <w:rFonts w:ascii="Century Gothic" w:eastAsia="Aptos" w:hAnsi="Century Gothic" w:cs="Arial"/>
          <w:color w:val="000000"/>
          <w:kern w:val="2"/>
          <w:lang w:val="es-ES_tradnl"/>
          <w14:ligatures w14:val="standardContextual"/>
        </w:rPr>
        <w:t>el numeral 3.5.2. del Documento Base o pliego tipo consagra las características que deben cumplir los contratos a través de los cuales se acredita la experiencia exigida.</w:t>
      </w:r>
    </w:p>
    <w:p w14:paraId="485B7172" w14:textId="77777777" w:rsidR="008A55D0" w:rsidRPr="008A55D0" w:rsidRDefault="008A55D0" w:rsidP="008A55D0">
      <w:pPr>
        <w:spacing w:after="120" w:line="276" w:lineRule="auto"/>
        <w:ind w:firstLine="708"/>
        <w:jc w:val="both"/>
        <w:rPr>
          <w:rFonts w:ascii="Century Gothic" w:eastAsia="Calibri" w:hAnsi="Century Gothic" w:cs="Arial"/>
          <w:kern w:val="2"/>
          <w:lang w:val="es-ES_tradnl"/>
          <w14:ligatures w14:val="standardContextual"/>
        </w:rPr>
      </w:pPr>
      <w:r w:rsidRPr="008A55D0">
        <w:rPr>
          <w:rFonts w:ascii="Century Gothic" w:eastAsia="Calibri" w:hAnsi="Century Gothic" w:cs="Arial"/>
          <w:kern w:val="2"/>
          <w:lang w:val="es-ES_tradnl"/>
          <w14:ligatures w14:val="standardContextual"/>
        </w:rPr>
        <w:t>En lo que tiene que ver con la cantidad de contratos con los que se debe cumplir la experiencia exigida por la entidad estatal, es necesario observar lo dispuesto en los literales B) y C) del numeral 3.5.2 del Documento Base. En el primero de estos literales, se establece que el contratista, además de allegar el RUP, deberá diligenciar el “Formato 3 – Experiencia” identificando los contratos con los que pretende cumplir la experiencia exigible.</w:t>
      </w:r>
    </w:p>
    <w:p w14:paraId="771C0F48" w14:textId="77777777" w:rsidR="008A55D0" w:rsidRPr="008A55D0" w:rsidRDefault="008A55D0" w:rsidP="008A55D0">
      <w:pPr>
        <w:spacing w:after="120" w:line="276" w:lineRule="auto"/>
        <w:ind w:firstLine="708"/>
        <w:jc w:val="both"/>
        <w:rPr>
          <w:rFonts w:ascii="Century Gothic" w:eastAsia="Aptos" w:hAnsi="Century Gothic" w:cs="Arial"/>
          <w:color w:val="000000"/>
          <w:kern w:val="2"/>
          <w:lang w:val="es-ES_tradnl"/>
          <w14:ligatures w14:val="standardContextual"/>
        </w:rPr>
      </w:pPr>
      <w:r w:rsidRPr="008A55D0">
        <w:rPr>
          <w:rFonts w:ascii="Century Gothic" w:eastAsia="Calibri" w:hAnsi="Century Gothic" w:cs="Arial"/>
          <w:kern w:val="2"/>
          <w:lang w:val="es-ES_tradnl"/>
          <w14:ligatures w14:val="standardContextual"/>
        </w:rPr>
        <w:t xml:space="preserve">Asimismo, en el referido literal, se señala que con los contratos relacionados en el “Formato 3 – Experiencia” la entidad verificará la acreditación de los requisitos de experiencia general y específica </w:t>
      </w:r>
      <w:r w:rsidRPr="008A55D0">
        <w:rPr>
          <w:rFonts w:ascii="Century Gothic" w:eastAsia="Aptos" w:hAnsi="Century Gothic" w:cs="Arial"/>
          <w:kern w:val="2"/>
          <w:lang w:val="es-MX"/>
          <w14:ligatures w14:val="standardContextual"/>
        </w:rPr>
        <w:t xml:space="preserve">solicitados para la actividad principal, al igual que los requeridos para la actividad secundaria en atención a las combinaciones de experiencia aplicables y </w:t>
      </w:r>
      <w:r w:rsidRPr="008A55D0">
        <w:rPr>
          <w:rFonts w:ascii="Century Gothic" w:eastAsia="Aptos" w:hAnsi="Century Gothic" w:cs="Arial"/>
          <w:i/>
          <w:iCs/>
          <w:kern w:val="2"/>
          <w:lang w:val="es-MX"/>
          <w14:ligatures w14:val="standardContextual"/>
        </w:rPr>
        <w:t>la experiencia exigida respecto de los bienes o servicios adicionales a la obra pública de infraestructura de transporte</w:t>
      </w:r>
      <w:r w:rsidRPr="008A55D0">
        <w:rPr>
          <w:rFonts w:ascii="Century Gothic" w:eastAsia="Aptos" w:hAnsi="Century Gothic" w:cs="Arial"/>
          <w:kern w:val="2"/>
          <w:lang w:val="es-MX"/>
          <w14:ligatures w14:val="standardContextual"/>
        </w:rPr>
        <w:t>, en caso de que aplique.</w:t>
      </w:r>
    </w:p>
    <w:p w14:paraId="0A833A71" w14:textId="77777777" w:rsidR="008A55D0" w:rsidRPr="008A55D0" w:rsidRDefault="008A55D0" w:rsidP="008A55D0">
      <w:pPr>
        <w:spacing w:after="120" w:line="276" w:lineRule="auto"/>
        <w:ind w:firstLine="709"/>
        <w:jc w:val="both"/>
        <w:rPr>
          <w:rFonts w:ascii="Century Gothic" w:eastAsia="Aptos" w:hAnsi="Century Gothic" w:cs="Arial"/>
          <w:color w:val="000000"/>
          <w:kern w:val="2"/>
          <w:lang w:val="es-ES_tradnl"/>
          <w14:ligatures w14:val="standardContextual"/>
        </w:rPr>
      </w:pPr>
      <w:r w:rsidRPr="008A55D0">
        <w:rPr>
          <w:rFonts w:ascii="Century Gothic" w:eastAsia="Aptos" w:hAnsi="Century Gothic" w:cs="Arial"/>
          <w:color w:val="000000"/>
          <w:kern w:val="2"/>
          <w:lang w:val="es-ES_tradnl"/>
          <w14:ligatures w14:val="standardContextual"/>
        </w:rPr>
        <w:t xml:space="preserve">Por su parte, el literal C del referido numeral prevé que “los proponentes podrán acreditar la experiencia con mínimo uno (1) y máximo cinco (5) contratos, los cuales serán evaluados teniendo en cuenta la tabla incluida en el numeral 3.5.8 del Documento Base, así como el contenido establecido en la Matriz 1 – Experiencia”.  </w:t>
      </w:r>
    </w:p>
    <w:p w14:paraId="6765A923" w14:textId="77777777" w:rsidR="008A55D0" w:rsidRPr="008A55D0" w:rsidRDefault="008A55D0" w:rsidP="2EAFBCDC">
      <w:pPr>
        <w:spacing w:after="120" w:line="276" w:lineRule="auto"/>
        <w:ind w:firstLine="709"/>
        <w:jc w:val="both"/>
        <w:rPr>
          <w:rFonts w:ascii="Century Gothic" w:eastAsia="Calibri" w:hAnsi="Century Gothic" w:cs="Arial"/>
          <w:kern w:val="2"/>
          <w:lang w:val="es-ES"/>
          <w14:ligatures w14:val="standardContextual"/>
        </w:rPr>
      </w:pPr>
      <w:r w:rsidRPr="2EAFBCDC">
        <w:rPr>
          <w:rFonts w:ascii="Century Gothic" w:eastAsia="Calibri" w:hAnsi="Century Gothic" w:cs="Arial"/>
          <w:kern w:val="2"/>
          <w:lang w:val="es-ES"/>
          <w14:ligatures w14:val="standardContextual"/>
        </w:rPr>
        <w:t xml:space="preserve">De acuerdo con esto, los proponentes podrán optar por acreditar los requisitos de experiencia exigibles mediante mínimo uno (1) y máximo cinco (5) contratos, </w:t>
      </w:r>
      <w:r w:rsidRPr="2EAFBCDC">
        <w:rPr>
          <w:rFonts w:ascii="Century Gothic" w:eastAsia="Calibri" w:hAnsi="Century Gothic" w:cs="Arial"/>
          <w:i/>
          <w:iCs/>
          <w:kern w:val="2"/>
          <w:lang w:val="es-ES"/>
          <w14:ligatures w14:val="standardContextual"/>
        </w:rPr>
        <w:t>independientemente de que se exija o no experiencia adicional a la obra pública de infraestructura de transporte.</w:t>
      </w:r>
      <w:r w:rsidRPr="2EAFBCDC">
        <w:rPr>
          <w:rFonts w:ascii="Century Gothic" w:eastAsia="Calibri" w:hAnsi="Century Gothic" w:cs="Arial"/>
          <w:kern w:val="2"/>
          <w:lang w:val="es-ES"/>
          <w14:ligatures w14:val="standardContextual"/>
        </w:rPr>
        <w:t xml:space="preserve"> </w:t>
      </w:r>
    </w:p>
    <w:p w14:paraId="4216845F" w14:textId="77777777" w:rsidR="008A55D0" w:rsidRPr="008A55D0" w:rsidRDefault="008A55D0" w:rsidP="2EAFBCDC">
      <w:pPr>
        <w:spacing w:before="120" w:after="120" w:line="276" w:lineRule="auto"/>
        <w:ind w:firstLine="709"/>
        <w:jc w:val="both"/>
        <w:rPr>
          <w:rFonts w:ascii="Century Gothic" w:eastAsia="Calibri" w:hAnsi="Century Gothic" w:cs="Arial"/>
          <w:kern w:val="2"/>
          <w:lang w:val="es-ES" w:eastAsia="es-MX"/>
          <w14:ligatures w14:val="standardContextual"/>
        </w:rPr>
      </w:pPr>
      <w:r w:rsidRPr="2EAFBCDC">
        <w:rPr>
          <w:rFonts w:ascii="Century Gothic" w:eastAsia="Calibri" w:hAnsi="Century Gothic" w:cs="Arial"/>
          <w:kern w:val="2"/>
          <w:lang w:val="es-ES" w:eastAsia="es-MX"/>
          <w14:ligatures w14:val="standardContextual"/>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14:paraId="74E1167C" w14:textId="77777777" w:rsidR="008A55D0" w:rsidRPr="008A55D0" w:rsidRDefault="008A55D0" w:rsidP="008A55D0">
      <w:pPr>
        <w:spacing w:after="120" w:line="276" w:lineRule="auto"/>
        <w:ind w:firstLine="708"/>
        <w:jc w:val="both"/>
        <w:rPr>
          <w:rFonts w:ascii="Century Gothic" w:eastAsia="Calibri" w:hAnsi="Century Gothic" w:cs="Arial"/>
          <w:color w:val="000000"/>
          <w:kern w:val="2"/>
          <w:lang w:val="es-ES_tradnl" w:eastAsia="es-MX"/>
          <w14:ligatures w14:val="standardContextual"/>
        </w:rPr>
      </w:pPr>
      <w:r w:rsidRPr="008A55D0">
        <w:rPr>
          <w:rFonts w:ascii="Century Gothic" w:eastAsia="Calibri" w:hAnsi="Century Gothic" w:cs="Arial"/>
          <w:color w:val="000000"/>
          <w:kern w:val="2"/>
          <w:lang w:val="es-ES_tradnl" w:eastAsia="es-MX"/>
          <w14:ligatures w14:val="standardContextual"/>
        </w:rPr>
        <w:lastRenderedPageBreak/>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14:paraId="7A289B6A" w14:textId="77777777" w:rsidR="008A55D0" w:rsidRPr="008A55D0" w:rsidRDefault="008A55D0" w:rsidP="008A55D0">
      <w:pPr>
        <w:spacing w:after="120" w:line="276" w:lineRule="auto"/>
        <w:ind w:firstLine="709"/>
        <w:jc w:val="both"/>
        <w:rPr>
          <w:rFonts w:ascii="Century Gothic" w:eastAsia="Calibri" w:hAnsi="Century Gothic" w:cs="Arial"/>
          <w:color w:val="000000"/>
          <w:kern w:val="2"/>
          <w:lang w:val="es-ES_tradnl" w:eastAsia="es-MX"/>
          <w14:ligatures w14:val="standardContextual"/>
        </w:rPr>
      </w:pPr>
      <w:r w:rsidRPr="008A55D0">
        <w:rPr>
          <w:rFonts w:ascii="Century Gothic" w:eastAsia="Calibri" w:hAnsi="Century Gothic" w:cs="Arial"/>
          <w:color w:val="000000"/>
          <w:kern w:val="2"/>
          <w:lang w:val="es-ES_tradnl" w:eastAsia="es-MX"/>
          <w14:ligatures w14:val="standardContextual"/>
        </w:rPr>
        <w:t xml:space="preserve">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  </w:t>
      </w:r>
    </w:p>
    <w:p w14:paraId="314321D3" w14:textId="77777777" w:rsidR="008A55D0" w:rsidRPr="008A55D0" w:rsidRDefault="008A55D0" w:rsidP="008A55D0">
      <w:pPr>
        <w:spacing w:after="120" w:line="276" w:lineRule="auto"/>
        <w:ind w:firstLine="709"/>
        <w:jc w:val="both"/>
        <w:rPr>
          <w:rFonts w:ascii="Century Gothic" w:eastAsia="Calibri" w:hAnsi="Century Gothic" w:cs="Arial"/>
          <w:color w:val="000000"/>
          <w:lang w:val="es-MX"/>
        </w:rPr>
      </w:pPr>
      <w:r w:rsidRPr="008A55D0">
        <w:rPr>
          <w:rFonts w:ascii="Century Gothic" w:eastAsia="Calibri" w:hAnsi="Century Gothic" w:cs="Arial"/>
          <w:color w:val="000000"/>
          <w:lang w:eastAsia="es-MX"/>
        </w:rPr>
        <w:t xml:space="preserve">Por su parte, </w:t>
      </w:r>
      <w:r w:rsidRPr="008A55D0">
        <w:rPr>
          <w:rFonts w:ascii="Century Gothic" w:eastAsia="Calibri" w:hAnsi="Century Gothic" w:cs="Arial"/>
          <w:color w:val="000000"/>
          <w:lang w:val="es-MX"/>
        </w:rPr>
        <w:t xml:space="preserve">conforme a las reglas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ii) cuando en un Proceso de Contratación aplican matrices de experiencia de otros Documentos Tipo y la Entidad considera conveniente incluir dicha experiencia. </w:t>
      </w:r>
    </w:p>
    <w:p w14:paraId="77757A0F" w14:textId="34DDF39A" w:rsidR="008A55D0" w:rsidRPr="008A55D0" w:rsidRDefault="008A55D0" w:rsidP="008A55D0">
      <w:pPr>
        <w:spacing w:after="120" w:line="276" w:lineRule="auto"/>
        <w:ind w:firstLine="708"/>
        <w:jc w:val="both"/>
        <w:rPr>
          <w:rFonts w:ascii="Century Gothic" w:eastAsia="Calibri" w:hAnsi="Century Gothic" w:cs="Arial"/>
        </w:rPr>
      </w:pPr>
      <w:r w:rsidRPr="008A55D0">
        <w:rPr>
          <w:rFonts w:ascii="Century Gothic" w:eastAsia="Calibri" w:hAnsi="Century Gothic" w:cs="Arial"/>
        </w:rPr>
        <w:t xml:space="preserve">Una vez definida la actividad principal y secundaria, la </w:t>
      </w:r>
      <w:r w:rsidR="007A2DF3">
        <w:rPr>
          <w:rFonts w:ascii="Century Gothic" w:eastAsia="Calibri" w:hAnsi="Century Gothic" w:cs="Arial"/>
        </w:rPr>
        <w:t>E</w:t>
      </w:r>
      <w:r w:rsidRPr="008A55D0">
        <w:rPr>
          <w:rFonts w:ascii="Century Gothic" w:eastAsia="Calibri" w:hAnsi="Century Gothic" w:cs="Arial"/>
        </w:rPr>
        <w:t xml:space="preserve">ntidad </w:t>
      </w:r>
      <w:r w:rsidR="007A2DF3">
        <w:rPr>
          <w:rFonts w:ascii="Century Gothic" w:eastAsia="Calibri" w:hAnsi="Century Gothic" w:cs="Arial"/>
        </w:rPr>
        <w:t>E</w:t>
      </w:r>
      <w:r w:rsidRPr="008A55D0">
        <w:rPr>
          <w:rFonts w:ascii="Century Gothic" w:eastAsia="Calibri" w:hAnsi="Century Gothic" w:cs="Arial"/>
        </w:rPr>
        <w:t xml:space="preserv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ii) solicitando experiencia general y específica de la actividad principal, y requiriendo la experiencia general o específica correspondiente a la respectiva matriz de experiencia para el caso de las actividades secundarias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70D88C8E" w14:textId="77777777" w:rsidR="008A55D0" w:rsidRPr="008A55D0" w:rsidRDefault="008A55D0" w:rsidP="008A55D0">
      <w:pPr>
        <w:spacing w:line="276" w:lineRule="auto"/>
        <w:ind w:firstLine="709"/>
        <w:jc w:val="both"/>
        <w:rPr>
          <w:rFonts w:ascii="Century Gothic" w:eastAsia="Calibri" w:hAnsi="Century Gothic" w:cs="Arial"/>
        </w:rPr>
      </w:pPr>
      <w:r w:rsidRPr="008A55D0">
        <w:rPr>
          <w:rFonts w:ascii="Century Gothic" w:eastAsia="Calibri" w:hAnsi="Century Gothic" w:cs="Arial"/>
        </w:rPr>
        <w:lastRenderedPageBreak/>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3E950E36" w14:textId="62449EC9" w:rsidR="008A55D0" w:rsidRDefault="008A55D0" w:rsidP="008A55D0">
      <w:pPr>
        <w:spacing w:after="0" w:line="276" w:lineRule="auto"/>
        <w:ind w:firstLine="709"/>
        <w:jc w:val="both"/>
        <w:rPr>
          <w:rFonts w:ascii="Century Gothic" w:eastAsia="Calibri" w:hAnsi="Century Gothic" w:cs="Arial"/>
        </w:rPr>
      </w:pPr>
      <w:r w:rsidRPr="008A55D0">
        <w:rPr>
          <w:rFonts w:ascii="Century Gothic" w:eastAsia="Calibri" w:hAnsi="Century Gothic" w:cs="Arial"/>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w:t>
      </w:r>
      <w:r w:rsidR="007A2DF3">
        <w:rPr>
          <w:rFonts w:ascii="Century Gothic" w:eastAsia="Calibri" w:hAnsi="Century Gothic" w:cs="Arial"/>
        </w:rPr>
        <w:t>dos (</w:t>
      </w:r>
      <w:r w:rsidRPr="008A55D0">
        <w:rPr>
          <w:rFonts w:ascii="Century Gothic" w:eastAsia="Calibri" w:hAnsi="Century Gothic" w:cs="Arial"/>
        </w:rPr>
        <w:t>2</w:t>
      </w:r>
      <w:r w:rsidR="007A2DF3">
        <w:rPr>
          <w:rFonts w:ascii="Century Gothic" w:eastAsia="Calibri" w:hAnsi="Century Gothic" w:cs="Arial"/>
        </w:rPr>
        <w:t>)</w:t>
      </w:r>
      <w:r w:rsidRPr="008A55D0">
        <w:rPr>
          <w:rFonts w:ascii="Century Gothic" w:eastAsia="Calibri" w:hAnsi="Century Gothic" w:cs="Arial"/>
        </w:rPr>
        <w:t xml:space="preserve"> combinaciones de experiencia adicionales a la prevista para la actividad principal. </w:t>
      </w:r>
    </w:p>
    <w:p w14:paraId="6832F569" w14:textId="77777777" w:rsidR="00C86883" w:rsidRDefault="00C86883" w:rsidP="008A55D0">
      <w:pPr>
        <w:spacing w:after="0" w:line="276" w:lineRule="auto"/>
        <w:ind w:firstLine="709"/>
        <w:jc w:val="both"/>
        <w:rPr>
          <w:rFonts w:ascii="Century Gothic" w:eastAsia="Calibri" w:hAnsi="Century Gothic" w:cs="Arial"/>
        </w:rPr>
      </w:pPr>
    </w:p>
    <w:p w14:paraId="6B9CA23D" w14:textId="77EE26BD" w:rsidR="00C86883" w:rsidRDefault="00C86883" w:rsidP="008A55D0">
      <w:pPr>
        <w:spacing w:after="0" w:line="276" w:lineRule="auto"/>
        <w:ind w:firstLine="709"/>
        <w:jc w:val="both"/>
        <w:rPr>
          <w:rFonts w:ascii="Century Gothic" w:eastAsia="Calibri" w:hAnsi="Century Gothic" w:cs="Arial"/>
        </w:rPr>
      </w:pPr>
      <w:r>
        <w:rPr>
          <w:rFonts w:ascii="Century Gothic" w:eastAsia="Calibri" w:hAnsi="Century Gothic" w:cs="Arial"/>
        </w:rPr>
        <w:t xml:space="preserve">En este sentido, </w:t>
      </w:r>
      <w:r w:rsidR="00FB3BCB">
        <w:rPr>
          <w:rFonts w:ascii="Century Gothic" w:eastAsia="Calibri" w:hAnsi="Century Gothic" w:cs="Arial"/>
        </w:rPr>
        <w:t xml:space="preserve">se informa que en los que respecta a la aplicación de Documento Tipo de Infraestructura de Transporte bajo la modalidad de Licitación Pública, es viable </w:t>
      </w:r>
      <w:r>
        <w:rPr>
          <w:rFonts w:ascii="Century Gothic" w:eastAsia="Calibri" w:hAnsi="Century Gothic" w:cs="Arial"/>
        </w:rPr>
        <w:t xml:space="preserve">utilizar la </w:t>
      </w:r>
      <w:r w:rsidR="00FB3BCB">
        <w:rPr>
          <w:rFonts w:ascii="Century Gothic" w:eastAsia="Calibri" w:hAnsi="Century Gothic" w:cs="Arial"/>
        </w:rPr>
        <w:t xml:space="preserve">Matriz 1- Experiencia de un sector diferente solo en los casos en los cuales se realice una combinación de experiencia bajo los parámetros antes mencionados. </w:t>
      </w:r>
    </w:p>
    <w:p w14:paraId="676395A2" w14:textId="77777777" w:rsidR="00C86883" w:rsidRDefault="00C86883" w:rsidP="008A55D0">
      <w:pPr>
        <w:spacing w:after="0" w:line="276" w:lineRule="auto"/>
        <w:ind w:firstLine="709"/>
        <w:jc w:val="both"/>
        <w:rPr>
          <w:rFonts w:ascii="Century Gothic" w:eastAsia="Calibri" w:hAnsi="Century Gothic" w:cs="Arial"/>
        </w:rPr>
      </w:pPr>
    </w:p>
    <w:p w14:paraId="2ADB87D6" w14:textId="77777777" w:rsidR="008A55D0" w:rsidRPr="008A55D0" w:rsidRDefault="008A55D0" w:rsidP="008A55D0">
      <w:pPr>
        <w:shd w:val="clear" w:color="auto" w:fill="FFFFFF"/>
        <w:spacing w:after="0" w:line="276" w:lineRule="auto"/>
        <w:jc w:val="both"/>
        <w:rPr>
          <w:rFonts w:ascii="Century Gothic" w:eastAsia="Calibri" w:hAnsi="Century Gothic" w:cs="Arial"/>
          <w:lang w:eastAsia="es-MX"/>
        </w:rPr>
      </w:pPr>
      <w:r w:rsidRPr="008A55D0">
        <w:rPr>
          <w:rFonts w:ascii="Century Gothic" w:eastAsia="Calibri" w:hAnsi="Century Gothic" w:cs="Arial"/>
          <w:color w:val="000000"/>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F6EE30" w14:textId="77777777" w:rsidR="008A55D0" w:rsidRPr="008A55D0" w:rsidRDefault="008A55D0" w:rsidP="008A55D0">
      <w:pPr>
        <w:widowControl w:val="0"/>
        <w:shd w:val="clear" w:color="auto" w:fill="FFFFFF"/>
        <w:autoSpaceDE w:val="0"/>
        <w:autoSpaceDN w:val="0"/>
        <w:spacing w:after="0" w:line="276" w:lineRule="auto"/>
        <w:jc w:val="both"/>
        <w:rPr>
          <w:rFonts w:ascii="Century Gothic" w:eastAsia="Calibri" w:hAnsi="Century Gothic" w:cs="Arial"/>
          <w:color w:val="000000"/>
          <w:lang w:val="es-ES_tradnl" w:bidi="es-ES"/>
        </w:rPr>
      </w:pPr>
    </w:p>
    <w:p w14:paraId="161C924A" w14:textId="77777777" w:rsidR="008A55D0" w:rsidRPr="008A55D0" w:rsidRDefault="008A55D0" w:rsidP="008A55D0">
      <w:pPr>
        <w:shd w:val="clear" w:color="auto" w:fill="FFFFFF"/>
        <w:tabs>
          <w:tab w:val="left" w:pos="426"/>
        </w:tabs>
        <w:spacing w:line="276" w:lineRule="auto"/>
        <w:jc w:val="both"/>
        <w:rPr>
          <w:rFonts w:ascii="Century Gothic" w:eastAsia="Times New Roman" w:hAnsi="Century Gothic" w:cs="Arial"/>
          <w:color w:val="000000"/>
        </w:rPr>
      </w:pPr>
      <w:r w:rsidRPr="008A55D0">
        <w:rPr>
          <w:rFonts w:ascii="Century Gothic" w:eastAsia="Times New Roman" w:hAnsi="Century Gothic" w:cs="Arial"/>
          <w:color w:val="000000"/>
        </w:rPr>
        <w:t>Atentamente,</w:t>
      </w:r>
    </w:p>
    <w:p w14:paraId="6124D51B" w14:textId="28BC77F5" w:rsidR="008A55D0" w:rsidRPr="008A55D0" w:rsidRDefault="00D10C21" w:rsidP="008A55D0">
      <w:pPr>
        <w:jc w:val="center"/>
        <w:rPr>
          <w:rFonts w:ascii="Century Gothic" w:eastAsia="Calibri" w:hAnsi="Century Gothic" w:cs="Arial"/>
        </w:rPr>
      </w:pPr>
      <w:r>
        <w:rPr>
          <w:noProof/>
        </w:rPr>
        <w:lastRenderedPageBreak/>
        <w:drawing>
          <wp:inline distT="0" distB="0" distL="0" distR="0" wp14:anchorId="6152CBEB" wp14:editId="4065E604">
            <wp:extent cx="3154680" cy="1211580"/>
            <wp:effectExtent l="0" t="0" r="7620" b="7620"/>
            <wp:docPr id="1722032245" name="Imagen 1" descr="C:\Users\Carito\AppData\Local\Microsoft\Windows\INetCache\Content.MSO\C6BE34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32245" name="Imagen 1722032245" descr="C:\Users\Carito\AppData\Local\Microsoft\Windows\INetCache\Content.MSO\C6BE34F1.tmp"/>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A55D0" w:rsidRPr="008A55D0" w14:paraId="5C9F1B7F" w14:textId="77777777" w:rsidTr="00F07092">
        <w:trPr>
          <w:trHeight w:val="409"/>
        </w:trPr>
        <w:tc>
          <w:tcPr>
            <w:tcW w:w="817" w:type="dxa"/>
            <w:tcBorders>
              <w:top w:val="nil"/>
              <w:left w:val="nil"/>
              <w:bottom w:val="nil"/>
              <w:right w:val="nil"/>
            </w:tcBorders>
            <w:vAlign w:val="center"/>
            <w:hideMark/>
          </w:tcPr>
          <w:p w14:paraId="5D105DCD" w14:textId="77777777" w:rsidR="008A55D0" w:rsidRPr="008A55D0" w:rsidRDefault="008A55D0" w:rsidP="008A55D0">
            <w:pPr>
              <w:shd w:val="clear" w:color="auto" w:fill="FFFFFF"/>
              <w:spacing w:after="0" w:line="240" w:lineRule="auto"/>
              <w:jc w:val="both"/>
              <w:rPr>
                <w:rFonts w:ascii="Century Gothic" w:eastAsia="Calibri" w:hAnsi="Century Gothic" w:cs="Arial"/>
                <w:sz w:val="16"/>
                <w:szCs w:val="16"/>
              </w:rPr>
            </w:pPr>
            <w:r w:rsidRPr="008A55D0">
              <w:rPr>
                <w:rFonts w:ascii="Century Gothic" w:eastAsia="Calibri" w:hAnsi="Century Gothic" w:cs="Arial"/>
                <w:sz w:val="16"/>
                <w:szCs w:val="16"/>
              </w:rPr>
              <w:t>Elaboró: </w:t>
            </w:r>
          </w:p>
        </w:tc>
        <w:tc>
          <w:tcPr>
            <w:tcW w:w="4937" w:type="dxa"/>
            <w:tcBorders>
              <w:top w:val="nil"/>
              <w:left w:val="nil"/>
              <w:bottom w:val="dotted" w:sz="6" w:space="0" w:color="7F7F7F"/>
              <w:right w:val="nil"/>
            </w:tcBorders>
            <w:vAlign w:val="center"/>
            <w:hideMark/>
          </w:tcPr>
          <w:p w14:paraId="57EB5804" w14:textId="0043DB22" w:rsidR="008A55D0" w:rsidRPr="008A55D0" w:rsidRDefault="00CA6176" w:rsidP="008A55D0">
            <w:pPr>
              <w:shd w:val="clear" w:color="auto" w:fill="FFFFFF"/>
              <w:spacing w:after="0" w:line="240" w:lineRule="auto"/>
              <w:jc w:val="both"/>
              <w:rPr>
                <w:rFonts w:ascii="Century Gothic" w:eastAsia="Calibri" w:hAnsi="Century Gothic" w:cs="Arial"/>
                <w:sz w:val="16"/>
                <w:szCs w:val="16"/>
              </w:rPr>
            </w:pPr>
            <w:r>
              <w:rPr>
                <w:rFonts w:ascii="Century Gothic" w:eastAsia="Calibri" w:hAnsi="Century Gothic" w:cs="Arial"/>
                <w:sz w:val="16"/>
                <w:szCs w:val="16"/>
              </w:rPr>
              <w:t xml:space="preserve">Diana </w:t>
            </w:r>
            <w:r w:rsidR="00C86883">
              <w:rPr>
                <w:rFonts w:ascii="Century Gothic" w:eastAsia="Calibri" w:hAnsi="Century Gothic" w:cs="Arial"/>
                <w:sz w:val="16"/>
                <w:szCs w:val="16"/>
              </w:rPr>
              <w:t xml:space="preserve">Carolina Blanco </w:t>
            </w:r>
            <w:proofErr w:type="spellStart"/>
            <w:r w:rsidR="00C86883">
              <w:rPr>
                <w:rFonts w:ascii="Century Gothic" w:eastAsia="Calibri" w:hAnsi="Century Gothic" w:cs="Arial"/>
                <w:sz w:val="16"/>
                <w:szCs w:val="16"/>
              </w:rPr>
              <w:t>Rodriguez</w:t>
            </w:r>
            <w:proofErr w:type="spellEnd"/>
            <w:r w:rsidR="00C86883">
              <w:rPr>
                <w:rFonts w:ascii="Century Gothic" w:eastAsia="Calibri" w:hAnsi="Century Gothic" w:cs="Arial"/>
                <w:sz w:val="16"/>
                <w:szCs w:val="16"/>
              </w:rPr>
              <w:t xml:space="preserve"> </w:t>
            </w:r>
          </w:p>
          <w:p w14:paraId="7A9C636C" w14:textId="77777777" w:rsidR="008A55D0" w:rsidRPr="008A55D0" w:rsidRDefault="008A55D0" w:rsidP="008A55D0">
            <w:pPr>
              <w:shd w:val="clear" w:color="auto" w:fill="FFFFFF"/>
              <w:spacing w:after="0" w:line="240" w:lineRule="auto"/>
              <w:jc w:val="both"/>
              <w:rPr>
                <w:rFonts w:ascii="Century Gothic" w:eastAsia="Calibri" w:hAnsi="Century Gothic" w:cs="Arial"/>
                <w:sz w:val="16"/>
                <w:szCs w:val="16"/>
              </w:rPr>
            </w:pPr>
            <w:r w:rsidRPr="008A55D0">
              <w:rPr>
                <w:rFonts w:ascii="Century Gothic" w:eastAsia="Calibri" w:hAnsi="Century Gothic" w:cs="Arial"/>
                <w:sz w:val="16"/>
                <w:szCs w:val="16"/>
              </w:rPr>
              <w:t>Contratista de la Subdirección de Gestión Contractual</w:t>
            </w:r>
          </w:p>
        </w:tc>
      </w:tr>
      <w:tr w:rsidR="008A55D0" w:rsidRPr="008A55D0" w14:paraId="084B3C78" w14:textId="77777777" w:rsidTr="00F07092">
        <w:trPr>
          <w:trHeight w:val="409"/>
        </w:trPr>
        <w:tc>
          <w:tcPr>
            <w:tcW w:w="817" w:type="dxa"/>
            <w:tcBorders>
              <w:top w:val="nil"/>
              <w:left w:val="nil"/>
              <w:right w:val="nil"/>
            </w:tcBorders>
            <w:vAlign w:val="center"/>
          </w:tcPr>
          <w:p w14:paraId="5EEEBB50" w14:textId="77777777" w:rsidR="008A55D0" w:rsidRPr="008A55D0" w:rsidRDefault="008A55D0" w:rsidP="008A55D0">
            <w:pPr>
              <w:shd w:val="clear" w:color="auto" w:fill="FFFFFF"/>
              <w:jc w:val="both"/>
              <w:rPr>
                <w:rFonts w:ascii="Century Gothic" w:eastAsia="Calibri" w:hAnsi="Century Gothic" w:cs="Arial"/>
                <w:sz w:val="16"/>
                <w:szCs w:val="16"/>
              </w:rPr>
            </w:pPr>
            <w:r w:rsidRPr="008A55D0">
              <w:rPr>
                <w:rFonts w:ascii="Century Gothic" w:eastAsia="Calibri" w:hAnsi="Century Gothic" w:cs="Arial"/>
                <w:sz w:val="16"/>
                <w:szCs w:val="16"/>
              </w:rPr>
              <w:t>Revisó</w:t>
            </w:r>
          </w:p>
        </w:tc>
        <w:tc>
          <w:tcPr>
            <w:tcW w:w="4937" w:type="dxa"/>
            <w:tcBorders>
              <w:top w:val="dotted" w:sz="6" w:space="0" w:color="7F7F7F"/>
              <w:left w:val="nil"/>
              <w:bottom w:val="dotted" w:sz="6" w:space="0" w:color="7F7F7F"/>
              <w:right w:val="nil"/>
            </w:tcBorders>
            <w:vAlign w:val="center"/>
          </w:tcPr>
          <w:p w14:paraId="0794E6A6" w14:textId="77777777" w:rsidR="008A55D0" w:rsidRPr="008A55D0" w:rsidRDefault="008A55D0" w:rsidP="008A55D0">
            <w:pPr>
              <w:shd w:val="clear" w:color="auto" w:fill="FFFFFF"/>
              <w:spacing w:after="0" w:line="240" w:lineRule="auto"/>
              <w:jc w:val="both"/>
              <w:rPr>
                <w:rFonts w:ascii="Century Gothic" w:eastAsia="Calibri" w:hAnsi="Century Gothic" w:cs="Arial"/>
                <w:sz w:val="16"/>
                <w:szCs w:val="16"/>
              </w:rPr>
            </w:pPr>
            <w:r w:rsidRPr="008A55D0">
              <w:rPr>
                <w:rFonts w:ascii="Century Gothic" w:eastAsia="Calibri" w:hAnsi="Century Gothic" w:cs="Arial"/>
                <w:sz w:val="16"/>
                <w:szCs w:val="16"/>
              </w:rPr>
              <w:t>Martha Alicia Romero Vargas</w:t>
            </w:r>
          </w:p>
          <w:p w14:paraId="76612812" w14:textId="77777777" w:rsidR="008A55D0" w:rsidRPr="008A55D0" w:rsidRDefault="008A55D0" w:rsidP="008A55D0">
            <w:pPr>
              <w:shd w:val="clear" w:color="auto" w:fill="FFFFFF"/>
              <w:spacing w:after="0" w:line="240" w:lineRule="auto"/>
              <w:jc w:val="both"/>
              <w:rPr>
                <w:rFonts w:ascii="Century Gothic" w:eastAsia="Calibri" w:hAnsi="Century Gothic" w:cs="Arial"/>
                <w:sz w:val="16"/>
                <w:szCs w:val="16"/>
              </w:rPr>
            </w:pPr>
            <w:r w:rsidRPr="008A55D0">
              <w:rPr>
                <w:rFonts w:ascii="Century Gothic" w:eastAsia="Calibri" w:hAnsi="Century Gothic" w:cs="Arial"/>
                <w:sz w:val="16"/>
                <w:szCs w:val="16"/>
              </w:rPr>
              <w:t>Gestor T1-15 de la Subdirección de Gestión Contractual</w:t>
            </w:r>
          </w:p>
        </w:tc>
      </w:tr>
      <w:tr w:rsidR="008A55D0" w:rsidRPr="008A55D0" w14:paraId="502DAFB5" w14:textId="77777777" w:rsidTr="00F07092">
        <w:trPr>
          <w:trHeight w:val="389"/>
        </w:trPr>
        <w:tc>
          <w:tcPr>
            <w:tcW w:w="817" w:type="dxa"/>
            <w:tcBorders>
              <w:top w:val="nil"/>
              <w:left w:val="nil"/>
              <w:bottom w:val="nil"/>
              <w:right w:val="nil"/>
            </w:tcBorders>
            <w:vAlign w:val="center"/>
            <w:hideMark/>
          </w:tcPr>
          <w:p w14:paraId="495B79DF" w14:textId="77777777" w:rsidR="008A55D0" w:rsidRPr="008A55D0" w:rsidRDefault="008A55D0" w:rsidP="008A55D0">
            <w:pPr>
              <w:shd w:val="clear" w:color="auto" w:fill="FFFFFF"/>
              <w:spacing w:after="0" w:line="240" w:lineRule="auto"/>
              <w:jc w:val="both"/>
              <w:rPr>
                <w:rFonts w:ascii="Century Gothic" w:eastAsia="Calibri" w:hAnsi="Century Gothic" w:cs="Arial"/>
                <w:sz w:val="16"/>
                <w:szCs w:val="16"/>
              </w:rPr>
            </w:pPr>
            <w:r w:rsidRPr="008A55D0">
              <w:rPr>
                <w:rFonts w:ascii="Century Gothic" w:eastAsia="Calibri" w:hAnsi="Century Gothic" w:cs="Arial"/>
                <w:sz w:val="16"/>
                <w:szCs w:val="16"/>
              </w:rPr>
              <w:t>Aprobó: </w:t>
            </w:r>
          </w:p>
        </w:tc>
        <w:tc>
          <w:tcPr>
            <w:tcW w:w="4937" w:type="dxa"/>
            <w:tcBorders>
              <w:top w:val="dotted" w:sz="6" w:space="0" w:color="7F7F7F"/>
              <w:left w:val="nil"/>
              <w:bottom w:val="dotted" w:sz="6" w:space="0" w:color="7F7F7F"/>
              <w:right w:val="nil"/>
            </w:tcBorders>
            <w:vAlign w:val="center"/>
            <w:hideMark/>
          </w:tcPr>
          <w:p w14:paraId="555F3547" w14:textId="77777777" w:rsidR="008A55D0" w:rsidRPr="008A55D0" w:rsidRDefault="008A55D0" w:rsidP="008A55D0">
            <w:pPr>
              <w:shd w:val="clear" w:color="auto" w:fill="FFFFFF"/>
              <w:spacing w:after="0" w:line="240" w:lineRule="auto"/>
              <w:jc w:val="both"/>
              <w:rPr>
                <w:rFonts w:ascii="Century Gothic" w:eastAsia="Calibri" w:hAnsi="Century Gothic" w:cs="Arial"/>
                <w:sz w:val="16"/>
                <w:szCs w:val="16"/>
              </w:rPr>
            </w:pPr>
            <w:r w:rsidRPr="008A55D0">
              <w:rPr>
                <w:rFonts w:ascii="Century Gothic" w:eastAsia="Calibri" w:hAnsi="Century Gothic" w:cs="Arial"/>
                <w:sz w:val="16"/>
                <w:szCs w:val="16"/>
              </w:rPr>
              <w:t>Nohelia del Carmen Zawady Palacio</w:t>
            </w:r>
          </w:p>
          <w:p w14:paraId="408BD9C2" w14:textId="77777777" w:rsidR="008A55D0" w:rsidRPr="008A55D0" w:rsidRDefault="008A55D0" w:rsidP="008A55D0">
            <w:pPr>
              <w:shd w:val="clear" w:color="auto" w:fill="FFFFFF"/>
              <w:spacing w:after="0" w:line="240" w:lineRule="auto"/>
              <w:jc w:val="both"/>
              <w:rPr>
                <w:rFonts w:ascii="Century Gothic" w:eastAsia="Calibri" w:hAnsi="Century Gothic" w:cs="Arial"/>
                <w:sz w:val="16"/>
                <w:szCs w:val="16"/>
              </w:rPr>
            </w:pPr>
            <w:r w:rsidRPr="008A55D0">
              <w:rPr>
                <w:rFonts w:ascii="Century Gothic" w:eastAsia="Calibri" w:hAnsi="Century Gothic" w:cs="Arial"/>
                <w:sz w:val="16"/>
                <w:szCs w:val="16"/>
              </w:rPr>
              <w:t>Subdirectora de Gestión Contractual ANCP - CCE</w:t>
            </w:r>
          </w:p>
        </w:tc>
      </w:tr>
      <w:bookmarkEnd w:id="0"/>
      <w:bookmarkEnd w:id="3"/>
      <w:bookmarkEnd w:id="4"/>
    </w:tbl>
    <w:p w14:paraId="03BA907E" w14:textId="77777777" w:rsidR="008A55D0" w:rsidRPr="008A55D0" w:rsidRDefault="008A55D0" w:rsidP="008A55D0">
      <w:pPr>
        <w:spacing w:after="0" w:line="240" w:lineRule="auto"/>
        <w:rPr>
          <w:rFonts w:ascii="Century Gothic" w:eastAsia="Aptos" w:hAnsi="Century Gothic" w:cs="Times New Roman"/>
          <w:kern w:val="2"/>
          <w:sz w:val="24"/>
          <w:szCs w:val="24"/>
          <w:lang w:val="es-ES_tradnl"/>
          <w14:ligatures w14:val="standardContextual"/>
        </w:rPr>
      </w:pPr>
    </w:p>
    <w:p w14:paraId="2745EE2B" w14:textId="77777777" w:rsidR="008A55D0" w:rsidRPr="008A55D0" w:rsidRDefault="008A55D0" w:rsidP="008A55D0">
      <w:pPr>
        <w:spacing w:after="0"/>
        <w:rPr>
          <w:rFonts w:ascii="Century Gothic" w:eastAsia="Calibri" w:hAnsi="Century Gothic" w:cs="Times New Roman"/>
          <w:lang w:val="es-MX"/>
        </w:rPr>
      </w:pPr>
    </w:p>
    <w:p w14:paraId="40CEAA88" w14:textId="77777777" w:rsidR="008A55D0" w:rsidRPr="008A55D0" w:rsidRDefault="008A55D0" w:rsidP="008A55D0">
      <w:pPr>
        <w:spacing w:after="0" w:line="240" w:lineRule="auto"/>
        <w:rPr>
          <w:rFonts w:ascii="Century Gothic" w:eastAsia="Aptos" w:hAnsi="Century Gothic" w:cs="Times New Roman"/>
          <w:kern w:val="2"/>
          <w:sz w:val="24"/>
          <w:szCs w:val="24"/>
          <w:lang w:val="es-ES_tradnl"/>
          <w14:ligatures w14:val="standardContextual"/>
        </w:rPr>
      </w:pPr>
    </w:p>
    <w:p w14:paraId="7EBFAB6A" w14:textId="77777777" w:rsidR="005A6AA1" w:rsidRDefault="005A6AA1" w:rsidP="00400548">
      <w:pPr>
        <w:spacing w:after="0"/>
        <w:rPr>
          <w:rFonts w:ascii="Century Gothic" w:hAnsi="Century Gothic"/>
          <w:lang w:val="es-MX"/>
        </w:rPr>
      </w:pPr>
    </w:p>
    <w:sectPr w:rsidR="005A6AA1" w:rsidSect="004368BC">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04E56" w14:textId="77777777" w:rsidR="00930419" w:rsidRDefault="00930419" w:rsidP="004A1847">
      <w:pPr>
        <w:spacing w:after="0" w:line="240" w:lineRule="auto"/>
      </w:pPr>
      <w:r>
        <w:separator/>
      </w:r>
    </w:p>
  </w:endnote>
  <w:endnote w:type="continuationSeparator" w:id="0">
    <w:p w14:paraId="61A4A854" w14:textId="77777777" w:rsidR="00930419" w:rsidRDefault="0093041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098FF" w14:textId="77777777" w:rsidR="00930419" w:rsidRDefault="00930419" w:rsidP="004A1847">
      <w:pPr>
        <w:spacing w:after="0" w:line="240" w:lineRule="auto"/>
      </w:pPr>
      <w:r>
        <w:separator/>
      </w:r>
    </w:p>
  </w:footnote>
  <w:footnote w:type="continuationSeparator" w:id="0">
    <w:p w14:paraId="66E74841" w14:textId="77777777" w:rsidR="00930419" w:rsidRDefault="00930419" w:rsidP="004A1847">
      <w:pPr>
        <w:spacing w:after="0" w:line="240" w:lineRule="auto"/>
      </w:pPr>
      <w:r>
        <w:continuationSeparator/>
      </w:r>
    </w:p>
  </w:footnote>
  <w:footnote w:id="1">
    <w:p w14:paraId="2C6554DC" w14:textId="77777777" w:rsidR="008A55D0" w:rsidRPr="001959E2" w:rsidRDefault="008A55D0" w:rsidP="008A55D0">
      <w:pPr>
        <w:pStyle w:val="Textonotapie"/>
        <w:ind w:firstLine="709"/>
        <w:jc w:val="both"/>
        <w:rPr>
          <w:rFonts w:ascii="Century Gothic" w:hAnsi="Century Gothic" w:cs="Arial"/>
          <w:sz w:val="17"/>
          <w:szCs w:val="17"/>
          <w:lang w:val="es-CO"/>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w:t>
      </w:r>
      <w:r w:rsidRPr="001959E2">
        <w:rPr>
          <w:rFonts w:ascii="Century Gothic" w:hAnsi="Century Gothic" w:cs="Arial"/>
          <w:sz w:val="17"/>
          <w:szCs w:val="17"/>
          <w:lang w:val="es-CO"/>
        </w:rPr>
        <w:t xml:space="preserve">Estos conceptos pueden ser consultados en la Relatoría de esta Agencia en el siguiente Link: </w:t>
      </w:r>
      <w:hyperlink r:id="rId1" w:history="1">
        <w:r w:rsidRPr="001959E2">
          <w:rPr>
            <w:rStyle w:val="Hipervnculo"/>
            <w:rFonts w:ascii="Century Gothic" w:hAnsi="Century Gothic" w:cs="Arial"/>
            <w:sz w:val="17"/>
            <w:szCs w:val="17"/>
            <w:lang w:val="es-CO"/>
          </w:rPr>
          <w:t>https://relatoria.colombiacompra.gov.co/busqueda/conceptos</w:t>
        </w:r>
      </w:hyperlink>
      <w:r w:rsidRPr="001959E2">
        <w:rPr>
          <w:rFonts w:ascii="Century Gothic" w:hAnsi="Century Gothic" w:cs="Arial"/>
          <w:sz w:val="17"/>
          <w:szCs w:val="17"/>
          <w:lang w:val="es-CO"/>
        </w:rPr>
        <w:t>.</w:t>
      </w:r>
    </w:p>
  </w:footnote>
  <w:footnote w:id="2">
    <w:p w14:paraId="46754B1F" w14:textId="77777777" w:rsidR="008A55D0" w:rsidRPr="001959E2" w:rsidRDefault="008A55D0" w:rsidP="008A55D0">
      <w:pPr>
        <w:pStyle w:val="Textonotapie"/>
        <w:ind w:firstLine="709"/>
        <w:jc w:val="both"/>
        <w:rPr>
          <w:rFonts w:ascii="Century Gothic" w:hAnsi="Century Gothic" w:cs="Arial"/>
          <w:color w:val="000000"/>
          <w:sz w:val="17"/>
          <w:szCs w:val="17"/>
          <w:lang w:val="es-CO"/>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1CCFBDE1" w14:textId="77777777" w:rsidR="008A55D0" w:rsidRPr="001959E2" w:rsidRDefault="008A55D0" w:rsidP="008A55D0">
      <w:pPr>
        <w:pStyle w:val="Textonotapie"/>
        <w:ind w:firstLine="709"/>
        <w:jc w:val="both"/>
        <w:rPr>
          <w:rFonts w:ascii="Century Gothic" w:hAnsi="Century Gothic" w:cs="Arial"/>
          <w:color w:val="000000"/>
          <w:sz w:val="17"/>
          <w:szCs w:val="17"/>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w:t>
      </w:r>
      <w:r w:rsidRPr="001959E2">
        <w:rPr>
          <w:rFonts w:ascii="Century Gothic" w:hAnsi="Century Gothic" w:cs="Arial"/>
          <w:color w:val="000000"/>
          <w:sz w:val="17"/>
          <w:szCs w:val="17"/>
          <w:lang w:val="es-CO"/>
        </w:rPr>
        <w:t xml:space="preserve">Ley 1882 de 2018: “Artículo 4. </w:t>
      </w:r>
      <w:r w:rsidRPr="001959E2">
        <w:rPr>
          <w:rFonts w:ascii="Century Gothic" w:hAnsi="Century Gothic" w:cs="Arial"/>
          <w:color w:val="000000"/>
          <w:sz w:val="17"/>
          <w:szCs w:val="17"/>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8B41D81" w14:textId="77777777" w:rsidR="008A55D0" w:rsidRPr="001959E2" w:rsidRDefault="008A55D0" w:rsidP="008A55D0">
      <w:pPr>
        <w:pStyle w:val="Textonotapie"/>
        <w:ind w:firstLine="709"/>
        <w:jc w:val="both"/>
        <w:rPr>
          <w:rFonts w:ascii="Century Gothic" w:hAnsi="Century Gothic" w:cs="Arial"/>
          <w:color w:val="000000"/>
          <w:sz w:val="17"/>
          <w:szCs w:val="17"/>
          <w:lang w:val="es-CO"/>
        </w:rPr>
      </w:pPr>
      <w:r w:rsidRPr="001959E2">
        <w:rPr>
          <w:rFonts w:ascii="Century Gothic" w:hAnsi="Century Gothic" w:cs="Arial"/>
          <w:color w:val="000000"/>
          <w:sz w:val="17"/>
          <w:szCs w:val="17"/>
          <w:lang w:val="es-CO"/>
        </w:rPr>
        <w:t>La facultad de adoptar documentos tipo la tendrá el Gobierno nacional, cuando lo considere necesario, en relación con otros contratos o procesos de selección.</w:t>
      </w:r>
    </w:p>
    <w:p w14:paraId="60DCC39D" w14:textId="77777777" w:rsidR="008A55D0" w:rsidRPr="001959E2" w:rsidRDefault="008A55D0" w:rsidP="008A55D0">
      <w:pPr>
        <w:pStyle w:val="Textonotapie"/>
        <w:ind w:firstLine="709"/>
        <w:jc w:val="both"/>
        <w:rPr>
          <w:rFonts w:ascii="Century Gothic" w:hAnsi="Century Gothic" w:cs="Arial"/>
          <w:color w:val="000000"/>
          <w:sz w:val="17"/>
          <w:szCs w:val="17"/>
          <w:lang w:val="es-CO"/>
        </w:rPr>
      </w:pPr>
      <w:r w:rsidRPr="001959E2">
        <w:rPr>
          <w:rFonts w:ascii="Century Gothic" w:hAnsi="Century Gothic" w:cs="Arial"/>
          <w:color w:val="000000"/>
          <w:sz w:val="17"/>
          <w:szCs w:val="17"/>
          <w:lang w:val="es-CO"/>
        </w:rPr>
        <w:t>Los pliegos tipo se adoptarán por categorías de acuerdo con la cuantía de la contratación, según la reglamentación que expida el Gobierno nacional”.</w:t>
      </w:r>
    </w:p>
  </w:footnote>
  <w:footnote w:id="4">
    <w:p w14:paraId="10495181" w14:textId="77777777" w:rsidR="008A55D0" w:rsidRPr="001959E2" w:rsidRDefault="008A55D0" w:rsidP="008A55D0">
      <w:pPr>
        <w:pStyle w:val="Textonotapie"/>
        <w:ind w:firstLine="709"/>
        <w:jc w:val="both"/>
        <w:rPr>
          <w:rFonts w:ascii="Century Gothic" w:hAnsi="Century Gothic" w:cs="Arial"/>
          <w:color w:val="000000"/>
          <w:sz w:val="17"/>
          <w:szCs w:val="17"/>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14:paraId="67C871D1" w14:textId="77777777" w:rsidR="008A55D0" w:rsidRPr="001959E2" w:rsidRDefault="008A55D0" w:rsidP="008A55D0">
      <w:pPr>
        <w:pStyle w:val="Textonotapie"/>
        <w:ind w:firstLine="708"/>
        <w:jc w:val="both"/>
        <w:rPr>
          <w:rFonts w:ascii="Century Gothic" w:hAnsi="Century Gothic" w:cs="Arial"/>
          <w:color w:val="000000"/>
          <w:sz w:val="17"/>
          <w:szCs w:val="17"/>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Sin perjuicio de la extensión del ámbito de aplicación de acuerdo con el artículo 56 de la Ley 2195 de 2022, la norma citada en el cuerpo del concepto dispone lo siguiente: “ARTÍCULO 1o. Modifíquese el artículo 4o de la Ley 1882 de 2018, el cual quedará así:</w:t>
      </w:r>
    </w:p>
    <w:p w14:paraId="0FC3425C" w14:textId="77777777" w:rsidR="008A55D0" w:rsidRPr="001959E2" w:rsidRDefault="008A55D0" w:rsidP="008A55D0">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Artículo 4o. Adiciónese el siguiente parágrafo al artículo 2o de la Ley 1150 de 2007.</w:t>
      </w:r>
    </w:p>
    <w:p w14:paraId="50D57852" w14:textId="77777777" w:rsidR="008A55D0" w:rsidRPr="001959E2" w:rsidRDefault="008A55D0" w:rsidP="008A55D0">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875C4C5" w14:textId="77777777" w:rsidR="008A55D0" w:rsidRPr="001959E2" w:rsidRDefault="008A55D0" w:rsidP="008A55D0">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90A9162" w14:textId="77777777" w:rsidR="008A55D0" w:rsidRPr="001959E2" w:rsidRDefault="008A55D0" w:rsidP="008A55D0">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57831F2" w14:textId="77777777" w:rsidR="008A55D0" w:rsidRPr="001959E2" w:rsidRDefault="008A55D0" w:rsidP="008A55D0">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F20E67B" w14:textId="77777777" w:rsidR="008A55D0" w:rsidRPr="001959E2" w:rsidRDefault="008A55D0" w:rsidP="008A55D0">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C36E729" w14:textId="77777777" w:rsidR="008A55D0" w:rsidRPr="001959E2" w:rsidRDefault="008A55D0" w:rsidP="008A55D0">
      <w:pPr>
        <w:pStyle w:val="Textonotapie"/>
        <w:ind w:firstLine="709"/>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El artículo 5 dispone que “</w:t>
      </w:r>
      <w:r w:rsidRPr="001959E2">
        <w:rPr>
          <w:rFonts w:ascii="Century Gothic" w:hAnsi="Century Gothic" w:cs="Arial"/>
          <w:sz w:val="17"/>
          <w:szCs w:val="17"/>
          <w:lang w:val="es-CO"/>
        </w:rPr>
        <w:t>La presente resolución rige a partir de su publicación, deroga la Resolución 094 de 2020 y sus modificaciones posteriores, y aplica a los procesos de obra pública de infraestructura de transporte que se adelanten bajo la modalidad de mínima cuantía, cuya invitación se publique a partir del 27 de febrero del 2023”.</w:t>
      </w:r>
    </w:p>
  </w:footnote>
  <w:footnote w:id="7">
    <w:p w14:paraId="314EC7A4" w14:textId="77777777" w:rsidR="008A55D0" w:rsidRPr="001959E2" w:rsidRDefault="008A55D0" w:rsidP="008A55D0">
      <w:pPr>
        <w:pStyle w:val="Ttulo21"/>
        <w:spacing w:before="0" w:after="0"/>
        <w:ind w:firstLine="708"/>
        <w:jc w:val="both"/>
        <w:rPr>
          <w:rFonts w:ascii="Century Gothic" w:hAnsi="Century Gothic" w:cs="Arial"/>
          <w:color w:val="auto"/>
          <w:sz w:val="17"/>
          <w:szCs w:val="17"/>
        </w:rPr>
      </w:pPr>
      <w:r w:rsidRPr="001959E2">
        <w:rPr>
          <w:rStyle w:val="Refdenotaalpie"/>
          <w:rFonts w:ascii="Century Gothic" w:hAnsi="Century Gothic" w:cs="Arial"/>
          <w:color w:val="auto"/>
          <w:sz w:val="17"/>
          <w:szCs w:val="17"/>
        </w:rPr>
        <w:footnoteRef/>
      </w:r>
      <w:r w:rsidRPr="001959E2">
        <w:rPr>
          <w:rFonts w:ascii="Century Gothic" w:hAnsi="Century Gothic" w:cs="Arial"/>
          <w:color w:val="auto"/>
          <w:sz w:val="17"/>
          <w:szCs w:val="17"/>
        </w:rPr>
        <w:t xml:space="preserve"> </w:t>
      </w:r>
      <w:r w:rsidRPr="001959E2">
        <w:rPr>
          <w:rFonts w:ascii="Century Gothic" w:hAnsi="Century Gothic" w:cs="Arial"/>
          <w:color w:val="auto"/>
          <w:sz w:val="17"/>
          <w:szCs w:val="17"/>
          <w:lang w:val="es-ES"/>
        </w:rPr>
        <w:t>Agencia Nacional de Contratación Pública – Colombia Compra Eficiente. Resolución 240 de 2020. “Artículo 4:</w:t>
      </w:r>
      <w:r w:rsidRPr="001959E2">
        <w:rPr>
          <w:rStyle w:val="EncabezadoCar"/>
          <w:rFonts w:ascii="Century Gothic" w:hAnsi="Century Gothic" w:cs="Arial"/>
          <w:color w:val="auto"/>
          <w:sz w:val="17"/>
          <w:szCs w:val="17"/>
        </w:rPr>
        <w:t xml:space="preserve"> </w:t>
      </w:r>
      <w:r w:rsidRPr="001959E2">
        <w:rPr>
          <w:rFonts w:ascii="Century Gothic" w:hAnsi="Century Gothic" w:cs="Arial"/>
          <w:color w:val="auto"/>
          <w:sz w:val="17"/>
          <w:szCs w:val="17"/>
        </w:rPr>
        <w:t xml:space="preserve">Bienes o servicios adicionales a la obra pública de infraestructura de transporte: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364DBDD0" w14:textId="77777777" w:rsidR="008A55D0" w:rsidRPr="001959E2" w:rsidRDefault="008A55D0" w:rsidP="008A55D0">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5F77A93B" w14:textId="77777777" w:rsidR="008A55D0" w:rsidRPr="001959E2" w:rsidRDefault="008A55D0" w:rsidP="008A55D0">
      <w:pPr>
        <w:pStyle w:val="Ttulo21"/>
        <w:spacing w:before="0" w:after="0"/>
        <w:ind w:left="708"/>
        <w:jc w:val="both"/>
        <w:rPr>
          <w:rFonts w:ascii="Century Gothic" w:hAnsi="Century Gothic" w:cs="Arial"/>
          <w:color w:val="auto"/>
          <w:sz w:val="17"/>
          <w:szCs w:val="17"/>
        </w:rPr>
      </w:pPr>
      <w:r w:rsidRPr="001959E2">
        <w:rPr>
          <w:rFonts w:ascii="Century Gothic" w:hAnsi="Century Gothic" w:cs="Arial"/>
          <w:color w:val="auto"/>
          <w:sz w:val="17"/>
          <w:szCs w:val="17"/>
        </w:rPr>
        <w:t xml:space="preserve">2. Conservar los requisitos exigidos en los Documentos Tipo. </w:t>
      </w:r>
    </w:p>
    <w:p w14:paraId="0CA42004" w14:textId="77777777" w:rsidR="008A55D0" w:rsidRPr="001959E2" w:rsidRDefault="008A55D0" w:rsidP="008A55D0">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3. Abstenerse de pedir experiencia exclusiva con entidades estatales, experiencia previa en un territorio específico, limitada en el tiempo o que incluya volúmenes o cantidades de obra específica. </w:t>
      </w:r>
    </w:p>
    <w:p w14:paraId="0F6CFC4B" w14:textId="77777777" w:rsidR="008A55D0" w:rsidRPr="001959E2" w:rsidRDefault="008A55D0" w:rsidP="008A55D0">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4. Clasificar la experiencia requerida solo hasta el tercer nivel del Clasificador de Bienes y Servicios e incluir exclusivamente los códigos que estén relacionados directamente con el objeto a contratar. </w:t>
      </w:r>
    </w:p>
    <w:p w14:paraId="63177D9F" w14:textId="77777777" w:rsidR="008A55D0" w:rsidRPr="001959E2" w:rsidRDefault="008A55D0" w:rsidP="008A55D0">
      <w:pPr>
        <w:pStyle w:val="Ttulo21"/>
        <w:spacing w:before="0" w:after="0"/>
        <w:ind w:firstLine="708"/>
        <w:jc w:val="both"/>
        <w:rPr>
          <w:rFonts w:ascii="Century Gothic" w:hAnsi="Century Gothic" w:cs="Arial"/>
          <w:color w:val="000000"/>
          <w:sz w:val="17"/>
          <w:szCs w:val="17"/>
          <w:lang w:eastAsia="es-CO"/>
        </w:rPr>
      </w:pPr>
      <w:r w:rsidRPr="001959E2">
        <w:rPr>
          <w:rFonts w:ascii="Century Gothic" w:hAnsi="Century Gothic" w:cs="Arial"/>
          <w:color w:val="auto"/>
          <w:sz w:val="17"/>
          <w:szCs w:val="17"/>
        </w:rPr>
        <w:t>Parágrafo (Incluido por el artículo 59 de la Resolución 275 del 24 de junio de 2022). En los casos que el objeto contractual incluya actividades que son abarcadas por otros Documentos Tipo, la Entidad Estatal aplicará las reglas de combinación de experiencia previstas en el numeral 3.5.2 del documento base”.</w:t>
      </w:r>
    </w:p>
    <w:p w14:paraId="173B1554" w14:textId="77777777" w:rsidR="008A55D0" w:rsidRPr="001959E2" w:rsidRDefault="008A55D0" w:rsidP="008A55D0">
      <w:pPr>
        <w:pStyle w:val="Textonotapie"/>
        <w:ind w:firstLine="708"/>
        <w:jc w:val="both"/>
        <w:rPr>
          <w:rFonts w:ascii="Century Gothic" w:hAnsi="Century Gothic" w:cs="Arial"/>
          <w:sz w:val="17"/>
          <w:szCs w:val="17"/>
          <w:lang w:val="es-ES"/>
        </w:rPr>
      </w:pPr>
    </w:p>
  </w:footnote>
  <w:footnote w:id="8">
    <w:p w14:paraId="50AE05D1" w14:textId="77777777" w:rsidR="008A55D0" w:rsidRPr="001959E2" w:rsidRDefault="008A55D0" w:rsidP="008A55D0">
      <w:pPr>
        <w:pStyle w:val="Textonotapie"/>
        <w:ind w:firstLine="709"/>
        <w:jc w:val="both"/>
        <w:rPr>
          <w:rFonts w:ascii="Century Gothic" w:hAnsi="Century Gothic" w:cs="Arial"/>
          <w:sz w:val="17"/>
          <w:szCs w:val="17"/>
          <w:lang w:val="es-CO"/>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w:t>
      </w:r>
      <w:r w:rsidRPr="001959E2">
        <w:rPr>
          <w:rFonts w:ascii="Century Gothic" w:hAnsi="Century Gothic" w:cs="Arial"/>
          <w:sz w:val="17"/>
          <w:szCs w:val="17"/>
          <w:lang w:val="es-CO"/>
        </w:rPr>
        <w:t xml:space="preserve">El listado de actividades deberá validarse en la Matriz 1, de conformidad con la exigencia definida para proyectos de complejidad técnica baja-media o para proyectos de complejidad técnica alta. </w:t>
      </w:r>
    </w:p>
  </w:footnote>
  <w:footnote w:id="9">
    <w:p w14:paraId="3F21F5A6" w14:textId="77777777" w:rsidR="008A55D0" w:rsidRPr="001959E2" w:rsidRDefault="008A55D0" w:rsidP="008A55D0">
      <w:pPr>
        <w:pStyle w:val="Textonotapie"/>
        <w:ind w:firstLine="708"/>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Lo que resultaba concordante con lo establecido en el artículo </w:t>
      </w:r>
      <w:r w:rsidRPr="001959E2">
        <w:rPr>
          <w:rFonts w:ascii="Century Gothic" w:eastAsia="Arial" w:hAnsi="Century Gothic" w:cs="Arial"/>
          <w:sz w:val="17"/>
          <w:szCs w:val="17"/>
          <w:lang w:val="es-ES"/>
        </w:rPr>
        <w:t>artículo</w:t>
      </w:r>
      <w:r w:rsidRPr="001959E2">
        <w:rPr>
          <w:rFonts w:ascii="Century Gothic" w:eastAsia="Arial" w:hAnsi="Century Gothic" w:cs="Arial"/>
          <w:sz w:val="17"/>
          <w:szCs w:val="17"/>
        </w:rPr>
        <w:t xml:space="preserve"> 2.2.1.2.6.1.5 del Decreto 1082 de 2015 adicionado por el artículo 1 del Decreto 342 de 2019.</w:t>
      </w:r>
    </w:p>
  </w:footnote>
  <w:footnote w:id="10">
    <w:p w14:paraId="14D9A92A" w14:textId="77777777" w:rsidR="008A55D0" w:rsidRPr="001959E2" w:rsidRDefault="008A55D0" w:rsidP="008A55D0">
      <w:pPr>
        <w:pStyle w:val="Car1"/>
        <w:ind w:firstLine="709"/>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selección abreviada de menor cuantía de obra pública de infraestructura de transporte de acuerdo con lo establecido en los Documentos Tipo”.</w:t>
      </w:r>
    </w:p>
    <w:p w14:paraId="7D3B6B26" w14:textId="77777777" w:rsidR="008A55D0" w:rsidRPr="001959E2" w:rsidRDefault="008A55D0" w:rsidP="008A55D0">
      <w:pPr>
        <w:pStyle w:val="Textonotapie"/>
        <w:ind w:firstLine="708"/>
        <w:jc w:val="both"/>
        <w:rPr>
          <w:rFonts w:ascii="Century Gothic" w:hAnsi="Century Gothic" w:cs="Arial"/>
          <w:sz w:val="17"/>
          <w:szCs w:val="17"/>
        </w:rPr>
      </w:pPr>
      <w:r w:rsidRPr="001959E2">
        <w:rPr>
          <w:rFonts w:ascii="Century Gothic" w:hAnsi="Century Gothic" w:cs="Arial"/>
          <w:sz w:val="17"/>
          <w:szCs w:val="17"/>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p w14:paraId="6B8A882A" w14:textId="77777777" w:rsidR="008A55D0" w:rsidRPr="001959E2" w:rsidRDefault="008A55D0" w:rsidP="008A55D0">
      <w:pPr>
        <w:pStyle w:val="Textonotapie"/>
        <w:jc w:val="both"/>
        <w:rPr>
          <w:rFonts w:ascii="Century Gothic" w:hAnsi="Century Gothic" w:cs="Arial"/>
          <w:sz w:val="17"/>
          <w:szCs w:val="17"/>
          <w:lang w:val="es-CO"/>
        </w:rPr>
      </w:pPr>
    </w:p>
  </w:footnote>
  <w:footnote w:id="11">
    <w:p w14:paraId="3C969ABC" w14:textId="77777777" w:rsidR="008A55D0" w:rsidRPr="001959E2" w:rsidRDefault="008A55D0" w:rsidP="008A55D0">
      <w:pPr>
        <w:pStyle w:val="Textonotapie"/>
        <w:ind w:firstLine="709"/>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De acuerdo con lo previsto en el documento base o pliego tipo, en el literal A del numeral 3.5.2 del respectivo pliego </w:t>
      </w:r>
      <w:r w:rsidRPr="001959E2">
        <w:rPr>
          <w:rFonts w:ascii="Century Gothic" w:hAnsi="Century Gothic" w:cs="Arial"/>
          <w:sz w:val="17"/>
          <w:szCs w:val="17"/>
          <w:lang w:val="es-CO"/>
        </w:rPr>
        <w:t>“</w:t>
      </w:r>
      <w:r w:rsidRPr="001959E2">
        <w:rPr>
          <w:rFonts w:ascii="Century Gothic" w:hAnsi="Century Gothic" w:cs="Arial"/>
          <w:sz w:val="17"/>
          <w:szCs w:val="17"/>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78BAF24A" w14:textId="77777777" w:rsidR="008A55D0" w:rsidRPr="001959E2" w:rsidRDefault="008A55D0" w:rsidP="008A55D0">
      <w:pPr>
        <w:pStyle w:val="Textonotapie"/>
        <w:ind w:firstLine="709"/>
        <w:jc w:val="both"/>
        <w:rPr>
          <w:rFonts w:ascii="Century Gothic" w:hAnsi="Century Gothic" w:cs="Arial"/>
          <w:sz w:val="17"/>
          <w:szCs w:val="17"/>
        </w:rPr>
      </w:pPr>
      <w:r w:rsidRPr="001959E2">
        <w:rPr>
          <w:rFonts w:ascii="Century Gothic" w:hAnsi="Century Gothic" w:cs="Arial"/>
          <w:sz w:val="17"/>
          <w:szCs w:val="17"/>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footnote>
  <w:footnote w:id="12">
    <w:p w14:paraId="36EDF27A" w14:textId="77777777" w:rsidR="008A55D0" w:rsidRPr="001959E2" w:rsidRDefault="008A55D0" w:rsidP="008A55D0">
      <w:pPr>
        <w:pStyle w:val="InviasNormal"/>
        <w:spacing w:before="0" w:after="0"/>
        <w:rPr>
          <w:rFonts w:ascii="Century Gothic" w:eastAsia="Arial" w:hAnsi="Century Gothic" w:cs="Arial"/>
          <w:color w:val="auto"/>
          <w:sz w:val="17"/>
          <w:szCs w:val="17"/>
          <w:lang w:val="es-CO"/>
        </w:rPr>
      </w:pPr>
      <w:r w:rsidRPr="001959E2">
        <w:rPr>
          <w:rFonts w:ascii="Century Gothic" w:hAnsi="Century Gothic" w:cs="Arial"/>
          <w:sz w:val="17"/>
          <w:szCs w:val="17"/>
        </w:rPr>
        <w:tab/>
      </w: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w:t>
      </w:r>
      <w:r w:rsidRPr="001959E2">
        <w:rPr>
          <w:rFonts w:ascii="Century Gothic" w:eastAsia="Arial" w:hAnsi="Century Gothic" w:cs="Arial"/>
          <w:color w:val="auto"/>
          <w:sz w:val="17"/>
          <w:szCs w:val="17"/>
          <w:lang w:val="es-CO"/>
        </w:rPr>
        <w:t>Agencia Nacional de Contratación Pública – Colombia Compra Eficiente. Resolución No. 240 2020. Documento Base o Pliego Tipo: “3.5.2.</w:t>
      </w:r>
      <w:r>
        <w:rPr>
          <w:rFonts w:ascii="Century Gothic" w:eastAsia="Arial" w:hAnsi="Century Gothic" w:cs="Arial"/>
          <w:color w:val="auto"/>
          <w:sz w:val="17"/>
          <w:szCs w:val="17"/>
          <w:lang w:val="es-CO"/>
        </w:rPr>
        <w:t xml:space="preserve"> </w:t>
      </w:r>
      <w:r w:rsidRPr="001959E2">
        <w:rPr>
          <w:rFonts w:ascii="Century Gothic" w:eastAsia="Arial" w:hAnsi="Century Gothic" w:cs="Arial"/>
          <w:color w:val="auto"/>
          <w:sz w:val="17"/>
          <w:szCs w:val="17"/>
          <w:lang w:val="es-CO"/>
        </w:rPr>
        <w:t>CARACTERÍSTICAS DE LOS CONTRATOS PRESENTADOS PARA ACREDITAR LA EXPERIENCIA EXIGIDA</w:t>
      </w:r>
    </w:p>
    <w:p w14:paraId="617BF3E1" w14:textId="77777777" w:rsidR="008A55D0" w:rsidRPr="001959E2" w:rsidRDefault="008A55D0" w:rsidP="008A55D0">
      <w:pPr>
        <w:pStyle w:val="InviasNormal"/>
        <w:spacing w:before="0" w:after="0"/>
        <w:rPr>
          <w:rFonts w:ascii="Century Gothic" w:eastAsia="Arial" w:hAnsi="Century Gothic" w:cs="Arial"/>
          <w:color w:val="auto"/>
          <w:sz w:val="17"/>
          <w:szCs w:val="17"/>
          <w:lang w:val="es-CO"/>
        </w:rPr>
      </w:pPr>
      <w:r w:rsidRPr="001959E2">
        <w:rPr>
          <w:rFonts w:ascii="Century Gothic" w:eastAsia="Arial" w:hAnsi="Century Gothic" w:cs="Arial"/>
          <w:color w:val="auto"/>
          <w:sz w:val="17"/>
          <w:szCs w:val="17"/>
          <w:lang w:val="es-CO"/>
        </w:rPr>
        <w:tab/>
        <w:t xml:space="preserve">Los contratos para acreditar la experiencia exigida deberán cumplir las siguientes características: </w:t>
      </w:r>
    </w:p>
    <w:p w14:paraId="6B47FC77" w14:textId="77777777" w:rsidR="008A55D0" w:rsidRPr="001959E2" w:rsidRDefault="008A55D0" w:rsidP="008A55D0">
      <w:pPr>
        <w:spacing w:after="0" w:line="240" w:lineRule="auto"/>
        <w:ind w:firstLine="708"/>
        <w:jc w:val="both"/>
        <w:rPr>
          <w:rFonts w:ascii="Century Gothic" w:eastAsia="Calibri" w:hAnsi="Century Gothic" w:cs="Arial"/>
          <w:sz w:val="17"/>
          <w:szCs w:val="17"/>
        </w:rPr>
      </w:pPr>
      <w:r w:rsidRPr="001959E2">
        <w:rPr>
          <w:rFonts w:ascii="Century Gothic" w:eastAsia="Calibri" w:hAnsi="Century Gothic" w:cs="Arial"/>
          <w:sz w:val="17"/>
          <w:szCs w:val="17"/>
        </w:rPr>
        <w:t xml:space="preserve">[…] </w:t>
      </w:r>
    </w:p>
    <w:p w14:paraId="43AD597E" w14:textId="77777777" w:rsidR="008A55D0" w:rsidRPr="001959E2" w:rsidRDefault="008A55D0" w:rsidP="008A55D0">
      <w:pPr>
        <w:spacing w:after="0" w:line="240" w:lineRule="auto"/>
        <w:ind w:firstLine="708"/>
        <w:jc w:val="both"/>
        <w:rPr>
          <w:rFonts w:ascii="Century Gothic" w:eastAsia="Calibri" w:hAnsi="Century Gothic" w:cs="Arial"/>
          <w:sz w:val="17"/>
          <w:szCs w:val="17"/>
        </w:rPr>
      </w:pPr>
      <w:r w:rsidRPr="001959E2">
        <w:rPr>
          <w:rFonts w:ascii="Century Gothic" w:eastAsia="Calibri" w:hAnsi="Century Gothic" w:cs="Arial"/>
          <w:sz w:val="17"/>
          <w:szCs w:val="17"/>
        </w:rPr>
        <w:t>B.</w:t>
      </w:r>
      <w:r w:rsidRPr="001959E2">
        <w:rPr>
          <w:rFonts w:ascii="Century Gothic" w:eastAsia="Calibri" w:hAnsi="Century Gothic" w:cs="Arial"/>
          <w:sz w:val="17"/>
          <w:szCs w:val="17"/>
        </w:rPr>
        <w:tab/>
        <w:t>Estar relacionados en el Formato 3 – Experiencia con el número consecutivo del contrato en el RUP. Los Proponentes Plurales deben indicar qué integrante aporta cada uno de los contratos señalados en el Formato 3 – Experiencia. Este documento debe presentarlo el Proponente Plural y no sus integrantes.</w:t>
      </w:r>
    </w:p>
    <w:p w14:paraId="6C4EFEC7" w14:textId="77777777" w:rsidR="008A55D0" w:rsidRPr="001959E2" w:rsidRDefault="008A55D0" w:rsidP="008A55D0">
      <w:pPr>
        <w:spacing w:after="0" w:line="240" w:lineRule="auto"/>
        <w:ind w:firstLine="708"/>
        <w:jc w:val="both"/>
        <w:rPr>
          <w:rFonts w:ascii="Century Gothic" w:eastAsia="Calibri" w:hAnsi="Century Gothic" w:cs="Arial"/>
          <w:sz w:val="17"/>
          <w:szCs w:val="17"/>
        </w:rPr>
      </w:pPr>
      <w:r w:rsidRPr="001959E2">
        <w:rPr>
          <w:rFonts w:ascii="Century Gothic" w:eastAsia="Calibri" w:hAnsi="Century Gothic" w:cs="Arial"/>
          <w:sz w:val="17"/>
          <w:szCs w:val="17"/>
        </w:rPr>
        <w:t>El Si el Proponente no diligencia el Formato 3 – Experiencia, la Entidad pedirá su subsanación en los términos del numeral 1.6. En caso de que el oferente no subsane se tendrán en cuenta para la evaluación los cinco (5) contratos de mayor valor aportados. Con estos la Entidad verificará la acreditación de los requisitos de experiencia general y específica 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2D91077D" w14:textId="77777777" w:rsidR="008A55D0" w:rsidRPr="001959E2" w:rsidRDefault="008A55D0" w:rsidP="008A55D0">
      <w:pPr>
        <w:spacing w:after="0" w:line="240" w:lineRule="auto"/>
        <w:ind w:firstLine="708"/>
        <w:jc w:val="both"/>
        <w:rPr>
          <w:rFonts w:ascii="Century Gothic" w:eastAsia="Calibri" w:hAnsi="Century Gothic" w:cs="Arial"/>
          <w:sz w:val="17"/>
          <w:szCs w:val="17"/>
        </w:rPr>
      </w:pPr>
      <w:r w:rsidRPr="001959E2">
        <w:rPr>
          <w:rFonts w:ascii="Century Gothic" w:eastAsia="Calibri" w:hAnsi="Century Gothic" w:cs="Arial"/>
          <w:sz w:val="17"/>
          <w:szCs w:val="17"/>
        </w:rPr>
        <w:t xml:space="preserve">Tratándose de Proponentes que acrediten la calidad de Mipyme o emprendimientos y empresas de mujeres con domicilio en el territorio nacional, se tendrán en cuenta como máximo los seis (6) contratos aportados de mayor valor. En caso de que el Proponente pruebe la calidad de Mipyme y de emprendimiento y empresa de mujer con domicilio en el territorio nacional de manera conjunta, se valdrán como máximo los siete (7) contratos aportados de mayor valor. </w:t>
      </w:r>
    </w:p>
    <w:p w14:paraId="2FD90F2B" w14:textId="77777777" w:rsidR="008A55D0" w:rsidRPr="001959E2" w:rsidRDefault="008A55D0" w:rsidP="008A55D0">
      <w:pPr>
        <w:spacing w:after="0" w:line="240" w:lineRule="auto"/>
        <w:ind w:firstLine="708"/>
        <w:jc w:val="both"/>
        <w:rPr>
          <w:rFonts w:ascii="Century Gothic" w:eastAsia="Calibri" w:hAnsi="Century Gothic" w:cs="Arial"/>
          <w:sz w:val="17"/>
          <w:szCs w:val="17"/>
        </w:rPr>
      </w:pPr>
      <w:r w:rsidRPr="001959E2">
        <w:rPr>
          <w:rFonts w:ascii="Century Gothic" w:eastAsia="Calibri" w:hAnsi="Century Gothic" w:cs="Arial"/>
          <w:sz w:val="17"/>
          <w:szCs w:val="17"/>
        </w:rPr>
        <w:t>El Formato 3 – Experiencia deberá aportarse diligenciado en formato Excel.</w:t>
      </w:r>
    </w:p>
    <w:p w14:paraId="3527A669" w14:textId="77777777" w:rsidR="008A55D0" w:rsidRPr="001959E2" w:rsidRDefault="008A55D0" w:rsidP="008A55D0">
      <w:pPr>
        <w:spacing w:after="0" w:line="240" w:lineRule="auto"/>
        <w:ind w:firstLine="708"/>
        <w:jc w:val="both"/>
        <w:rPr>
          <w:rFonts w:ascii="Century Gothic" w:eastAsia="Calibri" w:hAnsi="Century Gothic" w:cs="Arial"/>
          <w:sz w:val="17"/>
          <w:szCs w:val="17"/>
        </w:rPr>
      </w:pPr>
      <w:r w:rsidRPr="001959E2">
        <w:rPr>
          <w:rFonts w:ascii="Century Gothic" w:eastAsia="Calibri" w:hAnsi="Century Gothic" w:cs="Arial"/>
          <w:sz w:val="17"/>
          <w:szCs w:val="17"/>
        </w:rPr>
        <w:t>C.</w:t>
      </w:r>
      <w:r w:rsidRPr="001959E2">
        <w:rPr>
          <w:rFonts w:ascii="Century Gothic" w:eastAsia="Calibri" w:hAnsi="Century Gothic" w:cs="Arial"/>
          <w:sz w:val="17"/>
          <w:szCs w:val="17"/>
        </w:rPr>
        <w:tab/>
        <w:t xml:space="preserve">El proponente podrá acreditar la experiencia con mínimo uno (1) y máximo cinco (5) contratos, los cuales serán evaluados teniendo en cuenta la tabla establecida en el numeral 3.5.8 del pliego de condiciones, así como el contenido establecido en la Matriz 1 – Experiencia. </w:t>
      </w:r>
      <w:r w:rsidRPr="001959E2">
        <w:rPr>
          <w:rFonts w:ascii="Century Gothic" w:hAnsi="Century Gothic" w:cs="Arial"/>
          <w:sz w:val="17"/>
          <w:szCs w:val="17"/>
          <w:highlight w:val="lightGray"/>
          <w:lang w:val="es-MX"/>
        </w:rPr>
        <w:t>[En los procesos estructurados por lotes o por grupos, el Proponente podrá aportar mínimo uno (1) y máximo cinco (5) contratos para cada uno de los lotes o grupos o podrá allegar los mismos para todos los lotes o grupos]</w:t>
      </w:r>
      <w:r w:rsidRPr="001959E2">
        <w:rPr>
          <w:rFonts w:ascii="Century Gothic" w:hAnsi="Century Gothic" w:cs="Arial"/>
          <w:sz w:val="17"/>
          <w:szCs w:val="17"/>
          <w:lang w:val="es-MX"/>
        </w:rPr>
        <w:t>”.</w:t>
      </w:r>
    </w:p>
    <w:p w14:paraId="4D27D00D" w14:textId="77777777" w:rsidR="008A55D0" w:rsidRPr="001959E2" w:rsidRDefault="008A55D0" w:rsidP="008A55D0">
      <w:pPr>
        <w:pStyle w:val="Textonotapie"/>
        <w:ind w:firstLine="708"/>
        <w:jc w:val="both"/>
        <w:rPr>
          <w:rFonts w:ascii="Century Gothic" w:hAnsi="Century Gothic" w:cs="Arial"/>
          <w:sz w:val="17"/>
          <w:szCs w:val="17"/>
          <w:lang w:val="es-CO"/>
        </w:rPr>
      </w:pPr>
    </w:p>
  </w:footnote>
  <w:footnote w:id="13">
    <w:p w14:paraId="768E0738" w14:textId="77777777" w:rsidR="00C86883" w:rsidRPr="00EC00ED" w:rsidRDefault="00C86883" w:rsidP="00C86883">
      <w:pPr>
        <w:spacing w:after="120" w:line="240" w:lineRule="auto"/>
        <w:ind w:right="51" w:firstLine="720"/>
        <w:jc w:val="both"/>
        <w:rPr>
          <w:rFonts w:ascii="Arial" w:hAnsi="Arial" w:cs="Arial"/>
          <w:sz w:val="12"/>
          <w:szCs w:val="12"/>
        </w:rPr>
      </w:pPr>
      <w:r w:rsidRPr="00EC00ED">
        <w:rPr>
          <w:rStyle w:val="Refdenotaalpie"/>
          <w:rFonts w:ascii="Arial" w:hAnsi="Arial" w:cs="Arial"/>
          <w:sz w:val="12"/>
          <w:szCs w:val="12"/>
        </w:rPr>
        <w:footnoteRef/>
      </w:r>
      <w:r w:rsidRPr="00EC00ED">
        <w:rPr>
          <w:rFonts w:ascii="Arial" w:hAnsi="Arial" w:cs="Arial"/>
          <w:sz w:val="12"/>
          <w:szCs w:val="12"/>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EC00ED">
        <w:rPr>
          <w:rFonts w:ascii="Arial" w:hAnsi="Arial" w:cs="Arial"/>
          <w:spacing w:val="-14"/>
          <w:sz w:val="12"/>
          <w:szCs w:val="12"/>
        </w:rPr>
        <w:t xml:space="preserve"> </w:t>
      </w:r>
      <w:r w:rsidRPr="00EC00ED">
        <w:rPr>
          <w:rFonts w:ascii="Arial" w:hAnsi="Arial" w:cs="Arial"/>
          <w:sz w:val="12"/>
          <w:szCs w:val="12"/>
        </w:rPr>
        <w:t>utilizados.</w:t>
      </w:r>
    </w:p>
    <w:p w14:paraId="41B7DF5D" w14:textId="77777777" w:rsidR="00C86883" w:rsidRPr="00EC00ED" w:rsidRDefault="00C86883" w:rsidP="00C86883">
      <w:pPr>
        <w:spacing w:after="120" w:line="240" w:lineRule="auto"/>
        <w:ind w:right="51" w:firstLine="708"/>
        <w:jc w:val="both"/>
        <w:rPr>
          <w:rFonts w:ascii="Arial" w:hAnsi="Arial" w:cs="Arial"/>
          <w:sz w:val="12"/>
          <w:szCs w:val="12"/>
        </w:rPr>
      </w:pPr>
      <w:r w:rsidRPr="00EC00ED">
        <w:rPr>
          <w:rFonts w:ascii="Arial" w:hAnsi="Arial" w:cs="Arial"/>
          <w:sz w:val="12"/>
          <w:szCs w:val="12"/>
        </w:rPr>
        <w:t>[…]</w:t>
      </w:r>
    </w:p>
    <w:p w14:paraId="4600BB8A" w14:textId="77777777" w:rsidR="00C86883" w:rsidRPr="00EC00ED" w:rsidRDefault="00C86883" w:rsidP="00C86883">
      <w:pPr>
        <w:spacing w:after="120" w:line="240" w:lineRule="auto"/>
        <w:ind w:right="51" w:firstLine="708"/>
        <w:jc w:val="both"/>
        <w:rPr>
          <w:rFonts w:ascii="Arial" w:hAnsi="Arial" w:cs="Arial"/>
          <w:sz w:val="12"/>
          <w:szCs w:val="12"/>
        </w:rPr>
      </w:pPr>
      <w:r w:rsidRPr="00EC00ED">
        <w:rPr>
          <w:rFonts w:ascii="Arial" w:hAnsi="Arial" w:cs="Arial"/>
          <w:sz w:val="12"/>
          <w:szCs w:val="12"/>
        </w:rPr>
        <w:t>Capacidad Residual o K de Contratación: Aptitud de un oferente para cumplir oportuna y cabalmente con el objeto de un contrato de obra, sin que sus otros compromisos contractuales afecten su habilidad de cumplir con el contrato que está en proceso de selección”.</w:t>
      </w:r>
    </w:p>
  </w:footnote>
  <w:footnote w:id="14">
    <w:p w14:paraId="25278549" w14:textId="77777777" w:rsidR="00C86883" w:rsidRPr="00EC00ED" w:rsidRDefault="00C86883" w:rsidP="00C86883">
      <w:pPr>
        <w:widowControl w:val="0"/>
        <w:autoSpaceDE w:val="0"/>
        <w:autoSpaceDN w:val="0"/>
        <w:spacing w:after="120" w:line="240" w:lineRule="auto"/>
        <w:ind w:firstLine="708"/>
        <w:jc w:val="both"/>
        <w:rPr>
          <w:rFonts w:ascii="Arial" w:eastAsia="Arial" w:hAnsi="Arial" w:cs="Arial"/>
          <w:sz w:val="12"/>
          <w:szCs w:val="12"/>
          <w:lang w:val="es-ES" w:eastAsia="es-ES" w:bidi="es-ES"/>
        </w:rPr>
      </w:pPr>
      <w:r w:rsidRPr="00EC00ED">
        <w:rPr>
          <w:rStyle w:val="Refdenotaalpie"/>
          <w:rFonts w:ascii="Arial" w:hAnsi="Arial" w:cs="Arial"/>
          <w:sz w:val="12"/>
          <w:szCs w:val="12"/>
        </w:rPr>
        <w:footnoteRef/>
      </w:r>
      <w:r w:rsidRPr="00EC00ED">
        <w:rPr>
          <w:rFonts w:ascii="Arial" w:hAnsi="Arial" w:cs="Arial"/>
          <w:sz w:val="12"/>
          <w:szCs w:val="12"/>
        </w:rPr>
        <w:t xml:space="preserve"> “</w:t>
      </w:r>
      <w:r w:rsidRPr="00EC00ED">
        <w:rPr>
          <w:rFonts w:ascii="Arial" w:eastAsia="Arial" w:hAnsi="Arial" w:cs="Arial"/>
          <w:sz w:val="12"/>
          <w:szCs w:val="12"/>
          <w:lang w:val="es-ES" w:eastAsia="es-ES" w:bidi="es-ES"/>
        </w:rPr>
        <w:t xml:space="preserve">Artículo 2.2.1.1.1.6.4. Capacidad Residual. El interesado en celebrar contratos de obra pública con Entidades Estatales debe acreditar su Capacidad Residual o K de Contratación con los siguientes documentos: </w:t>
      </w:r>
    </w:p>
    <w:p w14:paraId="7831076D" w14:textId="77777777" w:rsidR="00C86883" w:rsidRPr="00EC00ED" w:rsidRDefault="00C86883" w:rsidP="00C86883">
      <w:pPr>
        <w:widowControl w:val="0"/>
        <w:autoSpaceDE w:val="0"/>
        <w:autoSpaceDN w:val="0"/>
        <w:spacing w:after="120" w:line="240" w:lineRule="auto"/>
        <w:ind w:firstLine="708"/>
        <w:jc w:val="both"/>
        <w:rPr>
          <w:rFonts w:ascii="Arial" w:eastAsia="Arial" w:hAnsi="Arial" w:cs="Arial"/>
          <w:sz w:val="12"/>
          <w:szCs w:val="12"/>
          <w:lang w:val="es-ES" w:eastAsia="es-ES" w:bidi="es-ES"/>
        </w:rPr>
      </w:pPr>
      <w:r w:rsidRPr="00EC00ED">
        <w:rPr>
          <w:rFonts w:ascii="Arial" w:eastAsia="Arial" w:hAnsi="Arial" w:cs="Arial"/>
          <w:sz w:val="12"/>
          <w:szCs w:val="12"/>
          <w:lang w:val="es-ES" w:eastAsia="es-ES" w:bidi="es-ES"/>
        </w:rPr>
        <w:t>[…]</w:t>
      </w:r>
    </w:p>
    <w:p w14:paraId="0BF6CC7F" w14:textId="77777777" w:rsidR="00C86883" w:rsidRPr="00EC00ED" w:rsidRDefault="00C86883" w:rsidP="00C86883">
      <w:pPr>
        <w:widowControl w:val="0"/>
        <w:autoSpaceDE w:val="0"/>
        <w:autoSpaceDN w:val="0"/>
        <w:spacing w:after="120" w:line="240" w:lineRule="auto"/>
        <w:ind w:firstLine="708"/>
        <w:jc w:val="both"/>
        <w:rPr>
          <w:rFonts w:ascii="Arial" w:hAnsi="Arial" w:cs="Arial"/>
          <w:sz w:val="12"/>
          <w:szCs w:val="12"/>
        </w:rPr>
      </w:pPr>
      <w:r w:rsidRPr="00EC00ED">
        <w:rPr>
          <w:rFonts w:ascii="Arial" w:eastAsia="Arial" w:hAnsi="Arial" w:cs="Arial"/>
          <w:sz w:val="12"/>
          <w:szCs w:val="12"/>
          <w:lang w:val="es-ES" w:eastAsia="es-ES" w:bidi="es-E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footnote>
  <w:footnote w:id="15">
    <w:p w14:paraId="160FED32" w14:textId="77777777" w:rsidR="00C86883" w:rsidRPr="00EC00ED" w:rsidRDefault="00C86883" w:rsidP="00C86883">
      <w:pPr>
        <w:pStyle w:val="NormalWeb"/>
        <w:shd w:val="clear" w:color="auto" w:fill="FFFFFF"/>
        <w:spacing w:after="120" w:line="240" w:lineRule="auto"/>
        <w:ind w:firstLine="709"/>
        <w:jc w:val="both"/>
        <w:rPr>
          <w:rFonts w:ascii="Arial" w:hAnsi="Arial" w:cs="Arial"/>
          <w:sz w:val="12"/>
          <w:szCs w:val="12"/>
        </w:rPr>
      </w:pPr>
      <w:r w:rsidRPr="00EC00ED">
        <w:rPr>
          <w:rStyle w:val="Refdenotaalpie"/>
          <w:rFonts w:ascii="Arial" w:hAnsi="Arial" w:cs="Arial"/>
          <w:sz w:val="12"/>
          <w:szCs w:val="12"/>
          <w:lang w:val="es-MX"/>
        </w:rPr>
        <w:footnoteRef/>
      </w:r>
      <w:r w:rsidRPr="00EC00ED">
        <w:rPr>
          <w:rStyle w:val="Refdenotaalpie"/>
          <w:rFonts w:ascii="Arial" w:hAnsi="Arial" w:cs="Arial"/>
          <w:sz w:val="12"/>
          <w:szCs w:val="12"/>
          <w:lang w:val="es-MX"/>
        </w:rPr>
        <w:t xml:space="preserve"> </w:t>
      </w:r>
      <w:r w:rsidRPr="00EC00ED">
        <w:rPr>
          <w:rFonts w:ascii="Arial" w:hAnsi="Arial" w:cs="Arial"/>
          <w:sz w:val="12"/>
          <w:szCs w:val="12"/>
        </w:rPr>
        <w:t>“Artículo 2.2.1.1.1.6.4. Capacidad Residual: El interesado en celebrar contratos de obra pública con Entidades Estatales debe acreditar su Capacidad Residual o K de Contratación con los siguientes documentos:</w:t>
      </w:r>
    </w:p>
    <w:p w14:paraId="7C0B4E75" w14:textId="77777777" w:rsidR="00C86883" w:rsidRPr="00EC00ED" w:rsidRDefault="00C86883" w:rsidP="00C86883">
      <w:pPr>
        <w:shd w:val="clear" w:color="auto" w:fill="FFFFFF"/>
        <w:spacing w:after="120" w:line="240" w:lineRule="auto"/>
        <w:ind w:firstLine="709"/>
        <w:jc w:val="both"/>
        <w:rPr>
          <w:rFonts w:ascii="Arial" w:hAnsi="Arial" w:cs="Arial"/>
          <w:sz w:val="12"/>
          <w:szCs w:val="12"/>
        </w:rPr>
      </w:pPr>
      <w:r w:rsidRPr="00EC00ED">
        <w:rPr>
          <w:rFonts w:ascii="Arial" w:hAnsi="Arial" w:cs="Arial"/>
          <w:sz w:val="12"/>
          <w:szCs w:val="12"/>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58CDE0A7" w14:textId="77777777" w:rsidR="00C86883" w:rsidRPr="00EC00ED" w:rsidRDefault="00C86883" w:rsidP="00C86883">
      <w:pPr>
        <w:shd w:val="clear" w:color="auto" w:fill="FFFFFF"/>
        <w:spacing w:after="120" w:line="240" w:lineRule="auto"/>
        <w:ind w:firstLine="709"/>
        <w:jc w:val="both"/>
        <w:rPr>
          <w:rFonts w:ascii="Arial" w:hAnsi="Arial" w:cs="Arial"/>
          <w:sz w:val="12"/>
          <w:szCs w:val="12"/>
        </w:rPr>
      </w:pPr>
      <w:r w:rsidRPr="00EC00ED">
        <w:rPr>
          <w:rFonts w:ascii="Arial" w:hAnsi="Arial" w:cs="Arial"/>
          <w:sz w:val="12"/>
          <w:szCs w:val="12"/>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D305423" w14:textId="77777777" w:rsidR="00C86883" w:rsidRPr="00EC00ED" w:rsidRDefault="00C86883" w:rsidP="00C86883">
      <w:pPr>
        <w:shd w:val="clear" w:color="auto" w:fill="FFFFFF"/>
        <w:spacing w:after="120" w:line="240" w:lineRule="auto"/>
        <w:ind w:firstLine="709"/>
        <w:jc w:val="both"/>
        <w:rPr>
          <w:rFonts w:ascii="Arial" w:hAnsi="Arial" w:cs="Arial"/>
          <w:sz w:val="12"/>
          <w:szCs w:val="12"/>
        </w:rPr>
      </w:pPr>
      <w:r w:rsidRPr="00EC00ED">
        <w:rPr>
          <w:rFonts w:ascii="Arial" w:hAnsi="Arial" w:cs="Arial"/>
          <w:sz w:val="12"/>
          <w:szCs w:val="12"/>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DBCDD3E" w14:textId="1C5776D2" w:rsidR="005B5D8B" w:rsidRPr="005B5D8B" w:rsidRDefault="00BD15D4" w:rsidP="00C86883">
    <w:pPr>
      <w:spacing w:after="0"/>
      <w:rPr>
        <w:rFonts w:ascii="Century Gothic" w:eastAsia="Geo" w:hAnsi="Century Gothic" w:cs="Geo"/>
        <w:sz w:val="16"/>
        <w:szCs w:val="16"/>
        <w:lang w:eastAsia="es-CO"/>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3668BB"/>
    <w:multiLevelType w:val="hybridMultilevel"/>
    <w:tmpl w:val="43125918"/>
    <w:lvl w:ilvl="0" w:tplc="48460DCA">
      <w:start w:val="8"/>
      <w:numFmt w:val="upperLetter"/>
      <w:lvlText w:val="%1."/>
      <w:lvlJc w:val="left"/>
      <w:pPr>
        <w:ind w:left="720" w:hanging="36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4"/>
  </w:num>
  <w:num w:numId="2" w16cid:durableId="486676265">
    <w:abstractNumId w:val="2"/>
  </w:num>
  <w:num w:numId="3" w16cid:durableId="608313202">
    <w:abstractNumId w:val="3"/>
  </w:num>
  <w:num w:numId="4" w16cid:durableId="2667437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2"/>
  </w:num>
  <w:num w:numId="6" w16cid:durableId="1736124100">
    <w:abstractNumId w:val="0"/>
  </w:num>
  <w:num w:numId="7" w16cid:durableId="366225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D55C9"/>
    <w:rsid w:val="000E4714"/>
    <w:rsid w:val="000F6486"/>
    <w:rsid w:val="00125105"/>
    <w:rsid w:val="00127233"/>
    <w:rsid w:val="001B5692"/>
    <w:rsid w:val="001E4177"/>
    <w:rsid w:val="00257476"/>
    <w:rsid w:val="002951A0"/>
    <w:rsid w:val="002962BC"/>
    <w:rsid w:val="002A093D"/>
    <w:rsid w:val="002A49AC"/>
    <w:rsid w:val="002A64FD"/>
    <w:rsid w:val="002C7A84"/>
    <w:rsid w:val="002F113D"/>
    <w:rsid w:val="00342BA7"/>
    <w:rsid w:val="003448F4"/>
    <w:rsid w:val="003A779E"/>
    <w:rsid w:val="003D0F4D"/>
    <w:rsid w:val="003E0499"/>
    <w:rsid w:val="003E6050"/>
    <w:rsid w:val="003F3941"/>
    <w:rsid w:val="00400548"/>
    <w:rsid w:val="004368BC"/>
    <w:rsid w:val="0048241D"/>
    <w:rsid w:val="004A1847"/>
    <w:rsid w:val="004A305D"/>
    <w:rsid w:val="004E69BD"/>
    <w:rsid w:val="004F21C4"/>
    <w:rsid w:val="004F685F"/>
    <w:rsid w:val="00533E8F"/>
    <w:rsid w:val="005566E8"/>
    <w:rsid w:val="00574867"/>
    <w:rsid w:val="005813AD"/>
    <w:rsid w:val="005A6AA1"/>
    <w:rsid w:val="005B5D8B"/>
    <w:rsid w:val="005C5CDC"/>
    <w:rsid w:val="005D476C"/>
    <w:rsid w:val="006219F8"/>
    <w:rsid w:val="00621B08"/>
    <w:rsid w:val="00651AD8"/>
    <w:rsid w:val="00665D70"/>
    <w:rsid w:val="00706C16"/>
    <w:rsid w:val="00711C4D"/>
    <w:rsid w:val="00727370"/>
    <w:rsid w:val="00732D97"/>
    <w:rsid w:val="00756841"/>
    <w:rsid w:val="00762F7E"/>
    <w:rsid w:val="00763C80"/>
    <w:rsid w:val="007649AB"/>
    <w:rsid w:val="007833AC"/>
    <w:rsid w:val="007A2DF3"/>
    <w:rsid w:val="007B7171"/>
    <w:rsid w:val="007C3DC2"/>
    <w:rsid w:val="007E5497"/>
    <w:rsid w:val="00806F5F"/>
    <w:rsid w:val="00820278"/>
    <w:rsid w:val="00846973"/>
    <w:rsid w:val="008843B6"/>
    <w:rsid w:val="00891928"/>
    <w:rsid w:val="008A446D"/>
    <w:rsid w:val="008A55D0"/>
    <w:rsid w:val="008F0EA7"/>
    <w:rsid w:val="00923EEF"/>
    <w:rsid w:val="00930419"/>
    <w:rsid w:val="009419F9"/>
    <w:rsid w:val="00961B09"/>
    <w:rsid w:val="00965334"/>
    <w:rsid w:val="0097093E"/>
    <w:rsid w:val="009B429D"/>
    <w:rsid w:val="009C71FA"/>
    <w:rsid w:val="009C72E7"/>
    <w:rsid w:val="00A17F13"/>
    <w:rsid w:val="00A20739"/>
    <w:rsid w:val="00A33C78"/>
    <w:rsid w:val="00A9503B"/>
    <w:rsid w:val="00AB0ADB"/>
    <w:rsid w:val="00AD5E99"/>
    <w:rsid w:val="00AF755E"/>
    <w:rsid w:val="00B72CD3"/>
    <w:rsid w:val="00B72FFF"/>
    <w:rsid w:val="00BD15D4"/>
    <w:rsid w:val="00BD2E7A"/>
    <w:rsid w:val="00BD7F72"/>
    <w:rsid w:val="00C04FB3"/>
    <w:rsid w:val="00C330EB"/>
    <w:rsid w:val="00C754BE"/>
    <w:rsid w:val="00C81655"/>
    <w:rsid w:val="00C86883"/>
    <w:rsid w:val="00CA121E"/>
    <w:rsid w:val="00CA6176"/>
    <w:rsid w:val="00CA65AB"/>
    <w:rsid w:val="00CB6357"/>
    <w:rsid w:val="00CC1B26"/>
    <w:rsid w:val="00D10C21"/>
    <w:rsid w:val="00D423A2"/>
    <w:rsid w:val="00D63AC2"/>
    <w:rsid w:val="00D7383B"/>
    <w:rsid w:val="00DA231B"/>
    <w:rsid w:val="00DC6E62"/>
    <w:rsid w:val="00DC712C"/>
    <w:rsid w:val="00E16408"/>
    <w:rsid w:val="00E20894"/>
    <w:rsid w:val="00E245AB"/>
    <w:rsid w:val="00E50AFE"/>
    <w:rsid w:val="00E771DC"/>
    <w:rsid w:val="00E8772A"/>
    <w:rsid w:val="00E90F6B"/>
    <w:rsid w:val="00E92C27"/>
    <w:rsid w:val="00EA0E3D"/>
    <w:rsid w:val="00EE1AA8"/>
    <w:rsid w:val="00F17039"/>
    <w:rsid w:val="00F204AB"/>
    <w:rsid w:val="00F31EDC"/>
    <w:rsid w:val="00F5664F"/>
    <w:rsid w:val="00F613A2"/>
    <w:rsid w:val="00F76AFC"/>
    <w:rsid w:val="00FA7276"/>
    <w:rsid w:val="00FB3BCB"/>
    <w:rsid w:val="00FB5DD1"/>
    <w:rsid w:val="00FC2B5D"/>
    <w:rsid w:val="00FF1449"/>
    <w:rsid w:val="2EAFBCDC"/>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8A55D0"/>
    <w:pPr>
      <w:keepNext/>
      <w:keepLines/>
      <w:spacing w:before="240" w:after="0"/>
      <w:outlineLvl w:val="0"/>
    </w:pPr>
    <w:rPr>
      <w:rFonts w:ascii="Aptos Display" w:eastAsia="Times New Roman" w:hAnsi="Aptos Display" w:cs="Times New Roman"/>
      <w:color w:val="0F4761"/>
      <w:sz w:val="40"/>
      <w:szCs w:val="40"/>
      <w:lang w:val="es-ES_tradnl"/>
    </w:rPr>
  </w:style>
  <w:style w:type="paragraph" w:styleId="Ttulo2">
    <w:name w:val="heading 2"/>
    <w:basedOn w:val="Normal"/>
    <w:next w:val="Normal"/>
    <w:link w:val="Ttulo2Car"/>
    <w:uiPriority w:val="9"/>
    <w:semiHidden/>
    <w:unhideWhenUsed/>
    <w:qFormat/>
    <w:rsid w:val="008A55D0"/>
    <w:pPr>
      <w:keepNext/>
      <w:keepLines/>
      <w:spacing w:before="40" w:after="0"/>
      <w:outlineLvl w:val="1"/>
    </w:pPr>
    <w:rPr>
      <w:rFonts w:ascii="Aptos Display" w:eastAsia="Times New Roman" w:hAnsi="Aptos Display" w:cs="Times New Roman"/>
      <w:color w:val="0F4761"/>
      <w:sz w:val="32"/>
      <w:szCs w:val="32"/>
      <w:lang w:val="es-ES_tradnl"/>
    </w:rPr>
  </w:style>
  <w:style w:type="paragraph" w:styleId="Ttulo3">
    <w:name w:val="heading 3"/>
    <w:basedOn w:val="Normal"/>
    <w:next w:val="Normal"/>
    <w:link w:val="Ttulo3Car"/>
    <w:uiPriority w:val="9"/>
    <w:semiHidden/>
    <w:unhideWhenUsed/>
    <w:qFormat/>
    <w:rsid w:val="008A55D0"/>
    <w:pPr>
      <w:keepNext/>
      <w:keepLines/>
      <w:spacing w:before="40" w:after="0"/>
      <w:outlineLvl w:val="2"/>
    </w:pPr>
    <w:rPr>
      <w:rFonts w:eastAsia="Times New Roman" w:cs="Times New Roman"/>
      <w:color w:val="0F4761"/>
      <w:sz w:val="28"/>
      <w:szCs w:val="28"/>
      <w:lang w:val="es-ES_tradnl"/>
    </w:rPr>
  </w:style>
  <w:style w:type="paragraph" w:styleId="Ttulo4">
    <w:name w:val="heading 4"/>
    <w:basedOn w:val="Normal"/>
    <w:next w:val="Normal"/>
    <w:link w:val="Ttulo4Car"/>
    <w:uiPriority w:val="9"/>
    <w:semiHidden/>
    <w:unhideWhenUsed/>
    <w:qFormat/>
    <w:rsid w:val="008A55D0"/>
    <w:pPr>
      <w:keepNext/>
      <w:keepLines/>
      <w:spacing w:before="40" w:after="0"/>
      <w:outlineLvl w:val="3"/>
    </w:pPr>
    <w:rPr>
      <w:rFonts w:eastAsia="Times New Roman" w:cs="Times New Roman"/>
      <w:i/>
      <w:iCs/>
      <w:color w:val="0F4761"/>
      <w:lang w:val="es-ES_tradnl"/>
    </w:rPr>
  </w:style>
  <w:style w:type="paragraph" w:styleId="Ttulo5">
    <w:name w:val="heading 5"/>
    <w:basedOn w:val="Normal"/>
    <w:next w:val="Normal"/>
    <w:link w:val="Ttulo5Car"/>
    <w:uiPriority w:val="9"/>
    <w:semiHidden/>
    <w:unhideWhenUsed/>
    <w:qFormat/>
    <w:rsid w:val="008A55D0"/>
    <w:pPr>
      <w:keepNext/>
      <w:keepLines/>
      <w:spacing w:before="40" w:after="0"/>
      <w:outlineLvl w:val="4"/>
    </w:pPr>
    <w:rPr>
      <w:rFonts w:eastAsia="Times New Roman" w:cs="Times New Roman"/>
      <w:color w:val="0F4761"/>
      <w:lang w:val="es-ES_tradnl"/>
    </w:rPr>
  </w:style>
  <w:style w:type="paragraph" w:styleId="Ttulo6">
    <w:name w:val="heading 6"/>
    <w:basedOn w:val="Normal"/>
    <w:next w:val="Normal"/>
    <w:link w:val="Ttulo6Car"/>
    <w:uiPriority w:val="9"/>
    <w:semiHidden/>
    <w:unhideWhenUsed/>
    <w:qFormat/>
    <w:rsid w:val="008A55D0"/>
    <w:pPr>
      <w:keepNext/>
      <w:keepLines/>
      <w:spacing w:before="40" w:after="0"/>
      <w:outlineLvl w:val="5"/>
    </w:pPr>
    <w:rPr>
      <w:rFonts w:eastAsia="Times New Roman" w:cs="Times New Roman"/>
      <w:i/>
      <w:iCs/>
      <w:color w:val="595959"/>
      <w:lang w:val="es-ES_tradnl"/>
    </w:rPr>
  </w:style>
  <w:style w:type="paragraph" w:styleId="Ttulo7">
    <w:name w:val="heading 7"/>
    <w:basedOn w:val="Normal"/>
    <w:next w:val="Normal"/>
    <w:link w:val="Ttulo7Car"/>
    <w:uiPriority w:val="9"/>
    <w:semiHidden/>
    <w:unhideWhenUsed/>
    <w:qFormat/>
    <w:rsid w:val="008A55D0"/>
    <w:pPr>
      <w:keepNext/>
      <w:keepLines/>
      <w:spacing w:before="40" w:after="0"/>
      <w:outlineLvl w:val="6"/>
    </w:pPr>
    <w:rPr>
      <w:rFonts w:eastAsia="Times New Roman" w:cs="Times New Roman"/>
      <w:color w:val="595959"/>
      <w:lang w:val="es-ES_tradnl"/>
    </w:rPr>
  </w:style>
  <w:style w:type="paragraph" w:styleId="Ttulo8">
    <w:name w:val="heading 8"/>
    <w:basedOn w:val="Normal"/>
    <w:next w:val="Normal"/>
    <w:link w:val="Ttulo8Car"/>
    <w:uiPriority w:val="9"/>
    <w:semiHidden/>
    <w:unhideWhenUsed/>
    <w:qFormat/>
    <w:rsid w:val="008A55D0"/>
    <w:pPr>
      <w:keepNext/>
      <w:keepLines/>
      <w:spacing w:before="40" w:after="0"/>
      <w:outlineLvl w:val="7"/>
    </w:pPr>
    <w:rPr>
      <w:rFonts w:eastAsia="Times New Roman" w:cs="Times New Roman"/>
      <w:i/>
      <w:iCs/>
      <w:color w:val="272727"/>
      <w:lang w:val="es-ES_tradnl"/>
    </w:rPr>
  </w:style>
  <w:style w:type="paragraph" w:styleId="Ttulo9">
    <w:name w:val="heading 9"/>
    <w:basedOn w:val="Normal"/>
    <w:next w:val="Normal"/>
    <w:link w:val="Ttulo9Car"/>
    <w:uiPriority w:val="9"/>
    <w:semiHidden/>
    <w:unhideWhenUsed/>
    <w:qFormat/>
    <w:rsid w:val="008A55D0"/>
    <w:pPr>
      <w:keepNext/>
      <w:keepLines/>
      <w:spacing w:before="40" w:after="0"/>
      <w:outlineLvl w:val="8"/>
    </w:pPr>
    <w:rPr>
      <w:rFonts w:eastAsia="Times New Roman" w:cs="Times New Roman"/>
      <w:color w:val="272727"/>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Ttulo11">
    <w:name w:val="Título 11"/>
    <w:basedOn w:val="Normal"/>
    <w:next w:val="Normal"/>
    <w:uiPriority w:val="9"/>
    <w:qFormat/>
    <w:rsid w:val="008A55D0"/>
    <w:pPr>
      <w:keepNext/>
      <w:keepLines/>
      <w:spacing w:before="360" w:after="80" w:line="240" w:lineRule="auto"/>
      <w:outlineLvl w:val="0"/>
    </w:pPr>
    <w:rPr>
      <w:rFonts w:ascii="Aptos Display" w:eastAsia="Times New Roman" w:hAnsi="Aptos Display" w:cs="Times New Roman"/>
      <w:color w:val="0F4761"/>
      <w:kern w:val="2"/>
      <w:sz w:val="40"/>
      <w:szCs w:val="40"/>
      <w:lang w:val="es-ES_tradnl"/>
      <w14:ligatures w14:val="standardContextual"/>
    </w:rPr>
  </w:style>
  <w:style w:type="paragraph" w:customStyle="1" w:styleId="Ttulo21">
    <w:name w:val="Título 21"/>
    <w:basedOn w:val="Normal"/>
    <w:next w:val="Normal"/>
    <w:uiPriority w:val="9"/>
    <w:semiHidden/>
    <w:unhideWhenUsed/>
    <w:qFormat/>
    <w:rsid w:val="008A55D0"/>
    <w:pPr>
      <w:keepNext/>
      <w:keepLines/>
      <w:spacing w:before="160" w:after="80" w:line="240" w:lineRule="auto"/>
      <w:outlineLvl w:val="1"/>
    </w:pPr>
    <w:rPr>
      <w:rFonts w:ascii="Aptos Display" w:eastAsia="Times New Roman" w:hAnsi="Aptos Display" w:cs="Times New Roman"/>
      <w:color w:val="0F4761"/>
      <w:kern w:val="2"/>
      <w:sz w:val="32"/>
      <w:szCs w:val="32"/>
      <w:lang w:val="es-ES_tradnl"/>
      <w14:ligatures w14:val="standardContextual"/>
    </w:rPr>
  </w:style>
  <w:style w:type="paragraph" w:customStyle="1" w:styleId="Ttulo31">
    <w:name w:val="Título 31"/>
    <w:basedOn w:val="Normal"/>
    <w:next w:val="Normal"/>
    <w:uiPriority w:val="9"/>
    <w:semiHidden/>
    <w:unhideWhenUsed/>
    <w:qFormat/>
    <w:rsid w:val="008A55D0"/>
    <w:pPr>
      <w:keepNext/>
      <w:keepLines/>
      <w:spacing w:before="160" w:after="80" w:line="240" w:lineRule="auto"/>
      <w:outlineLvl w:val="2"/>
    </w:pPr>
    <w:rPr>
      <w:rFonts w:eastAsia="Times New Roman" w:cs="Times New Roman"/>
      <w:color w:val="0F4761"/>
      <w:kern w:val="2"/>
      <w:sz w:val="28"/>
      <w:szCs w:val="28"/>
      <w:lang w:val="es-ES_tradnl"/>
      <w14:ligatures w14:val="standardContextual"/>
    </w:rPr>
  </w:style>
  <w:style w:type="paragraph" w:customStyle="1" w:styleId="Ttulo41">
    <w:name w:val="Título 41"/>
    <w:basedOn w:val="Normal"/>
    <w:next w:val="Normal"/>
    <w:uiPriority w:val="9"/>
    <w:semiHidden/>
    <w:unhideWhenUsed/>
    <w:qFormat/>
    <w:rsid w:val="008A55D0"/>
    <w:pPr>
      <w:keepNext/>
      <w:keepLines/>
      <w:spacing w:before="80" w:after="40" w:line="240" w:lineRule="auto"/>
      <w:outlineLvl w:val="3"/>
    </w:pPr>
    <w:rPr>
      <w:rFonts w:eastAsia="Times New Roman" w:cs="Times New Roman"/>
      <w:i/>
      <w:iCs/>
      <w:color w:val="0F4761"/>
      <w:kern w:val="2"/>
      <w:sz w:val="24"/>
      <w:szCs w:val="24"/>
      <w:lang w:val="es-ES_tradnl"/>
      <w14:ligatures w14:val="standardContextual"/>
    </w:rPr>
  </w:style>
  <w:style w:type="paragraph" w:customStyle="1" w:styleId="Ttulo51">
    <w:name w:val="Título 51"/>
    <w:basedOn w:val="Normal"/>
    <w:next w:val="Normal"/>
    <w:uiPriority w:val="9"/>
    <w:semiHidden/>
    <w:unhideWhenUsed/>
    <w:qFormat/>
    <w:rsid w:val="008A55D0"/>
    <w:pPr>
      <w:keepNext/>
      <w:keepLines/>
      <w:spacing w:before="80" w:after="40" w:line="240" w:lineRule="auto"/>
      <w:outlineLvl w:val="4"/>
    </w:pPr>
    <w:rPr>
      <w:rFonts w:eastAsia="Times New Roman" w:cs="Times New Roman"/>
      <w:color w:val="0F4761"/>
      <w:kern w:val="2"/>
      <w:sz w:val="24"/>
      <w:szCs w:val="24"/>
      <w:lang w:val="es-ES_tradnl"/>
      <w14:ligatures w14:val="standardContextual"/>
    </w:rPr>
  </w:style>
  <w:style w:type="paragraph" w:customStyle="1" w:styleId="Ttulo61">
    <w:name w:val="Título 61"/>
    <w:basedOn w:val="Normal"/>
    <w:next w:val="Normal"/>
    <w:uiPriority w:val="9"/>
    <w:semiHidden/>
    <w:unhideWhenUsed/>
    <w:qFormat/>
    <w:rsid w:val="008A55D0"/>
    <w:pPr>
      <w:keepNext/>
      <w:keepLines/>
      <w:spacing w:before="40" w:after="0" w:line="240" w:lineRule="auto"/>
      <w:outlineLvl w:val="5"/>
    </w:pPr>
    <w:rPr>
      <w:rFonts w:eastAsia="Times New Roman" w:cs="Times New Roman"/>
      <w:i/>
      <w:iCs/>
      <w:color w:val="595959"/>
      <w:kern w:val="2"/>
      <w:sz w:val="24"/>
      <w:szCs w:val="24"/>
      <w:lang w:val="es-ES_tradnl"/>
      <w14:ligatures w14:val="standardContextual"/>
    </w:rPr>
  </w:style>
  <w:style w:type="paragraph" w:customStyle="1" w:styleId="Ttulo71">
    <w:name w:val="Título 71"/>
    <w:basedOn w:val="Normal"/>
    <w:next w:val="Normal"/>
    <w:uiPriority w:val="9"/>
    <w:semiHidden/>
    <w:unhideWhenUsed/>
    <w:qFormat/>
    <w:rsid w:val="008A55D0"/>
    <w:pPr>
      <w:keepNext/>
      <w:keepLines/>
      <w:spacing w:before="40" w:after="0" w:line="240" w:lineRule="auto"/>
      <w:outlineLvl w:val="6"/>
    </w:pPr>
    <w:rPr>
      <w:rFonts w:eastAsia="Times New Roman" w:cs="Times New Roman"/>
      <w:color w:val="595959"/>
      <w:kern w:val="2"/>
      <w:sz w:val="24"/>
      <w:szCs w:val="24"/>
      <w:lang w:val="es-ES_tradnl"/>
      <w14:ligatures w14:val="standardContextual"/>
    </w:rPr>
  </w:style>
  <w:style w:type="paragraph" w:customStyle="1" w:styleId="Ttulo81">
    <w:name w:val="Título 81"/>
    <w:basedOn w:val="Normal"/>
    <w:next w:val="Normal"/>
    <w:uiPriority w:val="9"/>
    <w:semiHidden/>
    <w:unhideWhenUsed/>
    <w:qFormat/>
    <w:rsid w:val="008A55D0"/>
    <w:pPr>
      <w:keepNext/>
      <w:keepLines/>
      <w:spacing w:after="0" w:line="240" w:lineRule="auto"/>
      <w:outlineLvl w:val="7"/>
    </w:pPr>
    <w:rPr>
      <w:rFonts w:eastAsia="Times New Roman" w:cs="Times New Roman"/>
      <w:i/>
      <w:iCs/>
      <w:color w:val="272727"/>
      <w:kern w:val="2"/>
      <w:sz w:val="24"/>
      <w:szCs w:val="24"/>
      <w:lang w:val="es-ES_tradnl"/>
      <w14:ligatures w14:val="standardContextual"/>
    </w:rPr>
  </w:style>
  <w:style w:type="paragraph" w:customStyle="1" w:styleId="Ttulo91">
    <w:name w:val="Título 91"/>
    <w:basedOn w:val="Normal"/>
    <w:next w:val="Normal"/>
    <w:uiPriority w:val="9"/>
    <w:semiHidden/>
    <w:unhideWhenUsed/>
    <w:qFormat/>
    <w:rsid w:val="008A55D0"/>
    <w:pPr>
      <w:keepNext/>
      <w:keepLines/>
      <w:spacing w:after="0" w:line="240" w:lineRule="auto"/>
      <w:outlineLvl w:val="8"/>
    </w:pPr>
    <w:rPr>
      <w:rFonts w:eastAsia="Times New Roman" w:cs="Times New Roman"/>
      <w:color w:val="272727"/>
      <w:kern w:val="2"/>
      <w:sz w:val="24"/>
      <w:szCs w:val="24"/>
      <w:lang w:val="es-ES_tradnl"/>
      <w14:ligatures w14:val="standardContextual"/>
    </w:rPr>
  </w:style>
  <w:style w:type="numbering" w:customStyle="1" w:styleId="Sinlista1">
    <w:name w:val="Sin lista1"/>
    <w:next w:val="Sinlista"/>
    <w:uiPriority w:val="99"/>
    <w:semiHidden/>
    <w:unhideWhenUsed/>
    <w:rsid w:val="008A55D0"/>
  </w:style>
  <w:style w:type="character" w:customStyle="1" w:styleId="Ttulo1Car">
    <w:name w:val="Título 1 Car"/>
    <w:basedOn w:val="Fuentedeprrafopredeter"/>
    <w:link w:val="Ttulo1"/>
    <w:uiPriority w:val="9"/>
    <w:rsid w:val="008A55D0"/>
    <w:rPr>
      <w:rFonts w:ascii="Aptos Display" w:eastAsia="Times New Roman" w:hAnsi="Aptos Display" w:cs="Times New Roman"/>
      <w:color w:val="0F4761"/>
      <w:sz w:val="40"/>
      <w:szCs w:val="40"/>
      <w:lang w:val="es-ES_tradnl"/>
    </w:rPr>
  </w:style>
  <w:style w:type="character" w:customStyle="1" w:styleId="Ttulo2Car">
    <w:name w:val="Título 2 Car"/>
    <w:basedOn w:val="Fuentedeprrafopredeter"/>
    <w:link w:val="Ttulo2"/>
    <w:uiPriority w:val="9"/>
    <w:semiHidden/>
    <w:rsid w:val="008A55D0"/>
    <w:rPr>
      <w:rFonts w:ascii="Aptos Display" w:eastAsia="Times New Roman" w:hAnsi="Aptos Display" w:cs="Times New Roman"/>
      <w:color w:val="0F4761"/>
      <w:sz w:val="32"/>
      <w:szCs w:val="32"/>
      <w:lang w:val="es-ES_tradnl"/>
    </w:rPr>
  </w:style>
  <w:style w:type="character" w:customStyle="1" w:styleId="Ttulo3Car">
    <w:name w:val="Título 3 Car"/>
    <w:basedOn w:val="Fuentedeprrafopredeter"/>
    <w:link w:val="Ttulo3"/>
    <w:uiPriority w:val="9"/>
    <w:semiHidden/>
    <w:rsid w:val="008A55D0"/>
    <w:rPr>
      <w:rFonts w:eastAsia="Times New Roman" w:cs="Times New Roman"/>
      <w:color w:val="0F4761"/>
      <w:sz w:val="28"/>
      <w:szCs w:val="28"/>
      <w:lang w:val="es-ES_tradnl"/>
    </w:rPr>
  </w:style>
  <w:style w:type="character" w:customStyle="1" w:styleId="Ttulo4Car">
    <w:name w:val="Título 4 Car"/>
    <w:basedOn w:val="Fuentedeprrafopredeter"/>
    <w:link w:val="Ttulo4"/>
    <w:uiPriority w:val="9"/>
    <w:semiHidden/>
    <w:rsid w:val="008A55D0"/>
    <w:rPr>
      <w:rFonts w:eastAsia="Times New Roman" w:cs="Times New Roman"/>
      <w:i/>
      <w:iCs/>
      <w:color w:val="0F4761"/>
      <w:lang w:val="es-ES_tradnl"/>
    </w:rPr>
  </w:style>
  <w:style w:type="character" w:customStyle="1" w:styleId="Ttulo5Car">
    <w:name w:val="Título 5 Car"/>
    <w:basedOn w:val="Fuentedeprrafopredeter"/>
    <w:link w:val="Ttulo5"/>
    <w:uiPriority w:val="9"/>
    <w:semiHidden/>
    <w:rsid w:val="008A55D0"/>
    <w:rPr>
      <w:rFonts w:eastAsia="Times New Roman" w:cs="Times New Roman"/>
      <w:color w:val="0F4761"/>
      <w:lang w:val="es-ES_tradnl"/>
    </w:rPr>
  </w:style>
  <w:style w:type="character" w:customStyle="1" w:styleId="Ttulo6Car">
    <w:name w:val="Título 6 Car"/>
    <w:basedOn w:val="Fuentedeprrafopredeter"/>
    <w:link w:val="Ttulo6"/>
    <w:uiPriority w:val="9"/>
    <w:semiHidden/>
    <w:rsid w:val="008A55D0"/>
    <w:rPr>
      <w:rFonts w:eastAsia="Times New Roman" w:cs="Times New Roman"/>
      <w:i/>
      <w:iCs/>
      <w:color w:val="595959"/>
      <w:lang w:val="es-ES_tradnl"/>
    </w:rPr>
  </w:style>
  <w:style w:type="character" w:customStyle="1" w:styleId="Ttulo7Car">
    <w:name w:val="Título 7 Car"/>
    <w:basedOn w:val="Fuentedeprrafopredeter"/>
    <w:link w:val="Ttulo7"/>
    <w:uiPriority w:val="9"/>
    <w:semiHidden/>
    <w:rsid w:val="008A55D0"/>
    <w:rPr>
      <w:rFonts w:eastAsia="Times New Roman" w:cs="Times New Roman"/>
      <w:color w:val="595959"/>
      <w:lang w:val="es-ES_tradnl"/>
    </w:rPr>
  </w:style>
  <w:style w:type="character" w:customStyle="1" w:styleId="Ttulo8Car">
    <w:name w:val="Título 8 Car"/>
    <w:basedOn w:val="Fuentedeprrafopredeter"/>
    <w:link w:val="Ttulo8"/>
    <w:uiPriority w:val="9"/>
    <w:semiHidden/>
    <w:rsid w:val="008A55D0"/>
    <w:rPr>
      <w:rFonts w:eastAsia="Times New Roman" w:cs="Times New Roman"/>
      <w:i/>
      <w:iCs/>
      <w:color w:val="272727"/>
      <w:lang w:val="es-ES_tradnl"/>
    </w:rPr>
  </w:style>
  <w:style w:type="character" w:customStyle="1" w:styleId="Ttulo9Car">
    <w:name w:val="Título 9 Car"/>
    <w:basedOn w:val="Fuentedeprrafopredeter"/>
    <w:link w:val="Ttulo9"/>
    <w:uiPriority w:val="9"/>
    <w:semiHidden/>
    <w:rsid w:val="008A55D0"/>
    <w:rPr>
      <w:rFonts w:eastAsia="Times New Roman" w:cs="Times New Roman"/>
      <w:color w:val="272727"/>
      <w:lang w:val="es-ES_tradnl"/>
    </w:rPr>
  </w:style>
  <w:style w:type="paragraph" w:customStyle="1" w:styleId="Subttulo1">
    <w:name w:val="Subtítulo1"/>
    <w:basedOn w:val="Normal"/>
    <w:next w:val="Normal"/>
    <w:uiPriority w:val="11"/>
    <w:qFormat/>
    <w:rsid w:val="008A55D0"/>
    <w:pPr>
      <w:numPr>
        <w:ilvl w:val="1"/>
      </w:numPr>
      <w:spacing w:line="240" w:lineRule="auto"/>
    </w:pPr>
    <w:rPr>
      <w:rFonts w:eastAsia="Times New Roman" w:cs="Times New Roman"/>
      <w:color w:val="595959"/>
      <w:spacing w:val="15"/>
      <w:kern w:val="2"/>
      <w:sz w:val="28"/>
      <w:szCs w:val="28"/>
      <w:lang w:val="es-ES_tradnl"/>
      <w14:ligatures w14:val="standardContextual"/>
    </w:rPr>
  </w:style>
  <w:style w:type="character" w:customStyle="1" w:styleId="SubttuloCar">
    <w:name w:val="Subtítulo Car"/>
    <w:basedOn w:val="Fuentedeprrafopredeter"/>
    <w:link w:val="Subttulo"/>
    <w:uiPriority w:val="11"/>
    <w:rsid w:val="008A55D0"/>
    <w:rPr>
      <w:rFonts w:eastAsia="Times New Roman" w:cs="Times New Roman"/>
      <w:color w:val="595959"/>
      <w:spacing w:val="15"/>
      <w:sz w:val="28"/>
      <w:szCs w:val="28"/>
      <w:lang w:val="es-ES_tradnl"/>
    </w:rPr>
  </w:style>
  <w:style w:type="paragraph" w:customStyle="1" w:styleId="Cita1">
    <w:name w:val="Cita1"/>
    <w:basedOn w:val="Normal"/>
    <w:next w:val="Normal"/>
    <w:uiPriority w:val="29"/>
    <w:qFormat/>
    <w:rsid w:val="008A55D0"/>
    <w:pPr>
      <w:spacing w:before="160" w:line="240" w:lineRule="auto"/>
      <w:jc w:val="center"/>
    </w:pPr>
    <w:rPr>
      <w:i/>
      <w:iCs/>
      <w:color w:val="404040"/>
      <w:kern w:val="2"/>
      <w:sz w:val="24"/>
      <w:szCs w:val="24"/>
      <w:lang w:val="es-ES_tradnl"/>
      <w14:ligatures w14:val="standardContextual"/>
    </w:rPr>
  </w:style>
  <w:style w:type="character" w:customStyle="1" w:styleId="CitaCar">
    <w:name w:val="Cita Car"/>
    <w:basedOn w:val="Fuentedeprrafopredeter"/>
    <w:link w:val="Cita"/>
    <w:uiPriority w:val="29"/>
    <w:rsid w:val="008A55D0"/>
    <w:rPr>
      <w:i/>
      <w:iCs/>
      <w:color w:val="404040"/>
      <w:lang w:val="es-ES_tradnl"/>
    </w:rPr>
  </w:style>
  <w:style w:type="character" w:customStyle="1" w:styleId="nfasisintenso1">
    <w:name w:val="Énfasis intenso1"/>
    <w:basedOn w:val="Fuentedeprrafopredeter"/>
    <w:uiPriority w:val="21"/>
    <w:qFormat/>
    <w:rsid w:val="008A55D0"/>
    <w:rPr>
      <w:i/>
      <w:iCs/>
      <w:color w:val="0F4761"/>
    </w:rPr>
  </w:style>
  <w:style w:type="paragraph" w:customStyle="1" w:styleId="Citadestacada1">
    <w:name w:val="Cita destacada1"/>
    <w:basedOn w:val="Normal"/>
    <w:next w:val="Normal"/>
    <w:uiPriority w:val="30"/>
    <w:qFormat/>
    <w:rsid w:val="008A55D0"/>
    <w:pPr>
      <w:pBdr>
        <w:top w:val="single" w:sz="4" w:space="10" w:color="0F4761"/>
        <w:bottom w:val="single" w:sz="4" w:space="10" w:color="0F4761"/>
      </w:pBdr>
      <w:spacing w:before="360" w:after="360" w:line="240" w:lineRule="auto"/>
      <w:ind w:left="864" w:right="864"/>
      <w:jc w:val="center"/>
    </w:pPr>
    <w:rPr>
      <w:i/>
      <w:iCs/>
      <w:color w:val="0F4761"/>
      <w:kern w:val="2"/>
      <w:sz w:val="24"/>
      <w:szCs w:val="24"/>
      <w:lang w:val="es-ES_tradnl"/>
      <w14:ligatures w14:val="standardContextual"/>
    </w:rPr>
  </w:style>
  <w:style w:type="character" w:customStyle="1" w:styleId="CitadestacadaCar">
    <w:name w:val="Cita destacada Car"/>
    <w:basedOn w:val="Fuentedeprrafopredeter"/>
    <w:link w:val="Citadestacada"/>
    <w:uiPriority w:val="30"/>
    <w:rsid w:val="008A55D0"/>
    <w:rPr>
      <w:i/>
      <w:iCs/>
      <w:color w:val="0F4761"/>
      <w:lang w:val="es-ES_tradnl"/>
    </w:rPr>
  </w:style>
  <w:style w:type="character" w:customStyle="1" w:styleId="Referenciaintensa1">
    <w:name w:val="Referencia intensa1"/>
    <w:basedOn w:val="Fuentedeprrafopredeter"/>
    <w:uiPriority w:val="32"/>
    <w:qFormat/>
    <w:rsid w:val="008A55D0"/>
    <w:rPr>
      <w:b/>
      <w:bCs/>
      <w:smallCaps/>
      <w:color w:val="0F4761"/>
      <w:spacing w:val="5"/>
    </w:rPr>
  </w:style>
  <w:style w:type="paragraph" w:customStyle="1" w:styleId="Appelnotedebasde">
    <w:name w:val="Appel note de bas de..."/>
    <w:basedOn w:val="Normal"/>
    <w:link w:val="Refdenotaalpie"/>
    <w:uiPriority w:val="99"/>
    <w:rsid w:val="008A55D0"/>
    <w:pPr>
      <w:spacing w:line="240" w:lineRule="exact"/>
    </w:pPr>
    <w:rPr>
      <w:vertAlign w:val="superscript"/>
    </w:rPr>
  </w:style>
  <w:style w:type="character" w:customStyle="1" w:styleId="baj">
    <w:name w:val="b_aj"/>
    <w:basedOn w:val="Fuentedeprrafopredeter"/>
    <w:rsid w:val="008A55D0"/>
  </w:style>
  <w:style w:type="character" w:styleId="nfasis">
    <w:name w:val="Emphasis"/>
    <w:basedOn w:val="Fuentedeprrafopredeter"/>
    <w:uiPriority w:val="20"/>
    <w:qFormat/>
    <w:rsid w:val="008A55D0"/>
    <w:rPr>
      <w:i/>
      <w:iCs/>
    </w:rPr>
  </w:style>
  <w:style w:type="character" w:customStyle="1" w:styleId="InviasNormalCar">
    <w:name w:val="Invias Normal Car"/>
    <w:link w:val="InviasNormal"/>
    <w:locked/>
    <w:rsid w:val="008A55D0"/>
    <w:rPr>
      <w:rFonts w:ascii="Arial Narrow" w:eastAsia="Times New Roman" w:hAnsi="Arial Narrow" w:cs="Times New Roman"/>
      <w:color w:val="3B3838"/>
      <w:lang w:val="x-none" w:eastAsia="es-ES"/>
    </w:rPr>
  </w:style>
  <w:style w:type="paragraph" w:customStyle="1" w:styleId="InviasNormal">
    <w:name w:val="Invias Normal"/>
    <w:basedOn w:val="Normal"/>
    <w:link w:val="InviasNormalCar"/>
    <w:qFormat/>
    <w:rsid w:val="008A55D0"/>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lang w:val="x-none" w:eastAsia="es-ES"/>
    </w:rPr>
  </w:style>
  <w:style w:type="paragraph" w:customStyle="1" w:styleId="Car1">
    <w:name w:val="Car1"/>
    <w:basedOn w:val="Normal"/>
    <w:next w:val="Textonotapie"/>
    <w:uiPriority w:val="99"/>
    <w:unhideWhenUsed/>
    <w:qFormat/>
    <w:rsid w:val="008A55D0"/>
    <w:pPr>
      <w:spacing w:after="0" w:line="240" w:lineRule="auto"/>
    </w:pPr>
    <w:rPr>
      <w:sz w:val="20"/>
      <w:szCs w:val="20"/>
      <w:lang w:val="es-MX"/>
    </w:rPr>
  </w:style>
  <w:style w:type="character" w:customStyle="1" w:styleId="Ttulo1Car1">
    <w:name w:val="Título 1 Car1"/>
    <w:basedOn w:val="Fuentedeprrafopredeter"/>
    <w:uiPriority w:val="9"/>
    <w:rsid w:val="008A55D0"/>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8A55D0"/>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8A55D0"/>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8A55D0"/>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8A55D0"/>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8A55D0"/>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8A55D0"/>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8A55D0"/>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8A55D0"/>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8A55D0"/>
    <w:pPr>
      <w:numPr>
        <w:ilvl w:val="1"/>
      </w:numPr>
    </w:pPr>
    <w:rPr>
      <w:rFonts w:eastAsia="Times New Roman" w:cs="Times New Roman"/>
      <w:color w:val="595959"/>
      <w:spacing w:val="15"/>
      <w:sz w:val="28"/>
      <w:szCs w:val="28"/>
      <w:lang w:val="es-ES_tradnl"/>
    </w:rPr>
  </w:style>
  <w:style w:type="character" w:customStyle="1" w:styleId="SubttuloCar1">
    <w:name w:val="Subtítulo Car1"/>
    <w:basedOn w:val="Fuentedeprrafopredeter"/>
    <w:uiPriority w:val="11"/>
    <w:rsid w:val="008A55D0"/>
    <w:rPr>
      <w:rFonts w:eastAsiaTheme="minorEastAsia"/>
      <w:color w:val="5A5A5A" w:themeColor="text1" w:themeTint="A5"/>
      <w:spacing w:val="15"/>
    </w:rPr>
  </w:style>
  <w:style w:type="paragraph" w:styleId="Cita">
    <w:name w:val="Quote"/>
    <w:basedOn w:val="Normal"/>
    <w:next w:val="Normal"/>
    <w:link w:val="CitaCar"/>
    <w:uiPriority w:val="29"/>
    <w:qFormat/>
    <w:rsid w:val="008A55D0"/>
    <w:pPr>
      <w:spacing w:before="200"/>
      <w:ind w:left="864" w:right="864"/>
      <w:jc w:val="center"/>
    </w:pPr>
    <w:rPr>
      <w:i/>
      <w:iCs/>
      <w:color w:val="404040"/>
      <w:lang w:val="es-ES_tradnl"/>
    </w:rPr>
  </w:style>
  <w:style w:type="character" w:customStyle="1" w:styleId="CitaCar1">
    <w:name w:val="Cita Car1"/>
    <w:basedOn w:val="Fuentedeprrafopredeter"/>
    <w:uiPriority w:val="29"/>
    <w:rsid w:val="008A55D0"/>
    <w:rPr>
      <w:i/>
      <w:iCs/>
      <w:color w:val="404040" w:themeColor="text1" w:themeTint="BF"/>
    </w:rPr>
  </w:style>
  <w:style w:type="character" w:styleId="nfasisintenso">
    <w:name w:val="Intense Emphasis"/>
    <w:basedOn w:val="Fuentedeprrafopredeter"/>
    <w:uiPriority w:val="21"/>
    <w:qFormat/>
    <w:rsid w:val="008A55D0"/>
    <w:rPr>
      <w:i/>
      <w:iCs/>
      <w:color w:val="4472C4" w:themeColor="accent1"/>
    </w:rPr>
  </w:style>
  <w:style w:type="paragraph" w:styleId="Citadestacada">
    <w:name w:val="Intense Quote"/>
    <w:basedOn w:val="Normal"/>
    <w:next w:val="Normal"/>
    <w:link w:val="CitadestacadaCar"/>
    <w:uiPriority w:val="30"/>
    <w:qFormat/>
    <w:rsid w:val="008A55D0"/>
    <w:pPr>
      <w:pBdr>
        <w:top w:val="single" w:sz="4" w:space="10" w:color="4472C4" w:themeColor="accent1"/>
        <w:bottom w:val="single" w:sz="4" w:space="10" w:color="4472C4" w:themeColor="accent1"/>
      </w:pBdr>
      <w:spacing w:before="360" w:after="360"/>
      <w:ind w:left="864" w:right="864"/>
      <w:jc w:val="center"/>
    </w:pPr>
    <w:rPr>
      <w:i/>
      <w:iCs/>
      <w:color w:val="0F4761"/>
      <w:lang w:val="es-ES_tradnl"/>
    </w:rPr>
  </w:style>
  <w:style w:type="character" w:customStyle="1" w:styleId="CitadestacadaCar1">
    <w:name w:val="Cita destacada Car1"/>
    <w:basedOn w:val="Fuentedeprrafopredeter"/>
    <w:uiPriority w:val="30"/>
    <w:rsid w:val="008A55D0"/>
    <w:rPr>
      <w:i/>
      <w:iCs/>
      <w:color w:val="4472C4" w:themeColor="accent1"/>
    </w:rPr>
  </w:style>
  <w:style w:type="character" w:styleId="Referenciaintensa">
    <w:name w:val="Intense Reference"/>
    <w:basedOn w:val="Fuentedeprrafopredeter"/>
    <w:uiPriority w:val="32"/>
    <w:qFormat/>
    <w:rsid w:val="008A55D0"/>
    <w:rPr>
      <w:b/>
      <w:bCs/>
      <w:smallCaps/>
      <w:color w:val="4472C4" w:themeColor="accent1"/>
      <w:spacing w:val="5"/>
    </w:rPr>
  </w:style>
  <w:style w:type="paragraph" w:styleId="Revisin">
    <w:name w:val="Revision"/>
    <w:hidden/>
    <w:uiPriority w:val="99"/>
    <w:semiHidden/>
    <w:rsid w:val="001B5692"/>
    <w:pPr>
      <w:spacing w:after="0" w:line="240" w:lineRule="auto"/>
    </w:pPr>
  </w:style>
  <w:style w:type="paragraph" w:styleId="NormalWeb">
    <w:name w:val="Normal (Web)"/>
    <w:basedOn w:val="Normal"/>
    <w:link w:val="NormalWebCar"/>
    <w:uiPriority w:val="99"/>
    <w:unhideWhenUsed/>
    <w:rsid w:val="00C86883"/>
    <w:rPr>
      <w:rFonts w:ascii="Times New Roman" w:hAnsi="Times New Roman" w:cs="Times New Roman"/>
      <w:sz w:val="24"/>
      <w:szCs w:val="24"/>
    </w:rPr>
  </w:style>
  <w:style w:type="character" w:customStyle="1" w:styleId="NormalWebCar">
    <w:name w:val="Normal (Web) Car"/>
    <w:link w:val="NormalWeb"/>
    <w:uiPriority w:val="99"/>
    <w:rsid w:val="00C8688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proyecto-de-documentos-tipo-de-consultoria-de-estudios-de-ingenieria-de-infraestructura-de-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de-interventoria-de-obra-publica-de-infraestructura-de-transpor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Kevin Arlid Herrera Santa</DisplayName>
        <AccountId>221</AccountId>
        <AccountType/>
      </UserInfo>
      <UserInfo>
        <DisplayName>Martha Alicia Romero Vargas</DisplayName>
        <AccountId>215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732803A-4956-4A15-8CAD-2A475149F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www.w3.org/XML/1998/namespace"/>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purl.org/dc/dcmitype/"/>
    <ds:schemaRef ds:uri="http://purl.org/dc/term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11282</Words>
  <Characters>62057</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2024-07-05T16:35:00Z</dcterms:created>
  <dcterms:modified xsi:type="dcterms:W3CDTF">2024-07-05T16:35:00Z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