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56E4C" w14:textId="77777777" w:rsidR="0099708A" w:rsidRPr="00D72D95" w:rsidRDefault="0099708A" w:rsidP="0099708A">
      <w:pPr>
        <w:spacing w:after="0" w:line="240" w:lineRule="auto"/>
        <w:jc w:val="both"/>
        <w:rPr>
          <w:rFonts w:ascii="Verdana" w:eastAsia="Calibri" w:hAnsi="Verdana" w:cs="Arial"/>
          <w:b/>
          <w:bCs/>
          <w:lang w:val="es-ES" w:eastAsia="es-ES"/>
        </w:rPr>
      </w:pPr>
      <w:bookmarkStart w:id="0" w:name="_Hlk143780582"/>
      <w:r w:rsidRPr="00D72D95">
        <w:rPr>
          <w:rFonts w:ascii="Verdana" w:eastAsia="Calibri" w:hAnsi="Verdana" w:cs="Arial"/>
          <w:b/>
          <w:bCs/>
          <w:lang w:val="es-ES" w:eastAsia="es-ES"/>
        </w:rPr>
        <w:t>SUBSANABILIDAD – Aplicación – R</w:t>
      </w:r>
      <w:r w:rsidRPr="00D72D95">
        <w:rPr>
          <w:rFonts w:ascii="Verdana" w:eastAsia="Calibri" w:hAnsi="Verdana"/>
          <w:b/>
          <w:bCs/>
          <w:lang w:val="es-ES" w:eastAsia="es-ES"/>
        </w:rPr>
        <w:t>egla general</w:t>
      </w:r>
      <w:r w:rsidRPr="00D72D95">
        <w:rPr>
          <w:rFonts w:ascii="Verdana" w:eastAsia="Calibri" w:hAnsi="Verdana" w:cs="Arial"/>
          <w:b/>
          <w:bCs/>
          <w:lang w:val="es-ES" w:eastAsia="es-ES"/>
        </w:rPr>
        <w:t xml:space="preserve"> – Excepciones </w:t>
      </w:r>
    </w:p>
    <w:p w14:paraId="6B353EC3" w14:textId="77777777" w:rsidR="0099708A" w:rsidRPr="00D72D95" w:rsidRDefault="0099708A" w:rsidP="0099708A">
      <w:pPr>
        <w:tabs>
          <w:tab w:val="left" w:pos="426"/>
        </w:tabs>
        <w:spacing w:after="0" w:line="240" w:lineRule="auto"/>
        <w:jc w:val="both"/>
        <w:rPr>
          <w:rFonts w:ascii="Verdana" w:hAnsi="Verdana" w:cs="Arial"/>
          <w:b/>
          <w:sz w:val="20"/>
          <w:szCs w:val="20"/>
          <w:lang w:eastAsia="es-CO"/>
        </w:rPr>
      </w:pPr>
    </w:p>
    <w:p w14:paraId="74B5A0EB" w14:textId="77777777" w:rsidR="0099708A" w:rsidRDefault="0099708A" w:rsidP="0099708A">
      <w:pPr>
        <w:spacing w:after="0" w:line="240" w:lineRule="auto"/>
        <w:jc w:val="both"/>
        <w:rPr>
          <w:rFonts w:ascii="Verdana" w:hAnsi="Verdana" w:cs="Arial"/>
          <w:bCs/>
          <w:sz w:val="20"/>
          <w:szCs w:val="20"/>
          <w:lang w:eastAsia="es-CO"/>
        </w:rPr>
      </w:pPr>
      <w:r w:rsidRPr="00D72D95">
        <w:rPr>
          <w:rFonts w:ascii="Verdana" w:hAnsi="Verdana" w:cs="Arial"/>
          <w:bCs/>
          <w:sz w:val="20"/>
          <w:szCs w:val="20"/>
          <w:lang w:eastAsia="es-CO"/>
        </w:rPr>
        <w:t>La regla de la subsanabilidad de las ofertas en los procedimientos de selección indica que, por regla general, la falta de entrega y los defectos en la acreditación de los requisitos habilitantes son aspectos subsanables. La excepción a esta regla se encuentra en la prohibición de permitir que se subsanen aspectos que otorgan puntaje, de valer la acreditación de circunstancias ocurridas con posterioridad al cierre del proceso y de permitir la entrega de la garantía de seriedad de la oferta que no fue aportada con la propuesta.</w:t>
      </w:r>
    </w:p>
    <w:p w14:paraId="76EB4EBB" w14:textId="77777777" w:rsidR="0099708A" w:rsidRPr="002E5295" w:rsidRDefault="0099708A" w:rsidP="0099708A">
      <w:pPr>
        <w:spacing w:after="0" w:line="240" w:lineRule="auto"/>
        <w:jc w:val="both"/>
        <w:rPr>
          <w:rFonts w:ascii="Verdana" w:hAnsi="Verdana" w:cs="Arial"/>
          <w:bCs/>
          <w:sz w:val="20"/>
          <w:szCs w:val="20"/>
          <w:lang w:val="es-ES_tradnl" w:eastAsia="es-CO"/>
        </w:rPr>
      </w:pPr>
    </w:p>
    <w:p w14:paraId="3C384369" w14:textId="77777777" w:rsidR="0099708A" w:rsidRPr="00914070" w:rsidRDefault="0099708A" w:rsidP="0099708A">
      <w:pPr>
        <w:spacing w:after="0" w:line="240" w:lineRule="auto"/>
        <w:jc w:val="both"/>
        <w:rPr>
          <w:rFonts w:ascii="Verdana" w:eastAsia="Calibri" w:hAnsi="Verdana" w:cs="Arial"/>
          <w:b/>
          <w:bCs/>
          <w:lang w:val="es-ES" w:eastAsia="es-ES"/>
        </w:rPr>
      </w:pPr>
      <w:r w:rsidRPr="00914070">
        <w:rPr>
          <w:rFonts w:ascii="Verdana" w:eastAsia="Calibri" w:hAnsi="Verdana" w:cs="Arial"/>
          <w:b/>
          <w:bCs/>
          <w:lang w:val="es-ES" w:eastAsia="es-ES"/>
        </w:rPr>
        <w:t xml:space="preserve">SUBSANABILIDAD – Ley 1882 de 2018 </w:t>
      </w:r>
    </w:p>
    <w:p w14:paraId="557EE723" w14:textId="77777777" w:rsidR="0099708A" w:rsidRDefault="0099708A" w:rsidP="0099708A">
      <w:pPr>
        <w:spacing w:after="0" w:line="240" w:lineRule="auto"/>
        <w:jc w:val="both"/>
        <w:rPr>
          <w:rFonts w:ascii="Verdana" w:eastAsia="Times New Roman" w:hAnsi="Verdana" w:cs="Arial"/>
          <w:lang w:val="es-ES" w:eastAsia="es-ES_tradnl"/>
        </w:rPr>
      </w:pPr>
    </w:p>
    <w:p w14:paraId="00761B4F" w14:textId="77777777" w:rsidR="0099708A" w:rsidRDefault="0099708A" w:rsidP="00637080">
      <w:pPr>
        <w:spacing w:after="0" w:line="240" w:lineRule="auto"/>
        <w:jc w:val="both"/>
        <w:rPr>
          <w:rFonts w:ascii="Verdana" w:hAnsi="Verdana" w:cs="Arial"/>
          <w:bCs/>
          <w:sz w:val="20"/>
          <w:szCs w:val="20"/>
          <w:lang w:eastAsia="es-CO"/>
        </w:rPr>
      </w:pPr>
      <w:r>
        <w:rPr>
          <w:rFonts w:ascii="Verdana" w:hAnsi="Verdana" w:cs="Arial"/>
          <w:bCs/>
          <w:sz w:val="20"/>
          <w:szCs w:val="20"/>
          <w:lang w:eastAsia="es-CO"/>
        </w:rPr>
        <w:t xml:space="preserve">[…] </w:t>
      </w:r>
      <w:r w:rsidRPr="00C86B78">
        <w:rPr>
          <w:rFonts w:ascii="Verdana" w:hAnsi="Verdana" w:cs="Arial"/>
          <w:bCs/>
          <w:sz w:val="20"/>
          <w:szCs w:val="20"/>
          <w:lang w:eastAsia="es-CO"/>
        </w:rPr>
        <w:t>la Ley 1882 de 2018: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e, iii) introduce modificaciones en relación con algunos aspectos que se analizarán a continuación.</w:t>
      </w:r>
    </w:p>
    <w:p w14:paraId="03AE717F" w14:textId="77777777" w:rsidR="0099708A" w:rsidRPr="008D5D4A" w:rsidRDefault="0099708A" w:rsidP="00637080">
      <w:pPr>
        <w:spacing w:after="0" w:line="240" w:lineRule="auto"/>
        <w:jc w:val="both"/>
        <w:rPr>
          <w:rFonts w:ascii="Verdana" w:eastAsia="Calibri" w:hAnsi="Verdana" w:cs="Arial"/>
          <w:b/>
          <w:bCs/>
          <w:lang w:eastAsia="es-ES"/>
        </w:rPr>
      </w:pPr>
    </w:p>
    <w:p w14:paraId="6D55B9D9" w14:textId="1C6DF036" w:rsidR="00637080" w:rsidRPr="008D5D4A" w:rsidRDefault="0099708A" w:rsidP="008D5D4A">
      <w:pPr>
        <w:spacing w:after="0" w:line="240" w:lineRule="auto"/>
        <w:rPr>
          <w:rFonts w:ascii="Arial" w:eastAsia="Calibri" w:hAnsi="Arial" w:cs="Arial"/>
          <w:b/>
          <w:bCs/>
          <w:highlight w:val="yellow"/>
        </w:rPr>
      </w:pPr>
      <w:r w:rsidRPr="00637080">
        <w:rPr>
          <w:rFonts w:ascii="Arial" w:eastAsia="Calibri" w:hAnsi="Arial" w:cs="Arial"/>
          <w:b/>
          <w:bCs/>
        </w:rPr>
        <w:t>DOCUMENTOS TIPO – EXPERIENCIA – Acreditación – Formato 3 – Finalidad</w:t>
      </w:r>
    </w:p>
    <w:p w14:paraId="1F7C695C" w14:textId="50C00BD4" w:rsidR="00637080" w:rsidRDefault="00637080" w:rsidP="008D5D4A">
      <w:pPr>
        <w:widowControl w:val="0"/>
        <w:autoSpaceDE w:val="0"/>
        <w:autoSpaceDN w:val="0"/>
        <w:spacing w:after="0"/>
        <w:ind w:right="102"/>
        <w:jc w:val="both"/>
        <w:rPr>
          <w:rFonts w:ascii="Verdana" w:hAnsi="Verdana" w:cs="Arial"/>
          <w:noProof/>
          <w:lang w:val="es-ES_tradnl"/>
        </w:rPr>
      </w:pPr>
    </w:p>
    <w:p w14:paraId="66EDCA21" w14:textId="6FEF801E" w:rsidR="00637080" w:rsidRPr="00581A90" w:rsidRDefault="00E055FF" w:rsidP="008D5D4A">
      <w:pPr>
        <w:widowControl w:val="0"/>
        <w:autoSpaceDE w:val="0"/>
        <w:autoSpaceDN w:val="0"/>
        <w:ind w:right="102"/>
        <w:jc w:val="both"/>
        <w:rPr>
          <w:rFonts w:ascii="Verdana" w:hAnsi="Verdana" w:cs="Arial"/>
          <w:noProof/>
          <w:lang w:val="es-ES_tradnl"/>
        </w:rPr>
      </w:pPr>
      <w:r>
        <w:rPr>
          <w:rFonts w:ascii="Verdana" w:hAnsi="Verdana" w:cs="Arial"/>
          <w:noProof/>
          <w:lang w:val="es-ES_tradnl"/>
        </w:rPr>
        <w:t>E</w:t>
      </w:r>
      <w:r w:rsidR="00637080" w:rsidRPr="00581A90">
        <w:rPr>
          <w:rFonts w:ascii="Verdana" w:hAnsi="Verdana" w:cs="Arial"/>
          <w:noProof/>
          <w:lang w:val="es-ES_tradnl"/>
        </w:rPr>
        <w:t xml:space="preserve">l </w:t>
      </w:r>
      <w:r w:rsidR="00637080">
        <w:rPr>
          <w:rFonts w:ascii="Verdana" w:hAnsi="Verdana" w:cs="Arial"/>
          <w:noProof/>
          <w:lang w:val="es-ES_tradnl"/>
        </w:rPr>
        <w:t xml:space="preserve">literal B) del </w:t>
      </w:r>
      <w:r w:rsidR="00637080" w:rsidRPr="00581A90">
        <w:rPr>
          <w:rFonts w:ascii="Verdana" w:hAnsi="Verdana" w:cs="Arial"/>
          <w:noProof/>
          <w:lang w:val="es-ES_tradnl"/>
        </w:rPr>
        <w:t xml:space="preserve">numeral “3.5.2 Características de los contratos presentados para acreditar la experiencia exigida”, indica que el </w:t>
      </w:r>
      <w:r w:rsidR="00637080">
        <w:rPr>
          <w:rFonts w:ascii="Verdana" w:hAnsi="Verdana" w:cs="Arial"/>
          <w:noProof/>
          <w:lang w:val="es-ES_tradnl"/>
        </w:rPr>
        <w:t>“</w:t>
      </w:r>
      <w:r w:rsidR="00637080" w:rsidRPr="00581A90">
        <w:rPr>
          <w:rFonts w:ascii="Verdana" w:hAnsi="Verdana" w:cs="Arial"/>
          <w:noProof/>
          <w:lang w:val="es-ES_tradnl"/>
        </w:rPr>
        <w:t xml:space="preserve">Formato 3 </w:t>
      </w:r>
      <w:r w:rsidR="00637080">
        <w:rPr>
          <w:rFonts w:ascii="Verdana" w:hAnsi="Verdana" w:cs="Arial"/>
          <w:noProof/>
          <w:lang w:val="es-ES_tradnl"/>
        </w:rPr>
        <w:t>–</w:t>
      </w:r>
      <w:r w:rsidR="00637080" w:rsidRPr="00581A90">
        <w:rPr>
          <w:rFonts w:ascii="Verdana" w:hAnsi="Verdana" w:cs="Arial"/>
          <w:noProof/>
          <w:lang w:val="es-ES_tradnl"/>
        </w:rPr>
        <w:t xml:space="preserve"> Experiencia</w:t>
      </w:r>
      <w:r w:rsidR="00637080">
        <w:rPr>
          <w:rFonts w:ascii="Verdana" w:hAnsi="Verdana" w:cs="Arial"/>
          <w:noProof/>
          <w:lang w:val="es-ES_tradnl"/>
        </w:rPr>
        <w:t>”</w:t>
      </w:r>
      <w:r w:rsidR="00637080" w:rsidRPr="00581A90">
        <w:rPr>
          <w:rFonts w:ascii="Verdana" w:hAnsi="Verdana" w:cs="Arial"/>
          <w:noProof/>
          <w:lang w:val="es-ES_tradnl"/>
        </w:rPr>
        <w:t xml:space="preserve"> debe contar con el número consecutivo del contrato en el RUP y que los proponentes plurales deben indicar qué integrante aporta cada uno de los contratos señalados en el Formato 3 – Experiencia. Este documento debe presentarlo el proponente plural y no cada integrante. </w:t>
      </w:r>
    </w:p>
    <w:p w14:paraId="4B704F52" w14:textId="6A4C2EAF" w:rsidR="00637080" w:rsidRDefault="00E055FF" w:rsidP="008D5D4A">
      <w:pPr>
        <w:widowControl w:val="0"/>
        <w:autoSpaceDE w:val="0"/>
        <w:autoSpaceDN w:val="0"/>
        <w:ind w:right="102"/>
        <w:jc w:val="both"/>
        <w:rPr>
          <w:rFonts w:ascii="Verdana" w:hAnsi="Verdana" w:cs="Arial"/>
          <w:noProof/>
          <w:lang w:val="es-ES_tradnl"/>
        </w:rPr>
      </w:pPr>
      <w:r>
        <w:rPr>
          <w:rFonts w:ascii="Verdana" w:hAnsi="Verdana" w:cs="Arial"/>
          <w:noProof/>
          <w:lang w:val="es-ES_tradnl"/>
        </w:rPr>
        <w:t xml:space="preserve">(…) </w:t>
      </w:r>
      <w:r w:rsidR="00637080">
        <w:rPr>
          <w:rFonts w:ascii="Verdana" w:hAnsi="Verdana" w:cs="Arial"/>
          <w:noProof/>
          <w:lang w:val="es-ES_tradnl"/>
        </w:rPr>
        <w:t xml:space="preserve">el inciso segundo del numeral indicado </w:t>
      </w:r>
      <w:r w:rsidR="00637080" w:rsidRPr="00581A90">
        <w:rPr>
          <w:rFonts w:ascii="Verdana" w:hAnsi="Verdana" w:cs="Arial"/>
          <w:noProof/>
          <w:lang w:val="es-ES_tradnl"/>
        </w:rPr>
        <w:t xml:space="preserve">establece la siguiente regla: </w:t>
      </w:r>
      <w:r w:rsidR="00637080" w:rsidRPr="00C00991">
        <w:rPr>
          <w:rFonts w:ascii="Verdana" w:hAnsi="Verdana" w:cs="Arial"/>
          <w:noProof/>
          <w:lang w:val="es-ES_tradnl"/>
        </w:rPr>
        <w:t>“Si el Proponente no diligencia el Formato 3 – Experiencia, la Entidad pedirá su subsanación en los términos del numeral 1.6. En caso de que el oferente no subsane se tendrán en cuenta para la evaluación los cinco (5) contratos de mayor valor aportados (…)”</w:t>
      </w:r>
      <w:r>
        <w:rPr>
          <w:rFonts w:ascii="Verdana" w:hAnsi="Verdana"/>
          <w:noProof/>
          <w:vertAlign w:val="superscript"/>
          <w:lang w:val="es-ES_tradnl"/>
        </w:rPr>
        <w:t>.</w:t>
      </w:r>
      <w:r w:rsidR="00637080" w:rsidRPr="00C00991">
        <w:rPr>
          <w:rFonts w:ascii="Verdana" w:hAnsi="Verdana" w:cs="Arial"/>
          <w:noProof/>
          <w:lang w:val="es-ES_tradnl"/>
        </w:rPr>
        <w:t xml:space="preserve"> </w:t>
      </w:r>
    </w:p>
    <w:p w14:paraId="2E9FD5E1" w14:textId="77777777" w:rsidR="00637080" w:rsidRDefault="00637080" w:rsidP="00E055FF">
      <w:pPr>
        <w:widowControl w:val="0"/>
        <w:autoSpaceDE w:val="0"/>
        <w:autoSpaceDN w:val="0"/>
        <w:spacing w:after="0"/>
        <w:ind w:right="102"/>
        <w:jc w:val="both"/>
        <w:rPr>
          <w:rFonts w:ascii="Verdana" w:hAnsi="Verdana" w:cs="Arial"/>
          <w:noProof/>
          <w:lang w:val="es-ES_tradnl"/>
        </w:rPr>
      </w:pPr>
      <w:r w:rsidRPr="00C00991">
        <w:rPr>
          <w:rFonts w:ascii="Verdana" w:hAnsi="Verdana" w:cs="Arial"/>
          <w:noProof/>
          <w:lang w:val="es-ES_tradnl"/>
        </w:rPr>
        <w:t xml:space="preserve">Como se observa, si el proponente no diligencia el Formato 3 – Experiencia se prevé que puede subsanarlo en los términos del numeral 1.6. del </w:t>
      </w:r>
      <w:r>
        <w:rPr>
          <w:rFonts w:ascii="Verdana" w:hAnsi="Verdana" w:cs="Arial"/>
          <w:noProof/>
          <w:lang w:val="es-ES_tradnl"/>
        </w:rPr>
        <w:t>D</w:t>
      </w:r>
      <w:r w:rsidRPr="00C00991">
        <w:rPr>
          <w:rFonts w:ascii="Verdana" w:hAnsi="Verdana" w:cs="Arial"/>
          <w:noProof/>
          <w:lang w:val="es-ES_tradnl"/>
        </w:rPr>
        <w:t xml:space="preserve">ocumento </w:t>
      </w:r>
      <w:r>
        <w:rPr>
          <w:rFonts w:ascii="Verdana" w:hAnsi="Verdana" w:cs="Arial"/>
          <w:noProof/>
          <w:lang w:val="es-ES_tradnl"/>
        </w:rPr>
        <w:t>B</w:t>
      </w:r>
      <w:r w:rsidRPr="00C00991">
        <w:rPr>
          <w:rFonts w:ascii="Verdana" w:hAnsi="Verdana" w:cs="Arial"/>
          <w:noProof/>
          <w:lang w:val="es-ES_tradnl"/>
        </w:rPr>
        <w:t>ase y en caso de no hacerlo, la Entidad Estatal ten</w:t>
      </w:r>
      <w:r>
        <w:rPr>
          <w:rFonts w:ascii="Verdana" w:hAnsi="Verdana" w:cs="Arial"/>
          <w:noProof/>
          <w:lang w:val="es-ES_tradnl"/>
        </w:rPr>
        <w:t>drá</w:t>
      </w:r>
      <w:r w:rsidRPr="00C00991">
        <w:rPr>
          <w:rFonts w:ascii="Verdana" w:hAnsi="Verdana" w:cs="Arial"/>
          <w:noProof/>
          <w:lang w:val="es-ES_tradnl"/>
        </w:rPr>
        <w:t xml:space="preserve"> en cuenta para la evaluación los cinco contratos aportados de mayor valor.</w:t>
      </w:r>
    </w:p>
    <w:p w14:paraId="1A527E06" w14:textId="77777777" w:rsidR="00E055FF" w:rsidRPr="00C00991" w:rsidRDefault="00E055FF" w:rsidP="008D5D4A">
      <w:pPr>
        <w:widowControl w:val="0"/>
        <w:autoSpaceDE w:val="0"/>
        <w:autoSpaceDN w:val="0"/>
        <w:spacing w:after="0"/>
        <w:ind w:right="102"/>
        <w:jc w:val="both"/>
        <w:rPr>
          <w:rFonts w:ascii="Verdana" w:hAnsi="Verdana" w:cs="Arial"/>
          <w:noProof/>
          <w:lang w:val="es-ES_tradnl"/>
        </w:rPr>
      </w:pPr>
    </w:p>
    <w:p w14:paraId="0D6C4117" w14:textId="33A2A0A3" w:rsidR="00E055FF" w:rsidRPr="008D5D4A" w:rsidRDefault="00E055FF" w:rsidP="00E055FF">
      <w:pPr>
        <w:widowControl w:val="0"/>
        <w:autoSpaceDE w:val="0"/>
        <w:autoSpaceDN w:val="0"/>
        <w:spacing w:after="0"/>
        <w:ind w:right="102"/>
        <w:jc w:val="both"/>
        <w:rPr>
          <w:rFonts w:ascii="Verdana" w:eastAsia="Calibri" w:hAnsi="Verdana" w:cs="Arial"/>
          <w:b/>
          <w:bCs/>
          <w:lang w:val="es-ES" w:eastAsia="es-ES"/>
        </w:rPr>
      </w:pPr>
      <w:r w:rsidRPr="008D5D4A">
        <w:rPr>
          <w:rFonts w:ascii="Verdana" w:eastAsia="Calibri" w:hAnsi="Verdana" w:cs="Arial"/>
          <w:b/>
          <w:bCs/>
          <w:lang w:val="es-ES" w:eastAsia="es-ES"/>
        </w:rPr>
        <w:t>FORMATO 3 – Subsanabilidad – Circunstancias – Anterioridad al cierre</w:t>
      </w:r>
    </w:p>
    <w:p w14:paraId="0EDEB28D" w14:textId="77777777" w:rsidR="00E055FF" w:rsidRDefault="00E055FF" w:rsidP="008D5D4A">
      <w:pPr>
        <w:widowControl w:val="0"/>
        <w:autoSpaceDE w:val="0"/>
        <w:autoSpaceDN w:val="0"/>
        <w:spacing w:after="0"/>
        <w:ind w:right="102"/>
        <w:jc w:val="both"/>
        <w:rPr>
          <w:rFonts w:ascii="Verdana" w:hAnsi="Verdana" w:cs="Arial"/>
          <w:noProof/>
          <w:lang w:val="es-ES_tradnl"/>
        </w:rPr>
      </w:pPr>
    </w:p>
    <w:p w14:paraId="21E6BE0C" w14:textId="63936CEB" w:rsidR="00E055FF" w:rsidRDefault="00E055FF" w:rsidP="00E055FF">
      <w:pPr>
        <w:widowControl w:val="0"/>
        <w:autoSpaceDE w:val="0"/>
        <w:autoSpaceDN w:val="0"/>
        <w:ind w:right="102"/>
        <w:jc w:val="both"/>
        <w:rPr>
          <w:rFonts w:ascii="Verdana" w:hAnsi="Verdana" w:cs="Arial"/>
          <w:noProof/>
          <w:lang w:val="es-ES_tradnl"/>
        </w:rPr>
      </w:pPr>
      <w:r>
        <w:rPr>
          <w:rFonts w:ascii="Verdana" w:hAnsi="Verdana" w:cs="Arial"/>
          <w:noProof/>
          <w:lang w:val="es-ES_tradnl"/>
        </w:rPr>
        <w:t xml:space="preserve">(…) </w:t>
      </w:r>
      <w:r w:rsidR="00637080" w:rsidRPr="00C00991">
        <w:rPr>
          <w:rFonts w:ascii="Verdana" w:hAnsi="Verdana" w:cs="Arial"/>
          <w:noProof/>
          <w:lang w:val="es-ES_tradnl"/>
        </w:rPr>
        <w:t xml:space="preserve">aun cuando se haya presentado indebidamente diligenciado, se haya </w:t>
      </w:r>
      <w:r w:rsidR="00637080" w:rsidRPr="00C00991">
        <w:rPr>
          <w:rFonts w:ascii="Verdana" w:hAnsi="Verdana" w:cs="Arial"/>
          <w:noProof/>
          <w:lang w:val="es-ES_tradnl"/>
        </w:rPr>
        <w:lastRenderedPageBreak/>
        <w:t xml:space="preserve">incluido un contrato que no cumple con lo exigido, o no se haya presentado el “Formato 3 – Experiencia”, ninguna de estas causas será un motivo para rechazar los proponentes. </w:t>
      </w:r>
    </w:p>
    <w:p w14:paraId="16AA2C5F" w14:textId="1D751120" w:rsidR="00637080" w:rsidRPr="00C00991" w:rsidRDefault="00637080" w:rsidP="008D5D4A">
      <w:pPr>
        <w:widowControl w:val="0"/>
        <w:autoSpaceDE w:val="0"/>
        <w:autoSpaceDN w:val="0"/>
        <w:ind w:right="102"/>
        <w:jc w:val="both"/>
        <w:rPr>
          <w:rFonts w:ascii="Verdana" w:hAnsi="Verdana" w:cs="Arial"/>
          <w:noProof/>
          <w:lang w:val="es-ES_tradnl"/>
        </w:rPr>
      </w:pPr>
      <w:r>
        <w:rPr>
          <w:rFonts w:ascii="Verdana" w:hAnsi="Verdana" w:cs="Arial"/>
          <w:noProof/>
          <w:lang w:val="es-ES_tradnl"/>
        </w:rPr>
        <w:t xml:space="preserve">Esto, considerando que, </w:t>
      </w:r>
      <w:r w:rsidRPr="00C00991">
        <w:rPr>
          <w:rFonts w:ascii="Verdana" w:hAnsi="Verdana" w:cs="Arial"/>
          <w:noProof/>
          <w:lang w:val="es-ES_tradnl"/>
        </w:rPr>
        <w:t xml:space="preserve">de acuerdo con el artículo 6 de la Ley 1150 de 2007, el registro único de proponentes será plena prueba de la información relacionada con la experiencia del oferente. Por lo tanto, si el oferente aporta el RUP con la información relacionada con la experiencia, o aporta la experiencia de los contratos que tiene a su nombre, deberá acreditar este requisito en el procedimiento de selección, a pesar de no aportar o diligenciar </w:t>
      </w:r>
      <w:r>
        <w:rPr>
          <w:rFonts w:ascii="Verdana" w:hAnsi="Verdana" w:cs="Arial"/>
          <w:noProof/>
          <w:lang w:val="es-ES_tradnl"/>
        </w:rPr>
        <w:t xml:space="preserve">o haber incluido un contrato </w:t>
      </w:r>
      <w:r w:rsidRPr="00C00991">
        <w:rPr>
          <w:rFonts w:ascii="Verdana" w:hAnsi="Verdana" w:cs="Arial"/>
          <w:noProof/>
          <w:lang w:val="es-ES_tradnl"/>
        </w:rPr>
        <w:t xml:space="preserve">en el </w:t>
      </w:r>
      <w:r>
        <w:rPr>
          <w:rFonts w:ascii="Verdana" w:hAnsi="Verdana" w:cs="Arial"/>
          <w:noProof/>
          <w:lang w:val="es-ES_tradnl"/>
        </w:rPr>
        <w:t>“</w:t>
      </w:r>
      <w:r w:rsidRPr="00C00991">
        <w:rPr>
          <w:rFonts w:ascii="Verdana" w:hAnsi="Verdana" w:cs="Arial"/>
          <w:noProof/>
          <w:lang w:val="es-ES_tradnl"/>
        </w:rPr>
        <w:t xml:space="preserve">Formato 3 </w:t>
      </w:r>
      <w:r>
        <w:rPr>
          <w:rFonts w:ascii="Verdana" w:hAnsi="Verdana" w:cs="Arial"/>
          <w:noProof/>
          <w:lang w:val="es-ES_tradnl"/>
        </w:rPr>
        <w:t>–</w:t>
      </w:r>
      <w:r w:rsidRPr="00C00991">
        <w:rPr>
          <w:rFonts w:ascii="Verdana" w:hAnsi="Verdana" w:cs="Arial"/>
          <w:noProof/>
          <w:lang w:val="es-ES_tradnl"/>
        </w:rPr>
        <w:t xml:space="preserve"> Experiencia</w:t>
      </w:r>
      <w:r>
        <w:rPr>
          <w:rFonts w:ascii="Verdana" w:hAnsi="Verdana" w:cs="Arial"/>
          <w:noProof/>
          <w:lang w:val="es-ES_tradnl"/>
        </w:rPr>
        <w:t>”</w:t>
      </w:r>
      <w:r w:rsidRPr="00C00991">
        <w:rPr>
          <w:rFonts w:ascii="Verdana" w:hAnsi="Verdana" w:cs="Arial"/>
          <w:noProof/>
          <w:lang w:val="es-ES_tradnl"/>
        </w:rPr>
        <w:t xml:space="preserve"> que no cumple lo exigido.  Por lo tanto, el </w:t>
      </w:r>
      <w:r>
        <w:rPr>
          <w:rFonts w:ascii="Verdana" w:hAnsi="Verdana" w:cs="Arial"/>
          <w:noProof/>
          <w:lang w:val="es-ES_tradnl"/>
        </w:rPr>
        <w:t>“</w:t>
      </w:r>
      <w:r w:rsidRPr="00C00991">
        <w:rPr>
          <w:rFonts w:ascii="Verdana" w:hAnsi="Verdana" w:cs="Arial"/>
          <w:noProof/>
          <w:lang w:val="es-ES_tradnl"/>
        </w:rPr>
        <w:t xml:space="preserve">Formato 3 </w:t>
      </w:r>
      <w:r>
        <w:rPr>
          <w:rFonts w:ascii="Verdana" w:hAnsi="Verdana" w:cs="Arial"/>
          <w:noProof/>
          <w:lang w:val="es-ES_tradnl"/>
        </w:rPr>
        <w:t>–</w:t>
      </w:r>
      <w:r w:rsidRPr="00C00991">
        <w:rPr>
          <w:rFonts w:ascii="Verdana" w:hAnsi="Verdana" w:cs="Arial"/>
          <w:noProof/>
          <w:lang w:val="es-ES_tradnl"/>
        </w:rPr>
        <w:t xml:space="preserve"> Experiencia</w:t>
      </w:r>
      <w:r>
        <w:rPr>
          <w:rFonts w:ascii="Verdana" w:hAnsi="Verdana" w:cs="Arial"/>
          <w:noProof/>
          <w:lang w:val="es-ES_tradnl"/>
        </w:rPr>
        <w:t>”</w:t>
      </w:r>
      <w:r w:rsidRPr="00C00991">
        <w:rPr>
          <w:rFonts w:ascii="Verdana" w:hAnsi="Verdana" w:cs="Arial"/>
          <w:noProof/>
          <w:lang w:val="es-ES_tradnl"/>
        </w:rPr>
        <w:t xml:space="preserve"> consolida la experiencia aportada, pero no acredita la experiencia del proponente.</w:t>
      </w:r>
    </w:p>
    <w:p w14:paraId="19750025" w14:textId="77777777" w:rsidR="00637080" w:rsidRPr="006558FF" w:rsidRDefault="00637080" w:rsidP="008D5D4A">
      <w:pPr>
        <w:widowControl w:val="0"/>
        <w:autoSpaceDE w:val="0"/>
        <w:autoSpaceDN w:val="0"/>
        <w:ind w:right="102"/>
        <w:jc w:val="both"/>
        <w:rPr>
          <w:rFonts w:ascii="Verdana" w:hAnsi="Verdana" w:cs="Arial"/>
          <w:noProof/>
          <w:lang w:val="es-ES_tradnl"/>
        </w:rPr>
      </w:pPr>
      <w:r>
        <w:rPr>
          <w:rFonts w:ascii="Verdana" w:hAnsi="Verdana" w:cs="Arial"/>
          <w:noProof/>
          <w:lang w:val="es-ES_tradnl"/>
        </w:rPr>
        <w:t>P</w:t>
      </w:r>
      <w:r w:rsidRPr="00C00991">
        <w:rPr>
          <w:rFonts w:ascii="Verdana" w:hAnsi="Verdana" w:cs="Arial"/>
          <w:noProof/>
          <w:lang w:val="es-ES_tradnl"/>
        </w:rPr>
        <w:t xml:space="preserve">or tratarse de un requisito de verificación que no otorga puntaje, debe tenerse en cuenta que si el proponente desea acreditar otro contrato no incluido en el </w:t>
      </w:r>
      <w:r>
        <w:rPr>
          <w:rFonts w:ascii="Verdana" w:hAnsi="Verdana" w:cs="Arial"/>
          <w:noProof/>
          <w:lang w:val="es-ES_tradnl"/>
        </w:rPr>
        <w:t>“</w:t>
      </w:r>
      <w:r w:rsidRPr="00C00991">
        <w:rPr>
          <w:rFonts w:ascii="Verdana" w:hAnsi="Verdana" w:cs="Arial"/>
          <w:noProof/>
          <w:lang w:val="es-ES_tradnl"/>
        </w:rPr>
        <w:t xml:space="preserve">Formato 3 </w:t>
      </w:r>
      <w:r>
        <w:rPr>
          <w:rFonts w:ascii="Verdana" w:hAnsi="Verdana" w:cs="Arial"/>
          <w:noProof/>
          <w:lang w:val="es-ES_tradnl"/>
        </w:rPr>
        <w:t>–</w:t>
      </w:r>
      <w:r w:rsidRPr="00C00991">
        <w:rPr>
          <w:rFonts w:ascii="Verdana" w:hAnsi="Verdana" w:cs="Arial"/>
          <w:noProof/>
          <w:lang w:val="es-ES_tradnl"/>
        </w:rPr>
        <w:t xml:space="preserve"> Experiencia</w:t>
      </w:r>
      <w:r>
        <w:rPr>
          <w:rFonts w:ascii="Verdana" w:hAnsi="Verdana" w:cs="Arial"/>
          <w:noProof/>
          <w:lang w:val="es-ES_tradnl"/>
        </w:rPr>
        <w:t>”</w:t>
      </w:r>
      <w:r w:rsidRPr="00C00991">
        <w:rPr>
          <w:rFonts w:ascii="Verdana" w:hAnsi="Verdana" w:cs="Arial"/>
          <w:noProof/>
          <w:lang w:val="es-ES_tradnl"/>
        </w:rPr>
        <w:t xml:space="preserve">, podrá incluirlo en este documento siempre y cuando se encuentre registrado en el RUP antes de la presentación de la oferta. Esto en la medida que –de conformidad con lo señalado por el parágrafo 1 del artículo 5 de la Ley 1150 de 2007– </w:t>
      </w:r>
      <w:r>
        <w:rPr>
          <w:rFonts w:ascii="Verdana" w:hAnsi="Verdana" w:cs="Arial"/>
          <w:noProof/>
          <w:lang w:val="es-ES_tradnl"/>
        </w:rPr>
        <w:t>“</w:t>
      </w:r>
      <w:r w:rsidRPr="00C00991">
        <w:rPr>
          <w:rFonts w:ascii="Verdana" w:hAnsi="Verdana" w:cs="Arial"/>
          <w:noProof/>
          <w:lang w:val="es-ES_tradnl"/>
        </w:rPr>
        <w:t>[…] los proponentes no podrán acreditar circunstancias ocurridas con posterioridad al cierre del proceso […]</w:t>
      </w:r>
      <w:r>
        <w:rPr>
          <w:rFonts w:ascii="Verdana" w:hAnsi="Verdana" w:cs="Arial"/>
          <w:noProof/>
          <w:lang w:val="es-ES_tradnl"/>
        </w:rPr>
        <w:t>”.</w:t>
      </w:r>
    </w:p>
    <w:p w14:paraId="5E590985" w14:textId="389357CB" w:rsidR="001742EF" w:rsidRDefault="001742EF">
      <w:pPr>
        <w:rPr>
          <w:rFonts w:ascii="Verdana" w:hAnsi="Verdana"/>
          <w:lang w:val="es-ES_tradnl"/>
        </w:rPr>
      </w:pPr>
    </w:p>
    <w:p w14:paraId="2CF1B72A" w14:textId="77777777" w:rsidR="00E055FF" w:rsidRDefault="00E055FF">
      <w:pPr>
        <w:rPr>
          <w:rFonts w:ascii="Verdana" w:hAnsi="Verdana"/>
          <w:lang w:val="es-ES_tradnl"/>
        </w:rPr>
      </w:pPr>
    </w:p>
    <w:p w14:paraId="468C5551" w14:textId="77777777" w:rsidR="001D2B21" w:rsidRDefault="001D2B21">
      <w:pPr>
        <w:rPr>
          <w:rFonts w:ascii="Verdana" w:hAnsi="Verdana"/>
          <w:lang w:val="es-ES_tradnl"/>
        </w:rPr>
      </w:pPr>
    </w:p>
    <w:p w14:paraId="119794AA" w14:textId="77777777" w:rsidR="001D2B21" w:rsidRDefault="001D2B21">
      <w:pPr>
        <w:rPr>
          <w:rFonts w:ascii="Verdana" w:hAnsi="Verdana"/>
          <w:lang w:val="es-ES_tradnl"/>
        </w:rPr>
      </w:pPr>
    </w:p>
    <w:p w14:paraId="4805EFAA" w14:textId="77777777" w:rsidR="001D2B21" w:rsidRDefault="001D2B21">
      <w:pPr>
        <w:rPr>
          <w:rFonts w:ascii="Verdana" w:hAnsi="Verdana"/>
          <w:lang w:val="es-ES_tradnl"/>
        </w:rPr>
      </w:pPr>
    </w:p>
    <w:p w14:paraId="6988B5B7" w14:textId="77777777" w:rsidR="001D2B21" w:rsidRDefault="001D2B21">
      <w:pPr>
        <w:rPr>
          <w:rFonts w:ascii="Verdana" w:hAnsi="Verdana"/>
          <w:lang w:val="es-ES_tradnl"/>
        </w:rPr>
      </w:pPr>
    </w:p>
    <w:p w14:paraId="4A99897E" w14:textId="77777777" w:rsidR="001D2B21" w:rsidRDefault="001D2B21">
      <w:pPr>
        <w:rPr>
          <w:rFonts w:ascii="Verdana" w:hAnsi="Verdana"/>
          <w:lang w:val="es-ES_tradnl"/>
        </w:rPr>
      </w:pPr>
    </w:p>
    <w:p w14:paraId="4EB19D9F" w14:textId="77777777" w:rsidR="001D2B21" w:rsidRDefault="001D2B21">
      <w:pPr>
        <w:rPr>
          <w:rFonts w:ascii="Verdana" w:hAnsi="Verdana"/>
          <w:lang w:val="es-ES_tradnl"/>
        </w:rPr>
      </w:pPr>
    </w:p>
    <w:p w14:paraId="76E97EF5" w14:textId="77777777" w:rsidR="001D2B21" w:rsidRDefault="001D2B21">
      <w:pPr>
        <w:rPr>
          <w:rFonts w:ascii="Verdana" w:hAnsi="Verdana"/>
          <w:lang w:val="es-ES_tradnl"/>
        </w:rPr>
      </w:pPr>
    </w:p>
    <w:p w14:paraId="1F5A63FC" w14:textId="77777777" w:rsidR="001D2B21" w:rsidRDefault="001D2B21">
      <w:pPr>
        <w:rPr>
          <w:rFonts w:ascii="Verdana" w:hAnsi="Verdana"/>
          <w:lang w:val="es-ES_tradnl"/>
        </w:rPr>
      </w:pPr>
    </w:p>
    <w:p w14:paraId="71BE8A2A" w14:textId="77777777" w:rsidR="00E055FF" w:rsidRPr="008D5D4A" w:rsidRDefault="00E055FF">
      <w:pPr>
        <w:rPr>
          <w:rFonts w:ascii="Verdana" w:hAnsi="Verdana"/>
          <w:lang w:val="es-ES_tradnl"/>
        </w:rPr>
      </w:pPr>
    </w:p>
    <w:p w14:paraId="5FCADBF9" w14:textId="28E92305" w:rsidR="00E245AB" w:rsidRDefault="00B40949" w:rsidP="008D5D4A">
      <w:pPr>
        <w:spacing w:after="0"/>
        <w:rPr>
          <w:rFonts w:ascii="Verdana" w:hAnsi="Verdana"/>
        </w:rPr>
      </w:pPr>
      <w:r w:rsidRPr="00B40949">
        <w:rPr>
          <w:rFonts w:ascii="Verdana" w:hAnsi="Verdana"/>
        </w:rPr>
        <w:lastRenderedPageBreak/>
        <w:drawing>
          <wp:anchor distT="0" distB="0" distL="114300" distR="114300" simplePos="0" relativeHeight="251658240" behindDoc="0" locked="0" layoutInCell="1" allowOverlap="1" wp14:anchorId="20F00F5E" wp14:editId="589D15AC">
            <wp:simplePos x="0" y="0"/>
            <wp:positionH relativeFrom="column">
              <wp:posOffset>2681922</wp:posOffset>
            </wp:positionH>
            <wp:positionV relativeFrom="paragraph">
              <wp:posOffset>-169863</wp:posOffset>
            </wp:positionV>
            <wp:extent cx="3343299" cy="1066808"/>
            <wp:effectExtent l="0" t="0" r="0" b="0"/>
            <wp:wrapNone/>
            <wp:docPr id="126138601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386019"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3343299" cy="1066808"/>
                    </a:xfrm>
                    <a:prstGeom prst="rect">
                      <a:avLst/>
                    </a:prstGeom>
                  </pic:spPr>
                </pic:pic>
              </a:graphicData>
            </a:graphic>
            <wp14:sizeRelH relativeFrom="page">
              <wp14:pctWidth>0</wp14:pctWidth>
            </wp14:sizeRelH>
            <wp14:sizeRelV relativeFrom="page">
              <wp14:pctHeight>0</wp14:pctHeight>
            </wp14:sizeRelV>
          </wp:anchor>
        </w:drawing>
      </w:r>
      <w:r w:rsidR="008D5D4A" w:rsidRPr="0044528D">
        <w:rPr>
          <w:rFonts w:ascii="Verdana" w:hAnsi="Verdana"/>
        </w:rPr>
        <w:t xml:space="preserve">Bogotá D.C., </w:t>
      </w:r>
      <w:r>
        <w:rPr>
          <w:rFonts w:ascii="Verdana" w:hAnsi="Verdana"/>
        </w:rPr>
        <w:t>7 de marzo de 2025</w:t>
      </w:r>
    </w:p>
    <w:p w14:paraId="1547252C" w14:textId="76D708D6" w:rsidR="00B40949" w:rsidRDefault="00B40949" w:rsidP="008D5D4A">
      <w:pPr>
        <w:spacing w:after="0"/>
        <w:rPr>
          <w:rFonts w:ascii="Verdana" w:hAnsi="Verdana"/>
        </w:rPr>
      </w:pPr>
    </w:p>
    <w:p w14:paraId="25D71C60" w14:textId="4B26C1E4" w:rsidR="00B40949" w:rsidRDefault="00B40949" w:rsidP="008D5D4A">
      <w:pPr>
        <w:spacing w:after="0"/>
        <w:rPr>
          <w:rFonts w:ascii="Verdana" w:hAnsi="Verdana"/>
        </w:rPr>
      </w:pPr>
    </w:p>
    <w:p w14:paraId="750C3D09" w14:textId="77777777" w:rsidR="008D5D4A" w:rsidRDefault="008D5D4A" w:rsidP="008D5D4A">
      <w:pPr>
        <w:spacing w:after="0"/>
        <w:rPr>
          <w:rFonts w:ascii="Verdana" w:hAnsi="Verdana"/>
        </w:rPr>
      </w:pPr>
    </w:p>
    <w:p w14:paraId="04614C63" w14:textId="77777777" w:rsidR="00893811" w:rsidRDefault="007F4029" w:rsidP="00893811">
      <w:pPr>
        <w:spacing w:after="0" w:line="240" w:lineRule="auto"/>
        <w:jc w:val="both"/>
        <w:rPr>
          <w:rFonts w:ascii="Verdana" w:eastAsia="Calibri" w:hAnsi="Verdana" w:cs="Arial"/>
          <w:lang w:val="es-ES" w:eastAsia="es-ES"/>
        </w:rPr>
      </w:pPr>
      <w:r w:rsidRPr="0063746A">
        <w:rPr>
          <w:rFonts w:ascii="Verdana" w:eastAsia="Calibri" w:hAnsi="Verdana" w:cs="Arial"/>
          <w:lang w:val="es-ES" w:eastAsia="es-ES"/>
        </w:rPr>
        <w:t>Señor</w:t>
      </w:r>
    </w:p>
    <w:p w14:paraId="0A69757F" w14:textId="152AB8AB" w:rsidR="007F4029" w:rsidRPr="00893811" w:rsidRDefault="00893811" w:rsidP="00893811">
      <w:pPr>
        <w:spacing w:after="0" w:line="240" w:lineRule="auto"/>
        <w:jc w:val="both"/>
        <w:rPr>
          <w:rFonts w:ascii="Verdana" w:eastAsia="Calibri" w:hAnsi="Verdana" w:cs="Arial"/>
          <w:b/>
          <w:bCs/>
          <w:lang w:val="es-ES" w:eastAsia="es-ES"/>
        </w:rPr>
      </w:pPr>
      <w:r w:rsidRPr="00893811">
        <w:rPr>
          <w:rFonts w:ascii="Verdana" w:eastAsia="Calibri" w:hAnsi="Verdana" w:cs="Arial"/>
          <w:b/>
          <w:bCs/>
          <w:lang w:val="es-ES" w:eastAsia="es-ES"/>
        </w:rPr>
        <w:t xml:space="preserve">Hugo Mauricio Navarro Ramírez </w:t>
      </w:r>
      <w:r w:rsidRPr="00893811">
        <w:rPr>
          <w:rFonts w:ascii="Verdana" w:eastAsia="Calibri" w:hAnsi="Verdana" w:cs="Arial"/>
          <w:b/>
          <w:bCs/>
          <w:lang w:val="es-ES_tradnl" w:eastAsia="es-ES_tradnl"/>
        </w:rPr>
        <w:t xml:space="preserve"> </w:t>
      </w:r>
    </w:p>
    <w:p w14:paraId="0ACD2E4E" w14:textId="0EEB7E34" w:rsidR="007F4029" w:rsidRPr="0063746A" w:rsidRDefault="00893811" w:rsidP="007F4029">
      <w:pPr>
        <w:spacing w:after="0" w:line="240" w:lineRule="auto"/>
        <w:rPr>
          <w:rFonts w:ascii="Verdana" w:eastAsia="Calibri" w:hAnsi="Verdana" w:cs="Arial"/>
          <w:b/>
          <w:bCs/>
          <w:lang w:val="es-ES" w:eastAsia="es-ES"/>
        </w:rPr>
      </w:pPr>
      <w:r>
        <w:rPr>
          <w:rFonts w:ascii="Verdana" w:eastAsia="Calibri" w:hAnsi="Verdana" w:cs="Arial"/>
          <w:lang w:val="es-ES" w:eastAsia="es-ES"/>
        </w:rPr>
        <w:t>Ocaña, Norte de Santander</w:t>
      </w:r>
    </w:p>
    <w:p w14:paraId="7C761D68" w14:textId="77777777" w:rsidR="007F4029" w:rsidRPr="0063746A" w:rsidRDefault="007F4029" w:rsidP="007F4029">
      <w:pPr>
        <w:spacing w:after="0" w:line="240" w:lineRule="auto"/>
        <w:rPr>
          <w:rFonts w:ascii="Verdana" w:eastAsia="Calibri" w:hAnsi="Verdana" w:cs="Arial"/>
          <w:b/>
          <w:bCs/>
          <w:lang w:val="es-ES_tradnl" w:eastAsia="es-ES_tradnl"/>
        </w:rPr>
      </w:pPr>
    </w:p>
    <w:p w14:paraId="5A530C07" w14:textId="77777777" w:rsidR="007F4029" w:rsidRPr="0063746A" w:rsidRDefault="007F4029" w:rsidP="007F4029">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521"/>
      </w:tblGrid>
      <w:tr w:rsidR="007F4029" w:rsidRPr="0063746A" w14:paraId="46CBC67B" w14:textId="77777777" w:rsidTr="008D5D4A">
        <w:trPr>
          <w:trHeight w:val="243"/>
        </w:trPr>
        <w:tc>
          <w:tcPr>
            <w:tcW w:w="2268" w:type="dxa"/>
          </w:tcPr>
          <w:p w14:paraId="3F013C17" w14:textId="77777777" w:rsidR="007F4029" w:rsidRPr="0063746A" w:rsidRDefault="007F4029" w:rsidP="00576AAE">
            <w:pPr>
              <w:jc w:val="both"/>
              <w:rPr>
                <w:rFonts w:ascii="Verdana" w:eastAsia="Calibri" w:hAnsi="Verdana" w:cs="Arial"/>
                <w:b/>
                <w:bCs/>
                <w:lang w:val="es-ES_tradnl" w:eastAsia="es-ES_tradnl"/>
              </w:rPr>
            </w:pPr>
          </w:p>
        </w:tc>
        <w:tc>
          <w:tcPr>
            <w:tcW w:w="6521" w:type="dxa"/>
          </w:tcPr>
          <w:p w14:paraId="2D6B0623" w14:textId="7292A44C" w:rsidR="007F4029" w:rsidRPr="0063746A" w:rsidRDefault="007F4029" w:rsidP="00576AAE">
            <w:pPr>
              <w:jc w:val="both"/>
              <w:rPr>
                <w:rFonts w:ascii="Verdana" w:eastAsia="Calibri" w:hAnsi="Verdana" w:cs="Arial"/>
                <w:b/>
                <w:bCs/>
                <w:lang w:val="es-ES" w:eastAsia="es-ES"/>
              </w:rPr>
            </w:pPr>
            <w:r w:rsidRPr="0063746A">
              <w:rPr>
                <w:rFonts w:ascii="Verdana" w:eastAsia="Calibri" w:hAnsi="Verdana" w:cs="Arial"/>
                <w:b/>
                <w:bCs/>
                <w:lang w:val="es-ES" w:eastAsia="es-ES"/>
              </w:rPr>
              <w:t xml:space="preserve">Concepto C- </w:t>
            </w:r>
            <w:r w:rsidR="0099708A">
              <w:rPr>
                <w:rFonts w:ascii="Verdana" w:eastAsia="Calibri" w:hAnsi="Verdana" w:cs="Arial"/>
                <w:b/>
                <w:bCs/>
                <w:lang w:val="es-ES" w:eastAsia="es-ES"/>
              </w:rPr>
              <w:t>120</w:t>
            </w:r>
            <w:r w:rsidRPr="0063746A">
              <w:rPr>
                <w:rFonts w:ascii="Verdana" w:eastAsia="Calibri" w:hAnsi="Verdana" w:cs="Arial"/>
                <w:b/>
                <w:bCs/>
                <w:lang w:val="es-ES" w:eastAsia="es-ES"/>
              </w:rPr>
              <w:t xml:space="preserve"> de 202</w:t>
            </w:r>
            <w:r w:rsidR="00893811">
              <w:rPr>
                <w:rFonts w:ascii="Verdana" w:eastAsia="Calibri" w:hAnsi="Verdana" w:cs="Arial"/>
                <w:b/>
                <w:bCs/>
                <w:lang w:val="es-ES" w:eastAsia="es-ES"/>
              </w:rPr>
              <w:t>5</w:t>
            </w:r>
          </w:p>
          <w:p w14:paraId="7DD74700" w14:textId="77777777" w:rsidR="007F4029" w:rsidRPr="0063746A" w:rsidRDefault="007F4029" w:rsidP="00576AAE">
            <w:pPr>
              <w:jc w:val="both"/>
              <w:rPr>
                <w:rFonts w:ascii="Verdana" w:eastAsia="Calibri" w:hAnsi="Verdana" w:cs="Arial"/>
                <w:b/>
                <w:bCs/>
                <w:lang w:val="es-ES" w:eastAsia="es-ES"/>
              </w:rPr>
            </w:pPr>
          </w:p>
        </w:tc>
      </w:tr>
      <w:tr w:rsidR="007F4029" w:rsidRPr="0063746A" w14:paraId="2A621FE8" w14:textId="77777777" w:rsidTr="008D5D4A">
        <w:trPr>
          <w:trHeight w:val="884"/>
        </w:trPr>
        <w:tc>
          <w:tcPr>
            <w:tcW w:w="2268" w:type="dxa"/>
          </w:tcPr>
          <w:p w14:paraId="128A43B7" w14:textId="77777777" w:rsidR="007F4029" w:rsidRPr="0063746A" w:rsidRDefault="007F4029" w:rsidP="00576AAE">
            <w:pPr>
              <w:jc w:val="both"/>
              <w:rPr>
                <w:rFonts w:ascii="Verdana" w:eastAsia="Calibri" w:hAnsi="Verdana" w:cs="Arial"/>
                <w:lang w:val="es-ES_tradnl" w:eastAsia="es-ES_tradnl"/>
              </w:rPr>
            </w:pPr>
            <w:r w:rsidRPr="0063746A">
              <w:rPr>
                <w:rFonts w:ascii="Verdana" w:eastAsia="Calibri" w:hAnsi="Verdana" w:cs="Arial"/>
                <w:b/>
                <w:lang w:val="es-ES_tradnl" w:eastAsia="es-ES_tradnl"/>
              </w:rPr>
              <w:t>Temas:</w:t>
            </w:r>
            <w:r w:rsidRPr="0063746A">
              <w:rPr>
                <w:rFonts w:ascii="Verdana" w:eastAsia="Calibri" w:hAnsi="Verdana" w:cs="Arial"/>
                <w:lang w:val="es-ES_tradnl" w:eastAsia="es-ES_tradnl"/>
              </w:rPr>
              <w:t xml:space="preserve">                   </w:t>
            </w:r>
          </w:p>
        </w:tc>
        <w:tc>
          <w:tcPr>
            <w:tcW w:w="6521" w:type="dxa"/>
          </w:tcPr>
          <w:p w14:paraId="5D546D97" w14:textId="2289BF6C" w:rsidR="007F4029" w:rsidRPr="0099708A" w:rsidRDefault="007F4029" w:rsidP="0099708A">
            <w:pPr>
              <w:jc w:val="both"/>
              <w:rPr>
                <w:rFonts w:ascii="Verdana" w:eastAsia="Calibri" w:hAnsi="Verdana" w:cs="Arial"/>
                <w:lang w:val="es-ES" w:eastAsia="es-ES"/>
              </w:rPr>
            </w:pPr>
            <w:r w:rsidRPr="0063746A">
              <w:rPr>
                <w:rFonts w:ascii="Verdana" w:eastAsia="Calibri" w:hAnsi="Verdana" w:cs="Arial"/>
                <w:lang w:val="es-ES" w:eastAsia="es-ES"/>
              </w:rPr>
              <w:t>SUBSANABILIDAD –</w:t>
            </w:r>
            <w:r w:rsidR="00BF72DF">
              <w:rPr>
                <w:rFonts w:ascii="Verdana" w:eastAsia="Calibri" w:hAnsi="Verdana" w:cs="Arial"/>
                <w:lang w:val="es-ES" w:eastAsia="es-ES"/>
              </w:rPr>
              <w:t xml:space="preserve"> </w:t>
            </w:r>
            <w:r w:rsidRPr="0063746A">
              <w:rPr>
                <w:rFonts w:ascii="Verdana" w:eastAsia="Calibri" w:hAnsi="Verdana" w:cs="Arial"/>
                <w:lang w:val="es-ES" w:eastAsia="es-ES"/>
              </w:rPr>
              <w:t xml:space="preserve">Aplicación – </w:t>
            </w:r>
            <w:r w:rsidR="00D02612">
              <w:rPr>
                <w:rFonts w:ascii="Verdana" w:eastAsia="Calibri" w:hAnsi="Verdana" w:cs="Arial"/>
                <w:lang w:val="es-ES" w:eastAsia="es-ES"/>
              </w:rPr>
              <w:t>R</w:t>
            </w:r>
            <w:r w:rsidR="00D02612" w:rsidRPr="008D5D4A">
              <w:rPr>
                <w:rFonts w:ascii="Verdana" w:eastAsia="Calibri" w:hAnsi="Verdana" w:cs="Arial"/>
                <w:lang w:val="es-ES" w:eastAsia="es-ES"/>
              </w:rPr>
              <w:t>egla general</w:t>
            </w:r>
            <w:r w:rsidRPr="0063746A">
              <w:rPr>
                <w:rFonts w:ascii="Verdana" w:eastAsia="Calibri" w:hAnsi="Verdana" w:cs="Arial"/>
                <w:lang w:val="es-ES" w:eastAsia="es-ES"/>
              </w:rPr>
              <w:t xml:space="preserve"> –</w:t>
            </w:r>
            <w:r w:rsidR="00D02612">
              <w:rPr>
                <w:rFonts w:ascii="Verdana" w:eastAsia="Calibri" w:hAnsi="Verdana" w:cs="Arial"/>
                <w:lang w:val="es-ES" w:eastAsia="es-ES"/>
              </w:rPr>
              <w:t xml:space="preserve"> Excepciones / </w:t>
            </w:r>
            <w:r w:rsidR="00D02612" w:rsidRPr="0063746A">
              <w:rPr>
                <w:rFonts w:ascii="Verdana" w:eastAsia="Calibri" w:hAnsi="Verdana" w:cs="Arial"/>
                <w:lang w:val="es-ES" w:eastAsia="es-ES"/>
              </w:rPr>
              <w:t>SUBSANABILIDAD –</w:t>
            </w:r>
            <w:r w:rsidRPr="0063746A">
              <w:rPr>
                <w:rFonts w:ascii="Verdana" w:eastAsia="Calibri" w:hAnsi="Verdana" w:cs="Arial"/>
                <w:lang w:val="es-ES" w:eastAsia="es-ES"/>
              </w:rPr>
              <w:t xml:space="preserve"> Circunstancias posteriores – Cierre del proceso- Ley 1882 de 2018 / </w:t>
            </w:r>
            <w:r w:rsidR="0099708A" w:rsidRPr="008D5D4A">
              <w:rPr>
                <w:rFonts w:ascii="Verdana" w:eastAsia="Calibri" w:hAnsi="Verdana" w:cs="Arial"/>
                <w:lang w:val="es-ES" w:eastAsia="es-ES"/>
              </w:rPr>
              <w:t>DOCUMENTOS TIPO – EXPERIENCIA – Acreditación – Formato 3 – Finalidad / FORMATO 3 – Subsanabilidad – Circunstancias – Anterioridad al cierre</w:t>
            </w:r>
          </w:p>
          <w:p w14:paraId="0AFD16D8" w14:textId="77777777" w:rsidR="007F4029" w:rsidRPr="0063746A" w:rsidRDefault="007F4029" w:rsidP="0099708A">
            <w:pPr>
              <w:jc w:val="both"/>
              <w:rPr>
                <w:rFonts w:ascii="Verdana" w:eastAsia="Calibri" w:hAnsi="Verdana" w:cs="Arial"/>
                <w:lang w:val="es-ES" w:eastAsia="es-ES"/>
              </w:rPr>
            </w:pPr>
          </w:p>
        </w:tc>
      </w:tr>
      <w:tr w:rsidR="007F4029" w:rsidRPr="0063746A" w14:paraId="01815685" w14:textId="77777777" w:rsidTr="008D5D4A">
        <w:trPr>
          <w:trHeight w:val="377"/>
        </w:trPr>
        <w:tc>
          <w:tcPr>
            <w:tcW w:w="2268" w:type="dxa"/>
          </w:tcPr>
          <w:p w14:paraId="116ECD0B" w14:textId="77777777" w:rsidR="007F4029" w:rsidRPr="0063746A" w:rsidRDefault="007F4029" w:rsidP="00576AAE">
            <w:pPr>
              <w:jc w:val="both"/>
              <w:rPr>
                <w:rFonts w:ascii="Verdana" w:eastAsia="Calibri" w:hAnsi="Verdana" w:cs="Arial"/>
                <w:b/>
                <w:lang w:val="es-ES_tradnl" w:eastAsia="es-ES_tradnl"/>
              </w:rPr>
            </w:pPr>
            <w:r w:rsidRPr="0063746A">
              <w:rPr>
                <w:rFonts w:ascii="Verdana" w:eastAsia="Calibri" w:hAnsi="Verdana" w:cs="Arial"/>
                <w:b/>
                <w:lang w:val="es-ES_tradnl" w:eastAsia="es-ES_tradnl"/>
              </w:rPr>
              <w:t>Radicación:</w:t>
            </w:r>
            <w:r w:rsidRPr="0063746A">
              <w:rPr>
                <w:rFonts w:ascii="Verdana" w:eastAsia="Calibri" w:hAnsi="Verdana" w:cs="Arial"/>
                <w:lang w:val="es-ES_tradnl" w:eastAsia="es-ES_tradnl"/>
              </w:rPr>
              <w:t xml:space="preserve">               </w:t>
            </w:r>
          </w:p>
        </w:tc>
        <w:tc>
          <w:tcPr>
            <w:tcW w:w="6521" w:type="dxa"/>
          </w:tcPr>
          <w:p w14:paraId="62BCD697" w14:textId="7A6CFBEB" w:rsidR="007F4029" w:rsidRPr="0063746A" w:rsidRDefault="007F4029" w:rsidP="00576AAE">
            <w:pPr>
              <w:jc w:val="both"/>
              <w:rPr>
                <w:rFonts w:ascii="Verdana" w:hAnsi="Verdana" w:cs="Calibri"/>
              </w:rPr>
            </w:pPr>
            <w:r w:rsidRPr="0063746A">
              <w:rPr>
                <w:rFonts w:ascii="Verdana" w:eastAsia="Calibri" w:hAnsi="Verdana" w:cs="Arial"/>
                <w:lang w:val="es-ES_tradnl" w:eastAsia="es-ES_tradnl"/>
              </w:rPr>
              <w:t xml:space="preserve">Respuesta a consulta con radicado No. </w:t>
            </w:r>
            <w:r w:rsidR="00893811" w:rsidRPr="00893811">
              <w:rPr>
                <w:rFonts w:ascii="Verdana" w:hAnsi="Verdana" w:cs="Calibri"/>
              </w:rPr>
              <w:t>P20250131000900</w:t>
            </w:r>
          </w:p>
        </w:tc>
      </w:tr>
    </w:tbl>
    <w:p w14:paraId="236C1B1E" w14:textId="77777777" w:rsidR="007F4029" w:rsidRPr="0063746A" w:rsidRDefault="007F4029" w:rsidP="007F4029">
      <w:pPr>
        <w:spacing w:after="0" w:line="276" w:lineRule="auto"/>
        <w:jc w:val="both"/>
        <w:rPr>
          <w:rFonts w:ascii="Verdana" w:eastAsia="Calibri" w:hAnsi="Verdana" w:cs="Arial"/>
          <w:lang w:val="es-ES_tradnl" w:eastAsia="es-ES_tradnl"/>
        </w:rPr>
      </w:pPr>
    </w:p>
    <w:p w14:paraId="0559233F" w14:textId="4D5EFC3A" w:rsidR="007F4029" w:rsidRPr="0063746A" w:rsidRDefault="007F4029" w:rsidP="007F4029">
      <w:pPr>
        <w:spacing w:after="0" w:line="276" w:lineRule="auto"/>
        <w:jc w:val="both"/>
        <w:rPr>
          <w:rFonts w:ascii="Verdana" w:eastAsia="Calibri" w:hAnsi="Verdana" w:cs="Arial"/>
          <w:lang w:val="es-ES" w:eastAsia="es-ES"/>
        </w:rPr>
      </w:pPr>
      <w:r w:rsidRPr="0063746A">
        <w:rPr>
          <w:rFonts w:ascii="Verdana" w:eastAsia="Calibri" w:hAnsi="Verdana" w:cs="Arial"/>
          <w:lang w:val="es-ES" w:eastAsia="es-ES"/>
        </w:rPr>
        <w:t xml:space="preserve">Estimado señor </w:t>
      </w:r>
      <w:r w:rsidR="00893811">
        <w:rPr>
          <w:rFonts w:ascii="Verdana" w:eastAsia="Calibri" w:hAnsi="Verdana" w:cs="Arial"/>
          <w:lang w:val="es-ES_tradnl" w:eastAsia="es-ES_tradnl"/>
        </w:rPr>
        <w:t>Navarro Ramírez</w:t>
      </w:r>
      <w:r w:rsidRPr="0063746A">
        <w:rPr>
          <w:rFonts w:ascii="Verdana" w:eastAsia="Calibri" w:hAnsi="Verdana" w:cs="Arial"/>
          <w:lang w:val="es-ES" w:eastAsia="es-ES"/>
        </w:rPr>
        <w:t xml:space="preserve">: </w:t>
      </w:r>
    </w:p>
    <w:p w14:paraId="47A9D717" w14:textId="77777777" w:rsidR="007F4029" w:rsidRPr="0063746A" w:rsidRDefault="007F4029" w:rsidP="007F4029">
      <w:pPr>
        <w:tabs>
          <w:tab w:val="left" w:pos="3768"/>
        </w:tabs>
        <w:spacing w:after="0" w:line="276" w:lineRule="auto"/>
        <w:jc w:val="both"/>
        <w:rPr>
          <w:rFonts w:ascii="Verdana" w:eastAsia="Calibri" w:hAnsi="Verdana" w:cs="Arial"/>
          <w:lang w:val="es-ES" w:eastAsia="es-ES"/>
        </w:rPr>
      </w:pPr>
      <w:r w:rsidRPr="0063746A">
        <w:rPr>
          <w:rFonts w:ascii="Verdana" w:eastAsia="Calibri" w:hAnsi="Verdana" w:cs="Arial"/>
          <w:lang w:val="es-ES" w:eastAsia="es-ES"/>
        </w:rPr>
        <w:tab/>
      </w:r>
    </w:p>
    <w:p w14:paraId="59AD77D4" w14:textId="27B53486" w:rsidR="007F4029" w:rsidRPr="0063746A" w:rsidRDefault="007F4029" w:rsidP="0099708A">
      <w:pPr>
        <w:spacing w:after="0" w:line="276" w:lineRule="auto"/>
        <w:jc w:val="both"/>
        <w:rPr>
          <w:rFonts w:ascii="Verdana" w:eastAsia="Calibri" w:hAnsi="Verdana" w:cs="Arial"/>
          <w:lang w:val="es-ES" w:eastAsia="es-ES"/>
        </w:rPr>
      </w:pPr>
      <w:r w:rsidRPr="0063746A">
        <w:rPr>
          <w:rFonts w:ascii="Verdana" w:eastAsia="Calibri" w:hAnsi="Verdana" w:cs="Arial"/>
          <w:lang w:val="es-ES" w:eastAsia="es-ES"/>
        </w:rPr>
        <w:t>En ejercicio de la competencia otorgada por los artículos 3, numeral 5º, y 11, numeral 8º, del Decreto Ley 4170 de 2011,</w:t>
      </w:r>
      <w:r w:rsidRPr="0063746A">
        <w:rPr>
          <w:rFonts w:ascii="Verdana" w:eastAsia="Arial MT" w:hAnsi="Verdana" w:cs="Arial MT"/>
          <w:lang w:val="es-ES" w:eastAsia="es-ES"/>
        </w:rPr>
        <w:t xml:space="preserve"> </w:t>
      </w:r>
      <w:r w:rsidRPr="0063746A">
        <w:rPr>
          <w:rFonts w:ascii="Verdana" w:hAnsi="Verdana" w:cs="Arial"/>
        </w:rPr>
        <w:t xml:space="preserve">así como lo establecido en el artículo 4 de la Resolución 1707 de 2018 expedida por esta Entidad, </w:t>
      </w:r>
      <w:r w:rsidRPr="0063746A">
        <w:rPr>
          <w:rFonts w:ascii="Verdana" w:eastAsia="Calibri" w:hAnsi="Verdana" w:cs="Arial"/>
          <w:lang w:val="es-ES" w:eastAsia="es-ES"/>
        </w:rPr>
        <w:t xml:space="preserve">la Agencia Nacional de Contratación Pública – Colombia Compra Eficiente– responde su solicitud de consulta de fecha </w:t>
      </w:r>
      <w:r w:rsidR="00893811">
        <w:rPr>
          <w:rFonts w:ascii="Verdana" w:eastAsia="Calibri" w:hAnsi="Verdana" w:cs="Arial"/>
          <w:lang w:val="es-ES" w:eastAsia="es-ES"/>
        </w:rPr>
        <w:t>31</w:t>
      </w:r>
      <w:r w:rsidRPr="0063746A">
        <w:rPr>
          <w:rFonts w:ascii="Verdana" w:eastAsia="Calibri" w:hAnsi="Verdana" w:cs="Arial"/>
          <w:lang w:val="es-ES" w:eastAsia="es-ES"/>
        </w:rPr>
        <w:t xml:space="preserve"> de </w:t>
      </w:r>
      <w:r w:rsidR="00893811">
        <w:rPr>
          <w:rFonts w:ascii="Verdana" w:eastAsia="Calibri" w:hAnsi="Verdana" w:cs="Arial"/>
          <w:lang w:val="es-ES" w:eastAsia="es-ES"/>
        </w:rPr>
        <w:t>enero</w:t>
      </w:r>
      <w:r w:rsidRPr="0063746A">
        <w:rPr>
          <w:rFonts w:ascii="Verdana" w:eastAsia="Calibri" w:hAnsi="Verdana" w:cs="Arial"/>
          <w:lang w:val="es-ES" w:eastAsia="es-ES"/>
        </w:rPr>
        <w:t xml:space="preserve"> de 202</w:t>
      </w:r>
      <w:r w:rsidR="00893811">
        <w:rPr>
          <w:rFonts w:ascii="Verdana" w:eastAsia="Calibri" w:hAnsi="Verdana" w:cs="Arial"/>
          <w:lang w:val="es-ES" w:eastAsia="es-ES"/>
        </w:rPr>
        <w:t>5</w:t>
      </w:r>
      <w:r w:rsidRPr="0063746A">
        <w:rPr>
          <w:rFonts w:ascii="Verdana" w:eastAsia="Calibri" w:hAnsi="Verdana" w:cs="Arial"/>
          <w:lang w:val="es-ES" w:eastAsia="es-ES"/>
        </w:rPr>
        <w:t xml:space="preserve">, en la cual manifiesta lo siguiente: </w:t>
      </w:r>
    </w:p>
    <w:p w14:paraId="6EDADE1F" w14:textId="77777777" w:rsidR="007F4029" w:rsidRDefault="007F4029" w:rsidP="008D5D4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CCD62AA" w14:textId="71343E91" w:rsidR="00893811" w:rsidRPr="00893811" w:rsidRDefault="00893811" w:rsidP="0099708A">
      <w:pPr>
        <w:spacing w:after="120" w:line="240" w:lineRule="auto"/>
        <w:ind w:left="709" w:right="709"/>
        <w:jc w:val="both"/>
        <w:rPr>
          <w:rFonts w:ascii="Verdana" w:eastAsia="Calibri" w:hAnsi="Verdana" w:cs="Arial"/>
          <w:color w:val="000000"/>
          <w:sz w:val="21"/>
          <w:szCs w:val="21"/>
          <w:lang w:val="es-ES" w:eastAsia="es-ES"/>
        </w:rPr>
      </w:pPr>
      <w:r w:rsidRPr="00893811">
        <w:rPr>
          <w:rFonts w:ascii="ArialMT" w:hAnsi="ArialMT"/>
          <w:sz w:val="21"/>
          <w:szCs w:val="21"/>
        </w:rPr>
        <w:t>“</w:t>
      </w:r>
      <w:r w:rsidRPr="008D5D4A">
        <w:rPr>
          <w:rFonts w:ascii="Verdana" w:eastAsia="Calibri" w:hAnsi="Verdana" w:cs="Arial"/>
          <w:color w:val="000000"/>
          <w:sz w:val="21"/>
          <w:szCs w:val="21"/>
          <w:lang w:val="es-ES" w:eastAsia="es-ES"/>
        </w:rPr>
        <w:t>1. Para los pliego tipo se considera la subsanaci</w:t>
      </w:r>
      <w:r w:rsidRPr="008D5D4A">
        <w:rPr>
          <w:rFonts w:ascii="Verdana" w:eastAsia="Calibri" w:hAnsi="Verdana" w:cs="Arial" w:hint="eastAsia"/>
          <w:color w:val="000000"/>
          <w:sz w:val="21"/>
          <w:szCs w:val="21"/>
          <w:lang w:val="es-ES" w:eastAsia="es-ES"/>
        </w:rPr>
        <w:t>ó</w:t>
      </w:r>
      <w:r w:rsidRPr="008D5D4A">
        <w:rPr>
          <w:rFonts w:ascii="Verdana" w:eastAsia="Calibri" w:hAnsi="Verdana" w:cs="Arial"/>
          <w:color w:val="000000"/>
          <w:sz w:val="21"/>
          <w:szCs w:val="21"/>
          <w:lang w:val="es-ES" w:eastAsia="es-ES"/>
        </w:rPr>
        <w:t>n de documentos que no otorguen puntaje a trav</w:t>
      </w:r>
      <w:r w:rsidRPr="008D5D4A">
        <w:rPr>
          <w:rFonts w:ascii="Verdana" w:eastAsia="Calibri" w:hAnsi="Verdana" w:cs="Arial" w:hint="eastAsia"/>
          <w:color w:val="000000"/>
          <w:sz w:val="21"/>
          <w:szCs w:val="21"/>
          <w:lang w:val="es-ES" w:eastAsia="es-ES"/>
        </w:rPr>
        <w:t>é</w:t>
      </w:r>
      <w:r w:rsidRPr="008D5D4A">
        <w:rPr>
          <w:rFonts w:ascii="Verdana" w:eastAsia="Calibri" w:hAnsi="Verdana" w:cs="Arial"/>
          <w:color w:val="000000"/>
          <w:sz w:val="21"/>
          <w:szCs w:val="21"/>
          <w:lang w:val="es-ES" w:eastAsia="es-ES"/>
        </w:rPr>
        <w:t xml:space="preserve">s de la solicitud </w:t>
      </w:r>
      <w:r w:rsidRPr="00893811">
        <w:rPr>
          <w:rFonts w:ascii="Verdana" w:eastAsia="Calibri" w:hAnsi="Verdana" w:cs="Arial"/>
          <w:color w:val="000000"/>
          <w:sz w:val="21"/>
          <w:szCs w:val="21"/>
          <w:lang w:val="es-ES" w:eastAsia="es-ES"/>
        </w:rPr>
        <w:t>por parte de la entidad, sin embargo, si un proponente presenta alguna de las siguientes situaciones:</w:t>
      </w:r>
    </w:p>
    <w:p w14:paraId="6F4F59B1" w14:textId="7C514153" w:rsidR="00893811" w:rsidRPr="00893811" w:rsidRDefault="00893811" w:rsidP="00893811">
      <w:pPr>
        <w:spacing w:after="120" w:line="240" w:lineRule="auto"/>
        <w:ind w:left="709" w:right="709"/>
        <w:jc w:val="both"/>
        <w:rPr>
          <w:rFonts w:ascii="Verdana" w:eastAsia="Calibri" w:hAnsi="Verdana" w:cs="Arial"/>
          <w:color w:val="000000"/>
          <w:sz w:val="21"/>
          <w:szCs w:val="21"/>
          <w:lang w:val="es-ES" w:eastAsia="es-ES"/>
        </w:rPr>
      </w:pPr>
      <w:r w:rsidRPr="00893811">
        <w:rPr>
          <w:rFonts w:ascii="Verdana" w:eastAsia="Calibri" w:hAnsi="Verdana" w:cs="Arial"/>
          <w:color w:val="000000"/>
          <w:sz w:val="21"/>
          <w:szCs w:val="21"/>
          <w:lang w:val="es-ES" w:eastAsia="es-ES"/>
        </w:rPr>
        <w:t>A. No anexa el Formato 3- Experiencia diligenciado ni presenta ningún anexo referente a la validez de la experiencia que pretende aportar ¿Puede luego del cierre del proceso presentar dicho formato diligenciado?</w:t>
      </w:r>
    </w:p>
    <w:p w14:paraId="339BE111" w14:textId="544408B5" w:rsidR="00893811" w:rsidRPr="00893811" w:rsidRDefault="00893811" w:rsidP="00893811">
      <w:pPr>
        <w:spacing w:after="120" w:line="240" w:lineRule="auto"/>
        <w:ind w:left="709" w:right="709"/>
        <w:jc w:val="both"/>
        <w:rPr>
          <w:rFonts w:ascii="Verdana" w:eastAsia="Calibri" w:hAnsi="Verdana" w:cs="Arial"/>
          <w:color w:val="000000"/>
          <w:sz w:val="21"/>
          <w:szCs w:val="21"/>
          <w:lang w:val="es-ES" w:eastAsia="es-ES"/>
        </w:rPr>
      </w:pPr>
      <w:r w:rsidRPr="00893811">
        <w:rPr>
          <w:rFonts w:ascii="Verdana" w:eastAsia="Calibri" w:hAnsi="Verdana" w:cs="Arial"/>
          <w:color w:val="000000"/>
          <w:sz w:val="21"/>
          <w:szCs w:val="21"/>
          <w:lang w:val="es-ES" w:eastAsia="es-ES"/>
        </w:rPr>
        <w:lastRenderedPageBreak/>
        <w:t>B. Anexa el Formato 3- Experiencia diligenciado pero no presenta ningún anexo referente a la validez de la experiencia que pretende aportar. ¿Puede luego del cierre del proceso presentar los anexos?</w:t>
      </w:r>
    </w:p>
    <w:p w14:paraId="5192DCAA" w14:textId="5230C254" w:rsidR="007F4029" w:rsidRPr="00893811" w:rsidRDefault="00893811" w:rsidP="00893811">
      <w:pPr>
        <w:spacing w:after="120" w:line="240" w:lineRule="auto"/>
        <w:ind w:left="709" w:right="709"/>
        <w:jc w:val="both"/>
        <w:rPr>
          <w:rFonts w:ascii="ArialMT" w:hAnsi="ArialMT"/>
          <w:sz w:val="21"/>
          <w:szCs w:val="21"/>
        </w:rPr>
      </w:pPr>
      <w:r w:rsidRPr="00893811">
        <w:rPr>
          <w:rFonts w:ascii="Verdana" w:eastAsia="Calibri" w:hAnsi="Verdana" w:cs="Arial"/>
          <w:color w:val="000000"/>
          <w:sz w:val="21"/>
          <w:szCs w:val="21"/>
          <w:lang w:val="es-ES" w:eastAsia="es-ES"/>
        </w:rPr>
        <w:t>C. Anexa el Formato 3- Experiencia diligenciado pero los contratos no cumplen los requisitos ¿El proponente puede</w:t>
      </w:r>
      <w:r w:rsidRPr="00893811">
        <w:rPr>
          <w:rFonts w:ascii="ArialMT" w:hAnsi="ArialMT"/>
          <w:sz w:val="21"/>
          <w:szCs w:val="21"/>
        </w:rPr>
        <w:t xml:space="preserve"> cambiar los contratos a unos que cumplan?</w:t>
      </w:r>
      <w:r w:rsidRPr="00893811">
        <w:rPr>
          <w:rFonts w:ascii="ArialMT" w:hAnsi="ArialMT"/>
          <w:sz w:val="21"/>
          <w:szCs w:val="21"/>
        </w:rPr>
        <w:br/>
        <w:t>En caso de que alguna respuesta sea afirmativa ¿Esto no implicaría un mejoramiento de la oferta por incluir nuevos documentos que no fueron presentados y que se considerarían inexistentes al cierre?”.</w:t>
      </w:r>
    </w:p>
    <w:p w14:paraId="4C6B021D" w14:textId="77777777" w:rsidR="00893811" w:rsidRPr="00893811" w:rsidRDefault="00893811" w:rsidP="00893811">
      <w:pPr>
        <w:pStyle w:val="NormalWeb"/>
        <w:spacing w:before="12" w:beforeAutospacing="0" w:after="12" w:afterAutospacing="0"/>
        <w:ind w:left="709" w:right="709"/>
        <w:jc w:val="both"/>
      </w:pPr>
    </w:p>
    <w:p w14:paraId="0A28504F" w14:textId="77777777" w:rsidR="007F4029" w:rsidRPr="00CA2545" w:rsidRDefault="007F4029" w:rsidP="00893811">
      <w:pPr>
        <w:spacing w:after="120" w:line="276" w:lineRule="auto"/>
        <w:ind w:firstLine="708"/>
        <w:jc w:val="both"/>
        <w:rPr>
          <w:rFonts w:ascii="Verdana" w:eastAsia="Calibri" w:hAnsi="Verdana" w:cs="Arial"/>
          <w:color w:val="000000"/>
          <w:lang w:val="es-ES_tradnl" w:eastAsia="es-ES_tradnl"/>
        </w:rPr>
      </w:pPr>
      <w:r w:rsidRPr="00CA2545">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A2545">
        <w:rPr>
          <w:rFonts w:ascii="Verdana" w:eastAsia="Calibri" w:hAnsi="Verdana" w:cs="Arial"/>
          <w:color w:val="000000"/>
          <w:lang w:val="es-ES_tradnl" w:eastAsia="es-ES_tradnl"/>
        </w:rPr>
        <w:tab/>
      </w:r>
    </w:p>
    <w:p w14:paraId="479DA56A" w14:textId="77777777" w:rsidR="007F4029" w:rsidRPr="00CA2545" w:rsidRDefault="007F4029" w:rsidP="00893811">
      <w:pPr>
        <w:spacing w:after="120" w:line="276" w:lineRule="auto"/>
        <w:ind w:firstLine="708"/>
        <w:jc w:val="both"/>
        <w:rPr>
          <w:rFonts w:ascii="Verdana" w:eastAsia="Calibri" w:hAnsi="Verdana" w:cs="Arial"/>
          <w:color w:val="000000"/>
          <w:lang w:val="es-ES" w:eastAsia="es-ES"/>
        </w:rPr>
      </w:pPr>
      <w:r w:rsidRPr="00CA2545">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color w:val="000000"/>
          <w:lang w:val="es-ES" w:eastAsia="es-ES"/>
        </w:rPr>
        <w:t>e</w:t>
      </w:r>
      <w:r w:rsidRPr="00893811">
        <w:rPr>
          <w:rFonts w:ascii="Verdana" w:eastAsia="Calibri" w:hAnsi="Verdana" w:cs="Arial"/>
          <w:color w:val="000000"/>
          <w:lang w:val="es-ES" w:eastAsia="es-ES"/>
        </w:rPr>
        <w:t xml:space="preserve">l </w:t>
      </w:r>
      <w:r w:rsidRPr="00CA2545">
        <w:rPr>
          <w:rFonts w:ascii="Verdana" w:eastAsia="Calibri" w:hAnsi="Verdana" w:cs="Arial"/>
          <w:color w:val="000000"/>
          <w:lang w:val="es-ES" w:eastAsia="es-ES"/>
        </w:rPr>
        <w:t>problema</w:t>
      </w:r>
      <w:r w:rsidRPr="00893811">
        <w:rPr>
          <w:rFonts w:ascii="Verdana" w:eastAsia="Calibri" w:hAnsi="Verdana" w:cs="Arial"/>
          <w:color w:val="000000"/>
          <w:lang w:val="es-ES" w:eastAsia="es-ES"/>
        </w:rPr>
        <w:t xml:space="preserve"> </w:t>
      </w:r>
      <w:r w:rsidRPr="00CA2545">
        <w:rPr>
          <w:rFonts w:ascii="Verdana" w:eastAsia="Calibri" w:hAnsi="Verdana" w:cs="Arial"/>
          <w:color w:val="000000"/>
          <w:lang w:val="es-ES" w:eastAsia="es-ES"/>
        </w:rPr>
        <w:t>jurídico</w:t>
      </w:r>
      <w:r w:rsidRPr="00893811">
        <w:rPr>
          <w:rFonts w:ascii="Verdana" w:eastAsia="Calibri" w:hAnsi="Verdana" w:cs="Arial"/>
          <w:color w:val="000000"/>
          <w:lang w:val="es-ES" w:eastAsia="es-ES"/>
        </w:rPr>
        <w:t xml:space="preserve"> </w:t>
      </w:r>
      <w:r w:rsidRPr="00CA2545">
        <w:rPr>
          <w:rFonts w:ascii="Verdana" w:eastAsia="Calibri" w:hAnsi="Verdana" w:cs="Arial"/>
          <w:color w:val="000000"/>
          <w:lang w:val="es-ES" w:eastAsia="es-ES"/>
        </w:rPr>
        <w:t xml:space="preserve">de su consulta. </w:t>
      </w:r>
    </w:p>
    <w:p w14:paraId="05DFAEA0" w14:textId="417FD098" w:rsidR="007F4029" w:rsidRDefault="00893811" w:rsidP="00893811">
      <w:pPr>
        <w:spacing w:after="0" w:line="276" w:lineRule="auto"/>
        <w:ind w:firstLine="708"/>
        <w:jc w:val="both"/>
        <w:rPr>
          <w:rFonts w:ascii="Verdana" w:eastAsia="Calibri" w:hAnsi="Verdana" w:cs="Arial"/>
          <w:color w:val="000000"/>
          <w:lang w:val="es-ES" w:eastAsia="es-ES"/>
        </w:rPr>
      </w:pPr>
      <w:r>
        <w:rPr>
          <w:rFonts w:ascii="Verdana" w:eastAsia="Calibri" w:hAnsi="Verdana" w:cs="Arial"/>
          <w:color w:val="000000"/>
          <w:lang w:val="es-ES" w:eastAsia="es-ES"/>
        </w:rPr>
        <w:t>Teniendo en cuenta que en cuenta que</w:t>
      </w:r>
      <w:r w:rsidR="0099708A">
        <w:rPr>
          <w:rFonts w:ascii="Verdana" w:eastAsia="Calibri" w:hAnsi="Verdana" w:cs="Arial"/>
          <w:color w:val="000000"/>
          <w:lang w:val="es-ES" w:eastAsia="es-ES"/>
        </w:rPr>
        <w:t>,</w:t>
      </w:r>
      <w:r>
        <w:rPr>
          <w:rFonts w:ascii="Verdana" w:eastAsia="Calibri" w:hAnsi="Verdana" w:cs="Arial"/>
          <w:color w:val="000000"/>
          <w:lang w:val="es-ES" w:eastAsia="es-ES"/>
        </w:rPr>
        <w:t xml:space="preserve"> en la solicitud de consulta no se señala un documento tipo en particular</w:t>
      </w:r>
      <w:r w:rsidR="0099708A">
        <w:rPr>
          <w:rFonts w:ascii="Verdana" w:eastAsia="Calibri" w:hAnsi="Verdana" w:cs="Arial"/>
          <w:color w:val="000000"/>
          <w:lang w:val="es-ES" w:eastAsia="es-ES"/>
        </w:rPr>
        <w:t xml:space="preserve"> de los expedidos por esta Agencia, para responder su solicitud, las consideraciones se harán con fundamento en</w:t>
      </w:r>
      <w:r w:rsidRPr="008D5D4A">
        <w:rPr>
          <w:rFonts w:ascii="Verdana" w:eastAsia="Calibri" w:hAnsi="Verdana" w:cs="Arial"/>
          <w:color w:val="000000"/>
          <w:lang w:val="es-ES" w:eastAsia="es-ES"/>
        </w:rPr>
        <w:t xml:space="preserve"> el documento tipo de licitación de obra </w:t>
      </w:r>
      <w:r w:rsidR="0099708A">
        <w:rPr>
          <w:rFonts w:ascii="Verdana" w:eastAsia="Calibri" w:hAnsi="Verdana" w:cs="Arial"/>
          <w:color w:val="000000"/>
          <w:lang w:val="es-ES" w:eastAsia="es-ES"/>
        </w:rPr>
        <w:t xml:space="preserve">pública de infraestructura de transporte - </w:t>
      </w:r>
      <w:r w:rsidRPr="008D5D4A">
        <w:rPr>
          <w:rFonts w:ascii="Verdana" w:eastAsia="Calibri" w:hAnsi="Verdana" w:cs="Arial"/>
          <w:color w:val="000000"/>
          <w:lang w:val="es-ES" w:eastAsia="es-ES"/>
        </w:rPr>
        <w:t>V4</w:t>
      </w:r>
      <w:r w:rsidR="0099708A">
        <w:rPr>
          <w:rFonts w:ascii="Verdana" w:eastAsia="Calibri" w:hAnsi="Verdana" w:cs="Arial"/>
          <w:color w:val="000000"/>
          <w:lang w:val="es-ES" w:eastAsia="es-ES"/>
        </w:rPr>
        <w:t xml:space="preserve"> </w:t>
      </w:r>
      <w:r w:rsidR="0099708A" w:rsidRPr="001C2AE6">
        <w:rPr>
          <w:rFonts w:ascii="Verdana" w:hAnsi="Verdana" w:cs="Arial"/>
          <w:noProof/>
          <w:lang w:val="es-ES_tradnl"/>
        </w:rPr>
        <w:t xml:space="preserve">adoptado mediante la Resolución No. </w:t>
      </w:r>
      <w:r w:rsidR="0099708A">
        <w:rPr>
          <w:rFonts w:ascii="Verdana" w:hAnsi="Verdana" w:cs="Arial"/>
          <w:noProof/>
          <w:lang w:val="es-ES_tradnl"/>
        </w:rPr>
        <w:t>465</w:t>
      </w:r>
      <w:r w:rsidR="0099708A" w:rsidRPr="001C2AE6">
        <w:rPr>
          <w:rFonts w:ascii="Verdana" w:hAnsi="Verdana" w:cs="Arial"/>
          <w:noProof/>
          <w:lang w:val="es-ES_tradnl"/>
        </w:rPr>
        <w:t xml:space="preserve"> de 202</w:t>
      </w:r>
      <w:r w:rsidR="0099708A">
        <w:rPr>
          <w:rFonts w:ascii="Verdana" w:hAnsi="Verdana" w:cs="Arial"/>
          <w:noProof/>
          <w:lang w:val="es-ES_tradnl"/>
        </w:rPr>
        <w:t>4</w:t>
      </w:r>
      <w:r w:rsidRPr="008D5D4A">
        <w:rPr>
          <w:rFonts w:ascii="Verdana" w:eastAsia="Calibri" w:hAnsi="Verdana" w:cs="Arial"/>
          <w:color w:val="000000"/>
          <w:lang w:val="es-ES" w:eastAsia="es-ES"/>
        </w:rPr>
        <w:t>.</w:t>
      </w:r>
    </w:p>
    <w:p w14:paraId="656EFF6D" w14:textId="77777777" w:rsidR="00893811" w:rsidRPr="00CA2545" w:rsidRDefault="00893811" w:rsidP="00893811">
      <w:pPr>
        <w:spacing w:after="0" w:line="276" w:lineRule="auto"/>
        <w:ind w:firstLine="709"/>
        <w:jc w:val="both"/>
        <w:rPr>
          <w:rFonts w:ascii="Verdana" w:eastAsia="Calibri" w:hAnsi="Verdana" w:cs="Arial"/>
          <w:color w:val="000000"/>
          <w:lang w:val="es-ES" w:eastAsia="es-ES"/>
        </w:rPr>
      </w:pPr>
    </w:p>
    <w:p w14:paraId="713ADECD" w14:textId="77777777" w:rsidR="007F4029" w:rsidRPr="00C75C5C" w:rsidRDefault="007F4029" w:rsidP="0089381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75C5C">
        <w:rPr>
          <w:rFonts w:ascii="Verdana" w:eastAsia="Century Gothic" w:hAnsi="Verdana" w:cs="Century Gothic"/>
          <w:b/>
          <w:bCs/>
        </w:rPr>
        <w:t>Problema planteado:</w:t>
      </w:r>
    </w:p>
    <w:p w14:paraId="7A8264E4" w14:textId="77777777" w:rsidR="007F4029" w:rsidRPr="00C75C5C" w:rsidRDefault="007F4029" w:rsidP="00893811">
      <w:pPr>
        <w:tabs>
          <w:tab w:val="left" w:pos="426"/>
        </w:tabs>
        <w:spacing w:after="0" w:line="276" w:lineRule="auto"/>
        <w:jc w:val="both"/>
        <w:rPr>
          <w:rFonts w:ascii="Verdana" w:eastAsia="Century Gothic" w:hAnsi="Verdana" w:cs="Century Gothic"/>
          <w:lang w:val="es-ES"/>
        </w:rPr>
      </w:pPr>
    </w:p>
    <w:p w14:paraId="776579EF" w14:textId="60839A33" w:rsidR="007F4029" w:rsidRDefault="007F4029" w:rsidP="00893811">
      <w:pPr>
        <w:spacing w:after="0" w:line="276" w:lineRule="auto"/>
        <w:jc w:val="both"/>
        <w:rPr>
          <w:rFonts w:ascii="Verdana" w:eastAsia="Century Gothic" w:hAnsi="Verdana" w:cs="Century Gothic"/>
        </w:rPr>
      </w:pPr>
      <w:r w:rsidRPr="008D5D4A">
        <w:rPr>
          <w:rFonts w:ascii="Verdana" w:eastAsia="Century Gothic" w:hAnsi="Verdana" w:cs="Century Gothic"/>
        </w:rPr>
        <w:lastRenderedPageBreak/>
        <w:t xml:space="preserve">De acuerdo con el contenido de su solicitud, esta Agencia resolverá el siguiente problema jurídico: </w:t>
      </w:r>
      <w:r w:rsidR="00893811" w:rsidRPr="008D5D4A">
        <w:rPr>
          <w:rFonts w:ascii="Verdana" w:eastAsia="Century Gothic" w:hAnsi="Verdana" w:cs="Century Gothic"/>
        </w:rPr>
        <w:t>En relación con el Formato 3 – Experiencia de los documentos tipo</w:t>
      </w:r>
      <w:r w:rsidR="0089504B" w:rsidRPr="008D5D4A">
        <w:rPr>
          <w:rFonts w:ascii="Verdana" w:eastAsia="Century Gothic" w:hAnsi="Verdana" w:cs="Century Gothic"/>
        </w:rPr>
        <w:t xml:space="preserve"> ¿</w:t>
      </w:r>
      <w:r w:rsidR="00893811" w:rsidRPr="008D5D4A">
        <w:rPr>
          <w:rFonts w:ascii="Verdana" w:eastAsia="Century Gothic" w:hAnsi="Verdana" w:cs="Century Gothic"/>
        </w:rPr>
        <w:t>es posible que el pro</w:t>
      </w:r>
      <w:r w:rsidR="0089504B" w:rsidRPr="008D5D4A">
        <w:rPr>
          <w:rFonts w:ascii="Verdana" w:eastAsia="Century Gothic" w:hAnsi="Verdana" w:cs="Century Gothic"/>
        </w:rPr>
        <w:t xml:space="preserve">ponente subsane la no presentación, su no diligenciamiento </w:t>
      </w:r>
      <w:r w:rsidR="00FD0AA0" w:rsidRPr="008D5D4A">
        <w:rPr>
          <w:rFonts w:ascii="Verdana" w:eastAsia="Century Gothic" w:hAnsi="Verdana" w:cs="Century Gothic"/>
        </w:rPr>
        <w:t>o cambie algunos de los contratos relacionado en dicho formato</w:t>
      </w:r>
      <w:r w:rsidRPr="008D5D4A">
        <w:rPr>
          <w:rFonts w:ascii="Verdana" w:eastAsia="Century Gothic" w:hAnsi="Verdana" w:cs="Century Gothic"/>
        </w:rPr>
        <w:t>?</w:t>
      </w:r>
      <w:r>
        <w:rPr>
          <w:rFonts w:ascii="Verdana" w:eastAsia="Century Gothic" w:hAnsi="Verdana" w:cs="Century Gothic"/>
        </w:rPr>
        <w:t xml:space="preserve"> </w:t>
      </w:r>
    </w:p>
    <w:p w14:paraId="0B03B073" w14:textId="77777777" w:rsidR="007F4029" w:rsidRPr="00384705" w:rsidRDefault="007F4029" w:rsidP="007F4029">
      <w:pPr>
        <w:spacing w:after="0" w:line="276" w:lineRule="auto"/>
        <w:jc w:val="both"/>
        <w:rPr>
          <w:rFonts w:ascii="Verdana" w:eastAsia="Calibri" w:hAnsi="Verdana" w:cs="Arial"/>
          <w:color w:val="7030A0"/>
        </w:rPr>
      </w:pPr>
    </w:p>
    <w:p w14:paraId="2794F18A" w14:textId="77777777" w:rsidR="007F4029" w:rsidRPr="00B74530" w:rsidRDefault="007F4029" w:rsidP="007F402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74530">
        <w:rPr>
          <w:rFonts w:ascii="Verdana" w:eastAsia="Century Gothic" w:hAnsi="Verdana" w:cs="Century Gothic"/>
          <w:b/>
          <w:bCs/>
        </w:rPr>
        <w:t>Respuesta:</w:t>
      </w:r>
    </w:p>
    <w:p w14:paraId="1802F2BB" w14:textId="77777777" w:rsidR="007F4029" w:rsidRPr="00DE4E8C" w:rsidRDefault="007F4029" w:rsidP="007F4029">
      <w:pPr>
        <w:tabs>
          <w:tab w:val="left" w:pos="142"/>
          <w:tab w:val="left" w:pos="284"/>
        </w:tabs>
        <w:spacing w:after="0" w:line="276" w:lineRule="auto"/>
        <w:jc w:val="both"/>
        <w:rPr>
          <w:rFonts w:ascii="Verdana" w:eastAsia="Century Gothic" w:hAnsi="Verdana" w:cs="Century Gothic"/>
          <w:b/>
          <w:bCs/>
          <w:highlight w:val="yellow"/>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F4029" w:rsidRPr="00593A5F" w14:paraId="1567D36B" w14:textId="77777777" w:rsidTr="00576AAE">
        <w:tc>
          <w:tcPr>
            <w:tcW w:w="8828" w:type="dxa"/>
            <w:shd w:val="clear" w:color="auto" w:fill="auto"/>
          </w:tcPr>
          <w:p w14:paraId="4426C13B" w14:textId="5F72401E" w:rsidR="007F4029" w:rsidRPr="008D5D4A" w:rsidRDefault="007F4029" w:rsidP="00576AAE">
            <w:pPr>
              <w:spacing w:after="120" w:line="276" w:lineRule="auto"/>
              <w:jc w:val="both"/>
              <w:rPr>
                <w:rFonts w:ascii="Verdana" w:eastAsia="Calibri" w:hAnsi="Verdana" w:cs="Arial"/>
              </w:rPr>
            </w:pPr>
            <w:r w:rsidRPr="008D5D4A">
              <w:rPr>
                <w:rFonts w:ascii="Verdana" w:eastAsia="Calibri" w:hAnsi="Verdana" w:cs="Arial"/>
              </w:rPr>
              <w:t xml:space="preserve">La regla de subsanabilidad, </w:t>
            </w:r>
            <w:r w:rsidR="00FD0AA0" w:rsidRPr="008D5D4A">
              <w:rPr>
                <w:rFonts w:ascii="Verdana" w:eastAsia="Calibri" w:hAnsi="Verdana" w:cs="Arial"/>
              </w:rPr>
              <w:t>dispuesta</w:t>
            </w:r>
            <w:r w:rsidRPr="008D5D4A">
              <w:rPr>
                <w:rFonts w:ascii="Verdana" w:eastAsia="Calibri" w:hAnsi="Verdana" w:cs="Arial"/>
              </w:rPr>
              <w:t xml:space="preserve"> en el artículo 5 de la Ley 1150 de 2007, es un mecanismo previsto en los procesos de contratación estatal que se regulan por el EGCAP, según la cual los proponentes</w:t>
            </w:r>
            <w:r w:rsidR="007604D4" w:rsidRPr="008D5D4A">
              <w:rPr>
                <w:rFonts w:ascii="Verdana" w:eastAsia="Calibri" w:hAnsi="Verdana" w:cs="Arial"/>
              </w:rPr>
              <w:t xml:space="preserve"> </w:t>
            </w:r>
            <w:r w:rsidRPr="008D5D4A">
              <w:rPr>
                <w:rFonts w:ascii="Verdana" w:eastAsia="Calibri" w:hAnsi="Verdana" w:cs="Arial"/>
              </w:rPr>
              <w:t xml:space="preserve">pueden enmendar, corregir o modificar los errores en los que se incurre en los documentos contentivos de la oferta. </w:t>
            </w:r>
          </w:p>
          <w:p w14:paraId="1DCFD159" w14:textId="77777777" w:rsidR="007F4029" w:rsidRPr="008D5D4A" w:rsidRDefault="007F4029" w:rsidP="00576AAE">
            <w:pPr>
              <w:spacing w:after="120" w:line="276" w:lineRule="auto"/>
              <w:ind w:firstLine="708"/>
              <w:jc w:val="both"/>
              <w:rPr>
                <w:rFonts w:ascii="Verdana" w:eastAsia="Times New Roman" w:hAnsi="Verdana" w:cs="Arial"/>
                <w:i/>
                <w:lang w:val="es-ES" w:eastAsia="es-ES"/>
              </w:rPr>
            </w:pPr>
            <w:r w:rsidRPr="008D5D4A">
              <w:rPr>
                <w:rFonts w:ascii="Verdana" w:hAnsi="Verdana" w:cs="Arial"/>
                <w:noProof/>
                <w:lang w:val="es-ES_tradnl"/>
              </w:rPr>
              <w:t xml:space="preserve">Conforme a las reglas de subsanabilidad, los requisitos o documentos que no sean necesarios para la comparación de las ofertas pueden subsanarse y todo lo que no sea necesario para la comparación de propuestas no es título suficiente para su rechazo. </w:t>
            </w:r>
          </w:p>
          <w:p w14:paraId="489EFFCD" w14:textId="77777777" w:rsidR="007F4029" w:rsidRPr="008D5D4A" w:rsidRDefault="007F4029" w:rsidP="00576AAE">
            <w:pPr>
              <w:spacing w:after="120" w:line="276" w:lineRule="auto"/>
              <w:ind w:firstLine="709"/>
              <w:jc w:val="both"/>
              <w:rPr>
                <w:rFonts w:ascii="Verdana" w:eastAsia="Times New Roman" w:hAnsi="Verdana" w:cs="Arial"/>
                <w:lang w:val="es-ES_tradnl" w:eastAsia="es-ES_tradnl"/>
              </w:rPr>
            </w:pPr>
            <w:r w:rsidRPr="008D5D4A">
              <w:rPr>
                <w:rFonts w:ascii="Verdana" w:eastAsia="Times New Roman" w:hAnsi="Verdana" w:cs="Arial"/>
                <w:lang w:val="es-ES_tradnl" w:eastAsia="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16C8255B" w14:textId="77777777" w:rsidR="007F4029" w:rsidRPr="008D5D4A" w:rsidRDefault="007F4029" w:rsidP="00576AAE">
            <w:pPr>
              <w:spacing w:after="120" w:line="276" w:lineRule="auto"/>
              <w:ind w:firstLine="709"/>
              <w:jc w:val="both"/>
              <w:rPr>
                <w:rFonts w:ascii="Verdana" w:eastAsia="Times New Roman" w:hAnsi="Verdana" w:cs="Arial"/>
                <w:lang w:val="es-ES" w:eastAsia="es-ES"/>
              </w:rPr>
            </w:pPr>
            <w:r w:rsidRPr="008D5D4A">
              <w:rPr>
                <w:rFonts w:ascii="Verdana" w:eastAsia="Times New Roman" w:hAnsi="Verdana" w:cs="Arial"/>
                <w:lang w:val="es-ES" w:eastAsia="es-ES"/>
              </w:rPr>
              <w:t xml:space="preserve">Visto lo anterior, con miras a dar respuesta al problema jurídico planteado, debe decirse que, una vez verificada la ausencia de requisitos y/o documentos de la oferta, para efectos de saber si se pueden subsanar, la Administración se debe preguntar: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w:t>
            </w:r>
            <w:r w:rsidRPr="008D5D4A">
              <w:rPr>
                <w:rFonts w:ascii="Verdana" w:eastAsia="Times New Roman" w:hAnsi="Verdana" w:cs="Arial"/>
                <w:lang w:val="es-ES" w:eastAsia="es-ES"/>
              </w:rPr>
              <w:lastRenderedPageBreak/>
              <w:t>afecte la asignación de puntaje y la respuesta al segundo interrogante debe dar cuenta de que lo omitido sea la prueba de una circunstancia o hecho que ocurrió con anterioridad al cierre del proceso.</w:t>
            </w:r>
          </w:p>
          <w:p w14:paraId="174DCB49" w14:textId="0F2F48AE" w:rsidR="007F4029" w:rsidRPr="008D5D4A" w:rsidRDefault="007F4029" w:rsidP="00576AAE">
            <w:pPr>
              <w:spacing w:after="120" w:line="276" w:lineRule="auto"/>
              <w:ind w:firstLine="709"/>
              <w:jc w:val="both"/>
              <w:rPr>
                <w:rFonts w:ascii="Verdana" w:hAnsi="Verdana" w:cs="Arial"/>
                <w:noProof/>
                <w:lang w:val="es-ES_tradnl"/>
              </w:rPr>
            </w:pPr>
            <w:r w:rsidRPr="008D5D4A">
              <w:rPr>
                <w:rFonts w:ascii="Verdana" w:hAnsi="Verdana" w:cs="Arial"/>
                <w:noProof/>
                <w:lang w:val="es-ES_tradnl"/>
              </w:rPr>
              <w:t>En conclusion, los requisitos o documentos que no sean necesarios para la comparación de las ofertas pueden subsanarse y todo lo que no sea necesario para la comparación de propuestas no es título suficiente para su rechazo</w:t>
            </w:r>
            <w:r w:rsidR="00FD0AA0" w:rsidRPr="008D5D4A">
              <w:rPr>
                <w:rFonts w:ascii="Verdana" w:hAnsi="Verdana" w:cs="Arial"/>
                <w:noProof/>
                <w:lang w:val="es-ES_tradnl"/>
              </w:rPr>
              <w:t>.</w:t>
            </w:r>
            <w:r w:rsidRPr="008D5D4A">
              <w:rPr>
                <w:rFonts w:ascii="Verdana" w:hAnsi="Verdana" w:cs="Arial"/>
                <w:noProof/>
                <w:lang w:val="es-ES_tradnl"/>
              </w:rPr>
              <w:t xml:space="preserve"> </w:t>
            </w:r>
          </w:p>
          <w:p w14:paraId="1E7C5DFA" w14:textId="77777777" w:rsidR="007F4029" w:rsidRPr="008D5D4A" w:rsidRDefault="007F4029" w:rsidP="00576AAE">
            <w:pPr>
              <w:spacing w:after="120" w:line="276" w:lineRule="auto"/>
              <w:ind w:firstLine="709"/>
              <w:jc w:val="both"/>
              <w:rPr>
                <w:rFonts w:ascii="Verdana" w:hAnsi="Verdana" w:cs="Arial"/>
                <w:noProof/>
                <w:lang w:val="es-ES_tradnl"/>
              </w:rPr>
            </w:pPr>
            <w:r w:rsidRPr="008D5D4A">
              <w:rPr>
                <w:rFonts w:ascii="Verdana" w:hAnsi="Verdana" w:cs="Arial"/>
                <w:noProof/>
                <w:lang w:val="es-ES_tradnl"/>
              </w:rPr>
              <w:t>No obstante, a la luz del artículo 5 de la Ley 1882 de 2018, lo subsanable es la prueba de todas las circunstancias ocurridas antes del vencimiento del término para presentar las ofertas, pues una cosa es el requisito habilitante o el elemento de la propuesta y otra su prueba. De tal modo que lo que prohíbe la norma es que se subsanen requisitos que no estaban materialmente cumplidos al momento de presentación de la oferta, o en palabras de la ley, que se acrediten hechos que ocurrieron después del cierre del proceso, por lo que dicha limitación a la regla de subsanabilidad también deberá ser tenida en cuenta.</w:t>
            </w:r>
          </w:p>
          <w:p w14:paraId="1F50D1AF" w14:textId="773B6352" w:rsidR="00637080" w:rsidRPr="00C00991" w:rsidRDefault="00FD0AA0" w:rsidP="008D5D4A">
            <w:pPr>
              <w:spacing w:after="120" w:line="276" w:lineRule="auto"/>
              <w:ind w:firstLine="709"/>
              <w:jc w:val="both"/>
              <w:rPr>
                <w:rFonts w:ascii="Verdana" w:hAnsi="Verdana" w:cs="Arial"/>
                <w:noProof/>
                <w:lang w:val="es-ES_tradnl"/>
              </w:rPr>
            </w:pPr>
            <w:r w:rsidRPr="008D5D4A">
              <w:rPr>
                <w:rFonts w:ascii="Verdana" w:hAnsi="Verdana" w:cs="Arial"/>
                <w:noProof/>
                <w:lang w:val="es-ES_tradnl"/>
              </w:rPr>
              <w:t>Concretamente, teniendo en cuenta el objeto de su solicitud,</w:t>
            </w:r>
            <w:r w:rsidR="00637080">
              <w:rPr>
                <w:rFonts w:ascii="Verdana" w:hAnsi="Verdana" w:cs="Arial"/>
                <w:noProof/>
                <w:lang w:val="es-ES_tradnl"/>
              </w:rPr>
              <w:t xml:space="preserve"> debe indicarse que, </w:t>
            </w:r>
            <w:r w:rsidR="00637080" w:rsidRPr="00C00991">
              <w:rPr>
                <w:rFonts w:ascii="Verdana" w:hAnsi="Verdana" w:cs="Arial"/>
                <w:noProof/>
                <w:lang w:val="es-ES_tradnl"/>
              </w:rPr>
              <w:t xml:space="preserve">aun cuando se haya presentado indebidamente diligenciado, se haya incluido un contrato que no cumple con lo exigido, o no se haya presentado el “Formato 3 – Experiencia”, ninguna de estas causas será un motivo para rechazar los proponentes. </w:t>
            </w:r>
          </w:p>
          <w:p w14:paraId="7A88F47F" w14:textId="1B66A955" w:rsidR="00637080" w:rsidRPr="00C00991" w:rsidRDefault="00637080" w:rsidP="008D5D4A">
            <w:pPr>
              <w:spacing w:after="120" w:line="276" w:lineRule="auto"/>
              <w:ind w:firstLine="709"/>
              <w:jc w:val="both"/>
              <w:rPr>
                <w:rFonts w:ascii="Verdana" w:hAnsi="Verdana" w:cs="Arial"/>
                <w:noProof/>
                <w:lang w:val="es-ES_tradnl"/>
              </w:rPr>
            </w:pPr>
            <w:r>
              <w:rPr>
                <w:rFonts w:ascii="Verdana" w:hAnsi="Verdana" w:cs="Arial"/>
                <w:noProof/>
                <w:lang w:val="es-ES_tradnl"/>
              </w:rPr>
              <w:t xml:space="preserve">Esto, considerando que, </w:t>
            </w:r>
            <w:r w:rsidRPr="00C00991">
              <w:rPr>
                <w:rFonts w:ascii="Verdana" w:hAnsi="Verdana" w:cs="Arial"/>
                <w:noProof/>
                <w:lang w:val="es-ES_tradnl"/>
              </w:rPr>
              <w:t xml:space="preserve">de acuerdo con el artículo 6 de la Ley 1150 de 2007, el registro único de proponentes será plena prueba de la información relacionada con la experiencia del oferente. Por lo tanto, si el oferente aporta el RUP con la información relacionada con la experiencia, o aporta la experiencia de los contratos que tiene a su nombre, deberá acreditar este requisito en el procedimiento de selección, a pesar de no aportar o diligenciar </w:t>
            </w:r>
            <w:r>
              <w:rPr>
                <w:rFonts w:ascii="Verdana" w:hAnsi="Verdana" w:cs="Arial"/>
                <w:noProof/>
                <w:lang w:val="es-ES_tradnl"/>
              </w:rPr>
              <w:t xml:space="preserve">o haber incluido un contrato </w:t>
            </w:r>
            <w:r w:rsidRPr="00C00991">
              <w:rPr>
                <w:rFonts w:ascii="Verdana" w:hAnsi="Verdana" w:cs="Arial"/>
                <w:noProof/>
                <w:lang w:val="es-ES_tradnl"/>
              </w:rPr>
              <w:t xml:space="preserve">en el </w:t>
            </w:r>
            <w:r>
              <w:rPr>
                <w:rFonts w:ascii="Verdana" w:hAnsi="Verdana" w:cs="Arial"/>
                <w:noProof/>
                <w:lang w:val="es-ES_tradnl"/>
              </w:rPr>
              <w:t>“</w:t>
            </w:r>
            <w:r w:rsidRPr="00C00991">
              <w:rPr>
                <w:rFonts w:ascii="Verdana" w:hAnsi="Verdana" w:cs="Arial"/>
                <w:noProof/>
                <w:lang w:val="es-ES_tradnl"/>
              </w:rPr>
              <w:t xml:space="preserve">Formato 3 </w:t>
            </w:r>
            <w:r>
              <w:rPr>
                <w:rFonts w:ascii="Verdana" w:hAnsi="Verdana" w:cs="Arial"/>
                <w:noProof/>
                <w:lang w:val="es-ES_tradnl"/>
              </w:rPr>
              <w:t>–</w:t>
            </w:r>
            <w:r w:rsidRPr="00C00991">
              <w:rPr>
                <w:rFonts w:ascii="Verdana" w:hAnsi="Verdana" w:cs="Arial"/>
                <w:noProof/>
                <w:lang w:val="es-ES_tradnl"/>
              </w:rPr>
              <w:t xml:space="preserve"> Experiencia</w:t>
            </w:r>
            <w:r>
              <w:rPr>
                <w:rFonts w:ascii="Verdana" w:hAnsi="Verdana" w:cs="Arial"/>
                <w:noProof/>
                <w:lang w:val="es-ES_tradnl"/>
              </w:rPr>
              <w:t>”</w:t>
            </w:r>
            <w:r w:rsidRPr="00C00991">
              <w:rPr>
                <w:rFonts w:ascii="Verdana" w:hAnsi="Verdana" w:cs="Arial"/>
                <w:noProof/>
                <w:lang w:val="es-ES_tradnl"/>
              </w:rPr>
              <w:t xml:space="preserve"> que no cumple lo exigido.  Por lo tanto, el </w:t>
            </w:r>
            <w:r>
              <w:rPr>
                <w:rFonts w:ascii="Verdana" w:hAnsi="Verdana" w:cs="Arial"/>
                <w:noProof/>
                <w:lang w:val="es-ES_tradnl"/>
              </w:rPr>
              <w:t>“</w:t>
            </w:r>
            <w:r w:rsidRPr="00C00991">
              <w:rPr>
                <w:rFonts w:ascii="Verdana" w:hAnsi="Verdana" w:cs="Arial"/>
                <w:noProof/>
                <w:lang w:val="es-ES_tradnl"/>
              </w:rPr>
              <w:t xml:space="preserve">Formato 3 </w:t>
            </w:r>
            <w:r>
              <w:rPr>
                <w:rFonts w:ascii="Verdana" w:hAnsi="Verdana" w:cs="Arial"/>
                <w:noProof/>
                <w:lang w:val="es-ES_tradnl"/>
              </w:rPr>
              <w:t>–</w:t>
            </w:r>
            <w:r w:rsidRPr="00C00991">
              <w:rPr>
                <w:rFonts w:ascii="Verdana" w:hAnsi="Verdana" w:cs="Arial"/>
                <w:noProof/>
                <w:lang w:val="es-ES_tradnl"/>
              </w:rPr>
              <w:t xml:space="preserve"> Experiencia</w:t>
            </w:r>
            <w:r>
              <w:rPr>
                <w:rFonts w:ascii="Verdana" w:hAnsi="Verdana" w:cs="Arial"/>
                <w:noProof/>
                <w:lang w:val="es-ES_tradnl"/>
              </w:rPr>
              <w:t>”</w:t>
            </w:r>
            <w:r w:rsidRPr="00C00991">
              <w:rPr>
                <w:rFonts w:ascii="Verdana" w:hAnsi="Verdana" w:cs="Arial"/>
                <w:noProof/>
                <w:lang w:val="es-ES_tradnl"/>
              </w:rPr>
              <w:t xml:space="preserve"> consolida la experiencia aportada, pero no acredita la experiencia del proponente.</w:t>
            </w:r>
          </w:p>
          <w:p w14:paraId="242E0AFA" w14:textId="43F47E1D" w:rsidR="007F4029" w:rsidRPr="008D5D4A" w:rsidRDefault="00637080" w:rsidP="008D5D4A">
            <w:pPr>
              <w:widowControl w:val="0"/>
              <w:autoSpaceDE w:val="0"/>
              <w:autoSpaceDN w:val="0"/>
              <w:spacing w:after="160" w:line="259" w:lineRule="auto"/>
              <w:ind w:right="102" w:firstLine="708"/>
              <w:jc w:val="both"/>
              <w:rPr>
                <w:rFonts w:ascii="Verdana" w:hAnsi="Verdana" w:cs="Arial"/>
                <w:noProof/>
                <w:lang w:val="es-ES_tradnl"/>
              </w:rPr>
            </w:pPr>
            <w:r>
              <w:rPr>
                <w:rFonts w:ascii="Verdana" w:hAnsi="Verdana" w:cs="Arial"/>
                <w:noProof/>
                <w:lang w:val="es-ES_tradnl"/>
              </w:rPr>
              <w:t>P</w:t>
            </w:r>
            <w:r w:rsidRPr="00C00991">
              <w:rPr>
                <w:rFonts w:ascii="Verdana" w:hAnsi="Verdana" w:cs="Arial"/>
                <w:noProof/>
                <w:lang w:val="es-ES_tradnl"/>
              </w:rPr>
              <w:t xml:space="preserve">or tratarse de un requisito de verificación que no otorga puntaje, debe tenerse en cuenta que si el proponente desea acreditar otro contrato no incluido en el </w:t>
            </w:r>
            <w:r>
              <w:rPr>
                <w:rFonts w:ascii="Verdana" w:hAnsi="Verdana" w:cs="Arial"/>
                <w:noProof/>
                <w:lang w:val="es-ES_tradnl"/>
              </w:rPr>
              <w:t>“</w:t>
            </w:r>
            <w:r w:rsidRPr="00C00991">
              <w:rPr>
                <w:rFonts w:ascii="Verdana" w:hAnsi="Verdana" w:cs="Arial"/>
                <w:noProof/>
                <w:lang w:val="es-ES_tradnl"/>
              </w:rPr>
              <w:t xml:space="preserve">Formato 3 </w:t>
            </w:r>
            <w:r>
              <w:rPr>
                <w:rFonts w:ascii="Verdana" w:hAnsi="Verdana" w:cs="Arial"/>
                <w:noProof/>
                <w:lang w:val="es-ES_tradnl"/>
              </w:rPr>
              <w:t>–</w:t>
            </w:r>
            <w:r w:rsidRPr="00C00991">
              <w:rPr>
                <w:rFonts w:ascii="Verdana" w:hAnsi="Verdana" w:cs="Arial"/>
                <w:noProof/>
                <w:lang w:val="es-ES_tradnl"/>
              </w:rPr>
              <w:t xml:space="preserve"> Experiencia</w:t>
            </w:r>
            <w:r>
              <w:rPr>
                <w:rFonts w:ascii="Verdana" w:hAnsi="Verdana" w:cs="Arial"/>
                <w:noProof/>
                <w:lang w:val="es-ES_tradnl"/>
              </w:rPr>
              <w:t>”</w:t>
            </w:r>
            <w:r w:rsidRPr="00C00991">
              <w:rPr>
                <w:rFonts w:ascii="Verdana" w:hAnsi="Verdana" w:cs="Arial"/>
                <w:noProof/>
                <w:lang w:val="es-ES_tradnl"/>
              </w:rPr>
              <w:t xml:space="preserve">, podrá incluirlo en este documento </w:t>
            </w:r>
            <w:r w:rsidRPr="00C00991">
              <w:rPr>
                <w:rFonts w:ascii="Verdana" w:hAnsi="Verdana" w:cs="Arial"/>
                <w:noProof/>
                <w:lang w:val="es-ES_tradnl"/>
              </w:rPr>
              <w:lastRenderedPageBreak/>
              <w:t xml:space="preserve">siempre y cuando se encuentre registrado en el RUP antes de la presentación de la oferta. Esto en la medida que –de conformidad con lo señalado por el parágrafo 1 del artículo 5 de la Ley 1150 de 2007– </w:t>
            </w:r>
            <w:r>
              <w:rPr>
                <w:rFonts w:ascii="Verdana" w:hAnsi="Verdana" w:cs="Arial"/>
                <w:noProof/>
                <w:lang w:val="es-ES_tradnl"/>
              </w:rPr>
              <w:t>“</w:t>
            </w:r>
            <w:r w:rsidRPr="00C00991">
              <w:rPr>
                <w:rFonts w:ascii="Verdana" w:hAnsi="Verdana" w:cs="Arial"/>
                <w:noProof/>
                <w:lang w:val="es-ES_tradnl"/>
              </w:rPr>
              <w:t>[…] los proponentes no podrán acreditar circunstancias ocurridas con posterioridad al cierre del proceso […]</w:t>
            </w:r>
            <w:r>
              <w:rPr>
                <w:rFonts w:ascii="Verdana" w:hAnsi="Verdana" w:cs="Arial"/>
                <w:noProof/>
                <w:lang w:val="es-ES_tradnl"/>
              </w:rPr>
              <w:t>”.</w:t>
            </w:r>
          </w:p>
        </w:tc>
      </w:tr>
    </w:tbl>
    <w:p w14:paraId="4B2664FF" w14:textId="77777777" w:rsidR="007F4029" w:rsidRPr="00593A5F" w:rsidRDefault="007F4029" w:rsidP="007F4029">
      <w:pPr>
        <w:tabs>
          <w:tab w:val="left" w:pos="142"/>
          <w:tab w:val="left" w:pos="284"/>
        </w:tabs>
        <w:spacing w:after="0" w:line="276" w:lineRule="auto"/>
        <w:jc w:val="both"/>
        <w:rPr>
          <w:rFonts w:ascii="Verdana" w:eastAsia="Century Gothic" w:hAnsi="Verdana" w:cs="Century Gothic"/>
          <w:b/>
          <w:bCs/>
          <w:lang w:val="es-ES"/>
        </w:rPr>
      </w:pPr>
    </w:p>
    <w:p w14:paraId="04C55C5A" w14:textId="1596EC17" w:rsidR="007F4029" w:rsidRPr="008D5D4A" w:rsidRDefault="007F4029" w:rsidP="008D5D4A">
      <w:pPr>
        <w:pStyle w:val="Prrafodelista"/>
        <w:numPr>
          <w:ilvl w:val="0"/>
          <w:numId w:val="16"/>
        </w:numPr>
        <w:tabs>
          <w:tab w:val="left" w:pos="142"/>
          <w:tab w:val="left" w:pos="284"/>
        </w:tabs>
        <w:spacing w:after="0" w:line="276" w:lineRule="auto"/>
        <w:ind w:left="0" w:firstLine="0"/>
        <w:contextualSpacing w:val="0"/>
        <w:jc w:val="both"/>
        <w:rPr>
          <w:rFonts w:ascii="Verdana" w:eastAsia="Calibri" w:hAnsi="Verdana" w:cs="Arial"/>
          <w:color w:val="7030A0"/>
        </w:rPr>
      </w:pPr>
      <w:r w:rsidRPr="00593A5F">
        <w:rPr>
          <w:rFonts w:ascii="Verdana" w:eastAsia="Century Gothic" w:hAnsi="Verdana" w:cs="Century Gothic"/>
          <w:b/>
          <w:bCs/>
        </w:rPr>
        <w:t>Razones de la respuesta:</w:t>
      </w:r>
    </w:p>
    <w:p w14:paraId="6E16BB79" w14:textId="77777777" w:rsidR="007F4029" w:rsidRDefault="007F4029" w:rsidP="007F4029">
      <w:pPr>
        <w:spacing w:after="0" w:line="276" w:lineRule="auto"/>
        <w:jc w:val="both"/>
        <w:rPr>
          <w:rFonts w:ascii="Verdana" w:eastAsia="Calibri" w:hAnsi="Verdana" w:cs="Arial"/>
          <w:lang w:val="es-ES" w:eastAsia="es-ES"/>
        </w:rPr>
      </w:pPr>
    </w:p>
    <w:p w14:paraId="0510347E" w14:textId="5BA6ADAA" w:rsidR="0099708A" w:rsidRPr="005B7C42" w:rsidRDefault="00FD0AA0" w:rsidP="0099708A">
      <w:pPr>
        <w:spacing w:after="0" w:line="276" w:lineRule="auto"/>
        <w:jc w:val="both"/>
        <w:rPr>
          <w:rFonts w:ascii="Verdana" w:eastAsia="Calibri" w:hAnsi="Verdana" w:cs="Arial"/>
        </w:rPr>
      </w:pPr>
      <w:r>
        <w:rPr>
          <w:rFonts w:ascii="Verdana" w:eastAsia="Calibri" w:hAnsi="Verdana" w:cs="Arial"/>
        </w:rPr>
        <w:t>L</w:t>
      </w:r>
      <w:r w:rsidR="0099708A" w:rsidRPr="005B7C42">
        <w:rPr>
          <w:rFonts w:ascii="Verdana" w:eastAsia="Calibri" w:hAnsi="Verdana" w:cs="Arial"/>
        </w:rPr>
        <w:t xml:space="preserve">o anterior se sustenta en las siguientes consideraciones: </w:t>
      </w:r>
    </w:p>
    <w:p w14:paraId="59BA701B" w14:textId="77777777" w:rsidR="0099708A" w:rsidRPr="00B36F85" w:rsidRDefault="0099708A" w:rsidP="0099708A">
      <w:pPr>
        <w:spacing w:after="0" w:line="276" w:lineRule="auto"/>
        <w:jc w:val="both"/>
        <w:rPr>
          <w:rFonts w:ascii="Verdana" w:eastAsia="Calibri" w:hAnsi="Verdana" w:cs="Arial"/>
        </w:rPr>
      </w:pPr>
    </w:p>
    <w:p w14:paraId="606BADB3" w14:textId="28E332FE" w:rsidR="0099708A" w:rsidRDefault="0099708A" w:rsidP="0099708A">
      <w:pPr>
        <w:spacing w:after="120" w:line="276" w:lineRule="auto"/>
        <w:jc w:val="both"/>
        <w:rPr>
          <w:rFonts w:ascii="Verdana" w:eastAsia="Times New Roman" w:hAnsi="Verdana" w:cs="Arial"/>
          <w:lang w:val="es-ES_tradnl" w:eastAsia="es-ES_tradnl"/>
        </w:rPr>
      </w:pPr>
      <w:r w:rsidRPr="00B36F85">
        <w:rPr>
          <w:rFonts w:ascii="Verdana" w:eastAsia="Calibri" w:hAnsi="Verdana" w:cs="Arial"/>
        </w:rPr>
        <w:t xml:space="preserve">i. </w:t>
      </w:r>
      <w:r w:rsidRPr="00D16A5E">
        <w:rPr>
          <w:rFonts w:ascii="Verdana" w:hAnsi="Verdana" w:cs="Arial"/>
          <w:noProof/>
          <w:lang w:val="es-ES_tradnl"/>
        </w:rPr>
        <w:t>L</w:t>
      </w:r>
      <w:r w:rsidRPr="00D16A5E">
        <w:rPr>
          <w:rFonts w:ascii="Verdana" w:eastAsia="Times New Roman" w:hAnsi="Verdana" w:cs="Arial"/>
        </w:rPr>
        <w:t>a regla de la subsanabilidad de las ofertas en los procedimientos de selección</w:t>
      </w:r>
      <w:r w:rsidRPr="00D16A5E">
        <w:rPr>
          <w:rFonts w:ascii="Verdana" w:eastAsia="Times New Roman" w:hAnsi="Verdana" w:cs="Arial"/>
          <w:b/>
          <w:bCs/>
        </w:rPr>
        <w:t xml:space="preserve"> </w:t>
      </w:r>
      <w:r w:rsidRPr="00D16A5E">
        <w:rPr>
          <w:rFonts w:ascii="Verdana" w:eastAsia="Times New Roman" w:hAnsi="Verdana" w:cs="Arial"/>
          <w:lang w:val="es-ES_tradnl" w:eastAsia="es-ES_tradnl"/>
        </w:rPr>
        <w:t>indica que, por regla general, la falta de entrega y los defectos en la acreditación de los requisitos habilitantes son aspectos subsanables. La excepción</w:t>
      </w:r>
      <w:r>
        <w:rPr>
          <w:rFonts w:ascii="Verdana" w:eastAsia="Times New Roman" w:hAnsi="Verdana" w:cs="Arial"/>
          <w:lang w:val="es-ES_tradnl" w:eastAsia="es-ES_tradnl"/>
        </w:rPr>
        <w:t xml:space="preserve"> a esta regla </w:t>
      </w:r>
      <w:r w:rsidRPr="00D16A5E">
        <w:rPr>
          <w:rFonts w:ascii="Verdana" w:eastAsia="Times New Roman" w:hAnsi="Verdana" w:cs="Arial"/>
          <w:lang w:val="es-ES_tradnl" w:eastAsia="es-ES_tradnl"/>
        </w:rPr>
        <w:t xml:space="preserve">se encuentra en la prohibición de permitir </w:t>
      </w:r>
      <w:r>
        <w:rPr>
          <w:rFonts w:ascii="Verdana" w:eastAsia="Times New Roman" w:hAnsi="Verdana" w:cs="Arial"/>
          <w:lang w:val="es-ES_tradnl" w:eastAsia="es-ES_tradnl"/>
        </w:rPr>
        <w:t xml:space="preserve">que se subsanen aspectos que otorgan puntaje, </w:t>
      </w:r>
      <w:r w:rsidRPr="00D16A5E">
        <w:rPr>
          <w:rFonts w:ascii="Verdana" w:eastAsia="Times New Roman" w:hAnsi="Verdana" w:cs="Arial"/>
          <w:lang w:val="es-ES_tradnl" w:eastAsia="es-ES_tradnl"/>
        </w:rPr>
        <w:t>la acreditación de circunstancias ocurridas con posterioridad al cierre del proceso</w:t>
      </w:r>
      <w:r>
        <w:rPr>
          <w:rFonts w:ascii="Verdana" w:eastAsia="Times New Roman" w:hAnsi="Verdana" w:cs="Arial"/>
          <w:lang w:val="es-ES_tradnl" w:eastAsia="es-ES_tradnl"/>
        </w:rPr>
        <w:t xml:space="preserve"> y de permitir </w:t>
      </w:r>
      <w:r w:rsidRPr="00D16A5E">
        <w:rPr>
          <w:rFonts w:ascii="Verdana" w:eastAsia="Times New Roman" w:hAnsi="Verdana" w:cs="Arial"/>
          <w:lang w:val="es-ES_tradnl" w:eastAsia="es-ES_tradnl"/>
        </w:rPr>
        <w:t>la entrega de la garantía de seriedad de la oferta que no fue aportada con la propuesta</w:t>
      </w:r>
      <w:r>
        <w:rPr>
          <w:rFonts w:ascii="Verdana" w:eastAsia="Times New Roman" w:hAnsi="Verdana" w:cs="Arial"/>
          <w:lang w:val="es-ES_tradnl" w:eastAsia="es-ES_tradnl"/>
        </w:rPr>
        <w:t>.</w:t>
      </w:r>
    </w:p>
    <w:p w14:paraId="1DF38977" w14:textId="77777777" w:rsidR="0099708A" w:rsidRDefault="0099708A" w:rsidP="0099708A">
      <w:pPr>
        <w:spacing w:after="120" w:line="276" w:lineRule="auto"/>
        <w:ind w:firstLine="708"/>
        <w:jc w:val="both"/>
        <w:rPr>
          <w:rFonts w:ascii="Verdana" w:eastAsia="Times New Roman" w:hAnsi="Verdana" w:cs="Arial"/>
          <w:lang w:val="es-ES" w:eastAsia="es-ES"/>
        </w:rPr>
      </w:pPr>
      <w:r>
        <w:rPr>
          <w:rFonts w:ascii="Verdana" w:eastAsia="Times New Roman" w:hAnsi="Verdana" w:cs="Arial"/>
          <w:lang w:val="es-ES_tradnl" w:eastAsia="es-ES_tradnl"/>
        </w:rPr>
        <w:t>L</w:t>
      </w:r>
      <w:r w:rsidRPr="00D16A5E">
        <w:rPr>
          <w:rFonts w:ascii="Verdana" w:eastAsia="Times New Roman" w:hAnsi="Verdana" w:cs="Arial"/>
          <w:lang w:val="es-ES_tradnl" w:eastAsia="es-ES_tradnl"/>
        </w:rPr>
        <w:t>a posibilidad de enmendar, corregir o subsanar los errores en los que se incurre en los documentos contentivos de la oferta es un tema que ha tenido diferentes momentos o etapas en el ordenamiento jurídico colombiano</w:t>
      </w:r>
      <w:r>
        <w:rPr>
          <w:rFonts w:ascii="Verdana" w:eastAsia="Times New Roman" w:hAnsi="Verdana" w:cs="Arial"/>
          <w:lang w:val="es-ES_tradnl" w:eastAsia="es-ES_tradnl"/>
        </w:rPr>
        <w:t>, momentos que se han expuesto de manera detallada en conceptos como el C-285 del 20 de mayo de 2022</w:t>
      </w:r>
      <w:r>
        <w:rPr>
          <w:rStyle w:val="Refdenotaalpie"/>
          <w:rFonts w:ascii="Verdana" w:eastAsia="Times New Roman" w:hAnsi="Verdana" w:cs="Arial"/>
          <w:lang w:val="es-ES_tradnl" w:eastAsia="es-ES_tradnl"/>
        </w:rPr>
        <w:footnoteReference w:id="1"/>
      </w:r>
      <w:r>
        <w:rPr>
          <w:rFonts w:ascii="Verdana" w:eastAsia="Times New Roman" w:hAnsi="Verdana" w:cs="Arial"/>
          <w:lang w:val="es-ES_tradnl" w:eastAsia="es-ES_tradnl"/>
        </w:rPr>
        <w:t xml:space="preserve"> o el C-447 del 19 de septiembre de 2024</w:t>
      </w:r>
      <w:r>
        <w:rPr>
          <w:rStyle w:val="Refdenotaalpie"/>
          <w:rFonts w:ascii="Verdana" w:eastAsia="Times New Roman" w:hAnsi="Verdana" w:cs="Arial"/>
          <w:lang w:val="es-ES_tradnl" w:eastAsia="es-ES_tradnl"/>
        </w:rPr>
        <w:footnoteReference w:id="2"/>
      </w:r>
      <w:r>
        <w:rPr>
          <w:rFonts w:ascii="Verdana" w:eastAsia="Times New Roman" w:hAnsi="Verdana" w:cs="Arial"/>
          <w:lang w:val="es-ES_tradnl" w:eastAsia="es-ES_tradnl"/>
        </w:rPr>
        <w:t xml:space="preserve"> los cuales, en el evento en que tenga interés, podrá consultar en los enlaces de la nota al pie</w:t>
      </w:r>
      <w:r w:rsidRPr="00D16A5E">
        <w:rPr>
          <w:rFonts w:ascii="Verdana" w:eastAsia="Times New Roman" w:hAnsi="Verdana" w:cs="Arial"/>
          <w:lang w:val="es-ES_tradnl" w:eastAsia="es-ES_tradnl"/>
        </w:rPr>
        <w:t>.</w:t>
      </w:r>
      <w:r>
        <w:rPr>
          <w:rFonts w:ascii="Verdana" w:eastAsia="Times New Roman" w:hAnsi="Verdana" w:cs="Arial"/>
          <w:lang w:val="es-ES_tradnl" w:eastAsia="es-ES_tradnl"/>
        </w:rPr>
        <w:t xml:space="preserve"> Sin embargo</w:t>
      </w:r>
      <w:r w:rsidRPr="00D16A5E">
        <w:rPr>
          <w:rFonts w:ascii="Verdana" w:eastAsia="Times New Roman" w:hAnsi="Verdana" w:cs="Arial"/>
          <w:lang w:val="es-ES" w:eastAsia="es-ES"/>
        </w:rPr>
        <w:t xml:space="preserve">, a continuación, se hará referencia </w:t>
      </w:r>
      <w:r>
        <w:rPr>
          <w:rFonts w:ascii="Verdana" w:eastAsia="Times New Roman" w:hAnsi="Verdana" w:cs="Arial"/>
          <w:lang w:val="es-ES" w:eastAsia="es-ES"/>
        </w:rPr>
        <w:t>particularmente al último momento, que refleja la postura vigente</w:t>
      </w:r>
      <w:r w:rsidRPr="00D16A5E">
        <w:rPr>
          <w:rFonts w:ascii="Verdana" w:eastAsia="Times New Roman" w:hAnsi="Verdana" w:cs="Arial"/>
          <w:lang w:val="es-ES" w:eastAsia="es-ES"/>
        </w:rPr>
        <w:t xml:space="preserve"> en torno a la subsanabilidad</w:t>
      </w:r>
      <w:r>
        <w:rPr>
          <w:rFonts w:ascii="Verdana" w:eastAsia="Times New Roman" w:hAnsi="Verdana" w:cs="Arial"/>
          <w:lang w:val="es-ES" w:eastAsia="es-ES"/>
        </w:rPr>
        <w:t>:</w:t>
      </w:r>
    </w:p>
    <w:p w14:paraId="22ED611D" w14:textId="77777777" w:rsidR="0099708A" w:rsidRPr="00D16A5E" w:rsidRDefault="0099708A" w:rsidP="0099708A">
      <w:pPr>
        <w:tabs>
          <w:tab w:val="left" w:pos="284"/>
        </w:tabs>
        <w:spacing w:after="0" w:line="276" w:lineRule="auto"/>
        <w:ind w:firstLine="709"/>
        <w:jc w:val="both"/>
        <w:rPr>
          <w:rFonts w:ascii="Verdana" w:eastAsia="Times New Roman" w:hAnsi="Verdana" w:cs="Arial"/>
          <w:lang w:val="es-ES_tradnl" w:eastAsia="es-CO"/>
        </w:rPr>
      </w:pPr>
      <w:r>
        <w:rPr>
          <w:rFonts w:ascii="Verdana" w:eastAsia="Times New Roman" w:hAnsi="Verdana" w:cs="Arial"/>
          <w:lang w:val="es-ES_tradnl" w:eastAsia="es-ES_tradnl"/>
        </w:rPr>
        <w:t xml:space="preserve">La expedición de la Ley </w:t>
      </w:r>
      <w:r w:rsidRPr="00D16A5E">
        <w:rPr>
          <w:rFonts w:ascii="Verdana" w:eastAsia="Times New Roman" w:hAnsi="Verdana" w:cs="Arial"/>
          <w:lang w:val="es-ES_tradnl" w:eastAsia="es-CO"/>
        </w:rPr>
        <w:t>1882 de 2018</w:t>
      </w:r>
      <w:r>
        <w:rPr>
          <w:rFonts w:ascii="Verdana" w:eastAsia="Times New Roman" w:hAnsi="Verdana" w:cs="Arial"/>
          <w:lang w:val="es-ES_tradnl" w:eastAsia="es-CO"/>
        </w:rPr>
        <w:t xml:space="preserve"> tuvo por finalidad la de </w:t>
      </w:r>
      <w:r w:rsidRPr="00D16A5E">
        <w:rPr>
          <w:rFonts w:ascii="Verdana" w:eastAsia="Times New Roman" w:hAnsi="Verdana" w:cs="Arial"/>
          <w:lang w:val="es-ES_tradnl" w:eastAsia="es-CO"/>
        </w:rPr>
        <w:t>introducir cambios y ajustes para fortalecer la contratación pública</w:t>
      </w:r>
      <w:r>
        <w:rPr>
          <w:rFonts w:ascii="Verdana" w:eastAsia="Times New Roman" w:hAnsi="Verdana" w:cs="Arial"/>
          <w:lang w:val="es-ES_tradnl" w:eastAsia="es-CO"/>
        </w:rPr>
        <w:t xml:space="preserve">. En ese orden, mediante su </w:t>
      </w:r>
      <w:r w:rsidRPr="00D16A5E">
        <w:rPr>
          <w:rFonts w:ascii="Verdana" w:eastAsia="Times New Roman" w:hAnsi="Verdana" w:cs="Arial"/>
          <w:lang w:val="es-ES_tradnl" w:eastAsia="es-CO"/>
        </w:rPr>
        <w:t xml:space="preserve">artículo 5 modificó el parágrafo 1º y adicionó algunos otros, entre ellos el </w:t>
      </w:r>
      <w:r>
        <w:rPr>
          <w:rFonts w:ascii="Verdana" w:eastAsia="Times New Roman" w:hAnsi="Verdana" w:cs="Arial"/>
          <w:lang w:val="es-ES_tradnl" w:eastAsia="es-CO"/>
        </w:rPr>
        <w:t>3</w:t>
      </w:r>
      <w:r w:rsidRPr="00D16A5E">
        <w:rPr>
          <w:rFonts w:ascii="Verdana" w:eastAsia="Times New Roman" w:hAnsi="Verdana" w:cs="Arial"/>
          <w:lang w:val="es-ES_tradnl" w:eastAsia="es-CO"/>
        </w:rPr>
        <w:t>°</w:t>
      </w:r>
      <w:r>
        <w:rPr>
          <w:rFonts w:ascii="Verdana" w:eastAsia="Times New Roman" w:hAnsi="Verdana" w:cs="Arial"/>
          <w:lang w:val="es-ES_tradnl" w:eastAsia="es-CO"/>
        </w:rPr>
        <w:t xml:space="preserve"> y </w:t>
      </w:r>
      <w:r w:rsidRPr="00D16A5E">
        <w:rPr>
          <w:rFonts w:ascii="Verdana" w:eastAsia="Times New Roman" w:hAnsi="Verdana" w:cs="Arial"/>
          <w:lang w:val="es-ES_tradnl" w:eastAsia="es-CO"/>
        </w:rPr>
        <w:t>4° del artículo 5 de la Ley 1150 de 2007</w:t>
      </w:r>
      <w:r>
        <w:rPr>
          <w:rFonts w:ascii="Verdana" w:eastAsia="Times New Roman" w:hAnsi="Verdana" w:cs="Arial"/>
          <w:lang w:val="es-ES_tradnl" w:eastAsia="es-CO"/>
        </w:rPr>
        <w:t>, en los siguientes términos</w:t>
      </w:r>
      <w:r w:rsidRPr="00D16A5E">
        <w:rPr>
          <w:rFonts w:ascii="Verdana" w:eastAsia="Times New Roman" w:hAnsi="Verdana" w:cs="Arial"/>
          <w:lang w:val="es-ES_tradnl" w:eastAsia="es-CO"/>
        </w:rPr>
        <w:t xml:space="preserve">: </w:t>
      </w:r>
    </w:p>
    <w:p w14:paraId="07B368EF" w14:textId="77777777" w:rsidR="0099708A" w:rsidRPr="000D2E9F" w:rsidRDefault="0099708A" w:rsidP="0099708A">
      <w:pPr>
        <w:spacing w:after="0" w:line="276" w:lineRule="auto"/>
        <w:ind w:left="709" w:right="709"/>
        <w:jc w:val="both"/>
        <w:rPr>
          <w:rFonts w:ascii="Verdana" w:eastAsia="Times New Roman" w:hAnsi="Verdana" w:cs="Arial"/>
          <w:lang w:val="es-ES_tradnl" w:eastAsia="es-CO"/>
        </w:rPr>
      </w:pPr>
    </w:p>
    <w:p w14:paraId="08CD52AC" w14:textId="77777777" w:rsidR="0099708A" w:rsidRPr="00556BC7" w:rsidRDefault="0099708A" w:rsidP="0099708A">
      <w:pPr>
        <w:spacing w:after="0" w:line="240" w:lineRule="auto"/>
        <w:ind w:left="709" w:right="709"/>
        <w:jc w:val="both"/>
        <w:rPr>
          <w:rFonts w:ascii="Verdana" w:eastAsia="Times New Roman" w:hAnsi="Verdana" w:cs="Arial"/>
          <w:sz w:val="20"/>
          <w:szCs w:val="20"/>
          <w:lang w:val="es-ES_tradnl" w:eastAsia="es-CO"/>
        </w:rPr>
      </w:pPr>
      <w:r>
        <w:rPr>
          <w:rFonts w:ascii="Verdana" w:eastAsia="Times New Roman" w:hAnsi="Verdana" w:cs="Arial"/>
          <w:sz w:val="20"/>
          <w:szCs w:val="20"/>
          <w:lang w:val="es-ES_tradnl" w:eastAsia="es-CO"/>
        </w:rPr>
        <w:lastRenderedPageBreak/>
        <w:t>“</w:t>
      </w:r>
      <w:r w:rsidRPr="00556BC7">
        <w:rPr>
          <w:rFonts w:ascii="Verdana" w:eastAsia="Times New Roman" w:hAnsi="Verdana" w:cs="Arial"/>
          <w:sz w:val="20"/>
          <w:szCs w:val="20"/>
          <w:lang w:val="es-ES_tradnl" w:eastAsia="es-CO"/>
        </w:rPr>
        <w:t xml:space="preserve">Artículo 5°. De la selección objetiva. </w:t>
      </w:r>
    </w:p>
    <w:p w14:paraId="47E94CA7" w14:textId="77777777" w:rsidR="0099708A" w:rsidRDefault="0099708A" w:rsidP="0099708A">
      <w:pPr>
        <w:pStyle w:val="paragraph"/>
        <w:spacing w:before="0" w:beforeAutospacing="0" w:after="0" w:afterAutospacing="0"/>
        <w:ind w:left="709" w:right="709"/>
        <w:jc w:val="both"/>
        <w:textAlignment w:val="baseline"/>
        <w:rPr>
          <w:rStyle w:val="normaltextrun"/>
          <w:rFonts w:ascii="Verdana" w:eastAsiaTheme="majorEastAsia" w:hAnsi="Verdana" w:cs="Arial"/>
          <w:color w:val="000000"/>
          <w:sz w:val="20"/>
          <w:szCs w:val="20"/>
          <w:lang w:val="es-ES"/>
        </w:rPr>
      </w:pPr>
    </w:p>
    <w:p w14:paraId="5C2E7709" w14:textId="77777777" w:rsidR="0099708A" w:rsidRPr="00556BC7" w:rsidRDefault="0099708A" w:rsidP="0099708A">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eastAsiaTheme="majorEastAsia" w:hAnsi="Verdana" w:cs="Arial"/>
          <w:color w:val="000000"/>
          <w:sz w:val="20"/>
          <w:szCs w:val="20"/>
          <w:lang w:val="es-ES"/>
        </w:rPr>
        <w:t>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r w:rsidRPr="00556BC7">
        <w:rPr>
          <w:rStyle w:val="eop"/>
          <w:rFonts w:ascii="Verdana" w:hAnsi="Verdana" w:cs="Arial"/>
          <w:color w:val="000000"/>
          <w:sz w:val="20"/>
          <w:szCs w:val="20"/>
        </w:rPr>
        <w:t> </w:t>
      </w:r>
    </w:p>
    <w:p w14:paraId="7D998256" w14:textId="77777777" w:rsidR="0099708A" w:rsidRPr="00556BC7" w:rsidRDefault="0099708A" w:rsidP="0099708A">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052A16EE" w14:textId="77777777" w:rsidR="0099708A" w:rsidRPr="00556BC7" w:rsidRDefault="0099708A" w:rsidP="0099708A">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eastAsiaTheme="majorEastAsia" w:hAnsi="Verdana" w:cs="Arial"/>
          <w:color w:val="000000"/>
          <w:sz w:val="20"/>
          <w:szCs w:val="20"/>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Pr="00556BC7">
        <w:rPr>
          <w:rStyle w:val="eop"/>
          <w:rFonts w:ascii="Verdana" w:hAnsi="Verdana" w:cs="Arial"/>
          <w:color w:val="000000"/>
          <w:sz w:val="20"/>
          <w:szCs w:val="20"/>
        </w:rPr>
        <w:t> </w:t>
      </w:r>
    </w:p>
    <w:p w14:paraId="3ABE5B57" w14:textId="77777777" w:rsidR="0099708A" w:rsidRPr="00556BC7" w:rsidRDefault="0099708A" w:rsidP="0099708A">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33C2D8E5" w14:textId="77777777" w:rsidR="0099708A" w:rsidRPr="00556BC7" w:rsidRDefault="0099708A" w:rsidP="0099708A">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eastAsiaTheme="majorEastAsia" w:hAnsi="Verdana" w:cs="Arial"/>
          <w:color w:val="000000"/>
          <w:sz w:val="20"/>
          <w:szCs w:val="20"/>
          <w:lang w:val="es-ES"/>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r w:rsidRPr="00556BC7">
        <w:rPr>
          <w:rStyle w:val="eop"/>
          <w:rFonts w:ascii="Verdana" w:hAnsi="Verdana" w:cs="Arial"/>
          <w:color w:val="000000"/>
          <w:sz w:val="20"/>
          <w:szCs w:val="20"/>
        </w:rPr>
        <w:t> </w:t>
      </w:r>
    </w:p>
    <w:p w14:paraId="55079D2F" w14:textId="77777777" w:rsidR="0099708A" w:rsidRPr="00556BC7" w:rsidRDefault="0099708A" w:rsidP="0099708A">
      <w:pPr>
        <w:pStyle w:val="paragraph"/>
        <w:spacing w:before="0" w:beforeAutospacing="0" w:after="0" w:afterAutospacing="0"/>
        <w:ind w:left="709" w:right="709"/>
        <w:jc w:val="both"/>
        <w:textAlignment w:val="baseline"/>
        <w:rPr>
          <w:rFonts w:ascii="Verdana" w:hAnsi="Verdana" w:cs="Segoe UI"/>
          <w:sz w:val="20"/>
          <w:szCs w:val="20"/>
        </w:rPr>
      </w:pPr>
    </w:p>
    <w:p w14:paraId="202605AB" w14:textId="77777777" w:rsidR="0099708A" w:rsidRPr="00556BC7" w:rsidRDefault="0099708A" w:rsidP="0099708A">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eastAsiaTheme="majorEastAsia" w:hAnsi="Verdana" w:cs="Arial"/>
          <w:color w:val="000000"/>
          <w:sz w:val="20"/>
          <w:szCs w:val="20"/>
          <w:lang w:val="es-ES"/>
        </w:rPr>
        <w:t>En los procesos de selección en los que se tenga en cuenta los factores técnicos y económicos, la oferta más ventajosa será la que resulte de aplicar alguna de las siguientes alternativas:</w:t>
      </w:r>
      <w:r w:rsidRPr="00556BC7">
        <w:rPr>
          <w:rStyle w:val="eop"/>
          <w:rFonts w:ascii="Verdana" w:hAnsi="Verdana" w:cs="Arial"/>
          <w:color w:val="000000"/>
          <w:sz w:val="20"/>
          <w:szCs w:val="20"/>
        </w:rPr>
        <w:t> </w:t>
      </w:r>
    </w:p>
    <w:p w14:paraId="6DB432AE" w14:textId="77777777" w:rsidR="0099708A" w:rsidRPr="00556BC7" w:rsidRDefault="0099708A" w:rsidP="0099708A">
      <w:pPr>
        <w:pStyle w:val="paragraph"/>
        <w:spacing w:before="0" w:beforeAutospacing="0" w:after="0" w:afterAutospacing="0"/>
        <w:ind w:left="709" w:right="709"/>
        <w:jc w:val="both"/>
        <w:textAlignment w:val="baseline"/>
        <w:rPr>
          <w:rFonts w:ascii="Verdana" w:hAnsi="Verdana" w:cs="Segoe UI"/>
          <w:sz w:val="20"/>
          <w:szCs w:val="20"/>
        </w:rPr>
      </w:pPr>
    </w:p>
    <w:p w14:paraId="35093AF1" w14:textId="77777777" w:rsidR="0099708A" w:rsidRPr="00556BC7" w:rsidRDefault="0099708A" w:rsidP="0099708A">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eastAsiaTheme="majorEastAsia" w:hAnsi="Verdana" w:cs="Arial"/>
          <w:color w:val="000000"/>
          <w:sz w:val="20"/>
          <w:szCs w:val="20"/>
          <w:lang w:val="es-ES"/>
        </w:rPr>
        <w:t>a) La ponderación de los elementos de calidad y precio soportados en puntajes o fórmulas señaladas en el pliego de condiciones; o</w:t>
      </w:r>
    </w:p>
    <w:p w14:paraId="3E270173" w14:textId="77777777" w:rsidR="0099708A" w:rsidRPr="00556BC7" w:rsidRDefault="0099708A" w:rsidP="0099708A">
      <w:pPr>
        <w:pStyle w:val="paragraph"/>
        <w:spacing w:before="0" w:beforeAutospacing="0" w:after="0" w:afterAutospacing="0"/>
        <w:ind w:left="709" w:right="709"/>
        <w:jc w:val="both"/>
        <w:textAlignment w:val="baseline"/>
        <w:rPr>
          <w:rFonts w:ascii="Verdana" w:hAnsi="Verdana" w:cs="Segoe UI"/>
          <w:sz w:val="20"/>
          <w:szCs w:val="20"/>
        </w:rPr>
      </w:pPr>
    </w:p>
    <w:p w14:paraId="796F60B5" w14:textId="77777777" w:rsidR="0099708A" w:rsidRPr="00556BC7" w:rsidRDefault="0099708A" w:rsidP="0099708A">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eastAsiaTheme="majorEastAsia" w:hAnsi="Verdana" w:cs="Arial"/>
          <w:color w:val="000000"/>
          <w:sz w:val="20"/>
          <w:szCs w:val="20"/>
          <w:lang w:val="es-ES"/>
        </w:rPr>
        <w:t>b) La ponderación de los elementos de calidad y precio que representen la mejor relación de costo-beneficio para la entidad.</w:t>
      </w:r>
      <w:r w:rsidRPr="00556BC7">
        <w:rPr>
          <w:rStyle w:val="eop"/>
          <w:rFonts w:ascii="Verdana" w:hAnsi="Verdana" w:cs="Arial"/>
          <w:color w:val="000000"/>
          <w:sz w:val="20"/>
          <w:szCs w:val="20"/>
        </w:rPr>
        <w:t> </w:t>
      </w:r>
    </w:p>
    <w:p w14:paraId="40DDE7FB" w14:textId="77777777" w:rsidR="0099708A" w:rsidRPr="00556BC7" w:rsidRDefault="0099708A" w:rsidP="0099708A">
      <w:pPr>
        <w:pStyle w:val="paragraph"/>
        <w:spacing w:before="0" w:beforeAutospacing="0" w:after="0" w:afterAutospacing="0"/>
        <w:ind w:left="709" w:right="709"/>
        <w:jc w:val="both"/>
        <w:textAlignment w:val="baseline"/>
        <w:rPr>
          <w:rFonts w:ascii="Verdana" w:hAnsi="Verdana" w:cs="Segoe UI"/>
          <w:sz w:val="20"/>
          <w:szCs w:val="20"/>
        </w:rPr>
      </w:pPr>
    </w:p>
    <w:p w14:paraId="1C195523" w14:textId="77777777" w:rsidR="0099708A" w:rsidRPr="00556BC7" w:rsidRDefault="0099708A" w:rsidP="0099708A">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eastAsiaTheme="majorEastAsia" w:hAnsi="Verdana" w:cs="Arial"/>
          <w:color w:val="000000"/>
          <w:sz w:val="20"/>
          <w:szCs w:val="20"/>
          <w:lang w:val="es-ES"/>
        </w:rPr>
        <w:lastRenderedPageBreak/>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r w:rsidRPr="00556BC7">
        <w:rPr>
          <w:rStyle w:val="eop"/>
          <w:rFonts w:ascii="Verdana" w:hAnsi="Verdana" w:cs="Arial"/>
          <w:color w:val="000000"/>
          <w:sz w:val="20"/>
          <w:szCs w:val="20"/>
        </w:rPr>
        <w:t> </w:t>
      </w:r>
    </w:p>
    <w:p w14:paraId="12E3E819" w14:textId="77777777" w:rsidR="0099708A" w:rsidRPr="00556BC7" w:rsidRDefault="0099708A" w:rsidP="0099708A">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4C4BCC64" w14:textId="77777777" w:rsidR="0099708A" w:rsidRPr="00556BC7" w:rsidRDefault="0099708A" w:rsidP="0099708A">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eastAsiaTheme="majorEastAsia" w:hAnsi="Verdana" w:cs="Arial"/>
          <w:color w:val="000000"/>
          <w:sz w:val="20"/>
          <w:szCs w:val="20"/>
          <w:lang w:val="es-ES"/>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r w:rsidRPr="00556BC7">
        <w:rPr>
          <w:rStyle w:val="eop"/>
          <w:rFonts w:ascii="Verdana" w:hAnsi="Verdana" w:cs="Arial"/>
          <w:color w:val="000000"/>
          <w:sz w:val="20"/>
          <w:szCs w:val="20"/>
        </w:rPr>
        <w:t> </w:t>
      </w:r>
    </w:p>
    <w:p w14:paraId="12ECF2D8" w14:textId="77777777" w:rsidR="0099708A" w:rsidRPr="00556BC7" w:rsidRDefault="0099708A" w:rsidP="0099708A">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272D0C21" w14:textId="77777777" w:rsidR="0099708A" w:rsidRPr="00556BC7" w:rsidRDefault="0099708A" w:rsidP="0099708A">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eastAsiaTheme="majorEastAsia" w:hAnsi="Verdana" w:cs="Arial"/>
          <w:color w:val="000000"/>
          <w:sz w:val="20"/>
          <w:szCs w:val="20"/>
          <w:lang w:val="es-ES"/>
        </w:rPr>
        <w:t>En ningún caso se podrá incluir el precio, como factor de escogencia para la selección de consultores.</w:t>
      </w:r>
      <w:r w:rsidRPr="00556BC7">
        <w:rPr>
          <w:rStyle w:val="eop"/>
          <w:rFonts w:ascii="Verdana" w:hAnsi="Verdana" w:cs="Arial"/>
          <w:color w:val="000000"/>
          <w:sz w:val="20"/>
          <w:szCs w:val="20"/>
        </w:rPr>
        <w:t> </w:t>
      </w:r>
    </w:p>
    <w:p w14:paraId="063728A8" w14:textId="77777777" w:rsidR="0099708A" w:rsidRPr="00556BC7" w:rsidRDefault="0099708A" w:rsidP="0099708A">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0D1F6045" w14:textId="77777777" w:rsidR="0099708A" w:rsidRPr="00556BC7" w:rsidRDefault="0099708A" w:rsidP="0099708A">
      <w:pPr>
        <w:pStyle w:val="paragraph"/>
        <w:spacing w:before="0" w:beforeAutospacing="0" w:after="0" w:afterAutospacing="0"/>
        <w:ind w:left="709" w:right="709"/>
        <w:jc w:val="both"/>
        <w:textAlignment w:val="baseline"/>
        <w:rPr>
          <w:rFonts w:ascii="Verdana" w:hAnsi="Verdana" w:cs="Segoe UI"/>
          <w:sz w:val="20"/>
          <w:szCs w:val="20"/>
        </w:rPr>
      </w:pPr>
      <w:r w:rsidRPr="005009EC">
        <w:rPr>
          <w:rStyle w:val="normaltextrun"/>
          <w:rFonts w:ascii="Verdana" w:eastAsiaTheme="majorEastAsia" w:hAnsi="Verdana" w:cs="Arial"/>
          <w:color w:val="000000"/>
          <w:sz w:val="20"/>
          <w:szCs w:val="20"/>
          <w:u w:val="single"/>
          <w:lang w:val="es-ES"/>
        </w:rPr>
        <w:t>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w:t>
      </w:r>
      <w:r w:rsidRPr="00556BC7">
        <w:rPr>
          <w:rStyle w:val="normaltextrun"/>
          <w:rFonts w:ascii="Verdana" w:eastAsiaTheme="majorEastAsia" w:hAnsi="Verdana" w:cs="Arial"/>
          <w:color w:val="000000"/>
          <w:sz w:val="20"/>
          <w:szCs w:val="20"/>
          <w:lang w:val="es-ES"/>
        </w:rPr>
        <w:t xml:space="preserve">, salvo lo dispuesto para el proceso de Mínima cuantía y para el proceso de selección a través del sistema de subasta. </w:t>
      </w:r>
      <w:r w:rsidRPr="005009EC">
        <w:rPr>
          <w:rStyle w:val="normaltextrun"/>
          <w:rFonts w:ascii="Verdana" w:eastAsiaTheme="majorEastAsia" w:hAnsi="Verdana" w:cs="Arial"/>
          <w:color w:val="000000"/>
          <w:sz w:val="20"/>
          <w:szCs w:val="20"/>
          <w:u w:val="single"/>
          <w:lang w:val="es-ES"/>
        </w:rPr>
        <w:t>Serán rechazadas las ofertas de aquellos proponentes que no suministren la información y la documentación solicitada por la entidad estatal hasta el plazo anteriormente señalado.</w:t>
      </w:r>
      <w:r w:rsidRPr="005009EC">
        <w:rPr>
          <w:rStyle w:val="eop"/>
          <w:rFonts w:ascii="Verdana" w:hAnsi="Verdana" w:cs="Arial"/>
          <w:color w:val="000000"/>
          <w:sz w:val="20"/>
          <w:szCs w:val="20"/>
          <w:u w:val="single"/>
        </w:rPr>
        <w:t> </w:t>
      </w:r>
    </w:p>
    <w:p w14:paraId="07BCE321" w14:textId="77777777" w:rsidR="0099708A" w:rsidRPr="00556BC7" w:rsidRDefault="0099708A" w:rsidP="0099708A">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746214F8" w14:textId="77777777" w:rsidR="0099708A" w:rsidRPr="00556BC7" w:rsidRDefault="0099708A" w:rsidP="0099708A">
      <w:pPr>
        <w:pStyle w:val="paragraph"/>
        <w:spacing w:before="0" w:beforeAutospacing="0" w:after="0" w:afterAutospacing="0"/>
        <w:ind w:left="709" w:right="709"/>
        <w:jc w:val="both"/>
        <w:textAlignment w:val="baseline"/>
        <w:rPr>
          <w:rFonts w:ascii="Verdana" w:hAnsi="Verdana" w:cs="Segoe UI"/>
          <w:sz w:val="20"/>
          <w:szCs w:val="20"/>
        </w:rPr>
      </w:pPr>
      <w:r w:rsidRPr="005009EC">
        <w:rPr>
          <w:rStyle w:val="normaltextrun"/>
          <w:rFonts w:ascii="Verdana" w:eastAsiaTheme="majorEastAsia" w:hAnsi="Verdana" w:cs="Arial"/>
          <w:color w:val="000000"/>
          <w:sz w:val="20"/>
          <w:szCs w:val="20"/>
          <w:u w:val="single"/>
          <w:lang w:val="es-ES"/>
        </w:rPr>
        <w:t>Durante el término otorgado para subsanar las ofertas, los proponentes no podrán acreditar circunstancias ocurridas con posterioridad al cierre del proceso.</w:t>
      </w:r>
      <w:r w:rsidRPr="00556BC7">
        <w:rPr>
          <w:rStyle w:val="eop"/>
          <w:rFonts w:ascii="Verdana" w:hAnsi="Verdana" w:cs="Arial"/>
          <w:color w:val="000000"/>
          <w:sz w:val="20"/>
          <w:szCs w:val="20"/>
        </w:rPr>
        <w:t> </w:t>
      </w:r>
    </w:p>
    <w:p w14:paraId="71CB5FD5" w14:textId="77777777" w:rsidR="0099708A" w:rsidRPr="00556BC7" w:rsidRDefault="0099708A" w:rsidP="0099708A">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2228643E" w14:textId="77777777" w:rsidR="0099708A" w:rsidRPr="00556BC7" w:rsidRDefault="0099708A" w:rsidP="0099708A">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eastAsiaTheme="majorEastAsia" w:hAnsi="Verdana" w:cs="Arial"/>
          <w:color w:val="000000"/>
          <w:sz w:val="20"/>
          <w:szCs w:val="20"/>
          <w:lang w:val="es-ES"/>
        </w:rPr>
        <w:t>PARÁGRAFO 2o. Las certificaciones de sistemas de gestión de calidad no serán objeto de calificación, ni podrán establecerse como documento habilitante para participar en licitaciones o concursos.</w:t>
      </w:r>
      <w:r w:rsidRPr="00556BC7">
        <w:rPr>
          <w:rStyle w:val="eop"/>
          <w:rFonts w:ascii="Verdana" w:hAnsi="Verdana" w:cs="Arial"/>
          <w:color w:val="000000"/>
          <w:sz w:val="20"/>
          <w:szCs w:val="20"/>
        </w:rPr>
        <w:t> </w:t>
      </w:r>
    </w:p>
    <w:p w14:paraId="029A6DBA" w14:textId="77777777" w:rsidR="0099708A" w:rsidRPr="00556BC7" w:rsidRDefault="0099708A" w:rsidP="0099708A">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79702BD1" w14:textId="77777777" w:rsidR="0099708A" w:rsidRPr="005009EC" w:rsidRDefault="0099708A" w:rsidP="0099708A">
      <w:pPr>
        <w:pStyle w:val="paragraph"/>
        <w:spacing w:before="0" w:beforeAutospacing="0" w:after="0" w:afterAutospacing="0"/>
        <w:ind w:left="709" w:right="709"/>
        <w:jc w:val="both"/>
        <w:textAlignment w:val="baseline"/>
        <w:rPr>
          <w:rFonts w:ascii="Verdana" w:hAnsi="Verdana" w:cs="Segoe UI"/>
          <w:sz w:val="20"/>
          <w:szCs w:val="20"/>
          <w:u w:val="single"/>
        </w:rPr>
      </w:pPr>
      <w:r w:rsidRPr="005009EC">
        <w:rPr>
          <w:rStyle w:val="normaltextrun"/>
          <w:rFonts w:ascii="Verdana" w:eastAsiaTheme="majorEastAsia" w:hAnsi="Verdana" w:cs="Arial"/>
          <w:color w:val="000000"/>
          <w:sz w:val="20"/>
          <w:szCs w:val="20"/>
          <w:u w:val="single"/>
          <w:lang w:val="es-ES"/>
        </w:rPr>
        <w:t>PARÁGRAFO 3o. &lt;Parágrafo adicionado por el artículo 5 de la Ley 1882 de 2018. El nuevo texto es el siguiente:&gt; La no entrega de la garantía de seriedad junto con la propuesta no será subsanable y será causal de rechazo de la misma.</w:t>
      </w:r>
      <w:r w:rsidRPr="005009EC">
        <w:rPr>
          <w:rStyle w:val="eop"/>
          <w:rFonts w:ascii="Verdana" w:hAnsi="Verdana" w:cs="Arial"/>
          <w:color w:val="000000"/>
          <w:sz w:val="20"/>
          <w:szCs w:val="20"/>
          <w:u w:val="single"/>
        </w:rPr>
        <w:t> </w:t>
      </w:r>
    </w:p>
    <w:p w14:paraId="5F4DFA6C" w14:textId="77777777" w:rsidR="0099708A" w:rsidRPr="00556BC7" w:rsidRDefault="0099708A" w:rsidP="0099708A">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4D8CD7A0" w14:textId="77777777" w:rsidR="0099708A" w:rsidRPr="00556BC7" w:rsidRDefault="0099708A" w:rsidP="0099708A">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eastAsiaTheme="majorEastAsia" w:hAnsi="Verdana" w:cs="Arial"/>
          <w:color w:val="000000"/>
          <w:sz w:val="20"/>
          <w:szCs w:val="20"/>
          <w:lang w:val="es-ES"/>
        </w:rPr>
        <w:t xml:space="preserve">PARÁGRAFO 4o. &lt;Parágrafo adicionado por el artículo 5 de la Ley 1882 de 2018. El nuevo texto es el siguiente:&gt; En aquellos procesos de selección </w:t>
      </w:r>
      <w:r w:rsidRPr="00556BC7">
        <w:rPr>
          <w:rStyle w:val="normaltextrun"/>
          <w:rFonts w:ascii="Verdana" w:eastAsiaTheme="majorEastAsia" w:hAnsi="Verdana" w:cs="Arial"/>
          <w:color w:val="000000"/>
          <w:sz w:val="20"/>
          <w:szCs w:val="20"/>
          <w:lang w:val="es-ES"/>
        </w:rPr>
        <w:lastRenderedPageBreak/>
        <w:t>en los que se utilice el mecanismo de subasta, los documentos referentes a la futura contratación o al proponente, no necesarios para la comparación de las propuestas, deberán ser solicitados hasta el momento previo a su realización.</w:t>
      </w:r>
      <w:r w:rsidRPr="00556BC7">
        <w:rPr>
          <w:rStyle w:val="eop"/>
          <w:rFonts w:ascii="Verdana" w:hAnsi="Verdana" w:cs="Arial"/>
          <w:color w:val="000000"/>
          <w:sz w:val="20"/>
          <w:szCs w:val="20"/>
        </w:rPr>
        <w:t> </w:t>
      </w:r>
    </w:p>
    <w:p w14:paraId="2F38FF86" w14:textId="77777777" w:rsidR="0099708A" w:rsidRPr="00556BC7" w:rsidRDefault="0099708A" w:rsidP="0099708A">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38AF8ED2" w14:textId="77777777" w:rsidR="0099708A" w:rsidRPr="00556BC7" w:rsidRDefault="0099708A" w:rsidP="0099708A">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eastAsiaTheme="majorEastAsia" w:hAnsi="Verdana" w:cs="Arial"/>
          <w:color w:val="000000"/>
          <w:sz w:val="20"/>
          <w:szCs w:val="20"/>
          <w:lang w:val="es-ES"/>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w:t>
      </w:r>
      <w:r>
        <w:rPr>
          <w:rStyle w:val="normaltextrun"/>
          <w:rFonts w:ascii="Verdana" w:eastAsiaTheme="majorEastAsia" w:hAnsi="Verdana" w:cs="Arial"/>
          <w:color w:val="000000"/>
          <w:sz w:val="20"/>
          <w:szCs w:val="20"/>
          <w:lang w:val="es-ES"/>
        </w:rPr>
        <w:t>”. [Subrayado por fuera de texto original]</w:t>
      </w:r>
    </w:p>
    <w:p w14:paraId="4206F1A5" w14:textId="77777777" w:rsidR="0099708A" w:rsidRPr="00556BC7" w:rsidRDefault="0099708A" w:rsidP="0099708A">
      <w:pPr>
        <w:spacing w:after="0" w:line="276" w:lineRule="auto"/>
        <w:ind w:left="709" w:right="709"/>
        <w:jc w:val="both"/>
        <w:rPr>
          <w:rFonts w:ascii="Verdana" w:eastAsia="Times New Roman" w:hAnsi="Verdana" w:cs="Arial"/>
          <w:lang w:eastAsia="es-CO"/>
        </w:rPr>
      </w:pPr>
    </w:p>
    <w:p w14:paraId="1F711B3D" w14:textId="77777777" w:rsidR="0099708A" w:rsidRPr="00D16A5E" w:rsidRDefault="0099708A" w:rsidP="0099708A">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Como puede observarse, la Ley 1882 de 2018: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w:t>
      </w:r>
      <w:r>
        <w:rPr>
          <w:rFonts w:ascii="Verdana" w:eastAsia="Times New Roman" w:hAnsi="Verdana" w:cs="Arial"/>
          <w:lang w:val="es-ES" w:eastAsia="es-ES"/>
        </w:rPr>
        <w:t>e</w:t>
      </w:r>
      <w:r w:rsidRPr="00D16A5E">
        <w:rPr>
          <w:rFonts w:ascii="Verdana" w:eastAsia="Times New Roman" w:hAnsi="Verdana" w:cs="Arial"/>
          <w:lang w:val="es-ES" w:eastAsia="es-ES"/>
        </w:rPr>
        <w:t xml:space="preserve">, iii) introduce modificaciones en relación con algunos aspectos que se analizarán a continuación. </w:t>
      </w:r>
    </w:p>
    <w:p w14:paraId="512EB3E6" w14:textId="77777777" w:rsidR="0099708A" w:rsidRPr="00D16A5E" w:rsidRDefault="0099708A" w:rsidP="0099708A">
      <w:pPr>
        <w:spacing w:after="120" w:line="276" w:lineRule="auto"/>
        <w:ind w:right="51" w:firstLine="709"/>
        <w:jc w:val="both"/>
        <w:rPr>
          <w:rFonts w:ascii="Verdana" w:eastAsia="Times New Roman" w:hAnsi="Verdana" w:cs="Arial"/>
          <w:lang w:val="es-ES_tradnl" w:eastAsia="es-ES_tradnl"/>
        </w:rPr>
      </w:pPr>
      <w:r>
        <w:rPr>
          <w:rFonts w:ascii="Verdana" w:eastAsia="Times New Roman" w:hAnsi="Verdana" w:cs="Arial"/>
          <w:i/>
          <w:iCs/>
          <w:lang w:val="es-ES_tradnl" w:eastAsia="es-ES_tradnl"/>
        </w:rPr>
        <w:t>La</w:t>
      </w:r>
      <w:r w:rsidRPr="00D16A5E">
        <w:rPr>
          <w:rFonts w:ascii="Verdana" w:eastAsia="Times New Roman" w:hAnsi="Verdana" w:cs="Arial"/>
          <w:i/>
          <w:iCs/>
          <w:lang w:val="es-ES_tradnl" w:eastAsia="es-ES_tradnl"/>
        </w:rPr>
        <w:t xml:space="preserve"> primer</w:t>
      </w:r>
      <w:r>
        <w:rPr>
          <w:rFonts w:ascii="Verdana" w:eastAsia="Times New Roman" w:hAnsi="Verdana" w:cs="Arial"/>
          <w:i/>
          <w:iCs/>
          <w:lang w:val="es-ES_tradnl" w:eastAsia="es-ES_tradnl"/>
        </w:rPr>
        <w:t xml:space="preserve">a modificación </w:t>
      </w:r>
      <w:r>
        <w:rPr>
          <w:rFonts w:ascii="Verdana" w:eastAsia="Times New Roman" w:hAnsi="Verdana" w:cs="Arial"/>
          <w:lang w:val="es-ES_tradnl" w:eastAsia="es-ES_tradnl"/>
        </w:rPr>
        <w:t xml:space="preserve">está relacionada con </w:t>
      </w:r>
      <w:r w:rsidRPr="00D16A5E">
        <w:rPr>
          <w:rFonts w:ascii="Verdana" w:eastAsia="Times New Roman" w:hAnsi="Verdana" w:cs="Arial"/>
          <w:lang w:val="es-ES_tradnl" w:eastAsia="es-ES_tradnl"/>
        </w:rPr>
        <w:t>el ámbito temporal para ejercer la facultad de subsanar la oferta, pues la Ley 1882 de 2018 fijó una regla general y una excepción. La regla general es que</w:t>
      </w:r>
      <w:r>
        <w:rPr>
          <w:rFonts w:ascii="Verdana" w:eastAsia="Times New Roman" w:hAnsi="Verdana" w:cs="Arial"/>
          <w:lang w:val="es-ES_tradnl" w:eastAsia="es-ES_tradnl"/>
        </w:rPr>
        <w:t>,</w:t>
      </w:r>
      <w:r w:rsidRPr="00D16A5E">
        <w:rPr>
          <w:rFonts w:ascii="Verdana" w:eastAsia="Times New Roman" w:hAnsi="Verdana" w:cs="Arial"/>
          <w:lang w:val="es-ES_tradnl" w:eastAsia="es-ES_tradnl"/>
        </w:rPr>
        <w:t xml:space="preserv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D16A5E">
        <w:rPr>
          <w:rFonts w:ascii="Verdana" w:eastAsia="Times New Roman" w:hAnsi="Verdana" w:cs="Arial"/>
          <w:vertAlign w:val="superscript"/>
          <w:lang w:val="es-ES_tradnl" w:eastAsia="es-ES_tradnl"/>
        </w:rPr>
        <w:footnoteReference w:id="3"/>
      </w:r>
      <w:r>
        <w:rPr>
          <w:rFonts w:ascii="Verdana" w:eastAsia="Times New Roman" w:hAnsi="Verdana" w:cs="Arial"/>
          <w:lang w:val="es-ES_tradnl" w:eastAsia="es-ES_tradnl"/>
        </w:rPr>
        <w:t>.</w:t>
      </w:r>
    </w:p>
    <w:p w14:paraId="07B85600" w14:textId="77777777" w:rsidR="0099708A" w:rsidRPr="00D16A5E" w:rsidRDefault="0099708A" w:rsidP="0099708A">
      <w:pPr>
        <w:spacing w:after="120" w:line="276" w:lineRule="auto"/>
        <w:ind w:firstLine="709"/>
        <w:jc w:val="both"/>
        <w:rPr>
          <w:rFonts w:ascii="Verdana" w:eastAsia="Times New Roman" w:hAnsi="Verdana" w:cs="Arial"/>
          <w:lang w:val="es-ES" w:eastAsia="es-ES"/>
        </w:rPr>
      </w:pPr>
      <w:r w:rsidRPr="2C80D0D5">
        <w:rPr>
          <w:rFonts w:ascii="Verdana" w:eastAsia="Times New Roman" w:hAnsi="Verdana" w:cs="Arial"/>
          <w:lang w:val="es-ES" w:eastAsia="es-ES"/>
        </w:rPr>
        <w:t>Frente a la regla general aplicable a los demás procesos de selección, la norma fijó un límite final para que la Administración y los oferentes subsanen los requisitos o documentos que puedan y deban ser subsanados. No obstante, lo anterior,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Pr="2C80D0D5">
        <w:rPr>
          <w:rFonts w:ascii="Verdana" w:eastAsia="Times New Roman" w:hAnsi="Verdana" w:cs="Arial"/>
          <w:i/>
          <w:iCs/>
          <w:lang w:val="es-ES" w:eastAsia="es-ES"/>
        </w:rPr>
        <w:t xml:space="preserve">deberán ser solicitados por las entidades estatales y deberán ser </w:t>
      </w:r>
      <w:r w:rsidRPr="2C80D0D5">
        <w:rPr>
          <w:rFonts w:ascii="Verdana" w:eastAsia="Times New Roman" w:hAnsi="Verdana" w:cs="Arial"/>
          <w:i/>
          <w:iCs/>
          <w:lang w:val="es-ES" w:eastAsia="es-ES"/>
        </w:rPr>
        <w:lastRenderedPageBreak/>
        <w:t>entregados por los proponentes hasta el término de traslado del informe de evaluación que corresponda a cada modalidad de selección”.</w:t>
      </w:r>
      <w:r w:rsidRPr="2C80D0D5">
        <w:rPr>
          <w:rFonts w:ascii="Verdana" w:eastAsia="Times New Roman" w:hAnsi="Verdana" w:cs="Arial"/>
          <w:lang w:val="es-ES" w:eastAsia="es-ES"/>
        </w:rPr>
        <w:t xml:space="preserve"> </w:t>
      </w:r>
    </w:p>
    <w:p w14:paraId="45C7F080" w14:textId="77777777" w:rsidR="0099708A" w:rsidRPr="00D16A5E" w:rsidRDefault="0099708A" w:rsidP="0099708A">
      <w:pPr>
        <w:spacing w:after="120" w:line="276" w:lineRule="auto"/>
        <w:ind w:firstLine="709"/>
        <w:jc w:val="both"/>
        <w:rPr>
          <w:rFonts w:ascii="Verdana" w:eastAsia="Times New Roman" w:hAnsi="Verdana" w:cs="Arial"/>
          <w:lang w:val="es-ES" w:eastAsia="es-ES"/>
        </w:rPr>
      </w:pPr>
      <w:r>
        <w:rPr>
          <w:rFonts w:ascii="Verdana" w:eastAsia="Times New Roman" w:hAnsi="Verdana" w:cs="Arial"/>
          <w:lang w:val="es-ES" w:eastAsia="es-ES"/>
        </w:rPr>
        <w:t>Sin perjuicio de lo expuesto</w:t>
      </w:r>
      <w:r w:rsidRPr="00D16A5E">
        <w:rPr>
          <w:rFonts w:ascii="Verdana" w:eastAsia="Times New Roman" w:hAnsi="Verdana" w:cs="Arial"/>
          <w:lang w:val="es-ES" w:eastAsia="es-ES"/>
        </w:rPr>
        <w:t xml:space="preserve">, de la lectura de este aparte podrían, en la práctica, darse dos interpretaciones que dan lugar a dos formas de proceder en los procesos de selección, en lo que a la subsanabilidad de las ofertas se refiere. </w:t>
      </w:r>
      <w:r w:rsidRPr="005D2410">
        <w:rPr>
          <w:rFonts w:ascii="Verdana" w:eastAsia="Times New Roman" w:hAnsi="Verdana" w:cs="Arial"/>
          <w:i/>
          <w:iCs/>
          <w:lang w:val="es-ES" w:eastAsia="es-ES"/>
        </w:rPr>
        <w:t>Primera</w:t>
      </w:r>
      <w:r w:rsidRPr="00D16A5E">
        <w:rPr>
          <w:rFonts w:ascii="Verdana" w:eastAsia="Times New Roman" w:hAnsi="Verdana" w:cs="Arial"/>
          <w:lang w:val="es-ES" w:eastAsia="es-ES"/>
        </w:rPr>
        <w:t>, que la posibilidad para subsanar de los oferentes es el término del traslado del informe de evaluación, ya que es en este documento donde la Administración consigna los requisitos o documentos omitidos que los oferentes deben subsanar, so pena de rechazo</w:t>
      </w:r>
      <w:r>
        <w:rPr>
          <w:rFonts w:ascii="Verdana" w:eastAsia="Times New Roman" w:hAnsi="Verdana" w:cs="Arial"/>
          <w:lang w:val="es-ES" w:eastAsia="es-ES"/>
        </w:rPr>
        <w:t xml:space="preserve">. </w:t>
      </w:r>
      <w:r w:rsidRPr="005D2410">
        <w:rPr>
          <w:rFonts w:ascii="Verdana" w:eastAsia="Times New Roman" w:hAnsi="Verdana" w:cs="Arial"/>
          <w:i/>
          <w:iCs/>
          <w:lang w:val="es-ES" w:eastAsia="es-ES"/>
        </w:rPr>
        <w:t>Segunda</w:t>
      </w:r>
      <w:r w:rsidRPr="00D16A5E">
        <w:rPr>
          <w:rFonts w:ascii="Verdana" w:eastAsia="Times New Roman" w:hAnsi="Verdana" w:cs="Arial"/>
          <w:lang w:val="es-ES" w:eastAsia="es-ES"/>
        </w:rPr>
        <w:t xml:space="preserve">, que el término del traslado del informe de evaluación es el </w:t>
      </w:r>
      <w:r w:rsidRPr="00D16A5E">
        <w:rPr>
          <w:rFonts w:ascii="Verdana" w:eastAsia="Times New Roman" w:hAnsi="Verdana" w:cs="Arial"/>
          <w:i/>
          <w:lang w:val="es-ES" w:eastAsia="es-ES"/>
        </w:rPr>
        <w:t>límite</w:t>
      </w:r>
      <w:r w:rsidRPr="00D16A5E">
        <w:rPr>
          <w:rFonts w:ascii="Verdana" w:eastAsia="Times New Roman" w:hAnsi="Verdana" w:cs="Arial"/>
          <w:lang w:val="es-ES" w:eastAsia="es-ES"/>
        </w:rPr>
        <w:t xml:space="preserve"> para la subsanación de ofertas, pero no el único momento para hacerlo. </w:t>
      </w:r>
    </w:p>
    <w:p w14:paraId="226248AD" w14:textId="77777777" w:rsidR="0099708A" w:rsidRPr="00D16A5E" w:rsidRDefault="0099708A" w:rsidP="0099708A">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De acuerdo con la primera interpretación, el informe de evaluación se convierte en la oportunidad que adopta la Administración para decirles a los oferentes qué documentos o requisitos omitieron y deben subsanar</w:t>
      </w:r>
      <w:r>
        <w:rPr>
          <w:rFonts w:ascii="Verdana" w:eastAsia="Times New Roman" w:hAnsi="Verdana" w:cs="Arial"/>
          <w:lang w:val="es-ES_tradnl" w:eastAsia="es-ES_tradnl"/>
        </w:rPr>
        <w:t>. C</w:t>
      </w:r>
      <w:r w:rsidRPr="00D16A5E">
        <w:rPr>
          <w:rFonts w:ascii="Verdana" w:eastAsia="Times New Roman" w:hAnsi="Verdana" w:cs="Arial"/>
          <w:lang w:val="es-ES_tradnl" w:eastAsia="es-ES_tradnl"/>
        </w:rPr>
        <w:t xml:space="preserve">onsecuentemente, el término del traslado es la oportunidad del proponente para cumplir con lo solicitado.  </w:t>
      </w:r>
    </w:p>
    <w:p w14:paraId="2F8AD716" w14:textId="77777777" w:rsidR="0099708A" w:rsidRPr="00D16A5E" w:rsidRDefault="0099708A" w:rsidP="0099708A">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7C6A3058" w14:textId="77777777" w:rsidR="0099708A" w:rsidRPr="00D16A5E" w:rsidRDefault="0099708A" w:rsidP="0099708A">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w:t>
      </w:r>
      <w:r>
        <w:rPr>
          <w:rFonts w:ascii="Verdana" w:eastAsia="Times New Roman" w:hAnsi="Verdana" w:cs="Arial"/>
          <w:lang w:val="es-ES" w:eastAsia="es-ES"/>
        </w:rPr>
        <w:t>. I</w:t>
      </w:r>
      <w:r w:rsidRPr="00D16A5E">
        <w:rPr>
          <w:rFonts w:ascii="Verdana" w:eastAsia="Times New Roman" w:hAnsi="Verdana" w:cs="Arial"/>
          <w:lang w:val="es-ES" w:eastAsia="es-ES"/>
        </w:rPr>
        <w:t>nclusive, es más adecuado y conveniente que la subsanación de las ofertas se intente con anterioridad, de forma que, una vez la Administración advierta el defecto</w:t>
      </w:r>
      <w:r>
        <w:rPr>
          <w:rFonts w:ascii="Verdana" w:eastAsia="Times New Roman" w:hAnsi="Verdana" w:cs="Arial"/>
          <w:lang w:val="es-ES" w:eastAsia="es-ES"/>
        </w:rPr>
        <w:t>,</w:t>
      </w:r>
      <w:r w:rsidRPr="00D16A5E">
        <w:rPr>
          <w:rFonts w:ascii="Verdana" w:eastAsia="Times New Roman" w:hAnsi="Verdana" w:cs="Arial"/>
          <w:lang w:val="es-ES" w:eastAsia="es-ES"/>
        </w:rPr>
        <w:t xml:space="preserve"> le solicite directamente al oferente que subsane. Esta interpretación es más consistente con los principios de economía, transparencia y selección objetiva. Lo anterior, se aclara, sin desconocer el límite que establece la norma para que los oferentes, sin perjuicio de que lo hagan </w:t>
      </w:r>
      <w:r w:rsidRPr="00D16A5E">
        <w:rPr>
          <w:rFonts w:ascii="Verdana" w:eastAsia="Times New Roman" w:hAnsi="Verdana" w:cs="Arial"/>
          <w:lang w:val="es-ES" w:eastAsia="es-ES"/>
        </w:rPr>
        <w:lastRenderedPageBreak/>
        <w:t>antes, cuenten hasta el término de traslado del informe de evaluación con la posibilidad de presentar la información solicitada.</w:t>
      </w:r>
    </w:p>
    <w:p w14:paraId="10CD9981" w14:textId="77777777" w:rsidR="0099708A" w:rsidRPr="00D16A5E" w:rsidRDefault="0099708A" w:rsidP="0099708A">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 xml:space="preserve">El </w:t>
      </w:r>
      <w:r w:rsidRPr="003049F6">
        <w:rPr>
          <w:rFonts w:ascii="Verdana" w:eastAsia="Times New Roman" w:hAnsi="Verdana" w:cs="Arial"/>
          <w:i/>
          <w:iCs/>
          <w:lang w:val="es-ES_tradnl" w:eastAsia="es-ES_tradnl"/>
        </w:rPr>
        <w:t>segundo cambio</w:t>
      </w:r>
      <w:r w:rsidRPr="00D16A5E">
        <w:rPr>
          <w:rFonts w:ascii="Verdana" w:eastAsia="Times New Roman" w:hAnsi="Verdana" w:cs="Arial"/>
          <w:lang w:val="es-ES_tradnl" w:eastAsia="es-ES_tradnl"/>
        </w:rPr>
        <w:t xml:space="preserve"> importante de la Ley 1882 de 2018 fue la introducción de un criterio material, directamente relacionado con los aspectos subsanables: </w:t>
      </w:r>
      <w:r w:rsidRPr="00D16A5E">
        <w:rPr>
          <w:rFonts w:ascii="Verdana" w:eastAsia="Times New Roman" w:hAnsi="Verdana" w:cs="Arial"/>
          <w:i/>
          <w:iCs/>
          <w:lang w:val="es-ES_tradnl" w:eastAsia="es-ES_tradnl"/>
        </w:rPr>
        <w:t>“los proponentes no podrán acreditar circunstancias ocurridas con posterioridad al cierre del proceso”.</w:t>
      </w:r>
      <w:r w:rsidRPr="00D16A5E">
        <w:rPr>
          <w:rFonts w:ascii="Verdana" w:eastAsia="Times New Roman" w:hAnsi="Verdana" w:cs="Arial"/>
          <w:lang w:val="es-ES_tradnl" w:eastAsia="es-ES_tradnl"/>
        </w:rPr>
        <w:t xml:space="preserve"> Lo anterior ofrece dos aspectos que merecen clarificación</w:t>
      </w:r>
      <w:r>
        <w:rPr>
          <w:rFonts w:ascii="Verdana" w:eastAsia="Times New Roman" w:hAnsi="Verdana" w:cs="Arial"/>
          <w:lang w:val="es-ES_tradnl" w:eastAsia="es-ES_tradnl"/>
        </w:rPr>
        <w:t>;</w:t>
      </w:r>
      <w:r w:rsidRPr="00D16A5E">
        <w:rPr>
          <w:rFonts w:ascii="Verdana" w:eastAsia="Times New Roman" w:hAnsi="Verdana" w:cs="Arial"/>
          <w:lang w:val="es-ES_tradnl" w:eastAsia="es-ES_tradnl"/>
        </w:rPr>
        <w:t xml:space="preserve"> primero, qué debe entenderse por circunstancias ocurridas con posterioridad; y segundo, qué es el cierre del proceso. </w:t>
      </w:r>
    </w:p>
    <w:p w14:paraId="3A86B52B" w14:textId="77777777" w:rsidR="0099708A" w:rsidRPr="00D16A5E" w:rsidRDefault="0099708A" w:rsidP="0099708A">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w:t>
      </w:r>
      <w:r>
        <w:rPr>
          <w:rFonts w:ascii="Verdana" w:eastAsia="Times New Roman" w:hAnsi="Verdana" w:cs="Arial"/>
          <w:lang w:val="es-ES" w:eastAsia="es-ES"/>
        </w:rPr>
        <w:t>n esa ocasión, e</w:t>
      </w:r>
      <w:r w:rsidRPr="00D16A5E">
        <w:rPr>
          <w:rFonts w:ascii="Verdana" w:eastAsia="Times New Roman" w:hAnsi="Verdana" w:cs="Arial"/>
          <w:lang w:val="es-ES" w:eastAsia="es-ES"/>
        </w:rPr>
        <w:t>l Consejo de Estado precisó que</w:t>
      </w:r>
      <w:r>
        <w:rPr>
          <w:rFonts w:ascii="Verdana" w:eastAsia="Times New Roman" w:hAnsi="Verdana" w:cs="Arial"/>
          <w:lang w:val="es-ES" w:eastAsia="es-ES"/>
        </w:rPr>
        <w:t>,</w:t>
      </w:r>
      <w:r w:rsidRPr="00D16A5E">
        <w:rPr>
          <w:rFonts w:ascii="Verdana" w:eastAsia="Times New Roman" w:hAnsi="Verdana" w:cs="Arial"/>
          <w:lang w:val="es-ES" w:eastAsia="es-ES"/>
        </w:rPr>
        <w:t xml:space="preserve"> por cierre del proceso debe entenderse el vencimiento del plazo para la presentación de las ofertas y que lo subsanable son las circunstancias que ocurrieron con anterioridad a esa fecha</w:t>
      </w:r>
      <w:r w:rsidRPr="00D16A5E">
        <w:rPr>
          <w:rFonts w:ascii="Verdana" w:eastAsia="Times New Roman" w:hAnsi="Verdana" w:cs="Arial"/>
          <w:vertAlign w:val="superscript"/>
          <w:lang w:val="es-ES" w:eastAsia="es-ES"/>
        </w:rPr>
        <w:footnoteReference w:id="4"/>
      </w:r>
      <w:r w:rsidRPr="00D16A5E">
        <w:rPr>
          <w:rFonts w:ascii="Verdana" w:eastAsia="Times New Roman" w:hAnsi="Verdana" w:cs="Arial"/>
          <w:lang w:val="es-ES" w:eastAsia="es-ES"/>
        </w:rPr>
        <w:t>.</w:t>
      </w:r>
    </w:p>
    <w:p w14:paraId="5CE0FB26" w14:textId="77777777" w:rsidR="0099708A" w:rsidRDefault="0099708A" w:rsidP="0099708A">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3E0FDA6A" w14:textId="77777777" w:rsidR="0099708A" w:rsidRPr="00D16A5E" w:rsidRDefault="0099708A" w:rsidP="0099708A">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Un mejor entendimiento del significado de la expresión </w:t>
      </w:r>
      <w:r w:rsidRPr="00D16A5E">
        <w:rPr>
          <w:rFonts w:ascii="Verdana" w:eastAsia="Times New Roman" w:hAnsi="Verdana" w:cs="Arial"/>
          <w:i/>
          <w:lang w:val="es-ES" w:eastAsia="es-ES"/>
        </w:rPr>
        <w:t>“circunstancias ocurridas con posterioridad al cierre del proceso”</w:t>
      </w:r>
      <w:r w:rsidRPr="00D16A5E">
        <w:rPr>
          <w:rFonts w:ascii="Verdana" w:eastAsia="Times New Roman" w:hAnsi="Verdana" w:cs="Arial"/>
          <w:lang w:val="es-ES" w:eastAsia="es-ES"/>
        </w:rPr>
        <w:t xml:space="preserve"> implica distinguir entre la </w:t>
      </w:r>
      <w:r w:rsidRPr="00D16A5E">
        <w:rPr>
          <w:rFonts w:ascii="Verdana" w:eastAsia="Times New Roman" w:hAnsi="Verdana" w:cs="Arial"/>
          <w:lang w:val="es-ES" w:eastAsia="es-ES"/>
        </w:rPr>
        <w:lastRenderedPageBreak/>
        <w:t>prueba de un hecho y el hecho mismo. En el caso de la subsanabilidad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D16A5E">
        <w:rPr>
          <w:rFonts w:ascii="Verdana" w:eastAsia="Times New Roman" w:hAnsi="Verdana" w:cs="Arial"/>
          <w:vertAlign w:val="superscript"/>
          <w:lang w:val="es-ES" w:eastAsia="es-ES"/>
        </w:rPr>
        <w:footnoteReference w:id="5"/>
      </w:r>
      <w:r w:rsidRPr="00D16A5E">
        <w:rPr>
          <w:rFonts w:ascii="Verdana" w:eastAsia="Times New Roman" w:hAnsi="Verdana" w:cs="Arial"/>
          <w:lang w:val="es-ES" w:eastAsia="es-ES"/>
        </w:rPr>
        <w:t xml:space="preserve">. </w:t>
      </w:r>
    </w:p>
    <w:p w14:paraId="013AE6C9" w14:textId="77777777" w:rsidR="0099708A" w:rsidRPr="00D16A5E" w:rsidRDefault="0099708A" w:rsidP="0099708A">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está en firme para dicho momento; ii)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D16A5E">
        <w:rPr>
          <w:rFonts w:ascii="Verdana" w:eastAsia="Times New Roman" w:hAnsi="Verdana" w:cs="Arial"/>
          <w:vertAlign w:val="superscript"/>
          <w:lang w:val="es-ES" w:eastAsia="es-ES"/>
        </w:rPr>
        <w:footnoteReference w:id="6"/>
      </w:r>
      <w:r w:rsidRPr="00D16A5E">
        <w:rPr>
          <w:rFonts w:ascii="Verdana" w:eastAsia="Times New Roman" w:hAnsi="Verdana" w:cs="Arial"/>
          <w:lang w:val="es-ES" w:eastAsia="es-ES"/>
        </w:rPr>
        <w:t>; iii) si un oferente no anexó el Certificado de existencia y representación legal, el documento aportado con posterioridad debe dar cuenta de que la sociedad existía antes del cierre del proceso</w:t>
      </w:r>
      <w:r w:rsidRPr="00D16A5E">
        <w:rPr>
          <w:rFonts w:ascii="Verdana" w:eastAsia="Times New Roman" w:hAnsi="Verdana" w:cs="Arial"/>
          <w:vertAlign w:val="superscript"/>
          <w:lang w:val="es-ES" w:eastAsia="es-ES"/>
        </w:rPr>
        <w:footnoteReference w:id="7"/>
      </w:r>
      <w:r w:rsidRPr="00D16A5E">
        <w:rPr>
          <w:rFonts w:ascii="Verdana" w:eastAsia="Times New Roman" w:hAnsi="Verdana" w:cs="Arial"/>
          <w:lang w:val="es-ES" w:eastAsia="es-ES"/>
        </w:rPr>
        <w:t xml:space="preserve">; iv)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w:t>
      </w:r>
      <w:r w:rsidRPr="00D16A5E">
        <w:rPr>
          <w:rFonts w:ascii="Verdana" w:eastAsia="Times New Roman" w:hAnsi="Verdana" w:cs="Arial"/>
          <w:lang w:val="es-ES" w:eastAsia="es-ES"/>
        </w:rPr>
        <w:lastRenderedPageBreak/>
        <w:t xml:space="preserve">ella, puede subsanar sin que con ello se entienda que acreditó una circunstancia ocurrida con posterioridad al cierre del proceso. </w:t>
      </w:r>
    </w:p>
    <w:p w14:paraId="4BB44B11" w14:textId="38D6C79C" w:rsidR="0099708A" w:rsidRDefault="0099708A" w:rsidP="0099708A">
      <w:pPr>
        <w:spacing w:after="120" w:line="276" w:lineRule="auto"/>
        <w:ind w:firstLine="709"/>
        <w:jc w:val="both"/>
        <w:rPr>
          <w:rFonts w:ascii="Verdana" w:eastAsia="Times New Roman" w:hAnsi="Verdana" w:cs="Arial"/>
          <w:i/>
          <w:lang w:val="es-ES" w:eastAsia="es-ES"/>
        </w:rPr>
      </w:pPr>
      <w:r w:rsidRPr="00D16A5E">
        <w:rPr>
          <w:rFonts w:ascii="Verdana" w:eastAsia="Times New Roman" w:hAnsi="Verdana" w:cs="Arial"/>
          <w:lang w:val="es-ES" w:eastAsia="es-ES"/>
        </w:rPr>
        <w:t>Lo anterior quiere decir que no es la prueba –usualmente un documento– lo que debe ser anterior al cierre del proceso, sino el hecho que ella acredita</w:t>
      </w:r>
      <w:r>
        <w:rPr>
          <w:rFonts w:ascii="Verdana" w:eastAsia="Times New Roman" w:hAnsi="Verdana" w:cs="Arial"/>
          <w:lang w:val="es-ES" w:eastAsia="es-ES"/>
        </w:rPr>
        <w:t>. E</w:t>
      </w:r>
      <w:r w:rsidRPr="00D16A5E">
        <w:rPr>
          <w:rFonts w:ascii="Verdana" w:eastAsia="Times New Roman" w:hAnsi="Verdana" w:cs="Arial"/>
          <w:lang w:val="es-ES" w:eastAsia="es-ES"/>
        </w:rPr>
        <w:t xml:space="preserv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que el Consejo de Estado sostiene que </w:t>
      </w:r>
      <w:r w:rsidR="00014F58">
        <w:rPr>
          <w:rFonts w:ascii="Verdana" w:eastAsia="Times New Roman" w:hAnsi="Verdana" w:cs="Arial"/>
          <w:lang w:val="es-ES" w:eastAsia="es-ES"/>
        </w:rPr>
        <w:t>“</w:t>
      </w:r>
      <w:r w:rsidRPr="00D16A5E">
        <w:rPr>
          <w:rFonts w:ascii="Verdana" w:eastAsia="Times New Roman" w:hAnsi="Verdana" w:cs="Arial"/>
          <w:lang w:val="es-ES" w:eastAsia="es-ES"/>
        </w:rPr>
        <w:t>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D16A5E">
        <w:rPr>
          <w:rFonts w:ascii="Verdana" w:eastAsia="Times New Roman" w:hAnsi="Verdana" w:cs="Arial"/>
          <w:vertAlign w:val="superscript"/>
          <w:lang w:val="es-ES" w:eastAsia="es-ES"/>
        </w:rPr>
        <w:footnoteReference w:id="8"/>
      </w:r>
      <w:r w:rsidRPr="00D16A5E">
        <w:rPr>
          <w:rFonts w:ascii="Verdana" w:eastAsia="Times New Roman" w:hAnsi="Verdana" w:cs="Arial"/>
          <w:lang w:val="es-ES" w:eastAsia="es-ES"/>
        </w:rPr>
        <w:t>.</w:t>
      </w:r>
    </w:p>
    <w:p w14:paraId="4BDAA1FF" w14:textId="3E637328" w:rsidR="0099708A" w:rsidRDefault="0099708A" w:rsidP="008D5D4A">
      <w:pPr>
        <w:spacing w:after="120" w:line="276" w:lineRule="auto"/>
        <w:ind w:firstLine="708"/>
        <w:jc w:val="both"/>
        <w:rPr>
          <w:rFonts w:ascii="Verdana" w:eastAsia="Times New Roman" w:hAnsi="Verdana" w:cs="Arial"/>
          <w:lang w:val="es-ES_tradnl" w:eastAsia="es-ES_tradnl"/>
        </w:rPr>
      </w:pPr>
      <w:r w:rsidRPr="00246D72">
        <w:rPr>
          <w:rFonts w:ascii="Verdana" w:eastAsia="Times New Roman" w:hAnsi="Verdana" w:cs="Arial"/>
          <w:iCs/>
          <w:lang w:val="es-ES" w:eastAsia="es-ES"/>
        </w:rPr>
        <w:t>Ahora bien,</w:t>
      </w:r>
      <w:r>
        <w:rPr>
          <w:rFonts w:ascii="Verdana" w:eastAsia="Times New Roman" w:hAnsi="Verdana" w:cs="Arial"/>
          <w:i/>
          <w:lang w:val="es-ES" w:eastAsia="es-ES"/>
        </w:rPr>
        <w:t xml:space="preserve"> e</w:t>
      </w:r>
      <w:r w:rsidRPr="009F4606">
        <w:rPr>
          <w:rStyle w:val="normaltextrun"/>
          <w:rFonts w:ascii="Verdana" w:hAnsi="Verdana" w:cs="Arial"/>
          <w:color w:val="000000"/>
          <w:lang w:val="es-ES"/>
        </w:rPr>
        <w:t xml:space="preserve">l parágrafo 3 del artículo 5 de la Ley 1882 de 2018 determinó, de manera expresa, que </w:t>
      </w:r>
      <w:r>
        <w:rPr>
          <w:rStyle w:val="normaltextrun"/>
          <w:rFonts w:ascii="Verdana" w:hAnsi="Verdana" w:cs="Arial"/>
          <w:color w:val="000000"/>
          <w:lang w:val="es-ES"/>
        </w:rPr>
        <w:t>“</w:t>
      </w:r>
      <w:r w:rsidRPr="009F4606">
        <w:rPr>
          <w:rStyle w:val="normaltextrun"/>
          <w:rFonts w:ascii="Verdana" w:hAnsi="Verdana" w:cs="Arial"/>
          <w:color w:val="000000"/>
          <w:lang w:val="es-ES"/>
        </w:rPr>
        <w:t>la no entrega de la garantía de seriedad junto con la propuesta no será subsanable y será causal de rechazo de la misma</w:t>
      </w:r>
      <w:r>
        <w:rPr>
          <w:rStyle w:val="normaltextrun"/>
          <w:rFonts w:ascii="Verdana" w:hAnsi="Verdana" w:cs="Arial"/>
          <w:color w:val="000000"/>
          <w:lang w:val="es-ES"/>
        </w:rPr>
        <w:t>”</w:t>
      </w:r>
      <w:r w:rsidRPr="009F4606">
        <w:rPr>
          <w:rStyle w:val="normaltextrun"/>
          <w:rFonts w:ascii="Verdana" w:hAnsi="Verdana" w:cs="Arial"/>
          <w:color w:val="000000"/>
          <w:lang w:val="es-ES"/>
        </w:rPr>
        <w:t>, dejando claro que se trata de un documento de obligatoria presentación junto con la propuesta y que materializa los principios de seriedad e irrevocabilidad de la oferta.</w:t>
      </w:r>
      <w:r w:rsidRPr="009F4606">
        <w:rPr>
          <w:rStyle w:val="eop"/>
          <w:rFonts w:ascii="Verdana" w:hAnsi="Verdana" w:cs="Arial"/>
          <w:color w:val="000000"/>
        </w:rPr>
        <w:t> </w:t>
      </w:r>
    </w:p>
    <w:p w14:paraId="7B51F2FD" w14:textId="49634847" w:rsidR="0089504B" w:rsidRPr="001C2AE6" w:rsidRDefault="00014F58" w:rsidP="00B26C85">
      <w:pPr>
        <w:widowControl w:val="0"/>
        <w:autoSpaceDE w:val="0"/>
        <w:autoSpaceDN w:val="0"/>
        <w:ind w:right="102" w:firstLine="708"/>
        <w:jc w:val="both"/>
        <w:rPr>
          <w:rFonts w:ascii="Verdana" w:hAnsi="Verdana" w:cs="Arial"/>
          <w:noProof/>
          <w:lang w:val="es-ES_tradnl"/>
        </w:rPr>
      </w:pPr>
      <w:r>
        <w:rPr>
          <w:rFonts w:ascii="Verdana" w:hAnsi="Verdana" w:cs="Arial"/>
          <w:noProof/>
          <w:lang w:val="es-ES_tradnl"/>
        </w:rPr>
        <w:t>ii. E</w:t>
      </w:r>
      <w:r w:rsidR="0089504B" w:rsidRPr="001C2AE6">
        <w:rPr>
          <w:rFonts w:ascii="Verdana" w:hAnsi="Verdana" w:cs="Arial"/>
          <w:noProof/>
          <w:lang w:val="es-ES_tradnl"/>
        </w:rPr>
        <w:t xml:space="preserve">l </w:t>
      </w:r>
      <w:r w:rsidR="001C2AE6">
        <w:rPr>
          <w:rFonts w:ascii="Verdana" w:hAnsi="Verdana" w:cs="Arial"/>
          <w:noProof/>
          <w:lang w:val="es-ES_tradnl"/>
        </w:rPr>
        <w:t>“</w:t>
      </w:r>
      <w:r w:rsidR="0089504B" w:rsidRPr="001C2AE6">
        <w:rPr>
          <w:rFonts w:ascii="Verdana" w:hAnsi="Verdana" w:cs="Arial"/>
          <w:noProof/>
          <w:lang w:val="es-ES_tradnl"/>
        </w:rPr>
        <w:t>Documento Base o Pliego Tipo</w:t>
      </w:r>
      <w:r w:rsidR="001C2AE6">
        <w:rPr>
          <w:rFonts w:ascii="Verdana" w:hAnsi="Verdana" w:cs="Arial"/>
          <w:noProof/>
          <w:lang w:val="es-ES_tradnl"/>
        </w:rPr>
        <w:t>”</w:t>
      </w:r>
      <w:r w:rsidR="0089504B" w:rsidRPr="001C2AE6">
        <w:rPr>
          <w:rFonts w:ascii="Verdana" w:hAnsi="Verdana" w:cs="Arial"/>
          <w:noProof/>
          <w:lang w:val="es-ES_tradnl"/>
        </w:rPr>
        <w:t xml:space="preserve"> para procesos de licitación pública de infraestructura de transporte – Versión </w:t>
      </w:r>
      <w:r>
        <w:rPr>
          <w:rFonts w:ascii="Verdana" w:hAnsi="Verdana" w:cs="Arial"/>
          <w:noProof/>
          <w:lang w:val="es-ES_tradnl"/>
        </w:rPr>
        <w:t>3</w:t>
      </w:r>
      <w:r w:rsidR="0089504B" w:rsidRPr="001C2AE6">
        <w:rPr>
          <w:rFonts w:ascii="Verdana" w:hAnsi="Verdana" w:cs="Arial"/>
          <w:noProof/>
          <w:lang w:val="es-ES_tradnl"/>
        </w:rPr>
        <w:t xml:space="preserve">, prescribe que los proponentes deben acreditar su experiencia a través de: i) la información consignada en el RUP para aquellos que estén obligados a tenerlo, ii) la presentación el Formato 3 – Experiencia para todos los proponentes y iii) alguno de los documentos válidos para la acreditación de la experiencia señalados en el numeral 3.5.6 cuando se requiera la verificación de información del proponente adicional a la contenida en el RUP.  </w:t>
      </w:r>
    </w:p>
    <w:p w14:paraId="29F45F1F" w14:textId="74494533" w:rsidR="00943418" w:rsidRPr="00581A90" w:rsidRDefault="0089504B" w:rsidP="00581A90">
      <w:pPr>
        <w:widowControl w:val="0"/>
        <w:autoSpaceDE w:val="0"/>
        <w:autoSpaceDN w:val="0"/>
        <w:ind w:right="102" w:firstLine="708"/>
        <w:jc w:val="both"/>
        <w:rPr>
          <w:rFonts w:ascii="Verdana" w:hAnsi="Verdana" w:cs="Arial"/>
          <w:noProof/>
          <w:lang w:val="es-ES_tradnl"/>
        </w:rPr>
      </w:pPr>
      <w:r w:rsidRPr="00581A90">
        <w:rPr>
          <w:rFonts w:ascii="Verdana" w:hAnsi="Verdana" w:cs="Arial"/>
          <w:noProof/>
          <w:lang w:val="es-ES_tradnl"/>
        </w:rPr>
        <w:t xml:space="preserve">Específicamente, </w:t>
      </w:r>
      <w:bookmarkStart w:id="1" w:name="_Hlk48830924"/>
      <w:r w:rsidRPr="00581A90">
        <w:rPr>
          <w:rFonts w:ascii="Verdana" w:hAnsi="Verdana" w:cs="Arial"/>
          <w:noProof/>
          <w:lang w:val="es-ES_tradnl"/>
        </w:rPr>
        <w:t xml:space="preserve">para efectos </w:t>
      </w:r>
      <w:r w:rsidR="00B26C85" w:rsidRPr="00581A90">
        <w:rPr>
          <w:rFonts w:ascii="Verdana" w:hAnsi="Verdana" w:cs="Arial"/>
          <w:noProof/>
          <w:lang w:val="es-ES_tradnl"/>
        </w:rPr>
        <w:t xml:space="preserve">de su consulta, debe señalarse que </w:t>
      </w:r>
      <w:r w:rsidRPr="00581A90">
        <w:rPr>
          <w:rFonts w:ascii="Verdana" w:hAnsi="Verdana" w:cs="Arial"/>
          <w:noProof/>
          <w:lang w:val="es-ES_tradnl"/>
        </w:rPr>
        <w:t xml:space="preserve">el </w:t>
      </w:r>
      <w:r w:rsidR="00581A90">
        <w:rPr>
          <w:rFonts w:ascii="Verdana" w:hAnsi="Verdana" w:cs="Arial"/>
          <w:noProof/>
          <w:lang w:val="es-ES_tradnl"/>
        </w:rPr>
        <w:t xml:space="preserve">literal B) del </w:t>
      </w:r>
      <w:r w:rsidRPr="00581A90">
        <w:rPr>
          <w:rFonts w:ascii="Verdana" w:hAnsi="Verdana" w:cs="Arial"/>
          <w:noProof/>
          <w:lang w:val="es-ES_tradnl"/>
        </w:rPr>
        <w:t xml:space="preserve">numeral </w:t>
      </w:r>
      <w:r w:rsidR="00B26C85" w:rsidRPr="00581A90">
        <w:rPr>
          <w:rFonts w:ascii="Verdana" w:hAnsi="Verdana" w:cs="Arial"/>
          <w:noProof/>
          <w:lang w:val="es-ES_tradnl"/>
        </w:rPr>
        <w:t>“</w:t>
      </w:r>
      <w:r w:rsidRPr="00581A90">
        <w:rPr>
          <w:rFonts w:ascii="Verdana" w:hAnsi="Verdana" w:cs="Arial"/>
          <w:noProof/>
          <w:lang w:val="es-ES_tradnl"/>
        </w:rPr>
        <w:t xml:space="preserve">3.5.2 </w:t>
      </w:r>
      <w:r w:rsidR="00B26C85" w:rsidRPr="00581A90">
        <w:rPr>
          <w:rFonts w:ascii="Verdana" w:hAnsi="Verdana" w:cs="Arial"/>
          <w:noProof/>
          <w:lang w:val="es-ES_tradnl"/>
        </w:rPr>
        <w:t>Características de los contratos presentados para acreditar la experiencia exigida”</w:t>
      </w:r>
      <w:r w:rsidRPr="00581A90">
        <w:rPr>
          <w:rFonts w:ascii="Verdana" w:hAnsi="Verdana" w:cs="Arial"/>
          <w:noProof/>
          <w:lang w:val="es-ES_tradnl"/>
        </w:rPr>
        <w:t xml:space="preserve">, </w:t>
      </w:r>
      <w:r w:rsidR="00943418" w:rsidRPr="00581A90">
        <w:rPr>
          <w:rFonts w:ascii="Verdana" w:hAnsi="Verdana" w:cs="Arial"/>
          <w:noProof/>
          <w:lang w:val="es-ES_tradnl"/>
        </w:rPr>
        <w:t xml:space="preserve">indica que el </w:t>
      </w:r>
      <w:r w:rsidR="00581A90">
        <w:rPr>
          <w:rFonts w:ascii="Verdana" w:hAnsi="Verdana" w:cs="Arial"/>
          <w:noProof/>
          <w:lang w:val="es-ES_tradnl"/>
        </w:rPr>
        <w:t>“</w:t>
      </w:r>
      <w:r w:rsidR="00943418" w:rsidRPr="00581A90">
        <w:rPr>
          <w:rFonts w:ascii="Verdana" w:hAnsi="Verdana" w:cs="Arial"/>
          <w:noProof/>
          <w:lang w:val="es-ES_tradnl"/>
        </w:rPr>
        <w:t xml:space="preserve">Formato 3 </w:t>
      </w:r>
      <w:r w:rsidR="00581A90">
        <w:rPr>
          <w:rFonts w:ascii="Verdana" w:hAnsi="Verdana" w:cs="Arial"/>
          <w:noProof/>
          <w:lang w:val="es-ES_tradnl"/>
        </w:rPr>
        <w:t>–</w:t>
      </w:r>
      <w:r w:rsidR="00943418" w:rsidRPr="00581A90">
        <w:rPr>
          <w:rFonts w:ascii="Verdana" w:hAnsi="Verdana" w:cs="Arial"/>
          <w:noProof/>
          <w:lang w:val="es-ES_tradnl"/>
        </w:rPr>
        <w:t xml:space="preserve"> Experiencia</w:t>
      </w:r>
      <w:r w:rsidR="00581A90">
        <w:rPr>
          <w:rFonts w:ascii="Verdana" w:hAnsi="Verdana" w:cs="Arial"/>
          <w:noProof/>
          <w:lang w:val="es-ES_tradnl"/>
        </w:rPr>
        <w:t>”</w:t>
      </w:r>
      <w:r w:rsidR="00943418" w:rsidRPr="00581A90">
        <w:rPr>
          <w:rFonts w:ascii="Verdana" w:hAnsi="Verdana" w:cs="Arial"/>
          <w:noProof/>
          <w:lang w:val="es-ES_tradnl"/>
        </w:rPr>
        <w:t xml:space="preserve"> debe contar con el número consecutivo del contrato en el RUP y que los proponentes plurales deben indicar qué integrante aporta cada uno de los contratos </w:t>
      </w:r>
      <w:r w:rsidR="00943418" w:rsidRPr="00581A90">
        <w:rPr>
          <w:rFonts w:ascii="Verdana" w:hAnsi="Verdana" w:cs="Arial"/>
          <w:noProof/>
          <w:lang w:val="es-ES_tradnl"/>
        </w:rPr>
        <w:lastRenderedPageBreak/>
        <w:t xml:space="preserve">señalados en el Formato 3 – Experiencia. Este documento debe presentarlo el proponente plural y no cada integrante. </w:t>
      </w:r>
    </w:p>
    <w:p w14:paraId="0681220B" w14:textId="7F696FBC" w:rsidR="00DE65BD" w:rsidRDefault="00014F58" w:rsidP="00014F58">
      <w:pPr>
        <w:widowControl w:val="0"/>
        <w:autoSpaceDE w:val="0"/>
        <w:autoSpaceDN w:val="0"/>
        <w:ind w:right="102" w:firstLine="708"/>
        <w:jc w:val="both"/>
        <w:rPr>
          <w:rFonts w:ascii="Verdana" w:hAnsi="Verdana" w:cs="Arial"/>
          <w:noProof/>
          <w:lang w:val="es-ES_tradnl"/>
        </w:rPr>
      </w:pPr>
      <w:bookmarkStart w:id="2" w:name="_Toc73368197"/>
      <w:r>
        <w:rPr>
          <w:rFonts w:ascii="Verdana" w:hAnsi="Verdana" w:cs="Arial"/>
          <w:noProof/>
          <w:lang w:val="es-ES_tradnl"/>
        </w:rPr>
        <w:t xml:space="preserve">Por su parte, el inciso segundo del numeral indicado </w:t>
      </w:r>
      <w:bookmarkEnd w:id="2"/>
      <w:r w:rsidR="00943418" w:rsidRPr="00581A90">
        <w:rPr>
          <w:rFonts w:ascii="Verdana" w:hAnsi="Verdana" w:cs="Arial"/>
          <w:noProof/>
          <w:lang w:val="es-ES_tradnl"/>
        </w:rPr>
        <w:t xml:space="preserve">establece la siguiente regla: </w:t>
      </w:r>
      <w:r w:rsidR="00DE65BD" w:rsidRPr="00C00991">
        <w:rPr>
          <w:rFonts w:ascii="Verdana" w:hAnsi="Verdana" w:cs="Arial"/>
          <w:noProof/>
          <w:lang w:val="es-ES_tradnl"/>
        </w:rPr>
        <w:t>“Si el Proponente no diligencia el Formato 3 – Experiencia, la Entidad pedirá su subsanación en los términos del numeral 1.6. En caso de que el oferente no subsane se tendrán en cuenta para la evaluación los cinco (5) contratos de mayor valor aportados (…)”</w:t>
      </w:r>
      <w:r w:rsidR="00943418" w:rsidRPr="00C00991">
        <w:rPr>
          <w:rFonts w:ascii="Verdana" w:hAnsi="Verdana"/>
          <w:noProof/>
          <w:vertAlign w:val="superscript"/>
          <w:lang w:val="es-ES_tradnl"/>
        </w:rPr>
        <w:footnoteReference w:id="9"/>
      </w:r>
      <w:r w:rsidR="00C00991">
        <w:rPr>
          <w:rStyle w:val="Refdenotaalpie"/>
          <w:rFonts w:ascii="Verdana" w:hAnsi="Verdana" w:cs="Arial"/>
          <w:noProof/>
          <w:lang w:val="es-ES_tradnl"/>
        </w:rPr>
        <w:footnoteReference w:id="10"/>
      </w:r>
      <w:r w:rsidR="00943418" w:rsidRPr="00C00991">
        <w:rPr>
          <w:rFonts w:ascii="Verdana" w:hAnsi="Verdana" w:cs="Arial"/>
          <w:noProof/>
          <w:vertAlign w:val="superscript"/>
          <w:lang w:val="es-ES_tradnl"/>
        </w:rPr>
        <w:t>.</w:t>
      </w:r>
      <w:r w:rsidR="00943418" w:rsidRPr="00C00991">
        <w:rPr>
          <w:rFonts w:ascii="Verdana" w:hAnsi="Verdana" w:cs="Arial"/>
          <w:noProof/>
          <w:lang w:val="es-ES_tradnl"/>
        </w:rPr>
        <w:t xml:space="preserve"> </w:t>
      </w:r>
    </w:p>
    <w:p w14:paraId="659C25BC" w14:textId="6355DB77" w:rsidR="00C00991" w:rsidRPr="00C00991" w:rsidRDefault="00C00991" w:rsidP="00C00991">
      <w:pPr>
        <w:widowControl w:val="0"/>
        <w:autoSpaceDE w:val="0"/>
        <w:autoSpaceDN w:val="0"/>
        <w:ind w:right="102" w:firstLine="708"/>
        <w:jc w:val="both"/>
        <w:rPr>
          <w:rFonts w:ascii="Verdana" w:hAnsi="Verdana" w:cs="Arial"/>
          <w:noProof/>
          <w:lang w:val="es-ES_tradnl"/>
        </w:rPr>
      </w:pPr>
      <w:r w:rsidRPr="00C00991">
        <w:rPr>
          <w:rFonts w:ascii="Verdana" w:hAnsi="Verdana" w:cs="Arial"/>
          <w:noProof/>
          <w:lang w:val="es-ES_tradnl"/>
        </w:rPr>
        <w:t xml:space="preserve">Como se observa, si el proponente no diligencia el Formato 3 – Experiencia se prevé que puede subsanarlo en los términos del numeral 1.6. del </w:t>
      </w:r>
      <w:r>
        <w:rPr>
          <w:rFonts w:ascii="Verdana" w:hAnsi="Verdana" w:cs="Arial"/>
          <w:noProof/>
          <w:lang w:val="es-ES_tradnl"/>
        </w:rPr>
        <w:t>D</w:t>
      </w:r>
      <w:r w:rsidRPr="00C00991">
        <w:rPr>
          <w:rFonts w:ascii="Verdana" w:hAnsi="Verdana" w:cs="Arial"/>
          <w:noProof/>
          <w:lang w:val="es-ES_tradnl"/>
        </w:rPr>
        <w:t xml:space="preserve">ocumento </w:t>
      </w:r>
      <w:r>
        <w:rPr>
          <w:rFonts w:ascii="Verdana" w:hAnsi="Verdana" w:cs="Arial"/>
          <w:noProof/>
          <w:lang w:val="es-ES_tradnl"/>
        </w:rPr>
        <w:t>B</w:t>
      </w:r>
      <w:r w:rsidRPr="00C00991">
        <w:rPr>
          <w:rFonts w:ascii="Verdana" w:hAnsi="Verdana" w:cs="Arial"/>
          <w:noProof/>
          <w:lang w:val="es-ES_tradnl"/>
        </w:rPr>
        <w:t>ase y en caso de no hacerlo, la Entidad Estatal ten</w:t>
      </w:r>
      <w:r>
        <w:rPr>
          <w:rFonts w:ascii="Verdana" w:hAnsi="Verdana" w:cs="Arial"/>
          <w:noProof/>
          <w:lang w:val="es-ES_tradnl"/>
        </w:rPr>
        <w:t>drá</w:t>
      </w:r>
      <w:r w:rsidRPr="00C00991">
        <w:rPr>
          <w:rFonts w:ascii="Verdana" w:hAnsi="Verdana" w:cs="Arial"/>
          <w:noProof/>
          <w:lang w:val="es-ES_tradnl"/>
        </w:rPr>
        <w:t xml:space="preserve"> en cuenta para la evaluación los cinco contratos aportados de mayor valor.</w:t>
      </w:r>
    </w:p>
    <w:p w14:paraId="09A5CCB4" w14:textId="0AF08B27" w:rsidR="003913DE" w:rsidRPr="006558FF" w:rsidRDefault="003913DE" w:rsidP="00C00991">
      <w:pPr>
        <w:spacing w:after="0"/>
        <w:ind w:firstLine="708"/>
        <w:jc w:val="both"/>
        <w:rPr>
          <w:rFonts w:ascii="Verdana" w:hAnsi="Verdana" w:cs="Arial"/>
          <w:noProof/>
          <w:lang w:val="es-ES_tradnl"/>
        </w:rPr>
      </w:pPr>
      <w:r w:rsidRPr="006558FF">
        <w:rPr>
          <w:rFonts w:ascii="Verdana" w:hAnsi="Verdana" w:cs="Arial"/>
          <w:noProof/>
          <w:lang w:val="es-ES_tradnl"/>
        </w:rPr>
        <w:t xml:space="preserve">Así mismo, el Formato 3 – Experiencia </w:t>
      </w:r>
      <w:r w:rsidR="00C00991" w:rsidRPr="001C2AE6">
        <w:rPr>
          <w:rFonts w:ascii="Verdana" w:hAnsi="Verdana" w:cs="Arial"/>
          <w:noProof/>
          <w:lang w:val="es-ES_tradnl"/>
        </w:rPr>
        <w:t xml:space="preserve">para procesos de licitación pública de infraestructura de transporte – Versión </w:t>
      </w:r>
      <w:r w:rsidR="005C6E1B">
        <w:rPr>
          <w:rFonts w:ascii="Verdana" w:hAnsi="Verdana" w:cs="Arial"/>
          <w:noProof/>
          <w:lang w:val="es-ES_tradnl"/>
        </w:rPr>
        <w:t>3</w:t>
      </w:r>
      <w:r w:rsidR="00C00991">
        <w:rPr>
          <w:rFonts w:ascii="Verdana" w:hAnsi="Verdana" w:cs="Arial"/>
          <w:noProof/>
          <w:lang w:val="es-ES_tradnl"/>
        </w:rPr>
        <w:t xml:space="preserve">, </w:t>
      </w:r>
      <w:r w:rsidR="006558FF">
        <w:rPr>
          <w:rFonts w:ascii="Verdana" w:hAnsi="Verdana" w:cs="Arial"/>
          <w:noProof/>
          <w:lang w:val="es-ES_tradnl"/>
        </w:rPr>
        <w:t xml:space="preserve">indica en </w:t>
      </w:r>
      <w:r w:rsidRPr="006558FF">
        <w:rPr>
          <w:rFonts w:ascii="Verdana" w:hAnsi="Verdana" w:cs="Arial"/>
          <w:noProof/>
          <w:lang w:val="es-ES_tradnl"/>
        </w:rPr>
        <w:t>una nota lo siguiente:</w:t>
      </w:r>
    </w:p>
    <w:p w14:paraId="55216730" w14:textId="77777777" w:rsidR="00C00991" w:rsidRPr="006558FF" w:rsidRDefault="00C00991" w:rsidP="00C00991">
      <w:pPr>
        <w:spacing w:after="0"/>
        <w:ind w:firstLine="708"/>
        <w:jc w:val="both"/>
        <w:rPr>
          <w:rFonts w:ascii="Arial" w:hAnsi="Arial" w:cs="Arial"/>
          <w:color w:val="000000" w:themeColor="text1"/>
          <w:lang w:val="es-ES_tradnl"/>
        </w:rPr>
      </w:pPr>
    </w:p>
    <w:p w14:paraId="05B4C6C2" w14:textId="6A341A99" w:rsidR="00C00991" w:rsidRPr="00C00991" w:rsidRDefault="003913DE" w:rsidP="00C00991">
      <w:pPr>
        <w:spacing w:after="0" w:line="240" w:lineRule="auto"/>
        <w:ind w:left="709" w:right="709"/>
        <w:jc w:val="both"/>
        <w:rPr>
          <w:rFonts w:ascii="Verdana" w:hAnsi="Verdana"/>
          <w:sz w:val="21"/>
          <w:szCs w:val="21"/>
          <w:lang w:val="es-MX"/>
        </w:rPr>
      </w:pPr>
      <w:r w:rsidRPr="00C00991">
        <w:rPr>
          <w:rFonts w:ascii="Verdana" w:hAnsi="Verdana"/>
          <w:sz w:val="21"/>
          <w:szCs w:val="21"/>
          <w:lang w:val="es-MX"/>
        </w:rPr>
        <w:t>“Formato 3 - Experiencia” consolida la experiencia que se está aportando, pero no acredita la experiencia del Proponente. Si el Proponente aporta el RUP con la información de su experiencia relacionada o aporta los contratos de experiencia que tiene a su nombre, se deberá acreditar la experiencia, a pesar de no allegar o diligenciar indebidamente el “Formato 3- Experiencia”.</w:t>
      </w:r>
    </w:p>
    <w:p w14:paraId="41BD09E7" w14:textId="77777777" w:rsidR="003913DE" w:rsidRPr="00C00991" w:rsidRDefault="003913DE" w:rsidP="003913DE">
      <w:pPr>
        <w:spacing w:after="120" w:line="240" w:lineRule="auto"/>
        <w:ind w:left="709" w:right="709"/>
        <w:jc w:val="both"/>
        <w:rPr>
          <w:sz w:val="21"/>
          <w:szCs w:val="21"/>
          <w:lang w:val="es-ES_tradnl"/>
        </w:rPr>
      </w:pPr>
    </w:p>
    <w:p w14:paraId="16FF4C15" w14:textId="49171F06" w:rsidR="00C00991" w:rsidRPr="00C00991" w:rsidRDefault="005C6E1B" w:rsidP="00C00991">
      <w:pPr>
        <w:widowControl w:val="0"/>
        <w:autoSpaceDE w:val="0"/>
        <w:autoSpaceDN w:val="0"/>
        <w:ind w:right="102" w:firstLine="708"/>
        <w:jc w:val="both"/>
        <w:rPr>
          <w:rFonts w:ascii="Verdana" w:hAnsi="Verdana" w:cs="Arial"/>
          <w:noProof/>
          <w:lang w:val="es-ES_tradnl"/>
        </w:rPr>
      </w:pPr>
      <w:r>
        <w:rPr>
          <w:rFonts w:ascii="Verdana" w:hAnsi="Verdana" w:cs="Arial"/>
          <w:noProof/>
          <w:lang w:val="es-ES_tradnl"/>
        </w:rPr>
        <w:t>Así</w:t>
      </w:r>
      <w:r w:rsidR="00C00991" w:rsidRPr="00C00991">
        <w:rPr>
          <w:rFonts w:ascii="Verdana" w:hAnsi="Verdana" w:cs="Arial"/>
          <w:noProof/>
          <w:lang w:val="es-ES_tradnl"/>
        </w:rPr>
        <w:t>, aun cuando se haya presentado indebidamente diligenciado, se haya incluido un contrato que no cumple con lo exigido, o no se haya presentado el “Formato 3 – Experiencia”, ninguna de estas causas será un motivo para rechazar los proponentes</w:t>
      </w:r>
      <w:r w:rsidR="00C00991" w:rsidRPr="00C00991">
        <w:rPr>
          <w:rFonts w:ascii="Verdana" w:hAnsi="Verdana" w:cs="Arial"/>
          <w:noProof/>
          <w:vertAlign w:val="superscript"/>
          <w:lang w:val="es-ES_tradnl"/>
        </w:rPr>
        <w:footnoteReference w:id="11"/>
      </w:r>
      <w:r w:rsidR="00C00991" w:rsidRPr="00C00991">
        <w:rPr>
          <w:rFonts w:ascii="Verdana" w:hAnsi="Verdana" w:cs="Arial"/>
          <w:noProof/>
          <w:lang w:val="es-ES_tradnl"/>
        </w:rPr>
        <w:t xml:space="preserve">. </w:t>
      </w:r>
    </w:p>
    <w:p w14:paraId="266C57A6" w14:textId="170E0A70" w:rsidR="006558FF" w:rsidRPr="00C00991" w:rsidRDefault="006558FF" w:rsidP="006558FF">
      <w:pPr>
        <w:widowControl w:val="0"/>
        <w:autoSpaceDE w:val="0"/>
        <w:autoSpaceDN w:val="0"/>
        <w:ind w:right="102" w:firstLine="708"/>
        <w:jc w:val="both"/>
        <w:rPr>
          <w:rFonts w:ascii="Verdana" w:hAnsi="Verdana" w:cs="Arial"/>
          <w:noProof/>
          <w:lang w:val="es-ES_tradnl"/>
        </w:rPr>
      </w:pPr>
      <w:r>
        <w:rPr>
          <w:rFonts w:ascii="Verdana" w:hAnsi="Verdana" w:cs="Arial"/>
          <w:noProof/>
          <w:lang w:val="es-ES_tradnl"/>
        </w:rPr>
        <w:t xml:space="preserve">Esto, considerando que, </w:t>
      </w:r>
      <w:r w:rsidR="00DE65BD" w:rsidRPr="00C00991">
        <w:rPr>
          <w:rFonts w:ascii="Verdana" w:hAnsi="Verdana" w:cs="Arial"/>
          <w:noProof/>
          <w:lang w:val="es-ES_tradnl"/>
        </w:rPr>
        <w:t xml:space="preserve">de acuerdo con el artículo 6 de la Ley 1150 de </w:t>
      </w:r>
      <w:r w:rsidR="00DE65BD" w:rsidRPr="00C00991">
        <w:rPr>
          <w:rFonts w:ascii="Verdana" w:hAnsi="Verdana" w:cs="Arial"/>
          <w:noProof/>
          <w:lang w:val="es-ES_tradnl"/>
        </w:rPr>
        <w:lastRenderedPageBreak/>
        <w:t>2007, el registro único de proponentes será plena prueba de la información relacionada con la experiencia del oferente</w:t>
      </w:r>
      <w:r w:rsidR="00DE65BD" w:rsidRPr="006558FF">
        <w:rPr>
          <w:rFonts w:ascii="Verdana" w:hAnsi="Verdana" w:cs="Arial"/>
          <w:noProof/>
          <w:vertAlign w:val="superscript"/>
          <w:lang w:val="es-ES_tradnl"/>
        </w:rPr>
        <w:footnoteReference w:id="12"/>
      </w:r>
      <w:r w:rsidR="00DE65BD" w:rsidRPr="00C00991">
        <w:rPr>
          <w:rFonts w:ascii="Verdana" w:hAnsi="Verdana" w:cs="Arial"/>
          <w:noProof/>
          <w:lang w:val="es-ES_tradnl"/>
        </w:rPr>
        <w:t xml:space="preserve">. Por lo tanto, si el oferente aporta el RUP con la información relacionada con la experiencia, o aporta la experiencia de los contratos que tiene a su nombre, deberá acreditar este requisito en el procedimiento de selección, a pesar de no aportar o diligenciar </w:t>
      </w:r>
      <w:r w:rsidR="00637080">
        <w:rPr>
          <w:rFonts w:ascii="Verdana" w:hAnsi="Verdana" w:cs="Arial"/>
          <w:noProof/>
          <w:lang w:val="es-ES_tradnl"/>
        </w:rPr>
        <w:t xml:space="preserve">o haber incluido un contrato </w:t>
      </w:r>
      <w:r w:rsidR="00DE65BD" w:rsidRPr="00C00991">
        <w:rPr>
          <w:rFonts w:ascii="Verdana" w:hAnsi="Verdana" w:cs="Arial"/>
          <w:noProof/>
          <w:lang w:val="es-ES_tradnl"/>
        </w:rPr>
        <w:t xml:space="preserve">en el </w:t>
      </w:r>
      <w:r w:rsidR="00C00991">
        <w:rPr>
          <w:rFonts w:ascii="Verdana" w:hAnsi="Verdana" w:cs="Arial"/>
          <w:noProof/>
          <w:lang w:val="es-ES_tradnl"/>
        </w:rPr>
        <w:t>“</w:t>
      </w:r>
      <w:r w:rsidR="00DE65BD" w:rsidRPr="00C00991">
        <w:rPr>
          <w:rFonts w:ascii="Verdana" w:hAnsi="Verdana" w:cs="Arial"/>
          <w:noProof/>
          <w:lang w:val="es-ES_tradnl"/>
        </w:rPr>
        <w:t xml:space="preserve">Formato 3 </w:t>
      </w:r>
      <w:r w:rsidR="00C00991">
        <w:rPr>
          <w:rFonts w:ascii="Verdana" w:hAnsi="Verdana" w:cs="Arial"/>
          <w:noProof/>
          <w:lang w:val="es-ES_tradnl"/>
        </w:rPr>
        <w:t>–</w:t>
      </w:r>
      <w:r w:rsidR="00DE65BD" w:rsidRPr="00C00991">
        <w:rPr>
          <w:rFonts w:ascii="Verdana" w:hAnsi="Verdana" w:cs="Arial"/>
          <w:noProof/>
          <w:lang w:val="es-ES_tradnl"/>
        </w:rPr>
        <w:t xml:space="preserve"> Experiencia</w:t>
      </w:r>
      <w:r w:rsidR="00C00991">
        <w:rPr>
          <w:rFonts w:ascii="Verdana" w:hAnsi="Verdana" w:cs="Arial"/>
          <w:noProof/>
          <w:lang w:val="es-ES_tradnl"/>
        </w:rPr>
        <w:t>”</w:t>
      </w:r>
      <w:r w:rsidR="00DE65BD" w:rsidRPr="00C00991">
        <w:rPr>
          <w:rFonts w:ascii="Verdana" w:hAnsi="Verdana" w:cs="Arial"/>
          <w:noProof/>
          <w:lang w:val="es-ES_tradnl"/>
        </w:rPr>
        <w:t xml:space="preserve"> que no cumple lo exigido.  Por lo tanto, el </w:t>
      </w:r>
      <w:r w:rsidR="00C00991">
        <w:rPr>
          <w:rFonts w:ascii="Verdana" w:hAnsi="Verdana" w:cs="Arial"/>
          <w:noProof/>
          <w:lang w:val="es-ES_tradnl"/>
        </w:rPr>
        <w:t>“</w:t>
      </w:r>
      <w:r w:rsidR="00DE65BD" w:rsidRPr="00C00991">
        <w:rPr>
          <w:rFonts w:ascii="Verdana" w:hAnsi="Verdana" w:cs="Arial"/>
          <w:noProof/>
          <w:lang w:val="es-ES_tradnl"/>
        </w:rPr>
        <w:t xml:space="preserve">Formato 3 </w:t>
      </w:r>
      <w:r w:rsidR="00C00991">
        <w:rPr>
          <w:rFonts w:ascii="Verdana" w:hAnsi="Verdana" w:cs="Arial"/>
          <w:noProof/>
          <w:lang w:val="es-ES_tradnl"/>
        </w:rPr>
        <w:t>–</w:t>
      </w:r>
      <w:r w:rsidR="00DE65BD" w:rsidRPr="00C00991">
        <w:rPr>
          <w:rFonts w:ascii="Verdana" w:hAnsi="Verdana" w:cs="Arial"/>
          <w:noProof/>
          <w:lang w:val="es-ES_tradnl"/>
        </w:rPr>
        <w:t xml:space="preserve"> Experiencia</w:t>
      </w:r>
      <w:r w:rsidR="00C00991">
        <w:rPr>
          <w:rFonts w:ascii="Verdana" w:hAnsi="Verdana" w:cs="Arial"/>
          <w:noProof/>
          <w:lang w:val="es-ES_tradnl"/>
        </w:rPr>
        <w:t>”</w:t>
      </w:r>
      <w:r w:rsidR="00DE65BD" w:rsidRPr="00C00991">
        <w:rPr>
          <w:rFonts w:ascii="Verdana" w:hAnsi="Verdana" w:cs="Arial"/>
          <w:noProof/>
          <w:lang w:val="es-ES_tradnl"/>
        </w:rPr>
        <w:t xml:space="preserve"> consolida la experiencia aportada, pero no acredita la experiencia del proponente.</w:t>
      </w:r>
    </w:p>
    <w:p w14:paraId="56B52D9F" w14:textId="47058FFA" w:rsidR="0089504B" w:rsidRPr="006558FF" w:rsidRDefault="005C6E1B" w:rsidP="006558FF">
      <w:pPr>
        <w:widowControl w:val="0"/>
        <w:autoSpaceDE w:val="0"/>
        <w:autoSpaceDN w:val="0"/>
        <w:ind w:right="102" w:firstLine="708"/>
        <w:jc w:val="both"/>
        <w:rPr>
          <w:rFonts w:ascii="Verdana" w:hAnsi="Verdana" w:cs="Arial"/>
          <w:noProof/>
          <w:lang w:val="es-ES_tradnl"/>
        </w:rPr>
      </w:pPr>
      <w:r>
        <w:rPr>
          <w:rFonts w:ascii="Verdana" w:hAnsi="Verdana" w:cs="Arial"/>
          <w:noProof/>
          <w:lang w:val="es-ES_tradnl"/>
        </w:rPr>
        <w:t>P</w:t>
      </w:r>
      <w:r w:rsidR="00DE65BD" w:rsidRPr="00C00991">
        <w:rPr>
          <w:rFonts w:ascii="Verdana" w:hAnsi="Verdana" w:cs="Arial"/>
          <w:noProof/>
          <w:lang w:val="es-ES_tradnl"/>
        </w:rPr>
        <w:t xml:space="preserve">or tratarse de un requisito de verificación que no otorga puntaje, debe tenerse en cuenta que si el proponente desea acreditar otro contrato no incluido en el </w:t>
      </w:r>
      <w:r w:rsidR="006558FF">
        <w:rPr>
          <w:rFonts w:ascii="Verdana" w:hAnsi="Verdana" w:cs="Arial"/>
          <w:noProof/>
          <w:lang w:val="es-ES_tradnl"/>
        </w:rPr>
        <w:t>“</w:t>
      </w:r>
      <w:r w:rsidR="00DE65BD" w:rsidRPr="00C00991">
        <w:rPr>
          <w:rFonts w:ascii="Verdana" w:hAnsi="Verdana" w:cs="Arial"/>
          <w:noProof/>
          <w:lang w:val="es-ES_tradnl"/>
        </w:rPr>
        <w:t xml:space="preserve">Formato 3 </w:t>
      </w:r>
      <w:r w:rsidR="006558FF">
        <w:rPr>
          <w:rFonts w:ascii="Verdana" w:hAnsi="Verdana" w:cs="Arial"/>
          <w:noProof/>
          <w:lang w:val="es-ES_tradnl"/>
        </w:rPr>
        <w:t>–</w:t>
      </w:r>
      <w:r w:rsidR="00DE65BD" w:rsidRPr="00C00991">
        <w:rPr>
          <w:rFonts w:ascii="Verdana" w:hAnsi="Verdana" w:cs="Arial"/>
          <w:noProof/>
          <w:lang w:val="es-ES_tradnl"/>
        </w:rPr>
        <w:t xml:space="preserve"> Experiencia</w:t>
      </w:r>
      <w:r w:rsidR="006558FF">
        <w:rPr>
          <w:rFonts w:ascii="Verdana" w:hAnsi="Verdana" w:cs="Arial"/>
          <w:noProof/>
          <w:lang w:val="es-ES_tradnl"/>
        </w:rPr>
        <w:t>”</w:t>
      </w:r>
      <w:r w:rsidR="00DE65BD" w:rsidRPr="00C00991">
        <w:rPr>
          <w:rFonts w:ascii="Verdana" w:hAnsi="Verdana" w:cs="Arial"/>
          <w:noProof/>
          <w:lang w:val="es-ES_tradnl"/>
        </w:rPr>
        <w:t xml:space="preserve">, podrá incluirlo en este documento siempre y cuando se encuentre registrado en el RUP antes de la presentación de la oferta. Esto en la medida que –de conformidad con lo señalado por el parágrafo 1 del artículo 5 de la Ley 1150 de 2007– </w:t>
      </w:r>
      <w:r w:rsidR="00C00991">
        <w:rPr>
          <w:rFonts w:ascii="Verdana" w:hAnsi="Verdana" w:cs="Arial"/>
          <w:noProof/>
          <w:lang w:val="es-ES_tradnl"/>
        </w:rPr>
        <w:t>“</w:t>
      </w:r>
      <w:r w:rsidR="00DE65BD" w:rsidRPr="00C00991">
        <w:rPr>
          <w:rFonts w:ascii="Verdana" w:hAnsi="Verdana" w:cs="Arial"/>
          <w:noProof/>
          <w:lang w:val="es-ES_tradnl"/>
        </w:rPr>
        <w:t>[…] los proponentes no podrán acreditar circunstancias ocurridas con posterioridad al cierre del proceso […]</w:t>
      </w:r>
      <w:r w:rsidR="00C00991">
        <w:rPr>
          <w:rFonts w:ascii="Verdana" w:hAnsi="Verdana" w:cs="Arial"/>
          <w:noProof/>
          <w:lang w:val="es-ES_tradnl"/>
        </w:rPr>
        <w:t>”</w:t>
      </w:r>
      <w:bookmarkEnd w:id="1"/>
      <w:r w:rsidR="006558FF">
        <w:rPr>
          <w:rFonts w:ascii="Verdana" w:hAnsi="Verdana" w:cs="Arial"/>
          <w:noProof/>
          <w:lang w:val="es-ES_tradnl"/>
        </w:rPr>
        <w:t>.</w:t>
      </w:r>
    </w:p>
    <w:p w14:paraId="455555CC" w14:textId="77777777" w:rsidR="007F4029" w:rsidRPr="00593A5F" w:rsidRDefault="007F4029" w:rsidP="007F4029">
      <w:pPr>
        <w:widowControl w:val="0"/>
        <w:autoSpaceDE w:val="0"/>
        <w:autoSpaceDN w:val="0"/>
        <w:spacing w:after="0" w:line="276" w:lineRule="auto"/>
        <w:jc w:val="both"/>
        <w:rPr>
          <w:rFonts w:ascii="Verdana" w:hAnsi="Verdana" w:cs="Arial"/>
        </w:rPr>
      </w:pPr>
    </w:p>
    <w:p w14:paraId="75C9520A" w14:textId="77777777" w:rsidR="007F4029" w:rsidRPr="00593A5F" w:rsidRDefault="007F4029" w:rsidP="007F402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475D4F28" w14:textId="77777777" w:rsidR="007F4029" w:rsidRPr="00593A5F" w:rsidRDefault="007F4029" w:rsidP="007F402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F4029" w:rsidRPr="00593A5F" w14:paraId="1804B538" w14:textId="77777777" w:rsidTr="008D5D4A">
        <w:trPr>
          <w:trHeight w:val="4102"/>
        </w:trPr>
        <w:tc>
          <w:tcPr>
            <w:tcW w:w="8647" w:type="dxa"/>
          </w:tcPr>
          <w:p w14:paraId="61B27F61" w14:textId="77777777" w:rsidR="007F4029" w:rsidRPr="00D16A5E" w:rsidRDefault="007F4029" w:rsidP="005C6E1B">
            <w:pPr>
              <w:pStyle w:val="Prrafodelista"/>
              <w:numPr>
                <w:ilvl w:val="0"/>
                <w:numId w:val="17"/>
              </w:numPr>
              <w:spacing w:after="120" w:line="276" w:lineRule="auto"/>
              <w:jc w:val="both"/>
              <w:rPr>
                <w:rFonts w:ascii="Verdana" w:hAnsi="Verdana" w:cs="Arial"/>
                <w:noProof/>
                <w:lang w:val="es-ES_tradnl"/>
              </w:rPr>
            </w:pPr>
            <w:r>
              <w:rPr>
                <w:rFonts w:ascii="Verdana" w:hAnsi="Verdana" w:cs="Arial"/>
                <w:noProof/>
                <w:lang w:val="es-ES_tradnl"/>
              </w:rPr>
              <w:lastRenderedPageBreak/>
              <w:t>A</w:t>
            </w:r>
            <w:r w:rsidRPr="009F4606">
              <w:rPr>
                <w:rFonts w:ascii="Verdana" w:hAnsi="Verdana" w:cs="Arial"/>
                <w:noProof/>
                <w:lang w:val="es-ES_tradnl"/>
              </w:rPr>
              <w:t>rtículo 5 de la Ley 1150 de 2007, modificado por la Ley 1882 de 2018, parágrafos 1, 3 y 4.</w:t>
            </w:r>
            <w:r>
              <w:rPr>
                <w:rFonts w:ascii="Verdana" w:hAnsi="Verdana" w:cs="Arial"/>
                <w:noProof/>
                <w:lang w:val="es-ES_tradnl"/>
              </w:rPr>
              <w:t xml:space="preserve"> </w:t>
            </w:r>
          </w:p>
          <w:p w14:paraId="17CDA1E1" w14:textId="77777777" w:rsidR="007F4029" w:rsidRDefault="007F4029" w:rsidP="005C6E1B">
            <w:pPr>
              <w:pStyle w:val="Prrafodelista"/>
              <w:numPr>
                <w:ilvl w:val="0"/>
                <w:numId w:val="17"/>
              </w:numPr>
              <w:spacing w:after="120" w:line="276" w:lineRule="auto"/>
              <w:jc w:val="both"/>
              <w:rPr>
                <w:rFonts w:ascii="Verdana" w:hAnsi="Verdana" w:cs="Arial"/>
                <w:noProof/>
                <w:lang w:val="es-ES_tradnl"/>
              </w:rPr>
            </w:pPr>
            <w:r w:rsidRPr="009F4606">
              <w:rPr>
                <w:rFonts w:ascii="Verdana" w:hAnsi="Verdana" w:cs="Arial"/>
                <w:noProof/>
                <w:lang w:val="es-ES_tradnl"/>
              </w:rPr>
              <w:t>Consejo de Estado. Sala de Consulta y Servicio Civil. Concepto del 20 de mayo de 2010. Exp. 1.992. C.P. Enrique José Arboleda Perdomo.</w:t>
            </w:r>
          </w:p>
          <w:p w14:paraId="46C7EEF5" w14:textId="77777777" w:rsidR="007F4029" w:rsidRDefault="007F4029" w:rsidP="005C6E1B">
            <w:pPr>
              <w:pStyle w:val="Prrafodelista"/>
              <w:numPr>
                <w:ilvl w:val="0"/>
                <w:numId w:val="17"/>
              </w:numPr>
              <w:spacing w:after="120" w:line="276" w:lineRule="auto"/>
              <w:jc w:val="both"/>
              <w:rPr>
                <w:rFonts w:ascii="Verdana" w:hAnsi="Verdana" w:cs="Arial"/>
                <w:noProof/>
                <w:lang w:val="es-ES_tradnl"/>
              </w:rPr>
            </w:pPr>
            <w:r w:rsidRPr="00F97212">
              <w:rPr>
                <w:rFonts w:ascii="Verdana" w:hAnsi="Verdana" w:cs="Arial"/>
                <w:noProof/>
                <w:lang w:val="es-ES_tradnl"/>
              </w:rPr>
              <w:t>Consejo De Estado. Sección Tercera. Subsección C. Sentencia del 26 de febrero de 2014. Expediente: 25.804. Consejero Ponente: Enrique Gil Botero</w:t>
            </w:r>
            <w:r>
              <w:rPr>
                <w:rFonts w:ascii="Verdana" w:hAnsi="Verdana" w:cs="Arial"/>
                <w:noProof/>
                <w:lang w:val="es-ES_tradnl"/>
              </w:rPr>
              <w:t>.</w:t>
            </w:r>
          </w:p>
          <w:p w14:paraId="7D51A3D8" w14:textId="77777777" w:rsidR="007F4029" w:rsidRDefault="007F4029" w:rsidP="005C6E1B">
            <w:pPr>
              <w:pStyle w:val="Prrafodelista"/>
              <w:numPr>
                <w:ilvl w:val="0"/>
                <w:numId w:val="17"/>
              </w:numPr>
              <w:spacing w:after="120" w:line="276" w:lineRule="auto"/>
              <w:jc w:val="both"/>
              <w:rPr>
                <w:rFonts w:ascii="Verdana" w:hAnsi="Verdana" w:cs="Arial"/>
                <w:noProof/>
                <w:lang w:val="es-ES_tradnl"/>
              </w:rPr>
            </w:pPr>
            <w:r w:rsidRPr="00F97212">
              <w:rPr>
                <w:rFonts w:ascii="Verdana" w:hAnsi="Verdana" w:cs="Arial"/>
                <w:noProof/>
                <w:lang w:val="es-ES_tradnl"/>
              </w:rPr>
              <w:t>Consejo De Estado, Sección Tercera, Subsección C. Sentencia del 26 de febrero de 2011. C.P. Jaime Orlando Santofimio. Rad. 36.408.</w:t>
            </w:r>
          </w:p>
          <w:p w14:paraId="2E98BCB1" w14:textId="7299FBC3" w:rsidR="005C6E1B" w:rsidRPr="008D5D4A" w:rsidRDefault="005C6E1B" w:rsidP="005C6E1B">
            <w:pPr>
              <w:pStyle w:val="Prrafodelista"/>
              <w:numPr>
                <w:ilvl w:val="0"/>
                <w:numId w:val="17"/>
              </w:numPr>
              <w:spacing w:after="120" w:line="276" w:lineRule="auto"/>
              <w:jc w:val="both"/>
              <w:rPr>
                <w:rFonts w:ascii="Verdana" w:hAnsi="Verdana" w:cs="Arial"/>
                <w:noProof/>
                <w:lang w:val="es-ES_tradnl"/>
              </w:rPr>
            </w:pPr>
            <w:r>
              <w:rPr>
                <w:rFonts w:ascii="Verdana" w:eastAsia="Calibri" w:hAnsi="Verdana" w:cs="Arial"/>
                <w:shd w:val="clear" w:color="auto" w:fill="FFFFFF"/>
              </w:rPr>
              <w:t xml:space="preserve">Documentos tipo de licitación de obra pública de infraestructura de transporte – Versión 3 con las modificación de la resolución 275 de 2021. Consultar en </w:t>
            </w:r>
            <w:hyperlink r:id="rId12" w:history="1">
              <w:r w:rsidRPr="009B56DC">
                <w:rPr>
                  <w:rStyle w:val="Hipervnculo"/>
                  <w:rFonts w:ascii="Verdana" w:eastAsia="Calibri" w:hAnsi="Verdana" w:cs="Arial"/>
                  <w:shd w:val="clear" w:color="auto" w:fill="FFFFFF"/>
                </w:rPr>
                <w:t>https://www.colombiacompra.gov.co/content/04-documentos-tipo-para-licitacion-de-obra-publica-de-infraestructura-de-transporte-version</w:t>
              </w:r>
            </w:hyperlink>
          </w:p>
          <w:p w14:paraId="7F270C02" w14:textId="53F138A7" w:rsidR="005C6E1B" w:rsidRPr="008D5D4A" w:rsidRDefault="005C6E1B" w:rsidP="008D5D4A">
            <w:pPr>
              <w:spacing w:after="120" w:line="276" w:lineRule="auto"/>
              <w:ind w:left="360"/>
              <w:jc w:val="both"/>
              <w:rPr>
                <w:rFonts w:ascii="Verdana" w:hAnsi="Verdana" w:cs="Arial"/>
                <w:noProof/>
                <w:lang w:val="es-ES_tradnl"/>
              </w:rPr>
            </w:pPr>
          </w:p>
        </w:tc>
      </w:tr>
    </w:tbl>
    <w:p w14:paraId="07A8EF01" w14:textId="77777777" w:rsidR="007F4029" w:rsidRPr="00593A5F" w:rsidRDefault="007F4029" w:rsidP="007F4029">
      <w:pPr>
        <w:widowControl w:val="0"/>
        <w:autoSpaceDE w:val="0"/>
        <w:autoSpaceDN w:val="0"/>
        <w:spacing w:after="0" w:line="276" w:lineRule="auto"/>
        <w:jc w:val="both"/>
        <w:rPr>
          <w:rFonts w:ascii="Verdana" w:hAnsi="Verdana" w:cs="Arial"/>
        </w:rPr>
      </w:pPr>
    </w:p>
    <w:p w14:paraId="76E59BAD" w14:textId="77777777" w:rsidR="007F4029" w:rsidRPr="00593A5F" w:rsidRDefault="007F4029" w:rsidP="007F402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1924364" w14:textId="77777777" w:rsidR="007F4029" w:rsidRPr="00593A5F" w:rsidRDefault="007F4029" w:rsidP="007F4029">
      <w:pPr>
        <w:widowControl w:val="0"/>
        <w:autoSpaceDE w:val="0"/>
        <w:autoSpaceDN w:val="0"/>
        <w:spacing w:after="0" w:line="276" w:lineRule="auto"/>
        <w:jc w:val="both"/>
        <w:rPr>
          <w:rFonts w:ascii="Verdana" w:hAnsi="Verdana" w:cs="Arial"/>
        </w:rPr>
      </w:pPr>
    </w:p>
    <w:p w14:paraId="433043CC" w14:textId="77777777" w:rsidR="007F4029" w:rsidRPr="00525E10" w:rsidRDefault="007F4029" w:rsidP="007F4029">
      <w:pPr>
        <w:widowControl w:val="0"/>
        <w:autoSpaceDE w:val="0"/>
        <w:autoSpaceDN w:val="0"/>
        <w:spacing w:after="0" w:line="276" w:lineRule="auto"/>
        <w:jc w:val="both"/>
        <w:rPr>
          <w:rStyle w:val="normaltextrun"/>
          <w:rFonts w:ascii="Verdana" w:hAnsi="Verdana" w:cs="Arial"/>
          <w:shd w:val="clear" w:color="auto" w:fill="FFFFFF"/>
          <w:lang w:val="es-ES"/>
        </w:rPr>
      </w:pPr>
      <w:r w:rsidRPr="00D16A5E">
        <w:rPr>
          <w:rFonts w:ascii="Verdana" w:eastAsia="Calibri" w:hAnsi="Verdana" w:cs="Arial"/>
          <w:lang w:val="es-ES" w:eastAsia="es-ES"/>
        </w:rPr>
        <w:t xml:space="preserve">Sobre la </w:t>
      </w:r>
      <w:r w:rsidRPr="00D16A5E">
        <w:rPr>
          <w:rFonts w:ascii="Verdana" w:eastAsia="Calibri" w:hAnsi="Verdana" w:cs="Arial"/>
          <w:lang w:val="es-ES"/>
        </w:rPr>
        <w:t>regla de subsanabilidad en los procesos de selección,</w:t>
      </w:r>
      <w:r w:rsidRPr="00D16A5E">
        <w:rPr>
          <w:rStyle w:val="superscript"/>
          <w:rFonts w:ascii="Verdana" w:hAnsi="Verdana" w:cs="Arial"/>
          <w:shd w:val="clear" w:color="auto" w:fill="FFFFFF"/>
          <w:lang w:val="es-ES"/>
        </w:rPr>
        <w:t xml:space="preserve"> </w:t>
      </w:r>
      <w:r w:rsidRPr="00D16A5E">
        <w:rPr>
          <w:rStyle w:val="normaltextrun"/>
          <w:rFonts w:ascii="Verdana" w:hAnsi="Verdana" w:cs="Arial"/>
          <w:shd w:val="clear" w:color="auto" w:fill="FFFFFF"/>
          <w:lang w:val="es-ES"/>
        </w:rPr>
        <w:t xml:space="preserve">se pronunció esta Subdirección </w:t>
      </w:r>
      <w:r w:rsidRPr="00D16A5E">
        <w:rPr>
          <w:rFonts w:ascii="Verdana" w:eastAsia="Calibri" w:hAnsi="Verdana" w:cs="Arial"/>
          <w:lang w:val="es-ES"/>
        </w:rPr>
        <w:t xml:space="preserve">en los conceptos 4201913000007643 del 26 de diciembre de 2019, C-343 del 17 de junio de 2020, C-518 del 9 de septiembre de 2020, C-614 del 5 de octubre de 2022, C-882 del 21 de diciembre de 2022 y C-172 del 6 de junio de 2023.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3"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shd w:val="clear" w:color="auto" w:fill="FFFFFF"/>
          <w:lang w:val="es-ES"/>
        </w:rPr>
        <w:t>.</w:t>
      </w:r>
    </w:p>
    <w:p w14:paraId="2DA5B53D" w14:textId="77777777" w:rsidR="007F4029" w:rsidRDefault="007F4029" w:rsidP="007F4029">
      <w:pPr>
        <w:widowControl w:val="0"/>
        <w:autoSpaceDE w:val="0"/>
        <w:autoSpaceDN w:val="0"/>
        <w:spacing w:after="0" w:line="276" w:lineRule="auto"/>
        <w:jc w:val="both"/>
        <w:rPr>
          <w:rFonts w:ascii="Verdana" w:hAnsi="Verdana" w:cs="Arial"/>
        </w:rPr>
      </w:pPr>
    </w:p>
    <w:p w14:paraId="4C8D4059" w14:textId="1E308839" w:rsidR="00637080" w:rsidRDefault="00637080" w:rsidP="007F4029">
      <w:pPr>
        <w:widowControl w:val="0"/>
        <w:autoSpaceDE w:val="0"/>
        <w:autoSpaceDN w:val="0"/>
        <w:spacing w:after="0" w:line="276" w:lineRule="auto"/>
        <w:jc w:val="both"/>
        <w:rPr>
          <w:rFonts w:ascii="Verdana" w:hAnsi="Verdana" w:cs="Arial"/>
        </w:rPr>
      </w:pPr>
      <w:r>
        <w:rPr>
          <w:rFonts w:ascii="Verdana" w:hAnsi="Verdana" w:cs="Arial"/>
        </w:rPr>
        <w:t xml:space="preserve">Sobre la subsanabilidad del Formato 3 – Experiencia de los documentos tipo: </w:t>
      </w:r>
    </w:p>
    <w:p w14:paraId="50841BE4" w14:textId="77777777" w:rsidR="00637080" w:rsidRDefault="00637080" w:rsidP="007F4029">
      <w:pPr>
        <w:widowControl w:val="0"/>
        <w:autoSpaceDE w:val="0"/>
        <w:autoSpaceDN w:val="0"/>
        <w:spacing w:after="0" w:line="276" w:lineRule="auto"/>
        <w:jc w:val="both"/>
        <w:rPr>
          <w:rFonts w:ascii="Verdana" w:hAnsi="Verdana" w:cs="Arial"/>
        </w:rPr>
      </w:pPr>
    </w:p>
    <w:p w14:paraId="1C7B1756" w14:textId="77777777" w:rsidR="00637080" w:rsidRPr="00034060" w:rsidRDefault="00637080" w:rsidP="00637080">
      <w:pPr>
        <w:pStyle w:val="Prrafodelista"/>
        <w:numPr>
          <w:ilvl w:val="0"/>
          <w:numId w:val="17"/>
        </w:numPr>
        <w:spacing w:after="120" w:line="276" w:lineRule="auto"/>
        <w:jc w:val="both"/>
        <w:rPr>
          <w:rFonts w:ascii="Verdana" w:hAnsi="Verdana" w:cs="Arial"/>
          <w:noProof/>
          <w:lang w:val="es-ES_tradnl"/>
        </w:rPr>
      </w:pPr>
      <w:r w:rsidRPr="00607549">
        <w:rPr>
          <w:rFonts w:ascii="Verdana" w:eastAsia="Calibri" w:hAnsi="Verdana" w:cs="Arial"/>
          <w:shd w:val="clear" w:color="auto" w:fill="FFFFFF"/>
        </w:rPr>
        <w:t>Agencia Nacional de Contratación Pública – Colombia Compra Eficiente. Concepto</w:t>
      </w:r>
      <w:r>
        <w:rPr>
          <w:rFonts w:ascii="Verdana" w:eastAsia="Calibri" w:hAnsi="Verdana" w:cs="Arial"/>
          <w:shd w:val="clear" w:color="auto" w:fill="FFFFFF"/>
        </w:rPr>
        <w:t xml:space="preserve"> C-545 del 18 de agosto de 2020. Consultar en: </w:t>
      </w:r>
      <w:hyperlink r:id="rId14" w:history="1">
        <w:r w:rsidRPr="009B56DC">
          <w:rPr>
            <w:rStyle w:val="Hipervnculo"/>
            <w:rFonts w:ascii="Verdana" w:eastAsia="Calibri" w:hAnsi="Verdana" w:cs="Arial"/>
            <w:shd w:val="clear" w:color="auto" w:fill="FFFFFF"/>
          </w:rPr>
          <w:t>https://relatoria.colombiacompra.gov.co/conceptos/c-545-de-2020/</w:t>
        </w:r>
      </w:hyperlink>
      <w:r>
        <w:rPr>
          <w:rFonts w:ascii="Verdana" w:eastAsia="Calibri" w:hAnsi="Verdana" w:cs="Arial"/>
          <w:shd w:val="clear" w:color="auto" w:fill="FFFFFF"/>
        </w:rPr>
        <w:t xml:space="preserve"> </w:t>
      </w:r>
    </w:p>
    <w:p w14:paraId="393AFD42" w14:textId="77777777" w:rsidR="00637080" w:rsidRPr="00034060" w:rsidRDefault="00637080" w:rsidP="00637080">
      <w:pPr>
        <w:pStyle w:val="Prrafodelista"/>
        <w:numPr>
          <w:ilvl w:val="0"/>
          <w:numId w:val="17"/>
        </w:numPr>
        <w:spacing w:after="120" w:line="276" w:lineRule="auto"/>
        <w:jc w:val="both"/>
        <w:rPr>
          <w:rFonts w:ascii="Verdana" w:hAnsi="Verdana" w:cs="Arial"/>
          <w:noProof/>
          <w:lang w:val="es-ES_tradnl"/>
        </w:rPr>
      </w:pPr>
      <w:r w:rsidRPr="00607549">
        <w:rPr>
          <w:rFonts w:ascii="Verdana" w:eastAsia="Calibri" w:hAnsi="Verdana" w:cs="Arial"/>
          <w:shd w:val="clear" w:color="auto" w:fill="FFFFFF"/>
        </w:rPr>
        <w:lastRenderedPageBreak/>
        <w:t>Agencia Nacional de Contratación Pública – Colombia Compra Eficiente. Concepto</w:t>
      </w:r>
      <w:r>
        <w:rPr>
          <w:rFonts w:ascii="Verdana" w:eastAsia="Calibri" w:hAnsi="Verdana" w:cs="Arial"/>
          <w:shd w:val="clear" w:color="auto" w:fill="FFFFFF"/>
        </w:rPr>
        <w:t xml:space="preserve"> C-548 del 21 de agosto de 2020. Consultar en: </w:t>
      </w:r>
      <w:hyperlink r:id="rId15" w:history="1">
        <w:r w:rsidRPr="009B56DC">
          <w:rPr>
            <w:rStyle w:val="Hipervnculo"/>
            <w:rFonts w:ascii="Verdana" w:eastAsia="Calibri" w:hAnsi="Verdana" w:cs="Arial"/>
            <w:shd w:val="clear" w:color="auto" w:fill="FFFFFF"/>
          </w:rPr>
          <w:t>https://relatoria.colombiacompra.gov.co/conceptos/c-548-de-2020/</w:t>
        </w:r>
      </w:hyperlink>
      <w:r>
        <w:rPr>
          <w:rFonts w:ascii="Verdana" w:eastAsia="Calibri" w:hAnsi="Verdana" w:cs="Arial"/>
          <w:shd w:val="clear" w:color="auto" w:fill="FFFFFF"/>
        </w:rPr>
        <w:t xml:space="preserve"> </w:t>
      </w:r>
    </w:p>
    <w:p w14:paraId="27129D9A" w14:textId="77777777" w:rsidR="00637080" w:rsidRPr="00034060" w:rsidRDefault="00637080" w:rsidP="00637080">
      <w:pPr>
        <w:pStyle w:val="Prrafodelista"/>
        <w:numPr>
          <w:ilvl w:val="0"/>
          <w:numId w:val="17"/>
        </w:numPr>
        <w:spacing w:after="120" w:line="276" w:lineRule="auto"/>
        <w:jc w:val="both"/>
        <w:rPr>
          <w:rFonts w:ascii="Verdana" w:hAnsi="Verdana" w:cs="Arial"/>
          <w:noProof/>
          <w:lang w:val="es-ES_tradnl"/>
        </w:rPr>
      </w:pPr>
      <w:r w:rsidRPr="00607549">
        <w:rPr>
          <w:rFonts w:ascii="Verdana" w:eastAsia="Calibri" w:hAnsi="Verdana" w:cs="Arial"/>
          <w:shd w:val="clear" w:color="auto" w:fill="FFFFFF"/>
        </w:rPr>
        <w:t>Agencia Nacional de Contratación Pública – Colombia Compra Eficiente. Concepto</w:t>
      </w:r>
      <w:r>
        <w:rPr>
          <w:rFonts w:ascii="Verdana" w:eastAsia="Calibri" w:hAnsi="Verdana" w:cs="Arial"/>
          <w:shd w:val="clear" w:color="auto" w:fill="FFFFFF"/>
        </w:rPr>
        <w:t xml:space="preserve"> C-501 del 16 de septiembre de 2021. Consultar: </w:t>
      </w:r>
      <w:hyperlink r:id="rId16" w:history="1">
        <w:r w:rsidRPr="009B56DC">
          <w:rPr>
            <w:rStyle w:val="Hipervnculo"/>
            <w:rFonts w:ascii="Verdana" w:eastAsia="Calibri" w:hAnsi="Verdana" w:cs="Arial"/>
            <w:shd w:val="clear" w:color="auto" w:fill="FFFFFF"/>
          </w:rPr>
          <w:t>https://relatoria.colombiacompra.gov.co/conceptos/c-501-de-2021/</w:t>
        </w:r>
      </w:hyperlink>
    </w:p>
    <w:p w14:paraId="7E03FB4C" w14:textId="77777777" w:rsidR="00637080" w:rsidRPr="008D5D4A" w:rsidRDefault="00637080" w:rsidP="007F4029">
      <w:pPr>
        <w:widowControl w:val="0"/>
        <w:autoSpaceDE w:val="0"/>
        <w:autoSpaceDN w:val="0"/>
        <w:spacing w:after="0" w:line="276" w:lineRule="auto"/>
        <w:jc w:val="both"/>
        <w:rPr>
          <w:rFonts w:ascii="Verdana" w:hAnsi="Verdana" w:cs="Arial"/>
          <w:lang w:val="es-ES_tradnl"/>
        </w:rPr>
      </w:pPr>
    </w:p>
    <w:p w14:paraId="4926AD9E" w14:textId="77777777" w:rsidR="007F4029" w:rsidRPr="00593A5F" w:rsidRDefault="007F4029" w:rsidP="007F402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6BDF52AC" w14:textId="77777777" w:rsidR="007F4029" w:rsidRPr="00593A5F" w:rsidRDefault="007F4029" w:rsidP="007F4029">
      <w:pPr>
        <w:widowControl w:val="0"/>
        <w:autoSpaceDE w:val="0"/>
        <w:autoSpaceDN w:val="0"/>
        <w:spacing w:after="0" w:line="276" w:lineRule="auto"/>
        <w:jc w:val="both"/>
        <w:rPr>
          <w:rFonts w:ascii="Verdana" w:hAnsi="Verdana" w:cs="Arial"/>
        </w:rPr>
      </w:pPr>
    </w:p>
    <w:p w14:paraId="71738D3D" w14:textId="77777777" w:rsidR="007F4029" w:rsidRPr="00593A5F" w:rsidRDefault="007F4029" w:rsidP="007F4029">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59924536" w14:textId="5405B5C4" w:rsidR="00637080" w:rsidRDefault="00637080" w:rsidP="00637080">
      <w:pPr>
        <w:tabs>
          <w:tab w:val="left" w:pos="1320"/>
        </w:tabs>
        <w:rPr>
          <w:rFonts w:ascii="Century Gothic" w:hAnsi="Century Gothic"/>
        </w:rPr>
      </w:pPr>
    </w:p>
    <w:p w14:paraId="5B75FCD6" w14:textId="5876F42F" w:rsidR="00637080" w:rsidRDefault="00F62D73" w:rsidP="00637080">
      <w:pPr>
        <w:tabs>
          <w:tab w:val="left" w:pos="1320"/>
        </w:tabs>
        <w:jc w:val="center"/>
        <w:rPr>
          <w:rFonts w:ascii="Century Gothic" w:hAnsi="Century Gothic"/>
        </w:rPr>
      </w:pPr>
      <w:r w:rsidRPr="004D5C25">
        <w:rPr>
          <w:rFonts w:ascii="Century Gothic" w:hAnsi="Century Gothic"/>
          <w:noProof/>
        </w:rPr>
        <w:drawing>
          <wp:inline distT="0" distB="0" distL="0" distR="0" wp14:anchorId="668289CF" wp14:editId="36D78050">
            <wp:extent cx="2547937" cy="1093844"/>
            <wp:effectExtent l="0" t="0" r="508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2553823" cy="1096371"/>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37080" w:rsidRPr="00454626" w14:paraId="5DFA8D56" w14:textId="77777777" w:rsidTr="00034060">
        <w:trPr>
          <w:trHeight w:val="315"/>
        </w:trPr>
        <w:tc>
          <w:tcPr>
            <w:tcW w:w="893" w:type="dxa"/>
            <w:vAlign w:val="center"/>
            <w:hideMark/>
          </w:tcPr>
          <w:p w14:paraId="58717DE0" w14:textId="77777777" w:rsidR="00637080" w:rsidRPr="00454626" w:rsidRDefault="00637080" w:rsidP="00034060">
            <w:pPr>
              <w:rPr>
                <w:rFonts w:ascii="Verdana" w:eastAsia="Calibri" w:hAnsi="Verdana" w:cs="Arial"/>
                <w:sz w:val="16"/>
                <w:szCs w:val="16"/>
                <w:lang w:val="es-ES_tradnl" w:eastAsia="es-ES"/>
              </w:rPr>
            </w:pPr>
            <w:r w:rsidRPr="00454626">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14F6D5F1" w14:textId="77777777" w:rsidR="00637080" w:rsidRPr="00454626" w:rsidRDefault="00637080" w:rsidP="00034060">
            <w:pPr>
              <w:rPr>
                <w:rFonts w:ascii="Verdana" w:eastAsia="Arial" w:hAnsi="Verdana" w:cs="Arial"/>
                <w:sz w:val="16"/>
                <w:szCs w:val="16"/>
                <w:lang w:val="es-ES"/>
              </w:rPr>
            </w:pPr>
            <w:r>
              <w:rPr>
                <w:rFonts w:ascii="Verdana" w:eastAsia="Arial" w:hAnsi="Verdana" w:cs="Arial"/>
                <w:sz w:val="16"/>
                <w:szCs w:val="16"/>
                <w:lang w:val="es-ES"/>
              </w:rPr>
              <w:t xml:space="preserve">Carlos Mario Castrillon Endo </w:t>
            </w:r>
          </w:p>
          <w:p w14:paraId="5C7A30AD" w14:textId="77777777" w:rsidR="00637080" w:rsidRPr="00454626" w:rsidRDefault="00637080" w:rsidP="00034060">
            <w:pPr>
              <w:rPr>
                <w:rFonts w:ascii="Verdana" w:eastAsia="Arial" w:hAnsi="Verdana" w:cs="Arial"/>
                <w:sz w:val="16"/>
                <w:szCs w:val="16"/>
                <w:lang w:val="es-ES_tradnl"/>
              </w:rPr>
            </w:pPr>
            <w:r w:rsidRPr="00454626">
              <w:rPr>
                <w:rFonts w:ascii="Verdana" w:eastAsia="Arial" w:hAnsi="Verdana" w:cs="Arial"/>
                <w:sz w:val="16"/>
                <w:szCs w:val="16"/>
                <w:lang w:val="es-ES_tradnl"/>
              </w:rPr>
              <w:t>Contratista de la Subdirección de Gestión Contractual</w:t>
            </w:r>
          </w:p>
          <w:p w14:paraId="56AA4A8B" w14:textId="77777777" w:rsidR="00637080" w:rsidRPr="00454626" w:rsidRDefault="00637080" w:rsidP="00034060">
            <w:pPr>
              <w:rPr>
                <w:rFonts w:ascii="Verdana" w:eastAsia="Arial" w:hAnsi="Verdana" w:cs="Arial"/>
                <w:sz w:val="16"/>
                <w:szCs w:val="16"/>
                <w:lang w:val="es-ES_tradnl"/>
              </w:rPr>
            </w:pPr>
          </w:p>
        </w:tc>
      </w:tr>
      <w:tr w:rsidR="00637080" w:rsidRPr="00454626" w14:paraId="6697F804" w14:textId="77777777" w:rsidTr="00034060">
        <w:trPr>
          <w:trHeight w:val="330"/>
        </w:trPr>
        <w:tc>
          <w:tcPr>
            <w:tcW w:w="893" w:type="dxa"/>
            <w:vAlign w:val="center"/>
            <w:hideMark/>
          </w:tcPr>
          <w:p w14:paraId="700D0A16" w14:textId="77777777" w:rsidR="00637080" w:rsidRPr="00454626" w:rsidRDefault="00637080" w:rsidP="00034060">
            <w:pPr>
              <w:rPr>
                <w:rFonts w:ascii="Verdana" w:eastAsia="Calibri" w:hAnsi="Verdana" w:cs="Arial"/>
                <w:sz w:val="16"/>
                <w:szCs w:val="16"/>
                <w:lang w:val="es-ES_tradnl" w:eastAsia="es-ES"/>
              </w:rPr>
            </w:pPr>
            <w:r w:rsidRPr="00454626">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3F48D2C5" w14:textId="77777777" w:rsidR="00637080" w:rsidRDefault="00637080" w:rsidP="00034060">
            <w:pPr>
              <w:textAlignment w:val="baseline"/>
              <w:rPr>
                <w:rFonts w:ascii="Verdana" w:eastAsia="Times New Roman" w:hAnsi="Verdana" w:cs="Segoe UI"/>
                <w:sz w:val="16"/>
                <w:szCs w:val="16"/>
                <w:lang w:val="es-ES_tradnl" w:eastAsia="es-ES_tradnl"/>
              </w:rPr>
            </w:pPr>
            <w:r>
              <w:rPr>
                <w:rFonts w:ascii="Verdana" w:eastAsia="Times New Roman" w:hAnsi="Verdana" w:cs="Segoe UI"/>
                <w:sz w:val="16"/>
                <w:szCs w:val="16"/>
                <w:lang w:val="es-ES_tradnl" w:eastAsia="es-ES_tradnl"/>
              </w:rPr>
              <w:t xml:space="preserve">Adriana Katerine López Rodriguez </w:t>
            </w:r>
          </w:p>
          <w:p w14:paraId="67CAB53E" w14:textId="77777777" w:rsidR="00637080" w:rsidRPr="00454626" w:rsidRDefault="00637080" w:rsidP="00034060">
            <w:pPr>
              <w:textAlignment w:val="baseline"/>
              <w:rPr>
                <w:rFonts w:ascii="Verdana" w:eastAsia="Times New Roman" w:hAnsi="Verdana" w:cs="Segoe UI"/>
                <w:sz w:val="16"/>
                <w:szCs w:val="16"/>
                <w:lang w:val="es-ES_tradnl" w:eastAsia="es-ES_tradnl"/>
              </w:rPr>
            </w:pPr>
            <w:r w:rsidRPr="00454626">
              <w:rPr>
                <w:rFonts w:ascii="Verdana" w:eastAsia="Times New Roman" w:hAnsi="Verdana" w:cs="Arial"/>
                <w:sz w:val="16"/>
                <w:szCs w:val="16"/>
                <w:lang w:val="es-ES_tradnl" w:eastAsia="es-ES_tradnl"/>
              </w:rPr>
              <w:t>Contratista de la Subdirección de Gestión Contractual </w:t>
            </w:r>
          </w:p>
        </w:tc>
      </w:tr>
      <w:tr w:rsidR="00637080" w:rsidRPr="00454626" w14:paraId="04307582" w14:textId="77777777" w:rsidTr="00034060">
        <w:trPr>
          <w:trHeight w:val="300"/>
        </w:trPr>
        <w:tc>
          <w:tcPr>
            <w:tcW w:w="893" w:type="dxa"/>
            <w:vAlign w:val="center"/>
          </w:tcPr>
          <w:p w14:paraId="6F12B241" w14:textId="77777777" w:rsidR="00637080" w:rsidRPr="00454626" w:rsidRDefault="00637080" w:rsidP="00034060">
            <w:pPr>
              <w:rPr>
                <w:rFonts w:ascii="Verdana" w:eastAsia="Calibri" w:hAnsi="Verdana" w:cs="Arial"/>
                <w:sz w:val="16"/>
                <w:szCs w:val="16"/>
                <w:lang w:val="es-ES_tradnl" w:eastAsia="es-ES"/>
              </w:rPr>
            </w:pPr>
            <w:r w:rsidRPr="00454626">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3B4D4AAB" w14:textId="77777777" w:rsidR="00637080" w:rsidRPr="00454626" w:rsidRDefault="00637080" w:rsidP="00034060">
            <w:pPr>
              <w:rPr>
                <w:rFonts w:ascii="Verdana" w:eastAsia="Calibri" w:hAnsi="Verdana" w:cs="Arial"/>
                <w:sz w:val="16"/>
                <w:szCs w:val="16"/>
                <w:lang w:val="es-ES" w:eastAsia="es-ES"/>
              </w:rPr>
            </w:pPr>
            <w:r w:rsidRPr="00454626">
              <w:rPr>
                <w:rFonts w:ascii="Verdana" w:eastAsia="Calibri" w:hAnsi="Verdana" w:cs="Arial"/>
                <w:sz w:val="16"/>
                <w:szCs w:val="16"/>
                <w:lang w:val="es-ES" w:eastAsia="es-ES"/>
              </w:rPr>
              <w:t>Carolina Quintero Gacharná</w:t>
            </w:r>
          </w:p>
          <w:p w14:paraId="1F3660E8" w14:textId="77777777" w:rsidR="00637080" w:rsidRPr="00454626" w:rsidRDefault="00637080" w:rsidP="00034060">
            <w:pPr>
              <w:rPr>
                <w:rFonts w:ascii="Verdana" w:eastAsia="Calibri" w:hAnsi="Verdana" w:cs="Arial"/>
                <w:sz w:val="16"/>
                <w:szCs w:val="16"/>
                <w:lang w:val="es-ES_tradnl" w:eastAsia="es-ES"/>
              </w:rPr>
            </w:pPr>
            <w:r w:rsidRPr="00454626">
              <w:rPr>
                <w:rFonts w:ascii="Verdana" w:eastAsia="Calibri" w:hAnsi="Verdana" w:cs="Arial"/>
                <w:sz w:val="16"/>
                <w:szCs w:val="16"/>
                <w:lang w:val="es-ES_tradnl" w:eastAsia="es-ES"/>
              </w:rPr>
              <w:t>Subdirectora de Gestión Contractual ANCP – CCE</w:t>
            </w:r>
          </w:p>
        </w:tc>
      </w:tr>
    </w:tbl>
    <w:p w14:paraId="5218ABCE" w14:textId="77777777" w:rsidR="00637080" w:rsidRPr="000C6D78" w:rsidRDefault="00637080" w:rsidP="00637080">
      <w:pPr>
        <w:tabs>
          <w:tab w:val="left" w:pos="1320"/>
        </w:tabs>
        <w:rPr>
          <w:rFonts w:ascii="Century Gothic" w:hAnsi="Century Gothic"/>
        </w:rPr>
      </w:pPr>
    </w:p>
    <w:bookmarkEnd w:id="0"/>
    <w:p w14:paraId="28FD63B1" w14:textId="555E22D6" w:rsidR="007F4029" w:rsidRPr="007F4029" w:rsidRDefault="007F4029" w:rsidP="00637080">
      <w:pPr>
        <w:spacing w:line="276" w:lineRule="auto"/>
        <w:jc w:val="center"/>
        <w:rPr>
          <w:rFonts w:ascii="Verdana" w:hAnsi="Verdana"/>
          <w:lang w:val="es-ES"/>
        </w:rPr>
      </w:pPr>
    </w:p>
    <w:sectPr w:rsidR="007F4029" w:rsidRPr="007F4029"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2E48E" w14:textId="77777777" w:rsidR="00E84488" w:rsidRDefault="00E84488" w:rsidP="004A1847">
      <w:pPr>
        <w:spacing w:after="0" w:line="240" w:lineRule="auto"/>
      </w:pPr>
      <w:r>
        <w:separator/>
      </w:r>
    </w:p>
  </w:endnote>
  <w:endnote w:type="continuationSeparator" w:id="0">
    <w:p w14:paraId="7858BB68" w14:textId="77777777" w:rsidR="00E84488" w:rsidRDefault="00E8448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p w14:paraId="037EDB40" w14:textId="77777777" w:rsidR="00DB5FFC" w:rsidRDefault="00DB5FF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8B748" w14:textId="77777777" w:rsidR="00E84488" w:rsidRDefault="00E84488" w:rsidP="004A1847">
      <w:pPr>
        <w:spacing w:after="0" w:line="240" w:lineRule="auto"/>
      </w:pPr>
      <w:r>
        <w:separator/>
      </w:r>
    </w:p>
  </w:footnote>
  <w:footnote w:type="continuationSeparator" w:id="0">
    <w:p w14:paraId="0F20B77A" w14:textId="77777777" w:rsidR="00E84488" w:rsidRDefault="00E84488" w:rsidP="004A1847">
      <w:pPr>
        <w:spacing w:after="0" w:line="240" w:lineRule="auto"/>
      </w:pPr>
      <w:r>
        <w:continuationSeparator/>
      </w:r>
    </w:p>
  </w:footnote>
  <w:footnote w:id="1">
    <w:p w14:paraId="38C8D253" w14:textId="77777777" w:rsidR="0099708A" w:rsidRPr="009F4912" w:rsidRDefault="0099708A" w:rsidP="0099708A">
      <w:pPr>
        <w:pStyle w:val="Textonotapie"/>
        <w:ind w:firstLine="708"/>
        <w:jc w:val="both"/>
        <w:rPr>
          <w:rFonts w:ascii="Verdana" w:hAnsi="Verdana"/>
          <w:sz w:val="12"/>
          <w:szCs w:val="12"/>
        </w:rPr>
      </w:pPr>
      <w:r w:rsidRPr="009F4912">
        <w:rPr>
          <w:rStyle w:val="Refdenotaalpie"/>
          <w:rFonts w:ascii="Verdana" w:hAnsi="Verdana"/>
          <w:sz w:val="12"/>
          <w:szCs w:val="12"/>
        </w:rPr>
        <w:footnoteRef/>
      </w:r>
      <w:r w:rsidRPr="009F4912">
        <w:rPr>
          <w:rFonts w:ascii="Verdana" w:hAnsi="Verdana"/>
          <w:sz w:val="12"/>
          <w:szCs w:val="12"/>
        </w:rPr>
        <w:t xml:space="preserve"> Agencia Nacional de Contratación Pública – Colombia Compra Eficiente. Concepto C-285 del 20 de mayo de 2022. Consultar en: </w:t>
      </w:r>
      <w:hyperlink r:id="rId1" w:history="1">
        <w:r w:rsidRPr="009F4912">
          <w:rPr>
            <w:rStyle w:val="Hipervnculo"/>
            <w:rFonts w:ascii="Verdana" w:hAnsi="Verdana"/>
            <w:sz w:val="12"/>
            <w:szCs w:val="12"/>
          </w:rPr>
          <w:t>https://relatoria.colombiacompra.gov.co/conceptos/c-285-de-2022/</w:t>
        </w:r>
      </w:hyperlink>
    </w:p>
    <w:p w14:paraId="0B39884E" w14:textId="77777777" w:rsidR="0099708A" w:rsidRPr="009F4912" w:rsidRDefault="0099708A" w:rsidP="0099708A">
      <w:pPr>
        <w:pStyle w:val="Textonotapie"/>
        <w:ind w:firstLine="708"/>
        <w:jc w:val="both"/>
        <w:rPr>
          <w:rFonts w:ascii="Verdana" w:hAnsi="Verdana"/>
          <w:sz w:val="12"/>
          <w:szCs w:val="12"/>
          <w:lang w:val="es-CO"/>
        </w:rPr>
      </w:pPr>
      <w:r w:rsidRPr="009F4912">
        <w:rPr>
          <w:rFonts w:ascii="Verdana" w:hAnsi="Verdana"/>
          <w:sz w:val="12"/>
          <w:szCs w:val="12"/>
        </w:rPr>
        <w:t xml:space="preserve"> </w:t>
      </w:r>
    </w:p>
  </w:footnote>
  <w:footnote w:id="2">
    <w:p w14:paraId="392EDD1F" w14:textId="77777777" w:rsidR="0099708A" w:rsidRPr="009F4912" w:rsidRDefault="0099708A" w:rsidP="0099708A">
      <w:pPr>
        <w:pStyle w:val="Textonotapie"/>
        <w:ind w:firstLine="708"/>
        <w:jc w:val="both"/>
        <w:rPr>
          <w:rFonts w:ascii="Verdana" w:hAnsi="Verdana"/>
          <w:sz w:val="12"/>
          <w:szCs w:val="12"/>
        </w:rPr>
      </w:pPr>
      <w:r w:rsidRPr="009F4912">
        <w:rPr>
          <w:rStyle w:val="Refdenotaalpie"/>
          <w:rFonts w:ascii="Verdana" w:hAnsi="Verdana"/>
          <w:sz w:val="12"/>
          <w:szCs w:val="12"/>
        </w:rPr>
        <w:footnoteRef/>
      </w:r>
      <w:r w:rsidRPr="009F4912">
        <w:rPr>
          <w:rFonts w:ascii="Verdana" w:hAnsi="Verdana"/>
          <w:sz w:val="12"/>
          <w:szCs w:val="12"/>
        </w:rPr>
        <w:t xml:space="preserve"> Agencia Nacional de Contratación Pública – Colombia Compra Eficiente. Concepto C-447 del 19 de septiembre de 2024. Consultar en: </w:t>
      </w:r>
      <w:hyperlink r:id="rId2" w:history="1">
        <w:r w:rsidRPr="009F4912">
          <w:rPr>
            <w:rStyle w:val="Hipervnculo"/>
            <w:rFonts w:ascii="Verdana" w:hAnsi="Verdana"/>
            <w:sz w:val="12"/>
            <w:szCs w:val="12"/>
          </w:rPr>
          <w:t>https://relatoria.colombiacompra.gov.co/conceptos/c-447-de-2024/</w:t>
        </w:r>
      </w:hyperlink>
      <w:r w:rsidRPr="009F4912">
        <w:rPr>
          <w:rFonts w:ascii="Verdana" w:hAnsi="Verdana"/>
          <w:sz w:val="12"/>
          <w:szCs w:val="12"/>
        </w:rPr>
        <w:t xml:space="preserve"> </w:t>
      </w:r>
    </w:p>
    <w:p w14:paraId="55E5BE5C" w14:textId="77777777" w:rsidR="0099708A" w:rsidRPr="009F4912" w:rsidRDefault="0099708A" w:rsidP="0099708A">
      <w:pPr>
        <w:pStyle w:val="Textonotapie"/>
        <w:rPr>
          <w:rFonts w:ascii="Verdana" w:hAnsi="Verdana"/>
          <w:sz w:val="12"/>
          <w:szCs w:val="12"/>
        </w:rPr>
      </w:pPr>
    </w:p>
  </w:footnote>
  <w:footnote w:id="3">
    <w:p w14:paraId="69C4AFED" w14:textId="77777777" w:rsidR="0099708A" w:rsidRPr="009F4912" w:rsidRDefault="0099708A" w:rsidP="0099708A">
      <w:pPr>
        <w:pStyle w:val="Textonotapie"/>
        <w:ind w:firstLine="709"/>
        <w:jc w:val="both"/>
        <w:rPr>
          <w:rFonts w:ascii="Verdana" w:hAnsi="Verdana" w:cs="Arial"/>
          <w:color w:val="000000"/>
          <w:sz w:val="12"/>
          <w:szCs w:val="12"/>
        </w:rPr>
      </w:pPr>
      <w:r w:rsidRPr="009F4912">
        <w:rPr>
          <w:rStyle w:val="Refdenotaalpie"/>
          <w:rFonts w:ascii="Verdana" w:hAnsi="Verdana" w:cs="Arial"/>
          <w:color w:val="000000"/>
          <w:sz w:val="12"/>
          <w:szCs w:val="12"/>
        </w:rPr>
        <w:footnoteRef/>
      </w:r>
      <w:r w:rsidRPr="009F4912">
        <w:rPr>
          <w:rStyle w:val="Refdenotaalpie"/>
          <w:rFonts w:ascii="Verdana" w:hAnsi="Verdana" w:cs="Arial"/>
          <w:color w:val="000000"/>
          <w:sz w:val="12"/>
          <w:szCs w:val="12"/>
        </w:rPr>
        <w:t xml:space="preserve"> </w:t>
      </w:r>
      <w:r w:rsidRPr="009F4912">
        <w:rPr>
          <w:rFonts w:ascii="Verdana" w:hAnsi="Verdana" w:cs="Arial"/>
          <w:color w:val="000000"/>
          <w:sz w:val="12"/>
          <w:szCs w:val="12"/>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399E1581" w14:textId="77777777" w:rsidR="0099708A" w:rsidRPr="009F4912" w:rsidRDefault="0099708A" w:rsidP="0099708A">
      <w:pPr>
        <w:pStyle w:val="Textonotapie"/>
        <w:ind w:firstLine="709"/>
        <w:jc w:val="both"/>
        <w:rPr>
          <w:rFonts w:ascii="Verdana" w:hAnsi="Verdana" w:cs="Arial"/>
          <w:color w:val="000000"/>
          <w:sz w:val="12"/>
          <w:szCs w:val="12"/>
        </w:rPr>
      </w:pPr>
    </w:p>
  </w:footnote>
  <w:footnote w:id="4">
    <w:p w14:paraId="00ABB9C1" w14:textId="77777777" w:rsidR="0099708A" w:rsidRPr="009F4912" w:rsidRDefault="0099708A" w:rsidP="0099708A">
      <w:pPr>
        <w:pStyle w:val="Textonotapie"/>
        <w:ind w:firstLine="709"/>
        <w:jc w:val="both"/>
        <w:rPr>
          <w:rFonts w:ascii="Verdana" w:hAnsi="Verdana" w:cs="Arial"/>
          <w:color w:val="000000"/>
          <w:sz w:val="12"/>
          <w:szCs w:val="12"/>
        </w:rPr>
      </w:pPr>
      <w:r w:rsidRPr="009F4912">
        <w:rPr>
          <w:rStyle w:val="Refdenotaalpie"/>
          <w:rFonts w:ascii="Verdana" w:hAnsi="Verdana" w:cs="Arial"/>
          <w:color w:val="000000"/>
          <w:sz w:val="12"/>
          <w:szCs w:val="12"/>
        </w:rPr>
        <w:footnoteRef/>
      </w:r>
      <w:r w:rsidRPr="009F4912">
        <w:rPr>
          <w:rFonts w:ascii="Verdana" w:hAnsi="Verdana" w:cs="Arial"/>
          <w:color w:val="000000"/>
          <w:sz w:val="12"/>
          <w:szCs w:val="12"/>
        </w:rPr>
        <w:t xml:space="preserve"> 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5701C3F4" w14:textId="77777777" w:rsidR="0099708A" w:rsidRPr="009F4912" w:rsidRDefault="0099708A" w:rsidP="0099708A">
      <w:pPr>
        <w:pStyle w:val="Textonotapie"/>
        <w:ind w:firstLine="709"/>
        <w:jc w:val="both"/>
        <w:rPr>
          <w:rFonts w:ascii="Verdana" w:hAnsi="Verdana" w:cs="Arial"/>
          <w:color w:val="000000"/>
          <w:sz w:val="12"/>
          <w:szCs w:val="12"/>
        </w:rPr>
      </w:pPr>
      <w:r w:rsidRPr="009F4912">
        <w:rPr>
          <w:rFonts w:ascii="Verdana" w:hAnsi="Verdana" w:cs="Arial"/>
          <w:color w:val="000000"/>
          <w:sz w:val="12"/>
          <w:szCs w:val="12"/>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p w14:paraId="79C7533C" w14:textId="77777777" w:rsidR="0099708A" w:rsidRPr="009F4912" w:rsidRDefault="0099708A" w:rsidP="0099708A">
      <w:pPr>
        <w:pStyle w:val="Textonotapie"/>
        <w:ind w:firstLine="709"/>
        <w:jc w:val="both"/>
        <w:rPr>
          <w:rFonts w:ascii="Verdana" w:hAnsi="Verdana" w:cs="Arial"/>
          <w:color w:val="000000"/>
          <w:sz w:val="12"/>
          <w:szCs w:val="12"/>
        </w:rPr>
      </w:pPr>
    </w:p>
  </w:footnote>
  <w:footnote w:id="5">
    <w:p w14:paraId="6ED12A2B" w14:textId="77777777" w:rsidR="0099708A" w:rsidRPr="009F4912" w:rsidRDefault="0099708A" w:rsidP="0099708A">
      <w:pPr>
        <w:pStyle w:val="Textonotapie"/>
        <w:ind w:firstLine="709"/>
        <w:jc w:val="both"/>
        <w:rPr>
          <w:rFonts w:ascii="Verdana" w:hAnsi="Verdana" w:cs="Arial"/>
          <w:color w:val="000000"/>
          <w:sz w:val="12"/>
          <w:szCs w:val="12"/>
        </w:rPr>
      </w:pPr>
      <w:r w:rsidRPr="009F4912">
        <w:rPr>
          <w:rStyle w:val="Refdenotaalpie"/>
          <w:rFonts w:ascii="Verdana" w:hAnsi="Verdana" w:cs="Arial"/>
          <w:sz w:val="12"/>
          <w:szCs w:val="12"/>
        </w:rPr>
        <w:footnoteRef/>
      </w:r>
      <w:r w:rsidRPr="009F4912">
        <w:rPr>
          <w:rFonts w:ascii="Verdana" w:hAnsi="Verdana" w:cs="Arial"/>
          <w:sz w:val="12"/>
          <w:szCs w:val="12"/>
        </w:rPr>
        <w:t xml:space="preserve"> </w:t>
      </w:r>
      <w:r w:rsidRPr="009F4912">
        <w:rPr>
          <w:rFonts w:ascii="Verdana" w:hAnsi="Verdana" w:cs="Arial"/>
          <w:color w:val="000000"/>
          <w:sz w:val="12"/>
          <w:szCs w:val="12"/>
        </w:rPr>
        <w:t xml:space="preserve">En armonía con lo anterior, actualmente la Circular Externa Única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694B99BF" w14:textId="77777777" w:rsidR="0099708A" w:rsidRPr="009F4912" w:rsidRDefault="0099708A" w:rsidP="0099708A">
      <w:pPr>
        <w:pStyle w:val="Textonotapie"/>
        <w:ind w:firstLine="709"/>
        <w:jc w:val="both"/>
        <w:rPr>
          <w:rFonts w:ascii="Verdana" w:hAnsi="Verdana" w:cs="Arial"/>
          <w:color w:val="000000"/>
          <w:sz w:val="12"/>
          <w:szCs w:val="12"/>
        </w:rPr>
      </w:pPr>
      <w:r w:rsidRPr="009F4912">
        <w:rPr>
          <w:rFonts w:ascii="Verdana" w:hAnsi="Verdana" w:cs="Arial"/>
          <w:color w:val="000000"/>
          <w:sz w:val="12"/>
          <w:szCs w:val="12"/>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3" w:history="1">
        <w:r w:rsidRPr="009F4912">
          <w:rPr>
            <w:rStyle w:val="Hipervnculo"/>
            <w:rFonts w:ascii="Verdana" w:hAnsi="Verdana" w:cs="Arial"/>
            <w:sz w:val="12"/>
            <w:szCs w:val="12"/>
          </w:rPr>
          <w:t>https://www.colombiacompra.gov.co/circulares?page=2</w:t>
        </w:r>
      </w:hyperlink>
      <w:r w:rsidRPr="009F4912">
        <w:rPr>
          <w:rStyle w:val="Hipervnculo"/>
          <w:rFonts w:ascii="Verdana" w:hAnsi="Verdana" w:cs="Arial"/>
          <w:color w:val="000000"/>
          <w:sz w:val="12"/>
          <w:szCs w:val="12"/>
        </w:rPr>
        <w:t xml:space="preserve"> </w:t>
      </w:r>
    </w:p>
    <w:p w14:paraId="14562468" w14:textId="77777777" w:rsidR="0099708A" w:rsidRPr="009F4912" w:rsidRDefault="0099708A" w:rsidP="0099708A">
      <w:pPr>
        <w:pStyle w:val="Textonotapie"/>
        <w:ind w:firstLine="709"/>
        <w:jc w:val="both"/>
        <w:rPr>
          <w:rFonts w:ascii="Verdana" w:hAnsi="Verdana" w:cs="Arial"/>
          <w:color w:val="000000"/>
          <w:sz w:val="12"/>
          <w:szCs w:val="12"/>
        </w:rPr>
      </w:pPr>
    </w:p>
  </w:footnote>
  <w:footnote w:id="6">
    <w:p w14:paraId="47BF7276" w14:textId="77777777" w:rsidR="0099708A" w:rsidRPr="009F4912" w:rsidRDefault="0099708A" w:rsidP="0099708A">
      <w:pPr>
        <w:pStyle w:val="Textonotapie"/>
        <w:ind w:firstLine="709"/>
        <w:jc w:val="both"/>
        <w:rPr>
          <w:rFonts w:ascii="Verdana" w:hAnsi="Verdana" w:cs="Arial"/>
          <w:color w:val="000000"/>
          <w:sz w:val="12"/>
          <w:szCs w:val="12"/>
        </w:rPr>
      </w:pPr>
      <w:r w:rsidRPr="009F4912">
        <w:rPr>
          <w:rStyle w:val="Refdenotaalpie"/>
          <w:rFonts w:ascii="Verdana" w:hAnsi="Verdana" w:cs="Arial"/>
          <w:color w:val="000000"/>
          <w:sz w:val="12"/>
          <w:szCs w:val="12"/>
        </w:rPr>
        <w:footnoteRef/>
      </w:r>
      <w:r w:rsidRPr="009F4912">
        <w:rPr>
          <w:rFonts w:ascii="Verdana" w:hAnsi="Verdana" w:cs="Arial"/>
          <w:color w:val="000000"/>
          <w:sz w:val="12"/>
          <w:szCs w:val="12"/>
        </w:rPr>
        <w:t xml:space="preserve"> Ver CONSEJO DE ESTADO, Sección Tercera, Subsección C. Sentencia del 26 de febrero de 2011. C.P. Jaime Orlando Santofimio. Rad. 36.408. </w:t>
      </w:r>
    </w:p>
  </w:footnote>
  <w:footnote w:id="7">
    <w:p w14:paraId="1696FA0D" w14:textId="77777777" w:rsidR="0099708A" w:rsidRPr="009F4912" w:rsidRDefault="0099708A" w:rsidP="0099708A">
      <w:pPr>
        <w:pStyle w:val="Textonotapie"/>
        <w:ind w:firstLine="709"/>
        <w:jc w:val="both"/>
        <w:rPr>
          <w:rFonts w:ascii="Verdana" w:hAnsi="Verdana" w:cs="Arial"/>
          <w:color w:val="000000"/>
          <w:sz w:val="12"/>
          <w:szCs w:val="12"/>
        </w:rPr>
      </w:pPr>
    </w:p>
    <w:p w14:paraId="39038EC1" w14:textId="77777777" w:rsidR="0099708A" w:rsidRPr="009F4912" w:rsidRDefault="0099708A" w:rsidP="0099708A">
      <w:pPr>
        <w:pStyle w:val="Textonotapie"/>
        <w:ind w:firstLine="709"/>
        <w:jc w:val="both"/>
        <w:rPr>
          <w:rFonts w:ascii="Verdana" w:hAnsi="Verdana" w:cs="Arial"/>
          <w:color w:val="000000"/>
          <w:sz w:val="12"/>
          <w:szCs w:val="12"/>
        </w:rPr>
      </w:pPr>
      <w:r w:rsidRPr="009F4912">
        <w:rPr>
          <w:rStyle w:val="Refdenotaalpie"/>
          <w:rFonts w:ascii="Verdana" w:hAnsi="Verdana" w:cs="Arial"/>
          <w:color w:val="000000"/>
          <w:sz w:val="12"/>
          <w:szCs w:val="12"/>
        </w:rPr>
        <w:footnoteRef/>
      </w:r>
      <w:r w:rsidRPr="009F4912">
        <w:rPr>
          <w:rFonts w:ascii="Verdana" w:hAnsi="Verdana" w:cs="Arial"/>
          <w:color w:val="000000"/>
          <w:sz w:val="12"/>
          <w:szCs w:val="12"/>
        </w:rPr>
        <w:t xml:space="preserve"> Ver CONSEJO DE ESTADO, Sección Tercera, Subsección C. Sentencia del 26 de febrero de 2014. C.P. Enrique Gil Botero. Rad. 25.804. </w:t>
      </w:r>
    </w:p>
    <w:p w14:paraId="58884745" w14:textId="77777777" w:rsidR="0099708A" w:rsidRPr="009F4912" w:rsidRDefault="0099708A" w:rsidP="0099708A">
      <w:pPr>
        <w:pStyle w:val="Textonotapie"/>
        <w:ind w:firstLine="709"/>
        <w:jc w:val="both"/>
        <w:rPr>
          <w:rFonts w:ascii="Verdana" w:hAnsi="Verdana" w:cs="Arial"/>
          <w:color w:val="000000"/>
          <w:sz w:val="12"/>
          <w:szCs w:val="12"/>
        </w:rPr>
      </w:pPr>
    </w:p>
  </w:footnote>
  <w:footnote w:id="8">
    <w:p w14:paraId="7F231501" w14:textId="77777777" w:rsidR="0099708A" w:rsidRPr="009F4912" w:rsidRDefault="0099708A" w:rsidP="0099708A">
      <w:pPr>
        <w:pStyle w:val="Textonotapie"/>
        <w:ind w:firstLine="708"/>
        <w:jc w:val="both"/>
        <w:rPr>
          <w:rFonts w:ascii="Verdana" w:hAnsi="Verdana" w:cs="Arial"/>
          <w:color w:val="000000"/>
          <w:sz w:val="12"/>
          <w:szCs w:val="12"/>
        </w:rPr>
      </w:pPr>
      <w:r w:rsidRPr="009F4912">
        <w:rPr>
          <w:rStyle w:val="Refdenotaalpie"/>
          <w:rFonts w:ascii="Verdana" w:hAnsi="Verdana" w:cs="Arial"/>
          <w:color w:val="000000"/>
          <w:sz w:val="12"/>
          <w:szCs w:val="12"/>
        </w:rPr>
        <w:footnoteRef/>
      </w:r>
      <w:r w:rsidRPr="009F4912">
        <w:rPr>
          <w:rFonts w:ascii="Verdana" w:hAnsi="Verdana" w:cs="Arial"/>
          <w:color w:val="000000"/>
          <w:sz w:val="12"/>
          <w:szCs w:val="12"/>
        </w:rPr>
        <w:t xml:space="preserve"> CONSEJO DE ESTADO. Sala de Consulta y Servicio Civil. Concepto del 20 de mayo de 2010. Expediente: 1992. Consejero Ponente: Enrique José Arboleda Perdomo.</w:t>
      </w:r>
    </w:p>
    <w:p w14:paraId="7FE9B9A0" w14:textId="77777777" w:rsidR="0099708A" w:rsidRPr="009F4912" w:rsidRDefault="0099708A" w:rsidP="0099708A">
      <w:pPr>
        <w:pStyle w:val="Textonotapie"/>
        <w:ind w:firstLine="708"/>
        <w:jc w:val="both"/>
        <w:rPr>
          <w:rFonts w:ascii="Verdana" w:hAnsi="Verdana" w:cs="Arial"/>
          <w:color w:val="000000"/>
          <w:sz w:val="12"/>
          <w:szCs w:val="12"/>
        </w:rPr>
      </w:pPr>
    </w:p>
  </w:footnote>
  <w:footnote w:id="9">
    <w:p w14:paraId="37727675" w14:textId="77777777" w:rsidR="00943418" w:rsidRPr="005359F5" w:rsidRDefault="00943418" w:rsidP="008D5D4A">
      <w:pPr>
        <w:pStyle w:val="Textonotapie"/>
        <w:ind w:firstLine="708"/>
        <w:jc w:val="both"/>
        <w:rPr>
          <w:rFonts w:ascii="Arial" w:hAnsi="Arial" w:cs="Arial"/>
          <w:sz w:val="19"/>
          <w:szCs w:val="19"/>
          <w:lang w:val="es-ES"/>
        </w:rPr>
      </w:pPr>
      <w:r w:rsidRPr="005359F5">
        <w:rPr>
          <w:rStyle w:val="Refdenotaalpie"/>
          <w:rFonts w:ascii="Arial" w:hAnsi="Arial" w:cs="Arial"/>
          <w:sz w:val="19"/>
          <w:szCs w:val="19"/>
        </w:rPr>
        <w:footnoteRef/>
      </w:r>
      <w:r w:rsidRPr="005359F5">
        <w:rPr>
          <w:rFonts w:ascii="Arial" w:hAnsi="Arial" w:cs="Arial"/>
          <w:sz w:val="19"/>
          <w:szCs w:val="19"/>
        </w:rPr>
        <w:t xml:space="preserve"> En el caso de los documentos tipo de interventoría y consultoría, esta regla se encuentra consagrada en el numeral 10.1.1. del Documento Base. </w:t>
      </w:r>
    </w:p>
  </w:footnote>
  <w:footnote w:id="10">
    <w:p w14:paraId="775C0A0F" w14:textId="3B790827" w:rsidR="00C00991" w:rsidRPr="00C00991" w:rsidRDefault="00C00991" w:rsidP="008D5D4A">
      <w:pPr>
        <w:pStyle w:val="Textonotapie"/>
        <w:ind w:firstLine="708"/>
        <w:jc w:val="both"/>
      </w:pPr>
      <w:r>
        <w:rPr>
          <w:rStyle w:val="Refdenotaalpie"/>
        </w:rPr>
        <w:footnoteRef/>
      </w:r>
      <w:r>
        <w:t xml:space="preserve"> En terminos similares el Formato 3 </w:t>
      </w:r>
      <w:r w:rsidR="006558FF">
        <w:t>–</w:t>
      </w:r>
      <w:r>
        <w:t xml:space="preserve"> </w:t>
      </w:r>
      <w:r w:rsidR="006558FF">
        <w:t>Experiencia dispone una nota con lo siguiente: “</w:t>
      </w:r>
      <w:r w:rsidR="006558FF" w:rsidRPr="006558FF">
        <w:t>De acuerdo con la sección 3.5.2 del Documento Base, si el Proponente no diligencia el “Formato 3 - Experiencia”, la Entidad solicitará su subsanación en los términos del numeral 1.6. En caso de que el oferente no subsane se tendrán en cuenta para la evaluación los cinco (5) contratos de mayor valor aportados</w:t>
      </w:r>
      <w:r w:rsidR="006558FF">
        <w:t xml:space="preserve"> (…)”. </w:t>
      </w:r>
    </w:p>
  </w:footnote>
  <w:footnote w:id="11">
    <w:p w14:paraId="17430484" w14:textId="77777777" w:rsidR="00C00991" w:rsidRPr="00D37F2E" w:rsidRDefault="00C00991" w:rsidP="00C00991">
      <w:pPr>
        <w:pStyle w:val="Textonotapie"/>
        <w:ind w:firstLine="708"/>
        <w:rPr>
          <w:rFonts w:ascii="Arial" w:hAnsi="Arial" w:cs="Arial"/>
          <w:sz w:val="19"/>
          <w:szCs w:val="19"/>
          <w:lang w:val="es-ES"/>
        </w:rPr>
      </w:pPr>
      <w:r w:rsidRPr="00D37F2E">
        <w:rPr>
          <w:rStyle w:val="Refdenotaalpie"/>
          <w:rFonts w:ascii="Arial" w:hAnsi="Arial" w:cs="Arial"/>
          <w:sz w:val="19"/>
          <w:szCs w:val="19"/>
        </w:rPr>
        <w:footnoteRef/>
      </w:r>
      <w:r w:rsidRPr="00D37F2E">
        <w:rPr>
          <w:rFonts w:ascii="Arial" w:hAnsi="Arial" w:cs="Arial"/>
          <w:sz w:val="19"/>
          <w:szCs w:val="19"/>
        </w:rPr>
        <w:t xml:space="preserve"> </w:t>
      </w:r>
      <w:r>
        <w:rPr>
          <w:rFonts w:ascii="Arial" w:hAnsi="Arial" w:cs="Arial"/>
          <w:sz w:val="19"/>
          <w:szCs w:val="19"/>
        </w:rPr>
        <w:t xml:space="preserve">El formato 3 de los documentos tipo adoptados mediante la </w:t>
      </w:r>
      <w:r w:rsidRPr="000D6D27">
        <w:rPr>
          <w:rFonts w:ascii="Arial" w:hAnsi="Arial" w:cs="Arial"/>
          <w:sz w:val="19"/>
          <w:szCs w:val="19"/>
        </w:rPr>
        <w:t>Resolución No. 045 de 2020</w:t>
      </w:r>
      <w:r>
        <w:rPr>
          <w:rFonts w:ascii="Arial" w:hAnsi="Arial" w:cs="Arial"/>
          <w:sz w:val="19"/>
          <w:szCs w:val="19"/>
        </w:rPr>
        <w:t xml:space="preserve"> dispone lo siguiente: «</w:t>
      </w:r>
      <w:r w:rsidRPr="000D6D27">
        <w:rPr>
          <w:rFonts w:ascii="Arial" w:hAnsi="Arial" w:cs="Arial"/>
          <w:sz w:val="19"/>
          <w:szCs w:val="19"/>
        </w:rPr>
        <w:t xml:space="preserve">De acuerdo con la sección 3.5.2 del Documento Base, la no presentación de este Formato o su indebido diligenciamiento  no será un motivo para rechazar al proponente. </w:t>
      </w:r>
      <w:r w:rsidRPr="00EE0973">
        <w:rPr>
          <w:rFonts w:ascii="Arial" w:hAnsi="Arial" w:cs="Arial"/>
          <w:sz w:val="19"/>
          <w:szCs w:val="19"/>
        </w:rPr>
        <w:t>Si el Proponente no aporta el “Formato 3 - Experiencia” la Entidad tendrá en cuenta para la evaluación los seis (6) contratos aportados por mayor valor</w:t>
      </w:r>
      <w:r>
        <w:rPr>
          <w:rFonts w:ascii="Arial" w:hAnsi="Arial" w:cs="Arial"/>
          <w:sz w:val="19"/>
          <w:szCs w:val="19"/>
        </w:rPr>
        <w:t>»</w:t>
      </w:r>
      <w:r w:rsidRPr="000D6D27">
        <w:rPr>
          <w:rFonts w:ascii="Arial" w:hAnsi="Arial" w:cs="Arial"/>
          <w:sz w:val="19"/>
          <w:szCs w:val="19"/>
        </w:rPr>
        <w:t>.</w:t>
      </w:r>
    </w:p>
  </w:footnote>
  <w:footnote w:id="12">
    <w:p w14:paraId="4B146521" w14:textId="77777777" w:rsidR="00DE65BD" w:rsidRPr="00780B9E" w:rsidRDefault="00DE65BD" w:rsidP="00DE65BD">
      <w:pPr>
        <w:pStyle w:val="NormalWeb"/>
        <w:spacing w:before="0" w:beforeAutospacing="0" w:after="0" w:afterAutospacing="0"/>
        <w:ind w:firstLine="708"/>
        <w:jc w:val="both"/>
        <w:rPr>
          <w:rFonts w:ascii="Arial" w:hAnsi="Arial" w:cs="Arial"/>
          <w:sz w:val="19"/>
          <w:szCs w:val="19"/>
        </w:rPr>
      </w:pPr>
      <w:r w:rsidRPr="00600663">
        <w:rPr>
          <w:rStyle w:val="Refdenotaalpie"/>
          <w:rFonts w:ascii="Arial" w:hAnsi="Arial" w:cs="Arial"/>
          <w:sz w:val="19"/>
          <w:szCs w:val="19"/>
        </w:rPr>
        <w:footnoteRef/>
      </w:r>
      <w:r w:rsidRPr="00780B9E">
        <w:rPr>
          <w:rFonts w:ascii="Arial" w:hAnsi="Arial" w:cs="Arial"/>
          <w:sz w:val="19"/>
          <w:szCs w:val="19"/>
        </w:rPr>
        <w:t xml:space="preserve"> Ley 1150 de 2007: «Artículo 6. De la verificación de la condición de los Proponentes. En dicho registro constará la información relacionada con la experiencia, capacidad jurídica, financiera y de organización del proponente y su clasificación.</w:t>
      </w:r>
    </w:p>
    <w:p w14:paraId="687884B1" w14:textId="77777777" w:rsidR="00DE65BD" w:rsidRPr="00780B9E" w:rsidRDefault="00DE65BD" w:rsidP="00DE65BD">
      <w:pPr>
        <w:pStyle w:val="NormalWeb"/>
        <w:spacing w:before="0" w:beforeAutospacing="0" w:after="0" w:afterAutospacing="0"/>
        <w:ind w:firstLine="708"/>
        <w:jc w:val="both"/>
        <w:rPr>
          <w:rFonts w:ascii="Arial" w:hAnsi="Arial" w:cs="Arial"/>
          <w:sz w:val="19"/>
          <w:szCs w:val="19"/>
        </w:rPr>
      </w:pPr>
      <w:r w:rsidRPr="00780B9E">
        <w:rPr>
          <w:rFonts w:ascii="Arial" w:hAnsi="Arial" w:cs="Arial"/>
          <w:sz w:val="19"/>
          <w:szCs w:val="19"/>
        </w:rPr>
        <w:t>»6.1. Del proceso de inscripción en el Registro Único de Proponentes (RUP). Corresponderá a los proponentes inscribirse en el registro de conformidad con los documentos aportados. Las cámaras de comercio harán la verificación documental de la información presentada por los interesados al momento de inscribirse en el registro.</w:t>
      </w:r>
    </w:p>
    <w:p w14:paraId="7287751B" w14:textId="77777777" w:rsidR="00DE65BD" w:rsidRPr="00780B9E" w:rsidRDefault="00DE65BD" w:rsidP="00DE65BD">
      <w:pPr>
        <w:pStyle w:val="NormalWeb"/>
        <w:spacing w:before="0" w:beforeAutospacing="0" w:after="0" w:afterAutospacing="0"/>
        <w:ind w:firstLine="708"/>
        <w:jc w:val="both"/>
        <w:rPr>
          <w:rFonts w:ascii="Arial" w:hAnsi="Arial" w:cs="Arial"/>
          <w:sz w:val="19"/>
          <w:szCs w:val="19"/>
        </w:rPr>
      </w:pPr>
      <w:r w:rsidRPr="00780B9E">
        <w:rPr>
          <w:rFonts w:ascii="Arial" w:hAnsi="Arial" w:cs="Arial"/>
          <w:sz w:val="19"/>
          <w:szCs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w:t>
      </w:r>
      <w:hyperlink r:id="rId4" w:anchor="5" w:history="1">
        <w:r w:rsidRPr="00780B9E">
          <w:rPr>
            <w:rStyle w:val="Hipervnculo"/>
            <w:rFonts w:ascii="Arial" w:hAnsi="Arial" w:cs="Arial"/>
            <w:sz w:val="19"/>
            <w:szCs w:val="19"/>
          </w:rPr>
          <w:t>5</w:t>
        </w:r>
      </w:hyperlink>
      <w:r w:rsidRPr="00780B9E">
        <w:rPr>
          <w:rFonts w:ascii="Arial" w:hAnsi="Arial" w:cs="Arial"/>
          <w:sz w:val="19"/>
          <w:szCs w:val="19"/>
        </w:rPr>
        <w:t>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51A481D9" w14:textId="77777777" w:rsidR="00DE65BD" w:rsidRPr="00EE0973" w:rsidRDefault="00DE65BD" w:rsidP="00DE65BD">
      <w:pPr>
        <w:spacing w:after="0" w:line="240" w:lineRule="auto"/>
        <w:ind w:firstLine="708"/>
        <w:rPr>
          <w:rFonts w:ascii="Arial" w:hAnsi="Arial" w:cs="Arial"/>
          <w:sz w:val="19"/>
          <w:szCs w:val="19"/>
        </w:rPr>
      </w:pPr>
      <w:r w:rsidRPr="00EE0973">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p w14:paraId="4A7463ED" w14:textId="77777777" w:rsidR="00DB5FFC" w:rsidRDefault="00DB5FF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1F7F2B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56115251" o:spid="_x0000_i1025" type="#_x0000_t75" style="width:11.35pt;height:11.35pt;visibility:visible;mso-wrap-style:square">
            <v:imagedata r:id="rId1" o:title=""/>
          </v:shape>
        </w:pict>
      </mc:Choice>
      <mc:Fallback>
        <w:drawing>
          <wp:inline distT="0" distB="0" distL="0" distR="0" wp14:anchorId="5BD5119E" wp14:editId="5BD5119F">
            <wp:extent cx="144145" cy="144145"/>
            <wp:effectExtent l="0" t="0" r="0" b="0"/>
            <wp:docPr id="756115251" name="Imagen 756115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145" cy="14414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1562CEC2"/>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C217D1"/>
    <w:multiLevelType w:val="hybridMultilevel"/>
    <w:tmpl w:val="E0D6355E"/>
    <w:lvl w:ilvl="0" w:tplc="CC824314">
      <w:start w:val="9"/>
      <w:numFmt w:val="lowerRoman"/>
      <w:lvlText w:val="%1)"/>
      <w:lvlJc w:val="left"/>
      <w:pPr>
        <w:ind w:left="101" w:hanging="333"/>
      </w:pPr>
      <w:rPr>
        <w:rFonts w:ascii="Arial MT" w:eastAsia="Arial MT" w:hAnsi="Arial MT" w:cs="Arial MT" w:hint="default"/>
        <w:spacing w:val="-1"/>
        <w:w w:val="100"/>
        <w:sz w:val="22"/>
        <w:szCs w:val="22"/>
        <w:lang w:val="es-ES" w:eastAsia="en-US" w:bidi="ar-SA"/>
      </w:rPr>
    </w:lvl>
    <w:lvl w:ilvl="1" w:tplc="CC08C68A">
      <w:numFmt w:val="bullet"/>
      <w:lvlText w:val="•"/>
      <w:lvlJc w:val="left"/>
      <w:pPr>
        <w:ind w:left="1004" w:hanging="333"/>
      </w:pPr>
      <w:rPr>
        <w:rFonts w:hint="default"/>
        <w:lang w:val="es-ES" w:eastAsia="en-US" w:bidi="ar-SA"/>
      </w:rPr>
    </w:lvl>
    <w:lvl w:ilvl="2" w:tplc="1F2A0638">
      <w:numFmt w:val="bullet"/>
      <w:lvlText w:val="•"/>
      <w:lvlJc w:val="left"/>
      <w:pPr>
        <w:ind w:left="1908" w:hanging="333"/>
      </w:pPr>
      <w:rPr>
        <w:rFonts w:hint="default"/>
        <w:lang w:val="es-ES" w:eastAsia="en-US" w:bidi="ar-SA"/>
      </w:rPr>
    </w:lvl>
    <w:lvl w:ilvl="3" w:tplc="15940D7A">
      <w:numFmt w:val="bullet"/>
      <w:lvlText w:val="•"/>
      <w:lvlJc w:val="left"/>
      <w:pPr>
        <w:ind w:left="2812" w:hanging="333"/>
      </w:pPr>
      <w:rPr>
        <w:rFonts w:hint="default"/>
        <w:lang w:val="es-ES" w:eastAsia="en-US" w:bidi="ar-SA"/>
      </w:rPr>
    </w:lvl>
    <w:lvl w:ilvl="4" w:tplc="4444408A">
      <w:numFmt w:val="bullet"/>
      <w:lvlText w:val="•"/>
      <w:lvlJc w:val="left"/>
      <w:pPr>
        <w:ind w:left="3716" w:hanging="333"/>
      </w:pPr>
      <w:rPr>
        <w:rFonts w:hint="default"/>
        <w:lang w:val="es-ES" w:eastAsia="en-US" w:bidi="ar-SA"/>
      </w:rPr>
    </w:lvl>
    <w:lvl w:ilvl="5" w:tplc="5D40FDFC">
      <w:numFmt w:val="bullet"/>
      <w:lvlText w:val="•"/>
      <w:lvlJc w:val="left"/>
      <w:pPr>
        <w:ind w:left="4620" w:hanging="333"/>
      </w:pPr>
      <w:rPr>
        <w:rFonts w:hint="default"/>
        <w:lang w:val="es-ES" w:eastAsia="en-US" w:bidi="ar-SA"/>
      </w:rPr>
    </w:lvl>
    <w:lvl w:ilvl="6" w:tplc="666CA8B2">
      <w:numFmt w:val="bullet"/>
      <w:lvlText w:val="•"/>
      <w:lvlJc w:val="left"/>
      <w:pPr>
        <w:ind w:left="5524" w:hanging="333"/>
      </w:pPr>
      <w:rPr>
        <w:rFonts w:hint="default"/>
        <w:lang w:val="es-ES" w:eastAsia="en-US" w:bidi="ar-SA"/>
      </w:rPr>
    </w:lvl>
    <w:lvl w:ilvl="7" w:tplc="61A8BE12">
      <w:numFmt w:val="bullet"/>
      <w:lvlText w:val="•"/>
      <w:lvlJc w:val="left"/>
      <w:pPr>
        <w:ind w:left="6428" w:hanging="333"/>
      </w:pPr>
      <w:rPr>
        <w:rFonts w:hint="default"/>
        <w:lang w:val="es-ES" w:eastAsia="en-US" w:bidi="ar-SA"/>
      </w:rPr>
    </w:lvl>
    <w:lvl w:ilvl="8" w:tplc="578E6488">
      <w:numFmt w:val="bullet"/>
      <w:lvlText w:val="•"/>
      <w:lvlJc w:val="left"/>
      <w:pPr>
        <w:ind w:left="7332" w:hanging="333"/>
      </w:pPr>
      <w:rPr>
        <w:rFonts w:hint="default"/>
        <w:lang w:val="es-ES" w:eastAsia="en-US" w:bidi="ar-SA"/>
      </w:rPr>
    </w:lvl>
  </w:abstractNum>
  <w:abstractNum w:abstractNumId="4" w15:restartNumberingAfterBreak="0">
    <w:nsid w:val="17EA1E96"/>
    <w:multiLevelType w:val="multilevel"/>
    <w:tmpl w:val="3850C2D6"/>
    <w:lvl w:ilvl="0">
      <w:start w:val="3"/>
      <w:numFmt w:val="decimal"/>
      <w:lvlText w:val="%1"/>
      <w:lvlJc w:val="left"/>
      <w:pPr>
        <w:ind w:left="101" w:hanging="576"/>
      </w:pPr>
      <w:rPr>
        <w:rFonts w:hint="default"/>
        <w:lang w:val="es-ES" w:eastAsia="en-US" w:bidi="ar-SA"/>
      </w:rPr>
    </w:lvl>
    <w:lvl w:ilvl="1">
      <w:start w:val="5"/>
      <w:numFmt w:val="decimal"/>
      <w:lvlText w:val="%1.%2"/>
      <w:lvlJc w:val="left"/>
      <w:pPr>
        <w:ind w:left="101" w:hanging="576"/>
      </w:pPr>
      <w:rPr>
        <w:rFonts w:hint="default"/>
        <w:lang w:val="es-ES" w:eastAsia="en-US" w:bidi="ar-SA"/>
      </w:rPr>
    </w:lvl>
    <w:lvl w:ilvl="2">
      <w:start w:val="5"/>
      <w:numFmt w:val="decimal"/>
      <w:lvlText w:val="%1.%2.%3"/>
      <w:lvlJc w:val="left"/>
      <w:pPr>
        <w:ind w:left="101" w:hanging="576"/>
      </w:pPr>
      <w:rPr>
        <w:rFonts w:ascii="Arial MT" w:eastAsia="Arial MT" w:hAnsi="Arial MT" w:cs="Arial MT" w:hint="default"/>
        <w:spacing w:val="-1"/>
        <w:w w:val="100"/>
        <w:sz w:val="22"/>
        <w:szCs w:val="22"/>
        <w:lang w:val="es-ES" w:eastAsia="en-US" w:bidi="ar-SA"/>
      </w:rPr>
    </w:lvl>
    <w:lvl w:ilvl="3">
      <w:start w:val="1"/>
      <w:numFmt w:val="lowerRoman"/>
      <w:lvlText w:val="%4)"/>
      <w:lvlJc w:val="left"/>
      <w:pPr>
        <w:ind w:left="101" w:hanging="191"/>
      </w:pPr>
      <w:rPr>
        <w:rFonts w:ascii="Arial MT" w:eastAsia="Arial MT" w:hAnsi="Arial MT" w:cs="Arial MT" w:hint="default"/>
        <w:spacing w:val="-1"/>
        <w:w w:val="100"/>
        <w:sz w:val="22"/>
        <w:szCs w:val="22"/>
        <w:lang w:val="es-ES" w:eastAsia="en-US" w:bidi="ar-SA"/>
      </w:rPr>
    </w:lvl>
    <w:lvl w:ilvl="4">
      <w:numFmt w:val="bullet"/>
      <w:lvlText w:val="•"/>
      <w:lvlJc w:val="left"/>
      <w:pPr>
        <w:ind w:left="3716" w:hanging="191"/>
      </w:pPr>
      <w:rPr>
        <w:rFonts w:hint="default"/>
        <w:lang w:val="es-ES" w:eastAsia="en-US" w:bidi="ar-SA"/>
      </w:rPr>
    </w:lvl>
    <w:lvl w:ilvl="5">
      <w:numFmt w:val="bullet"/>
      <w:lvlText w:val="•"/>
      <w:lvlJc w:val="left"/>
      <w:pPr>
        <w:ind w:left="4620" w:hanging="191"/>
      </w:pPr>
      <w:rPr>
        <w:rFonts w:hint="default"/>
        <w:lang w:val="es-ES" w:eastAsia="en-US" w:bidi="ar-SA"/>
      </w:rPr>
    </w:lvl>
    <w:lvl w:ilvl="6">
      <w:numFmt w:val="bullet"/>
      <w:lvlText w:val="•"/>
      <w:lvlJc w:val="left"/>
      <w:pPr>
        <w:ind w:left="5524" w:hanging="191"/>
      </w:pPr>
      <w:rPr>
        <w:rFonts w:hint="default"/>
        <w:lang w:val="es-ES" w:eastAsia="en-US" w:bidi="ar-SA"/>
      </w:rPr>
    </w:lvl>
    <w:lvl w:ilvl="7">
      <w:numFmt w:val="bullet"/>
      <w:lvlText w:val="•"/>
      <w:lvlJc w:val="left"/>
      <w:pPr>
        <w:ind w:left="6428" w:hanging="191"/>
      </w:pPr>
      <w:rPr>
        <w:rFonts w:hint="default"/>
        <w:lang w:val="es-ES" w:eastAsia="en-US" w:bidi="ar-SA"/>
      </w:rPr>
    </w:lvl>
    <w:lvl w:ilvl="8">
      <w:numFmt w:val="bullet"/>
      <w:lvlText w:val="•"/>
      <w:lvlJc w:val="left"/>
      <w:pPr>
        <w:ind w:left="7332" w:hanging="191"/>
      </w:pPr>
      <w:rPr>
        <w:rFonts w:hint="default"/>
        <w:lang w:val="es-ES" w:eastAsia="en-US" w:bidi="ar-SA"/>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21373A3"/>
    <w:multiLevelType w:val="hybridMultilevel"/>
    <w:tmpl w:val="391A1F1A"/>
    <w:lvl w:ilvl="0" w:tplc="FFFFFFFF">
      <w:start w:val="1"/>
      <w:numFmt w:val="upperLetter"/>
      <w:lvlText w:val="%1."/>
      <w:lvlJc w:val="left"/>
      <w:pPr>
        <w:ind w:left="1070" w:hanging="710"/>
      </w:pPr>
      <w:rPr>
        <w:i w:val="0"/>
        <w:i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7"/>
  </w:num>
  <w:num w:numId="8" w16cid:durableId="152644682">
    <w:abstractNumId w:val="15"/>
  </w:num>
  <w:num w:numId="9" w16cid:durableId="1317221377">
    <w:abstractNumId w:val="9"/>
  </w:num>
  <w:num w:numId="10" w16cid:durableId="1471245386">
    <w:abstractNumId w:val="14"/>
  </w:num>
  <w:num w:numId="11" w16cid:durableId="289172385">
    <w:abstractNumId w:val="10"/>
  </w:num>
  <w:num w:numId="12" w16cid:durableId="1470781324">
    <w:abstractNumId w:val="1"/>
  </w:num>
  <w:num w:numId="13" w16cid:durableId="1512908409">
    <w:abstractNumId w:val="5"/>
  </w:num>
  <w:num w:numId="14" w16cid:durableId="895897244">
    <w:abstractNumId w:val="17"/>
  </w:num>
  <w:num w:numId="15" w16cid:durableId="390349800">
    <w:abstractNumId w:val="13"/>
  </w:num>
  <w:num w:numId="16" w16cid:durableId="1330140246">
    <w:abstractNumId w:val="0"/>
  </w:num>
  <w:num w:numId="17" w16cid:durableId="784039179">
    <w:abstractNumId w:val="18"/>
  </w:num>
  <w:num w:numId="18" w16cid:durableId="1920869498">
    <w:abstractNumId w:val="12"/>
  </w:num>
  <w:num w:numId="19" w16cid:durableId="1861816970">
    <w:abstractNumId w:val="3"/>
  </w:num>
  <w:num w:numId="20" w16cid:durableId="570121534">
    <w:abstractNumId w:val="4"/>
  </w:num>
  <w:num w:numId="21" w16cid:durableId="1532558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4F58"/>
    <w:rsid w:val="00061B2A"/>
    <w:rsid w:val="00082362"/>
    <w:rsid w:val="000A683E"/>
    <w:rsid w:val="000B19B9"/>
    <w:rsid w:val="000D0334"/>
    <w:rsid w:val="000F6486"/>
    <w:rsid w:val="00125105"/>
    <w:rsid w:val="00127233"/>
    <w:rsid w:val="0013231B"/>
    <w:rsid w:val="001742EF"/>
    <w:rsid w:val="001C2AE6"/>
    <w:rsid w:val="001D2B21"/>
    <w:rsid w:val="001E4177"/>
    <w:rsid w:val="001F7DC6"/>
    <w:rsid w:val="00213C99"/>
    <w:rsid w:val="002421BB"/>
    <w:rsid w:val="0025796E"/>
    <w:rsid w:val="002707A2"/>
    <w:rsid w:val="002951A0"/>
    <w:rsid w:val="002962BC"/>
    <w:rsid w:val="002A093D"/>
    <w:rsid w:val="002A0DD0"/>
    <w:rsid w:val="002A49AC"/>
    <w:rsid w:val="002A64FD"/>
    <w:rsid w:val="002C7A84"/>
    <w:rsid w:val="002E4FD9"/>
    <w:rsid w:val="00304C3F"/>
    <w:rsid w:val="00322A85"/>
    <w:rsid w:val="00324168"/>
    <w:rsid w:val="003448F4"/>
    <w:rsid w:val="00374F5E"/>
    <w:rsid w:val="00377E3E"/>
    <w:rsid w:val="003913DE"/>
    <w:rsid w:val="003A26D1"/>
    <w:rsid w:val="003A779E"/>
    <w:rsid w:val="003D0F4D"/>
    <w:rsid w:val="003D5B0D"/>
    <w:rsid w:val="003E0499"/>
    <w:rsid w:val="003F3941"/>
    <w:rsid w:val="003F66A0"/>
    <w:rsid w:val="00406575"/>
    <w:rsid w:val="0042722E"/>
    <w:rsid w:val="0044528D"/>
    <w:rsid w:val="004A1847"/>
    <w:rsid w:val="004A305D"/>
    <w:rsid w:val="004A434F"/>
    <w:rsid w:val="004F21C4"/>
    <w:rsid w:val="004F685F"/>
    <w:rsid w:val="005566E8"/>
    <w:rsid w:val="00574867"/>
    <w:rsid w:val="00581A90"/>
    <w:rsid w:val="00591460"/>
    <w:rsid w:val="00592628"/>
    <w:rsid w:val="005C3777"/>
    <w:rsid w:val="005C5CDC"/>
    <w:rsid w:val="005C6E1B"/>
    <w:rsid w:val="005D476C"/>
    <w:rsid w:val="00610812"/>
    <w:rsid w:val="006219F8"/>
    <w:rsid w:val="00637080"/>
    <w:rsid w:val="00650FF7"/>
    <w:rsid w:val="006558FF"/>
    <w:rsid w:val="00665D70"/>
    <w:rsid w:val="00671DAC"/>
    <w:rsid w:val="00684A23"/>
    <w:rsid w:val="006900D9"/>
    <w:rsid w:val="006A56C1"/>
    <w:rsid w:val="006D12F8"/>
    <w:rsid w:val="00706C16"/>
    <w:rsid w:val="007300C0"/>
    <w:rsid w:val="00756841"/>
    <w:rsid w:val="007604D4"/>
    <w:rsid w:val="007649AB"/>
    <w:rsid w:val="00771D0C"/>
    <w:rsid w:val="007833AC"/>
    <w:rsid w:val="007B268C"/>
    <w:rsid w:val="007B7171"/>
    <w:rsid w:val="007C0C0F"/>
    <w:rsid w:val="007C3DC2"/>
    <w:rsid w:val="007E5497"/>
    <w:rsid w:val="007F4029"/>
    <w:rsid w:val="00806F5F"/>
    <w:rsid w:val="00820278"/>
    <w:rsid w:val="008843B6"/>
    <w:rsid w:val="00891928"/>
    <w:rsid w:val="00893811"/>
    <w:rsid w:val="0089504B"/>
    <w:rsid w:val="008A446D"/>
    <w:rsid w:val="008D180B"/>
    <w:rsid w:val="008D5D4A"/>
    <w:rsid w:val="008F0EA7"/>
    <w:rsid w:val="00923EEF"/>
    <w:rsid w:val="009419F9"/>
    <w:rsid w:val="00943418"/>
    <w:rsid w:val="00953479"/>
    <w:rsid w:val="0095685E"/>
    <w:rsid w:val="00961B09"/>
    <w:rsid w:val="00965334"/>
    <w:rsid w:val="0097093E"/>
    <w:rsid w:val="0099708A"/>
    <w:rsid w:val="009A0DFA"/>
    <w:rsid w:val="009A26C4"/>
    <w:rsid w:val="009B2D26"/>
    <w:rsid w:val="009B6AD5"/>
    <w:rsid w:val="009C71FA"/>
    <w:rsid w:val="009C72E7"/>
    <w:rsid w:val="009D3058"/>
    <w:rsid w:val="009F3A13"/>
    <w:rsid w:val="00A122D3"/>
    <w:rsid w:val="00A17F13"/>
    <w:rsid w:val="00A20739"/>
    <w:rsid w:val="00A33C78"/>
    <w:rsid w:val="00A573A4"/>
    <w:rsid w:val="00A65E5B"/>
    <w:rsid w:val="00AA65AB"/>
    <w:rsid w:val="00AB0ADB"/>
    <w:rsid w:val="00B01B1A"/>
    <w:rsid w:val="00B26C85"/>
    <w:rsid w:val="00B40949"/>
    <w:rsid w:val="00B72CD3"/>
    <w:rsid w:val="00B72FFF"/>
    <w:rsid w:val="00B74530"/>
    <w:rsid w:val="00B80EB2"/>
    <w:rsid w:val="00B85839"/>
    <w:rsid w:val="00BC39F8"/>
    <w:rsid w:val="00BC3D36"/>
    <w:rsid w:val="00BD7F72"/>
    <w:rsid w:val="00BF72DF"/>
    <w:rsid w:val="00C00991"/>
    <w:rsid w:val="00C04FB3"/>
    <w:rsid w:val="00C330EB"/>
    <w:rsid w:val="00C66CDC"/>
    <w:rsid w:val="00C754BE"/>
    <w:rsid w:val="00C76B1C"/>
    <w:rsid w:val="00CB6357"/>
    <w:rsid w:val="00CC1B26"/>
    <w:rsid w:val="00CE7555"/>
    <w:rsid w:val="00D02612"/>
    <w:rsid w:val="00D11BE7"/>
    <w:rsid w:val="00D423A2"/>
    <w:rsid w:val="00D520D8"/>
    <w:rsid w:val="00D63AC2"/>
    <w:rsid w:val="00D7383B"/>
    <w:rsid w:val="00D77464"/>
    <w:rsid w:val="00DA231B"/>
    <w:rsid w:val="00DA23A0"/>
    <w:rsid w:val="00DB5FFC"/>
    <w:rsid w:val="00DC39FC"/>
    <w:rsid w:val="00DE65BD"/>
    <w:rsid w:val="00DF5254"/>
    <w:rsid w:val="00E055FF"/>
    <w:rsid w:val="00E16408"/>
    <w:rsid w:val="00E20894"/>
    <w:rsid w:val="00E245AB"/>
    <w:rsid w:val="00E2764C"/>
    <w:rsid w:val="00E27F2E"/>
    <w:rsid w:val="00E413EA"/>
    <w:rsid w:val="00E50AFE"/>
    <w:rsid w:val="00E75C92"/>
    <w:rsid w:val="00E771DC"/>
    <w:rsid w:val="00E84488"/>
    <w:rsid w:val="00E8772A"/>
    <w:rsid w:val="00E90F6B"/>
    <w:rsid w:val="00E92C27"/>
    <w:rsid w:val="00EA0E3D"/>
    <w:rsid w:val="00EC38A7"/>
    <w:rsid w:val="00ED1331"/>
    <w:rsid w:val="00EE1AA8"/>
    <w:rsid w:val="00EF2AF0"/>
    <w:rsid w:val="00F31EDC"/>
    <w:rsid w:val="00F45F8A"/>
    <w:rsid w:val="00F462B3"/>
    <w:rsid w:val="00F5664F"/>
    <w:rsid w:val="00F62D73"/>
    <w:rsid w:val="00F666C4"/>
    <w:rsid w:val="00F76AFC"/>
    <w:rsid w:val="00FA47C0"/>
    <w:rsid w:val="00FB5DD1"/>
    <w:rsid w:val="00FC2B5D"/>
    <w:rsid w:val="00FD0AA0"/>
    <w:rsid w:val="00FD43F8"/>
    <w:rsid w:val="00FD4666"/>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F402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F4029"/>
    <w:rPr>
      <w:rFonts w:ascii="Geomanist Light" w:hAnsi="Geomanist Light"/>
      <w:lang w:val="es-ES"/>
    </w:rPr>
  </w:style>
  <w:style w:type="character" w:customStyle="1" w:styleId="superscript">
    <w:name w:val="superscript"/>
    <w:basedOn w:val="Fuentedeprrafopredeter"/>
    <w:rsid w:val="007F4029"/>
  </w:style>
  <w:style w:type="paragraph" w:styleId="Subttulo">
    <w:name w:val="Subtitle"/>
    <w:basedOn w:val="Normal"/>
    <w:next w:val="Normal"/>
    <w:link w:val="SubttuloCar"/>
    <w:uiPriority w:val="11"/>
    <w:qFormat/>
    <w:rsid w:val="005C6E1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C6E1B"/>
    <w:rPr>
      <w:rFonts w:eastAsiaTheme="majorEastAsia" w:cstheme="majorBidi"/>
      <w:color w:val="595959" w:themeColor="text1" w:themeTint="A6"/>
      <w:spacing w:val="1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363603852">
      <w:bodyDiv w:val="1"/>
      <w:marLeft w:val="0"/>
      <w:marRight w:val="0"/>
      <w:marTop w:val="0"/>
      <w:marBottom w:val="0"/>
      <w:divBdr>
        <w:top w:val="none" w:sz="0" w:space="0" w:color="auto"/>
        <w:left w:val="none" w:sz="0" w:space="0" w:color="auto"/>
        <w:bottom w:val="none" w:sz="0" w:space="0" w:color="auto"/>
        <w:right w:val="none" w:sz="0" w:space="0" w:color="auto"/>
      </w:divBdr>
      <w:divsChild>
        <w:div w:id="1432774347">
          <w:marLeft w:val="0"/>
          <w:marRight w:val="0"/>
          <w:marTop w:val="0"/>
          <w:marBottom w:val="0"/>
          <w:divBdr>
            <w:top w:val="none" w:sz="0" w:space="0" w:color="auto"/>
            <w:left w:val="none" w:sz="0" w:space="0" w:color="auto"/>
            <w:bottom w:val="none" w:sz="0" w:space="0" w:color="auto"/>
            <w:right w:val="none" w:sz="0" w:space="0" w:color="auto"/>
          </w:divBdr>
          <w:divsChild>
            <w:div w:id="341787391">
              <w:marLeft w:val="0"/>
              <w:marRight w:val="0"/>
              <w:marTop w:val="0"/>
              <w:marBottom w:val="0"/>
              <w:divBdr>
                <w:top w:val="none" w:sz="0" w:space="0" w:color="auto"/>
                <w:left w:val="none" w:sz="0" w:space="0" w:color="auto"/>
                <w:bottom w:val="none" w:sz="0" w:space="0" w:color="auto"/>
                <w:right w:val="none" w:sz="0" w:space="0" w:color="auto"/>
              </w:divBdr>
              <w:divsChild>
                <w:div w:id="162681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colombiacompra.gov.co/content/04-documentos-tipo-para-licitacion-de-obra-publica-de-infraestructura-de-transporte-version"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relatoria.colombiacompra.gov.co/conceptos/c-501-de-202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relatoria.colombiacompra.gov.co/conceptos/c-548-de-202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conceptos/c-545-de-202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circulares?page=2" TargetMode="External"/><Relationship Id="rId2" Type="http://schemas.openxmlformats.org/officeDocument/2006/relationships/hyperlink" Target="https://relatoria.colombiacompra.gov.co/conceptos/c-447-de-2024/" TargetMode="External"/><Relationship Id="rId1" Type="http://schemas.openxmlformats.org/officeDocument/2006/relationships/hyperlink" Target="https://relatoria.colombiacompra.gov.co/conceptos/c-285-de-2022/" TargetMode="External"/><Relationship Id="rId4" Type="http://schemas.openxmlformats.org/officeDocument/2006/relationships/hyperlink" Target="http://www.secretariasenado.gov.co/senado/basedoc/ley_1150_2007.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0E5846CE-E284-EC49-A94E-84AE1A6AA41A}">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FAF840F-84B2-46E0-A73C-12C1716175A6}"/>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18</Pages>
  <Words>5396</Words>
  <Characters>29684</Characters>
  <Application>Microsoft Office Word</Application>
  <DocSecurity>0</DocSecurity>
  <Lines>247</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Carlos Mario Castrillón Endo</cp:lastModifiedBy>
  <cp:revision>11</cp:revision>
  <cp:lastPrinted>2023-01-10T21:18:00Z</cp:lastPrinted>
  <dcterms:created xsi:type="dcterms:W3CDTF">2025-02-12T15:45:00Z</dcterms:created>
  <dcterms:modified xsi:type="dcterms:W3CDTF">2025-03-10T13:31:00Z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