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7056B" w14:textId="77777777" w:rsidR="005709B9" w:rsidRPr="00A51520" w:rsidRDefault="005709B9" w:rsidP="005709B9">
      <w:pPr>
        <w:jc w:val="right"/>
        <w:rPr>
          <w:rFonts w:ascii="Arial" w:eastAsia="Calibri" w:hAnsi="Arial" w:cs="Arial"/>
          <w:b/>
          <w:color w:val="000000" w:themeColor="text1"/>
          <w:sz w:val="20"/>
          <w:szCs w:val="20"/>
          <w:lang w:val="es-ES_tradnl"/>
        </w:rPr>
      </w:pPr>
      <w:bookmarkStart w:id="0" w:name="_Hlk28946138"/>
      <w:bookmarkStart w:id="1" w:name="_Hlk29548183"/>
      <w:r w:rsidRPr="00A51520">
        <w:rPr>
          <w:rFonts w:ascii="Arial" w:hAnsi="Arial" w:cs="Arial"/>
          <w:b/>
          <w:color w:val="000000" w:themeColor="text1"/>
          <w:sz w:val="16"/>
          <w:szCs w:val="16"/>
          <w:lang w:val="es-ES_tradnl" w:eastAsia="es-ES"/>
        </w:rPr>
        <w:t>CCE-DES-FM-17</w:t>
      </w:r>
      <w:bookmarkStart w:id="2" w:name="_Hlk50481752"/>
      <w:bookmarkEnd w:id="0"/>
      <w:bookmarkEnd w:id="1"/>
    </w:p>
    <w:bookmarkEnd w:id="2"/>
    <w:p w14:paraId="6957ADA4" w14:textId="77777777" w:rsidR="005709B9" w:rsidRPr="00612797" w:rsidRDefault="005709B9" w:rsidP="005709B9">
      <w:pPr>
        <w:jc w:val="both"/>
        <w:rPr>
          <w:rFonts w:ascii="Arial" w:hAnsi="Arial" w:cs="Arial"/>
          <w:b/>
          <w:bCs/>
        </w:rPr>
      </w:pPr>
      <w:r w:rsidRPr="000E55DA">
        <w:rPr>
          <w:rFonts w:ascii="Arial" w:hAnsi="Arial" w:cs="Arial"/>
          <w:b/>
          <w:bCs/>
        </w:rPr>
        <w:t xml:space="preserve">EXPERIENCIA </w:t>
      </w:r>
      <w:bookmarkStart w:id="3" w:name="_Hlk39676694"/>
      <w:r w:rsidRPr="000E55DA">
        <w:rPr>
          <w:rFonts w:ascii="Arial" w:eastAsia="Calibri" w:hAnsi="Arial" w:cs="Arial"/>
          <w:b/>
        </w:rPr>
        <w:t>–</w:t>
      </w:r>
      <w:bookmarkEnd w:id="3"/>
      <w:r w:rsidRPr="000E55DA">
        <w:rPr>
          <w:rFonts w:ascii="Arial" w:eastAsia="Calibri" w:hAnsi="Arial" w:cs="Arial"/>
          <w:b/>
        </w:rPr>
        <w:t xml:space="preserve"> Concepto </w:t>
      </w:r>
    </w:p>
    <w:p w14:paraId="63AD4943" w14:textId="77777777" w:rsidR="005709B9" w:rsidRPr="00E61502" w:rsidRDefault="005709B9" w:rsidP="005709B9">
      <w:pPr>
        <w:spacing w:after="0"/>
        <w:jc w:val="both"/>
        <w:rPr>
          <w:rFonts w:ascii="Arial" w:hAnsi="Arial" w:cs="Arial"/>
          <w:sz w:val="20"/>
          <w:szCs w:val="20"/>
          <w:lang w:eastAsia="es-ES"/>
        </w:rPr>
      </w:pPr>
      <w:r w:rsidRPr="00150A26">
        <w:rPr>
          <w:rFonts w:ascii="Arial" w:hAnsi="Arial" w:cs="Arial"/>
          <w:sz w:val="20"/>
          <w:szCs w:val="20"/>
          <w:lang w:eastAsia="es-ES"/>
        </w:rPr>
        <w:t>[…],</w:t>
      </w:r>
      <w:r>
        <w:rPr>
          <w:rFonts w:ascii="Arial" w:hAnsi="Arial" w:cs="Arial"/>
          <w:sz w:val="20"/>
          <w:szCs w:val="20"/>
          <w:lang w:eastAsia="es-ES"/>
        </w:rPr>
        <w:t xml:space="preserve"> </w:t>
      </w:r>
      <w:r w:rsidRPr="00E61502">
        <w:rPr>
          <w:rFonts w:ascii="Arial" w:hAnsi="Arial" w:cs="Arial"/>
          <w:sz w:val="20"/>
          <w:szCs w:val="20"/>
          <w:lang w:eastAsia="es-ES"/>
        </w:rPr>
        <w:t xml:space="preserve">se pueden extraer cuatro conclusiones relevantes respecto de la experiencia, para evaluar a continuación las figuras y reformas estatutarias de las sociedades comerciales: </w:t>
      </w:r>
    </w:p>
    <w:p w14:paraId="09E083A2" w14:textId="77777777" w:rsidR="005709B9" w:rsidRPr="00E61502" w:rsidRDefault="005709B9" w:rsidP="005709B9">
      <w:pPr>
        <w:spacing w:after="0"/>
        <w:jc w:val="both"/>
        <w:rPr>
          <w:rFonts w:ascii="Arial" w:hAnsi="Arial" w:cs="Arial"/>
          <w:sz w:val="20"/>
          <w:szCs w:val="20"/>
          <w:lang w:eastAsia="es-ES"/>
        </w:rPr>
      </w:pPr>
      <w:r w:rsidRPr="00E61502">
        <w:rPr>
          <w:rFonts w:ascii="Arial" w:hAnsi="Arial" w:cs="Arial"/>
          <w:sz w:val="20"/>
          <w:szCs w:val="20"/>
          <w:lang w:eastAsia="es-ES"/>
        </w:rPr>
        <w:t>i) La experiencia es personal, esto es, se adquiere participando, directa o indirectamente, sin que sea posible no hacerlo y tener experiencia.</w:t>
      </w:r>
    </w:p>
    <w:p w14:paraId="05268DBC" w14:textId="77777777" w:rsidR="005709B9" w:rsidRPr="00E61502" w:rsidRDefault="005709B9" w:rsidP="005709B9">
      <w:pPr>
        <w:spacing w:after="0"/>
        <w:jc w:val="both"/>
        <w:rPr>
          <w:rFonts w:ascii="Arial" w:hAnsi="Arial" w:cs="Arial"/>
          <w:sz w:val="20"/>
          <w:szCs w:val="20"/>
          <w:lang w:eastAsia="es-ES"/>
        </w:rPr>
      </w:pPr>
      <w:r w:rsidRPr="00E61502">
        <w:rPr>
          <w:rFonts w:ascii="Arial" w:hAnsi="Arial" w:cs="Arial"/>
          <w:sz w:val="20"/>
          <w:szCs w:val="20"/>
          <w:lang w:eastAsia="es-ES"/>
        </w:rPr>
        <w:t>ii) La experiencia se puede compartir, sin que implique que la compartida a una persona se entienda suya, ya que dentro del procedimiento contractual se reflejará que esa persona tiene la experiencia de otra, como es el caso de las figuras asociativas  –consorcios y uniones temporales– que se verificará en el documento privado de constitución.</w:t>
      </w:r>
    </w:p>
    <w:p w14:paraId="33181B65" w14:textId="77777777" w:rsidR="005709B9" w:rsidRPr="00E61502" w:rsidRDefault="005709B9" w:rsidP="005709B9">
      <w:pPr>
        <w:spacing w:after="0"/>
        <w:jc w:val="both"/>
        <w:rPr>
          <w:rFonts w:ascii="Arial" w:hAnsi="Arial" w:cs="Arial"/>
          <w:sz w:val="20"/>
          <w:szCs w:val="20"/>
          <w:lang w:eastAsia="es-ES"/>
        </w:rPr>
      </w:pPr>
      <w:r w:rsidRPr="00E61502">
        <w:rPr>
          <w:rFonts w:ascii="Arial" w:hAnsi="Arial" w:cs="Arial"/>
          <w:sz w:val="20"/>
          <w:szCs w:val="20"/>
          <w:lang w:eastAsia="es-ES"/>
        </w:rPr>
        <w:t>iii)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2.2. de este concepto.</w:t>
      </w:r>
    </w:p>
    <w:p w14:paraId="3EDFD113" w14:textId="77777777" w:rsidR="005709B9" w:rsidRPr="00150A26" w:rsidRDefault="005709B9" w:rsidP="005709B9">
      <w:pPr>
        <w:spacing w:after="0"/>
        <w:jc w:val="both"/>
        <w:rPr>
          <w:rFonts w:ascii="Arial" w:hAnsi="Arial" w:cs="Arial"/>
          <w:sz w:val="20"/>
          <w:szCs w:val="20"/>
          <w:lang w:eastAsia="es-ES"/>
        </w:rPr>
      </w:pPr>
      <w:r w:rsidRPr="00E61502">
        <w:rPr>
          <w:rFonts w:ascii="Arial" w:hAnsi="Arial" w:cs="Arial"/>
          <w:sz w:val="20"/>
          <w:szCs w:val="20"/>
          <w:lang w:eastAsia="es-ES"/>
        </w:rPr>
        <w:t>iv) Cuando la persona que adquirió la experiencia desaparece o se liquida no es posible que comparta o transfiera su experiencia, puesto que, al ser esta personal, sigue la suerte de quien la adquirió.</w:t>
      </w:r>
    </w:p>
    <w:p w14:paraId="2B64A882" w14:textId="77777777" w:rsidR="005709B9" w:rsidRPr="000E55DA" w:rsidRDefault="005709B9" w:rsidP="005709B9">
      <w:pPr>
        <w:jc w:val="both"/>
        <w:rPr>
          <w:rFonts w:ascii="Arial" w:hAnsi="Arial" w:cs="Arial"/>
          <w:b/>
          <w:bCs/>
          <w:highlight w:val="yellow"/>
          <w:lang w:eastAsia="es-ES"/>
        </w:rPr>
      </w:pPr>
    </w:p>
    <w:p w14:paraId="4FA15E90" w14:textId="77777777" w:rsidR="005709B9" w:rsidRPr="00612797" w:rsidRDefault="005709B9" w:rsidP="005709B9">
      <w:pPr>
        <w:jc w:val="both"/>
        <w:rPr>
          <w:rFonts w:ascii="Arial" w:hAnsi="Arial" w:cs="Arial"/>
          <w:b/>
          <w:bCs/>
          <w:lang w:eastAsia="es-ES"/>
        </w:rPr>
      </w:pPr>
      <w:r w:rsidRPr="00E61502">
        <w:rPr>
          <w:rFonts w:ascii="Arial" w:hAnsi="Arial" w:cs="Arial"/>
          <w:b/>
          <w:bCs/>
          <w:lang w:eastAsia="es-ES"/>
        </w:rPr>
        <w:t xml:space="preserve">EXPERIENCIA </w:t>
      </w:r>
      <w:r w:rsidRPr="00E61502">
        <w:rPr>
          <w:rFonts w:ascii="Arial" w:eastAsia="Calibri" w:hAnsi="Arial" w:cs="Arial"/>
          <w:b/>
          <w:bCs/>
          <w:lang w:eastAsia="es-ES"/>
        </w:rPr>
        <w:t>– Transformación</w:t>
      </w:r>
    </w:p>
    <w:p w14:paraId="7CB5A442" w14:textId="77777777" w:rsidR="005709B9" w:rsidRPr="00612797" w:rsidRDefault="005709B9" w:rsidP="005709B9">
      <w:pPr>
        <w:autoSpaceDE w:val="0"/>
        <w:autoSpaceDN w:val="0"/>
        <w:adjustRightInd w:val="0"/>
        <w:jc w:val="both"/>
        <w:rPr>
          <w:rFonts w:ascii="Arial" w:hAnsi="Arial" w:cs="Arial"/>
          <w:sz w:val="20"/>
          <w:szCs w:val="20"/>
          <w:lang w:eastAsia="es-ES"/>
        </w:rPr>
      </w:pPr>
      <w:r w:rsidRPr="00E61502">
        <w:rPr>
          <w:rFonts w:ascii="Arial" w:hAnsi="Arial" w:cs="Arial"/>
          <w:sz w:val="20"/>
          <w:szCs w:val="20"/>
          <w:lang w:eastAsia="es-ES"/>
        </w:rPr>
        <w:t>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De esta manera,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w:t>
      </w:r>
      <w:r>
        <w:rPr>
          <w:rFonts w:ascii="Arial" w:hAnsi="Arial" w:cs="Arial"/>
          <w:sz w:val="20"/>
          <w:szCs w:val="20"/>
          <w:lang w:eastAsia="es-ES"/>
        </w:rPr>
        <w:t xml:space="preserve">. </w:t>
      </w:r>
    </w:p>
    <w:p w14:paraId="5F6B7208" w14:textId="77777777" w:rsidR="005709B9" w:rsidRPr="00612797" w:rsidRDefault="005709B9" w:rsidP="005709B9">
      <w:pPr>
        <w:jc w:val="both"/>
        <w:rPr>
          <w:rFonts w:ascii="Arial" w:hAnsi="Arial" w:cs="Arial"/>
          <w:b/>
          <w:bCs/>
        </w:rPr>
      </w:pPr>
      <w:r w:rsidRPr="000E55DA">
        <w:rPr>
          <w:rFonts w:ascii="Arial" w:hAnsi="Arial" w:cs="Arial"/>
          <w:b/>
          <w:bCs/>
        </w:rPr>
        <w:t xml:space="preserve">EXPERIENCIA </w:t>
      </w:r>
      <w:r w:rsidRPr="000E55DA">
        <w:rPr>
          <w:rFonts w:ascii="Arial" w:eastAsia="Calibri" w:hAnsi="Arial" w:cs="Arial"/>
          <w:b/>
        </w:rPr>
        <w:t>– Escisión</w:t>
      </w:r>
    </w:p>
    <w:p w14:paraId="38029910" w14:textId="77777777" w:rsidR="005709B9" w:rsidRPr="00150A26" w:rsidRDefault="005709B9" w:rsidP="005709B9">
      <w:pPr>
        <w:jc w:val="both"/>
        <w:rPr>
          <w:rFonts w:ascii="Arial" w:hAnsi="Arial" w:cs="Arial"/>
          <w:sz w:val="20"/>
          <w:szCs w:val="20"/>
          <w:lang w:eastAsia="es-ES"/>
        </w:rPr>
      </w:pPr>
      <w:r w:rsidRPr="00E61502">
        <w:rPr>
          <w:rFonts w:ascii="Arial" w:hAnsi="Arial" w:cs="Arial"/>
          <w:sz w:val="20"/>
          <w:szCs w:val="20"/>
          <w:lang w:eastAsia="es-ES"/>
        </w:rPr>
        <w:t>Para la primera modalidad de escisión, teniendo en cuenta que la sociedad continúa sin alteraciones, esta puede compartir la experiencia a través de esquemas asociativos, pero no la transfiere, porque para ello tendría que «disolverse» sin «liquidarse», puesto que la «liquidación» implicaría que desaparece la persona y así su experiencia. Para explicarlo, hay que retomar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ya que en la primera modalidad no existe «disolución». Esto significa que la persona continúa por sí misma y puede adquirir experiencia, pero no puede transferirla porque le pertenece, al ser quien la adquirió</w:t>
      </w:r>
      <w:r>
        <w:rPr>
          <w:rFonts w:ascii="Arial" w:hAnsi="Arial" w:cs="Arial"/>
          <w:sz w:val="20"/>
          <w:szCs w:val="20"/>
          <w:lang w:eastAsia="es-ES"/>
        </w:rPr>
        <w:t xml:space="preserve">. </w:t>
      </w:r>
    </w:p>
    <w:p w14:paraId="56B6D3D4" w14:textId="77777777" w:rsidR="005709B9" w:rsidRPr="00150A26" w:rsidRDefault="005709B9" w:rsidP="005709B9">
      <w:pPr>
        <w:jc w:val="both"/>
        <w:rPr>
          <w:rFonts w:ascii="Arial" w:hAnsi="Arial" w:cs="Arial"/>
          <w:sz w:val="20"/>
          <w:szCs w:val="20"/>
        </w:rPr>
      </w:pPr>
      <w:r w:rsidRPr="00E61502">
        <w:rPr>
          <w:rFonts w:ascii="Arial" w:hAnsi="Arial" w:cs="Arial"/>
          <w:sz w:val="20"/>
          <w:szCs w:val="20"/>
        </w:rPr>
        <w:t xml:space="preserve">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w:t>
      </w:r>
      <w:r w:rsidRPr="00E61502">
        <w:rPr>
          <w:rFonts w:ascii="Arial" w:hAnsi="Arial" w:cs="Arial"/>
          <w:sz w:val="20"/>
          <w:szCs w:val="20"/>
        </w:rPr>
        <w:lastRenderedPageBreak/>
        <w:t>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w:t>
      </w:r>
      <w:r>
        <w:rPr>
          <w:rFonts w:ascii="Arial" w:hAnsi="Arial" w:cs="Arial"/>
          <w:sz w:val="20"/>
          <w:szCs w:val="20"/>
        </w:rPr>
        <w:t xml:space="preserve">. </w:t>
      </w:r>
    </w:p>
    <w:p w14:paraId="3EE93DC3" w14:textId="77777777" w:rsidR="005709B9" w:rsidRPr="00612797" w:rsidRDefault="005709B9" w:rsidP="005709B9">
      <w:pPr>
        <w:widowControl w:val="0"/>
        <w:autoSpaceDE w:val="0"/>
        <w:autoSpaceDN w:val="0"/>
        <w:ind w:right="102"/>
        <w:jc w:val="both"/>
        <w:rPr>
          <w:rFonts w:ascii="Arial" w:eastAsia="Arial" w:hAnsi="Arial" w:cs="Arial"/>
          <w:b/>
          <w:lang w:val="es-ES"/>
        </w:rPr>
      </w:pPr>
      <w:r w:rsidRPr="000E55DA">
        <w:rPr>
          <w:rFonts w:ascii="Arial" w:eastAsia="Arial" w:hAnsi="Arial" w:cs="Arial"/>
          <w:b/>
          <w:lang w:val="es-ES"/>
        </w:rPr>
        <w:t xml:space="preserve">EXPERIENCIA – Fusión </w:t>
      </w:r>
      <w:r>
        <w:rPr>
          <w:rFonts w:ascii="Arial" w:eastAsia="Arial" w:hAnsi="Arial" w:cs="Arial"/>
          <w:b/>
          <w:lang w:val="es-ES"/>
        </w:rPr>
        <w:t>- Absorción</w:t>
      </w:r>
    </w:p>
    <w:p w14:paraId="14F34233" w14:textId="77777777" w:rsidR="005709B9" w:rsidRPr="00150A26" w:rsidRDefault="005709B9" w:rsidP="005709B9">
      <w:pPr>
        <w:widowControl w:val="0"/>
        <w:autoSpaceDE w:val="0"/>
        <w:autoSpaceDN w:val="0"/>
        <w:jc w:val="both"/>
        <w:rPr>
          <w:rFonts w:ascii="Arial" w:eastAsia="Calibri" w:hAnsi="Arial" w:cs="Arial"/>
          <w:sz w:val="20"/>
          <w:szCs w:val="20"/>
          <w:lang w:eastAsia="es-ES"/>
        </w:rPr>
      </w:pPr>
      <w:r w:rsidRPr="00E61502">
        <w:rPr>
          <w:rFonts w:ascii="Arial" w:eastAsia="Calibri" w:hAnsi="Arial" w:cs="Arial"/>
          <w:bCs/>
          <w:sz w:val="20"/>
          <w:szCs w:val="20"/>
          <w:lang w:eastAsia="es-ES"/>
        </w:rPr>
        <w:t xml:space="preserve">Para analizar la fusión y sus efectos respecto de la experiencia de la sociedad que se </w:t>
      </w:r>
      <w:r w:rsidRPr="00E61502">
        <w:rPr>
          <w:rFonts w:ascii="Arial" w:eastAsia="Calibri" w:hAnsi="Arial" w:cs="Arial"/>
          <w:sz w:val="20"/>
          <w:szCs w:val="20"/>
          <w:lang w:eastAsia="es-ES"/>
        </w:rPr>
        <w:t>«</w:t>
      </w:r>
      <w:r w:rsidRPr="00E61502">
        <w:rPr>
          <w:rFonts w:ascii="Arial" w:eastAsia="Calibri" w:hAnsi="Arial" w:cs="Arial"/>
          <w:bCs/>
          <w:sz w:val="20"/>
          <w:szCs w:val="20"/>
          <w:lang w:eastAsia="es-ES"/>
        </w:rPr>
        <w:t xml:space="preserve">disuelve» pero no se </w:t>
      </w:r>
      <w:r w:rsidRPr="00E61502">
        <w:rPr>
          <w:rFonts w:ascii="Arial" w:eastAsia="Calibri" w:hAnsi="Arial" w:cs="Arial"/>
          <w:sz w:val="20"/>
          <w:szCs w:val="20"/>
          <w:lang w:eastAsia="es-ES"/>
        </w:rPr>
        <w:t>«</w:t>
      </w:r>
      <w:r w:rsidRPr="00E61502">
        <w:rPr>
          <w:rFonts w:ascii="Arial" w:eastAsia="Calibri" w:hAnsi="Arial" w:cs="Arial"/>
          <w:bCs/>
          <w:sz w:val="20"/>
          <w:szCs w:val="20"/>
          <w:lang w:eastAsia="es-ES"/>
        </w:rPr>
        <w:t xml:space="preserve">liquida»,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w:t>
      </w:r>
      <w:r w:rsidRPr="00E61502">
        <w:rPr>
          <w:rFonts w:ascii="Arial" w:eastAsia="Calibri" w:hAnsi="Arial" w:cs="Arial"/>
          <w:bCs/>
          <w:i/>
          <w:iCs/>
          <w:sz w:val="20"/>
          <w:szCs w:val="20"/>
          <w:lang w:eastAsia="es-ES"/>
        </w:rPr>
        <w:t>transfiere</w:t>
      </w:r>
      <w:r w:rsidRPr="00E61502">
        <w:rPr>
          <w:rFonts w:ascii="Arial" w:eastAsia="Calibri" w:hAnsi="Arial" w:cs="Arial"/>
          <w:bCs/>
          <w:sz w:val="20"/>
          <w:szCs w:val="20"/>
          <w:lang w:eastAsia="es-ES"/>
        </w:rPr>
        <w:t xml:space="preserve"> su experiencia y todos sus derechos y obligaciones, de conformidad con el artículo 172 y siguientes del Código de Comercio</w:t>
      </w:r>
      <w:r>
        <w:rPr>
          <w:rFonts w:ascii="Arial" w:eastAsia="Calibri" w:hAnsi="Arial" w:cs="Arial"/>
          <w:bCs/>
          <w:sz w:val="20"/>
          <w:szCs w:val="20"/>
          <w:lang w:eastAsia="es-ES"/>
        </w:rPr>
        <w:t xml:space="preserve">. </w:t>
      </w:r>
    </w:p>
    <w:p w14:paraId="533F68A1" w14:textId="77777777" w:rsidR="005709B9" w:rsidRPr="00150A26" w:rsidRDefault="005709B9" w:rsidP="005709B9">
      <w:pPr>
        <w:widowControl w:val="0"/>
        <w:autoSpaceDE w:val="0"/>
        <w:autoSpaceDN w:val="0"/>
        <w:ind w:right="102"/>
        <w:jc w:val="both"/>
        <w:rPr>
          <w:rFonts w:ascii="Arial" w:eastAsia="Arial" w:hAnsi="Arial" w:cs="Arial"/>
          <w:sz w:val="20"/>
          <w:szCs w:val="20"/>
          <w:lang w:val="es-ES"/>
        </w:rPr>
      </w:pPr>
      <w:r w:rsidRPr="00150A26">
        <w:rPr>
          <w:rFonts w:ascii="Arial" w:eastAsia="Arial" w:hAnsi="Arial" w:cs="Arial"/>
          <w:sz w:val="20"/>
          <w:szCs w:val="20"/>
          <w:lang w:val="es-ES"/>
        </w:rPr>
        <w:t>[…]</w:t>
      </w:r>
    </w:p>
    <w:p w14:paraId="429DDAFB" w14:textId="77777777" w:rsidR="005709B9" w:rsidRPr="00150A26" w:rsidRDefault="005709B9" w:rsidP="005709B9">
      <w:pPr>
        <w:widowControl w:val="0"/>
        <w:autoSpaceDE w:val="0"/>
        <w:autoSpaceDN w:val="0"/>
        <w:ind w:right="102"/>
        <w:jc w:val="both"/>
        <w:rPr>
          <w:rFonts w:ascii="Arial" w:eastAsia="Arial" w:hAnsi="Arial" w:cs="Arial"/>
          <w:sz w:val="20"/>
          <w:szCs w:val="20"/>
          <w:lang w:val="es-ES"/>
        </w:rPr>
      </w:pPr>
      <w:r w:rsidRPr="00E61502">
        <w:rPr>
          <w:rFonts w:ascii="Arial" w:eastAsia="Arial" w:hAnsi="Arial" w:cs="Arial"/>
          <w:bCs/>
          <w:sz w:val="20"/>
          <w:szCs w:val="20"/>
        </w:rPr>
        <w:t>En consecuencia, en la fusión por absorción o creación de una nueva sociedad es posible que la sociedad absorbente o la nueva obtenga la experiencia de la absorbida, porque esta última continuó a través de la primera, y ello implica que transfirió su experiencia debido a que no se liquidó, es decir, no desapareció, lo que haría imposible la transferencia de experiencia</w:t>
      </w:r>
      <w:r>
        <w:rPr>
          <w:rFonts w:ascii="Arial" w:eastAsia="Arial" w:hAnsi="Arial" w:cs="Arial"/>
          <w:bCs/>
          <w:sz w:val="20"/>
          <w:szCs w:val="20"/>
        </w:rPr>
        <w:t xml:space="preserve">. </w:t>
      </w:r>
    </w:p>
    <w:p w14:paraId="3CE697A4" w14:textId="77777777" w:rsidR="005709B9" w:rsidRPr="00150A26" w:rsidRDefault="005709B9" w:rsidP="005709B9">
      <w:pPr>
        <w:spacing w:line="276" w:lineRule="auto"/>
        <w:jc w:val="both"/>
        <w:rPr>
          <w:rFonts w:ascii="Arial" w:hAnsi="Arial" w:cs="Arial"/>
          <w:noProof/>
          <w:color w:val="000000" w:themeColor="text1"/>
          <w:sz w:val="20"/>
          <w:szCs w:val="20"/>
          <w:lang w:val="es-ES_tradnl"/>
        </w:rPr>
      </w:pPr>
    </w:p>
    <w:p w14:paraId="75543ADA" w14:textId="77777777" w:rsidR="005709B9" w:rsidRPr="002A52A2" w:rsidRDefault="005709B9" w:rsidP="005709B9">
      <w:pPr>
        <w:jc w:val="both"/>
        <w:rPr>
          <w:rFonts w:ascii="Arial" w:eastAsia="Calibri" w:hAnsi="Arial" w:cs="Arial"/>
          <w:color w:val="000000" w:themeColor="text1"/>
          <w:lang w:val="es-ES_tradnl"/>
        </w:rPr>
      </w:pPr>
    </w:p>
    <w:p w14:paraId="3B62B9F4" w14:textId="77777777" w:rsidR="005709B9" w:rsidRDefault="005709B9" w:rsidP="005709B9">
      <w:pPr>
        <w:jc w:val="both"/>
        <w:rPr>
          <w:rFonts w:ascii="Arial" w:eastAsia="Calibri" w:hAnsi="Arial" w:cs="Arial"/>
          <w:color w:val="000000" w:themeColor="text1"/>
        </w:rPr>
      </w:pPr>
    </w:p>
    <w:p w14:paraId="558489C0" w14:textId="77777777" w:rsidR="005709B9" w:rsidRDefault="005709B9" w:rsidP="005709B9">
      <w:pPr>
        <w:jc w:val="both"/>
        <w:rPr>
          <w:rFonts w:ascii="Arial" w:eastAsia="Calibri" w:hAnsi="Arial" w:cs="Arial"/>
          <w:color w:val="000000" w:themeColor="text1"/>
        </w:rPr>
      </w:pPr>
    </w:p>
    <w:p w14:paraId="58A568DC" w14:textId="77777777" w:rsidR="005709B9" w:rsidRDefault="005709B9" w:rsidP="005709B9">
      <w:pPr>
        <w:jc w:val="both"/>
        <w:rPr>
          <w:rFonts w:ascii="Arial" w:eastAsia="Calibri" w:hAnsi="Arial" w:cs="Arial"/>
          <w:color w:val="000000" w:themeColor="text1"/>
        </w:rPr>
      </w:pPr>
    </w:p>
    <w:p w14:paraId="5CB49F28" w14:textId="77777777" w:rsidR="005709B9" w:rsidRDefault="005709B9" w:rsidP="005709B9">
      <w:pPr>
        <w:jc w:val="both"/>
        <w:rPr>
          <w:rFonts w:ascii="Arial" w:eastAsia="Calibri" w:hAnsi="Arial" w:cs="Arial"/>
          <w:color w:val="000000" w:themeColor="text1"/>
        </w:rPr>
      </w:pPr>
    </w:p>
    <w:p w14:paraId="184A9634" w14:textId="77777777" w:rsidR="005709B9" w:rsidRDefault="005709B9" w:rsidP="005709B9">
      <w:pPr>
        <w:jc w:val="both"/>
        <w:rPr>
          <w:rFonts w:ascii="Arial" w:eastAsia="Calibri" w:hAnsi="Arial" w:cs="Arial"/>
          <w:color w:val="000000" w:themeColor="text1"/>
        </w:rPr>
      </w:pPr>
    </w:p>
    <w:p w14:paraId="0071061C" w14:textId="77777777" w:rsidR="005709B9" w:rsidRDefault="005709B9" w:rsidP="005709B9">
      <w:pPr>
        <w:jc w:val="both"/>
        <w:rPr>
          <w:rFonts w:ascii="Arial" w:eastAsia="Calibri" w:hAnsi="Arial" w:cs="Arial"/>
          <w:color w:val="000000" w:themeColor="text1"/>
        </w:rPr>
      </w:pPr>
    </w:p>
    <w:p w14:paraId="0B042303" w14:textId="77777777" w:rsidR="005709B9" w:rsidRDefault="005709B9" w:rsidP="005709B9">
      <w:pPr>
        <w:jc w:val="both"/>
        <w:rPr>
          <w:rFonts w:ascii="Arial" w:eastAsia="Calibri" w:hAnsi="Arial" w:cs="Arial"/>
          <w:color w:val="000000" w:themeColor="text1"/>
        </w:rPr>
      </w:pPr>
    </w:p>
    <w:p w14:paraId="38BFDE77" w14:textId="77777777" w:rsidR="005709B9" w:rsidRDefault="005709B9" w:rsidP="005709B9">
      <w:pPr>
        <w:jc w:val="both"/>
        <w:rPr>
          <w:rFonts w:ascii="Arial" w:eastAsia="Calibri" w:hAnsi="Arial" w:cs="Arial"/>
          <w:color w:val="000000" w:themeColor="text1"/>
        </w:rPr>
      </w:pPr>
    </w:p>
    <w:p w14:paraId="33C65F4C" w14:textId="77777777" w:rsidR="005709B9" w:rsidRDefault="005709B9" w:rsidP="005709B9">
      <w:pPr>
        <w:jc w:val="both"/>
        <w:rPr>
          <w:rFonts w:ascii="Arial" w:eastAsia="Calibri" w:hAnsi="Arial" w:cs="Arial"/>
          <w:color w:val="000000" w:themeColor="text1"/>
        </w:rPr>
      </w:pPr>
    </w:p>
    <w:p w14:paraId="5C42C385" w14:textId="77777777" w:rsidR="005709B9" w:rsidRDefault="005709B9" w:rsidP="005709B9">
      <w:pPr>
        <w:jc w:val="both"/>
        <w:rPr>
          <w:rFonts w:ascii="Arial" w:eastAsia="Calibri" w:hAnsi="Arial" w:cs="Arial"/>
          <w:color w:val="000000" w:themeColor="text1"/>
        </w:rPr>
      </w:pPr>
    </w:p>
    <w:p w14:paraId="0853A827" w14:textId="77777777" w:rsidR="005709B9" w:rsidRDefault="005709B9" w:rsidP="005709B9">
      <w:pPr>
        <w:jc w:val="both"/>
        <w:rPr>
          <w:rFonts w:ascii="Arial" w:eastAsia="Calibri" w:hAnsi="Arial" w:cs="Arial"/>
          <w:color w:val="000000" w:themeColor="text1"/>
        </w:rPr>
      </w:pPr>
    </w:p>
    <w:p w14:paraId="0C6683B0" w14:textId="77777777" w:rsidR="005709B9" w:rsidRDefault="005709B9" w:rsidP="005709B9">
      <w:pPr>
        <w:jc w:val="both"/>
        <w:rPr>
          <w:rFonts w:ascii="Arial" w:eastAsia="Calibri" w:hAnsi="Arial" w:cs="Arial"/>
          <w:color w:val="000000" w:themeColor="text1"/>
        </w:rPr>
      </w:pPr>
    </w:p>
    <w:p w14:paraId="53D6AE29" w14:textId="77777777" w:rsidR="005709B9" w:rsidRDefault="005709B9" w:rsidP="005709B9">
      <w:pPr>
        <w:jc w:val="both"/>
        <w:rPr>
          <w:rFonts w:ascii="Arial" w:eastAsia="Calibri" w:hAnsi="Arial" w:cs="Arial"/>
          <w:color w:val="000000" w:themeColor="text1"/>
        </w:rPr>
      </w:pPr>
    </w:p>
    <w:p w14:paraId="6DE42FB6" w14:textId="77777777" w:rsidR="005709B9" w:rsidRDefault="005709B9" w:rsidP="005709B9">
      <w:pPr>
        <w:jc w:val="both"/>
        <w:rPr>
          <w:rFonts w:ascii="Arial" w:eastAsia="Calibri" w:hAnsi="Arial" w:cs="Arial"/>
          <w:color w:val="000000" w:themeColor="text1"/>
        </w:rPr>
      </w:pPr>
    </w:p>
    <w:p w14:paraId="66074AA2" w14:textId="77777777" w:rsidR="005709B9" w:rsidRDefault="005709B9" w:rsidP="005709B9">
      <w:pPr>
        <w:pStyle w:val="Textoindependiente"/>
        <w:rPr>
          <w:rFonts w:ascii="Calibri" w:hAnsi="Calibri"/>
        </w:rPr>
      </w:pPr>
      <w:r>
        <w:rPr>
          <w:noProof/>
        </w:rPr>
        <w:drawing>
          <wp:anchor distT="0" distB="0" distL="0" distR="0" simplePos="0" relativeHeight="251658240" behindDoc="0" locked="0" layoutInCell="1" allowOverlap="1" wp14:anchorId="38B5516A" wp14:editId="1F01126C">
            <wp:simplePos x="0" y="0"/>
            <wp:positionH relativeFrom="page">
              <wp:posOffset>4471670</wp:posOffset>
            </wp:positionH>
            <wp:positionV relativeFrom="paragraph">
              <wp:posOffset>35560</wp:posOffset>
            </wp:positionV>
            <wp:extent cx="2400300" cy="615950"/>
            <wp:effectExtent l="0" t="0" r="0" b="0"/>
            <wp:wrapNone/>
            <wp:docPr id="1518287745" name="Imagen 151828774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87745" name="Imagen 1" descr="Texto&#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Bogotá</w:t>
      </w:r>
      <w:r>
        <w:rPr>
          <w:rFonts w:ascii="Calibri" w:hAnsi="Calibri"/>
          <w:spacing w:val="-4"/>
        </w:rPr>
        <w:t xml:space="preserve"> </w:t>
      </w:r>
      <w:r>
        <w:rPr>
          <w:rFonts w:ascii="Calibri" w:hAnsi="Calibri"/>
        </w:rPr>
        <w:t>D.C.,</w:t>
      </w:r>
      <w:r>
        <w:rPr>
          <w:rFonts w:ascii="Calibri" w:hAnsi="Calibri"/>
          <w:spacing w:val="-1"/>
        </w:rPr>
        <w:t xml:space="preserve"> </w:t>
      </w:r>
      <w:r>
        <w:rPr>
          <w:rFonts w:ascii="Calibri" w:hAnsi="Calibri"/>
          <w:color w:val="201E1E"/>
        </w:rPr>
        <w:t>12</w:t>
      </w:r>
      <w:r>
        <w:rPr>
          <w:rFonts w:ascii="Calibri" w:hAnsi="Calibri"/>
          <w:color w:val="201E1E"/>
          <w:spacing w:val="-3"/>
        </w:rPr>
        <w:t xml:space="preserve"> </w:t>
      </w:r>
      <w:r>
        <w:rPr>
          <w:rFonts w:ascii="Calibri" w:hAnsi="Calibri"/>
          <w:color w:val="201E1E"/>
        </w:rPr>
        <w:t>de</w:t>
      </w:r>
      <w:r>
        <w:rPr>
          <w:rFonts w:ascii="Calibri" w:hAnsi="Calibri"/>
          <w:color w:val="201E1E"/>
          <w:spacing w:val="-4"/>
        </w:rPr>
        <w:t xml:space="preserve"> </w:t>
      </w:r>
      <w:r>
        <w:rPr>
          <w:rFonts w:ascii="Calibri" w:hAnsi="Calibri"/>
          <w:color w:val="201E1E"/>
        </w:rPr>
        <w:t>Mayo</w:t>
      </w:r>
      <w:r>
        <w:rPr>
          <w:rFonts w:ascii="Calibri" w:hAnsi="Calibri"/>
          <w:color w:val="201E1E"/>
          <w:spacing w:val="-3"/>
        </w:rPr>
        <w:t xml:space="preserve"> </w:t>
      </w:r>
      <w:r>
        <w:rPr>
          <w:rFonts w:ascii="Calibri" w:hAnsi="Calibri"/>
          <w:color w:val="201E1E"/>
        </w:rPr>
        <w:t>de</w:t>
      </w:r>
      <w:r>
        <w:rPr>
          <w:rFonts w:ascii="Calibri" w:hAnsi="Calibri"/>
          <w:color w:val="201E1E"/>
          <w:spacing w:val="-4"/>
        </w:rPr>
        <w:t xml:space="preserve"> </w:t>
      </w:r>
      <w:r>
        <w:rPr>
          <w:rFonts w:ascii="Calibri" w:hAnsi="Calibri"/>
          <w:color w:val="201E1E"/>
        </w:rPr>
        <w:t>2023</w:t>
      </w:r>
    </w:p>
    <w:p w14:paraId="40C709E2" w14:textId="77777777" w:rsidR="005709B9" w:rsidRDefault="005709B9" w:rsidP="005709B9">
      <w:pPr>
        <w:pStyle w:val="Textoindependiente"/>
        <w:rPr>
          <w:rFonts w:ascii="Calibri"/>
        </w:rPr>
      </w:pPr>
    </w:p>
    <w:p w14:paraId="2ED3058F" w14:textId="77777777" w:rsidR="005709B9" w:rsidRDefault="005709B9" w:rsidP="005709B9">
      <w:pPr>
        <w:pStyle w:val="Textoindependiente"/>
        <w:rPr>
          <w:rFonts w:ascii="Calibri"/>
        </w:rPr>
      </w:pPr>
    </w:p>
    <w:p w14:paraId="70890C59" w14:textId="77777777" w:rsidR="005709B9" w:rsidRPr="00FC36CE" w:rsidRDefault="005709B9" w:rsidP="005709B9">
      <w:pPr>
        <w:jc w:val="both"/>
        <w:rPr>
          <w:rFonts w:ascii="Arial" w:eastAsia="Calibri" w:hAnsi="Arial" w:cs="Arial"/>
          <w:color w:val="000000" w:themeColor="text1"/>
          <w:lang w:val="es-ES"/>
        </w:rPr>
      </w:pPr>
    </w:p>
    <w:p w14:paraId="54ABA486" w14:textId="77777777" w:rsidR="005709B9" w:rsidRDefault="005709B9" w:rsidP="005709B9">
      <w:pPr>
        <w:spacing w:after="0"/>
        <w:jc w:val="both"/>
        <w:rPr>
          <w:rFonts w:ascii="Arial" w:eastAsia="Calibri" w:hAnsi="Arial" w:cs="Arial"/>
          <w:color w:val="000000" w:themeColor="text1"/>
        </w:rPr>
      </w:pPr>
      <w:r w:rsidRPr="00A51520">
        <w:rPr>
          <w:rFonts w:ascii="Arial" w:eastAsia="Calibri" w:hAnsi="Arial" w:cs="Arial"/>
          <w:color w:val="000000" w:themeColor="text1"/>
        </w:rPr>
        <w:t>Señor</w:t>
      </w:r>
      <w:r>
        <w:rPr>
          <w:rFonts w:ascii="Arial" w:eastAsia="Calibri" w:hAnsi="Arial" w:cs="Arial"/>
          <w:color w:val="000000" w:themeColor="text1"/>
        </w:rPr>
        <w:t>a</w:t>
      </w:r>
    </w:p>
    <w:p w14:paraId="57D37BA0" w14:textId="77777777" w:rsidR="005709B9" w:rsidRDefault="005709B9" w:rsidP="005709B9">
      <w:pPr>
        <w:spacing w:after="0"/>
        <w:jc w:val="both"/>
        <w:rPr>
          <w:rFonts w:ascii="Arial" w:eastAsia="Calibri" w:hAnsi="Arial" w:cs="Arial"/>
          <w:b/>
          <w:bCs/>
          <w:color w:val="000000" w:themeColor="text1"/>
        </w:rPr>
      </w:pPr>
      <w:r>
        <w:rPr>
          <w:rFonts w:ascii="Arial" w:eastAsia="Calibri" w:hAnsi="Arial" w:cs="Arial"/>
          <w:b/>
          <w:bCs/>
          <w:color w:val="000000" w:themeColor="text1"/>
        </w:rPr>
        <w:t xml:space="preserve">Sandra Zaldua </w:t>
      </w:r>
    </w:p>
    <w:p w14:paraId="673A85E2" w14:textId="77777777" w:rsidR="005709B9" w:rsidRPr="002A52A2" w:rsidRDefault="008822E4" w:rsidP="005709B9">
      <w:pPr>
        <w:spacing w:after="0"/>
        <w:jc w:val="both"/>
        <w:rPr>
          <w:rFonts w:ascii="Arial" w:eastAsia="Calibri" w:hAnsi="Arial" w:cs="Arial"/>
          <w:color w:val="000000" w:themeColor="text1"/>
        </w:rPr>
      </w:pPr>
      <w:hyperlink r:id="rId11" w:history="1">
        <w:r w:rsidR="005709B9" w:rsidRPr="00077327">
          <w:rPr>
            <w:rStyle w:val="Hipervnculo"/>
            <w:rFonts w:ascii="Arial" w:eastAsia="Calibri" w:hAnsi="Arial" w:cs="Arial"/>
          </w:rPr>
          <w:t>szalduacontreras@yahoo.com</w:t>
        </w:r>
      </w:hyperlink>
      <w:r w:rsidR="005709B9">
        <w:rPr>
          <w:rFonts w:ascii="Arial" w:eastAsia="Calibri" w:hAnsi="Arial" w:cs="Arial"/>
          <w:color w:val="000000" w:themeColor="text1"/>
        </w:rPr>
        <w:t xml:space="preserve"> </w:t>
      </w:r>
    </w:p>
    <w:p w14:paraId="4B2F2A5C" w14:textId="77777777" w:rsidR="005709B9" w:rsidRPr="00A51520" w:rsidRDefault="005709B9" w:rsidP="005709B9">
      <w:pPr>
        <w:spacing w:after="0"/>
        <w:jc w:val="both"/>
        <w:rPr>
          <w:rFonts w:ascii="Arial" w:eastAsia="Calibri" w:hAnsi="Arial" w:cs="Arial"/>
          <w:bCs/>
          <w:color w:val="000000" w:themeColor="text1"/>
        </w:rPr>
      </w:pPr>
      <w:r>
        <w:rPr>
          <w:rFonts w:ascii="Arial" w:eastAsia="Calibri" w:hAnsi="Arial" w:cs="Arial"/>
          <w:bCs/>
          <w:color w:val="000000" w:themeColor="text1"/>
        </w:rPr>
        <w:t xml:space="preserve">Ciudad </w:t>
      </w:r>
    </w:p>
    <w:p w14:paraId="6B78DD8A" w14:textId="77777777" w:rsidR="005709B9" w:rsidRPr="00A51520" w:rsidRDefault="005709B9" w:rsidP="005709B9">
      <w:pPr>
        <w:rPr>
          <w:rFonts w:ascii="Arial" w:eastAsia="Calibri" w:hAnsi="Arial" w:cs="Arial"/>
          <w:b/>
          <w:bCs/>
          <w:color w:val="000000" w:themeColor="text1"/>
        </w:rPr>
      </w:pPr>
    </w:p>
    <w:p w14:paraId="16D7FA56" w14:textId="77777777" w:rsidR="005709B9" w:rsidRPr="00A51520" w:rsidRDefault="005709B9" w:rsidP="005709B9">
      <w:pPr>
        <w:rPr>
          <w:rFonts w:ascii="Arial" w:eastAsia="Calibri" w:hAnsi="Arial" w:cs="Arial"/>
          <w:b/>
          <w:bCs/>
          <w:color w:val="000000" w:themeColor="text1"/>
          <w:lang w:val="pt-BR"/>
        </w:rPr>
      </w:pPr>
      <w:r w:rsidRPr="00A51520">
        <w:rPr>
          <w:rFonts w:ascii="Arial" w:eastAsia="Calibri" w:hAnsi="Arial" w:cs="Arial"/>
          <w:b/>
          <w:bCs/>
          <w:color w:val="000000" w:themeColor="text1"/>
        </w:rPr>
        <w:t xml:space="preserve">                     </w:t>
      </w:r>
      <w:r>
        <w:rPr>
          <w:rFonts w:ascii="Arial" w:eastAsia="Calibri" w:hAnsi="Arial" w:cs="Arial"/>
          <w:b/>
          <w:bCs/>
          <w:color w:val="000000" w:themeColor="text1"/>
        </w:rPr>
        <w:t xml:space="preserve">                      </w:t>
      </w:r>
      <w:r w:rsidRPr="00A51520">
        <w:rPr>
          <w:rFonts w:ascii="Arial" w:eastAsia="Calibri" w:hAnsi="Arial" w:cs="Arial"/>
          <w:b/>
          <w:bCs/>
          <w:color w:val="000000" w:themeColor="text1"/>
        </w:rPr>
        <w:t xml:space="preserve"> </w:t>
      </w:r>
      <w:r w:rsidRPr="00A51520">
        <w:rPr>
          <w:rFonts w:ascii="Arial" w:eastAsia="Calibri" w:hAnsi="Arial" w:cs="Arial"/>
          <w:b/>
          <w:bCs/>
          <w:color w:val="000000" w:themeColor="text1"/>
          <w:lang w:val="pt-BR"/>
        </w:rPr>
        <w:t xml:space="preserve">Concepto C ‒ </w:t>
      </w:r>
      <w:r>
        <w:rPr>
          <w:rFonts w:ascii="Arial" w:eastAsia="Calibri" w:hAnsi="Arial" w:cs="Arial"/>
          <w:b/>
          <w:bCs/>
          <w:color w:val="000000" w:themeColor="text1"/>
          <w:lang w:val="pt-BR"/>
        </w:rPr>
        <w:t xml:space="preserve">121 </w:t>
      </w:r>
      <w:r w:rsidRPr="00A51520">
        <w:rPr>
          <w:rFonts w:ascii="Arial" w:eastAsia="Calibri" w:hAnsi="Arial" w:cs="Arial"/>
          <w:b/>
          <w:bCs/>
          <w:color w:val="000000" w:themeColor="text1"/>
          <w:lang w:val="pt-BR"/>
        </w:rPr>
        <w:t>de 202</w:t>
      </w:r>
      <w:r>
        <w:rPr>
          <w:rFonts w:ascii="Arial" w:eastAsia="Calibri" w:hAnsi="Arial" w:cs="Arial"/>
          <w:b/>
          <w:bCs/>
          <w:color w:val="000000" w:themeColor="text1"/>
          <w:lang w:val="pt-BR"/>
        </w:rPr>
        <w:t>3</w:t>
      </w:r>
    </w:p>
    <w:p w14:paraId="76AB6AD0" w14:textId="77777777" w:rsidR="005709B9" w:rsidRPr="00A51520" w:rsidRDefault="005709B9" w:rsidP="005709B9">
      <w:pPr>
        <w:rPr>
          <w:rFonts w:ascii="Arial" w:eastAsia="Calibri" w:hAnsi="Arial" w:cs="Arial"/>
          <w:b/>
          <w:bCs/>
          <w:color w:val="000000" w:themeColor="text1"/>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709B9" w:rsidRPr="00A51520" w14:paraId="5D5C8C9C" w14:textId="77777777" w:rsidTr="00F52068">
        <w:tc>
          <w:tcPr>
            <w:tcW w:w="2689" w:type="dxa"/>
          </w:tcPr>
          <w:p w14:paraId="292DA8E5" w14:textId="77777777" w:rsidR="005709B9" w:rsidRPr="00A51520" w:rsidRDefault="005709B9" w:rsidP="00F52068">
            <w:pPr>
              <w:jc w:val="both"/>
              <w:rPr>
                <w:rFonts w:ascii="Arial" w:eastAsia="Calibri" w:hAnsi="Arial" w:cs="Arial"/>
                <w:color w:val="000000" w:themeColor="text1"/>
                <w:lang w:val="es-ES_tradnl"/>
              </w:rPr>
            </w:pPr>
            <w:r w:rsidRPr="00A51520">
              <w:rPr>
                <w:rFonts w:ascii="Arial" w:eastAsia="Calibri" w:hAnsi="Arial" w:cs="Arial"/>
                <w:b/>
                <w:color w:val="000000" w:themeColor="text1"/>
                <w:lang w:val="es-ES_tradnl"/>
              </w:rPr>
              <w:t>Temas:</w:t>
            </w:r>
            <w:r w:rsidRPr="00A51520">
              <w:rPr>
                <w:rFonts w:ascii="Arial" w:eastAsia="Calibri" w:hAnsi="Arial" w:cs="Arial"/>
                <w:color w:val="000000" w:themeColor="text1"/>
                <w:lang w:val="es-ES_tradnl"/>
              </w:rPr>
              <w:t xml:space="preserve">                   </w:t>
            </w:r>
          </w:p>
        </w:tc>
        <w:tc>
          <w:tcPr>
            <w:tcW w:w="6237" w:type="dxa"/>
            <w:shd w:val="clear" w:color="auto" w:fill="auto"/>
          </w:tcPr>
          <w:p w14:paraId="57B5326E" w14:textId="77777777" w:rsidR="005709B9" w:rsidRPr="00864378" w:rsidRDefault="005709B9" w:rsidP="00F52068">
            <w:pPr>
              <w:tabs>
                <w:tab w:val="left" w:pos="6551"/>
              </w:tabs>
              <w:jc w:val="both"/>
              <w:rPr>
                <w:rFonts w:ascii="Arial" w:eastAsia="Calibri" w:hAnsi="Arial" w:cs="Arial"/>
                <w:bCs/>
                <w:color w:val="000000" w:themeColor="text1"/>
                <w:lang w:val="es-ES_tradnl"/>
              </w:rPr>
            </w:pPr>
            <w:r w:rsidRPr="00150A26">
              <w:rPr>
                <w:rFonts w:ascii="Arial" w:eastAsia="Calibri" w:hAnsi="Arial" w:cs="Arial"/>
                <w:bCs/>
                <w:lang w:val="es-MX"/>
              </w:rPr>
              <w:t>EXPERIENCIA – Concepto</w:t>
            </w:r>
            <w:r>
              <w:rPr>
                <w:rFonts w:ascii="Arial" w:eastAsia="Calibri" w:hAnsi="Arial" w:cs="Arial"/>
                <w:bCs/>
                <w:lang w:val="es-MX"/>
              </w:rPr>
              <w:t xml:space="preserve"> </w:t>
            </w:r>
            <w:r w:rsidRPr="00150A26">
              <w:rPr>
                <w:rFonts w:ascii="Arial" w:eastAsia="Calibri" w:hAnsi="Arial" w:cs="Arial"/>
                <w:bCs/>
                <w:lang w:val="es-MX"/>
              </w:rPr>
              <w:t>/ EXPERIENCIA – Transformación / EXPERIENCIA – Escisión / EXPERIENCIA – Fusión</w:t>
            </w:r>
            <w:r>
              <w:rPr>
                <w:rFonts w:ascii="Arial" w:eastAsia="Calibri" w:hAnsi="Arial" w:cs="Arial"/>
                <w:bCs/>
                <w:lang w:val="es-MX"/>
              </w:rPr>
              <w:t xml:space="preserve"> - Absorción</w:t>
            </w:r>
          </w:p>
        </w:tc>
      </w:tr>
      <w:tr w:rsidR="005709B9" w:rsidRPr="00A51520" w14:paraId="008062AB" w14:textId="77777777" w:rsidTr="00F52068">
        <w:trPr>
          <w:trHeight w:val="301"/>
        </w:trPr>
        <w:tc>
          <w:tcPr>
            <w:tcW w:w="2689" w:type="dxa"/>
          </w:tcPr>
          <w:p w14:paraId="428B3708" w14:textId="77777777" w:rsidR="005709B9" w:rsidRDefault="005709B9" w:rsidP="00F52068">
            <w:pPr>
              <w:spacing w:before="120"/>
              <w:jc w:val="both"/>
              <w:rPr>
                <w:rFonts w:ascii="Arial" w:eastAsia="Calibri" w:hAnsi="Arial" w:cs="Arial"/>
                <w:b/>
                <w:color w:val="000000" w:themeColor="text1"/>
                <w:lang w:val="es-ES_tradnl"/>
              </w:rPr>
            </w:pPr>
          </w:p>
          <w:p w14:paraId="71CAF922" w14:textId="77777777" w:rsidR="005709B9" w:rsidRPr="00A51520" w:rsidRDefault="005709B9" w:rsidP="00F52068">
            <w:pPr>
              <w:spacing w:before="120"/>
              <w:jc w:val="both"/>
              <w:rPr>
                <w:rFonts w:ascii="Arial" w:eastAsia="Calibri" w:hAnsi="Arial" w:cs="Arial"/>
                <w:b/>
                <w:color w:val="000000" w:themeColor="text1"/>
                <w:lang w:val="es-ES_tradnl"/>
              </w:rPr>
            </w:pPr>
            <w:r w:rsidRPr="00A51520">
              <w:rPr>
                <w:rFonts w:ascii="Arial" w:eastAsia="Calibri" w:hAnsi="Arial" w:cs="Arial"/>
                <w:b/>
                <w:color w:val="000000" w:themeColor="text1"/>
                <w:lang w:val="es-ES_tradnl"/>
              </w:rPr>
              <w:t>Radicación:</w:t>
            </w:r>
            <w:r w:rsidRPr="00A51520">
              <w:rPr>
                <w:rFonts w:ascii="Arial" w:eastAsia="Calibri" w:hAnsi="Arial" w:cs="Arial"/>
                <w:color w:val="000000" w:themeColor="text1"/>
                <w:lang w:val="es-ES_tradnl"/>
              </w:rPr>
              <w:t xml:space="preserve">               </w:t>
            </w:r>
          </w:p>
        </w:tc>
        <w:tc>
          <w:tcPr>
            <w:tcW w:w="6237" w:type="dxa"/>
          </w:tcPr>
          <w:p w14:paraId="12C47548" w14:textId="77777777" w:rsidR="005709B9" w:rsidRDefault="005709B9" w:rsidP="00F52068">
            <w:pPr>
              <w:spacing w:before="120"/>
              <w:jc w:val="both"/>
              <w:rPr>
                <w:rFonts w:ascii="Arial" w:eastAsia="Calibri" w:hAnsi="Arial" w:cs="Arial"/>
                <w:color w:val="000000" w:themeColor="text1"/>
                <w:lang w:val="es-ES_tradnl"/>
              </w:rPr>
            </w:pPr>
          </w:p>
          <w:p w14:paraId="15D3FC3D" w14:textId="77777777" w:rsidR="005709B9" w:rsidRPr="00A51520" w:rsidRDefault="005709B9" w:rsidP="00F52068">
            <w:pPr>
              <w:spacing w:before="120"/>
              <w:jc w:val="both"/>
              <w:rPr>
                <w:rFonts w:ascii="Arial" w:eastAsia="Calibri" w:hAnsi="Arial" w:cs="Arial"/>
                <w:color w:val="000000" w:themeColor="text1"/>
                <w:lang w:val="es-ES_tradnl"/>
              </w:rPr>
            </w:pPr>
            <w:r w:rsidRPr="00A51520">
              <w:rPr>
                <w:rFonts w:ascii="Arial" w:eastAsia="Calibri" w:hAnsi="Arial" w:cs="Arial"/>
                <w:color w:val="000000" w:themeColor="text1"/>
                <w:lang w:val="es-ES_tradnl"/>
              </w:rPr>
              <w:t>Respuesta a consulta</w:t>
            </w:r>
            <w:r>
              <w:rPr>
                <w:rFonts w:ascii="Arial" w:eastAsia="Calibri" w:hAnsi="Arial" w:cs="Arial"/>
                <w:color w:val="000000" w:themeColor="text1"/>
                <w:lang w:val="es-ES_tradnl"/>
              </w:rPr>
              <w:t xml:space="preserve"> </w:t>
            </w:r>
            <w:r w:rsidRPr="002A52A2">
              <w:rPr>
                <w:rFonts w:ascii="Arial" w:eastAsia="Calibri" w:hAnsi="Arial" w:cs="Arial"/>
                <w:color w:val="000000" w:themeColor="text1"/>
                <w:lang w:val="es-ES_tradnl"/>
              </w:rPr>
              <w:t>P20230328002837</w:t>
            </w:r>
          </w:p>
        </w:tc>
      </w:tr>
      <w:tr w:rsidR="005709B9" w:rsidRPr="00A51520" w14:paraId="3EFF7E9D" w14:textId="77777777" w:rsidTr="00F52068">
        <w:trPr>
          <w:trHeight w:val="301"/>
        </w:trPr>
        <w:tc>
          <w:tcPr>
            <w:tcW w:w="2689" w:type="dxa"/>
          </w:tcPr>
          <w:p w14:paraId="5855D791" w14:textId="77777777" w:rsidR="005709B9" w:rsidRPr="00A51520" w:rsidRDefault="005709B9" w:rsidP="00F52068">
            <w:pPr>
              <w:spacing w:before="120"/>
              <w:jc w:val="both"/>
              <w:rPr>
                <w:rFonts w:ascii="Arial" w:eastAsia="Calibri" w:hAnsi="Arial" w:cs="Arial"/>
                <w:b/>
                <w:color w:val="000000" w:themeColor="text1"/>
                <w:lang w:val="es-ES_tradnl"/>
              </w:rPr>
            </w:pPr>
          </w:p>
        </w:tc>
        <w:tc>
          <w:tcPr>
            <w:tcW w:w="6237" w:type="dxa"/>
          </w:tcPr>
          <w:p w14:paraId="703BBE46" w14:textId="77777777" w:rsidR="005709B9" w:rsidRPr="00A51520" w:rsidRDefault="005709B9" w:rsidP="00F52068">
            <w:pPr>
              <w:spacing w:before="120"/>
              <w:jc w:val="both"/>
              <w:rPr>
                <w:rFonts w:ascii="Arial" w:eastAsia="Calibri" w:hAnsi="Arial" w:cs="Arial"/>
                <w:color w:val="000000" w:themeColor="text1"/>
                <w:lang w:val="es-ES_tradnl"/>
              </w:rPr>
            </w:pPr>
          </w:p>
        </w:tc>
      </w:tr>
    </w:tbl>
    <w:p w14:paraId="6AA91830" w14:textId="77777777" w:rsidR="005709B9" w:rsidRPr="00A51520" w:rsidRDefault="005709B9" w:rsidP="005709B9">
      <w:pPr>
        <w:jc w:val="both"/>
        <w:rPr>
          <w:rFonts w:ascii="Arial" w:eastAsia="Calibri" w:hAnsi="Arial" w:cs="Arial"/>
          <w:color w:val="000000" w:themeColor="text1"/>
        </w:rPr>
      </w:pPr>
    </w:p>
    <w:p w14:paraId="7411CA64" w14:textId="77777777" w:rsidR="005709B9" w:rsidRPr="00A51520" w:rsidRDefault="005709B9" w:rsidP="005709B9">
      <w:pPr>
        <w:jc w:val="both"/>
        <w:rPr>
          <w:rFonts w:ascii="Arial" w:eastAsia="Calibri" w:hAnsi="Arial" w:cs="Arial"/>
          <w:color w:val="000000" w:themeColor="text1"/>
          <w:lang w:val="es-ES_tradnl"/>
        </w:rPr>
      </w:pPr>
    </w:p>
    <w:p w14:paraId="698E602D" w14:textId="77777777" w:rsidR="005709B9" w:rsidRPr="00A51520" w:rsidRDefault="005709B9" w:rsidP="005709B9">
      <w:pPr>
        <w:jc w:val="both"/>
        <w:rPr>
          <w:rFonts w:ascii="Arial" w:eastAsia="Calibri" w:hAnsi="Arial" w:cs="Arial"/>
          <w:color w:val="000000" w:themeColor="text1"/>
          <w:lang w:val="es-ES_tradnl"/>
        </w:rPr>
      </w:pPr>
      <w:r w:rsidRPr="00A51520">
        <w:rPr>
          <w:rFonts w:ascii="Arial" w:eastAsia="Calibri" w:hAnsi="Arial" w:cs="Arial"/>
          <w:color w:val="000000" w:themeColor="text1"/>
          <w:lang w:val="es-ES_tradnl"/>
        </w:rPr>
        <w:t>Estimado señor</w:t>
      </w:r>
      <w:r>
        <w:rPr>
          <w:rFonts w:ascii="Arial" w:eastAsia="Calibri" w:hAnsi="Arial" w:cs="Arial"/>
          <w:color w:val="000000" w:themeColor="text1"/>
          <w:lang w:val="es-ES_tradnl"/>
        </w:rPr>
        <w:t>a Zaldua:</w:t>
      </w:r>
    </w:p>
    <w:p w14:paraId="160C9650" w14:textId="77777777" w:rsidR="005709B9" w:rsidRPr="00A51520" w:rsidRDefault="005709B9" w:rsidP="005709B9">
      <w:pPr>
        <w:jc w:val="both"/>
        <w:rPr>
          <w:rFonts w:ascii="Arial" w:eastAsia="Calibri" w:hAnsi="Arial" w:cs="Arial"/>
          <w:color w:val="000000" w:themeColor="text1"/>
          <w:lang w:val="es-ES_tradnl"/>
        </w:rPr>
      </w:pPr>
    </w:p>
    <w:p w14:paraId="7BEF271E" w14:textId="77777777" w:rsidR="005709B9" w:rsidRPr="00A51520" w:rsidRDefault="005709B9" w:rsidP="005709B9">
      <w:pPr>
        <w:spacing w:line="276" w:lineRule="auto"/>
        <w:jc w:val="both"/>
        <w:rPr>
          <w:rFonts w:ascii="Arial" w:eastAsia="Calibri" w:hAnsi="Arial" w:cs="Arial"/>
          <w:color w:val="000000" w:themeColor="text1"/>
          <w:lang w:val="es-ES_tradnl"/>
        </w:rPr>
      </w:pPr>
      <w:r w:rsidRPr="00A51520">
        <w:rPr>
          <w:rFonts w:ascii="Arial" w:eastAsia="Calibri" w:hAnsi="Arial" w:cs="Arial"/>
          <w:color w:val="000000" w:themeColor="text1"/>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color w:val="000000" w:themeColor="text1"/>
          <w:lang w:val="es-ES_tradnl"/>
        </w:rPr>
        <w:t xml:space="preserve">1 </w:t>
      </w:r>
      <w:r w:rsidRPr="00A51520">
        <w:rPr>
          <w:rFonts w:ascii="Arial" w:eastAsia="Calibri" w:hAnsi="Arial" w:cs="Arial"/>
          <w:color w:val="000000" w:themeColor="text1"/>
          <w:lang w:val="es-ES_tradnl"/>
        </w:rPr>
        <w:t xml:space="preserve">de </w:t>
      </w:r>
      <w:r>
        <w:rPr>
          <w:rFonts w:ascii="Arial" w:eastAsia="Calibri" w:hAnsi="Arial" w:cs="Arial"/>
          <w:color w:val="000000" w:themeColor="text1"/>
          <w:lang w:val="es-ES_tradnl"/>
        </w:rPr>
        <w:t>agosto</w:t>
      </w:r>
      <w:r w:rsidRPr="00A51520">
        <w:rPr>
          <w:rFonts w:ascii="Arial" w:eastAsia="Calibri" w:hAnsi="Arial" w:cs="Arial"/>
          <w:color w:val="000000" w:themeColor="text1"/>
          <w:lang w:val="es-ES_tradnl"/>
        </w:rPr>
        <w:t xml:space="preserve"> de 2022.</w:t>
      </w:r>
    </w:p>
    <w:p w14:paraId="20BCA29C" w14:textId="77777777" w:rsidR="005709B9" w:rsidRPr="00A51520" w:rsidRDefault="005709B9" w:rsidP="005709B9">
      <w:pPr>
        <w:spacing w:line="276" w:lineRule="auto"/>
        <w:jc w:val="both"/>
        <w:rPr>
          <w:rFonts w:ascii="Arial" w:eastAsia="Calibri" w:hAnsi="Arial" w:cs="Arial"/>
          <w:b/>
          <w:color w:val="000000" w:themeColor="text1"/>
          <w:lang w:val="es-ES_tradnl"/>
        </w:rPr>
      </w:pPr>
    </w:p>
    <w:p w14:paraId="7FB7061F" w14:textId="77777777" w:rsidR="005709B9" w:rsidRPr="00A51520" w:rsidRDefault="005709B9" w:rsidP="005709B9">
      <w:pPr>
        <w:pStyle w:val="Prrafodelista"/>
        <w:numPr>
          <w:ilvl w:val="0"/>
          <w:numId w:val="1"/>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A51520">
        <w:rPr>
          <w:rFonts w:ascii="Arial" w:eastAsia="Calibri" w:hAnsi="Arial" w:cs="Arial"/>
          <w:b/>
          <w:color w:val="000000" w:themeColor="text1"/>
          <w:lang w:val="es-ES_tradnl"/>
        </w:rPr>
        <w:t xml:space="preserve">Problema planteado </w:t>
      </w:r>
    </w:p>
    <w:p w14:paraId="2B72D018" w14:textId="77777777" w:rsidR="005709B9" w:rsidRPr="00A51520" w:rsidRDefault="005709B9" w:rsidP="005709B9">
      <w:pPr>
        <w:tabs>
          <w:tab w:val="left" w:pos="426"/>
        </w:tabs>
        <w:spacing w:line="276" w:lineRule="auto"/>
        <w:jc w:val="both"/>
        <w:rPr>
          <w:rFonts w:ascii="Arial" w:eastAsia="Calibri" w:hAnsi="Arial" w:cs="Arial"/>
          <w:b/>
          <w:color w:val="000000" w:themeColor="text1"/>
          <w:lang w:val="es-ES_tradnl"/>
        </w:rPr>
      </w:pPr>
    </w:p>
    <w:p w14:paraId="6EA5F3DF" w14:textId="77777777" w:rsidR="005709B9" w:rsidRDefault="005709B9" w:rsidP="005709B9">
      <w:pPr>
        <w:spacing w:line="276" w:lineRule="auto"/>
        <w:jc w:val="both"/>
        <w:rPr>
          <w:rFonts w:ascii="Arial" w:hAnsi="Arial" w:cs="Arial"/>
          <w:lang w:val="es-ES_tradnl"/>
        </w:rPr>
      </w:pPr>
      <w:r>
        <w:rPr>
          <w:rFonts w:ascii="Arial" w:hAnsi="Arial" w:cs="Arial"/>
          <w:color w:val="000000" w:themeColor="text1"/>
          <w:lang w:val="es-ES_tradnl"/>
        </w:rPr>
        <w:t>U</w:t>
      </w:r>
      <w:r w:rsidRPr="00A51520">
        <w:rPr>
          <w:rFonts w:ascii="Arial" w:hAnsi="Arial" w:cs="Arial"/>
          <w:color w:val="000000" w:themeColor="text1"/>
          <w:lang w:val="es-ES_tradnl"/>
        </w:rPr>
        <w:t xml:space="preserve">sted </w:t>
      </w:r>
      <w:r>
        <w:rPr>
          <w:rFonts w:ascii="Arial" w:hAnsi="Arial" w:cs="Arial"/>
          <w:color w:val="000000" w:themeColor="text1"/>
          <w:lang w:val="es-ES_tradnl"/>
        </w:rPr>
        <w:t xml:space="preserve">realiza </w:t>
      </w:r>
      <w:r w:rsidRPr="00A51520">
        <w:rPr>
          <w:rFonts w:ascii="Arial" w:hAnsi="Arial" w:cs="Arial"/>
          <w:color w:val="000000" w:themeColor="text1"/>
          <w:lang w:val="es-ES_tradnl"/>
        </w:rPr>
        <w:t>la</w:t>
      </w:r>
      <w:r>
        <w:rPr>
          <w:rFonts w:ascii="Arial" w:hAnsi="Arial" w:cs="Arial"/>
          <w:color w:val="000000" w:themeColor="text1"/>
          <w:lang w:val="es-ES_tradnl"/>
        </w:rPr>
        <w:t>s</w:t>
      </w:r>
      <w:r w:rsidRPr="00A51520">
        <w:rPr>
          <w:rFonts w:ascii="Arial" w:hAnsi="Arial" w:cs="Arial"/>
          <w:color w:val="000000" w:themeColor="text1"/>
          <w:lang w:val="es-ES_tradnl"/>
        </w:rPr>
        <w:t xml:space="preserve"> siguiente</w:t>
      </w:r>
      <w:r>
        <w:rPr>
          <w:rFonts w:ascii="Arial" w:hAnsi="Arial" w:cs="Arial"/>
          <w:color w:val="000000" w:themeColor="text1"/>
          <w:lang w:val="es-ES_tradnl"/>
        </w:rPr>
        <w:t>s</w:t>
      </w:r>
      <w:r w:rsidRPr="00A51520">
        <w:rPr>
          <w:rFonts w:ascii="Arial" w:hAnsi="Arial" w:cs="Arial"/>
          <w:color w:val="000000" w:themeColor="text1"/>
          <w:lang w:val="es-ES_tradnl"/>
        </w:rPr>
        <w:t xml:space="preserve"> </w:t>
      </w:r>
      <w:r>
        <w:rPr>
          <w:rFonts w:ascii="Arial" w:hAnsi="Arial" w:cs="Arial"/>
          <w:color w:val="000000" w:themeColor="text1"/>
          <w:lang w:val="es-ES_tradnl"/>
        </w:rPr>
        <w:t>preguntas</w:t>
      </w:r>
      <w:r>
        <w:rPr>
          <w:rFonts w:ascii="Arial" w:hAnsi="Arial" w:cs="Arial"/>
          <w:lang w:val="es-ES_tradnl"/>
        </w:rPr>
        <w:t xml:space="preserve">: </w:t>
      </w:r>
    </w:p>
    <w:p w14:paraId="6F8992F7" w14:textId="77777777" w:rsidR="005709B9" w:rsidRPr="00361F21" w:rsidRDefault="005709B9" w:rsidP="005709B9">
      <w:pPr>
        <w:spacing w:line="276" w:lineRule="auto"/>
        <w:ind w:left="567" w:right="616"/>
        <w:jc w:val="both"/>
        <w:rPr>
          <w:rFonts w:ascii="Arial" w:hAnsi="Arial" w:cs="Arial"/>
          <w:sz w:val="21"/>
          <w:szCs w:val="21"/>
        </w:rPr>
      </w:pPr>
      <w:r w:rsidRPr="00361F21">
        <w:rPr>
          <w:rFonts w:ascii="Arial" w:hAnsi="Arial" w:cs="Arial"/>
          <w:sz w:val="21"/>
          <w:szCs w:val="21"/>
        </w:rPr>
        <w:lastRenderedPageBreak/>
        <w:t>“[…] [¿]Si dos empresas se van a fusionar ¿puede la sociedad que absorbe tomar como propia la experiencia de la absorbida e incluirla en su RUP? ¿o esa experiencia se pierde?</w:t>
      </w:r>
    </w:p>
    <w:p w14:paraId="0BD80FBC" w14:textId="77777777" w:rsidR="005709B9" w:rsidRPr="00361F21" w:rsidRDefault="005709B9" w:rsidP="005709B9">
      <w:pPr>
        <w:spacing w:line="276" w:lineRule="auto"/>
        <w:ind w:left="567" w:right="616"/>
        <w:jc w:val="both"/>
        <w:rPr>
          <w:rFonts w:ascii="Arial" w:hAnsi="Arial" w:cs="Arial"/>
          <w:sz w:val="21"/>
          <w:szCs w:val="21"/>
        </w:rPr>
      </w:pPr>
    </w:p>
    <w:p w14:paraId="7AE05877" w14:textId="77777777" w:rsidR="005709B9" w:rsidRPr="00361F21" w:rsidRDefault="005709B9" w:rsidP="005709B9">
      <w:pPr>
        <w:spacing w:line="276" w:lineRule="auto"/>
        <w:ind w:left="567" w:right="616"/>
        <w:jc w:val="both"/>
        <w:rPr>
          <w:rFonts w:ascii="Arial" w:hAnsi="Arial" w:cs="Arial"/>
          <w:sz w:val="21"/>
          <w:szCs w:val="21"/>
          <w:lang w:val="es-ES_tradnl"/>
        </w:rPr>
      </w:pPr>
      <w:r w:rsidRPr="00361F21">
        <w:rPr>
          <w:rFonts w:ascii="Arial" w:hAnsi="Arial" w:cs="Arial"/>
          <w:sz w:val="21"/>
          <w:szCs w:val="21"/>
        </w:rPr>
        <w:t>En caso de no poder tomar la experiencia que se puede hacer para no perder la experiencia? […]” (sic)</w:t>
      </w:r>
    </w:p>
    <w:p w14:paraId="0BAEBDC7" w14:textId="77777777" w:rsidR="005709B9" w:rsidRPr="0065218F" w:rsidRDefault="005709B9" w:rsidP="005709B9">
      <w:pPr>
        <w:spacing w:line="276" w:lineRule="auto"/>
        <w:ind w:right="476"/>
        <w:jc w:val="both"/>
        <w:rPr>
          <w:rFonts w:ascii="Arial" w:eastAsia="Calibri" w:hAnsi="Arial" w:cs="Arial"/>
          <w:bCs/>
          <w:sz w:val="20"/>
          <w:szCs w:val="20"/>
        </w:rPr>
      </w:pPr>
    </w:p>
    <w:p w14:paraId="49B3282D" w14:textId="77777777" w:rsidR="005709B9" w:rsidRPr="00A51520" w:rsidRDefault="005709B9" w:rsidP="005709B9">
      <w:pPr>
        <w:pStyle w:val="Prrafodelista"/>
        <w:numPr>
          <w:ilvl w:val="0"/>
          <w:numId w:val="1"/>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A51520">
        <w:rPr>
          <w:rFonts w:ascii="Arial" w:eastAsia="Calibri" w:hAnsi="Arial" w:cs="Arial"/>
          <w:b/>
          <w:color w:val="000000" w:themeColor="text1"/>
          <w:lang w:val="es-ES_tradnl"/>
        </w:rPr>
        <w:t>Consideraciones</w:t>
      </w:r>
    </w:p>
    <w:p w14:paraId="7919189E" w14:textId="77777777" w:rsidR="005709B9" w:rsidRDefault="005709B9" w:rsidP="005709B9">
      <w:pPr>
        <w:spacing w:line="276" w:lineRule="auto"/>
        <w:jc w:val="both"/>
        <w:rPr>
          <w:rFonts w:ascii="Arial" w:eastAsia="Calibri" w:hAnsi="Arial" w:cs="Arial"/>
          <w:color w:val="000000" w:themeColor="text1"/>
        </w:rPr>
      </w:pPr>
    </w:p>
    <w:p w14:paraId="52D2502C" w14:textId="77777777" w:rsidR="005709B9" w:rsidRDefault="005709B9" w:rsidP="005709B9">
      <w:pPr>
        <w:spacing w:line="276" w:lineRule="auto"/>
        <w:jc w:val="both"/>
        <w:rPr>
          <w:rFonts w:ascii="Arial" w:eastAsia="Calibri" w:hAnsi="Arial" w:cs="Arial"/>
          <w:color w:val="000000" w:themeColor="text1"/>
          <w:lang w:val="es-MX"/>
        </w:rPr>
      </w:pPr>
      <w:r w:rsidRPr="00361F21">
        <w:rPr>
          <w:rFonts w:ascii="Arial" w:eastAsia="Calibri" w:hAnsi="Arial" w:cs="Arial"/>
          <w:color w:val="000000" w:themeColor="text1"/>
          <w:lang w:val="es-MX"/>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consultas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695A7BAD" w14:textId="77777777" w:rsidR="005709B9" w:rsidRPr="00361F21" w:rsidRDefault="005709B9" w:rsidP="005709B9">
      <w:pPr>
        <w:spacing w:line="276" w:lineRule="auto"/>
        <w:jc w:val="both"/>
        <w:rPr>
          <w:rFonts w:ascii="Arial" w:eastAsia="Calibri" w:hAnsi="Arial" w:cs="Arial"/>
          <w:color w:val="000000" w:themeColor="text1"/>
          <w:lang w:val="es-MX"/>
        </w:rPr>
      </w:pPr>
    </w:p>
    <w:p w14:paraId="4F4797EE" w14:textId="77777777" w:rsidR="005709B9" w:rsidRDefault="005709B9" w:rsidP="005709B9">
      <w:pPr>
        <w:spacing w:line="276" w:lineRule="auto"/>
        <w:ind w:firstLine="567"/>
        <w:jc w:val="both"/>
        <w:rPr>
          <w:rFonts w:ascii="Arial" w:eastAsia="Calibri" w:hAnsi="Arial" w:cs="Arial"/>
          <w:color w:val="000000" w:themeColor="text1"/>
          <w:lang w:val="es-MX"/>
        </w:rPr>
      </w:pPr>
      <w:r w:rsidRPr="00361F21">
        <w:rPr>
          <w:rFonts w:ascii="Arial" w:eastAsia="Calibri" w:hAnsi="Arial" w:cs="Arial"/>
          <w:color w:val="000000" w:themeColor="text1"/>
          <w:lang w:val="es-MX"/>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089C5783" w14:textId="77777777" w:rsidR="005709B9" w:rsidRPr="00361F21" w:rsidRDefault="005709B9" w:rsidP="005709B9">
      <w:pPr>
        <w:spacing w:line="276" w:lineRule="auto"/>
        <w:ind w:firstLine="567"/>
        <w:jc w:val="both"/>
        <w:rPr>
          <w:rFonts w:ascii="Arial" w:eastAsia="Calibri" w:hAnsi="Arial" w:cs="Arial"/>
          <w:color w:val="000000" w:themeColor="text1"/>
          <w:lang w:val="es-MX"/>
        </w:rPr>
      </w:pPr>
    </w:p>
    <w:p w14:paraId="70D5EC17" w14:textId="77777777" w:rsidR="005709B9" w:rsidRPr="00361F21" w:rsidRDefault="005709B9" w:rsidP="005709B9">
      <w:pPr>
        <w:spacing w:line="276" w:lineRule="auto"/>
        <w:ind w:firstLine="567"/>
        <w:jc w:val="both"/>
        <w:rPr>
          <w:rFonts w:ascii="Arial" w:eastAsia="Calibri" w:hAnsi="Arial" w:cs="Arial"/>
          <w:color w:val="000000" w:themeColor="text1"/>
          <w:lang w:val="es-MX"/>
        </w:rPr>
      </w:pPr>
      <w:r w:rsidRPr="00361F21">
        <w:rPr>
          <w:rFonts w:ascii="Arial" w:eastAsia="Calibri" w:hAnsi="Arial" w:cs="Arial"/>
          <w:color w:val="000000" w:themeColor="text1"/>
          <w:lang w:val="es-MX"/>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59CF34B3" w14:textId="77777777" w:rsidR="005709B9" w:rsidRDefault="005709B9" w:rsidP="005709B9">
      <w:pPr>
        <w:spacing w:line="276" w:lineRule="auto"/>
        <w:jc w:val="both"/>
        <w:rPr>
          <w:rFonts w:ascii="Arial" w:eastAsia="Calibri" w:hAnsi="Arial" w:cs="Arial"/>
          <w:color w:val="000000" w:themeColor="text1"/>
          <w:lang w:val="es-MX"/>
        </w:rPr>
      </w:pPr>
      <w:r w:rsidRPr="00361F21">
        <w:rPr>
          <w:rFonts w:ascii="Arial" w:eastAsia="Calibri" w:hAnsi="Arial" w:cs="Arial"/>
          <w:color w:val="000000" w:themeColor="text1"/>
          <w:lang w:val="es-MX"/>
        </w:rPr>
        <w:lastRenderedPageBreak/>
        <w:t>Por ello, la Subdirección, dentro de los límites de sus atribuciones, resolverá la consulta conforme a las normas generales en materia de contratación estatal. Con este objetivo se analizarán los siguientes temas: i) noción de experiencia; ii) experiencia de los consorcios y uniones temporales; y iii) experiencia adquirida por matrices y subordinadas de una sociedad comercial.</w:t>
      </w:r>
    </w:p>
    <w:p w14:paraId="7D25AB16" w14:textId="77777777" w:rsidR="005709B9" w:rsidRPr="00361F21" w:rsidRDefault="005709B9" w:rsidP="005709B9">
      <w:pPr>
        <w:spacing w:line="276" w:lineRule="auto"/>
        <w:jc w:val="both"/>
        <w:rPr>
          <w:rFonts w:ascii="Arial" w:eastAsia="Calibri" w:hAnsi="Arial" w:cs="Arial"/>
          <w:color w:val="000000" w:themeColor="text1"/>
          <w:lang w:val="es-MX"/>
        </w:rPr>
      </w:pPr>
    </w:p>
    <w:p w14:paraId="2921790F" w14:textId="77777777" w:rsidR="005709B9" w:rsidRPr="00361F21" w:rsidRDefault="005709B9" w:rsidP="005709B9">
      <w:pPr>
        <w:spacing w:line="276" w:lineRule="auto"/>
        <w:ind w:firstLine="567"/>
        <w:jc w:val="both"/>
        <w:rPr>
          <w:rFonts w:ascii="Arial" w:eastAsia="Calibri" w:hAnsi="Arial" w:cs="Arial"/>
          <w:color w:val="000000" w:themeColor="text1"/>
          <w:lang w:val="es-MX"/>
        </w:rPr>
      </w:pPr>
      <w:r w:rsidRPr="00361F21">
        <w:rPr>
          <w:rFonts w:ascii="Arial" w:eastAsia="Calibri" w:hAnsi="Arial" w:cs="Arial"/>
          <w:color w:val="000000" w:themeColor="text1"/>
          <w:lang w:val="es-MX"/>
        </w:rPr>
        <w:t>La Agencia Nacional de Contratación Pública ‒ Colombia Compra Eficiente, estudió el tema de experiencia y su noción</w:t>
      </w:r>
      <w:r>
        <w:rPr>
          <w:rFonts w:ascii="Arial" w:eastAsia="Calibri" w:hAnsi="Arial" w:cs="Arial"/>
          <w:color w:val="000000" w:themeColor="text1"/>
          <w:lang w:val="es-MX"/>
        </w:rPr>
        <w:t xml:space="preserve"> </w:t>
      </w:r>
      <w:r w:rsidRPr="00361F21">
        <w:rPr>
          <w:rFonts w:ascii="Arial" w:eastAsia="Calibri" w:hAnsi="Arial" w:cs="Arial"/>
          <w:color w:val="000000" w:themeColor="text1"/>
          <w:lang w:val="es-MX"/>
        </w:rPr>
        <w:t xml:space="preserve">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C-725 del 25 de enero de 2022, C-084 del 16 de marzo de 2022 y C-517 del 11 de agosto de 2022, </w:t>
      </w:r>
      <w:r>
        <w:rPr>
          <w:rFonts w:ascii="Arial" w:eastAsia="Calibri" w:hAnsi="Arial" w:cs="Arial"/>
          <w:color w:val="000000" w:themeColor="text1"/>
          <w:lang w:val="es-MX"/>
        </w:rPr>
        <w:t xml:space="preserve">C-569 del 13 de septiembre de 2022 y C-820 del 29 de noviembre de 2022 </w:t>
      </w:r>
      <w:r w:rsidRPr="00361F21">
        <w:rPr>
          <w:rFonts w:ascii="Arial" w:eastAsia="Calibri" w:hAnsi="Arial" w:cs="Arial"/>
          <w:color w:val="000000" w:themeColor="text1"/>
          <w:lang w:val="es-MX"/>
        </w:rPr>
        <w:t>ente otros</w:t>
      </w:r>
      <w:r w:rsidRPr="00361F21">
        <w:rPr>
          <w:rFonts w:ascii="Arial" w:eastAsia="Calibri" w:hAnsi="Arial" w:cs="Arial"/>
          <w:color w:val="000000" w:themeColor="text1"/>
          <w:vertAlign w:val="superscript"/>
          <w:lang w:val="es-MX"/>
        </w:rPr>
        <w:footnoteReference w:id="2"/>
      </w:r>
      <w:r w:rsidRPr="00361F21">
        <w:rPr>
          <w:rFonts w:ascii="Arial" w:eastAsia="Calibri" w:hAnsi="Arial" w:cs="Arial"/>
          <w:color w:val="000000" w:themeColor="text1"/>
          <w:lang w:val="es-MX"/>
        </w:rPr>
        <w:t xml:space="preserve">. </w:t>
      </w:r>
      <w:r w:rsidRPr="00361F21">
        <w:rPr>
          <w:rFonts w:ascii="Arial" w:eastAsia="Calibri" w:hAnsi="Arial" w:cs="Arial"/>
          <w:bCs/>
          <w:color w:val="000000" w:themeColor="text1"/>
          <w:lang w:val="es-ES"/>
        </w:rPr>
        <w:t>Las tesis desarrolladas en estos conceptos se reiteran a continuación y se complementan en lo pertinente</w:t>
      </w:r>
    </w:p>
    <w:p w14:paraId="042DF6EA" w14:textId="77777777" w:rsidR="005709B9" w:rsidRPr="00361F21" w:rsidRDefault="005709B9" w:rsidP="005709B9">
      <w:pPr>
        <w:spacing w:line="276" w:lineRule="auto"/>
        <w:jc w:val="both"/>
        <w:rPr>
          <w:rFonts w:ascii="Arial" w:eastAsia="Calibri" w:hAnsi="Arial" w:cs="Arial"/>
          <w:color w:val="000000" w:themeColor="text1"/>
          <w:lang w:val="es-MX"/>
        </w:rPr>
      </w:pPr>
    </w:p>
    <w:p w14:paraId="726626E7" w14:textId="77777777" w:rsidR="005709B9" w:rsidRPr="0091736C" w:rsidRDefault="005709B9" w:rsidP="005709B9">
      <w:pPr>
        <w:spacing w:line="276" w:lineRule="auto"/>
        <w:jc w:val="both"/>
        <w:rPr>
          <w:rFonts w:ascii="Arial" w:eastAsia="Calibri" w:hAnsi="Arial" w:cs="Arial"/>
          <w:b/>
        </w:rPr>
      </w:pPr>
      <w:r>
        <w:rPr>
          <w:rFonts w:ascii="Arial" w:eastAsia="Calibri" w:hAnsi="Arial" w:cs="Arial"/>
          <w:b/>
          <w:bCs/>
          <w:color w:val="000000" w:themeColor="text1"/>
          <w:lang w:val="es-ES_tradnl"/>
        </w:rPr>
        <w:t xml:space="preserve">2.1 </w:t>
      </w:r>
      <w:r w:rsidRPr="0091736C">
        <w:rPr>
          <w:rFonts w:ascii="Arial" w:eastAsia="Calibri" w:hAnsi="Arial" w:cs="Arial"/>
          <w:b/>
        </w:rPr>
        <w:t>Aproximación general al concepto de experiencia en la contratación pública</w:t>
      </w:r>
    </w:p>
    <w:p w14:paraId="53EF5916" w14:textId="77777777" w:rsidR="005709B9" w:rsidRPr="0091736C" w:rsidRDefault="005709B9" w:rsidP="005709B9">
      <w:pPr>
        <w:spacing w:line="276" w:lineRule="auto"/>
        <w:jc w:val="both"/>
        <w:rPr>
          <w:rFonts w:ascii="Arial" w:eastAsia="Calibri" w:hAnsi="Arial" w:cs="Arial"/>
          <w:b/>
        </w:rPr>
      </w:pPr>
    </w:p>
    <w:p w14:paraId="203993DC" w14:textId="77777777" w:rsidR="005709B9" w:rsidRPr="0091736C" w:rsidRDefault="005709B9" w:rsidP="005709B9">
      <w:pPr>
        <w:spacing w:line="276" w:lineRule="auto"/>
        <w:jc w:val="both"/>
        <w:rPr>
          <w:rFonts w:ascii="Arial" w:eastAsia="Calibri" w:hAnsi="Arial" w:cs="Arial"/>
          <w:highlight w:val="yellow"/>
        </w:rPr>
      </w:pPr>
      <w:bookmarkStart w:id="4" w:name="_Hlk113212496"/>
      <w:r w:rsidRPr="0091736C">
        <w:rPr>
          <w:rFonts w:ascii="Arial" w:eastAsia="Calibri" w:hAnsi="Arial" w:cs="Aria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91736C">
        <w:rPr>
          <w:rFonts w:ascii="Arial" w:eastAsia="Calibri" w:hAnsi="Arial" w:cs="Arial"/>
          <w:vertAlign w:val="superscript"/>
        </w:rPr>
        <w:footnoteReference w:id="3"/>
      </w:r>
      <w:r w:rsidRPr="0091736C">
        <w:rPr>
          <w:rFonts w:ascii="Arial" w:eastAsia="Calibri" w:hAnsi="Arial" w:cs="Arial"/>
        </w:rPr>
        <w:t xml:space="preserve">.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w:t>
      </w:r>
      <w:r w:rsidRPr="0091736C">
        <w:rPr>
          <w:rFonts w:ascii="Arial" w:eastAsia="Calibri" w:hAnsi="Arial" w:cs="Arial"/>
        </w:rPr>
        <w:lastRenderedPageBreak/>
        <w:t>estudio del sector y sus componentes, como la identificación de riesgos, así como el mercado y precio del bien, obra o servicio a contratar</w:t>
      </w:r>
      <w:r w:rsidRPr="0091736C">
        <w:rPr>
          <w:rFonts w:ascii="Arial" w:eastAsia="Calibri" w:hAnsi="Arial" w:cs="Arial"/>
          <w:vertAlign w:val="superscript"/>
        </w:rPr>
        <w:footnoteReference w:id="4"/>
      </w:r>
      <w:r w:rsidRPr="0091736C">
        <w:rPr>
          <w:rFonts w:ascii="Arial" w:eastAsia="Calibri" w:hAnsi="Arial" w:cs="Arial"/>
        </w:rPr>
        <w:t>.</w:t>
      </w:r>
    </w:p>
    <w:p w14:paraId="5BEA23DB" w14:textId="77777777" w:rsidR="005709B9" w:rsidRPr="0091736C" w:rsidRDefault="005709B9" w:rsidP="005709B9">
      <w:pPr>
        <w:spacing w:before="120" w:after="120" w:line="276" w:lineRule="auto"/>
        <w:ind w:firstLine="708"/>
        <w:jc w:val="both"/>
        <w:rPr>
          <w:rFonts w:ascii="Arial" w:eastAsia="Calibri" w:hAnsi="Arial" w:cs="Arial"/>
        </w:rPr>
      </w:pPr>
      <w:r w:rsidRPr="0091736C">
        <w:rPr>
          <w:rFonts w:ascii="Arial" w:eastAsia="Calibri" w:hAnsi="Arial" w:cs="Arial"/>
        </w:rPr>
        <w:t>La experiencia que se deriva de los contratos que el proponente ha celebrado y ejecutado con diferentes contratantes, sin importar la naturaleza de estos, se verifica con el Registro Único de Proponentes – RUP</w:t>
      </w:r>
      <w:r w:rsidRPr="0091736C">
        <w:rPr>
          <w:rFonts w:ascii="Arial" w:eastAsia="Calibri" w:hAnsi="Arial" w:cs="Arial"/>
          <w:vertAlign w:val="superscript"/>
        </w:rPr>
        <w:footnoteReference w:id="5"/>
      </w:r>
      <w:r w:rsidRPr="0091736C">
        <w:rPr>
          <w:rFonts w:ascii="Arial" w:eastAsia="Calibri" w:hAnsi="Arial" w:cs="Arial"/>
        </w:rPr>
        <w:t>, cuando este certificado sea exigible de acuerdo con la ley. En el RUP constan los requisitos habilitantes que se evalúan exclusivamente con este documento, que es su plena prueba, sin que la entidad o el proponente puedan solicitar o aportar otra documentación</w:t>
      </w:r>
      <w:r w:rsidRPr="0091736C">
        <w:rPr>
          <w:rFonts w:ascii="Arial" w:eastAsia="Calibri" w:hAnsi="Arial" w:cs="Arial"/>
          <w:vertAlign w:val="superscript"/>
        </w:rPr>
        <w:footnoteReference w:id="6"/>
      </w:r>
      <w:r w:rsidRPr="0091736C">
        <w:rPr>
          <w:rFonts w:ascii="Arial" w:eastAsia="Calibri" w:hAnsi="Arial" w:cs="Arial"/>
        </w:rPr>
        <w:t>.</w:t>
      </w:r>
    </w:p>
    <w:p w14:paraId="406E6698" w14:textId="77777777" w:rsidR="005709B9" w:rsidRPr="0091736C" w:rsidRDefault="005709B9" w:rsidP="005709B9">
      <w:pPr>
        <w:spacing w:line="276" w:lineRule="auto"/>
        <w:ind w:firstLine="708"/>
        <w:jc w:val="both"/>
        <w:rPr>
          <w:rFonts w:ascii="Arial" w:eastAsia="Calibri" w:hAnsi="Arial" w:cs="Arial"/>
        </w:rPr>
      </w:pPr>
      <w:r w:rsidRPr="0091736C">
        <w:rPr>
          <w:rFonts w:ascii="Arial" w:eastAsia="Calibri" w:hAnsi="Arial" w:cs="Arial"/>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Tales documentos deben codificarse con el clasificador de bienes y servicios en el tercer nivel</w:t>
      </w:r>
      <w:r w:rsidRPr="0091736C">
        <w:rPr>
          <w:rFonts w:ascii="Arial" w:eastAsia="Calibri" w:hAnsi="Arial" w:cs="Arial"/>
          <w:vertAlign w:val="superscript"/>
        </w:rPr>
        <w:footnoteReference w:id="7"/>
      </w:r>
      <w:r w:rsidRPr="0091736C">
        <w:rPr>
          <w:rFonts w:ascii="Arial" w:eastAsia="Calibri" w:hAnsi="Arial" w:cs="Aria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w:t>
      </w:r>
      <w:r w:rsidRPr="0091736C">
        <w:rPr>
          <w:rFonts w:ascii="Arial" w:eastAsia="Calibri" w:hAnsi="Arial" w:cs="Arial"/>
        </w:rPr>
        <w:lastRenderedPageBreak/>
        <w:t>los bienes, obras o servicios que los proveedores ofrecen y que las entidades solicitan, sin que la entidad los evalúe, ya que lo que es objeto de evaluación es la experiencia clasificada de esta forma.</w:t>
      </w:r>
    </w:p>
    <w:p w14:paraId="6662AD7B" w14:textId="77777777" w:rsidR="005709B9" w:rsidRPr="0091736C" w:rsidRDefault="005709B9" w:rsidP="005709B9">
      <w:pPr>
        <w:spacing w:before="120" w:line="276" w:lineRule="auto"/>
        <w:ind w:firstLine="709"/>
        <w:jc w:val="both"/>
        <w:rPr>
          <w:rFonts w:ascii="Arial" w:eastAsia="Calibri" w:hAnsi="Arial" w:cs="Arial"/>
        </w:rPr>
      </w:pPr>
      <w:r w:rsidRPr="0091736C">
        <w:rPr>
          <w:rFonts w:ascii="Arial" w:eastAsia="Calibri" w:hAnsi="Arial" w:cs="Arial"/>
        </w:rPr>
        <w:t xml:space="preserve">La Agencia Nacional de Contratación Pública - Colombia Compra Eficiente puso a disposición de los interesados del Sistema de Compra Pública el </w:t>
      </w:r>
      <w:r w:rsidRPr="0091736C">
        <w:rPr>
          <w:rFonts w:ascii="Arial" w:eastAsia="Calibri" w:hAnsi="Arial" w:cs="Arial"/>
          <w:i/>
          <w:iCs/>
        </w:rPr>
        <w:t>Manual para determinar y verificar requisitos habilitantes en los procesos de contratación</w:t>
      </w:r>
      <w:r>
        <w:rPr>
          <w:rStyle w:val="Refdenotaalpie"/>
          <w:rFonts w:ascii="Arial" w:eastAsia="Calibri" w:hAnsi="Arial" w:cs="Arial"/>
          <w:i/>
          <w:iCs/>
        </w:rPr>
        <w:footnoteReference w:id="8"/>
      </w:r>
      <w:r w:rsidRPr="0091736C">
        <w:rPr>
          <w:rFonts w:ascii="Arial" w:eastAsia="Calibri" w:hAnsi="Arial" w:cs="Arial"/>
        </w:rPr>
        <w:t>. En dicho Manual se establecen las definiciones de cada requisito habilitante y se dan lineamientos orientadores sobre lo que las entidades pueden hacer para configurarlos. Sobre el particular, para la experiencia</w:t>
      </w:r>
      <w:r>
        <w:rPr>
          <w:rFonts w:ascii="Arial" w:eastAsia="Calibri" w:hAnsi="Arial" w:cs="Arial"/>
        </w:rPr>
        <w:t xml:space="preserve"> </w:t>
      </w:r>
      <w:r w:rsidRPr="0091736C">
        <w:rPr>
          <w:rFonts w:ascii="Arial" w:eastAsia="Calibri" w:hAnsi="Arial" w:cs="Arial"/>
        </w:rPr>
        <w:t>como requisito habilitante el Manual se centra en una de sus cualidades y es que es personal, lo cual significa que quien tiene la experiencia lo hace en razón de su participación, con anterioridad, en actividades que le permitieron conocer cómo ejecutar el objeto contractual que la entidad pretende satisfacer ahora</w:t>
      </w:r>
      <w:r w:rsidRPr="0091736C">
        <w:rPr>
          <w:rFonts w:ascii="Arial" w:eastAsia="Calibri" w:hAnsi="Arial" w:cs="Arial"/>
          <w:vertAlign w:val="superscript"/>
        </w:rPr>
        <w:footnoteReference w:id="9"/>
      </w:r>
      <w:r w:rsidRPr="0091736C">
        <w:rPr>
          <w:rFonts w:ascii="Arial" w:eastAsia="Calibri" w:hAnsi="Arial" w:cs="Arial"/>
        </w:rPr>
        <w:t>.</w:t>
      </w:r>
    </w:p>
    <w:p w14:paraId="72A646D6" w14:textId="77777777" w:rsidR="005709B9" w:rsidRDefault="005709B9" w:rsidP="005709B9">
      <w:pPr>
        <w:spacing w:before="120" w:after="120" w:line="276" w:lineRule="auto"/>
        <w:ind w:firstLine="708"/>
        <w:jc w:val="both"/>
        <w:rPr>
          <w:rFonts w:ascii="Arial" w:eastAsia="Calibri" w:hAnsi="Arial" w:cs="Arial"/>
        </w:rPr>
      </w:pPr>
      <w:r w:rsidRPr="0091736C">
        <w:rPr>
          <w:rFonts w:ascii="Arial" w:eastAsia="Calibri" w:hAnsi="Arial" w:cs="Arial"/>
        </w:rPr>
        <w:t xml:space="preserve">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w:t>
      </w:r>
      <w:r w:rsidRPr="006F1606">
        <w:rPr>
          <w:rFonts w:ascii="Arial" w:eastAsia="Calibri" w:hAnsi="Arial" w:cs="Arial"/>
        </w:rPr>
        <w:t xml:space="preserve">vez. </w:t>
      </w:r>
      <w:bookmarkStart w:id="7" w:name="_Hlk113212591"/>
      <w:r w:rsidRPr="006F1606">
        <w:rPr>
          <w:rFonts w:ascii="Arial" w:eastAsia="Calibri" w:hAnsi="Arial" w:cs="Arial"/>
        </w:rPr>
        <w:t xml:space="preserve">Al respecto, la jurisprudencia ha señalado que la experiencia acreditable </w:t>
      </w:r>
      <w:r>
        <w:rPr>
          <w:rFonts w:ascii="Arial" w:hAnsi="Arial" w:cs="Arial"/>
        </w:rPr>
        <w:t>“</w:t>
      </w:r>
      <w:r w:rsidRPr="006F1606">
        <w:rPr>
          <w:rFonts w:ascii="Arial" w:eastAsia="Calibri" w:hAnsi="Arial" w:cs="Arial"/>
        </w:rPr>
        <w:t xml:space="preserve">no es más que un valor agregado para el contratista en consideración al registro documentado del hecho de haberlo ejecutado, es decir de haber cumplido las consideraciones pactadas, asunto que alude a un </w:t>
      </w:r>
      <w:r w:rsidRPr="00CE3AF1">
        <w:rPr>
          <w:rFonts w:ascii="Arial" w:eastAsia="Calibri" w:hAnsi="Arial" w:cs="Arial"/>
        </w:rPr>
        <w:t>estado adquirido por el contratante en función de la real ejecución que han hecho del contrato</w:t>
      </w:r>
      <w:r w:rsidRPr="006F1606">
        <w:rPr>
          <w:rFonts w:ascii="Arial" w:eastAsia="Calibri" w:hAnsi="Arial" w:cs="Arial"/>
        </w:rPr>
        <w:t>. La experiencia predicada de un sujeto comprende unas competencias o habilidades que este obtuvo, como consecuencia de la ejecución del contrato […]</w:t>
      </w:r>
      <w:r>
        <w:rPr>
          <w:rFonts w:ascii="Arial" w:hAnsi="Arial" w:cs="Arial"/>
        </w:rPr>
        <w:t>”</w:t>
      </w:r>
      <w:r>
        <w:rPr>
          <w:rStyle w:val="Refdenotaalpie"/>
          <w:rFonts w:ascii="Arial" w:hAnsi="Arial" w:cs="Arial"/>
        </w:rPr>
        <w:footnoteReference w:id="10"/>
      </w:r>
      <w:r w:rsidRPr="006F1606">
        <w:rPr>
          <w:rFonts w:ascii="Arial" w:hAnsi="Arial" w:cs="Arial"/>
        </w:rPr>
        <w:t>.</w:t>
      </w:r>
      <w:r>
        <w:rPr>
          <w:rFonts w:ascii="Arial" w:hAnsi="Arial" w:cs="Arial"/>
        </w:rPr>
        <w:t xml:space="preserve"> En tal sentido, la ejecución del contrato “se revela como un aspecto inherente a la persona que lo ejecutó”, por lo que</w:t>
      </w:r>
      <w:r w:rsidRPr="006F1606">
        <w:rPr>
          <w:rFonts w:ascii="Arial" w:hAnsi="Arial" w:cs="Arial"/>
        </w:rPr>
        <w:t xml:space="preserve"> es en virtud de</w:t>
      </w:r>
      <w:r>
        <w:rPr>
          <w:rFonts w:ascii="Arial" w:hAnsi="Arial" w:cs="Arial"/>
        </w:rPr>
        <w:t xml:space="preserve"> dicha</w:t>
      </w:r>
      <w:r w:rsidRPr="006F1606">
        <w:rPr>
          <w:rFonts w:ascii="Arial" w:hAnsi="Arial" w:cs="Arial"/>
        </w:rPr>
        <w:t xml:space="preserve"> </w:t>
      </w:r>
      <w:r>
        <w:rPr>
          <w:rFonts w:ascii="Arial" w:hAnsi="Arial" w:cs="Arial"/>
        </w:rPr>
        <w:t xml:space="preserve">ejecución </w:t>
      </w:r>
      <w:r w:rsidRPr="006F1606">
        <w:rPr>
          <w:rFonts w:ascii="Arial" w:hAnsi="Arial" w:cs="Arial"/>
        </w:rPr>
        <w:t>que se obtiene las habilidades y competencia</w:t>
      </w:r>
      <w:r>
        <w:rPr>
          <w:rFonts w:ascii="Arial" w:hAnsi="Arial" w:cs="Arial"/>
        </w:rPr>
        <w:t xml:space="preserve">s que califican al proponente. </w:t>
      </w:r>
    </w:p>
    <w:bookmarkEnd w:id="7"/>
    <w:p w14:paraId="6FF862F2" w14:textId="77777777" w:rsidR="005709B9" w:rsidRDefault="005709B9" w:rsidP="005709B9">
      <w:pPr>
        <w:spacing w:before="120" w:after="120" w:line="276" w:lineRule="auto"/>
        <w:ind w:firstLine="708"/>
        <w:jc w:val="both"/>
        <w:rPr>
          <w:rFonts w:ascii="Arial" w:eastAsia="Calibri" w:hAnsi="Arial" w:cs="Arial"/>
        </w:rPr>
      </w:pPr>
      <w:r w:rsidRPr="0091736C">
        <w:rPr>
          <w:rFonts w:ascii="Arial" w:eastAsia="Calibri" w:hAnsi="Arial" w:cs="Arial"/>
        </w:rPr>
        <w:lastRenderedPageBreak/>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w:t>
      </w:r>
    </w:p>
    <w:p w14:paraId="26F8CAA3" w14:textId="77777777" w:rsidR="005709B9" w:rsidRPr="0091736C" w:rsidRDefault="005709B9" w:rsidP="005709B9">
      <w:pPr>
        <w:spacing w:before="120" w:after="120" w:line="276" w:lineRule="auto"/>
        <w:ind w:firstLine="708"/>
        <w:jc w:val="both"/>
        <w:rPr>
          <w:rFonts w:ascii="Arial" w:eastAsia="Calibri" w:hAnsi="Arial" w:cs="Arial"/>
        </w:rPr>
      </w:pPr>
      <w:bookmarkStart w:id="8" w:name="_Hlk113212612"/>
      <w:r>
        <w:rPr>
          <w:rFonts w:ascii="Arial" w:eastAsia="Calibri" w:hAnsi="Arial" w:cs="Arial"/>
        </w:rPr>
        <w:t>De lo anteriormente expuesto</w:t>
      </w:r>
      <w:bookmarkEnd w:id="8"/>
      <w:r w:rsidRPr="0091736C">
        <w:rPr>
          <w:rFonts w:ascii="Arial" w:eastAsia="Calibri" w:hAnsi="Arial" w:cs="Arial"/>
        </w:rPr>
        <w:t>, se pueden extraer cuatro conclusiones relevantes respecto de la experiencia</w:t>
      </w:r>
      <w:r>
        <w:rPr>
          <w:rFonts w:ascii="Arial" w:eastAsia="Calibri" w:hAnsi="Arial" w:cs="Arial"/>
        </w:rPr>
        <w:t xml:space="preserve">, </w:t>
      </w:r>
      <w:r w:rsidRPr="0091736C">
        <w:rPr>
          <w:rFonts w:ascii="Arial" w:eastAsia="Calibri" w:hAnsi="Arial" w:cs="Arial"/>
        </w:rPr>
        <w:t xml:space="preserve">para evaluar a continuación las figuras y reformas estatutarias de las sociedades comerciales: </w:t>
      </w:r>
    </w:p>
    <w:p w14:paraId="31829845" w14:textId="77777777" w:rsidR="005709B9" w:rsidRPr="0091736C" w:rsidRDefault="005709B9" w:rsidP="005709B9">
      <w:pPr>
        <w:spacing w:before="120" w:after="120" w:line="276" w:lineRule="auto"/>
        <w:ind w:firstLine="708"/>
        <w:jc w:val="both"/>
        <w:rPr>
          <w:rFonts w:ascii="Arial" w:eastAsia="Calibri" w:hAnsi="Arial" w:cs="Arial"/>
        </w:rPr>
      </w:pPr>
      <w:r w:rsidRPr="0091736C">
        <w:rPr>
          <w:rFonts w:ascii="Arial" w:eastAsia="Calibri" w:hAnsi="Arial" w:cs="Arial"/>
        </w:rPr>
        <w:t>i) La experiencia es personal, esto es, se adquiere participando, directa o indirectamente, sin que sea posible no hacerlo y tener experiencia.</w:t>
      </w:r>
    </w:p>
    <w:p w14:paraId="7A186CB9" w14:textId="77777777" w:rsidR="005709B9" w:rsidRPr="0091736C" w:rsidRDefault="005709B9" w:rsidP="005709B9">
      <w:pPr>
        <w:spacing w:before="120" w:after="120" w:line="276" w:lineRule="auto"/>
        <w:ind w:firstLine="708"/>
        <w:jc w:val="both"/>
        <w:rPr>
          <w:rFonts w:ascii="Arial" w:eastAsia="Calibri" w:hAnsi="Arial" w:cs="Arial"/>
        </w:rPr>
      </w:pPr>
      <w:r w:rsidRPr="0091736C">
        <w:rPr>
          <w:rFonts w:ascii="Arial" w:eastAsia="Calibri" w:hAnsi="Arial" w:cs="Arial"/>
        </w:rPr>
        <w:t>ii) La experiencia se puede compartir, sin que implique que la compartida a una persona se entienda suya, ya que dentro del procedimiento contractual se reflejará que esa persona tiene la experiencia de otra, como es el caso de las figuras asociativas</w:t>
      </w:r>
      <w:r>
        <w:rPr>
          <w:rFonts w:ascii="Arial" w:eastAsia="Calibri" w:hAnsi="Arial" w:cs="Arial"/>
        </w:rPr>
        <w:t xml:space="preserve">  –</w:t>
      </w:r>
      <w:r w:rsidRPr="0091736C">
        <w:rPr>
          <w:rFonts w:ascii="Arial" w:eastAsia="Calibri" w:hAnsi="Arial" w:cs="Arial"/>
        </w:rPr>
        <w:t>consorcios y uniones temporales</w:t>
      </w:r>
      <w:r>
        <w:rPr>
          <w:rFonts w:ascii="Arial" w:eastAsia="Calibri" w:hAnsi="Arial" w:cs="Arial"/>
        </w:rPr>
        <w:t xml:space="preserve">– </w:t>
      </w:r>
      <w:r w:rsidRPr="0091736C">
        <w:rPr>
          <w:rFonts w:ascii="Arial" w:eastAsia="Calibri" w:hAnsi="Arial" w:cs="Arial"/>
        </w:rPr>
        <w:t>que se verificará en el documento privado de constitución.</w:t>
      </w:r>
    </w:p>
    <w:p w14:paraId="160FF75C" w14:textId="77777777" w:rsidR="005709B9" w:rsidRPr="0091736C" w:rsidRDefault="005709B9" w:rsidP="005709B9">
      <w:pPr>
        <w:spacing w:before="120" w:after="120" w:line="276" w:lineRule="auto"/>
        <w:ind w:firstLine="708"/>
        <w:jc w:val="both"/>
        <w:rPr>
          <w:rFonts w:ascii="Arial" w:eastAsia="Calibri" w:hAnsi="Arial" w:cs="Arial"/>
        </w:rPr>
      </w:pPr>
      <w:r w:rsidRPr="0091736C">
        <w:rPr>
          <w:rFonts w:ascii="Arial" w:eastAsia="Calibri" w:hAnsi="Arial" w:cs="Arial"/>
        </w:rPr>
        <w:t>iii)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2.2. de este concepto.</w:t>
      </w:r>
    </w:p>
    <w:p w14:paraId="7D914B87" w14:textId="77777777" w:rsidR="005709B9" w:rsidRPr="0091736C" w:rsidRDefault="005709B9" w:rsidP="005709B9">
      <w:pPr>
        <w:spacing w:line="276" w:lineRule="auto"/>
        <w:ind w:firstLine="708"/>
        <w:jc w:val="both"/>
        <w:rPr>
          <w:rFonts w:ascii="Arial" w:eastAsia="Calibri" w:hAnsi="Arial" w:cs="Arial"/>
        </w:rPr>
      </w:pPr>
      <w:r w:rsidRPr="0091736C">
        <w:rPr>
          <w:rFonts w:ascii="Arial" w:eastAsia="Calibri" w:hAnsi="Arial" w:cs="Arial"/>
        </w:rPr>
        <w:t xml:space="preserve">iv) Cuando </w:t>
      </w:r>
      <w:bookmarkStart w:id="9" w:name="_Hlk113212638"/>
      <w:r w:rsidRPr="0091736C">
        <w:rPr>
          <w:rFonts w:ascii="Arial" w:eastAsia="Calibri" w:hAnsi="Arial" w:cs="Arial"/>
        </w:rPr>
        <w:t>la persona que adquirió la experiencia desaparece o se liquida no es posible que comparta o transfiera su experiencia, p</w:t>
      </w:r>
      <w:r>
        <w:rPr>
          <w:rFonts w:ascii="Arial" w:eastAsia="Calibri" w:hAnsi="Arial" w:cs="Arial"/>
        </w:rPr>
        <w:t>uesto que</w:t>
      </w:r>
      <w:r w:rsidRPr="0091736C">
        <w:rPr>
          <w:rFonts w:ascii="Arial" w:eastAsia="Calibri" w:hAnsi="Arial" w:cs="Arial"/>
        </w:rPr>
        <w:t xml:space="preserve">, al ser </w:t>
      </w:r>
      <w:r>
        <w:rPr>
          <w:rFonts w:ascii="Arial" w:eastAsia="Calibri" w:hAnsi="Arial" w:cs="Arial"/>
        </w:rPr>
        <w:t xml:space="preserve">esta </w:t>
      </w:r>
      <w:r w:rsidRPr="0091736C">
        <w:rPr>
          <w:rFonts w:ascii="Arial" w:eastAsia="Calibri" w:hAnsi="Arial" w:cs="Arial"/>
        </w:rPr>
        <w:t>personal, sigue la suerte de quien la adquirió</w:t>
      </w:r>
      <w:bookmarkEnd w:id="9"/>
      <w:r w:rsidRPr="0091736C">
        <w:rPr>
          <w:rFonts w:ascii="Arial" w:eastAsia="Calibri" w:hAnsi="Arial" w:cs="Arial"/>
        </w:rPr>
        <w:t>.</w:t>
      </w:r>
    </w:p>
    <w:p w14:paraId="4A0B6258" w14:textId="77777777" w:rsidR="005709B9" w:rsidRPr="0091736C" w:rsidRDefault="005709B9" w:rsidP="005709B9">
      <w:pPr>
        <w:spacing w:before="120" w:after="120" w:line="276" w:lineRule="auto"/>
        <w:ind w:firstLine="708"/>
        <w:jc w:val="both"/>
        <w:rPr>
          <w:rFonts w:ascii="Arial" w:eastAsia="Calibri" w:hAnsi="Arial" w:cs="Arial"/>
        </w:rPr>
      </w:pPr>
      <w:r w:rsidRPr="0091736C">
        <w:rPr>
          <w:rFonts w:ascii="Arial" w:eastAsia="Calibri" w:hAnsi="Arial" w:cs="Arial"/>
        </w:rPr>
        <w:t xml:space="preserve">De lo anterior se </w:t>
      </w:r>
      <w:r>
        <w:rPr>
          <w:rFonts w:ascii="Arial" w:eastAsia="Calibri" w:hAnsi="Arial" w:cs="Arial"/>
        </w:rPr>
        <w:t>desprende</w:t>
      </w:r>
      <w:r w:rsidRPr="0091736C">
        <w:rPr>
          <w:rFonts w:ascii="Arial" w:eastAsia="Calibri" w:hAnsi="Arial" w:cs="Arial"/>
        </w:rPr>
        <w:t xml:space="preserve"> que, por regla general, en la actividad contractual regulada por el Estatuto General de Contratación de la Administración Pública la experiencia es personal e intransferible, salvo algunas excepciones. Una primera excepción a la regla anteriormente descrita se encuentra consagrada en el numeral 2.5. del artículo 2.2.1.1.1.5.2. del Decreto 1082 de 2015, con arreglo al cual si bien para la inscripción, renovación o actualización del Registro Único de Proponentes (RUP) la persona jurídica interesada debe presentar ante la cámara de comercio respectiva los certificados de los bienes, obras o servicios cuya experiencia requiere acreditar, </w:t>
      </w:r>
      <w:r>
        <w:rPr>
          <w:rFonts w:ascii="Arial" w:eastAsia="Calibri" w:hAnsi="Arial" w:cs="Arial"/>
        </w:rPr>
        <w:t>“</w:t>
      </w:r>
      <w:r w:rsidRPr="0091736C">
        <w:rPr>
          <w:rFonts w:ascii="Arial" w:eastAsia="Calibri" w:hAnsi="Arial" w:cs="Arial"/>
        </w:rPr>
        <w:t>Si la constitución del interesado es menor a tres (3) años, puede acreditar la experiencia de sus accionistas, socios o constituyentes</w:t>
      </w:r>
      <w:r>
        <w:rPr>
          <w:rFonts w:ascii="Arial" w:eastAsia="Calibri" w:hAnsi="Arial" w:cs="Arial"/>
        </w:rPr>
        <w:t>”</w:t>
      </w:r>
      <w:r w:rsidRPr="0091736C">
        <w:rPr>
          <w:rFonts w:ascii="Arial" w:eastAsia="Calibri" w:hAnsi="Arial" w:cs="Arial"/>
        </w:rPr>
        <w:t>.</w:t>
      </w:r>
    </w:p>
    <w:p w14:paraId="31C89DD1" w14:textId="77777777" w:rsidR="005709B9" w:rsidRPr="0091736C" w:rsidRDefault="005709B9" w:rsidP="005709B9">
      <w:pPr>
        <w:spacing w:before="120" w:line="276" w:lineRule="auto"/>
        <w:ind w:firstLine="709"/>
        <w:jc w:val="both"/>
        <w:rPr>
          <w:rFonts w:ascii="Arial" w:eastAsia="Calibri" w:hAnsi="Arial" w:cs="Arial"/>
        </w:rPr>
      </w:pPr>
      <w:r w:rsidRPr="0091736C">
        <w:rPr>
          <w:rFonts w:ascii="Arial" w:eastAsia="Calibri" w:hAnsi="Arial" w:cs="Arial"/>
        </w:rPr>
        <w:t xml:space="preserve">Como segunda excepción al carácter intransferible de la experiencia puede mencionarse el caso de algunas reformas estatutarias de las personas jurídicas o de reorganización empresarial, en las que la persona jurídica no se liquida y por lo tanto puede transferir su </w:t>
      </w:r>
      <w:r w:rsidRPr="0091736C">
        <w:rPr>
          <w:rFonts w:ascii="Arial" w:eastAsia="Calibri" w:hAnsi="Arial" w:cs="Arial"/>
        </w:rPr>
        <w:lastRenderedPageBreak/>
        <w:t xml:space="preserve">experiencia a la persona jurídica resultante. En efecto, la Subdirección de Gestión Contractual, en el concepto C-002 del 20 de febrero de 2020, reiterado en los conceptos </w:t>
      </w:r>
      <w:r w:rsidRPr="00DC5CAD">
        <w:rPr>
          <w:rFonts w:ascii="Arial" w:eastAsia="Calibri" w:hAnsi="Arial" w:cs="Arial"/>
        </w:rPr>
        <w:t>C-491 del 27 de julio de 2020</w:t>
      </w:r>
      <w:r>
        <w:rPr>
          <w:rFonts w:ascii="Arial" w:eastAsia="Calibri" w:hAnsi="Arial" w:cs="Arial"/>
        </w:rPr>
        <w:t xml:space="preserve">, C-350 del 1 de junio de 2020, C-584 del 31 de agosto de 2020, C-002 del 9 de febrero de 2021, C-115 del 29 de marzo de 2021, C-343 del 13 de julio de 2021 y C-342 del 13 de julio de 2021, </w:t>
      </w:r>
      <w:r w:rsidRPr="0091736C">
        <w:rPr>
          <w:rFonts w:ascii="Arial" w:eastAsia="Calibri" w:hAnsi="Arial" w:cs="Arial"/>
        </w:rPr>
        <w:t xml:space="preserve">modificó la tesis que hasta ese momento había sostenido la Subdirección, en virtud de la cual se afirmaba que en las reformas estatutarias que implicaban una escisión o una fusión de las personas jurídicas no era posible la transferencia de la experiencia, ya que esta era personal e intransferible, según una interpretación del artículo 2.2.1.1.1.5.3. del Decreto 1082 de 2015, que establece que </w:t>
      </w:r>
      <w:bookmarkStart w:id="10" w:name="_Hlk113212671"/>
      <w:r>
        <w:rPr>
          <w:rFonts w:ascii="Arial" w:eastAsia="Calibri" w:hAnsi="Arial" w:cs="Arial"/>
        </w:rPr>
        <w:t xml:space="preserve">se debe verificar la experiencia de </w:t>
      </w:r>
      <w:bookmarkEnd w:id="10"/>
      <w:r>
        <w:rPr>
          <w:rFonts w:ascii="Arial" w:eastAsia="Calibri" w:hAnsi="Arial" w:cs="Arial"/>
        </w:rPr>
        <w:t>“l</w:t>
      </w:r>
      <w:r w:rsidRPr="0091736C">
        <w:rPr>
          <w:rFonts w:ascii="Arial" w:eastAsia="Calibri" w:hAnsi="Arial" w:cs="Arial"/>
        </w:rPr>
        <w:t>os contratos celebrados por el interesado para cada uno de los bienes, obras y servicios que ofrecerá a las Entidades Estatales, identificados con el Clasificador de Bienes y Servicios en el tercer nivel y su valor expresado en SMMLV […]</w:t>
      </w:r>
      <w:r>
        <w:rPr>
          <w:rFonts w:ascii="Arial" w:eastAsia="Calibri" w:hAnsi="Arial" w:cs="Arial"/>
        </w:rPr>
        <w:t>”</w:t>
      </w:r>
      <w:r w:rsidRPr="0091736C">
        <w:rPr>
          <w:rFonts w:ascii="Arial" w:eastAsia="Calibri" w:hAnsi="Arial" w:cs="Arial"/>
        </w:rPr>
        <w:t>. En el concepto C-002</w:t>
      </w:r>
      <w:r>
        <w:rPr>
          <w:rFonts w:ascii="Arial" w:eastAsia="Calibri" w:hAnsi="Arial" w:cs="Arial"/>
        </w:rPr>
        <w:t xml:space="preserve"> de 2020</w:t>
      </w:r>
      <w:r w:rsidRPr="0091736C">
        <w:rPr>
          <w:rFonts w:ascii="Arial" w:eastAsia="Calibri" w:hAnsi="Arial" w:cs="Arial"/>
        </w:rPr>
        <w:t xml:space="preserve">, como se dijo, la Subdirección de Gestión Contractual modificó razonablemente dicho argumento, por considerar que de conformidad con la regulación aplicable y teniendo en cuenta los conceptos de </w:t>
      </w:r>
      <w:r>
        <w:rPr>
          <w:rFonts w:ascii="Arial" w:eastAsia="Calibri" w:hAnsi="Arial" w:cs="Arial"/>
        </w:rPr>
        <w:t>“</w:t>
      </w:r>
      <w:r w:rsidRPr="0091736C">
        <w:rPr>
          <w:rFonts w:ascii="Arial" w:eastAsia="Calibri" w:hAnsi="Arial" w:cs="Arial"/>
        </w:rPr>
        <w:t>disolución</w:t>
      </w:r>
      <w:r>
        <w:rPr>
          <w:rFonts w:ascii="Arial" w:eastAsia="Calibri" w:hAnsi="Arial" w:cs="Arial"/>
        </w:rPr>
        <w:t xml:space="preserve">” </w:t>
      </w:r>
      <w:r w:rsidRPr="0091736C">
        <w:rPr>
          <w:rFonts w:ascii="Arial" w:eastAsia="Calibri" w:hAnsi="Arial" w:cs="Arial"/>
        </w:rPr>
        <w:t xml:space="preserve">y </w:t>
      </w:r>
      <w:r>
        <w:rPr>
          <w:rFonts w:ascii="Arial" w:eastAsia="Calibri" w:hAnsi="Arial" w:cs="Arial"/>
        </w:rPr>
        <w:t>“</w:t>
      </w:r>
      <w:r w:rsidRPr="0091736C">
        <w:rPr>
          <w:rFonts w:ascii="Arial" w:eastAsia="Calibri" w:hAnsi="Arial" w:cs="Arial"/>
        </w:rPr>
        <w:t>liquidación</w:t>
      </w:r>
      <w:r>
        <w:rPr>
          <w:rFonts w:ascii="Arial" w:eastAsia="Calibri" w:hAnsi="Arial" w:cs="Arial"/>
        </w:rPr>
        <w:t>”</w:t>
      </w:r>
      <w:r w:rsidRPr="0091736C">
        <w:rPr>
          <w:rFonts w:ascii="Arial" w:eastAsia="Calibri" w:hAnsi="Arial" w:cs="Arial"/>
        </w:rPr>
        <w:t xml:space="preserve"> del Código de Comercio, es viable la transferencia de experiencia en la transformación y en la fusión, pero no en la escisión,</w:t>
      </w:r>
      <w:bookmarkStart w:id="11" w:name="_Hlk113212692"/>
      <w:r w:rsidRPr="0091736C">
        <w:rPr>
          <w:rFonts w:ascii="Arial" w:eastAsia="Calibri" w:hAnsi="Arial" w:cs="Arial"/>
        </w:rPr>
        <w:t xml:space="preserve"> </w:t>
      </w:r>
      <w:r>
        <w:rPr>
          <w:rFonts w:ascii="Arial" w:eastAsia="Calibri" w:hAnsi="Arial" w:cs="Arial"/>
        </w:rPr>
        <w:t xml:space="preserve">tesis que </w:t>
      </w:r>
      <w:r w:rsidRPr="0091736C">
        <w:rPr>
          <w:rFonts w:ascii="Arial" w:eastAsia="Calibri" w:hAnsi="Arial" w:cs="Arial"/>
        </w:rPr>
        <w:t>se r</w:t>
      </w:r>
      <w:r>
        <w:rPr>
          <w:rFonts w:ascii="Arial" w:eastAsia="Calibri" w:hAnsi="Arial" w:cs="Arial"/>
        </w:rPr>
        <w:t>eitera</w:t>
      </w:r>
      <w:r w:rsidRPr="0091736C">
        <w:rPr>
          <w:rFonts w:ascii="Arial" w:eastAsia="Calibri" w:hAnsi="Arial" w:cs="Arial"/>
        </w:rPr>
        <w:t xml:space="preserve"> </w:t>
      </w:r>
      <w:r>
        <w:rPr>
          <w:rFonts w:ascii="Arial" w:eastAsia="Calibri" w:hAnsi="Arial" w:cs="Arial"/>
        </w:rPr>
        <w:t>en este concepto como a continuación se expone.</w:t>
      </w:r>
      <w:bookmarkEnd w:id="11"/>
    </w:p>
    <w:bookmarkEnd w:id="4"/>
    <w:p w14:paraId="785B1837" w14:textId="77777777" w:rsidR="005709B9" w:rsidRDefault="005709B9" w:rsidP="005709B9"/>
    <w:p w14:paraId="59BCE626" w14:textId="77777777" w:rsidR="005709B9" w:rsidRPr="0091736C" w:rsidRDefault="005709B9" w:rsidP="005709B9">
      <w:pPr>
        <w:spacing w:line="276" w:lineRule="auto"/>
        <w:jc w:val="both"/>
        <w:rPr>
          <w:rFonts w:ascii="Arial" w:eastAsia="Calibri" w:hAnsi="Arial" w:cs="Arial"/>
          <w:b/>
        </w:rPr>
      </w:pPr>
      <w:r w:rsidRPr="0091736C">
        <w:rPr>
          <w:rFonts w:ascii="Arial" w:eastAsia="Calibri" w:hAnsi="Arial" w:cs="Arial"/>
          <w:b/>
        </w:rPr>
        <w:t>.2. Figuras y reformas estatutarias, y efectos sobre la experiencia de las sociedades comerciales</w:t>
      </w:r>
    </w:p>
    <w:p w14:paraId="3ED6167F" w14:textId="77777777" w:rsidR="005709B9" w:rsidRPr="0091736C" w:rsidRDefault="005709B9" w:rsidP="005709B9">
      <w:pPr>
        <w:spacing w:line="276" w:lineRule="auto"/>
        <w:jc w:val="both"/>
        <w:rPr>
          <w:rFonts w:ascii="Arial" w:eastAsia="Calibri" w:hAnsi="Arial" w:cs="Arial"/>
          <w:b/>
        </w:rPr>
      </w:pPr>
    </w:p>
    <w:p w14:paraId="3629E60C" w14:textId="77777777" w:rsidR="005709B9" w:rsidRPr="0091736C" w:rsidRDefault="005709B9" w:rsidP="005709B9">
      <w:pPr>
        <w:spacing w:after="120" w:line="276" w:lineRule="auto"/>
        <w:jc w:val="both"/>
        <w:rPr>
          <w:rFonts w:ascii="Arial" w:eastAsia="Calibri" w:hAnsi="Arial" w:cs="Arial"/>
          <w:bCs/>
        </w:rPr>
      </w:pPr>
      <w:r w:rsidRPr="0091736C">
        <w:rPr>
          <w:rFonts w:ascii="Arial" w:eastAsia="Calibri" w:hAnsi="Arial" w:cs="Arial"/>
          <w:bCs/>
        </w:rPr>
        <w:t xml:space="preserve">Antes de analizar las figuras y reformas estatutarias, es necesario aclarar dos conceptos respecto de las sociedades comerciales: i) </w:t>
      </w:r>
      <w:r>
        <w:rPr>
          <w:rFonts w:ascii="Arial" w:eastAsia="Calibri" w:hAnsi="Arial" w:cs="Arial"/>
          <w:bCs/>
        </w:rPr>
        <w:t>“</w:t>
      </w:r>
      <w:r w:rsidRPr="0091736C">
        <w:rPr>
          <w:rFonts w:ascii="Arial" w:eastAsia="Calibri" w:hAnsi="Arial" w:cs="Arial"/>
          <w:bCs/>
        </w:rPr>
        <w:t>disolución</w:t>
      </w:r>
      <w:r>
        <w:rPr>
          <w:rFonts w:ascii="Arial" w:eastAsia="Calibri" w:hAnsi="Arial" w:cs="Arial"/>
          <w:bCs/>
        </w:rPr>
        <w:t>”</w:t>
      </w:r>
      <w:r w:rsidRPr="0091736C">
        <w:rPr>
          <w:rFonts w:ascii="Arial" w:eastAsia="Calibri" w:hAnsi="Arial" w:cs="Arial"/>
          <w:bCs/>
        </w:rPr>
        <w:t xml:space="preserve"> y ii) </w:t>
      </w:r>
      <w:r>
        <w:rPr>
          <w:rFonts w:ascii="Arial" w:eastAsia="Calibri" w:hAnsi="Arial" w:cs="Arial"/>
          <w:bCs/>
        </w:rPr>
        <w:t>“</w:t>
      </w:r>
      <w:r w:rsidRPr="0091736C">
        <w:rPr>
          <w:rFonts w:ascii="Arial" w:eastAsia="Calibri" w:hAnsi="Arial" w:cs="Arial"/>
          <w:bCs/>
        </w:rPr>
        <w:t>liquidación</w:t>
      </w:r>
      <w:r>
        <w:rPr>
          <w:rFonts w:ascii="Arial" w:eastAsia="Calibri" w:hAnsi="Arial" w:cs="Arial"/>
          <w:bCs/>
        </w:rPr>
        <w:t>”</w:t>
      </w:r>
      <w:r w:rsidRPr="0091736C">
        <w:rPr>
          <w:rFonts w:ascii="Arial" w:eastAsia="Calibri" w:hAnsi="Arial" w:cs="Arial"/>
          <w:bCs/>
        </w:rPr>
        <w:t xml:space="preserve">, ya que se aplican a las figuras y reformas estatutarias, y tienen incidencia en la posibilidad de transferir o no la experiencia de una sociedad. </w:t>
      </w:r>
    </w:p>
    <w:p w14:paraId="006B2105" w14:textId="77777777" w:rsidR="005709B9" w:rsidRPr="0091736C" w:rsidRDefault="005709B9" w:rsidP="005709B9">
      <w:pPr>
        <w:spacing w:line="276" w:lineRule="auto"/>
        <w:ind w:firstLine="708"/>
        <w:jc w:val="both"/>
        <w:rPr>
          <w:rFonts w:ascii="Arial" w:eastAsia="Calibri" w:hAnsi="Arial" w:cs="Arial"/>
          <w:bCs/>
        </w:rPr>
      </w:pPr>
      <w:r w:rsidRPr="0091736C">
        <w:rPr>
          <w:rFonts w:ascii="Arial" w:eastAsia="Calibri" w:hAnsi="Arial" w:cs="Arial"/>
          <w:bCs/>
        </w:rPr>
        <w:t xml:space="preserve">En primer lugar, el Código de Comercio señala, como efecto de la </w:t>
      </w:r>
      <w:r>
        <w:rPr>
          <w:rFonts w:ascii="Arial" w:eastAsia="Calibri" w:hAnsi="Arial" w:cs="Arial"/>
          <w:bCs/>
        </w:rPr>
        <w:t>“</w:t>
      </w:r>
      <w:r w:rsidRPr="0091736C">
        <w:rPr>
          <w:rFonts w:ascii="Arial" w:eastAsia="Calibri" w:hAnsi="Arial" w:cs="Arial"/>
          <w:bCs/>
        </w:rPr>
        <w:t>disolución</w:t>
      </w:r>
      <w:r>
        <w:rPr>
          <w:rFonts w:ascii="Arial" w:eastAsia="Calibri" w:hAnsi="Arial" w:cs="Arial"/>
          <w:bCs/>
        </w:rPr>
        <w:t>”</w:t>
      </w:r>
      <w:r w:rsidRPr="0091736C">
        <w:rPr>
          <w:rFonts w:ascii="Arial" w:eastAsia="Calibri" w:hAnsi="Arial" w:cs="Arial"/>
          <w:bCs/>
        </w:rPr>
        <w:t xml:space="preserve">, que la persona jurídica no desaparece, sino que conserva su capacidad jurídica, únicamente para </w:t>
      </w:r>
      <w:r>
        <w:rPr>
          <w:rFonts w:ascii="Arial" w:eastAsia="Calibri" w:hAnsi="Arial" w:cs="Arial"/>
          <w:bCs/>
        </w:rPr>
        <w:t>“</w:t>
      </w:r>
      <w:r w:rsidRPr="0091736C">
        <w:rPr>
          <w:rFonts w:ascii="Arial" w:eastAsia="Calibri" w:hAnsi="Arial" w:cs="Arial"/>
          <w:bCs/>
        </w:rPr>
        <w:t>liquidarse</w:t>
      </w:r>
      <w:r>
        <w:rPr>
          <w:rFonts w:ascii="Arial" w:eastAsia="Calibri" w:hAnsi="Arial" w:cs="Arial"/>
          <w:bCs/>
        </w:rPr>
        <w:t>”</w:t>
      </w:r>
      <w:r w:rsidRPr="0091736C">
        <w:rPr>
          <w:rFonts w:ascii="Arial" w:eastAsia="Calibri" w:hAnsi="Arial" w:cs="Arial"/>
          <w:bCs/>
        </w:rPr>
        <w:t xml:space="preserve"> y para las operaciones o actos autorizados por la ley</w:t>
      </w:r>
      <w:r w:rsidRPr="0091736C">
        <w:rPr>
          <w:rFonts w:ascii="Arial" w:eastAsia="Calibri" w:hAnsi="Arial" w:cs="Arial"/>
          <w:bCs/>
          <w:vertAlign w:val="superscript"/>
        </w:rPr>
        <w:footnoteReference w:id="11"/>
      </w:r>
      <w:r w:rsidRPr="0091736C">
        <w:rPr>
          <w:rFonts w:ascii="Arial" w:eastAsia="Calibri" w:hAnsi="Arial" w:cs="Arial"/>
          <w:bCs/>
        </w:rPr>
        <w:t xml:space="preserve">, como las figuras y reformas estatutarias que se verán a continuación. Con esto se anticipa que si la persona jurídica no desaparece, su experiencia se conserva y puede transferirse. Por el contrario, respecto de la </w:t>
      </w:r>
      <w:r>
        <w:rPr>
          <w:rFonts w:ascii="Arial" w:eastAsia="Calibri" w:hAnsi="Arial" w:cs="Arial"/>
          <w:bCs/>
        </w:rPr>
        <w:t>“</w:t>
      </w:r>
      <w:r w:rsidRPr="0091736C">
        <w:rPr>
          <w:rFonts w:ascii="Arial" w:eastAsia="Calibri" w:hAnsi="Arial" w:cs="Arial"/>
          <w:bCs/>
        </w:rPr>
        <w:t>liquidación</w:t>
      </w:r>
      <w:r>
        <w:rPr>
          <w:rFonts w:ascii="Arial" w:eastAsia="Calibri" w:hAnsi="Arial" w:cs="Arial"/>
          <w:bCs/>
        </w:rPr>
        <w:t>”</w:t>
      </w:r>
      <w:r w:rsidRPr="0091736C">
        <w:rPr>
          <w:rFonts w:ascii="Arial" w:eastAsia="Calibri" w:hAnsi="Arial" w:cs="Arial"/>
          <w:bCs/>
        </w:rPr>
        <w:t xml:space="preserve"> de las sociedades comerciales, el Código de Comercio señala el procedimiento para </w:t>
      </w:r>
      <w:r w:rsidRPr="0091736C">
        <w:rPr>
          <w:rFonts w:ascii="Arial" w:eastAsia="Calibri" w:hAnsi="Arial" w:cs="Arial"/>
          <w:bCs/>
        </w:rPr>
        <w:lastRenderedPageBreak/>
        <w:t>realizar el inventario y distribución del patrimonio social, de lo cual se infiere que termina la persona jurídica</w:t>
      </w:r>
      <w:r w:rsidRPr="0091736C">
        <w:rPr>
          <w:rFonts w:ascii="Arial" w:eastAsia="Calibri" w:hAnsi="Arial" w:cs="Arial"/>
          <w:bCs/>
          <w:vertAlign w:val="superscript"/>
        </w:rPr>
        <w:footnoteReference w:id="12"/>
      </w:r>
      <w:r w:rsidRPr="0091736C">
        <w:rPr>
          <w:rFonts w:ascii="Arial" w:eastAsia="Calibri" w:hAnsi="Arial" w:cs="Arial"/>
          <w:bCs/>
        </w:rPr>
        <w:t xml:space="preserve"> y la experiencia desaparece junto con la sociedad que la adquirió.</w:t>
      </w:r>
    </w:p>
    <w:p w14:paraId="28DE7B4F" w14:textId="77777777" w:rsidR="005709B9" w:rsidRPr="0091736C" w:rsidRDefault="005709B9" w:rsidP="005709B9">
      <w:pPr>
        <w:spacing w:line="276" w:lineRule="auto"/>
        <w:jc w:val="both"/>
        <w:rPr>
          <w:rFonts w:ascii="Arial" w:eastAsia="Calibri" w:hAnsi="Arial" w:cs="Arial"/>
        </w:rPr>
      </w:pPr>
    </w:p>
    <w:p w14:paraId="7A2D4BE8" w14:textId="77777777" w:rsidR="005709B9" w:rsidRPr="0091736C" w:rsidRDefault="005709B9" w:rsidP="005709B9">
      <w:pPr>
        <w:spacing w:line="276" w:lineRule="auto"/>
        <w:jc w:val="both"/>
        <w:rPr>
          <w:rFonts w:ascii="Arial" w:eastAsia="Calibri" w:hAnsi="Arial" w:cs="Arial"/>
          <w:b/>
          <w:bCs/>
        </w:rPr>
      </w:pPr>
      <w:r w:rsidRPr="0091736C">
        <w:rPr>
          <w:rFonts w:ascii="Arial" w:eastAsia="Calibri" w:hAnsi="Arial" w:cs="Arial"/>
          <w:b/>
          <w:bCs/>
        </w:rPr>
        <w:t>a) Transformación</w:t>
      </w:r>
    </w:p>
    <w:p w14:paraId="36C5F031" w14:textId="77777777" w:rsidR="005709B9" w:rsidRPr="0091736C" w:rsidRDefault="005709B9" w:rsidP="005709B9">
      <w:pPr>
        <w:spacing w:line="276" w:lineRule="auto"/>
        <w:jc w:val="both"/>
        <w:rPr>
          <w:rFonts w:ascii="Arial" w:eastAsia="Calibri" w:hAnsi="Arial" w:cs="Arial"/>
          <w:b/>
          <w:bCs/>
        </w:rPr>
      </w:pPr>
    </w:p>
    <w:p w14:paraId="629C4F0E" w14:textId="77777777" w:rsidR="005709B9" w:rsidRPr="0091736C" w:rsidRDefault="005709B9" w:rsidP="005709B9">
      <w:pPr>
        <w:spacing w:after="120" w:line="276" w:lineRule="auto"/>
        <w:jc w:val="both"/>
        <w:rPr>
          <w:rFonts w:ascii="Arial" w:eastAsia="Calibri" w:hAnsi="Arial" w:cs="Arial"/>
        </w:rPr>
      </w:pPr>
      <w:r w:rsidRPr="0091736C">
        <w:rPr>
          <w:rFonts w:ascii="Arial" w:eastAsia="Calibri" w:hAnsi="Arial" w:cs="Arial"/>
        </w:rPr>
        <w:t xml:space="preserve">Es una reforma a los estatutos de una sociedad comercial, en la cual se detalla la naturaleza jurídica, composición, estructura, capital, entre otros, con el propósito de transformar o cambiar la forma o tipo societario que adoptó, como sociedad anónima, limitada, en comandita, etc. Es decir, si una sociedad se crea como sociedad de responsabilidad limitada y, sin </w:t>
      </w:r>
      <w:r>
        <w:rPr>
          <w:rFonts w:ascii="Arial" w:eastAsia="Calibri" w:hAnsi="Arial" w:cs="Arial"/>
        </w:rPr>
        <w:t>“</w:t>
      </w:r>
      <w:r w:rsidRPr="0091736C">
        <w:rPr>
          <w:rFonts w:ascii="Arial" w:eastAsia="Calibri" w:hAnsi="Arial" w:cs="Arial"/>
        </w:rPr>
        <w:t>disolverse</w:t>
      </w:r>
      <w:r>
        <w:rPr>
          <w:rFonts w:ascii="Arial" w:eastAsia="Calibri" w:hAnsi="Arial" w:cs="Arial"/>
        </w:rPr>
        <w:t>”,</w:t>
      </w:r>
      <w:r w:rsidRPr="0091736C">
        <w:rPr>
          <w:rFonts w:ascii="Arial" w:eastAsia="Calibri" w:hAnsi="Arial" w:cs="Arial"/>
        </w:rPr>
        <w:t xml:space="preserve"> decide adoptar la figura de sociedad anónima, lo podrá hacer mediante una reforma estatutaria, sin que se interrumpa la continuidad de la sociedad comercial o persona jurídica</w:t>
      </w:r>
      <w:r w:rsidRPr="0091736C">
        <w:rPr>
          <w:rFonts w:ascii="Arial" w:eastAsia="Calibri" w:hAnsi="Arial" w:cs="Arial"/>
          <w:vertAlign w:val="superscript"/>
        </w:rPr>
        <w:footnoteReference w:id="13"/>
      </w:r>
      <w:r w:rsidRPr="0091736C">
        <w:rPr>
          <w:rFonts w:ascii="Arial" w:eastAsia="Calibri" w:hAnsi="Arial" w:cs="Arial"/>
        </w:rPr>
        <w:t>. Es importante destacar que en esta reforma estatutaria solo participa la sociedad involucrada, y no existen otras sociedades que se relacionen o intervengan, lo cual diferencia la transformación de otras reformas o figuras.</w:t>
      </w:r>
    </w:p>
    <w:p w14:paraId="2191C253" w14:textId="77777777" w:rsidR="005709B9" w:rsidRPr="0091736C" w:rsidRDefault="005709B9" w:rsidP="005709B9">
      <w:pPr>
        <w:spacing w:line="276" w:lineRule="auto"/>
        <w:ind w:firstLine="708"/>
        <w:jc w:val="both"/>
        <w:rPr>
          <w:rFonts w:ascii="Arial" w:eastAsia="Calibri" w:hAnsi="Arial" w:cs="Arial"/>
        </w:rPr>
      </w:pPr>
      <w:r w:rsidRPr="0091736C">
        <w:rPr>
          <w:rFonts w:ascii="Arial" w:eastAsia="Calibri" w:hAnsi="Arial" w:cs="Arial"/>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w:t>
      </w:r>
      <w:r>
        <w:rPr>
          <w:rFonts w:ascii="Arial" w:eastAsia="Calibri" w:hAnsi="Arial" w:cs="Arial"/>
        </w:rPr>
        <w:t>“</w:t>
      </w:r>
      <w:r w:rsidRPr="0091736C">
        <w:rPr>
          <w:rFonts w:ascii="Arial" w:eastAsia="Calibri" w:hAnsi="Arial" w:cs="Arial"/>
        </w:rPr>
        <w:t>disuelve</w:t>
      </w:r>
      <w:r>
        <w:rPr>
          <w:rFonts w:ascii="Arial" w:eastAsia="Calibri" w:hAnsi="Arial" w:cs="Arial"/>
        </w:rPr>
        <w:t>”</w:t>
      </w:r>
      <w:r w:rsidRPr="0091736C">
        <w:rPr>
          <w:rFonts w:ascii="Arial" w:eastAsia="Calibri" w:hAnsi="Arial" w:cs="Arial"/>
        </w:rPr>
        <w:t xml:space="preserve"> y</w:t>
      </w:r>
      <w:r>
        <w:rPr>
          <w:rFonts w:ascii="Arial" w:eastAsia="Calibri" w:hAnsi="Arial" w:cs="Arial"/>
        </w:rPr>
        <w:t>,</w:t>
      </w:r>
      <w:r w:rsidRPr="0091736C">
        <w:rPr>
          <w:rFonts w:ascii="Arial" w:eastAsia="Calibri" w:hAnsi="Arial" w:cs="Arial"/>
        </w:rPr>
        <w:t xml:space="preserve"> por ende</w:t>
      </w:r>
      <w:r>
        <w:rPr>
          <w:rFonts w:ascii="Arial" w:eastAsia="Calibri" w:hAnsi="Arial" w:cs="Arial"/>
        </w:rPr>
        <w:t>,</w:t>
      </w:r>
      <w:r w:rsidRPr="0091736C">
        <w:rPr>
          <w:rFonts w:ascii="Arial" w:eastAsia="Calibri" w:hAnsi="Arial" w:cs="Arial"/>
        </w:rPr>
        <w:t xml:space="preserve"> tampoco se </w:t>
      </w:r>
      <w:r>
        <w:rPr>
          <w:rFonts w:ascii="Arial" w:eastAsia="Calibri" w:hAnsi="Arial" w:cs="Arial"/>
        </w:rPr>
        <w:t>“</w:t>
      </w:r>
      <w:r w:rsidRPr="0091736C">
        <w:rPr>
          <w:rFonts w:ascii="Arial" w:eastAsia="Calibri" w:hAnsi="Arial" w:cs="Arial"/>
        </w:rPr>
        <w:t>liquida</w:t>
      </w:r>
      <w:r>
        <w:rPr>
          <w:rFonts w:ascii="Arial" w:eastAsia="Calibri" w:hAnsi="Arial" w:cs="Arial"/>
        </w:rPr>
        <w:t>”</w:t>
      </w:r>
      <w:r w:rsidRPr="0091736C">
        <w:rPr>
          <w:rFonts w:ascii="Arial" w:eastAsia="Calibri" w:hAnsi="Arial" w:cs="Arial"/>
        </w:rPr>
        <w:t xml:space="preserve">, porque, de acuerdo con el artículo 222 del Código de Comercio, para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xml:space="preserve"> necesita estar </w:t>
      </w:r>
      <w:r>
        <w:rPr>
          <w:rFonts w:ascii="Arial" w:eastAsia="Calibri" w:hAnsi="Arial" w:cs="Arial"/>
        </w:rPr>
        <w:t>“</w:t>
      </w:r>
      <w:r w:rsidRPr="0091736C">
        <w:rPr>
          <w:rFonts w:ascii="Arial" w:eastAsia="Calibri" w:hAnsi="Arial" w:cs="Arial"/>
        </w:rPr>
        <w:t>disuelta</w:t>
      </w:r>
      <w:r>
        <w:rPr>
          <w:rFonts w:ascii="Arial" w:eastAsia="Calibri" w:hAnsi="Arial" w:cs="Arial"/>
        </w:rPr>
        <w:t>”. De esta manera,</w:t>
      </w:r>
      <w:r w:rsidRPr="0091736C">
        <w:rPr>
          <w:rFonts w:ascii="Arial" w:eastAsia="Calibri" w:hAnsi="Arial" w:cs="Arial"/>
        </w:rPr>
        <w:t xml:space="preserve"> solo cambia el tipo societario que había adoptado en su constitución, es decir, no sufre modificaciones o alteraciones y por eso puede continuar adquiriendo experiencia y compartirla, pero no puede trasladarla, porque para ello tendría que </w:t>
      </w:r>
      <w:r>
        <w:rPr>
          <w:rFonts w:ascii="Arial" w:eastAsia="Calibri" w:hAnsi="Arial" w:cs="Arial"/>
        </w:rPr>
        <w:t>“</w:t>
      </w:r>
      <w:r w:rsidRPr="0091736C">
        <w:rPr>
          <w:rFonts w:ascii="Arial" w:eastAsia="Calibri" w:hAnsi="Arial" w:cs="Arial"/>
        </w:rPr>
        <w:t>disolverse</w:t>
      </w:r>
      <w:r>
        <w:rPr>
          <w:rFonts w:ascii="Arial" w:eastAsia="Calibri" w:hAnsi="Arial" w:cs="Arial"/>
        </w:rPr>
        <w:t>”</w:t>
      </w:r>
      <w:r w:rsidRPr="0091736C">
        <w:rPr>
          <w:rFonts w:ascii="Arial" w:eastAsia="Calibri" w:hAnsi="Arial" w:cs="Arial"/>
        </w:rPr>
        <w:t xml:space="preserve"> </w:t>
      </w:r>
      <w:r>
        <w:rPr>
          <w:rFonts w:ascii="Arial" w:eastAsia="Calibri" w:hAnsi="Arial" w:cs="Arial"/>
        </w:rPr>
        <w:t>–</w:t>
      </w:r>
      <w:r w:rsidRPr="0091736C">
        <w:rPr>
          <w:rFonts w:ascii="Arial" w:eastAsia="Calibri" w:hAnsi="Arial" w:cs="Arial"/>
        </w:rPr>
        <w:t>o conformar un consorcio</w:t>
      </w:r>
      <w:r>
        <w:rPr>
          <w:rFonts w:ascii="Arial" w:eastAsia="Calibri" w:hAnsi="Arial" w:cs="Arial"/>
        </w:rPr>
        <w:t>–</w:t>
      </w:r>
      <w:r w:rsidRPr="0091736C">
        <w:rPr>
          <w:rFonts w:ascii="Arial" w:eastAsia="Calibri" w:hAnsi="Arial" w:cs="Arial"/>
        </w:rPr>
        <w:t xml:space="preserve">, como se verá en la fusión y en una de las modalidades de escisión.  </w:t>
      </w:r>
    </w:p>
    <w:p w14:paraId="6FD8B5C1" w14:textId="77777777" w:rsidR="005709B9" w:rsidRPr="0091736C" w:rsidRDefault="005709B9" w:rsidP="005709B9">
      <w:pPr>
        <w:spacing w:line="276" w:lineRule="auto"/>
        <w:jc w:val="both"/>
        <w:rPr>
          <w:rFonts w:ascii="Arial" w:eastAsia="Calibri" w:hAnsi="Arial" w:cs="Arial"/>
          <w:b/>
          <w:bCs/>
        </w:rPr>
      </w:pPr>
    </w:p>
    <w:p w14:paraId="67C19184" w14:textId="77777777" w:rsidR="005709B9" w:rsidRPr="0091736C" w:rsidRDefault="005709B9" w:rsidP="005709B9">
      <w:pPr>
        <w:spacing w:line="276" w:lineRule="auto"/>
        <w:jc w:val="both"/>
        <w:rPr>
          <w:rFonts w:ascii="Arial" w:eastAsia="Calibri" w:hAnsi="Arial" w:cs="Arial"/>
          <w:b/>
          <w:bCs/>
        </w:rPr>
      </w:pPr>
      <w:r w:rsidRPr="0091736C">
        <w:rPr>
          <w:rFonts w:ascii="Arial" w:eastAsia="Calibri" w:hAnsi="Arial" w:cs="Arial"/>
          <w:b/>
          <w:bCs/>
        </w:rPr>
        <w:t>b) Escisión</w:t>
      </w:r>
    </w:p>
    <w:p w14:paraId="07F85E15" w14:textId="77777777" w:rsidR="005709B9" w:rsidRPr="0091736C" w:rsidRDefault="005709B9" w:rsidP="005709B9">
      <w:pPr>
        <w:spacing w:line="276" w:lineRule="auto"/>
        <w:jc w:val="both"/>
        <w:rPr>
          <w:rFonts w:ascii="Arial" w:eastAsia="Calibri" w:hAnsi="Arial" w:cs="Arial"/>
          <w:b/>
          <w:bCs/>
        </w:rPr>
      </w:pPr>
    </w:p>
    <w:p w14:paraId="5E3DF909" w14:textId="77777777" w:rsidR="005709B9" w:rsidRPr="0091736C" w:rsidRDefault="005709B9" w:rsidP="005709B9">
      <w:pPr>
        <w:spacing w:after="120" w:line="276" w:lineRule="auto"/>
        <w:jc w:val="both"/>
        <w:rPr>
          <w:rFonts w:ascii="Arial" w:eastAsia="Calibri" w:hAnsi="Arial" w:cs="Arial"/>
        </w:rPr>
      </w:pPr>
      <w:r w:rsidRPr="0091736C">
        <w:rPr>
          <w:rFonts w:ascii="Arial" w:eastAsia="Calibri" w:hAnsi="Arial" w:cs="Arial"/>
        </w:rPr>
        <w:lastRenderedPageBreak/>
        <w:t xml:space="preserve">Es una figura con dos modalidades reguladas por la Ley 222 de 1995. La primera se refiere a una sociedad que no se </w:t>
      </w:r>
      <w:r>
        <w:rPr>
          <w:rFonts w:ascii="Arial" w:eastAsia="Calibri" w:hAnsi="Arial" w:cs="Arial"/>
        </w:rPr>
        <w:t>“</w:t>
      </w:r>
      <w:r w:rsidRPr="0091736C">
        <w:rPr>
          <w:rFonts w:ascii="Arial" w:eastAsia="Calibri" w:hAnsi="Arial" w:cs="Arial"/>
        </w:rPr>
        <w:t>disuelve</w:t>
      </w:r>
      <w:r>
        <w:rPr>
          <w:rFonts w:ascii="Arial" w:eastAsia="Calibri" w:hAnsi="Arial" w:cs="Arial"/>
        </w:rPr>
        <w:t>”</w:t>
      </w:r>
      <w:r w:rsidRPr="0091736C">
        <w:rPr>
          <w:rFonts w:ascii="Arial" w:eastAsia="Calibri" w:hAnsi="Arial" w:cs="Arial"/>
        </w:rPr>
        <w:t xml:space="preserve"> ni se </w:t>
      </w:r>
      <w:r>
        <w:rPr>
          <w:rFonts w:ascii="Arial" w:eastAsia="Calibri" w:hAnsi="Arial" w:cs="Arial"/>
        </w:rPr>
        <w:t>“</w:t>
      </w:r>
      <w:r w:rsidRPr="0091736C">
        <w:rPr>
          <w:rFonts w:ascii="Arial" w:eastAsia="Calibri" w:hAnsi="Arial" w:cs="Arial"/>
        </w:rPr>
        <w:t>liquida</w:t>
      </w:r>
      <w:r>
        <w:rPr>
          <w:rFonts w:ascii="Arial" w:eastAsia="Calibri" w:hAnsi="Arial" w:cs="Arial"/>
        </w:rPr>
        <w:t>”</w:t>
      </w:r>
      <w:r w:rsidRPr="0091736C">
        <w:rPr>
          <w:rFonts w:ascii="Arial" w:eastAsia="Calibri" w:hAnsi="Arial" w:cs="Arial"/>
        </w:rPr>
        <w:t xml:space="preserve">, es decir, permanece sin modificaciones ni reformas, pero fracciona su patrimonio para transferir una o varias partes, a una o varias sociedades existentes o por crearse. En este caso, la escisión se refiere al patrimonio de la sociedad sin incluir ningún otro aspecto, lo cual significa que la sociedad continúa con un patrimonio reducido debido al fraccionamiento, pero no existe ninguna otra implicación para la persona jurídica, como su desaparición por </w:t>
      </w:r>
      <w:r>
        <w:rPr>
          <w:rFonts w:ascii="Arial" w:eastAsia="Calibri" w:hAnsi="Arial" w:cs="Arial"/>
        </w:rPr>
        <w:t>“</w:t>
      </w:r>
      <w:r w:rsidRPr="0091736C">
        <w:rPr>
          <w:rFonts w:ascii="Arial" w:eastAsia="Calibri" w:hAnsi="Arial" w:cs="Arial"/>
        </w:rPr>
        <w:t>disolverse</w:t>
      </w:r>
      <w:r>
        <w:rPr>
          <w:rFonts w:ascii="Arial" w:eastAsia="Calibri" w:hAnsi="Arial" w:cs="Arial"/>
        </w:rPr>
        <w:t>”</w:t>
      </w:r>
      <w:r w:rsidRPr="0091736C">
        <w:rPr>
          <w:rFonts w:ascii="Arial" w:eastAsia="Calibri" w:hAnsi="Arial" w:cs="Arial"/>
        </w:rPr>
        <w:t xml:space="preserve"> o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xml:space="preserve">, de acuerdo con lo mencionado sobre estos conceptos. En ese sentido, </w:t>
      </w:r>
      <w:r>
        <w:rPr>
          <w:rFonts w:ascii="Arial" w:eastAsia="Calibri" w:hAnsi="Arial" w:cs="Arial"/>
        </w:rPr>
        <w:t xml:space="preserve">esta Subdirección </w:t>
      </w:r>
      <w:r w:rsidRPr="0091736C">
        <w:rPr>
          <w:rFonts w:ascii="Arial" w:eastAsia="Calibri" w:hAnsi="Arial" w:cs="Arial"/>
        </w:rPr>
        <w:t xml:space="preserve">considera que las sociedades que reciben una parte del patrimonio de una sociedad que continúa existiendo, no reciben su experiencia, ya que no es posible que varias sociedades tengan la misma experiencia, duplicándola tantas veces se haya fraccionado el patrimonio, porque la experiencia pertenece a quien la adquirió ejecutando los contratos a su cargo. </w:t>
      </w:r>
    </w:p>
    <w:p w14:paraId="0A87AAF6" w14:textId="77777777" w:rsidR="005709B9" w:rsidRPr="0091736C" w:rsidRDefault="005709B9" w:rsidP="005709B9">
      <w:pPr>
        <w:spacing w:line="276" w:lineRule="auto"/>
        <w:ind w:firstLine="708"/>
        <w:jc w:val="both"/>
        <w:rPr>
          <w:rFonts w:ascii="Arial" w:eastAsia="Calibri" w:hAnsi="Arial" w:cs="Arial"/>
        </w:rPr>
      </w:pPr>
      <w:r w:rsidRPr="0091736C">
        <w:rPr>
          <w:rFonts w:ascii="Arial" w:eastAsia="Calibri" w:hAnsi="Arial" w:cs="Arial"/>
        </w:rPr>
        <w:t xml:space="preserve">La segunda modalidad se trata de una sociedad que se </w:t>
      </w:r>
      <w:r>
        <w:rPr>
          <w:rFonts w:ascii="Arial" w:eastAsia="Calibri" w:hAnsi="Arial" w:cs="Arial"/>
        </w:rPr>
        <w:t>“</w:t>
      </w:r>
      <w:r w:rsidRPr="0091736C">
        <w:rPr>
          <w:rFonts w:ascii="Arial" w:eastAsia="Calibri" w:hAnsi="Arial" w:cs="Arial"/>
        </w:rPr>
        <w:t>disuelve</w:t>
      </w:r>
      <w:r>
        <w:rPr>
          <w:rFonts w:ascii="Arial" w:eastAsia="Calibri" w:hAnsi="Arial" w:cs="Arial"/>
        </w:rPr>
        <w:t>”</w:t>
      </w:r>
      <w:r w:rsidRPr="0091736C">
        <w:rPr>
          <w:rFonts w:ascii="Arial" w:eastAsia="Calibri" w:hAnsi="Arial" w:cs="Arial"/>
        </w:rPr>
        <w:t xml:space="preserve"> sin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xml:space="preserve"> esto es, que implica una reforma social, lo cual no ocurre con la primera modalidad, y también existe fraccionamiento del patrimonio con el mismo fin</w:t>
      </w:r>
      <w:r w:rsidRPr="0091736C">
        <w:rPr>
          <w:rFonts w:ascii="Arial" w:eastAsia="Calibri" w:hAnsi="Arial" w:cs="Arial"/>
          <w:vertAlign w:val="superscript"/>
        </w:rPr>
        <w:footnoteReference w:id="14"/>
      </w:r>
      <w:r w:rsidRPr="0091736C">
        <w:rPr>
          <w:rFonts w:ascii="Arial" w:eastAsia="Calibri" w:hAnsi="Arial" w:cs="Arial"/>
        </w:rPr>
        <w:t xml:space="preserve">. Como se observa, participa una sociedad y otra, u otras, que reciben la transferencia del patrimonio en bloque. </w:t>
      </w:r>
    </w:p>
    <w:p w14:paraId="11B646EF" w14:textId="77777777" w:rsidR="005709B9" w:rsidRPr="0091736C" w:rsidRDefault="005709B9" w:rsidP="005709B9">
      <w:pPr>
        <w:spacing w:before="120" w:after="120" w:line="276" w:lineRule="auto"/>
        <w:ind w:firstLine="708"/>
        <w:jc w:val="both"/>
        <w:rPr>
          <w:rFonts w:ascii="Arial" w:eastAsia="Calibri" w:hAnsi="Arial" w:cs="Arial"/>
        </w:rPr>
      </w:pPr>
      <w:r w:rsidRPr="0091736C">
        <w:rPr>
          <w:rFonts w:ascii="Arial" w:eastAsia="Calibri" w:hAnsi="Arial" w:cs="Arial"/>
        </w:rPr>
        <w:t xml:space="preserve">Para la primera modalidad de escisión, teniendo en cuenta que la sociedad continúa sin alteraciones, esta puede compartir la experiencia a través de esquemas asociativos, pero no la transfiere, porque para ello tendría que </w:t>
      </w:r>
      <w:r>
        <w:rPr>
          <w:rFonts w:ascii="Arial" w:eastAsia="Calibri" w:hAnsi="Arial" w:cs="Arial"/>
        </w:rPr>
        <w:t>“</w:t>
      </w:r>
      <w:r w:rsidRPr="0091736C">
        <w:rPr>
          <w:rFonts w:ascii="Arial" w:eastAsia="Calibri" w:hAnsi="Arial" w:cs="Arial"/>
        </w:rPr>
        <w:t>disolverse</w:t>
      </w:r>
      <w:r>
        <w:rPr>
          <w:rFonts w:ascii="Arial" w:eastAsia="Calibri" w:hAnsi="Arial" w:cs="Arial"/>
        </w:rPr>
        <w:t>”</w:t>
      </w:r>
      <w:r w:rsidRPr="0091736C">
        <w:rPr>
          <w:rFonts w:ascii="Arial" w:eastAsia="Calibri" w:hAnsi="Arial" w:cs="Arial"/>
        </w:rPr>
        <w:t xml:space="preserve"> sin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xml:space="preserve">, puesto que la </w:t>
      </w:r>
      <w:r>
        <w:rPr>
          <w:rFonts w:ascii="Arial" w:eastAsia="Calibri" w:hAnsi="Arial" w:cs="Arial"/>
        </w:rPr>
        <w:t>“</w:t>
      </w:r>
      <w:r w:rsidRPr="0091736C">
        <w:rPr>
          <w:rFonts w:ascii="Arial" w:eastAsia="Calibri" w:hAnsi="Arial" w:cs="Arial"/>
        </w:rPr>
        <w:t>liquidación</w:t>
      </w:r>
      <w:r>
        <w:rPr>
          <w:rFonts w:ascii="Arial" w:eastAsia="Calibri" w:hAnsi="Arial" w:cs="Arial"/>
        </w:rPr>
        <w:t xml:space="preserve">” </w:t>
      </w:r>
      <w:r w:rsidRPr="0091736C">
        <w:rPr>
          <w:rFonts w:ascii="Arial" w:eastAsia="Calibri" w:hAnsi="Arial" w:cs="Arial"/>
        </w:rPr>
        <w:t xml:space="preserve">implicaría que desaparece la persona y así su experiencia. Para explicarlo, hay que </w:t>
      </w:r>
      <w:r>
        <w:rPr>
          <w:rFonts w:ascii="Arial" w:eastAsia="Calibri" w:hAnsi="Arial" w:cs="Arial"/>
        </w:rPr>
        <w:t>retomar l</w:t>
      </w:r>
      <w:r w:rsidRPr="0091736C">
        <w:rPr>
          <w:rFonts w:ascii="Arial" w:eastAsia="Calibri" w:hAnsi="Arial" w:cs="Arial"/>
        </w:rPr>
        <w:t xml:space="preserve">a definición de </w:t>
      </w:r>
      <w:r>
        <w:rPr>
          <w:rFonts w:ascii="Arial" w:eastAsia="Calibri" w:hAnsi="Arial" w:cs="Arial"/>
        </w:rPr>
        <w:t>“</w:t>
      </w:r>
      <w:r w:rsidRPr="0091736C">
        <w:rPr>
          <w:rFonts w:ascii="Arial" w:eastAsia="Calibri" w:hAnsi="Arial" w:cs="Arial"/>
        </w:rPr>
        <w:t>disolución</w:t>
      </w:r>
      <w:r>
        <w:rPr>
          <w:rFonts w:ascii="Arial" w:eastAsia="Calibri" w:hAnsi="Arial" w:cs="Arial"/>
        </w:rPr>
        <w:t>”</w:t>
      </w:r>
      <w:r w:rsidRPr="0091736C">
        <w:rPr>
          <w:rFonts w:ascii="Arial" w:eastAsia="Calibri" w:hAnsi="Arial" w:cs="Arial"/>
        </w:rPr>
        <w:t>, do</w:t>
      </w:r>
      <w:r>
        <w:rPr>
          <w:rFonts w:ascii="Arial" w:eastAsia="Calibri" w:hAnsi="Arial" w:cs="Arial"/>
        </w:rPr>
        <w:t>n</w:t>
      </w:r>
      <w:r w:rsidRPr="0091736C">
        <w:rPr>
          <w:rFonts w:ascii="Arial" w:eastAsia="Calibri" w:hAnsi="Arial" w:cs="Arial"/>
        </w:rPr>
        <w:t xml:space="preserve">de la persona jurídica no desaparece y solo puede hacer trámites para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xml:space="preserv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ya que en la primera modalidad no existe </w:t>
      </w:r>
      <w:r>
        <w:rPr>
          <w:rFonts w:ascii="Arial" w:eastAsia="Calibri" w:hAnsi="Arial" w:cs="Arial"/>
        </w:rPr>
        <w:t>“</w:t>
      </w:r>
      <w:r w:rsidRPr="0091736C">
        <w:rPr>
          <w:rFonts w:ascii="Arial" w:eastAsia="Calibri" w:hAnsi="Arial" w:cs="Arial"/>
        </w:rPr>
        <w:t>disolución</w:t>
      </w:r>
      <w:r>
        <w:rPr>
          <w:rFonts w:ascii="Arial" w:eastAsia="Calibri" w:hAnsi="Arial" w:cs="Arial"/>
        </w:rPr>
        <w:t>”</w:t>
      </w:r>
      <w:r w:rsidRPr="0091736C">
        <w:rPr>
          <w:rFonts w:ascii="Arial" w:eastAsia="Calibri" w:hAnsi="Arial" w:cs="Arial"/>
        </w:rPr>
        <w:t xml:space="preserve">. Esto significa que la persona continúa por sí misma y puede adquirir experiencia, pero no puede transferirla porque le pertenece, al ser quien la adquirió. </w:t>
      </w:r>
    </w:p>
    <w:p w14:paraId="18CBEEB5" w14:textId="77777777" w:rsidR="005709B9" w:rsidRPr="0091736C" w:rsidRDefault="005709B9" w:rsidP="005709B9">
      <w:pPr>
        <w:spacing w:before="120" w:after="120" w:line="276" w:lineRule="auto"/>
        <w:ind w:firstLine="708"/>
        <w:jc w:val="both"/>
        <w:rPr>
          <w:rFonts w:ascii="Arial" w:eastAsia="Calibri" w:hAnsi="Arial" w:cs="Arial"/>
        </w:rPr>
      </w:pPr>
      <w:r w:rsidRPr="0091736C">
        <w:rPr>
          <w:rFonts w:ascii="Arial" w:eastAsia="Calibri" w:hAnsi="Arial" w:cs="Arial"/>
        </w:rPr>
        <w:t xml:space="preserve">Por otro lado, a pesar de que en la segunda modalidad existe </w:t>
      </w:r>
      <w:r>
        <w:rPr>
          <w:rFonts w:ascii="Arial" w:eastAsia="Calibri" w:hAnsi="Arial" w:cs="Arial"/>
        </w:rPr>
        <w:t>“</w:t>
      </w:r>
      <w:r w:rsidRPr="0091736C">
        <w:rPr>
          <w:rFonts w:ascii="Arial" w:eastAsia="Calibri" w:hAnsi="Arial" w:cs="Arial"/>
        </w:rPr>
        <w:t>disolución</w:t>
      </w:r>
      <w:r>
        <w:rPr>
          <w:rFonts w:ascii="Arial" w:eastAsia="Calibri" w:hAnsi="Arial" w:cs="Arial"/>
        </w:rPr>
        <w:t>”</w:t>
      </w:r>
      <w:r w:rsidRPr="0091736C">
        <w:rPr>
          <w:rFonts w:ascii="Arial" w:eastAsia="Calibri" w:hAnsi="Arial" w:cs="Arial"/>
        </w:rPr>
        <w:t xml:space="preserve">,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w:t>
      </w:r>
      <w:r w:rsidRPr="0091736C">
        <w:rPr>
          <w:rFonts w:ascii="Arial" w:eastAsia="Calibri" w:hAnsi="Arial" w:cs="Arial"/>
        </w:rPr>
        <w:lastRenderedPageBreak/>
        <w:t xml:space="preserve">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 </w:t>
      </w:r>
    </w:p>
    <w:p w14:paraId="62914BDA" w14:textId="77777777" w:rsidR="005709B9" w:rsidRPr="0091736C" w:rsidRDefault="005709B9" w:rsidP="005709B9">
      <w:pPr>
        <w:spacing w:before="120" w:line="276" w:lineRule="auto"/>
        <w:ind w:firstLine="709"/>
        <w:jc w:val="both"/>
        <w:rPr>
          <w:rFonts w:ascii="Arial" w:eastAsia="Calibri" w:hAnsi="Arial" w:cs="Arial"/>
        </w:rPr>
      </w:pPr>
      <w:r w:rsidRPr="0091736C">
        <w:rPr>
          <w:rFonts w:ascii="Arial" w:eastAsia="Calibri" w:hAnsi="Arial" w:cs="Arial"/>
        </w:rPr>
        <w:t xml:space="preserve">Pero en la fusión, como se verá, a pesar de que la sociedad está </w:t>
      </w:r>
      <w:r>
        <w:rPr>
          <w:rFonts w:ascii="Arial" w:eastAsia="Calibri" w:hAnsi="Arial" w:cs="Arial"/>
        </w:rPr>
        <w:t>“</w:t>
      </w:r>
      <w:r w:rsidRPr="0091736C">
        <w:rPr>
          <w:rFonts w:ascii="Arial" w:eastAsia="Calibri" w:hAnsi="Arial" w:cs="Arial"/>
        </w:rPr>
        <w:t>disuelta</w:t>
      </w:r>
      <w:r>
        <w:rPr>
          <w:rFonts w:ascii="Arial" w:eastAsia="Calibri" w:hAnsi="Arial" w:cs="Arial"/>
        </w:rPr>
        <w:t>”</w:t>
      </w:r>
      <w:r w:rsidRPr="0091736C">
        <w:rPr>
          <w:rFonts w:ascii="Arial" w:eastAsia="Calibri" w:hAnsi="Arial" w:cs="Arial"/>
        </w:rPr>
        <w:t xml:space="preserve"> y debería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xml:space="preserve"> para desaparecer, la ley permite que no desaparezca y tenga continuidad convertida en otra sociedad, por lo que, por expresa disposición legal, la sociedad puede no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sino continuar a través de otra sociedad, porque así lo dispuso el legislador. Esto implica que se traslada la experiencia y no se comparte, porque compartir implica que siga existiendo como una persona individualmente considerada, pero como continúa a través de otra, lo que sucede es la transferencia de la experiencia.</w:t>
      </w:r>
    </w:p>
    <w:p w14:paraId="7B17C993" w14:textId="77777777" w:rsidR="005709B9" w:rsidRPr="0091736C" w:rsidRDefault="005709B9" w:rsidP="005709B9">
      <w:pPr>
        <w:spacing w:line="276" w:lineRule="auto"/>
        <w:jc w:val="both"/>
        <w:rPr>
          <w:rFonts w:ascii="Arial" w:eastAsia="Calibri" w:hAnsi="Arial" w:cs="Arial"/>
        </w:rPr>
      </w:pPr>
    </w:p>
    <w:p w14:paraId="5A9D155F" w14:textId="77777777" w:rsidR="005709B9" w:rsidRPr="0091736C" w:rsidRDefault="005709B9" w:rsidP="005709B9">
      <w:pPr>
        <w:spacing w:line="276" w:lineRule="auto"/>
        <w:jc w:val="both"/>
        <w:rPr>
          <w:rFonts w:ascii="Arial" w:eastAsia="Calibri" w:hAnsi="Arial" w:cs="Arial"/>
          <w:b/>
          <w:bCs/>
        </w:rPr>
      </w:pPr>
      <w:r w:rsidRPr="0091736C">
        <w:rPr>
          <w:rFonts w:ascii="Arial" w:eastAsia="Calibri" w:hAnsi="Arial" w:cs="Arial"/>
          <w:b/>
          <w:bCs/>
        </w:rPr>
        <w:t>c) Fusión</w:t>
      </w:r>
    </w:p>
    <w:p w14:paraId="5749B8D9" w14:textId="77777777" w:rsidR="005709B9" w:rsidRPr="0091736C" w:rsidRDefault="005709B9" w:rsidP="005709B9">
      <w:pPr>
        <w:spacing w:line="276" w:lineRule="auto"/>
        <w:jc w:val="both"/>
        <w:rPr>
          <w:rFonts w:ascii="Arial" w:eastAsia="Calibri" w:hAnsi="Arial" w:cs="Arial"/>
          <w:b/>
          <w:bCs/>
        </w:rPr>
      </w:pPr>
    </w:p>
    <w:p w14:paraId="424546C8" w14:textId="77777777" w:rsidR="005709B9" w:rsidRPr="0091736C" w:rsidRDefault="005709B9" w:rsidP="005709B9">
      <w:pPr>
        <w:spacing w:line="276" w:lineRule="auto"/>
        <w:jc w:val="both"/>
        <w:rPr>
          <w:rFonts w:ascii="Arial" w:eastAsia="Calibri" w:hAnsi="Arial" w:cs="Arial"/>
        </w:rPr>
      </w:pPr>
      <w:r w:rsidRPr="0091736C">
        <w:rPr>
          <w:rFonts w:ascii="Arial" w:eastAsia="Calibri" w:hAnsi="Arial" w:cs="Arial"/>
        </w:rPr>
        <w:t xml:space="preserve">Es una figura con 4 tipologías: i) por absorción: una o más sociedades se </w:t>
      </w:r>
      <w:r>
        <w:rPr>
          <w:rFonts w:ascii="Arial" w:eastAsia="Calibri" w:hAnsi="Arial" w:cs="Arial"/>
        </w:rPr>
        <w:t>“</w:t>
      </w:r>
      <w:r w:rsidRPr="0091736C">
        <w:rPr>
          <w:rFonts w:ascii="Arial" w:eastAsia="Calibri" w:hAnsi="Arial" w:cs="Arial"/>
        </w:rPr>
        <w:t>disuelven</w:t>
      </w:r>
      <w:r>
        <w:rPr>
          <w:rFonts w:ascii="Arial" w:eastAsia="Calibri" w:hAnsi="Arial" w:cs="Arial"/>
        </w:rPr>
        <w:t>”</w:t>
      </w:r>
      <w:r w:rsidRPr="0091736C">
        <w:rPr>
          <w:rFonts w:ascii="Arial" w:eastAsia="Calibri" w:hAnsi="Arial" w:cs="Arial"/>
        </w:rPr>
        <w:t xml:space="preserve"> sin «liquidarse» para ser absorbidas por otra existente; ii) por creación: una o más sociedades se «disuelven» sin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xml:space="preserve"> para ser absorbidas por otra nueva</w:t>
      </w:r>
      <w:r w:rsidRPr="0091736C">
        <w:rPr>
          <w:rFonts w:ascii="Arial" w:eastAsia="Calibri" w:hAnsi="Arial" w:cs="Arial"/>
          <w:vertAlign w:val="superscript"/>
        </w:rPr>
        <w:footnoteReference w:id="15"/>
      </w:r>
      <w:r w:rsidRPr="0091736C">
        <w:rPr>
          <w:rFonts w:ascii="Arial" w:eastAsia="Calibri" w:hAnsi="Arial" w:cs="Arial"/>
        </w:rPr>
        <w:t xml:space="preserve">; iii) impropia: una sociedad se </w:t>
      </w:r>
      <w:r>
        <w:rPr>
          <w:rFonts w:ascii="Arial" w:eastAsia="Calibri" w:hAnsi="Arial" w:cs="Arial"/>
        </w:rPr>
        <w:t>“</w:t>
      </w:r>
      <w:r w:rsidRPr="0091736C">
        <w:rPr>
          <w:rFonts w:ascii="Arial" w:eastAsia="Calibri" w:hAnsi="Arial" w:cs="Arial"/>
        </w:rPr>
        <w:t>disuelve</w:t>
      </w:r>
      <w:r>
        <w:rPr>
          <w:rFonts w:ascii="Arial" w:eastAsia="Calibri" w:hAnsi="Arial" w:cs="Arial"/>
        </w:rPr>
        <w:t>”</w:t>
      </w:r>
      <w:r w:rsidRPr="0091736C">
        <w:rPr>
          <w:rFonts w:ascii="Arial" w:eastAsia="Calibri" w:hAnsi="Arial" w:cs="Arial"/>
        </w:rPr>
        <w:t xml:space="preserve"> sin el propósito de realizar una fusión sino de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xml:space="preserve"> y antes de la liquidación se toma la decisión de crear una sociedad</w:t>
      </w:r>
      <w:r w:rsidRPr="0091736C">
        <w:rPr>
          <w:rFonts w:ascii="Arial" w:eastAsia="Calibri" w:hAnsi="Arial" w:cs="Arial"/>
          <w:vertAlign w:val="superscript"/>
        </w:rPr>
        <w:footnoteReference w:id="16"/>
      </w:r>
      <w:r w:rsidRPr="0091736C">
        <w:rPr>
          <w:rFonts w:ascii="Arial" w:eastAsia="Calibri" w:hAnsi="Arial" w:cs="Arial"/>
        </w:rPr>
        <w:t>; iv) abreviada: solo aplica cuando una Sociedad por Acciones Simplificada (S.A.S.) pertenece a otra sociedad en más del 90% de sus acciones, y es posible que esa sociedad controlante absorba a la S.A.S, es decir, que ocurra una fusión por absorción</w:t>
      </w:r>
      <w:r w:rsidRPr="0091736C">
        <w:rPr>
          <w:rFonts w:ascii="Arial" w:eastAsia="Calibri" w:hAnsi="Arial" w:cs="Arial"/>
          <w:vertAlign w:val="superscript"/>
        </w:rPr>
        <w:footnoteReference w:id="17"/>
      </w:r>
      <w:r w:rsidRPr="0091736C">
        <w:rPr>
          <w:rFonts w:ascii="Arial" w:eastAsia="Calibri" w:hAnsi="Arial" w:cs="Arial"/>
        </w:rPr>
        <w:t xml:space="preserve">. La norma no se refiere a la </w:t>
      </w:r>
      <w:r>
        <w:rPr>
          <w:rFonts w:ascii="Arial" w:eastAsia="Calibri" w:hAnsi="Arial" w:cs="Arial"/>
        </w:rPr>
        <w:t>“</w:t>
      </w:r>
      <w:r w:rsidRPr="0091736C">
        <w:rPr>
          <w:rFonts w:ascii="Arial" w:eastAsia="Calibri" w:hAnsi="Arial" w:cs="Arial"/>
        </w:rPr>
        <w:t>disolución de la S.A.S</w:t>
      </w:r>
      <w:r>
        <w:rPr>
          <w:rFonts w:ascii="Arial" w:eastAsia="Calibri" w:hAnsi="Arial" w:cs="Arial"/>
        </w:rPr>
        <w:t>”</w:t>
      </w:r>
      <w:r w:rsidRPr="0091736C">
        <w:rPr>
          <w:rFonts w:ascii="Arial" w:eastAsia="Calibri" w:hAnsi="Arial" w:cs="Arial"/>
        </w:rPr>
        <w:t xml:space="preserve">, lo cual no implica que no exista </w:t>
      </w:r>
      <w:r w:rsidRPr="0091736C">
        <w:rPr>
          <w:rFonts w:ascii="Arial" w:eastAsia="Calibri" w:hAnsi="Arial" w:cs="Arial"/>
        </w:rPr>
        <w:lastRenderedPageBreak/>
        <w:t xml:space="preserve">fusión, sino que es abreviada porque no se requiere configurar el estado de </w:t>
      </w:r>
      <w:r>
        <w:rPr>
          <w:rFonts w:ascii="Arial" w:eastAsia="Calibri" w:hAnsi="Arial" w:cs="Arial"/>
        </w:rPr>
        <w:t>“</w:t>
      </w:r>
      <w:r w:rsidRPr="0091736C">
        <w:rPr>
          <w:rFonts w:ascii="Arial" w:eastAsia="Calibri" w:hAnsi="Arial" w:cs="Arial"/>
        </w:rPr>
        <w:t>disolución</w:t>
      </w:r>
      <w:r>
        <w:rPr>
          <w:rFonts w:ascii="Arial" w:eastAsia="Calibri" w:hAnsi="Arial" w:cs="Arial"/>
        </w:rPr>
        <w:t>”</w:t>
      </w:r>
      <w:r w:rsidRPr="0091736C">
        <w:rPr>
          <w:rFonts w:ascii="Arial" w:eastAsia="Calibri" w:hAnsi="Arial" w:cs="Arial"/>
        </w:rPr>
        <w:t xml:space="preserve"> de la sociedad.</w:t>
      </w:r>
    </w:p>
    <w:p w14:paraId="76B93A59" w14:textId="77777777" w:rsidR="005709B9" w:rsidRPr="0091736C" w:rsidRDefault="005709B9" w:rsidP="005709B9">
      <w:pPr>
        <w:spacing w:before="120" w:line="276" w:lineRule="auto"/>
        <w:ind w:firstLine="708"/>
        <w:jc w:val="both"/>
        <w:rPr>
          <w:rFonts w:ascii="Arial" w:eastAsia="Calibri" w:hAnsi="Arial" w:cs="Arial"/>
          <w:bCs/>
        </w:rPr>
      </w:pPr>
      <w:bookmarkStart w:id="12" w:name="_Hlk77271644"/>
      <w:r w:rsidRPr="0091736C">
        <w:rPr>
          <w:rFonts w:ascii="Arial" w:eastAsia="Calibri" w:hAnsi="Arial" w:cs="Arial"/>
          <w:bCs/>
        </w:rPr>
        <w:t xml:space="preserve">Para analizar la fusión y sus efectos respecto de la experiencia de la sociedad que se </w:t>
      </w:r>
      <w:r>
        <w:rPr>
          <w:rFonts w:ascii="Arial" w:eastAsia="Calibri" w:hAnsi="Arial" w:cs="Arial"/>
        </w:rPr>
        <w:t>“</w:t>
      </w:r>
      <w:r w:rsidRPr="0091736C">
        <w:rPr>
          <w:rFonts w:ascii="Arial" w:eastAsia="Calibri" w:hAnsi="Arial" w:cs="Arial"/>
          <w:bCs/>
        </w:rPr>
        <w:t>disuelve</w:t>
      </w:r>
      <w:r>
        <w:rPr>
          <w:rFonts w:ascii="Arial" w:eastAsia="Calibri" w:hAnsi="Arial" w:cs="Arial"/>
          <w:bCs/>
        </w:rPr>
        <w:t>”</w:t>
      </w:r>
      <w:r w:rsidRPr="0091736C">
        <w:rPr>
          <w:rFonts w:ascii="Arial" w:eastAsia="Calibri" w:hAnsi="Arial" w:cs="Arial"/>
          <w:bCs/>
        </w:rPr>
        <w:t xml:space="preserve"> pero no se </w:t>
      </w:r>
      <w:r>
        <w:rPr>
          <w:rFonts w:ascii="Arial" w:eastAsia="Calibri" w:hAnsi="Arial" w:cs="Arial"/>
        </w:rPr>
        <w:t>“l</w:t>
      </w:r>
      <w:r w:rsidRPr="0091736C">
        <w:rPr>
          <w:rFonts w:ascii="Arial" w:eastAsia="Calibri" w:hAnsi="Arial" w:cs="Arial"/>
          <w:bCs/>
        </w:rPr>
        <w:t>iquida</w:t>
      </w:r>
      <w:r>
        <w:rPr>
          <w:rFonts w:ascii="Arial" w:eastAsia="Calibri" w:hAnsi="Arial" w:cs="Arial"/>
          <w:bCs/>
        </w:rPr>
        <w:t>”</w:t>
      </w:r>
      <w:r w:rsidRPr="0091736C">
        <w:rPr>
          <w:rFonts w:ascii="Arial" w:eastAsia="Calibri" w:hAnsi="Arial" w:cs="Arial"/>
          <w:bCs/>
        </w:rPr>
        <w:t>,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w:t>
      </w:r>
      <w:r>
        <w:rPr>
          <w:rFonts w:ascii="Arial" w:eastAsia="Calibri" w:hAnsi="Arial" w:cs="Arial"/>
          <w:bCs/>
        </w:rPr>
        <w:t>,</w:t>
      </w:r>
      <w:r w:rsidRPr="0091736C">
        <w:rPr>
          <w:rFonts w:ascii="Arial" w:eastAsia="Calibri" w:hAnsi="Arial" w:cs="Arial"/>
          <w:bCs/>
        </w:rPr>
        <w:t xml:space="preserve"> cuando es fusión por creación</w:t>
      </w:r>
      <w:r>
        <w:rPr>
          <w:rFonts w:ascii="Arial" w:eastAsia="Calibri" w:hAnsi="Arial" w:cs="Arial"/>
          <w:bCs/>
        </w:rPr>
        <w:t>;</w:t>
      </w:r>
      <w:r w:rsidRPr="0091736C">
        <w:rPr>
          <w:rFonts w:ascii="Arial" w:eastAsia="Calibri" w:hAnsi="Arial" w:cs="Arial"/>
          <w:bCs/>
        </w:rPr>
        <w:t xml:space="preserve"> o una sociedad existente</w:t>
      </w:r>
      <w:r>
        <w:rPr>
          <w:rFonts w:ascii="Arial" w:eastAsia="Calibri" w:hAnsi="Arial" w:cs="Arial"/>
          <w:bCs/>
        </w:rPr>
        <w:t>,</w:t>
      </w:r>
      <w:r w:rsidRPr="0091736C">
        <w:rPr>
          <w:rFonts w:ascii="Arial" w:eastAsia="Calibri" w:hAnsi="Arial" w:cs="Arial"/>
          <w:bCs/>
        </w:rPr>
        <w:t xml:space="preserve"> en la fusión por absorción. La experiencia no se comparte, porque para esto la sociedad debería continuar individualmente considerada, pero en este evento continúa a través de otra, a quien le </w:t>
      </w:r>
      <w:r w:rsidRPr="000231A1">
        <w:rPr>
          <w:rFonts w:ascii="Arial" w:eastAsia="Calibri" w:hAnsi="Arial" w:cs="Arial"/>
          <w:bCs/>
          <w:i/>
          <w:iCs/>
        </w:rPr>
        <w:t>transfiere</w:t>
      </w:r>
      <w:r w:rsidRPr="0091736C">
        <w:rPr>
          <w:rFonts w:ascii="Arial" w:eastAsia="Calibri" w:hAnsi="Arial" w:cs="Arial"/>
          <w:bCs/>
        </w:rPr>
        <w:t xml:space="preserve"> su experiencia y todos sus derechos y obligaciones, de conformidad con el artículo 172 y siguientes del Código de Comercio.</w:t>
      </w:r>
    </w:p>
    <w:bookmarkEnd w:id="12"/>
    <w:p w14:paraId="3B00646A" w14:textId="77777777" w:rsidR="005709B9" w:rsidRPr="0091736C" w:rsidRDefault="005709B9" w:rsidP="005709B9">
      <w:pPr>
        <w:spacing w:before="120" w:line="276" w:lineRule="auto"/>
        <w:ind w:firstLine="708"/>
        <w:jc w:val="both"/>
        <w:rPr>
          <w:rFonts w:ascii="Arial" w:eastAsia="Calibri" w:hAnsi="Arial" w:cs="Arial"/>
          <w:bCs/>
        </w:rPr>
      </w:pPr>
      <w:r w:rsidRPr="0091736C">
        <w:rPr>
          <w:rFonts w:ascii="Arial" w:eastAsia="Calibri" w:hAnsi="Arial" w:cs="Arial"/>
          <w:bCs/>
        </w:rPr>
        <w:t xml:space="preserve">La anterior conclusión es coherente con lo establecido en la Guía de Asuntos Corporativos en los Procesos de Contratación, expedida por la Agencia Nacional de Contratación Pública </w:t>
      </w:r>
      <w:r>
        <w:rPr>
          <w:rFonts w:ascii="Arial" w:eastAsia="Calibri" w:hAnsi="Arial" w:cs="Arial"/>
          <w:bCs/>
        </w:rPr>
        <w:t>–</w:t>
      </w:r>
      <w:r w:rsidRPr="0091736C">
        <w:rPr>
          <w:rFonts w:ascii="Arial" w:eastAsia="Calibri" w:hAnsi="Arial" w:cs="Arial"/>
          <w:bCs/>
        </w:rPr>
        <w:t xml:space="preserve"> Colombia Compra Eficiente, pues en ella se dice que </w:t>
      </w:r>
      <w:r>
        <w:rPr>
          <w:rFonts w:ascii="Arial" w:eastAsia="Calibri" w:hAnsi="Arial" w:cs="Arial"/>
          <w:bCs/>
        </w:rPr>
        <w:t>“</w:t>
      </w:r>
      <w:r w:rsidRPr="0091736C">
        <w:rPr>
          <w:rFonts w:ascii="Arial" w:eastAsia="Calibri" w:hAnsi="Arial" w:cs="Arial"/>
          <w:bCs/>
        </w:rPr>
        <w:t>La experiencia de las personas jurídicas es de carácter personal y en principio es intransferible. Por lo tanto, no es posible trasladar la experiencia de un proponente a otro en eventos de escisión o liquidación de una persona jurídica, ni que la experiencia sea enajenada por una persona jurídica en favor de otra persona jurídica o natural</w:t>
      </w:r>
      <w:r>
        <w:rPr>
          <w:rFonts w:ascii="Arial" w:eastAsia="Calibri" w:hAnsi="Arial" w:cs="Arial"/>
          <w:bCs/>
        </w:rPr>
        <w:t>”</w:t>
      </w:r>
      <w:r w:rsidRPr="0091736C">
        <w:rPr>
          <w:rFonts w:ascii="Arial" w:eastAsia="Calibri" w:hAnsi="Arial" w:cs="Arial"/>
          <w:bCs/>
        </w:rPr>
        <w:t xml:space="preserve">. Obsérvese que la Guía no establece que la experiencia es </w:t>
      </w:r>
      <w:r>
        <w:rPr>
          <w:rFonts w:ascii="Arial" w:eastAsia="Calibri" w:hAnsi="Arial" w:cs="Arial"/>
          <w:bCs/>
        </w:rPr>
        <w:t>“</w:t>
      </w:r>
      <w:r w:rsidRPr="0091736C">
        <w:rPr>
          <w:rFonts w:ascii="Arial" w:eastAsia="Calibri" w:hAnsi="Arial" w:cs="Arial"/>
          <w:bCs/>
        </w:rPr>
        <w:t>siempre</w:t>
      </w:r>
      <w:r>
        <w:rPr>
          <w:rFonts w:ascii="Arial" w:eastAsia="Calibri" w:hAnsi="Arial" w:cs="Arial"/>
          <w:bCs/>
        </w:rPr>
        <w:t>”</w:t>
      </w:r>
      <w:r w:rsidRPr="0091736C">
        <w:rPr>
          <w:rFonts w:ascii="Arial" w:eastAsia="Calibri" w:hAnsi="Arial" w:cs="Arial"/>
          <w:bCs/>
        </w:rPr>
        <w:t xml:space="preserve"> intransferible, sino que sostiene que ello es así </w:t>
      </w:r>
      <w:r>
        <w:rPr>
          <w:rFonts w:ascii="Arial" w:eastAsia="Calibri" w:hAnsi="Arial" w:cs="Arial"/>
          <w:bCs/>
        </w:rPr>
        <w:t>“</w:t>
      </w:r>
      <w:r w:rsidRPr="0091736C">
        <w:rPr>
          <w:rFonts w:ascii="Arial" w:eastAsia="Calibri" w:hAnsi="Arial" w:cs="Arial"/>
          <w:bCs/>
        </w:rPr>
        <w:t>en principio</w:t>
      </w:r>
      <w:r>
        <w:rPr>
          <w:rFonts w:ascii="Arial" w:eastAsia="Calibri" w:hAnsi="Arial" w:cs="Arial"/>
          <w:bCs/>
        </w:rPr>
        <w:t>”</w:t>
      </w:r>
      <w:r w:rsidRPr="0091736C">
        <w:rPr>
          <w:rFonts w:ascii="Arial" w:eastAsia="Calibri" w:hAnsi="Arial" w:cs="Arial"/>
          <w:bCs/>
        </w:rPr>
        <w:t xml:space="preserve">. Además, precisa que no es posible transferir la experiencia en la escisión y en la liquidación, justamente porque </w:t>
      </w:r>
      <w:r>
        <w:rPr>
          <w:rFonts w:ascii="Arial" w:eastAsia="Calibri" w:hAnsi="Arial" w:cs="Arial"/>
          <w:bCs/>
        </w:rPr>
        <w:t xml:space="preserve">en </w:t>
      </w:r>
      <w:r w:rsidRPr="0091736C">
        <w:rPr>
          <w:rFonts w:ascii="Arial" w:eastAsia="Calibri" w:hAnsi="Arial" w:cs="Arial"/>
          <w:bCs/>
        </w:rPr>
        <w:t xml:space="preserve">esos casos la persona jurídica desaparece, lo que no sucede en la fusión. Es decir que en este supuesto sí es posible la transferencia de la experiencia de la sociedad fusionada a la resultante. </w:t>
      </w:r>
    </w:p>
    <w:p w14:paraId="1919088F" w14:textId="77777777" w:rsidR="005709B9" w:rsidRPr="0091736C" w:rsidRDefault="005709B9" w:rsidP="005709B9">
      <w:pPr>
        <w:spacing w:before="120" w:line="276" w:lineRule="auto"/>
        <w:ind w:firstLine="708"/>
        <w:jc w:val="both"/>
        <w:rPr>
          <w:rFonts w:ascii="Arial" w:eastAsia="Calibri" w:hAnsi="Arial" w:cs="Arial"/>
          <w:bCs/>
        </w:rPr>
      </w:pPr>
      <w:r w:rsidRPr="0091736C">
        <w:rPr>
          <w:rFonts w:ascii="Arial" w:eastAsia="Calibri" w:hAnsi="Arial" w:cs="Arial"/>
          <w:bCs/>
        </w:rPr>
        <w:t>Esta postura en torno a la validez de la transferencia de experiencia de la sociedad absorbida a la absorbente es compartida por la Superintendencia de Sociedades. Dicha entidad</w:t>
      </w:r>
      <w:r>
        <w:rPr>
          <w:rFonts w:ascii="Arial" w:eastAsia="Calibri" w:hAnsi="Arial" w:cs="Arial"/>
          <w:bCs/>
        </w:rPr>
        <w:t>,</w:t>
      </w:r>
      <w:r w:rsidRPr="0091736C">
        <w:rPr>
          <w:rFonts w:ascii="Arial" w:eastAsia="Calibri" w:hAnsi="Arial" w:cs="Arial"/>
          <w:bCs/>
        </w:rPr>
        <w:t xml:space="preserve"> en ejercicio de la función consultiva</w:t>
      </w:r>
      <w:r>
        <w:rPr>
          <w:rFonts w:ascii="Arial" w:eastAsia="Calibri" w:hAnsi="Arial" w:cs="Arial"/>
          <w:bCs/>
        </w:rPr>
        <w:t>,</w:t>
      </w:r>
      <w:r w:rsidRPr="0091736C">
        <w:rPr>
          <w:rFonts w:ascii="Arial" w:eastAsia="Calibri" w:hAnsi="Arial" w:cs="Arial"/>
          <w:bCs/>
        </w:rPr>
        <w:t xml:space="preserve"> ha manifestado que </w:t>
      </w:r>
      <w:r>
        <w:rPr>
          <w:rFonts w:ascii="Arial" w:eastAsia="Calibri" w:hAnsi="Arial" w:cs="Arial"/>
          <w:bCs/>
        </w:rPr>
        <w:t xml:space="preserve">en </w:t>
      </w:r>
      <w:r w:rsidRPr="0091736C">
        <w:rPr>
          <w:rFonts w:ascii="Arial" w:eastAsia="Calibri" w:hAnsi="Arial" w:cs="Arial"/>
          <w:bCs/>
        </w:rPr>
        <w:t>esta figura es adecuada que la sociedad absorbida transfiera a la segunda sus atributos en lo relacionado con la experiencia</w:t>
      </w:r>
      <w:r w:rsidRPr="0091736C">
        <w:rPr>
          <w:rFonts w:ascii="Arial" w:eastAsia="Calibri" w:hAnsi="Arial" w:cs="Arial"/>
          <w:bCs/>
          <w:vertAlign w:val="superscript"/>
        </w:rPr>
        <w:footnoteReference w:id="18"/>
      </w:r>
      <w:r w:rsidRPr="0091736C">
        <w:rPr>
          <w:rFonts w:ascii="Arial" w:eastAsia="Calibri" w:hAnsi="Arial" w:cs="Arial"/>
          <w:bCs/>
        </w:rPr>
        <w:t xml:space="preserve">. Al respecto se ha manifestado: </w:t>
      </w:r>
    </w:p>
    <w:p w14:paraId="706A0573" w14:textId="77777777" w:rsidR="005709B9" w:rsidRPr="0091736C" w:rsidRDefault="005709B9" w:rsidP="005709B9">
      <w:pPr>
        <w:ind w:left="709" w:right="709"/>
        <w:jc w:val="both"/>
        <w:rPr>
          <w:rFonts w:ascii="Arial" w:hAnsi="Arial" w:cs="Arial"/>
          <w:sz w:val="21"/>
          <w:szCs w:val="21"/>
        </w:rPr>
      </w:pPr>
    </w:p>
    <w:p w14:paraId="2E601320" w14:textId="77777777" w:rsidR="005709B9" w:rsidRPr="0091736C" w:rsidRDefault="005709B9" w:rsidP="005709B9">
      <w:pPr>
        <w:ind w:left="709" w:right="709"/>
        <w:jc w:val="both"/>
        <w:rPr>
          <w:rFonts w:ascii="Arial" w:hAnsi="Arial" w:cs="Arial"/>
          <w:sz w:val="21"/>
          <w:szCs w:val="21"/>
        </w:rPr>
      </w:pPr>
      <w:r w:rsidRPr="0091736C">
        <w:rPr>
          <w:rFonts w:ascii="Arial" w:hAnsi="Arial" w:cs="Arial"/>
          <w:sz w:val="21"/>
          <w:szCs w:val="21"/>
        </w:rPr>
        <w:t xml:space="preserve">La fusión surge como el mecanismo pertinente para que los atributos de las compañías absorbidas, sean aprovechados por la compañía que las absorbe, entre éstos, la experiencia derivada de las obras cumplidas, bienes suministrados o servicios prestados durante la vigencia de la absorbida.  Por supuesto, frente a la normatividad alusiva a la contratación estatal, considera este despacho que resulta discrecional para </w:t>
      </w:r>
      <w:r w:rsidRPr="0091736C">
        <w:rPr>
          <w:rFonts w:ascii="Arial" w:hAnsi="Arial" w:cs="Arial"/>
          <w:sz w:val="21"/>
          <w:szCs w:val="21"/>
        </w:rPr>
        <w:lastRenderedPageBreak/>
        <w:t>la entidad estatal contratante coincidir, o no, con esta oficina en el sentido anotado y habilitar como proponente, para considerar su propuesta, a aquellos quienes, en virtud de su calidad de absorbentes, aprovechan todos los recursos que le fueron transmitidos por las absorbidas, incluidos intangibles como su experiencia, Know How, entre otros</w:t>
      </w:r>
      <w:r>
        <w:rPr>
          <w:rFonts w:ascii="Arial" w:hAnsi="Arial" w:cs="Arial"/>
          <w:sz w:val="21"/>
          <w:szCs w:val="21"/>
        </w:rPr>
        <w:t>.</w:t>
      </w:r>
    </w:p>
    <w:p w14:paraId="36CA8054" w14:textId="77777777" w:rsidR="005709B9" w:rsidRPr="0091736C" w:rsidRDefault="005709B9" w:rsidP="005709B9">
      <w:pPr>
        <w:ind w:left="709" w:right="709"/>
        <w:jc w:val="both"/>
        <w:rPr>
          <w:rFonts w:ascii="Arial" w:hAnsi="Arial" w:cs="Arial"/>
          <w:sz w:val="21"/>
          <w:szCs w:val="21"/>
        </w:rPr>
      </w:pPr>
    </w:p>
    <w:p w14:paraId="11A9D7DB" w14:textId="77777777" w:rsidR="005709B9" w:rsidRPr="0091736C" w:rsidRDefault="005709B9" w:rsidP="005709B9">
      <w:pPr>
        <w:ind w:left="709" w:right="709"/>
        <w:jc w:val="both"/>
        <w:rPr>
          <w:rFonts w:ascii="Arial" w:hAnsi="Arial" w:cs="Arial"/>
          <w:sz w:val="21"/>
          <w:szCs w:val="21"/>
        </w:rPr>
      </w:pPr>
      <w:r w:rsidRPr="0091736C">
        <w:rPr>
          <w:rFonts w:ascii="Arial" w:hAnsi="Arial" w:cs="Arial"/>
          <w:sz w:val="21"/>
          <w:szCs w:val="21"/>
        </w:rPr>
        <w:t>[…]</w:t>
      </w:r>
    </w:p>
    <w:p w14:paraId="3BCAAF05" w14:textId="77777777" w:rsidR="005709B9" w:rsidRPr="0091736C" w:rsidRDefault="005709B9" w:rsidP="005709B9">
      <w:pPr>
        <w:ind w:left="709" w:right="709"/>
        <w:jc w:val="both"/>
        <w:rPr>
          <w:rFonts w:ascii="Arial" w:hAnsi="Arial" w:cs="Arial"/>
          <w:sz w:val="21"/>
          <w:szCs w:val="21"/>
        </w:rPr>
      </w:pPr>
    </w:p>
    <w:p w14:paraId="69A93113" w14:textId="77777777" w:rsidR="005709B9" w:rsidRPr="0091736C" w:rsidRDefault="005709B9" w:rsidP="005709B9">
      <w:pPr>
        <w:ind w:left="709" w:right="709"/>
        <w:jc w:val="both"/>
        <w:rPr>
          <w:rFonts w:ascii="Arial" w:hAnsi="Arial" w:cs="Arial"/>
          <w:sz w:val="21"/>
          <w:szCs w:val="21"/>
        </w:rPr>
      </w:pPr>
      <w:r w:rsidRPr="0091736C">
        <w:rPr>
          <w:rFonts w:ascii="Arial" w:hAnsi="Arial" w:cs="Arial"/>
          <w:sz w:val="21"/>
          <w:szCs w:val="21"/>
        </w:rPr>
        <w:t xml:space="preserve">En cuanto refiere a </w:t>
      </w:r>
      <w:r w:rsidRPr="0091736C">
        <w:rPr>
          <w:rFonts w:ascii="Arial" w:hAnsi="Arial" w:cs="Arial"/>
          <w:i/>
          <w:iCs/>
          <w:sz w:val="21"/>
          <w:szCs w:val="21"/>
          <w:u w:val="single"/>
        </w:rPr>
        <w:t xml:space="preserve">la certificación que sobre la experiencia de un proponente, expiden las cámaras de comercio a través del Registro Único de Proponentes que administran, esta oficina considera que la normativa a que se ha venido aludiendo no reguló, pero tampoco prohibió, otras situaciones de transferencia de experiencia como la que se presenta con la fusión, </w:t>
      </w:r>
      <w:r w:rsidRPr="0091736C">
        <w:rPr>
          <w:rFonts w:ascii="Arial" w:hAnsi="Arial" w:cs="Arial"/>
          <w:sz w:val="21"/>
          <w:szCs w:val="21"/>
        </w:rPr>
        <w:t>por lo que la considera válida para efecto de ser invocada por la absorbente, a través del certificado que le expida la cámara de comercio con base en la información depositada en el Registro Único de Proponentes, RUP</w:t>
      </w:r>
      <w:r w:rsidRPr="0091736C">
        <w:rPr>
          <w:rFonts w:ascii="Arial" w:hAnsi="Arial" w:cs="Arial"/>
          <w:sz w:val="21"/>
          <w:szCs w:val="21"/>
          <w:vertAlign w:val="superscript"/>
        </w:rPr>
        <w:footnoteReference w:id="19"/>
      </w:r>
      <w:r w:rsidRPr="0091736C">
        <w:rPr>
          <w:rFonts w:ascii="Arial" w:hAnsi="Arial" w:cs="Arial"/>
          <w:sz w:val="21"/>
          <w:szCs w:val="21"/>
        </w:rPr>
        <w:t xml:space="preserve">. </w:t>
      </w:r>
      <w:r>
        <w:rPr>
          <w:rFonts w:ascii="Arial" w:hAnsi="Arial" w:cs="Arial"/>
          <w:sz w:val="21"/>
          <w:szCs w:val="21"/>
        </w:rPr>
        <w:t>(</w:t>
      </w:r>
      <w:r w:rsidRPr="0091736C">
        <w:rPr>
          <w:rFonts w:ascii="Arial" w:hAnsi="Arial" w:cs="Arial"/>
          <w:sz w:val="21"/>
          <w:szCs w:val="21"/>
        </w:rPr>
        <w:t>Énfasis fuera de texto</w:t>
      </w:r>
      <w:r>
        <w:rPr>
          <w:rFonts w:ascii="Arial" w:hAnsi="Arial" w:cs="Arial"/>
          <w:sz w:val="21"/>
          <w:szCs w:val="21"/>
        </w:rPr>
        <w:t>).</w:t>
      </w:r>
    </w:p>
    <w:p w14:paraId="1ACC9313" w14:textId="77777777" w:rsidR="005709B9" w:rsidRPr="0091736C" w:rsidRDefault="005709B9" w:rsidP="005709B9">
      <w:pPr>
        <w:spacing w:line="276" w:lineRule="auto"/>
        <w:ind w:left="709" w:right="709"/>
        <w:jc w:val="both"/>
        <w:rPr>
          <w:rFonts w:ascii="Arial" w:hAnsi="Arial" w:cs="Arial"/>
          <w:sz w:val="21"/>
          <w:szCs w:val="21"/>
        </w:rPr>
      </w:pPr>
    </w:p>
    <w:p w14:paraId="35330C55" w14:textId="77777777" w:rsidR="005709B9" w:rsidRPr="0091736C" w:rsidRDefault="005709B9" w:rsidP="005709B9">
      <w:pPr>
        <w:spacing w:line="276" w:lineRule="auto"/>
        <w:ind w:firstLine="708"/>
        <w:jc w:val="both"/>
        <w:rPr>
          <w:rFonts w:ascii="Arial" w:hAnsi="Arial" w:cs="Arial"/>
          <w:color w:val="000000"/>
        </w:rPr>
      </w:pPr>
      <w:r w:rsidRPr="0091736C">
        <w:rPr>
          <w:rFonts w:ascii="Arial" w:eastAsia="Calibri" w:hAnsi="Arial" w:cs="Arial"/>
          <w:bCs/>
        </w:rPr>
        <w:t xml:space="preserve">En efecto, el artículo 2.2.1.1.1.5.3 del Decreto 1082 de 2015 hace referencia a que las cámaras de comercio deberán registrar la experiencia certificada con base en los </w:t>
      </w:r>
      <w:r>
        <w:rPr>
          <w:rFonts w:ascii="Arial" w:eastAsia="Calibri" w:hAnsi="Arial" w:cs="Arial"/>
          <w:bCs/>
        </w:rPr>
        <w:t>“</w:t>
      </w:r>
      <w:r w:rsidRPr="0091736C">
        <w:rPr>
          <w:rFonts w:ascii="Arial" w:hAnsi="Arial" w:cs="Arial"/>
          <w:color w:val="000000"/>
        </w:rPr>
        <w:t>Los contratos celebrados por el interesado</w:t>
      </w:r>
      <w:r>
        <w:rPr>
          <w:rFonts w:ascii="Arial" w:hAnsi="Arial" w:cs="Arial"/>
          <w:color w:val="000000"/>
        </w:rPr>
        <w:t>”</w:t>
      </w:r>
      <w:r w:rsidRPr="0091736C">
        <w:rPr>
          <w:rFonts w:ascii="Arial" w:hAnsi="Arial" w:cs="Arial"/>
          <w:color w:val="000000"/>
        </w:rPr>
        <w:t xml:space="preserve"> y </w:t>
      </w:r>
      <w:r>
        <w:rPr>
          <w:rFonts w:ascii="Arial" w:hAnsi="Arial" w:cs="Arial"/>
          <w:color w:val="000000"/>
        </w:rPr>
        <w:t>“</w:t>
      </w:r>
      <w:r w:rsidRPr="0091736C">
        <w:rPr>
          <w:rFonts w:ascii="Arial" w:hAnsi="Arial" w:cs="Arial"/>
          <w:color w:val="000000"/>
        </w:rPr>
        <w:t>Los contratos celebrados por consorcios, uniones temporales y sociedades en las cuales el interesado tenga o haya tenido participación</w:t>
      </w:r>
      <w:r>
        <w:rPr>
          <w:rFonts w:ascii="Arial" w:hAnsi="Arial" w:cs="Arial"/>
          <w:color w:val="000000"/>
        </w:rPr>
        <w:t>”</w:t>
      </w:r>
      <w:r w:rsidRPr="0091736C">
        <w:rPr>
          <w:rFonts w:ascii="Arial" w:hAnsi="Arial" w:cs="Arial"/>
          <w:color w:val="000000"/>
        </w:rPr>
        <w:t xml:space="preserve">, sin hacer alusión a las diferentes reformas estatutarias que podrían amparar la transferencia de experiencia conforme a lo explicado </w:t>
      </w:r>
      <w:r w:rsidRPr="0091736C">
        <w:rPr>
          <w:rFonts w:ascii="Arial" w:hAnsi="Arial" w:cs="Arial"/>
          <w:i/>
          <w:iCs/>
          <w:color w:val="000000"/>
        </w:rPr>
        <w:t>supra</w:t>
      </w:r>
      <w:r w:rsidRPr="0091736C">
        <w:rPr>
          <w:rFonts w:ascii="Arial" w:hAnsi="Arial" w:cs="Arial"/>
          <w:i/>
          <w:iCs/>
          <w:color w:val="000000"/>
          <w:vertAlign w:val="superscript"/>
        </w:rPr>
        <w:footnoteReference w:id="20"/>
      </w:r>
      <w:r w:rsidRPr="0091736C">
        <w:rPr>
          <w:rFonts w:ascii="Arial" w:hAnsi="Arial" w:cs="Arial"/>
          <w:color w:val="000000"/>
        </w:rPr>
        <w:t xml:space="preserve">. Caso contario ocurre con la posibilidad de que una sociedad, durante los primeros tres (3) años de su constitución–e incluso después– pueda acreditar como suya la experiencia de socios, supuesto regulado por el numeral 2.5 del artículo 2.2.1.1.1.5.2 del Decreto 1082 de 2015. </w:t>
      </w:r>
    </w:p>
    <w:p w14:paraId="026CD6D9" w14:textId="77777777" w:rsidR="005709B9" w:rsidRPr="00634064" w:rsidRDefault="005709B9" w:rsidP="005709B9">
      <w:pPr>
        <w:spacing w:before="120" w:line="276" w:lineRule="auto"/>
        <w:ind w:firstLine="708"/>
        <w:jc w:val="both"/>
        <w:rPr>
          <w:rFonts w:ascii="Arial" w:hAnsi="Arial" w:cs="Arial"/>
          <w:bCs/>
          <w:color w:val="000000"/>
        </w:rPr>
      </w:pPr>
      <w:r w:rsidRPr="0091736C">
        <w:rPr>
          <w:rFonts w:ascii="Arial" w:hAnsi="Arial" w:cs="Arial"/>
          <w:color w:val="000000"/>
        </w:rPr>
        <w:t>En ese sentido, considerando que el RUP es el documento que constituye plena prueba de la experiencia adquirida por el proponente, es necesario que la experiencia de la sociedad absorbida qued</w:t>
      </w:r>
      <w:r>
        <w:rPr>
          <w:rFonts w:ascii="Arial" w:hAnsi="Arial" w:cs="Arial"/>
          <w:color w:val="000000"/>
        </w:rPr>
        <w:t>e</w:t>
      </w:r>
      <w:r w:rsidRPr="0091736C">
        <w:rPr>
          <w:rFonts w:ascii="Arial" w:hAnsi="Arial" w:cs="Arial"/>
          <w:color w:val="000000"/>
        </w:rPr>
        <w:t xml:space="preserve"> incorporada en el RUP de la absorbente para que esta pueda acreditarla. Esto implica que la sociedad absorbente haya adelantado el respectivo trámite de actualización o renovación del RUP, en el marco del cual se haya consolidado la transferencia de experiencia. </w:t>
      </w:r>
      <w:r w:rsidRPr="00634064">
        <w:rPr>
          <w:rFonts w:ascii="Arial" w:hAnsi="Arial" w:cs="Arial"/>
          <w:bCs/>
          <w:color w:val="000000"/>
        </w:rPr>
        <w:t xml:space="preserve">Para estos efectos, el proponente debe realizar el trámite pertinente ante la </w:t>
      </w:r>
      <w:r>
        <w:rPr>
          <w:rFonts w:ascii="Arial" w:hAnsi="Arial" w:cs="Arial"/>
          <w:bCs/>
          <w:color w:val="000000"/>
        </w:rPr>
        <w:t>c</w:t>
      </w:r>
      <w:r w:rsidRPr="00634064">
        <w:rPr>
          <w:rFonts w:ascii="Arial" w:hAnsi="Arial" w:cs="Arial"/>
          <w:bCs/>
          <w:color w:val="000000"/>
        </w:rPr>
        <w:t xml:space="preserve">ámara de </w:t>
      </w:r>
      <w:r>
        <w:rPr>
          <w:rFonts w:ascii="Arial" w:hAnsi="Arial" w:cs="Arial"/>
          <w:bCs/>
          <w:color w:val="000000"/>
        </w:rPr>
        <w:t>c</w:t>
      </w:r>
      <w:r w:rsidRPr="00634064">
        <w:rPr>
          <w:rFonts w:ascii="Arial" w:hAnsi="Arial" w:cs="Arial"/>
          <w:bCs/>
          <w:color w:val="000000"/>
        </w:rPr>
        <w:t xml:space="preserve">omercio </w:t>
      </w:r>
      <w:r w:rsidRPr="00634064">
        <w:rPr>
          <w:rFonts w:ascii="Arial" w:hAnsi="Arial" w:cs="Arial"/>
          <w:color w:val="000000"/>
        </w:rPr>
        <w:lastRenderedPageBreak/>
        <w:t>con copia de los contratos o con certificados de los contratos celebrados con diferentes contratantes y los demás documentos requeridos</w:t>
      </w:r>
      <w:r>
        <w:rPr>
          <w:rFonts w:ascii="Arial" w:hAnsi="Arial" w:cs="Arial"/>
          <w:color w:val="000000"/>
        </w:rPr>
        <w:t xml:space="preserve"> por dicha entidad</w:t>
      </w:r>
      <w:r w:rsidRPr="00634064">
        <w:rPr>
          <w:rFonts w:ascii="Arial" w:hAnsi="Arial" w:cs="Arial"/>
          <w:color w:val="000000"/>
        </w:rPr>
        <w:t>. Tales contratos deben codificarse con el clasificador de bienes y servicios en el tercer nivel</w:t>
      </w:r>
      <w:r>
        <w:rPr>
          <w:rFonts w:ascii="Arial" w:hAnsi="Arial" w:cs="Arial"/>
          <w:color w:val="000000"/>
        </w:rPr>
        <w:t>, como se explicó anteriormente.</w:t>
      </w:r>
      <w:r w:rsidRPr="00634064">
        <w:rPr>
          <w:rFonts w:ascii="Arial" w:hAnsi="Arial" w:cs="Arial"/>
          <w:color w:val="000000"/>
        </w:rPr>
        <w:t xml:space="preserve"> </w:t>
      </w:r>
    </w:p>
    <w:p w14:paraId="247AFEA0" w14:textId="77777777" w:rsidR="005709B9" w:rsidRPr="00A51520" w:rsidRDefault="005709B9" w:rsidP="005709B9">
      <w:pPr>
        <w:spacing w:line="276" w:lineRule="auto"/>
        <w:jc w:val="both"/>
        <w:rPr>
          <w:rFonts w:ascii="Arial" w:hAnsi="Arial" w:cs="Arial"/>
          <w:lang w:eastAsia="es-MX"/>
        </w:rPr>
      </w:pPr>
    </w:p>
    <w:p w14:paraId="1D871805" w14:textId="77777777" w:rsidR="005709B9" w:rsidRPr="00A51520" w:rsidRDefault="005709B9" w:rsidP="005709B9">
      <w:pPr>
        <w:tabs>
          <w:tab w:val="left" w:pos="0"/>
        </w:tabs>
        <w:jc w:val="both"/>
        <w:rPr>
          <w:rFonts w:ascii="Arial" w:eastAsia="Calibri" w:hAnsi="Arial" w:cs="Arial"/>
          <w:b/>
          <w:color w:val="000000" w:themeColor="text1"/>
          <w:lang w:val="es-ES_tradnl"/>
        </w:rPr>
      </w:pPr>
      <w:r w:rsidRPr="00A51520">
        <w:rPr>
          <w:rFonts w:ascii="Arial" w:eastAsia="Calibri" w:hAnsi="Arial" w:cs="Arial"/>
          <w:b/>
          <w:color w:val="000000" w:themeColor="text1"/>
          <w:lang w:val="es-ES_tradnl"/>
        </w:rPr>
        <w:t>3. Respuesta</w:t>
      </w:r>
    </w:p>
    <w:p w14:paraId="62B144C4" w14:textId="77777777" w:rsidR="005709B9" w:rsidRPr="00A51520" w:rsidRDefault="005709B9" w:rsidP="005709B9">
      <w:pPr>
        <w:spacing w:line="276" w:lineRule="auto"/>
        <w:jc w:val="both"/>
        <w:rPr>
          <w:rFonts w:ascii="Arial" w:hAnsi="Arial" w:cs="Arial"/>
          <w:color w:val="000000" w:themeColor="text1"/>
          <w:lang w:val="es-ES_tradnl"/>
        </w:rPr>
      </w:pPr>
    </w:p>
    <w:p w14:paraId="45A801F2" w14:textId="77777777" w:rsidR="005709B9" w:rsidRPr="00361F21" w:rsidRDefault="005709B9" w:rsidP="005709B9">
      <w:pPr>
        <w:spacing w:line="276" w:lineRule="auto"/>
        <w:ind w:left="567" w:right="616"/>
        <w:jc w:val="both"/>
        <w:rPr>
          <w:rFonts w:ascii="Arial" w:hAnsi="Arial" w:cs="Arial"/>
          <w:sz w:val="21"/>
          <w:szCs w:val="21"/>
        </w:rPr>
      </w:pPr>
      <w:r w:rsidRPr="00361F21">
        <w:rPr>
          <w:rFonts w:ascii="Arial" w:hAnsi="Arial" w:cs="Arial"/>
          <w:sz w:val="21"/>
          <w:szCs w:val="21"/>
        </w:rPr>
        <w:t>“[…] [¿]Si dos empresas se van a fusionar ¿puede la sociedad que absorbe tomar como propia la experiencia de la absorbida e incluirla en su RUP? ¿o esa experiencia se pierde?</w:t>
      </w:r>
    </w:p>
    <w:p w14:paraId="595F8C96" w14:textId="77777777" w:rsidR="005709B9" w:rsidRPr="00361F21" w:rsidRDefault="005709B9" w:rsidP="005709B9">
      <w:pPr>
        <w:spacing w:line="276" w:lineRule="auto"/>
        <w:ind w:left="567" w:right="616"/>
        <w:jc w:val="both"/>
        <w:rPr>
          <w:rFonts w:ascii="Arial" w:hAnsi="Arial" w:cs="Arial"/>
          <w:sz w:val="21"/>
          <w:szCs w:val="21"/>
        </w:rPr>
      </w:pPr>
    </w:p>
    <w:p w14:paraId="41A13101" w14:textId="77777777" w:rsidR="005709B9" w:rsidRPr="00361F21" w:rsidRDefault="005709B9" w:rsidP="005709B9">
      <w:pPr>
        <w:spacing w:line="276" w:lineRule="auto"/>
        <w:ind w:left="567" w:right="616"/>
        <w:jc w:val="both"/>
        <w:rPr>
          <w:rFonts w:ascii="Arial" w:hAnsi="Arial" w:cs="Arial"/>
          <w:sz w:val="21"/>
          <w:szCs w:val="21"/>
          <w:lang w:val="es-ES_tradnl"/>
        </w:rPr>
      </w:pPr>
      <w:r w:rsidRPr="00361F21">
        <w:rPr>
          <w:rFonts w:ascii="Arial" w:hAnsi="Arial" w:cs="Arial"/>
          <w:sz w:val="21"/>
          <w:szCs w:val="21"/>
        </w:rPr>
        <w:t>En caso de no poder tomar la experiencia que se puede hacer para no perder la experiencia? […]” (sic)</w:t>
      </w:r>
    </w:p>
    <w:p w14:paraId="5FE1DD63" w14:textId="77777777" w:rsidR="005709B9" w:rsidRDefault="005709B9" w:rsidP="005709B9">
      <w:pPr>
        <w:spacing w:line="276" w:lineRule="auto"/>
        <w:ind w:right="476"/>
        <w:jc w:val="both"/>
        <w:rPr>
          <w:rFonts w:ascii="Arial" w:eastAsia="Calibri" w:hAnsi="Arial" w:cs="Arial"/>
          <w:bCs/>
          <w:sz w:val="21"/>
          <w:szCs w:val="21"/>
          <w:lang w:val="es-ES_tradnl"/>
        </w:rPr>
      </w:pPr>
    </w:p>
    <w:p w14:paraId="76F6F9A0" w14:textId="77777777" w:rsidR="005709B9" w:rsidRPr="00C51C15" w:rsidRDefault="005709B9" w:rsidP="005709B9">
      <w:pPr>
        <w:spacing w:line="276" w:lineRule="auto"/>
        <w:jc w:val="both"/>
        <w:rPr>
          <w:rFonts w:ascii="Arial" w:hAnsi="Arial" w:cs="Arial"/>
          <w:bCs/>
          <w:color w:val="000000"/>
        </w:rPr>
      </w:pPr>
      <w:r w:rsidRPr="00C51C15">
        <w:rPr>
          <w:rFonts w:ascii="Arial" w:hAnsi="Arial" w:cs="Arial"/>
          <w:bCs/>
          <w:color w:val="000000"/>
        </w:rPr>
        <w:t>Con fundamento en las consideraciones efectuadas,</w:t>
      </w:r>
      <w:r>
        <w:rPr>
          <w:rFonts w:ascii="Arial" w:hAnsi="Arial" w:cs="Arial"/>
          <w:bCs/>
          <w:color w:val="000000"/>
        </w:rPr>
        <w:t xml:space="preserve"> </w:t>
      </w:r>
      <w:r w:rsidRPr="00C51C15">
        <w:rPr>
          <w:rFonts w:ascii="Arial" w:hAnsi="Arial" w:cs="Arial"/>
          <w:bCs/>
          <w:color w:val="000000"/>
        </w:rPr>
        <w:t xml:space="preserve">la Subdirección de Gestión Contractual responde su petición, reiterando </w:t>
      </w:r>
      <w:r>
        <w:rPr>
          <w:rFonts w:ascii="Arial" w:hAnsi="Arial" w:cs="Arial"/>
          <w:bCs/>
          <w:color w:val="000000"/>
        </w:rPr>
        <w:t xml:space="preserve">que </w:t>
      </w:r>
      <w:r w:rsidRPr="00C51C15">
        <w:rPr>
          <w:rFonts w:ascii="Arial" w:hAnsi="Arial" w:cs="Arial"/>
          <w:bCs/>
          <w:color w:val="000000"/>
        </w:rPr>
        <w:t>si bien en principio la experiencia de las personas jurídicas es intransferible en la contratación estatal regulada por el Estatuto General de Contratación de la Administración Pública, dicha regla general tiene excepciones. Una de ellas se presenta en la fusión, pues, al disolverse la persona jurídica, sin liquidarse, puede transferirle la experiencia a la sociedad resultante.</w:t>
      </w:r>
      <w:r>
        <w:rPr>
          <w:rFonts w:ascii="Arial" w:hAnsi="Arial" w:cs="Arial"/>
          <w:bCs/>
          <w:color w:val="000000"/>
        </w:rPr>
        <w:t xml:space="preserve"> En efecto</w:t>
      </w:r>
      <w:r w:rsidRPr="00C51C15">
        <w:rPr>
          <w:rFonts w:ascii="Arial" w:hAnsi="Arial" w:cs="Arial"/>
          <w:bCs/>
          <w:color w:val="000000"/>
        </w:rPr>
        <w:t xml:space="preserve">, en la fusión por absorción y en la </w:t>
      </w:r>
      <w:r>
        <w:rPr>
          <w:rFonts w:ascii="Arial" w:hAnsi="Arial" w:cs="Arial"/>
          <w:bCs/>
          <w:color w:val="000000"/>
        </w:rPr>
        <w:t xml:space="preserve">que da lugar a la </w:t>
      </w:r>
      <w:r w:rsidRPr="00C51C15">
        <w:rPr>
          <w:rFonts w:ascii="Arial" w:hAnsi="Arial" w:cs="Arial"/>
          <w:bCs/>
          <w:color w:val="000000"/>
        </w:rPr>
        <w:t>creación de una nueva sociedad, la experiencia es transferible en la medida en que la sociedad se disuelve y no se liquida, es decir, no desaparece</w:t>
      </w:r>
      <w:r>
        <w:rPr>
          <w:rFonts w:ascii="Arial" w:hAnsi="Arial" w:cs="Arial"/>
          <w:bCs/>
          <w:color w:val="000000"/>
        </w:rPr>
        <w:t>, sino que continúa a través de otra</w:t>
      </w:r>
      <w:r w:rsidRPr="00C51C15">
        <w:rPr>
          <w:rFonts w:ascii="Arial" w:hAnsi="Arial" w:cs="Arial"/>
          <w:bCs/>
          <w:color w:val="000000"/>
        </w:rPr>
        <w:t xml:space="preserve">. En este sentido, la trasferencia de la experiencia ocurre porque la persona jurídica continúa a través de otra, esto es, deja de ser quien es pero no desaparece porque otra sociedad se convierte en ella, ya sea una sociedad nueva cuando es fusión por creación, o una sociedad existente en la fusión por absorción. </w:t>
      </w:r>
    </w:p>
    <w:p w14:paraId="7BD36715" w14:textId="77777777" w:rsidR="005709B9" w:rsidRDefault="005709B9" w:rsidP="005709B9">
      <w:pPr>
        <w:spacing w:before="120" w:line="276" w:lineRule="auto"/>
        <w:ind w:firstLine="709"/>
        <w:jc w:val="both"/>
        <w:rPr>
          <w:rFonts w:ascii="Arial" w:hAnsi="Arial" w:cs="Arial"/>
          <w:bCs/>
          <w:color w:val="000000"/>
        </w:rPr>
      </w:pPr>
      <w:r w:rsidRPr="00C6624E">
        <w:rPr>
          <w:rFonts w:ascii="Arial" w:hAnsi="Arial" w:cs="Arial"/>
          <w:bCs/>
          <w:color w:val="000000"/>
        </w:rPr>
        <w:t>En consecuencia, en la fusión por absorción</w:t>
      </w:r>
      <w:r w:rsidRPr="00C51C15">
        <w:rPr>
          <w:rFonts w:ascii="Arial" w:hAnsi="Arial" w:cs="Arial"/>
          <w:bCs/>
          <w:color w:val="000000"/>
        </w:rPr>
        <w:t xml:space="preserve"> o creación de una nueva sociedad</w:t>
      </w:r>
      <w:r w:rsidRPr="00C6624E">
        <w:rPr>
          <w:rFonts w:ascii="Arial" w:hAnsi="Arial" w:cs="Arial"/>
          <w:bCs/>
          <w:color w:val="000000"/>
        </w:rPr>
        <w:t xml:space="preserve"> es posible que la sociedad absorbente</w:t>
      </w:r>
      <w:r>
        <w:rPr>
          <w:rFonts w:ascii="Arial" w:hAnsi="Arial" w:cs="Arial"/>
          <w:bCs/>
          <w:color w:val="000000"/>
        </w:rPr>
        <w:t xml:space="preserve"> o la nueva</w:t>
      </w:r>
      <w:r w:rsidRPr="00C6624E">
        <w:rPr>
          <w:rFonts w:ascii="Arial" w:hAnsi="Arial" w:cs="Arial"/>
          <w:bCs/>
          <w:color w:val="000000"/>
        </w:rPr>
        <w:t xml:space="preserve"> obtenga la experiencia de la absorbida, porque esta última continuó a través de la primera, y ello impli</w:t>
      </w:r>
      <w:r>
        <w:rPr>
          <w:rFonts w:ascii="Arial" w:hAnsi="Arial" w:cs="Arial"/>
          <w:bCs/>
          <w:color w:val="000000"/>
        </w:rPr>
        <w:t>c</w:t>
      </w:r>
      <w:r w:rsidRPr="00C6624E">
        <w:rPr>
          <w:rFonts w:ascii="Arial" w:hAnsi="Arial" w:cs="Arial"/>
          <w:bCs/>
          <w:color w:val="000000"/>
        </w:rPr>
        <w:t>a que transfirió su experiencia debido a que no se liquidó, es decir</w:t>
      </w:r>
      <w:r>
        <w:rPr>
          <w:rFonts w:ascii="Arial" w:hAnsi="Arial" w:cs="Arial"/>
          <w:bCs/>
          <w:color w:val="000000"/>
        </w:rPr>
        <w:t>,</w:t>
      </w:r>
      <w:r w:rsidRPr="00C6624E">
        <w:rPr>
          <w:rFonts w:ascii="Arial" w:hAnsi="Arial" w:cs="Arial"/>
          <w:bCs/>
          <w:color w:val="000000"/>
        </w:rPr>
        <w:t xml:space="preserve"> no desapareció, lo que haría imposible la transferencia de experiencia. </w:t>
      </w:r>
    </w:p>
    <w:p w14:paraId="7826897C" w14:textId="77777777" w:rsidR="005709B9" w:rsidRPr="00150A26" w:rsidRDefault="005709B9" w:rsidP="005709B9">
      <w:pPr>
        <w:spacing w:before="120" w:line="276" w:lineRule="auto"/>
        <w:ind w:firstLine="709"/>
        <w:jc w:val="both"/>
        <w:rPr>
          <w:rFonts w:ascii="Arial" w:hAnsi="Arial" w:cs="Arial"/>
          <w:bCs/>
          <w:color w:val="000000"/>
        </w:rPr>
      </w:pPr>
      <w:r>
        <w:rPr>
          <w:rFonts w:ascii="Arial" w:hAnsi="Arial" w:cs="Arial"/>
          <w:bCs/>
          <w:color w:val="000000"/>
        </w:rPr>
        <w:t xml:space="preserve">Sin embargo, cabe señalar que, en todos los casos se deberán tener en cuenta las condiciones bajo las cuales se creó o desarrolló la figura de Fusión que son </w:t>
      </w:r>
      <w:r w:rsidRPr="0091736C">
        <w:rPr>
          <w:rFonts w:ascii="Arial" w:eastAsia="Calibri" w:hAnsi="Arial" w:cs="Arial"/>
        </w:rPr>
        <w:t xml:space="preserve">i) por absorción: una o más sociedades se </w:t>
      </w:r>
      <w:r>
        <w:rPr>
          <w:rFonts w:ascii="Arial" w:eastAsia="Calibri" w:hAnsi="Arial" w:cs="Arial"/>
        </w:rPr>
        <w:t>“</w:t>
      </w:r>
      <w:r w:rsidRPr="0091736C">
        <w:rPr>
          <w:rFonts w:ascii="Arial" w:eastAsia="Calibri" w:hAnsi="Arial" w:cs="Arial"/>
        </w:rPr>
        <w:t>disuelven</w:t>
      </w:r>
      <w:r>
        <w:rPr>
          <w:rFonts w:ascii="Arial" w:eastAsia="Calibri" w:hAnsi="Arial" w:cs="Arial"/>
        </w:rPr>
        <w:t>”</w:t>
      </w:r>
      <w:r w:rsidRPr="0091736C">
        <w:rPr>
          <w:rFonts w:ascii="Arial" w:eastAsia="Calibri" w:hAnsi="Arial" w:cs="Arial"/>
        </w:rPr>
        <w:t xml:space="preserve"> sin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xml:space="preserve"> para ser absorbidas por otra existente; ii) por creación: una o más sociedades se </w:t>
      </w:r>
      <w:r>
        <w:rPr>
          <w:rFonts w:ascii="Arial" w:eastAsia="Calibri" w:hAnsi="Arial" w:cs="Arial"/>
        </w:rPr>
        <w:t>“</w:t>
      </w:r>
      <w:r w:rsidRPr="0091736C">
        <w:rPr>
          <w:rFonts w:ascii="Arial" w:eastAsia="Calibri" w:hAnsi="Arial" w:cs="Arial"/>
        </w:rPr>
        <w:t>disuelven</w:t>
      </w:r>
      <w:r>
        <w:rPr>
          <w:rFonts w:ascii="Arial" w:eastAsia="Calibri" w:hAnsi="Arial" w:cs="Arial"/>
        </w:rPr>
        <w:t>”</w:t>
      </w:r>
      <w:r w:rsidRPr="0091736C">
        <w:rPr>
          <w:rFonts w:ascii="Arial" w:eastAsia="Calibri" w:hAnsi="Arial" w:cs="Arial"/>
        </w:rPr>
        <w:t xml:space="preserve"> sin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xml:space="preserve"> para ser absorbidas por otra </w:t>
      </w:r>
      <w:r w:rsidRPr="0091736C">
        <w:rPr>
          <w:rFonts w:ascii="Arial" w:eastAsia="Calibri" w:hAnsi="Arial" w:cs="Arial"/>
        </w:rPr>
        <w:lastRenderedPageBreak/>
        <w:t>nuev</w:t>
      </w:r>
      <w:r>
        <w:rPr>
          <w:rFonts w:ascii="Arial" w:eastAsia="Calibri" w:hAnsi="Arial" w:cs="Arial"/>
        </w:rPr>
        <w:t>a,</w:t>
      </w:r>
      <w:r w:rsidRPr="0091736C">
        <w:rPr>
          <w:rFonts w:ascii="Arial" w:eastAsia="Calibri" w:hAnsi="Arial" w:cs="Arial"/>
        </w:rPr>
        <w:t xml:space="preserve"> iii) impropia: una sociedad se </w:t>
      </w:r>
      <w:r>
        <w:rPr>
          <w:rFonts w:ascii="Arial" w:eastAsia="Calibri" w:hAnsi="Arial" w:cs="Arial"/>
        </w:rPr>
        <w:t>“</w:t>
      </w:r>
      <w:r w:rsidRPr="0091736C">
        <w:rPr>
          <w:rFonts w:ascii="Arial" w:eastAsia="Calibri" w:hAnsi="Arial" w:cs="Arial"/>
        </w:rPr>
        <w:t>disuelve</w:t>
      </w:r>
      <w:r>
        <w:rPr>
          <w:rFonts w:ascii="Arial" w:eastAsia="Calibri" w:hAnsi="Arial" w:cs="Arial"/>
        </w:rPr>
        <w:t xml:space="preserve">” </w:t>
      </w:r>
      <w:r w:rsidRPr="0091736C">
        <w:rPr>
          <w:rFonts w:ascii="Arial" w:eastAsia="Calibri" w:hAnsi="Arial" w:cs="Arial"/>
        </w:rPr>
        <w:t xml:space="preserve">sin el propósito de realizar una fusión sino de </w:t>
      </w:r>
      <w:r>
        <w:rPr>
          <w:rFonts w:ascii="Arial" w:eastAsia="Calibri" w:hAnsi="Arial" w:cs="Arial"/>
        </w:rPr>
        <w:t>“</w:t>
      </w:r>
      <w:r w:rsidRPr="0091736C">
        <w:rPr>
          <w:rFonts w:ascii="Arial" w:eastAsia="Calibri" w:hAnsi="Arial" w:cs="Arial"/>
        </w:rPr>
        <w:t>liquidarse</w:t>
      </w:r>
      <w:r>
        <w:rPr>
          <w:rFonts w:ascii="Arial" w:eastAsia="Calibri" w:hAnsi="Arial" w:cs="Arial"/>
        </w:rPr>
        <w:t>”</w:t>
      </w:r>
      <w:r w:rsidRPr="0091736C">
        <w:rPr>
          <w:rFonts w:ascii="Arial" w:eastAsia="Calibri" w:hAnsi="Arial" w:cs="Arial"/>
        </w:rPr>
        <w:t>, y antes de la liquidación se toma la decisión de crear una socieda</w:t>
      </w:r>
      <w:r>
        <w:rPr>
          <w:rFonts w:ascii="Arial" w:eastAsia="Calibri" w:hAnsi="Arial" w:cs="Arial"/>
        </w:rPr>
        <w:t>d y,</w:t>
      </w:r>
      <w:r w:rsidRPr="0091736C">
        <w:rPr>
          <w:rFonts w:ascii="Arial" w:eastAsia="Calibri" w:hAnsi="Arial" w:cs="Arial"/>
        </w:rPr>
        <w:t xml:space="preserve"> iv) abreviada: solo aplica cuando una Sociedad por Acciones Simplificada (S.A.S.) pertenece a otra sociedad en más del 90% de sus acciones, y es posible que esa sociedad controlante absorba a la S.A.S, es decir, que ocurra una fusión por absorció</w:t>
      </w:r>
      <w:r>
        <w:rPr>
          <w:rFonts w:ascii="Arial" w:eastAsia="Calibri" w:hAnsi="Arial" w:cs="Arial"/>
        </w:rPr>
        <w:t>n. Por lo tanto, el interesado deberá dar aplicación a lo anteriormente explicado.</w:t>
      </w:r>
    </w:p>
    <w:p w14:paraId="797559CC" w14:textId="77777777" w:rsidR="005709B9" w:rsidRPr="00625547" w:rsidRDefault="005709B9" w:rsidP="005709B9">
      <w:pPr>
        <w:spacing w:line="276" w:lineRule="auto"/>
        <w:jc w:val="both"/>
        <w:rPr>
          <w:rFonts w:ascii="Arial" w:hAnsi="Arial" w:cs="Arial"/>
          <w:iCs/>
          <w:lang w:eastAsia="es-MX"/>
        </w:rPr>
      </w:pPr>
    </w:p>
    <w:p w14:paraId="2602DBC6" w14:textId="77777777" w:rsidR="005709B9" w:rsidRPr="00A51520" w:rsidRDefault="005709B9" w:rsidP="005709B9">
      <w:pPr>
        <w:widowControl w:val="0"/>
        <w:autoSpaceDE w:val="0"/>
        <w:autoSpaceDN w:val="0"/>
        <w:spacing w:before="120" w:line="276" w:lineRule="auto"/>
        <w:jc w:val="both"/>
        <w:rPr>
          <w:rFonts w:ascii="Arial" w:hAnsi="Arial" w:cs="Arial"/>
          <w:lang w:val="es-ES_tradnl" w:bidi="es-ES"/>
        </w:rPr>
      </w:pPr>
      <w:r w:rsidRPr="00A51520">
        <w:rPr>
          <w:rFonts w:ascii="Arial" w:hAnsi="Arial" w:cs="Arial"/>
          <w:color w:val="000000" w:themeColor="text1"/>
          <w:lang w:val="es-ES_tradnl"/>
        </w:rPr>
        <w:t>Este concepto tiene el alcance previsto en el artículo 28 del Código de Procedimiento Administrativo y de lo Contencioso Administrativo.</w:t>
      </w:r>
    </w:p>
    <w:p w14:paraId="56B60DB9" w14:textId="77777777" w:rsidR="005709B9" w:rsidRPr="00A51520" w:rsidRDefault="005709B9" w:rsidP="005709B9">
      <w:pPr>
        <w:spacing w:before="120" w:line="276" w:lineRule="auto"/>
        <w:jc w:val="both"/>
        <w:rPr>
          <w:rFonts w:ascii="Arial" w:hAnsi="Arial" w:cs="Arial"/>
          <w:color w:val="000000" w:themeColor="text1"/>
          <w:lang w:val="es-ES_tradnl"/>
        </w:rPr>
      </w:pPr>
    </w:p>
    <w:p w14:paraId="21396766" w14:textId="77777777" w:rsidR="005709B9" w:rsidRPr="006830FE" w:rsidRDefault="005709B9" w:rsidP="005709B9">
      <w:pPr>
        <w:spacing w:after="0" w:line="240" w:lineRule="auto"/>
        <w:rPr>
          <w:rFonts w:ascii="Arial" w:eastAsia="Calibri" w:hAnsi="Arial" w:cs="Arial"/>
          <w:bCs/>
          <w:lang w:val="es-MX"/>
        </w:rPr>
      </w:pPr>
      <w:r>
        <w:rPr>
          <w:lang w:val="es-ES_tradnl"/>
        </w:rPr>
        <w:t xml:space="preserve"> </w:t>
      </w:r>
      <w:r w:rsidRPr="006830FE">
        <w:rPr>
          <w:rFonts w:ascii="Arial" w:eastAsia="Calibri" w:hAnsi="Arial" w:cs="Arial"/>
          <w:bCs/>
          <w:lang w:val="es-MX"/>
        </w:rPr>
        <w:t>Atentamente,</w:t>
      </w:r>
    </w:p>
    <w:p w14:paraId="32406AD4" w14:textId="77777777" w:rsidR="005709B9" w:rsidRPr="006830FE" w:rsidRDefault="005709B9" w:rsidP="005709B9">
      <w:pPr>
        <w:spacing w:after="0" w:line="240" w:lineRule="auto"/>
        <w:rPr>
          <w:rFonts w:ascii="Arial" w:eastAsia="Calibri" w:hAnsi="Arial" w:cs="Arial"/>
          <w:bCs/>
          <w:lang w:val="es-MX"/>
        </w:rPr>
      </w:pPr>
    </w:p>
    <w:p w14:paraId="6C4F1863" w14:textId="77777777" w:rsidR="005709B9" w:rsidRPr="006830FE" w:rsidRDefault="005709B9" w:rsidP="005709B9">
      <w:pPr>
        <w:spacing w:after="0" w:line="240" w:lineRule="auto"/>
        <w:jc w:val="center"/>
        <w:rPr>
          <w:rFonts w:ascii="Arial" w:eastAsia="Times New Roman" w:hAnsi="Arial" w:cs="Arial"/>
          <w:sz w:val="18"/>
          <w:szCs w:val="20"/>
          <w:lang w:eastAsia="es-CO"/>
        </w:rPr>
      </w:pPr>
      <w:r>
        <w:rPr>
          <w:rFonts w:ascii="Arial" w:eastAsia="Calibri" w:hAnsi="Arial" w:cs="Arial"/>
          <w:b/>
          <w:bCs/>
          <w:noProof/>
          <w:color w:val="000000"/>
          <w:sz w:val="18"/>
          <w:szCs w:val="18"/>
          <w:shd w:val="clear" w:color="auto" w:fill="FFFFFF"/>
          <w:lang w:val="es-ES"/>
        </w:rPr>
        <w:drawing>
          <wp:inline distT="0" distB="0" distL="0" distR="0" wp14:anchorId="072C7495" wp14:editId="4F812636">
            <wp:extent cx="3152775" cy="1209675"/>
            <wp:effectExtent l="0" t="0" r="9525"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Pr>
          <w:rFonts w:ascii="Arial" w:hAnsi="Arial" w:cs="Arial"/>
          <w:color w:val="000000"/>
          <w:shd w:val="clear" w:color="auto" w:fill="FFFFFF"/>
        </w:rPr>
        <w:br/>
      </w:r>
      <w:r w:rsidRPr="006830FE">
        <w:rPr>
          <w:rFonts w:ascii="Arial" w:eastAsia="Calibri" w:hAnsi="Arial" w:cs="Arial"/>
          <w:b/>
          <w:bCs/>
          <w:color w:val="000000"/>
          <w:sz w:val="18"/>
          <w:szCs w:val="18"/>
          <w:shd w:val="clear" w:color="auto" w:fill="FFFFFF"/>
          <w:lang w:val="es-ES"/>
        </w:rPr>
        <w:br/>
      </w:r>
      <w:r w:rsidRPr="006830FE">
        <w:rPr>
          <w:rFonts w:ascii="Arial" w:eastAsia="Calibri" w:hAnsi="Arial" w:cs="Arial"/>
          <w:color w:val="000000"/>
          <w:shd w:val="clear" w:color="auto" w:fill="FFFFFF"/>
          <w:lang w:val="es-MX"/>
        </w:rPr>
        <w:br/>
      </w:r>
    </w:p>
    <w:p w14:paraId="316771D8" w14:textId="77777777" w:rsidR="005709B9" w:rsidRPr="000733A0" w:rsidRDefault="005709B9" w:rsidP="005709B9">
      <w:pPr>
        <w:spacing w:after="0" w:line="240" w:lineRule="auto"/>
        <w:rPr>
          <w:rFonts w:ascii="Arial" w:hAnsi="Arial" w:cs="Arial"/>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5709B9" w:rsidRPr="00A44D1E" w14:paraId="3CC0FB87" w14:textId="77777777" w:rsidTr="00F52068">
        <w:trPr>
          <w:trHeight w:val="315"/>
        </w:trPr>
        <w:tc>
          <w:tcPr>
            <w:tcW w:w="812" w:type="dxa"/>
            <w:vAlign w:val="center"/>
            <w:hideMark/>
          </w:tcPr>
          <w:p w14:paraId="68874A40" w14:textId="77777777" w:rsidR="005709B9" w:rsidRPr="00A44D1E" w:rsidRDefault="005709B9" w:rsidP="00F52068">
            <w:pPr>
              <w:rPr>
                <w:rFonts w:ascii="Arial" w:eastAsia="Times New Roman" w:hAnsi="Arial" w:cs="Arial"/>
                <w:sz w:val="16"/>
                <w:szCs w:val="16"/>
                <w:lang w:eastAsia="es-ES_tradnl"/>
              </w:rPr>
            </w:pPr>
            <w:r w:rsidRPr="00A44D1E">
              <w:rPr>
                <w:rFonts w:ascii="Arial" w:eastAsia="Times New Roman" w:hAnsi="Arial" w:cs="Arial"/>
                <w:sz w:val="16"/>
                <w:szCs w:val="16"/>
                <w:lang w:eastAsia="es-ES_tradnl"/>
              </w:rPr>
              <w:t>Elaboró:</w:t>
            </w:r>
          </w:p>
        </w:tc>
        <w:tc>
          <w:tcPr>
            <w:tcW w:w="4291" w:type="dxa"/>
            <w:tcBorders>
              <w:top w:val="nil"/>
              <w:left w:val="nil"/>
              <w:bottom w:val="dotted" w:sz="4" w:space="0" w:color="7F7F7F" w:themeColor="text1" w:themeTint="80"/>
              <w:right w:val="nil"/>
            </w:tcBorders>
            <w:vAlign w:val="center"/>
            <w:hideMark/>
          </w:tcPr>
          <w:p w14:paraId="293870D6" w14:textId="77777777" w:rsidR="005709B9" w:rsidRPr="00A44D1E" w:rsidRDefault="005709B9" w:rsidP="00F52068">
            <w:pPr>
              <w:rPr>
                <w:rFonts w:ascii="Arial" w:eastAsia="Times New Roman" w:hAnsi="Arial" w:cs="Arial"/>
                <w:sz w:val="16"/>
                <w:szCs w:val="16"/>
                <w:lang w:val="es-ES_tradnl" w:eastAsia="es-ES_tradnl"/>
              </w:rPr>
            </w:pPr>
            <w:r w:rsidRPr="00A44D1E">
              <w:rPr>
                <w:rFonts w:ascii="Arial" w:eastAsia="Times New Roman" w:hAnsi="Arial" w:cs="Arial"/>
                <w:sz w:val="16"/>
                <w:szCs w:val="16"/>
                <w:lang w:val="es-ES_tradnl" w:eastAsia="es-ES_tradnl"/>
              </w:rPr>
              <w:t>Melissa Fernández Reinoso</w:t>
            </w:r>
          </w:p>
          <w:p w14:paraId="754D97AF" w14:textId="77777777" w:rsidR="005709B9" w:rsidRPr="00A44D1E" w:rsidRDefault="005709B9" w:rsidP="00F52068">
            <w:pPr>
              <w:rPr>
                <w:rFonts w:ascii="Arial" w:eastAsia="Times New Roman" w:hAnsi="Arial" w:cs="Arial"/>
                <w:sz w:val="16"/>
                <w:szCs w:val="16"/>
                <w:lang w:eastAsia="es-ES_tradnl"/>
              </w:rPr>
            </w:pPr>
            <w:r>
              <w:rPr>
                <w:rFonts w:ascii="Arial" w:eastAsia="Times New Roman" w:hAnsi="Arial" w:cs="Arial"/>
                <w:sz w:val="16"/>
                <w:szCs w:val="16"/>
                <w:lang w:val="es-ES_tradnl" w:eastAsia="es-ES_tradnl"/>
              </w:rPr>
              <w:t>Contratista</w:t>
            </w:r>
            <w:r w:rsidRPr="00A44D1E">
              <w:rPr>
                <w:rFonts w:ascii="Arial" w:eastAsia="Times New Roman" w:hAnsi="Arial" w:cs="Arial"/>
                <w:sz w:val="16"/>
                <w:szCs w:val="16"/>
                <w:lang w:val="es-ES_tradnl" w:eastAsia="es-ES_tradnl"/>
              </w:rPr>
              <w:t xml:space="preserve"> de la Subdirección de Gestión Contractual</w:t>
            </w:r>
          </w:p>
        </w:tc>
      </w:tr>
      <w:tr w:rsidR="005709B9" w:rsidRPr="00A44D1E" w14:paraId="5A8F7337" w14:textId="77777777" w:rsidTr="00F52068">
        <w:trPr>
          <w:trHeight w:val="330"/>
        </w:trPr>
        <w:tc>
          <w:tcPr>
            <w:tcW w:w="812" w:type="dxa"/>
            <w:vAlign w:val="center"/>
            <w:hideMark/>
          </w:tcPr>
          <w:p w14:paraId="527E33B2" w14:textId="77777777" w:rsidR="005709B9" w:rsidRPr="00A44D1E" w:rsidRDefault="005709B9" w:rsidP="00F52068">
            <w:pPr>
              <w:rPr>
                <w:rFonts w:ascii="Arial" w:eastAsia="Times New Roman" w:hAnsi="Arial" w:cs="Arial"/>
                <w:sz w:val="16"/>
                <w:szCs w:val="16"/>
                <w:lang w:eastAsia="es-ES_tradnl"/>
              </w:rPr>
            </w:pPr>
            <w:r w:rsidRPr="00A44D1E">
              <w:rPr>
                <w:rFonts w:ascii="Arial" w:eastAsia="Times New Roman" w:hAnsi="Arial" w:cs="Arial"/>
                <w:sz w:val="16"/>
                <w:szCs w:val="16"/>
                <w:lang w:eastAsia="es-ES_tradnl"/>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4E9222B5" w14:textId="77777777" w:rsidR="005709B9" w:rsidRPr="00A44D1E" w:rsidRDefault="005709B9" w:rsidP="00F52068">
            <w:pPr>
              <w:spacing w:line="276" w:lineRule="auto"/>
              <w:rPr>
                <w:rFonts w:ascii="Arial" w:eastAsia="Times New Roman" w:hAnsi="Arial" w:cs="Arial"/>
                <w:sz w:val="16"/>
                <w:szCs w:val="16"/>
                <w:lang w:val="es-ES_tradnl" w:eastAsia="es-ES"/>
              </w:rPr>
            </w:pPr>
            <w:r w:rsidRPr="00A44D1E">
              <w:rPr>
                <w:rFonts w:ascii="Arial" w:eastAsia="Times New Roman" w:hAnsi="Arial" w:cs="Arial"/>
                <w:sz w:val="16"/>
                <w:szCs w:val="16"/>
                <w:lang w:val="es-ES_tradnl" w:eastAsia="es-ES"/>
              </w:rPr>
              <w:t xml:space="preserve">Diana </w:t>
            </w:r>
            <w:r>
              <w:rPr>
                <w:rFonts w:ascii="Arial" w:eastAsia="Times New Roman" w:hAnsi="Arial" w:cs="Arial"/>
                <w:sz w:val="16"/>
                <w:szCs w:val="16"/>
                <w:lang w:val="es-ES_tradnl" w:eastAsia="es-ES"/>
              </w:rPr>
              <w:t xml:space="preserve">Lucia </w:t>
            </w:r>
            <w:r w:rsidRPr="00A44D1E">
              <w:rPr>
                <w:rFonts w:ascii="Arial" w:eastAsia="Times New Roman" w:hAnsi="Arial" w:cs="Arial"/>
                <w:sz w:val="16"/>
                <w:szCs w:val="16"/>
                <w:lang w:val="es-ES_tradnl" w:eastAsia="es-ES"/>
              </w:rPr>
              <w:t>Saavedra</w:t>
            </w:r>
            <w:r>
              <w:rPr>
                <w:rFonts w:ascii="Arial" w:eastAsia="Times New Roman" w:hAnsi="Arial" w:cs="Arial"/>
                <w:sz w:val="16"/>
                <w:szCs w:val="16"/>
                <w:lang w:val="es-ES_tradnl" w:eastAsia="es-ES"/>
              </w:rPr>
              <w:t xml:space="preserve"> Castañeda</w:t>
            </w:r>
            <w:r w:rsidRPr="00A44D1E">
              <w:rPr>
                <w:rFonts w:ascii="Arial" w:eastAsia="Times New Roman" w:hAnsi="Arial" w:cs="Arial"/>
                <w:sz w:val="16"/>
                <w:szCs w:val="16"/>
                <w:lang w:val="es-ES_tradnl" w:eastAsia="es-ES"/>
              </w:rPr>
              <w:t xml:space="preserve"> </w:t>
            </w:r>
          </w:p>
          <w:p w14:paraId="574A5AEF" w14:textId="77777777" w:rsidR="005709B9" w:rsidRPr="00A44D1E" w:rsidRDefault="005709B9" w:rsidP="00F52068">
            <w:pPr>
              <w:rPr>
                <w:rFonts w:ascii="Arial" w:eastAsia="Times New Roman" w:hAnsi="Arial" w:cs="Arial"/>
                <w:sz w:val="16"/>
                <w:szCs w:val="16"/>
                <w:lang w:eastAsia="es-ES_tradnl"/>
              </w:rPr>
            </w:pPr>
            <w:r w:rsidRPr="00A44D1E">
              <w:rPr>
                <w:rFonts w:ascii="Arial" w:eastAsia="Times New Roman" w:hAnsi="Arial" w:cs="Arial"/>
                <w:sz w:val="16"/>
                <w:szCs w:val="16"/>
                <w:lang w:val="es-ES_tradnl" w:eastAsia="es-ES"/>
              </w:rPr>
              <w:t>Contratista de la Subdirección de Gestión Contractual</w:t>
            </w:r>
          </w:p>
        </w:tc>
      </w:tr>
      <w:tr w:rsidR="005709B9" w:rsidRPr="00A44D1E" w14:paraId="6304958E" w14:textId="77777777" w:rsidTr="00F52068">
        <w:trPr>
          <w:trHeight w:val="300"/>
        </w:trPr>
        <w:tc>
          <w:tcPr>
            <w:tcW w:w="812" w:type="dxa"/>
            <w:vAlign w:val="center"/>
            <w:hideMark/>
          </w:tcPr>
          <w:p w14:paraId="4C43F081" w14:textId="77777777" w:rsidR="005709B9" w:rsidRPr="00A44D1E" w:rsidRDefault="005709B9" w:rsidP="00F52068">
            <w:pPr>
              <w:rPr>
                <w:rFonts w:ascii="Arial" w:eastAsia="Times New Roman" w:hAnsi="Arial" w:cs="Arial"/>
                <w:sz w:val="16"/>
                <w:szCs w:val="16"/>
                <w:lang w:eastAsia="es-ES_tradnl"/>
              </w:rPr>
            </w:pPr>
            <w:r w:rsidRPr="00A44D1E">
              <w:rPr>
                <w:rFonts w:ascii="Arial" w:eastAsia="Times New Roman" w:hAnsi="Arial" w:cs="Arial"/>
                <w:sz w:val="16"/>
                <w:szCs w:val="16"/>
                <w:lang w:eastAsia="es-ES_tradnl"/>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656E5170" w14:textId="77777777" w:rsidR="005709B9" w:rsidRPr="00A44D1E" w:rsidRDefault="005709B9" w:rsidP="00F52068">
            <w:pPr>
              <w:rPr>
                <w:rFonts w:ascii="Arial" w:eastAsia="Times New Roman" w:hAnsi="Arial" w:cs="Arial"/>
                <w:sz w:val="16"/>
                <w:szCs w:val="16"/>
                <w:lang w:eastAsia="es-ES_tradnl"/>
              </w:rPr>
            </w:pPr>
            <w:r w:rsidRPr="00A44D1E">
              <w:rPr>
                <w:rFonts w:ascii="Arial" w:eastAsia="Times New Roman" w:hAnsi="Arial" w:cs="Arial"/>
                <w:sz w:val="16"/>
                <w:szCs w:val="16"/>
                <w:lang w:eastAsia="es-ES_tradnl"/>
              </w:rPr>
              <w:t>Nohelia del Carmen Zawady Palacio</w:t>
            </w:r>
          </w:p>
          <w:p w14:paraId="543727F4" w14:textId="77777777" w:rsidR="005709B9" w:rsidRPr="00A44D1E" w:rsidRDefault="005709B9" w:rsidP="00F52068">
            <w:pPr>
              <w:rPr>
                <w:rFonts w:ascii="Arial" w:eastAsia="Times New Roman" w:hAnsi="Arial" w:cs="Arial"/>
                <w:sz w:val="16"/>
                <w:szCs w:val="16"/>
                <w:lang w:eastAsia="es-ES_tradnl"/>
              </w:rPr>
            </w:pPr>
            <w:r w:rsidRPr="00A44D1E">
              <w:rPr>
                <w:rFonts w:ascii="Arial" w:eastAsia="Times New Roman" w:hAnsi="Arial" w:cs="Arial"/>
                <w:sz w:val="16"/>
                <w:szCs w:val="16"/>
                <w:lang w:eastAsia="es-ES_tradnl"/>
              </w:rPr>
              <w:t xml:space="preserve">Subdirectora de Gestión Contractual </w:t>
            </w:r>
          </w:p>
        </w:tc>
      </w:tr>
    </w:tbl>
    <w:p w14:paraId="41EA413A" w14:textId="77777777" w:rsidR="005709B9" w:rsidRPr="00A44D1E" w:rsidRDefault="005709B9" w:rsidP="005709B9">
      <w:pPr>
        <w:spacing w:after="0" w:line="240" w:lineRule="auto"/>
        <w:rPr>
          <w:rFonts w:ascii="Arial" w:eastAsia="Times New Roman" w:hAnsi="Arial" w:cs="Arial"/>
          <w:sz w:val="24"/>
          <w:szCs w:val="24"/>
          <w:lang w:val="es-MX" w:eastAsia="es-ES_tradnl"/>
        </w:rPr>
      </w:pPr>
    </w:p>
    <w:p w14:paraId="52D52356" w14:textId="77777777" w:rsidR="005709B9" w:rsidRPr="00A44D1E" w:rsidRDefault="005709B9" w:rsidP="005709B9">
      <w:pPr>
        <w:spacing w:after="0" w:line="240" w:lineRule="auto"/>
        <w:rPr>
          <w:rFonts w:ascii="Geomanist Light" w:eastAsia="Times New Roman" w:hAnsi="Geomanist Light" w:cs="Times New Roman"/>
          <w:sz w:val="24"/>
          <w:szCs w:val="24"/>
          <w:lang w:val="es-MX" w:eastAsia="en-GB"/>
        </w:rPr>
      </w:pPr>
    </w:p>
    <w:p w14:paraId="55B98F34" w14:textId="77777777" w:rsidR="005709B9" w:rsidRPr="00A44D1E" w:rsidRDefault="005709B9" w:rsidP="005709B9">
      <w:pPr>
        <w:spacing w:after="0" w:line="240" w:lineRule="auto"/>
        <w:jc w:val="both"/>
        <w:rPr>
          <w:rFonts w:ascii="Geomanist Light" w:eastAsia="Times New Roman" w:hAnsi="Geomanist Light" w:cs="Arial"/>
          <w:color w:val="000000" w:themeColor="text1"/>
          <w:sz w:val="24"/>
          <w:szCs w:val="24"/>
          <w:lang w:val="es-ES_tradnl" w:eastAsia="es-ES_tradnl"/>
        </w:rPr>
      </w:pPr>
    </w:p>
    <w:p w14:paraId="4AB7AC7C" w14:textId="77777777" w:rsidR="005709B9" w:rsidRPr="00FC36CE" w:rsidRDefault="005709B9" w:rsidP="005709B9">
      <w:pPr>
        <w:rPr>
          <w:lang w:val="es-ES_tradnl"/>
        </w:rPr>
      </w:pPr>
    </w:p>
    <w:p w14:paraId="0360EEC9" w14:textId="77777777" w:rsidR="005709B9" w:rsidRPr="00612797" w:rsidRDefault="005709B9" w:rsidP="005709B9">
      <w:pPr>
        <w:rPr>
          <w:lang w:val="es-ES_tradnl"/>
        </w:rPr>
      </w:pPr>
    </w:p>
    <w:p w14:paraId="342484B5" w14:textId="77777777" w:rsidR="005709B9" w:rsidRPr="005709B9" w:rsidRDefault="005709B9">
      <w:pPr>
        <w:rPr>
          <w:lang w:val="es-ES_tradnl"/>
        </w:rPr>
      </w:pPr>
    </w:p>
    <w:sectPr w:rsidR="005709B9" w:rsidRPr="005709B9"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9CCED" w14:textId="77777777" w:rsidR="00272A14" w:rsidRDefault="00272A14" w:rsidP="005709B9">
      <w:pPr>
        <w:spacing w:after="0" w:line="240" w:lineRule="auto"/>
      </w:pPr>
      <w:r>
        <w:separator/>
      </w:r>
    </w:p>
  </w:endnote>
  <w:endnote w:type="continuationSeparator" w:id="0">
    <w:p w14:paraId="7AEA9785" w14:textId="77777777" w:rsidR="00272A14" w:rsidRDefault="00272A14" w:rsidP="005709B9">
      <w:pPr>
        <w:spacing w:after="0" w:line="240" w:lineRule="auto"/>
      </w:pPr>
      <w:r>
        <w:continuationSeparator/>
      </w:r>
    </w:p>
  </w:endnote>
  <w:endnote w:type="continuationNotice" w:id="1">
    <w:p w14:paraId="5D101BC4" w14:textId="77777777" w:rsidR="00602EAF" w:rsidRDefault="00602E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charset w:val="00"/>
    <w:family w:val="modern"/>
    <w:pitch w:val="variable"/>
    <w:sig w:usb0="A000002F" w:usb1="1000004A" w:usb2="00000000" w:usb3="00000000" w:csb0="00000193"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2760" w14:textId="77777777" w:rsidR="004A1847" w:rsidRDefault="008822E4" w:rsidP="008614E5">
    <w:pPr>
      <w:pStyle w:val="Piedepgina"/>
    </w:pPr>
    <w:r>
      <w:rPr>
        <w:noProof/>
      </w:rPr>
      <w:drawing>
        <wp:inline distT="0" distB="0" distL="0" distR="0" wp14:anchorId="59A787C7" wp14:editId="0B10C6F2">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7F04C35A"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379931A" w14:textId="77777777" w:rsidR="006219F8" w:rsidRPr="00080DA3" w:rsidRDefault="008822E4"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A0CFE6C" w14:textId="77777777" w:rsidR="006219F8" w:rsidRPr="00080DA3" w:rsidRDefault="008822E4"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F8954FF" w14:textId="77777777" w:rsidR="006219F8" w:rsidRPr="00080DA3" w:rsidRDefault="008822E4"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28E735C" w14:textId="77777777" w:rsidR="006219F8" w:rsidRPr="004B6B0E" w:rsidRDefault="008822E4"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DEC5727" w14:textId="77777777" w:rsidR="006219F8" w:rsidRPr="00080DA3" w:rsidRDefault="008822E4"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D85EFC" w14:textId="77777777" w:rsidR="00A07532" w:rsidRPr="00080DA3" w:rsidRDefault="008822E4" w:rsidP="00A07532">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DC0F85C" w14:textId="77777777" w:rsidR="006219F8" w:rsidRPr="00080DA3" w:rsidRDefault="008822E4"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 xml:space="preserve">PAGE  \* </w:instrText>
          </w:r>
          <w:r w:rsidRPr="00080DA3">
            <w:rPr>
              <w:rFonts w:ascii="Geomanist Light" w:hAnsi="Geomanist Light"/>
              <w:b/>
              <w:bCs/>
              <w:sz w:val="18"/>
              <w:szCs w:val="18"/>
            </w:rPr>
            <w:instrText>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C73D0B" w14:textId="77777777" w:rsidR="006219F8" w:rsidRDefault="008822E4"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20734" w14:textId="77777777" w:rsidR="00272A14" w:rsidRDefault="00272A14" w:rsidP="005709B9">
      <w:pPr>
        <w:spacing w:after="0" w:line="240" w:lineRule="auto"/>
      </w:pPr>
      <w:r>
        <w:separator/>
      </w:r>
    </w:p>
  </w:footnote>
  <w:footnote w:type="continuationSeparator" w:id="0">
    <w:p w14:paraId="375DFC5D" w14:textId="77777777" w:rsidR="00272A14" w:rsidRDefault="00272A14" w:rsidP="005709B9">
      <w:pPr>
        <w:spacing w:after="0" w:line="240" w:lineRule="auto"/>
      </w:pPr>
      <w:r>
        <w:continuationSeparator/>
      </w:r>
    </w:p>
  </w:footnote>
  <w:footnote w:type="continuationNotice" w:id="1">
    <w:p w14:paraId="71B1CE65" w14:textId="77777777" w:rsidR="00602EAF" w:rsidRDefault="00602EAF">
      <w:pPr>
        <w:spacing w:after="0" w:line="240" w:lineRule="auto"/>
      </w:pPr>
    </w:p>
  </w:footnote>
  <w:footnote w:id="2">
    <w:p w14:paraId="28A3B44B" w14:textId="77777777" w:rsidR="005709B9" w:rsidRDefault="005709B9" w:rsidP="005709B9">
      <w:pPr>
        <w:pStyle w:val="Textonotapie"/>
        <w:ind w:firstLine="707"/>
        <w:jc w:val="both"/>
        <w:rPr>
          <w:rFonts w:ascii="Arial" w:hAnsi="Arial" w:cs="Arial"/>
          <w:sz w:val="18"/>
          <w:szCs w:val="18"/>
          <w:shd w:val="clear" w:color="auto" w:fill="E6E6E6"/>
        </w:rPr>
      </w:pPr>
      <w:r w:rsidRPr="006F3DC6">
        <w:rPr>
          <w:rStyle w:val="Refdenotaalpie"/>
          <w:rFonts w:ascii="Arial" w:hAnsi="Arial" w:cs="Arial"/>
          <w:sz w:val="18"/>
          <w:szCs w:val="18"/>
        </w:rPr>
        <w:footnoteRef/>
      </w:r>
      <w:r w:rsidRPr="006F3DC6">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6F3DC6">
          <w:rPr>
            <w:rStyle w:val="Hipervnculo"/>
            <w:rFonts w:ascii="Arial" w:hAnsi="Arial" w:cs="Arial"/>
            <w:sz w:val="18"/>
            <w:szCs w:val="18"/>
          </w:rPr>
          <w:t>https://relatoria.colombiacompra.gov.co/busqueda/conceptos</w:t>
        </w:r>
      </w:hyperlink>
      <w:r w:rsidRPr="006F3DC6">
        <w:rPr>
          <w:rStyle w:val="Hipervnculo"/>
          <w:rFonts w:ascii="Arial" w:hAnsi="Arial" w:cs="Arial"/>
          <w:sz w:val="18"/>
          <w:szCs w:val="18"/>
        </w:rPr>
        <w:t xml:space="preserve">. </w:t>
      </w:r>
      <w:r w:rsidRPr="006F3DC6">
        <w:rPr>
          <w:rFonts w:ascii="Arial" w:hAnsi="Arial" w:cs="Arial"/>
          <w:sz w:val="18"/>
          <w:szCs w:val="18"/>
          <w:shd w:val="clear" w:color="auto" w:fill="E6E6E6"/>
        </w:rPr>
        <w:t xml:space="preserve"> </w:t>
      </w:r>
    </w:p>
    <w:p w14:paraId="2B487072" w14:textId="77777777" w:rsidR="005709B9" w:rsidRPr="006F3DC6" w:rsidRDefault="005709B9" w:rsidP="005709B9">
      <w:pPr>
        <w:pStyle w:val="Textonotapie"/>
        <w:ind w:firstLine="707"/>
        <w:jc w:val="both"/>
        <w:rPr>
          <w:rFonts w:ascii="Arial" w:hAnsi="Arial" w:cs="Arial"/>
          <w:sz w:val="18"/>
          <w:szCs w:val="18"/>
        </w:rPr>
      </w:pPr>
    </w:p>
  </w:footnote>
  <w:footnote w:id="3">
    <w:p w14:paraId="150E9F08"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CF7B2AC"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58E563C" w14:textId="77777777" w:rsidR="005709B9" w:rsidRPr="00EE5B62" w:rsidRDefault="005709B9" w:rsidP="005709B9">
      <w:pPr>
        <w:pStyle w:val="Textonotapie"/>
        <w:jc w:val="both"/>
        <w:rPr>
          <w:rFonts w:ascii="Arial" w:hAnsi="Arial" w:cs="Arial"/>
          <w:sz w:val="14"/>
          <w:szCs w:val="14"/>
          <w:lang w:val="es-ES"/>
        </w:rPr>
      </w:pPr>
    </w:p>
  </w:footnote>
  <w:footnote w:id="4">
    <w:p w14:paraId="708F2F69"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01AB379" w14:textId="77777777" w:rsidR="005709B9" w:rsidRPr="00EE5B62" w:rsidRDefault="005709B9" w:rsidP="005709B9">
      <w:pPr>
        <w:pStyle w:val="Textonotapie"/>
        <w:ind w:firstLine="708"/>
        <w:jc w:val="both"/>
        <w:rPr>
          <w:rFonts w:ascii="Arial" w:hAnsi="Arial" w:cs="Arial"/>
          <w:sz w:val="14"/>
          <w:szCs w:val="14"/>
          <w:lang w:val="es-ES"/>
        </w:rPr>
      </w:pPr>
    </w:p>
  </w:footnote>
  <w:footnote w:id="5">
    <w:p w14:paraId="5B640B30"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280E0F4C"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»1. Experiencia – Los contratos celebrados por el interesado para cada uno de los bienes, obras y servicios que ofrecerá a las Entidades Estatales, identificados con el Clasificador de Bienes y Servicios en el tercer nivel y su valor expresado en SMMLV.</w:t>
      </w:r>
    </w:p>
    <w:p w14:paraId="3E6DAECD"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w:t>
      </w:r>
    </w:p>
    <w:p w14:paraId="10D7C04C" w14:textId="77777777" w:rsidR="005709B9" w:rsidRPr="00EE5B62" w:rsidRDefault="005709B9" w:rsidP="005709B9">
      <w:pPr>
        <w:pStyle w:val="Textonotapie"/>
        <w:ind w:firstLine="708"/>
        <w:jc w:val="both"/>
        <w:rPr>
          <w:rFonts w:ascii="Arial" w:hAnsi="Arial" w:cs="Arial"/>
          <w:sz w:val="14"/>
          <w:szCs w:val="14"/>
          <w:lang w:val="es-ES"/>
        </w:rPr>
      </w:pPr>
    </w:p>
  </w:footnote>
  <w:footnote w:id="6">
    <w:p w14:paraId="3FF8E493"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A65A163"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w:t>
      </w:r>
    </w:p>
    <w:p w14:paraId="37ED1F78"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EDD0388"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FDD3015" w14:textId="77777777" w:rsidR="005709B9" w:rsidRPr="00EE5B62" w:rsidRDefault="005709B9" w:rsidP="005709B9">
      <w:pPr>
        <w:pStyle w:val="Textonotapie"/>
        <w:jc w:val="both"/>
        <w:rPr>
          <w:rFonts w:ascii="Arial" w:hAnsi="Arial" w:cs="Arial"/>
          <w:sz w:val="14"/>
          <w:szCs w:val="14"/>
          <w:lang w:val="es-ES"/>
        </w:rPr>
      </w:pPr>
    </w:p>
  </w:footnote>
  <w:footnote w:id="7">
    <w:p w14:paraId="038A4789"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AE70532"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»1.    Si es una persona natural:</w:t>
      </w:r>
    </w:p>
    <w:p w14:paraId="3BBF325F"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»1.1. Bienes, obras y servicios que ofrecerá a las Entidades Estatales, identificados con el Clasificador de Bienes y Servicios en el tercer nivel.</w:t>
      </w:r>
    </w:p>
    <w:p w14:paraId="30FC2CDF"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55522FFE" w14:textId="77777777" w:rsidR="005709B9" w:rsidRPr="00EE5B62" w:rsidRDefault="005709B9" w:rsidP="005709B9">
      <w:pPr>
        <w:pStyle w:val="Textonotapie"/>
        <w:ind w:firstLine="708"/>
        <w:jc w:val="both"/>
        <w:rPr>
          <w:rFonts w:ascii="Arial" w:hAnsi="Arial" w:cs="Arial"/>
          <w:sz w:val="14"/>
          <w:szCs w:val="14"/>
          <w:lang w:val="es-ES"/>
        </w:rPr>
      </w:pPr>
    </w:p>
  </w:footnote>
  <w:footnote w:id="8">
    <w:p w14:paraId="4D07F9F7" w14:textId="77777777" w:rsidR="005709B9" w:rsidRPr="00EE5B62" w:rsidRDefault="005709B9" w:rsidP="005709B9">
      <w:pPr>
        <w:pStyle w:val="Textonotapie"/>
        <w:ind w:firstLine="709"/>
        <w:jc w:val="both"/>
        <w:rPr>
          <w:rFonts w:ascii="Arial" w:hAnsi="Arial" w:cs="Arial"/>
          <w:sz w:val="14"/>
          <w:szCs w:val="14"/>
        </w:rPr>
      </w:pPr>
      <w:r w:rsidRPr="00EE5B62">
        <w:rPr>
          <w:rStyle w:val="Refdenotaalpie"/>
          <w:sz w:val="14"/>
          <w:szCs w:val="14"/>
        </w:rPr>
        <w:footnoteRef/>
      </w:r>
      <w:r w:rsidRPr="00EE5B62">
        <w:rPr>
          <w:sz w:val="14"/>
          <w:szCs w:val="14"/>
        </w:rPr>
        <w:t xml:space="preserve"> </w:t>
      </w:r>
      <w:bookmarkStart w:id="5" w:name="_Hlk110954603"/>
      <w:r w:rsidRPr="00EE5B62">
        <w:rPr>
          <w:rFonts w:ascii="Arial" w:hAnsi="Arial" w:cs="Arial"/>
          <w:sz w:val="14"/>
          <w:szCs w:val="14"/>
        </w:rPr>
        <w:t xml:space="preserve">La versión actualizada puede ser consultada en: </w:t>
      </w:r>
      <w:hyperlink r:id="rId2" w:history="1">
        <w:r w:rsidRPr="00EE5B62">
          <w:rPr>
            <w:rStyle w:val="Hipervnculo"/>
            <w:rFonts w:ascii="Arial" w:hAnsi="Arial" w:cs="Arial"/>
            <w:sz w:val="14"/>
            <w:szCs w:val="14"/>
          </w:rPr>
          <w:t>https://www.colombiacompra.gov.co/sites/cce_public/files/files_2020/cce-eicp-ma-04._manual_requisitos_habilitantes_v.02.pdf</w:t>
        </w:r>
      </w:hyperlink>
      <w:r w:rsidRPr="00EE5B62">
        <w:rPr>
          <w:rFonts w:ascii="Arial" w:hAnsi="Arial" w:cs="Arial"/>
          <w:sz w:val="14"/>
          <w:szCs w:val="14"/>
          <w:u w:val="single"/>
        </w:rPr>
        <w:t>.</w:t>
      </w:r>
    </w:p>
    <w:bookmarkEnd w:id="5"/>
    <w:p w14:paraId="460D58A3" w14:textId="77777777" w:rsidR="005709B9" w:rsidRPr="00EE5B62" w:rsidRDefault="005709B9" w:rsidP="005709B9">
      <w:pPr>
        <w:pStyle w:val="Textonotapie"/>
        <w:jc w:val="both"/>
        <w:rPr>
          <w:sz w:val="14"/>
          <w:szCs w:val="14"/>
          <w:lang w:val="es-CO"/>
        </w:rPr>
      </w:pPr>
    </w:p>
  </w:footnote>
  <w:footnote w:id="9">
    <w:p w14:paraId="090E523D"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Colombia Compra Eficiente, Manual para determinar y verificar requisitos habilitantes en los procesos de contratación V2: «</w:t>
      </w:r>
      <w:bookmarkStart w:id="6" w:name="_Hlk110954624"/>
      <w:r w:rsidRPr="00EE5B62">
        <w:rPr>
          <w:rFonts w:ascii="Arial" w:hAnsi="Arial" w:cs="Arial"/>
          <w:sz w:val="14"/>
          <w:szCs w:val="14"/>
          <w:lang w:val="es-CO"/>
        </w:rPr>
        <w:t>Dentro de los requisitos habilitantes establecidos por el artículo 5 de la Ley 1150 de 2007 se destaca la experiencia, la cual debe ser entendida como el conocimiento del proponente derivado de su participación previa en actividades iguales o similares a las previstas en el objeto del contrato con contratantes públicos, privados, nacionales o extranjeros, ya sea directamente o en asocio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w:t>
      </w:r>
      <w:r w:rsidRPr="00EE5B62">
        <w:rPr>
          <w:rFonts w:ascii="Arial" w:hAnsi="Arial" w:cs="Arial"/>
          <w:sz w:val="14"/>
          <w:szCs w:val="14"/>
        </w:rPr>
        <w:t>.</w:t>
      </w:r>
    </w:p>
    <w:p w14:paraId="0575ACA7"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w:t>
      </w:r>
    </w:p>
    <w:p w14:paraId="0E6D48E1" w14:textId="77777777" w:rsidR="005709B9" w:rsidRPr="00EE5B62" w:rsidRDefault="005709B9" w:rsidP="005709B9">
      <w:pPr>
        <w:pStyle w:val="Textonotapie"/>
        <w:ind w:firstLine="708"/>
        <w:jc w:val="both"/>
        <w:rPr>
          <w:rFonts w:ascii="Arial" w:hAnsi="Arial" w:cs="Arial"/>
          <w:sz w:val="14"/>
          <w:szCs w:val="14"/>
          <w:lang w:val="es-CO"/>
        </w:rPr>
      </w:pPr>
      <w:r w:rsidRPr="00EE5B62">
        <w:rPr>
          <w:rFonts w:ascii="Arial" w:hAnsi="Arial" w:cs="Arial"/>
          <w:sz w:val="14"/>
          <w:szCs w:val="14"/>
        </w:rPr>
        <w:t>»</w:t>
      </w:r>
      <w:r w:rsidRPr="00EE5B62">
        <w:rPr>
          <w:rFonts w:ascii="Arial" w:hAnsi="Arial" w:cs="Arial"/>
          <w:sz w:val="14"/>
          <w:szCs w:val="14"/>
          <w:lang w:val="es-CO"/>
        </w:rPr>
        <w:t xml:space="preserve">Así mismo, la experiencia requerida en un Proceso de Contratación debe ser adecuada y proporcional a la naturaleza del contrato, su valor, complejidad y Riesgo. Es adecuada cuando es afín al tipo de actividades previstas en el objeto del negocio a celebrar. Por ejemplo, si es para prestar un servicio de aseo general, el proponente debe tener experiencia en tal servicio, sin que sea relevante el lugar en el cual lo haya ejecutado o quién fue el contratante. </w:t>
      </w:r>
    </w:p>
    <w:p w14:paraId="11919AC9"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w:t>
      </w:r>
      <w:r w:rsidRPr="00EE5B62">
        <w:rPr>
          <w:rFonts w:ascii="Arial" w:hAnsi="Arial" w:cs="Arial"/>
          <w:sz w:val="14"/>
          <w:szCs w:val="14"/>
          <w:lang w:val="es-CO"/>
        </w:rPr>
        <w:t xml:space="preserve">Es proporcional cuando tiene relación con el alcance, la cuantía, Riesgo y la complejidad del negocio a celebrar. Por ejemplo, en una obra pública con un presupuesto oficial de 100 SMMLV, la experiencia exigida es proporcional si se exige que los proponentes hayan participado en Procesos de Contratación entre 90 y 100 SMMLV del mismo tipo de obra. </w:t>
      </w:r>
    </w:p>
    <w:p w14:paraId="19EBC998"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w:t>
      </w:r>
    </w:p>
    <w:bookmarkEnd w:id="6"/>
  </w:footnote>
  <w:footnote w:id="10">
    <w:p w14:paraId="05A18505" w14:textId="77777777" w:rsidR="005709B9" w:rsidRPr="00EE5B62" w:rsidRDefault="005709B9" w:rsidP="005709B9">
      <w:pPr>
        <w:pStyle w:val="Textonotapie"/>
        <w:ind w:firstLine="709"/>
        <w:jc w:val="both"/>
        <w:rPr>
          <w:sz w:val="14"/>
          <w:szCs w:val="14"/>
          <w:lang w:val="es-CO"/>
        </w:rPr>
      </w:pPr>
      <w:r w:rsidRPr="00EE5B62">
        <w:rPr>
          <w:rStyle w:val="Refdenotaalpie"/>
          <w:sz w:val="14"/>
          <w:szCs w:val="14"/>
        </w:rPr>
        <w:footnoteRef/>
      </w:r>
      <w:r w:rsidRPr="00EE5B62">
        <w:rPr>
          <w:sz w:val="14"/>
          <w:szCs w:val="14"/>
        </w:rPr>
        <w:t xml:space="preserve"> </w:t>
      </w:r>
      <w:r w:rsidRPr="00EE5B62">
        <w:rPr>
          <w:rFonts w:ascii="Arial" w:hAnsi="Arial" w:cs="Arial"/>
          <w:sz w:val="14"/>
          <w:szCs w:val="14"/>
          <w:lang w:val="es-CO"/>
        </w:rPr>
        <w:t>Consejo de Estado. Sección Tercera. Sentencia del 20 de abril del 2022. Radicación Nro. 54482. C.P.: Jaime Enrique Rodríguez Navas.</w:t>
      </w:r>
    </w:p>
  </w:footnote>
  <w:footnote w:id="11">
    <w:p w14:paraId="2078B828"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Código de Comercio: «Artículo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14:paraId="523D97DE"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»El nombre de la sociedad disuelta deberá adicionarse siempre con la expresión ‘en liquidación’. Los encargados de realizarla responderán de los daños y perjuicios que se deriven por dicha omisión».</w:t>
      </w:r>
    </w:p>
    <w:p w14:paraId="1FF8087A" w14:textId="77777777" w:rsidR="005709B9" w:rsidRPr="00EE5B62" w:rsidRDefault="005709B9" w:rsidP="005709B9">
      <w:pPr>
        <w:pStyle w:val="Textonotapie"/>
        <w:jc w:val="both"/>
        <w:rPr>
          <w:rFonts w:ascii="Arial" w:hAnsi="Arial" w:cs="Arial"/>
          <w:sz w:val="14"/>
          <w:szCs w:val="14"/>
          <w:lang w:val="es-CO"/>
        </w:rPr>
      </w:pPr>
    </w:p>
  </w:footnote>
  <w:footnote w:id="12">
    <w:p w14:paraId="0969E838"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Ver artículos 225 y ss. del Código de Comercio.</w:t>
      </w:r>
    </w:p>
    <w:p w14:paraId="3EFE7327" w14:textId="77777777" w:rsidR="005709B9" w:rsidRPr="00EE5B62" w:rsidRDefault="005709B9" w:rsidP="005709B9">
      <w:pPr>
        <w:pStyle w:val="Textonotapie"/>
        <w:ind w:firstLine="708"/>
        <w:jc w:val="both"/>
        <w:rPr>
          <w:rFonts w:ascii="Arial" w:hAnsi="Arial" w:cs="Arial"/>
          <w:sz w:val="14"/>
          <w:szCs w:val="14"/>
          <w:lang w:val="es-CO"/>
        </w:rPr>
      </w:pPr>
      <w:r w:rsidRPr="00EE5B62">
        <w:rPr>
          <w:rFonts w:ascii="Arial" w:hAnsi="Arial" w:cs="Arial"/>
          <w:sz w:val="14"/>
          <w:szCs w:val="14"/>
        </w:rPr>
        <w:t xml:space="preserve"> </w:t>
      </w:r>
    </w:p>
  </w:footnote>
  <w:footnote w:id="13">
    <w:p w14:paraId="42946B98"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52F08A8C"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»La transformación no producirá solución de continuidad en la existencia de la sociedad como persona jurídica, ni en sus actividades ni en su patrimonio».</w:t>
      </w:r>
    </w:p>
    <w:p w14:paraId="70FFFF03" w14:textId="77777777" w:rsidR="005709B9" w:rsidRPr="00EE5B62" w:rsidRDefault="005709B9" w:rsidP="005709B9">
      <w:pPr>
        <w:pStyle w:val="Textonotapie"/>
        <w:ind w:firstLine="708"/>
        <w:jc w:val="both"/>
        <w:rPr>
          <w:rFonts w:ascii="Arial" w:hAnsi="Arial" w:cs="Arial"/>
          <w:sz w:val="14"/>
          <w:szCs w:val="14"/>
        </w:rPr>
      </w:pPr>
    </w:p>
  </w:footnote>
  <w:footnote w:id="14">
    <w:p w14:paraId="27E71459"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Ley 222 de 1995: «Artículo 3. Modalidades. Habrá escisión cuando:</w:t>
      </w:r>
    </w:p>
    <w:p w14:paraId="6704505A"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»1. Una sociedad sin disolverse, transfiere en bloque una o varias partes de su patrimonio a una o más sociedades existentes o las destina a la creación de una o varias sociedades.</w:t>
      </w:r>
    </w:p>
    <w:p w14:paraId="2B8B8B7A"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»2. Una sociedad se disuelve sin liquidarse, dividiendo su patrimonio en dos o más partes, que se transfieren a varias sociedades existentes o se destinan a la creación de nuevas sociedades.</w:t>
      </w:r>
    </w:p>
    <w:p w14:paraId="237287B0"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»La sociedad o sociedades destinatarias de las transferencias resultantes de la escisión, se denominarán sociedades beneficiarias.</w:t>
      </w:r>
    </w:p>
    <w:p w14:paraId="7BCC1F89" w14:textId="77777777" w:rsidR="005709B9" w:rsidRPr="00EE5B62" w:rsidRDefault="005709B9" w:rsidP="005709B9">
      <w:pPr>
        <w:pStyle w:val="Textonotapie"/>
        <w:ind w:firstLine="708"/>
        <w:jc w:val="both"/>
        <w:rPr>
          <w:rFonts w:ascii="Arial" w:hAnsi="Arial" w:cs="Arial"/>
          <w:sz w:val="14"/>
          <w:szCs w:val="14"/>
          <w:lang w:val="es-CO"/>
        </w:rPr>
      </w:pPr>
      <w:r w:rsidRPr="00EE5B62">
        <w:rPr>
          <w:rFonts w:ascii="Arial" w:hAnsi="Arial" w:cs="Arial"/>
          <w:sz w:val="14"/>
          <w:szCs w:val="14"/>
        </w:rPr>
        <w:t>»Los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footnote>
  <w:footnote w:id="15">
    <w:p w14:paraId="60E2B83D"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Código de Comercio: «Artículo 172. Fusión de la sociedad-concepto. Habrá fusión cuando una o más sociedades se disuelvan, sin liquidarse, para ser absorbidas por otra o para crear una nueva.</w:t>
      </w:r>
    </w:p>
    <w:p w14:paraId="74C2E488"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»La absorbente o la nueva compañía adquirirá los derechos y obligaciones de la sociedad o sociedades disueltas al formalizarse el acuerdo de fusión».</w:t>
      </w:r>
    </w:p>
    <w:p w14:paraId="73C63694" w14:textId="77777777" w:rsidR="005709B9" w:rsidRPr="00EE5B62" w:rsidRDefault="005709B9" w:rsidP="005709B9">
      <w:pPr>
        <w:pStyle w:val="Textonotapie"/>
        <w:jc w:val="both"/>
        <w:rPr>
          <w:rFonts w:ascii="Arial" w:hAnsi="Arial" w:cs="Arial"/>
          <w:sz w:val="14"/>
          <w:szCs w:val="14"/>
          <w:lang w:val="es-CO"/>
        </w:rPr>
      </w:pPr>
    </w:p>
  </w:footnote>
  <w:footnote w:id="16">
    <w:p w14:paraId="1628D1AA"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14:paraId="37003103" w14:textId="77777777" w:rsidR="005709B9" w:rsidRPr="00EE5B62" w:rsidRDefault="005709B9" w:rsidP="005709B9">
      <w:pPr>
        <w:pStyle w:val="Textonotapie"/>
        <w:ind w:firstLine="708"/>
        <w:jc w:val="both"/>
        <w:rPr>
          <w:rFonts w:ascii="Arial" w:hAnsi="Arial" w:cs="Arial"/>
          <w:sz w:val="14"/>
          <w:szCs w:val="14"/>
          <w:lang w:val="es-CO"/>
        </w:rPr>
      </w:pPr>
    </w:p>
  </w:footnote>
  <w:footnote w:id="17">
    <w:p w14:paraId="1D651A28"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Ley 1258 de 2008: «Artículo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14:paraId="4AA930BF"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57BFDC69" w14:textId="77777777" w:rsidR="005709B9" w:rsidRPr="00EE5B62" w:rsidRDefault="005709B9" w:rsidP="005709B9">
      <w:pPr>
        <w:pStyle w:val="Textonotapie"/>
        <w:ind w:firstLine="708"/>
        <w:jc w:val="both"/>
        <w:rPr>
          <w:rFonts w:ascii="Arial" w:hAnsi="Arial" w:cs="Arial"/>
          <w:sz w:val="14"/>
          <w:szCs w:val="14"/>
        </w:rPr>
      </w:pPr>
      <w:r w:rsidRPr="00EE5B62">
        <w:rPr>
          <w:rFonts w:ascii="Arial" w:hAnsi="Arial" w:cs="Arial"/>
          <w:sz w:val="14"/>
          <w:szCs w:val="14"/>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p w14:paraId="76779DDB" w14:textId="77777777" w:rsidR="005709B9" w:rsidRPr="00EE5B62" w:rsidRDefault="005709B9" w:rsidP="005709B9">
      <w:pPr>
        <w:pStyle w:val="Textonotapie"/>
        <w:ind w:firstLine="708"/>
        <w:jc w:val="both"/>
        <w:rPr>
          <w:rFonts w:ascii="Arial" w:hAnsi="Arial" w:cs="Arial"/>
          <w:sz w:val="14"/>
          <w:szCs w:val="14"/>
          <w:lang w:val="es-CO"/>
        </w:rPr>
      </w:pPr>
    </w:p>
  </w:footnote>
  <w:footnote w:id="18">
    <w:p w14:paraId="65EFC21C" w14:textId="77777777" w:rsidR="005709B9" w:rsidRPr="00EE5B62" w:rsidRDefault="005709B9" w:rsidP="005709B9">
      <w:pPr>
        <w:pStyle w:val="Textonotapie"/>
        <w:ind w:firstLine="708"/>
        <w:jc w:val="both"/>
        <w:rPr>
          <w:rFonts w:ascii="Arial" w:hAnsi="Arial" w:cs="Arial"/>
          <w:sz w:val="14"/>
          <w:szCs w:val="14"/>
        </w:rPr>
      </w:pPr>
      <w:r w:rsidRPr="00EE5B62">
        <w:rPr>
          <w:rStyle w:val="Refdenotaalpie"/>
          <w:rFonts w:ascii="Arial" w:hAnsi="Arial" w:cs="Arial"/>
          <w:sz w:val="14"/>
          <w:szCs w:val="14"/>
        </w:rPr>
        <w:footnoteRef/>
      </w:r>
      <w:r w:rsidRPr="00EE5B62">
        <w:rPr>
          <w:rFonts w:ascii="Arial" w:hAnsi="Arial" w:cs="Arial"/>
          <w:sz w:val="14"/>
          <w:szCs w:val="14"/>
        </w:rPr>
        <w:t xml:space="preserve"> Superintendencia de Sociedades. Oficios 220-072759 del 14 de mayo de 2014, 220-100613 del 14 de julio de 2015, 220-079814 del 31 de agosto de 2015,220-142284 del 15 de julio de 2016, 095721 del 16 de junio de 2020.</w:t>
      </w:r>
    </w:p>
    <w:p w14:paraId="39F68736" w14:textId="77777777" w:rsidR="005709B9" w:rsidRPr="00EE5B62" w:rsidRDefault="005709B9" w:rsidP="005709B9">
      <w:pPr>
        <w:pStyle w:val="Textonotapie"/>
        <w:ind w:firstLine="708"/>
        <w:jc w:val="both"/>
        <w:rPr>
          <w:rFonts w:ascii="Arial" w:hAnsi="Arial" w:cs="Arial"/>
          <w:sz w:val="14"/>
          <w:szCs w:val="14"/>
          <w:lang w:val="es-CO"/>
        </w:rPr>
      </w:pPr>
    </w:p>
  </w:footnote>
  <w:footnote w:id="19">
    <w:p w14:paraId="41ADF0B1" w14:textId="77777777" w:rsidR="005709B9" w:rsidRPr="00EE5B62" w:rsidRDefault="005709B9" w:rsidP="005709B9">
      <w:pPr>
        <w:pStyle w:val="Textonotapie"/>
        <w:ind w:firstLine="708"/>
        <w:rPr>
          <w:sz w:val="14"/>
          <w:szCs w:val="14"/>
          <w:lang w:val="es-CO"/>
        </w:rPr>
      </w:pPr>
      <w:r w:rsidRPr="00EE5B62">
        <w:rPr>
          <w:rStyle w:val="Refdenotaalpie"/>
          <w:rFonts w:ascii="Arial" w:hAnsi="Arial" w:cs="Arial"/>
          <w:sz w:val="14"/>
          <w:szCs w:val="14"/>
        </w:rPr>
        <w:footnoteRef/>
      </w:r>
      <w:r w:rsidRPr="00EE5B62">
        <w:rPr>
          <w:rFonts w:ascii="Arial" w:hAnsi="Arial" w:cs="Arial"/>
          <w:sz w:val="14"/>
          <w:szCs w:val="14"/>
        </w:rPr>
        <w:t xml:space="preserve"> Superintendencia de Sociedades. Oficio 220- 063311 del 6 de abril de 2020.</w:t>
      </w:r>
    </w:p>
  </w:footnote>
  <w:footnote w:id="20">
    <w:p w14:paraId="48F79A7B" w14:textId="77777777" w:rsidR="005709B9" w:rsidRPr="00EE5B62" w:rsidRDefault="005709B9" w:rsidP="005709B9">
      <w:pPr>
        <w:pStyle w:val="Textonotapie"/>
        <w:ind w:firstLine="708"/>
        <w:jc w:val="both"/>
        <w:rPr>
          <w:rFonts w:ascii="Arial" w:hAnsi="Arial" w:cs="Arial"/>
          <w:sz w:val="14"/>
          <w:szCs w:val="14"/>
          <w:lang w:val="es-CO"/>
        </w:rPr>
      </w:pPr>
      <w:r w:rsidRPr="00EE5B62">
        <w:rPr>
          <w:rStyle w:val="Refdenotaalpie"/>
          <w:rFonts w:ascii="Arial" w:hAnsi="Arial" w:cs="Arial"/>
          <w:sz w:val="14"/>
          <w:szCs w:val="14"/>
        </w:rPr>
        <w:footnoteRef/>
      </w:r>
      <w:r w:rsidRPr="00EE5B62">
        <w:rPr>
          <w:rFonts w:ascii="Arial" w:hAnsi="Arial" w:cs="Arial"/>
          <w:sz w:val="14"/>
          <w:szCs w:val="14"/>
        </w:rPr>
        <w:t xml:space="preserve"> </w:t>
      </w:r>
      <w:r w:rsidRPr="00EE5B62">
        <w:rPr>
          <w:rFonts w:ascii="Arial" w:hAnsi="Arial" w:cs="Arial"/>
          <w:sz w:val="14"/>
          <w:szCs w:val="14"/>
          <w:lang w:val="es-CO"/>
        </w:rPr>
        <w:t xml:space="preserve">Decreto 1082 de 2015: «Artículo 2.2.1.1.1.5.3. Requisitos habilitantes contenidos en el RUP. Las cámaras de comercio, con base en la información a la que hace referencia el artículo anterior, deben verificar y certificar los siguientes requisitos habilitantes: </w:t>
      </w:r>
    </w:p>
    <w:p w14:paraId="5DEE34E7" w14:textId="77777777" w:rsidR="005709B9" w:rsidRPr="00EE5B62" w:rsidRDefault="005709B9" w:rsidP="005709B9">
      <w:pPr>
        <w:pStyle w:val="Textonotapie"/>
        <w:ind w:firstLine="708"/>
        <w:jc w:val="both"/>
        <w:rPr>
          <w:rFonts w:ascii="Arial" w:hAnsi="Arial" w:cs="Arial"/>
          <w:sz w:val="14"/>
          <w:szCs w:val="14"/>
          <w:lang w:val="es-CO"/>
        </w:rPr>
      </w:pPr>
      <w:r w:rsidRPr="00EE5B62">
        <w:rPr>
          <w:rFonts w:ascii="Arial" w:hAnsi="Arial" w:cs="Arial"/>
          <w:sz w:val="14"/>
          <w:szCs w:val="14"/>
          <w:lang w:val="es-CO"/>
        </w:rPr>
        <w:t xml:space="preserve">»1. Experiencia – Los contratos celebrados por el interesado para cada uno de los bienes, obras y servicios que ofrecerá a las Entidades Estatales, identificados con el Clasificador de Bienes y Servicios en el tercer nivel y su valor expresado en smmlv. </w:t>
      </w:r>
    </w:p>
    <w:p w14:paraId="1670620E" w14:textId="77777777" w:rsidR="005709B9" w:rsidRPr="00EE5B62" w:rsidRDefault="005709B9" w:rsidP="005709B9">
      <w:pPr>
        <w:pStyle w:val="Textonotapie"/>
        <w:ind w:firstLine="708"/>
        <w:jc w:val="both"/>
        <w:rPr>
          <w:sz w:val="14"/>
          <w:szCs w:val="14"/>
          <w:lang w:val="es-CO"/>
        </w:rPr>
      </w:pPr>
      <w:r w:rsidRPr="00EE5B62">
        <w:rPr>
          <w:rFonts w:ascii="Arial" w:hAnsi="Arial" w:cs="Arial"/>
          <w:sz w:val="14"/>
          <w:szCs w:val="14"/>
          <w:lang w:val="es-CO"/>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6848" w14:textId="77777777" w:rsidR="00906B3C" w:rsidRPr="00F2135D" w:rsidRDefault="008822E4" w:rsidP="008614E5">
    <w:pPr>
      <w:spacing w:after="0"/>
      <w:rPr>
        <w:rFonts w:ascii="Geomanist Light" w:hAnsi="Geomanist Light"/>
        <w:color w:val="002060"/>
        <w:sz w:val="16"/>
        <w:szCs w:val="16"/>
        <w:lang w:val="pt-PT"/>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6401D19F" wp14:editId="34D3B4E7">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F2135D">
      <w:rPr>
        <w:rFonts w:ascii="Geomanist Light" w:hAnsi="Geomanist Light"/>
        <w:color w:val="002060"/>
        <w:sz w:val="16"/>
        <w:szCs w:val="16"/>
        <w:lang w:val="pt-PT"/>
      </w:rPr>
      <w:t>FORMATO PQRSD</w:t>
    </w:r>
  </w:p>
  <w:p w14:paraId="56A39102" w14:textId="77777777" w:rsidR="007566FE" w:rsidRPr="00F2135D" w:rsidRDefault="008822E4"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val="pt-PT" w:eastAsia="es-CO"/>
      </w:rPr>
    </w:pPr>
    <w:r w:rsidRPr="00F2135D">
      <w:rPr>
        <w:rFonts w:ascii="Geomanist Light" w:eastAsia="Geo" w:hAnsi="Geomanist Light" w:cs="Geo"/>
        <w:b/>
        <w:color w:val="000000"/>
        <w:sz w:val="16"/>
        <w:szCs w:val="16"/>
        <w:lang w:val="pt-PT" w:eastAsia="es-CO"/>
      </w:rPr>
      <w:t xml:space="preserve">Código: </w:t>
    </w:r>
    <w:r w:rsidRPr="00F2135D">
      <w:rPr>
        <w:rFonts w:ascii="Geomanist Light" w:eastAsia="Geo" w:hAnsi="Geomanist Light" w:cs="Geo"/>
        <w:color w:val="000000"/>
        <w:sz w:val="16"/>
        <w:szCs w:val="16"/>
        <w:lang w:val="pt-PT" w:eastAsia="es-CO"/>
      </w:rPr>
      <w:t>CCE-PQRSD-FM-08</w:t>
    </w:r>
  </w:p>
  <w:p w14:paraId="5BFEE77F" w14:textId="77777777" w:rsidR="00793403" w:rsidRDefault="008822E4"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38CFCA39" wp14:editId="168DD16A">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5D03D0F2" w14:textId="77777777" w:rsidR="00793403" w:rsidRPr="007566FE" w:rsidRDefault="008822E4" w:rsidP="008614E5">
    <w:pPr>
      <w:spacing w:after="0"/>
      <w:rPr>
        <w:rFonts w:ascii="Geomanist Light" w:hAnsi="Geomanist Light"/>
        <w:color w:val="002060"/>
        <w:sz w:val="16"/>
        <w:szCs w:val="16"/>
      </w:rPr>
    </w:pPr>
  </w:p>
  <w:p w14:paraId="7673BDA3" w14:textId="77777777" w:rsidR="004A1847" w:rsidRPr="00906B3C" w:rsidRDefault="008822E4"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497814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9B9"/>
    <w:rsid w:val="00065768"/>
    <w:rsid w:val="00272A14"/>
    <w:rsid w:val="005709B9"/>
    <w:rsid w:val="00602EAF"/>
    <w:rsid w:val="00FA24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FD628"/>
  <w15:chartTrackingRefBased/>
  <w15:docId w15:val="{E4B3C3C4-4095-4799-823B-C669AB25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9B9"/>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709B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709B9"/>
    <w:rPr>
      <w:kern w:val="0"/>
      <w14:ligatures w14:val="none"/>
    </w:rPr>
  </w:style>
  <w:style w:type="paragraph" w:styleId="Piedepgina">
    <w:name w:val="footer"/>
    <w:basedOn w:val="Normal"/>
    <w:link w:val="PiedepginaCar"/>
    <w:uiPriority w:val="99"/>
    <w:unhideWhenUsed/>
    <w:rsid w:val="005709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09B9"/>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709B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709B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709B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709B9"/>
    <w:rPr>
      <w:vertAlign w:val="superscript"/>
    </w:rPr>
  </w:style>
  <w:style w:type="table" w:styleId="Tablaconcuadrcula">
    <w:name w:val="Table Grid"/>
    <w:basedOn w:val="Tablanormal"/>
    <w:uiPriority w:val="39"/>
    <w:rsid w:val="005709B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709B9"/>
    <w:pPr>
      <w:ind w:left="720"/>
      <w:contextualSpacing/>
    </w:pPr>
    <w:rPr>
      <w:rFonts w:ascii="Geomanist Light" w:hAnsi="Geomanist Light"/>
      <w:lang w:val="es-ES"/>
    </w:rPr>
  </w:style>
  <w:style w:type="paragraph" w:customStyle="1" w:styleId="Appelnotedebasde">
    <w:name w:val="Appel note de bas de..."/>
    <w:basedOn w:val="Normal"/>
    <w:link w:val="Refdenotaalpie"/>
    <w:uiPriority w:val="99"/>
    <w:rsid w:val="005709B9"/>
    <w:pPr>
      <w:spacing w:line="240" w:lineRule="exact"/>
    </w:pPr>
    <w:rPr>
      <w:kern w:val="2"/>
      <w:vertAlign w:val="superscript"/>
      <w14:ligatures w14:val="standardContextual"/>
    </w:rPr>
  </w:style>
  <w:style w:type="character" w:styleId="Hipervnculo">
    <w:name w:val="Hyperlink"/>
    <w:basedOn w:val="Fuentedeprrafopredeter"/>
    <w:uiPriority w:val="99"/>
    <w:unhideWhenUsed/>
    <w:rsid w:val="005709B9"/>
    <w:rPr>
      <w:color w:val="0563C1" w:themeColor="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709B9"/>
    <w:rPr>
      <w:rFonts w:ascii="Geomanist Light" w:hAnsi="Geomanist Light"/>
      <w:kern w:val="0"/>
      <w:lang w:val="es-ES"/>
      <w14:ligatures w14:val="none"/>
    </w:rPr>
  </w:style>
  <w:style w:type="paragraph" w:styleId="Textoindependiente">
    <w:name w:val="Body Text"/>
    <w:basedOn w:val="Normal"/>
    <w:link w:val="TextoindependienteCar"/>
    <w:uiPriority w:val="1"/>
    <w:semiHidden/>
    <w:unhideWhenUsed/>
    <w:qFormat/>
    <w:rsid w:val="005709B9"/>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semiHidden/>
    <w:rsid w:val="005709B9"/>
    <w:rPr>
      <w:rFonts w:ascii="Arial MT" w:eastAsia="Arial MT" w:hAnsi="Arial MT" w:cs="Arial MT"/>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zalduacontreras@yahoo.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files_2020/cce-eicp-ma-04._manual_requisitos_habilitantes_v.02.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FC315B-9687-4CC4-8B20-02F2D00B80CD}">
  <ds:schemaRefs>
    <ds:schemaRef ds:uri="9d85dbaf-23eb-4e57-a637-93dcacc8b1a1"/>
    <ds:schemaRef ds:uri="http://schemas.openxmlformats.org/package/2006/metadata/core-properties"/>
    <ds:schemaRef ds:uri="http://purl.org/dc/dcmitype/"/>
    <ds:schemaRef ds:uri="a6cb9e4b-f1d1-4245-83ec-6cad768d538a"/>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ACDEBCDC-CC6C-451B-9532-74382474E932}">
  <ds:schemaRefs>
    <ds:schemaRef ds:uri="http://schemas.microsoft.com/sharepoint/v3/contenttype/forms"/>
  </ds:schemaRefs>
</ds:datastoreItem>
</file>

<file path=customXml/itemProps3.xml><?xml version="1.0" encoding="utf-8"?>
<ds:datastoreItem xmlns:ds="http://schemas.openxmlformats.org/officeDocument/2006/customXml" ds:itemID="{DD088E74-8A24-43A4-98B6-AE83FD296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5494</Words>
  <Characters>30222</Characters>
  <Application>Microsoft Office Word</Application>
  <DocSecurity>0</DocSecurity>
  <Lines>251</Lines>
  <Paragraphs>71</Paragraphs>
  <ScaleCrop>false</ScaleCrop>
  <Company/>
  <LinksUpToDate>false</LinksUpToDate>
  <CharactersWithSpaces>35645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Melissa Fernández Reinoso</cp:lastModifiedBy>
  <cp:revision>2</cp:revision>
  <dcterms:created xsi:type="dcterms:W3CDTF">2023-05-26T13:15:00Z</dcterms:created>
  <dcterms:modified xsi:type="dcterms:W3CDTF">2023-05-26T13:15:00Z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