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A34ED" w14:textId="77777777" w:rsidR="00E61075" w:rsidRPr="00E61075" w:rsidRDefault="00E61075" w:rsidP="00E61075">
      <w:pPr>
        <w:spacing w:after="0"/>
        <w:jc w:val="both"/>
        <w:rPr>
          <w:rFonts w:ascii="Verdana" w:eastAsia="Calibri" w:hAnsi="Verdana" w:cs="Times New Roman"/>
        </w:rPr>
      </w:pPr>
      <w:bookmarkStart w:id="0" w:name="_Hlk143780582"/>
      <w:r w:rsidRPr="00E61075">
        <w:rPr>
          <w:rFonts w:ascii="Verdana" w:eastAsia="Calibri" w:hAnsi="Verdana" w:cs="Arial"/>
          <w:b/>
          <w:bCs/>
          <w:lang w:val="es-ES" w:eastAsia="es-ES"/>
        </w:rPr>
        <w:t>SUBSANABILIDAD – Aplicación – R</w:t>
      </w:r>
      <w:r w:rsidRPr="00E61075">
        <w:rPr>
          <w:rFonts w:ascii="Verdana" w:eastAsia="Calibri" w:hAnsi="Verdana" w:cs="Times New Roman"/>
          <w:b/>
          <w:bCs/>
          <w:lang w:val="es-ES" w:eastAsia="es-ES"/>
        </w:rPr>
        <w:t>egla general</w:t>
      </w:r>
      <w:r w:rsidRPr="00E61075">
        <w:rPr>
          <w:rFonts w:ascii="Verdana" w:eastAsia="Calibri" w:hAnsi="Verdana" w:cs="Arial"/>
          <w:b/>
          <w:bCs/>
          <w:lang w:val="es-ES" w:eastAsia="es-ES"/>
        </w:rPr>
        <w:t xml:space="preserve"> – Excepciones </w:t>
      </w:r>
    </w:p>
    <w:p w14:paraId="2CCD3EB7" w14:textId="77777777" w:rsidR="00E61075" w:rsidRPr="003A47CE" w:rsidRDefault="00E61075" w:rsidP="00E61075">
      <w:pPr>
        <w:tabs>
          <w:tab w:val="left" w:pos="426"/>
        </w:tabs>
        <w:spacing w:after="0" w:line="240" w:lineRule="auto"/>
        <w:jc w:val="both"/>
        <w:rPr>
          <w:rFonts w:ascii="Verdana" w:eastAsia="Calibri" w:hAnsi="Verdana" w:cs="Arial"/>
          <w:b/>
          <w:lang w:eastAsia="es-CO"/>
        </w:rPr>
      </w:pPr>
    </w:p>
    <w:p w14:paraId="58EBCB6B" w14:textId="43C4042F" w:rsidR="00E61075" w:rsidRPr="00E61075" w:rsidRDefault="006C47F0" w:rsidP="00E61075">
      <w:pPr>
        <w:spacing w:after="0" w:line="240" w:lineRule="auto"/>
        <w:jc w:val="both"/>
        <w:rPr>
          <w:rFonts w:ascii="Verdana" w:eastAsia="Calibri" w:hAnsi="Verdana" w:cs="Arial"/>
          <w:bCs/>
          <w:sz w:val="20"/>
          <w:szCs w:val="20"/>
          <w:lang w:eastAsia="es-CO"/>
        </w:rPr>
      </w:pPr>
      <w:r w:rsidRPr="006C47F0">
        <w:rPr>
          <w:rFonts w:ascii="Verdana" w:eastAsia="Calibri" w:hAnsi="Verdana" w:cs="Arial"/>
          <w:bCs/>
          <w:sz w:val="20"/>
          <w:szCs w:val="20"/>
          <w:lang w:eastAsia="es-CO"/>
        </w:rPr>
        <w:t xml:space="preserve">La regla de la </w:t>
      </w:r>
      <w:proofErr w:type="spellStart"/>
      <w:r w:rsidRPr="006C47F0">
        <w:rPr>
          <w:rFonts w:ascii="Verdana" w:eastAsia="Calibri" w:hAnsi="Verdana" w:cs="Arial"/>
          <w:bCs/>
          <w:sz w:val="20"/>
          <w:szCs w:val="20"/>
          <w:lang w:eastAsia="es-CO"/>
        </w:rPr>
        <w:t>subsanabilidad</w:t>
      </w:r>
      <w:proofErr w:type="spellEnd"/>
      <w:r w:rsidRPr="006C47F0">
        <w:rPr>
          <w:rFonts w:ascii="Verdana" w:eastAsia="Calibri" w:hAnsi="Verdana" w:cs="Arial"/>
          <w:bCs/>
          <w:sz w:val="20"/>
          <w:szCs w:val="20"/>
          <w:lang w:eastAsia="es-CO"/>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68E7B903" w14:textId="77777777" w:rsidR="00E61075" w:rsidRPr="003A47CE" w:rsidRDefault="00E61075" w:rsidP="00E61075">
      <w:pPr>
        <w:spacing w:after="0" w:line="240" w:lineRule="auto"/>
        <w:jc w:val="both"/>
        <w:rPr>
          <w:rFonts w:ascii="Verdana" w:eastAsia="Calibri" w:hAnsi="Verdana" w:cs="Arial"/>
          <w:bCs/>
          <w:lang w:val="es-ES_tradnl" w:eastAsia="es-CO"/>
        </w:rPr>
      </w:pPr>
    </w:p>
    <w:p w14:paraId="1CB18C92" w14:textId="77777777" w:rsidR="00E61075" w:rsidRPr="00E61075" w:rsidRDefault="00E61075" w:rsidP="00E61075">
      <w:pPr>
        <w:spacing w:after="0" w:line="240" w:lineRule="auto"/>
        <w:jc w:val="both"/>
        <w:rPr>
          <w:rFonts w:ascii="Verdana" w:eastAsia="Calibri" w:hAnsi="Verdana" w:cs="Arial"/>
          <w:b/>
          <w:bCs/>
          <w:lang w:val="es-ES" w:eastAsia="es-ES"/>
        </w:rPr>
      </w:pPr>
      <w:r w:rsidRPr="00E61075">
        <w:rPr>
          <w:rFonts w:ascii="Verdana" w:eastAsia="Calibri" w:hAnsi="Verdana" w:cs="Arial"/>
          <w:b/>
          <w:bCs/>
          <w:lang w:val="es-ES" w:eastAsia="es-ES"/>
        </w:rPr>
        <w:t>SUBSANABILIDAD – Ley 1882 de 2018</w:t>
      </w:r>
    </w:p>
    <w:p w14:paraId="626A86C4" w14:textId="77777777" w:rsidR="00E61075" w:rsidRPr="00E61075" w:rsidRDefault="00E61075" w:rsidP="00E61075">
      <w:pPr>
        <w:spacing w:after="0" w:line="240" w:lineRule="auto"/>
        <w:jc w:val="both"/>
        <w:rPr>
          <w:rFonts w:ascii="Verdana" w:eastAsia="Times New Roman" w:hAnsi="Verdana" w:cs="Arial"/>
          <w:lang w:val="es-ES" w:eastAsia="es-ES_tradnl"/>
        </w:rPr>
      </w:pPr>
    </w:p>
    <w:p w14:paraId="2BC10337" w14:textId="115511FB" w:rsidR="00E61075" w:rsidRPr="00E61075" w:rsidRDefault="00E61075" w:rsidP="00E61075">
      <w:pPr>
        <w:spacing w:after="0" w:line="240" w:lineRule="auto"/>
        <w:jc w:val="both"/>
        <w:rPr>
          <w:rFonts w:ascii="Verdana" w:eastAsia="Calibri" w:hAnsi="Verdana" w:cs="Arial"/>
          <w:bCs/>
          <w:sz w:val="20"/>
          <w:szCs w:val="20"/>
          <w:lang w:eastAsia="es-CO"/>
        </w:rPr>
      </w:pPr>
      <w:r w:rsidRPr="00E61075">
        <w:rPr>
          <w:rFonts w:ascii="Verdana" w:eastAsia="Calibri" w:hAnsi="Verdana" w:cs="Arial"/>
          <w:bCs/>
          <w:sz w:val="20"/>
          <w:szCs w:val="20"/>
          <w:lang w:eastAsia="es-CO"/>
        </w:rPr>
        <w:t xml:space="preserve">[…] </w:t>
      </w:r>
      <w:r w:rsidR="006C47F0" w:rsidRPr="006C47F0">
        <w:rPr>
          <w:rFonts w:ascii="Verdana" w:eastAsia="Calibri" w:hAnsi="Verdana" w:cs="Arial"/>
          <w:bCs/>
          <w:sz w:val="20"/>
          <w:szCs w:val="20"/>
          <w:lang w:eastAsia="es-CO"/>
        </w:rPr>
        <w:t xml:space="preserve">la Ley 1882 de 2018: i) mantiene el criterio de la Ley 80 de 1993, relativo a que todo lo que no sea necesario para la comparación de propuestas no es título suficiente para su rechazo; </w:t>
      </w:r>
      <w:proofErr w:type="spellStart"/>
      <w:r w:rsidR="006C47F0" w:rsidRPr="006C47F0">
        <w:rPr>
          <w:rFonts w:ascii="Verdana" w:eastAsia="Calibri" w:hAnsi="Verdana" w:cs="Arial"/>
          <w:bCs/>
          <w:sz w:val="20"/>
          <w:szCs w:val="20"/>
          <w:lang w:eastAsia="es-CO"/>
        </w:rPr>
        <w:t>ii</w:t>
      </w:r>
      <w:proofErr w:type="spellEnd"/>
      <w:r w:rsidR="006C47F0" w:rsidRPr="006C47F0">
        <w:rPr>
          <w:rFonts w:ascii="Verdana" w:eastAsia="Calibri" w:hAnsi="Verdana" w:cs="Arial"/>
          <w:bCs/>
          <w:sz w:val="20"/>
          <w:szCs w:val="20"/>
          <w:lang w:eastAsia="es-CO"/>
        </w:rPr>
        <w:t xml:space="preserve">) mantiene el criterio aclaratorio de la Ley 1150 de 2007, según el cual todo lo que no afecte la asignación de puntaje puede subsanarse; y, </w:t>
      </w:r>
      <w:proofErr w:type="spellStart"/>
      <w:r w:rsidR="006C47F0" w:rsidRPr="006C47F0">
        <w:rPr>
          <w:rFonts w:ascii="Verdana" w:eastAsia="Calibri" w:hAnsi="Verdana" w:cs="Arial"/>
          <w:bCs/>
          <w:sz w:val="20"/>
          <w:szCs w:val="20"/>
          <w:lang w:eastAsia="es-CO"/>
        </w:rPr>
        <w:t>iii</w:t>
      </w:r>
      <w:proofErr w:type="spellEnd"/>
      <w:r w:rsidR="006C47F0" w:rsidRPr="006C47F0">
        <w:rPr>
          <w:rFonts w:ascii="Verdana" w:eastAsia="Calibri" w:hAnsi="Verdana" w:cs="Arial"/>
          <w:bCs/>
          <w:sz w:val="20"/>
          <w:szCs w:val="20"/>
          <w:lang w:eastAsia="es-CO"/>
        </w:rPr>
        <w:t>) introduce modificaciones en relación con algunos aspectos que se analizarán a continuación.</w:t>
      </w:r>
    </w:p>
    <w:p w14:paraId="26A5320B" w14:textId="77777777" w:rsidR="00E61075" w:rsidRPr="00E61075" w:rsidRDefault="00E61075" w:rsidP="00E61075">
      <w:pPr>
        <w:spacing w:after="0" w:line="240" w:lineRule="auto"/>
        <w:jc w:val="both"/>
        <w:rPr>
          <w:rFonts w:ascii="Verdana" w:eastAsia="Calibri" w:hAnsi="Verdana" w:cs="Arial"/>
          <w:b/>
          <w:bCs/>
          <w:lang w:eastAsia="es-ES"/>
        </w:rPr>
      </w:pPr>
    </w:p>
    <w:p w14:paraId="2A7D9A67" w14:textId="77777777" w:rsidR="00E61075" w:rsidRPr="00E61075" w:rsidRDefault="00E61075" w:rsidP="00E61075">
      <w:pPr>
        <w:spacing w:after="0" w:line="276" w:lineRule="auto"/>
        <w:jc w:val="both"/>
        <w:rPr>
          <w:rFonts w:ascii="Verdana" w:eastAsia="Calibri" w:hAnsi="Verdana" w:cs="Arial"/>
          <w:b/>
          <w:bCs/>
          <w:color w:val="000000"/>
        </w:rPr>
      </w:pPr>
      <w:r w:rsidRPr="00E61075">
        <w:rPr>
          <w:rFonts w:ascii="Verdana" w:eastAsia="Calibri" w:hAnsi="Verdana" w:cs="Arial"/>
          <w:b/>
          <w:bCs/>
          <w:color w:val="000000"/>
        </w:rPr>
        <w:t xml:space="preserve">SUBSANABILIDAD – Circunstancias posteriores – Cierre del proceso – Prueba – Oportunidad – Autorizaciones </w:t>
      </w:r>
    </w:p>
    <w:p w14:paraId="2F99230E" w14:textId="77777777" w:rsidR="00E61075" w:rsidRPr="00E61075" w:rsidRDefault="00E61075" w:rsidP="00E61075">
      <w:pPr>
        <w:spacing w:after="0" w:line="276" w:lineRule="auto"/>
        <w:jc w:val="both"/>
        <w:rPr>
          <w:rFonts w:ascii="Verdana" w:eastAsia="Calibri" w:hAnsi="Verdana" w:cs="Times New Roman"/>
          <w:color w:val="000000"/>
          <w:lang w:val="es-ES_tradnl"/>
        </w:rPr>
      </w:pPr>
    </w:p>
    <w:p w14:paraId="334A3303" w14:textId="691DAD2B" w:rsidR="00E61075" w:rsidRPr="00460D52" w:rsidRDefault="00E61075" w:rsidP="00E61075">
      <w:pPr>
        <w:spacing w:after="0" w:line="240" w:lineRule="auto"/>
        <w:jc w:val="both"/>
        <w:rPr>
          <w:rFonts w:ascii="Verdana" w:eastAsia="Calibri" w:hAnsi="Verdana" w:cs="Times New Roman"/>
          <w:color w:val="000000"/>
          <w:sz w:val="20"/>
          <w:szCs w:val="20"/>
          <w:lang w:val="es-ES"/>
        </w:rPr>
      </w:pPr>
      <w:r w:rsidRPr="00E61075">
        <w:rPr>
          <w:rFonts w:ascii="Verdana" w:eastAsia="Calibri" w:hAnsi="Verdana" w:cs="Times New Roman"/>
          <w:color w:val="000000"/>
          <w:sz w:val="20"/>
          <w:szCs w:val="20"/>
          <w:lang w:val="es-ES"/>
        </w:rPr>
        <w:t xml:space="preserve">[…] </w:t>
      </w:r>
      <w:r w:rsidR="00A2355F" w:rsidRPr="00A2355F">
        <w:rPr>
          <w:rFonts w:ascii="Verdana" w:eastAsia="Calibri" w:hAnsi="Verdana" w:cs="Times New Roman"/>
          <w:color w:val="000000"/>
          <w:sz w:val="20"/>
          <w:szCs w:val="20"/>
          <w:lang w:val="es-ES"/>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00A2355F" w:rsidRPr="00A2355F">
        <w:rPr>
          <w:rFonts w:ascii="Verdana" w:eastAsia="Calibri" w:hAnsi="Verdana" w:cs="Times New Roman"/>
          <w:color w:val="000000"/>
          <w:sz w:val="20"/>
          <w:szCs w:val="20"/>
          <w:lang w:val="es-ES"/>
        </w:rPr>
        <w:t>que</w:t>
      </w:r>
      <w:proofErr w:type="gramEnd"/>
      <w:r w:rsidR="00A2355F" w:rsidRPr="00A2355F">
        <w:rPr>
          <w:rFonts w:ascii="Verdana" w:eastAsia="Calibri" w:hAnsi="Verdana" w:cs="Times New Roman"/>
          <w:color w:val="000000"/>
          <w:sz w:val="20"/>
          <w:szCs w:val="20"/>
          <w:lang w:val="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7F958164" w14:textId="77777777" w:rsidR="00E61075" w:rsidRPr="00E61075" w:rsidRDefault="00E61075" w:rsidP="00E61075">
      <w:pPr>
        <w:spacing w:after="0"/>
        <w:rPr>
          <w:rFonts w:ascii="Verdana" w:eastAsia="Calibri" w:hAnsi="Verdana" w:cs="Times New Roman"/>
        </w:rPr>
      </w:pPr>
    </w:p>
    <w:p w14:paraId="2591DE54" w14:textId="77777777" w:rsidR="00E61075" w:rsidRPr="00E61075" w:rsidRDefault="00E61075" w:rsidP="00E61075">
      <w:pPr>
        <w:spacing w:after="0" w:line="276" w:lineRule="auto"/>
        <w:jc w:val="both"/>
        <w:rPr>
          <w:rFonts w:ascii="Verdana" w:eastAsia="Calibri" w:hAnsi="Verdana" w:cs="Times New Roman"/>
          <w:b/>
          <w:bCs/>
        </w:rPr>
      </w:pPr>
      <w:r w:rsidRPr="00E61075">
        <w:rPr>
          <w:rFonts w:ascii="Verdana" w:eastAsia="Calibri" w:hAnsi="Verdana" w:cs="Times New Roman"/>
          <w:b/>
          <w:bCs/>
        </w:rPr>
        <w:t xml:space="preserve">DOCUMENTOS TIPO – Infraestructura de transporte – Subsanación – Acreditación de </w:t>
      </w:r>
      <w:proofErr w:type="spellStart"/>
      <w:r w:rsidRPr="00E61075">
        <w:rPr>
          <w:rFonts w:ascii="Verdana" w:eastAsia="Calibri" w:hAnsi="Verdana" w:cs="Times New Roman"/>
          <w:b/>
          <w:bCs/>
        </w:rPr>
        <w:t>Mipyme</w:t>
      </w:r>
      <w:proofErr w:type="spellEnd"/>
      <w:r w:rsidRPr="00E61075">
        <w:rPr>
          <w:rFonts w:ascii="Verdana" w:eastAsia="Calibri" w:hAnsi="Verdana" w:cs="Times New Roman"/>
          <w:b/>
          <w:bCs/>
        </w:rPr>
        <w:t xml:space="preserve"> – Formato</w:t>
      </w:r>
    </w:p>
    <w:p w14:paraId="680AFFE0" w14:textId="77777777" w:rsidR="00E61075" w:rsidRPr="00E61075" w:rsidRDefault="00E61075" w:rsidP="00E61075">
      <w:pPr>
        <w:spacing w:after="0"/>
        <w:rPr>
          <w:rFonts w:ascii="Verdana" w:eastAsia="Calibri" w:hAnsi="Verdana" w:cs="Times New Roman"/>
        </w:rPr>
      </w:pPr>
    </w:p>
    <w:p w14:paraId="75842A72" w14:textId="77777777" w:rsidR="003E0646" w:rsidRDefault="00E61075" w:rsidP="003E0646">
      <w:pPr>
        <w:spacing w:after="0" w:line="240" w:lineRule="auto"/>
        <w:jc w:val="both"/>
        <w:rPr>
          <w:rFonts w:ascii="Verdana" w:eastAsia="Calibri" w:hAnsi="Verdana" w:cs="Times New Roman"/>
          <w:sz w:val="20"/>
          <w:szCs w:val="20"/>
        </w:rPr>
      </w:pPr>
      <w:r w:rsidRPr="00E61075">
        <w:rPr>
          <w:rFonts w:ascii="Verdana" w:eastAsia="Calibri" w:hAnsi="Verdana" w:cs="Times New Roman"/>
          <w:sz w:val="20"/>
          <w:szCs w:val="20"/>
        </w:rPr>
        <w:t xml:space="preserve">[…] </w:t>
      </w:r>
      <w:r w:rsidR="003E0646" w:rsidRPr="003E0646">
        <w:rPr>
          <w:rFonts w:ascii="Verdana" w:eastAsia="Calibri" w:hAnsi="Verdana" w:cs="Times New Roman"/>
          <w:sz w:val="20"/>
          <w:szCs w:val="20"/>
        </w:rPr>
        <w:t xml:space="preserve">tratándose de los documentos tipo de infraestructura de transporte, el Formato de Acreditación de </w:t>
      </w:r>
      <w:proofErr w:type="spellStart"/>
      <w:r w:rsidR="003E0646" w:rsidRPr="003E0646">
        <w:rPr>
          <w:rFonts w:ascii="Verdana" w:eastAsia="Calibri" w:hAnsi="Verdana" w:cs="Times New Roman"/>
          <w:sz w:val="20"/>
          <w:szCs w:val="20"/>
        </w:rPr>
        <w:t>Mipyme</w:t>
      </w:r>
      <w:proofErr w:type="spellEnd"/>
      <w:r w:rsidR="003E0646" w:rsidRPr="003E0646">
        <w:rPr>
          <w:rFonts w:ascii="Verdana" w:eastAsia="Calibri" w:hAnsi="Verdana" w:cs="Times New Roman"/>
          <w:sz w:val="20"/>
          <w:szCs w:val="20"/>
        </w:rPr>
        <w:t xml:space="preserve"> y, en general, la acreditación de dicha condición, será, en principio, subsanable, siempre y cuando se refiera a la habilitación para poder participar en el respectivo proceso de contratación, teniendo en cuenta los aspectos que pueden subsanarse explicados en este concepto.</w:t>
      </w:r>
    </w:p>
    <w:p w14:paraId="37D4DAC7" w14:textId="77777777" w:rsidR="003E0646" w:rsidRPr="003E0646" w:rsidRDefault="003E0646" w:rsidP="003E0646">
      <w:pPr>
        <w:spacing w:after="0" w:line="240" w:lineRule="auto"/>
        <w:jc w:val="both"/>
        <w:rPr>
          <w:rFonts w:ascii="Verdana" w:eastAsia="Calibri" w:hAnsi="Verdana" w:cs="Times New Roman"/>
          <w:sz w:val="20"/>
          <w:szCs w:val="20"/>
        </w:rPr>
      </w:pPr>
    </w:p>
    <w:p w14:paraId="5B6EC68C" w14:textId="6A5D52BE" w:rsidR="00E61075" w:rsidRPr="00E61075" w:rsidRDefault="003E0646" w:rsidP="003E0646">
      <w:pPr>
        <w:spacing w:after="0" w:line="240" w:lineRule="auto"/>
        <w:jc w:val="both"/>
        <w:rPr>
          <w:rFonts w:ascii="Verdana" w:eastAsia="Calibri" w:hAnsi="Verdana" w:cs="Times New Roman"/>
          <w:sz w:val="20"/>
          <w:szCs w:val="20"/>
        </w:rPr>
      </w:pPr>
      <w:r w:rsidRPr="003E0646">
        <w:rPr>
          <w:rFonts w:ascii="Verdana" w:eastAsia="Calibri" w:hAnsi="Verdana" w:cs="Times New Roman"/>
          <w:sz w:val="20"/>
          <w:szCs w:val="20"/>
        </w:rPr>
        <w:t xml:space="preserve">Por el contrario, si con la acreditación de la condición de </w:t>
      </w:r>
      <w:proofErr w:type="spellStart"/>
      <w:r w:rsidRPr="003E0646">
        <w:rPr>
          <w:rFonts w:ascii="Verdana" w:eastAsia="Calibri" w:hAnsi="Verdana" w:cs="Times New Roman"/>
          <w:sz w:val="20"/>
          <w:szCs w:val="20"/>
        </w:rPr>
        <w:t>Mipyme</w:t>
      </w:r>
      <w:proofErr w:type="spellEnd"/>
      <w:r w:rsidRPr="003E0646">
        <w:rPr>
          <w:rFonts w:ascii="Verdana" w:eastAsia="Calibri" w:hAnsi="Verdana" w:cs="Times New Roman"/>
          <w:sz w:val="20"/>
          <w:szCs w:val="20"/>
        </w:rPr>
        <w:t xml:space="preserve"> se afecta la asignación del puntaje, esto no podrá ser objeto de subsanación, en consideración a que no pueden subsanarse aspectos que otorgan puntaje, ni acreditarse circunstancias ocurridas con posterioridad al cierre del proceso de selección.</w:t>
      </w:r>
    </w:p>
    <w:p w14:paraId="06768929" w14:textId="784547B1" w:rsidR="00E61075" w:rsidRDefault="00E61075" w:rsidP="00E61075">
      <w:pPr>
        <w:spacing w:after="0"/>
        <w:rPr>
          <w:rFonts w:ascii="Verdana" w:hAnsi="Verdana"/>
        </w:rPr>
      </w:pPr>
      <w:r w:rsidRPr="0044528D">
        <w:rPr>
          <w:rFonts w:ascii="Verdana" w:hAnsi="Verdana"/>
        </w:rPr>
        <w:lastRenderedPageBreak/>
        <w:t>Bogotá D.C.,</w:t>
      </w:r>
      <w:r w:rsidR="003E67EB">
        <w:rPr>
          <w:rFonts w:ascii="Verdana" w:hAnsi="Verdana"/>
        </w:rPr>
        <w:t xml:space="preserve"> 08 Octubre 2025</w:t>
      </w:r>
    </w:p>
    <w:p w14:paraId="606F535E" w14:textId="77777777" w:rsidR="00C65E95" w:rsidRPr="00C65E95" w:rsidRDefault="00C65E95" w:rsidP="00E61075">
      <w:pPr>
        <w:spacing w:after="0"/>
        <w:rPr>
          <w:rFonts w:ascii="Verdana" w:hAnsi="Verdana"/>
        </w:rPr>
      </w:pPr>
    </w:p>
    <w:p w14:paraId="75B0F874" w14:textId="60051D87" w:rsidR="00E61075" w:rsidRPr="00E61075" w:rsidRDefault="00CC3264" w:rsidP="003E67EB">
      <w:pPr>
        <w:spacing w:after="0"/>
        <w:jc w:val="right"/>
        <w:rPr>
          <w:rFonts w:ascii="Verdana" w:eastAsia="Calibri" w:hAnsi="Verdana" w:cs="Times New Roman"/>
        </w:rPr>
      </w:pPr>
      <w:r>
        <w:rPr>
          <w:rFonts w:ascii="Verdana" w:eastAsia="Calibri" w:hAnsi="Verdana" w:cs="Times New Roman"/>
          <w:noProof/>
        </w:rPr>
        <w:drawing>
          <wp:inline distT="0" distB="0" distL="0" distR="0" wp14:anchorId="3F4AA6B9" wp14:editId="08771CF4">
            <wp:extent cx="2783215" cy="770263"/>
            <wp:effectExtent l="0" t="0" r="0" b="4445"/>
            <wp:docPr id="93619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9301" name="Imagen 93619301"/>
                    <pic:cNvPicPr/>
                  </pic:nvPicPr>
                  <pic:blipFill>
                    <a:blip r:embed="rId10">
                      <a:extLst>
                        <a:ext uri="{28A0092B-C50C-407E-A947-70E740481C1C}">
                          <a14:useLocalDpi xmlns:a14="http://schemas.microsoft.com/office/drawing/2010/main" val="0"/>
                        </a:ext>
                      </a:extLst>
                    </a:blip>
                    <a:stretch>
                      <a:fillRect/>
                    </a:stretch>
                  </pic:blipFill>
                  <pic:spPr>
                    <a:xfrm>
                      <a:off x="0" y="0"/>
                      <a:ext cx="2816765" cy="779548"/>
                    </a:xfrm>
                    <a:prstGeom prst="rect">
                      <a:avLst/>
                    </a:prstGeom>
                  </pic:spPr>
                </pic:pic>
              </a:graphicData>
            </a:graphic>
          </wp:inline>
        </w:drawing>
      </w:r>
    </w:p>
    <w:p w14:paraId="21386750" w14:textId="77777777" w:rsidR="00E61075" w:rsidRPr="00E61075" w:rsidRDefault="00E61075" w:rsidP="00E61075">
      <w:pPr>
        <w:spacing w:after="0" w:line="240" w:lineRule="auto"/>
        <w:jc w:val="both"/>
        <w:rPr>
          <w:rFonts w:ascii="Verdana" w:eastAsia="Calibri" w:hAnsi="Verdana" w:cs="Arial"/>
          <w:lang w:val="es-ES" w:eastAsia="es-ES"/>
        </w:rPr>
      </w:pPr>
      <w:r w:rsidRPr="00E61075">
        <w:rPr>
          <w:rFonts w:ascii="Verdana" w:eastAsia="Calibri" w:hAnsi="Verdana" w:cs="Arial"/>
          <w:lang w:val="es-ES" w:eastAsia="es-ES"/>
        </w:rPr>
        <w:t>Señora</w:t>
      </w:r>
    </w:p>
    <w:p w14:paraId="0BE03491" w14:textId="77777777" w:rsidR="00E61075" w:rsidRPr="00E61075" w:rsidRDefault="00E61075" w:rsidP="00E61075">
      <w:pPr>
        <w:spacing w:after="0" w:line="240" w:lineRule="auto"/>
        <w:jc w:val="both"/>
        <w:rPr>
          <w:rFonts w:ascii="Verdana" w:eastAsia="Calibri" w:hAnsi="Verdana" w:cs="Arial"/>
          <w:b/>
          <w:bCs/>
          <w:lang w:val="es-ES" w:eastAsia="es-ES"/>
        </w:rPr>
      </w:pPr>
      <w:r w:rsidRPr="00E61075">
        <w:rPr>
          <w:rFonts w:ascii="Verdana" w:eastAsia="Calibri" w:hAnsi="Verdana" w:cs="Arial"/>
          <w:b/>
          <w:bCs/>
          <w:lang w:val="es-ES" w:eastAsia="es-ES"/>
        </w:rPr>
        <w:t>Elizabet Chaverra Arango</w:t>
      </w:r>
    </w:p>
    <w:p w14:paraId="334D639C" w14:textId="5C9E6853" w:rsidR="00E61075" w:rsidRPr="00E61075" w:rsidRDefault="00C9456F" w:rsidP="00E61075">
      <w:pPr>
        <w:spacing w:after="0" w:line="240" w:lineRule="auto"/>
        <w:rPr>
          <w:rFonts w:ascii="Verdana" w:eastAsia="Calibri" w:hAnsi="Verdana" w:cs="Arial"/>
          <w:lang w:val="es-ES" w:eastAsia="es-ES"/>
        </w:rPr>
      </w:pPr>
      <w:r>
        <w:fldChar w:fldCharType="begin"/>
      </w:r>
      <w:r>
        <w:instrText>HYPERLINK "mailto:elizaforestal@gmail.com"</w:instrText>
      </w:r>
      <w:r>
        <w:fldChar w:fldCharType="separate"/>
      </w:r>
      <w:r w:rsidRPr="00D60F7C">
        <w:rPr>
          <w:rStyle w:val="Hipervnculo"/>
          <w:rFonts w:ascii="Verdana" w:eastAsia="Calibri" w:hAnsi="Verdana" w:cs="Arial"/>
          <w:lang w:val="es-ES" w:eastAsia="es-ES"/>
        </w:rPr>
        <w:t>elizaforestal@gmail.com</w:t>
      </w:r>
      <w:r>
        <w:fldChar w:fldCharType="end"/>
      </w:r>
    </w:p>
    <w:p w14:paraId="3AF335B5" w14:textId="0DED9549" w:rsidR="00E61075" w:rsidRPr="00E61075" w:rsidRDefault="00E61075" w:rsidP="00E61075">
      <w:pPr>
        <w:spacing w:after="0" w:line="240" w:lineRule="auto"/>
        <w:rPr>
          <w:rFonts w:ascii="Verdana" w:eastAsia="Calibri" w:hAnsi="Verdana" w:cs="Arial"/>
          <w:b/>
          <w:bCs/>
          <w:lang w:val="es-ES" w:eastAsia="es-ES"/>
        </w:rPr>
      </w:pPr>
      <w:r w:rsidRPr="00E61075">
        <w:rPr>
          <w:rFonts w:ascii="Verdana" w:eastAsia="Calibri" w:hAnsi="Verdana" w:cs="Arial"/>
          <w:lang w:val="es-ES" w:eastAsia="es-ES"/>
        </w:rPr>
        <w:t>Ciudad Bolívar</w:t>
      </w:r>
      <w:r w:rsidR="00C9456F">
        <w:rPr>
          <w:rFonts w:ascii="Verdana" w:eastAsia="Calibri" w:hAnsi="Verdana" w:cs="Arial"/>
          <w:lang w:val="es-ES" w:eastAsia="es-ES"/>
        </w:rPr>
        <w:t>, Antioquia</w:t>
      </w:r>
    </w:p>
    <w:p w14:paraId="1F603906" w14:textId="77777777" w:rsidR="00E61075" w:rsidRPr="00E61075" w:rsidRDefault="00E61075" w:rsidP="00E61075">
      <w:pPr>
        <w:spacing w:after="0" w:line="240" w:lineRule="auto"/>
        <w:rPr>
          <w:rFonts w:ascii="Verdana" w:eastAsia="Calibri" w:hAnsi="Verdana" w:cs="Arial"/>
          <w:b/>
          <w:bCs/>
          <w:lang w:val="es-ES_tradnl" w:eastAsia="es-ES_tradnl"/>
        </w:rPr>
      </w:pPr>
    </w:p>
    <w:p w14:paraId="49784D9B" w14:textId="77777777" w:rsidR="00E61075" w:rsidRPr="00E61075" w:rsidRDefault="00E61075" w:rsidP="00E6107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E61075" w:rsidRPr="00E61075" w14:paraId="64187DD8" w14:textId="77777777">
        <w:trPr>
          <w:trHeight w:val="243"/>
        </w:trPr>
        <w:tc>
          <w:tcPr>
            <w:tcW w:w="2268" w:type="dxa"/>
          </w:tcPr>
          <w:p w14:paraId="27461684" w14:textId="77777777" w:rsidR="00E61075" w:rsidRPr="00E61075" w:rsidRDefault="00E61075" w:rsidP="00E61075">
            <w:pPr>
              <w:jc w:val="both"/>
              <w:rPr>
                <w:rFonts w:ascii="Verdana" w:eastAsia="Calibri" w:hAnsi="Verdana" w:cs="Arial"/>
                <w:b/>
                <w:bCs/>
                <w:lang w:val="es-ES_tradnl" w:eastAsia="es-ES_tradnl"/>
              </w:rPr>
            </w:pPr>
          </w:p>
        </w:tc>
        <w:tc>
          <w:tcPr>
            <w:tcW w:w="6521" w:type="dxa"/>
          </w:tcPr>
          <w:p w14:paraId="46DA8C50" w14:textId="77777777" w:rsidR="00E61075" w:rsidRPr="00E61075" w:rsidRDefault="00E61075" w:rsidP="00E61075">
            <w:pPr>
              <w:jc w:val="both"/>
              <w:rPr>
                <w:rFonts w:ascii="Verdana" w:eastAsia="Calibri" w:hAnsi="Verdana" w:cs="Arial"/>
                <w:b/>
                <w:bCs/>
                <w:lang w:val="es-ES" w:eastAsia="es-ES"/>
              </w:rPr>
            </w:pPr>
            <w:r w:rsidRPr="00E61075">
              <w:rPr>
                <w:rFonts w:ascii="Verdana" w:eastAsia="Calibri" w:hAnsi="Verdana" w:cs="Arial"/>
                <w:b/>
                <w:bCs/>
                <w:lang w:val="es-ES" w:eastAsia="es-ES"/>
              </w:rPr>
              <w:t>Concepto C – 1210 de 2025</w:t>
            </w:r>
          </w:p>
          <w:p w14:paraId="4945A20B" w14:textId="77777777" w:rsidR="00E61075" w:rsidRPr="00E61075" w:rsidRDefault="00E61075" w:rsidP="00E61075">
            <w:pPr>
              <w:jc w:val="both"/>
              <w:rPr>
                <w:rFonts w:ascii="Verdana" w:eastAsia="Calibri" w:hAnsi="Verdana" w:cs="Arial"/>
                <w:b/>
                <w:bCs/>
                <w:lang w:val="es-ES" w:eastAsia="es-ES"/>
              </w:rPr>
            </w:pPr>
          </w:p>
          <w:p w14:paraId="0F6656B1" w14:textId="77777777" w:rsidR="00E61075" w:rsidRPr="00E61075" w:rsidRDefault="00E61075" w:rsidP="00E61075">
            <w:pPr>
              <w:jc w:val="both"/>
              <w:rPr>
                <w:rFonts w:ascii="Verdana" w:eastAsia="Calibri" w:hAnsi="Verdana" w:cs="Arial"/>
                <w:b/>
                <w:bCs/>
                <w:lang w:val="es-ES" w:eastAsia="es-ES"/>
              </w:rPr>
            </w:pPr>
          </w:p>
        </w:tc>
      </w:tr>
      <w:tr w:rsidR="00E61075" w:rsidRPr="00E61075" w14:paraId="4DC34E0D" w14:textId="77777777">
        <w:trPr>
          <w:trHeight w:val="884"/>
        </w:trPr>
        <w:tc>
          <w:tcPr>
            <w:tcW w:w="2268" w:type="dxa"/>
          </w:tcPr>
          <w:p w14:paraId="1AA0B47E" w14:textId="77777777" w:rsidR="00E61075" w:rsidRPr="00E61075" w:rsidRDefault="00E61075" w:rsidP="00E61075">
            <w:pPr>
              <w:jc w:val="both"/>
              <w:rPr>
                <w:rFonts w:ascii="Verdana" w:eastAsia="Calibri" w:hAnsi="Verdana" w:cs="Arial"/>
                <w:lang w:val="es-ES_tradnl" w:eastAsia="es-ES_tradnl"/>
              </w:rPr>
            </w:pPr>
            <w:r w:rsidRPr="00E61075">
              <w:rPr>
                <w:rFonts w:ascii="Verdana" w:eastAsia="Calibri" w:hAnsi="Verdana" w:cs="Arial"/>
                <w:b/>
                <w:lang w:val="es-ES_tradnl" w:eastAsia="es-ES_tradnl"/>
              </w:rPr>
              <w:t>Temas:</w:t>
            </w:r>
            <w:r w:rsidRPr="00E61075">
              <w:rPr>
                <w:rFonts w:ascii="Verdana" w:eastAsia="Calibri" w:hAnsi="Verdana" w:cs="Arial"/>
                <w:lang w:val="es-ES_tradnl" w:eastAsia="es-ES_tradnl"/>
              </w:rPr>
              <w:t xml:space="preserve">                   </w:t>
            </w:r>
          </w:p>
        </w:tc>
        <w:tc>
          <w:tcPr>
            <w:tcW w:w="6521" w:type="dxa"/>
          </w:tcPr>
          <w:p w14:paraId="22390444" w14:textId="77777777" w:rsidR="00E61075" w:rsidRPr="00E61075" w:rsidRDefault="00E61075" w:rsidP="00E61075">
            <w:pPr>
              <w:spacing w:line="276" w:lineRule="auto"/>
              <w:jc w:val="both"/>
              <w:rPr>
                <w:rFonts w:ascii="Verdana" w:eastAsia="Calibri" w:hAnsi="Verdana" w:cs="Arial"/>
                <w:color w:val="000000"/>
              </w:rPr>
            </w:pPr>
            <w:r w:rsidRPr="00E61075">
              <w:rPr>
                <w:rFonts w:ascii="Verdana" w:eastAsia="Calibri" w:hAnsi="Verdana" w:cs="Arial"/>
                <w:lang w:val="es-ES" w:eastAsia="es-ES"/>
              </w:rPr>
              <w:t xml:space="preserve">SUBSANABILIDAD – Aplicación – Regla general – Excepciones / SUBSANABILIDAD – Ley 1882 de 2018 / </w:t>
            </w:r>
            <w:r w:rsidRPr="00E61075">
              <w:rPr>
                <w:rFonts w:ascii="Verdana" w:eastAsia="Calibri" w:hAnsi="Verdana" w:cs="Arial"/>
                <w:color w:val="000000"/>
              </w:rPr>
              <w:t xml:space="preserve">SUBSANABILIDAD – Circunstancias posteriores – Cierre del proceso – Prueba – Oportunidad – Autorizaciones / </w:t>
            </w:r>
            <w:r w:rsidRPr="00E61075">
              <w:rPr>
                <w:rFonts w:ascii="Verdana" w:eastAsia="Calibri" w:hAnsi="Verdana" w:cs="Times New Roman"/>
              </w:rPr>
              <w:t xml:space="preserve">DOCUMENTOS TIPO – Infraestructura de transporte – Subsanación – Acreditación de </w:t>
            </w:r>
            <w:proofErr w:type="spellStart"/>
            <w:r w:rsidRPr="00E61075">
              <w:rPr>
                <w:rFonts w:ascii="Verdana" w:eastAsia="Calibri" w:hAnsi="Verdana" w:cs="Times New Roman"/>
              </w:rPr>
              <w:t>Mipyme</w:t>
            </w:r>
            <w:proofErr w:type="spellEnd"/>
            <w:r w:rsidRPr="00E61075">
              <w:rPr>
                <w:rFonts w:ascii="Verdana" w:eastAsia="Calibri" w:hAnsi="Verdana" w:cs="Times New Roman"/>
              </w:rPr>
              <w:t xml:space="preserve"> – Formato</w:t>
            </w:r>
            <w:r w:rsidRPr="00E61075">
              <w:rPr>
                <w:rFonts w:ascii="Verdana" w:eastAsia="Calibri" w:hAnsi="Verdana" w:cs="Arial"/>
                <w:color w:val="000000"/>
              </w:rPr>
              <w:t xml:space="preserve"> </w:t>
            </w:r>
          </w:p>
          <w:p w14:paraId="00656AEA" w14:textId="77777777" w:rsidR="00E61075" w:rsidRPr="00E61075" w:rsidRDefault="00E61075" w:rsidP="00E61075">
            <w:pPr>
              <w:spacing w:line="276" w:lineRule="auto"/>
              <w:jc w:val="both"/>
              <w:rPr>
                <w:rFonts w:ascii="Verdana" w:eastAsia="Calibri" w:hAnsi="Verdana" w:cs="Times New Roman"/>
                <w:b/>
                <w:bCs/>
              </w:rPr>
            </w:pPr>
          </w:p>
        </w:tc>
      </w:tr>
      <w:tr w:rsidR="00E61075" w:rsidRPr="00E61075" w14:paraId="218607AC" w14:textId="77777777">
        <w:trPr>
          <w:trHeight w:val="377"/>
        </w:trPr>
        <w:tc>
          <w:tcPr>
            <w:tcW w:w="2268" w:type="dxa"/>
          </w:tcPr>
          <w:p w14:paraId="589627A8" w14:textId="77777777" w:rsidR="00E61075" w:rsidRPr="00E61075" w:rsidRDefault="00E61075" w:rsidP="00E61075">
            <w:pPr>
              <w:jc w:val="both"/>
              <w:rPr>
                <w:rFonts w:ascii="Verdana" w:eastAsia="Calibri" w:hAnsi="Verdana" w:cs="Arial"/>
                <w:b/>
                <w:lang w:val="es-ES_tradnl" w:eastAsia="es-ES_tradnl"/>
              </w:rPr>
            </w:pPr>
            <w:r w:rsidRPr="00E61075">
              <w:rPr>
                <w:rFonts w:ascii="Verdana" w:eastAsia="Calibri" w:hAnsi="Verdana" w:cs="Arial"/>
                <w:b/>
                <w:lang w:val="es-ES_tradnl" w:eastAsia="es-ES_tradnl"/>
              </w:rPr>
              <w:t>Radicación:</w:t>
            </w:r>
            <w:r w:rsidRPr="00E61075">
              <w:rPr>
                <w:rFonts w:ascii="Verdana" w:eastAsia="Calibri" w:hAnsi="Verdana" w:cs="Arial"/>
                <w:lang w:val="es-ES_tradnl" w:eastAsia="es-ES_tradnl"/>
              </w:rPr>
              <w:t xml:space="preserve">               </w:t>
            </w:r>
          </w:p>
        </w:tc>
        <w:tc>
          <w:tcPr>
            <w:tcW w:w="6521" w:type="dxa"/>
          </w:tcPr>
          <w:p w14:paraId="137C4594" w14:textId="77777777" w:rsidR="00E61075" w:rsidRPr="00E61075" w:rsidRDefault="00E61075" w:rsidP="00E61075">
            <w:pPr>
              <w:jc w:val="both"/>
              <w:rPr>
                <w:rFonts w:ascii="Verdana" w:eastAsia="Calibri" w:hAnsi="Verdana" w:cs="Calibri"/>
              </w:rPr>
            </w:pPr>
            <w:r w:rsidRPr="00E61075">
              <w:rPr>
                <w:rFonts w:ascii="Verdana" w:eastAsia="Calibri" w:hAnsi="Verdana" w:cs="Arial"/>
                <w:lang w:val="es-ES_tradnl" w:eastAsia="es-ES_tradnl"/>
              </w:rPr>
              <w:t>Respuesta a consulta con radicado No. 1_2025_08_27_009125</w:t>
            </w:r>
          </w:p>
        </w:tc>
      </w:tr>
    </w:tbl>
    <w:p w14:paraId="2DE12136" w14:textId="77777777" w:rsidR="00E61075" w:rsidRPr="00E61075" w:rsidRDefault="00E61075" w:rsidP="00E61075">
      <w:pPr>
        <w:spacing w:after="0" w:line="276" w:lineRule="auto"/>
        <w:jc w:val="both"/>
        <w:rPr>
          <w:rFonts w:ascii="Verdana" w:eastAsia="Calibri" w:hAnsi="Verdana" w:cs="Arial"/>
          <w:lang w:val="es-ES_tradnl" w:eastAsia="es-ES_tradnl"/>
        </w:rPr>
      </w:pPr>
    </w:p>
    <w:p w14:paraId="30C3D249" w14:textId="77777777" w:rsidR="00E61075" w:rsidRPr="00E61075" w:rsidRDefault="00E61075" w:rsidP="00E61075">
      <w:pPr>
        <w:spacing w:after="0" w:line="276" w:lineRule="auto"/>
        <w:jc w:val="both"/>
        <w:rPr>
          <w:rFonts w:ascii="Verdana" w:eastAsia="Calibri" w:hAnsi="Verdana" w:cs="Arial"/>
          <w:lang w:val="es-ES_tradnl" w:eastAsia="es-ES_tradnl"/>
        </w:rPr>
      </w:pPr>
    </w:p>
    <w:p w14:paraId="636700CD" w14:textId="77777777" w:rsidR="00E61075" w:rsidRPr="00E61075" w:rsidRDefault="00E61075" w:rsidP="00E61075">
      <w:pPr>
        <w:spacing w:after="0" w:line="276" w:lineRule="auto"/>
        <w:jc w:val="both"/>
        <w:rPr>
          <w:rFonts w:ascii="Verdana" w:eastAsia="Calibri" w:hAnsi="Verdana" w:cs="Arial"/>
          <w:lang w:val="es-ES" w:eastAsia="es-ES"/>
        </w:rPr>
      </w:pPr>
      <w:r w:rsidRPr="00E61075">
        <w:rPr>
          <w:rFonts w:ascii="Verdana" w:eastAsia="Calibri" w:hAnsi="Verdana" w:cs="Arial"/>
          <w:lang w:val="es-ES" w:eastAsia="es-ES"/>
        </w:rPr>
        <w:t xml:space="preserve">Estimada señora Chaverra Arango: </w:t>
      </w:r>
    </w:p>
    <w:p w14:paraId="0196A0DA" w14:textId="77777777" w:rsidR="00E61075" w:rsidRPr="00E61075" w:rsidRDefault="00E61075" w:rsidP="00E61075">
      <w:pPr>
        <w:tabs>
          <w:tab w:val="left" w:pos="3768"/>
        </w:tabs>
        <w:spacing w:after="0" w:line="276" w:lineRule="auto"/>
        <w:jc w:val="both"/>
        <w:rPr>
          <w:rFonts w:ascii="Verdana" w:eastAsia="Calibri" w:hAnsi="Verdana" w:cs="Arial"/>
          <w:lang w:val="es-ES" w:eastAsia="es-ES"/>
        </w:rPr>
      </w:pPr>
      <w:r w:rsidRPr="00E61075">
        <w:rPr>
          <w:rFonts w:ascii="Verdana" w:eastAsia="Calibri" w:hAnsi="Verdana" w:cs="Arial"/>
          <w:lang w:val="es-ES" w:eastAsia="es-ES"/>
        </w:rPr>
        <w:tab/>
      </w:r>
    </w:p>
    <w:p w14:paraId="0AA57FA6" w14:textId="77777777" w:rsidR="00E61075" w:rsidRPr="00E61075" w:rsidRDefault="00E61075" w:rsidP="00E61075">
      <w:pPr>
        <w:spacing w:after="0" w:line="276" w:lineRule="auto"/>
        <w:jc w:val="both"/>
        <w:rPr>
          <w:rFonts w:ascii="Verdana" w:eastAsia="Calibri" w:hAnsi="Verdana" w:cs="Arial"/>
          <w:lang w:val="es-ES" w:eastAsia="es-ES"/>
        </w:rPr>
      </w:pPr>
      <w:r w:rsidRPr="00E61075">
        <w:rPr>
          <w:rFonts w:ascii="Verdana" w:eastAsia="Calibri" w:hAnsi="Verdana" w:cs="Arial"/>
          <w:lang w:val="es-ES" w:eastAsia="es-ES"/>
        </w:rPr>
        <w:t>En ejercicio de la competencia otorgada por los artículos 3, numeral 5º, y 11, numeral 8º, del Decreto Ley 4170 de 2011,</w:t>
      </w:r>
      <w:r w:rsidRPr="00E61075">
        <w:rPr>
          <w:rFonts w:ascii="Verdana" w:eastAsia="Arial MT" w:hAnsi="Verdana" w:cs="Arial MT"/>
          <w:lang w:val="es-ES" w:eastAsia="es-ES"/>
        </w:rPr>
        <w:t xml:space="preserve"> </w:t>
      </w:r>
      <w:r w:rsidRPr="00E61075">
        <w:rPr>
          <w:rFonts w:ascii="Verdana" w:eastAsia="Calibri" w:hAnsi="Verdana" w:cs="Arial"/>
        </w:rPr>
        <w:t xml:space="preserve">así como lo establecido en el artículo 4 de la Resolución 1707 de 2018 expedida por esta Entidad, </w:t>
      </w:r>
      <w:r w:rsidRPr="00E61075">
        <w:rPr>
          <w:rFonts w:ascii="Verdana" w:eastAsia="Calibri" w:hAnsi="Verdana" w:cs="Arial"/>
          <w:lang w:val="es-ES" w:eastAsia="es-ES"/>
        </w:rPr>
        <w:t xml:space="preserve">la Agencia Nacional de Contratación Pública –Colombia Compra Eficiente– responde su solicitud de consulta de fecha 27 de agosto de 2025, en la cual manifiesta lo siguiente: </w:t>
      </w:r>
    </w:p>
    <w:p w14:paraId="0A1EBC7B" w14:textId="77777777" w:rsidR="00E61075" w:rsidRPr="00E61075" w:rsidRDefault="00E61075" w:rsidP="00E61075">
      <w:pPr>
        <w:tabs>
          <w:tab w:val="left" w:pos="142"/>
          <w:tab w:val="left" w:pos="284"/>
        </w:tabs>
        <w:spacing w:after="0" w:line="276" w:lineRule="auto"/>
        <w:jc w:val="both"/>
        <w:rPr>
          <w:rFonts w:ascii="Verdana" w:eastAsia="Century Gothic" w:hAnsi="Verdana" w:cs="Century Gothic"/>
          <w:b/>
          <w:bCs/>
          <w:lang w:val="es-ES"/>
        </w:rPr>
      </w:pPr>
    </w:p>
    <w:p w14:paraId="58316A00" w14:textId="77777777" w:rsidR="00E61075" w:rsidRPr="00E61075" w:rsidRDefault="00E61075" w:rsidP="00E61075">
      <w:pPr>
        <w:spacing w:after="0" w:line="240" w:lineRule="auto"/>
        <w:ind w:left="709" w:right="709"/>
        <w:jc w:val="both"/>
        <w:rPr>
          <w:rFonts w:ascii="Verdana" w:eastAsia="Calibri" w:hAnsi="Verdana" w:cs="Times New Roman"/>
          <w:sz w:val="21"/>
          <w:szCs w:val="21"/>
        </w:rPr>
      </w:pPr>
      <w:r w:rsidRPr="00E61075">
        <w:rPr>
          <w:rFonts w:ascii="Verdana" w:eastAsia="Calibri" w:hAnsi="Verdana" w:cs="Times New Roman"/>
          <w:sz w:val="21"/>
          <w:szCs w:val="21"/>
        </w:rPr>
        <w:t>“[S]</w:t>
      </w:r>
      <w:proofErr w:type="spellStart"/>
      <w:r w:rsidRPr="00E61075">
        <w:rPr>
          <w:rFonts w:ascii="Verdana" w:eastAsia="Calibri" w:hAnsi="Verdana" w:cs="Times New Roman"/>
          <w:sz w:val="21"/>
          <w:szCs w:val="21"/>
        </w:rPr>
        <w:t>olicito</w:t>
      </w:r>
      <w:proofErr w:type="spellEnd"/>
      <w:r w:rsidRPr="00E61075">
        <w:rPr>
          <w:rFonts w:ascii="Verdana" w:eastAsia="Calibri" w:hAnsi="Verdana" w:cs="Times New Roman"/>
          <w:sz w:val="21"/>
          <w:szCs w:val="21"/>
        </w:rPr>
        <w:t xml:space="preserve"> amablemente, me ayuden con la siguiente situación: En un concurso de méritos abierto con pliego tipo de infraestructura de transporte que se </w:t>
      </w:r>
      <w:proofErr w:type="spellStart"/>
      <w:r w:rsidRPr="00E61075">
        <w:rPr>
          <w:rFonts w:ascii="Verdana" w:eastAsia="Calibri" w:hAnsi="Verdana" w:cs="Times New Roman"/>
          <w:sz w:val="21"/>
          <w:szCs w:val="21"/>
        </w:rPr>
        <w:t>limito</w:t>
      </w:r>
      <w:proofErr w:type="spellEnd"/>
      <w:r w:rsidRPr="00E61075">
        <w:rPr>
          <w:rFonts w:ascii="Verdana" w:eastAsia="Calibri" w:hAnsi="Verdana" w:cs="Times New Roman"/>
          <w:sz w:val="21"/>
          <w:szCs w:val="21"/>
        </w:rPr>
        <w:t xml:space="preserve"> a </w:t>
      </w:r>
      <w:proofErr w:type="spellStart"/>
      <w:r w:rsidRPr="00E61075">
        <w:rPr>
          <w:rFonts w:ascii="Verdana" w:eastAsia="Calibri" w:hAnsi="Verdana" w:cs="Times New Roman"/>
          <w:sz w:val="21"/>
          <w:szCs w:val="21"/>
        </w:rPr>
        <w:t>Mipyme</w:t>
      </w:r>
      <w:proofErr w:type="spellEnd"/>
      <w:r w:rsidRPr="00E61075">
        <w:rPr>
          <w:rFonts w:ascii="Verdana" w:eastAsia="Calibri" w:hAnsi="Verdana" w:cs="Times New Roman"/>
          <w:sz w:val="21"/>
          <w:szCs w:val="21"/>
        </w:rPr>
        <w:t xml:space="preserve">, un oferente no acredito su condición diligenciando el formato 14 establecido en los pliegos, este oferente se rechaza o puede subsanar el documento”. </w:t>
      </w:r>
    </w:p>
    <w:p w14:paraId="7ABC63BE" w14:textId="77777777" w:rsidR="00E61075" w:rsidRPr="00E61075" w:rsidRDefault="00E61075" w:rsidP="00E61075">
      <w:pPr>
        <w:spacing w:before="12" w:after="12" w:line="240" w:lineRule="auto"/>
        <w:ind w:left="709" w:right="709"/>
        <w:jc w:val="both"/>
        <w:rPr>
          <w:rFonts w:ascii="Verdana" w:eastAsia="Times New Roman" w:hAnsi="Verdana" w:cs="Times New Roman"/>
          <w:lang w:eastAsia="es-CO"/>
        </w:rPr>
      </w:pPr>
    </w:p>
    <w:p w14:paraId="284B5B2C" w14:textId="77777777" w:rsidR="00E61075" w:rsidRPr="00E61075" w:rsidRDefault="00E61075" w:rsidP="00E61075">
      <w:pPr>
        <w:spacing w:after="120" w:line="276" w:lineRule="auto"/>
        <w:ind w:firstLine="708"/>
        <w:jc w:val="both"/>
        <w:rPr>
          <w:rFonts w:ascii="Verdana" w:eastAsia="Calibri" w:hAnsi="Verdana" w:cs="Arial"/>
          <w:color w:val="000000"/>
          <w:lang w:val="es-ES_tradnl" w:eastAsia="es-ES_tradnl"/>
        </w:rPr>
      </w:pPr>
      <w:r w:rsidRPr="00E61075">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61075">
        <w:rPr>
          <w:rFonts w:ascii="Verdana" w:eastAsia="Calibri" w:hAnsi="Verdana" w:cs="Arial"/>
          <w:color w:val="000000"/>
          <w:lang w:val="es-ES_tradnl" w:eastAsia="es-ES_tradnl"/>
        </w:rPr>
        <w:tab/>
      </w:r>
    </w:p>
    <w:p w14:paraId="6DF5773B" w14:textId="77777777" w:rsidR="00E61075" w:rsidRPr="00E61075" w:rsidRDefault="00E61075" w:rsidP="00E61075">
      <w:pPr>
        <w:spacing w:after="0" w:line="276" w:lineRule="auto"/>
        <w:ind w:firstLine="709"/>
        <w:jc w:val="both"/>
        <w:rPr>
          <w:rFonts w:ascii="Verdana" w:eastAsia="Calibri" w:hAnsi="Verdana" w:cs="Arial"/>
          <w:color w:val="000000"/>
          <w:lang w:val="es-ES" w:eastAsia="es-ES"/>
        </w:rPr>
      </w:pPr>
      <w:r w:rsidRPr="00E61075">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CEC00E0" w14:textId="77777777" w:rsidR="00E61075" w:rsidRPr="00E61075" w:rsidRDefault="00E61075" w:rsidP="00E61075">
      <w:pPr>
        <w:spacing w:after="0" w:line="276" w:lineRule="auto"/>
        <w:jc w:val="both"/>
        <w:rPr>
          <w:rFonts w:ascii="Verdana" w:eastAsia="Calibri" w:hAnsi="Verdana" w:cs="Arial"/>
          <w:color w:val="000000"/>
          <w:lang w:val="es-ES" w:eastAsia="es-ES"/>
        </w:rPr>
      </w:pPr>
    </w:p>
    <w:p w14:paraId="04EA87B1" w14:textId="77777777" w:rsidR="00E61075" w:rsidRPr="00E61075" w:rsidRDefault="00E61075" w:rsidP="00E6107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61075">
        <w:rPr>
          <w:rFonts w:ascii="Verdana" w:eastAsia="Century Gothic" w:hAnsi="Verdana" w:cs="Century Gothic"/>
          <w:b/>
          <w:bCs/>
          <w:lang w:val="es-ES"/>
        </w:rPr>
        <w:t>Problema planteado:</w:t>
      </w:r>
    </w:p>
    <w:p w14:paraId="34643D96" w14:textId="77777777" w:rsidR="00E61075" w:rsidRPr="00E61075" w:rsidRDefault="00E61075" w:rsidP="00E61075">
      <w:pPr>
        <w:tabs>
          <w:tab w:val="left" w:pos="426"/>
        </w:tabs>
        <w:spacing w:after="0" w:line="276" w:lineRule="auto"/>
        <w:jc w:val="both"/>
        <w:rPr>
          <w:rFonts w:ascii="Verdana" w:eastAsia="Century Gothic" w:hAnsi="Verdana" w:cs="Century Gothic"/>
          <w:lang w:val="es-ES"/>
        </w:rPr>
      </w:pPr>
    </w:p>
    <w:p w14:paraId="049B6462" w14:textId="77777777" w:rsidR="00E61075" w:rsidRPr="00E61075" w:rsidRDefault="00E61075" w:rsidP="00E61075">
      <w:pPr>
        <w:spacing w:after="0" w:line="276" w:lineRule="auto"/>
        <w:jc w:val="both"/>
        <w:rPr>
          <w:rFonts w:ascii="Verdana" w:eastAsia="Century Gothic" w:hAnsi="Verdana" w:cs="Century Gothic"/>
        </w:rPr>
      </w:pPr>
      <w:r w:rsidRPr="00E61075">
        <w:rPr>
          <w:rFonts w:ascii="Verdana" w:eastAsia="Century Gothic" w:hAnsi="Verdana" w:cs="Century Gothic"/>
        </w:rPr>
        <w:t xml:space="preserve">De acuerdo con el contenido de su solicitud, esta Agencia resolverá el siguiente problema jurídico: ¿el formato de acreditación de </w:t>
      </w:r>
      <w:proofErr w:type="spellStart"/>
      <w:r w:rsidRPr="00E61075">
        <w:rPr>
          <w:rFonts w:ascii="Verdana" w:eastAsia="Century Gothic" w:hAnsi="Verdana" w:cs="Century Gothic"/>
        </w:rPr>
        <w:t>Mipyme</w:t>
      </w:r>
      <w:proofErr w:type="spellEnd"/>
      <w:r w:rsidRPr="00E61075">
        <w:rPr>
          <w:rFonts w:ascii="Verdana" w:eastAsia="Century Gothic" w:hAnsi="Verdana" w:cs="Century Gothic"/>
        </w:rPr>
        <w:t xml:space="preserve"> de los documentos tipo de infraestructura de transporte es subsanable? </w:t>
      </w:r>
    </w:p>
    <w:p w14:paraId="5866C29D" w14:textId="77777777" w:rsidR="00E61075" w:rsidRPr="00E61075" w:rsidRDefault="00E61075" w:rsidP="00E61075">
      <w:pPr>
        <w:spacing w:after="0" w:line="276" w:lineRule="auto"/>
        <w:jc w:val="both"/>
        <w:rPr>
          <w:rFonts w:ascii="Verdana" w:eastAsia="Calibri" w:hAnsi="Verdana" w:cs="Arial"/>
          <w:color w:val="7030A0"/>
        </w:rPr>
      </w:pPr>
    </w:p>
    <w:p w14:paraId="7944F805" w14:textId="77777777" w:rsidR="00E61075" w:rsidRPr="00E61075" w:rsidRDefault="00E61075" w:rsidP="00E6107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61075">
        <w:rPr>
          <w:rFonts w:ascii="Verdana" w:eastAsia="Century Gothic" w:hAnsi="Verdana" w:cs="Century Gothic"/>
          <w:b/>
          <w:bCs/>
          <w:lang w:val="es-ES"/>
        </w:rPr>
        <w:t>Respuesta:</w:t>
      </w:r>
    </w:p>
    <w:p w14:paraId="65EBC2BD" w14:textId="77777777" w:rsidR="00E61075" w:rsidRPr="00E61075" w:rsidRDefault="00E61075" w:rsidP="00E61075">
      <w:pPr>
        <w:tabs>
          <w:tab w:val="left" w:pos="142"/>
          <w:tab w:val="left" w:pos="284"/>
        </w:tabs>
        <w:spacing w:after="0" w:line="276" w:lineRule="auto"/>
        <w:jc w:val="both"/>
        <w:rPr>
          <w:rFonts w:ascii="Verdana" w:eastAsia="Century Gothic" w:hAnsi="Verdana" w:cs="Century Gothic"/>
          <w:b/>
          <w:bCs/>
          <w:highlight w:val="yellow"/>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1075" w:rsidRPr="00E61075" w14:paraId="335947C7" w14:textId="77777777">
        <w:tc>
          <w:tcPr>
            <w:tcW w:w="8828" w:type="dxa"/>
          </w:tcPr>
          <w:p w14:paraId="209AAE4B" w14:textId="77777777" w:rsidR="00E61075" w:rsidRPr="00E61075" w:rsidRDefault="00E61075" w:rsidP="00E61075">
            <w:pPr>
              <w:spacing w:after="120" w:line="276" w:lineRule="auto"/>
              <w:jc w:val="both"/>
              <w:rPr>
                <w:rFonts w:ascii="Verdana" w:eastAsia="Calibri" w:hAnsi="Verdana" w:cs="Arial"/>
              </w:rPr>
            </w:pPr>
            <w:r w:rsidRPr="00E61075">
              <w:rPr>
                <w:rFonts w:ascii="Verdana" w:eastAsia="Calibri" w:hAnsi="Verdana" w:cs="Arial"/>
              </w:rPr>
              <w:t xml:space="preserve">La regla de </w:t>
            </w:r>
            <w:proofErr w:type="spellStart"/>
            <w:r w:rsidRPr="00E61075">
              <w:rPr>
                <w:rFonts w:ascii="Verdana" w:eastAsia="Calibri" w:hAnsi="Verdana" w:cs="Arial"/>
              </w:rPr>
              <w:t>subsanabilidad</w:t>
            </w:r>
            <w:proofErr w:type="spellEnd"/>
            <w:r w:rsidRPr="00E61075">
              <w:rPr>
                <w:rFonts w:ascii="Verdana" w:eastAsia="Calibri" w:hAnsi="Verdana" w:cs="Arial"/>
              </w:rPr>
              <w:t xml:space="preserve">, dispuesta en el artículo 5 de la Ley 1150 de 2007, es un mecanismo previsto en los procesos de contratación estatal que se regulan por el EGCAP, según la cual los proponentes pueden enmendar, corregir o modificar los errores en los que se incurre en los documentos contentivos de la oferta. </w:t>
            </w:r>
          </w:p>
          <w:p w14:paraId="691D40B8" w14:textId="77777777" w:rsidR="00E61075" w:rsidRPr="00E61075" w:rsidRDefault="00E61075" w:rsidP="00E61075">
            <w:pPr>
              <w:spacing w:after="120" w:line="276" w:lineRule="auto"/>
              <w:ind w:firstLine="708"/>
              <w:jc w:val="both"/>
              <w:rPr>
                <w:rFonts w:ascii="Verdana" w:eastAsia="Times New Roman" w:hAnsi="Verdana" w:cs="Arial"/>
                <w:i/>
                <w:lang w:val="es-ES" w:eastAsia="es-ES"/>
              </w:rPr>
            </w:pPr>
            <w:r w:rsidRPr="00E61075">
              <w:rPr>
                <w:rFonts w:ascii="Verdana" w:eastAsia="Calibri"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2248CC01"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4A53AE23">
              <w:rPr>
                <w:rFonts w:ascii="Verdana" w:eastAsia="Times New Roman" w:hAnsi="Verdana" w:cs="Arial"/>
                <w:lang w:val="es-ES" w:eastAsia="es-ES"/>
              </w:rPr>
              <w:lastRenderedPageBreak/>
              <w:t xml:space="preserve">De acuerdo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5DC71130" w14:textId="77777777" w:rsidR="00E61075" w:rsidRPr="00E61075" w:rsidRDefault="00E61075" w:rsidP="00E61075">
            <w:pPr>
              <w:spacing w:after="120" w:line="276" w:lineRule="auto"/>
              <w:ind w:firstLine="708"/>
              <w:jc w:val="both"/>
              <w:rPr>
                <w:rFonts w:ascii="Verdana" w:eastAsia="Calibri" w:hAnsi="Verdana" w:cs="Arial"/>
                <w:color w:val="000000"/>
              </w:rPr>
            </w:pPr>
            <w:r w:rsidRPr="00E61075">
              <w:rPr>
                <w:rFonts w:ascii="Verdana" w:eastAsia="Calibri" w:hAnsi="Verdana" w:cs="Arial"/>
                <w:color w:val="000000"/>
              </w:rPr>
              <w:t xml:space="preserve">Las anteriores consideraciones son, claramente, aplicables a los documentos tipo expedidos por esta Agencia. Por lo tanto, tratándose de los documentos tipo de infraestructura de transporte, el Formato de Acreditación de </w:t>
            </w:r>
            <w:proofErr w:type="spellStart"/>
            <w:r w:rsidRPr="00E61075">
              <w:rPr>
                <w:rFonts w:ascii="Verdana" w:eastAsia="Calibri" w:hAnsi="Verdana" w:cs="Arial"/>
                <w:color w:val="000000"/>
              </w:rPr>
              <w:t>Mipyme</w:t>
            </w:r>
            <w:proofErr w:type="spellEnd"/>
            <w:r w:rsidRPr="00E61075">
              <w:rPr>
                <w:rFonts w:ascii="Verdana" w:eastAsia="Calibri" w:hAnsi="Verdana" w:cs="Arial"/>
                <w:color w:val="000000"/>
              </w:rPr>
              <w:t xml:space="preserve"> y, en general, la acreditación de dicha condición, será, en principio, subsanable, siempre y cuando se refiera a la habilitación para poder participar en el respectivo proceso de contratación, teniendo en cuenta los aspectos que pueden subsanarse explicados en este concepto.</w:t>
            </w:r>
          </w:p>
          <w:p w14:paraId="38EB3B93" w14:textId="77777777" w:rsidR="00E61075" w:rsidRPr="00E61075" w:rsidRDefault="00E61075" w:rsidP="00E61075">
            <w:pPr>
              <w:spacing w:line="276" w:lineRule="auto"/>
              <w:ind w:firstLine="708"/>
              <w:jc w:val="both"/>
              <w:rPr>
                <w:rFonts w:ascii="Verdana" w:eastAsia="Calibri" w:hAnsi="Verdana" w:cs="Arial"/>
                <w:color w:val="000000"/>
              </w:rPr>
            </w:pPr>
            <w:r w:rsidRPr="00E61075">
              <w:rPr>
                <w:rFonts w:ascii="Verdana" w:eastAsia="Calibri" w:hAnsi="Verdana" w:cs="Arial"/>
                <w:color w:val="000000"/>
              </w:rPr>
              <w:t xml:space="preserve">Por el contrario, si con la acreditación de la condición de </w:t>
            </w:r>
            <w:proofErr w:type="spellStart"/>
            <w:r w:rsidRPr="00E61075">
              <w:rPr>
                <w:rFonts w:ascii="Verdana" w:eastAsia="Calibri" w:hAnsi="Verdana" w:cs="Arial"/>
                <w:color w:val="000000"/>
              </w:rPr>
              <w:t>Mipyme</w:t>
            </w:r>
            <w:proofErr w:type="spellEnd"/>
            <w:r w:rsidRPr="00E61075">
              <w:rPr>
                <w:rFonts w:ascii="Verdana" w:eastAsia="Calibri" w:hAnsi="Verdana" w:cs="Arial"/>
                <w:color w:val="000000"/>
              </w:rPr>
              <w:t xml:space="preserve"> se afecta la asignación del puntaje, esto no podrá ser objeto de subsanación, en consideración a que no pueden subsanarse aspectos que otorgan puntaje, ni acreditarse circunstancias ocurridas con posterioridad al cierre del proceso de selección. </w:t>
            </w:r>
            <w:r w:rsidRPr="00E61075">
              <w:rPr>
                <w:rFonts w:ascii="Verdana" w:eastAsia="Times New Roman" w:hAnsi="Verdana" w:cs="Arial"/>
                <w:lang w:val="es-ES" w:eastAsia="es-ES"/>
              </w:rPr>
              <w:t xml:space="preserve"> </w:t>
            </w:r>
          </w:p>
        </w:tc>
      </w:tr>
    </w:tbl>
    <w:p w14:paraId="03235AD0" w14:textId="77777777" w:rsidR="00E61075" w:rsidRPr="00E61075" w:rsidRDefault="00E61075" w:rsidP="00E61075">
      <w:pPr>
        <w:tabs>
          <w:tab w:val="left" w:pos="142"/>
          <w:tab w:val="left" w:pos="284"/>
        </w:tabs>
        <w:spacing w:after="0" w:line="276" w:lineRule="auto"/>
        <w:jc w:val="both"/>
        <w:rPr>
          <w:rFonts w:ascii="Verdana" w:eastAsia="Century Gothic" w:hAnsi="Verdana" w:cs="Century Gothic"/>
          <w:b/>
          <w:bCs/>
          <w:lang w:val="es-ES"/>
        </w:rPr>
      </w:pPr>
    </w:p>
    <w:p w14:paraId="7E5F95E8" w14:textId="77777777" w:rsidR="00E61075" w:rsidRPr="00E61075" w:rsidRDefault="00E61075" w:rsidP="00E61075">
      <w:pPr>
        <w:numPr>
          <w:ilvl w:val="0"/>
          <w:numId w:val="16"/>
        </w:numPr>
        <w:tabs>
          <w:tab w:val="left" w:pos="142"/>
          <w:tab w:val="left" w:pos="284"/>
        </w:tabs>
        <w:spacing w:after="0" w:line="276" w:lineRule="auto"/>
        <w:ind w:left="357" w:hanging="357"/>
        <w:jc w:val="both"/>
        <w:rPr>
          <w:rFonts w:ascii="Verdana" w:eastAsia="Calibri" w:hAnsi="Verdana" w:cs="Arial"/>
          <w:color w:val="7030A0"/>
          <w:lang w:val="es-ES"/>
        </w:rPr>
      </w:pPr>
      <w:r w:rsidRPr="00E61075">
        <w:rPr>
          <w:rFonts w:ascii="Verdana" w:eastAsia="Century Gothic" w:hAnsi="Verdana" w:cs="Century Gothic"/>
          <w:b/>
          <w:bCs/>
          <w:lang w:val="es-ES"/>
        </w:rPr>
        <w:t>Razones de la respuesta:</w:t>
      </w:r>
    </w:p>
    <w:p w14:paraId="3406D5E7" w14:textId="77777777" w:rsidR="00E61075" w:rsidRPr="00E61075" w:rsidRDefault="00E61075" w:rsidP="00E61075">
      <w:pPr>
        <w:spacing w:after="0" w:line="276" w:lineRule="auto"/>
        <w:jc w:val="both"/>
        <w:rPr>
          <w:rFonts w:ascii="Verdana" w:eastAsia="Calibri" w:hAnsi="Verdana" w:cs="Arial"/>
          <w:lang w:val="es-ES" w:eastAsia="es-ES"/>
        </w:rPr>
      </w:pPr>
    </w:p>
    <w:p w14:paraId="0548C9A0" w14:textId="77777777" w:rsidR="00E61075" w:rsidRPr="00E61075" w:rsidRDefault="00E61075" w:rsidP="00E61075">
      <w:pPr>
        <w:spacing w:after="0" w:line="276" w:lineRule="auto"/>
        <w:jc w:val="both"/>
        <w:rPr>
          <w:rFonts w:ascii="Verdana" w:eastAsia="Calibri" w:hAnsi="Verdana" w:cs="Arial"/>
        </w:rPr>
      </w:pPr>
      <w:r w:rsidRPr="00E61075">
        <w:rPr>
          <w:rFonts w:ascii="Verdana" w:eastAsia="Calibri" w:hAnsi="Verdana" w:cs="Arial"/>
        </w:rPr>
        <w:t xml:space="preserve">Lo anterior se sustenta en las siguientes consideraciones: </w:t>
      </w:r>
    </w:p>
    <w:p w14:paraId="546BB645" w14:textId="77777777" w:rsidR="00E61075" w:rsidRPr="00E61075" w:rsidRDefault="00E61075" w:rsidP="00E61075">
      <w:pPr>
        <w:spacing w:after="0" w:line="276" w:lineRule="auto"/>
        <w:jc w:val="both"/>
        <w:rPr>
          <w:rFonts w:ascii="Verdana" w:eastAsia="Calibri" w:hAnsi="Verdana" w:cs="Arial"/>
        </w:rPr>
      </w:pPr>
    </w:p>
    <w:p w14:paraId="433C6948" w14:textId="77777777" w:rsidR="00E61075" w:rsidRPr="00E61075" w:rsidRDefault="00E61075" w:rsidP="00E61075">
      <w:pPr>
        <w:spacing w:after="120" w:line="276" w:lineRule="auto"/>
        <w:jc w:val="both"/>
        <w:rPr>
          <w:rFonts w:ascii="Verdana" w:eastAsia="Times New Roman" w:hAnsi="Verdana" w:cs="Arial"/>
          <w:lang w:val="es-ES_tradnl" w:eastAsia="es-ES_tradnl"/>
        </w:rPr>
      </w:pPr>
      <w:r w:rsidRPr="00E61075">
        <w:rPr>
          <w:rFonts w:ascii="Verdana" w:eastAsia="Calibri" w:hAnsi="Verdana" w:cs="Arial"/>
          <w:noProof/>
          <w:lang w:val="es-ES_tradnl"/>
        </w:rPr>
        <w:t>L</w:t>
      </w:r>
      <w:r w:rsidRPr="00E61075">
        <w:rPr>
          <w:rFonts w:ascii="Verdana" w:eastAsia="Times New Roman" w:hAnsi="Verdana" w:cs="Arial"/>
        </w:rPr>
        <w:t xml:space="preserve">a regla de la </w:t>
      </w:r>
      <w:proofErr w:type="spellStart"/>
      <w:r w:rsidRPr="00E61075">
        <w:rPr>
          <w:rFonts w:ascii="Verdana" w:eastAsia="Times New Roman" w:hAnsi="Verdana" w:cs="Arial"/>
        </w:rPr>
        <w:t>subsanabilidad</w:t>
      </w:r>
      <w:proofErr w:type="spellEnd"/>
      <w:r w:rsidRPr="00E61075">
        <w:rPr>
          <w:rFonts w:ascii="Verdana" w:eastAsia="Times New Roman" w:hAnsi="Verdana" w:cs="Arial"/>
        </w:rPr>
        <w:t xml:space="preserve"> de las ofertas en los procedimientos de selección</w:t>
      </w:r>
      <w:r w:rsidRPr="00E61075">
        <w:rPr>
          <w:rFonts w:ascii="Verdana" w:eastAsia="Times New Roman" w:hAnsi="Verdana" w:cs="Arial"/>
          <w:b/>
          <w:bCs/>
        </w:rPr>
        <w:t xml:space="preserve"> </w:t>
      </w:r>
      <w:r w:rsidRPr="00E61075">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7F9FBE6D" w14:textId="77777777" w:rsidR="00E61075" w:rsidRPr="00E61075" w:rsidRDefault="00E61075" w:rsidP="00E61075">
      <w:pPr>
        <w:spacing w:after="120" w:line="276" w:lineRule="auto"/>
        <w:ind w:firstLine="708"/>
        <w:jc w:val="both"/>
        <w:rPr>
          <w:rFonts w:ascii="Verdana" w:eastAsia="Times New Roman" w:hAnsi="Verdana" w:cs="Arial"/>
          <w:lang w:val="es-ES" w:eastAsia="es-ES"/>
        </w:rPr>
      </w:pPr>
      <w:r w:rsidRPr="00E61075">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w:t>
      </w:r>
      <w:r w:rsidRPr="00E61075">
        <w:rPr>
          <w:rFonts w:ascii="Verdana" w:eastAsia="Times New Roman" w:hAnsi="Verdana" w:cs="Arial"/>
          <w:lang w:val="es-ES_tradnl" w:eastAsia="es-ES_tradnl"/>
        </w:rPr>
        <w:lastRenderedPageBreak/>
        <w:t>285 del 20 de mayo de 2022</w:t>
      </w:r>
      <w:r w:rsidRPr="00E61075">
        <w:rPr>
          <w:rFonts w:ascii="Verdana" w:eastAsia="Times New Roman" w:hAnsi="Verdana" w:cs="Arial"/>
          <w:vertAlign w:val="superscript"/>
          <w:lang w:val="es-ES_tradnl" w:eastAsia="es-ES_tradnl"/>
        </w:rPr>
        <w:footnoteReference w:id="1"/>
      </w:r>
      <w:r w:rsidRPr="00E61075">
        <w:rPr>
          <w:rFonts w:ascii="Verdana" w:eastAsia="Times New Roman" w:hAnsi="Verdana" w:cs="Arial"/>
          <w:lang w:val="es-ES_tradnl" w:eastAsia="es-ES_tradnl"/>
        </w:rPr>
        <w:t xml:space="preserve"> o el C-447 del 19 de septiembre de 2024</w:t>
      </w:r>
      <w:r w:rsidRPr="00E61075">
        <w:rPr>
          <w:rFonts w:ascii="Verdana" w:eastAsia="Times New Roman" w:hAnsi="Verdana" w:cs="Arial"/>
          <w:vertAlign w:val="superscript"/>
          <w:lang w:val="es-ES_tradnl" w:eastAsia="es-ES_tradnl"/>
        </w:rPr>
        <w:footnoteReference w:id="2"/>
      </w:r>
      <w:r w:rsidRPr="00E61075">
        <w:rPr>
          <w:rFonts w:ascii="Verdana" w:eastAsia="Times New Roman" w:hAnsi="Verdana" w:cs="Arial"/>
          <w:lang w:val="es-ES_tradnl" w:eastAsia="es-ES_tradnl"/>
        </w:rPr>
        <w:t>, los cuales, en el evento en que tenga interés, podrá consultar en los enlaces de la nota al pie. Sin embargo</w:t>
      </w:r>
      <w:r w:rsidRPr="00E61075">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E61075">
        <w:rPr>
          <w:rFonts w:ascii="Verdana" w:eastAsia="Times New Roman" w:hAnsi="Verdana" w:cs="Arial"/>
          <w:lang w:val="es-ES" w:eastAsia="es-ES"/>
        </w:rPr>
        <w:t>subsanabilidad</w:t>
      </w:r>
      <w:proofErr w:type="spellEnd"/>
      <w:r w:rsidRPr="00E61075">
        <w:rPr>
          <w:rFonts w:ascii="Verdana" w:eastAsia="Times New Roman" w:hAnsi="Verdana" w:cs="Arial"/>
          <w:lang w:val="es-ES" w:eastAsia="es-ES"/>
        </w:rPr>
        <w:t>.</w:t>
      </w:r>
    </w:p>
    <w:p w14:paraId="2E59628B" w14:textId="77777777" w:rsidR="00E61075" w:rsidRPr="00E61075" w:rsidRDefault="00E61075" w:rsidP="00E61075">
      <w:pPr>
        <w:tabs>
          <w:tab w:val="left" w:pos="284"/>
        </w:tabs>
        <w:spacing w:after="0" w:line="276" w:lineRule="auto"/>
        <w:ind w:firstLine="709"/>
        <w:jc w:val="both"/>
        <w:rPr>
          <w:rFonts w:ascii="Verdana" w:eastAsia="Times New Roman" w:hAnsi="Verdana" w:cs="Arial"/>
          <w:lang w:val="es-ES_tradnl" w:eastAsia="es-CO"/>
        </w:rPr>
      </w:pPr>
      <w:r w:rsidRPr="00E61075">
        <w:rPr>
          <w:rFonts w:ascii="Verdana" w:eastAsia="Times New Roman" w:hAnsi="Verdana" w:cs="Arial"/>
          <w:lang w:val="es-ES_tradnl" w:eastAsia="es-ES_tradnl"/>
        </w:rPr>
        <w:t xml:space="preserve">La expedición de la Ley </w:t>
      </w:r>
      <w:r w:rsidRPr="00E61075">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36264D95" w14:textId="77777777" w:rsidR="00E61075" w:rsidRPr="00E61075" w:rsidRDefault="00E61075" w:rsidP="00E61075">
      <w:pPr>
        <w:spacing w:after="0" w:line="276" w:lineRule="auto"/>
        <w:ind w:left="709" w:right="709"/>
        <w:jc w:val="both"/>
        <w:rPr>
          <w:rFonts w:ascii="Verdana" w:eastAsia="Times New Roman" w:hAnsi="Verdana" w:cs="Arial"/>
          <w:lang w:val="es-ES_tradnl" w:eastAsia="es-CO"/>
        </w:rPr>
      </w:pPr>
    </w:p>
    <w:p w14:paraId="767B13DC" w14:textId="77777777" w:rsidR="00E61075" w:rsidRPr="00E61075" w:rsidRDefault="00E61075" w:rsidP="00E61075">
      <w:pPr>
        <w:spacing w:after="0" w:line="240" w:lineRule="auto"/>
        <w:ind w:left="709" w:right="709"/>
        <w:jc w:val="both"/>
        <w:rPr>
          <w:rFonts w:ascii="Verdana" w:eastAsia="Times New Roman" w:hAnsi="Verdana" w:cs="Arial"/>
          <w:sz w:val="21"/>
          <w:szCs w:val="21"/>
          <w:lang w:val="es-ES_tradnl" w:eastAsia="es-CO"/>
        </w:rPr>
      </w:pPr>
      <w:r w:rsidRPr="00E61075">
        <w:rPr>
          <w:rFonts w:ascii="Verdana" w:eastAsia="Times New Roman" w:hAnsi="Verdana" w:cs="Arial"/>
          <w:sz w:val="21"/>
          <w:szCs w:val="21"/>
          <w:lang w:val="es-ES_tradnl" w:eastAsia="es-CO"/>
        </w:rPr>
        <w:t xml:space="preserve">“Artículo 5°. De la selección objetiva. </w:t>
      </w:r>
    </w:p>
    <w:p w14:paraId="6AB5CABE" w14:textId="77777777" w:rsidR="00E61075" w:rsidRPr="00E61075" w:rsidRDefault="00E61075" w:rsidP="00E61075">
      <w:pPr>
        <w:spacing w:after="0" w:line="240" w:lineRule="auto"/>
        <w:ind w:left="709" w:right="709"/>
        <w:jc w:val="both"/>
        <w:textAlignment w:val="baseline"/>
        <w:rPr>
          <w:rFonts w:ascii="Verdana" w:eastAsia="Times New Roman" w:hAnsi="Verdana" w:cs="Arial"/>
          <w:color w:val="000000"/>
          <w:sz w:val="21"/>
          <w:szCs w:val="21"/>
          <w:lang w:val="es-ES" w:eastAsia="es-CO"/>
        </w:rPr>
      </w:pPr>
    </w:p>
    <w:p w14:paraId="5B2FC38C"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E61075">
        <w:rPr>
          <w:rFonts w:ascii="Verdana" w:eastAsia="Times New Roman" w:hAnsi="Verdana" w:cs="Arial"/>
          <w:color w:val="000000"/>
          <w:sz w:val="21"/>
          <w:szCs w:val="21"/>
          <w:lang w:val="es-ES" w:eastAsia="es-CO"/>
        </w:rPr>
        <w:t>equivalentes,</w:t>
      </w:r>
      <w:proofErr w:type="gramEnd"/>
      <w:r w:rsidRPr="00E61075">
        <w:rPr>
          <w:rFonts w:ascii="Verdana" w:eastAsia="Times New Roman" w:hAnsi="Verdana" w:cs="Arial"/>
          <w:color w:val="000000"/>
          <w:sz w:val="21"/>
          <w:szCs w:val="21"/>
          <w:lang w:val="es-ES" w:eastAsia="es-CO"/>
        </w:rPr>
        <w:t xml:space="preserve"> tendrán en cuenta los siguientes criterios:</w:t>
      </w:r>
      <w:r w:rsidRPr="00E61075">
        <w:rPr>
          <w:rFonts w:ascii="Verdana" w:eastAsia="Times New Roman" w:hAnsi="Verdana" w:cs="Arial"/>
          <w:color w:val="000000"/>
          <w:sz w:val="21"/>
          <w:szCs w:val="21"/>
          <w:lang w:eastAsia="es-CO"/>
        </w:rPr>
        <w:t> </w:t>
      </w:r>
    </w:p>
    <w:p w14:paraId="526DBA9C"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569CC9F6"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E61075">
        <w:rPr>
          <w:rFonts w:ascii="Verdana" w:eastAsia="Times New Roman" w:hAnsi="Verdana" w:cs="Arial"/>
          <w:color w:val="000000"/>
          <w:sz w:val="21"/>
          <w:szCs w:val="21"/>
          <w:lang w:eastAsia="es-CO"/>
        </w:rPr>
        <w:t> </w:t>
      </w:r>
    </w:p>
    <w:p w14:paraId="57FCD3A8"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1950C673"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w:t>
      </w:r>
      <w:r w:rsidRPr="00E61075">
        <w:rPr>
          <w:rFonts w:ascii="Verdana" w:eastAsia="Times New Roman" w:hAnsi="Verdana" w:cs="Arial"/>
          <w:color w:val="000000"/>
          <w:sz w:val="21"/>
          <w:szCs w:val="21"/>
          <w:lang w:val="es-ES" w:eastAsia="es-CO"/>
        </w:rPr>
        <w:lastRenderedPageBreak/>
        <w:t>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E61075">
        <w:rPr>
          <w:rFonts w:ascii="Verdana" w:eastAsia="Times New Roman" w:hAnsi="Verdana" w:cs="Arial"/>
          <w:color w:val="000000"/>
          <w:sz w:val="21"/>
          <w:szCs w:val="21"/>
          <w:lang w:eastAsia="es-CO"/>
        </w:rPr>
        <w:t> </w:t>
      </w:r>
    </w:p>
    <w:p w14:paraId="4AD9EB44"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p>
    <w:p w14:paraId="2523601A"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E61075">
        <w:rPr>
          <w:rFonts w:ascii="Verdana" w:eastAsia="Times New Roman" w:hAnsi="Verdana" w:cs="Arial"/>
          <w:color w:val="000000"/>
          <w:sz w:val="21"/>
          <w:szCs w:val="21"/>
          <w:lang w:eastAsia="es-CO"/>
        </w:rPr>
        <w:t> </w:t>
      </w:r>
    </w:p>
    <w:p w14:paraId="592A9B76"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p>
    <w:p w14:paraId="529AEBC9"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a) La ponderación de los elementos de calidad y precio soportados en puntajes o fórmulas señaladas en el pliego de condiciones; o</w:t>
      </w:r>
    </w:p>
    <w:p w14:paraId="1C5469C5"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p>
    <w:p w14:paraId="6D6A65AF"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b) La ponderación de los elementos de calidad y precio que representen la mejor relación de costo-beneficio para la entidad.</w:t>
      </w:r>
      <w:r w:rsidRPr="00E61075">
        <w:rPr>
          <w:rFonts w:ascii="Verdana" w:eastAsia="Times New Roman" w:hAnsi="Verdana" w:cs="Arial"/>
          <w:color w:val="000000"/>
          <w:sz w:val="21"/>
          <w:szCs w:val="21"/>
          <w:lang w:eastAsia="es-CO"/>
        </w:rPr>
        <w:t> </w:t>
      </w:r>
    </w:p>
    <w:p w14:paraId="25CBD07B"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p>
    <w:p w14:paraId="1709B35C"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E61075">
        <w:rPr>
          <w:rFonts w:ascii="Verdana" w:eastAsia="Times New Roman" w:hAnsi="Verdana" w:cs="Arial"/>
          <w:color w:val="000000"/>
          <w:sz w:val="21"/>
          <w:szCs w:val="21"/>
          <w:lang w:eastAsia="es-CO"/>
        </w:rPr>
        <w:t> </w:t>
      </w:r>
    </w:p>
    <w:p w14:paraId="6A329E7F"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32F75251"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E61075">
        <w:rPr>
          <w:rFonts w:ascii="Verdana" w:eastAsia="Times New Roman" w:hAnsi="Verdana" w:cs="Arial"/>
          <w:color w:val="000000"/>
          <w:sz w:val="21"/>
          <w:szCs w:val="21"/>
          <w:lang w:eastAsia="es-CO"/>
        </w:rPr>
        <w:t> </w:t>
      </w:r>
    </w:p>
    <w:p w14:paraId="551DC1A5"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719AB712"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En ningún caso se podrá incluir el precio, como factor de escogencia para la selección de consultores.</w:t>
      </w:r>
      <w:r w:rsidRPr="00E61075">
        <w:rPr>
          <w:rFonts w:ascii="Verdana" w:eastAsia="Times New Roman" w:hAnsi="Verdana" w:cs="Arial"/>
          <w:color w:val="000000"/>
          <w:sz w:val="21"/>
          <w:szCs w:val="21"/>
          <w:lang w:eastAsia="es-CO"/>
        </w:rPr>
        <w:t> </w:t>
      </w:r>
    </w:p>
    <w:p w14:paraId="576E2F77"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391FC0DF"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u w:val="single"/>
          <w:lang w:val="es-ES" w:eastAsia="es-CO"/>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E61075">
        <w:rPr>
          <w:rFonts w:ascii="Verdana" w:eastAsia="Times New Roman" w:hAnsi="Verdana" w:cs="Arial"/>
          <w:color w:val="000000"/>
          <w:sz w:val="21"/>
          <w:szCs w:val="21"/>
          <w:u w:val="single"/>
          <w:lang w:val="es-ES" w:eastAsia="es-CO"/>
        </w:rPr>
        <w:t>puntaje,</w:t>
      </w:r>
      <w:proofErr w:type="gramEnd"/>
      <w:r w:rsidRPr="00E61075">
        <w:rPr>
          <w:rFonts w:ascii="Verdana" w:eastAsia="Times New Roman" w:hAnsi="Verdana"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corresponda a cada modalidad de selección</w:t>
      </w:r>
      <w:r w:rsidRPr="00E61075">
        <w:rPr>
          <w:rFonts w:ascii="Verdana" w:eastAsia="Times New Roman" w:hAnsi="Verdana" w:cs="Arial"/>
          <w:color w:val="000000"/>
          <w:sz w:val="21"/>
          <w:szCs w:val="21"/>
          <w:lang w:val="es-ES" w:eastAsia="es-CO"/>
        </w:rPr>
        <w:t xml:space="preserve">, salvo lo dispuesto para el proceso de Mínima cuantía y para el proceso de selección a través del </w:t>
      </w:r>
      <w:r w:rsidRPr="00E61075">
        <w:rPr>
          <w:rFonts w:ascii="Verdana" w:eastAsia="Times New Roman" w:hAnsi="Verdana" w:cs="Arial"/>
          <w:color w:val="000000"/>
          <w:sz w:val="21"/>
          <w:szCs w:val="21"/>
          <w:lang w:val="es-ES" w:eastAsia="es-CO"/>
        </w:rPr>
        <w:lastRenderedPageBreak/>
        <w:t xml:space="preserve">sistema de subasta. </w:t>
      </w:r>
      <w:r w:rsidRPr="00E61075">
        <w:rPr>
          <w:rFonts w:ascii="Verdana" w:eastAsia="Times New Roman" w:hAnsi="Verdana"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E61075">
        <w:rPr>
          <w:rFonts w:ascii="Verdana" w:eastAsia="Times New Roman" w:hAnsi="Verdana" w:cs="Arial"/>
          <w:color w:val="000000"/>
          <w:sz w:val="21"/>
          <w:szCs w:val="21"/>
          <w:u w:val="single"/>
          <w:lang w:eastAsia="es-CO"/>
        </w:rPr>
        <w:t> </w:t>
      </w:r>
    </w:p>
    <w:p w14:paraId="12370049"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631298C1"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u w:val="single"/>
          <w:lang w:val="es-ES" w:eastAsia="es-CO"/>
        </w:rPr>
        <w:t>Durante el término otorgado para subsanar las ofertas, los proponentes no podrán acreditar circunstancias ocurridas con posterioridad al cierre del proceso.</w:t>
      </w:r>
      <w:r w:rsidRPr="00E61075">
        <w:rPr>
          <w:rFonts w:ascii="Verdana" w:eastAsia="Times New Roman" w:hAnsi="Verdana" w:cs="Arial"/>
          <w:color w:val="000000"/>
          <w:sz w:val="21"/>
          <w:szCs w:val="21"/>
          <w:lang w:eastAsia="es-CO"/>
        </w:rPr>
        <w:t> </w:t>
      </w:r>
    </w:p>
    <w:p w14:paraId="5B7B12B5"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1B89877E"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E61075">
        <w:rPr>
          <w:rFonts w:ascii="Verdana" w:eastAsia="Times New Roman" w:hAnsi="Verdana" w:cs="Arial"/>
          <w:color w:val="000000"/>
          <w:sz w:val="21"/>
          <w:szCs w:val="21"/>
          <w:lang w:eastAsia="es-CO"/>
        </w:rPr>
        <w:t> </w:t>
      </w:r>
    </w:p>
    <w:p w14:paraId="061FA92B"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07A99989"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u w:val="single"/>
          <w:lang w:eastAsia="es-CO"/>
        </w:rPr>
      </w:pPr>
      <w:r w:rsidRPr="00E61075">
        <w:rPr>
          <w:rFonts w:ascii="Verdana" w:eastAsia="Times New Roman" w:hAnsi="Verdana" w:cs="Arial"/>
          <w:color w:val="000000"/>
          <w:sz w:val="21"/>
          <w:szCs w:val="21"/>
          <w:u w:val="single"/>
          <w:lang w:val="es-ES" w:eastAsia="es-CO"/>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E61075">
        <w:rPr>
          <w:rFonts w:ascii="Verdana" w:eastAsia="Times New Roman" w:hAnsi="Verdana" w:cs="Arial"/>
          <w:color w:val="000000"/>
          <w:sz w:val="21"/>
          <w:szCs w:val="21"/>
          <w:u w:val="single"/>
          <w:lang w:val="es-ES" w:eastAsia="es-CO"/>
        </w:rPr>
        <w:t>la misma</w:t>
      </w:r>
      <w:proofErr w:type="gramEnd"/>
      <w:r w:rsidRPr="00E61075">
        <w:rPr>
          <w:rFonts w:ascii="Verdana" w:eastAsia="Times New Roman" w:hAnsi="Verdana" w:cs="Arial"/>
          <w:color w:val="000000"/>
          <w:sz w:val="21"/>
          <w:szCs w:val="21"/>
          <w:u w:val="single"/>
          <w:lang w:val="es-ES" w:eastAsia="es-CO"/>
        </w:rPr>
        <w:t>.</w:t>
      </w:r>
      <w:r w:rsidRPr="00E61075">
        <w:rPr>
          <w:rFonts w:ascii="Verdana" w:eastAsia="Times New Roman" w:hAnsi="Verdana" w:cs="Arial"/>
          <w:color w:val="000000"/>
          <w:sz w:val="21"/>
          <w:szCs w:val="21"/>
          <w:u w:val="single"/>
          <w:lang w:eastAsia="es-CO"/>
        </w:rPr>
        <w:t> </w:t>
      </w:r>
    </w:p>
    <w:p w14:paraId="1073D81E"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4736A4FB"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E61075">
        <w:rPr>
          <w:rFonts w:ascii="Verdana" w:eastAsia="Times New Roman" w:hAnsi="Verdana" w:cs="Arial"/>
          <w:color w:val="000000"/>
          <w:sz w:val="21"/>
          <w:szCs w:val="21"/>
          <w:lang w:eastAsia="es-CO"/>
        </w:rPr>
        <w:t> </w:t>
      </w:r>
    </w:p>
    <w:p w14:paraId="1663FFDC"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eastAsia="es-CO"/>
        </w:rPr>
        <w:t> </w:t>
      </w:r>
    </w:p>
    <w:p w14:paraId="155B6A20" w14:textId="77777777" w:rsidR="00E61075" w:rsidRPr="00E61075" w:rsidRDefault="00E61075" w:rsidP="00E61075">
      <w:pPr>
        <w:spacing w:after="0" w:line="240" w:lineRule="auto"/>
        <w:ind w:left="709" w:right="709"/>
        <w:jc w:val="both"/>
        <w:textAlignment w:val="baseline"/>
        <w:rPr>
          <w:rFonts w:ascii="Verdana" w:eastAsia="Times New Roman" w:hAnsi="Verdana" w:cs="Segoe UI"/>
          <w:sz w:val="21"/>
          <w:szCs w:val="21"/>
          <w:lang w:eastAsia="es-CO"/>
        </w:rPr>
      </w:pPr>
      <w:r w:rsidRPr="00E61075">
        <w:rPr>
          <w:rFonts w:ascii="Verdana" w:eastAsia="Times New Roman" w:hAnsi="Verdana" w:cs="Arial"/>
          <w:color w:val="000000"/>
          <w:sz w:val="21"/>
          <w:szCs w:val="21"/>
          <w:lang w:val="es-ES" w:eastAsia="es-CO"/>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6F0300E0" w14:textId="77777777" w:rsidR="00E61075" w:rsidRPr="00E61075" w:rsidRDefault="00E61075" w:rsidP="00E61075">
      <w:pPr>
        <w:spacing w:after="0" w:line="276" w:lineRule="auto"/>
        <w:ind w:left="709" w:right="709"/>
        <w:jc w:val="both"/>
        <w:rPr>
          <w:rFonts w:ascii="Verdana" w:eastAsia="Times New Roman" w:hAnsi="Verdana" w:cs="Arial"/>
          <w:lang w:eastAsia="es-CO"/>
        </w:rPr>
      </w:pPr>
    </w:p>
    <w:p w14:paraId="61457481"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E61075">
        <w:rPr>
          <w:rFonts w:ascii="Verdana" w:eastAsia="Times New Roman" w:hAnsi="Verdana" w:cs="Arial"/>
          <w:lang w:val="es-ES" w:eastAsia="es-ES"/>
        </w:rPr>
        <w:t>ii</w:t>
      </w:r>
      <w:proofErr w:type="spellEnd"/>
      <w:r w:rsidRPr="00E61075">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E61075">
        <w:rPr>
          <w:rFonts w:ascii="Verdana" w:eastAsia="Times New Roman" w:hAnsi="Verdana" w:cs="Arial"/>
          <w:lang w:val="es-ES" w:eastAsia="es-ES"/>
        </w:rPr>
        <w:t>iii</w:t>
      </w:r>
      <w:proofErr w:type="spellEnd"/>
      <w:r w:rsidRPr="00E61075">
        <w:rPr>
          <w:rFonts w:ascii="Verdana" w:eastAsia="Times New Roman" w:hAnsi="Verdana" w:cs="Arial"/>
          <w:lang w:val="es-ES" w:eastAsia="es-ES"/>
        </w:rPr>
        <w:t xml:space="preserve">) introduce modificaciones en relación con algunos aspectos que se analizarán a continuación. </w:t>
      </w:r>
    </w:p>
    <w:p w14:paraId="40935EB1" w14:textId="77777777" w:rsidR="00E61075" w:rsidRPr="00E61075" w:rsidRDefault="00E61075" w:rsidP="00E61075">
      <w:pPr>
        <w:spacing w:after="120" w:line="276" w:lineRule="auto"/>
        <w:ind w:right="51" w:firstLine="709"/>
        <w:jc w:val="both"/>
        <w:rPr>
          <w:rFonts w:ascii="Verdana" w:eastAsia="Times New Roman" w:hAnsi="Verdana" w:cs="Arial"/>
          <w:lang w:val="es-ES_tradnl" w:eastAsia="es-ES_tradnl"/>
        </w:rPr>
      </w:pPr>
      <w:r w:rsidRPr="00E61075">
        <w:rPr>
          <w:rFonts w:ascii="Verdana" w:eastAsia="Times New Roman" w:hAnsi="Verdana" w:cs="Arial"/>
          <w:i/>
          <w:iCs/>
          <w:lang w:val="es-ES_tradnl" w:eastAsia="es-ES_tradnl"/>
        </w:rPr>
        <w:t xml:space="preserve">La primera modificación </w:t>
      </w:r>
      <w:r w:rsidRPr="00E61075">
        <w:rPr>
          <w:rFonts w:ascii="Verdana" w:eastAsia="Times New Roman" w:hAnsi="Verdana" w:cs="Arial"/>
          <w:lang w:val="es-ES_tradnl" w:eastAsia="es-ES_tradnl"/>
        </w:rPr>
        <w:t xml:space="preserve">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w:t>
      </w:r>
      <w:r w:rsidRPr="00E61075">
        <w:rPr>
          <w:rFonts w:ascii="Verdana" w:eastAsia="Times New Roman" w:hAnsi="Verdana" w:cs="Arial"/>
          <w:lang w:val="es-ES_tradnl" w:eastAsia="es-ES_tradnl"/>
        </w:rPr>
        <w:lastRenderedPageBreak/>
        <w:t>selección. La excepción es que el límite anterior no aplica para los procesos de mínima cuantía y para el proceso de selección a través del sistema de subasta</w:t>
      </w:r>
      <w:r w:rsidRPr="00E61075">
        <w:rPr>
          <w:rFonts w:ascii="Verdana" w:eastAsia="Times New Roman" w:hAnsi="Verdana" w:cs="Arial"/>
          <w:vertAlign w:val="superscript"/>
          <w:lang w:val="es-ES_tradnl" w:eastAsia="es-ES_tradnl"/>
        </w:rPr>
        <w:footnoteReference w:id="3"/>
      </w:r>
      <w:r w:rsidRPr="00E61075">
        <w:rPr>
          <w:rFonts w:ascii="Verdana" w:eastAsia="Times New Roman" w:hAnsi="Verdana" w:cs="Arial"/>
          <w:lang w:val="es-ES_tradnl" w:eastAsia="es-ES_tradnl"/>
        </w:rPr>
        <w:t>.</w:t>
      </w:r>
    </w:p>
    <w:p w14:paraId="70A4805E"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E61075">
        <w:rPr>
          <w:rFonts w:ascii="Verdana" w:eastAsia="Times New Roman" w:hAnsi="Verdana" w:cs="Arial"/>
          <w:lang w:val="es-ES" w:eastAsia="es-ES"/>
        </w:rPr>
        <w:t>obstante</w:t>
      </w:r>
      <w:proofErr w:type="gramEnd"/>
      <w:r w:rsidRPr="00E61075">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E61075">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E61075">
        <w:rPr>
          <w:rFonts w:ascii="Verdana" w:eastAsia="Times New Roman" w:hAnsi="Verdana" w:cs="Arial"/>
          <w:lang w:val="es-ES" w:eastAsia="es-ES"/>
        </w:rPr>
        <w:t xml:space="preserve"> </w:t>
      </w:r>
    </w:p>
    <w:p w14:paraId="71DD8EB5"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E61075">
        <w:rPr>
          <w:rFonts w:ascii="Verdana" w:eastAsia="Times New Roman" w:hAnsi="Verdana" w:cs="Arial"/>
          <w:lang w:val="es-ES" w:eastAsia="es-ES"/>
        </w:rPr>
        <w:t>subsanabilidad</w:t>
      </w:r>
      <w:proofErr w:type="spellEnd"/>
      <w:r w:rsidRPr="00E61075">
        <w:rPr>
          <w:rFonts w:ascii="Verdana" w:eastAsia="Times New Roman" w:hAnsi="Verdana" w:cs="Arial"/>
          <w:lang w:val="es-ES" w:eastAsia="es-ES"/>
        </w:rPr>
        <w:t xml:space="preserve"> de las ofertas se refiere. </w:t>
      </w:r>
      <w:r w:rsidRPr="00E61075">
        <w:rPr>
          <w:rFonts w:ascii="Verdana" w:eastAsia="Times New Roman" w:hAnsi="Verdana" w:cs="Arial"/>
          <w:i/>
          <w:iCs/>
          <w:lang w:val="es-ES" w:eastAsia="es-ES"/>
        </w:rPr>
        <w:t>Primera</w:t>
      </w:r>
      <w:r w:rsidRPr="00E61075">
        <w:rPr>
          <w:rFonts w:ascii="Verdana" w:eastAsia="Times New Roman" w:hAnsi="Verdana"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E61075">
        <w:rPr>
          <w:rFonts w:ascii="Verdana" w:eastAsia="Times New Roman" w:hAnsi="Verdana" w:cs="Arial"/>
          <w:i/>
          <w:iCs/>
          <w:lang w:val="es-ES" w:eastAsia="es-ES"/>
        </w:rPr>
        <w:t>Segunda</w:t>
      </w:r>
      <w:r w:rsidRPr="00E61075">
        <w:rPr>
          <w:rFonts w:ascii="Verdana" w:eastAsia="Times New Roman" w:hAnsi="Verdana" w:cs="Arial"/>
          <w:lang w:val="es-ES" w:eastAsia="es-ES"/>
        </w:rPr>
        <w:t xml:space="preserve">, que el término del traslado del informe de evaluación es el </w:t>
      </w:r>
      <w:r w:rsidRPr="00E61075">
        <w:rPr>
          <w:rFonts w:ascii="Verdana" w:eastAsia="Times New Roman" w:hAnsi="Verdana" w:cs="Arial"/>
          <w:i/>
          <w:lang w:val="es-ES" w:eastAsia="es-ES"/>
        </w:rPr>
        <w:t>límite</w:t>
      </w:r>
      <w:r w:rsidRPr="00E61075">
        <w:rPr>
          <w:rFonts w:ascii="Verdana" w:eastAsia="Times New Roman" w:hAnsi="Verdana" w:cs="Arial"/>
          <w:lang w:val="es-ES" w:eastAsia="es-ES"/>
        </w:rPr>
        <w:t xml:space="preserve"> para la subsanación de ofertas, pero no el único momento para hacerlo. </w:t>
      </w:r>
    </w:p>
    <w:p w14:paraId="5BB899A2" w14:textId="77777777" w:rsidR="00E61075" w:rsidRPr="00E61075" w:rsidRDefault="00E61075" w:rsidP="00E61075">
      <w:pPr>
        <w:spacing w:after="120" w:line="276" w:lineRule="auto"/>
        <w:ind w:firstLine="709"/>
        <w:jc w:val="both"/>
        <w:rPr>
          <w:rFonts w:ascii="Verdana" w:eastAsia="Times New Roman" w:hAnsi="Verdana" w:cs="Arial"/>
          <w:lang w:val="es-ES_tradnl" w:eastAsia="es-ES_tradnl"/>
        </w:rPr>
      </w:pPr>
      <w:r w:rsidRPr="00E61075">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53EABAA3" w14:textId="77777777" w:rsidR="00E61075" w:rsidRPr="00E61075" w:rsidRDefault="00E61075" w:rsidP="00E61075">
      <w:pPr>
        <w:spacing w:after="120" w:line="276" w:lineRule="auto"/>
        <w:ind w:firstLine="709"/>
        <w:jc w:val="both"/>
        <w:rPr>
          <w:rFonts w:ascii="Verdana" w:eastAsia="Times New Roman" w:hAnsi="Verdana" w:cs="Arial"/>
          <w:lang w:val="es-ES_tradnl" w:eastAsia="es-ES_tradnl"/>
        </w:rPr>
      </w:pPr>
      <w:r w:rsidRPr="00E61075">
        <w:rPr>
          <w:rFonts w:ascii="Verdana" w:eastAsia="Times New Roman" w:hAnsi="Verdana" w:cs="Arial"/>
          <w:lang w:val="es-ES_tradnl" w:eastAsia="es-ES_tradnl"/>
        </w:rPr>
        <w:t xml:space="preserve">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w:t>
      </w:r>
      <w:r w:rsidRPr="00E61075">
        <w:rPr>
          <w:rFonts w:ascii="Verdana" w:eastAsia="Times New Roman" w:hAnsi="Verdana" w:cs="Arial"/>
          <w:lang w:val="es-ES_tradnl" w:eastAsia="es-ES_tradnl"/>
        </w:rPr>
        <w:lastRenderedPageBreak/>
        <w:t>encuentren subsanadas las propuestas, sin perjuicio del término límite que concedió la ley.</w:t>
      </w:r>
    </w:p>
    <w:p w14:paraId="6F06D06F"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73772EA1" w14:textId="77777777" w:rsidR="00E61075" w:rsidRPr="00E61075" w:rsidRDefault="00E61075" w:rsidP="00E61075">
      <w:pPr>
        <w:spacing w:after="120" w:line="276" w:lineRule="auto"/>
        <w:ind w:firstLine="709"/>
        <w:jc w:val="both"/>
        <w:rPr>
          <w:rFonts w:ascii="Verdana" w:eastAsia="Times New Roman" w:hAnsi="Verdana" w:cs="Arial"/>
          <w:lang w:val="es-ES_tradnl" w:eastAsia="es-ES_tradnl"/>
        </w:rPr>
      </w:pPr>
      <w:r w:rsidRPr="00E61075">
        <w:rPr>
          <w:rFonts w:ascii="Verdana" w:eastAsia="Times New Roman" w:hAnsi="Verdana" w:cs="Arial"/>
          <w:lang w:val="es-ES_tradnl" w:eastAsia="es-ES_tradnl"/>
        </w:rPr>
        <w:t xml:space="preserve">El </w:t>
      </w:r>
      <w:r w:rsidRPr="00E61075">
        <w:rPr>
          <w:rFonts w:ascii="Verdana" w:eastAsia="Times New Roman" w:hAnsi="Verdana" w:cs="Arial"/>
          <w:i/>
          <w:iCs/>
          <w:lang w:val="es-ES_tradnl" w:eastAsia="es-ES_tradnl"/>
        </w:rPr>
        <w:t>segundo cambio</w:t>
      </w:r>
      <w:r w:rsidRPr="00E61075">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E61075">
        <w:rPr>
          <w:rFonts w:ascii="Verdana" w:eastAsia="Times New Roman" w:hAnsi="Verdana" w:cs="Arial"/>
          <w:i/>
          <w:iCs/>
          <w:lang w:val="es-ES_tradnl" w:eastAsia="es-ES_tradnl"/>
        </w:rPr>
        <w:t>“los proponentes no podrán acreditar circunstancias ocurridas con posterioridad al cierre del proceso”.</w:t>
      </w:r>
      <w:r w:rsidRPr="00E61075">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3E44BD84"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E61075">
        <w:rPr>
          <w:rFonts w:ascii="Verdana" w:eastAsia="Times New Roman" w:hAnsi="Verdana" w:cs="Arial"/>
          <w:vertAlign w:val="superscript"/>
          <w:lang w:val="es-ES" w:eastAsia="es-ES"/>
        </w:rPr>
        <w:footnoteReference w:id="4"/>
      </w:r>
      <w:r w:rsidRPr="00E61075">
        <w:rPr>
          <w:rFonts w:ascii="Verdana" w:eastAsia="Times New Roman" w:hAnsi="Verdana" w:cs="Arial"/>
          <w:lang w:val="es-ES" w:eastAsia="es-ES"/>
        </w:rPr>
        <w:t>.</w:t>
      </w:r>
    </w:p>
    <w:p w14:paraId="6E274180"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4A53AE23">
        <w:rPr>
          <w:rFonts w:ascii="Verdana" w:eastAsia="Times New Roman" w:hAnsi="Verdana" w:cs="Arial"/>
          <w:lang w:val="es-ES" w:eastAsia="es-ES"/>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308AF74"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t xml:space="preserve">Un mejor entendimiento del significado de la expresión </w:t>
      </w:r>
      <w:r w:rsidRPr="00E61075">
        <w:rPr>
          <w:rFonts w:ascii="Verdana" w:eastAsia="Times New Roman" w:hAnsi="Verdana" w:cs="Arial"/>
          <w:i/>
          <w:lang w:val="es-ES" w:eastAsia="es-ES"/>
        </w:rPr>
        <w:t>“circunstancias ocurridas con posterioridad al cierre del proceso”</w:t>
      </w:r>
      <w:r w:rsidRPr="00E61075">
        <w:rPr>
          <w:rFonts w:ascii="Verdana" w:eastAsia="Times New Roman" w:hAnsi="Verdana" w:cs="Arial"/>
          <w:lang w:val="es-ES" w:eastAsia="es-ES"/>
        </w:rPr>
        <w:t xml:space="preserve"> implica distinguir entre la prueba de un hecho y el hecho mismo. En el caso de la </w:t>
      </w:r>
      <w:proofErr w:type="spellStart"/>
      <w:r w:rsidRPr="00E61075">
        <w:rPr>
          <w:rFonts w:ascii="Verdana" w:eastAsia="Times New Roman" w:hAnsi="Verdana" w:cs="Arial"/>
          <w:lang w:val="es-ES" w:eastAsia="es-ES"/>
        </w:rPr>
        <w:t>subsanabilidad</w:t>
      </w:r>
      <w:proofErr w:type="spellEnd"/>
      <w:r w:rsidRPr="00E61075">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E61075">
        <w:rPr>
          <w:rFonts w:ascii="Verdana" w:eastAsia="Times New Roman" w:hAnsi="Verdana" w:cs="Arial"/>
          <w:vertAlign w:val="superscript"/>
          <w:lang w:val="es-ES" w:eastAsia="es-ES"/>
        </w:rPr>
        <w:footnoteReference w:id="5"/>
      </w:r>
      <w:r w:rsidRPr="00E61075">
        <w:rPr>
          <w:rFonts w:ascii="Verdana" w:eastAsia="Times New Roman" w:hAnsi="Verdana" w:cs="Arial"/>
          <w:lang w:val="es-ES" w:eastAsia="es-ES"/>
        </w:rPr>
        <w:t xml:space="preserve">. </w:t>
      </w:r>
    </w:p>
    <w:p w14:paraId="2F3FDAF8" w14:textId="77777777" w:rsidR="00E61075" w:rsidRPr="00E61075" w:rsidRDefault="00E61075" w:rsidP="00E61075">
      <w:pPr>
        <w:spacing w:after="120" w:line="276" w:lineRule="auto"/>
        <w:ind w:firstLine="709"/>
        <w:jc w:val="both"/>
        <w:rPr>
          <w:rFonts w:ascii="Verdana" w:eastAsia="Times New Roman" w:hAnsi="Verdana" w:cs="Arial"/>
          <w:lang w:val="es-ES" w:eastAsia="es-ES"/>
        </w:rPr>
      </w:pPr>
      <w:r w:rsidRPr="00E61075">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E61075">
        <w:rPr>
          <w:rFonts w:ascii="Verdana" w:eastAsia="Times New Roman" w:hAnsi="Verdana" w:cs="Arial"/>
          <w:lang w:val="es-ES" w:eastAsia="es-ES"/>
        </w:rPr>
        <w:t>esta</w:t>
      </w:r>
      <w:proofErr w:type="spellEnd"/>
      <w:r w:rsidRPr="00E61075">
        <w:rPr>
          <w:rFonts w:ascii="Verdana" w:eastAsia="Times New Roman" w:hAnsi="Verdana" w:cs="Arial"/>
          <w:lang w:val="es-ES" w:eastAsia="es-ES"/>
        </w:rPr>
        <w:t xml:space="preserve"> en firme para dicho momento; </w:t>
      </w:r>
      <w:proofErr w:type="spellStart"/>
      <w:r w:rsidRPr="00E61075">
        <w:rPr>
          <w:rFonts w:ascii="Verdana" w:eastAsia="Times New Roman" w:hAnsi="Verdana" w:cs="Arial"/>
          <w:lang w:val="es-ES" w:eastAsia="es-ES"/>
        </w:rPr>
        <w:t>ii</w:t>
      </w:r>
      <w:proofErr w:type="spellEnd"/>
      <w:r w:rsidRPr="00E61075">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E61075">
        <w:rPr>
          <w:rFonts w:ascii="Verdana" w:eastAsia="Times New Roman" w:hAnsi="Verdana" w:cs="Arial"/>
          <w:vertAlign w:val="superscript"/>
          <w:lang w:val="es-ES" w:eastAsia="es-ES"/>
        </w:rPr>
        <w:footnoteReference w:id="6"/>
      </w:r>
      <w:r w:rsidRPr="00E61075">
        <w:rPr>
          <w:rFonts w:ascii="Verdana" w:eastAsia="Times New Roman" w:hAnsi="Verdana" w:cs="Arial"/>
          <w:lang w:val="es-ES" w:eastAsia="es-ES"/>
        </w:rPr>
        <w:t xml:space="preserve">; </w:t>
      </w:r>
      <w:proofErr w:type="spellStart"/>
      <w:r w:rsidRPr="00E61075">
        <w:rPr>
          <w:rFonts w:ascii="Verdana" w:eastAsia="Times New Roman" w:hAnsi="Verdana" w:cs="Arial"/>
          <w:lang w:val="es-ES" w:eastAsia="es-ES"/>
        </w:rPr>
        <w:t>iii</w:t>
      </w:r>
      <w:proofErr w:type="spellEnd"/>
      <w:r w:rsidRPr="00E61075">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E61075">
        <w:rPr>
          <w:rFonts w:ascii="Verdana" w:eastAsia="Times New Roman" w:hAnsi="Verdana" w:cs="Arial"/>
          <w:vertAlign w:val="superscript"/>
          <w:lang w:val="es-ES" w:eastAsia="es-ES"/>
        </w:rPr>
        <w:footnoteReference w:id="7"/>
      </w:r>
      <w:r w:rsidRPr="00E61075">
        <w:rPr>
          <w:rFonts w:ascii="Verdana" w:eastAsia="Times New Roman" w:hAnsi="Verdana" w:cs="Arial"/>
          <w:lang w:val="es-ES" w:eastAsia="es-ES"/>
        </w:rPr>
        <w:t xml:space="preserve">; </w:t>
      </w:r>
      <w:proofErr w:type="spellStart"/>
      <w:r w:rsidRPr="00E61075">
        <w:rPr>
          <w:rFonts w:ascii="Verdana" w:eastAsia="Times New Roman" w:hAnsi="Verdana" w:cs="Arial"/>
          <w:lang w:val="es-ES" w:eastAsia="es-ES"/>
        </w:rPr>
        <w:t>iv</w:t>
      </w:r>
      <w:proofErr w:type="spellEnd"/>
      <w:r w:rsidRPr="00E61075">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FC0303D" w14:textId="77777777" w:rsidR="00E61075" w:rsidRPr="00E61075" w:rsidRDefault="00E61075" w:rsidP="00E61075">
      <w:pPr>
        <w:spacing w:after="120" w:line="276" w:lineRule="auto"/>
        <w:ind w:firstLine="709"/>
        <w:jc w:val="both"/>
        <w:rPr>
          <w:rFonts w:ascii="Verdana" w:eastAsia="Times New Roman" w:hAnsi="Verdana" w:cs="Arial"/>
          <w:i/>
          <w:lang w:val="es-ES" w:eastAsia="es-ES"/>
        </w:rPr>
      </w:pPr>
      <w:r w:rsidRPr="00E61075">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E61075">
        <w:rPr>
          <w:rFonts w:ascii="Verdana" w:eastAsia="Times New Roman" w:hAnsi="Verdana" w:cs="Arial"/>
          <w:lang w:val="es-ES" w:eastAsia="es-ES"/>
        </w:rPr>
        <w:t>que</w:t>
      </w:r>
      <w:proofErr w:type="gramEnd"/>
      <w:r w:rsidRPr="00E61075">
        <w:rPr>
          <w:rFonts w:ascii="Verdana" w:eastAsia="Times New Roman" w:hAnsi="Verdana" w:cs="Arial"/>
          <w:lang w:val="es-ES" w:eastAsia="es-ES"/>
        </w:rPr>
        <w:t xml:space="preserve"> el Consejo de Estado sostiene que “lo que se subsana es la prueba y no la condición habilitante o un elemento de la propuesta </w:t>
      </w:r>
      <w:r w:rsidRPr="00E61075">
        <w:rPr>
          <w:rFonts w:ascii="Verdana" w:eastAsia="Times New Roman" w:hAnsi="Verdana" w:cs="Arial"/>
          <w:lang w:val="es-ES" w:eastAsia="es-ES"/>
        </w:rPr>
        <w:lastRenderedPageBreak/>
        <w:t>[...] lo que se puede remediar es la prueba y no el requisito: La posibilidad debe recaer exclusivamente sobre circunstancias acaecidas antes del cierre del respectivo proceso, esto es, del vencimiento del plazo para presentar ofertas”</w:t>
      </w:r>
      <w:r w:rsidRPr="00E61075">
        <w:rPr>
          <w:rFonts w:ascii="Verdana" w:eastAsia="Times New Roman" w:hAnsi="Verdana" w:cs="Arial"/>
          <w:vertAlign w:val="superscript"/>
          <w:lang w:val="es-ES" w:eastAsia="es-ES"/>
        </w:rPr>
        <w:footnoteReference w:id="8"/>
      </w:r>
      <w:r w:rsidRPr="00E61075">
        <w:rPr>
          <w:rFonts w:ascii="Verdana" w:eastAsia="Times New Roman" w:hAnsi="Verdana" w:cs="Arial"/>
          <w:lang w:val="es-ES" w:eastAsia="es-ES"/>
        </w:rPr>
        <w:t>.</w:t>
      </w:r>
    </w:p>
    <w:p w14:paraId="4B076D53" w14:textId="77777777" w:rsidR="00E61075" w:rsidRPr="00E61075" w:rsidRDefault="00E61075" w:rsidP="00E61075">
      <w:pPr>
        <w:spacing w:after="120" w:line="276" w:lineRule="auto"/>
        <w:ind w:firstLine="708"/>
        <w:jc w:val="both"/>
        <w:rPr>
          <w:rFonts w:ascii="Verdana" w:eastAsia="Calibri" w:hAnsi="Verdana" w:cs="Arial"/>
          <w:color w:val="000000"/>
        </w:rPr>
      </w:pPr>
      <w:r w:rsidRPr="00E61075">
        <w:rPr>
          <w:rFonts w:ascii="Verdana" w:eastAsia="Times New Roman" w:hAnsi="Verdana" w:cs="Arial"/>
          <w:iCs/>
          <w:lang w:val="es-ES" w:eastAsia="es-ES"/>
        </w:rPr>
        <w:t>Ahora bien, e</w:t>
      </w:r>
      <w:r w:rsidRPr="00E61075">
        <w:rPr>
          <w:rFonts w:ascii="Verdana" w:eastAsia="Calibri" w:hAnsi="Verdana" w:cs="Arial"/>
          <w:iCs/>
          <w:color w:val="000000"/>
          <w:lang w:val="es-ES"/>
        </w:rPr>
        <w:t>l</w:t>
      </w:r>
      <w:r w:rsidRPr="00E61075">
        <w:rPr>
          <w:rFonts w:ascii="Verdana" w:eastAsia="Calibri" w:hAnsi="Verdana" w:cs="Arial"/>
          <w:color w:val="000000"/>
          <w:lang w:val="es-ES"/>
        </w:rPr>
        <w:t xml:space="preserve"> parágrafo 3 del artículo 5 de la Ley 1882 de 2018 determinó, de manera expresa, que “la no entrega de la garantía de seriedad junto con la propuesta no será subsanable y será causal de rechazo de </w:t>
      </w:r>
      <w:proofErr w:type="gramStart"/>
      <w:r w:rsidRPr="00E61075">
        <w:rPr>
          <w:rFonts w:ascii="Verdana" w:eastAsia="Calibri" w:hAnsi="Verdana" w:cs="Arial"/>
          <w:color w:val="000000"/>
          <w:lang w:val="es-ES"/>
        </w:rPr>
        <w:t>la misma</w:t>
      </w:r>
      <w:proofErr w:type="gramEnd"/>
      <w:r w:rsidRPr="00E61075">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E61075">
        <w:rPr>
          <w:rFonts w:ascii="Verdana" w:eastAsia="Calibri" w:hAnsi="Verdana" w:cs="Arial"/>
          <w:color w:val="000000"/>
        </w:rPr>
        <w:t> </w:t>
      </w:r>
    </w:p>
    <w:p w14:paraId="76F9E8D5" w14:textId="77777777" w:rsidR="00E61075" w:rsidRPr="00E61075" w:rsidRDefault="00E61075" w:rsidP="00E61075">
      <w:pPr>
        <w:spacing w:after="120" w:line="276" w:lineRule="auto"/>
        <w:ind w:firstLine="708"/>
        <w:jc w:val="both"/>
        <w:rPr>
          <w:rFonts w:ascii="Verdana" w:eastAsia="Calibri" w:hAnsi="Verdana" w:cs="Arial"/>
          <w:color w:val="000000"/>
        </w:rPr>
      </w:pPr>
      <w:r w:rsidRPr="00E61075">
        <w:rPr>
          <w:rFonts w:ascii="Verdana" w:eastAsia="Calibri" w:hAnsi="Verdana" w:cs="Arial"/>
          <w:color w:val="000000"/>
        </w:rPr>
        <w:t xml:space="preserve">Las anteriores consideraciones son, claramente, aplicables a los documentos tipo expedidos por esta Agencia. Por lo tanto, tratándose de los documentos tipo de infraestructura de transporte, el Formato de Acreditación de </w:t>
      </w:r>
      <w:proofErr w:type="spellStart"/>
      <w:r w:rsidRPr="00E61075">
        <w:rPr>
          <w:rFonts w:ascii="Verdana" w:eastAsia="Calibri" w:hAnsi="Verdana" w:cs="Arial"/>
          <w:color w:val="000000"/>
        </w:rPr>
        <w:t>Mipyme</w:t>
      </w:r>
      <w:proofErr w:type="spellEnd"/>
      <w:r w:rsidRPr="00E61075">
        <w:rPr>
          <w:rFonts w:ascii="Verdana" w:eastAsia="Calibri" w:hAnsi="Verdana" w:cs="Arial"/>
          <w:color w:val="000000"/>
        </w:rPr>
        <w:t xml:space="preserve"> y, en general, la acreditación de dicha condición, será, en principio, subsanable, siempre y cuando se refiera a la habilitación para poder participar en el respectivo proceso de contratación, teniendo en cuenta los aspectos que pueden subsanarse explicados en este concepto.</w:t>
      </w:r>
    </w:p>
    <w:p w14:paraId="6C6631DB" w14:textId="77777777" w:rsidR="00E61075" w:rsidRPr="00E61075" w:rsidRDefault="00E61075" w:rsidP="00E61075">
      <w:pPr>
        <w:spacing w:after="0" w:line="276" w:lineRule="auto"/>
        <w:ind w:firstLine="708"/>
        <w:jc w:val="both"/>
        <w:rPr>
          <w:rFonts w:ascii="Verdana" w:eastAsia="Calibri" w:hAnsi="Verdana" w:cs="Arial"/>
          <w:color w:val="000000"/>
        </w:rPr>
      </w:pPr>
      <w:r w:rsidRPr="00E61075">
        <w:rPr>
          <w:rFonts w:ascii="Verdana" w:eastAsia="Calibri" w:hAnsi="Verdana" w:cs="Arial"/>
          <w:color w:val="000000"/>
        </w:rPr>
        <w:t xml:space="preserve">Por el contrario, si con la acreditación de la condición de </w:t>
      </w:r>
      <w:proofErr w:type="spellStart"/>
      <w:r w:rsidRPr="00E61075">
        <w:rPr>
          <w:rFonts w:ascii="Verdana" w:eastAsia="Calibri" w:hAnsi="Verdana" w:cs="Arial"/>
          <w:color w:val="000000"/>
        </w:rPr>
        <w:t>Mipyme</w:t>
      </w:r>
      <w:proofErr w:type="spellEnd"/>
      <w:r w:rsidRPr="00E61075">
        <w:rPr>
          <w:rFonts w:ascii="Verdana" w:eastAsia="Calibri" w:hAnsi="Verdana" w:cs="Arial"/>
          <w:color w:val="000000"/>
        </w:rPr>
        <w:t xml:space="preserve"> se afecta la asignación del puntaje, esto no podrá ser objeto de subsanación, en consideración a que no pueden subsanarse aspectos que otorgan puntaje, ni acreditarse circunstancias ocurridas con posterioridad al cierre del proceso de selección. </w:t>
      </w:r>
    </w:p>
    <w:p w14:paraId="27938FC7" w14:textId="77777777" w:rsidR="00E61075" w:rsidRPr="00E61075" w:rsidRDefault="00E61075" w:rsidP="00E61075">
      <w:pPr>
        <w:widowControl w:val="0"/>
        <w:autoSpaceDE w:val="0"/>
        <w:autoSpaceDN w:val="0"/>
        <w:spacing w:after="0" w:line="276" w:lineRule="auto"/>
        <w:jc w:val="both"/>
        <w:rPr>
          <w:rFonts w:ascii="Verdana" w:eastAsia="Calibri" w:hAnsi="Verdana" w:cs="Arial"/>
        </w:rPr>
      </w:pPr>
    </w:p>
    <w:p w14:paraId="62FF8A73" w14:textId="77777777" w:rsidR="00E61075" w:rsidRPr="00E61075" w:rsidRDefault="00E61075" w:rsidP="00E6107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61075">
        <w:rPr>
          <w:rFonts w:ascii="Verdana" w:eastAsia="Century Gothic" w:hAnsi="Verdana" w:cs="Century Gothic"/>
          <w:b/>
          <w:bCs/>
          <w:lang w:val="es-ES"/>
        </w:rPr>
        <w:t>Referencias normativas, jurisprudenciales y otras fuentes:</w:t>
      </w:r>
    </w:p>
    <w:p w14:paraId="006F50B9" w14:textId="77777777" w:rsidR="00E61075" w:rsidRPr="00E61075" w:rsidRDefault="00E61075" w:rsidP="00E61075">
      <w:pPr>
        <w:tabs>
          <w:tab w:val="left" w:pos="142"/>
          <w:tab w:val="left" w:pos="284"/>
        </w:tabs>
        <w:spacing w:after="0" w:line="276" w:lineRule="auto"/>
        <w:ind w:left="1068"/>
        <w:jc w:val="both"/>
        <w:rPr>
          <w:rFonts w:ascii="Verdana" w:eastAsia="Century Gothic" w:hAnsi="Verdana" w:cs="Century Gothic"/>
          <w:b/>
          <w:bCs/>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1075" w:rsidRPr="00E61075" w14:paraId="69B93997" w14:textId="77777777">
        <w:trPr>
          <w:trHeight w:val="774"/>
        </w:trPr>
        <w:tc>
          <w:tcPr>
            <w:tcW w:w="8647" w:type="dxa"/>
          </w:tcPr>
          <w:p w14:paraId="49786EBF" w14:textId="77777777" w:rsidR="00E61075" w:rsidRPr="00E61075" w:rsidRDefault="00E61075" w:rsidP="00E61075">
            <w:pPr>
              <w:numPr>
                <w:ilvl w:val="0"/>
                <w:numId w:val="17"/>
              </w:numPr>
              <w:snapToGrid w:val="0"/>
              <w:spacing w:after="120" w:line="276" w:lineRule="auto"/>
              <w:ind w:left="714" w:hanging="357"/>
              <w:jc w:val="both"/>
              <w:rPr>
                <w:rFonts w:ascii="Verdana" w:eastAsia="Calibri" w:hAnsi="Verdana" w:cs="Arial"/>
                <w:noProof/>
                <w:lang w:val="es-ES_tradnl"/>
              </w:rPr>
            </w:pPr>
            <w:r w:rsidRPr="00E61075">
              <w:rPr>
                <w:rFonts w:ascii="Verdana" w:eastAsia="Calibri" w:hAnsi="Verdana" w:cs="Arial"/>
                <w:noProof/>
                <w:lang w:val="es-ES_tradnl"/>
              </w:rPr>
              <w:t xml:space="preserve">Ley 1150 de 2007, artículo 5. Modificado por la Ley 1882 de 2018, parágrafos 1, 3 y 4. </w:t>
            </w:r>
          </w:p>
          <w:p w14:paraId="2C3D6F4E" w14:textId="77777777" w:rsidR="00E61075" w:rsidRPr="00E61075" w:rsidRDefault="00E61075" w:rsidP="00E61075">
            <w:pPr>
              <w:numPr>
                <w:ilvl w:val="0"/>
                <w:numId w:val="17"/>
              </w:numPr>
              <w:snapToGrid w:val="0"/>
              <w:spacing w:after="120" w:line="276" w:lineRule="auto"/>
              <w:ind w:left="714" w:hanging="357"/>
              <w:jc w:val="both"/>
              <w:rPr>
                <w:rFonts w:ascii="Verdana" w:eastAsia="Calibri" w:hAnsi="Verdana" w:cs="Arial"/>
                <w:noProof/>
                <w:lang w:val="es-ES_tradnl"/>
              </w:rPr>
            </w:pPr>
            <w:r w:rsidRPr="00E61075">
              <w:rPr>
                <w:rFonts w:ascii="Verdana" w:eastAsia="Calibri" w:hAnsi="Verdana" w:cs="Arial"/>
                <w:noProof/>
                <w:lang w:val="es-ES_tradnl"/>
              </w:rPr>
              <w:t>Consejo de Estado. Sala de Consulta y Servicio Civil. Concepto del 20 de mayo de 2010. Exp. 1.992. C.P. Enrique José Arboleda Perdomo.</w:t>
            </w:r>
          </w:p>
          <w:p w14:paraId="4BE3C114" w14:textId="77777777" w:rsidR="00E61075" w:rsidRPr="00E61075" w:rsidRDefault="00E61075" w:rsidP="00E61075">
            <w:pPr>
              <w:numPr>
                <w:ilvl w:val="0"/>
                <w:numId w:val="17"/>
              </w:numPr>
              <w:snapToGrid w:val="0"/>
              <w:spacing w:after="120" w:line="276" w:lineRule="auto"/>
              <w:ind w:left="714" w:hanging="357"/>
              <w:jc w:val="both"/>
              <w:rPr>
                <w:rFonts w:ascii="Verdana" w:eastAsia="Calibri" w:hAnsi="Verdana" w:cs="Arial"/>
                <w:noProof/>
                <w:lang w:val="es-ES_tradnl"/>
              </w:rPr>
            </w:pPr>
            <w:r w:rsidRPr="00E61075">
              <w:rPr>
                <w:rFonts w:ascii="Verdana" w:eastAsia="Calibri" w:hAnsi="Verdana" w:cs="Arial"/>
                <w:noProof/>
                <w:lang w:val="es-ES_tradnl"/>
              </w:rPr>
              <w:t>Consejo De Estado. Sección Tercera. Subsección C. Sentencia del 26 de febrero de 2014. Expediente: 25.804. Consejero Ponente: Enrique Gil Botero.</w:t>
            </w:r>
          </w:p>
          <w:p w14:paraId="7B72E983" w14:textId="77777777" w:rsidR="00E61075" w:rsidRPr="00E61075" w:rsidRDefault="00E61075" w:rsidP="00E61075">
            <w:pPr>
              <w:numPr>
                <w:ilvl w:val="0"/>
                <w:numId w:val="17"/>
              </w:numPr>
              <w:snapToGrid w:val="0"/>
              <w:spacing w:after="120" w:line="276" w:lineRule="auto"/>
              <w:ind w:left="714" w:hanging="357"/>
              <w:jc w:val="both"/>
              <w:rPr>
                <w:rFonts w:ascii="Verdana" w:eastAsia="Calibri" w:hAnsi="Verdana" w:cs="Arial"/>
                <w:noProof/>
                <w:lang w:val="es-ES_tradnl"/>
              </w:rPr>
            </w:pPr>
            <w:r w:rsidRPr="00E61075">
              <w:rPr>
                <w:rFonts w:ascii="Verdana" w:eastAsia="Calibri" w:hAnsi="Verdana" w:cs="Arial"/>
                <w:noProof/>
                <w:lang w:val="es-ES_tradnl"/>
              </w:rPr>
              <w:lastRenderedPageBreak/>
              <w:t>Consejo De Estado, Sección Tercera, Subsección C. Sentencia del 26 de febrero de 2011. C.P. Jaime Orlando Santofimio. Rad. 36.408.</w:t>
            </w:r>
          </w:p>
          <w:p w14:paraId="02755136" w14:textId="77777777" w:rsidR="00E61075" w:rsidRPr="00E61075" w:rsidRDefault="00E61075" w:rsidP="00E61075">
            <w:pPr>
              <w:numPr>
                <w:ilvl w:val="0"/>
                <w:numId w:val="17"/>
              </w:numPr>
              <w:snapToGrid w:val="0"/>
              <w:spacing w:after="120" w:line="276" w:lineRule="auto"/>
              <w:ind w:left="714" w:hanging="357"/>
              <w:jc w:val="both"/>
              <w:rPr>
                <w:rFonts w:ascii="Verdana" w:eastAsia="Calibri" w:hAnsi="Verdana" w:cs="Arial"/>
                <w:noProof/>
                <w:lang w:val="es-ES_tradnl"/>
              </w:rPr>
            </w:pPr>
            <w:r w:rsidRPr="00E61075">
              <w:rPr>
                <w:rFonts w:ascii="Verdana" w:eastAsia="Calibri" w:hAnsi="Verdana" w:cs="Arial"/>
                <w:shd w:val="clear" w:color="auto" w:fill="FFFFFF"/>
                <w:lang w:val="es-ES"/>
              </w:rPr>
              <w:t xml:space="preserve">Documentos tipo expedidos por la Agencia Nacional de Contratación Pública – Colombia Compra Eficiente. Disponibles en: </w:t>
            </w:r>
            <w:hyperlink r:id="rId11" w:history="1">
              <w:r w:rsidRPr="00E61075">
                <w:rPr>
                  <w:rFonts w:ascii="Verdana" w:eastAsia="Calibri" w:hAnsi="Verdana" w:cs="Arial"/>
                  <w:color w:val="0000FF"/>
                  <w:u w:val="single"/>
                  <w:shd w:val="clear" w:color="auto" w:fill="FFFFFF"/>
                  <w:lang w:val="es-ES"/>
                </w:rPr>
                <w:t>https://www.colombiacompra.gov.co/normativa-y-relatoria/documentos-tipo</w:t>
              </w:r>
            </w:hyperlink>
            <w:r w:rsidRPr="00E61075">
              <w:rPr>
                <w:rFonts w:ascii="Verdana" w:eastAsia="Calibri" w:hAnsi="Verdana" w:cs="Arial"/>
                <w:shd w:val="clear" w:color="auto" w:fill="FFFFFF"/>
                <w:lang w:val="es-ES"/>
              </w:rPr>
              <w:t xml:space="preserve">. </w:t>
            </w:r>
            <w:r w:rsidRPr="00E61075">
              <w:rPr>
                <w:rFonts w:ascii="Verdana" w:eastAsia="Calibri" w:hAnsi="Verdana" w:cs="Arial"/>
                <w:noProof/>
                <w:lang w:val="es-ES_tradnl"/>
              </w:rPr>
              <w:t xml:space="preserve"> </w:t>
            </w:r>
          </w:p>
        </w:tc>
      </w:tr>
    </w:tbl>
    <w:p w14:paraId="01E33FCF" w14:textId="77777777" w:rsidR="00E61075" w:rsidRPr="00E61075" w:rsidRDefault="00E61075" w:rsidP="00E61075">
      <w:pPr>
        <w:widowControl w:val="0"/>
        <w:autoSpaceDE w:val="0"/>
        <w:autoSpaceDN w:val="0"/>
        <w:spacing w:after="0" w:line="276" w:lineRule="auto"/>
        <w:jc w:val="both"/>
        <w:rPr>
          <w:rFonts w:ascii="Verdana" w:eastAsia="Calibri" w:hAnsi="Verdana" w:cs="Arial"/>
        </w:rPr>
      </w:pPr>
    </w:p>
    <w:p w14:paraId="0613AC8A" w14:textId="77777777" w:rsidR="00E61075" w:rsidRPr="00E61075" w:rsidRDefault="00E61075" w:rsidP="00E6107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E61075">
        <w:rPr>
          <w:rFonts w:ascii="Verdana" w:eastAsia="Century Gothic" w:hAnsi="Verdana" w:cs="Century Gothic"/>
          <w:b/>
          <w:bCs/>
          <w:lang w:val="es-ES"/>
        </w:rPr>
        <w:t>Doctrina de la Agencia Nacional de Contratación Pública:</w:t>
      </w:r>
    </w:p>
    <w:p w14:paraId="3BCED06D" w14:textId="77777777" w:rsidR="00E61075" w:rsidRPr="00E61075" w:rsidRDefault="00E61075" w:rsidP="00E61075">
      <w:pPr>
        <w:widowControl w:val="0"/>
        <w:autoSpaceDE w:val="0"/>
        <w:autoSpaceDN w:val="0"/>
        <w:spacing w:after="0" w:line="276" w:lineRule="auto"/>
        <w:jc w:val="both"/>
        <w:rPr>
          <w:rFonts w:ascii="Verdana" w:eastAsia="Calibri" w:hAnsi="Verdana" w:cs="Arial"/>
        </w:rPr>
      </w:pPr>
    </w:p>
    <w:p w14:paraId="081EA91A" w14:textId="77777777" w:rsidR="00E61075" w:rsidRPr="00E61075" w:rsidRDefault="00E61075" w:rsidP="00E61075">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E61075">
        <w:rPr>
          <w:rFonts w:ascii="Verdana" w:eastAsia="Calibri" w:hAnsi="Verdana" w:cs="Arial"/>
          <w:lang w:val="es-ES" w:eastAsia="es-ES"/>
        </w:rPr>
        <w:t xml:space="preserve">Sobre la </w:t>
      </w:r>
      <w:r w:rsidRPr="00E61075">
        <w:rPr>
          <w:rFonts w:ascii="Verdana" w:eastAsia="Calibri" w:hAnsi="Verdana" w:cs="Arial"/>
          <w:lang w:val="es-ES"/>
        </w:rPr>
        <w:t xml:space="preserve">regla de </w:t>
      </w:r>
      <w:proofErr w:type="spellStart"/>
      <w:r w:rsidRPr="00E61075">
        <w:rPr>
          <w:rFonts w:ascii="Verdana" w:eastAsia="Calibri" w:hAnsi="Verdana" w:cs="Arial"/>
          <w:lang w:val="es-ES"/>
        </w:rPr>
        <w:t>subsanabilidad</w:t>
      </w:r>
      <w:proofErr w:type="spellEnd"/>
      <w:r w:rsidRPr="00E61075">
        <w:rPr>
          <w:rFonts w:ascii="Verdana" w:eastAsia="Calibri" w:hAnsi="Verdana" w:cs="Arial"/>
          <w:lang w:val="es-ES"/>
        </w:rPr>
        <w:t xml:space="preserve"> en los procesos de selección,</w:t>
      </w:r>
      <w:r w:rsidRPr="00E61075">
        <w:rPr>
          <w:rFonts w:ascii="Verdana" w:eastAsia="Calibri" w:hAnsi="Verdana" w:cs="Arial"/>
          <w:shd w:val="clear" w:color="auto" w:fill="FFFFFF"/>
          <w:lang w:val="es-ES"/>
        </w:rPr>
        <w:t xml:space="preserve"> se pronunció esta Subdirección </w:t>
      </w:r>
      <w:r w:rsidRPr="00E61075">
        <w:rPr>
          <w:rFonts w:ascii="Verdana" w:eastAsia="Calibri" w:hAnsi="Verdana" w:cs="Arial"/>
          <w:lang w:val="es-ES"/>
        </w:rPr>
        <w:t xml:space="preserve">en los conceptos 4201913000007643 del 26 de diciembre de 2019, C-343 del 17 de junio de 2020, C-518 del 9 de septiembre de 2020, C-614 del 5 de octubre de 2022, C-882 del 21 de diciembre de 2022, C-172 del 6 de junio de 2023 y C-120 del 7 de marzo de 2025. </w:t>
      </w:r>
      <w:r w:rsidRPr="00E61075">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E61075">
          <w:rPr>
            <w:rFonts w:ascii="Verdana" w:eastAsia="Times New Roman" w:hAnsi="Verdana" w:cs="Arial"/>
            <w:kern w:val="2"/>
            <w:shd w:val="clear" w:color="auto" w:fill="FFFFFF"/>
            <w:lang w:val="es-ES"/>
            <w14:ligatures w14:val="standardContextual"/>
          </w:rPr>
          <w:t>https://relatoria.colombiacompra.gov.co/</w:t>
        </w:r>
      </w:hyperlink>
      <w:r w:rsidRPr="00E61075">
        <w:rPr>
          <w:rFonts w:ascii="Verdana" w:eastAsia="Times New Roman" w:hAnsi="Verdana" w:cs="Arial"/>
          <w:kern w:val="2"/>
          <w:shd w:val="clear" w:color="auto" w:fill="FFFFFF"/>
          <w:lang w:val="es-ES"/>
          <w14:ligatures w14:val="standardContextual"/>
        </w:rPr>
        <w:t>.</w:t>
      </w:r>
    </w:p>
    <w:p w14:paraId="1B4A07E4" w14:textId="77777777" w:rsidR="00E61075" w:rsidRPr="00E61075" w:rsidRDefault="00E61075" w:rsidP="00E61075">
      <w:pPr>
        <w:spacing w:after="0" w:line="276" w:lineRule="auto"/>
        <w:jc w:val="both"/>
        <w:rPr>
          <w:rFonts w:ascii="Verdana" w:eastAsia="Calibri" w:hAnsi="Verdana" w:cs="Arial"/>
          <w:color w:val="000000"/>
          <w:kern w:val="2"/>
          <w:shd w:val="clear" w:color="auto" w:fill="FFFFFF"/>
          <w:lang w:val="es-ES_tradnl"/>
          <w14:ligatures w14:val="standardContextual"/>
        </w:rPr>
      </w:pPr>
    </w:p>
    <w:p w14:paraId="021D6736"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E61075">
        <w:rPr>
          <w:rFonts w:ascii="Verdana" w:eastAsia="Calibri" w:hAnsi="Verdana" w:cs="Arial"/>
          <w:kern w:val="2"/>
          <w:shd w:val="clear" w:color="auto" w:fill="FFFFFF"/>
          <w:lang w:val="es-ES_tradnl"/>
          <w14:ligatures w14:val="standardContextual"/>
        </w:rPr>
        <w:t>La</w:t>
      </w:r>
      <w:r w:rsidRPr="00E61075">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E61075">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E61075">
        <w:rPr>
          <w:rFonts w:ascii="Verdana" w:eastAsia="Calibri" w:hAnsi="Verdana" w:cs="Arial"/>
          <w:b/>
          <w:bCs/>
          <w:kern w:val="2"/>
          <w:shd w:val="clear" w:color="auto" w:fill="FFFFFF"/>
          <w:lang w:val="es-ES_tradnl"/>
          <w14:ligatures w14:val="standardContextual"/>
        </w:rPr>
        <w:t>Documentos Tipo</w:t>
      </w:r>
      <w:r w:rsidRPr="00E61075">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61075">
        <w:rPr>
          <w:rFonts w:ascii="Verdana" w:eastAsia="Calibri" w:hAnsi="Verdana" w:cs="Arial"/>
          <w:b/>
          <w:bCs/>
          <w:kern w:val="2"/>
          <w:shd w:val="clear" w:color="auto" w:fill="FFFFFF"/>
          <w:lang w:val="es-ES_tradnl"/>
          <w14:ligatures w14:val="standardContextual"/>
        </w:rPr>
        <w:t>transparencia</w:t>
      </w:r>
      <w:r w:rsidRPr="00E61075">
        <w:rPr>
          <w:rFonts w:ascii="Verdana" w:eastAsia="Calibri" w:hAnsi="Verdana" w:cs="Arial"/>
          <w:kern w:val="2"/>
          <w:shd w:val="clear" w:color="auto" w:fill="FFFFFF"/>
          <w:lang w:val="es-ES_tradnl"/>
          <w14:ligatures w14:val="standardContextual"/>
        </w:rPr>
        <w:t> y promover un proceso de </w:t>
      </w:r>
      <w:r w:rsidRPr="00E61075">
        <w:rPr>
          <w:rFonts w:ascii="Verdana" w:eastAsia="Calibri" w:hAnsi="Verdana" w:cs="Arial"/>
          <w:b/>
          <w:bCs/>
          <w:kern w:val="2"/>
          <w:shd w:val="clear" w:color="auto" w:fill="FFFFFF"/>
          <w:lang w:val="es-ES_tradnl"/>
          <w14:ligatures w14:val="standardContextual"/>
        </w:rPr>
        <w:t>selección objetiva</w:t>
      </w:r>
      <w:r w:rsidRPr="00E61075">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D0D2AA1"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D293C2E"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E61075">
        <w:rPr>
          <w:rFonts w:ascii="Verdana" w:eastAsia="Calibri" w:hAnsi="Verdana" w:cs="Arial"/>
          <w:kern w:val="2"/>
          <w:shd w:val="clear" w:color="auto" w:fill="FFFFFF"/>
          <w:lang w:val="es-ES"/>
          <w14:ligatures w14:val="standardContextual"/>
        </w:rPr>
        <w:t>También, le contamos que ya se encuentra disponible la </w:t>
      </w:r>
      <w:r w:rsidRPr="00E61075">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E61075">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w:t>
      </w:r>
      <w:r w:rsidRPr="00E61075">
        <w:rPr>
          <w:rFonts w:ascii="Verdana" w:eastAsia="Calibri" w:hAnsi="Verdana" w:cs="Arial"/>
          <w:kern w:val="2"/>
          <w:shd w:val="clear" w:color="auto" w:fill="FFFFFF"/>
          <w:lang w:val="es-ES"/>
          <w14:ligatures w14:val="standardContextual"/>
        </w:rPr>
        <w:lastRenderedPageBreak/>
        <w:t xml:space="preserve">Inconstitucional declarado por la situación de vulneración masiva y recurrente de los derechos fundamentales de los niños y de las niñas del Pueblo </w:t>
      </w:r>
      <w:proofErr w:type="spellStart"/>
      <w:r w:rsidRPr="00E61075">
        <w:rPr>
          <w:rFonts w:ascii="Verdana" w:eastAsia="Calibri" w:hAnsi="Verdana" w:cs="Arial"/>
          <w:kern w:val="2"/>
          <w:shd w:val="clear" w:color="auto" w:fill="FFFFFF"/>
          <w:lang w:val="es-ES"/>
          <w14:ligatures w14:val="standardContextual"/>
        </w:rPr>
        <w:t>Wayúu</w:t>
      </w:r>
      <w:proofErr w:type="spellEnd"/>
      <w:r w:rsidRPr="00E61075">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E61075">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E61075">
        <w:rPr>
          <w:rFonts w:ascii="Verdana" w:eastAsia="Calibri" w:hAnsi="Verdana" w:cs="Arial"/>
          <w:kern w:val="2"/>
          <w:u w:val="single"/>
          <w:shd w:val="clear" w:color="auto" w:fill="FFFFFF"/>
          <w:lang w:val="es-ES"/>
          <w14:ligatures w14:val="standardContextual"/>
        </w:rPr>
        <w:t>.</w:t>
      </w:r>
    </w:p>
    <w:p w14:paraId="71F68B72"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A509358" w14:textId="77777777" w:rsidR="00E61075" w:rsidRPr="00E61075" w:rsidRDefault="00E61075" w:rsidP="00E61075">
      <w:pPr>
        <w:spacing w:after="0" w:line="276" w:lineRule="auto"/>
        <w:jc w:val="both"/>
        <w:rPr>
          <w:rFonts w:ascii="Verdana" w:eastAsia="Calibri" w:hAnsi="Verdana" w:cs="Times New Roman"/>
          <w:kern w:val="2"/>
          <w:lang w:val="es-ES_tradnl"/>
          <w14:ligatures w14:val="standardContextual"/>
        </w:rPr>
      </w:pPr>
      <w:r w:rsidRPr="00E61075">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031656C" w14:textId="77777777" w:rsidR="00E61075" w:rsidRPr="00E61075" w:rsidRDefault="00E61075" w:rsidP="00E61075">
      <w:pPr>
        <w:spacing w:after="0" w:line="276" w:lineRule="auto"/>
        <w:jc w:val="both"/>
        <w:rPr>
          <w:rFonts w:ascii="Verdana" w:eastAsia="Calibri" w:hAnsi="Verdana" w:cs="Times New Roman"/>
          <w:kern w:val="2"/>
          <w:lang w:val="es-ES_tradnl"/>
          <w14:ligatures w14:val="standardContextual"/>
        </w:rPr>
      </w:pPr>
    </w:p>
    <w:p w14:paraId="220C9A88" w14:textId="77777777" w:rsidR="00E61075" w:rsidRPr="00E61075" w:rsidRDefault="00E61075" w:rsidP="00E61075">
      <w:pPr>
        <w:spacing w:after="0" w:line="276" w:lineRule="auto"/>
        <w:jc w:val="both"/>
        <w:rPr>
          <w:rFonts w:ascii="Verdana" w:eastAsia="Calibri" w:hAnsi="Verdana" w:cs="Times New Roman"/>
          <w:kern w:val="2"/>
          <w:lang w:val="es-ES_tradnl"/>
          <w14:ligatures w14:val="standardContextual"/>
        </w:rPr>
      </w:pPr>
      <w:r w:rsidRPr="00E61075">
        <w:rPr>
          <w:rFonts w:ascii="Verdana" w:eastAsia="Calibri" w:hAnsi="Verdana" w:cs="Times New Roman"/>
          <w:kern w:val="2"/>
          <w:lang w:val="es-ES_tradnl"/>
          <w14:ligatures w14:val="standardContextual"/>
        </w:rPr>
        <w:t xml:space="preserve">X: </w:t>
      </w:r>
      <w:r w:rsidRPr="00E61075">
        <w:rPr>
          <w:rFonts w:ascii="Verdana" w:eastAsia="Calibri" w:hAnsi="Verdana" w:cs="Times New Roman"/>
          <w:kern w:val="2"/>
          <w:u w:val="single"/>
          <w:lang w:val="es-ES_tradnl"/>
          <w14:ligatures w14:val="standardContextual"/>
        </w:rPr>
        <w:t>@colombiacompra</w:t>
      </w:r>
      <w:r w:rsidRPr="00E61075">
        <w:rPr>
          <w:rFonts w:ascii="Verdana" w:eastAsia="Calibri" w:hAnsi="Verdana" w:cs="Times New Roman"/>
          <w:kern w:val="2"/>
          <w:lang w:val="es-ES_tradnl"/>
          <w14:ligatures w14:val="standardContextual"/>
        </w:rPr>
        <w:t xml:space="preserve"> </w:t>
      </w:r>
    </w:p>
    <w:p w14:paraId="58911305" w14:textId="77777777" w:rsidR="00E61075" w:rsidRPr="00E61075" w:rsidRDefault="00E61075" w:rsidP="00E61075">
      <w:pPr>
        <w:spacing w:after="0" w:line="276" w:lineRule="auto"/>
        <w:jc w:val="both"/>
        <w:rPr>
          <w:rFonts w:ascii="Verdana" w:eastAsia="Calibri" w:hAnsi="Verdana" w:cs="Times New Roman"/>
          <w:kern w:val="2"/>
          <w:lang w:val="es-ES"/>
          <w14:ligatures w14:val="standardContextual"/>
        </w:rPr>
      </w:pPr>
      <w:r w:rsidRPr="00E61075">
        <w:rPr>
          <w:rFonts w:ascii="Verdana" w:eastAsia="Calibri" w:hAnsi="Verdana" w:cs="Times New Roman"/>
          <w:kern w:val="2"/>
          <w:lang w:val="es-ES"/>
          <w14:ligatures w14:val="standardContextual"/>
        </w:rPr>
        <w:t xml:space="preserve">Facebook: </w:t>
      </w:r>
      <w:proofErr w:type="spellStart"/>
      <w:r w:rsidRPr="00E61075">
        <w:rPr>
          <w:rFonts w:ascii="Verdana" w:eastAsia="Calibri" w:hAnsi="Verdana" w:cs="Times New Roman"/>
          <w:kern w:val="2"/>
          <w:u w:val="single"/>
          <w:lang w:val="es-ES"/>
          <w14:ligatures w14:val="standardContextual"/>
        </w:rPr>
        <w:t>ColombiaCompraEficiente</w:t>
      </w:r>
      <w:proofErr w:type="spellEnd"/>
    </w:p>
    <w:p w14:paraId="509388D2" w14:textId="77777777" w:rsidR="00E61075" w:rsidRPr="00E61075" w:rsidRDefault="00E61075" w:rsidP="00E61075">
      <w:pPr>
        <w:spacing w:after="0" w:line="276" w:lineRule="auto"/>
        <w:jc w:val="both"/>
        <w:rPr>
          <w:rFonts w:ascii="Verdana" w:eastAsia="Calibri" w:hAnsi="Verdana" w:cs="Times New Roman"/>
          <w:kern w:val="2"/>
          <w:lang w:val="es-ES_tradnl"/>
          <w14:ligatures w14:val="standardContextual"/>
        </w:rPr>
      </w:pPr>
      <w:r w:rsidRPr="00E61075">
        <w:rPr>
          <w:rFonts w:ascii="Verdana" w:eastAsia="Calibri" w:hAnsi="Verdana" w:cs="Times New Roman"/>
          <w:kern w:val="2"/>
          <w:lang w:val="es-ES_tradnl"/>
          <w14:ligatures w14:val="standardContextual"/>
        </w:rPr>
        <w:t xml:space="preserve">LinkedIn: </w:t>
      </w:r>
      <w:r w:rsidRPr="00E61075">
        <w:rPr>
          <w:rFonts w:ascii="Verdana" w:eastAsia="Calibri" w:hAnsi="Verdana" w:cs="Times New Roman"/>
          <w:kern w:val="2"/>
          <w:u w:val="single"/>
          <w:lang w:val="es-ES_tradnl"/>
          <w14:ligatures w14:val="standardContextual"/>
        </w:rPr>
        <w:t>Agencia Nacional de Contratación Pública - Colombia Compra Eficiente</w:t>
      </w:r>
      <w:r w:rsidRPr="00E61075">
        <w:rPr>
          <w:rFonts w:ascii="Verdana" w:eastAsia="Calibri" w:hAnsi="Verdana" w:cs="Times New Roman"/>
          <w:kern w:val="2"/>
          <w:lang w:val="es-ES_tradnl"/>
          <w14:ligatures w14:val="standardContextual"/>
        </w:rPr>
        <w:t xml:space="preserve"> Instagram: </w:t>
      </w:r>
      <w:r w:rsidRPr="00E61075">
        <w:rPr>
          <w:rFonts w:ascii="Verdana" w:eastAsia="Calibri" w:hAnsi="Verdana" w:cs="Times New Roman"/>
          <w:kern w:val="2"/>
          <w:u w:val="single"/>
          <w:lang w:val="es-ES_tradnl"/>
          <w14:ligatures w14:val="standardContextual"/>
        </w:rPr>
        <w:t>@colombiacompraeficiente_cce</w:t>
      </w:r>
    </w:p>
    <w:p w14:paraId="46F4D09B"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38F3AEDD" w14:textId="77777777" w:rsidR="00E61075" w:rsidRPr="00E61075" w:rsidRDefault="00E61075" w:rsidP="00E61075">
      <w:pPr>
        <w:widowControl w:val="0"/>
        <w:autoSpaceDE w:val="0"/>
        <w:autoSpaceDN w:val="0"/>
        <w:spacing w:after="0" w:line="276" w:lineRule="auto"/>
        <w:jc w:val="both"/>
        <w:rPr>
          <w:rFonts w:ascii="Verdana" w:eastAsia="Calibri" w:hAnsi="Verdana" w:cs="Arial"/>
          <w:kern w:val="2"/>
          <w:lang w:val="es-ES_tradnl"/>
          <w14:ligatures w14:val="standardContextual"/>
        </w:rPr>
      </w:pPr>
      <w:r w:rsidRPr="00E61075">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78824FB" w14:textId="77777777" w:rsidR="00E61075" w:rsidRPr="00E61075" w:rsidRDefault="00E61075" w:rsidP="00E61075">
      <w:pPr>
        <w:widowControl w:val="0"/>
        <w:autoSpaceDE w:val="0"/>
        <w:autoSpaceDN w:val="0"/>
        <w:spacing w:after="0" w:line="276" w:lineRule="auto"/>
        <w:jc w:val="both"/>
        <w:rPr>
          <w:rFonts w:ascii="Verdana" w:eastAsia="Calibri" w:hAnsi="Verdana" w:cs="Arial"/>
        </w:rPr>
      </w:pPr>
    </w:p>
    <w:p w14:paraId="3CFFA313" w14:textId="77777777" w:rsidR="00E61075" w:rsidRPr="00E61075" w:rsidRDefault="00E61075" w:rsidP="00E61075">
      <w:pPr>
        <w:spacing w:after="0" w:line="240" w:lineRule="auto"/>
        <w:rPr>
          <w:rFonts w:ascii="Verdana" w:eastAsia="Calibri" w:hAnsi="Verdana" w:cs="Arial"/>
          <w:lang w:eastAsia="es-CO"/>
        </w:rPr>
      </w:pPr>
      <w:r w:rsidRPr="00E61075">
        <w:rPr>
          <w:rFonts w:ascii="Verdana" w:eastAsia="Times New Roman" w:hAnsi="Verdana" w:cs="Arial"/>
          <w:lang w:eastAsia="es-CO"/>
        </w:rPr>
        <w:t>Atentamente,</w:t>
      </w:r>
      <w:r w:rsidRPr="00E61075">
        <w:rPr>
          <w:rFonts w:ascii="Verdana" w:eastAsia="Calibri" w:hAnsi="Verdana" w:cs="Arial"/>
          <w:lang w:eastAsia="es-CO"/>
        </w:rPr>
        <w:t xml:space="preserve"> </w:t>
      </w:r>
    </w:p>
    <w:p w14:paraId="361FED57" w14:textId="77777777" w:rsidR="00E61075" w:rsidRPr="00E61075" w:rsidRDefault="00E61075" w:rsidP="00E61075">
      <w:pPr>
        <w:tabs>
          <w:tab w:val="left" w:pos="1320"/>
        </w:tabs>
        <w:rPr>
          <w:rFonts w:ascii="Century Gothic" w:eastAsia="Calibri" w:hAnsi="Century Gothic" w:cs="Times New Roman"/>
        </w:rPr>
      </w:pPr>
    </w:p>
    <w:p w14:paraId="01E0E97E" w14:textId="43387686" w:rsidR="00E61075" w:rsidRPr="00E61075" w:rsidRDefault="00547E81" w:rsidP="00E61075">
      <w:pPr>
        <w:tabs>
          <w:tab w:val="left" w:pos="1320"/>
        </w:tabs>
        <w:jc w:val="center"/>
        <w:rPr>
          <w:rFonts w:ascii="Century Gothic" w:eastAsia="Calibri" w:hAnsi="Century Gothic" w:cs="Times New Roman"/>
        </w:rPr>
      </w:pPr>
      <w:r w:rsidRPr="002C3AD6">
        <w:rPr>
          <w:rFonts w:ascii="Century Gothic" w:hAnsi="Century Gothic"/>
          <w:noProof/>
        </w:rPr>
        <w:drawing>
          <wp:inline distT="0" distB="0" distL="0" distR="0" wp14:anchorId="6827DB21" wp14:editId="2CA57951">
            <wp:extent cx="3132896" cy="1162968"/>
            <wp:effectExtent l="0" t="0" r="4445" b="571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176149" cy="117902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1075" w:rsidRPr="00E61075" w14:paraId="0CE64B1E" w14:textId="77777777">
        <w:trPr>
          <w:trHeight w:val="315"/>
        </w:trPr>
        <w:tc>
          <w:tcPr>
            <w:tcW w:w="893" w:type="dxa"/>
            <w:vAlign w:val="center"/>
            <w:hideMark/>
          </w:tcPr>
          <w:p w14:paraId="2C6A33CF" w14:textId="77777777" w:rsidR="00E61075" w:rsidRPr="00E61075" w:rsidRDefault="00E61075" w:rsidP="00E61075">
            <w:pPr>
              <w:rPr>
                <w:rFonts w:ascii="Verdana" w:eastAsia="Calibri" w:hAnsi="Verdana" w:cs="Arial"/>
                <w:sz w:val="16"/>
                <w:szCs w:val="16"/>
                <w:lang w:val="es-ES_tradnl" w:eastAsia="es-ES"/>
              </w:rPr>
            </w:pPr>
            <w:r w:rsidRPr="00E61075">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152460D" w14:textId="77777777" w:rsidR="00E61075" w:rsidRPr="00E61075" w:rsidRDefault="00E61075" w:rsidP="00E61075">
            <w:pPr>
              <w:rPr>
                <w:rFonts w:ascii="Verdana" w:eastAsia="Arial" w:hAnsi="Verdana" w:cs="Arial"/>
                <w:sz w:val="16"/>
                <w:szCs w:val="16"/>
                <w:lang w:val="es-ES"/>
              </w:rPr>
            </w:pPr>
            <w:r w:rsidRPr="00E61075">
              <w:rPr>
                <w:rFonts w:ascii="Verdana" w:eastAsia="Arial" w:hAnsi="Verdana" w:cs="Arial"/>
                <w:sz w:val="16"/>
                <w:szCs w:val="16"/>
                <w:lang w:val="es-ES"/>
              </w:rPr>
              <w:t>Kevin Arlid Herrera Santa</w:t>
            </w:r>
          </w:p>
          <w:p w14:paraId="4C560D88" w14:textId="77777777" w:rsidR="00E61075" w:rsidRPr="00E61075" w:rsidRDefault="00E61075" w:rsidP="00E61075">
            <w:pPr>
              <w:rPr>
                <w:rFonts w:ascii="Verdana" w:eastAsia="Arial" w:hAnsi="Verdana" w:cs="Arial"/>
                <w:sz w:val="16"/>
                <w:szCs w:val="16"/>
                <w:lang w:val="es-ES_tradnl"/>
              </w:rPr>
            </w:pPr>
            <w:r w:rsidRPr="00E61075">
              <w:rPr>
                <w:rFonts w:ascii="Verdana" w:eastAsia="Arial" w:hAnsi="Verdana" w:cs="Arial"/>
                <w:sz w:val="16"/>
                <w:szCs w:val="16"/>
                <w:lang w:val="es-ES_tradnl"/>
              </w:rPr>
              <w:t>Contratista de la Subdirección de Gestión Contractual</w:t>
            </w:r>
          </w:p>
          <w:p w14:paraId="1C51E5B6" w14:textId="77777777" w:rsidR="00E61075" w:rsidRPr="00E61075" w:rsidRDefault="00E61075" w:rsidP="00E61075">
            <w:pPr>
              <w:rPr>
                <w:rFonts w:ascii="Verdana" w:eastAsia="Arial" w:hAnsi="Verdana" w:cs="Arial"/>
                <w:sz w:val="16"/>
                <w:szCs w:val="16"/>
                <w:lang w:val="es-ES_tradnl"/>
              </w:rPr>
            </w:pPr>
          </w:p>
        </w:tc>
      </w:tr>
      <w:tr w:rsidR="00E61075" w:rsidRPr="00E61075" w14:paraId="5F103ACE" w14:textId="77777777">
        <w:trPr>
          <w:trHeight w:val="330"/>
        </w:trPr>
        <w:tc>
          <w:tcPr>
            <w:tcW w:w="893" w:type="dxa"/>
            <w:vAlign w:val="center"/>
            <w:hideMark/>
          </w:tcPr>
          <w:p w14:paraId="79DC62C3" w14:textId="77777777" w:rsidR="00E61075" w:rsidRPr="00E61075" w:rsidRDefault="00E61075" w:rsidP="00E61075">
            <w:pPr>
              <w:rPr>
                <w:rFonts w:ascii="Verdana" w:eastAsia="Calibri" w:hAnsi="Verdana" w:cs="Arial"/>
                <w:sz w:val="16"/>
                <w:szCs w:val="16"/>
                <w:lang w:val="es-ES_tradnl" w:eastAsia="es-ES"/>
              </w:rPr>
            </w:pPr>
            <w:r w:rsidRPr="00E61075">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6C5BAC5" w14:textId="77777777" w:rsidR="00E61075" w:rsidRPr="00E61075" w:rsidRDefault="00E61075" w:rsidP="00E61075">
            <w:pPr>
              <w:textAlignment w:val="baseline"/>
              <w:rPr>
                <w:rFonts w:ascii="Verdana" w:eastAsia="Times New Roman" w:hAnsi="Verdana" w:cs="Segoe UI"/>
                <w:sz w:val="16"/>
                <w:szCs w:val="16"/>
                <w:lang w:val="es-ES_tradnl" w:eastAsia="es-ES_tradnl"/>
              </w:rPr>
            </w:pPr>
            <w:r w:rsidRPr="00E61075">
              <w:rPr>
                <w:rFonts w:ascii="Verdana" w:eastAsia="Times New Roman" w:hAnsi="Verdana" w:cs="Segoe UI"/>
                <w:sz w:val="16"/>
                <w:szCs w:val="16"/>
                <w:lang w:val="es-ES_tradnl" w:eastAsia="es-ES_tradnl"/>
              </w:rPr>
              <w:t>Juan David Cárdenas Cabeza</w:t>
            </w:r>
          </w:p>
          <w:p w14:paraId="3A9AC8A5" w14:textId="77777777" w:rsidR="00E61075" w:rsidRPr="00E61075" w:rsidRDefault="00E61075" w:rsidP="00E61075">
            <w:pPr>
              <w:textAlignment w:val="baseline"/>
              <w:rPr>
                <w:rFonts w:ascii="Verdana" w:eastAsia="Times New Roman" w:hAnsi="Verdana" w:cs="Segoe UI"/>
                <w:sz w:val="16"/>
                <w:szCs w:val="16"/>
                <w:lang w:val="es-ES_tradnl" w:eastAsia="es-ES_tradnl"/>
              </w:rPr>
            </w:pPr>
            <w:r w:rsidRPr="00E61075">
              <w:rPr>
                <w:rFonts w:ascii="Verdana" w:eastAsia="Times New Roman" w:hAnsi="Verdana" w:cs="Arial"/>
                <w:sz w:val="16"/>
                <w:szCs w:val="16"/>
                <w:lang w:val="es-ES_tradnl" w:eastAsia="es-ES_tradnl"/>
              </w:rPr>
              <w:t>Contratista de la Subdirección de Gestión Contractual </w:t>
            </w:r>
          </w:p>
        </w:tc>
      </w:tr>
      <w:tr w:rsidR="00E61075" w:rsidRPr="00E61075" w14:paraId="0B77A530" w14:textId="77777777">
        <w:trPr>
          <w:trHeight w:val="300"/>
        </w:trPr>
        <w:tc>
          <w:tcPr>
            <w:tcW w:w="893" w:type="dxa"/>
            <w:vAlign w:val="center"/>
          </w:tcPr>
          <w:p w14:paraId="0CACDB03" w14:textId="77777777" w:rsidR="00E61075" w:rsidRPr="00E61075" w:rsidRDefault="00E61075" w:rsidP="00E61075">
            <w:pPr>
              <w:rPr>
                <w:rFonts w:ascii="Verdana" w:eastAsia="Calibri" w:hAnsi="Verdana" w:cs="Arial"/>
                <w:sz w:val="16"/>
                <w:szCs w:val="16"/>
                <w:lang w:val="es-ES_tradnl" w:eastAsia="es-ES"/>
              </w:rPr>
            </w:pPr>
            <w:r w:rsidRPr="00E61075">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E5AC453" w14:textId="77777777" w:rsidR="00E61075" w:rsidRPr="00E61075" w:rsidRDefault="00E61075" w:rsidP="00E61075">
            <w:pPr>
              <w:rPr>
                <w:rFonts w:ascii="Verdana" w:eastAsia="Calibri" w:hAnsi="Verdana" w:cs="Arial"/>
                <w:sz w:val="16"/>
                <w:szCs w:val="16"/>
                <w:lang w:val="es-ES" w:eastAsia="es-ES"/>
              </w:rPr>
            </w:pPr>
            <w:r w:rsidRPr="00E61075">
              <w:rPr>
                <w:rFonts w:ascii="Verdana" w:eastAsia="Calibri" w:hAnsi="Verdana" w:cs="Arial"/>
                <w:sz w:val="16"/>
                <w:szCs w:val="16"/>
                <w:lang w:val="es-ES" w:eastAsia="es-ES"/>
              </w:rPr>
              <w:t xml:space="preserve">Carolina Quintero </w:t>
            </w:r>
            <w:proofErr w:type="spellStart"/>
            <w:r w:rsidRPr="00E61075">
              <w:rPr>
                <w:rFonts w:ascii="Verdana" w:eastAsia="Calibri" w:hAnsi="Verdana" w:cs="Arial"/>
                <w:sz w:val="16"/>
                <w:szCs w:val="16"/>
                <w:lang w:val="es-ES" w:eastAsia="es-ES"/>
              </w:rPr>
              <w:t>Gacharná</w:t>
            </w:r>
            <w:proofErr w:type="spellEnd"/>
          </w:p>
          <w:p w14:paraId="5B2A93DE" w14:textId="77777777" w:rsidR="00E61075" w:rsidRPr="00E61075" w:rsidRDefault="00E61075" w:rsidP="00E61075">
            <w:pPr>
              <w:rPr>
                <w:rFonts w:ascii="Verdana" w:eastAsia="Calibri" w:hAnsi="Verdana" w:cs="Arial"/>
                <w:sz w:val="16"/>
                <w:szCs w:val="16"/>
                <w:lang w:val="es-ES_tradnl" w:eastAsia="es-ES"/>
              </w:rPr>
            </w:pPr>
            <w:r w:rsidRPr="00E61075">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CC5FB" w14:textId="77777777" w:rsidR="00146677" w:rsidRDefault="00146677" w:rsidP="004A1847">
      <w:pPr>
        <w:spacing w:after="0" w:line="240" w:lineRule="auto"/>
      </w:pPr>
      <w:r>
        <w:separator/>
      </w:r>
    </w:p>
  </w:endnote>
  <w:endnote w:type="continuationSeparator" w:id="0">
    <w:p w14:paraId="21D0D7C7" w14:textId="77777777" w:rsidR="00146677" w:rsidRDefault="001466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9CC8" w14:textId="77777777" w:rsidR="00146677" w:rsidRDefault="00146677" w:rsidP="004A1847">
      <w:pPr>
        <w:spacing w:after="0" w:line="240" w:lineRule="auto"/>
      </w:pPr>
      <w:r>
        <w:separator/>
      </w:r>
    </w:p>
  </w:footnote>
  <w:footnote w:type="continuationSeparator" w:id="0">
    <w:p w14:paraId="30AB4DE8" w14:textId="77777777" w:rsidR="00146677" w:rsidRDefault="00146677" w:rsidP="004A1847">
      <w:pPr>
        <w:spacing w:after="0" w:line="240" w:lineRule="auto"/>
      </w:pPr>
      <w:r>
        <w:continuationSeparator/>
      </w:r>
    </w:p>
  </w:footnote>
  <w:footnote w:id="1">
    <w:p w14:paraId="59F8E327" w14:textId="77777777" w:rsidR="00E61075" w:rsidRPr="002A4297" w:rsidRDefault="00E61075" w:rsidP="00E61075">
      <w:pPr>
        <w:pStyle w:val="Textonotapie"/>
        <w:ind w:firstLine="708"/>
        <w:jc w:val="both"/>
        <w:rPr>
          <w:rFonts w:ascii="Verdana" w:hAnsi="Verdana"/>
          <w:sz w:val="18"/>
          <w:szCs w:val="18"/>
        </w:rPr>
      </w:pPr>
      <w:r w:rsidRPr="002A4297">
        <w:rPr>
          <w:rStyle w:val="Refdenotaalpie"/>
          <w:rFonts w:ascii="Verdana" w:hAnsi="Verdana"/>
          <w:sz w:val="18"/>
          <w:szCs w:val="18"/>
        </w:rPr>
        <w:footnoteRef/>
      </w:r>
      <w:r w:rsidRPr="002A4297">
        <w:rPr>
          <w:rFonts w:ascii="Verdana" w:hAnsi="Verdana"/>
          <w:sz w:val="18"/>
          <w:szCs w:val="18"/>
        </w:rPr>
        <w:t xml:space="preserve"> Agencia Nacional de Contratación Pública – Colombia Compra Eficiente. Concepto C-285 del 20 de mayo de 2022. Consultar en: </w:t>
      </w:r>
      <w:hyperlink r:id="rId1" w:history="1">
        <w:r w:rsidRPr="002A4297">
          <w:rPr>
            <w:rStyle w:val="Hipervnculo"/>
            <w:rFonts w:ascii="Verdana" w:hAnsi="Verdana"/>
            <w:sz w:val="18"/>
            <w:szCs w:val="18"/>
          </w:rPr>
          <w:t>https://relatoria.colombiacompra.gov.co/conceptos/c-285-de-2022/</w:t>
        </w:r>
      </w:hyperlink>
    </w:p>
    <w:p w14:paraId="3C2F22CA" w14:textId="77777777" w:rsidR="00E61075" w:rsidRPr="002A4297" w:rsidRDefault="00E61075" w:rsidP="00E61075">
      <w:pPr>
        <w:pStyle w:val="Textonotapie"/>
        <w:ind w:firstLine="708"/>
        <w:jc w:val="both"/>
        <w:rPr>
          <w:rFonts w:ascii="Verdana" w:hAnsi="Verdana"/>
          <w:sz w:val="18"/>
          <w:szCs w:val="18"/>
          <w:lang w:val="es-CO"/>
        </w:rPr>
      </w:pPr>
      <w:r w:rsidRPr="002A4297">
        <w:rPr>
          <w:rFonts w:ascii="Verdana" w:hAnsi="Verdana"/>
          <w:sz w:val="18"/>
          <w:szCs w:val="18"/>
        </w:rPr>
        <w:t xml:space="preserve"> </w:t>
      </w:r>
    </w:p>
  </w:footnote>
  <w:footnote w:id="2">
    <w:p w14:paraId="77566E21" w14:textId="77777777" w:rsidR="00E61075" w:rsidRPr="002A4297" w:rsidRDefault="00E61075" w:rsidP="00E61075">
      <w:pPr>
        <w:pStyle w:val="Textonotapie"/>
        <w:ind w:firstLine="708"/>
        <w:jc w:val="both"/>
        <w:rPr>
          <w:rFonts w:ascii="Verdana" w:hAnsi="Verdana"/>
          <w:sz w:val="18"/>
          <w:szCs w:val="18"/>
        </w:rPr>
      </w:pPr>
      <w:r w:rsidRPr="002A4297">
        <w:rPr>
          <w:rStyle w:val="Refdenotaalpie"/>
          <w:rFonts w:ascii="Verdana" w:hAnsi="Verdana"/>
          <w:sz w:val="18"/>
          <w:szCs w:val="18"/>
        </w:rPr>
        <w:footnoteRef/>
      </w:r>
      <w:r w:rsidRPr="002A4297">
        <w:rPr>
          <w:rFonts w:ascii="Verdana" w:hAnsi="Verdana"/>
          <w:sz w:val="18"/>
          <w:szCs w:val="18"/>
        </w:rPr>
        <w:t xml:space="preserve"> </w:t>
      </w:r>
      <w:r w:rsidRPr="002A4297">
        <w:rPr>
          <w:rFonts w:ascii="Verdana" w:hAnsi="Verdana"/>
          <w:sz w:val="18"/>
          <w:szCs w:val="18"/>
        </w:rPr>
        <w:t xml:space="preserve">Agencia Nacional de Contratación Pública – Colombia Compra Eficiente. Concepto C-447 del 19 de septiembre de 2024. Consultar en: </w:t>
      </w:r>
      <w:hyperlink r:id="rId2" w:history="1">
        <w:r w:rsidRPr="002A4297">
          <w:rPr>
            <w:rStyle w:val="Hipervnculo"/>
            <w:rFonts w:ascii="Verdana" w:hAnsi="Verdana"/>
            <w:sz w:val="18"/>
            <w:szCs w:val="18"/>
          </w:rPr>
          <w:t>https://relatoria.colombiacompra.gov.co/conceptos/c-447-de-2024/</w:t>
        </w:r>
      </w:hyperlink>
      <w:r w:rsidRPr="002A4297">
        <w:rPr>
          <w:rFonts w:ascii="Verdana" w:hAnsi="Verdana"/>
          <w:sz w:val="18"/>
          <w:szCs w:val="18"/>
        </w:rPr>
        <w:t xml:space="preserve"> </w:t>
      </w:r>
    </w:p>
    <w:p w14:paraId="49CBE485" w14:textId="77777777" w:rsidR="00E61075" w:rsidRPr="002A4297" w:rsidRDefault="00E61075" w:rsidP="00E61075">
      <w:pPr>
        <w:pStyle w:val="Textonotapie"/>
        <w:jc w:val="both"/>
        <w:rPr>
          <w:rFonts w:ascii="Verdana" w:hAnsi="Verdana"/>
          <w:sz w:val="18"/>
          <w:szCs w:val="18"/>
        </w:rPr>
      </w:pPr>
    </w:p>
  </w:footnote>
  <w:footnote w:id="3">
    <w:p w14:paraId="2E0A97F6" w14:textId="77777777" w:rsidR="00E61075" w:rsidRPr="002A4297" w:rsidRDefault="00E61075" w:rsidP="00E61075">
      <w:pPr>
        <w:pStyle w:val="Textonotapie"/>
        <w:ind w:firstLine="709"/>
        <w:jc w:val="both"/>
        <w:rPr>
          <w:rFonts w:ascii="Verdana" w:hAnsi="Verdana" w:cs="Arial"/>
          <w:color w:val="000000"/>
          <w:sz w:val="18"/>
          <w:szCs w:val="18"/>
        </w:rPr>
      </w:pPr>
      <w:r w:rsidRPr="002A4297">
        <w:rPr>
          <w:rStyle w:val="Refdenotaalpie"/>
          <w:rFonts w:ascii="Verdana" w:hAnsi="Verdana" w:cs="Arial"/>
          <w:color w:val="000000"/>
          <w:sz w:val="18"/>
          <w:szCs w:val="18"/>
        </w:rPr>
        <w:footnoteRef/>
      </w:r>
      <w:r w:rsidRPr="002A4297">
        <w:rPr>
          <w:rStyle w:val="Refdenotaalpie"/>
          <w:rFonts w:ascii="Verdana" w:hAnsi="Verdana" w:cs="Arial"/>
          <w:color w:val="000000"/>
          <w:sz w:val="18"/>
          <w:szCs w:val="18"/>
        </w:rPr>
        <w:t xml:space="preserve"> </w:t>
      </w:r>
      <w:r w:rsidRPr="002A4297">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7748371" w14:textId="77777777" w:rsidR="00E61075" w:rsidRPr="002A4297" w:rsidRDefault="00E61075" w:rsidP="00E61075">
      <w:pPr>
        <w:pStyle w:val="Textonotapie"/>
        <w:ind w:firstLine="709"/>
        <w:jc w:val="both"/>
        <w:rPr>
          <w:rFonts w:ascii="Verdana" w:hAnsi="Verdana" w:cs="Arial"/>
          <w:color w:val="000000"/>
          <w:sz w:val="18"/>
          <w:szCs w:val="18"/>
        </w:rPr>
      </w:pPr>
    </w:p>
  </w:footnote>
  <w:footnote w:id="4">
    <w:p w14:paraId="7BE38666" w14:textId="77777777" w:rsidR="00E61075" w:rsidRPr="002A4297" w:rsidRDefault="00E61075" w:rsidP="00E61075">
      <w:pPr>
        <w:pStyle w:val="Textonotapie"/>
        <w:ind w:firstLine="709"/>
        <w:jc w:val="both"/>
        <w:rPr>
          <w:rFonts w:ascii="Verdana" w:hAnsi="Verdana" w:cs="Arial"/>
          <w:color w:val="000000"/>
          <w:sz w:val="18"/>
          <w:szCs w:val="18"/>
        </w:rPr>
      </w:pPr>
      <w:r w:rsidRPr="002A4297">
        <w:rPr>
          <w:rStyle w:val="Refdenotaalpie"/>
          <w:rFonts w:ascii="Verdana" w:hAnsi="Verdana" w:cs="Arial"/>
          <w:color w:val="000000"/>
          <w:sz w:val="18"/>
          <w:szCs w:val="18"/>
        </w:rPr>
        <w:footnoteRef/>
      </w:r>
      <w:r w:rsidRPr="002A4297">
        <w:rPr>
          <w:rFonts w:ascii="Verdana" w:hAnsi="Verdana" w:cs="Arial"/>
          <w:color w:val="000000"/>
          <w:sz w:val="18"/>
          <w:szCs w:val="18"/>
        </w:rPr>
        <w:t xml:space="preserve"> </w:t>
      </w:r>
      <w:r w:rsidRPr="002A4297">
        <w:rPr>
          <w:rFonts w:ascii="Verdana" w:hAnsi="Verdana" w:cs="Arial"/>
          <w:color w:val="000000"/>
          <w:sz w:val="18"/>
          <w:szCs w:val="18"/>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2A7FD06" w14:textId="77777777" w:rsidR="00E61075" w:rsidRPr="002A4297" w:rsidRDefault="00E61075" w:rsidP="00E61075">
      <w:pPr>
        <w:pStyle w:val="Textonotapie"/>
        <w:ind w:firstLine="709"/>
        <w:jc w:val="both"/>
        <w:rPr>
          <w:rFonts w:ascii="Verdana" w:hAnsi="Verdana" w:cs="Arial"/>
          <w:color w:val="000000"/>
          <w:sz w:val="18"/>
          <w:szCs w:val="18"/>
        </w:rPr>
      </w:pPr>
      <w:r w:rsidRPr="002A4297">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61A2C6B0" w14:textId="77777777" w:rsidR="00E61075" w:rsidRPr="002A4297" w:rsidRDefault="00E61075" w:rsidP="00E61075">
      <w:pPr>
        <w:pStyle w:val="Textonotapie"/>
        <w:ind w:firstLine="709"/>
        <w:jc w:val="both"/>
        <w:rPr>
          <w:rFonts w:ascii="Verdana" w:hAnsi="Verdana" w:cs="Arial"/>
          <w:color w:val="000000"/>
          <w:sz w:val="18"/>
          <w:szCs w:val="18"/>
        </w:rPr>
      </w:pPr>
    </w:p>
  </w:footnote>
  <w:footnote w:id="5">
    <w:p w14:paraId="3CAD4347" w14:textId="77777777" w:rsidR="00E61075" w:rsidRPr="002A4297" w:rsidRDefault="00E61075" w:rsidP="00E61075">
      <w:pPr>
        <w:pStyle w:val="Textonotapie"/>
        <w:ind w:firstLine="709"/>
        <w:jc w:val="both"/>
        <w:rPr>
          <w:rFonts w:ascii="Verdana" w:hAnsi="Verdana" w:cs="Arial"/>
          <w:color w:val="000000"/>
          <w:sz w:val="18"/>
          <w:szCs w:val="18"/>
        </w:rPr>
      </w:pPr>
      <w:r w:rsidRPr="002A4297">
        <w:rPr>
          <w:rStyle w:val="Refdenotaalpie"/>
          <w:rFonts w:ascii="Verdana" w:hAnsi="Verdana" w:cs="Arial"/>
          <w:sz w:val="18"/>
          <w:szCs w:val="18"/>
        </w:rPr>
        <w:footnoteRef/>
      </w:r>
      <w:r w:rsidRPr="002A4297">
        <w:rPr>
          <w:rFonts w:ascii="Verdana" w:hAnsi="Verdana" w:cs="Arial"/>
          <w:sz w:val="18"/>
          <w:szCs w:val="18"/>
        </w:rPr>
        <w:t xml:space="preserve"> </w:t>
      </w:r>
      <w:r w:rsidRPr="002A4297">
        <w:rPr>
          <w:rFonts w:ascii="Verdana" w:hAnsi="Verdana" w:cs="Arial"/>
          <w:color w:val="000000"/>
          <w:sz w:val="18"/>
          <w:szCs w:val="18"/>
        </w:rPr>
        <w:t>En armonía con lo anterior, actualmente la Circular Única</w:t>
      </w:r>
      <w:r>
        <w:rPr>
          <w:rFonts w:ascii="Verdana" w:hAnsi="Verdana" w:cs="Arial"/>
          <w:color w:val="000000"/>
          <w:sz w:val="18"/>
          <w:szCs w:val="18"/>
        </w:rPr>
        <w:t xml:space="preserve"> Externa</w:t>
      </w:r>
      <w:r w:rsidRPr="002A4297">
        <w:rPr>
          <w:rFonts w:ascii="Verdana" w:hAnsi="Verdana" w:cs="Arial"/>
          <w:color w:val="000000"/>
          <w:sz w:val="18"/>
          <w:szCs w:val="18"/>
        </w:rPr>
        <w:t xml:space="preserve">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5DFABF80" w14:textId="77777777" w:rsidR="00E61075" w:rsidRPr="002A4297" w:rsidRDefault="00E61075" w:rsidP="00E61075">
      <w:pPr>
        <w:pStyle w:val="Textonotapie"/>
        <w:ind w:firstLine="709"/>
        <w:jc w:val="both"/>
        <w:rPr>
          <w:rFonts w:ascii="Verdana" w:hAnsi="Verdana" w:cs="Arial"/>
          <w:color w:val="000000"/>
          <w:sz w:val="18"/>
          <w:szCs w:val="18"/>
        </w:rPr>
      </w:pPr>
      <w:r w:rsidRPr="002A4297">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2A4297">
          <w:rPr>
            <w:rStyle w:val="Hipervnculo"/>
            <w:rFonts w:ascii="Verdana" w:hAnsi="Verdana" w:cs="Arial"/>
            <w:sz w:val="18"/>
            <w:szCs w:val="18"/>
          </w:rPr>
          <w:t>https://www.colombiacompra.gov.co/circulares?page=2</w:t>
        </w:r>
      </w:hyperlink>
      <w:r w:rsidRPr="002A4297">
        <w:rPr>
          <w:rStyle w:val="Hipervnculo"/>
          <w:rFonts w:ascii="Verdana" w:hAnsi="Verdana" w:cs="Arial"/>
          <w:color w:val="000000"/>
          <w:sz w:val="18"/>
          <w:szCs w:val="18"/>
        </w:rPr>
        <w:t xml:space="preserve"> </w:t>
      </w:r>
    </w:p>
    <w:p w14:paraId="779180FD" w14:textId="77777777" w:rsidR="00E61075" w:rsidRPr="002A4297" w:rsidRDefault="00E61075" w:rsidP="00E61075">
      <w:pPr>
        <w:pStyle w:val="Textonotapie"/>
        <w:ind w:firstLine="709"/>
        <w:jc w:val="both"/>
        <w:rPr>
          <w:rFonts w:ascii="Verdana" w:hAnsi="Verdana" w:cs="Arial"/>
          <w:color w:val="000000"/>
          <w:sz w:val="18"/>
          <w:szCs w:val="18"/>
        </w:rPr>
      </w:pPr>
    </w:p>
  </w:footnote>
  <w:footnote w:id="6">
    <w:p w14:paraId="240E74E7" w14:textId="77777777" w:rsidR="00E61075" w:rsidRPr="002A4297" w:rsidRDefault="00E61075" w:rsidP="00E61075">
      <w:pPr>
        <w:pStyle w:val="Textonotapie"/>
        <w:ind w:firstLine="709"/>
        <w:jc w:val="both"/>
        <w:rPr>
          <w:rFonts w:ascii="Verdana" w:hAnsi="Verdana" w:cs="Arial"/>
          <w:color w:val="000000"/>
          <w:sz w:val="18"/>
          <w:szCs w:val="18"/>
        </w:rPr>
      </w:pPr>
      <w:r w:rsidRPr="002A4297">
        <w:rPr>
          <w:rStyle w:val="Refdenotaalpie"/>
          <w:rFonts w:ascii="Verdana" w:hAnsi="Verdana" w:cs="Arial"/>
          <w:color w:val="000000"/>
          <w:sz w:val="18"/>
          <w:szCs w:val="18"/>
        </w:rPr>
        <w:footnoteRef/>
      </w:r>
      <w:r w:rsidRPr="002A4297">
        <w:rPr>
          <w:rFonts w:ascii="Verdana" w:hAnsi="Verdana" w:cs="Arial"/>
          <w:color w:val="000000"/>
          <w:sz w:val="18"/>
          <w:szCs w:val="18"/>
        </w:rPr>
        <w:t xml:space="preserve"> </w:t>
      </w:r>
      <w:r w:rsidRPr="002A4297">
        <w:rPr>
          <w:rFonts w:ascii="Verdana" w:hAnsi="Verdana" w:cs="Arial"/>
          <w:color w:val="000000"/>
          <w:sz w:val="18"/>
          <w:szCs w:val="18"/>
        </w:rPr>
        <w:t xml:space="preserve">Ver CONSEJO DE ESTADO, Sección Tercera, Subsección C. Sentencia del 26 de febrero de 2011. C.P. Jaime Orlando Santofimio. Rad. 36.408. </w:t>
      </w:r>
    </w:p>
  </w:footnote>
  <w:footnote w:id="7">
    <w:p w14:paraId="59A799A8" w14:textId="77777777" w:rsidR="00E61075" w:rsidRPr="002A4297" w:rsidRDefault="00E61075" w:rsidP="00E61075">
      <w:pPr>
        <w:pStyle w:val="Textonotapie"/>
        <w:ind w:firstLine="709"/>
        <w:jc w:val="both"/>
        <w:rPr>
          <w:rFonts w:ascii="Verdana" w:hAnsi="Verdana" w:cs="Arial"/>
          <w:color w:val="000000"/>
          <w:sz w:val="18"/>
          <w:szCs w:val="18"/>
        </w:rPr>
      </w:pPr>
    </w:p>
    <w:p w14:paraId="0DBEB6C6" w14:textId="77777777" w:rsidR="00E61075" w:rsidRPr="002A4297" w:rsidRDefault="00E61075" w:rsidP="00E61075">
      <w:pPr>
        <w:pStyle w:val="Textonotapie"/>
        <w:ind w:firstLine="709"/>
        <w:jc w:val="both"/>
        <w:rPr>
          <w:rFonts w:ascii="Verdana" w:hAnsi="Verdana" w:cs="Arial"/>
          <w:color w:val="000000"/>
          <w:sz w:val="18"/>
          <w:szCs w:val="18"/>
        </w:rPr>
      </w:pPr>
      <w:r w:rsidRPr="002A4297">
        <w:rPr>
          <w:rStyle w:val="Refdenotaalpie"/>
          <w:rFonts w:ascii="Verdana" w:hAnsi="Verdana" w:cs="Arial"/>
          <w:color w:val="000000"/>
          <w:sz w:val="18"/>
          <w:szCs w:val="18"/>
        </w:rPr>
        <w:footnoteRef/>
      </w:r>
      <w:r w:rsidRPr="002A4297">
        <w:rPr>
          <w:rFonts w:ascii="Verdana" w:hAnsi="Verdana" w:cs="Arial"/>
          <w:color w:val="000000"/>
          <w:sz w:val="18"/>
          <w:szCs w:val="18"/>
        </w:rPr>
        <w:t xml:space="preserve"> </w:t>
      </w:r>
      <w:r w:rsidRPr="002A4297">
        <w:rPr>
          <w:rFonts w:ascii="Verdana" w:hAnsi="Verdana" w:cs="Arial"/>
          <w:color w:val="000000"/>
          <w:sz w:val="18"/>
          <w:szCs w:val="18"/>
        </w:rPr>
        <w:t xml:space="preserve">Ver CONSEJO DE ESTADO, Sección Tercera, Subsección C. Sentencia del 26 de febrero de 2014. C.P. Enrique Gil Botero. Rad. 25.804. </w:t>
      </w:r>
    </w:p>
    <w:p w14:paraId="68767D41" w14:textId="77777777" w:rsidR="00E61075" w:rsidRPr="002A4297" w:rsidRDefault="00E61075" w:rsidP="00E61075">
      <w:pPr>
        <w:pStyle w:val="Textonotapie"/>
        <w:ind w:firstLine="709"/>
        <w:jc w:val="both"/>
        <w:rPr>
          <w:rFonts w:ascii="Verdana" w:hAnsi="Verdana" w:cs="Arial"/>
          <w:color w:val="000000"/>
          <w:sz w:val="18"/>
          <w:szCs w:val="18"/>
        </w:rPr>
      </w:pPr>
    </w:p>
  </w:footnote>
  <w:footnote w:id="8">
    <w:p w14:paraId="24B010B7" w14:textId="77777777" w:rsidR="00E61075" w:rsidRPr="002A4297" w:rsidRDefault="00E61075" w:rsidP="00E61075">
      <w:pPr>
        <w:pStyle w:val="Textonotapie"/>
        <w:ind w:firstLine="708"/>
        <w:jc w:val="both"/>
        <w:rPr>
          <w:rFonts w:ascii="Verdana" w:hAnsi="Verdana" w:cs="Arial"/>
          <w:color w:val="000000"/>
          <w:sz w:val="18"/>
          <w:szCs w:val="18"/>
        </w:rPr>
      </w:pPr>
      <w:r w:rsidRPr="002A4297">
        <w:rPr>
          <w:rStyle w:val="Refdenotaalpie"/>
          <w:rFonts w:ascii="Verdana" w:hAnsi="Verdana" w:cs="Arial"/>
          <w:color w:val="000000"/>
          <w:sz w:val="18"/>
          <w:szCs w:val="18"/>
        </w:rPr>
        <w:footnoteRef/>
      </w:r>
      <w:r w:rsidRPr="002A4297">
        <w:rPr>
          <w:rFonts w:ascii="Verdana" w:hAnsi="Verdana" w:cs="Arial"/>
          <w:color w:val="000000"/>
          <w:sz w:val="18"/>
          <w:szCs w:val="18"/>
        </w:rPr>
        <w:t xml:space="preserve"> </w:t>
      </w:r>
      <w:r w:rsidRPr="002A4297">
        <w:rPr>
          <w:rFonts w:ascii="Verdana" w:hAnsi="Verdana" w:cs="Arial"/>
          <w:color w:val="000000"/>
          <w:sz w:val="18"/>
          <w:szCs w:val="18"/>
        </w:rPr>
        <w:t>CONSEJO DE ESTADO. Sala de Consulta y Servicio Civil. Concepto del 20 de mayo de 2010. Expediente: 1992. Consejero Ponente: Enrique José Arboleda Perdomo.</w:t>
      </w:r>
    </w:p>
    <w:p w14:paraId="117DF7C0" w14:textId="77777777" w:rsidR="00E61075" w:rsidRPr="002A4297" w:rsidRDefault="00E61075" w:rsidP="00E61075">
      <w:pPr>
        <w:pStyle w:val="Textonotapie"/>
        <w:ind w:firstLine="708"/>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7.35pt;height:7.3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6677"/>
    <w:rsid w:val="001E4177"/>
    <w:rsid w:val="001F7DC6"/>
    <w:rsid w:val="002421BB"/>
    <w:rsid w:val="002466C2"/>
    <w:rsid w:val="0025796E"/>
    <w:rsid w:val="002707A2"/>
    <w:rsid w:val="002951A0"/>
    <w:rsid w:val="002962BC"/>
    <w:rsid w:val="002A093D"/>
    <w:rsid w:val="002A0DD0"/>
    <w:rsid w:val="002A49AC"/>
    <w:rsid w:val="002A64FD"/>
    <w:rsid w:val="002C7A84"/>
    <w:rsid w:val="002E4FD9"/>
    <w:rsid w:val="00322A85"/>
    <w:rsid w:val="00324168"/>
    <w:rsid w:val="003448F4"/>
    <w:rsid w:val="00362C2A"/>
    <w:rsid w:val="00374F5E"/>
    <w:rsid w:val="00377E3E"/>
    <w:rsid w:val="003A47CE"/>
    <w:rsid w:val="003A779E"/>
    <w:rsid w:val="003D0F4D"/>
    <w:rsid w:val="003D5B0D"/>
    <w:rsid w:val="003E0499"/>
    <w:rsid w:val="003E0646"/>
    <w:rsid w:val="003E67EB"/>
    <w:rsid w:val="003F3941"/>
    <w:rsid w:val="00406575"/>
    <w:rsid w:val="00414C74"/>
    <w:rsid w:val="0042722E"/>
    <w:rsid w:val="0044528D"/>
    <w:rsid w:val="00460D52"/>
    <w:rsid w:val="00491BD5"/>
    <w:rsid w:val="00494D4E"/>
    <w:rsid w:val="004A1847"/>
    <w:rsid w:val="004A305D"/>
    <w:rsid w:val="004F21C4"/>
    <w:rsid w:val="004F685F"/>
    <w:rsid w:val="00547E81"/>
    <w:rsid w:val="005566E8"/>
    <w:rsid w:val="00574867"/>
    <w:rsid w:val="00591460"/>
    <w:rsid w:val="005C3777"/>
    <w:rsid w:val="005C5CDC"/>
    <w:rsid w:val="005D476C"/>
    <w:rsid w:val="006219F8"/>
    <w:rsid w:val="006302F7"/>
    <w:rsid w:val="00665D70"/>
    <w:rsid w:val="006900D9"/>
    <w:rsid w:val="006A760C"/>
    <w:rsid w:val="006A7C22"/>
    <w:rsid w:val="006C47F0"/>
    <w:rsid w:val="00706C16"/>
    <w:rsid w:val="00756841"/>
    <w:rsid w:val="007649AB"/>
    <w:rsid w:val="00771D0C"/>
    <w:rsid w:val="007833AC"/>
    <w:rsid w:val="007B268C"/>
    <w:rsid w:val="007B7171"/>
    <w:rsid w:val="007C0C0F"/>
    <w:rsid w:val="007C3DC2"/>
    <w:rsid w:val="007E5497"/>
    <w:rsid w:val="007F23AD"/>
    <w:rsid w:val="00806F5F"/>
    <w:rsid w:val="008201E4"/>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774B6"/>
    <w:rsid w:val="00991335"/>
    <w:rsid w:val="009A0DFA"/>
    <w:rsid w:val="009B25A8"/>
    <w:rsid w:val="009B2D26"/>
    <w:rsid w:val="009C71FA"/>
    <w:rsid w:val="009C72E7"/>
    <w:rsid w:val="009D3058"/>
    <w:rsid w:val="009F3A13"/>
    <w:rsid w:val="00A122D3"/>
    <w:rsid w:val="00A17F13"/>
    <w:rsid w:val="00A20739"/>
    <w:rsid w:val="00A2355F"/>
    <w:rsid w:val="00A268DB"/>
    <w:rsid w:val="00A33C78"/>
    <w:rsid w:val="00AA11C6"/>
    <w:rsid w:val="00AB0ADB"/>
    <w:rsid w:val="00B00C0E"/>
    <w:rsid w:val="00B01B1A"/>
    <w:rsid w:val="00B417EB"/>
    <w:rsid w:val="00B44A47"/>
    <w:rsid w:val="00B46652"/>
    <w:rsid w:val="00B72CD3"/>
    <w:rsid w:val="00B72FFF"/>
    <w:rsid w:val="00BC3D36"/>
    <w:rsid w:val="00BD7F72"/>
    <w:rsid w:val="00C04FB3"/>
    <w:rsid w:val="00C330EB"/>
    <w:rsid w:val="00C65E95"/>
    <w:rsid w:val="00C754BE"/>
    <w:rsid w:val="00C76B1C"/>
    <w:rsid w:val="00C9456F"/>
    <w:rsid w:val="00CB6357"/>
    <w:rsid w:val="00CC1B26"/>
    <w:rsid w:val="00CC3264"/>
    <w:rsid w:val="00CD37C5"/>
    <w:rsid w:val="00D423A2"/>
    <w:rsid w:val="00D520D8"/>
    <w:rsid w:val="00D63AC2"/>
    <w:rsid w:val="00D7383B"/>
    <w:rsid w:val="00DA231B"/>
    <w:rsid w:val="00DC228E"/>
    <w:rsid w:val="00DC39FC"/>
    <w:rsid w:val="00DF5254"/>
    <w:rsid w:val="00E16408"/>
    <w:rsid w:val="00E20894"/>
    <w:rsid w:val="00E245AB"/>
    <w:rsid w:val="00E2764C"/>
    <w:rsid w:val="00E27F2E"/>
    <w:rsid w:val="00E50AFE"/>
    <w:rsid w:val="00E61075"/>
    <w:rsid w:val="00E75C92"/>
    <w:rsid w:val="00E771DC"/>
    <w:rsid w:val="00E8772A"/>
    <w:rsid w:val="00E90F6B"/>
    <w:rsid w:val="00E92C27"/>
    <w:rsid w:val="00E930E2"/>
    <w:rsid w:val="00EA0E3D"/>
    <w:rsid w:val="00EC38A7"/>
    <w:rsid w:val="00EE1AA8"/>
    <w:rsid w:val="00F31EDC"/>
    <w:rsid w:val="00F462B3"/>
    <w:rsid w:val="00F5664F"/>
    <w:rsid w:val="00F666C4"/>
    <w:rsid w:val="00F76AFC"/>
    <w:rsid w:val="00FA47C0"/>
    <w:rsid w:val="00FB5DD1"/>
    <w:rsid w:val="00FC2B5D"/>
    <w:rsid w:val="00FF1449"/>
    <w:rsid w:val="4A53AE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87A4CA4-2590-B44A-AE4B-39D2FC08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6107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73D0D2D7-9522-4991-8841-1D17990B9D5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14</Pages>
  <Words>4604</Words>
  <Characters>25328</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29873</CharactersWithSpaces>
  <SharedDoc>false</SharedDoc>
  <HLinks>
    <vt:vector size="42" baseType="variant">
      <vt:variant>
        <vt:i4>7733301</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vt:lpwstr>
      </vt:variant>
      <vt:variant>
        <vt:lpwstr/>
      </vt:variant>
      <vt:variant>
        <vt:i4>2162739</vt:i4>
      </vt:variant>
      <vt:variant>
        <vt:i4>6</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7929951</vt:i4>
      </vt:variant>
      <vt:variant>
        <vt:i4>0</vt:i4>
      </vt:variant>
      <vt:variant>
        <vt:i4>0</vt:i4>
      </vt:variant>
      <vt:variant>
        <vt:i4>5</vt:i4>
      </vt:variant>
      <vt:variant>
        <vt:lpwstr>mailto:elizaforestal@gmail.com</vt:lpwstr>
      </vt:variant>
      <vt:variant>
        <vt:lpwstr/>
      </vt:variant>
      <vt:variant>
        <vt:i4>2424940</vt:i4>
      </vt:variant>
      <vt:variant>
        <vt:i4>6</vt:i4>
      </vt:variant>
      <vt:variant>
        <vt:i4>0</vt:i4>
      </vt:variant>
      <vt:variant>
        <vt:i4>5</vt:i4>
      </vt:variant>
      <vt:variant>
        <vt:lpwstr>https://www.colombiacompra.gov.co/circulares?page=2</vt:lpwstr>
      </vt:variant>
      <vt:variant>
        <vt:lpwstr/>
      </vt:variant>
      <vt:variant>
        <vt:i4>6225932</vt:i4>
      </vt:variant>
      <vt:variant>
        <vt:i4>3</vt:i4>
      </vt:variant>
      <vt:variant>
        <vt:i4>0</vt:i4>
      </vt:variant>
      <vt:variant>
        <vt:i4>5</vt:i4>
      </vt:variant>
      <vt:variant>
        <vt:lpwstr>https://relatoria.colombiacompra.gov.co/conceptos/c-447-de-2024/</vt:lpwstr>
      </vt:variant>
      <vt:variant>
        <vt:lpwstr/>
      </vt:variant>
      <vt:variant>
        <vt:i4>5439502</vt:i4>
      </vt:variant>
      <vt:variant>
        <vt:i4>0</vt:i4>
      </vt:variant>
      <vt:variant>
        <vt:i4>0</vt:i4>
      </vt:variant>
      <vt:variant>
        <vt:i4>5</vt:i4>
      </vt:variant>
      <vt:variant>
        <vt:lpwstr>https://relatoria.colombiacompra.gov.co/conceptos/c-285-de-2022/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2025-10-09T14:38:00Z</dcterms:created>
  <dcterms:modified xsi:type="dcterms:W3CDTF">2025-10-09T14:44:00Z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