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1C4B7" w14:textId="77777777" w:rsidR="00D56237" w:rsidRPr="00D56237" w:rsidRDefault="00D56237" w:rsidP="00D56237">
      <w:pPr>
        <w:spacing w:after="0"/>
        <w:jc w:val="both"/>
        <w:rPr>
          <w:rFonts w:ascii="Verdana" w:eastAsia="Calibri" w:hAnsi="Verdana" w:cs="Times New Roman"/>
        </w:rPr>
      </w:pPr>
      <w:bookmarkStart w:id="0" w:name="_Hlk143780582"/>
      <w:r w:rsidRPr="00D56237">
        <w:rPr>
          <w:rFonts w:ascii="Verdana" w:eastAsia="Aptos" w:hAnsi="Verdana" w:cs="Arial"/>
          <w:b/>
          <w:bCs/>
          <w:kern w:val="2"/>
          <w:lang w:val="es-MX"/>
          <w14:ligatures w14:val="standardContextual"/>
        </w:rPr>
        <w:t>EXPERIENCIA – Concepto – Documentos Tipo</w:t>
      </w:r>
    </w:p>
    <w:p w14:paraId="24F48590" w14:textId="77777777" w:rsidR="00D56237" w:rsidRPr="00D56237" w:rsidRDefault="00D56237" w:rsidP="00D56237">
      <w:pPr>
        <w:snapToGrid w:val="0"/>
        <w:spacing w:after="0" w:line="276" w:lineRule="auto"/>
        <w:jc w:val="both"/>
        <w:rPr>
          <w:rFonts w:ascii="Verdana" w:eastAsia="Aptos" w:hAnsi="Verdana" w:cs="Arial"/>
          <w:b/>
          <w:bCs/>
          <w:kern w:val="2"/>
          <w:lang w:val="es-MX"/>
          <w14:ligatures w14:val="standardContextual"/>
        </w:rPr>
      </w:pPr>
    </w:p>
    <w:p w14:paraId="53B49A10" w14:textId="384830B4" w:rsidR="00D56237" w:rsidRPr="00D56237" w:rsidRDefault="00C12CCE" w:rsidP="00D56237">
      <w:pPr>
        <w:snapToGrid w:val="0"/>
        <w:spacing w:after="0" w:line="240" w:lineRule="auto"/>
        <w:jc w:val="both"/>
        <w:rPr>
          <w:rFonts w:ascii="Verdana" w:eastAsia="Aptos" w:hAnsi="Verdana" w:cs="Times New Roman"/>
          <w:kern w:val="2"/>
          <w:sz w:val="20"/>
          <w:szCs w:val="20"/>
          <w:lang w:val="es-ES"/>
          <w14:ligatures w14:val="standardContextual"/>
        </w:rPr>
      </w:pPr>
      <w:r w:rsidRPr="00C12CCE">
        <w:rPr>
          <w:rFonts w:ascii="Verdana" w:eastAsia="Aptos" w:hAnsi="Verdana" w:cs="Times New Roman"/>
          <w:kern w:val="2"/>
          <w:sz w:val="20"/>
          <w:szCs w:val="20"/>
          <w:lang w:val="es-ES"/>
          <w14:ligatures w14:val="standardContextual"/>
        </w:rPr>
        <w:t>La experiencia que se deriva de los contratos que el proponente ha celebrado y ejecutado con diferentes contratantes, sin importar la naturaleza de estos, se verifica con el Registro Único de Proponentes –RUP–, cuando este certificado sea exigible de acuerdo con la ley. En el RUP constan los requisitos habilitantes que se evalúan exclusivamente con este documento, que es su plena prueba, sin que la entidad o el proponente puedan solicitar o aportar otra documentación.</w:t>
      </w:r>
    </w:p>
    <w:p w14:paraId="52872CDB" w14:textId="77777777" w:rsidR="00D56237" w:rsidRPr="00D56237" w:rsidRDefault="00D56237" w:rsidP="00D56237">
      <w:pPr>
        <w:snapToGrid w:val="0"/>
        <w:spacing w:after="0" w:line="276" w:lineRule="auto"/>
        <w:jc w:val="both"/>
        <w:rPr>
          <w:rFonts w:ascii="Verdana" w:eastAsia="Aptos" w:hAnsi="Verdana" w:cs="Arial"/>
          <w:b/>
          <w:bCs/>
          <w:kern w:val="2"/>
          <w:lang w:val="es-MX"/>
          <w14:ligatures w14:val="standardContextual"/>
        </w:rPr>
      </w:pPr>
    </w:p>
    <w:p w14:paraId="26D0AD9E" w14:textId="77777777" w:rsidR="00D56237" w:rsidRPr="00D56237" w:rsidRDefault="00D56237" w:rsidP="00D56237">
      <w:pPr>
        <w:snapToGrid w:val="0"/>
        <w:spacing w:after="0" w:line="276" w:lineRule="auto"/>
        <w:jc w:val="both"/>
        <w:rPr>
          <w:rFonts w:ascii="Verdana" w:eastAsia="Aptos" w:hAnsi="Verdana" w:cs="Arial"/>
          <w:b/>
          <w:bCs/>
          <w:kern w:val="2"/>
          <w:lang w:val="es-MX"/>
          <w14:ligatures w14:val="standardContextual"/>
        </w:rPr>
      </w:pPr>
      <w:r w:rsidRPr="00D56237">
        <w:rPr>
          <w:rFonts w:ascii="Verdana" w:eastAsia="Aptos" w:hAnsi="Verdana" w:cs="Arial"/>
          <w:b/>
          <w:bCs/>
          <w:kern w:val="2"/>
          <w:lang w:val="es-MX"/>
          <w14:ligatures w14:val="standardContextual"/>
        </w:rPr>
        <w:t>DOCUMENTOS TIPO – Infraestructura de agua potable y saneamiento básico – Matriz 1 – Acreditación de la experiencia</w:t>
      </w:r>
    </w:p>
    <w:p w14:paraId="2EA15AFE" w14:textId="77777777" w:rsidR="00D56237" w:rsidRPr="00D56237" w:rsidRDefault="00D56237" w:rsidP="00D56237">
      <w:pPr>
        <w:snapToGrid w:val="0"/>
        <w:spacing w:after="0" w:line="276" w:lineRule="auto"/>
        <w:jc w:val="both"/>
        <w:rPr>
          <w:rFonts w:ascii="Verdana" w:eastAsia="Aptos" w:hAnsi="Verdana" w:cs="Arial"/>
          <w:b/>
          <w:bCs/>
          <w:kern w:val="2"/>
          <w:lang w:val="es-MX"/>
          <w14:ligatures w14:val="standardContextual"/>
        </w:rPr>
      </w:pPr>
    </w:p>
    <w:p w14:paraId="7B715BD9" w14:textId="2C6D846E" w:rsidR="00C001DB" w:rsidRDefault="00C001DB" w:rsidP="00C001DB">
      <w:pPr>
        <w:snapToGrid w:val="0"/>
        <w:spacing w:after="0" w:line="240" w:lineRule="auto"/>
        <w:jc w:val="both"/>
        <w:rPr>
          <w:rFonts w:ascii="Verdana" w:eastAsia="Aptos" w:hAnsi="Verdana" w:cs="Arial"/>
          <w:kern w:val="2"/>
          <w:sz w:val="20"/>
          <w:szCs w:val="20"/>
          <w:lang w:val="es-MX"/>
          <w14:ligatures w14:val="standardContextual"/>
        </w:rPr>
      </w:pPr>
      <w:r w:rsidRPr="00C001DB">
        <w:rPr>
          <w:rFonts w:ascii="Verdana" w:eastAsia="Aptos" w:hAnsi="Verdana" w:cs="Arial"/>
          <w:kern w:val="2"/>
          <w:sz w:val="20"/>
          <w:szCs w:val="20"/>
          <w:lang w:val="es-MX"/>
          <w14:ligatures w14:val="standardContextual"/>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w:t>
      </w:r>
      <w:proofErr w:type="spellStart"/>
      <w:r w:rsidRPr="00C001DB">
        <w:rPr>
          <w:rFonts w:ascii="Verdana" w:eastAsia="Aptos" w:hAnsi="Verdana" w:cs="Arial"/>
          <w:kern w:val="2"/>
          <w:sz w:val="20"/>
          <w:szCs w:val="20"/>
          <w:lang w:val="es-MX"/>
          <w14:ligatures w14:val="standardContextual"/>
        </w:rPr>
        <w:t>ii</w:t>
      </w:r>
      <w:proofErr w:type="spellEnd"/>
      <w:r w:rsidRPr="00C001DB">
        <w:rPr>
          <w:rFonts w:ascii="Verdana" w:eastAsia="Aptos" w:hAnsi="Verdana" w:cs="Arial"/>
          <w:kern w:val="2"/>
          <w:sz w:val="20"/>
          <w:szCs w:val="20"/>
          <w:lang w:val="es-MX"/>
          <w14:ligatures w14:val="standardContextual"/>
        </w:rPr>
        <w:t xml:space="preserve">) la actividad a contratar y </w:t>
      </w:r>
      <w:proofErr w:type="spellStart"/>
      <w:r w:rsidRPr="00C001DB">
        <w:rPr>
          <w:rFonts w:ascii="Verdana" w:eastAsia="Aptos" w:hAnsi="Verdana" w:cs="Arial"/>
          <w:kern w:val="2"/>
          <w:sz w:val="20"/>
          <w:szCs w:val="20"/>
          <w:lang w:val="es-MX"/>
          <w14:ligatures w14:val="standardContextual"/>
        </w:rPr>
        <w:t>iii</w:t>
      </w:r>
      <w:proofErr w:type="spellEnd"/>
      <w:r w:rsidRPr="00C001DB">
        <w:rPr>
          <w:rFonts w:ascii="Verdana" w:eastAsia="Aptos" w:hAnsi="Verdana" w:cs="Arial"/>
          <w:kern w:val="2"/>
          <w:sz w:val="20"/>
          <w:szCs w:val="20"/>
          <w:lang w:val="es-MX"/>
          <w14:ligatures w14:val="standardContextual"/>
        </w:rPr>
        <w:t>) la cuantía del proceso de contratación.</w:t>
      </w:r>
    </w:p>
    <w:p w14:paraId="06B43CBA" w14:textId="77777777" w:rsidR="00C001DB" w:rsidRPr="00C001DB" w:rsidRDefault="00C001DB" w:rsidP="00C001DB">
      <w:pPr>
        <w:snapToGrid w:val="0"/>
        <w:spacing w:after="0" w:line="240" w:lineRule="auto"/>
        <w:jc w:val="both"/>
        <w:rPr>
          <w:rFonts w:ascii="Verdana" w:eastAsia="Aptos" w:hAnsi="Verdana" w:cs="Arial"/>
          <w:kern w:val="2"/>
          <w:sz w:val="20"/>
          <w:szCs w:val="20"/>
          <w:lang w:val="es-MX"/>
          <w14:ligatures w14:val="standardContextual"/>
        </w:rPr>
      </w:pPr>
    </w:p>
    <w:p w14:paraId="46DD7DDB" w14:textId="77777777" w:rsidR="00C001DB" w:rsidRDefault="00C001DB" w:rsidP="00C001DB">
      <w:pPr>
        <w:snapToGrid w:val="0"/>
        <w:spacing w:after="0" w:line="240" w:lineRule="auto"/>
        <w:jc w:val="both"/>
        <w:rPr>
          <w:rFonts w:ascii="Verdana" w:eastAsia="Aptos" w:hAnsi="Verdana" w:cs="Arial"/>
          <w:kern w:val="2"/>
          <w:sz w:val="20"/>
          <w:szCs w:val="20"/>
          <w:lang w:val="es-MX"/>
          <w14:ligatures w14:val="standardContextual"/>
        </w:rPr>
      </w:pPr>
      <w:r w:rsidRPr="00C001DB">
        <w:rPr>
          <w:rFonts w:ascii="Verdana" w:eastAsia="Aptos" w:hAnsi="Verdana" w:cs="Arial"/>
          <w:kern w:val="2"/>
          <w:sz w:val="20"/>
          <w:szCs w:val="20"/>
          <w:lang w:val="es-MX"/>
          <w14:ligatures w14:val="standardContextual"/>
        </w:rPr>
        <w:t xml:space="preserve">La “Matriz 1 – Experiencia” del sector de agua potable y saneamiento básico está constituida por siete (7) tipos de obras de infraestructura, a saber: 1) obras de acueductos; 2) obras de alcantarillado –sanitarios y/o pluviales y/o combinados–;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 </w:t>
      </w:r>
    </w:p>
    <w:p w14:paraId="0748519C" w14:textId="77777777" w:rsidR="00C001DB" w:rsidRPr="00C001DB" w:rsidRDefault="00C001DB" w:rsidP="00C001DB">
      <w:pPr>
        <w:snapToGrid w:val="0"/>
        <w:spacing w:after="0" w:line="240" w:lineRule="auto"/>
        <w:jc w:val="both"/>
        <w:rPr>
          <w:rFonts w:ascii="Verdana" w:eastAsia="Aptos" w:hAnsi="Verdana" w:cs="Arial"/>
          <w:kern w:val="2"/>
          <w:sz w:val="20"/>
          <w:szCs w:val="20"/>
          <w:lang w:val="es-MX"/>
          <w14:ligatures w14:val="standardContextual"/>
        </w:rPr>
      </w:pPr>
    </w:p>
    <w:p w14:paraId="1437D7CA" w14:textId="3A32154C" w:rsidR="00D56237" w:rsidRPr="00D56237" w:rsidRDefault="00C001DB" w:rsidP="00C001DB">
      <w:pPr>
        <w:snapToGrid w:val="0"/>
        <w:spacing w:after="0" w:line="240" w:lineRule="auto"/>
        <w:jc w:val="both"/>
        <w:rPr>
          <w:rFonts w:ascii="Verdana" w:eastAsia="Aptos" w:hAnsi="Verdana" w:cs="Arial"/>
          <w:kern w:val="2"/>
          <w:sz w:val="20"/>
          <w:szCs w:val="20"/>
          <w:lang w:val="es-MX"/>
          <w14:ligatures w14:val="standardContextual"/>
        </w:rPr>
      </w:pPr>
      <w:r w:rsidRPr="00C001DB">
        <w:rPr>
          <w:rFonts w:ascii="Verdana" w:eastAsia="Aptos" w:hAnsi="Verdana" w:cs="Arial"/>
          <w:kern w:val="2"/>
          <w:sz w:val="20"/>
          <w:szCs w:val="20"/>
          <w:lang w:val="es-MX"/>
          <w14:ligatures w14:val="standardContextual"/>
        </w:rPr>
        <w:t>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w:t>
      </w:r>
    </w:p>
    <w:p w14:paraId="3D5E2D7C" w14:textId="77777777" w:rsidR="00D56237" w:rsidRPr="00D56237" w:rsidRDefault="00D56237" w:rsidP="00D56237">
      <w:pPr>
        <w:spacing w:after="0" w:line="240" w:lineRule="auto"/>
        <w:jc w:val="both"/>
        <w:rPr>
          <w:rFonts w:ascii="Verdana" w:eastAsia="Calibri" w:hAnsi="Verdana" w:cs="Times New Roman"/>
        </w:rPr>
      </w:pPr>
    </w:p>
    <w:p w14:paraId="6103C45D" w14:textId="77777777" w:rsidR="00D56237" w:rsidRPr="00D56237" w:rsidRDefault="00D56237" w:rsidP="00D56237">
      <w:pPr>
        <w:spacing w:after="0" w:line="240" w:lineRule="auto"/>
        <w:jc w:val="both"/>
        <w:rPr>
          <w:rFonts w:ascii="Verdana" w:eastAsia="Calibri" w:hAnsi="Verdana" w:cs="Times New Roman"/>
        </w:rPr>
      </w:pPr>
    </w:p>
    <w:p w14:paraId="68910736" w14:textId="77777777" w:rsidR="00D56237" w:rsidRPr="00D56237" w:rsidRDefault="00D56237" w:rsidP="00D56237">
      <w:pPr>
        <w:spacing w:after="0" w:line="240" w:lineRule="auto"/>
        <w:jc w:val="both"/>
        <w:rPr>
          <w:rFonts w:ascii="Verdana" w:eastAsia="Calibri" w:hAnsi="Verdana" w:cs="Times New Roman"/>
        </w:rPr>
      </w:pPr>
    </w:p>
    <w:p w14:paraId="1ECEA43F" w14:textId="77777777" w:rsidR="00D56237" w:rsidRPr="00D56237" w:rsidRDefault="00D56237" w:rsidP="00D56237">
      <w:pPr>
        <w:spacing w:after="0" w:line="240" w:lineRule="auto"/>
        <w:jc w:val="both"/>
        <w:rPr>
          <w:rFonts w:ascii="Verdana" w:eastAsia="Calibri" w:hAnsi="Verdana" w:cs="Times New Roman"/>
        </w:rPr>
      </w:pPr>
    </w:p>
    <w:p w14:paraId="787FC180" w14:textId="77777777" w:rsidR="00D56237" w:rsidRPr="00D56237" w:rsidRDefault="00D56237" w:rsidP="00D56237">
      <w:pPr>
        <w:spacing w:after="0" w:line="240" w:lineRule="auto"/>
        <w:jc w:val="both"/>
        <w:rPr>
          <w:rFonts w:ascii="Verdana" w:eastAsia="Calibri" w:hAnsi="Verdana" w:cs="Times New Roman"/>
        </w:rPr>
      </w:pPr>
    </w:p>
    <w:p w14:paraId="582F49AE" w14:textId="77777777" w:rsidR="00D56237" w:rsidRPr="00D56237" w:rsidRDefault="00D56237" w:rsidP="00D56237">
      <w:pPr>
        <w:spacing w:after="0" w:line="240" w:lineRule="auto"/>
        <w:jc w:val="both"/>
        <w:rPr>
          <w:rFonts w:ascii="Verdana" w:eastAsia="Calibri" w:hAnsi="Verdana" w:cs="Times New Roman"/>
        </w:rPr>
      </w:pPr>
    </w:p>
    <w:p w14:paraId="292A6D8E" w14:textId="77777777" w:rsidR="00D56237" w:rsidRPr="00D56237" w:rsidRDefault="00D56237" w:rsidP="00D56237">
      <w:pPr>
        <w:spacing w:after="0" w:line="240" w:lineRule="auto"/>
        <w:jc w:val="both"/>
        <w:rPr>
          <w:rFonts w:ascii="Verdana" w:eastAsia="Calibri" w:hAnsi="Verdana" w:cs="Times New Roman"/>
        </w:rPr>
      </w:pPr>
    </w:p>
    <w:p w14:paraId="5BB9B627" w14:textId="77777777" w:rsidR="00D56237" w:rsidRPr="00D56237" w:rsidRDefault="00D56237" w:rsidP="00D56237">
      <w:pPr>
        <w:spacing w:after="0" w:line="240" w:lineRule="auto"/>
        <w:jc w:val="both"/>
        <w:rPr>
          <w:rFonts w:ascii="Verdana" w:eastAsia="Calibri" w:hAnsi="Verdana" w:cs="Times New Roman"/>
        </w:rPr>
      </w:pPr>
    </w:p>
    <w:p w14:paraId="7E8DE0A3" w14:textId="77777777" w:rsidR="00D56237" w:rsidRPr="00D56237" w:rsidRDefault="00D56237" w:rsidP="00D56237">
      <w:pPr>
        <w:spacing w:after="0" w:line="240" w:lineRule="auto"/>
        <w:jc w:val="both"/>
        <w:rPr>
          <w:rFonts w:ascii="Verdana" w:eastAsia="Calibri" w:hAnsi="Verdana" w:cs="Times New Roman"/>
        </w:rPr>
      </w:pPr>
    </w:p>
    <w:p w14:paraId="564A6FAA" w14:textId="7B3A8105" w:rsidR="000F5928" w:rsidRDefault="00D56237" w:rsidP="00D56237">
      <w:pPr>
        <w:spacing w:after="0"/>
        <w:rPr>
          <w:rFonts w:ascii="Verdana" w:hAnsi="Verdana"/>
        </w:rPr>
      </w:pPr>
      <w:r w:rsidRPr="0044528D">
        <w:rPr>
          <w:rFonts w:ascii="Verdana" w:hAnsi="Verdana"/>
        </w:rPr>
        <w:lastRenderedPageBreak/>
        <w:t>Bogotá D.C.,</w:t>
      </w:r>
      <w:r w:rsidRPr="0044528D">
        <w:rPr>
          <w:rFonts w:ascii="Verdana" w:hAnsi="Verdana"/>
        </w:rPr>
        <w:tab/>
      </w:r>
      <w:r w:rsidR="000F5928">
        <w:rPr>
          <w:rFonts w:ascii="Verdana" w:hAnsi="Verdana"/>
        </w:rPr>
        <w:t xml:space="preserve"> </w:t>
      </w:r>
      <w:r w:rsidR="00A33B88">
        <w:rPr>
          <w:rFonts w:ascii="Verdana" w:hAnsi="Verdana"/>
        </w:rPr>
        <w:t>0</w:t>
      </w:r>
      <w:r w:rsidR="001B4F7D">
        <w:rPr>
          <w:rFonts w:ascii="Verdana" w:hAnsi="Verdana"/>
        </w:rPr>
        <w:t>8</w:t>
      </w:r>
      <w:r w:rsidR="00A33B88">
        <w:rPr>
          <w:rFonts w:ascii="Verdana" w:hAnsi="Verdana"/>
        </w:rPr>
        <w:t xml:space="preserve"> de octubre de</w:t>
      </w:r>
      <w:r w:rsidR="000F5928">
        <w:rPr>
          <w:rFonts w:ascii="Verdana" w:hAnsi="Verdana"/>
        </w:rPr>
        <w:t xml:space="preserve"> 2025</w:t>
      </w:r>
    </w:p>
    <w:p w14:paraId="23EFD1B1" w14:textId="00624DAC" w:rsidR="00D56237" w:rsidRPr="00D56237" w:rsidRDefault="00D56237" w:rsidP="00D56237">
      <w:pPr>
        <w:spacing w:after="0"/>
        <w:rPr>
          <w:rFonts w:ascii="Verdana" w:hAnsi="Verdana"/>
        </w:rPr>
      </w:pPr>
      <w:r w:rsidRPr="00D56237">
        <w:rPr>
          <w:rFonts w:ascii="Verdana" w:eastAsia="Calibri" w:hAnsi="Verdana" w:cs="Times New Roman"/>
        </w:rPr>
        <w:tab/>
      </w:r>
    </w:p>
    <w:p w14:paraId="7F4768A6" w14:textId="5E83C32C" w:rsidR="00D56237" w:rsidRPr="00D56237" w:rsidRDefault="001B4F7D" w:rsidP="001B4F7D">
      <w:pPr>
        <w:spacing w:after="0" w:line="240" w:lineRule="auto"/>
        <w:ind w:left="4956"/>
        <w:rPr>
          <w:rFonts w:ascii="Verdana" w:eastAsia="Calibri" w:hAnsi="Verdana" w:cs="Arial"/>
          <w:lang w:val="es-ES"/>
        </w:rPr>
      </w:pPr>
      <w:r>
        <w:rPr>
          <w:noProof/>
        </w:rPr>
        <w:drawing>
          <wp:inline distT="0" distB="0" distL="0" distR="0" wp14:anchorId="7FE368BD" wp14:editId="5236213B">
            <wp:extent cx="2295525" cy="638175"/>
            <wp:effectExtent l="0" t="0" r="9525" b="9525"/>
            <wp:docPr id="4345989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98963" name=""/>
                    <pic:cNvPicPr/>
                  </pic:nvPicPr>
                  <pic:blipFill>
                    <a:blip r:embed="rId10"/>
                    <a:stretch>
                      <a:fillRect/>
                    </a:stretch>
                  </pic:blipFill>
                  <pic:spPr>
                    <a:xfrm>
                      <a:off x="0" y="0"/>
                      <a:ext cx="2295525" cy="638175"/>
                    </a:xfrm>
                    <a:prstGeom prst="rect">
                      <a:avLst/>
                    </a:prstGeom>
                  </pic:spPr>
                </pic:pic>
              </a:graphicData>
            </a:graphic>
          </wp:inline>
        </w:drawing>
      </w:r>
    </w:p>
    <w:p w14:paraId="7186B23F" w14:textId="13F38D12" w:rsidR="00D56237" w:rsidRPr="00D56237" w:rsidRDefault="00D56237" w:rsidP="00D56237">
      <w:pPr>
        <w:spacing w:after="0" w:line="240" w:lineRule="auto"/>
        <w:jc w:val="both"/>
        <w:rPr>
          <w:rFonts w:ascii="Verdana" w:eastAsia="Calibri" w:hAnsi="Verdana" w:cs="Arial"/>
          <w:lang w:val="es-ES" w:eastAsia="es-ES"/>
        </w:rPr>
      </w:pPr>
      <w:r w:rsidRPr="00D56237">
        <w:rPr>
          <w:rFonts w:ascii="Verdana" w:eastAsia="Calibri" w:hAnsi="Verdana" w:cs="Arial"/>
          <w:lang w:val="es-ES" w:eastAsia="es-ES"/>
        </w:rPr>
        <w:t>Señor</w:t>
      </w:r>
    </w:p>
    <w:p w14:paraId="57710429" w14:textId="304B69D7" w:rsidR="00D56237" w:rsidRDefault="00A33B88" w:rsidP="00D56237">
      <w:pPr>
        <w:spacing w:after="0" w:line="240" w:lineRule="auto"/>
        <w:rPr>
          <w:rFonts w:ascii="Verdana" w:eastAsia="Calibri" w:hAnsi="Verdana" w:cs="Arial"/>
          <w:b/>
          <w:lang w:val="es-ES_tradnl" w:eastAsia="es-ES_tradnl"/>
        </w:rPr>
      </w:pPr>
      <w:r w:rsidRPr="00A33B88">
        <w:rPr>
          <w:rFonts w:ascii="Verdana" w:eastAsia="Calibri" w:hAnsi="Verdana" w:cs="Arial"/>
          <w:b/>
          <w:lang w:val="es-ES_tradnl" w:eastAsia="es-ES_tradnl"/>
        </w:rPr>
        <w:t>Juan Felipe Bonilla Quintana</w:t>
      </w:r>
    </w:p>
    <w:p w14:paraId="15F6BFF3" w14:textId="528B074C" w:rsidR="00A33B88" w:rsidRDefault="00A33B88" w:rsidP="00D56237">
      <w:pPr>
        <w:spacing w:after="0" w:line="240" w:lineRule="auto"/>
        <w:rPr>
          <w:rFonts w:ascii="Verdana" w:eastAsia="Calibri" w:hAnsi="Verdana" w:cs="Arial"/>
          <w:b/>
          <w:lang w:val="es-ES_tradnl" w:eastAsia="es-ES_tradnl"/>
        </w:rPr>
      </w:pPr>
      <w:hyperlink r:id="rId11" w:history="1">
        <w:r w:rsidRPr="00304DE8">
          <w:rPr>
            <w:rStyle w:val="Hipervnculo"/>
            <w:rFonts w:ascii="Verdana" w:eastAsia="Calibri" w:hAnsi="Verdana" w:cs="Arial"/>
            <w:b/>
            <w:lang w:val="es-ES_tradnl" w:eastAsia="es-ES_tradnl"/>
          </w:rPr>
          <w:t>jfelipebonilla@gmail.com</w:t>
        </w:r>
      </w:hyperlink>
    </w:p>
    <w:p w14:paraId="25B97AAE" w14:textId="5C66B8B8" w:rsidR="00D56237" w:rsidRPr="00D56237" w:rsidRDefault="00A33B88" w:rsidP="00D56237">
      <w:pPr>
        <w:spacing w:after="0" w:line="240" w:lineRule="auto"/>
        <w:rPr>
          <w:rFonts w:ascii="Verdana" w:eastAsia="Calibri" w:hAnsi="Verdana" w:cs="Arial"/>
          <w:b/>
          <w:bCs/>
          <w:lang w:val="es-ES_tradnl" w:eastAsia="es-ES_tradnl"/>
        </w:rPr>
      </w:pPr>
      <w:r>
        <w:rPr>
          <w:rFonts w:ascii="Verdana" w:eastAsia="Calibri" w:hAnsi="Verdana" w:cs="Arial"/>
          <w:bCs/>
          <w:lang w:val="es-ES_tradnl" w:eastAsia="es-ES_tradnl"/>
        </w:rPr>
        <w:t>Popayán</w:t>
      </w:r>
      <w:r w:rsidR="00D56237" w:rsidRPr="00D56237">
        <w:rPr>
          <w:rFonts w:ascii="Verdana" w:eastAsia="Calibri" w:hAnsi="Verdana" w:cs="Arial"/>
          <w:bCs/>
          <w:lang w:val="es-ES_tradnl" w:eastAsia="es-ES_tradnl"/>
        </w:rPr>
        <w:t xml:space="preserve">, </w:t>
      </w:r>
      <w:r>
        <w:rPr>
          <w:rFonts w:ascii="Verdana" w:eastAsia="Calibri" w:hAnsi="Verdana" w:cs="Arial"/>
          <w:bCs/>
          <w:lang w:val="es-ES_tradnl" w:eastAsia="es-ES_tradnl"/>
        </w:rPr>
        <w:t>Nariño</w:t>
      </w:r>
    </w:p>
    <w:p w14:paraId="57A41A42" w14:textId="77777777" w:rsidR="00D56237" w:rsidRPr="00D56237" w:rsidRDefault="00D56237" w:rsidP="00D5623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56237" w:rsidRPr="00D56237" w14:paraId="1DFDCB4C" w14:textId="77777777" w:rsidTr="00E873D5">
        <w:trPr>
          <w:trHeight w:val="884"/>
        </w:trPr>
        <w:tc>
          <w:tcPr>
            <w:tcW w:w="2689" w:type="dxa"/>
          </w:tcPr>
          <w:p w14:paraId="4D9046E5" w14:textId="77777777" w:rsidR="00D56237" w:rsidRPr="00D56237" w:rsidRDefault="00D56237" w:rsidP="00D56237">
            <w:pPr>
              <w:jc w:val="both"/>
              <w:rPr>
                <w:rFonts w:ascii="Verdana" w:eastAsia="Calibri" w:hAnsi="Verdana" w:cs="Arial"/>
                <w:b/>
                <w:bCs/>
                <w:lang w:val="es-ES_tradnl" w:eastAsia="es-ES_tradnl"/>
              </w:rPr>
            </w:pPr>
          </w:p>
        </w:tc>
        <w:tc>
          <w:tcPr>
            <w:tcW w:w="6100" w:type="dxa"/>
          </w:tcPr>
          <w:p w14:paraId="32FC8EC4" w14:textId="720F98E4" w:rsidR="00D56237" w:rsidRPr="00D56237" w:rsidRDefault="00D56237" w:rsidP="00D56237">
            <w:pPr>
              <w:jc w:val="both"/>
              <w:rPr>
                <w:rFonts w:ascii="Verdana" w:eastAsia="Calibri" w:hAnsi="Verdana" w:cs="Arial"/>
                <w:b/>
                <w:bCs/>
                <w:lang w:val="es-ES" w:eastAsia="es-ES"/>
              </w:rPr>
            </w:pPr>
            <w:r w:rsidRPr="00D56237">
              <w:rPr>
                <w:rFonts w:ascii="Verdana" w:eastAsia="Calibri" w:hAnsi="Verdana" w:cs="Arial"/>
                <w:b/>
                <w:bCs/>
                <w:lang w:val="es-ES" w:eastAsia="es-ES"/>
              </w:rPr>
              <w:t xml:space="preserve">Concepto C – </w:t>
            </w:r>
            <w:r w:rsidR="00A33B88">
              <w:rPr>
                <w:rFonts w:ascii="Verdana" w:eastAsia="Calibri" w:hAnsi="Verdana" w:cs="Arial"/>
                <w:b/>
                <w:bCs/>
                <w:lang w:val="es-ES" w:eastAsia="es-ES"/>
              </w:rPr>
              <w:t>1219</w:t>
            </w:r>
            <w:r w:rsidRPr="00D56237">
              <w:rPr>
                <w:rFonts w:ascii="Verdana" w:eastAsia="Calibri" w:hAnsi="Verdana" w:cs="Arial"/>
                <w:b/>
                <w:bCs/>
                <w:lang w:val="es-ES" w:eastAsia="es-ES"/>
              </w:rPr>
              <w:t xml:space="preserve"> de 2025</w:t>
            </w:r>
          </w:p>
        </w:tc>
      </w:tr>
      <w:tr w:rsidR="00D56237" w:rsidRPr="00D56237" w14:paraId="5E4DB33A" w14:textId="77777777" w:rsidTr="00E873D5">
        <w:trPr>
          <w:trHeight w:val="884"/>
        </w:trPr>
        <w:tc>
          <w:tcPr>
            <w:tcW w:w="2689" w:type="dxa"/>
          </w:tcPr>
          <w:p w14:paraId="2C6CF123" w14:textId="77777777" w:rsidR="00D56237" w:rsidRPr="00D56237" w:rsidRDefault="00D56237" w:rsidP="00D56237">
            <w:pPr>
              <w:jc w:val="both"/>
              <w:rPr>
                <w:rFonts w:ascii="Verdana" w:eastAsia="Calibri" w:hAnsi="Verdana" w:cs="Arial"/>
                <w:lang w:val="es-ES_tradnl" w:eastAsia="es-ES_tradnl"/>
              </w:rPr>
            </w:pPr>
            <w:r w:rsidRPr="00D56237">
              <w:rPr>
                <w:rFonts w:ascii="Verdana" w:eastAsia="Calibri" w:hAnsi="Verdana" w:cs="Arial"/>
                <w:b/>
                <w:lang w:val="es-ES_tradnl" w:eastAsia="es-ES_tradnl"/>
              </w:rPr>
              <w:t>Temas:</w:t>
            </w:r>
            <w:r w:rsidRPr="00D56237">
              <w:rPr>
                <w:rFonts w:ascii="Verdana" w:eastAsia="Calibri" w:hAnsi="Verdana" w:cs="Arial"/>
                <w:lang w:val="es-ES_tradnl" w:eastAsia="es-ES_tradnl"/>
              </w:rPr>
              <w:t xml:space="preserve">                   </w:t>
            </w:r>
          </w:p>
        </w:tc>
        <w:tc>
          <w:tcPr>
            <w:tcW w:w="6100" w:type="dxa"/>
          </w:tcPr>
          <w:p w14:paraId="6A6B8CFA" w14:textId="77777777" w:rsidR="00D56237" w:rsidRPr="00D56237" w:rsidRDefault="00D56237" w:rsidP="00D56237">
            <w:pPr>
              <w:snapToGrid w:val="0"/>
              <w:spacing w:line="276" w:lineRule="auto"/>
              <w:jc w:val="both"/>
              <w:rPr>
                <w:rFonts w:ascii="Verdana" w:eastAsia="Aptos" w:hAnsi="Verdana" w:cs="Arial"/>
                <w:lang w:val="es-MX"/>
              </w:rPr>
            </w:pPr>
            <w:r w:rsidRPr="00D56237">
              <w:rPr>
                <w:rFonts w:ascii="Verdana" w:eastAsia="Aptos" w:hAnsi="Verdana" w:cs="Arial"/>
                <w:lang w:val="es-MX"/>
              </w:rPr>
              <w:t>EXPERIENCIA – Concepto – Documentos Tipo / DOCUMENTOS TIPO – Infraestructura de agua potable y saneamiento básico – Matriz 1 – Acreditación de la experiencia</w:t>
            </w:r>
          </w:p>
          <w:p w14:paraId="3B0C34AD" w14:textId="77777777" w:rsidR="00D56237" w:rsidRPr="00D56237" w:rsidRDefault="00D56237" w:rsidP="00D56237">
            <w:pPr>
              <w:spacing w:line="276" w:lineRule="auto"/>
              <w:jc w:val="both"/>
              <w:rPr>
                <w:rFonts w:ascii="Verdana" w:eastAsia="Aptos" w:hAnsi="Verdana" w:cs="Arial"/>
                <w:b/>
                <w:bCs/>
                <w:lang w:val="es-MX"/>
              </w:rPr>
            </w:pPr>
          </w:p>
        </w:tc>
      </w:tr>
      <w:tr w:rsidR="00D56237" w:rsidRPr="00D56237" w14:paraId="4216C827" w14:textId="77777777" w:rsidTr="00E873D5">
        <w:tc>
          <w:tcPr>
            <w:tcW w:w="2689" w:type="dxa"/>
          </w:tcPr>
          <w:p w14:paraId="65E1A4DD" w14:textId="77777777" w:rsidR="00D56237" w:rsidRPr="00D56237" w:rsidRDefault="00D56237" w:rsidP="00D56237">
            <w:pPr>
              <w:jc w:val="both"/>
              <w:rPr>
                <w:rFonts w:ascii="Verdana" w:eastAsia="Calibri" w:hAnsi="Verdana" w:cs="Arial"/>
                <w:b/>
                <w:lang w:val="es-ES_tradnl" w:eastAsia="es-ES_tradnl"/>
              </w:rPr>
            </w:pPr>
            <w:r w:rsidRPr="00D56237">
              <w:rPr>
                <w:rFonts w:ascii="Verdana" w:eastAsia="Calibri" w:hAnsi="Verdana" w:cs="Arial"/>
                <w:b/>
                <w:lang w:val="es-ES_tradnl" w:eastAsia="es-ES_tradnl"/>
              </w:rPr>
              <w:t>Radicación:</w:t>
            </w:r>
            <w:r w:rsidRPr="00D56237">
              <w:rPr>
                <w:rFonts w:ascii="Verdana" w:eastAsia="Calibri" w:hAnsi="Verdana" w:cs="Arial"/>
                <w:lang w:val="es-ES_tradnl" w:eastAsia="es-ES_tradnl"/>
              </w:rPr>
              <w:t xml:space="preserve">               </w:t>
            </w:r>
          </w:p>
        </w:tc>
        <w:tc>
          <w:tcPr>
            <w:tcW w:w="6100" w:type="dxa"/>
          </w:tcPr>
          <w:p w14:paraId="1C7EA899" w14:textId="76E59764" w:rsidR="00D56237" w:rsidRPr="00D56237" w:rsidRDefault="00D56237" w:rsidP="00D56237">
            <w:pPr>
              <w:jc w:val="both"/>
              <w:rPr>
                <w:rFonts w:ascii="Verdana" w:eastAsia="Calibri" w:hAnsi="Verdana" w:cs="Arial"/>
                <w:lang w:val="es-ES_tradnl" w:eastAsia="es-ES_tradnl"/>
              </w:rPr>
            </w:pPr>
            <w:r w:rsidRPr="00D56237">
              <w:rPr>
                <w:rFonts w:ascii="Verdana" w:eastAsia="Calibri" w:hAnsi="Verdana" w:cs="Arial"/>
                <w:lang w:val="es-ES_tradnl" w:eastAsia="es-ES_tradnl"/>
              </w:rPr>
              <w:t xml:space="preserve">Respuesta a consulta con radicado No. </w:t>
            </w:r>
            <w:r w:rsidR="00A33B88" w:rsidRPr="00A33B88">
              <w:rPr>
                <w:rFonts w:ascii="Verdana" w:eastAsia="Calibri" w:hAnsi="Verdana" w:cs="Arial"/>
                <w:lang w:val="es-ES_tradnl" w:eastAsia="es-ES_tradnl"/>
              </w:rPr>
              <w:t>1_2025_08_28_009220</w:t>
            </w:r>
          </w:p>
        </w:tc>
      </w:tr>
    </w:tbl>
    <w:p w14:paraId="7F096073" w14:textId="77777777" w:rsidR="00D56237" w:rsidRPr="00D56237" w:rsidRDefault="00D56237" w:rsidP="00D56237">
      <w:pPr>
        <w:spacing w:after="0" w:line="240" w:lineRule="auto"/>
        <w:jc w:val="both"/>
        <w:rPr>
          <w:rFonts w:ascii="Verdana" w:eastAsia="Calibri" w:hAnsi="Verdana" w:cs="Arial"/>
          <w:lang w:val="es-ES_tradnl" w:eastAsia="es-ES_tradnl"/>
        </w:rPr>
      </w:pPr>
    </w:p>
    <w:p w14:paraId="25C60547" w14:textId="77777777" w:rsidR="00D56237" w:rsidRPr="00D56237" w:rsidRDefault="00D56237" w:rsidP="00D56237">
      <w:pPr>
        <w:spacing w:after="0" w:line="240" w:lineRule="auto"/>
        <w:jc w:val="both"/>
        <w:rPr>
          <w:rFonts w:ascii="Verdana" w:eastAsia="Calibri" w:hAnsi="Verdana" w:cs="Arial"/>
          <w:lang w:val="es-ES_tradnl" w:eastAsia="es-ES_tradnl"/>
        </w:rPr>
      </w:pPr>
    </w:p>
    <w:p w14:paraId="38C5450B" w14:textId="1A01C764" w:rsidR="00D56237" w:rsidRPr="00D56237" w:rsidRDefault="00D56237" w:rsidP="00D56237">
      <w:pPr>
        <w:spacing w:after="0" w:line="276" w:lineRule="auto"/>
        <w:jc w:val="both"/>
        <w:rPr>
          <w:rFonts w:ascii="Verdana" w:eastAsia="Calibri" w:hAnsi="Verdana" w:cs="Arial"/>
          <w:lang w:val="es-ES" w:eastAsia="es-ES"/>
        </w:rPr>
      </w:pPr>
      <w:r w:rsidRPr="00D56237">
        <w:rPr>
          <w:rFonts w:ascii="Verdana" w:eastAsia="Calibri" w:hAnsi="Verdana" w:cs="Arial"/>
          <w:lang w:val="es-ES" w:eastAsia="es-ES"/>
        </w:rPr>
        <w:t>Estimad</w:t>
      </w:r>
      <w:r w:rsidR="001B4F7D">
        <w:rPr>
          <w:rFonts w:ascii="Verdana" w:eastAsia="Calibri" w:hAnsi="Verdana" w:cs="Arial"/>
          <w:lang w:val="es-ES" w:eastAsia="es-ES"/>
        </w:rPr>
        <w:t>o</w:t>
      </w:r>
      <w:r w:rsidRPr="00D56237">
        <w:rPr>
          <w:rFonts w:ascii="Verdana" w:eastAsia="Calibri" w:hAnsi="Verdana" w:cs="Arial"/>
          <w:lang w:val="es-ES" w:eastAsia="es-ES"/>
        </w:rPr>
        <w:t xml:space="preserve"> señor </w:t>
      </w:r>
      <w:r w:rsidR="001B4F7D" w:rsidRPr="001B4F7D">
        <w:rPr>
          <w:rFonts w:ascii="Verdana" w:eastAsia="Calibri" w:hAnsi="Verdana" w:cs="Arial"/>
          <w:lang w:val="es-ES" w:eastAsia="es-ES"/>
        </w:rPr>
        <w:t>Bonilla Quintana</w:t>
      </w:r>
      <w:r w:rsidRPr="00D56237">
        <w:rPr>
          <w:rFonts w:ascii="Verdana" w:eastAsia="Calibri" w:hAnsi="Verdana" w:cs="Arial"/>
          <w:lang w:val="es-ES" w:eastAsia="es-ES"/>
        </w:rPr>
        <w:t xml:space="preserve">: </w:t>
      </w:r>
    </w:p>
    <w:p w14:paraId="02F67F15" w14:textId="77777777" w:rsidR="00D56237" w:rsidRPr="00D56237" w:rsidRDefault="00D56237" w:rsidP="00D56237">
      <w:pPr>
        <w:tabs>
          <w:tab w:val="left" w:pos="3768"/>
        </w:tabs>
        <w:spacing w:after="0" w:line="276" w:lineRule="auto"/>
        <w:jc w:val="both"/>
        <w:rPr>
          <w:rFonts w:ascii="Verdana" w:eastAsia="Calibri" w:hAnsi="Verdana" w:cs="Arial"/>
          <w:lang w:val="es-ES" w:eastAsia="es-ES"/>
        </w:rPr>
      </w:pPr>
      <w:r w:rsidRPr="00D56237">
        <w:rPr>
          <w:rFonts w:ascii="Verdana" w:eastAsia="Calibri" w:hAnsi="Verdana" w:cs="Arial"/>
          <w:lang w:val="es-ES" w:eastAsia="es-ES"/>
        </w:rPr>
        <w:tab/>
      </w:r>
    </w:p>
    <w:p w14:paraId="4575F210" w14:textId="2F6BBDFA" w:rsidR="00D56237" w:rsidRPr="00D56237" w:rsidRDefault="00D56237" w:rsidP="00D56237">
      <w:pPr>
        <w:spacing w:after="0" w:line="276" w:lineRule="auto"/>
        <w:jc w:val="both"/>
        <w:rPr>
          <w:rFonts w:ascii="Verdana" w:eastAsia="Calibri" w:hAnsi="Verdana" w:cs="Arial"/>
          <w:lang w:val="es-ES" w:eastAsia="es-ES"/>
        </w:rPr>
      </w:pPr>
      <w:r w:rsidRPr="00D56237">
        <w:rPr>
          <w:rFonts w:ascii="Verdana" w:eastAsia="Calibri" w:hAnsi="Verdana" w:cs="Arial"/>
          <w:lang w:val="es-ES" w:eastAsia="es-ES"/>
        </w:rPr>
        <w:t>En ejercicio de la competencia otorgada por los artículos 3, numeral 5º, y 11, numeral 8º, del Decreto Ley 4170 de 2011,</w:t>
      </w:r>
      <w:r w:rsidRPr="00D56237">
        <w:rPr>
          <w:rFonts w:ascii="Verdana" w:eastAsia="Arial MT" w:hAnsi="Verdana" w:cs="Arial MT"/>
          <w:lang w:val="es-ES" w:eastAsia="es-ES"/>
        </w:rPr>
        <w:t xml:space="preserve"> </w:t>
      </w:r>
      <w:r w:rsidRPr="00D56237">
        <w:rPr>
          <w:rFonts w:ascii="Verdana" w:eastAsia="Calibri" w:hAnsi="Verdana" w:cs="Arial"/>
        </w:rPr>
        <w:t xml:space="preserve">así como lo establecido en el artículo 4 de la Resolución 1707 de 2018 expedida por esta Entidad, </w:t>
      </w:r>
      <w:r w:rsidRPr="00D56237">
        <w:rPr>
          <w:rFonts w:ascii="Verdana" w:eastAsia="Calibri" w:hAnsi="Verdana" w:cs="Arial"/>
          <w:lang w:val="es-ES" w:eastAsia="es-ES"/>
        </w:rPr>
        <w:t xml:space="preserve">la Agencia Nacional de Contratación Pública –Colombia Compra Eficiente– responde su solicitud de consulta de fecha </w:t>
      </w:r>
      <w:r w:rsidR="00A33B88">
        <w:rPr>
          <w:rFonts w:ascii="Verdana" w:eastAsia="Calibri" w:hAnsi="Verdana" w:cs="Arial"/>
          <w:lang w:val="es-ES" w:eastAsia="es-ES"/>
        </w:rPr>
        <w:t>28</w:t>
      </w:r>
      <w:r w:rsidRPr="00D56237">
        <w:rPr>
          <w:rFonts w:ascii="Verdana" w:eastAsia="Calibri" w:hAnsi="Verdana" w:cs="Arial"/>
          <w:lang w:val="es-ES" w:eastAsia="es-ES"/>
        </w:rPr>
        <w:t xml:space="preserve"> de </w:t>
      </w:r>
      <w:r w:rsidR="00A33B88">
        <w:rPr>
          <w:rFonts w:ascii="Verdana" w:eastAsia="Calibri" w:hAnsi="Verdana" w:cs="Arial"/>
          <w:lang w:val="es-ES" w:eastAsia="es-ES"/>
        </w:rPr>
        <w:t>agosto</w:t>
      </w:r>
      <w:r w:rsidRPr="00D56237">
        <w:rPr>
          <w:rFonts w:ascii="Verdana" w:eastAsia="Calibri" w:hAnsi="Verdana" w:cs="Arial"/>
          <w:lang w:val="es-ES" w:eastAsia="es-ES"/>
        </w:rPr>
        <w:t xml:space="preserve"> de 2025, en la que manifiesta lo siguiente: </w:t>
      </w:r>
    </w:p>
    <w:p w14:paraId="58D43AD0" w14:textId="77777777" w:rsidR="00D56237" w:rsidRPr="00D56237" w:rsidRDefault="00D56237" w:rsidP="00D56237">
      <w:pPr>
        <w:tabs>
          <w:tab w:val="left" w:pos="142"/>
          <w:tab w:val="left" w:pos="284"/>
        </w:tabs>
        <w:spacing w:line="276" w:lineRule="auto"/>
        <w:contextualSpacing/>
        <w:jc w:val="both"/>
        <w:rPr>
          <w:rFonts w:ascii="Verdana" w:eastAsia="Century Gothic" w:hAnsi="Verdana" w:cs="Century Gothic"/>
          <w:b/>
          <w:bCs/>
          <w:lang w:val="es-ES"/>
        </w:rPr>
      </w:pPr>
    </w:p>
    <w:p w14:paraId="65B89DF4" w14:textId="1BD97DD3" w:rsidR="00A33B88" w:rsidRPr="00A33B88" w:rsidRDefault="00D56237" w:rsidP="00A33B88">
      <w:pPr>
        <w:spacing w:after="0" w:line="240" w:lineRule="auto"/>
        <w:ind w:left="709" w:right="709"/>
        <w:jc w:val="both"/>
        <w:rPr>
          <w:rFonts w:ascii="Verdana" w:eastAsia="Century Gothic" w:hAnsi="Verdana" w:cs="Century Gothic"/>
          <w:i/>
          <w:iCs/>
          <w:sz w:val="21"/>
          <w:szCs w:val="21"/>
          <w:lang w:val="es-ES"/>
        </w:rPr>
      </w:pPr>
      <w:r w:rsidRPr="00D56237">
        <w:rPr>
          <w:rFonts w:ascii="Verdana" w:eastAsia="Century Gothic" w:hAnsi="Verdana" w:cs="Century Gothic"/>
          <w:sz w:val="21"/>
          <w:szCs w:val="21"/>
          <w:lang w:val="es-ES"/>
        </w:rPr>
        <w:t>“</w:t>
      </w:r>
      <w:r w:rsidR="00A33B88" w:rsidRPr="00A33B88">
        <w:rPr>
          <w:rFonts w:ascii="Verdana" w:eastAsia="Century Gothic" w:hAnsi="Verdana" w:cs="Century Gothic"/>
          <w:i/>
          <w:iCs/>
          <w:sz w:val="21"/>
          <w:szCs w:val="21"/>
          <w:lang w:val="es-ES"/>
        </w:rPr>
        <w:t xml:space="preserve">En la Matriz de experiencia para licitaciones de APSB, para proyectos de acueductos o alcantarillados se requiere una experiencia específica obligatoria referente a longitud de tubería. En estos se debe cumplir con un proyecto cuya longitud total sea al menos la establecida según </w:t>
      </w:r>
      <w:proofErr w:type="spellStart"/>
      <w:r w:rsidR="00A33B88" w:rsidRPr="00A33B88">
        <w:rPr>
          <w:rFonts w:ascii="Verdana" w:eastAsia="Century Gothic" w:hAnsi="Verdana" w:cs="Century Gothic"/>
          <w:i/>
          <w:iCs/>
          <w:sz w:val="21"/>
          <w:szCs w:val="21"/>
          <w:lang w:val="es-ES"/>
        </w:rPr>
        <w:t>el</w:t>
      </w:r>
      <w:proofErr w:type="spellEnd"/>
      <w:r w:rsidR="00A33B88" w:rsidRPr="00A33B88">
        <w:rPr>
          <w:rFonts w:ascii="Verdana" w:eastAsia="Century Gothic" w:hAnsi="Verdana" w:cs="Century Gothic"/>
          <w:i/>
          <w:iCs/>
          <w:sz w:val="21"/>
          <w:szCs w:val="21"/>
          <w:lang w:val="es-ES"/>
        </w:rPr>
        <w:t xml:space="preserve"> % asignado en la matriz y las cantidades del proyecto; y que la tubería que tiene mayor relevancia en el contrato sea la escogida por la entidad.</w:t>
      </w:r>
    </w:p>
    <w:p w14:paraId="535268B7" w14:textId="0A4675E2" w:rsidR="00A33B88" w:rsidRPr="00A33B88" w:rsidRDefault="00A33B88" w:rsidP="00A33B88">
      <w:pPr>
        <w:spacing w:after="0" w:line="240" w:lineRule="auto"/>
        <w:ind w:left="709" w:right="709"/>
        <w:jc w:val="both"/>
        <w:rPr>
          <w:rFonts w:ascii="Verdana" w:eastAsia="Century Gothic" w:hAnsi="Verdana" w:cs="Century Gothic"/>
          <w:i/>
          <w:iCs/>
          <w:sz w:val="21"/>
          <w:szCs w:val="21"/>
          <w:lang w:val="es-ES"/>
        </w:rPr>
      </w:pPr>
      <w:r w:rsidRPr="00A33B88">
        <w:rPr>
          <w:rFonts w:ascii="Verdana" w:eastAsia="Century Gothic" w:hAnsi="Verdana" w:cs="Century Gothic"/>
          <w:i/>
          <w:iCs/>
          <w:sz w:val="21"/>
          <w:szCs w:val="21"/>
          <w:lang w:val="es-ES"/>
        </w:rPr>
        <w:t xml:space="preserve">En algunos casos se está interpretando por las entidades que se debe reportar experiencia en </w:t>
      </w:r>
      <w:proofErr w:type="spellStart"/>
      <w:r w:rsidRPr="00A33B88">
        <w:rPr>
          <w:rFonts w:ascii="Verdana" w:eastAsia="Century Gothic" w:hAnsi="Verdana" w:cs="Century Gothic"/>
          <w:i/>
          <w:iCs/>
          <w:sz w:val="21"/>
          <w:szCs w:val="21"/>
          <w:lang w:val="es-ES"/>
        </w:rPr>
        <w:t>el</w:t>
      </w:r>
      <w:proofErr w:type="spellEnd"/>
      <w:r w:rsidRPr="00A33B88">
        <w:rPr>
          <w:rFonts w:ascii="Verdana" w:eastAsia="Century Gothic" w:hAnsi="Verdana" w:cs="Century Gothic"/>
          <w:i/>
          <w:iCs/>
          <w:sz w:val="21"/>
          <w:szCs w:val="21"/>
          <w:lang w:val="es-ES"/>
        </w:rPr>
        <w:t xml:space="preserve"> % de longitud establecida con tubería únicamente del diámetro o rango escogido por la entidad, siendo algo </w:t>
      </w:r>
      <w:r w:rsidRPr="00A33B88">
        <w:rPr>
          <w:rFonts w:ascii="Verdana" w:eastAsia="Century Gothic" w:hAnsi="Verdana" w:cs="Century Gothic"/>
          <w:i/>
          <w:iCs/>
          <w:sz w:val="21"/>
          <w:szCs w:val="21"/>
          <w:lang w:val="es-ES"/>
        </w:rPr>
        <w:lastRenderedPageBreak/>
        <w:t xml:space="preserve">diferente a lo planteado en la matriz. Por lo </w:t>
      </w:r>
      <w:proofErr w:type="gramStart"/>
      <w:r w:rsidRPr="00A33B88">
        <w:rPr>
          <w:rFonts w:ascii="Verdana" w:eastAsia="Century Gothic" w:hAnsi="Verdana" w:cs="Century Gothic"/>
          <w:i/>
          <w:iCs/>
          <w:sz w:val="21"/>
          <w:szCs w:val="21"/>
          <w:lang w:val="es-ES"/>
        </w:rPr>
        <w:t>tanto</w:t>
      </w:r>
      <w:proofErr w:type="gramEnd"/>
      <w:r w:rsidRPr="00A33B88">
        <w:rPr>
          <w:rFonts w:ascii="Verdana" w:eastAsia="Century Gothic" w:hAnsi="Verdana" w:cs="Century Gothic"/>
          <w:i/>
          <w:iCs/>
          <w:sz w:val="21"/>
          <w:szCs w:val="21"/>
          <w:lang w:val="es-ES"/>
        </w:rPr>
        <w:t xml:space="preserve"> se solicita aclarar si: 1. La longitud total requerida puede ser de cualquier diámetro. 2. La tubería de mayor relevancia del contrato de experiencia es la que debe clasificar en el diámetro o rango escogido por la entidad. 3. La mayor</w:t>
      </w:r>
    </w:p>
    <w:p w14:paraId="2D363EBB" w14:textId="1B881ECE" w:rsidR="00D56237" w:rsidRPr="00D56237" w:rsidRDefault="00A33B88" w:rsidP="00A33B88">
      <w:pPr>
        <w:spacing w:after="0" w:line="240" w:lineRule="auto"/>
        <w:ind w:left="709" w:right="709"/>
        <w:jc w:val="both"/>
        <w:rPr>
          <w:rFonts w:ascii="Verdana" w:eastAsia="Century Gothic" w:hAnsi="Verdana" w:cs="Century Gothic"/>
          <w:sz w:val="21"/>
          <w:szCs w:val="21"/>
          <w:lang w:val="es-ES"/>
        </w:rPr>
      </w:pPr>
      <w:r w:rsidRPr="00A33B88">
        <w:rPr>
          <w:rFonts w:ascii="Verdana" w:eastAsia="Century Gothic" w:hAnsi="Verdana" w:cs="Century Gothic"/>
          <w:i/>
          <w:iCs/>
          <w:sz w:val="21"/>
          <w:szCs w:val="21"/>
          <w:lang w:val="es-ES"/>
        </w:rPr>
        <w:t>relevancia corresponde a mayor valor o longitud</w:t>
      </w:r>
      <w:r w:rsidRPr="00A33B88">
        <w:rPr>
          <w:rFonts w:ascii="Verdana" w:eastAsia="Century Gothic" w:hAnsi="Verdana" w:cs="Century Gothic"/>
          <w:sz w:val="21"/>
          <w:szCs w:val="21"/>
          <w:lang w:val="es-ES"/>
        </w:rPr>
        <w:t>?</w:t>
      </w:r>
      <w:r w:rsidR="00D56237" w:rsidRPr="00D56237">
        <w:rPr>
          <w:rFonts w:ascii="Verdana" w:eastAsia="Century Gothic" w:hAnsi="Verdana" w:cs="Century Gothic"/>
          <w:sz w:val="21"/>
          <w:szCs w:val="21"/>
          <w:lang w:val="es-ES"/>
        </w:rPr>
        <w:t>” [SIC]</w:t>
      </w:r>
    </w:p>
    <w:p w14:paraId="151156CA" w14:textId="77777777" w:rsidR="00D56237" w:rsidRPr="00D56237" w:rsidRDefault="00D56237" w:rsidP="00D56237">
      <w:pPr>
        <w:spacing w:after="0" w:line="240" w:lineRule="auto"/>
        <w:ind w:right="709"/>
        <w:jc w:val="both"/>
        <w:rPr>
          <w:rFonts w:ascii="Verdana" w:eastAsia="Century Gothic" w:hAnsi="Verdana" w:cs="Century Gothic"/>
          <w:lang w:val="es-ES"/>
        </w:rPr>
      </w:pPr>
    </w:p>
    <w:p w14:paraId="553B4877" w14:textId="77777777" w:rsidR="00D56237" w:rsidRPr="00D56237" w:rsidRDefault="00D56237" w:rsidP="00D56237">
      <w:pPr>
        <w:spacing w:after="120" w:line="276" w:lineRule="auto"/>
        <w:ind w:firstLine="709"/>
        <w:jc w:val="both"/>
        <w:rPr>
          <w:rFonts w:ascii="Verdana" w:eastAsia="Calibri" w:hAnsi="Verdana" w:cs="Arial"/>
          <w:szCs w:val="24"/>
          <w:lang w:val="es-ES_tradnl" w:eastAsia="es-ES_tradnl"/>
        </w:rPr>
      </w:pPr>
      <w:r w:rsidRPr="00D5623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56237">
        <w:rPr>
          <w:rFonts w:ascii="Verdana" w:eastAsia="Calibri" w:hAnsi="Verdana" w:cs="Arial"/>
          <w:szCs w:val="24"/>
          <w:lang w:val="es-ES_tradnl" w:eastAsia="es-ES_tradnl"/>
        </w:rPr>
        <w:tab/>
      </w:r>
    </w:p>
    <w:p w14:paraId="5E57E933" w14:textId="77777777" w:rsidR="00D56237" w:rsidRPr="00D56237" w:rsidRDefault="00D56237" w:rsidP="00D56237">
      <w:pPr>
        <w:spacing w:after="0" w:line="276" w:lineRule="auto"/>
        <w:ind w:firstLine="709"/>
        <w:jc w:val="both"/>
        <w:rPr>
          <w:rFonts w:ascii="Verdana" w:eastAsia="Calibri" w:hAnsi="Verdana" w:cs="Arial"/>
          <w:lang w:val="es-ES" w:eastAsia="es-ES"/>
        </w:rPr>
      </w:pPr>
      <w:r w:rsidRPr="00D56237">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D9A3FE9" w14:textId="77777777" w:rsidR="00D56237" w:rsidRPr="00D56237" w:rsidRDefault="00D56237" w:rsidP="00D56237">
      <w:pPr>
        <w:spacing w:after="0" w:line="276" w:lineRule="auto"/>
        <w:ind w:firstLine="709"/>
        <w:jc w:val="both"/>
        <w:rPr>
          <w:rFonts w:ascii="Verdana" w:eastAsia="Calibri" w:hAnsi="Verdana" w:cs="Arial"/>
          <w:lang w:val="es-ES" w:eastAsia="es-ES"/>
        </w:rPr>
      </w:pPr>
    </w:p>
    <w:p w14:paraId="5192CD8C" w14:textId="77777777" w:rsidR="00D56237" w:rsidRPr="00D56237" w:rsidRDefault="00D56237" w:rsidP="00D56237">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D56237">
        <w:rPr>
          <w:rFonts w:ascii="Verdana" w:eastAsia="Century Gothic" w:hAnsi="Verdana" w:cs="Century Gothic"/>
          <w:b/>
          <w:bCs/>
          <w:lang w:val="es-ES"/>
        </w:rPr>
        <w:t>Problema planteado:</w:t>
      </w:r>
    </w:p>
    <w:p w14:paraId="07E4501A" w14:textId="77777777" w:rsidR="00D56237" w:rsidRPr="00D56237" w:rsidRDefault="00D56237" w:rsidP="00D56237">
      <w:pPr>
        <w:tabs>
          <w:tab w:val="left" w:pos="426"/>
        </w:tabs>
        <w:spacing w:after="0" w:line="276" w:lineRule="auto"/>
        <w:jc w:val="both"/>
        <w:rPr>
          <w:rFonts w:ascii="Verdana" w:eastAsia="Century Gothic" w:hAnsi="Verdana" w:cs="Century Gothic"/>
          <w:lang w:val="es-ES"/>
        </w:rPr>
      </w:pPr>
    </w:p>
    <w:p w14:paraId="5CE1998F" w14:textId="1073E872" w:rsidR="00D56237" w:rsidRPr="00D56237" w:rsidRDefault="00D56237" w:rsidP="00072336">
      <w:pPr>
        <w:snapToGrid w:val="0"/>
        <w:spacing w:after="0" w:line="276" w:lineRule="auto"/>
        <w:jc w:val="both"/>
        <w:rPr>
          <w:rFonts w:ascii="Verdana" w:eastAsia="Century Gothic" w:hAnsi="Verdana" w:cs="Century Gothic"/>
        </w:rPr>
      </w:pPr>
      <w:r w:rsidRPr="00072336">
        <w:rPr>
          <w:rFonts w:ascii="Verdana" w:eastAsia="Century Gothic" w:hAnsi="Verdana" w:cs="Century Gothic"/>
        </w:rPr>
        <w:t xml:space="preserve">De acuerdo con el contenido de su solicitud, esta Agencia resolverá el siguiente problema jurídico: tratándose de los documentos tipo de infraestructura de agua potable y saneamiento básico, </w:t>
      </w:r>
      <w:r w:rsidR="00072336" w:rsidRPr="00072336">
        <w:rPr>
          <w:rFonts w:ascii="Verdana" w:eastAsia="Century Gothic" w:hAnsi="Verdana" w:cs="Century Gothic"/>
        </w:rPr>
        <w:t>¿</w:t>
      </w:r>
      <w:r w:rsidR="00072336" w:rsidRPr="00072336">
        <w:t>1</w:t>
      </w:r>
      <w:r w:rsidR="00072336" w:rsidRPr="00072336">
        <w:rPr>
          <w:rFonts w:ascii="Verdana" w:eastAsia="Century Gothic" w:hAnsi="Verdana" w:cs="Century Gothic"/>
        </w:rPr>
        <w:t>. La longitud total requerida puede ser de cualquier diámetro.  2. La tubería de mayor relevancia del contrato de experiencia es la que debe clasificar en el diámetro o rango escogido por la entidad.  3. La mayor relevancia corresponde a mayor valor o longitud?</w:t>
      </w:r>
    </w:p>
    <w:p w14:paraId="55CCF1EB" w14:textId="77777777" w:rsidR="00D56237" w:rsidRPr="00D56237" w:rsidRDefault="00D56237" w:rsidP="00D56237">
      <w:pPr>
        <w:snapToGrid w:val="0"/>
        <w:spacing w:after="0" w:line="276" w:lineRule="auto"/>
        <w:jc w:val="both"/>
        <w:rPr>
          <w:rFonts w:ascii="Verdana" w:eastAsia="Century Gothic" w:hAnsi="Verdana" w:cs="Century Gothic"/>
        </w:rPr>
      </w:pPr>
    </w:p>
    <w:p w14:paraId="32699E96" w14:textId="77777777" w:rsidR="00D56237" w:rsidRPr="00D56237" w:rsidRDefault="00D56237" w:rsidP="00D5623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D56237">
        <w:rPr>
          <w:rFonts w:ascii="Verdana" w:eastAsia="Century Gothic" w:hAnsi="Verdana" w:cs="Century Gothic"/>
          <w:b/>
          <w:bCs/>
          <w:lang w:val="es-ES"/>
        </w:rPr>
        <w:t>Respuesta:</w:t>
      </w:r>
    </w:p>
    <w:p w14:paraId="18F5AEA5" w14:textId="77777777" w:rsidR="00D56237" w:rsidRPr="00D56237" w:rsidRDefault="00D56237" w:rsidP="00D56237">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56237" w:rsidRPr="00D56237" w14:paraId="42066387" w14:textId="77777777" w:rsidTr="00E873D5">
        <w:tc>
          <w:tcPr>
            <w:tcW w:w="8828" w:type="dxa"/>
          </w:tcPr>
          <w:p w14:paraId="7BC13382" w14:textId="722B50A3" w:rsidR="00A33B88" w:rsidRPr="00A33B88" w:rsidRDefault="00A33B88" w:rsidP="00A33B88">
            <w:pPr>
              <w:spacing w:line="276" w:lineRule="auto"/>
              <w:jc w:val="both"/>
              <w:rPr>
                <w:rFonts w:ascii="Verdana" w:eastAsia="Calibri" w:hAnsi="Verdana" w:cs="Times New Roman"/>
              </w:rPr>
            </w:pPr>
            <w:r>
              <w:rPr>
                <w:rFonts w:ascii="Verdana" w:eastAsia="Calibri" w:hAnsi="Verdana" w:cs="Times New Roman"/>
              </w:rPr>
              <w:t xml:space="preserve">         </w:t>
            </w:r>
            <w:r w:rsidRPr="00A33B88">
              <w:rPr>
                <w:rFonts w:ascii="Verdana" w:eastAsia="Calibri" w:hAnsi="Verdana" w:cs="Times New Roman"/>
              </w:rPr>
              <w:t xml:space="preserve">De acuerdo con las condiciones fijadas en los documentos base, la acreditación del requisito habilitante de experiencia se aborda desde distintos criterios. En primer lugar, los contratos presentados por los proponentes </w:t>
            </w:r>
            <w:r w:rsidRPr="00A33B88">
              <w:rPr>
                <w:rFonts w:ascii="Verdana" w:eastAsia="Calibri" w:hAnsi="Verdana" w:cs="Times New Roman"/>
              </w:rPr>
              <w:lastRenderedPageBreak/>
              <w:t xml:space="preserve">deben corresponder a la actividad o actividades de experiencia general y específica que la entidad exija en el pliego de condiciones de acuerdo con los parámetros señalados en la Matriz 1 y teniendo en cuenta las especificaciones técnicas exigidas. </w:t>
            </w:r>
          </w:p>
          <w:p w14:paraId="3DE1FC36"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 xml:space="preserve"> </w:t>
            </w:r>
          </w:p>
          <w:p w14:paraId="2195725E"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MATRIZ 1 EXPERIENCIA – Agua potable y saneamiento básico – Experiencia específica</w:t>
            </w:r>
          </w:p>
          <w:p w14:paraId="7D515650"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 xml:space="preserve"> </w:t>
            </w:r>
          </w:p>
          <w:p w14:paraId="346936EC"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 xml:space="preserve">En relación con los requisitos de experiencia la «Matriz 1 – Experiencia» dispone que «Por lo menos uno (1) de los contratos válidos aportados como experiencia general debe contar con una longitud de tubería equivalente al (F%) de la longitud total establecida en el presente proceso de selección, y que contemple como mínimo las mismas condiciones técnicas (entiéndase como mismas condiciones técnicas la instalación según tipo de tubería: PVC, HD, PEAD, GRP, ACCP,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 </w:t>
            </w:r>
          </w:p>
          <w:p w14:paraId="3D002B7A" w14:textId="77777777" w:rsidR="00A33B88" w:rsidRPr="00A33B88" w:rsidRDefault="00A33B88" w:rsidP="00A33B88">
            <w:pPr>
              <w:spacing w:line="276" w:lineRule="auto"/>
              <w:jc w:val="both"/>
              <w:rPr>
                <w:rFonts w:ascii="Verdana" w:eastAsia="Calibri" w:hAnsi="Verdana" w:cs="Times New Roman"/>
              </w:rPr>
            </w:pPr>
          </w:p>
          <w:p w14:paraId="4A90C20F"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MATRIZ 1 EXPERIENCIA – Actividad 1.2. – Longitud – Material – Diámetro</w:t>
            </w:r>
          </w:p>
          <w:p w14:paraId="2E719204"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 xml:space="preserve"> </w:t>
            </w:r>
          </w:p>
          <w:p w14:paraId="55FB71C1"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 Sobre el primer aspecto, es decir la longitud de tubería, es importante que la entidad determine dos elementos fundamentales. En primer lugar, debe definir cuál es la longitud total de la tubería del proceso de selección y, en segundo lugar, establecer el porcentaje de dimensionamiento de acuerdo con la cuantía del proceso.</w:t>
            </w:r>
          </w:p>
          <w:p w14:paraId="2A47CBD6"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 xml:space="preserve"> </w:t>
            </w:r>
          </w:p>
          <w:p w14:paraId="1F63989A"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MATRIZ 1 EXPERIENCIA – Experiencia específica – Tipo de tubería – Material de tubería – Determinación</w:t>
            </w:r>
          </w:p>
          <w:p w14:paraId="4AE206D7"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 xml:space="preserve"> </w:t>
            </w:r>
          </w:p>
          <w:p w14:paraId="54EC787F" w14:textId="0DDD580A" w:rsid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 xml:space="preserve">En relación con el segundo requisito, la matriz define a qué tipo de tubería (material) corresponde la longitud, al señalar lo siguiente: «y que contemple como mínimo las mismas condiciones técnicas (entiéndase como mismas condiciones técnicas la instalación según tipo de tubería: PVC, HD, </w:t>
            </w:r>
            <w:r w:rsidRPr="00A33B88">
              <w:rPr>
                <w:rFonts w:ascii="Verdana" w:eastAsia="Calibri" w:hAnsi="Verdana" w:cs="Times New Roman"/>
              </w:rPr>
              <w:lastRenderedPageBreak/>
              <w:t xml:space="preserve">PEAD, GRP, ACCP, otras) el cual corresponde a [la entidad establecerá el material más representativo en este apartado]». </w:t>
            </w:r>
          </w:p>
          <w:p w14:paraId="38AA9CC9" w14:textId="02C183DD"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 xml:space="preserve">Como se evidencia, esta última parte integra y complementa el primer planteamiento del párrafo referente a la longitud y da instrucciones a la entidad para incluir el material más representativo de la tubería, de acuerdo con las condiciones técnicas del proyecto. De ahí se sigue que, para la experiencia específica en la «Matriz 1 – Experiencia», la longitud de tubería corresponde a la del material más representativo que establezca la entidad. </w:t>
            </w:r>
          </w:p>
          <w:p w14:paraId="7EF269D3" w14:textId="77777777" w:rsidR="00A33B88" w:rsidRDefault="00A33B88" w:rsidP="00A33B88">
            <w:pPr>
              <w:spacing w:line="276" w:lineRule="auto"/>
              <w:ind w:firstLine="709"/>
              <w:jc w:val="both"/>
              <w:rPr>
                <w:rFonts w:ascii="Verdana" w:eastAsia="Calibri" w:hAnsi="Verdana" w:cs="Times New Roman"/>
              </w:rPr>
            </w:pPr>
          </w:p>
          <w:p w14:paraId="044D9367" w14:textId="7F87270F"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De esta manera, si el material más representativo de la tubería determinado por la entidad es, por ejemplo, PVC, entonces el proponente deberá acreditar experiencia en una longitud de tubería equivalente a un porcentaje específico de la longitud total de la tubería de PVC establecido en el proceso de selección.</w:t>
            </w:r>
          </w:p>
          <w:p w14:paraId="2F1C9BBA"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De acuerdo con lo anterior, las preguntas que surgen de su consulta son las siguientes:</w:t>
            </w:r>
          </w:p>
          <w:p w14:paraId="778F0915"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 xml:space="preserve">1. La longitud total requerida puede ser de cualquier diámetro. </w:t>
            </w:r>
          </w:p>
          <w:p w14:paraId="455C54A7" w14:textId="77777777" w:rsidR="00A33B88" w:rsidRP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 xml:space="preserve">2. La tubería de mayor relevancia del contrato de experiencia es la que debe clasificar en el diámetro o rango escogido por la entidad. </w:t>
            </w:r>
          </w:p>
          <w:p w14:paraId="02286569" w14:textId="77777777" w:rsid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3. La mayor relevancia corresponde a mayor valor o longitud?</w:t>
            </w:r>
          </w:p>
          <w:p w14:paraId="4B0D94CF" w14:textId="77777777" w:rsidR="00072336" w:rsidRPr="00A33B88" w:rsidRDefault="00072336" w:rsidP="00A33B88">
            <w:pPr>
              <w:spacing w:line="276" w:lineRule="auto"/>
              <w:ind w:firstLine="709"/>
              <w:jc w:val="both"/>
              <w:rPr>
                <w:rFonts w:ascii="Verdana" w:eastAsia="Calibri" w:hAnsi="Verdana" w:cs="Times New Roman"/>
              </w:rPr>
            </w:pPr>
          </w:p>
          <w:p w14:paraId="62C71F58" w14:textId="77777777" w:rsid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 xml:space="preserve">Para tales efectos, la entidad cuenta con autonomía para definir la longitud que corresponda de conformidad con su proceso de contratación y el porcentaje de dimensionamiento de acuerdo con las condiciones técnicas particulares de su proceso de selección y conocimiento completo del expediente del proyecto en particular. </w:t>
            </w:r>
          </w:p>
          <w:p w14:paraId="46A644DE" w14:textId="77777777" w:rsidR="00072336" w:rsidRPr="00A33B88" w:rsidRDefault="00072336" w:rsidP="00A33B88">
            <w:pPr>
              <w:spacing w:line="276" w:lineRule="auto"/>
              <w:ind w:firstLine="709"/>
              <w:jc w:val="both"/>
              <w:rPr>
                <w:rFonts w:ascii="Verdana" w:eastAsia="Calibri" w:hAnsi="Verdana" w:cs="Times New Roman"/>
              </w:rPr>
            </w:pPr>
          </w:p>
          <w:p w14:paraId="0C0A67A3" w14:textId="77777777" w:rsidR="00A33B88" w:rsidRDefault="00A33B88" w:rsidP="00A33B88">
            <w:pPr>
              <w:spacing w:line="276" w:lineRule="auto"/>
              <w:ind w:firstLine="709"/>
              <w:jc w:val="both"/>
              <w:rPr>
                <w:rFonts w:ascii="Verdana" w:eastAsia="Calibri" w:hAnsi="Verdana" w:cs="Times New Roman"/>
              </w:rPr>
            </w:pPr>
            <w:r w:rsidRPr="00A33B88">
              <w:rPr>
                <w:rFonts w:ascii="Verdana" w:eastAsia="Calibri" w:hAnsi="Verdana" w:cs="Times New Roman"/>
              </w:rPr>
              <w:t>Ello es así, puesto que la «Matriz 1 - Experiencia» señala entre corchetes las instrucciones que debe seguir la entidad, indicando claramente que se establecerá el material más representativo, así como el diámetro que corresponda a la tubería principal o de mayor relevancia del proyecto, dejando abierta esta determinación a la entidad, es decir, estos tres aspectos deben estar enfocados sobre la tubería de mayor relevancia del proyecto.</w:t>
            </w:r>
          </w:p>
          <w:p w14:paraId="4DDE3509" w14:textId="77777777" w:rsidR="00072336" w:rsidRPr="00A33B88" w:rsidRDefault="00072336" w:rsidP="00072336">
            <w:pPr>
              <w:spacing w:line="276" w:lineRule="auto"/>
              <w:jc w:val="both"/>
              <w:rPr>
                <w:rFonts w:ascii="Verdana" w:eastAsia="Calibri" w:hAnsi="Verdana" w:cs="Times New Roman"/>
              </w:rPr>
            </w:pPr>
          </w:p>
          <w:p w14:paraId="7D65B4C1" w14:textId="77777777" w:rsidR="00D56237" w:rsidRDefault="00A33B88" w:rsidP="00A33B88">
            <w:pPr>
              <w:spacing w:line="276" w:lineRule="auto"/>
              <w:ind w:firstLine="709"/>
              <w:jc w:val="both"/>
              <w:rPr>
                <w:rFonts w:ascii="Verdana" w:eastAsia="Calibri" w:hAnsi="Verdana" w:cs="Times New Roman"/>
                <w:bCs/>
                <w:lang w:val="es-ES"/>
              </w:rPr>
            </w:pPr>
            <w:r w:rsidRPr="00A33B88">
              <w:rPr>
                <w:rFonts w:ascii="Verdana" w:eastAsia="Calibri" w:hAnsi="Verdana" w:cs="Times New Roman"/>
              </w:rPr>
              <w:t xml:space="preserve"> </w:t>
            </w:r>
            <w:r w:rsidR="00D56237" w:rsidRPr="00D56237">
              <w:rPr>
                <w:rFonts w:ascii="Verdana" w:eastAsia="Calibri" w:hAnsi="Verdana" w:cs="Times New Roman"/>
              </w:rPr>
              <w:t xml:space="preserve">Sin embargo, es claro que, dentro de la Matriz 1 del sector de agua potable y saneamiento básico, tratándose de actividades correspondientes a </w:t>
            </w:r>
            <w:r w:rsidR="00D56237" w:rsidRPr="00D56237">
              <w:rPr>
                <w:rFonts w:ascii="Verdana" w:eastAsia="Calibri" w:hAnsi="Verdana" w:cs="Times New Roman"/>
                <w:i/>
                <w:iCs/>
              </w:rPr>
              <w:t>construcción,</w:t>
            </w:r>
            <w:r w:rsidR="00D56237" w:rsidRPr="00D56237">
              <w:rPr>
                <w:rFonts w:ascii="Verdana" w:eastAsia="Calibri" w:hAnsi="Verdana" w:cs="Times New Roman"/>
              </w:rPr>
              <w:t xml:space="preserve"> al ser un conjunto de actividades y procesos que tienen como </w:t>
            </w:r>
            <w:r w:rsidR="00D56237" w:rsidRPr="00D56237">
              <w:rPr>
                <w:rFonts w:ascii="Verdana" w:eastAsia="Calibri" w:hAnsi="Verdana" w:cs="Times New Roman"/>
              </w:rPr>
              <w:lastRenderedPageBreak/>
              <w:t xml:space="preserve">objetivo la materialización de infraestructuras relacionadas con el suministro de agua potable y la gestión de aguas residuales y saneamiento, para que su acreditación como experiencia sea válida deben corresponder a </w:t>
            </w:r>
            <w:r w:rsidR="00D56237" w:rsidRPr="00D56237">
              <w:rPr>
                <w:rFonts w:ascii="Verdana" w:eastAsia="Calibri" w:hAnsi="Verdana" w:cs="Times New Roman"/>
                <w:i/>
                <w:iCs/>
              </w:rPr>
              <w:t>proyectos de construcción</w:t>
            </w:r>
            <w:r w:rsidR="00D56237" w:rsidRPr="00D56237">
              <w:rPr>
                <w:rFonts w:ascii="Verdana" w:eastAsia="Calibri" w:hAnsi="Verdana" w:cs="Times New Roman"/>
              </w:rPr>
              <w:t xml:space="preserve"> del sector de conformidad con lo establecido dentro de los </w:t>
            </w:r>
            <w:r w:rsidR="00D56237" w:rsidRPr="00D56237">
              <w:rPr>
                <w:rFonts w:ascii="Verdana" w:eastAsia="Calibri" w:hAnsi="Verdana" w:cs="Times New Roman"/>
                <w:bCs/>
                <w:lang w:val="es-ES"/>
              </w:rPr>
              <w:t>siete (7) diferentes tipos de obras de infraestructura referidos con anterioridad.</w:t>
            </w:r>
          </w:p>
          <w:p w14:paraId="0AB512C2" w14:textId="77777777" w:rsidR="00072336" w:rsidRDefault="00072336" w:rsidP="00A33B88">
            <w:pPr>
              <w:spacing w:line="276" w:lineRule="auto"/>
              <w:ind w:firstLine="709"/>
              <w:jc w:val="both"/>
              <w:rPr>
                <w:rFonts w:ascii="Verdana" w:eastAsia="Calibri" w:hAnsi="Verdana" w:cs="Times New Roman"/>
                <w:bCs/>
                <w:lang w:val="es-ES"/>
              </w:rPr>
            </w:pPr>
          </w:p>
          <w:p w14:paraId="4A8EDB5D" w14:textId="77777777" w:rsidR="00072336" w:rsidRDefault="00072336" w:rsidP="00072336">
            <w:pPr>
              <w:spacing w:line="276" w:lineRule="auto"/>
              <w:jc w:val="both"/>
              <w:rPr>
                <w:rFonts w:ascii="Verdana" w:hAnsi="Verdana" w:cs="Arial"/>
                <w:lang w:val="es-ES_tradnl"/>
              </w:rPr>
            </w:pPr>
            <w:r>
              <w:rPr>
                <w:rFonts w:ascii="Verdana" w:hAnsi="Verdana" w:cs="Arial"/>
                <w:lang w:val="es-ES"/>
              </w:rPr>
              <w:t>Finalmente debe advertirse que, el análisis requerido para resolver problemas específicos en torno a la aplicación de documentos tipos del sector de agua potable y saneamiento básico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p w14:paraId="5A1A67A1" w14:textId="06369B94" w:rsidR="00072336" w:rsidRPr="00072336" w:rsidRDefault="00072336" w:rsidP="00A33B88">
            <w:pPr>
              <w:spacing w:line="276" w:lineRule="auto"/>
              <w:ind w:firstLine="709"/>
              <w:jc w:val="both"/>
              <w:rPr>
                <w:rFonts w:ascii="Verdana" w:eastAsia="Calibri" w:hAnsi="Verdana" w:cs="Times New Roman"/>
                <w:lang w:val="es-ES_tradnl"/>
              </w:rPr>
            </w:pPr>
          </w:p>
        </w:tc>
      </w:tr>
    </w:tbl>
    <w:p w14:paraId="0A251C4B" w14:textId="77777777" w:rsidR="00D56237" w:rsidRPr="00D56237" w:rsidRDefault="00D56237" w:rsidP="00D56237">
      <w:pPr>
        <w:tabs>
          <w:tab w:val="left" w:pos="142"/>
          <w:tab w:val="left" w:pos="284"/>
        </w:tabs>
        <w:snapToGrid w:val="0"/>
        <w:spacing w:after="0" w:line="276" w:lineRule="auto"/>
        <w:jc w:val="both"/>
        <w:rPr>
          <w:rFonts w:ascii="Verdana" w:eastAsia="Century Gothic" w:hAnsi="Verdana" w:cs="Century Gothic"/>
          <w:b/>
          <w:bCs/>
          <w:lang w:val="es-ES"/>
        </w:rPr>
      </w:pPr>
    </w:p>
    <w:p w14:paraId="4CBB3273" w14:textId="77777777" w:rsidR="00D56237" w:rsidRPr="00D56237" w:rsidRDefault="00D56237" w:rsidP="00D5623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D56237">
        <w:rPr>
          <w:rFonts w:ascii="Verdana" w:eastAsia="Century Gothic" w:hAnsi="Verdana" w:cs="Century Gothic"/>
          <w:b/>
          <w:bCs/>
          <w:lang w:val="es-ES"/>
        </w:rPr>
        <w:t>Razones de la respuesta:</w:t>
      </w:r>
    </w:p>
    <w:p w14:paraId="448B5160" w14:textId="77777777" w:rsidR="00D56237" w:rsidRPr="00D56237" w:rsidRDefault="00D56237" w:rsidP="00D56237">
      <w:pPr>
        <w:tabs>
          <w:tab w:val="left" w:pos="142"/>
          <w:tab w:val="left" w:pos="284"/>
        </w:tabs>
        <w:snapToGrid w:val="0"/>
        <w:spacing w:after="0" w:line="276" w:lineRule="auto"/>
        <w:ind w:left="357"/>
        <w:jc w:val="both"/>
        <w:rPr>
          <w:rFonts w:ascii="Verdana" w:eastAsia="Century Gothic" w:hAnsi="Verdana" w:cs="Century Gothic"/>
          <w:b/>
          <w:bCs/>
          <w:lang w:val="es-ES"/>
        </w:rPr>
      </w:pPr>
    </w:p>
    <w:p w14:paraId="2FBDA36C" w14:textId="77777777" w:rsidR="00D56237" w:rsidRPr="00D56237" w:rsidRDefault="00D56237" w:rsidP="00D56237">
      <w:pPr>
        <w:snapToGrid w:val="0"/>
        <w:spacing w:after="0" w:line="276" w:lineRule="auto"/>
        <w:jc w:val="both"/>
        <w:rPr>
          <w:rFonts w:ascii="Verdana" w:eastAsia="Calibri" w:hAnsi="Verdana" w:cs="Arial"/>
          <w:lang w:val="es-ES"/>
        </w:rPr>
      </w:pPr>
      <w:r w:rsidRPr="00D56237">
        <w:rPr>
          <w:rFonts w:ascii="Verdana" w:eastAsia="Calibri" w:hAnsi="Verdana" w:cs="Arial"/>
          <w:lang w:val="es-ES"/>
        </w:rPr>
        <w:t>Lo anterior se sustenta en las siguientes consideraciones:</w:t>
      </w:r>
    </w:p>
    <w:p w14:paraId="19332E05" w14:textId="77777777" w:rsidR="00D56237" w:rsidRPr="00D56237" w:rsidRDefault="00D56237" w:rsidP="00D56237">
      <w:pPr>
        <w:snapToGrid w:val="0"/>
        <w:spacing w:after="0" w:line="276" w:lineRule="auto"/>
        <w:jc w:val="both"/>
        <w:rPr>
          <w:rFonts w:ascii="Verdana" w:eastAsia="Calibri" w:hAnsi="Verdana" w:cs="Arial"/>
          <w:lang w:val="es-ES"/>
        </w:rPr>
      </w:pPr>
    </w:p>
    <w:p w14:paraId="5B7929BE" w14:textId="77777777" w:rsidR="00D56237" w:rsidRPr="00D56237" w:rsidRDefault="00D56237" w:rsidP="00D56237">
      <w:pPr>
        <w:snapToGrid w:val="0"/>
        <w:spacing w:after="0" w:line="276" w:lineRule="auto"/>
        <w:contextualSpacing/>
        <w:jc w:val="both"/>
        <w:rPr>
          <w:rFonts w:ascii="Verdana" w:eastAsia="Calibri" w:hAnsi="Verdana" w:cs="Arial"/>
          <w:lang w:val="es-ES"/>
        </w:rPr>
      </w:pPr>
      <w:r w:rsidRPr="00D56237">
        <w:rPr>
          <w:rFonts w:ascii="Verdana" w:eastAsia="Calibri" w:hAnsi="Verdana" w:cs="Arial"/>
          <w:kern w:val="2"/>
          <w:lang w:val="es-ES_tradnl"/>
          <w14:ligatures w14:val="standardContextual"/>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D56237">
        <w:rPr>
          <w:rFonts w:ascii="Aptos" w:eastAsia="Aptos" w:hAnsi="Aptos" w:cs="Times New Roman"/>
          <w:kern w:val="2"/>
          <w:sz w:val="24"/>
          <w:szCs w:val="24"/>
          <w:vertAlign w:val="superscript"/>
          <w:lang w:val="es-ES_tradnl"/>
          <w14:ligatures w14:val="standardContextual"/>
        </w:rPr>
        <w:footnoteReference w:id="1"/>
      </w:r>
      <w:r w:rsidRPr="00D56237">
        <w:rPr>
          <w:rFonts w:ascii="Verdana" w:eastAsia="Calibri" w:hAnsi="Verdana" w:cs="Arial"/>
          <w:kern w:val="2"/>
          <w:lang w:val="es-ES_tradnl"/>
          <w14:ligatures w14:val="standardContextual"/>
        </w:rPr>
        <w:t xml:space="preserve">. En ese sentido, la entidad, como responsable de la </w:t>
      </w:r>
      <w:r w:rsidRPr="00D56237">
        <w:rPr>
          <w:rFonts w:ascii="Verdana" w:eastAsia="Calibri" w:hAnsi="Verdana" w:cs="Arial"/>
          <w:kern w:val="2"/>
          <w:lang w:val="es-ES_tradnl"/>
          <w14:ligatures w14:val="standardContextual"/>
        </w:rPr>
        <w:lastRenderedPageBreak/>
        <w:t>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así como el mercado y precio del bien, obra o servicio a contratar</w:t>
      </w:r>
      <w:r w:rsidRPr="00D56237">
        <w:rPr>
          <w:rFonts w:ascii="Aptos" w:eastAsia="Aptos" w:hAnsi="Aptos" w:cs="Times New Roman"/>
          <w:kern w:val="2"/>
          <w:sz w:val="24"/>
          <w:szCs w:val="24"/>
          <w:vertAlign w:val="superscript"/>
          <w:lang w:val="es-ES_tradnl"/>
          <w14:ligatures w14:val="standardContextual"/>
        </w:rPr>
        <w:footnoteReference w:id="2"/>
      </w:r>
      <w:r w:rsidRPr="00D56237">
        <w:rPr>
          <w:rFonts w:ascii="Verdana" w:eastAsia="Calibri" w:hAnsi="Verdana" w:cs="Arial"/>
          <w:kern w:val="2"/>
          <w:lang w:val="es-ES_tradnl"/>
          <w14:ligatures w14:val="standardContextual"/>
        </w:rPr>
        <w:t>.</w:t>
      </w:r>
    </w:p>
    <w:p w14:paraId="52433324" w14:textId="77777777" w:rsidR="00D56237" w:rsidRPr="00D56237" w:rsidRDefault="00D56237" w:rsidP="00D56237">
      <w:pPr>
        <w:snapToGrid w:val="0"/>
        <w:spacing w:before="120" w:after="120" w:line="276" w:lineRule="auto"/>
        <w:ind w:firstLine="709"/>
        <w:jc w:val="both"/>
        <w:rPr>
          <w:rFonts w:ascii="Verdana" w:eastAsia="Calibri" w:hAnsi="Verdana" w:cs="Arial"/>
          <w:lang w:val="es-ES"/>
        </w:rPr>
      </w:pPr>
      <w:r w:rsidRPr="00D56237">
        <w:rPr>
          <w:rFonts w:ascii="Verdana" w:eastAsia="Calibri" w:hAnsi="Verdana" w:cs="Arial"/>
          <w:kern w:val="2"/>
          <w:lang w:val="es-ES_tradnl"/>
          <w14:ligatures w14:val="standardContextual"/>
        </w:rPr>
        <w:t>La experiencia que se deriva de los contratos que el proponente ha celebrado y ejecutado con diferentes contratantes, sin importar la naturaleza de estos, se verifica con el Registro Único de Proponentes –RUP–</w:t>
      </w:r>
      <w:r w:rsidRPr="00D56237">
        <w:rPr>
          <w:rFonts w:ascii="Verdana" w:eastAsia="Aptos" w:hAnsi="Verdana" w:cs="Times New Roman"/>
          <w:kern w:val="2"/>
          <w:vertAlign w:val="superscript"/>
          <w:lang w:val="es-ES_tradnl"/>
          <w14:ligatures w14:val="standardContextual"/>
        </w:rPr>
        <w:footnoteReference w:id="3"/>
      </w:r>
      <w:r w:rsidRPr="00D56237">
        <w:rPr>
          <w:rFonts w:ascii="Verdana" w:eastAsia="Calibri" w:hAnsi="Verdana" w:cs="Arial"/>
          <w:kern w:val="2"/>
          <w:lang w:val="es-ES_tradnl"/>
          <w14:ligatures w14:val="standardContextual"/>
        </w:rPr>
        <w:t>, cuando este certificado sea exigible de acuerdo con la ley. En el RUP constan los requisitos habilitantes que se evalúan exclusivamente con este documento, que es su plena prueba, sin que la entidad o el proponente puedan solicitar o aportar otra documentación</w:t>
      </w:r>
      <w:r w:rsidRPr="00D56237">
        <w:rPr>
          <w:rFonts w:ascii="Verdana" w:eastAsia="Aptos" w:hAnsi="Verdana" w:cs="Times New Roman"/>
          <w:kern w:val="2"/>
          <w:vertAlign w:val="superscript"/>
          <w:lang w:val="es-ES_tradnl"/>
          <w14:ligatures w14:val="standardContextual"/>
        </w:rPr>
        <w:footnoteReference w:id="4"/>
      </w:r>
      <w:r w:rsidRPr="00D56237">
        <w:rPr>
          <w:rFonts w:ascii="Verdana" w:eastAsia="Calibri" w:hAnsi="Verdana" w:cs="Arial"/>
          <w:kern w:val="2"/>
          <w:lang w:val="es-ES_tradnl"/>
          <w14:ligatures w14:val="standardContextual"/>
        </w:rPr>
        <w:t>.</w:t>
      </w:r>
    </w:p>
    <w:p w14:paraId="770DD31A" w14:textId="77777777" w:rsidR="00D56237" w:rsidRPr="00D56237" w:rsidRDefault="00D56237" w:rsidP="00D56237">
      <w:pPr>
        <w:spacing w:after="120" w:line="276" w:lineRule="auto"/>
        <w:ind w:firstLine="709"/>
        <w:jc w:val="both"/>
        <w:rPr>
          <w:rFonts w:ascii="Verdana" w:eastAsia="Calibri" w:hAnsi="Verdana" w:cs="Arial"/>
          <w:kern w:val="2"/>
          <w14:ligatures w14:val="standardContextual"/>
        </w:rPr>
      </w:pPr>
      <w:r w:rsidRPr="00D56237">
        <w:rPr>
          <w:rFonts w:ascii="Verdana" w:eastAsia="Calibri" w:hAnsi="Verdana" w:cs="Arial"/>
          <w:kern w:val="2"/>
          <w14:ligatures w14:val="standardContextual"/>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D56237">
        <w:rPr>
          <w:rFonts w:ascii="Verdana" w:eastAsia="Aptos" w:hAnsi="Verdana" w:cs="Times New Roman"/>
          <w:kern w:val="2"/>
          <w:vertAlign w:val="superscript"/>
          <w14:ligatures w14:val="standardContextual"/>
        </w:rPr>
        <w:footnoteReference w:id="5"/>
      </w:r>
      <w:r w:rsidRPr="00D56237">
        <w:rPr>
          <w:rFonts w:ascii="Verdana" w:eastAsia="Calibri" w:hAnsi="Verdana" w:cs="Arial"/>
          <w:kern w:val="2"/>
          <w14:ligatures w14:val="standardContextua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 </w:t>
      </w:r>
    </w:p>
    <w:p w14:paraId="68688348" w14:textId="77777777" w:rsidR="00D56237" w:rsidRPr="00D56237" w:rsidRDefault="00D56237" w:rsidP="00D56237">
      <w:pPr>
        <w:snapToGrid w:val="0"/>
        <w:spacing w:after="120" w:line="276" w:lineRule="auto"/>
        <w:ind w:firstLine="709"/>
        <w:jc w:val="both"/>
        <w:rPr>
          <w:rFonts w:ascii="Verdana" w:eastAsia="Calibri" w:hAnsi="Verdana" w:cs="Arial"/>
          <w:lang w:val="es-ES"/>
        </w:rPr>
      </w:pPr>
      <w:r w:rsidRPr="00D56237">
        <w:rPr>
          <w:rFonts w:ascii="Verdana" w:eastAsia="Aptos" w:hAnsi="Verdana" w:cs="Times New Roman"/>
          <w:kern w:val="2"/>
          <w:lang w:val="es-ES"/>
          <w14:ligatures w14:val="standardContextual"/>
        </w:rPr>
        <w:t>Por otra parte, es importante señalar que, el artículo 1 de la Ley 2022 de 2020 otorgó a la Agencia Nacional de Contratación Pública – Colombia Compra Eficiente la competencia para adoptar los documentos tipo. Asimismo, reiteró la obligatoriedad de su uso por parte de todas las entidades estatales sometidas al Estatuto General de Contratación de la Administración Pública ‒EGCAP‒. Esto implica que las autoridades deben implementar los documentos tipo que tengan por objeto las actividades contempladas en la “Matriz 1 ‒ Experiencia”. Además, estos documentos son inalterables, lo cual significa que no pueden ser modificados, salvo aquellos aspectos entre corchetes y resaltados en gris o cuya modificación sea permitida por los mismos documentos tipo, de acuerdo con las indicaciones que allí se establezcan.</w:t>
      </w:r>
    </w:p>
    <w:p w14:paraId="0C813E4C" w14:textId="77777777" w:rsidR="00D56237" w:rsidRPr="00D56237" w:rsidRDefault="00D56237" w:rsidP="00D56237">
      <w:pPr>
        <w:spacing w:after="120" w:line="276" w:lineRule="auto"/>
        <w:ind w:firstLine="709"/>
        <w:jc w:val="both"/>
        <w:rPr>
          <w:rFonts w:ascii="Verdana" w:eastAsia="Calibri" w:hAnsi="Verdana" w:cs="Times New Roman"/>
          <w:lang w:val="es-ES"/>
        </w:rPr>
      </w:pPr>
      <w:r w:rsidRPr="00D56237">
        <w:rPr>
          <w:rFonts w:ascii="Verdana" w:eastAsia="Calibri" w:hAnsi="Verdana" w:cs="Times New Roman"/>
          <w:lang w:val="es-ES"/>
        </w:rPr>
        <w:t xml:space="preserve">En desarrollo del artículo 1 de la Ley 2022 de 2020, esta Agencia expidió las Resoluciones 248 y 249 del 1 de diciembre de 2020, modificadas por las </w:t>
      </w:r>
      <w:r w:rsidRPr="00D56237">
        <w:rPr>
          <w:rFonts w:ascii="Verdana" w:eastAsia="Calibri" w:hAnsi="Verdana" w:cs="Times New Roman"/>
          <w:lang w:val="es-ES"/>
        </w:rPr>
        <w:lastRenderedPageBreak/>
        <w:t xml:space="preserve">Resoluciones 161 del 17 de junio de 2021, 173 del 30 de junio de 2021, 304 del 13 de octubre de 2021 y 275 de 2022. Esta última empezó a regir a partir del 29 de agosto de 2022. Mediante estos actos administrativos se adoptaron y modificaron los documentos tipo para procesos de licitación pública y llave en mano de obras públicas de infraestructura de agua potable y saneamiento básico. </w:t>
      </w:r>
    </w:p>
    <w:p w14:paraId="553F949E" w14:textId="77777777" w:rsidR="00D56237" w:rsidRPr="00D56237" w:rsidRDefault="00D56237" w:rsidP="00D56237">
      <w:pPr>
        <w:spacing w:after="120" w:line="276" w:lineRule="auto"/>
        <w:ind w:firstLine="709"/>
        <w:jc w:val="both"/>
        <w:rPr>
          <w:rFonts w:ascii="Verdana" w:eastAsia="Calibri" w:hAnsi="Verdana" w:cs="Times New Roman"/>
          <w:lang w:val="es-ES"/>
        </w:rPr>
      </w:pPr>
      <w:r w:rsidRPr="00D56237">
        <w:rPr>
          <w:rFonts w:ascii="Verdana" w:eastAsia="Calibri" w:hAnsi="Verdana" w:cs="Times New Roman"/>
          <w:lang w:val="es-ES"/>
        </w:rPr>
        <w:t xml:space="preserve">La Resolución 248 de 2021 se refiere, en su artículo segundo, al desarrollo e implementación de los documentos tipo, y establece que contienen parámetros obligatorios para las Entidades Estatales sometidas al Estatuto General de Contratación de la Administración Pública que adelanten procesos de selección de licitación de obra pública de infraestructura de agua potable y saneamiento básico.  </w:t>
      </w:r>
    </w:p>
    <w:p w14:paraId="03355548" w14:textId="77777777" w:rsidR="00D56237" w:rsidRPr="00D56237" w:rsidRDefault="00D56237" w:rsidP="00D56237">
      <w:pPr>
        <w:spacing w:after="120" w:line="276" w:lineRule="auto"/>
        <w:ind w:firstLine="709"/>
        <w:jc w:val="both"/>
        <w:rPr>
          <w:rFonts w:ascii="Verdana" w:eastAsia="Calibri" w:hAnsi="Verdana" w:cs="Times New Roman"/>
          <w:lang w:val="es-ES"/>
        </w:rPr>
      </w:pPr>
      <w:r w:rsidRPr="00D56237">
        <w:rPr>
          <w:rFonts w:ascii="Verdana" w:eastAsia="Calibri" w:hAnsi="Verdana" w:cs="Times New Roman"/>
          <w:bCs/>
          <w:lang w:val="es-ES"/>
        </w:rPr>
        <w:t xml:space="preserve">Para la determinación de los requisitos mínimos de experiencia según la “Matriz 1 – Experiencia”, el numeral 3.5.2 del documento base de los documentos tipo adoptados mediante las resoluciones citadas prescribe que la entidad debe indicar de conformidad con su conocimiento integral del proyecto y las necesidades específicas que requiere acreditar, la forma de análisis y establecimiento de las condiciones de experiencia, tanto general como específica.  </w:t>
      </w:r>
    </w:p>
    <w:p w14:paraId="30156381"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w:t>
      </w:r>
      <w:proofErr w:type="spellStart"/>
      <w:r w:rsidRPr="00D56237">
        <w:rPr>
          <w:rFonts w:ascii="Verdana" w:eastAsia="Calibri" w:hAnsi="Verdana" w:cs="Times New Roman"/>
          <w:bCs/>
          <w:lang w:val="es-ES"/>
        </w:rPr>
        <w:t>ii</w:t>
      </w:r>
      <w:proofErr w:type="spellEnd"/>
      <w:r w:rsidRPr="00D56237">
        <w:rPr>
          <w:rFonts w:ascii="Verdana" w:eastAsia="Calibri" w:hAnsi="Verdana" w:cs="Times New Roman"/>
          <w:bCs/>
          <w:lang w:val="es-ES"/>
        </w:rPr>
        <w:t xml:space="preserve">) la actividad a contratar y </w:t>
      </w:r>
      <w:proofErr w:type="spellStart"/>
      <w:r w:rsidRPr="00D56237">
        <w:rPr>
          <w:rFonts w:ascii="Verdana" w:eastAsia="Calibri" w:hAnsi="Verdana" w:cs="Times New Roman"/>
          <w:bCs/>
          <w:lang w:val="es-ES"/>
        </w:rPr>
        <w:t>iii</w:t>
      </w:r>
      <w:proofErr w:type="spellEnd"/>
      <w:r w:rsidRPr="00D56237">
        <w:rPr>
          <w:rFonts w:ascii="Verdana" w:eastAsia="Calibri" w:hAnsi="Verdana" w:cs="Times New Roman"/>
          <w:bCs/>
          <w:lang w:val="es-ES"/>
        </w:rPr>
        <w:t>) la cuantía del proceso de contratación.</w:t>
      </w:r>
    </w:p>
    <w:p w14:paraId="3F97161F"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 xml:space="preserve">La “Matriz 1 – Experiencia” del sector de agua potable y saneamiento básico está constituida por siete (7) tipos de obras de infraestructura, a saber: 1) obras de acueductos; 2) obras de alcantarillado –sanitarios y/o pluviales y/o combinados–;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 </w:t>
      </w:r>
    </w:p>
    <w:p w14:paraId="22386DF8"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lastRenderedPageBreak/>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 </w:t>
      </w:r>
    </w:p>
    <w:p w14:paraId="69DF7A3D"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 xml:space="preserve">Conforme con lo expuesto, para definir la experiencia exigible en un proceso de contratación de licitación de obra pública de agua potable y saneamiento básico, se deben seguir los siguientes pasos: </w:t>
      </w:r>
    </w:p>
    <w:p w14:paraId="3D616A60"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w:t>
      </w:r>
      <w:r w:rsidRPr="00D56237">
        <w:rPr>
          <w:rFonts w:ascii="Verdana" w:eastAsia="Calibri" w:hAnsi="Verdana" w:cs="Times New Roman"/>
          <w:bCs/>
          <w:lang w:val="es-ES"/>
        </w:rPr>
        <w:tab/>
        <w:t>Identificar en la “Matriz 1 – Experiencia” el tipo de infraestructura sobre el cual recae la obra a ejecutar.</w:t>
      </w:r>
    </w:p>
    <w:p w14:paraId="5D3AB426"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w:t>
      </w:r>
      <w:r w:rsidRPr="00D56237">
        <w:rPr>
          <w:rFonts w:ascii="Verdana" w:eastAsia="Calibri" w:hAnsi="Verdana" w:cs="Times New Roman"/>
          <w:bCs/>
          <w:lang w:val="es-ES"/>
        </w:rPr>
        <w:tab/>
        <w:t>Una vez definido el tipo de infraestructura, identificar la “actividad a contratar” acorde con la “Matriz 1 – Experiencia”. Esta actividad corresponde a la obra que pretende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301DF663"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w:t>
      </w:r>
      <w:r w:rsidRPr="00D56237">
        <w:rPr>
          <w:rFonts w:ascii="Verdana" w:eastAsia="Calibri" w:hAnsi="Verdana" w:cs="Times New Roman"/>
          <w:bCs/>
          <w:lang w:val="es-ES"/>
        </w:rPr>
        <w:tab/>
        <w:t>Identificar el rango de cuantía en el cual se encuentra el proceso de contratación de acuerdo con el presupuesto oficial.</w:t>
      </w:r>
    </w:p>
    <w:p w14:paraId="088212FA"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w:t>
      </w:r>
      <w:r w:rsidRPr="00D56237">
        <w:rPr>
          <w:rFonts w:ascii="Verdana" w:eastAsia="Calibri" w:hAnsi="Verdana" w:cs="Times New Roman"/>
          <w:bCs/>
          <w:lang w:val="es-ES"/>
        </w:rPr>
        <w:tab/>
        <w:t>Identificar la “Experiencia general” exigible acorde con la “Matriz 1 – Experiencia”, teniendo en cuenta la actividad a contratar y el rango de la cuantía del proceso de contratación.</w:t>
      </w:r>
    </w:p>
    <w:p w14:paraId="011EC097"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w:t>
      </w:r>
      <w:r w:rsidRPr="00D56237">
        <w:rPr>
          <w:rFonts w:ascii="Verdana" w:eastAsia="Calibri" w:hAnsi="Verdana" w:cs="Times New Roman"/>
          <w:bCs/>
          <w:lang w:val="es-ES"/>
        </w:rPr>
        <w:tab/>
        <w:t>Identificar la “experiencia específica” exigible, el porcentaje de dimensionamiento, que se puede solicitar acorde con las magnitudes a ejecutar de acuerdo con la cuantía del proceso de contratación y las especificaciones técnicas que determina cada actividad.</w:t>
      </w:r>
    </w:p>
    <w:p w14:paraId="13CF0413" w14:textId="77777777" w:rsidR="00D56237" w:rsidRPr="00D56237" w:rsidRDefault="00D56237" w:rsidP="00D56237">
      <w:pPr>
        <w:spacing w:after="120" w:line="276" w:lineRule="auto"/>
        <w:ind w:firstLine="709"/>
        <w:jc w:val="both"/>
        <w:rPr>
          <w:rFonts w:ascii="Verdana" w:eastAsia="Calibri" w:hAnsi="Verdana" w:cs="Times New Roman"/>
          <w:b/>
          <w:lang w:val="es-ES"/>
        </w:rPr>
      </w:pPr>
      <w:r w:rsidRPr="00D56237">
        <w:rPr>
          <w:rFonts w:ascii="Verdana" w:eastAsia="Calibri" w:hAnsi="Verdana" w:cs="Times New Roman"/>
          <w:bCs/>
          <w:lang w:val="es-ES"/>
        </w:rPr>
        <w:t xml:space="preserve">Así las cosas, en la etapa de planeación, la entidad estatal debe identificar el tipo de obra de infraestructura y las actividades definidas en la “Matriz 1 – Experiencia” atendiendo al alcance del objeto a contratar. De esta manera, la “experiencia general” y la “experiencia específica” se solicitará de acuerdo con la actividad a contratar, con la cuantía del procedimiento y teniendo en cuenta las condiciones técnicas requeridas por la entidad, aspecto que deberá </w:t>
      </w:r>
      <w:r w:rsidRPr="00D56237">
        <w:rPr>
          <w:rFonts w:ascii="Verdana" w:eastAsia="Calibri" w:hAnsi="Verdana" w:cs="Times New Roman"/>
          <w:bCs/>
          <w:lang w:val="es-ES"/>
        </w:rPr>
        <w:lastRenderedPageBreak/>
        <w:t>acreditarse de acuerdo con las instrucciones establecidas en dicha matriz para cada actividad.</w:t>
      </w:r>
    </w:p>
    <w:p w14:paraId="07DC0E9F"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La entidad también puede optar por incluir una o más combinaciones de experiencia específica, según la pertinencia de estas y el alcance del futuro contrato. Es decir que la entidad puede establecer una exigencia de experiencia específica o, por el contrario, exigir varias alternativas para verificar la idoneidad del proponente, de acuerdo con el análisis que realice.</w:t>
      </w:r>
    </w:p>
    <w:p w14:paraId="20298DD8"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Teniendo en cuenta el objeto de su consulta, es importante hacer referencia a las siguientes actividades a contratar, con el fin de contextualizar la presente respuesta:</w:t>
      </w:r>
    </w:p>
    <w:p w14:paraId="75334968" w14:textId="77777777" w:rsidR="00D56237" w:rsidRPr="00D56237" w:rsidRDefault="00D56237" w:rsidP="00D56237">
      <w:pPr>
        <w:numPr>
          <w:ilvl w:val="1"/>
          <w:numId w:val="18"/>
        </w:numPr>
        <w:spacing w:after="120" w:line="276" w:lineRule="auto"/>
        <w:ind w:left="0" w:firstLine="709"/>
        <w:jc w:val="both"/>
        <w:rPr>
          <w:rFonts w:ascii="Verdana" w:eastAsia="Calibri" w:hAnsi="Verdana" w:cs="Times New Roman"/>
          <w:lang w:val="es-ES"/>
        </w:rPr>
      </w:pPr>
      <w:r w:rsidRPr="00D56237">
        <w:rPr>
          <w:rFonts w:ascii="Verdana" w:eastAsia="Calibri" w:hAnsi="Verdana" w:cs="Times New Roman"/>
          <w:lang w:val="es-ES"/>
        </w:rPr>
        <w:t xml:space="preserve">Proyectos de </w:t>
      </w:r>
      <w:r w:rsidRPr="00D56237">
        <w:rPr>
          <w:rFonts w:ascii="Verdana" w:eastAsia="Calibri" w:hAnsi="Verdana" w:cs="Times New Roman"/>
          <w:b/>
          <w:bCs/>
          <w:u w:val="single"/>
          <w:lang w:val="es-ES"/>
        </w:rPr>
        <w:t>construcción</w:t>
      </w:r>
      <w:r w:rsidRPr="00D56237">
        <w:rPr>
          <w:rFonts w:ascii="Verdana" w:eastAsia="Calibri" w:hAnsi="Verdana" w:cs="Times New Roman"/>
          <w:lang w:val="es-ES"/>
        </w:rPr>
        <w:t xml:space="preserve"> de acueductos (urbanos y/o rurales) y/u obras complementarias, se requiere para acreditar la experiencia general: proyectos que correspondan o hayan contenido actividades de: </w:t>
      </w:r>
      <w:r w:rsidRPr="00D56237">
        <w:rPr>
          <w:rFonts w:ascii="Verdana" w:eastAsia="Calibri" w:hAnsi="Verdana" w:cs="Times New Roman"/>
          <w:b/>
          <w:bCs/>
          <w:u w:val="single"/>
          <w:lang w:val="es-ES"/>
        </w:rPr>
        <w:t>construcción</w:t>
      </w:r>
      <w:r w:rsidRPr="00D56237">
        <w:rPr>
          <w:rFonts w:ascii="Verdana" w:eastAsia="Calibri" w:hAnsi="Verdana" w:cs="Times New Roman"/>
          <w:lang w:val="es-ES"/>
        </w:rPr>
        <w:t xml:space="preserve"> de acueductos.</w:t>
      </w:r>
      <w:r w:rsidRPr="00D56237">
        <w:rPr>
          <w:rFonts w:ascii="Verdana" w:eastAsia="Calibri" w:hAnsi="Verdana" w:cs="Times New Roman"/>
          <w:lang w:val="es-ES"/>
        </w:rPr>
        <w:tab/>
      </w:r>
    </w:p>
    <w:p w14:paraId="4B940A3D" w14:textId="77777777" w:rsidR="00D56237" w:rsidRPr="00D56237" w:rsidRDefault="00D56237" w:rsidP="00D56237">
      <w:pPr>
        <w:numPr>
          <w:ilvl w:val="1"/>
          <w:numId w:val="18"/>
        </w:numPr>
        <w:spacing w:after="120" w:line="276" w:lineRule="auto"/>
        <w:ind w:left="0" w:firstLine="709"/>
        <w:jc w:val="both"/>
        <w:rPr>
          <w:rFonts w:ascii="Verdana" w:eastAsia="Calibri" w:hAnsi="Verdana" w:cs="Times New Roman"/>
          <w:lang w:val="es-ES"/>
        </w:rPr>
      </w:pPr>
      <w:r w:rsidRPr="00D56237">
        <w:rPr>
          <w:rFonts w:ascii="Verdana" w:eastAsia="Calibri" w:hAnsi="Verdana" w:cs="Times New Roman"/>
          <w:lang w:val="es-ES"/>
        </w:rPr>
        <w:t xml:space="preserve">Proyectos de </w:t>
      </w:r>
      <w:r w:rsidRPr="00D56237">
        <w:rPr>
          <w:rFonts w:ascii="Verdana" w:eastAsia="Calibri" w:hAnsi="Verdana" w:cs="Times New Roman"/>
          <w:b/>
          <w:bCs/>
          <w:u w:val="single"/>
          <w:lang w:val="es-ES"/>
        </w:rPr>
        <w:t>optimización y/o mejoramiento y/o rehabilitación y/o reforzamiento y/o reconstrucción y/o reposición</w:t>
      </w:r>
      <w:r w:rsidRPr="00D56237">
        <w:rPr>
          <w:rFonts w:ascii="Verdana" w:eastAsia="Calibri" w:hAnsi="Verdana" w:cs="Times New Roman"/>
          <w:lang w:val="es-ES"/>
        </w:rPr>
        <w:t xml:space="preserve"> de acueductos y/o redes de acueducto (urbanos y/o rurales), se requiere para acreditar la experiencia general: proyectos que correspondan o hayan contenido actividades de: </w:t>
      </w:r>
      <w:r w:rsidRPr="00D56237">
        <w:rPr>
          <w:rFonts w:ascii="Verdana" w:eastAsia="Calibri" w:hAnsi="Verdana" w:cs="Times New Roman"/>
          <w:b/>
          <w:bCs/>
          <w:u w:val="single"/>
          <w:lang w:val="es-ES"/>
        </w:rPr>
        <w:t>ampliación y/u optimización y/o construcción y/o mejoramiento y/o reposición y/o rehabilitación y/o reforzamiento y/o reconstrucción</w:t>
      </w:r>
      <w:r w:rsidRPr="00D56237">
        <w:rPr>
          <w:rFonts w:ascii="Verdana" w:eastAsia="Calibri" w:hAnsi="Verdana" w:cs="Times New Roman"/>
          <w:lang w:val="es-ES"/>
        </w:rPr>
        <w:t xml:space="preserve"> de acueductos.</w:t>
      </w:r>
    </w:p>
    <w:p w14:paraId="0959942A" w14:textId="77777777" w:rsidR="00D56237" w:rsidRPr="00D56237" w:rsidRDefault="00D56237" w:rsidP="00D56237">
      <w:pPr>
        <w:spacing w:after="120" w:line="276" w:lineRule="auto"/>
        <w:ind w:firstLine="709"/>
        <w:jc w:val="both"/>
        <w:rPr>
          <w:rFonts w:ascii="Verdana" w:eastAsia="Calibri" w:hAnsi="Verdana" w:cs="Times New Roman"/>
        </w:rPr>
      </w:pPr>
      <w:r w:rsidRPr="00D56237">
        <w:rPr>
          <w:rFonts w:ascii="Verdana" w:eastAsia="Calibri" w:hAnsi="Verdana" w:cs="Times New Roman"/>
        </w:rPr>
        <w:t xml:space="preserve">2.1 </w:t>
      </w:r>
      <w:r w:rsidRPr="00D56237">
        <w:rPr>
          <w:rFonts w:ascii="Verdana" w:eastAsia="Calibri" w:hAnsi="Verdana" w:cs="Times New Roman"/>
        </w:rPr>
        <w:tab/>
        <w:t xml:space="preserve">Proyectos de </w:t>
      </w:r>
      <w:r w:rsidRPr="00D56237">
        <w:rPr>
          <w:rFonts w:ascii="Verdana" w:eastAsia="Calibri" w:hAnsi="Verdana" w:cs="Times New Roman"/>
          <w:b/>
          <w:bCs/>
        </w:rPr>
        <w:t>construcción</w:t>
      </w:r>
      <w:r w:rsidRPr="00D56237">
        <w:rPr>
          <w:rFonts w:ascii="Verdana" w:eastAsia="Calibri" w:hAnsi="Verdana" w:cs="Times New Roman"/>
        </w:rPr>
        <w:t xml:space="preserve"> de alcantarillados sanitarios y/o pluviales y/o combinado (urbanos y/o rurales) y/u obras complementarias, se requiere para acreditar la experiencia general: proyectos que correspondan o hayan contenido actividades de: </w:t>
      </w:r>
      <w:r w:rsidRPr="00D56237">
        <w:rPr>
          <w:rFonts w:ascii="Verdana" w:eastAsia="Calibri" w:hAnsi="Verdana" w:cs="Times New Roman"/>
          <w:b/>
          <w:bCs/>
          <w:u w:val="single"/>
        </w:rPr>
        <w:t>construcción</w:t>
      </w:r>
      <w:r w:rsidRPr="00D56237">
        <w:rPr>
          <w:rFonts w:ascii="Verdana" w:eastAsia="Calibri" w:hAnsi="Verdana" w:cs="Times New Roman"/>
        </w:rPr>
        <w:t xml:space="preserve"> de alcantarillado (sanitario y/o pluvial y/o combinado).</w:t>
      </w:r>
      <w:r w:rsidRPr="00D56237">
        <w:rPr>
          <w:rFonts w:ascii="Verdana" w:eastAsia="Calibri" w:hAnsi="Verdana" w:cs="Times New Roman"/>
        </w:rPr>
        <w:tab/>
      </w:r>
    </w:p>
    <w:p w14:paraId="4C95C61B" w14:textId="77777777" w:rsidR="00D56237" w:rsidRPr="00D56237" w:rsidRDefault="00D56237" w:rsidP="00D56237">
      <w:pPr>
        <w:spacing w:after="120" w:line="276" w:lineRule="auto"/>
        <w:ind w:firstLine="709"/>
        <w:jc w:val="both"/>
        <w:rPr>
          <w:rFonts w:ascii="Verdana" w:eastAsia="Calibri" w:hAnsi="Verdana" w:cs="Times New Roman"/>
        </w:rPr>
      </w:pPr>
      <w:r w:rsidRPr="00D56237">
        <w:rPr>
          <w:rFonts w:ascii="Verdana" w:eastAsia="Calibri" w:hAnsi="Verdana" w:cs="Times New Roman"/>
        </w:rPr>
        <w:t xml:space="preserve">2.2 </w:t>
      </w:r>
      <w:r w:rsidRPr="00D56237">
        <w:rPr>
          <w:rFonts w:ascii="Verdana" w:eastAsia="Calibri" w:hAnsi="Verdana" w:cs="Times New Roman"/>
        </w:rPr>
        <w:tab/>
        <w:t xml:space="preserve">Proyectos de </w:t>
      </w:r>
      <w:r w:rsidRPr="00D56237">
        <w:rPr>
          <w:rFonts w:ascii="Verdana" w:eastAsia="Calibri" w:hAnsi="Verdana" w:cs="Times New Roman"/>
          <w:b/>
          <w:bCs/>
          <w:u w:val="single"/>
        </w:rPr>
        <w:t>optimización y/o mejoramiento y/o rehabilitación y/o reforzamiento y/o reconstrucción y/o reposición</w:t>
      </w:r>
      <w:r w:rsidRPr="00D56237">
        <w:rPr>
          <w:rFonts w:ascii="Verdana" w:eastAsia="Calibri" w:hAnsi="Verdana" w:cs="Times New Roman"/>
        </w:rPr>
        <w:t xml:space="preserve"> de alcantarillados y/o redes de alcantarillado sanitarios y/o pluviales y/o combinado (urbanos y/o rurales)</w:t>
      </w:r>
      <w:r w:rsidRPr="00D56237">
        <w:rPr>
          <w:rFonts w:ascii="Calibri" w:eastAsia="Calibri" w:hAnsi="Calibri" w:cs="Times New Roman"/>
        </w:rPr>
        <w:t xml:space="preserve"> </w:t>
      </w:r>
      <w:r w:rsidRPr="00D56237">
        <w:rPr>
          <w:rFonts w:ascii="Verdana" w:eastAsia="Calibri" w:hAnsi="Verdana" w:cs="Times New Roman"/>
        </w:rPr>
        <w:t>, se requiere para acreditar la experiencia general: proyectos que correspondan o hayan contenido actividades de:</w:t>
      </w:r>
      <w:r w:rsidRPr="00D56237">
        <w:rPr>
          <w:rFonts w:ascii="Verdana" w:eastAsia="Calibri" w:hAnsi="Verdana" w:cs="Times New Roman"/>
          <w:b/>
          <w:bCs/>
          <w:u w:val="single"/>
        </w:rPr>
        <w:t xml:space="preserve"> ampliación y/u optimización y/o construcción y/o mejoramiento y/o reposición y/o rehabilitación y/o reforzamiento y/o reconstrucció</w:t>
      </w:r>
      <w:r w:rsidRPr="00D56237">
        <w:rPr>
          <w:rFonts w:ascii="Verdana" w:eastAsia="Calibri" w:hAnsi="Verdana" w:cs="Times New Roman"/>
        </w:rPr>
        <w:t>n de alcantarillados (sanitarios y/o pluviales y/o combinado).</w:t>
      </w:r>
      <w:r w:rsidRPr="00D56237">
        <w:rPr>
          <w:rFonts w:ascii="Verdana" w:eastAsia="Calibri" w:hAnsi="Verdana" w:cs="Times New Roman"/>
        </w:rPr>
        <w:tab/>
      </w:r>
      <w:r w:rsidRPr="00D56237">
        <w:rPr>
          <w:rFonts w:ascii="Verdana" w:eastAsia="Calibri" w:hAnsi="Verdana" w:cs="Times New Roman"/>
        </w:rPr>
        <w:tab/>
      </w:r>
      <w:r w:rsidRPr="00D56237">
        <w:rPr>
          <w:rFonts w:ascii="Verdana" w:eastAsia="Calibri" w:hAnsi="Verdana" w:cs="Times New Roman"/>
        </w:rPr>
        <w:tab/>
      </w:r>
      <w:r w:rsidRPr="00D56237">
        <w:rPr>
          <w:rFonts w:ascii="Verdana" w:eastAsia="Calibri" w:hAnsi="Verdana" w:cs="Times New Roman"/>
        </w:rPr>
        <w:tab/>
      </w:r>
      <w:r w:rsidRPr="00D56237">
        <w:rPr>
          <w:rFonts w:ascii="Verdana" w:eastAsia="Calibri" w:hAnsi="Verdana" w:cs="Times New Roman"/>
        </w:rPr>
        <w:tab/>
      </w:r>
      <w:r w:rsidRPr="00D56237">
        <w:rPr>
          <w:rFonts w:ascii="Verdana" w:eastAsia="Calibri" w:hAnsi="Verdana" w:cs="Times New Roman"/>
        </w:rPr>
        <w:tab/>
      </w:r>
      <w:r w:rsidRPr="00D56237">
        <w:rPr>
          <w:rFonts w:ascii="Verdana" w:eastAsia="Calibri" w:hAnsi="Verdana" w:cs="Times New Roman"/>
        </w:rPr>
        <w:tab/>
        <w:t xml:space="preserve">4.1 </w:t>
      </w:r>
      <w:r w:rsidRPr="00D56237">
        <w:rPr>
          <w:rFonts w:ascii="Verdana" w:eastAsia="Calibri" w:hAnsi="Verdana" w:cs="Times New Roman"/>
        </w:rPr>
        <w:tab/>
        <w:t xml:space="preserve">Proyectos de </w:t>
      </w:r>
      <w:r w:rsidRPr="00D56237">
        <w:rPr>
          <w:rFonts w:ascii="Verdana" w:eastAsia="Calibri" w:hAnsi="Verdana" w:cs="Times New Roman"/>
          <w:b/>
          <w:bCs/>
          <w:u w:val="single"/>
        </w:rPr>
        <w:t xml:space="preserve">construcción </w:t>
      </w:r>
      <w:r w:rsidRPr="00D56237">
        <w:rPr>
          <w:rFonts w:ascii="Verdana" w:eastAsia="Calibri" w:hAnsi="Verdana" w:cs="Times New Roman"/>
        </w:rPr>
        <w:t xml:space="preserve">de PTAP y/u obras complementarias, </w:t>
      </w:r>
      <w:r w:rsidRPr="00D56237">
        <w:rPr>
          <w:rFonts w:ascii="Verdana" w:eastAsia="Calibri" w:hAnsi="Verdana" w:cs="Times New Roman"/>
        </w:rPr>
        <w:lastRenderedPageBreak/>
        <w:t>se requiere para acreditar la experiencia general: proyectos que correspondan o hayan contenido actividades de</w:t>
      </w:r>
      <w:r w:rsidRPr="00D56237">
        <w:rPr>
          <w:rFonts w:ascii="Verdana" w:eastAsia="Calibri" w:hAnsi="Verdana" w:cs="Times New Roman"/>
          <w:b/>
          <w:bCs/>
          <w:u w:val="single"/>
        </w:rPr>
        <w:t xml:space="preserve"> construcción</w:t>
      </w:r>
      <w:r w:rsidRPr="00D56237">
        <w:rPr>
          <w:rFonts w:ascii="Verdana" w:eastAsia="Calibri" w:hAnsi="Verdana" w:cs="Times New Roman"/>
        </w:rPr>
        <w:t xml:space="preserve"> de: sistemas de acueductos y/o PTAP y/o sistemas de tratamiento de agua.</w:t>
      </w:r>
    </w:p>
    <w:p w14:paraId="28DDD227" w14:textId="77777777" w:rsidR="00D56237" w:rsidRPr="00D56237" w:rsidRDefault="00D56237" w:rsidP="00D56237">
      <w:pPr>
        <w:spacing w:after="120" w:line="276" w:lineRule="auto"/>
        <w:ind w:firstLine="709"/>
        <w:jc w:val="both"/>
        <w:rPr>
          <w:rFonts w:ascii="Verdana" w:eastAsia="Calibri" w:hAnsi="Verdana" w:cs="Times New Roman"/>
        </w:rPr>
      </w:pPr>
      <w:r w:rsidRPr="00D56237">
        <w:rPr>
          <w:rFonts w:ascii="Verdana" w:eastAsia="Calibri" w:hAnsi="Verdana" w:cs="Times New Roman"/>
        </w:rPr>
        <w:t xml:space="preserve">4.3. Proyectos de </w:t>
      </w:r>
      <w:r w:rsidRPr="00D56237">
        <w:rPr>
          <w:rFonts w:ascii="Verdana" w:eastAsia="Calibri" w:hAnsi="Verdana" w:cs="Times New Roman"/>
          <w:b/>
          <w:bCs/>
          <w:u w:val="single"/>
        </w:rPr>
        <w:t>optimización y/o mejoramiento y/o adecuación y/o reforzamiento y/o rehabilitación y/o mantenimiento</w:t>
      </w:r>
      <w:r w:rsidRPr="00D56237">
        <w:rPr>
          <w:rFonts w:ascii="Verdana" w:eastAsia="Calibri" w:hAnsi="Verdana" w:cs="Times New Roman"/>
        </w:rPr>
        <w:t xml:space="preserve"> de PTAP y/u obras complementarias, se requiere para acreditar la experiencia general:</w:t>
      </w:r>
      <w:r w:rsidRPr="00D56237">
        <w:rPr>
          <w:rFonts w:ascii="Calibri" w:eastAsia="Calibri" w:hAnsi="Calibri" w:cs="Times New Roman"/>
        </w:rPr>
        <w:t xml:space="preserve"> </w:t>
      </w:r>
      <w:r w:rsidRPr="00D56237">
        <w:rPr>
          <w:rFonts w:ascii="Verdana" w:eastAsia="Calibri" w:hAnsi="Verdana" w:cs="Times New Roman"/>
        </w:rPr>
        <w:t xml:space="preserve">proyectos que correspondan o hayan contenido actividades de: </w:t>
      </w:r>
      <w:r w:rsidRPr="00D56237">
        <w:rPr>
          <w:rFonts w:ascii="Verdana" w:eastAsia="Calibri" w:hAnsi="Verdana" w:cs="Times New Roman"/>
          <w:b/>
          <w:bCs/>
          <w:u w:val="single"/>
        </w:rPr>
        <w:t>construcción y/o mejoramiento y/o reforzamiento y/o ampliación y/o adecuación y/o rehabilitación y/o mantenimiento</w:t>
      </w:r>
      <w:r w:rsidRPr="00D56237">
        <w:rPr>
          <w:rFonts w:ascii="Verdana" w:eastAsia="Calibri" w:hAnsi="Verdana" w:cs="Times New Roman"/>
        </w:rPr>
        <w:t xml:space="preserve"> de: sistemas de acueductos y/o PTAP y/o sistemas de tratamiento de agua.</w:t>
      </w:r>
      <w:r w:rsidRPr="00D56237">
        <w:rPr>
          <w:rFonts w:ascii="Verdana" w:eastAsia="Calibri" w:hAnsi="Verdana" w:cs="Times New Roman"/>
        </w:rPr>
        <w:tab/>
      </w:r>
    </w:p>
    <w:p w14:paraId="60D3DB90" w14:textId="77777777" w:rsidR="00D56237" w:rsidRPr="00D56237" w:rsidRDefault="00D56237" w:rsidP="00D56237">
      <w:pPr>
        <w:spacing w:after="120"/>
        <w:ind w:firstLine="709"/>
        <w:jc w:val="both"/>
        <w:rPr>
          <w:rFonts w:ascii="Verdana" w:eastAsia="Calibri" w:hAnsi="Verdana" w:cs="Times New Roman"/>
          <w:b/>
          <w:bCs/>
        </w:rPr>
      </w:pPr>
      <w:r w:rsidRPr="00D56237">
        <w:rPr>
          <w:rFonts w:ascii="Verdana" w:eastAsia="Calibri" w:hAnsi="Verdana" w:cs="Times New Roman"/>
        </w:rPr>
        <w:t xml:space="preserve">Al respecto, de manera particular, en la “Matriz 1 – Experiencia” del sector de agua potable y saneamiento básico, dentro las actividades 1.1, 2.1 y 4.1 que hacen referencia a “construcción”, y las actividades 1.2, 2.2 y 4.3 referidas a “optimización y/o mejoramiento y/o rehabilitación y/o reforzamiento y/o reconstrucción y/o reposición”, tomadas a fin de contextualizar su consulta, se establece específicamente que la entidad determinará si el proceso se debe enmarcar en “construcción” o en “optimización y/o mejoramiento y/o rehabilitación y/o reforzamiento y/o reconstrucción y/o reposición”, así:  </w:t>
      </w:r>
    </w:p>
    <w:p w14:paraId="3A9B0266" w14:textId="77777777" w:rsidR="00D56237" w:rsidRPr="00D56237" w:rsidRDefault="00D56237" w:rsidP="00D56237">
      <w:pPr>
        <w:numPr>
          <w:ilvl w:val="0"/>
          <w:numId w:val="21"/>
        </w:numPr>
        <w:spacing w:after="0" w:line="276" w:lineRule="auto"/>
        <w:ind w:left="0" w:firstLine="709"/>
        <w:jc w:val="both"/>
        <w:rPr>
          <w:rFonts w:ascii="Verdana" w:eastAsia="Calibri" w:hAnsi="Verdana" w:cs="Times New Roman"/>
          <w:bCs/>
          <w:lang w:val="es-ES"/>
        </w:rPr>
      </w:pPr>
      <w:r w:rsidRPr="00D56237">
        <w:rPr>
          <w:rFonts w:ascii="Verdana" w:eastAsia="Calibri" w:hAnsi="Verdana" w:cs="Times New Roman"/>
          <w:bCs/>
          <w:lang w:val="es-ES"/>
        </w:rPr>
        <w:t>Actividades relacionadas con construcción de la Matriz 1, tomadas como ejemplo:</w:t>
      </w:r>
    </w:p>
    <w:p w14:paraId="67B7C9C9" w14:textId="77777777" w:rsidR="00D56237" w:rsidRPr="00D56237" w:rsidRDefault="00D56237" w:rsidP="00D56237">
      <w:pPr>
        <w:spacing w:after="0" w:line="276" w:lineRule="auto"/>
        <w:ind w:firstLine="709"/>
        <w:jc w:val="both"/>
        <w:rPr>
          <w:rFonts w:ascii="Verdana" w:eastAsia="Calibri" w:hAnsi="Verdana" w:cs="Times New Roman"/>
          <w:bCs/>
          <w:lang w:val="es-ES"/>
        </w:rPr>
      </w:pPr>
    </w:p>
    <w:p w14:paraId="10C50FD8" w14:textId="77777777" w:rsidR="00D56237" w:rsidRPr="00D56237" w:rsidRDefault="00D56237" w:rsidP="00D56237">
      <w:pPr>
        <w:numPr>
          <w:ilvl w:val="1"/>
          <w:numId w:val="19"/>
        </w:numPr>
        <w:spacing w:after="0" w:line="276" w:lineRule="auto"/>
        <w:ind w:left="709" w:firstLine="0"/>
        <w:jc w:val="both"/>
        <w:rPr>
          <w:rFonts w:ascii="Verdana" w:eastAsia="Calibri" w:hAnsi="Verdana" w:cs="Times New Roman"/>
          <w:lang w:val="es-ES"/>
        </w:rPr>
      </w:pPr>
      <w:r w:rsidRPr="00D56237">
        <w:rPr>
          <w:rFonts w:ascii="Verdana" w:eastAsia="Calibri" w:hAnsi="Verdana" w:cs="Times New Roman"/>
          <w:lang w:val="es-ES"/>
        </w:rPr>
        <w:t>Proyectos de construcción de acueductos (urbanos y/o rurales) y/u obras complementarias.</w:t>
      </w:r>
    </w:p>
    <w:p w14:paraId="72FD938D" w14:textId="77777777" w:rsidR="00D56237" w:rsidRPr="00D56237" w:rsidRDefault="00D56237" w:rsidP="00D56237">
      <w:pPr>
        <w:numPr>
          <w:ilvl w:val="1"/>
          <w:numId w:val="20"/>
        </w:numPr>
        <w:spacing w:after="0" w:line="276" w:lineRule="auto"/>
        <w:ind w:left="709" w:firstLine="0"/>
        <w:jc w:val="both"/>
        <w:rPr>
          <w:rFonts w:ascii="Verdana" w:eastAsia="Calibri" w:hAnsi="Verdana" w:cs="Times New Roman"/>
          <w:lang w:val="es-ES"/>
        </w:rPr>
      </w:pPr>
      <w:r w:rsidRPr="00D56237">
        <w:rPr>
          <w:rFonts w:ascii="Verdana" w:eastAsia="Calibri" w:hAnsi="Verdana" w:cs="Times New Roman"/>
          <w:lang w:val="es-ES"/>
        </w:rPr>
        <w:t>Proyectos de construcción de alcantarillados sanitarios y/o pluviales y/o combinado (urbanos y/o rurales) y/u obras complementarias.</w:t>
      </w:r>
      <w:r w:rsidRPr="00D56237">
        <w:rPr>
          <w:rFonts w:ascii="Verdana" w:eastAsia="Calibri" w:hAnsi="Verdana" w:cs="Times New Roman"/>
          <w:lang w:val="es-ES"/>
        </w:rPr>
        <w:tab/>
      </w:r>
    </w:p>
    <w:p w14:paraId="0512905F"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 xml:space="preserve">4.1 </w:t>
      </w:r>
      <w:r w:rsidRPr="00D56237">
        <w:rPr>
          <w:rFonts w:ascii="Verdana" w:eastAsia="Calibri" w:hAnsi="Verdana" w:cs="Times New Roman"/>
        </w:rPr>
        <w:tab/>
        <w:t>Proyectos de construcción de PTAP y/u obras complementarias.</w:t>
      </w:r>
    </w:p>
    <w:p w14:paraId="343941A3" w14:textId="77777777" w:rsidR="00D56237" w:rsidRPr="00D56237" w:rsidRDefault="00D56237" w:rsidP="00D56237">
      <w:pPr>
        <w:spacing w:after="0" w:line="276" w:lineRule="auto"/>
        <w:ind w:firstLine="709"/>
        <w:jc w:val="both"/>
        <w:rPr>
          <w:rFonts w:ascii="Verdana" w:eastAsia="Calibri" w:hAnsi="Verdana" w:cs="Times New Roman"/>
          <w:lang w:val="es-ES"/>
        </w:rPr>
      </w:pPr>
    </w:p>
    <w:p w14:paraId="1397DBBD" w14:textId="77777777" w:rsidR="00D56237" w:rsidRPr="00D56237" w:rsidRDefault="00D56237" w:rsidP="00D56237">
      <w:pPr>
        <w:numPr>
          <w:ilvl w:val="0"/>
          <w:numId w:val="21"/>
        </w:numPr>
        <w:spacing w:after="0" w:line="276" w:lineRule="auto"/>
        <w:ind w:left="0" w:firstLine="709"/>
        <w:jc w:val="both"/>
        <w:rPr>
          <w:rFonts w:ascii="Verdana" w:eastAsia="Calibri" w:hAnsi="Verdana" w:cs="Times New Roman"/>
          <w:bCs/>
          <w:lang w:val="es-ES"/>
        </w:rPr>
      </w:pPr>
      <w:r w:rsidRPr="00D56237">
        <w:rPr>
          <w:rFonts w:ascii="Verdana" w:eastAsia="Calibri" w:hAnsi="Verdana" w:cs="Times New Roman"/>
          <w:bCs/>
          <w:lang w:val="es-ES"/>
        </w:rPr>
        <w:t>Actividades relacionadas con optimización y/o mejoramiento y/o rehabilitación y/o reforzamiento y/o reconstrucción y/o reposición de la Matriz 1, tomadas como ejemplo:</w:t>
      </w:r>
    </w:p>
    <w:p w14:paraId="43D5AD1D" w14:textId="77777777" w:rsidR="00D56237" w:rsidRPr="00D56237" w:rsidRDefault="00D56237" w:rsidP="00D56237">
      <w:pPr>
        <w:spacing w:after="0" w:line="276" w:lineRule="auto"/>
        <w:ind w:firstLine="709"/>
        <w:jc w:val="both"/>
        <w:rPr>
          <w:rFonts w:ascii="Verdana" w:eastAsia="Calibri" w:hAnsi="Verdana" w:cs="Times New Roman"/>
        </w:rPr>
      </w:pPr>
    </w:p>
    <w:p w14:paraId="775F0800" w14:textId="77777777" w:rsidR="00D56237" w:rsidRPr="00D56237" w:rsidRDefault="00D56237" w:rsidP="00D56237">
      <w:pPr>
        <w:spacing w:after="0" w:line="276" w:lineRule="auto"/>
        <w:ind w:left="709"/>
        <w:jc w:val="both"/>
        <w:rPr>
          <w:rFonts w:ascii="Verdana" w:eastAsia="Calibri" w:hAnsi="Verdana" w:cs="Times New Roman"/>
          <w:lang w:val="es-ES"/>
        </w:rPr>
      </w:pPr>
      <w:r w:rsidRPr="00D56237">
        <w:rPr>
          <w:rFonts w:ascii="Verdana" w:eastAsia="Calibri" w:hAnsi="Verdana" w:cs="Times New Roman"/>
          <w:lang w:val="es-ES"/>
        </w:rPr>
        <w:t>1.2. Proyectos de optimización y/o mejoramiento y/o rehabilitación y/o reforzamiento y/o reconstrucción y/o reposición de acueductos y/o redes de acueducto (urbanos y/o rurales).</w:t>
      </w:r>
    </w:p>
    <w:p w14:paraId="13C2D95F"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 xml:space="preserve">2.2 </w:t>
      </w:r>
      <w:r w:rsidRPr="00D56237">
        <w:rPr>
          <w:rFonts w:ascii="Verdana" w:eastAsia="Calibri" w:hAnsi="Verdana" w:cs="Times New Roman"/>
        </w:rPr>
        <w:tab/>
        <w:t xml:space="preserve">Proyectos de optimización y/o mejoramiento y/o rehabilitación y/o reforzamiento y/o reconstrucción y/o reposición de alcantarillados y/o </w:t>
      </w:r>
      <w:r w:rsidRPr="00D56237">
        <w:rPr>
          <w:rFonts w:ascii="Verdana" w:eastAsia="Calibri" w:hAnsi="Verdana" w:cs="Times New Roman"/>
        </w:rPr>
        <w:lastRenderedPageBreak/>
        <w:t>redes de alcantarillado sanitarios y/o pluviales y/o combinado (urbanos y/o rurales).</w:t>
      </w:r>
    </w:p>
    <w:p w14:paraId="3519BE3F"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4.3. Proyectos de optimización y/o mejoramiento y/o adecuación y/o reforzamiento y/o rehabilitación y/o mantenimiento de PTAP y/u obras complementarias.</w:t>
      </w:r>
    </w:p>
    <w:p w14:paraId="37A43B39" w14:textId="77777777" w:rsidR="00D56237" w:rsidRPr="00D56237" w:rsidRDefault="00D56237" w:rsidP="00D56237">
      <w:pPr>
        <w:spacing w:after="0" w:line="276" w:lineRule="auto"/>
        <w:ind w:left="709"/>
        <w:jc w:val="both"/>
        <w:rPr>
          <w:rFonts w:ascii="Verdana" w:eastAsia="Calibri" w:hAnsi="Verdana" w:cs="Times New Roman"/>
        </w:rPr>
      </w:pPr>
    </w:p>
    <w:p w14:paraId="3280C65C" w14:textId="77777777" w:rsidR="00D56237" w:rsidRPr="00D56237" w:rsidRDefault="00D56237" w:rsidP="00D56237">
      <w:pPr>
        <w:spacing w:after="0" w:line="276" w:lineRule="auto"/>
        <w:ind w:firstLine="709"/>
        <w:jc w:val="both"/>
        <w:rPr>
          <w:rFonts w:ascii="Verdana" w:eastAsia="Calibri" w:hAnsi="Verdana" w:cs="Times New Roman"/>
          <w:b/>
          <w:bCs/>
        </w:rPr>
      </w:pPr>
      <w:r w:rsidRPr="00D56237">
        <w:rPr>
          <w:rFonts w:ascii="Verdana" w:eastAsia="Calibri" w:hAnsi="Verdana" w:cs="Times New Roman"/>
          <w:bCs/>
          <w:lang w:val="es-ES"/>
        </w:rPr>
        <w:t>Así, hay que señalar los requisitos de experiencia general en estas seis (6) actividades tomadas de la Matriz 1, para poder contextualizar la presente respuesta:</w:t>
      </w:r>
    </w:p>
    <w:p w14:paraId="11468A4C" w14:textId="77777777" w:rsidR="00D56237" w:rsidRPr="00D56237" w:rsidRDefault="00D56237" w:rsidP="00D56237">
      <w:pPr>
        <w:spacing w:after="0" w:line="276" w:lineRule="auto"/>
        <w:ind w:firstLine="709"/>
        <w:jc w:val="both"/>
        <w:rPr>
          <w:rFonts w:ascii="Verdana" w:eastAsia="Calibri" w:hAnsi="Verdana" w:cs="Times New Roman"/>
          <w:b/>
          <w:bCs/>
        </w:rPr>
      </w:pPr>
    </w:p>
    <w:p w14:paraId="5A34350A" w14:textId="77777777" w:rsidR="00D56237" w:rsidRPr="00D56237" w:rsidRDefault="00D56237" w:rsidP="00D56237">
      <w:pPr>
        <w:numPr>
          <w:ilvl w:val="0"/>
          <w:numId w:val="23"/>
        </w:numPr>
        <w:spacing w:after="0" w:line="276" w:lineRule="auto"/>
        <w:ind w:left="0" w:firstLine="709"/>
        <w:jc w:val="both"/>
        <w:rPr>
          <w:rFonts w:ascii="Verdana" w:eastAsia="Calibri" w:hAnsi="Verdana" w:cs="Times New Roman"/>
          <w:bCs/>
          <w:lang w:val="es-ES"/>
        </w:rPr>
      </w:pPr>
      <w:r w:rsidRPr="00D56237">
        <w:rPr>
          <w:rFonts w:ascii="Verdana" w:eastAsia="Calibri" w:hAnsi="Verdana" w:cs="Times New Roman"/>
          <w:bCs/>
          <w:lang w:val="es-ES"/>
        </w:rPr>
        <w:t xml:space="preserve">Experiencia general solicitada para las actividades relacionadas con </w:t>
      </w:r>
      <w:r w:rsidRPr="00D56237">
        <w:rPr>
          <w:rFonts w:ascii="Verdana" w:eastAsia="Calibri" w:hAnsi="Verdana" w:cs="Times New Roman"/>
          <w:bCs/>
          <w:i/>
          <w:iCs/>
          <w:lang w:val="es-ES"/>
        </w:rPr>
        <w:t>construcción</w:t>
      </w:r>
      <w:r w:rsidRPr="00D56237">
        <w:rPr>
          <w:rFonts w:ascii="Verdana" w:eastAsia="Calibri" w:hAnsi="Verdana" w:cs="Times New Roman"/>
          <w:bCs/>
          <w:lang w:val="es-ES"/>
        </w:rPr>
        <w:t xml:space="preserve"> de la Matriz 1:</w:t>
      </w:r>
    </w:p>
    <w:p w14:paraId="1FE399A6" w14:textId="77777777" w:rsidR="00D56237" w:rsidRPr="00D56237" w:rsidRDefault="00D56237" w:rsidP="00D56237">
      <w:pPr>
        <w:spacing w:line="276" w:lineRule="auto"/>
        <w:jc w:val="both"/>
        <w:rPr>
          <w:rFonts w:ascii="Verdana" w:eastAsia="Calibri" w:hAnsi="Verdana" w:cs="Times New Roman"/>
          <w:b/>
          <w:bCs/>
        </w:rPr>
      </w:pPr>
    </w:p>
    <w:p w14:paraId="798A470C"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1.1   Experiencia general: proyectos que correspondan o hayan contenido actividades de: construcción de acueductos.</w:t>
      </w:r>
      <w:r w:rsidRPr="00D56237">
        <w:rPr>
          <w:rFonts w:ascii="Verdana" w:eastAsia="Calibri" w:hAnsi="Verdana" w:cs="Times New Roman"/>
        </w:rPr>
        <w:tab/>
      </w:r>
    </w:p>
    <w:p w14:paraId="48D49E15"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 xml:space="preserve">2.1 </w:t>
      </w:r>
      <w:r w:rsidRPr="00D56237">
        <w:rPr>
          <w:rFonts w:ascii="Verdana" w:eastAsia="Calibri" w:hAnsi="Verdana" w:cs="Times New Roman"/>
        </w:rPr>
        <w:tab/>
        <w:t>Experiencia general: proyectos que correspondan o hayan contenido actividades de: construcción de alcantarillado (sanitario y/o pluvial y/o combinado).</w:t>
      </w:r>
      <w:r w:rsidRPr="00D56237">
        <w:rPr>
          <w:rFonts w:ascii="Verdana" w:eastAsia="Calibri" w:hAnsi="Verdana" w:cs="Times New Roman"/>
        </w:rPr>
        <w:tab/>
      </w:r>
    </w:p>
    <w:p w14:paraId="1FC155E3" w14:textId="77777777" w:rsidR="00D56237" w:rsidRPr="00D56237" w:rsidRDefault="00D56237" w:rsidP="00D56237">
      <w:pPr>
        <w:numPr>
          <w:ilvl w:val="1"/>
          <w:numId w:val="22"/>
        </w:numPr>
        <w:spacing w:after="0" w:line="276" w:lineRule="auto"/>
        <w:ind w:left="709" w:firstLine="0"/>
        <w:jc w:val="both"/>
        <w:rPr>
          <w:rFonts w:ascii="Verdana" w:eastAsia="Calibri" w:hAnsi="Verdana" w:cs="Times New Roman"/>
          <w:lang w:val="es-ES"/>
        </w:rPr>
      </w:pPr>
      <w:r w:rsidRPr="00D56237">
        <w:rPr>
          <w:rFonts w:ascii="Verdana" w:eastAsia="Calibri" w:hAnsi="Verdana" w:cs="Times New Roman"/>
          <w:lang w:val="es-ES"/>
        </w:rPr>
        <w:t>Experiencia general: proyectos que correspondan o hayan contenido actividades de construcción de: sistemas de acueductos y/o PTAP y/o sistemas de tratamiento de agua.</w:t>
      </w:r>
    </w:p>
    <w:p w14:paraId="5708992A" w14:textId="77777777" w:rsidR="00D56237" w:rsidRPr="00D56237" w:rsidRDefault="00D56237" w:rsidP="00D56237">
      <w:pPr>
        <w:spacing w:after="0" w:line="276" w:lineRule="auto"/>
        <w:ind w:left="709"/>
        <w:jc w:val="both"/>
        <w:rPr>
          <w:rFonts w:ascii="Verdana" w:eastAsia="Calibri" w:hAnsi="Verdana" w:cs="Times New Roman"/>
          <w:lang w:val="es-ES"/>
        </w:rPr>
      </w:pPr>
    </w:p>
    <w:p w14:paraId="7FE8C6D5" w14:textId="77777777" w:rsidR="00D56237" w:rsidRPr="00D56237" w:rsidRDefault="00D56237" w:rsidP="00D56237">
      <w:pPr>
        <w:numPr>
          <w:ilvl w:val="0"/>
          <w:numId w:val="23"/>
        </w:numPr>
        <w:spacing w:after="0" w:line="276" w:lineRule="auto"/>
        <w:ind w:left="0" w:firstLine="709"/>
        <w:jc w:val="both"/>
        <w:rPr>
          <w:rFonts w:ascii="Verdana" w:eastAsia="Calibri" w:hAnsi="Verdana" w:cs="Times New Roman"/>
          <w:bCs/>
          <w:lang w:val="es-ES"/>
        </w:rPr>
      </w:pPr>
      <w:r w:rsidRPr="00D56237">
        <w:rPr>
          <w:rFonts w:ascii="Verdana" w:eastAsia="Calibri" w:hAnsi="Verdana" w:cs="Times New Roman"/>
          <w:bCs/>
          <w:lang w:val="es-ES"/>
        </w:rPr>
        <w:t xml:space="preserve">Experiencia general solicitada para las actividades relacionadas con </w:t>
      </w:r>
      <w:r w:rsidRPr="00D56237">
        <w:rPr>
          <w:rFonts w:ascii="Verdana" w:eastAsia="Calibri" w:hAnsi="Verdana" w:cs="Times New Roman"/>
          <w:bCs/>
          <w:i/>
          <w:iCs/>
          <w:lang w:val="es-ES"/>
        </w:rPr>
        <w:t xml:space="preserve">optimización y/o mejoramiento y/o rehabilitación y/o reforzamiento y/o reconstrucción y/o reposición </w:t>
      </w:r>
      <w:r w:rsidRPr="00D56237">
        <w:rPr>
          <w:rFonts w:ascii="Verdana" w:eastAsia="Calibri" w:hAnsi="Verdana" w:cs="Times New Roman"/>
          <w:bCs/>
          <w:lang w:val="es-ES"/>
        </w:rPr>
        <w:t>de la Matriz 1:</w:t>
      </w:r>
    </w:p>
    <w:p w14:paraId="2020CCC5" w14:textId="77777777" w:rsidR="00D56237" w:rsidRPr="00D56237" w:rsidRDefault="00D56237" w:rsidP="00D56237">
      <w:pPr>
        <w:spacing w:after="0" w:line="276" w:lineRule="auto"/>
        <w:ind w:left="709"/>
        <w:jc w:val="both"/>
        <w:rPr>
          <w:rFonts w:ascii="Verdana" w:eastAsia="Calibri" w:hAnsi="Verdana" w:cs="Times New Roman"/>
          <w:bCs/>
          <w:lang w:val="es-ES"/>
        </w:rPr>
      </w:pPr>
    </w:p>
    <w:p w14:paraId="255C70EB" w14:textId="77777777" w:rsidR="00D56237" w:rsidRPr="00D56237" w:rsidRDefault="00D56237" w:rsidP="00D56237">
      <w:pPr>
        <w:numPr>
          <w:ilvl w:val="1"/>
          <w:numId w:val="19"/>
        </w:numPr>
        <w:spacing w:after="0" w:line="276" w:lineRule="auto"/>
        <w:ind w:left="709" w:firstLine="0"/>
        <w:jc w:val="both"/>
        <w:rPr>
          <w:rFonts w:ascii="Verdana" w:eastAsia="Calibri" w:hAnsi="Verdana" w:cs="Times New Roman"/>
          <w:lang w:val="es-ES"/>
        </w:rPr>
      </w:pPr>
      <w:r w:rsidRPr="00D56237">
        <w:rPr>
          <w:rFonts w:ascii="Verdana" w:eastAsia="Calibri" w:hAnsi="Verdana" w:cs="Times New Roman"/>
          <w:lang w:val="es-ES"/>
        </w:rPr>
        <w:t>Experiencia general: proyectos que correspondan o hayan contenido actividades de: ampliación y/u optimización y/o construcción y/o mejoramiento y/o reposición y/o rehabilitación y/o reforzamiento y/o reconstrucción de acueductos.</w:t>
      </w:r>
    </w:p>
    <w:p w14:paraId="6664A88F"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2.2.  Experiencia general: proyectos que correspondan o hayan contenido actividades de: ampliación y/u optimización y/o construcción y/o mejoramiento y/o reposición y/o rehabilitación y/o reforzamiento y/o reconstrucción de alcantarillados (sanitarios y/o pluviales y/o combinado).</w:t>
      </w:r>
    </w:p>
    <w:p w14:paraId="3EA350D6"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4.3.  Experiencia general:</w:t>
      </w:r>
      <w:r w:rsidRPr="00D56237">
        <w:rPr>
          <w:rFonts w:ascii="Calibri" w:eastAsia="Calibri" w:hAnsi="Calibri" w:cs="Times New Roman"/>
        </w:rPr>
        <w:t xml:space="preserve"> </w:t>
      </w:r>
      <w:r w:rsidRPr="00D56237">
        <w:rPr>
          <w:rFonts w:ascii="Verdana" w:eastAsia="Calibri" w:hAnsi="Verdana" w:cs="Times New Roman"/>
        </w:rPr>
        <w:t xml:space="preserve">proyectos que correspondan o hayan contenido actividades de: construcción y/o mejoramiento y/o reforzamiento y/o </w:t>
      </w:r>
      <w:r w:rsidRPr="00D56237">
        <w:rPr>
          <w:rFonts w:ascii="Verdana" w:eastAsia="Calibri" w:hAnsi="Verdana" w:cs="Times New Roman"/>
        </w:rPr>
        <w:lastRenderedPageBreak/>
        <w:t>ampliación y/o adecuación y/o rehabilitación y/o mantenimiento de: sistemas de acueductos y/o PTAP y/o sistemas de tratamiento de agua.</w:t>
      </w:r>
    </w:p>
    <w:p w14:paraId="1A61083F" w14:textId="77777777" w:rsidR="00D56237" w:rsidRPr="00D56237" w:rsidRDefault="00D56237" w:rsidP="00D56237">
      <w:pPr>
        <w:spacing w:after="0" w:line="276" w:lineRule="auto"/>
        <w:ind w:left="709"/>
        <w:jc w:val="both"/>
        <w:rPr>
          <w:rFonts w:ascii="Verdana" w:eastAsia="Calibri" w:hAnsi="Verdana" w:cs="Times New Roman"/>
        </w:rPr>
      </w:pPr>
    </w:p>
    <w:p w14:paraId="17861EF3" w14:textId="77777777" w:rsidR="00D56237" w:rsidRPr="00D56237" w:rsidRDefault="00D56237" w:rsidP="00D56237">
      <w:pPr>
        <w:spacing w:after="0" w:line="276" w:lineRule="auto"/>
        <w:ind w:firstLine="709"/>
        <w:jc w:val="both"/>
        <w:rPr>
          <w:rFonts w:ascii="Verdana" w:eastAsia="Calibri" w:hAnsi="Verdana" w:cs="Times New Roman"/>
        </w:rPr>
      </w:pPr>
      <w:r w:rsidRPr="00D56237">
        <w:rPr>
          <w:rFonts w:ascii="Verdana" w:eastAsia="Calibri" w:hAnsi="Verdana" w:cs="Times New Roman"/>
        </w:rPr>
        <w:t xml:space="preserve">Sobre la consideración y validez de una certificación de un contrato para acreditar la experiencia general que haya tenido por objeto la </w:t>
      </w:r>
      <w:r w:rsidRPr="00D56237">
        <w:rPr>
          <w:rFonts w:ascii="Verdana" w:eastAsia="Calibri" w:hAnsi="Verdana" w:cs="Times New Roman"/>
          <w:i/>
          <w:iCs/>
        </w:rPr>
        <w:t>reposición, optimización, ampliación, rehabilitación, expansión, renovación, entre otras actividades diferentes a la construcción</w:t>
      </w:r>
      <w:r w:rsidRPr="00D56237">
        <w:rPr>
          <w:rFonts w:ascii="Verdana" w:eastAsia="Calibri" w:hAnsi="Verdana" w:cs="Times New Roman"/>
        </w:rPr>
        <w:t xml:space="preserve">, es necesario acudir a las definiciones establecidas dentro de la Resolución 330 de 2017 del Ministerio de Ambiente, Vivienda y Desarrollo Territorial, por medio de la cual se adoptó el reglamento técnico para el sector de agua potable y saneamiento básico (RAS),así como la Resolución 799 de 2021, por medio de la cual se modifica la Resolución 0330 de 2017, de la siguiente manera: </w:t>
      </w:r>
    </w:p>
    <w:p w14:paraId="0F5DFD63" w14:textId="77777777" w:rsidR="00D56237" w:rsidRPr="00D56237" w:rsidRDefault="00D56237" w:rsidP="00D56237">
      <w:pPr>
        <w:spacing w:after="0" w:line="276" w:lineRule="auto"/>
        <w:ind w:firstLine="709"/>
        <w:jc w:val="both"/>
        <w:rPr>
          <w:rFonts w:ascii="Verdana" w:eastAsia="Calibri" w:hAnsi="Verdana" w:cs="Times New Roman"/>
        </w:rPr>
      </w:pPr>
    </w:p>
    <w:p w14:paraId="23CE7FC8" w14:textId="77777777" w:rsidR="00D56237" w:rsidRPr="00D56237" w:rsidRDefault="00D56237" w:rsidP="00D56237">
      <w:pPr>
        <w:spacing w:after="120" w:line="240" w:lineRule="auto"/>
        <w:ind w:left="709" w:right="709"/>
        <w:jc w:val="both"/>
        <w:rPr>
          <w:rFonts w:ascii="Verdana" w:eastAsia="Calibri" w:hAnsi="Verdana" w:cs="Times New Roman"/>
          <w:sz w:val="21"/>
          <w:szCs w:val="21"/>
        </w:rPr>
      </w:pPr>
      <w:r w:rsidRPr="00D56237">
        <w:rPr>
          <w:rFonts w:ascii="Verdana" w:eastAsia="Calibri" w:hAnsi="Verdana" w:cs="Times New Roman"/>
          <w:b/>
          <w:bCs/>
          <w:sz w:val="21"/>
          <w:szCs w:val="21"/>
        </w:rPr>
        <w:t>Reposición:</w:t>
      </w:r>
      <w:r w:rsidRPr="00D56237">
        <w:rPr>
          <w:rFonts w:ascii="Verdana" w:eastAsia="Calibri" w:hAnsi="Verdana" w:cs="Times New Roman"/>
          <w:sz w:val="21"/>
          <w:szCs w:val="21"/>
        </w:rPr>
        <w:t xml:space="preserve"> La reposición de una infraestructura tiene por objeto remplazar un activo que por sus condiciones ya no es apto para cumplir a cabalidad con su función, bien porque agotó su vida útil o porque no es eficiente en su operación y las condiciones de tecnología evidencian que el activo no es eficiente para la prestación del servicio público domiciliario de que se trate.</w:t>
      </w:r>
    </w:p>
    <w:p w14:paraId="4408D3B4" w14:textId="77777777" w:rsidR="00D56237" w:rsidRPr="00D56237" w:rsidRDefault="00D56237" w:rsidP="00D56237">
      <w:pPr>
        <w:spacing w:after="120" w:line="240" w:lineRule="auto"/>
        <w:ind w:left="709" w:right="709"/>
        <w:jc w:val="both"/>
        <w:rPr>
          <w:rFonts w:ascii="Verdana" w:eastAsia="Calibri" w:hAnsi="Verdana" w:cs="Times New Roman"/>
          <w:sz w:val="21"/>
          <w:szCs w:val="21"/>
        </w:rPr>
      </w:pPr>
      <w:r w:rsidRPr="00D56237">
        <w:rPr>
          <w:rFonts w:ascii="Verdana" w:eastAsia="Calibri" w:hAnsi="Verdana" w:cs="Times New Roman"/>
          <w:b/>
          <w:bCs/>
          <w:sz w:val="21"/>
          <w:szCs w:val="21"/>
        </w:rPr>
        <w:t>Optimización</w:t>
      </w:r>
      <w:r w:rsidRPr="00D56237">
        <w:rPr>
          <w:rFonts w:ascii="Verdana" w:eastAsia="Calibri" w:hAnsi="Verdana" w:cs="Times New Roman"/>
          <w:sz w:val="21"/>
          <w:szCs w:val="21"/>
        </w:rPr>
        <w:t>: La Optimización es el conjunto de acciones encaminadas a mejorar la capacidad, eficiencia y eficacia de la infraestructura componente del sistema de acueducto, alcantarillado y/o aseo, mediante su intervención parcial o total.</w:t>
      </w:r>
    </w:p>
    <w:p w14:paraId="21AE7523" w14:textId="77777777" w:rsidR="00D56237" w:rsidRPr="00D56237" w:rsidRDefault="00D56237" w:rsidP="00D56237">
      <w:pPr>
        <w:spacing w:after="120" w:line="240" w:lineRule="auto"/>
        <w:ind w:left="709" w:right="709"/>
        <w:jc w:val="both"/>
        <w:rPr>
          <w:rFonts w:ascii="Verdana" w:eastAsia="Calibri" w:hAnsi="Verdana" w:cs="Times New Roman"/>
          <w:sz w:val="21"/>
          <w:szCs w:val="21"/>
        </w:rPr>
      </w:pPr>
      <w:r w:rsidRPr="00D56237">
        <w:rPr>
          <w:rFonts w:ascii="Verdana" w:eastAsia="Calibri" w:hAnsi="Verdana" w:cs="Times New Roman"/>
          <w:b/>
          <w:bCs/>
          <w:sz w:val="21"/>
          <w:szCs w:val="21"/>
        </w:rPr>
        <w:t>Ampliación:</w:t>
      </w:r>
      <w:r w:rsidRPr="00D56237">
        <w:rPr>
          <w:rFonts w:ascii="Verdana" w:eastAsia="Calibri" w:hAnsi="Verdana" w:cs="Times New Roman"/>
          <w:sz w:val="21"/>
          <w:szCs w:val="21"/>
        </w:rPr>
        <w:t xml:space="preserve"> Se denomina Ampliación de un sistema al conjunto de acciones y obras requeridas para aumentar su capacidad en una misma área de cobertura.</w:t>
      </w:r>
    </w:p>
    <w:p w14:paraId="3CD083E6" w14:textId="77777777" w:rsidR="00D56237" w:rsidRPr="00D56237" w:rsidRDefault="00D56237" w:rsidP="00D56237">
      <w:pPr>
        <w:spacing w:after="120" w:line="240" w:lineRule="auto"/>
        <w:ind w:left="709" w:right="709"/>
        <w:jc w:val="both"/>
        <w:rPr>
          <w:rFonts w:ascii="Verdana" w:eastAsia="Calibri" w:hAnsi="Verdana" w:cs="Times New Roman"/>
          <w:sz w:val="21"/>
          <w:szCs w:val="21"/>
        </w:rPr>
      </w:pPr>
      <w:r w:rsidRPr="00D56237">
        <w:rPr>
          <w:rFonts w:ascii="Verdana" w:eastAsia="Calibri" w:hAnsi="Verdana" w:cs="Times New Roman"/>
          <w:b/>
          <w:bCs/>
          <w:sz w:val="21"/>
          <w:szCs w:val="21"/>
        </w:rPr>
        <w:t>Rehabilitación:</w:t>
      </w:r>
      <w:r w:rsidRPr="00D56237">
        <w:rPr>
          <w:rFonts w:ascii="Verdana" w:eastAsia="Calibri" w:hAnsi="Verdana" w:cs="Times New Roman"/>
          <w:sz w:val="21"/>
          <w:szCs w:val="21"/>
        </w:rPr>
        <w:t xml:space="preserve"> La rehabilitación es la implementación de proyectos enfocados a la recuperación de la infraestructura de servicio existente, cuyo estado no permite una operación adecuada del sistema, a fin de mejorarla operativamente y reestablecerle las condiciones de capacidad, calidad y continuidad, para las cuales fueron concebidas y construidas. En dichas actividades no necesariamente su intervención considera el cambio total de la infraestructura.</w:t>
      </w:r>
    </w:p>
    <w:p w14:paraId="2660F3A3" w14:textId="77777777" w:rsidR="00D56237" w:rsidRPr="00D56237" w:rsidRDefault="00D56237" w:rsidP="00D56237">
      <w:pPr>
        <w:spacing w:after="0" w:line="240" w:lineRule="auto"/>
        <w:ind w:left="709" w:right="709"/>
        <w:jc w:val="both"/>
        <w:rPr>
          <w:rFonts w:ascii="Verdana" w:eastAsia="Calibri" w:hAnsi="Verdana" w:cs="Times New Roman"/>
          <w:sz w:val="21"/>
          <w:szCs w:val="21"/>
        </w:rPr>
      </w:pPr>
      <w:r w:rsidRPr="00D56237">
        <w:rPr>
          <w:rFonts w:ascii="Verdana" w:eastAsia="Calibri" w:hAnsi="Verdana" w:cs="Times New Roman"/>
          <w:b/>
          <w:bCs/>
          <w:sz w:val="21"/>
          <w:szCs w:val="21"/>
        </w:rPr>
        <w:t>Expansión:</w:t>
      </w:r>
      <w:r w:rsidRPr="00D56237">
        <w:rPr>
          <w:rFonts w:ascii="Verdana" w:eastAsia="Calibri" w:hAnsi="Verdana" w:cs="Times New Roman"/>
          <w:sz w:val="21"/>
          <w:szCs w:val="21"/>
        </w:rPr>
        <w:t xml:space="preserve"> La expansión es el conjunto de acciones encaminadas a implementar obras cuyo propósito es aumentar el área de cobertura de la prestación de los servicios de acueducto, alcantarillado y aseo.</w:t>
      </w:r>
    </w:p>
    <w:p w14:paraId="706F68F6" w14:textId="77777777" w:rsidR="00D56237" w:rsidRPr="00D56237" w:rsidRDefault="00D56237" w:rsidP="00D56237">
      <w:pPr>
        <w:spacing w:after="0" w:line="240" w:lineRule="auto"/>
        <w:ind w:left="709" w:right="709"/>
        <w:jc w:val="both"/>
        <w:rPr>
          <w:rFonts w:ascii="Verdana" w:eastAsia="Calibri" w:hAnsi="Verdana" w:cs="Times New Roman"/>
          <w:sz w:val="21"/>
          <w:szCs w:val="21"/>
        </w:rPr>
      </w:pPr>
    </w:p>
    <w:p w14:paraId="7D1AA0C5" w14:textId="77777777" w:rsidR="00D56237" w:rsidRPr="00D56237" w:rsidRDefault="00D56237" w:rsidP="00D56237">
      <w:pPr>
        <w:spacing w:after="120" w:line="276" w:lineRule="auto"/>
        <w:ind w:firstLine="709"/>
        <w:jc w:val="both"/>
        <w:rPr>
          <w:rFonts w:ascii="Verdana" w:eastAsia="Calibri" w:hAnsi="Verdana" w:cs="Times New Roman"/>
        </w:rPr>
      </w:pPr>
      <w:r w:rsidRPr="00D56237">
        <w:rPr>
          <w:rFonts w:ascii="Verdana" w:eastAsia="Calibri" w:hAnsi="Verdana" w:cs="Times New Roman"/>
        </w:rPr>
        <w:t xml:space="preserve">Por su parte, la </w:t>
      </w:r>
      <w:r w:rsidRPr="00D56237">
        <w:rPr>
          <w:rFonts w:ascii="Verdana" w:eastAsia="Calibri" w:hAnsi="Verdana" w:cs="Times New Roman"/>
          <w:i/>
          <w:iCs/>
        </w:rPr>
        <w:t>renovación</w:t>
      </w:r>
      <w:r w:rsidRPr="00D56237">
        <w:rPr>
          <w:rFonts w:ascii="Verdana" w:eastAsia="Calibri" w:hAnsi="Verdana" w:cs="Times New Roman"/>
        </w:rPr>
        <w:t xml:space="preserve"> puede referirse a la actualización o reemplazo de sistemas y redes existentes para mejorar su eficiencia, funcionalidad y seguridad. </w:t>
      </w:r>
    </w:p>
    <w:p w14:paraId="0196AC11" w14:textId="77777777" w:rsidR="00D56237" w:rsidRPr="00D56237" w:rsidRDefault="00D56237" w:rsidP="00D56237">
      <w:pPr>
        <w:spacing w:after="120" w:line="276" w:lineRule="auto"/>
        <w:ind w:firstLine="709"/>
        <w:jc w:val="both"/>
        <w:rPr>
          <w:rFonts w:ascii="Verdana" w:eastAsia="Calibri" w:hAnsi="Verdana" w:cs="Times New Roman"/>
        </w:rPr>
      </w:pPr>
      <w:r w:rsidRPr="00D56237">
        <w:rPr>
          <w:rFonts w:ascii="Verdana" w:eastAsia="Calibri" w:hAnsi="Verdana" w:cs="Times New Roman"/>
        </w:rPr>
        <w:lastRenderedPageBreak/>
        <w:t xml:space="preserve">En ese sentido, la entidad podría aceptar una certificación de intervenciones de proyectos que correspondan a lo requerido en la “Matriz 1 – Experiencia” del sector de agua potable y saneamiento básico, en las proporciones correspondientes, para acreditar las actividades exigidas como válidas; esto, de conformidad con lo descrito en el literal </w:t>
      </w:r>
      <w:proofErr w:type="spellStart"/>
      <w:r w:rsidRPr="00D56237">
        <w:rPr>
          <w:rFonts w:ascii="Verdana" w:eastAsia="Calibri" w:hAnsi="Verdana" w:cs="Times New Roman"/>
          <w:i/>
          <w:iCs/>
        </w:rPr>
        <w:t>ii</w:t>
      </w:r>
      <w:proofErr w:type="spellEnd"/>
      <w:r w:rsidRPr="00D56237">
        <w:rPr>
          <w:rFonts w:ascii="Verdana" w:eastAsia="Calibri" w:hAnsi="Verdana" w:cs="Times New Roman"/>
        </w:rPr>
        <w:t xml:space="preserve"> del numeral 3.5.2 del documento base del sector de agua potable y saneamiento básico.</w:t>
      </w:r>
    </w:p>
    <w:p w14:paraId="0C53BD74" w14:textId="77777777" w:rsidR="00D56237" w:rsidRPr="00D56237" w:rsidRDefault="00D56237" w:rsidP="00D56237">
      <w:pPr>
        <w:spacing w:after="0" w:line="276" w:lineRule="auto"/>
        <w:ind w:firstLine="709"/>
        <w:jc w:val="both"/>
        <w:rPr>
          <w:rFonts w:ascii="Verdana" w:eastAsia="Calibri" w:hAnsi="Verdana" w:cs="Times New Roman"/>
        </w:rPr>
      </w:pPr>
      <w:r w:rsidRPr="00D56237">
        <w:rPr>
          <w:rFonts w:ascii="Verdana" w:eastAsia="Calibri" w:hAnsi="Verdana" w:cs="Times New Roman"/>
        </w:rPr>
        <w:t xml:space="preserve">Sin embargo, es claro que, dentro de la Matriz 1 del sector de agua potable y saneamiento básico, tratándose de actividades correspondientes a </w:t>
      </w:r>
      <w:r w:rsidRPr="00D56237">
        <w:rPr>
          <w:rFonts w:ascii="Verdana" w:eastAsia="Calibri" w:hAnsi="Verdana" w:cs="Times New Roman"/>
          <w:i/>
          <w:iCs/>
        </w:rPr>
        <w:t>construcción,</w:t>
      </w:r>
      <w:r w:rsidRPr="00D56237">
        <w:rPr>
          <w:rFonts w:ascii="Verdana" w:eastAsia="Calibri" w:hAnsi="Verdana" w:cs="Times New Roman"/>
        </w:rPr>
        <w:t xml:space="preserve"> al ser un conjunto de actividades y procesos que tienen como objetivo la materialización de infraestructuras relacionadas con el suministro de agua potable y la gestión de aguas residuales y saneamiento, para que su acreditación como experiencia sea válida deben corresponder a </w:t>
      </w:r>
      <w:r w:rsidRPr="00D56237">
        <w:rPr>
          <w:rFonts w:ascii="Verdana" w:eastAsia="Calibri" w:hAnsi="Verdana" w:cs="Times New Roman"/>
          <w:i/>
          <w:iCs/>
        </w:rPr>
        <w:t>proyectos de construcción</w:t>
      </w:r>
      <w:r w:rsidRPr="00D56237">
        <w:rPr>
          <w:rFonts w:ascii="Verdana" w:eastAsia="Calibri" w:hAnsi="Verdana" w:cs="Times New Roman"/>
        </w:rPr>
        <w:t xml:space="preserve"> del sector de conformidad con lo establecido dentro de los </w:t>
      </w:r>
      <w:r w:rsidRPr="00D56237">
        <w:rPr>
          <w:rFonts w:ascii="Verdana" w:eastAsia="Calibri" w:hAnsi="Verdana" w:cs="Times New Roman"/>
          <w:bCs/>
          <w:lang w:val="es-ES"/>
        </w:rPr>
        <w:t>siete (7) diferentes tipos de obras de infraestructura, a saber: 1) obras de acueductos; 2) obras de alcantarillado –sanitarios y/o pluviales y/o combinados–;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w:t>
      </w:r>
    </w:p>
    <w:p w14:paraId="0397C43E" w14:textId="77777777" w:rsidR="00D56237" w:rsidRPr="00D56237" w:rsidRDefault="00D56237" w:rsidP="00D56237">
      <w:pPr>
        <w:spacing w:after="0" w:line="276" w:lineRule="auto"/>
        <w:ind w:left="714"/>
        <w:jc w:val="both"/>
        <w:rPr>
          <w:rFonts w:ascii="Verdana" w:eastAsia="Aptos" w:hAnsi="Verdana" w:cs="Arial"/>
          <w:noProof/>
          <w:kern w:val="2"/>
          <w:lang w:val="es-ES_tradnl"/>
          <w14:ligatures w14:val="standardContextual"/>
        </w:rPr>
      </w:pPr>
    </w:p>
    <w:p w14:paraId="705026DF" w14:textId="77777777" w:rsidR="00D56237" w:rsidRPr="00D56237" w:rsidRDefault="00D56237" w:rsidP="00D56237">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D56237">
        <w:rPr>
          <w:rFonts w:ascii="Verdana" w:eastAsia="Century Gothic" w:hAnsi="Verdana" w:cs="Century Gothic"/>
          <w:b/>
          <w:bCs/>
          <w:lang w:val="es-ES"/>
        </w:rPr>
        <w:t>Referencias normativas, jurisprudenciales y otras fuentes:</w:t>
      </w:r>
    </w:p>
    <w:p w14:paraId="4DF01EE0" w14:textId="77777777" w:rsidR="00D56237" w:rsidRPr="00D56237" w:rsidRDefault="00D56237" w:rsidP="00D56237">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D56237" w:rsidRPr="00D56237" w14:paraId="640EDEFE" w14:textId="77777777" w:rsidTr="00E873D5">
        <w:trPr>
          <w:trHeight w:val="870"/>
        </w:trPr>
        <w:tc>
          <w:tcPr>
            <w:tcW w:w="8647" w:type="dxa"/>
          </w:tcPr>
          <w:p w14:paraId="0FDD6227" w14:textId="77777777" w:rsidR="00D56237" w:rsidRPr="00D56237" w:rsidRDefault="00D56237" w:rsidP="00D56237">
            <w:pPr>
              <w:widowControl w:val="0"/>
              <w:numPr>
                <w:ilvl w:val="0"/>
                <w:numId w:val="17"/>
              </w:numPr>
              <w:autoSpaceDE w:val="0"/>
              <w:autoSpaceDN w:val="0"/>
              <w:spacing w:after="120" w:line="276" w:lineRule="auto"/>
              <w:jc w:val="both"/>
              <w:rPr>
                <w:rFonts w:ascii="Verdana" w:eastAsia="Calibri" w:hAnsi="Verdana" w:cs="Arial"/>
              </w:rPr>
            </w:pPr>
            <w:r w:rsidRPr="00D56237">
              <w:rPr>
                <w:rFonts w:ascii="Verdana" w:eastAsia="Calibri" w:hAnsi="Verdana" w:cs="Arial"/>
              </w:rPr>
              <w:t>Ley 2022 de 2020, artículo 1.</w:t>
            </w:r>
          </w:p>
          <w:p w14:paraId="3B0B1F6D" w14:textId="77777777" w:rsidR="00D56237" w:rsidRPr="00D56237" w:rsidRDefault="00D56237" w:rsidP="00D56237">
            <w:pPr>
              <w:widowControl w:val="0"/>
              <w:numPr>
                <w:ilvl w:val="0"/>
                <w:numId w:val="17"/>
              </w:numPr>
              <w:autoSpaceDE w:val="0"/>
              <w:autoSpaceDN w:val="0"/>
              <w:spacing w:after="120" w:line="276" w:lineRule="auto"/>
              <w:jc w:val="both"/>
              <w:rPr>
                <w:rFonts w:ascii="Verdana" w:eastAsia="Calibri" w:hAnsi="Verdana" w:cs="Arial"/>
              </w:rPr>
            </w:pPr>
            <w:r w:rsidRPr="00D56237">
              <w:rPr>
                <w:rFonts w:ascii="Verdana" w:eastAsia="Calibri" w:hAnsi="Verdana" w:cs="Arial"/>
              </w:rPr>
              <w:t>Ley 1150 de 2007, artículos 5 y 6.</w:t>
            </w:r>
          </w:p>
          <w:p w14:paraId="34C16759" w14:textId="77777777" w:rsidR="00D56237" w:rsidRPr="00D56237" w:rsidRDefault="00D56237" w:rsidP="00D56237">
            <w:pPr>
              <w:widowControl w:val="0"/>
              <w:numPr>
                <w:ilvl w:val="0"/>
                <w:numId w:val="17"/>
              </w:numPr>
              <w:autoSpaceDE w:val="0"/>
              <w:autoSpaceDN w:val="0"/>
              <w:spacing w:after="120" w:line="276" w:lineRule="auto"/>
              <w:jc w:val="both"/>
              <w:rPr>
                <w:rFonts w:ascii="Verdana" w:eastAsia="Calibri" w:hAnsi="Verdana" w:cs="Arial"/>
              </w:rPr>
            </w:pPr>
            <w:r w:rsidRPr="00D56237">
              <w:rPr>
                <w:rFonts w:ascii="Verdana" w:eastAsia="Calibri" w:hAnsi="Verdana" w:cs="Arial"/>
              </w:rPr>
              <w:t xml:space="preserve">Decreto 1082 de 2015, artículos </w:t>
            </w:r>
            <w:r w:rsidRPr="00D56237">
              <w:rPr>
                <w:rFonts w:ascii="Verdana" w:eastAsia="Aptos" w:hAnsi="Verdana" w:cs="Arial"/>
                <w:lang w:val="es-ES_tradnl"/>
              </w:rPr>
              <w:t>2.2.1.1.1.6.2, 2.2.1.1.1.5.3 y 2.2.1.1.1.5.2.</w:t>
            </w:r>
          </w:p>
          <w:p w14:paraId="7AA6977F" w14:textId="77777777" w:rsidR="00D56237" w:rsidRPr="00D56237" w:rsidRDefault="00D56237" w:rsidP="00D56237">
            <w:pPr>
              <w:widowControl w:val="0"/>
              <w:numPr>
                <w:ilvl w:val="0"/>
                <w:numId w:val="17"/>
              </w:numPr>
              <w:autoSpaceDE w:val="0"/>
              <w:autoSpaceDN w:val="0"/>
              <w:spacing w:after="120" w:line="276" w:lineRule="auto"/>
              <w:jc w:val="both"/>
              <w:rPr>
                <w:rFonts w:ascii="Verdana" w:eastAsia="Calibri" w:hAnsi="Verdana" w:cs="Arial"/>
              </w:rPr>
            </w:pPr>
            <w:r w:rsidRPr="00D56237">
              <w:rPr>
                <w:rFonts w:ascii="Verdana" w:eastAsia="Calibri" w:hAnsi="Verdana" w:cs="Arial"/>
              </w:rPr>
              <w:t xml:space="preserve">Documentos tipo. Disponibles en: </w:t>
            </w:r>
            <w:hyperlink r:id="rId12" w:history="1">
              <w:r w:rsidRPr="00D56237">
                <w:rPr>
                  <w:rFonts w:ascii="Verdana" w:eastAsia="Calibri" w:hAnsi="Verdana" w:cs="Arial"/>
                  <w:color w:val="0000FF"/>
                  <w:u w:val="single"/>
                </w:rPr>
                <w:t>https://www.colombiacompra.gov.co/normativa-y-relatoria/documentos-tipo</w:t>
              </w:r>
            </w:hyperlink>
            <w:r w:rsidRPr="00D56237">
              <w:rPr>
                <w:rFonts w:ascii="Verdana" w:eastAsia="Calibri" w:hAnsi="Verdana" w:cs="Arial"/>
              </w:rPr>
              <w:t xml:space="preserve">. </w:t>
            </w:r>
          </w:p>
        </w:tc>
      </w:tr>
    </w:tbl>
    <w:p w14:paraId="298D99DB" w14:textId="77777777" w:rsidR="00D56237" w:rsidRPr="00D56237" w:rsidRDefault="00D56237" w:rsidP="00D56237">
      <w:pPr>
        <w:widowControl w:val="0"/>
        <w:autoSpaceDE w:val="0"/>
        <w:autoSpaceDN w:val="0"/>
        <w:spacing w:after="0" w:line="276" w:lineRule="auto"/>
        <w:jc w:val="both"/>
        <w:rPr>
          <w:rFonts w:ascii="Verdana" w:eastAsia="Calibri" w:hAnsi="Verdana" w:cs="Arial"/>
        </w:rPr>
      </w:pPr>
    </w:p>
    <w:p w14:paraId="38542965" w14:textId="77777777" w:rsidR="00D56237" w:rsidRPr="00D56237" w:rsidRDefault="00D56237" w:rsidP="00D56237">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D56237">
        <w:rPr>
          <w:rFonts w:ascii="Verdana" w:eastAsia="Century Gothic" w:hAnsi="Verdana" w:cs="Century Gothic"/>
          <w:b/>
          <w:bCs/>
          <w:lang w:val="es-ES"/>
        </w:rPr>
        <w:t>Doctrina de la Agencia Nacional de Contratación Pública:</w:t>
      </w:r>
    </w:p>
    <w:p w14:paraId="0FC4E26F" w14:textId="77777777" w:rsidR="00D56237" w:rsidRPr="00D56237" w:rsidRDefault="00D56237" w:rsidP="00D56237">
      <w:pPr>
        <w:widowControl w:val="0"/>
        <w:autoSpaceDE w:val="0"/>
        <w:autoSpaceDN w:val="0"/>
        <w:spacing w:after="0" w:line="276" w:lineRule="auto"/>
        <w:jc w:val="both"/>
        <w:rPr>
          <w:rFonts w:ascii="Verdana" w:eastAsia="Calibri" w:hAnsi="Verdana" w:cs="Arial"/>
        </w:rPr>
      </w:pPr>
    </w:p>
    <w:p w14:paraId="0F2F6E88" w14:textId="77777777" w:rsidR="00D56237" w:rsidRPr="00D56237" w:rsidRDefault="00D56237" w:rsidP="00D56237">
      <w:pPr>
        <w:widowControl w:val="0"/>
        <w:autoSpaceDE w:val="0"/>
        <w:autoSpaceDN w:val="0"/>
        <w:spacing w:after="0" w:line="276" w:lineRule="auto"/>
        <w:jc w:val="both"/>
        <w:rPr>
          <w:rFonts w:ascii="Verdana" w:eastAsia="Times New Roman" w:hAnsi="Verdana" w:cs="Arial"/>
          <w:shd w:val="clear" w:color="auto" w:fill="FFFFFF"/>
          <w:lang w:val="es-ES"/>
        </w:rPr>
      </w:pPr>
      <w:r w:rsidRPr="00D56237">
        <w:rPr>
          <w:rFonts w:ascii="Verdana" w:eastAsia="Calibri" w:hAnsi="Verdana" w:cs="Arial"/>
          <w:shd w:val="clear" w:color="auto" w:fill="FFFFFF"/>
          <w:lang w:val="es-ES"/>
        </w:rPr>
        <w:t xml:space="preserve">La Agencia Nacional de Contratación Pública − Colombia Compra Eficiente se </w:t>
      </w:r>
      <w:r w:rsidRPr="00D56237">
        <w:rPr>
          <w:rFonts w:ascii="Verdana" w:eastAsia="Calibri" w:hAnsi="Verdana" w:cs="Arial"/>
          <w:shd w:val="clear" w:color="auto" w:fill="FFFFFF"/>
          <w:lang w:val="es-ES"/>
        </w:rPr>
        <w:lastRenderedPageBreak/>
        <w:t>pronunció</w:t>
      </w:r>
      <w:r w:rsidRPr="00D56237">
        <w:rPr>
          <w:rFonts w:ascii="Aptos" w:eastAsia="Aptos" w:hAnsi="Aptos" w:cs="Times New Roman"/>
          <w:kern w:val="2"/>
          <w:sz w:val="24"/>
          <w:szCs w:val="24"/>
          <w:lang w:val="es-ES_tradnl"/>
          <w14:ligatures w14:val="standardContextual"/>
        </w:rPr>
        <w:t xml:space="preserve"> </w:t>
      </w:r>
      <w:r w:rsidRPr="00D56237">
        <w:rPr>
          <w:rFonts w:ascii="Verdana" w:eastAsia="Calibri" w:hAnsi="Verdana" w:cs="Arial"/>
          <w:shd w:val="clear" w:color="auto" w:fill="FFFFFF"/>
          <w:lang w:val="es-ES"/>
        </w:rPr>
        <w:t>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C-528 del 31 de octubre de 2024, C-541 del 13 de junio de 2025, entre otros</w:t>
      </w:r>
      <w:r w:rsidRPr="00D56237">
        <w:rPr>
          <w:rFonts w:ascii="Verdana" w:eastAsia="Times New Roman" w:hAnsi="Verdana" w:cs="Arial"/>
          <w:shd w:val="clear" w:color="auto" w:fill="FFFFFF"/>
          <w:lang w:val="es-ES"/>
        </w:rPr>
        <w:t>.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3" w:tgtFrame="_blank" w:tooltip="Dirección URL original: https://relatoria.colombiacompra.gov.co/. Haga clic o pulse si confía en este vínculo." w:history="1">
        <w:r w:rsidRPr="00D56237">
          <w:rPr>
            <w:rFonts w:ascii="Verdana" w:eastAsia="Times New Roman" w:hAnsi="Verdana" w:cs="Arial"/>
            <w:shd w:val="clear" w:color="auto" w:fill="FFFFFF"/>
            <w:lang w:val="es-ES"/>
          </w:rPr>
          <w:t>https://relatoria.colombiacompra.gov.co/</w:t>
        </w:r>
      </w:hyperlink>
      <w:r w:rsidRPr="00D56237">
        <w:rPr>
          <w:rFonts w:ascii="Verdana" w:eastAsia="Times New Roman" w:hAnsi="Verdana" w:cs="Arial"/>
          <w:shd w:val="clear" w:color="auto" w:fill="FFFFFF"/>
          <w:lang w:val="es-ES"/>
        </w:rPr>
        <w:t>.</w:t>
      </w:r>
    </w:p>
    <w:p w14:paraId="29AFFF58" w14:textId="77777777" w:rsidR="00D56237" w:rsidRPr="00D56237" w:rsidRDefault="00D56237" w:rsidP="00D56237">
      <w:pPr>
        <w:spacing w:after="0" w:line="240" w:lineRule="auto"/>
        <w:jc w:val="both"/>
        <w:rPr>
          <w:rFonts w:ascii="Verdana" w:eastAsia="Calibri" w:hAnsi="Verdana" w:cs="Arial"/>
          <w:color w:val="000000"/>
          <w:shd w:val="clear" w:color="auto" w:fill="FFFFFF"/>
        </w:rPr>
      </w:pPr>
    </w:p>
    <w:p w14:paraId="5FE3A5B0" w14:textId="77777777" w:rsidR="00D56237" w:rsidRPr="00D56237" w:rsidRDefault="00D56237" w:rsidP="00D5623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D56237">
        <w:rPr>
          <w:rFonts w:ascii="Verdana" w:eastAsia="Calibri" w:hAnsi="Verdana" w:cs="Arial"/>
          <w:kern w:val="2"/>
          <w:shd w:val="clear" w:color="auto" w:fill="FFFFFF"/>
          <w:lang w:val="es-ES_tradnl"/>
          <w14:ligatures w14:val="standardContextual"/>
        </w:rPr>
        <w:t>La</w:t>
      </w:r>
      <w:r w:rsidRPr="00D56237">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D56237">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D56237">
        <w:rPr>
          <w:rFonts w:ascii="Verdana" w:eastAsia="Calibri" w:hAnsi="Verdana" w:cs="Arial"/>
          <w:b/>
          <w:bCs/>
          <w:kern w:val="2"/>
          <w:shd w:val="clear" w:color="auto" w:fill="FFFFFF"/>
          <w:lang w:val="es-ES_tradnl"/>
          <w14:ligatures w14:val="standardContextual"/>
        </w:rPr>
        <w:t>Documentos Tipo</w:t>
      </w:r>
      <w:r w:rsidRPr="00D56237">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D56237">
        <w:rPr>
          <w:rFonts w:ascii="Verdana" w:eastAsia="Calibri" w:hAnsi="Verdana" w:cs="Arial"/>
          <w:b/>
          <w:bCs/>
          <w:kern w:val="2"/>
          <w:shd w:val="clear" w:color="auto" w:fill="FFFFFF"/>
          <w:lang w:val="es-ES_tradnl"/>
          <w14:ligatures w14:val="standardContextual"/>
        </w:rPr>
        <w:t>transparencia</w:t>
      </w:r>
      <w:r w:rsidRPr="00D56237">
        <w:rPr>
          <w:rFonts w:ascii="Verdana" w:eastAsia="Calibri" w:hAnsi="Verdana" w:cs="Arial"/>
          <w:kern w:val="2"/>
          <w:shd w:val="clear" w:color="auto" w:fill="FFFFFF"/>
          <w:lang w:val="es-ES_tradnl"/>
          <w14:ligatures w14:val="standardContextual"/>
        </w:rPr>
        <w:t> y promover un proceso de </w:t>
      </w:r>
      <w:r w:rsidRPr="00D56237">
        <w:rPr>
          <w:rFonts w:ascii="Verdana" w:eastAsia="Calibri" w:hAnsi="Verdana" w:cs="Arial"/>
          <w:b/>
          <w:bCs/>
          <w:kern w:val="2"/>
          <w:shd w:val="clear" w:color="auto" w:fill="FFFFFF"/>
          <w:lang w:val="es-ES_tradnl"/>
          <w14:ligatures w14:val="standardContextual"/>
        </w:rPr>
        <w:t>selección objetiva</w:t>
      </w:r>
      <w:r w:rsidRPr="00D56237">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B583F28" w14:textId="77777777" w:rsidR="00D56237" w:rsidRPr="00D56237" w:rsidRDefault="00D56237" w:rsidP="00D5623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37BC2CA" w14:textId="77777777" w:rsidR="00D56237" w:rsidRPr="00D56237" w:rsidRDefault="00D56237" w:rsidP="00D56237">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D56237">
        <w:rPr>
          <w:rFonts w:ascii="Verdana" w:eastAsia="Calibri" w:hAnsi="Verdana" w:cs="Arial"/>
          <w:kern w:val="2"/>
          <w:shd w:val="clear" w:color="auto" w:fill="FFFFFF"/>
          <w:lang w:val="es-ES"/>
          <w14:ligatures w14:val="standardContextual"/>
        </w:rPr>
        <w:t>También, le contamos que ya se encuentra disponible la </w:t>
      </w:r>
      <w:r w:rsidRPr="00D56237">
        <w:rPr>
          <w:rFonts w:ascii="Verdana" w:eastAsia="Calibri" w:hAnsi="Verdana" w:cs="Arial"/>
          <w:b/>
          <w:bCs/>
          <w:kern w:val="2"/>
          <w:shd w:val="clear" w:color="auto" w:fill="FFFFFF"/>
          <w:lang w:val="es-ES"/>
          <w14:ligatures w14:val="standardContextual"/>
        </w:rPr>
        <w:t xml:space="preserve">Guía de lineamientos de transparencia y selección objetiva para el departamento de La </w:t>
      </w:r>
      <w:r w:rsidRPr="00D56237">
        <w:rPr>
          <w:rFonts w:ascii="Verdana" w:eastAsia="Calibri" w:hAnsi="Verdana" w:cs="Arial"/>
          <w:b/>
          <w:bCs/>
          <w:kern w:val="2"/>
          <w:shd w:val="clear" w:color="auto" w:fill="FFFFFF"/>
          <w:lang w:val="es-ES"/>
          <w14:ligatures w14:val="standardContextual"/>
        </w:rPr>
        <w:lastRenderedPageBreak/>
        <w:t>Guajira – Objetivo sexto constitucional de la Sentencia T-302 del 2017. </w:t>
      </w:r>
      <w:r w:rsidRPr="00D56237">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56237">
        <w:rPr>
          <w:rFonts w:ascii="Verdana" w:eastAsia="Calibri" w:hAnsi="Verdana" w:cs="Arial"/>
          <w:kern w:val="2"/>
          <w:shd w:val="clear" w:color="auto" w:fill="FFFFFF"/>
          <w:lang w:val="es-ES"/>
          <w14:ligatures w14:val="standardContextual"/>
        </w:rPr>
        <w:t>Wayúu</w:t>
      </w:r>
      <w:proofErr w:type="spellEnd"/>
      <w:r w:rsidRPr="00D56237">
        <w:rPr>
          <w:rFonts w:ascii="Verdana" w:eastAsia="Calibri" w:hAnsi="Verdana" w:cs="Arial"/>
          <w:kern w:val="2"/>
          <w:shd w:val="clear" w:color="auto" w:fill="FFFFFF"/>
          <w:lang w:val="es-ES"/>
          <w14:ligatures w14:val="standardContextual"/>
        </w:rPr>
        <w:t>. Puede consultar la guía en el siguiente enlace: </w:t>
      </w:r>
      <w:hyperlink r:id="rId14" w:tgtFrame="_blank" w:tooltip="Original URL: https://www.colombiacompra.gov.co/wp-content/uploads/2025/05/GUIA-DE-LINEAMIENTOS-DE-TRANSPARENCIA-Y-SELECCION-OBJETIVA-1.0.pdf. Click or tap if you trust this link." w:history="1">
        <w:r w:rsidRPr="00D56237">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D56237">
        <w:rPr>
          <w:rFonts w:ascii="Verdana" w:eastAsia="Calibri" w:hAnsi="Verdana" w:cs="Arial"/>
          <w:kern w:val="2"/>
          <w:u w:val="single"/>
          <w:shd w:val="clear" w:color="auto" w:fill="FFFFFF"/>
          <w:lang w:val="es-ES"/>
          <w14:ligatures w14:val="standardContextual"/>
        </w:rPr>
        <w:t>.</w:t>
      </w:r>
    </w:p>
    <w:p w14:paraId="7DEC9060" w14:textId="77777777" w:rsidR="00D56237" w:rsidRPr="00D56237" w:rsidRDefault="00D56237" w:rsidP="00D5623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76BC0A3" w14:textId="77777777" w:rsidR="00D56237" w:rsidRPr="00D56237" w:rsidRDefault="00D56237" w:rsidP="00D56237">
      <w:pPr>
        <w:spacing w:after="0" w:line="276" w:lineRule="auto"/>
        <w:jc w:val="both"/>
        <w:rPr>
          <w:rFonts w:ascii="Verdana" w:eastAsia="Calibri" w:hAnsi="Verdana" w:cs="Times New Roman"/>
          <w:kern w:val="2"/>
          <w:lang w:val="es-ES_tradnl"/>
          <w14:ligatures w14:val="standardContextual"/>
        </w:rPr>
      </w:pPr>
      <w:r w:rsidRPr="00D56237">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BCA2087" w14:textId="77777777" w:rsidR="00D56237" w:rsidRPr="00D56237" w:rsidRDefault="00D56237" w:rsidP="00D56237">
      <w:pPr>
        <w:spacing w:after="0" w:line="240" w:lineRule="auto"/>
        <w:jc w:val="both"/>
        <w:rPr>
          <w:rFonts w:ascii="Verdana" w:eastAsia="Calibri" w:hAnsi="Verdana" w:cs="Times New Roman"/>
          <w:kern w:val="2"/>
          <w:lang w:val="es-ES_tradnl"/>
          <w14:ligatures w14:val="standardContextual"/>
        </w:rPr>
      </w:pPr>
    </w:p>
    <w:p w14:paraId="144EC9DD" w14:textId="77777777" w:rsidR="00D56237" w:rsidRPr="00D56237" w:rsidRDefault="00D56237" w:rsidP="00D56237">
      <w:pPr>
        <w:spacing w:after="0" w:line="240" w:lineRule="auto"/>
        <w:jc w:val="both"/>
        <w:rPr>
          <w:rFonts w:ascii="Verdana" w:eastAsia="Calibri" w:hAnsi="Verdana" w:cs="Times New Roman"/>
          <w:kern w:val="2"/>
          <w:lang w:val="es-ES_tradnl"/>
          <w14:ligatures w14:val="standardContextual"/>
        </w:rPr>
      </w:pPr>
      <w:r w:rsidRPr="00D56237">
        <w:rPr>
          <w:rFonts w:ascii="Verdana" w:eastAsia="Calibri" w:hAnsi="Verdana" w:cs="Times New Roman"/>
          <w:kern w:val="2"/>
          <w:lang w:val="es-ES_tradnl"/>
          <w14:ligatures w14:val="standardContextual"/>
        </w:rPr>
        <w:t xml:space="preserve">Twitter: </w:t>
      </w:r>
      <w:r w:rsidRPr="00D56237">
        <w:rPr>
          <w:rFonts w:ascii="Verdana" w:eastAsia="Calibri" w:hAnsi="Verdana" w:cs="Times New Roman"/>
          <w:kern w:val="2"/>
          <w:u w:val="single"/>
          <w:lang w:val="es-ES_tradnl"/>
          <w14:ligatures w14:val="standardContextual"/>
        </w:rPr>
        <w:t>@colombiacompra</w:t>
      </w:r>
      <w:r w:rsidRPr="00D56237">
        <w:rPr>
          <w:rFonts w:ascii="Verdana" w:eastAsia="Calibri" w:hAnsi="Verdana" w:cs="Times New Roman"/>
          <w:kern w:val="2"/>
          <w:lang w:val="es-ES_tradnl"/>
          <w14:ligatures w14:val="standardContextual"/>
        </w:rPr>
        <w:t xml:space="preserve"> </w:t>
      </w:r>
    </w:p>
    <w:p w14:paraId="2DA2EFA3" w14:textId="77777777" w:rsidR="00D56237" w:rsidRPr="00D56237" w:rsidRDefault="00D56237" w:rsidP="00D56237">
      <w:pPr>
        <w:spacing w:after="0" w:line="240" w:lineRule="auto"/>
        <w:jc w:val="both"/>
        <w:rPr>
          <w:rFonts w:ascii="Verdana" w:eastAsia="Calibri" w:hAnsi="Verdana" w:cs="Times New Roman"/>
          <w:kern w:val="2"/>
          <w:lang w:val="es-ES"/>
          <w14:ligatures w14:val="standardContextual"/>
        </w:rPr>
      </w:pPr>
      <w:r w:rsidRPr="00D56237">
        <w:rPr>
          <w:rFonts w:ascii="Verdana" w:eastAsia="Calibri" w:hAnsi="Verdana" w:cs="Times New Roman"/>
          <w:kern w:val="2"/>
          <w:lang w:val="es-ES"/>
          <w14:ligatures w14:val="standardContextual"/>
        </w:rPr>
        <w:t xml:space="preserve">Facebook: </w:t>
      </w:r>
      <w:proofErr w:type="spellStart"/>
      <w:r w:rsidRPr="00D56237">
        <w:rPr>
          <w:rFonts w:ascii="Verdana" w:eastAsia="Calibri" w:hAnsi="Verdana" w:cs="Times New Roman"/>
          <w:kern w:val="2"/>
          <w:u w:val="single"/>
          <w:lang w:val="es-ES"/>
          <w14:ligatures w14:val="standardContextual"/>
        </w:rPr>
        <w:t>ColombiaCompraEficiente</w:t>
      </w:r>
      <w:proofErr w:type="spellEnd"/>
    </w:p>
    <w:p w14:paraId="5ED01D93" w14:textId="77777777" w:rsidR="00D56237" w:rsidRPr="00D56237" w:rsidRDefault="00D56237" w:rsidP="00D56237">
      <w:pPr>
        <w:spacing w:after="0" w:line="240" w:lineRule="auto"/>
        <w:jc w:val="both"/>
        <w:rPr>
          <w:rFonts w:ascii="Verdana" w:eastAsia="Calibri" w:hAnsi="Verdana" w:cs="Times New Roman"/>
          <w:kern w:val="2"/>
          <w:lang w:val="es-ES_tradnl"/>
          <w14:ligatures w14:val="standardContextual"/>
        </w:rPr>
      </w:pPr>
      <w:r w:rsidRPr="00D56237">
        <w:rPr>
          <w:rFonts w:ascii="Verdana" w:eastAsia="Calibri" w:hAnsi="Verdana" w:cs="Times New Roman"/>
          <w:kern w:val="2"/>
          <w:lang w:val="es-ES_tradnl"/>
          <w14:ligatures w14:val="standardContextual"/>
        </w:rPr>
        <w:t xml:space="preserve">LinkedIn: </w:t>
      </w:r>
      <w:r w:rsidRPr="00D56237">
        <w:rPr>
          <w:rFonts w:ascii="Verdana" w:eastAsia="Calibri" w:hAnsi="Verdana" w:cs="Times New Roman"/>
          <w:kern w:val="2"/>
          <w:u w:val="single"/>
          <w:lang w:val="es-ES_tradnl"/>
          <w14:ligatures w14:val="standardContextual"/>
        </w:rPr>
        <w:t>Agencia Nacional de Contratación Pública - Colombia Compra Eficiente</w:t>
      </w:r>
      <w:r w:rsidRPr="00D56237">
        <w:rPr>
          <w:rFonts w:ascii="Verdana" w:eastAsia="Calibri" w:hAnsi="Verdana" w:cs="Times New Roman"/>
          <w:kern w:val="2"/>
          <w:lang w:val="es-ES_tradnl"/>
          <w14:ligatures w14:val="standardContextual"/>
        </w:rPr>
        <w:t xml:space="preserve"> Instagram: </w:t>
      </w:r>
      <w:r w:rsidRPr="00D56237">
        <w:rPr>
          <w:rFonts w:ascii="Verdana" w:eastAsia="Calibri" w:hAnsi="Verdana" w:cs="Times New Roman"/>
          <w:kern w:val="2"/>
          <w:u w:val="single"/>
          <w:lang w:val="es-ES_tradnl"/>
          <w14:ligatures w14:val="standardContextual"/>
        </w:rPr>
        <w:t>@colombiacompraeficiente_cce</w:t>
      </w:r>
    </w:p>
    <w:p w14:paraId="710B76AD" w14:textId="77777777" w:rsidR="00D56237" w:rsidRPr="00D56237" w:rsidRDefault="00D56237" w:rsidP="00D56237">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5FD4C8BA" w14:textId="77777777" w:rsidR="00D56237" w:rsidRPr="00D56237" w:rsidRDefault="00D56237" w:rsidP="00D56237">
      <w:pPr>
        <w:widowControl w:val="0"/>
        <w:autoSpaceDE w:val="0"/>
        <w:autoSpaceDN w:val="0"/>
        <w:spacing w:after="0" w:line="276" w:lineRule="auto"/>
        <w:jc w:val="both"/>
        <w:rPr>
          <w:rFonts w:ascii="Verdana" w:eastAsia="Calibri" w:hAnsi="Verdana" w:cs="Arial"/>
          <w:kern w:val="2"/>
          <w:lang w:val="es-ES_tradnl"/>
          <w14:ligatures w14:val="standardContextual"/>
        </w:rPr>
      </w:pPr>
      <w:r w:rsidRPr="00D56237">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1256768" w14:textId="77777777" w:rsidR="00D56237" w:rsidRPr="00D56237" w:rsidRDefault="00D56237" w:rsidP="00D56237">
      <w:pPr>
        <w:widowControl w:val="0"/>
        <w:autoSpaceDE w:val="0"/>
        <w:autoSpaceDN w:val="0"/>
        <w:spacing w:after="0" w:line="276" w:lineRule="auto"/>
        <w:jc w:val="both"/>
        <w:rPr>
          <w:rFonts w:ascii="Verdana" w:eastAsia="Calibri" w:hAnsi="Verdana" w:cs="Arial"/>
        </w:rPr>
      </w:pPr>
    </w:p>
    <w:p w14:paraId="12FCC079" w14:textId="77777777" w:rsidR="00D56237" w:rsidRPr="00D56237" w:rsidRDefault="00D56237" w:rsidP="00D56237">
      <w:pPr>
        <w:spacing w:after="0" w:line="240" w:lineRule="auto"/>
        <w:rPr>
          <w:rFonts w:ascii="Verdana" w:eastAsia="Calibri" w:hAnsi="Verdana" w:cs="Arial"/>
          <w:lang w:eastAsia="es-CO"/>
        </w:rPr>
      </w:pPr>
      <w:r w:rsidRPr="61D5B768">
        <w:rPr>
          <w:rFonts w:ascii="Verdana" w:eastAsia="Times New Roman" w:hAnsi="Verdana" w:cs="Arial"/>
          <w:lang w:eastAsia="es-CO"/>
        </w:rPr>
        <w:t>Atentamente,</w:t>
      </w:r>
      <w:r w:rsidRPr="61D5B768">
        <w:rPr>
          <w:rFonts w:ascii="Verdana" w:eastAsia="Calibri" w:hAnsi="Verdana" w:cs="Arial"/>
          <w:lang w:eastAsia="es-CO"/>
        </w:rPr>
        <w:t xml:space="preserve"> </w:t>
      </w:r>
    </w:p>
    <w:p w14:paraId="67A69E16" w14:textId="18B6DB67" w:rsidR="00D56237" w:rsidRDefault="001B4F7D" w:rsidP="61D5B768">
      <w:pPr>
        <w:spacing w:after="0" w:line="240" w:lineRule="auto"/>
        <w:jc w:val="center"/>
      </w:pPr>
      <w:r>
        <w:rPr>
          <w:noProof/>
        </w:rPr>
        <w:drawing>
          <wp:inline distT="0" distB="0" distL="0" distR="0" wp14:anchorId="3A0BBF02" wp14:editId="7CCF6350">
            <wp:extent cx="3449955" cy="1483348"/>
            <wp:effectExtent l="0" t="0" r="0" b="3175"/>
            <wp:docPr id="14657059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05999" name="Imagen 1465705999"/>
                    <pic:cNvPicPr/>
                  </pic:nvPicPr>
                  <pic:blipFill>
                    <a:blip r:embed="rId15">
                      <a:extLst>
                        <a:ext uri="{28A0092B-C50C-407E-A947-70E740481C1C}">
                          <a14:useLocalDpi xmlns:a14="http://schemas.microsoft.com/office/drawing/2010/main" val="0"/>
                        </a:ext>
                      </a:extLst>
                    </a:blip>
                    <a:stretch>
                      <a:fillRect/>
                    </a:stretch>
                  </pic:blipFill>
                  <pic:spPr>
                    <a:xfrm>
                      <a:off x="0" y="0"/>
                      <a:ext cx="3468099" cy="1491149"/>
                    </a:xfrm>
                    <a:prstGeom prst="rect">
                      <a:avLst/>
                    </a:prstGeom>
                  </pic:spPr>
                </pic:pic>
              </a:graphicData>
            </a:graphic>
          </wp:inline>
        </w:drawing>
      </w:r>
    </w:p>
    <w:p w14:paraId="4DAD5A71" w14:textId="77777777" w:rsidR="00A33B88" w:rsidRPr="00D56237" w:rsidRDefault="00A33B88" w:rsidP="61D5B768">
      <w:pPr>
        <w:spacing w:after="0" w:line="240" w:lineRule="auto"/>
        <w:jc w:val="cente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56237" w:rsidRPr="00D56237" w14:paraId="5F385BBF" w14:textId="77777777" w:rsidTr="00E873D5">
        <w:trPr>
          <w:trHeight w:val="315"/>
        </w:trPr>
        <w:tc>
          <w:tcPr>
            <w:tcW w:w="893" w:type="dxa"/>
            <w:vAlign w:val="center"/>
            <w:hideMark/>
          </w:tcPr>
          <w:p w14:paraId="7E0BA5FA" w14:textId="77777777" w:rsidR="00D56237" w:rsidRPr="00D56237" w:rsidRDefault="00D56237" w:rsidP="00D56237">
            <w:pPr>
              <w:rPr>
                <w:rFonts w:ascii="Verdana" w:eastAsia="Calibri" w:hAnsi="Verdana" w:cs="Arial"/>
                <w:sz w:val="16"/>
                <w:szCs w:val="16"/>
                <w:lang w:val="es-ES" w:eastAsia="es-ES"/>
              </w:rPr>
            </w:pPr>
            <w:r w:rsidRPr="00D56237">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1FEB6EEB" w14:textId="644AE1C8" w:rsidR="00D56237" w:rsidRPr="00D56237" w:rsidRDefault="00A33B88" w:rsidP="00D56237">
            <w:pPr>
              <w:rPr>
                <w:rFonts w:ascii="Verdana" w:eastAsia="Arial" w:hAnsi="Verdana" w:cs="Arial"/>
                <w:sz w:val="16"/>
                <w:szCs w:val="16"/>
              </w:rPr>
            </w:pPr>
            <w:proofErr w:type="spellStart"/>
            <w:r>
              <w:rPr>
                <w:rFonts w:ascii="Verdana" w:eastAsia="Arial" w:hAnsi="Verdana" w:cs="Arial"/>
                <w:sz w:val="16"/>
                <w:szCs w:val="16"/>
              </w:rPr>
              <w:t>Karol</w:t>
            </w:r>
            <w:proofErr w:type="spellEnd"/>
            <w:r>
              <w:rPr>
                <w:rFonts w:ascii="Verdana" w:eastAsia="Arial" w:hAnsi="Verdana" w:cs="Arial"/>
                <w:sz w:val="16"/>
                <w:szCs w:val="16"/>
              </w:rPr>
              <w:t xml:space="preserve"> Andrea </w:t>
            </w:r>
            <w:proofErr w:type="spellStart"/>
            <w:r>
              <w:rPr>
                <w:rFonts w:ascii="Verdana" w:eastAsia="Arial" w:hAnsi="Verdana" w:cs="Arial"/>
                <w:sz w:val="16"/>
                <w:szCs w:val="16"/>
              </w:rPr>
              <w:t>Gonzalez</w:t>
            </w:r>
            <w:proofErr w:type="spellEnd"/>
            <w:r>
              <w:rPr>
                <w:rFonts w:ascii="Verdana" w:eastAsia="Arial" w:hAnsi="Verdana" w:cs="Arial"/>
                <w:sz w:val="16"/>
                <w:szCs w:val="16"/>
              </w:rPr>
              <w:t xml:space="preserve"> </w:t>
            </w:r>
            <w:proofErr w:type="spellStart"/>
            <w:r>
              <w:rPr>
                <w:rFonts w:ascii="Verdana" w:eastAsia="Arial" w:hAnsi="Verdana" w:cs="Arial"/>
                <w:sz w:val="16"/>
                <w:szCs w:val="16"/>
              </w:rPr>
              <w:t>Marin</w:t>
            </w:r>
            <w:proofErr w:type="spellEnd"/>
            <w:r>
              <w:rPr>
                <w:rFonts w:ascii="Verdana" w:eastAsia="Arial" w:hAnsi="Verdana" w:cs="Arial"/>
                <w:sz w:val="16"/>
                <w:szCs w:val="16"/>
              </w:rPr>
              <w:t xml:space="preserve"> </w:t>
            </w:r>
          </w:p>
          <w:p w14:paraId="260AF408" w14:textId="77777777" w:rsidR="00D56237" w:rsidRPr="00D56237" w:rsidRDefault="00D56237" w:rsidP="00D56237">
            <w:pPr>
              <w:rPr>
                <w:rFonts w:ascii="Verdana" w:eastAsia="Arial" w:hAnsi="Verdana" w:cs="Arial"/>
                <w:sz w:val="16"/>
                <w:szCs w:val="16"/>
              </w:rPr>
            </w:pPr>
            <w:r w:rsidRPr="00D56237">
              <w:rPr>
                <w:rFonts w:ascii="Verdana" w:eastAsia="Arial" w:hAnsi="Verdana" w:cs="Arial"/>
                <w:sz w:val="16"/>
                <w:szCs w:val="16"/>
              </w:rPr>
              <w:t>Contratista de la Subdirección de Gestión Contractual</w:t>
            </w:r>
          </w:p>
          <w:p w14:paraId="0D409566" w14:textId="77777777" w:rsidR="00D56237" w:rsidRPr="00D56237" w:rsidRDefault="00D56237" w:rsidP="00D56237">
            <w:pPr>
              <w:rPr>
                <w:rFonts w:ascii="Verdana" w:eastAsia="Arial" w:hAnsi="Verdana" w:cs="Arial"/>
                <w:sz w:val="16"/>
                <w:szCs w:val="16"/>
              </w:rPr>
            </w:pPr>
            <w:r w:rsidRPr="00D56237">
              <w:rPr>
                <w:rFonts w:ascii="Verdana" w:eastAsia="Arial" w:hAnsi="Verdana" w:cs="Arial"/>
                <w:sz w:val="16"/>
                <w:szCs w:val="16"/>
              </w:rPr>
              <w:t>Alexandra Rodríguez Motta</w:t>
            </w:r>
          </w:p>
          <w:p w14:paraId="01B03044" w14:textId="77777777" w:rsidR="00D56237" w:rsidRPr="00D56237" w:rsidRDefault="00D56237" w:rsidP="00D56237">
            <w:pPr>
              <w:rPr>
                <w:rFonts w:ascii="Verdana" w:eastAsia="Arial" w:hAnsi="Verdana" w:cs="Arial"/>
                <w:sz w:val="16"/>
                <w:szCs w:val="16"/>
              </w:rPr>
            </w:pPr>
            <w:r w:rsidRPr="00D56237">
              <w:rPr>
                <w:rFonts w:ascii="Verdana" w:eastAsia="Arial" w:hAnsi="Verdana" w:cs="Arial"/>
                <w:sz w:val="16"/>
                <w:szCs w:val="16"/>
              </w:rPr>
              <w:t>Contratista de la Subdirección de Gestión Contractual</w:t>
            </w:r>
          </w:p>
        </w:tc>
      </w:tr>
      <w:tr w:rsidR="00D56237" w:rsidRPr="00D56237" w14:paraId="4FD57EF4" w14:textId="77777777" w:rsidTr="00E873D5">
        <w:trPr>
          <w:trHeight w:val="330"/>
        </w:trPr>
        <w:tc>
          <w:tcPr>
            <w:tcW w:w="893" w:type="dxa"/>
            <w:vAlign w:val="center"/>
            <w:hideMark/>
          </w:tcPr>
          <w:p w14:paraId="10248D54" w14:textId="77777777" w:rsidR="00D56237" w:rsidRPr="00D56237" w:rsidRDefault="00D56237" w:rsidP="00D56237">
            <w:pPr>
              <w:rPr>
                <w:rFonts w:ascii="Verdana" w:eastAsia="Calibri" w:hAnsi="Verdana" w:cs="Arial"/>
                <w:sz w:val="16"/>
                <w:szCs w:val="16"/>
                <w:lang w:val="es-ES" w:eastAsia="es-ES"/>
              </w:rPr>
            </w:pPr>
            <w:r w:rsidRPr="00D56237">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54E78F3" w14:textId="213DDFAD" w:rsidR="00D56237" w:rsidRPr="00D56237" w:rsidRDefault="00A33B88" w:rsidP="00D56237">
            <w:pPr>
              <w:textAlignment w:val="baseline"/>
              <w:rPr>
                <w:rFonts w:ascii="Verdana" w:eastAsia="Times New Roman" w:hAnsi="Verdana" w:cs="Arial"/>
                <w:sz w:val="16"/>
                <w:szCs w:val="16"/>
                <w:lang w:val="es-ES" w:eastAsia="es-ES_tradnl"/>
              </w:rPr>
            </w:pPr>
            <w:r w:rsidRPr="00A33B88">
              <w:rPr>
                <w:rFonts w:ascii="Verdana" w:eastAsia="Times New Roman" w:hAnsi="Verdana" w:cs="Arial"/>
                <w:sz w:val="16"/>
                <w:szCs w:val="16"/>
                <w:lang w:val="es-ES" w:eastAsia="es-ES_tradnl"/>
              </w:rPr>
              <w:t>Juan David Cárdenas</w:t>
            </w:r>
          </w:p>
          <w:p w14:paraId="0E82ED47" w14:textId="77777777" w:rsidR="00D56237" w:rsidRPr="00D56237" w:rsidRDefault="00D56237" w:rsidP="00D56237">
            <w:pPr>
              <w:textAlignment w:val="baseline"/>
              <w:rPr>
                <w:rFonts w:ascii="Verdana" w:eastAsia="Times New Roman" w:hAnsi="Verdana" w:cs="Segoe UI"/>
                <w:sz w:val="16"/>
                <w:szCs w:val="16"/>
                <w:lang w:eastAsia="es-ES_tradnl"/>
              </w:rPr>
            </w:pPr>
            <w:r w:rsidRPr="00D56237">
              <w:rPr>
                <w:rFonts w:ascii="Verdana" w:eastAsia="Times New Roman" w:hAnsi="Verdana" w:cs="Arial"/>
                <w:sz w:val="16"/>
                <w:szCs w:val="16"/>
                <w:lang w:val="es-ES" w:eastAsia="es-ES_tradnl"/>
              </w:rPr>
              <w:t>Contratista de la Subdirección de Gestión Contractual</w:t>
            </w:r>
            <w:r w:rsidRPr="00D56237">
              <w:rPr>
                <w:rFonts w:ascii="Verdana" w:eastAsia="Times New Roman" w:hAnsi="Verdana" w:cs="Arial"/>
                <w:sz w:val="16"/>
                <w:szCs w:val="16"/>
                <w:lang w:eastAsia="es-ES_tradnl"/>
              </w:rPr>
              <w:t> </w:t>
            </w:r>
          </w:p>
        </w:tc>
      </w:tr>
      <w:tr w:rsidR="00D56237" w:rsidRPr="00D56237" w14:paraId="64059E5A" w14:textId="77777777" w:rsidTr="00E873D5">
        <w:trPr>
          <w:trHeight w:val="300"/>
        </w:trPr>
        <w:tc>
          <w:tcPr>
            <w:tcW w:w="893" w:type="dxa"/>
            <w:vAlign w:val="center"/>
          </w:tcPr>
          <w:p w14:paraId="4C743F64" w14:textId="77777777" w:rsidR="00D56237" w:rsidRPr="00D56237" w:rsidRDefault="00D56237" w:rsidP="00D56237">
            <w:pPr>
              <w:rPr>
                <w:rFonts w:ascii="Verdana" w:eastAsia="Calibri" w:hAnsi="Verdana" w:cs="Arial"/>
                <w:sz w:val="16"/>
                <w:szCs w:val="16"/>
                <w:lang w:val="es-ES" w:eastAsia="es-ES"/>
              </w:rPr>
            </w:pPr>
            <w:r w:rsidRPr="00D56237">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50E3F54D" w14:textId="77777777" w:rsidR="00A33B88" w:rsidRPr="00A46EEC" w:rsidRDefault="00A33B88" w:rsidP="00A33B88">
            <w:pPr>
              <w:rPr>
                <w:rFonts w:ascii="Verdana" w:eastAsia="Calibri" w:hAnsi="Verdana" w:cs="Arial"/>
                <w:sz w:val="16"/>
                <w:szCs w:val="16"/>
                <w:lang w:eastAsia="es-ES"/>
              </w:rPr>
            </w:pPr>
            <w:r w:rsidRPr="00A46EEC">
              <w:rPr>
                <w:rFonts w:ascii="Verdana" w:eastAsia="Calibri" w:hAnsi="Verdana" w:cs="Arial"/>
                <w:sz w:val="16"/>
                <w:szCs w:val="16"/>
                <w:lang w:eastAsia="es-ES"/>
              </w:rPr>
              <w:t xml:space="preserve">Carolina Quintero </w:t>
            </w:r>
            <w:proofErr w:type="spellStart"/>
            <w:r w:rsidRPr="00A46EEC">
              <w:rPr>
                <w:rFonts w:ascii="Verdana" w:eastAsia="Calibri" w:hAnsi="Verdana" w:cs="Arial"/>
                <w:sz w:val="16"/>
                <w:szCs w:val="16"/>
                <w:lang w:eastAsia="es-ES"/>
              </w:rPr>
              <w:t>Gacharná</w:t>
            </w:r>
            <w:proofErr w:type="spellEnd"/>
          </w:p>
          <w:p w14:paraId="705ABCB0" w14:textId="54465C6B" w:rsidR="00D56237" w:rsidRPr="00D56237" w:rsidRDefault="00A33B88" w:rsidP="00A33B88">
            <w:pPr>
              <w:rPr>
                <w:rFonts w:ascii="Verdana" w:eastAsia="Calibri" w:hAnsi="Verdana" w:cs="Arial"/>
                <w:sz w:val="16"/>
                <w:szCs w:val="16"/>
                <w:lang w:val="pt-BR" w:eastAsia="es-ES"/>
              </w:rPr>
            </w:pPr>
            <w:r w:rsidRPr="00A46EEC">
              <w:rPr>
                <w:rFonts w:ascii="Verdana" w:eastAsia="Calibri" w:hAnsi="Verdana" w:cs="Arial"/>
                <w:sz w:val="16"/>
                <w:szCs w:val="16"/>
                <w:lang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E2690" w14:textId="77777777" w:rsidR="00547B7E" w:rsidRDefault="00547B7E" w:rsidP="004A1847">
      <w:pPr>
        <w:spacing w:after="0" w:line="240" w:lineRule="auto"/>
      </w:pPr>
      <w:r>
        <w:separator/>
      </w:r>
    </w:p>
  </w:endnote>
  <w:endnote w:type="continuationSeparator" w:id="0">
    <w:p w14:paraId="44FAAFC7" w14:textId="77777777" w:rsidR="00547B7E" w:rsidRDefault="00547B7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006C7" w14:textId="77777777" w:rsidR="00547B7E" w:rsidRDefault="00547B7E" w:rsidP="004A1847">
      <w:pPr>
        <w:spacing w:after="0" w:line="240" w:lineRule="auto"/>
      </w:pPr>
      <w:r>
        <w:separator/>
      </w:r>
    </w:p>
  </w:footnote>
  <w:footnote w:type="continuationSeparator" w:id="0">
    <w:p w14:paraId="2CFFE0F0" w14:textId="77777777" w:rsidR="00547B7E" w:rsidRDefault="00547B7E" w:rsidP="004A1847">
      <w:pPr>
        <w:spacing w:after="0" w:line="240" w:lineRule="auto"/>
      </w:pPr>
      <w:r>
        <w:continuationSeparator/>
      </w:r>
    </w:p>
  </w:footnote>
  <w:footnote w:id="1">
    <w:p w14:paraId="59DE7CE2" w14:textId="77777777" w:rsidR="00D56237" w:rsidRPr="00DE1A59" w:rsidRDefault="00D56237" w:rsidP="00D56237">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769D879"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2">
    <w:p w14:paraId="42A262CA" w14:textId="77777777" w:rsidR="00D56237" w:rsidRPr="00DE1A59" w:rsidRDefault="00D56237" w:rsidP="00D56237">
      <w:pPr>
        <w:pStyle w:val="Textonotapie"/>
        <w:ind w:firstLine="708"/>
        <w:jc w:val="both"/>
        <w:rPr>
          <w:rFonts w:ascii="Verdana" w:hAnsi="Verdana" w:cs="Arial"/>
          <w:sz w:val="18"/>
          <w:szCs w:val="18"/>
          <w:lang w:val="es-ES_tradnl"/>
        </w:rPr>
      </w:pPr>
      <w:r w:rsidRPr="00DE1A59">
        <w:rPr>
          <w:rStyle w:val="Refdenotaalpie"/>
          <w:rFonts w:ascii="Verdana" w:hAnsi="Verdana" w:cs="Arial"/>
          <w:sz w:val="18"/>
          <w:szCs w:val="18"/>
        </w:rPr>
        <w:footnoteRef/>
      </w:r>
      <w:r w:rsidRPr="00DE1A59">
        <w:rPr>
          <w:rFonts w:ascii="Verdana" w:hAnsi="Verdana"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3">
    <w:p w14:paraId="6AB4A823" w14:textId="77777777" w:rsidR="00D56237" w:rsidRPr="00DE1A59" w:rsidRDefault="00D56237" w:rsidP="00D56237">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2FA32EDE"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p>
    <w:p w14:paraId="2249C08F" w14:textId="77777777" w:rsidR="00D56237" w:rsidRPr="00DE1A59" w:rsidRDefault="00D56237" w:rsidP="00D56237">
      <w:pPr>
        <w:pStyle w:val="Textonotapie"/>
        <w:ind w:firstLine="708"/>
        <w:jc w:val="both"/>
        <w:rPr>
          <w:rFonts w:ascii="Verdana" w:hAnsi="Verdana" w:cs="Arial"/>
          <w:sz w:val="18"/>
          <w:szCs w:val="18"/>
          <w:lang w:val="es-ES_tradnl"/>
        </w:rPr>
      </w:pPr>
      <w:r w:rsidRPr="00DE1A59">
        <w:rPr>
          <w:rFonts w:ascii="Verdana" w:hAnsi="Verdana" w:cs="Arial"/>
          <w:sz w:val="18"/>
          <w:szCs w:val="18"/>
        </w:rPr>
        <w:t>[...]”.</w:t>
      </w:r>
    </w:p>
  </w:footnote>
  <w:footnote w:id="4">
    <w:p w14:paraId="026CF37D" w14:textId="77777777" w:rsidR="00D56237" w:rsidRPr="00DE1A59" w:rsidRDefault="00D56237" w:rsidP="00D56237">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8C5A51B"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w:t>
      </w:r>
    </w:p>
    <w:p w14:paraId="415BB41C"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76196299" w14:textId="77777777" w:rsidR="00D56237" w:rsidRPr="00DE1A59" w:rsidRDefault="00D56237" w:rsidP="00D56237">
      <w:pPr>
        <w:pStyle w:val="Textonotapie"/>
        <w:ind w:firstLine="709"/>
        <w:jc w:val="both"/>
        <w:rPr>
          <w:rFonts w:ascii="Verdana" w:hAnsi="Verdana" w:cs="Arial"/>
          <w:sz w:val="18"/>
          <w:szCs w:val="18"/>
          <w:lang w:val="es-ES_tradnl"/>
        </w:rPr>
      </w:pPr>
      <w:r w:rsidRPr="00DE1A59">
        <w:rPr>
          <w:rFonts w:ascii="Verdana" w:hAnsi="Verdana"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5">
    <w:p w14:paraId="46E86BE9" w14:textId="77777777" w:rsidR="00D56237" w:rsidRPr="00DE1A59" w:rsidRDefault="00D56237" w:rsidP="00D56237">
      <w:pPr>
        <w:pStyle w:val="Textonotapie"/>
        <w:jc w:val="both"/>
        <w:rPr>
          <w:rFonts w:ascii="Verdana" w:hAnsi="Verdana" w:cs="Arial"/>
          <w:sz w:val="18"/>
          <w:szCs w:val="18"/>
        </w:rPr>
      </w:pPr>
    </w:p>
    <w:p w14:paraId="5D80ABE0" w14:textId="77777777" w:rsidR="00D56237" w:rsidRPr="00DE1A59" w:rsidRDefault="00D56237" w:rsidP="00D56237">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C4E8F3C"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1. Si es una persona natural:</w:t>
      </w:r>
    </w:p>
    <w:p w14:paraId="5CD9C8FC"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1.1. Bienes, obras y servicios que ofrecerá a las Entidades Estatales, identificados con el Clasificador de Bienes y Servicios en el tercer nivel.</w:t>
      </w:r>
    </w:p>
    <w:p w14:paraId="2A0063BC"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BFEE442" w14:textId="77777777" w:rsidR="00D56237" w:rsidRPr="00DE1A59" w:rsidRDefault="00D56237" w:rsidP="00D56237">
      <w:pPr>
        <w:pStyle w:val="Textonotapie"/>
        <w:ind w:firstLine="708"/>
        <w:jc w:val="both"/>
        <w:rPr>
          <w:rFonts w:ascii="Verdana" w:hAnsi="Verdana"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81B6A0D"/>
    <w:multiLevelType w:val="multilevel"/>
    <w:tmpl w:val="77849B6C"/>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B860C1C"/>
    <w:multiLevelType w:val="hybridMultilevel"/>
    <w:tmpl w:val="01880888"/>
    <w:lvl w:ilvl="0" w:tplc="FDB0F2D4">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DCA5D82"/>
    <w:multiLevelType w:val="multilevel"/>
    <w:tmpl w:val="FA8EE104"/>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6E22D3B"/>
    <w:multiLevelType w:val="hybridMultilevel"/>
    <w:tmpl w:val="F47E46C4"/>
    <w:lvl w:ilvl="0" w:tplc="FFFFFFFF">
      <w:start w:val="1"/>
      <w:numFmt w:val="lowerRoman"/>
      <w:lvlText w:val="%1)"/>
      <w:lvlJc w:val="left"/>
      <w:pPr>
        <w:ind w:left="2496" w:hanging="720"/>
      </w:pPr>
      <w:rPr>
        <w:rFonts w:hint="default"/>
      </w:rPr>
    </w:lvl>
    <w:lvl w:ilvl="1" w:tplc="FFFFFFFF" w:tentative="1">
      <w:start w:val="1"/>
      <w:numFmt w:val="lowerLetter"/>
      <w:lvlText w:val="%2."/>
      <w:lvlJc w:val="left"/>
      <w:pPr>
        <w:ind w:left="2856" w:hanging="360"/>
      </w:pPr>
    </w:lvl>
    <w:lvl w:ilvl="2" w:tplc="FFFFFFFF" w:tentative="1">
      <w:start w:val="1"/>
      <w:numFmt w:val="lowerRoman"/>
      <w:lvlText w:val="%3."/>
      <w:lvlJc w:val="right"/>
      <w:pPr>
        <w:ind w:left="3576" w:hanging="180"/>
      </w:pPr>
    </w:lvl>
    <w:lvl w:ilvl="3" w:tplc="FFFFFFFF" w:tentative="1">
      <w:start w:val="1"/>
      <w:numFmt w:val="decimal"/>
      <w:lvlText w:val="%4."/>
      <w:lvlJc w:val="left"/>
      <w:pPr>
        <w:ind w:left="4296" w:hanging="360"/>
      </w:pPr>
    </w:lvl>
    <w:lvl w:ilvl="4" w:tplc="FFFFFFFF" w:tentative="1">
      <w:start w:val="1"/>
      <w:numFmt w:val="lowerLetter"/>
      <w:lvlText w:val="%5."/>
      <w:lvlJc w:val="left"/>
      <w:pPr>
        <w:ind w:left="5016" w:hanging="360"/>
      </w:pPr>
    </w:lvl>
    <w:lvl w:ilvl="5" w:tplc="FFFFFFFF" w:tentative="1">
      <w:start w:val="1"/>
      <w:numFmt w:val="lowerRoman"/>
      <w:lvlText w:val="%6."/>
      <w:lvlJc w:val="right"/>
      <w:pPr>
        <w:ind w:left="5736" w:hanging="180"/>
      </w:pPr>
    </w:lvl>
    <w:lvl w:ilvl="6" w:tplc="FFFFFFFF" w:tentative="1">
      <w:start w:val="1"/>
      <w:numFmt w:val="decimal"/>
      <w:lvlText w:val="%7."/>
      <w:lvlJc w:val="left"/>
      <w:pPr>
        <w:ind w:left="6456" w:hanging="360"/>
      </w:pPr>
    </w:lvl>
    <w:lvl w:ilvl="7" w:tplc="FFFFFFFF" w:tentative="1">
      <w:start w:val="1"/>
      <w:numFmt w:val="lowerLetter"/>
      <w:lvlText w:val="%8."/>
      <w:lvlJc w:val="left"/>
      <w:pPr>
        <w:ind w:left="7176" w:hanging="360"/>
      </w:pPr>
    </w:lvl>
    <w:lvl w:ilvl="8" w:tplc="FFFFFFFF" w:tentative="1">
      <w:start w:val="1"/>
      <w:numFmt w:val="lowerRoman"/>
      <w:lvlText w:val="%9."/>
      <w:lvlJc w:val="right"/>
      <w:pPr>
        <w:ind w:left="7896" w:hanging="180"/>
      </w:p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561F07"/>
    <w:multiLevelType w:val="multilevel"/>
    <w:tmpl w:val="11B23E3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7F7B5986"/>
    <w:multiLevelType w:val="multilevel"/>
    <w:tmpl w:val="657CC884"/>
    <w:lvl w:ilvl="0">
      <w:start w:val="1"/>
      <w:numFmt w:val="decimal"/>
      <w:lvlText w:val="%1."/>
      <w:lvlJc w:val="left"/>
      <w:pPr>
        <w:ind w:left="450" w:hanging="450"/>
      </w:pPr>
      <w:rPr>
        <w:rFonts w:hint="default"/>
      </w:rPr>
    </w:lvl>
    <w:lvl w:ilvl="1">
      <w:start w:val="1"/>
      <w:numFmt w:val="decimal"/>
      <w:lvlText w:val="%1.%2."/>
      <w:lvlJc w:val="left"/>
      <w:pPr>
        <w:ind w:left="607" w:hanging="720"/>
      </w:pPr>
      <w:rPr>
        <w:rFonts w:hint="default"/>
      </w:rPr>
    </w:lvl>
    <w:lvl w:ilvl="2">
      <w:start w:val="1"/>
      <w:numFmt w:val="decimal"/>
      <w:lvlText w:val="%1.%2.%3."/>
      <w:lvlJc w:val="left"/>
      <w:pPr>
        <w:ind w:left="854" w:hanging="1080"/>
      </w:pPr>
      <w:rPr>
        <w:rFonts w:hint="default"/>
      </w:rPr>
    </w:lvl>
    <w:lvl w:ilvl="3">
      <w:start w:val="1"/>
      <w:numFmt w:val="decimal"/>
      <w:lvlText w:val="%1.%2.%3.%4."/>
      <w:lvlJc w:val="left"/>
      <w:pPr>
        <w:ind w:left="741" w:hanging="1080"/>
      </w:pPr>
      <w:rPr>
        <w:rFonts w:hint="default"/>
      </w:rPr>
    </w:lvl>
    <w:lvl w:ilvl="4">
      <w:start w:val="1"/>
      <w:numFmt w:val="decimal"/>
      <w:lvlText w:val="%1.%2.%3.%4.%5."/>
      <w:lvlJc w:val="left"/>
      <w:pPr>
        <w:ind w:left="988" w:hanging="1440"/>
      </w:pPr>
      <w:rPr>
        <w:rFonts w:hint="default"/>
      </w:rPr>
    </w:lvl>
    <w:lvl w:ilvl="5">
      <w:start w:val="1"/>
      <w:numFmt w:val="decimal"/>
      <w:lvlText w:val="%1.%2.%3.%4.%5.%6."/>
      <w:lvlJc w:val="left"/>
      <w:pPr>
        <w:ind w:left="1235" w:hanging="1800"/>
      </w:pPr>
      <w:rPr>
        <w:rFonts w:hint="default"/>
      </w:rPr>
    </w:lvl>
    <w:lvl w:ilvl="6">
      <w:start w:val="1"/>
      <w:numFmt w:val="decimal"/>
      <w:lvlText w:val="%1.%2.%3.%4.%5.%6.%7."/>
      <w:lvlJc w:val="left"/>
      <w:pPr>
        <w:ind w:left="1482" w:hanging="2160"/>
      </w:pPr>
      <w:rPr>
        <w:rFonts w:hint="default"/>
      </w:rPr>
    </w:lvl>
    <w:lvl w:ilvl="7">
      <w:start w:val="1"/>
      <w:numFmt w:val="decimal"/>
      <w:lvlText w:val="%1.%2.%3.%4.%5.%6.%7.%8."/>
      <w:lvlJc w:val="left"/>
      <w:pPr>
        <w:ind w:left="1369" w:hanging="2160"/>
      </w:pPr>
      <w:rPr>
        <w:rFonts w:hint="default"/>
      </w:rPr>
    </w:lvl>
    <w:lvl w:ilvl="8">
      <w:start w:val="1"/>
      <w:numFmt w:val="decimal"/>
      <w:lvlText w:val="%1.%2.%3.%4.%5.%6.%7.%8.%9."/>
      <w:lvlJc w:val="left"/>
      <w:pPr>
        <w:ind w:left="1616" w:hanging="2520"/>
      </w:pPr>
      <w:rPr>
        <w:rFonts w:hint="default"/>
      </w:rPr>
    </w:lvl>
  </w:abstractNum>
  <w:num w:numId="1" w16cid:durableId="1694332917">
    <w:abstractNumId w:val="7"/>
  </w:num>
  <w:num w:numId="2" w16cid:durableId="1565480660">
    <w:abstractNumId w:val="2"/>
  </w:num>
  <w:num w:numId="3" w16cid:durableId="1480343746">
    <w:abstractNumId w:val="5"/>
  </w:num>
  <w:num w:numId="4" w16cid:durableId="14129646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9886401">
    <w:abstractNumId w:val="2"/>
  </w:num>
  <w:num w:numId="6" w16cid:durableId="2042588994">
    <w:abstractNumId w:val="17"/>
  </w:num>
  <w:num w:numId="7" w16cid:durableId="2077387099">
    <w:abstractNumId w:val="6"/>
  </w:num>
  <w:num w:numId="8" w16cid:durableId="1185753476">
    <w:abstractNumId w:val="16"/>
  </w:num>
  <w:num w:numId="9" w16cid:durableId="1790197799">
    <w:abstractNumId w:val="8"/>
  </w:num>
  <w:num w:numId="10" w16cid:durableId="1332758642">
    <w:abstractNumId w:val="15"/>
  </w:num>
  <w:num w:numId="11" w16cid:durableId="455612152">
    <w:abstractNumId w:val="9"/>
  </w:num>
  <w:num w:numId="12" w16cid:durableId="1026981774">
    <w:abstractNumId w:val="1"/>
  </w:num>
  <w:num w:numId="13" w16cid:durableId="1145589525">
    <w:abstractNumId w:val="4"/>
  </w:num>
  <w:num w:numId="14" w16cid:durableId="1662663217">
    <w:abstractNumId w:val="18"/>
  </w:num>
  <w:num w:numId="15" w16cid:durableId="1642491888">
    <w:abstractNumId w:val="13"/>
  </w:num>
  <w:num w:numId="16" w16cid:durableId="879248286">
    <w:abstractNumId w:val="0"/>
  </w:num>
  <w:num w:numId="17" w16cid:durableId="1845970461">
    <w:abstractNumId w:val="10"/>
  </w:num>
  <w:num w:numId="18" w16cid:durableId="860969092">
    <w:abstractNumId w:val="3"/>
  </w:num>
  <w:num w:numId="19" w16cid:durableId="270358296">
    <w:abstractNumId w:val="20"/>
  </w:num>
  <w:num w:numId="20" w16cid:durableId="1972400222">
    <w:abstractNumId w:val="19"/>
  </w:num>
  <w:num w:numId="21" w16cid:durableId="457532540">
    <w:abstractNumId w:val="11"/>
  </w:num>
  <w:num w:numId="22" w16cid:durableId="1396590181">
    <w:abstractNumId w:val="12"/>
  </w:num>
  <w:num w:numId="23" w16cid:durableId="3134125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2336"/>
    <w:rsid w:val="00082362"/>
    <w:rsid w:val="000A683E"/>
    <w:rsid w:val="000B19B9"/>
    <w:rsid w:val="000D0334"/>
    <w:rsid w:val="000F5928"/>
    <w:rsid w:val="000F6486"/>
    <w:rsid w:val="00107EBC"/>
    <w:rsid w:val="00125105"/>
    <w:rsid w:val="00127233"/>
    <w:rsid w:val="001511A0"/>
    <w:rsid w:val="001B4F7D"/>
    <w:rsid w:val="001E4177"/>
    <w:rsid w:val="001F7DC6"/>
    <w:rsid w:val="002421BB"/>
    <w:rsid w:val="0025796E"/>
    <w:rsid w:val="002707A2"/>
    <w:rsid w:val="00285D5C"/>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47B7E"/>
    <w:rsid w:val="005566E8"/>
    <w:rsid w:val="00574867"/>
    <w:rsid w:val="00591460"/>
    <w:rsid w:val="005B10A5"/>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2CE2"/>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02425"/>
    <w:rsid w:val="00A122D3"/>
    <w:rsid w:val="00A17F13"/>
    <w:rsid w:val="00A20739"/>
    <w:rsid w:val="00A33B88"/>
    <w:rsid w:val="00A33C78"/>
    <w:rsid w:val="00A47265"/>
    <w:rsid w:val="00A65F33"/>
    <w:rsid w:val="00AB0ADB"/>
    <w:rsid w:val="00B01B1A"/>
    <w:rsid w:val="00B66319"/>
    <w:rsid w:val="00B72CD3"/>
    <w:rsid w:val="00B72FFF"/>
    <w:rsid w:val="00BB5552"/>
    <w:rsid w:val="00BC3D36"/>
    <w:rsid w:val="00BD3A8E"/>
    <w:rsid w:val="00BD7F72"/>
    <w:rsid w:val="00C001DB"/>
    <w:rsid w:val="00C04FB3"/>
    <w:rsid w:val="00C12CCE"/>
    <w:rsid w:val="00C26076"/>
    <w:rsid w:val="00C330EB"/>
    <w:rsid w:val="00C41061"/>
    <w:rsid w:val="00C754BE"/>
    <w:rsid w:val="00C76B1C"/>
    <w:rsid w:val="00CB6357"/>
    <w:rsid w:val="00CC1B26"/>
    <w:rsid w:val="00D423A2"/>
    <w:rsid w:val="00D520D8"/>
    <w:rsid w:val="00D56237"/>
    <w:rsid w:val="00D63AC2"/>
    <w:rsid w:val="00D7383B"/>
    <w:rsid w:val="00D9431D"/>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4DAB3770"/>
    <w:rsid w:val="61D5B768"/>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6237"/>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533">
      <w:bodyDiv w:val="1"/>
      <w:marLeft w:val="0"/>
      <w:marRight w:val="0"/>
      <w:marTop w:val="0"/>
      <w:marBottom w:val="0"/>
      <w:divBdr>
        <w:top w:val="none" w:sz="0" w:space="0" w:color="auto"/>
        <w:left w:val="none" w:sz="0" w:space="0" w:color="auto"/>
        <w:bottom w:val="none" w:sz="0" w:space="0" w:color="auto"/>
        <w:right w:val="none" w:sz="0" w:space="0" w:color="auto"/>
      </w:divBdr>
    </w:div>
    <w:div w:id="106239943">
      <w:bodyDiv w:val="1"/>
      <w:marLeft w:val="0"/>
      <w:marRight w:val="0"/>
      <w:marTop w:val="0"/>
      <w:marBottom w:val="0"/>
      <w:divBdr>
        <w:top w:val="none" w:sz="0" w:space="0" w:color="auto"/>
        <w:left w:val="none" w:sz="0" w:space="0" w:color="auto"/>
        <w:bottom w:val="none" w:sz="0" w:space="0" w:color="auto"/>
        <w:right w:val="none" w:sz="0" w:space="0" w:color="auto"/>
      </w:divBdr>
      <w:divsChild>
        <w:div w:id="253173244">
          <w:marLeft w:val="0"/>
          <w:marRight w:val="0"/>
          <w:marTop w:val="0"/>
          <w:marBottom w:val="0"/>
          <w:divBdr>
            <w:top w:val="none" w:sz="0" w:space="0" w:color="auto"/>
            <w:left w:val="none" w:sz="0" w:space="0" w:color="auto"/>
            <w:bottom w:val="none" w:sz="0" w:space="0" w:color="auto"/>
            <w:right w:val="none" w:sz="0" w:space="0" w:color="auto"/>
          </w:divBdr>
        </w:div>
        <w:div w:id="1441998438">
          <w:marLeft w:val="0"/>
          <w:marRight w:val="0"/>
          <w:marTop w:val="0"/>
          <w:marBottom w:val="0"/>
          <w:divBdr>
            <w:top w:val="none" w:sz="0" w:space="0" w:color="auto"/>
            <w:left w:val="none" w:sz="0" w:space="0" w:color="auto"/>
            <w:bottom w:val="none" w:sz="0" w:space="0" w:color="auto"/>
            <w:right w:val="none" w:sz="0" w:space="0" w:color="auto"/>
          </w:divBdr>
        </w:div>
        <w:div w:id="777607063">
          <w:marLeft w:val="0"/>
          <w:marRight w:val="0"/>
          <w:marTop w:val="0"/>
          <w:marBottom w:val="0"/>
          <w:divBdr>
            <w:top w:val="none" w:sz="0" w:space="0" w:color="auto"/>
            <w:left w:val="none" w:sz="0" w:space="0" w:color="auto"/>
            <w:bottom w:val="none" w:sz="0" w:space="0" w:color="auto"/>
            <w:right w:val="none" w:sz="0" w:space="0" w:color="auto"/>
          </w:divBdr>
        </w:div>
        <w:div w:id="1281961902">
          <w:marLeft w:val="0"/>
          <w:marRight w:val="0"/>
          <w:marTop w:val="0"/>
          <w:marBottom w:val="0"/>
          <w:divBdr>
            <w:top w:val="none" w:sz="0" w:space="0" w:color="auto"/>
            <w:left w:val="none" w:sz="0" w:space="0" w:color="auto"/>
            <w:bottom w:val="none" w:sz="0" w:space="0" w:color="auto"/>
            <w:right w:val="none" w:sz="0" w:space="0" w:color="auto"/>
          </w:divBdr>
        </w:div>
        <w:div w:id="1266107905">
          <w:marLeft w:val="0"/>
          <w:marRight w:val="0"/>
          <w:marTop w:val="0"/>
          <w:marBottom w:val="0"/>
          <w:divBdr>
            <w:top w:val="none" w:sz="0" w:space="0" w:color="auto"/>
            <w:left w:val="none" w:sz="0" w:space="0" w:color="auto"/>
            <w:bottom w:val="none" w:sz="0" w:space="0" w:color="auto"/>
            <w:right w:val="none" w:sz="0" w:space="0" w:color="auto"/>
          </w:divBdr>
        </w:div>
        <w:div w:id="580407890">
          <w:marLeft w:val="0"/>
          <w:marRight w:val="0"/>
          <w:marTop w:val="0"/>
          <w:marBottom w:val="0"/>
          <w:divBdr>
            <w:top w:val="none" w:sz="0" w:space="0" w:color="auto"/>
            <w:left w:val="none" w:sz="0" w:space="0" w:color="auto"/>
            <w:bottom w:val="none" w:sz="0" w:space="0" w:color="auto"/>
            <w:right w:val="none" w:sz="0" w:space="0" w:color="auto"/>
          </w:divBdr>
        </w:div>
        <w:div w:id="1083376119">
          <w:marLeft w:val="0"/>
          <w:marRight w:val="0"/>
          <w:marTop w:val="0"/>
          <w:marBottom w:val="0"/>
          <w:divBdr>
            <w:top w:val="none" w:sz="0" w:space="0" w:color="auto"/>
            <w:left w:val="none" w:sz="0" w:space="0" w:color="auto"/>
            <w:bottom w:val="none" w:sz="0" w:space="0" w:color="auto"/>
            <w:right w:val="none" w:sz="0" w:space="0" w:color="auto"/>
          </w:divBdr>
        </w:div>
        <w:div w:id="1466200450">
          <w:marLeft w:val="0"/>
          <w:marRight w:val="0"/>
          <w:marTop w:val="0"/>
          <w:marBottom w:val="0"/>
          <w:divBdr>
            <w:top w:val="none" w:sz="0" w:space="0" w:color="auto"/>
            <w:left w:val="none" w:sz="0" w:space="0" w:color="auto"/>
            <w:bottom w:val="none" w:sz="0" w:space="0" w:color="auto"/>
            <w:right w:val="none" w:sz="0" w:space="0" w:color="auto"/>
          </w:divBdr>
        </w:div>
        <w:div w:id="1087312549">
          <w:marLeft w:val="0"/>
          <w:marRight w:val="0"/>
          <w:marTop w:val="0"/>
          <w:marBottom w:val="0"/>
          <w:divBdr>
            <w:top w:val="none" w:sz="0" w:space="0" w:color="auto"/>
            <w:left w:val="none" w:sz="0" w:space="0" w:color="auto"/>
            <w:bottom w:val="none" w:sz="0" w:space="0" w:color="auto"/>
            <w:right w:val="none" w:sz="0" w:space="0" w:color="auto"/>
          </w:divBdr>
        </w:div>
        <w:div w:id="1478647657">
          <w:marLeft w:val="0"/>
          <w:marRight w:val="0"/>
          <w:marTop w:val="0"/>
          <w:marBottom w:val="0"/>
          <w:divBdr>
            <w:top w:val="none" w:sz="0" w:space="0" w:color="auto"/>
            <w:left w:val="none" w:sz="0" w:space="0" w:color="auto"/>
            <w:bottom w:val="none" w:sz="0" w:space="0" w:color="auto"/>
            <w:right w:val="none" w:sz="0" w:space="0" w:color="auto"/>
          </w:divBdr>
        </w:div>
        <w:div w:id="1671330410">
          <w:marLeft w:val="0"/>
          <w:marRight w:val="0"/>
          <w:marTop w:val="120"/>
          <w:marBottom w:val="0"/>
          <w:divBdr>
            <w:top w:val="none" w:sz="0" w:space="0" w:color="auto"/>
            <w:left w:val="none" w:sz="0" w:space="0" w:color="auto"/>
            <w:bottom w:val="none" w:sz="0" w:space="0" w:color="auto"/>
            <w:right w:val="none" w:sz="0" w:space="0" w:color="auto"/>
          </w:divBdr>
        </w:div>
        <w:div w:id="1807238242">
          <w:marLeft w:val="0"/>
          <w:marRight w:val="0"/>
          <w:marTop w:val="120"/>
          <w:marBottom w:val="0"/>
          <w:divBdr>
            <w:top w:val="none" w:sz="0" w:space="0" w:color="auto"/>
            <w:left w:val="none" w:sz="0" w:space="0" w:color="auto"/>
            <w:bottom w:val="none" w:sz="0" w:space="0" w:color="auto"/>
            <w:right w:val="none" w:sz="0" w:space="0" w:color="auto"/>
          </w:divBdr>
        </w:div>
        <w:div w:id="4285264">
          <w:marLeft w:val="0"/>
          <w:marRight w:val="0"/>
          <w:marTop w:val="120"/>
          <w:marBottom w:val="0"/>
          <w:divBdr>
            <w:top w:val="none" w:sz="0" w:space="0" w:color="auto"/>
            <w:left w:val="none" w:sz="0" w:space="0" w:color="auto"/>
            <w:bottom w:val="none" w:sz="0" w:space="0" w:color="auto"/>
            <w:right w:val="none" w:sz="0" w:space="0" w:color="auto"/>
          </w:divBdr>
        </w:div>
        <w:div w:id="559705866">
          <w:marLeft w:val="0"/>
          <w:marRight w:val="0"/>
          <w:marTop w:val="120"/>
          <w:marBottom w:val="0"/>
          <w:divBdr>
            <w:top w:val="none" w:sz="0" w:space="0" w:color="auto"/>
            <w:left w:val="none" w:sz="0" w:space="0" w:color="auto"/>
            <w:bottom w:val="none" w:sz="0" w:space="0" w:color="auto"/>
            <w:right w:val="none" w:sz="0" w:space="0" w:color="auto"/>
          </w:divBdr>
        </w:div>
        <w:div w:id="133256165">
          <w:marLeft w:val="0"/>
          <w:marRight w:val="0"/>
          <w:marTop w:val="120"/>
          <w:marBottom w:val="0"/>
          <w:divBdr>
            <w:top w:val="none" w:sz="0" w:space="0" w:color="auto"/>
            <w:left w:val="none" w:sz="0" w:space="0" w:color="auto"/>
            <w:bottom w:val="none" w:sz="0" w:space="0" w:color="auto"/>
            <w:right w:val="none" w:sz="0" w:space="0" w:color="auto"/>
          </w:divBdr>
        </w:div>
        <w:div w:id="476998700">
          <w:marLeft w:val="0"/>
          <w:marRight w:val="0"/>
          <w:marTop w:val="120"/>
          <w:marBottom w:val="0"/>
          <w:divBdr>
            <w:top w:val="none" w:sz="0" w:space="0" w:color="auto"/>
            <w:left w:val="none" w:sz="0" w:space="0" w:color="auto"/>
            <w:bottom w:val="none" w:sz="0" w:space="0" w:color="auto"/>
            <w:right w:val="none" w:sz="0" w:space="0" w:color="auto"/>
          </w:divBdr>
        </w:div>
        <w:div w:id="1763070405">
          <w:marLeft w:val="0"/>
          <w:marRight w:val="0"/>
          <w:marTop w:val="0"/>
          <w:marBottom w:val="0"/>
          <w:divBdr>
            <w:top w:val="none" w:sz="0" w:space="0" w:color="auto"/>
            <w:left w:val="none" w:sz="0" w:space="0" w:color="auto"/>
            <w:bottom w:val="none" w:sz="0" w:space="0" w:color="auto"/>
            <w:right w:val="none" w:sz="0" w:space="0" w:color="auto"/>
          </w:divBdr>
        </w:div>
        <w:div w:id="576986610">
          <w:marLeft w:val="0"/>
          <w:marRight w:val="0"/>
          <w:marTop w:val="0"/>
          <w:marBottom w:val="0"/>
          <w:divBdr>
            <w:top w:val="none" w:sz="0" w:space="0" w:color="auto"/>
            <w:left w:val="none" w:sz="0" w:space="0" w:color="auto"/>
            <w:bottom w:val="none" w:sz="0" w:space="0" w:color="auto"/>
            <w:right w:val="none" w:sz="0" w:space="0" w:color="auto"/>
          </w:divBdr>
        </w:div>
        <w:div w:id="1673217272">
          <w:marLeft w:val="0"/>
          <w:marRight w:val="0"/>
          <w:marTop w:val="120"/>
          <w:marBottom w:val="0"/>
          <w:divBdr>
            <w:top w:val="none" w:sz="0" w:space="0" w:color="auto"/>
            <w:left w:val="none" w:sz="0" w:space="0" w:color="auto"/>
            <w:bottom w:val="none" w:sz="0" w:space="0" w:color="auto"/>
            <w:right w:val="none" w:sz="0" w:space="0" w:color="auto"/>
          </w:divBdr>
        </w:div>
        <w:div w:id="170025060">
          <w:marLeft w:val="0"/>
          <w:marRight w:val="0"/>
          <w:marTop w:val="12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2857301">
      <w:bodyDiv w:val="1"/>
      <w:marLeft w:val="0"/>
      <w:marRight w:val="0"/>
      <w:marTop w:val="0"/>
      <w:marBottom w:val="0"/>
      <w:divBdr>
        <w:top w:val="none" w:sz="0" w:space="0" w:color="auto"/>
        <w:left w:val="none" w:sz="0" w:space="0" w:color="auto"/>
        <w:bottom w:val="none" w:sz="0" w:space="0" w:color="auto"/>
        <w:right w:val="none" w:sz="0" w:space="0" w:color="auto"/>
      </w:divBdr>
    </w:div>
    <w:div w:id="1544559189">
      <w:bodyDiv w:val="1"/>
      <w:marLeft w:val="0"/>
      <w:marRight w:val="0"/>
      <w:marTop w:val="0"/>
      <w:marBottom w:val="0"/>
      <w:divBdr>
        <w:top w:val="none" w:sz="0" w:space="0" w:color="auto"/>
        <w:left w:val="none" w:sz="0" w:space="0" w:color="auto"/>
        <w:bottom w:val="none" w:sz="0" w:space="0" w:color="auto"/>
        <w:right w:val="none" w:sz="0" w:space="0" w:color="auto"/>
      </w:divBdr>
      <w:divsChild>
        <w:div w:id="704717324">
          <w:marLeft w:val="0"/>
          <w:marRight w:val="0"/>
          <w:marTop w:val="0"/>
          <w:marBottom w:val="0"/>
          <w:divBdr>
            <w:top w:val="none" w:sz="0" w:space="0" w:color="auto"/>
            <w:left w:val="none" w:sz="0" w:space="0" w:color="auto"/>
            <w:bottom w:val="none" w:sz="0" w:space="0" w:color="auto"/>
            <w:right w:val="none" w:sz="0" w:space="0" w:color="auto"/>
          </w:divBdr>
        </w:div>
        <w:div w:id="1220897586">
          <w:marLeft w:val="0"/>
          <w:marRight w:val="0"/>
          <w:marTop w:val="0"/>
          <w:marBottom w:val="0"/>
          <w:divBdr>
            <w:top w:val="none" w:sz="0" w:space="0" w:color="auto"/>
            <w:left w:val="none" w:sz="0" w:space="0" w:color="auto"/>
            <w:bottom w:val="none" w:sz="0" w:space="0" w:color="auto"/>
            <w:right w:val="none" w:sz="0" w:space="0" w:color="auto"/>
          </w:divBdr>
        </w:div>
        <w:div w:id="50884144">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felipebonilla@gmail.com" TargetMode="External"/><Relationship Id="rId5" Type="http://schemas.openxmlformats.org/officeDocument/2006/relationships/styles" Target="styles.xml"/><Relationship Id="rId15" Type="http://schemas.openxmlformats.org/officeDocument/2006/relationships/image" Target="media/image3.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7A3D3A-9C03-4FFE-BA09-79F4FA8C8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www.w3.org/XML/1998/namespace"/>
    <ds:schemaRef ds:uri="9d85dbaf-23eb-4e57-a637-93dcacc8b1a1"/>
    <ds:schemaRef ds:uri="a6cb9e4b-f1d1-4245-83ec-6cad768d538a"/>
    <ds:schemaRef ds:uri="http://schemas.microsoft.com/office/2006/documentManagement/types"/>
    <ds:schemaRef ds:uri="http://schemas.openxmlformats.org/package/2006/metadata/core-properties"/>
    <ds:schemaRef ds:uri="http://purl.org/dc/dcmitype/"/>
    <ds:schemaRef ds:uri="http://purl.org/dc/elements/1.1/"/>
    <ds:schemaRef ds:uri="http://purl.org/dc/term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5455</Words>
  <Characters>30008</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2025-10-10T16:31:00Z</dcterms:created>
  <dcterms:modified xsi:type="dcterms:W3CDTF">2025-10-10T16:31:00Z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