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26052" w:rsidRDefault="00B55C69" w:rsidP="001A4314">
      <w:pPr>
        <w:jc w:val="right"/>
        <w:rPr>
          <w:rFonts w:ascii="Arial" w:eastAsia="Calibri" w:hAnsi="Arial" w:cs="Arial"/>
          <w:b/>
          <w:sz w:val="20"/>
          <w:szCs w:val="20"/>
          <w:lang w:val="es-ES_tradnl"/>
        </w:rPr>
      </w:pPr>
      <w:bookmarkStart w:id="0" w:name="_Hlk28946138"/>
      <w:bookmarkStart w:id="1" w:name="_Hlk29548183"/>
      <w:r w:rsidRPr="00A26052">
        <w:rPr>
          <w:rFonts w:ascii="Arial" w:hAnsi="Arial" w:cs="Arial"/>
          <w:bCs/>
          <w:sz w:val="16"/>
          <w:szCs w:val="16"/>
          <w:lang w:val="es-ES_tradnl" w:eastAsia="es-ES"/>
        </w:rPr>
        <w:t>CCE-DES-FM-17</w:t>
      </w:r>
      <w:bookmarkEnd w:id="0"/>
      <w:bookmarkEnd w:id="1"/>
    </w:p>
    <w:p w14:paraId="55FBD910" w14:textId="77777777" w:rsidR="008536BB" w:rsidRPr="00A26052" w:rsidRDefault="008536BB" w:rsidP="00B95C30">
      <w:pPr>
        <w:spacing w:line="276" w:lineRule="auto"/>
        <w:jc w:val="both"/>
        <w:rPr>
          <w:rFonts w:ascii="Arial" w:hAnsi="Arial" w:cs="Arial"/>
          <w:noProof/>
          <w:sz w:val="22"/>
          <w:lang w:val="es-ES_tradnl"/>
        </w:rPr>
      </w:pPr>
    </w:p>
    <w:p w14:paraId="6A9E6ADF" w14:textId="169A7A08" w:rsidR="00EC224E" w:rsidRPr="00A26052" w:rsidRDefault="00EC224E" w:rsidP="00EC224E">
      <w:pPr>
        <w:jc w:val="both"/>
        <w:rPr>
          <w:rFonts w:ascii="Arial" w:eastAsia="Calibri" w:hAnsi="Arial" w:cs="Arial"/>
          <w:b/>
          <w:sz w:val="22"/>
          <w:lang w:val="es-ES_tradnl"/>
        </w:rPr>
      </w:pPr>
      <w:r w:rsidRPr="00A26052">
        <w:rPr>
          <w:rFonts w:ascii="Arial" w:eastAsia="Calibri" w:hAnsi="Arial" w:cs="Arial"/>
          <w:b/>
          <w:sz w:val="22"/>
          <w:lang w:val="es-ES_tradnl"/>
        </w:rPr>
        <w:t xml:space="preserve">LEY DE EMPRENDIMIENTO – Ley </w:t>
      </w:r>
      <w:r w:rsidR="001F0325" w:rsidRPr="00A26052">
        <w:rPr>
          <w:rFonts w:ascii="Arial" w:eastAsia="Calibri" w:hAnsi="Arial" w:cs="Arial"/>
          <w:b/>
          <w:sz w:val="22"/>
          <w:lang w:val="es-ES_tradnl"/>
        </w:rPr>
        <w:t>2069</w:t>
      </w:r>
      <w:r w:rsidRPr="00A26052">
        <w:rPr>
          <w:rFonts w:ascii="Arial" w:eastAsia="Calibri" w:hAnsi="Arial" w:cs="Arial"/>
          <w:b/>
          <w:sz w:val="22"/>
          <w:lang w:val="es-ES_tradnl"/>
        </w:rPr>
        <w:t xml:space="preserve"> de 2020 – Vigencia </w:t>
      </w:r>
    </w:p>
    <w:p w14:paraId="5A76D430" w14:textId="77777777" w:rsidR="00EC224E" w:rsidRPr="00A26052" w:rsidRDefault="00EC224E" w:rsidP="00EC224E">
      <w:pPr>
        <w:jc w:val="both"/>
        <w:rPr>
          <w:rFonts w:ascii="Arial" w:eastAsia="Calibri" w:hAnsi="Arial" w:cs="Arial"/>
          <w:b/>
          <w:sz w:val="22"/>
          <w:lang w:val="es-ES_tradnl"/>
        </w:rPr>
      </w:pPr>
    </w:p>
    <w:p w14:paraId="0D9471D6" w14:textId="77777777" w:rsidR="00C167F7" w:rsidRPr="00A26052" w:rsidRDefault="00C167F7" w:rsidP="00C167F7">
      <w:pPr>
        <w:jc w:val="both"/>
        <w:rPr>
          <w:rFonts w:ascii="Arial" w:eastAsia="Calibri" w:hAnsi="Arial" w:cs="Arial"/>
          <w:sz w:val="20"/>
          <w:szCs w:val="20"/>
          <w:lang w:val="es-ES_tradnl"/>
        </w:rPr>
      </w:pPr>
      <w:r w:rsidRPr="00A26052">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2DFC6D5" w14:textId="77777777" w:rsidR="00C167F7" w:rsidRPr="00A26052" w:rsidRDefault="00C167F7" w:rsidP="00C167F7">
      <w:pPr>
        <w:jc w:val="both"/>
        <w:rPr>
          <w:rFonts w:ascii="Arial" w:eastAsia="Calibri" w:hAnsi="Arial" w:cs="Arial"/>
          <w:sz w:val="20"/>
          <w:szCs w:val="20"/>
          <w:lang w:val="es-ES_tradnl"/>
        </w:rPr>
      </w:pPr>
    </w:p>
    <w:p w14:paraId="2DDB93AD" w14:textId="77777777" w:rsidR="00C167F7" w:rsidRPr="00A26052" w:rsidRDefault="00C167F7" w:rsidP="00C167F7">
      <w:pPr>
        <w:jc w:val="both"/>
        <w:rPr>
          <w:rFonts w:ascii="Arial" w:eastAsia="Calibri" w:hAnsi="Arial" w:cs="Arial"/>
          <w:sz w:val="20"/>
          <w:szCs w:val="20"/>
          <w:lang w:val="es-ES_tradnl"/>
        </w:rPr>
      </w:pPr>
      <w:r w:rsidRPr="00A26052">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26052">
        <w:rPr>
          <w:rFonts w:ascii="Arial" w:eastAsia="Calibri" w:hAnsi="Arial" w:cs="Arial"/>
          <w:sz w:val="20"/>
          <w:szCs w:val="20"/>
          <w:lang w:val="es-ES_tradnl"/>
        </w:rPr>
        <w:t>de acuerdo a</w:t>
      </w:r>
      <w:proofErr w:type="gramEnd"/>
      <w:r w:rsidRPr="00A26052">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77777777" w:rsidR="00EC224E" w:rsidRPr="00A26052" w:rsidRDefault="00EC224E" w:rsidP="00EC224E">
      <w:pPr>
        <w:jc w:val="both"/>
        <w:rPr>
          <w:rFonts w:ascii="Arial" w:eastAsia="Calibri" w:hAnsi="Arial" w:cs="Arial"/>
          <w:sz w:val="20"/>
          <w:szCs w:val="20"/>
          <w:lang w:val="es-ES_tradnl"/>
        </w:rPr>
      </w:pPr>
    </w:p>
    <w:p w14:paraId="30A0AA2C" w14:textId="0FDD8BDA" w:rsidR="00EC224E" w:rsidRPr="00A26052" w:rsidRDefault="00EC224E" w:rsidP="00EC224E">
      <w:pPr>
        <w:jc w:val="both"/>
        <w:rPr>
          <w:rFonts w:ascii="Arial" w:eastAsia="Calibri" w:hAnsi="Arial" w:cs="Arial"/>
          <w:b/>
          <w:sz w:val="22"/>
          <w:lang w:val="es-ES_tradnl"/>
        </w:rPr>
      </w:pPr>
      <w:r w:rsidRPr="00A26052">
        <w:rPr>
          <w:rFonts w:ascii="Arial" w:eastAsia="Calibri" w:hAnsi="Arial" w:cs="Arial"/>
          <w:b/>
          <w:sz w:val="22"/>
          <w:lang w:val="es-ES_tradnl"/>
        </w:rPr>
        <w:t xml:space="preserve">MIPYMES – Ley </w:t>
      </w:r>
      <w:r w:rsidR="001F0325" w:rsidRPr="00A26052">
        <w:rPr>
          <w:rFonts w:ascii="Arial" w:eastAsia="Calibri" w:hAnsi="Arial" w:cs="Arial"/>
          <w:b/>
          <w:sz w:val="22"/>
          <w:lang w:val="es-ES_tradnl"/>
        </w:rPr>
        <w:t>2069</w:t>
      </w:r>
      <w:r w:rsidRPr="00A26052">
        <w:rPr>
          <w:rFonts w:ascii="Arial" w:eastAsia="Calibri" w:hAnsi="Arial" w:cs="Arial"/>
          <w:b/>
          <w:sz w:val="22"/>
          <w:lang w:val="es-ES_tradnl"/>
        </w:rPr>
        <w:t xml:space="preserve"> – Artículo 34 – Convocatorias limitadas – </w:t>
      </w:r>
      <w:r w:rsidR="009220F6" w:rsidRPr="00A26052">
        <w:rPr>
          <w:rFonts w:ascii="Arial" w:eastAsia="Calibri" w:hAnsi="Arial" w:cs="Arial"/>
          <w:b/>
          <w:sz w:val="22"/>
          <w:lang w:val="es-ES_tradnl"/>
        </w:rPr>
        <w:t>Vigencia</w:t>
      </w:r>
    </w:p>
    <w:p w14:paraId="1EAD2F08" w14:textId="77777777" w:rsidR="00EC224E" w:rsidRPr="00A26052" w:rsidRDefault="00EC224E" w:rsidP="00EC224E">
      <w:pPr>
        <w:jc w:val="both"/>
        <w:rPr>
          <w:rFonts w:ascii="Arial" w:eastAsia="Calibri" w:hAnsi="Arial" w:cs="Arial"/>
          <w:sz w:val="20"/>
          <w:szCs w:val="20"/>
          <w:lang w:val="es-ES_tradnl"/>
        </w:rPr>
      </w:pPr>
    </w:p>
    <w:p w14:paraId="5E9764B2" w14:textId="62F13A75" w:rsidR="00365AE5" w:rsidRPr="00A26052" w:rsidRDefault="00365AE5" w:rsidP="00365AE5">
      <w:pPr>
        <w:jc w:val="both"/>
        <w:rPr>
          <w:rFonts w:ascii="Arial" w:eastAsia="Calibri" w:hAnsi="Arial" w:cs="Arial"/>
          <w:sz w:val="20"/>
          <w:szCs w:val="20"/>
          <w:lang w:val="es-ES_tradnl"/>
        </w:rPr>
      </w:pPr>
      <w:r w:rsidRPr="00A26052">
        <w:rPr>
          <w:rFonts w:ascii="Arial" w:eastAsia="Calibri" w:hAnsi="Arial" w:cs="Arial"/>
          <w:sz w:val="20"/>
          <w:szCs w:val="20"/>
          <w:lang w:val="es-ES_tradnl"/>
        </w:rPr>
        <w:t xml:space="preserv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A26052">
        <w:rPr>
          <w:rFonts w:ascii="Arial" w:eastAsia="Calibri" w:hAnsi="Arial" w:cs="Arial"/>
          <w:sz w:val="20"/>
          <w:szCs w:val="20"/>
          <w:lang w:val="es-ES_tradnl"/>
        </w:rPr>
        <w:t>esta</w:t>
      </w:r>
      <w:proofErr w:type="spellEnd"/>
      <w:r w:rsidRPr="00A26052">
        <w:rPr>
          <w:rFonts w:ascii="Arial" w:eastAsia="Calibri" w:hAnsi="Arial" w:cs="Arial"/>
          <w:sz w:val="20"/>
          <w:szCs w:val="20"/>
          <w:lang w:val="es-ES_tradnl"/>
        </w:rPr>
        <w:t xml:space="preserve"> «deroga […] todas las disposiciones que le sean contrarias». </w:t>
      </w:r>
      <w:r w:rsidR="008C7F13" w:rsidRPr="00A26052">
        <w:rPr>
          <w:rFonts w:ascii="Arial" w:eastAsia="Calibri" w:hAnsi="Arial" w:cs="Arial"/>
          <w:sz w:val="20"/>
          <w:szCs w:val="20"/>
          <w:lang w:val="es-ES_tradnl"/>
        </w:rPr>
        <w:t>Por lo anterior</w:t>
      </w:r>
      <w:r w:rsidRPr="00A26052">
        <w:rPr>
          <w:rFonts w:ascii="Arial" w:eastAsia="Calibri" w:hAnsi="Arial" w:cs="Arial"/>
          <w:sz w:val="20"/>
          <w:szCs w:val="20"/>
          <w:lang w:val="es-ES_tradnl"/>
        </w:rPr>
        <w:t>, puede afirmarse que, además del decaimiento del artículo 2.2.1.2.4.2.2. del Decreto 1082 de 2015, debe entenderse derogado.</w:t>
      </w:r>
    </w:p>
    <w:p w14:paraId="04E23C14" w14:textId="77777777" w:rsidR="00365AE5" w:rsidRPr="00A26052" w:rsidRDefault="00365AE5" w:rsidP="00365AE5">
      <w:pPr>
        <w:jc w:val="both"/>
        <w:rPr>
          <w:rFonts w:ascii="Arial" w:eastAsia="Calibri" w:hAnsi="Arial" w:cs="Arial"/>
          <w:sz w:val="20"/>
          <w:szCs w:val="20"/>
          <w:lang w:val="es-ES_tradnl"/>
        </w:rPr>
      </w:pPr>
    </w:p>
    <w:p w14:paraId="07E109D3" w14:textId="7F4493AC" w:rsidR="00EC224E" w:rsidRPr="00A26052" w:rsidRDefault="00365AE5" w:rsidP="00365AE5">
      <w:pPr>
        <w:jc w:val="both"/>
        <w:rPr>
          <w:rFonts w:ascii="Arial" w:eastAsia="Calibri" w:hAnsi="Arial" w:cs="Arial"/>
          <w:b/>
          <w:sz w:val="22"/>
          <w:lang w:val="es-ES_tradnl"/>
        </w:rPr>
      </w:pPr>
      <w:r w:rsidRPr="00A26052">
        <w:rPr>
          <w:rFonts w:ascii="Arial" w:eastAsia="Calibri" w:hAnsi="Arial" w:cs="Arial"/>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    </w:t>
      </w:r>
    </w:p>
    <w:p w14:paraId="6247A6F0" w14:textId="77777777" w:rsidR="00365AE5" w:rsidRPr="00A26052" w:rsidRDefault="00365AE5" w:rsidP="00C978D4">
      <w:pPr>
        <w:jc w:val="both"/>
        <w:rPr>
          <w:rFonts w:ascii="Arial" w:eastAsia="Calibri" w:hAnsi="Arial" w:cs="Arial"/>
          <w:b/>
          <w:sz w:val="22"/>
          <w:lang w:val="es-ES_tradnl"/>
        </w:rPr>
      </w:pPr>
    </w:p>
    <w:p w14:paraId="76308A45" w14:textId="77777777" w:rsidR="00D96E12" w:rsidRPr="00A26052" w:rsidRDefault="00D96E12" w:rsidP="00C978D4">
      <w:pPr>
        <w:jc w:val="both"/>
        <w:rPr>
          <w:rFonts w:ascii="Arial" w:eastAsia="Calibri" w:hAnsi="Arial" w:cs="Arial"/>
          <w:b/>
          <w:sz w:val="22"/>
          <w:lang w:val="es-ES_tradnl"/>
        </w:rPr>
      </w:pPr>
    </w:p>
    <w:p w14:paraId="01494017" w14:textId="77777777" w:rsidR="00D96E12" w:rsidRPr="00A26052" w:rsidRDefault="00D96E12" w:rsidP="00C978D4">
      <w:pPr>
        <w:jc w:val="both"/>
        <w:rPr>
          <w:rFonts w:ascii="Arial" w:eastAsia="Calibri" w:hAnsi="Arial" w:cs="Arial"/>
          <w:b/>
          <w:sz w:val="22"/>
          <w:lang w:val="es-ES_tradnl"/>
        </w:rPr>
      </w:pPr>
    </w:p>
    <w:p w14:paraId="095ECC05" w14:textId="77777777" w:rsidR="00D96E12" w:rsidRPr="00A26052" w:rsidRDefault="00D96E12" w:rsidP="00B95C30">
      <w:pPr>
        <w:spacing w:line="276" w:lineRule="auto"/>
        <w:jc w:val="both"/>
        <w:rPr>
          <w:rFonts w:ascii="Arial" w:hAnsi="Arial" w:cs="Arial"/>
          <w:noProof/>
          <w:sz w:val="22"/>
          <w:lang w:val="es-ES_tradnl"/>
        </w:rPr>
      </w:pPr>
    </w:p>
    <w:p w14:paraId="7908CE12" w14:textId="77777777" w:rsidR="00D96E12" w:rsidRPr="00A26052" w:rsidRDefault="00D96E12" w:rsidP="00B95C30">
      <w:pPr>
        <w:spacing w:line="276" w:lineRule="auto"/>
        <w:jc w:val="both"/>
        <w:rPr>
          <w:rFonts w:ascii="Arial" w:hAnsi="Arial" w:cs="Arial"/>
          <w:noProof/>
          <w:sz w:val="22"/>
          <w:lang w:val="es-ES_tradnl"/>
        </w:rPr>
      </w:pPr>
    </w:p>
    <w:p w14:paraId="24A88D3F" w14:textId="77777777" w:rsidR="00F53F4F" w:rsidRPr="00A26052" w:rsidRDefault="00F53F4F" w:rsidP="00B95C30">
      <w:pPr>
        <w:jc w:val="both"/>
        <w:rPr>
          <w:rFonts w:ascii="Arial" w:hAnsi="Arial" w:cs="Arial"/>
          <w:b/>
          <w:sz w:val="22"/>
          <w:lang w:val="es-ES_tradnl"/>
        </w:rPr>
      </w:pPr>
    </w:p>
    <w:p w14:paraId="5F5AE9EF" w14:textId="3FB83880" w:rsidR="00B95C30" w:rsidRPr="00A26052" w:rsidRDefault="00BE4FBF" w:rsidP="00B95C30">
      <w:pPr>
        <w:jc w:val="both"/>
        <w:rPr>
          <w:rFonts w:ascii="Arial" w:eastAsia="Calibri" w:hAnsi="Arial" w:cs="Arial"/>
          <w:sz w:val="22"/>
          <w:lang w:val="es-ES_tradnl"/>
        </w:rPr>
      </w:pPr>
      <w:r w:rsidRPr="00A26052">
        <w:rPr>
          <w:rFonts w:ascii="Arial" w:eastAsia="Calibri" w:hAnsi="Arial" w:cs="Arial"/>
          <w:sz w:val="22"/>
          <w:lang w:val="es-ES_tradnl"/>
        </w:rPr>
        <w:t>Señor</w:t>
      </w:r>
      <w:r w:rsidR="005367B6" w:rsidRPr="00A26052">
        <w:rPr>
          <w:rFonts w:ascii="Arial" w:eastAsia="Calibri" w:hAnsi="Arial" w:cs="Arial"/>
          <w:sz w:val="22"/>
          <w:lang w:val="es-ES_tradnl"/>
        </w:rPr>
        <w:t>a</w:t>
      </w:r>
    </w:p>
    <w:p w14:paraId="58DA865A" w14:textId="6FA8F47C" w:rsidR="005367B6" w:rsidRPr="00A26052" w:rsidRDefault="005367B6" w:rsidP="00B95C30">
      <w:pPr>
        <w:jc w:val="both"/>
        <w:rPr>
          <w:rFonts w:ascii="Arial" w:eastAsia="Calibri" w:hAnsi="Arial" w:cs="Arial"/>
          <w:b/>
          <w:sz w:val="22"/>
          <w:lang w:val="es-ES_tradnl"/>
        </w:rPr>
      </w:pPr>
      <w:r w:rsidRPr="00A26052">
        <w:rPr>
          <w:rFonts w:ascii="Arial" w:eastAsia="Calibri" w:hAnsi="Arial" w:cs="Arial"/>
          <w:b/>
          <w:sz w:val="22"/>
          <w:lang w:val="es-ES_tradnl"/>
        </w:rPr>
        <w:t>Jessica Andrea Cruz Bohórquez</w:t>
      </w:r>
    </w:p>
    <w:p w14:paraId="09D4AEA8" w14:textId="401163A1" w:rsidR="00B95C30" w:rsidRPr="00A26052" w:rsidRDefault="005367B6" w:rsidP="00B95C30">
      <w:pPr>
        <w:jc w:val="both"/>
        <w:rPr>
          <w:rFonts w:ascii="Arial" w:eastAsia="Calibri" w:hAnsi="Arial" w:cs="Arial"/>
          <w:sz w:val="22"/>
          <w:lang w:val="es-ES_tradnl"/>
        </w:rPr>
      </w:pPr>
      <w:r w:rsidRPr="00A26052">
        <w:rPr>
          <w:rFonts w:ascii="Arial" w:eastAsia="Calibri" w:hAnsi="Arial" w:cs="Arial"/>
          <w:sz w:val="22"/>
          <w:lang w:val="es-ES_tradnl"/>
        </w:rPr>
        <w:t>Cali, Valle del Cauca</w:t>
      </w:r>
    </w:p>
    <w:p w14:paraId="3B584A57" w14:textId="4528CA3D" w:rsidR="00F53F4F" w:rsidRPr="00A26052" w:rsidRDefault="00F53F4F" w:rsidP="00B95C30">
      <w:pPr>
        <w:jc w:val="both"/>
        <w:rPr>
          <w:rFonts w:ascii="Arial" w:eastAsia="Calibri" w:hAnsi="Arial" w:cs="Arial"/>
          <w:sz w:val="22"/>
          <w:lang w:val="es-ES_tradnl"/>
        </w:rPr>
      </w:pPr>
    </w:p>
    <w:p w14:paraId="48E36FCF" w14:textId="77777777" w:rsidR="00F53F4F" w:rsidRPr="00A26052" w:rsidRDefault="00F53F4F" w:rsidP="00B95C30">
      <w:pPr>
        <w:jc w:val="both"/>
        <w:rPr>
          <w:rFonts w:ascii="Arial" w:eastAsia="Calibri" w:hAnsi="Arial" w:cs="Arial"/>
          <w:sz w:val="22"/>
          <w:lang w:val="es-ES_tradnl"/>
        </w:rPr>
      </w:pPr>
    </w:p>
    <w:p w14:paraId="12E66182" w14:textId="60B41EE8" w:rsidR="00B95C30" w:rsidRPr="00A26052" w:rsidRDefault="00F53F4F" w:rsidP="001D6CD2">
      <w:pPr>
        <w:rPr>
          <w:rFonts w:ascii="Arial" w:eastAsia="Calibri" w:hAnsi="Arial" w:cs="Arial"/>
          <w:b/>
          <w:bCs/>
          <w:sz w:val="22"/>
          <w:lang w:val="es-ES_tradnl"/>
        </w:rPr>
      </w:pPr>
      <w:r w:rsidRPr="00A26052">
        <w:rPr>
          <w:rFonts w:ascii="Arial" w:eastAsia="Calibri" w:hAnsi="Arial" w:cs="Arial"/>
          <w:b/>
          <w:bCs/>
          <w:sz w:val="22"/>
          <w:lang w:val="es-ES_tradnl"/>
        </w:rPr>
        <w:t xml:space="preserve">                                            </w:t>
      </w:r>
      <w:r w:rsidR="00B95C30" w:rsidRPr="00A26052">
        <w:rPr>
          <w:rFonts w:ascii="Arial" w:eastAsia="Calibri" w:hAnsi="Arial" w:cs="Arial"/>
          <w:b/>
          <w:bCs/>
          <w:sz w:val="22"/>
          <w:lang w:val="es-ES_tradnl"/>
        </w:rPr>
        <w:t xml:space="preserve">Concepto C ‒ </w:t>
      </w:r>
      <w:r w:rsidR="005C506F" w:rsidRPr="00A26052">
        <w:rPr>
          <w:rFonts w:ascii="Arial" w:eastAsia="Calibri" w:hAnsi="Arial" w:cs="Arial"/>
          <w:b/>
          <w:bCs/>
          <w:sz w:val="22"/>
          <w:lang w:val="es-ES_tradnl"/>
        </w:rPr>
        <w:t>126</w:t>
      </w:r>
      <w:r w:rsidR="00B95C30" w:rsidRPr="00A26052">
        <w:rPr>
          <w:rFonts w:ascii="Arial" w:eastAsia="Calibri" w:hAnsi="Arial" w:cs="Arial"/>
          <w:b/>
          <w:bCs/>
          <w:sz w:val="22"/>
          <w:lang w:val="es-ES_tradnl"/>
        </w:rPr>
        <w:t xml:space="preserve"> de 202</w:t>
      </w:r>
      <w:r w:rsidR="005E781C" w:rsidRPr="00A26052">
        <w:rPr>
          <w:rFonts w:ascii="Arial" w:eastAsia="Calibri" w:hAnsi="Arial" w:cs="Arial"/>
          <w:b/>
          <w:bCs/>
          <w:sz w:val="22"/>
          <w:lang w:val="es-ES_tradnl"/>
        </w:rPr>
        <w:t>1</w:t>
      </w:r>
    </w:p>
    <w:p w14:paraId="1BD594F9" w14:textId="77777777" w:rsidR="00B95C30" w:rsidRPr="00A26052"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B046C" w:rsidRPr="00A26052" w14:paraId="19DFC051" w14:textId="77777777" w:rsidTr="008F4163">
        <w:tc>
          <w:tcPr>
            <w:tcW w:w="2689" w:type="dxa"/>
          </w:tcPr>
          <w:p w14:paraId="6BC0D1AC" w14:textId="77777777" w:rsidR="00B95C30" w:rsidRPr="00A26052" w:rsidRDefault="00B95C30" w:rsidP="008F4163">
            <w:pPr>
              <w:jc w:val="both"/>
              <w:rPr>
                <w:rFonts w:ascii="Arial" w:eastAsia="Calibri" w:hAnsi="Arial" w:cs="Arial"/>
                <w:sz w:val="22"/>
                <w:lang w:val="es-ES_tradnl"/>
              </w:rPr>
            </w:pPr>
            <w:r w:rsidRPr="00A26052">
              <w:rPr>
                <w:rFonts w:ascii="Arial" w:eastAsia="Calibri" w:hAnsi="Arial" w:cs="Arial"/>
                <w:b/>
                <w:sz w:val="22"/>
                <w:lang w:val="es-ES_tradnl"/>
              </w:rPr>
              <w:t>Temas:</w:t>
            </w:r>
            <w:r w:rsidRPr="00A26052">
              <w:rPr>
                <w:rFonts w:ascii="Arial" w:eastAsia="Calibri" w:hAnsi="Arial" w:cs="Arial"/>
                <w:sz w:val="22"/>
                <w:lang w:val="es-ES_tradnl"/>
              </w:rPr>
              <w:t xml:space="preserve">                                      </w:t>
            </w:r>
          </w:p>
        </w:tc>
        <w:tc>
          <w:tcPr>
            <w:tcW w:w="6237" w:type="dxa"/>
          </w:tcPr>
          <w:p w14:paraId="5F389CAF" w14:textId="1CA19066" w:rsidR="00B95C30" w:rsidRPr="00A26052" w:rsidRDefault="000578FF" w:rsidP="008F4163">
            <w:pPr>
              <w:jc w:val="both"/>
              <w:rPr>
                <w:rFonts w:ascii="Arial" w:eastAsia="Calibri" w:hAnsi="Arial" w:cs="Arial"/>
                <w:sz w:val="22"/>
                <w:lang w:val="es-ES_tradnl"/>
              </w:rPr>
            </w:pPr>
            <w:r w:rsidRPr="00A26052">
              <w:rPr>
                <w:rFonts w:ascii="Arial" w:eastAsia="Calibri" w:hAnsi="Arial" w:cs="Arial"/>
                <w:bCs/>
                <w:sz w:val="22"/>
                <w:lang w:val="es-ES_tradnl"/>
              </w:rPr>
              <w:t xml:space="preserve">LEY DE EMPRENDIMIENTO – Ley </w:t>
            </w:r>
            <w:r w:rsidR="001F0325" w:rsidRPr="00A26052">
              <w:rPr>
                <w:rFonts w:ascii="Arial" w:eastAsia="Calibri" w:hAnsi="Arial" w:cs="Arial"/>
                <w:bCs/>
                <w:sz w:val="22"/>
                <w:lang w:val="es-ES_tradnl"/>
              </w:rPr>
              <w:t>2069</w:t>
            </w:r>
            <w:r w:rsidRPr="00A26052">
              <w:rPr>
                <w:rFonts w:ascii="Arial" w:eastAsia="Calibri" w:hAnsi="Arial" w:cs="Arial"/>
                <w:bCs/>
                <w:sz w:val="22"/>
                <w:lang w:val="es-ES_tradnl"/>
              </w:rPr>
              <w:t xml:space="preserve"> de 2020 – Vigencia </w:t>
            </w:r>
            <w:r w:rsidR="00B95C30" w:rsidRPr="00A26052">
              <w:rPr>
                <w:rFonts w:ascii="Arial" w:eastAsia="Calibri" w:hAnsi="Arial" w:cs="Arial"/>
                <w:bCs/>
                <w:sz w:val="22"/>
                <w:lang w:val="es-ES_tradnl"/>
              </w:rPr>
              <w:t>/</w:t>
            </w:r>
            <w:r w:rsidR="008B63FE" w:rsidRPr="00A26052">
              <w:rPr>
                <w:rFonts w:ascii="Arial" w:eastAsia="Calibri" w:hAnsi="Arial" w:cs="Arial"/>
                <w:bCs/>
                <w:sz w:val="22"/>
                <w:lang w:val="es-ES_tradnl"/>
              </w:rPr>
              <w:t xml:space="preserve"> </w:t>
            </w:r>
            <w:r w:rsidRPr="00A26052">
              <w:rPr>
                <w:rFonts w:ascii="Arial" w:eastAsia="Calibri" w:hAnsi="Arial" w:cs="Arial"/>
                <w:bCs/>
                <w:sz w:val="22"/>
                <w:lang w:val="es-ES_tradnl"/>
              </w:rPr>
              <w:t xml:space="preserve">MIPYMES – Ley </w:t>
            </w:r>
            <w:r w:rsidR="001F0325" w:rsidRPr="00A26052">
              <w:rPr>
                <w:rFonts w:ascii="Arial" w:eastAsia="Calibri" w:hAnsi="Arial" w:cs="Arial"/>
                <w:bCs/>
                <w:sz w:val="22"/>
                <w:lang w:val="es-ES_tradnl"/>
              </w:rPr>
              <w:t>2069</w:t>
            </w:r>
            <w:r w:rsidRPr="00A26052">
              <w:rPr>
                <w:rFonts w:ascii="Arial" w:eastAsia="Calibri" w:hAnsi="Arial" w:cs="Arial"/>
                <w:bCs/>
                <w:sz w:val="22"/>
                <w:lang w:val="es-ES_tradnl"/>
              </w:rPr>
              <w:t xml:space="preserve"> – Artículo 34 – Convocatorias limitadas – </w:t>
            </w:r>
            <w:r w:rsidR="009220F6" w:rsidRPr="00A26052">
              <w:rPr>
                <w:rFonts w:ascii="Arial" w:eastAsia="Calibri" w:hAnsi="Arial" w:cs="Arial"/>
                <w:bCs/>
                <w:sz w:val="22"/>
                <w:lang w:val="es-ES_tradnl"/>
              </w:rPr>
              <w:t>Vigencia</w:t>
            </w:r>
            <w:r w:rsidRPr="00A26052">
              <w:rPr>
                <w:rFonts w:ascii="Arial" w:eastAsia="Calibri" w:hAnsi="Arial" w:cs="Arial"/>
                <w:bCs/>
                <w:sz w:val="22"/>
                <w:lang w:val="es-ES_tradnl"/>
              </w:rPr>
              <w:t xml:space="preserve"> </w:t>
            </w:r>
          </w:p>
        </w:tc>
      </w:tr>
      <w:tr w:rsidR="00B95C30" w:rsidRPr="00A26052" w14:paraId="27CD52AB" w14:textId="77777777" w:rsidTr="008F4163">
        <w:tc>
          <w:tcPr>
            <w:tcW w:w="2689" w:type="dxa"/>
          </w:tcPr>
          <w:p w14:paraId="37E195A1" w14:textId="1BA218D5" w:rsidR="00B95C30" w:rsidRPr="00A26052" w:rsidRDefault="00B95C30" w:rsidP="008F4163">
            <w:pPr>
              <w:spacing w:before="120"/>
              <w:jc w:val="both"/>
              <w:rPr>
                <w:rFonts w:ascii="Arial" w:eastAsia="Calibri" w:hAnsi="Arial" w:cs="Arial"/>
                <w:b/>
                <w:sz w:val="22"/>
                <w:lang w:val="es-ES_tradnl"/>
              </w:rPr>
            </w:pPr>
            <w:r w:rsidRPr="00A26052">
              <w:rPr>
                <w:rFonts w:ascii="Arial" w:eastAsia="Calibri" w:hAnsi="Arial" w:cs="Arial"/>
                <w:b/>
                <w:sz w:val="22"/>
                <w:lang w:val="es-ES_tradnl"/>
              </w:rPr>
              <w:t>Radicación:</w:t>
            </w:r>
            <w:r w:rsidRPr="00A26052">
              <w:rPr>
                <w:rFonts w:ascii="Arial" w:eastAsia="Calibri" w:hAnsi="Arial" w:cs="Arial"/>
                <w:sz w:val="22"/>
                <w:lang w:val="es-ES_tradnl"/>
              </w:rPr>
              <w:t xml:space="preserve">                              </w:t>
            </w:r>
          </w:p>
        </w:tc>
        <w:tc>
          <w:tcPr>
            <w:tcW w:w="6237" w:type="dxa"/>
          </w:tcPr>
          <w:p w14:paraId="09088B1B" w14:textId="537B687C" w:rsidR="00B95C30" w:rsidRPr="00A26052" w:rsidRDefault="00B95C30" w:rsidP="008F4163">
            <w:pPr>
              <w:spacing w:before="120"/>
              <w:jc w:val="both"/>
              <w:rPr>
                <w:rFonts w:ascii="Arial" w:eastAsia="Calibri" w:hAnsi="Arial" w:cs="Arial"/>
                <w:sz w:val="22"/>
                <w:lang w:val="es-ES_tradnl"/>
              </w:rPr>
            </w:pPr>
            <w:r w:rsidRPr="00A26052">
              <w:rPr>
                <w:rFonts w:ascii="Arial" w:eastAsia="Calibri" w:hAnsi="Arial" w:cs="Arial"/>
                <w:sz w:val="22"/>
                <w:lang w:val="es-ES_tradnl"/>
              </w:rPr>
              <w:t xml:space="preserve">Respuesta a consulta # </w:t>
            </w:r>
            <w:r w:rsidR="00E17CAC" w:rsidRPr="00A26052">
              <w:rPr>
                <w:rFonts w:ascii="Arial" w:eastAsia="Calibri" w:hAnsi="Arial" w:cs="Arial"/>
                <w:sz w:val="22"/>
                <w:lang w:val="es-ES_tradnl"/>
              </w:rPr>
              <w:t>P20210218001355</w:t>
            </w:r>
          </w:p>
        </w:tc>
      </w:tr>
    </w:tbl>
    <w:p w14:paraId="61B55CA4" w14:textId="77777777" w:rsidR="00716BB0" w:rsidRPr="00A26052" w:rsidRDefault="00716BB0" w:rsidP="003C3339">
      <w:pPr>
        <w:jc w:val="both"/>
        <w:rPr>
          <w:rFonts w:ascii="Arial" w:eastAsia="Calibri" w:hAnsi="Arial" w:cs="Arial"/>
          <w:sz w:val="22"/>
          <w:lang w:val="es-ES_tradnl"/>
        </w:rPr>
      </w:pPr>
    </w:p>
    <w:p w14:paraId="4B9B5156" w14:textId="77777777" w:rsidR="00716BB0" w:rsidRPr="00A26052" w:rsidRDefault="00716BB0" w:rsidP="003C3339">
      <w:pPr>
        <w:jc w:val="both"/>
        <w:rPr>
          <w:rFonts w:ascii="Arial" w:eastAsia="Calibri" w:hAnsi="Arial" w:cs="Arial"/>
          <w:sz w:val="22"/>
          <w:lang w:val="es-ES_tradnl"/>
        </w:rPr>
      </w:pPr>
    </w:p>
    <w:p w14:paraId="1CF4AEA0" w14:textId="6DEE0B6E" w:rsidR="003C3339" w:rsidRPr="00A26052" w:rsidRDefault="003C3339" w:rsidP="003C3339">
      <w:pPr>
        <w:jc w:val="both"/>
        <w:rPr>
          <w:rFonts w:ascii="Arial" w:eastAsia="Calibri" w:hAnsi="Arial" w:cs="Arial"/>
          <w:sz w:val="22"/>
          <w:lang w:val="es-ES_tradnl"/>
        </w:rPr>
      </w:pPr>
      <w:r w:rsidRPr="00A26052">
        <w:rPr>
          <w:rFonts w:ascii="Arial" w:eastAsia="Calibri" w:hAnsi="Arial" w:cs="Arial"/>
          <w:sz w:val="22"/>
          <w:lang w:val="es-ES_tradnl"/>
        </w:rPr>
        <w:t>Estimad</w:t>
      </w:r>
      <w:r w:rsidR="005367B6" w:rsidRPr="00A26052">
        <w:rPr>
          <w:rFonts w:ascii="Arial" w:eastAsia="Calibri" w:hAnsi="Arial" w:cs="Arial"/>
          <w:sz w:val="22"/>
          <w:lang w:val="es-ES_tradnl"/>
        </w:rPr>
        <w:t>a</w:t>
      </w:r>
      <w:r w:rsidRPr="00A26052">
        <w:rPr>
          <w:rFonts w:ascii="Arial" w:eastAsia="Calibri" w:hAnsi="Arial" w:cs="Arial"/>
          <w:sz w:val="22"/>
          <w:lang w:val="es-ES_tradnl"/>
        </w:rPr>
        <w:t xml:space="preserve"> </w:t>
      </w:r>
      <w:r w:rsidR="0063732C" w:rsidRPr="00A26052">
        <w:rPr>
          <w:rFonts w:ascii="Arial" w:eastAsia="Calibri" w:hAnsi="Arial" w:cs="Arial"/>
          <w:sz w:val="22"/>
          <w:lang w:val="es-ES_tradnl"/>
        </w:rPr>
        <w:t>señor</w:t>
      </w:r>
      <w:r w:rsidR="005367B6" w:rsidRPr="00A26052">
        <w:rPr>
          <w:rFonts w:ascii="Arial" w:eastAsia="Calibri" w:hAnsi="Arial" w:cs="Arial"/>
          <w:sz w:val="22"/>
          <w:lang w:val="es-ES_tradnl"/>
        </w:rPr>
        <w:t>a</w:t>
      </w:r>
      <w:r w:rsidR="00BE4FBF" w:rsidRPr="00A26052">
        <w:rPr>
          <w:rFonts w:ascii="Arial" w:eastAsia="Calibri" w:hAnsi="Arial" w:cs="Arial"/>
          <w:sz w:val="22"/>
          <w:lang w:val="es-ES_tradnl"/>
        </w:rPr>
        <w:t xml:space="preserve"> </w:t>
      </w:r>
      <w:r w:rsidR="005367B6" w:rsidRPr="00A26052">
        <w:rPr>
          <w:rFonts w:ascii="Arial" w:eastAsia="Calibri" w:hAnsi="Arial" w:cs="Arial"/>
          <w:sz w:val="22"/>
          <w:lang w:val="es-ES_tradnl"/>
        </w:rPr>
        <w:t>Cruz</w:t>
      </w:r>
      <w:r w:rsidRPr="00A26052">
        <w:rPr>
          <w:rFonts w:ascii="Arial" w:eastAsia="Calibri" w:hAnsi="Arial" w:cs="Arial"/>
          <w:sz w:val="22"/>
          <w:lang w:val="es-ES_tradnl"/>
        </w:rPr>
        <w:t>:</w:t>
      </w:r>
    </w:p>
    <w:p w14:paraId="1EAE5543" w14:textId="77777777" w:rsidR="00DD5B04" w:rsidRPr="00A26052" w:rsidRDefault="00DD5B04" w:rsidP="00DF76A2">
      <w:pPr>
        <w:jc w:val="both"/>
        <w:rPr>
          <w:rFonts w:ascii="Arial" w:eastAsia="Calibri" w:hAnsi="Arial" w:cs="Arial"/>
          <w:sz w:val="22"/>
          <w:lang w:val="es-ES_tradnl"/>
        </w:rPr>
      </w:pPr>
    </w:p>
    <w:p w14:paraId="2109B2D3" w14:textId="7A104EC5" w:rsidR="00DD5B04" w:rsidRPr="00A26052" w:rsidRDefault="00DD5B04" w:rsidP="00DF76A2">
      <w:pPr>
        <w:spacing w:line="276" w:lineRule="auto"/>
        <w:jc w:val="both"/>
        <w:rPr>
          <w:rFonts w:ascii="Arial" w:eastAsia="Calibri" w:hAnsi="Arial" w:cs="Arial"/>
          <w:sz w:val="22"/>
          <w:lang w:val="es-ES_tradnl"/>
        </w:rPr>
      </w:pPr>
      <w:r w:rsidRPr="00A26052">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26052">
        <w:rPr>
          <w:rFonts w:ascii="Arial" w:eastAsia="Calibri" w:hAnsi="Arial" w:cs="Arial"/>
          <w:sz w:val="22"/>
          <w:lang w:val="es-ES_tradnl"/>
        </w:rPr>
        <w:t xml:space="preserve"> </w:t>
      </w:r>
      <w:r w:rsidRPr="00A26052">
        <w:rPr>
          <w:rFonts w:ascii="Arial" w:eastAsia="Calibri" w:hAnsi="Arial" w:cs="Arial"/>
          <w:sz w:val="22"/>
          <w:lang w:val="es-ES_tradnl"/>
        </w:rPr>
        <w:t xml:space="preserve">responde su consulta del </w:t>
      </w:r>
      <w:r w:rsidR="009013B8" w:rsidRPr="00A26052">
        <w:rPr>
          <w:rFonts w:ascii="Arial" w:eastAsia="Calibri" w:hAnsi="Arial" w:cs="Arial"/>
          <w:sz w:val="22"/>
          <w:lang w:val="es-ES_tradnl"/>
        </w:rPr>
        <w:t>18</w:t>
      </w:r>
      <w:r w:rsidR="00FD4AF3" w:rsidRPr="00A26052">
        <w:rPr>
          <w:rFonts w:ascii="Arial" w:eastAsia="Calibri" w:hAnsi="Arial" w:cs="Arial"/>
          <w:sz w:val="22"/>
          <w:lang w:val="es-ES_tradnl"/>
        </w:rPr>
        <w:t xml:space="preserve"> de </w:t>
      </w:r>
      <w:r w:rsidR="009013B8" w:rsidRPr="00A26052">
        <w:rPr>
          <w:rFonts w:ascii="Arial" w:eastAsia="Calibri" w:hAnsi="Arial" w:cs="Arial"/>
          <w:sz w:val="22"/>
          <w:lang w:val="es-ES_tradnl"/>
        </w:rPr>
        <w:t>febrero</w:t>
      </w:r>
      <w:r w:rsidRPr="00A26052">
        <w:rPr>
          <w:rFonts w:ascii="Arial" w:eastAsia="Calibri" w:hAnsi="Arial" w:cs="Arial"/>
          <w:sz w:val="22"/>
          <w:lang w:val="es-ES_tradnl"/>
        </w:rPr>
        <w:t xml:space="preserve"> del</w:t>
      </w:r>
      <w:r w:rsidR="007E74BF" w:rsidRPr="00A26052">
        <w:rPr>
          <w:rFonts w:ascii="Arial" w:eastAsia="Calibri" w:hAnsi="Arial" w:cs="Arial"/>
          <w:sz w:val="22"/>
          <w:lang w:val="es-ES_tradnl"/>
        </w:rPr>
        <w:t xml:space="preserve"> </w:t>
      </w:r>
      <w:r w:rsidRPr="00A26052">
        <w:rPr>
          <w:rFonts w:ascii="Arial" w:eastAsia="Calibri" w:hAnsi="Arial" w:cs="Arial"/>
          <w:sz w:val="22"/>
          <w:lang w:val="es-ES_tradnl"/>
        </w:rPr>
        <w:t>202</w:t>
      </w:r>
      <w:r w:rsidR="00FB0880" w:rsidRPr="00A26052">
        <w:rPr>
          <w:rFonts w:ascii="Arial" w:eastAsia="Calibri" w:hAnsi="Arial" w:cs="Arial"/>
          <w:sz w:val="22"/>
          <w:lang w:val="es-ES_tradnl"/>
        </w:rPr>
        <w:t>1</w:t>
      </w:r>
      <w:r w:rsidR="008C3C57" w:rsidRPr="00A26052">
        <w:rPr>
          <w:rFonts w:ascii="Arial" w:eastAsia="Calibri" w:hAnsi="Arial" w:cs="Arial"/>
          <w:sz w:val="22"/>
          <w:lang w:val="es-ES_tradnl"/>
        </w:rPr>
        <w:t>.</w:t>
      </w:r>
      <w:r w:rsidR="009013B8" w:rsidRPr="00A26052">
        <w:rPr>
          <w:rFonts w:ascii="Arial" w:eastAsia="Calibri" w:hAnsi="Arial" w:cs="Arial"/>
          <w:sz w:val="22"/>
          <w:lang w:val="es-ES_tradnl"/>
        </w:rPr>
        <w:t xml:space="preserve"> </w:t>
      </w:r>
      <w:r w:rsidR="00F53430" w:rsidRPr="00A26052">
        <w:rPr>
          <w:rFonts w:ascii="Arial" w:eastAsia="Calibri" w:hAnsi="Arial" w:cs="Arial"/>
          <w:sz w:val="22"/>
          <w:lang w:val="es-ES_tradnl"/>
        </w:rPr>
        <w:t xml:space="preserve">Además, </w:t>
      </w:r>
      <w:r w:rsidR="009013B8" w:rsidRPr="00A26052">
        <w:rPr>
          <w:rFonts w:ascii="Arial" w:eastAsia="Calibri" w:hAnsi="Arial" w:cs="Arial"/>
          <w:sz w:val="22"/>
          <w:lang w:val="es-ES_tradnl"/>
        </w:rPr>
        <w:t>mediante la presente se atiende la solicitud de co</w:t>
      </w:r>
      <w:r w:rsidR="00B8535C" w:rsidRPr="00A26052">
        <w:rPr>
          <w:rFonts w:ascii="Arial" w:eastAsia="Calibri" w:hAnsi="Arial" w:cs="Arial"/>
          <w:sz w:val="22"/>
          <w:lang w:val="es-ES_tradnl"/>
        </w:rPr>
        <w:t>pia del concepto C-043 de 2021 expedido por esta Subdirección.</w:t>
      </w:r>
    </w:p>
    <w:p w14:paraId="0C1E0712" w14:textId="77777777" w:rsidR="00DD5B04" w:rsidRPr="00A26052" w:rsidRDefault="00DD5B04" w:rsidP="00FC2D17">
      <w:pPr>
        <w:jc w:val="both"/>
        <w:rPr>
          <w:rFonts w:ascii="Arial" w:eastAsia="Calibri" w:hAnsi="Arial" w:cs="Arial"/>
          <w:b/>
          <w:sz w:val="22"/>
          <w:lang w:val="es-ES_tradnl"/>
        </w:rPr>
      </w:pPr>
    </w:p>
    <w:p w14:paraId="7701FCC7" w14:textId="77777777" w:rsidR="00DD5B04" w:rsidRPr="00A2605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A26052">
        <w:rPr>
          <w:rFonts w:ascii="Arial" w:eastAsia="Calibri" w:hAnsi="Arial" w:cs="Arial"/>
          <w:b/>
          <w:sz w:val="22"/>
          <w:lang w:val="es-ES_tradnl"/>
        </w:rPr>
        <w:t xml:space="preserve">Problema planteado </w:t>
      </w:r>
    </w:p>
    <w:p w14:paraId="224B43D3" w14:textId="77777777" w:rsidR="00DD5B04" w:rsidRPr="00A26052" w:rsidRDefault="00DD5B04" w:rsidP="00FC2D17">
      <w:pPr>
        <w:tabs>
          <w:tab w:val="left" w:pos="426"/>
        </w:tabs>
        <w:jc w:val="both"/>
        <w:rPr>
          <w:rFonts w:ascii="Arial" w:eastAsia="Calibri" w:hAnsi="Arial" w:cs="Arial"/>
          <w:b/>
          <w:sz w:val="22"/>
          <w:lang w:val="es-ES_tradnl"/>
        </w:rPr>
      </w:pPr>
    </w:p>
    <w:p w14:paraId="79D0132C" w14:textId="14A29897" w:rsidR="004275A7" w:rsidRPr="00A26052" w:rsidRDefault="00DD5B04" w:rsidP="00A26052">
      <w:pPr>
        <w:autoSpaceDE w:val="0"/>
        <w:autoSpaceDN w:val="0"/>
        <w:adjustRightInd w:val="0"/>
        <w:spacing w:line="276" w:lineRule="auto"/>
        <w:jc w:val="both"/>
        <w:rPr>
          <w:rFonts w:ascii="Arial" w:hAnsi="Arial" w:cs="Arial"/>
          <w:sz w:val="22"/>
          <w:szCs w:val="22"/>
          <w:lang w:val="es-ES_tradnl"/>
        </w:rPr>
      </w:pPr>
      <w:r w:rsidRPr="00A26052">
        <w:rPr>
          <w:rFonts w:ascii="Arial" w:hAnsi="Arial" w:cs="Arial"/>
          <w:sz w:val="22"/>
          <w:szCs w:val="22"/>
          <w:lang w:val="es-ES_tradnl"/>
        </w:rPr>
        <w:t xml:space="preserve">Usted </w:t>
      </w:r>
      <w:r w:rsidR="00B422C0" w:rsidRPr="00A26052">
        <w:rPr>
          <w:rFonts w:ascii="Arial" w:hAnsi="Arial" w:cs="Arial"/>
          <w:sz w:val="22"/>
          <w:szCs w:val="22"/>
          <w:lang w:val="es-ES_tradnl"/>
        </w:rPr>
        <w:t>formula</w:t>
      </w:r>
      <w:r w:rsidR="006D46A3" w:rsidRPr="00A26052">
        <w:rPr>
          <w:rFonts w:ascii="Arial" w:hAnsi="Arial" w:cs="Arial"/>
          <w:sz w:val="22"/>
          <w:szCs w:val="22"/>
          <w:lang w:val="es-ES_tradnl"/>
        </w:rPr>
        <w:t xml:space="preserve"> la</w:t>
      </w:r>
      <w:r w:rsidR="000B56F9" w:rsidRPr="00A26052">
        <w:rPr>
          <w:rFonts w:ascii="Arial" w:hAnsi="Arial" w:cs="Arial"/>
          <w:sz w:val="22"/>
          <w:szCs w:val="22"/>
          <w:lang w:val="es-ES_tradnl"/>
        </w:rPr>
        <w:t xml:space="preserve">s </w:t>
      </w:r>
      <w:r w:rsidR="006D46A3" w:rsidRPr="00A26052">
        <w:rPr>
          <w:rFonts w:ascii="Arial" w:hAnsi="Arial" w:cs="Arial"/>
          <w:sz w:val="22"/>
          <w:szCs w:val="22"/>
          <w:lang w:val="es-ES_tradnl"/>
        </w:rPr>
        <w:t>siguient</w:t>
      </w:r>
      <w:r w:rsidR="003A4C7B" w:rsidRPr="00A26052">
        <w:rPr>
          <w:rFonts w:ascii="Arial" w:hAnsi="Arial" w:cs="Arial"/>
          <w:sz w:val="22"/>
          <w:szCs w:val="22"/>
          <w:lang w:val="es-ES_tradnl"/>
        </w:rPr>
        <w:t>e</w:t>
      </w:r>
      <w:r w:rsidR="000B56F9" w:rsidRPr="00A26052">
        <w:rPr>
          <w:rFonts w:ascii="Arial" w:hAnsi="Arial" w:cs="Arial"/>
          <w:sz w:val="22"/>
          <w:szCs w:val="22"/>
          <w:lang w:val="es-ES_tradnl"/>
        </w:rPr>
        <w:t>s</w:t>
      </w:r>
      <w:r w:rsidR="003A4C7B" w:rsidRPr="00A26052">
        <w:rPr>
          <w:rFonts w:ascii="Arial" w:hAnsi="Arial" w:cs="Arial"/>
          <w:sz w:val="22"/>
          <w:szCs w:val="22"/>
          <w:lang w:val="es-ES_tradnl"/>
        </w:rPr>
        <w:t xml:space="preserve"> </w:t>
      </w:r>
      <w:r w:rsidR="000B56F9" w:rsidRPr="00A26052">
        <w:rPr>
          <w:rFonts w:ascii="Arial" w:hAnsi="Arial" w:cs="Arial"/>
          <w:sz w:val="22"/>
          <w:szCs w:val="22"/>
          <w:lang w:val="es-ES_tradnl"/>
        </w:rPr>
        <w:t>preguntas</w:t>
      </w:r>
      <w:r w:rsidR="00B422C0" w:rsidRPr="00A26052">
        <w:rPr>
          <w:rFonts w:ascii="Arial" w:hAnsi="Arial" w:cs="Arial"/>
          <w:sz w:val="22"/>
          <w:szCs w:val="22"/>
          <w:lang w:val="es-ES_tradnl"/>
        </w:rPr>
        <w:t>:</w:t>
      </w:r>
      <w:r w:rsidR="000B56F9" w:rsidRPr="00A26052">
        <w:rPr>
          <w:rFonts w:ascii="Arial" w:hAnsi="Arial" w:cs="Arial"/>
          <w:sz w:val="22"/>
          <w:szCs w:val="22"/>
          <w:lang w:val="es-ES_tradnl"/>
        </w:rPr>
        <w:t xml:space="preserve"> «[…]</w:t>
      </w:r>
      <w:r w:rsidR="000B56F9" w:rsidRPr="00A26052">
        <w:rPr>
          <w:rFonts w:ascii="Arial" w:eastAsiaTheme="minorHAnsi" w:hAnsi="Arial" w:cs="Arial"/>
          <w:sz w:val="22"/>
          <w:szCs w:val="22"/>
          <w:lang w:eastAsia="en-US"/>
        </w:rPr>
        <w:t xml:space="preserve"> 1. Como debe aplicarse el artículo 2.2.1.2.4.2.2. del decreto 1082 de 2015 respecto a las convocatorias limitadas a </w:t>
      </w:r>
      <w:proofErr w:type="spellStart"/>
      <w:r w:rsidR="000B56F9" w:rsidRPr="00A26052">
        <w:rPr>
          <w:rFonts w:ascii="Arial" w:eastAsiaTheme="minorHAnsi" w:hAnsi="Arial" w:cs="Arial"/>
          <w:sz w:val="22"/>
          <w:szCs w:val="22"/>
          <w:lang w:eastAsia="en-US"/>
        </w:rPr>
        <w:t>mipyme</w:t>
      </w:r>
      <w:proofErr w:type="spellEnd"/>
      <w:r w:rsidR="000B56F9" w:rsidRPr="00A26052">
        <w:rPr>
          <w:rFonts w:ascii="Arial" w:eastAsiaTheme="minorHAnsi" w:hAnsi="Arial" w:cs="Arial"/>
          <w:sz w:val="22"/>
          <w:szCs w:val="22"/>
          <w:lang w:eastAsia="en-US"/>
        </w:rPr>
        <w:t xml:space="preserve"> frente a lo dispuesto por el artículo 34 de la Ley 2069 de 2020?; 2. El mencionado artículo se encuentra derogado?»</w:t>
      </w:r>
      <w:r w:rsidR="00A26052">
        <w:rPr>
          <w:rFonts w:ascii="Arial" w:eastAsiaTheme="minorHAnsi" w:hAnsi="Arial" w:cs="Arial"/>
          <w:sz w:val="22"/>
          <w:szCs w:val="22"/>
          <w:lang w:eastAsia="en-US"/>
        </w:rPr>
        <w:t>.</w:t>
      </w:r>
    </w:p>
    <w:p w14:paraId="3830C92C" w14:textId="77777777" w:rsidR="00507066" w:rsidRPr="00A26052" w:rsidRDefault="00507066" w:rsidP="00AD33A1">
      <w:pPr>
        <w:ind w:left="709" w:right="709"/>
        <w:jc w:val="both"/>
        <w:rPr>
          <w:rFonts w:ascii="Arial" w:hAnsi="Arial" w:cs="Arial"/>
          <w:sz w:val="21"/>
          <w:szCs w:val="21"/>
          <w:lang w:val="es-ES_tradnl"/>
        </w:rPr>
      </w:pPr>
    </w:p>
    <w:p w14:paraId="124D2DCA" w14:textId="77777777" w:rsidR="00DD5B04" w:rsidRPr="00A26052"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A26052">
        <w:rPr>
          <w:rFonts w:ascii="Arial" w:eastAsia="Calibri" w:hAnsi="Arial" w:cs="Arial"/>
          <w:b/>
          <w:sz w:val="22"/>
          <w:lang w:val="es-ES_tradnl"/>
        </w:rPr>
        <w:t>Consideraciones</w:t>
      </w:r>
    </w:p>
    <w:p w14:paraId="7D050D2E" w14:textId="77777777" w:rsidR="00435703" w:rsidRPr="00A26052" w:rsidRDefault="00435703" w:rsidP="00FC2D17">
      <w:pPr>
        <w:jc w:val="both"/>
        <w:rPr>
          <w:rFonts w:ascii="Arial" w:eastAsia="Calibri" w:hAnsi="Arial" w:cs="Arial"/>
          <w:sz w:val="22"/>
          <w:szCs w:val="22"/>
          <w:lang w:val="es-ES_tradnl"/>
        </w:rPr>
      </w:pPr>
    </w:p>
    <w:p w14:paraId="305BC2F1" w14:textId="1B528635" w:rsidR="003C4317" w:rsidRPr="00A26052" w:rsidRDefault="008E30C4" w:rsidP="00271230">
      <w:pPr>
        <w:spacing w:line="276" w:lineRule="auto"/>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La Subdirección de Gestión Contractual responderá </w:t>
      </w:r>
      <w:r w:rsidR="00271230" w:rsidRPr="00A26052">
        <w:rPr>
          <w:rFonts w:ascii="Arial" w:eastAsia="Calibri" w:hAnsi="Arial" w:cs="Arial"/>
          <w:sz w:val="22"/>
          <w:szCs w:val="22"/>
          <w:lang w:val="es-ES_tradnl"/>
        </w:rPr>
        <w:t>la consulta</w:t>
      </w:r>
      <w:r w:rsidRPr="00A26052">
        <w:rPr>
          <w:rFonts w:ascii="Arial" w:eastAsia="Calibri" w:hAnsi="Arial" w:cs="Arial"/>
          <w:sz w:val="22"/>
          <w:szCs w:val="22"/>
          <w:lang w:val="es-ES_tradnl"/>
        </w:rPr>
        <w:t xml:space="preserve">, </w:t>
      </w:r>
      <w:r w:rsidR="00271230" w:rsidRPr="00A26052">
        <w:rPr>
          <w:rFonts w:ascii="Arial" w:eastAsia="Calibri" w:hAnsi="Arial" w:cs="Arial"/>
          <w:sz w:val="22"/>
          <w:szCs w:val="22"/>
          <w:lang w:val="es-ES_tradnl"/>
        </w:rPr>
        <w:t>luego de analizar los</w:t>
      </w:r>
      <w:r w:rsidR="00822EC4" w:rsidRPr="00A26052">
        <w:rPr>
          <w:rFonts w:ascii="Arial" w:eastAsia="Calibri" w:hAnsi="Arial" w:cs="Arial"/>
          <w:sz w:val="22"/>
          <w:szCs w:val="22"/>
          <w:lang w:val="es-ES_tradnl"/>
        </w:rPr>
        <w:t xml:space="preserve"> siguientes temas: </w:t>
      </w:r>
      <w:r w:rsidR="00833ADA" w:rsidRPr="00A26052">
        <w:rPr>
          <w:rFonts w:ascii="Arial" w:eastAsia="Calibri" w:hAnsi="Arial" w:cs="Arial"/>
          <w:sz w:val="22"/>
          <w:szCs w:val="22"/>
          <w:lang w:val="es-ES_tradnl"/>
        </w:rPr>
        <w:t>i)</w:t>
      </w:r>
      <w:r w:rsidR="008F40DC" w:rsidRPr="00A26052">
        <w:rPr>
          <w:rFonts w:ascii="Arial" w:eastAsia="Calibri" w:hAnsi="Arial" w:cs="Arial"/>
          <w:sz w:val="22"/>
          <w:szCs w:val="22"/>
          <w:lang w:val="es-ES_tradnl"/>
        </w:rPr>
        <w:t xml:space="preserve"> vigencia y ámbito de aplicación de la Ley </w:t>
      </w:r>
      <w:r w:rsidR="001F0325" w:rsidRPr="00A26052">
        <w:rPr>
          <w:rFonts w:ascii="Arial" w:eastAsia="Calibri" w:hAnsi="Arial" w:cs="Arial"/>
          <w:sz w:val="22"/>
          <w:szCs w:val="22"/>
          <w:lang w:val="es-ES_tradnl"/>
        </w:rPr>
        <w:t>2069</w:t>
      </w:r>
      <w:r w:rsidR="008F40DC" w:rsidRPr="00A26052">
        <w:rPr>
          <w:rFonts w:ascii="Arial" w:eastAsia="Calibri" w:hAnsi="Arial" w:cs="Arial"/>
          <w:sz w:val="22"/>
          <w:szCs w:val="22"/>
          <w:lang w:val="es-ES_tradnl"/>
        </w:rPr>
        <w:t xml:space="preserve"> de 2020,</w:t>
      </w:r>
      <w:r w:rsidR="00FC2D17" w:rsidRPr="00A26052">
        <w:rPr>
          <w:rFonts w:ascii="Arial" w:eastAsia="Calibri" w:hAnsi="Arial" w:cs="Arial"/>
          <w:sz w:val="22"/>
          <w:szCs w:val="22"/>
          <w:lang w:val="es-ES_tradnl"/>
        </w:rPr>
        <w:t xml:space="preserve"> y </w:t>
      </w:r>
      <w:proofErr w:type="spellStart"/>
      <w:r w:rsidR="008F40DC" w:rsidRPr="00A26052">
        <w:rPr>
          <w:rFonts w:ascii="Arial" w:eastAsia="Calibri" w:hAnsi="Arial" w:cs="Arial"/>
          <w:sz w:val="22"/>
          <w:szCs w:val="22"/>
          <w:lang w:val="es-ES_tradnl"/>
        </w:rPr>
        <w:t>ii</w:t>
      </w:r>
      <w:proofErr w:type="spellEnd"/>
      <w:r w:rsidR="008F40DC" w:rsidRPr="00A26052">
        <w:rPr>
          <w:rFonts w:ascii="Arial" w:eastAsia="Calibri" w:hAnsi="Arial" w:cs="Arial"/>
          <w:sz w:val="22"/>
          <w:szCs w:val="22"/>
          <w:lang w:val="es-ES_tradnl"/>
        </w:rPr>
        <w:t xml:space="preserve">) </w:t>
      </w:r>
      <w:r w:rsidR="006C2CC0" w:rsidRPr="00A26052">
        <w:rPr>
          <w:rFonts w:ascii="Arial" w:eastAsia="Calibri" w:hAnsi="Arial" w:cs="Arial"/>
          <w:sz w:val="22"/>
          <w:szCs w:val="22"/>
          <w:lang w:val="es-ES_tradnl"/>
        </w:rPr>
        <w:t>regulación de las convocatorias limitadas a mipymes en el artículo 34 de dicha Ley</w:t>
      </w:r>
      <w:r w:rsidR="00FC2D17" w:rsidRPr="00A26052">
        <w:rPr>
          <w:rFonts w:ascii="Arial" w:eastAsia="Calibri" w:hAnsi="Arial" w:cs="Arial"/>
          <w:sz w:val="22"/>
          <w:szCs w:val="22"/>
          <w:lang w:val="es-ES_tradnl"/>
        </w:rPr>
        <w:t>.</w:t>
      </w:r>
    </w:p>
    <w:p w14:paraId="1144E6B3" w14:textId="6677C4EF" w:rsidR="00C8331F" w:rsidRPr="00A26052" w:rsidRDefault="00EC1DAE" w:rsidP="00292A27">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E</w:t>
      </w:r>
      <w:r w:rsidR="00C8331F" w:rsidRPr="00A26052">
        <w:rPr>
          <w:rFonts w:ascii="Arial" w:eastAsia="Calibri" w:hAnsi="Arial" w:cs="Arial"/>
          <w:sz w:val="22"/>
          <w:szCs w:val="22"/>
          <w:lang w:val="es-ES_tradnl"/>
        </w:rPr>
        <w:t>s importante destacar que la Agencia Nacional de Contratación Pública</w:t>
      </w:r>
      <w:r w:rsidRPr="00A26052">
        <w:rPr>
          <w:rFonts w:ascii="Arial" w:eastAsia="Calibri" w:hAnsi="Arial" w:cs="Arial"/>
          <w:sz w:val="22"/>
          <w:szCs w:val="22"/>
          <w:lang w:val="es-ES_tradnl"/>
        </w:rPr>
        <w:t xml:space="preserve"> – Colombia Compra Eficiente se pronunció, en términos generales, sobre </w:t>
      </w:r>
      <w:r w:rsidR="00C53ED1" w:rsidRPr="00A26052">
        <w:rPr>
          <w:rFonts w:ascii="Arial" w:eastAsia="Calibri" w:hAnsi="Arial" w:cs="Arial"/>
          <w:sz w:val="22"/>
          <w:szCs w:val="22"/>
          <w:lang w:val="es-ES_tradnl"/>
        </w:rPr>
        <w:t>la vigencia</w:t>
      </w:r>
      <w:r w:rsidRPr="00A26052">
        <w:rPr>
          <w:rFonts w:ascii="Arial" w:eastAsia="Calibri" w:hAnsi="Arial" w:cs="Arial"/>
          <w:sz w:val="22"/>
          <w:szCs w:val="22"/>
          <w:lang w:val="es-ES_tradnl"/>
        </w:rPr>
        <w:t xml:space="preserve"> </w:t>
      </w:r>
      <w:r w:rsidR="00C53ED1" w:rsidRPr="00A26052">
        <w:rPr>
          <w:rFonts w:ascii="Arial" w:eastAsia="Calibri" w:hAnsi="Arial" w:cs="Arial"/>
          <w:sz w:val="22"/>
          <w:szCs w:val="22"/>
          <w:lang w:val="es-ES_tradnl"/>
        </w:rPr>
        <w:t xml:space="preserve">en </w:t>
      </w:r>
      <w:r w:rsidR="00032689" w:rsidRPr="00A26052">
        <w:rPr>
          <w:rFonts w:ascii="Arial" w:eastAsia="Calibri" w:hAnsi="Arial" w:cs="Arial"/>
          <w:sz w:val="22"/>
          <w:szCs w:val="22"/>
          <w:lang w:val="es-ES_tradnl"/>
        </w:rPr>
        <w:t>l</w:t>
      </w:r>
      <w:r w:rsidR="004B65D9" w:rsidRPr="00A26052">
        <w:rPr>
          <w:rFonts w:ascii="Arial" w:eastAsia="Calibri" w:hAnsi="Arial" w:cs="Arial"/>
          <w:sz w:val="22"/>
          <w:szCs w:val="22"/>
          <w:lang w:val="es-ES_tradnl"/>
        </w:rPr>
        <w:t>a Ley 2069 de 2020 en los</w:t>
      </w:r>
      <w:r w:rsidR="00032689" w:rsidRPr="00A26052">
        <w:rPr>
          <w:rFonts w:ascii="Arial" w:eastAsia="Calibri" w:hAnsi="Arial" w:cs="Arial"/>
          <w:sz w:val="22"/>
          <w:szCs w:val="22"/>
          <w:lang w:val="es-ES_tradnl"/>
        </w:rPr>
        <w:t xml:space="preserve"> conceptos </w:t>
      </w:r>
      <w:r w:rsidR="00547778" w:rsidRPr="00A26052">
        <w:rPr>
          <w:rFonts w:ascii="Arial" w:eastAsia="Calibri" w:hAnsi="Arial" w:cs="Arial"/>
          <w:sz w:val="22"/>
          <w:szCs w:val="22"/>
          <w:lang w:val="es-ES_tradnl"/>
        </w:rPr>
        <w:t xml:space="preserve">C-009, C-012, C-013, </w:t>
      </w:r>
      <w:r w:rsidR="00A51D65" w:rsidRPr="00A26052">
        <w:rPr>
          <w:rFonts w:ascii="Arial" w:eastAsia="Calibri" w:hAnsi="Arial" w:cs="Arial"/>
          <w:sz w:val="22"/>
          <w:szCs w:val="22"/>
          <w:lang w:val="es-ES_tradnl"/>
        </w:rPr>
        <w:t xml:space="preserve">C-015, C-016 </w:t>
      </w:r>
      <w:r w:rsidR="005C506F" w:rsidRPr="00A26052">
        <w:rPr>
          <w:rFonts w:ascii="Arial" w:eastAsia="Calibri" w:hAnsi="Arial" w:cs="Arial"/>
          <w:sz w:val="22"/>
          <w:szCs w:val="22"/>
          <w:lang w:val="es-ES_tradnl"/>
        </w:rPr>
        <w:t>y</w:t>
      </w:r>
      <w:r w:rsidR="00A51D65" w:rsidRPr="00A26052">
        <w:rPr>
          <w:rFonts w:ascii="Arial" w:eastAsia="Calibri" w:hAnsi="Arial" w:cs="Arial"/>
          <w:sz w:val="22"/>
          <w:szCs w:val="22"/>
          <w:lang w:val="es-ES_tradnl"/>
        </w:rPr>
        <w:t xml:space="preserve"> C-026, del 4 de febrero de 2020</w:t>
      </w:r>
      <w:r w:rsidR="00C4317B" w:rsidRPr="00A26052">
        <w:rPr>
          <w:rFonts w:ascii="Arial" w:eastAsia="Calibri" w:hAnsi="Arial" w:cs="Arial"/>
          <w:sz w:val="22"/>
          <w:szCs w:val="22"/>
          <w:lang w:val="es-ES_tradnl"/>
        </w:rPr>
        <w:t xml:space="preserve">, C-005 del </w:t>
      </w:r>
      <w:r w:rsidR="00430DD2" w:rsidRPr="00A26052">
        <w:rPr>
          <w:rFonts w:ascii="Arial" w:eastAsia="Calibri" w:hAnsi="Arial" w:cs="Arial"/>
          <w:sz w:val="22"/>
          <w:szCs w:val="22"/>
          <w:lang w:val="es-ES_tradnl"/>
        </w:rPr>
        <w:t xml:space="preserve">16 de febrero, C-028 </w:t>
      </w:r>
      <w:r w:rsidR="00B434C1" w:rsidRPr="00A26052">
        <w:rPr>
          <w:rFonts w:ascii="Arial" w:eastAsia="Calibri" w:hAnsi="Arial" w:cs="Arial"/>
          <w:sz w:val="22"/>
          <w:szCs w:val="22"/>
          <w:lang w:val="es-ES_tradnl"/>
        </w:rPr>
        <w:t>y C-029 del 23 de febrero de 2020</w:t>
      </w:r>
      <w:r w:rsidR="005C506F" w:rsidRPr="00A26052">
        <w:rPr>
          <w:rFonts w:ascii="Arial" w:eastAsia="Calibri" w:hAnsi="Arial" w:cs="Arial"/>
          <w:sz w:val="22"/>
          <w:szCs w:val="22"/>
          <w:lang w:val="es-ES_tradnl"/>
        </w:rPr>
        <w:t xml:space="preserve">. </w:t>
      </w:r>
      <w:r w:rsidR="004B65D9" w:rsidRPr="00A26052">
        <w:rPr>
          <w:rFonts w:ascii="Arial" w:eastAsia="Calibri" w:hAnsi="Arial" w:cs="Arial"/>
          <w:sz w:val="22"/>
          <w:szCs w:val="22"/>
          <w:lang w:val="es-ES_tradnl"/>
        </w:rPr>
        <w:t>Este tema también fue estudiado en el concepto</w:t>
      </w:r>
      <w:r w:rsidR="005C506F" w:rsidRPr="00A26052">
        <w:rPr>
          <w:rFonts w:ascii="Arial" w:eastAsia="Calibri" w:hAnsi="Arial" w:cs="Arial"/>
          <w:sz w:val="22"/>
          <w:szCs w:val="22"/>
          <w:lang w:val="es-ES_tradnl"/>
        </w:rPr>
        <w:t xml:space="preserve"> C-043 del 9 de febrero de 2020, </w:t>
      </w:r>
      <w:r w:rsidR="004B65D9" w:rsidRPr="00A26052">
        <w:rPr>
          <w:rFonts w:ascii="Arial" w:eastAsia="Calibri" w:hAnsi="Arial" w:cs="Arial"/>
          <w:sz w:val="22"/>
          <w:szCs w:val="22"/>
          <w:lang w:val="es-ES_tradnl"/>
        </w:rPr>
        <w:t xml:space="preserve">en el que se </w:t>
      </w:r>
      <w:r w:rsidR="00292A27" w:rsidRPr="00A26052">
        <w:rPr>
          <w:rFonts w:ascii="Arial" w:eastAsia="Calibri" w:hAnsi="Arial" w:cs="Arial"/>
          <w:sz w:val="22"/>
          <w:szCs w:val="22"/>
          <w:lang w:val="es-ES_tradnl"/>
        </w:rPr>
        <w:t xml:space="preserve">estudió, </w:t>
      </w:r>
      <w:r w:rsidR="00292A27" w:rsidRPr="00A26052">
        <w:rPr>
          <w:rFonts w:ascii="Arial" w:eastAsia="Calibri" w:hAnsi="Arial" w:cs="Arial"/>
          <w:sz w:val="22"/>
          <w:szCs w:val="22"/>
          <w:lang w:val="es-ES_tradnl"/>
        </w:rPr>
        <w:lastRenderedPageBreak/>
        <w:t>particularmente, la vigencia del artículo 34 de la Ley 2069 de 2020</w:t>
      </w:r>
      <w:r w:rsidR="007E47D1" w:rsidRPr="00A26052">
        <w:rPr>
          <w:rFonts w:ascii="Arial" w:eastAsia="Calibri" w:hAnsi="Arial" w:cs="Arial"/>
          <w:sz w:val="22"/>
          <w:szCs w:val="22"/>
          <w:lang w:val="es-ES_tradnl"/>
        </w:rPr>
        <w:t>. La tesis expuesta en estos conceptos se reitera a continuación.</w:t>
      </w:r>
    </w:p>
    <w:p w14:paraId="331D0ECA" w14:textId="0CEC4B0A" w:rsidR="003C4317" w:rsidRPr="00A26052" w:rsidRDefault="003C4317" w:rsidP="00271230">
      <w:pPr>
        <w:spacing w:line="276" w:lineRule="auto"/>
        <w:jc w:val="both"/>
        <w:rPr>
          <w:rFonts w:ascii="Arial" w:eastAsia="Calibri" w:hAnsi="Arial" w:cs="Arial"/>
          <w:sz w:val="22"/>
          <w:szCs w:val="22"/>
          <w:lang w:val="es-ES_tradnl"/>
        </w:rPr>
      </w:pPr>
    </w:p>
    <w:p w14:paraId="1BB98AEE" w14:textId="1CE81C6A" w:rsidR="005C6397" w:rsidRPr="00A26052" w:rsidRDefault="005C6397" w:rsidP="005C6397">
      <w:pPr>
        <w:spacing w:line="276" w:lineRule="auto"/>
        <w:jc w:val="both"/>
        <w:rPr>
          <w:rFonts w:ascii="Arial" w:eastAsia="Calibri" w:hAnsi="Arial" w:cs="Arial"/>
          <w:b/>
          <w:bCs/>
          <w:sz w:val="22"/>
          <w:szCs w:val="22"/>
          <w:lang w:val="es-ES_tradnl"/>
        </w:rPr>
      </w:pPr>
      <w:r w:rsidRPr="00A26052">
        <w:rPr>
          <w:rFonts w:ascii="Arial" w:eastAsia="Calibri" w:hAnsi="Arial" w:cs="Arial"/>
          <w:b/>
          <w:bCs/>
          <w:sz w:val="22"/>
          <w:szCs w:val="22"/>
          <w:lang w:val="es-ES_tradnl"/>
        </w:rPr>
        <w:t>2.</w:t>
      </w:r>
      <w:r w:rsidR="00B43718" w:rsidRPr="00A26052">
        <w:rPr>
          <w:rFonts w:ascii="Arial" w:eastAsia="Calibri" w:hAnsi="Arial" w:cs="Arial"/>
          <w:b/>
          <w:bCs/>
          <w:sz w:val="22"/>
          <w:szCs w:val="22"/>
          <w:lang w:val="es-ES_tradnl"/>
        </w:rPr>
        <w:t>1</w:t>
      </w:r>
      <w:r w:rsidRPr="00A26052">
        <w:rPr>
          <w:rFonts w:ascii="Arial" w:eastAsia="Calibri" w:hAnsi="Arial" w:cs="Arial"/>
          <w:b/>
          <w:bCs/>
          <w:sz w:val="22"/>
          <w:szCs w:val="22"/>
          <w:lang w:val="es-ES_tradnl"/>
        </w:rPr>
        <w:t xml:space="preserve">. Vigencia y ámbito de aplicación de la Ley </w:t>
      </w:r>
      <w:r w:rsidR="001F0325" w:rsidRPr="00A26052">
        <w:rPr>
          <w:rFonts w:ascii="Arial" w:eastAsia="Calibri" w:hAnsi="Arial" w:cs="Arial"/>
          <w:b/>
          <w:bCs/>
          <w:sz w:val="22"/>
          <w:szCs w:val="22"/>
          <w:lang w:val="es-ES_tradnl"/>
        </w:rPr>
        <w:t>2069</w:t>
      </w:r>
      <w:r w:rsidRPr="00A26052">
        <w:rPr>
          <w:rFonts w:ascii="Arial" w:eastAsia="Calibri" w:hAnsi="Arial" w:cs="Arial"/>
          <w:b/>
          <w:bCs/>
          <w:sz w:val="22"/>
          <w:szCs w:val="22"/>
          <w:lang w:val="es-ES_tradnl"/>
        </w:rPr>
        <w:t xml:space="preserve"> de 2020</w:t>
      </w:r>
    </w:p>
    <w:p w14:paraId="38137F57" w14:textId="77777777" w:rsidR="005C6397" w:rsidRPr="00A26052" w:rsidRDefault="005C6397" w:rsidP="005C6397">
      <w:pPr>
        <w:spacing w:line="276" w:lineRule="auto"/>
        <w:jc w:val="both"/>
        <w:rPr>
          <w:rFonts w:ascii="Arial" w:eastAsia="Calibri" w:hAnsi="Arial" w:cs="Arial"/>
          <w:sz w:val="22"/>
          <w:szCs w:val="22"/>
          <w:lang w:val="es-ES_tradnl"/>
        </w:rPr>
      </w:pPr>
    </w:p>
    <w:p w14:paraId="33320CB6" w14:textId="77777777" w:rsidR="00C47F18" w:rsidRPr="00A26052" w:rsidRDefault="00C47F18" w:rsidP="00C47F18">
      <w:pPr>
        <w:spacing w:line="276" w:lineRule="auto"/>
        <w:jc w:val="both"/>
        <w:rPr>
          <w:rFonts w:ascii="Arial" w:eastAsia="Calibri" w:hAnsi="Arial" w:cs="Arial"/>
          <w:sz w:val="22"/>
          <w:szCs w:val="22"/>
          <w:lang w:val="es-ES_tradnl"/>
        </w:rPr>
      </w:pPr>
      <w:r w:rsidRPr="00A26052">
        <w:rPr>
          <w:rFonts w:ascii="Arial" w:eastAsia="Calibri" w:hAnsi="Arial" w:cs="Arial"/>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21E74D7" w14:textId="74B201A6" w:rsidR="00C47F18" w:rsidRPr="00A26052" w:rsidRDefault="00C47F18" w:rsidP="00C47F18">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26052">
        <w:rPr>
          <w:rFonts w:ascii="Arial" w:eastAsia="Calibri" w:hAnsi="Arial" w:cs="Arial"/>
          <w:sz w:val="22"/>
          <w:szCs w:val="22"/>
          <w:lang w:val="es-ES_tradnl"/>
        </w:rPr>
        <w:t>de acuerdo a</w:t>
      </w:r>
      <w:proofErr w:type="gramEnd"/>
      <w:r w:rsidRPr="00A26052">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A26052">
        <w:rPr>
          <w:rStyle w:val="Refdenotaalpie"/>
          <w:rFonts w:ascii="Arial" w:eastAsia="Calibri" w:hAnsi="Arial" w:cs="Arial"/>
          <w:sz w:val="22"/>
          <w:szCs w:val="22"/>
          <w:lang w:val="es-ES_tradnl"/>
        </w:rPr>
        <w:footnoteReference w:id="2"/>
      </w:r>
      <w:r w:rsidRPr="00A26052">
        <w:rPr>
          <w:rFonts w:ascii="Arial" w:eastAsia="Calibri" w:hAnsi="Arial" w:cs="Arial"/>
          <w:sz w:val="22"/>
          <w:szCs w:val="22"/>
          <w:lang w:val="es-ES_tradnl"/>
        </w:rPr>
        <w:t>, así como incentivos a favor de aquellas dentro del sistema de compras y contratación pública</w:t>
      </w:r>
      <w:r w:rsidRPr="00A26052">
        <w:rPr>
          <w:rStyle w:val="Refdenotaalpie"/>
          <w:rFonts w:ascii="Arial" w:eastAsia="Calibri" w:hAnsi="Arial" w:cs="Arial"/>
          <w:sz w:val="22"/>
          <w:szCs w:val="22"/>
          <w:lang w:val="es-ES_tradnl"/>
        </w:rPr>
        <w:footnoteReference w:id="3"/>
      </w:r>
      <w:r w:rsidRPr="00A26052">
        <w:rPr>
          <w:rFonts w:ascii="Arial" w:eastAsia="Calibri" w:hAnsi="Arial" w:cs="Arial"/>
          <w:sz w:val="22"/>
          <w:szCs w:val="22"/>
          <w:lang w:val="es-ES_tradnl"/>
        </w:rPr>
        <w:t xml:space="preserve">. </w:t>
      </w:r>
      <w:r w:rsidR="00264F8B" w:rsidRPr="00A26052">
        <w:rPr>
          <w:rFonts w:ascii="Arial" w:eastAsia="Calibri" w:hAnsi="Arial" w:cs="Arial"/>
          <w:sz w:val="22"/>
          <w:szCs w:val="22"/>
          <w:lang w:val="es-ES_tradnl"/>
        </w:rPr>
        <w:t>De igual forma,</w:t>
      </w:r>
      <w:r w:rsidRPr="00A26052">
        <w:rPr>
          <w:rFonts w:ascii="Arial" w:eastAsia="Calibri" w:hAnsi="Arial" w:cs="Arial"/>
          <w:sz w:val="22"/>
          <w:szCs w:val="22"/>
          <w:lang w:val="es-ES_tradnl"/>
        </w:rPr>
        <w:t xml:space="preserve"> se consagran mecanismos de acceso al financiamiento</w:t>
      </w:r>
      <w:r w:rsidRPr="00A26052">
        <w:rPr>
          <w:rStyle w:val="Refdenotaalpie"/>
          <w:rFonts w:ascii="Arial" w:eastAsia="Calibri" w:hAnsi="Arial" w:cs="Arial"/>
          <w:sz w:val="22"/>
          <w:szCs w:val="22"/>
          <w:lang w:val="es-ES_tradnl"/>
        </w:rPr>
        <w:footnoteReference w:id="4"/>
      </w:r>
      <w:r w:rsidRPr="00A26052">
        <w:rPr>
          <w:rFonts w:ascii="Arial" w:eastAsia="Calibri" w:hAnsi="Arial" w:cs="Arial"/>
          <w:sz w:val="22"/>
          <w:szCs w:val="22"/>
          <w:lang w:val="es-ES_tradnl"/>
        </w:rPr>
        <w:t>, se unifican las fuentes de emprendimiento y de desarrollo empresarial, para fortalecer y promover los distintos sectores de la economía</w:t>
      </w:r>
      <w:r w:rsidRPr="00A26052">
        <w:rPr>
          <w:rStyle w:val="Refdenotaalpie"/>
          <w:rFonts w:ascii="Arial" w:eastAsia="Calibri" w:hAnsi="Arial" w:cs="Arial"/>
          <w:sz w:val="22"/>
          <w:szCs w:val="22"/>
          <w:lang w:val="es-ES_tradnl"/>
        </w:rPr>
        <w:footnoteReference w:id="5"/>
      </w:r>
      <w:r w:rsidRPr="00A26052">
        <w:rPr>
          <w:rFonts w:ascii="Arial" w:eastAsia="Calibri" w:hAnsi="Arial" w:cs="Arial"/>
          <w:sz w:val="22"/>
          <w:szCs w:val="22"/>
          <w:lang w:val="es-ES_tradnl"/>
        </w:rPr>
        <w:t xml:space="preserve"> y se prevén medidas de educación para el emprendimiento y la innovación</w:t>
      </w:r>
      <w:r w:rsidRPr="00A26052">
        <w:rPr>
          <w:rStyle w:val="Refdenotaalpie"/>
          <w:rFonts w:ascii="Arial" w:eastAsia="Calibri" w:hAnsi="Arial" w:cs="Arial"/>
          <w:sz w:val="22"/>
          <w:szCs w:val="22"/>
          <w:lang w:val="es-ES_tradnl"/>
        </w:rPr>
        <w:footnoteReference w:id="6"/>
      </w:r>
      <w:r w:rsidRPr="00A26052">
        <w:rPr>
          <w:rFonts w:ascii="Arial" w:eastAsia="Calibri" w:hAnsi="Arial" w:cs="Arial"/>
          <w:sz w:val="22"/>
          <w:szCs w:val="22"/>
          <w:lang w:val="es-ES_tradnl"/>
        </w:rPr>
        <w:t>.</w:t>
      </w:r>
    </w:p>
    <w:p w14:paraId="42EFB9AA" w14:textId="3B03EAC2" w:rsidR="005C6397" w:rsidRPr="00A26052" w:rsidRDefault="005C6397" w:rsidP="005C6397">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Como se indicó, parte de la Ley </w:t>
      </w:r>
      <w:r w:rsidR="001F0325" w:rsidRPr="00A26052">
        <w:rPr>
          <w:rFonts w:ascii="Arial" w:eastAsia="Calibri" w:hAnsi="Arial" w:cs="Arial"/>
          <w:sz w:val="22"/>
          <w:szCs w:val="22"/>
          <w:lang w:val="es-ES_tradnl"/>
        </w:rPr>
        <w:t>2069</w:t>
      </w:r>
      <w:r w:rsidRPr="00A26052">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w:t>
      </w:r>
      <w:proofErr w:type="spellStart"/>
      <w:r w:rsidRPr="00A26052">
        <w:rPr>
          <w:rFonts w:ascii="Arial" w:eastAsia="Calibri" w:hAnsi="Arial" w:cs="Arial"/>
          <w:sz w:val="22"/>
          <w:szCs w:val="22"/>
          <w:lang w:val="es-ES_tradnl"/>
        </w:rPr>
        <w:t>ii</w:t>
      </w:r>
      <w:proofErr w:type="spellEnd"/>
      <w:r w:rsidRPr="00A26052">
        <w:rPr>
          <w:rFonts w:ascii="Arial" w:eastAsia="Calibri" w:hAnsi="Arial" w:cs="Arial"/>
          <w:sz w:val="22"/>
          <w:szCs w:val="22"/>
          <w:lang w:val="es-ES_tradnl"/>
        </w:rPr>
        <w:t xml:space="preserve">) criterios diferenciales para mipymes en el sistema de compras públicas, </w:t>
      </w:r>
      <w:proofErr w:type="spellStart"/>
      <w:r w:rsidRPr="00A26052">
        <w:rPr>
          <w:rFonts w:ascii="Arial" w:eastAsia="Calibri" w:hAnsi="Arial" w:cs="Arial"/>
          <w:sz w:val="22"/>
          <w:szCs w:val="22"/>
          <w:lang w:val="es-ES_tradnl"/>
        </w:rPr>
        <w:t>iii</w:t>
      </w:r>
      <w:proofErr w:type="spellEnd"/>
      <w:r w:rsidRPr="00A26052">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A26052">
        <w:rPr>
          <w:rFonts w:ascii="Arial" w:eastAsia="Calibri" w:hAnsi="Arial" w:cs="Arial"/>
          <w:sz w:val="22"/>
          <w:szCs w:val="22"/>
          <w:lang w:val="es-ES_tradnl"/>
        </w:rPr>
        <w:t>iv</w:t>
      </w:r>
      <w:proofErr w:type="spellEnd"/>
      <w:r w:rsidRPr="00A26052">
        <w:rPr>
          <w:rFonts w:ascii="Arial" w:eastAsia="Calibri" w:hAnsi="Arial" w:cs="Arial"/>
          <w:sz w:val="22"/>
          <w:szCs w:val="22"/>
          <w:lang w:val="es-ES_tradnl"/>
        </w:rPr>
        <w:t xml:space="preserve">) promoción del acceso de las mipymes al mercado de compras </w:t>
      </w:r>
      <w:r w:rsidRPr="00A26052">
        <w:rPr>
          <w:rFonts w:ascii="Arial" w:eastAsia="Calibri" w:hAnsi="Arial" w:cs="Arial"/>
          <w:sz w:val="22"/>
          <w:szCs w:val="22"/>
          <w:lang w:val="es-ES_tradnl"/>
        </w:rPr>
        <w:lastRenderedPageBreak/>
        <w:t xml:space="preserve">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w:t>
      </w:r>
      <w:r w:rsidR="00BA55E0" w:rsidRPr="00A26052">
        <w:rPr>
          <w:rFonts w:ascii="Arial" w:eastAsia="Calibri" w:hAnsi="Arial" w:cs="Arial"/>
          <w:sz w:val="22"/>
          <w:szCs w:val="22"/>
          <w:lang w:val="es-ES_tradnl"/>
        </w:rPr>
        <w:t>de</w:t>
      </w:r>
      <w:r w:rsidR="00F53430" w:rsidRPr="00A26052">
        <w:rPr>
          <w:rFonts w:ascii="Arial" w:eastAsia="Calibri" w:hAnsi="Arial" w:cs="Arial"/>
          <w:sz w:val="22"/>
          <w:szCs w:val="22"/>
          <w:lang w:val="es-ES_tradnl"/>
        </w:rPr>
        <w:t>l</w:t>
      </w:r>
      <w:r w:rsidR="00BA55E0" w:rsidRPr="00A26052">
        <w:rPr>
          <w:rFonts w:ascii="Arial" w:eastAsia="Calibri" w:hAnsi="Arial" w:cs="Arial"/>
          <w:sz w:val="22"/>
          <w:szCs w:val="22"/>
          <w:lang w:val="es-ES_tradnl"/>
        </w:rPr>
        <w:t xml:space="preserve"> artículo 34</w:t>
      </w:r>
      <w:r w:rsidR="00F53430" w:rsidRPr="00A26052">
        <w:rPr>
          <w:rFonts w:ascii="Arial" w:eastAsia="Calibri" w:hAnsi="Arial" w:cs="Arial"/>
          <w:sz w:val="22"/>
          <w:szCs w:val="22"/>
          <w:lang w:val="es-ES_tradnl"/>
        </w:rPr>
        <w:t xml:space="preserve"> </w:t>
      </w:r>
      <w:r w:rsidRPr="00A26052">
        <w:rPr>
          <w:rFonts w:ascii="Arial" w:eastAsia="Calibri" w:hAnsi="Arial" w:cs="Arial"/>
          <w:sz w:val="22"/>
          <w:szCs w:val="22"/>
          <w:lang w:val="es-ES_tradnl"/>
        </w:rPr>
        <w:t xml:space="preserve">de la referida </w:t>
      </w:r>
      <w:r w:rsidR="00F53430" w:rsidRPr="00A26052">
        <w:rPr>
          <w:rFonts w:ascii="Arial" w:eastAsia="Calibri" w:hAnsi="Arial" w:cs="Arial"/>
          <w:sz w:val="22"/>
          <w:szCs w:val="22"/>
          <w:lang w:val="es-ES_tradnl"/>
        </w:rPr>
        <w:t>l</w:t>
      </w:r>
      <w:r w:rsidRPr="00A26052">
        <w:rPr>
          <w:rFonts w:ascii="Arial" w:eastAsia="Calibri" w:hAnsi="Arial" w:cs="Arial"/>
          <w:sz w:val="22"/>
          <w:szCs w:val="22"/>
          <w:lang w:val="es-ES_tradnl"/>
        </w:rPr>
        <w:t xml:space="preserve">ey, a </w:t>
      </w:r>
      <w:proofErr w:type="gramStart"/>
      <w:r w:rsidRPr="00A26052">
        <w:rPr>
          <w:rFonts w:ascii="Arial" w:eastAsia="Calibri" w:hAnsi="Arial" w:cs="Arial"/>
          <w:sz w:val="22"/>
          <w:szCs w:val="22"/>
          <w:lang w:val="es-ES_tradnl"/>
        </w:rPr>
        <w:t>continuación</w:t>
      </w:r>
      <w:proofErr w:type="gramEnd"/>
      <w:r w:rsidRPr="00A26052">
        <w:rPr>
          <w:rFonts w:ascii="Arial" w:eastAsia="Calibri" w:hAnsi="Arial" w:cs="Arial"/>
          <w:sz w:val="22"/>
          <w:szCs w:val="22"/>
          <w:lang w:val="es-ES_tradnl"/>
        </w:rPr>
        <w:t xml:space="preserve"> se estudiará el contenido y alcance de dicha</w:t>
      </w:r>
      <w:r w:rsidR="00BA55E0" w:rsidRPr="00A26052">
        <w:rPr>
          <w:rFonts w:ascii="Arial" w:eastAsia="Calibri" w:hAnsi="Arial" w:cs="Arial"/>
          <w:sz w:val="22"/>
          <w:szCs w:val="22"/>
          <w:lang w:val="es-ES_tradnl"/>
        </w:rPr>
        <w:t>s</w:t>
      </w:r>
      <w:r w:rsidRPr="00A26052">
        <w:rPr>
          <w:rFonts w:ascii="Arial" w:eastAsia="Calibri" w:hAnsi="Arial" w:cs="Arial"/>
          <w:sz w:val="22"/>
          <w:szCs w:val="22"/>
          <w:lang w:val="es-ES_tradnl"/>
        </w:rPr>
        <w:t xml:space="preserve"> norma</w:t>
      </w:r>
      <w:r w:rsidR="00BA55E0" w:rsidRPr="00A26052">
        <w:rPr>
          <w:rFonts w:ascii="Arial" w:eastAsia="Calibri" w:hAnsi="Arial" w:cs="Arial"/>
          <w:sz w:val="22"/>
          <w:szCs w:val="22"/>
          <w:lang w:val="es-ES_tradnl"/>
        </w:rPr>
        <w:t>s</w:t>
      </w:r>
      <w:r w:rsidRPr="00A26052">
        <w:rPr>
          <w:rFonts w:ascii="Arial" w:eastAsia="Calibri" w:hAnsi="Arial" w:cs="Arial"/>
          <w:sz w:val="22"/>
          <w:szCs w:val="22"/>
          <w:lang w:val="es-ES_tradnl"/>
        </w:rPr>
        <w:t xml:space="preserve">.  </w:t>
      </w:r>
    </w:p>
    <w:p w14:paraId="60078656" w14:textId="20CE103E" w:rsidR="005C6397" w:rsidRPr="00A26052" w:rsidRDefault="005C6397" w:rsidP="00271230">
      <w:pPr>
        <w:spacing w:line="276" w:lineRule="auto"/>
        <w:jc w:val="both"/>
        <w:rPr>
          <w:rFonts w:ascii="Arial" w:eastAsia="Calibri" w:hAnsi="Arial" w:cs="Arial"/>
          <w:sz w:val="22"/>
          <w:szCs w:val="22"/>
          <w:lang w:val="es-ES_tradnl"/>
        </w:rPr>
      </w:pPr>
    </w:p>
    <w:p w14:paraId="1C51DF3C" w14:textId="1DB0D884" w:rsidR="00A04532" w:rsidRPr="00A26052" w:rsidRDefault="00A04532" w:rsidP="00271230">
      <w:pPr>
        <w:spacing w:line="276" w:lineRule="auto"/>
        <w:jc w:val="both"/>
        <w:rPr>
          <w:rFonts w:ascii="Arial" w:eastAsia="Calibri" w:hAnsi="Arial" w:cs="Arial"/>
          <w:b/>
          <w:bCs/>
          <w:sz w:val="22"/>
          <w:szCs w:val="22"/>
          <w:lang w:val="es-ES_tradnl"/>
        </w:rPr>
      </w:pPr>
      <w:r w:rsidRPr="00A26052">
        <w:rPr>
          <w:rFonts w:ascii="Arial" w:eastAsia="Calibri" w:hAnsi="Arial" w:cs="Arial"/>
          <w:b/>
          <w:bCs/>
          <w:sz w:val="22"/>
          <w:szCs w:val="22"/>
          <w:lang w:val="es-ES_tradnl"/>
        </w:rPr>
        <w:t xml:space="preserve">2.2. Regulación de las convocatorias limitadas a mipymes en el artículo 34 de la Ley </w:t>
      </w:r>
      <w:r w:rsidR="001F0325" w:rsidRPr="00A26052">
        <w:rPr>
          <w:rFonts w:ascii="Arial" w:eastAsia="Calibri" w:hAnsi="Arial" w:cs="Arial"/>
          <w:b/>
          <w:bCs/>
          <w:sz w:val="22"/>
          <w:szCs w:val="22"/>
          <w:lang w:val="es-ES_tradnl"/>
        </w:rPr>
        <w:t>2069</w:t>
      </w:r>
      <w:r w:rsidRPr="00A26052">
        <w:rPr>
          <w:rFonts w:ascii="Arial" w:eastAsia="Calibri" w:hAnsi="Arial" w:cs="Arial"/>
          <w:b/>
          <w:bCs/>
          <w:sz w:val="22"/>
          <w:szCs w:val="22"/>
          <w:lang w:val="es-ES_tradnl"/>
        </w:rPr>
        <w:t xml:space="preserve"> de 2020. Eficacia y alcance de la potestad reglamentaria</w:t>
      </w:r>
    </w:p>
    <w:p w14:paraId="0D50FD63" w14:textId="23BCDBD8" w:rsidR="00A04532" w:rsidRPr="00A26052" w:rsidRDefault="00A04532" w:rsidP="00271230">
      <w:pPr>
        <w:spacing w:line="276" w:lineRule="auto"/>
        <w:jc w:val="both"/>
        <w:rPr>
          <w:rFonts w:ascii="Arial" w:eastAsia="Calibri" w:hAnsi="Arial" w:cs="Arial"/>
          <w:sz w:val="22"/>
          <w:szCs w:val="22"/>
          <w:lang w:val="es-ES_tradnl"/>
        </w:rPr>
      </w:pPr>
    </w:p>
    <w:p w14:paraId="645CC861" w14:textId="13B87C8C" w:rsidR="009A2B60" w:rsidRPr="00A26052" w:rsidRDefault="00E3212A" w:rsidP="00271230">
      <w:pPr>
        <w:spacing w:line="276" w:lineRule="auto"/>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El artículo 34 de la Ley 2069 de 2020 </w:t>
      </w:r>
      <w:r w:rsidR="002A3F66" w:rsidRPr="00A26052">
        <w:rPr>
          <w:rFonts w:ascii="Arial" w:eastAsia="Calibri" w:hAnsi="Arial" w:cs="Arial"/>
          <w:sz w:val="22"/>
          <w:szCs w:val="22"/>
          <w:lang w:val="es-ES_tradnl"/>
        </w:rPr>
        <w:t>establece</w:t>
      </w:r>
      <w:r w:rsidR="0063247E" w:rsidRPr="00A26052">
        <w:rPr>
          <w:rFonts w:ascii="Arial" w:eastAsia="Calibri" w:hAnsi="Arial" w:cs="Arial"/>
          <w:sz w:val="22"/>
          <w:szCs w:val="22"/>
          <w:lang w:val="es-ES_tradnl"/>
        </w:rPr>
        <w:t xml:space="preserve"> nuevas reglas sobre </w:t>
      </w:r>
      <w:r w:rsidR="00F87F37" w:rsidRPr="00A26052">
        <w:rPr>
          <w:rFonts w:ascii="Arial" w:eastAsia="Calibri" w:hAnsi="Arial" w:cs="Arial"/>
          <w:sz w:val="22"/>
          <w:szCs w:val="22"/>
          <w:lang w:val="es-ES_tradnl"/>
        </w:rPr>
        <w:t xml:space="preserve">la </w:t>
      </w:r>
      <w:r w:rsidR="0063247E" w:rsidRPr="00A26052">
        <w:rPr>
          <w:rFonts w:ascii="Arial" w:eastAsia="Calibri" w:hAnsi="Arial" w:cs="Arial"/>
          <w:sz w:val="22"/>
          <w:szCs w:val="22"/>
          <w:lang w:val="es-ES_tradnl"/>
        </w:rPr>
        <w:t>promoción al desarrollo en la contratación estatal</w:t>
      </w:r>
      <w:r w:rsidR="000F55A8" w:rsidRPr="00A26052">
        <w:rPr>
          <w:rFonts w:ascii="Arial" w:eastAsia="Calibri" w:hAnsi="Arial" w:cs="Arial"/>
          <w:sz w:val="22"/>
          <w:szCs w:val="22"/>
          <w:lang w:val="es-ES_tradnl"/>
        </w:rPr>
        <w:t xml:space="preserve">. Concretamente, modifica </w:t>
      </w:r>
      <w:r w:rsidR="00D500ED" w:rsidRPr="00A26052">
        <w:rPr>
          <w:rFonts w:ascii="Arial" w:eastAsia="Calibri" w:hAnsi="Arial" w:cs="Arial"/>
          <w:sz w:val="22"/>
          <w:szCs w:val="22"/>
          <w:lang w:val="es-ES_tradnl"/>
        </w:rPr>
        <w:t>el contenido del artículo 12 de la Ley 1150 de 2007</w:t>
      </w:r>
      <w:r w:rsidR="00903C57" w:rsidRPr="00A26052">
        <w:rPr>
          <w:rStyle w:val="Refdenotaalpie"/>
          <w:rFonts w:ascii="Arial" w:eastAsia="Calibri" w:hAnsi="Arial" w:cs="Arial"/>
          <w:sz w:val="22"/>
          <w:szCs w:val="22"/>
          <w:lang w:val="es-ES_tradnl"/>
        </w:rPr>
        <w:footnoteReference w:id="7"/>
      </w:r>
      <w:r w:rsidR="007E7E80" w:rsidRPr="00A26052">
        <w:rPr>
          <w:rFonts w:ascii="Arial" w:eastAsia="Calibri" w:hAnsi="Arial" w:cs="Arial"/>
          <w:sz w:val="22"/>
          <w:szCs w:val="22"/>
          <w:lang w:val="es-ES_tradnl"/>
        </w:rPr>
        <w:t xml:space="preserve">, prescribiendo </w:t>
      </w:r>
      <w:r w:rsidR="00D11687" w:rsidRPr="00A26052">
        <w:rPr>
          <w:rFonts w:ascii="Arial" w:eastAsia="Calibri" w:hAnsi="Arial" w:cs="Arial"/>
          <w:sz w:val="22"/>
          <w:szCs w:val="22"/>
          <w:lang w:val="es-ES_tradnl"/>
        </w:rPr>
        <w:t>lo que se indica a continuación</w:t>
      </w:r>
      <w:r w:rsidR="007E7E80" w:rsidRPr="00A26052">
        <w:rPr>
          <w:rFonts w:ascii="Arial" w:eastAsia="Calibri" w:hAnsi="Arial" w:cs="Arial"/>
          <w:sz w:val="22"/>
          <w:szCs w:val="22"/>
          <w:lang w:val="es-ES_tradnl"/>
        </w:rPr>
        <w:t>:</w:t>
      </w:r>
    </w:p>
    <w:p w14:paraId="04501723" w14:textId="7DE0E9FC" w:rsidR="007E7E80" w:rsidRPr="00A26052" w:rsidRDefault="007E7E80" w:rsidP="009A2B60">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i) </w:t>
      </w:r>
      <w:r w:rsidR="00741B0C" w:rsidRPr="00A26052">
        <w:rPr>
          <w:rFonts w:ascii="Arial" w:eastAsia="Calibri" w:hAnsi="Arial" w:cs="Arial"/>
          <w:sz w:val="22"/>
          <w:szCs w:val="22"/>
          <w:lang w:val="es-ES_tradnl"/>
        </w:rPr>
        <w:t xml:space="preserve">Encomienda, con carácter imperativo, al gobierno nacional </w:t>
      </w:r>
      <w:r w:rsidR="00255AD7" w:rsidRPr="00A26052">
        <w:rPr>
          <w:rFonts w:ascii="Arial" w:eastAsia="Calibri" w:hAnsi="Arial" w:cs="Arial"/>
          <w:sz w:val="22"/>
          <w:szCs w:val="22"/>
          <w:lang w:val="es-ES_tradnl"/>
        </w:rPr>
        <w:t>definir</w:t>
      </w:r>
      <w:r w:rsidR="00741B0C" w:rsidRPr="00A26052">
        <w:rPr>
          <w:rFonts w:ascii="Arial" w:eastAsia="Calibri" w:hAnsi="Arial" w:cs="Arial"/>
          <w:sz w:val="22"/>
          <w:szCs w:val="22"/>
          <w:lang w:val="es-ES_tradnl"/>
        </w:rPr>
        <w:t xml:space="preserve"> </w:t>
      </w:r>
      <w:r w:rsidR="00C2186B" w:rsidRPr="00A26052">
        <w:rPr>
          <w:rFonts w:ascii="Arial" w:eastAsia="Calibri" w:hAnsi="Arial" w:cs="Arial"/>
          <w:sz w:val="22"/>
          <w:szCs w:val="22"/>
          <w:lang w:val="es-ES_tradnl"/>
        </w:rPr>
        <w:t>las condiciones y los montos para que las entidades estatales</w:t>
      </w:r>
      <w:r w:rsidR="003F02A2" w:rsidRPr="00A26052">
        <w:rPr>
          <w:rFonts w:ascii="Arial" w:eastAsia="Calibri" w:hAnsi="Arial" w:cs="Arial"/>
          <w:sz w:val="22"/>
          <w:szCs w:val="22"/>
          <w:lang w:val="es-ES_tradnl"/>
        </w:rPr>
        <w:t xml:space="preserve"> –cualquiera sea su régimen contractual–</w:t>
      </w:r>
      <w:r w:rsidR="003D4F41" w:rsidRPr="00A26052">
        <w:rPr>
          <w:rFonts w:ascii="Arial" w:eastAsia="Calibri" w:hAnsi="Arial" w:cs="Arial"/>
          <w:sz w:val="22"/>
          <w:szCs w:val="22"/>
          <w:lang w:val="es-ES_tradnl"/>
        </w:rPr>
        <w:t xml:space="preserve">, los patrimonios autónomos constituidos por aquellas y los particulares que administren </w:t>
      </w:r>
      <w:r w:rsidR="003D4F41" w:rsidRPr="00A26052">
        <w:rPr>
          <w:rFonts w:ascii="Arial" w:eastAsia="Calibri" w:hAnsi="Arial" w:cs="Arial"/>
          <w:sz w:val="22"/>
          <w:szCs w:val="22"/>
          <w:lang w:val="es-ES_tradnl"/>
        </w:rPr>
        <w:lastRenderedPageBreak/>
        <w:t xml:space="preserve">recursos </w:t>
      </w:r>
      <w:proofErr w:type="gramStart"/>
      <w:r w:rsidR="003D4F41" w:rsidRPr="00A26052">
        <w:rPr>
          <w:rFonts w:ascii="Arial" w:eastAsia="Calibri" w:hAnsi="Arial" w:cs="Arial"/>
          <w:sz w:val="22"/>
          <w:szCs w:val="22"/>
          <w:lang w:val="es-ES_tradnl"/>
        </w:rPr>
        <w:t>públicos</w:t>
      </w:r>
      <w:r w:rsidR="003F02A2" w:rsidRPr="00A26052">
        <w:rPr>
          <w:rFonts w:ascii="Arial" w:eastAsia="Calibri" w:hAnsi="Arial" w:cs="Arial"/>
          <w:sz w:val="22"/>
          <w:szCs w:val="22"/>
          <w:lang w:val="es-ES_tradnl"/>
        </w:rPr>
        <w:t>,</w:t>
      </w:r>
      <w:proofErr w:type="gramEnd"/>
      <w:r w:rsidR="003F02A2" w:rsidRPr="00A26052">
        <w:rPr>
          <w:rFonts w:ascii="Arial" w:eastAsia="Calibri" w:hAnsi="Arial" w:cs="Arial"/>
          <w:sz w:val="22"/>
          <w:szCs w:val="22"/>
          <w:lang w:val="es-ES_tradnl"/>
        </w:rPr>
        <w:t xml:space="preserve"> efectúen convocatorias limitadas a </w:t>
      </w:r>
      <w:r w:rsidR="00AA47FA" w:rsidRPr="00A26052">
        <w:rPr>
          <w:rFonts w:ascii="Arial" w:eastAsia="Calibri" w:hAnsi="Arial" w:cs="Arial"/>
          <w:sz w:val="22"/>
          <w:szCs w:val="22"/>
          <w:lang w:val="es-ES_tradnl"/>
        </w:rPr>
        <w:t>m</w:t>
      </w:r>
      <w:r w:rsidR="003F02A2" w:rsidRPr="00A26052">
        <w:rPr>
          <w:rFonts w:ascii="Arial" w:eastAsia="Calibri" w:hAnsi="Arial" w:cs="Arial"/>
          <w:sz w:val="22"/>
          <w:szCs w:val="22"/>
          <w:lang w:val="es-ES_tradnl"/>
        </w:rPr>
        <w:t>ipymes</w:t>
      </w:r>
      <w:r w:rsidR="00206F4D" w:rsidRPr="00A26052">
        <w:rPr>
          <w:rFonts w:ascii="Arial" w:eastAsia="Calibri" w:hAnsi="Arial" w:cs="Arial"/>
          <w:sz w:val="22"/>
          <w:szCs w:val="22"/>
          <w:lang w:val="es-ES_tradnl"/>
        </w:rPr>
        <w:t xml:space="preserve"> en los procesos de contratación.</w:t>
      </w:r>
      <w:r w:rsidR="0082520B" w:rsidRPr="00A26052">
        <w:rPr>
          <w:rFonts w:ascii="Arial" w:eastAsia="Calibri" w:hAnsi="Arial" w:cs="Arial"/>
          <w:sz w:val="22"/>
          <w:szCs w:val="22"/>
          <w:lang w:val="es-ES_tradnl"/>
        </w:rPr>
        <w:t xml:space="preserve"> </w:t>
      </w:r>
      <w:r w:rsidR="00DC50AA" w:rsidRPr="00A26052">
        <w:rPr>
          <w:rFonts w:ascii="Arial" w:eastAsia="Calibri" w:hAnsi="Arial" w:cs="Arial"/>
          <w:sz w:val="22"/>
          <w:szCs w:val="22"/>
          <w:lang w:val="es-ES_tradnl"/>
        </w:rPr>
        <w:t xml:space="preserve">Y agrega que estas convocatorias se pueden realizar </w:t>
      </w:r>
      <w:r w:rsidR="003D65E0" w:rsidRPr="00A26052">
        <w:rPr>
          <w:rFonts w:ascii="Arial" w:eastAsia="Calibri" w:hAnsi="Arial" w:cs="Arial"/>
          <w:sz w:val="22"/>
          <w:szCs w:val="22"/>
          <w:lang w:val="es-ES_tradnl"/>
        </w:rPr>
        <w:t>también en el ámbito municipal o departamental en el que se ejecute el contrato.</w:t>
      </w:r>
      <w:r w:rsidR="00DC50AA" w:rsidRPr="00A26052">
        <w:rPr>
          <w:rFonts w:ascii="Arial" w:eastAsia="Calibri" w:hAnsi="Arial" w:cs="Arial"/>
          <w:sz w:val="22"/>
          <w:szCs w:val="22"/>
          <w:lang w:val="es-ES_tradnl"/>
        </w:rPr>
        <w:t xml:space="preserve"> </w:t>
      </w:r>
    </w:p>
    <w:p w14:paraId="3B240066" w14:textId="1ADE6963" w:rsidR="00AA47FA" w:rsidRPr="00A26052" w:rsidRDefault="00206F4D" w:rsidP="009A2B60">
      <w:pPr>
        <w:spacing w:before="120" w:line="276" w:lineRule="auto"/>
        <w:ind w:firstLine="709"/>
        <w:jc w:val="both"/>
        <w:rPr>
          <w:rFonts w:ascii="Arial" w:eastAsia="Calibri" w:hAnsi="Arial" w:cs="Arial"/>
          <w:sz w:val="22"/>
          <w:szCs w:val="22"/>
          <w:lang w:val="es-ES_tradnl"/>
        </w:rPr>
      </w:pPr>
      <w:proofErr w:type="spellStart"/>
      <w:r w:rsidRPr="00A26052">
        <w:rPr>
          <w:rFonts w:ascii="Arial" w:eastAsia="Calibri" w:hAnsi="Arial" w:cs="Arial"/>
          <w:sz w:val="22"/>
          <w:szCs w:val="22"/>
          <w:lang w:val="es-ES_tradnl"/>
        </w:rPr>
        <w:t>ii</w:t>
      </w:r>
      <w:proofErr w:type="spellEnd"/>
      <w:r w:rsidRPr="00A26052">
        <w:rPr>
          <w:rFonts w:ascii="Arial" w:eastAsia="Calibri" w:hAnsi="Arial" w:cs="Arial"/>
          <w:sz w:val="22"/>
          <w:szCs w:val="22"/>
          <w:lang w:val="es-ES_tradnl"/>
        </w:rPr>
        <w:t>) Indica que</w:t>
      </w:r>
      <w:r w:rsidR="005E665F" w:rsidRPr="00A26052">
        <w:rPr>
          <w:rFonts w:ascii="Arial" w:eastAsia="Calibri" w:hAnsi="Arial" w:cs="Arial"/>
          <w:sz w:val="22"/>
          <w:szCs w:val="22"/>
          <w:lang w:val="es-ES_tradnl"/>
        </w:rPr>
        <w:t xml:space="preserve"> dichas convocatorias se deben efectuar –y así lo deberá reglamentar el gobierno nacional–</w:t>
      </w:r>
      <w:r w:rsidR="009A2B60" w:rsidRPr="00A26052">
        <w:rPr>
          <w:rFonts w:ascii="Arial" w:eastAsia="Calibri" w:hAnsi="Arial" w:cs="Arial"/>
          <w:sz w:val="22"/>
          <w:szCs w:val="22"/>
          <w:lang w:val="es-ES_tradnl"/>
        </w:rPr>
        <w:t xml:space="preserve"> siempre </w:t>
      </w:r>
      <w:r w:rsidR="00D22BDD" w:rsidRPr="00A26052">
        <w:rPr>
          <w:rFonts w:ascii="Arial" w:eastAsia="Calibri" w:hAnsi="Arial" w:cs="Arial"/>
          <w:sz w:val="22"/>
          <w:szCs w:val="22"/>
          <w:lang w:val="es-ES_tradnl"/>
        </w:rPr>
        <w:t>y cuando,</w:t>
      </w:r>
      <w:r w:rsidR="009A2B60" w:rsidRPr="00A26052">
        <w:rPr>
          <w:rFonts w:ascii="Arial" w:eastAsia="Calibri" w:hAnsi="Arial" w:cs="Arial"/>
          <w:sz w:val="22"/>
          <w:szCs w:val="22"/>
          <w:lang w:val="es-ES_tradnl"/>
        </w:rPr>
        <w:t xml:space="preserve"> antes del acto administrativo de apertura del proceso de selección</w:t>
      </w:r>
      <w:r w:rsidR="00D22BDD" w:rsidRPr="00A26052">
        <w:rPr>
          <w:rFonts w:ascii="Arial" w:eastAsia="Calibri" w:hAnsi="Arial" w:cs="Arial"/>
          <w:sz w:val="22"/>
          <w:szCs w:val="22"/>
          <w:lang w:val="es-ES_tradnl"/>
        </w:rPr>
        <w:t>,</w:t>
      </w:r>
      <w:r w:rsidR="009A2B60" w:rsidRPr="00A26052">
        <w:rPr>
          <w:rFonts w:ascii="Arial" w:eastAsia="Calibri" w:hAnsi="Arial" w:cs="Arial"/>
          <w:sz w:val="22"/>
          <w:szCs w:val="22"/>
          <w:lang w:val="es-ES_tradnl"/>
        </w:rPr>
        <w:t xml:space="preserve"> </w:t>
      </w:r>
      <w:r w:rsidR="00AA47FA" w:rsidRPr="00A26052">
        <w:rPr>
          <w:rFonts w:ascii="Arial" w:eastAsia="Calibri" w:hAnsi="Arial" w:cs="Arial"/>
          <w:sz w:val="22"/>
          <w:szCs w:val="22"/>
          <w:lang w:val="es-ES_tradnl"/>
        </w:rPr>
        <w:t>por lo menos dos</w:t>
      </w:r>
      <w:r w:rsidR="00857638" w:rsidRPr="00A26052">
        <w:rPr>
          <w:rFonts w:ascii="Arial" w:eastAsia="Calibri" w:hAnsi="Arial" w:cs="Arial"/>
          <w:sz w:val="22"/>
          <w:szCs w:val="22"/>
          <w:lang w:val="es-ES_tradnl"/>
        </w:rPr>
        <w:t xml:space="preserve"> (2)</w:t>
      </w:r>
      <w:r w:rsidR="00AA47FA" w:rsidRPr="00A26052">
        <w:rPr>
          <w:rFonts w:ascii="Arial" w:eastAsia="Calibri" w:hAnsi="Arial" w:cs="Arial"/>
          <w:sz w:val="22"/>
          <w:szCs w:val="22"/>
          <w:lang w:val="es-ES_tradnl"/>
        </w:rPr>
        <w:t xml:space="preserve"> mipymes hayan manifestado su interés.</w:t>
      </w:r>
    </w:p>
    <w:p w14:paraId="065EDECD" w14:textId="7D4261AC" w:rsidR="00597516" w:rsidRPr="00A26052" w:rsidRDefault="00AA47FA" w:rsidP="009A2B60">
      <w:pPr>
        <w:spacing w:before="120" w:line="276" w:lineRule="auto"/>
        <w:ind w:firstLine="709"/>
        <w:jc w:val="both"/>
        <w:rPr>
          <w:rFonts w:ascii="Arial" w:eastAsia="Calibri" w:hAnsi="Arial" w:cs="Arial"/>
          <w:sz w:val="22"/>
          <w:szCs w:val="22"/>
          <w:lang w:val="es-ES_tradnl"/>
        </w:rPr>
      </w:pPr>
      <w:proofErr w:type="spellStart"/>
      <w:r w:rsidRPr="00A26052">
        <w:rPr>
          <w:rFonts w:ascii="Arial" w:eastAsia="Calibri" w:hAnsi="Arial" w:cs="Arial"/>
          <w:sz w:val="22"/>
          <w:szCs w:val="22"/>
          <w:lang w:val="es-ES_tradnl"/>
        </w:rPr>
        <w:t>iii</w:t>
      </w:r>
      <w:proofErr w:type="spellEnd"/>
      <w:r w:rsidRPr="00A26052">
        <w:rPr>
          <w:rFonts w:ascii="Arial" w:eastAsia="Calibri" w:hAnsi="Arial" w:cs="Arial"/>
          <w:sz w:val="22"/>
          <w:szCs w:val="22"/>
          <w:lang w:val="es-ES_tradnl"/>
        </w:rPr>
        <w:t xml:space="preserve">) Determina que uno de los parámetros que deberá tener en cuenta el gobierno nacional para </w:t>
      </w:r>
      <w:r w:rsidR="001858C9" w:rsidRPr="00A26052">
        <w:rPr>
          <w:rFonts w:ascii="Arial" w:eastAsia="Calibri" w:hAnsi="Arial" w:cs="Arial"/>
          <w:sz w:val="22"/>
          <w:szCs w:val="22"/>
          <w:lang w:val="es-ES_tradnl"/>
        </w:rPr>
        <w:t>reglamentar</w:t>
      </w:r>
      <w:r w:rsidRPr="00A26052">
        <w:rPr>
          <w:rFonts w:ascii="Arial" w:eastAsia="Calibri" w:hAnsi="Arial" w:cs="Arial"/>
          <w:sz w:val="22"/>
          <w:szCs w:val="22"/>
          <w:lang w:val="es-ES_tradnl"/>
        </w:rPr>
        <w:t xml:space="preserve"> la mate</w:t>
      </w:r>
      <w:r w:rsidR="00400A1B" w:rsidRPr="00A26052">
        <w:rPr>
          <w:rFonts w:ascii="Arial" w:eastAsia="Calibri" w:hAnsi="Arial" w:cs="Arial"/>
          <w:sz w:val="22"/>
          <w:szCs w:val="22"/>
          <w:lang w:val="es-ES_tradnl"/>
        </w:rPr>
        <w:t xml:space="preserve">ria </w:t>
      </w:r>
      <w:r w:rsidR="006A6D7B" w:rsidRPr="00A26052">
        <w:rPr>
          <w:rFonts w:ascii="Arial" w:eastAsia="Calibri" w:hAnsi="Arial" w:cs="Arial"/>
          <w:sz w:val="22"/>
          <w:szCs w:val="22"/>
          <w:lang w:val="es-ES_tradnl"/>
        </w:rPr>
        <w:t>es el cumplimiento de</w:t>
      </w:r>
      <w:r w:rsidR="00400A1B" w:rsidRPr="00A26052">
        <w:rPr>
          <w:rFonts w:ascii="Arial" w:eastAsia="Calibri" w:hAnsi="Arial" w:cs="Arial"/>
          <w:sz w:val="22"/>
          <w:szCs w:val="22"/>
          <w:lang w:val="es-ES_tradnl"/>
        </w:rPr>
        <w:t xml:space="preserve"> los compromisos internacionales vigentes. Es decir que se deberán considerar las estipulaciones</w:t>
      </w:r>
      <w:r w:rsidR="00597516" w:rsidRPr="00A26052">
        <w:rPr>
          <w:rFonts w:ascii="Arial" w:eastAsia="Calibri" w:hAnsi="Arial" w:cs="Arial"/>
          <w:sz w:val="22"/>
          <w:szCs w:val="22"/>
          <w:lang w:val="es-ES_tradnl"/>
        </w:rPr>
        <w:t xml:space="preserve"> contenidas en los tratados comerciales suscritos entre Colombia y otros Estados.</w:t>
      </w:r>
    </w:p>
    <w:p w14:paraId="7C504D48" w14:textId="74451E22" w:rsidR="00D175B2" w:rsidRPr="00A26052" w:rsidRDefault="00597516" w:rsidP="009A2B60">
      <w:pPr>
        <w:spacing w:before="120" w:line="276" w:lineRule="auto"/>
        <w:ind w:firstLine="709"/>
        <w:jc w:val="both"/>
        <w:rPr>
          <w:rFonts w:ascii="Arial" w:eastAsia="Calibri" w:hAnsi="Arial" w:cs="Arial"/>
          <w:sz w:val="22"/>
          <w:szCs w:val="22"/>
          <w:lang w:val="es-ES_tradnl"/>
        </w:rPr>
      </w:pPr>
      <w:proofErr w:type="spellStart"/>
      <w:r w:rsidRPr="00A26052">
        <w:rPr>
          <w:rFonts w:ascii="Arial" w:eastAsia="Calibri" w:hAnsi="Arial" w:cs="Arial"/>
          <w:sz w:val="22"/>
          <w:szCs w:val="22"/>
          <w:lang w:val="es-ES_tradnl"/>
        </w:rPr>
        <w:t>iv</w:t>
      </w:r>
      <w:proofErr w:type="spellEnd"/>
      <w:r w:rsidRPr="00A26052">
        <w:rPr>
          <w:rFonts w:ascii="Arial" w:eastAsia="Calibri" w:hAnsi="Arial" w:cs="Arial"/>
          <w:sz w:val="22"/>
          <w:szCs w:val="22"/>
          <w:lang w:val="es-ES_tradnl"/>
        </w:rPr>
        <w:t>)</w:t>
      </w:r>
      <w:r w:rsidR="00AA31C5" w:rsidRPr="00A26052">
        <w:rPr>
          <w:rFonts w:ascii="Arial" w:eastAsia="Calibri" w:hAnsi="Arial" w:cs="Arial"/>
          <w:sz w:val="22"/>
          <w:szCs w:val="22"/>
          <w:lang w:val="es-ES_tradnl"/>
        </w:rPr>
        <w:t xml:space="preserve"> </w:t>
      </w:r>
      <w:r w:rsidR="00244FC3" w:rsidRPr="00A26052">
        <w:rPr>
          <w:rFonts w:ascii="Arial" w:eastAsia="Calibri" w:hAnsi="Arial" w:cs="Arial"/>
          <w:sz w:val="22"/>
          <w:szCs w:val="22"/>
          <w:lang w:val="es-ES_tradnl"/>
        </w:rPr>
        <w:t>Establece que</w:t>
      </w:r>
      <w:r w:rsidR="001858C9" w:rsidRPr="00A26052">
        <w:rPr>
          <w:rFonts w:ascii="Arial" w:eastAsia="Calibri" w:hAnsi="Arial" w:cs="Arial"/>
          <w:sz w:val="22"/>
          <w:szCs w:val="22"/>
          <w:lang w:val="es-ES_tradnl"/>
        </w:rPr>
        <w:t>,</w:t>
      </w:r>
      <w:r w:rsidR="00244FC3" w:rsidRPr="00A26052">
        <w:rPr>
          <w:rFonts w:ascii="Arial" w:eastAsia="Calibri" w:hAnsi="Arial" w:cs="Arial"/>
          <w:sz w:val="22"/>
          <w:szCs w:val="22"/>
          <w:lang w:val="es-ES_tradnl"/>
        </w:rPr>
        <w:t xml:space="preserve"> en el reglamento</w:t>
      </w:r>
      <w:r w:rsidR="001858C9" w:rsidRPr="00A26052">
        <w:rPr>
          <w:rFonts w:ascii="Arial" w:eastAsia="Calibri" w:hAnsi="Arial" w:cs="Arial"/>
          <w:sz w:val="22"/>
          <w:szCs w:val="22"/>
          <w:lang w:val="es-ES_tradnl"/>
        </w:rPr>
        <w:t>,</w:t>
      </w:r>
      <w:r w:rsidR="00244FC3" w:rsidRPr="00A26052">
        <w:rPr>
          <w:rFonts w:ascii="Arial" w:eastAsia="Calibri" w:hAnsi="Arial" w:cs="Arial"/>
          <w:sz w:val="22"/>
          <w:szCs w:val="22"/>
          <w:lang w:val="es-ES_tradnl"/>
        </w:rPr>
        <w:t xml:space="preserve"> el gobierno nacional podría</w:t>
      </w:r>
      <w:r w:rsidR="00D175B2" w:rsidRPr="00A26052">
        <w:rPr>
          <w:rFonts w:ascii="Arial" w:eastAsia="Calibri" w:hAnsi="Arial" w:cs="Arial"/>
          <w:sz w:val="22"/>
          <w:szCs w:val="22"/>
          <w:lang w:val="es-ES_tradnl"/>
        </w:rPr>
        <w:t xml:space="preserve"> establecer condiciones preferenciales para los bienes y servicios producidos por las mipymes</w:t>
      </w:r>
      <w:r w:rsidR="00D26DE7" w:rsidRPr="00A26052">
        <w:rPr>
          <w:rFonts w:ascii="Arial" w:eastAsia="Calibri" w:hAnsi="Arial" w:cs="Arial"/>
          <w:sz w:val="22"/>
          <w:szCs w:val="22"/>
          <w:lang w:val="es-ES_tradnl"/>
        </w:rPr>
        <w:t xml:space="preserve">, sin contrariar los </w:t>
      </w:r>
      <w:r w:rsidR="00AA31C5" w:rsidRPr="00A26052">
        <w:rPr>
          <w:rFonts w:ascii="Arial" w:eastAsia="Calibri" w:hAnsi="Arial" w:cs="Arial"/>
          <w:sz w:val="22"/>
          <w:szCs w:val="22"/>
          <w:lang w:val="es-ES_tradnl"/>
        </w:rPr>
        <w:t>compromisos internacionales</w:t>
      </w:r>
      <w:r w:rsidR="00D26DE7" w:rsidRPr="00A26052">
        <w:rPr>
          <w:rFonts w:ascii="Arial" w:eastAsia="Calibri" w:hAnsi="Arial" w:cs="Arial"/>
          <w:sz w:val="22"/>
          <w:szCs w:val="22"/>
          <w:lang w:val="es-ES_tradnl"/>
        </w:rPr>
        <w:t xml:space="preserve"> vigentes.</w:t>
      </w:r>
    </w:p>
    <w:p w14:paraId="45F36E6C" w14:textId="3D4CFBCB" w:rsidR="005A1F51" w:rsidRPr="00A26052" w:rsidRDefault="00D175B2" w:rsidP="009A2B60">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v) </w:t>
      </w:r>
      <w:r w:rsidR="009A2B60" w:rsidRPr="00A26052">
        <w:rPr>
          <w:rFonts w:ascii="Arial" w:eastAsia="Calibri" w:hAnsi="Arial" w:cs="Arial"/>
          <w:sz w:val="22"/>
          <w:szCs w:val="22"/>
          <w:lang w:val="es-ES_tradnl"/>
        </w:rPr>
        <w:t xml:space="preserve"> </w:t>
      </w:r>
      <w:r w:rsidR="00AA31C5" w:rsidRPr="00A26052">
        <w:rPr>
          <w:rFonts w:ascii="Arial" w:eastAsia="Calibri" w:hAnsi="Arial" w:cs="Arial"/>
          <w:sz w:val="22"/>
          <w:szCs w:val="22"/>
          <w:lang w:val="es-ES_tradnl"/>
        </w:rPr>
        <w:t>Aclara que tanto las convocatorias limitadas a mipymes, como</w:t>
      </w:r>
      <w:r w:rsidR="00977F52" w:rsidRPr="00A26052">
        <w:rPr>
          <w:rFonts w:ascii="Arial" w:eastAsia="Calibri" w:hAnsi="Arial" w:cs="Arial"/>
          <w:sz w:val="22"/>
          <w:szCs w:val="22"/>
          <w:lang w:val="es-ES_tradnl"/>
        </w:rPr>
        <w:t xml:space="preserve"> las condiciones preferenciales a favor de los bienes y servicios producidos por estas, no es óbice para que deban cumplir l</w:t>
      </w:r>
      <w:r w:rsidR="005A1F51" w:rsidRPr="00A26052">
        <w:rPr>
          <w:rFonts w:ascii="Arial" w:eastAsia="Calibri" w:hAnsi="Arial" w:cs="Arial"/>
          <w:sz w:val="22"/>
          <w:szCs w:val="22"/>
          <w:lang w:val="es-ES_tradnl"/>
        </w:rPr>
        <w:t xml:space="preserve">as </w:t>
      </w:r>
      <w:r w:rsidR="00AD30DB" w:rsidRPr="00A26052">
        <w:rPr>
          <w:rFonts w:ascii="Arial" w:eastAsia="Calibri" w:hAnsi="Arial" w:cs="Arial"/>
          <w:sz w:val="22"/>
          <w:szCs w:val="22"/>
          <w:lang w:val="es-ES_tradnl"/>
        </w:rPr>
        <w:t>exigencias</w:t>
      </w:r>
      <w:r w:rsidR="005A1F51" w:rsidRPr="00A26052">
        <w:rPr>
          <w:rFonts w:ascii="Arial" w:eastAsia="Calibri" w:hAnsi="Arial" w:cs="Arial"/>
          <w:sz w:val="22"/>
          <w:szCs w:val="22"/>
          <w:lang w:val="es-ES_tradnl"/>
        </w:rPr>
        <w:t xml:space="preserve"> técnicas y económicas </w:t>
      </w:r>
      <w:r w:rsidR="00AD30DB" w:rsidRPr="00A26052">
        <w:rPr>
          <w:rFonts w:ascii="Arial" w:eastAsia="Calibri" w:hAnsi="Arial" w:cs="Arial"/>
          <w:sz w:val="22"/>
          <w:szCs w:val="22"/>
          <w:lang w:val="es-ES_tradnl"/>
        </w:rPr>
        <w:t>d</w:t>
      </w:r>
      <w:r w:rsidR="005A1F51" w:rsidRPr="00A26052">
        <w:rPr>
          <w:rFonts w:ascii="Arial" w:eastAsia="Calibri" w:hAnsi="Arial" w:cs="Arial"/>
          <w:sz w:val="22"/>
          <w:szCs w:val="22"/>
          <w:lang w:val="es-ES_tradnl"/>
        </w:rPr>
        <w:t>el proceso de selección.</w:t>
      </w:r>
    </w:p>
    <w:p w14:paraId="41608704" w14:textId="37352778" w:rsidR="009E7068" w:rsidRPr="00A26052" w:rsidRDefault="005A1F51" w:rsidP="003A058E">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vi) </w:t>
      </w:r>
      <w:r w:rsidR="002C0589" w:rsidRPr="00A26052">
        <w:rPr>
          <w:rFonts w:ascii="Arial" w:eastAsia="Calibri" w:hAnsi="Arial" w:cs="Arial"/>
          <w:sz w:val="22"/>
          <w:szCs w:val="22"/>
          <w:lang w:val="es-ES_tradnl"/>
        </w:rPr>
        <w:t>Señala que el reglamento que expida el gobierno nacional</w:t>
      </w:r>
      <w:r w:rsidR="00446709" w:rsidRPr="00A26052">
        <w:rPr>
          <w:rFonts w:ascii="Arial" w:eastAsia="Calibri" w:hAnsi="Arial" w:cs="Arial"/>
          <w:sz w:val="22"/>
          <w:szCs w:val="22"/>
          <w:lang w:val="es-ES_tradnl"/>
        </w:rPr>
        <w:t>, además de las convocatorias limitadas a mipymes, deberá contener disposiciones normativas que permitan la provisión de bienes y servicios, a través de la celebración de contratos estatales</w:t>
      </w:r>
      <w:r w:rsidR="00C04F1B" w:rsidRPr="00A26052">
        <w:rPr>
          <w:rFonts w:ascii="Arial" w:eastAsia="Calibri" w:hAnsi="Arial" w:cs="Arial"/>
          <w:sz w:val="22"/>
          <w:szCs w:val="22"/>
          <w:lang w:val="es-ES_tradnl"/>
        </w:rPr>
        <w:t xml:space="preserve"> con </w:t>
      </w:r>
      <w:r w:rsidR="00446709" w:rsidRPr="00A26052">
        <w:rPr>
          <w:rFonts w:ascii="Arial" w:eastAsia="Calibri" w:hAnsi="Arial" w:cs="Arial"/>
          <w:sz w:val="22"/>
          <w:szCs w:val="22"/>
          <w:lang w:val="es-ES_tradnl"/>
        </w:rPr>
        <w:t>algunas personas que gozan de especial protección constitucional.</w:t>
      </w:r>
      <w:r w:rsidR="00206F4D" w:rsidRPr="00A26052">
        <w:rPr>
          <w:rFonts w:ascii="Arial" w:eastAsia="Calibri" w:hAnsi="Arial" w:cs="Arial"/>
          <w:sz w:val="22"/>
          <w:szCs w:val="22"/>
          <w:lang w:val="es-ES_tradnl"/>
        </w:rPr>
        <w:t xml:space="preserve"> </w:t>
      </w:r>
      <w:r w:rsidR="00C04F1B" w:rsidRPr="00A26052">
        <w:rPr>
          <w:rFonts w:ascii="Arial" w:eastAsia="Calibri" w:hAnsi="Arial" w:cs="Arial"/>
          <w:sz w:val="22"/>
          <w:szCs w:val="22"/>
          <w:lang w:val="es-ES_tradnl"/>
        </w:rPr>
        <w:t>Entre tales personas se encuentran</w:t>
      </w:r>
      <w:r w:rsidR="00785FB2" w:rsidRPr="00A26052">
        <w:rPr>
          <w:rFonts w:ascii="Arial" w:eastAsia="Calibri" w:hAnsi="Arial" w:cs="Arial"/>
          <w:sz w:val="22"/>
          <w:szCs w:val="22"/>
          <w:lang w:val="es-ES_tradnl"/>
        </w:rPr>
        <w:t xml:space="preserve"> las que tengan condiciones de pobreza extrema, las desplazadas por la violencia</w:t>
      </w:r>
      <w:r w:rsidR="007E7B55" w:rsidRPr="00A26052">
        <w:rPr>
          <w:rFonts w:ascii="Arial" w:eastAsia="Calibri" w:hAnsi="Arial" w:cs="Arial"/>
          <w:sz w:val="22"/>
          <w:szCs w:val="22"/>
          <w:lang w:val="es-ES_tradnl"/>
        </w:rPr>
        <w:t xml:space="preserve"> y </w:t>
      </w:r>
      <w:r w:rsidR="00452A7C" w:rsidRPr="00A26052">
        <w:rPr>
          <w:rFonts w:ascii="Arial" w:eastAsia="Calibri" w:hAnsi="Arial" w:cs="Arial"/>
          <w:sz w:val="22"/>
          <w:szCs w:val="22"/>
          <w:lang w:val="es-ES_tradnl"/>
        </w:rPr>
        <w:t>quienes estén en procesos de reintegración o reincorporación, entre otr</w:t>
      </w:r>
      <w:r w:rsidR="00F47026" w:rsidRPr="00A26052">
        <w:rPr>
          <w:rFonts w:ascii="Arial" w:eastAsia="Calibri" w:hAnsi="Arial" w:cs="Arial"/>
          <w:sz w:val="22"/>
          <w:szCs w:val="22"/>
          <w:lang w:val="es-ES_tradnl"/>
        </w:rPr>
        <w:t>a</w:t>
      </w:r>
      <w:r w:rsidR="00452A7C" w:rsidRPr="00A26052">
        <w:rPr>
          <w:rFonts w:ascii="Arial" w:eastAsia="Calibri" w:hAnsi="Arial" w:cs="Arial"/>
          <w:sz w:val="22"/>
          <w:szCs w:val="22"/>
          <w:lang w:val="es-ES_tradnl"/>
        </w:rPr>
        <w:t>s que incluya el reglamento.</w:t>
      </w:r>
    </w:p>
    <w:p w14:paraId="37CB71F7" w14:textId="253BDB69" w:rsidR="003351FF" w:rsidRPr="00A26052" w:rsidRDefault="003351FF" w:rsidP="003A058E">
      <w:pPr>
        <w:spacing w:before="120" w:line="276" w:lineRule="auto"/>
        <w:ind w:firstLine="709"/>
        <w:jc w:val="both"/>
        <w:rPr>
          <w:rFonts w:ascii="Arial" w:eastAsia="Calibri" w:hAnsi="Arial" w:cs="Arial"/>
          <w:sz w:val="22"/>
          <w:szCs w:val="22"/>
          <w:lang w:val="es-ES_tradnl"/>
        </w:rPr>
      </w:pPr>
      <w:proofErr w:type="spellStart"/>
      <w:r w:rsidRPr="00A26052">
        <w:rPr>
          <w:rFonts w:ascii="Arial" w:eastAsia="Calibri" w:hAnsi="Arial" w:cs="Arial"/>
          <w:sz w:val="22"/>
          <w:szCs w:val="22"/>
          <w:lang w:val="es-ES_tradnl"/>
        </w:rPr>
        <w:t>vii</w:t>
      </w:r>
      <w:proofErr w:type="spellEnd"/>
      <w:r w:rsidRPr="00A26052">
        <w:rPr>
          <w:rFonts w:ascii="Arial" w:eastAsia="Calibri" w:hAnsi="Arial" w:cs="Arial"/>
          <w:sz w:val="22"/>
          <w:szCs w:val="22"/>
          <w:lang w:val="es-ES_tradnl"/>
        </w:rPr>
        <w:t>) Precisa que la posibilidad de participar en convocatorias limitadas a mipymes se encuentra condicionada a que estas</w:t>
      </w:r>
      <w:r w:rsidR="000C084E" w:rsidRPr="00A26052">
        <w:rPr>
          <w:rFonts w:ascii="Arial" w:eastAsia="Calibri" w:hAnsi="Arial" w:cs="Arial"/>
          <w:sz w:val="22"/>
          <w:szCs w:val="22"/>
          <w:lang w:val="es-ES_tradnl"/>
        </w:rPr>
        <w:t xml:space="preserve"> acrediten como mínimo un año de existencia, con el certificado expedido por la cámara de comercio respectiva</w:t>
      </w:r>
      <w:r w:rsidR="00A84935" w:rsidRPr="00A26052">
        <w:rPr>
          <w:rFonts w:ascii="Arial" w:eastAsia="Calibri" w:hAnsi="Arial" w:cs="Arial"/>
          <w:sz w:val="22"/>
          <w:szCs w:val="22"/>
          <w:lang w:val="es-ES_tradnl"/>
        </w:rPr>
        <w:t xml:space="preserve"> o por la autoridad que sea competente para ello.</w:t>
      </w:r>
    </w:p>
    <w:p w14:paraId="1B793D8D" w14:textId="6CEF958B" w:rsidR="00DB387B" w:rsidRPr="00A26052" w:rsidRDefault="00A84935" w:rsidP="00DB387B">
      <w:pPr>
        <w:spacing w:before="120" w:line="276" w:lineRule="auto"/>
        <w:ind w:firstLine="709"/>
        <w:jc w:val="both"/>
        <w:rPr>
          <w:rFonts w:ascii="Arial" w:eastAsia="Calibri" w:hAnsi="Arial" w:cs="Arial"/>
          <w:sz w:val="22"/>
          <w:szCs w:val="22"/>
          <w:lang w:val="es-ES_tradnl"/>
        </w:rPr>
      </w:pPr>
      <w:proofErr w:type="spellStart"/>
      <w:r w:rsidRPr="00A26052">
        <w:rPr>
          <w:rFonts w:ascii="Arial" w:eastAsia="Calibri" w:hAnsi="Arial" w:cs="Arial"/>
          <w:sz w:val="22"/>
          <w:szCs w:val="22"/>
          <w:lang w:val="es-ES_tradnl"/>
        </w:rPr>
        <w:t>viii</w:t>
      </w:r>
      <w:proofErr w:type="spellEnd"/>
      <w:r w:rsidRPr="00A26052">
        <w:rPr>
          <w:rFonts w:ascii="Arial" w:eastAsia="Calibri" w:hAnsi="Arial" w:cs="Arial"/>
          <w:sz w:val="22"/>
          <w:szCs w:val="22"/>
          <w:lang w:val="es-ES_tradnl"/>
        </w:rPr>
        <w:t xml:space="preserve">) Hace </w:t>
      </w:r>
      <w:r w:rsidR="00DE4E67" w:rsidRPr="00A26052">
        <w:rPr>
          <w:rFonts w:ascii="Arial" w:eastAsia="Calibri" w:hAnsi="Arial" w:cs="Arial"/>
          <w:sz w:val="22"/>
          <w:szCs w:val="22"/>
          <w:lang w:val="es-ES_tradnl"/>
        </w:rPr>
        <w:t xml:space="preserve">obligatorio el cumplimiento </w:t>
      </w:r>
      <w:r w:rsidR="00772E2A" w:rsidRPr="00A26052">
        <w:rPr>
          <w:rFonts w:ascii="Arial" w:eastAsia="Calibri" w:hAnsi="Arial" w:cs="Arial"/>
          <w:sz w:val="22"/>
          <w:szCs w:val="22"/>
          <w:lang w:val="es-ES_tradnl"/>
        </w:rPr>
        <w:t>de lo dispuesto en los artículos 90 a 95 de la Ley 418</w:t>
      </w:r>
      <w:r w:rsidR="00AE1713" w:rsidRPr="00A26052">
        <w:rPr>
          <w:rFonts w:ascii="Arial" w:eastAsia="Calibri" w:hAnsi="Arial" w:cs="Arial"/>
          <w:sz w:val="22"/>
          <w:szCs w:val="22"/>
          <w:lang w:val="es-ES_tradnl"/>
        </w:rPr>
        <w:t xml:space="preserve"> de 1997</w:t>
      </w:r>
      <w:r w:rsidR="00496AC4" w:rsidRPr="00A26052">
        <w:rPr>
          <w:rFonts w:ascii="Arial" w:eastAsia="Calibri" w:hAnsi="Arial" w:cs="Arial"/>
          <w:sz w:val="22"/>
          <w:szCs w:val="22"/>
          <w:lang w:val="es-ES_tradnl"/>
        </w:rPr>
        <w:t xml:space="preserve"> –</w:t>
      </w:r>
      <w:r w:rsidR="00FA66F9" w:rsidRPr="00A26052">
        <w:rPr>
          <w:rFonts w:ascii="Arial" w:eastAsia="Calibri" w:hAnsi="Arial" w:cs="Arial"/>
          <w:sz w:val="22"/>
          <w:szCs w:val="22"/>
          <w:lang w:val="es-ES_tradnl"/>
        </w:rPr>
        <w:t xml:space="preserve">normas </w:t>
      </w:r>
      <w:r w:rsidR="00496AC4" w:rsidRPr="00A26052">
        <w:rPr>
          <w:rFonts w:ascii="Arial" w:eastAsia="Calibri" w:hAnsi="Arial" w:cs="Arial"/>
          <w:sz w:val="22"/>
          <w:szCs w:val="22"/>
          <w:lang w:val="es-ES_tradnl"/>
        </w:rPr>
        <w:t>que establecen la obligación de declarar la caducidad y la liquidación unilateral</w:t>
      </w:r>
      <w:r w:rsidR="00A46A5F" w:rsidRPr="00A26052">
        <w:rPr>
          <w:rFonts w:ascii="Arial" w:eastAsia="Calibri" w:hAnsi="Arial" w:cs="Arial"/>
          <w:sz w:val="22"/>
          <w:szCs w:val="22"/>
          <w:lang w:val="es-ES_tradnl"/>
        </w:rPr>
        <w:t xml:space="preserve"> cuando el contratista beneficie grupos armados </w:t>
      </w:r>
      <w:r w:rsidR="005F7DE2" w:rsidRPr="00A26052">
        <w:rPr>
          <w:rFonts w:ascii="Arial" w:eastAsia="Calibri" w:hAnsi="Arial" w:cs="Arial"/>
          <w:sz w:val="22"/>
          <w:szCs w:val="22"/>
          <w:lang w:val="es-ES_tradnl"/>
        </w:rPr>
        <w:t>organizados al margen de la ley–</w:t>
      </w:r>
      <w:r w:rsidR="00AE1713" w:rsidRPr="00A26052">
        <w:rPr>
          <w:rFonts w:ascii="Arial" w:eastAsia="Calibri" w:hAnsi="Arial" w:cs="Arial"/>
          <w:sz w:val="22"/>
          <w:szCs w:val="22"/>
          <w:lang w:val="es-ES_tradnl"/>
        </w:rPr>
        <w:t xml:space="preserve"> en la ejecución de los contratos celebrados </w:t>
      </w:r>
      <w:r w:rsidR="00496AC4" w:rsidRPr="00A26052">
        <w:rPr>
          <w:rFonts w:ascii="Arial" w:eastAsia="Calibri" w:hAnsi="Arial" w:cs="Arial"/>
          <w:sz w:val="22"/>
          <w:szCs w:val="22"/>
          <w:lang w:val="es-ES_tradnl"/>
        </w:rPr>
        <w:t>en virtud del artículo 34 de la Ley 2069 de 2020.</w:t>
      </w:r>
    </w:p>
    <w:p w14:paraId="1909D750" w14:textId="6BF633C4" w:rsidR="00F128D9" w:rsidRPr="00A26052" w:rsidRDefault="00BC30B3" w:rsidP="00772AAF">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Luego de explicar </w:t>
      </w:r>
      <w:r w:rsidR="009715E1" w:rsidRPr="00A26052">
        <w:rPr>
          <w:rFonts w:ascii="Arial" w:eastAsia="Calibri" w:hAnsi="Arial" w:cs="Arial"/>
          <w:sz w:val="22"/>
          <w:szCs w:val="22"/>
          <w:lang w:val="es-ES_tradnl"/>
        </w:rPr>
        <w:t xml:space="preserve">las reglas incluidas en la nueva regulación de la promoción del desarrollo en la contratación estatal, </w:t>
      </w:r>
      <w:r w:rsidR="0062267E" w:rsidRPr="00A26052">
        <w:rPr>
          <w:rFonts w:ascii="Arial" w:eastAsia="Calibri" w:hAnsi="Arial" w:cs="Arial"/>
          <w:sz w:val="22"/>
          <w:szCs w:val="22"/>
          <w:lang w:val="es-ES_tradnl"/>
        </w:rPr>
        <w:t>previstas</w:t>
      </w:r>
      <w:r w:rsidR="009715E1" w:rsidRPr="00A26052">
        <w:rPr>
          <w:rFonts w:ascii="Arial" w:eastAsia="Calibri" w:hAnsi="Arial" w:cs="Arial"/>
          <w:sz w:val="22"/>
          <w:szCs w:val="22"/>
          <w:lang w:val="es-ES_tradnl"/>
        </w:rPr>
        <w:t xml:space="preserve"> en el artículo 34 de la Ley 2069 de 2020</w:t>
      </w:r>
      <w:r w:rsidR="00FA66F9" w:rsidRPr="00A26052">
        <w:rPr>
          <w:rFonts w:ascii="Arial" w:eastAsia="Calibri" w:hAnsi="Arial" w:cs="Arial"/>
          <w:sz w:val="22"/>
          <w:szCs w:val="22"/>
          <w:lang w:val="es-ES_tradnl"/>
        </w:rPr>
        <w:t>,</w:t>
      </w:r>
      <w:r w:rsidR="000F4A7F" w:rsidRPr="00A26052">
        <w:rPr>
          <w:rFonts w:ascii="Arial" w:eastAsia="Calibri" w:hAnsi="Arial" w:cs="Arial"/>
          <w:sz w:val="22"/>
          <w:szCs w:val="22"/>
          <w:lang w:val="es-ES_tradnl"/>
        </w:rPr>
        <w:t xml:space="preserve"> y habiendo aclarado que dicha norma </w:t>
      </w:r>
      <w:r w:rsidR="00735CA5" w:rsidRPr="00A26052">
        <w:rPr>
          <w:rFonts w:ascii="Arial" w:eastAsia="Calibri" w:hAnsi="Arial" w:cs="Arial"/>
          <w:sz w:val="22"/>
          <w:szCs w:val="22"/>
          <w:lang w:val="es-ES_tradnl"/>
        </w:rPr>
        <w:t>modificó</w:t>
      </w:r>
      <w:r w:rsidR="000F4A7F" w:rsidRPr="00A26052">
        <w:rPr>
          <w:rFonts w:ascii="Arial" w:eastAsia="Calibri" w:hAnsi="Arial" w:cs="Arial"/>
          <w:sz w:val="22"/>
          <w:szCs w:val="22"/>
          <w:lang w:val="es-ES_tradnl"/>
        </w:rPr>
        <w:t xml:space="preserve"> el artículo 12 de la Ley 1150 de 2007, conviene preguntarse qué sucede con la vigencia del artículo</w:t>
      </w:r>
      <w:r w:rsidR="00425B2E" w:rsidRPr="00A26052">
        <w:rPr>
          <w:rFonts w:ascii="Arial" w:eastAsia="Calibri" w:hAnsi="Arial" w:cs="Arial"/>
          <w:sz w:val="22"/>
          <w:szCs w:val="22"/>
          <w:lang w:val="es-ES_tradnl"/>
        </w:rPr>
        <w:t xml:space="preserve"> 2.2.1.2.4.2.2. del Decreto 1082 de 2015</w:t>
      </w:r>
      <w:r w:rsidR="00384494" w:rsidRPr="00A26052">
        <w:rPr>
          <w:rFonts w:ascii="Arial" w:eastAsia="Calibri" w:hAnsi="Arial" w:cs="Arial"/>
          <w:sz w:val="22"/>
          <w:szCs w:val="22"/>
          <w:lang w:val="es-ES_tradnl"/>
        </w:rPr>
        <w:t>, que</w:t>
      </w:r>
      <w:r w:rsidR="00735CA5" w:rsidRPr="00A26052">
        <w:rPr>
          <w:rFonts w:ascii="Arial" w:eastAsia="Calibri" w:hAnsi="Arial" w:cs="Arial"/>
          <w:sz w:val="22"/>
          <w:szCs w:val="22"/>
          <w:lang w:val="es-ES_tradnl"/>
        </w:rPr>
        <w:t>,</w:t>
      </w:r>
      <w:r w:rsidR="00384494" w:rsidRPr="00A26052">
        <w:rPr>
          <w:rFonts w:ascii="Arial" w:eastAsia="Calibri" w:hAnsi="Arial" w:cs="Arial"/>
          <w:sz w:val="22"/>
          <w:szCs w:val="22"/>
          <w:lang w:val="es-ES_tradnl"/>
        </w:rPr>
        <w:t xml:space="preserve"> hasta la expedición de la Ley 2069 de 2020</w:t>
      </w:r>
      <w:r w:rsidR="00735CA5" w:rsidRPr="00A26052">
        <w:rPr>
          <w:rFonts w:ascii="Arial" w:eastAsia="Calibri" w:hAnsi="Arial" w:cs="Arial"/>
          <w:sz w:val="22"/>
          <w:szCs w:val="22"/>
          <w:lang w:val="es-ES_tradnl"/>
        </w:rPr>
        <w:t>,</w:t>
      </w:r>
      <w:r w:rsidR="00384494" w:rsidRPr="00A26052">
        <w:rPr>
          <w:rFonts w:ascii="Arial" w:eastAsia="Calibri" w:hAnsi="Arial" w:cs="Arial"/>
          <w:sz w:val="22"/>
          <w:szCs w:val="22"/>
          <w:lang w:val="es-ES_tradnl"/>
        </w:rPr>
        <w:t xml:space="preserve"> </w:t>
      </w:r>
      <w:r w:rsidR="000323C6" w:rsidRPr="00A26052">
        <w:rPr>
          <w:rFonts w:ascii="Arial" w:eastAsia="Calibri" w:hAnsi="Arial" w:cs="Arial"/>
          <w:sz w:val="22"/>
          <w:szCs w:val="22"/>
          <w:lang w:val="es-ES_tradnl"/>
        </w:rPr>
        <w:t>regía</w:t>
      </w:r>
      <w:r w:rsidR="00384494" w:rsidRPr="00A26052">
        <w:rPr>
          <w:rFonts w:ascii="Arial" w:eastAsia="Calibri" w:hAnsi="Arial" w:cs="Arial"/>
          <w:sz w:val="22"/>
          <w:szCs w:val="22"/>
          <w:lang w:val="es-ES_tradnl"/>
        </w:rPr>
        <w:t xml:space="preserve"> las convocatorias </w:t>
      </w:r>
      <w:r w:rsidR="00384494" w:rsidRPr="00A26052">
        <w:rPr>
          <w:rFonts w:ascii="Arial" w:eastAsia="Calibri" w:hAnsi="Arial" w:cs="Arial"/>
          <w:sz w:val="22"/>
          <w:szCs w:val="22"/>
          <w:lang w:val="es-ES_tradnl"/>
        </w:rPr>
        <w:lastRenderedPageBreak/>
        <w:t>limitadas a mipymes.</w:t>
      </w:r>
      <w:r w:rsidR="009477BD" w:rsidRPr="00A26052">
        <w:rPr>
          <w:rFonts w:ascii="Arial" w:eastAsia="Calibri" w:hAnsi="Arial" w:cs="Arial"/>
          <w:sz w:val="22"/>
          <w:szCs w:val="22"/>
          <w:lang w:val="es-ES_tradnl"/>
        </w:rPr>
        <w:t xml:space="preserve"> En opinión de esta Agencia</w:t>
      </w:r>
      <w:r w:rsidR="000323C6" w:rsidRPr="00A26052">
        <w:rPr>
          <w:rFonts w:ascii="Arial" w:eastAsia="Calibri" w:hAnsi="Arial" w:cs="Arial"/>
          <w:sz w:val="22"/>
          <w:szCs w:val="22"/>
          <w:lang w:val="es-ES_tradnl"/>
        </w:rPr>
        <w:t>,</w:t>
      </w:r>
      <w:r w:rsidR="009477BD" w:rsidRPr="00A26052">
        <w:rPr>
          <w:rFonts w:ascii="Arial" w:eastAsia="Calibri" w:hAnsi="Arial" w:cs="Arial"/>
          <w:sz w:val="22"/>
          <w:szCs w:val="22"/>
          <w:lang w:val="es-ES_tradnl"/>
        </w:rPr>
        <w:t xml:space="preserve"> dicho artículo del Decreto reglamentario</w:t>
      </w:r>
      <w:r w:rsidR="00ED572F" w:rsidRPr="00A26052">
        <w:rPr>
          <w:rFonts w:ascii="Arial" w:eastAsia="Calibri" w:hAnsi="Arial" w:cs="Arial"/>
          <w:sz w:val="22"/>
          <w:szCs w:val="22"/>
          <w:lang w:val="es-ES_tradnl"/>
        </w:rPr>
        <w:t xml:space="preserve"> </w:t>
      </w:r>
      <w:r w:rsidR="00BF775D" w:rsidRPr="00A26052">
        <w:rPr>
          <w:rFonts w:ascii="Arial" w:eastAsia="Calibri" w:hAnsi="Arial" w:cs="Arial"/>
          <w:sz w:val="22"/>
          <w:szCs w:val="22"/>
          <w:lang w:val="es-ES_tradnl"/>
        </w:rPr>
        <w:t>no está vigente</w:t>
      </w:r>
      <w:r w:rsidR="00ED572F" w:rsidRPr="00A26052">
        <w:rPr>
          <w:rFonts w:ascii="Arial" w:eastAsia="Calibri" w:hAnsi="Arial" w:cs="Arial"/>
          <w:sz w:val="22"/>
          <w:szCs w:val="22"/>
          <w:lang w:val="es-ES_tradnl"/>
        </w:rPr>
        <w:t>, porque su contenido es contrario a</w:t>
      </w:r>
      <w:r w:rsidR="0062267E" w:rsidRPr="00A26052">
        <w:rPr>
          <w:rFonts w:ascii="Arial" w:eastAsia="Calibri" w:hAnsi="Arial" w:cs="Arial"/>
          <w:sz w:val="22"/>
          <w:szCs w:val="22"/>
          <w:lang w:val="es-ES_tradnl"/>
        </w:rPr>
        <w:t>l artículo 34 de la Ley 2069 de 2020. En tal sentido, ha perdido fuerza ejecutoria</w:t>
      </w:r>
      <w:r w:rsidR="00F802B0" w:rsidRPr="00A26052">
        <w:rPr>
          <w:rFonts w:ascii="Arial" w:eastAsia="Calibri" w:hAnsi="Arial" w:cs="Arial"/>
          <w:sz w:val="22"/>
          <w:szCs w:val="22"/>
          <w:lang w:val="es-ES_tradnl"/>
        </w:rPr>
        <w:t xml:space="preserve">, de conformidad con el artículo </w:t>
      </w:r>
      <w:r w:rsidR="007034D9" w:rsidRPr="00A26052">
        <w:rPr>
          <w:rFonts w:ascii="Arial" w:eastAsia="Calibri" w:hAnsi="Arial" w:cs="Arial"/>
          <w:sz w:val="22"/>
          <w:szCs w:val="22"/>
          <w:lang w:val="es-ES_tradnl"/>
        </w:rPr>
        <w:t>91, numeral 2, de la Ley 1437 de 2011</w:t>
      </w:r>
      <w:r w:rsidR="007936E2" w:rsidRPr="00A26052">
        <w:rPr>
          <w:rFonts w:ascii="Arial" w:eastAsia="Calibri" w:hAnsi="Arial" w:cs="Arial"/>
          <w:sz w:val="22"/>
          <w:szCs w:val="22"/>
          <w:lang w:val="es-ES_tradnl"/>
        </w:rPr>
        <w:t>, el cual establece que los actos administrativos –categoría que</w:t>
      </w:r>
      <w:r w:rsidR="00AD0861" w:rsidRPr="00A26052">
        <w:rPr>
          <w:rFonts w:ascii="Arial" w:eastAsia="Calibri" w:hAnsi="Arial" w:cs="Arial"/>
          <w:sz w:val="22"/>
          <w:szCs w:val="22"/>
          <w:lang w:val="es-ES_tradnl"/>
        </w:rPr>
        <w:t>,</w:t>
      </w:r>
      <w:r w:rsidR="004278D8" w:rsidRPr="00A26052">
        <w:rPr>
          <w:rFonts w:ascii="Arial" w:eastAsia="Calibri" w:hAnsi="Arial" w:cs="Arial"/>
          <w:sz w:val="22"/>
          <w:szCs w:val="22"/>
          <w:lang w:val="es-ES_tradnl"/>
        </w:rPr>
        <w:t xml:space="preserve"> como es sabido, </w:t>
      </w:r>
      <w:r w:rsidR="007936E2" w:rsidRPr="00A26052">
        <w:rPr>
          <w:rFonts w:ascii="Arial" w:eastAsia="Calibri" w:hAnsi="Arial" w:cs="Arial"/>
          <w:sz w:val="22"/>
          <w:szCs w:val="22"/>
          <w:lang w:val="es-ES_tradnl"/>
        </w:rPr>
        <w:t>incluye los decretos reglamentarios–</w:t>
      </w:r>
      <w:r w:rsidR="008D4596" w:rsidRPr="00A26052">
        <w:rPr>
          <w:rFonts w:ascii="Arial" w:eastAsia="Calibri" w:hAnsi="Arial" w:cs="Arial"/>
          <w:sz w:val="22"/>
          <w:szCs w:val="22"/>
          <w:lang w:val="es-ES_tradnl"/>
        </w:rPr>
        <w:t xml:space="preserve"> dejan de ser obligatorios o decaen «Cuando desaparezcan sus fundamentos de hecho o de derecho».</w:t>
      </w:r>
      <w:r w:rsidR="00772AAF" w:rsidRPr="00A26052">
        <w:rPr>
          <w:rFonts w:ascii="Arial" w:eastAsia="Calibri" w:hAnsi="Arial" w:cs="Arial"/>
          <w:sz w:val="22"/>
          <w:szCs w:val="22"/>
          <w:lang w:val="es-ES_tradnl"/>
        </w:rPr>
        <w:t xml:space="preserve"> </w:t>
      </w:r>
    </w:p>
    <w:p w14:paraId="5D1BA105" w14:textId="3C48BEB7" w:rsidR="00A06EB6" w:rsidRPr="00A26052" w:rsidRDefault="008D4596" w:rsidP="00772AAF">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Si</w:t>
      </w:r>
      <w:r w:rsidR="00772AAF" w:rsidRPr="00A26052">
        <w:rPr>
          <w:rFonts w:ascii="Arial" w:eastAsia="Calibri" w:hAnsi="Arial" w:cs="Arial"/>
          <w:sz w:val="22"/>
          <w:szCs w:val="22"/>
          <w:lang w:val="es-ES_tradnl"/>
        </w:rPr>
        <w:t xml:space="preserve"> los decretos reglamentarios que profiere el </w:t>
      </w:r>
      <w:proofErr w:type="gramStart"/>
      <w:r w:rsidR="00772AAF" w:rsidRPr="00A26052">
        <w:rPr>
          <w:rFonts w:ascii="Arial" w:eastAsia="Calibri" w:hAnsi="Arial" w:cs="Arial"/>
          <w:sz w:val="22"/>
          <w:szCs w:val="22"/>
          <w:lang w:val="es-ES_tradnl"/>
        </w:rPr>
        <w:t>Presidente</w:t>
      </w:r>
      <w:proofErr w:type="gramEnd"/>
      <w:r w:rsidR="00772AAF" w:rsidRPr="00A26052">
        <w:rPr>
          <w:rFonts w:ascii="Arial" w:eastAsia="Calibri" w:hAnsi="Arial" w:cs="Arial"/>
          <w:sz w:val="22"/>
          <w:szCs w:val="22"/>
          <w:lang w:val="es-ES_tradnl"/>
        </w:rPr>
        <w:t xml:space="preserve"> de la República en ejercicio de la potestad que le confiere el artículo 189, numeral 11, de la Constitución Política</w:t>
      </w:r>
      <w:r w:rsidR="00F128D9" w:rsidRPr="00A26052">
        <w:rPr>
          <w:rFonts w:ascii="Arial" w:eastAsia="Calibri" w:hAnsi="Arial" w:cs="Arial"/>
          <w:sz w:val="22"/>
          <w:szCs w:val="22"/>
          <w:lang w:val="es-ES_tradnl"/>
        </w:rPr>
        <w:t>, buscan «la cumplida ejecución de las leyes»</w:t>
      </w:r>
      <w:r w:rsidR="008673AE" w:rsidRPr="00A26052">
        <w:rPr>
          <w:rFonts w:ascii="Arial" w:eastAsia="Calibri" w:hAnsi="Arial" w:cs="Arial"/>
          <w:sz w:val="22"/>
          <w:szCs w:val="22"/>
          <w:lang w:val="es-ES_tradnl"/>
        </w:rPr>
        <w:t>,</w:t>
      </w:r>
      <w:r w:rsidR="00F128D9" w:rsidRPr="00A26052">
        <w:rPr>
          <w:rFonts w:ascii="Arial" w:eastAsia="Calibri" w:hAnsi="Arial" w:cs="Arial"/>
          <w:sz w:val="22"/>
          <w:szCs w:val="22"/>
          <w:lang w:val="es-ES_tradnl"/>
        </w:rPr>
        <w:t xml:space="preserve"> y si la disposición legal que había servido de fundamento a la expedición del artículo 2.2.1.2.4.2.2. del Decreto 1082 de 2015 –es decir, el artículo 12 de la Ley 1150 de 2007– fue </w:t>
      </w:r>
      <w:r w:rsidR="00EF19A5" w:rsidRPr="00A26052">
        <w:rPr>
          <w:rFonts w:ascii="Arial" w:eastAsia="Calibri" w:hAnsi="Arial" w:cs="Arial"/>
          <w:sz w:val="22"/>
          <w:szCs w:val="22"/>
          <w:lang w:val="es-ES_tradnl"/>
        </w:rPr>
        <w:t>modificado</w:t>
      </w:r>
      <w:r w:rsidR="00F128D9" w:rsidRPr="00A26052">
        <w:rPr>
          <w:rFonts w:ascii="Arial" w:eastAsia="Calibri" w:hAnsi="Arial" w:cs="Arial"/>
          <w:sz w:val="22"/>
          <w:szCs w:val="22"/>
          <w:lang w:val="es-ES_tradnl"/>
        </w:rPr>
        <w:t xml:space="preserve"> por el artículo </w:t>
      </w:r>
      <w:r w:rsidR="00744273" w:rsidRPr="00A26052">
        <w:rPr>
          <w:rFonts w:ascii="Arial" w:eastAsia="Calibri" w:hAnsi="Arial" w:cs="Arial"/>
          <w:sz w:val="22"/>
          <w:szCs w:val="22"/>
          <w:lang w:val="es-ES_tradnl"/>
        </w:rPr>
        <w:t>34 de la Ley 2069 de 2020, puede concluirse que la disposición reglamentaria decayó</w:t>
      </w:r>
      <w:r w:rsidR="008673AE" w:rsidRPr="00A26052">
        <w:rPr>
          <w:rFonts w:ascii="Arial" w:eastAsia="Calibri" w:hAnsi="Arial" w:cs="Arial"/>
          <w:sz w:val="22"/>
          <w:szCs w:val="22"/>
          <w:lang w:val="es-ES_tradnl"/>
        </w:rPr>
        <w:t>,</w:t>
      </w:r>
      <w:r w:rsidR="00744273" w:rsidRPr="00A26052">
        <w:rPr>
          <w:rFonts w:ascii="Arial" w:eastAsia="Calibri" w:hAnsi="Arial" w:cs="Arial"/>
          <w:sz w:val="22"/>
          <w:szCs w:val="22"/>
          <w:lang w:val="es-ES_tradnl"/>
        </w:rPr>
        <w:t xml:space="preserve"> por </w:t>
      </w:r>
      <w:r w:rsidR="008673AE" w:rsidRPr="00A26052">
        <w:rPr>
          <w:rFonts w:ascii="Arial" w:eastAsia="Calibri" w:hAnsi="Arial" w:cs="Arial"/>
          <w:sz w:val="22"/>
          <w:szCs w:val="22"/>
          <w:lang w:val="es-ES_tradnl"/>
        </w:rPr>
        <w:t>desaparición de su fundamento de derecho</w:t>
      </w:r>
      <w:r w:rsidR="0011318E" w:rsidRPr="00A26052">
        <w:rPr>
          <w:rFonts w:ascii="Arial" w:eastAsia="Calibri" w:hAnsi="Arial" w:cs="Arial"/>
          <w:sz w:val="22"/>
          <w:szCs w:val="22"/>
          <w:lang w:val="es-ES_tradnl"/>
        </w:rPr>
        <w:t>.</w:t>
      </w:r>
      <w:r w:rsidR="00EF19A5" w:rsidRPr="00A26052">
        <w:rPr>
          <w:rFonts w:ascii="Arial" w:eastAsia="Calibri" w:hAnsi="Arial" w:cs="Arial"/>
          <w:sz w:val="22"/>
          <w:szCs w:val="22"/>
          <w:lang w:val="es-ES_tradnl"/>
        </w:rPr>
        <w:t xml:space="preserve"> Es decir, el fundamento de derecho</w:t>
      </w:r>
      <w:r w:rsidR="00FF44D7" w:rsidRPr="00A26052">
        <w:rPr>
          <w:rFonts w:ascii="Arial" w:eastAsia="Calibri" w:hAnsi="Arial" w:cs="Arial"/>
          <w:sz w:val="22"/>
          <w:szCs w:val="22"/>
          <w:lang w:val="es-ES_tradnl"/>
        </w:rPr>
        <w:t xml:space="preserve">, </w:t>
      </w:r>
      <w:r w:rsidR="00EF19A5" w:rsidRPr="00A26052">
        <w:rPr>
          <w:rFonts w:ascii="Arial" w:eastAsia="Calibri" w:hAnsi="Arial" w:cs="Arial"/>
          <w:sz w:val="22"/>
          <w:szCs w:val="22"/>
          <w:lang w:val="es-ES_tradnl"/>
        </w:rPr>
        <w:t>que era el contenido del artículo 12</w:t>
      </w:r>
      <w:r w:rsidR="00FF44D7" w:rsidRPr="00A26052">
        <w:rPr>
          <w:rFonts w:ascii="Arial" w:eastAsia="Calibri" w:hAnsi="Arial" w:cs="Arial"/>
          <w:sz w:val="22"/>
          <w:szCs w:val="22"/>
          <w:lang w:val="es-ES_tradnl"/>
        </w:rPr>
        <w:t xml:space="preserve"> de la Ley 1150 de 2007</w:t>
      </w:r>
      <w:r w:rsidR="004774C3" w:rsidRPr="00A26052">
        <w:rPr>
          <w:rFonts w:ascii="Arial" w:eastAsia="Calibri" w:hAnsi="Arial" w:cs="Arial"/>
          <w:sz w:val="22"/>
          <w:szCs w:val="22"/>
          <w:lang w:val="es-ES_tradnl"/>
        </w:rPr>
        <w:t xml:space="preserve">, </w:t>
      </w:r>
      <w:r w:rsidR="00FF44D7" w:rsidRPr="00A26052">
        <w:rPr>
          <w:rFonts w:ascii="Arial" w:eastAsia="Calibri" w:hAnsi="Arial" w:cs="Arial"/>
          <w:sz w:val="22"/>
          <w:szCs w:val="22"/>
          <w:lang w:val="es-ES_tradnl"/>
        </w:rPr>
        <w:t>fue subrogado por el artículo 34 de la Ley 2069 de 2020.</w:t>
      </w:r>
      <w:r w:rsidR="0011318E" w:rsidRPr="00A26052">
        <w:rPr>
          <w:rFonts w:ascii="Arial" w:eastAsia="Calibri" w:hAnsi="Arial" w:cs="Arial"/>
          <w:sz w:val="22"/>
          <w:szCs w:val="22"/>
          <w:lang w:val="es-ES_tradnl"/>
        </w:rPr>
        <w:t xml:space="preserve"> Sin embargo, no es solo por una razón formal</w:t>
      </w:r>
      <w:r w:rsidR="006F50C2" w:rsidRPr="00A26052">
        <w:rPr>
          <w:rFonts w:ascii="Arial" w:eastAsia="Calibri" w:hAnsi="Arial" w:cs="Arial"/>
          <w:sz w:val="22"/>
          <w:szCs w:val="22"/>
          <w:lang w:val="es-ES_tradnl"/>
        </w:rPr>
        <w:t xml:space="preserve"> que se deduce la pérdida de fuerza ejecutoria del artículo 2.2.1.2.4.2.2. del Decreto 1082 de 2015, sino también por un argumento material, como</w:t>
      </w:r>
      <w:r w:rsidR="00576C8A" w:rsidRPr="00A26052">
        <w:rPr>
          <w:rFonts w:ascii="Arial" w:eastAsia="Calibri" w:hAnsi="Arial" w:cs="Arial"/>
          <w:sz w:val="22"/>
          <w:szCs w:val="22"/>
          <w:lang w:val="es-ES_tradnl"/>
        </w:rPr>
        <w:t xml:space="preserve"> se explica a continuación.</w:t>
      </w:r>
    </w:p>
    <w:p w14:paraId="045D18D9" w14:textId="5F2CC6C9" w:rsidR="00A84935" w:rsidRPr="00A26052" w:rsidRDefault="00A06EB6" w:rsidP="00772AAF">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Además de que el artículo 2.2.1.2.4.2.2. del Decreto 1082 de 2015 perdió </w:t>
      </w:r>
      <w:r w:rsidR="004727B1" w:rsidRPr="00A26052">
        <w:rPr>
          <w:rFonts w:ascii="Arial" w:eastAsia="Calibri" w:hAnsi="Arial" w:cs="Arial"/>
          <w:sz w:val="22"/>
          <w:szCs w:val="22"/>
          <w:lang w:val="es-ES_tradnl"/>
        </w:rPr>
        <w:t>el</w:t>
      </w:r>
      <w:r w:rsidRPr="00A26052">
        <w:rPr>
          <w:rFonts w:ascii="Arial" w:eastAsia="Calibri" w:hAnsi="Arial" w:cs="Arial"/>
          <w:sz w:val="22"/>
          <w:szCs w:val="22"/>
          <w:lang w:val="es-ES_tradnl"/>
        </w:rPr>
        <w:t xml:space="preserve"> fundamento legal</w:t>
      </w:r>
      <w:r w:rsidR="00576C8A" w:rsidRPr="00A26052">
        <w:rPr>
          <w:rFonts w:ascii="Arial" w:eastAsia="Calibri" w:hAnsi="Arial" w:cs="Arial"/>
          <w:sz w:val="22"/>
          <w:szCs w:val="22"/>
          <w:lang w:val="es-ES_tradnl"/>
        </w:rPr>
        <w:t>, su contenido es contrario</w:t>
      </w:r>
      <w:r w:rsidR="00F0749E" w:rsidRPr="00A26052">
        <w:rPr>
          <w:rFonts w:ascii="Arial" w:eastAsia="Calibri" w:hAnsi="Arial" w:cs="Arial"/>
          <w:sz w:val="22"/>
          <w:szCs w:val="22"/>
          <w:lang w:val="es-ES_tradnl"/>
        </w:rPr>
        <w:t xml:space="preserve"> al nuevo artículo 12 de la Ley 1150 de 2007, modificado por el artículo 34 de la Ley 2069 de 2020.</w:t>
      </w:r>
      <w:r w:rsidR="00641899" w:rsidRPr="00A26052">
        <w:rPr>
          <w:rFonts w:ascii="Arial" w:eastAsia="Calibri" w:hAnsi="Arial" w:cs="Arial"/>
          <w:sz w:val="22"/>
          <w:szCs w:val="22"/>
          <w:lang w:val="es-ES_tradnl"/>
        </w:rPr>
        <w:t xml:space="preserve"> En efecto, </w:t>
      </w:r>
      <w:r w:rsidR="00E40FB8" w:rsidRPr="00A26052">
        <w:rPr>
          <w:rFonts w:ascii="Arial" w:eastAsia="Calibri" w:hAnsi="Arial" w:cs="Arial"/>
          <w:sz w:val="22"/>
          <w:szCs w:val="22"/>
          <w:lang w:val="es-ES_tradnl"/>
        </w:rPr>
        <w:t xml:space="preserve">este </w:t>
      </w:r>
      <w:r w:rsidR="006D62EA" w:rsidRPr="00A26052">
        <w:rPr>
          <w:rFonts w:ascii="Arial" w:eastAsia="Calibri" w:hAnsi="Arial" w:cs="Arial"/>
          <w:sz w:val="22"/>
          <w:szCs w:val="22"/>
          <w:lang w:val="es-ES_tradnl"/>
        </w:rPr>
        <w:t xml:space="preserve">último </w:t>
      </w:r>
      <w:r w:rsidR="00E40FB8" w:rsidRPr="00A26052">
        <w:rPr>
          <w:rFonts w:ascii="Arial" w:eastAsia="Calibri" w:hAnsi="Arial" w:cs="Arial"/>
          <w:sz w:val="22"/>
          <w:szCs w:val="22"/>
          <w:lang w:val="es-ES_tradnl"/>
        </w:rPr>
        <w:t>artículo no consagra las mismas exigencias para la</w:t>
      </w:r>
      <w:r w:rsidR="001B3B25" w:rsidRPr="00A26052">
        <w:rPr>
          <w:rFonts w:ascii="Arial" w:eastAsia="Calibri" w:hAnsi="Arial" w:cs="Arial"/>
          <w:sz w:val="22"/>
          <w:szCs w:val="22"/>
          <w:lang w:val="es-ES_tradnl"/>
        </w:rPr>
        <w:t>s</w:t>
      </w:r>
      <w:r w:rsidR="00E40FB8" w:rsidRPr="00A26052">
        <w:rPr>
          <w:rFonts w:ascii="Arial" w:eastAsia="Calibri" w:hAnsi="Arial" w:cs="Arial"/>
          <w:sz w:val="22"/>
          <w:szCs w:val="22"/>
          <w:lang w:val="es-ES_tradnl"/>
        </w:rPr>
        <w:t xml:space="preserve"> convocatoria</w:t>
      </w:r>
      <w:r w:rsidR="001B3B25" w:rsidRPr="00A26052">
        <w:rPr>
          <w:rFonts w:ascii="Arial" w:eastAsia="Calibri" w:hAnsi="Arial" w:cs="Arial"/>
          <w:sz w:val="22"/>
          <w:szCs w:val="22"/>
          <w:lang w:val="es-ES_tradnl"/>
        </w:rPr>
        <w:t>s</w:t>
      </w:r>
      <w:r w:rsidR="00E40FB8" w:rsidRPr="00A26052">
        <w:rPr>
          <w:rFonts w:ascii="Arial" w:eastAsia="Calibri" w:hAnsi="Arial" w:cs="Arial"/>
          <w:sz w:val="22"/>
          <w:szCs w:val="22"/>
          <w:lang w:val="es-ES_tradnl"/>
        </w:rPr>
        <w:t xml:space="preserve"> limitada</w:t>
      </w:r>
      <w:r w:rsidR="001B3B25" w:rsidRPr="00A26052">
        <w:rPr>
          <w:rFonts w:ascii="Arial" w:eastAsia="Calibri" w:hAnsi="Arial" w:cs="Arial"/>
          <w:sz w:val="22"/>
          <w:szCs w:val="22"/>
          <w:lang w:val="es-ES_tradnl"/>
        </w:rPr>
        <w:t>s</w:t>
      </w:r>
      <w:r w:rsidR="00E40FB8" w:rsidRPr="00A26052">
        <w:rPr>
          <w:rFonts w:ascii="Arial" w:eastAsia="Calibri" w:hAnsi="Arial" w:cs="Arial"/>
          <w:sz w:val="22"/>
          <w:szCs w:val="22"/>
          <w:lang w:val="es-ES_tradnl"/>
        </w:rPr>
        <w:t xml:space="preserve"> a mipymes</w:t>
      </w:r>
      <w:r w:rsidR="001B3B25" w:rsidRPr="00A26052">
        <w:rPr>
          <w:rFonts w:ascii="Arial" w:eastAsia="Calibri" w:hAnsi="Arial" w:cs="Arial"/>
          <w:sz w:val="22"/>
          <w:szCs w:val="22"/>
          <w:lang w:val="es-ES_tradnl"/>
        </w:rPr>
        <w:t>. Concretamente</w:t>
      </w:r>
      <w:r w:rsidR="004774C3" w:rsidRPr="00A26052">
        <w:rPr>
          <w:rFonts w:ascii="Arial" w:eastAsia="Calibri" w:hAnsi="Arial" w:cs="Arial"/>
          <w:sz w:val="22"/>
          <w:szCs w:val="22"/>
          <w:lang w:val="es-ES_tradnl"/>
        </w:rPr>
        <w:t xml:space="preserve">, </w:t>
      </w:r>
      <w:r w:rsidR="001B3B25" w:rsidRPr="00A26052">
        <w:rPr>
          <w:rFonts w:ascii="Arial" w:eastAsia="Calibri" w:hAnsi="Arial" w:cs="Arial"/>
          <w:sz w:val="22"/>
          <w:szCs w:val="22"/>
          <w:lang w:val="es-ES_tradnl"/>
        </w:rPr>
        <w:t xml:space="preserve">no incluye </w:t>
      </w:r>
      <w:r w:rsidR="00940207" w:rsidRPr="00A26052">
        <w:rPr>
          <w:rFonts w:ascii="Arial" w:eastAsia="Calibri" w:hAnsi="Arial" w:cs="Arial"/>
          <w:sz w:val="22"/>
          <w:szCs w:val="22"/>
          <w:lang w:val="es-ES_tradnl"/>
        </w:rPr>
        <w:t xml:space="preserve">todos </w:t>
      </w:r>
      <w:r w:rsidR="001B3B25" w:rsidRPr="00A26052">
        <w:rPr>
          <w:rFonts w:ascii="Arial" w:eastAsia="Calibri" w:hAnsi="Arial" w:cs="Arial"/>
          <w:sz w:val="22"/>
          <w:szCs w:val="22"/>
          <w:lang w:val="es-ES_tradnl"/>
        </w:rPr>
        <w:t>los requisitos</w:t>
      </w:r>
      <w:r w:rsidR="00940207" w:rsidRPr="00A26052">
        <w:rPr>
          <w:rFonts w:ascii="Arial" w:eastAsia="Calibri" w:hAnsi="Arial" w:cs="Arial"/>
          <w:sz w:val="22"/>
          <w:szCs w:val="22"/>
          <w:lang w:val="es-ES_tradnl"/>
        </w:rPr>
        <w:t xml:space="preserve"> </w:t>
      </w:r>
      <w:r w:rsidR="001B3B25" w:rsidRPr="00A26052">
        <w:rPr>
          <w:rFonts w:ascii="Arial" w:eastAsia="Calibri" w:hAnsi="Arial" w:cs="Arial"/>
          <w:sz w:val="22"/>
          <w:szCs w:val="22"/>
          <w:lang w:val="es-ES_tradnl"/>
        </w:rPr>
        <w:t>que</w:t>
      </w:r>
      <w:r w:rsidR="00940207" w:rsidRPr="00A26052">
        <w:rPr>
          <w:rFonts w:ascii="Arial" w:eastAsia="Calibri" w:hAnsi="Arial" w:cs="Arial"/>
          <w:sz w:val="22"/>
          <w:szCs w:val="22"/>
          <w:lang w:val="es-ES_tradnl"/>
        </w:rPr>
        <w:t>,</w:t>
      </w:r>
      <w:r w:rsidR="001B3B25" w:rsidRPr="00A26052">
        <w:rPr>
          <w:rFonts w:ascii="Arial" w:eastAsia="Calibri" w:hAnsi="Arial" w:cs="Arial"/>
          <w:sz w:val="22"/>
          <w:szCs w:val="22"/>
          <w:lang w:val="es-ES_tradnl"/>
        </w:rPr>
        <w:t xml:space="preserve"> hasta la </w:t>
      </w:r>
      <w:proofErr w:type="gramStart"/>
      <w:r w:rsidR="001B3B25" w:rsidRPr="00A26052">
        <w:rPr>
          <w:rFonts w:ascii="Arial" w:eastAsia="Calibri" w:hAnsi="Arial" w:cs="Arial"/>
          <w:sz w:val="22"/>
          <w:szCs w:val="22"/>
          <w:lang w:val="es-ES_tradnl"/>
        </w:rPr>
        <w:t>entrada en vigencia</w:t>
      </w:r>
      <w:proofErr w:type="gramEnd"/>
      <w:r w:rsidR="001B3B25" w:rsidRPr="00A26052">
        <w:rPr>
          <w:rFonts w:ascii="Arial" w:eastAsia="Calibri" w:hAnsi="Arial" w:cs="Arial"/>
          <w:sz w:val="22"/>
          <w:szCs w:val="22"/>
          <w:lang w:val="es-ES_tradnl"/>
        </w:rPr>
        <w:t xml:space="preserve"> de la Ley 2069 de 2020, establecía el </w:t>
      </w:r>
      <w:r w:rsidR="00E90067" w:rsidRPr="00A26052">
        <w:rPr>
          <w:rFonts w:ascii="Arial" w:eastAsia="Calibri" w:hAnsi="Arial" w:cs="Arial"/>
          <w:sz w:val="22"/>
          <w:szCs w:val="22"/>
          <w:lang w:val="es-ES_tradnl"/>
        </w:rPr>
        <w:t>artículo 2.2.1.2.4.2.2. del Decreto 1082 de 2015. Esta norma indicaba</w:t>
      </w:r>
      <w:r w:rsidR="000C47E0" w:rsidRPr="00A26052">
        <w:rPr>
          <w:rFonts w:ascii="Arial" w:eastAsia="Calibri" w:hAnsi="Arial" w:cs="Arial"/>
          <w:sz w:val="22"/>
          <w:szCs w:val="22"/>
          <w:lang w:val="es-ES_tradnl"/>
        </w:rPr>
        <w:t xml:space="preserve"> en </w:t>
      </w:r>
      <w:r w:rsidR="00BF0B32" w:rsidRPr="00A26052">
        <w:rPr>
          <w:rFonts w:ascii="Arial" w:eastAsia="Calibri" w:hAnsi="Arial" w:cs="Arial"/>
          <w:sz w:val="22"/>
          <w:szCs w:val="22"/>
          <w:lang w:val="es-ES_tradnl"/>
        </w:rPr>
        <w:t>su</w:t>
      </w:r>
      <w:r w:rsidR="000C47E0" w:rsidRPr="00A26052">
        <w:rPr>
          <w:rFonts w:ascii="Arial" w:eastAsia="Calibri" w:hAnsi="Arial" w:cs="Arial"/>
          <w:sz w:val="22"/>
          <w:szCs w:val="22"/>
          <w:lang w:val="es-ES_tradnl"/>
        </w:rPr>
        <w:t xml:space="preserve"> </w:t>
      </w:r>
      <w:r w:rsidR="00BF0B32" w:rsidRPr="00A26052">
        <w:rPr>
          <w:rFonts w:ascii="Arial" w:eastAsia="Calibri" w:hAnsi="Arial" w:cs="Arial"/>
          <w:sz w:val="22"/>
          <w:szCs w:val="22"/>
          <w:lang w:val="es-ES_tradnl"/>
        </w:rPr>
        <w:t>primer inciso</w:t>
      </w:r>
      <w:r w:rsidR="000C47E0" w:rsidRPr="00A26052">
        <w:rPr>
          <w:rFonts w:ascii="Arial" w:eastAsia="Calibri" w:hAnsi="Arial" w:cs="Arial"/>
          <w:sz w:val="22"/>
          <w:szCs w:val="22"/>
          <w:lang w:val="es-ES_tradnl"/>
        </w:rPr>
        <w:t xml:space="preserve"> que</w:t>
      </w:r>
      <w:r w:rsidR="009E13D2" w:rsidRPr="00A26052">
        <w:rPr>
          <w:rFonts w:ascii="Arial" w:eastAsia="Calibri" w:hAnsi="Arial" w:cs="Arial"/>
          <w:sz w:val="22"/>
          <w:szCs w:val="22"/>
          <w:lang w:val="es-ES_tradnl"/>
        </w:rPr>
        <w:t xml:space="preserve"> </w:t>
      </w:r>
      <w:r w:rsidR="000C47E0" w:rsidRPr="00A26052">
        <w:rPr>
          <w:rFonts w:ascii="Arial" w:eastAsia="Calibri" w:hAnsi="Arial" w:cs="Arial"/>
          <w:sz w:val="22"/>
          <w:szCs w:val="22"/>
          <w:lang w:val="es-ES_tradnl"/>
        </w:rPr>
        <w:t xml:space="preserve">la entidad estatal </w:t>
      </w:r>
      <w:r w:rsidR="00BF0B32" w:rsidRPr="00A26052">
        <w:rPr>
          <w:rFonts w:ascii="Arial" w:eastAsia="Calibri" w:hAnsi="Arial" w:cs="Arial"/>
          <w:sz w:val="22"/>
          <w:szCs w:val="22"/>
          <w:lang w:val="es-ES_tradnl"/>
        </w:rPr>
        <w:t>solo podía</w:t>
      </w:r>
      <w:r w:rsidR="000C47E0" w:rsidRPr="00A26052">
        <w:rPr>
          <w:rFonts w:ascii="Arial" w:eastAsia="Calibri" w:hAnsi="Arial" w:cs="Arial"/>
          <w:sz w:val="22"/>
          <w:szCs w:val="22"/>
          <w:lang w:val="es-ES_tradnl"/>
        </w:rPr>
        <w:t xml:space="preserve"> limitar</w:t>
      </w:r>
      <w:r w:rsidR="00BF0B32" w:rsidRPr="00A26052">
        <w:rPr>
          <w:rFonts w:ascii="Arial" w:eastAsia="Calibri" w:hAnsi="Arial" w:cs="Arial"/>
          <w:sz w:val="22"/>
          <w:szCs w:val="22"/>
          <w:lang w:val="es-ES_tradnl"/>
        </w:rPr>
        <w:t xml:space="preserve"> la convocatoria a las mipymes nacionales</w:t>
      </w:r>
      <w:r w:rsidR="0075022F" w:rsidRPr="00A26052">
        <w:rPr>
          <w:rFonts w:ascii="Arial" w:eastAsia="Calibri" w:hAnsi="Arial" w:cs="Arial"/>
          <w:sz w:val="22"/>
          <w:szCs w:val="22"/>
          <w:lang w:val="es-ES_tradnl"/>
        </w:rPr>
        <w:t xml:space="preserve"> si se trataba de procesos de selección de licitación pública, selección abreviada y concursos de méritos</w:t>
      </w:r>
      <w:r w:rsidR="00503534" w:rsidRPr="00A26052">
        <w:rPr>
          <w:rFonts w:ascii="Arial" w:eastAsia="Calibri" w:hAnsi="Arial" w:cs="Arial"/>
          <w:sz w:val="22"/>
          <w:szCs w:val="22"/>
          <w:lang w:val="es-ES_tradnl"/>
        </w:rPr>
        <w:t>. Por su parte, tal restricción no se encuentra en el artículo 34 de la Ley 2069 de 2020.</w:t>
      </w:r>
    </w:p>
    <w:p w14:paraId="63F6170C" w14:textId="58D5D25C" w:rsidR="00503534" w:rsidRPr="00A26052" w:rsidRDefault="00503534" w:rsidP="00772AAF">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Adicionalmente, el numeral 1 del artículo 2.2.1.2.4.2.2. del Decreto 1082 de 2015</w:t>
      </w:r>
      <w:r w:rsidR="00B12FBB" w:rsidRPr="00A26052">
        <w:rPr>
          <w:rFonts w:ascii="Arial" w:eastAsia="Calibri" w:hAnsi="Arial" w:cs="Arial"/>
          <w:sz w:val="22"/>
          <w:szCs w:val="22"/>
          <w:lang w:val="es-ES_tradnl"/>
        </w:rPr>
        <w:t xml:space="preserve"> exigía que el valor del proceso de contratación</w:t>
      </w:r>
      <w:r w:rsidR="009838C1" w:rsidRPr="00A26052">
        <w:rPr>
          <w:rFonts w:ascii="Arial" w:eastAsia="Calibri" w:hAnsi="Arial" w:cs="Arial"/>
          <w:sz w:val="22"/>
          <w:szCs w:val="22"/>
          <w:lang w:val="es-ES_tradnl"/>
        </w:rPr>
        <w:t xml:space="preserve"> en el que pretendiera limitarse la convocatoria a mipymes fuera «[…] menor a ciento veinticinco mil dólares de los Estados Unidos de América (US$125.000), liquidados con la tasa de cambio que para el efecto determina cada dos años el Ministerio de Comercio, Industria y Turismo». Este requisito tampoco se observa en</w:t>
      </w:r>
      <w:r w:rsidR="006A4249" w:rsidRPr="00A26052">
        <w:rPr>
          <w:rFonts w:ascii="Arial" w:eastAsia="Calibri" w:hAnsi="Arial" w:cs="Arial"/>
          <w:sz w:val="22"/>
          <w:szCs w:val="22"/>
          <w:lang w:val="es-ES_tradnl"/>
        </w:rPr>
        <w:t xml:space="preserve"> el artículo 34 de la Ley 2069 de 2020.</w:t>
      </w:r>
    </w:p>
    <w:p w14:paraId="69F50883" w14:textId="77777777" w:rsidR="00430D44" w:rsidRPr="00A26052" w:rsidRDefault="00773131" w:rsidP="00772AAF">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A lo anterior debe agregarse que mientras la nueva disposición legal</w:t>
      </w:r>
      <w:r w:rsidR="00BB7B13" w:rsidRPr="00A26052">
        <w:rPr>
          <w:rFonts w:ascii="Arial" w:eastAsia="Calibri" w:hAnsi="Arial" w:cs="Arial"/>
          <w:sz w:val="22"/>
          <w:szCs w:val="22"/>
          <w:lang w:val="es-ES_tradnl"/>
        </w:rPr>
        <w:t xml:space="preserve"> indica que la convocatoria limitada a mipymes </w:t>
      </w:r>
      <w:r w:rsidR="0034713F" w:rsidRPr="00A26052">
        <w:rPr>
          <w:rFonts w:ascii="Arial" w:eastAsia="Calibri" w:hAnsi="Arial" w:cs="Arial"/>
          <w:sz w:val="22"/>
          <w:szCs w:val="22"/>
          <w:lang w:val="es-ES_tradnl"/>
        </w:rPr>
        <w:t xml:space="preserve">debe hacerse cuando por lo menos </w:t>
      </w:r>
      <w:r w:rsidR="0034713F" w:rsidRPr="00A26052">
        <w:rPr>
          <w:rFonts w:ascii="Arial" w:eastAsia="Calibri" w:hAnsi="Arial" w:cs="Arial"/>
          <w:i/>
          <w:iCs/>
          <w:sz w:val="22"/>
          <w:szCs w:val="22"/>
          <w:lang w:val="es-ES_tradnl"/>
        </w:rPr>
        <w:t>dos (2)</w:t>
      </w:r>
      <w:r w:rsidR="0034713F" w:rsidRPr="00A26052">
        <w:rPr>
          <w:rFonts w:ascii="Arial" w:eastAsia="Calibri" w:hAnsi="Arial" w:cs="Arial"/>
          <w:sz w:val="22"/>
          <w:szCs w:val="22"/>
          <w:lang w:val="es-ES_tradnl"/>
        </w:rPr>
        <w:t xml:space="preserve"> de estas hayan manifestado su interés antes de la resolución de apertura del proceso respectivo, el artículo</w:t>
      </w:r>
      <w:r w:rsidR="00636C0C" w:rsidRPr="00A26052">
        <w:rPr>
          <w:rFonts w:ascii="Arial" w:eastAsia="Calibri" w:hAnsi="Arial" w:cs="Arial"/>
          <w:sz w:val="22"/>
          <w:szCs w:val="22"/>
          <w:lang w:val="es-ES_tradnl"/>
        </w:rPr>
        <w:t xml:space="preserve"> 2.2.1.2.4.2.2. del Decreto 1082 de 2015 condicionaba la limitación de la convocatoria a que </w:t>
      </w:r>
      <w:r w:rsidR="00636C0C" w:rsidRPr="00A26052">
        <w:rPr>
          <w:rFonts w:ascii="Arial" w:eastAsia="Calibri" w:hAnsi="Arial" w:cs="Arial"/>
          <w:sz w:val="22"/>
          <w:szCs w:val="22"/>
          <w:lang w:val="es-ES_tradnl"/>
        </w:rPr>
        <w:lastRenderedPageBreak/>
        <w:t>la entidad estatal hubiera recibido</w:t>
      </w:r>
      <w:r w:rsidR="00401533" w:rsidRPr="00A26052">
        <w:rPr>
          <w:rFonts w:ascii="Arial" w:eastAsia="Calibri" w:hAnsi="Arial" w:cs="Arial"/>
          <w:sz w:val="22"/>
          <w:szCs w:val="22"/>
          <w:lang w:val="es-ES_tradnl"/>
        </w:rPr>
        <w:t xml:space="preserve"> solicitudes de por lo menos </w:t>
      </w:r>
      <w:r w:rsidR="00401533" w:rsidRPr="00A26052">
        <w:rPr>
          <w:rFonts w:ascii="Arial" w:eastAsia="Calibri" w:hAnsi="Arial" w:cs="Arial"/>
          <w:i/>
          <w:iCs/>
          <w:sz w:val="22"/>
          <w:szCs w:val="22"/>
          <w:lang w:val="es-ES_tradnl"/>
        </w:rPr>
        <w:t>tres (3)</w:t>
      </w:r>
      <w:r w:rsidR="00401533" w:rsidRPr="00A26052">
        <w:rPr>
          <w:rFonts w:ascii="Arial" w:eastAsia="Calibri" w:hAnsi="Arial" w:cs="Arial"/>
          <w:sz w:val="22"/>
          <w:szCs w:val="22"/>
          <w:lang w:val="es-ES_tradnl"/>
        </w:rPr>
        <w:t xml:space="preserve"> mipymes, a más tardar un día hábil antes de la apertura del proceso de selección.</w:t>
      </w:r>
    </w:p>
    <w:p w14:paraId="1E77B196" w14:textId="7DD3F464" w:rsidR="00C21F0C" w:rsidRPr="00A26052" w:rsidRDefault="00430D44" w:rsidP="00772AAF">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Las diferencias </w:t>
      </w:r>
      <w:r w:rsidR="001D2552" w:rsidRPr="00A26052">
        <w:rPr>
          <w:rFonts w:ascii="Arial" w:eastAsia="Calibri" w:hAnsi="Arial" w:cs="Arial"/>
          <w:sz w:val="22"/>
          <w:szCs w:val="22"/>
          <w:lang w:val="es-ES_tradnl"/>
        </w:rPr>
        <w:t>evidenciadas son suficientes para mostrar que, además de la pérdida de fuerza ejecutoria del artículo 2.2.1.2.4.2.2. del Decreto 1082 de 2015</w:t>
      </w:r>
      <w:r w:rsidR="002E3931" w:rsidRPr="00A26052">
        <w:rPr>
          <w:rFonts w:ascii="Arial" w:eastAsia="Calibri" w:hAnsi="Arial" w:cs="Arial"/>
          <w:sz w:val="22"/>
          <w:szCs w:val="22"/>
          <w:lang w:val="es-ES_tradnl"/>
        </w:rPr>
        <w:t xml:space="preserve">, </w:t>
      </w:r>
      <w:r w:rsidR="001D2552" w:rsidRPr="00A26052">
        <w:rPr>
          <w:rFonts w:ascii="Arial" w:eastAsia="Calibri" w:hAnsi="Arial" w:cs="Arial"/>
          <w:sz w:val="22"/>
          <w:szCs w:val="22"/>
          <w:lang w:val="es-ES_tradnl"/>
        </w:rPr>
        <w:t xml:space="preserve">por </w:t>
      </w:r>
      <w:r w:rsidR="0039047D" w:rsidRPr="00A26052">
        <w:rPr>
          <w:rFonts w:ascii="Arial" w:eastAsia="Calibri" w:hAnsi="Arial" w:cs="Arial"/>
          <w:sz w:val="22"/>
          <w:szCs w:val="22"/>
          <w:lang w:val="es-ES_tradnl"/>
        </w:rPr>
        <w:t xml:space="preserve">la </w:t>
      </w:r>
      <w:r w:rsidR="001D2552" w:rsidRPr="00A26052">
        <w:rPr>
          <w:rFonts w:ascii="Arial" w:eastAsia="Calibri" w:hAnsi="Arial" w:cs="Arial"/>
          <w:sz w:val="22"/>
          <w:szCs w:val="22"/>
          <w:lang w:val="es-ES_tradnl"/>
        </w:rPr>
        <w:t>desaparición de</w:t>
      </w:r>
      <w:r w:rsidR="0039047D" w:rsidRPr="00A26052">
        <w:rPr>
          <w:rFonts w:ascii="Arial" w:eastAsia="Calibri" w:hAnsi="Arial" w:cs="Arial"/>
          <w:sz w:val="22"/>
          <w:szCs w:val="22"/>
          <w:lang w:val="es-ES_tradnl"/>
        </w:rPr>
        <w:t xml:space="preserve"> su</w:t>
      </w:r>
      <w:r w:rsidR="001D2552" w:rsidRPr="00A26052">
        <w:rPr>
          <w:rFonts w:ascii="Arial" w:eastAsia="Calibri" w:hAnsi="Arial" w:cs="Arial"/>
          <w:sz w:val="22"/>
          <w:szCs w:val="22"/>
          <w:lang w:val="es-ES_tradnl"/>
        </w:rPr>
        <w:t xml:space="preserve"> fundamento de derecho</w:t>
      </w:r>
      <w:r w:rsidR="0043741B" w:rsidRPr="00A26052">
        <w:rPr>
          <w:rFonts w:ascii="Arial" w:eastAsia="Calibri" w:hAnsi="Arial" w:cs="Arial"/>
          <w:sz w:val="22"/>
          <w:szCs w:val="22"/>
          <w:lang w:val="es-ES_tradnl"/>
        </w:rPr>
        <w:t>,</w:t>
      </w:r>
      <w:r w:rsidR="00F06CA4" w:rsidRPr="00A26052">
        <w:rPr>
          <w:rFonts w:ascii="Arial" w:eastAsia="Calibri" w:hAnsi="Arial" w:cs="Arial"/>
          <w:sz w:val="22"/>
          <w:szCs w:val="22"/>
          <w:lang w:val="es-ES_tradnl"/>
        </w:rPr>
        <w:t xml:space="preserve"> se advierte una manifiesta oposición entre dicho enunciado normativo y el nuevo contenido del artículo 12 de la Ley 1150 de 2007, modificado por el artículo </w:t>
      </w:r>
      <w:r w:rsidR="007A7775" w:rsidRPr="00A26052">
        <w:rPr>
          <w:rFonts w:ascii="Arial" w:eastAsia="Calibri" w:hAnsi="Arial" w:cs="Arial"/>
          <w:sz w:val="22"/>
          <w:szCs w:val="22"/>
          <w:lang w:val="es-ES_tradnl"/>
        </w:rPr>
        <w:t>34 de la Ley 2069 de 2020. Ante esta contradicción, se debe aplicar la consecuencia jurídica</w:t>
      </w:r>
      <w:r w:rsidR="00AF7E8F" w:rsidRPr="00A26052">
        <w:rPr>
          <w:rFonts w:ascii="Arial" w:eastAsia="Calibri" w:hAnsi="Arial" w:cs="Arial"/>
          <w:sz w:val="22"/>
          <w:szCs w:val="22"/>
          <w:lang w:val="es-ES_tradnl"/>
        </w:rPr>
        <w:t xml:space="preserve"> prevista en el artículo </w:t>
      </w:r>
      <w:r w:rsidR="00260523" w:rsidRPr="00A26052">
        <w:rPr>
          <w:rFonts w:ascii="Arial" w:eastAsia="Calibri" w:hAnsi="Arial" w:cs="Arial"/>
          <w:sz w:val="22"/>
          <w:szCs w:val="22"/>
          <w:lang w:val="es-ES_tradnl"/>
        </w:rPr>
        <w:t xml:space="preserve">84 de la Ley 2069 de 2020, según la cual </w:t>
      </w:r>
      <w:proofErr w:type="spellStart"/>
      <w:r w:rsidR="00260523" w:rsidRPr="00A26052">
        <w:rPr>
          <w:rFonts w:ascii="Arial" w:eastAsia="Calibri" w:hAnsi="Arial" w:cs="Arial"/>
          <w:sz w:val="22"/>
          <w:szCs w:val="22"/>
          <w:lang w:val="es-ES_tradnl"/>
        </w:rPr>
        <w:t>esta</w:t>
      </w:r>
      <w:proofErr w:type="spellEnd"/>
      <w:r w:rsidR="00260523" w:rsidRPr="00A26052">
        <w:rPr>
          <w:rFonts w:ascii="Arial" w:eastAsia="Calibri" w:hAnsi="Arial" w:cs="Arial"/>
          <w:sz w:val="22"/>
          <w:szCs w:val="22"/>
          <w:lang w:val="es-ES_tradnl"/>
        </w:rPr>
        <w:t xml:space="preserve"> «deroga […]</w:t>
      </w:r>
      <w:r w:rsidR="00F32F80" w:rsidRPr="00A26052">
        <w:rPr>
          <w:rFonts w:ascii="Arial" w:eastAsia="Calibri" w:hAnsi="Arial" w:cs="Arial"/>
          <w:sz w:val="22"/>
          <w:szCs w:val="22"/>
          <w:lang w:val="es-ES_tradnl"/>
        </w:rPr>
        <w:t xml:space="preserve"> todas las disposiciones que le sean contrarias». </w:t>
      </w:r>
      <w:r w:rsidR="006937EA" w:rsidRPr="00A26052">
        <w:rPr>
          <w:rFonts w:ascii="Arial" w:eastAsia="Calibri" w:hAnsi="Arial" w:cs="Arial"/>
          <w:sz w:val="22"/>
          <w:szCs w:val="22"/>
          <w:lang w:val="es-ES_tradnl"/>
        </w:rPr>
        <w:t>Entonces, puede afirmarse que, además del decaimiento del artículo 2.2.1.2.4.2.2. del Decreto 1082 de 2015, debe entenderse derogado.</w:t>
      </w:r>
    </w:p>
    <w:p w14:paraId="1DF3F462" w14:textId="2FFFA137" w:rsidR="00773131" w:rsidRPr="00A26052" w:rsidRDefault="00C21F0C" w:rsidP="00774337">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Por último, no es válido aducir que </w:t>
      </w:r>
      <w:r w:rsidR="00CC45A5" w:rsidRPr="00A26052">
        <w:rPr>
          <w:rFonts w:ascii="Arial" w:eastAsia="Calibri" w:hAnsi="Arial" w:cs="Arial"/>
          <w:sz w:val="22"/>
          <w:szCs w:val="22"/>
          <w:lang w:val="es-ES_tradnl"/>
        </w:rPr>
        <w:t>los apartados normativos del artículo</w:t>
      </w:r>
      <w:r w:rsidR="0042226E" w:rsidRPr="00A26052">
        <w:rPr>
          <w:rFonts w:ascii="Arial" w:eastAsia="Calibri" w:hAnsi="Arial" w:cs="Arial"/>
          <w:sz w:val="22"/>
          <w:szCs w:val="22"/>
          <w:lang w:val="es-ES_tradnl"/>
        </w:rPr>
        <w:t xml:space="preserve"> 2.2.1.2.4.2.2. del Decreto 1082 de 2015 que</w:t>
      </w:r>
      <w:r w:rsidR="0003535C" w:rsidRPr="00A26052">
        <w:rPr>
          <w:rFonts w:ascii="Arial" w:eastAsia="Calibri" w:hAnsi="Arial" w:cs="Arial"/>
          <w:sz w:val="22"/>
          <w:szCs w:val="22"/>
          <w:lang w:val="es-ES_tradnl"/>
        </w:rPr>
        <w:t>,</w:t>
      </w:r>
      <w:r w:rsidR="0042226E" w:rsidRPr="00A26052">
        <w:rPr>
          <w:rFonts w:ascii="Arial" w:eastAsia="Calibri" w:hAnsi="Arial" w:cs="Arial"/>
          <w:sz w:val="22"/>
          <w:szCs w:val="22"/>
          <w:lang w:val="es-ES_tradnl"/>
        </w:rPr>
        <w:t xml:space="preserve"> en su texto</w:t>
      </w:r>
      <w:r w:rsidR="0003535C" w:rsidRPr="00A26052">
        <w:rPr>
          <w:rFonts w:ascii="Arial" w:eastAsia="Calibri" w:hAnsi="Arial" w:cs="Arial"/>
          <w:sz w:val="22"/>
          <w:szCs w:val="22"/>
          <w:lang w:val="es-ES_tradnl"/>
        </w:rPr>
        <w:t>,</w:t>
      </w:r>
      <w:r w:rsidR="0042226E" w:rsidRPr="00A26052">
        <w:rPr>
          <w:rFonts w:ascii="Arial" w:eastAsia="Calibri" w:hAnsi="Arial" w:cs="Arial"/>
          <w:sz w:val="22"/>
          <w:szCs w:val="22"/>
          <w:lang w:val="es-ES_tradnl"/>
        </w:rPr>
        <w:t xml:space="preserve"> no sean contrarios a la nueva regulación contenida en el artículo 34 de la Ley 2069 de 2020 pueden seguirse aplicando. </w:t>
      </w:r>
      <w:r w:rsidR="00011EA4" w:rsidRPr="00A26052">
        <w:rPr>
          <w:rFonts w:ascii="Arial" w:eastAsia="Calibri" w:hAnsi="Arial" w:cs="Arial"/>
          <w:sz w:val="22"/>
          <w:szCs w:val="22"/>
          <w:lang w:val="es-ES_tradnl"/>
        </w:rPr>
        <w:t xml:space="preserve">Tal aseveración no </w:t>
      </w:r>
      <w:r w:rsidR="0003535C" w:rsidRPr="00A26052">
        <w:rPr>
          <w:rFonts w:ascii="Arial" w:eastAsia="Calibri" w:hAnsi="Arial" w:cs="Arial"/>
          <w:sz w:val="22"/>
          <w:szCs w:val="22"/>
          <w:lang w:val="es-ES_tradnl"/>
        </w:rPr>
        <w:t>es</w:t>
      </w:r>
      <w:r w:rsidR="00011EA4" w:rsidRPr="00A26052">
        <w:rPr>
          <w:rFonts w:ascii="Arial" w:eastAsia="Calibri" w:hAnsi="Arial" w:cs="Arial"/>
          <w:sz w:val="22"/>
          <w:szCs w:val="22"/>
          <w:lang w:val="es-ES_tradnl"/>
        </w:rPr>
        <w:t xml:space="preserve"> admisible, porque el artículo 34</w:t>
      </w:r>
      <w:r w:rsidR="00C94065" w:rsidRPr="00A26052">
        <w:rPr>
          <w:rFonts w:ascii="Arial" w:eastAsia="Calibri" w:hAnsi="Arial" w:cs="Arial"/>
          <w:sz w:val="22"/>
          <w:szCs w:val="22"/>
          <w:lang w:val="es-ES_tradnl"/>
        </w:rPr>
        <w:t>,</w:t>
      </w:r>
      <w:r w:rsidR="005C721D" w:rsidRPr="00A26052">
        <w:rPr>
          <w:rFonts w:ascii="Arial" w:eastAsia="Calibri" w:hAnsi="Arial" w:cs="Arial"/>
          <w:sz w:val="22"/>
          <w:szCs w:val="22"/>
          <w:lang w:val="es-ES_tradnl"/>
        </w:rPr>
        <w:t xml:space="preserve"> reiteradamente</w:t>
      </w:r>
      <w:r w:rsidR="00C94065" w:rsidRPr="00A26052">
        <w:rPr>
          <w:rFonts w:ascii="Arial" w:eastAsia="Calibri" w:hAnsi="Arial" w:cs="Arial"/>
          <w:sz w:val="22"/>
          <w:szCs w:val="22"/>
          <w:lang w:val="es-ES_tradnl"/>
        </w:rPr>
        <w:t>,</w:t>
      </w:r>
      <w:r w:rsidR="005C721D" w:rsidRPr="00A26052">
        <w:rPr>
          <w:rFonts w:ascii="Arial" w:eastAsia="Calibri" w:hAnsi="Arial" w:cs="Arial"/>
          <w:sz w:val="22"/>
          <w:szCs w:val="22"/>
          <w:lang w:val="es-ES_tradnl"/>
        </w:rPr>
        <w:t xml:space="preserve"> </w:t>
      </w:r>
      <w:r w:rsidR="00774337" w:rsidRPr="00A26052">
        <w:rPr>
          <w:rFonts w:ascii="Arial" w:eastAsia="Calibri" w:hAnsi="Arial" w:cs="Arial"/>
          <w:sz w:val="22"/>
          <w:szCs w:val="22"/>
          <w:lang w:val="es-ES_tradnl"/>
        </w:rPr>
        <w:t xml:space="preserve">señala </w:t>
      </w:r>
      <w:r w:rsidR="0068420B" w:rsidRPr="00A26052">
        <w:rPr>
          <w:rFonts w:ascii="Arial" w:eastAsia="Calibri" w:hAnsi="Arial" w:cs="Arial"/>
          <w:sz w:val="22"/>
          <w:szCs w:val="22"/>
          <w:lang w:val="es-ES_tradnl"/>
        </w:rPr>
        <w:t>que el gobierno nacional debe definir las condiciones para la aplicación de las reglas recientemente expedidas</w:t>
      </w:r>
      <w:r w:rsidR="00774337" w:rsidRPr="00A26052">
        <w:rPr>
          <w:rFonts w:ascii="Arial" w:eastAsia="Calibri" w:hAnsi="Arial" w:cs="Arial"/>
          <w:sz w:val="22"/>
          <w:szCs w:val="22"/>
          <w:lang w:val="es-ES_tradnl"/>
        </w:rPr>
        <w:t>,</w:t>
      </w:r>
      <w:r w:rsidR="0068420B" w:rsidRPr="00A26052">
        <w:rPr>
          <w:rFonts w:ascii="Arial" w:eastAsia="Calibri" w:hAnsi="Arial" w:cs="Arial"/>
          <w:sz w:val="22"/>
          <w:szCs w:val="22"/>
          <w:lang w:val="es-ES_tradnl"/>
        </w:rPr>
        <w:t xml:space="preserve"> que permitan </w:t>
      </w:r>
      <w:r w:rsidR="002212FB" w:rsidRPr="00A26052">
        <w:rPr>
          <w:rFonts w:ascii="Arial" w:eastAsia="Calibri" w:hAnsi="Arial" w:cs="Arial"/>
          <w:sz w:val="22"/>
          <w:szCs w:val="22"/>
          <w:lang w:val="es-ES_tradnl"/>
        </w:rPr>
        <w:t>llevar a cabo las convocatorias limitadas a mipymes, lo cual demuestra la voluntad legislativa de</w:t>
      </w:r>
      <w:r w:rsidR="00607860" w:rsidRPr="00A26052">
        <w:rPr>
          <w:rFonts w:ascii="Arial" w:eastAsia="Calibri" w:hAnsi="Arial" w:cs="Arial"/>
          <w:sz w:val="22"/>
          <w:szCs w:val="22"/>
          <w:lang w:val="es-ES_tradnl"/>
        </w:rPr>
        <w:t xml:space="preserve"> </w:t>
      </w:r>
      <w:r w:rsidR="00774337" w:rsidRPr="00A26052">
        <w:rPr>
          <w:rFonts w:ascii="Arial" w:eastAsia="Calibri" w:hAnsi="Arial" w:cs="Arial"/>
          <w:sz w:val="22"/>
          <w:szCs w:val="22"/>
          <w:lang w:val="es-ES_tradnl"/>
        </w:rPr>
        <w:t xml:space="preserve">establecer </w:t>
      </w:r>
      <w:r w:rsidR="00607860" w:rsidRPr="00A26052">
        <w:rPr>
          <w:rFonts w:ascii="Arial" w:eastAsia="Calibri" w:hAnsi="Arial" w:cs="Arial"/>
          <w:sz w:val="22"/>
          <w:szCs w:val="22"/>
          <w:lang w:val="es-ES_tradnl"/>
        </w:rPr>
        <w:t>la necesidad de una nueva reglamentación de dicha materia.</w:t>
      </w:r>
      <w:r w:rsidR="00774337" w:rsidRPr="00A26052">
        <w:rPr>
          <w:rFonts w:ascii="Arial" w:eastAsia="Calibri" w:hAnsi="Arial" w:cs="Arial"/>
          <w:sz w:val="22"/>
          <w:szCs w:val="22"/>
          <w:lang w:val="es-ES_tradnl"/>
        </w:rPr>
        <w:t xml:space="preserve"> En tal sentido, el gobierno nacional podría, mediante el decreto reglamentario que expida, definir nuevas condiciones </w:t>
      </w:r>
      <w:r w:rsidR="00402FAF" w:rsidRPr="00A26052">
        <w:rPr>
          <w:rFonts w:ascii="Arial" w:eastAsia="Calibri" w:hAnsi="Arial" w:cs="Arial"/>
          <w:sz w:val="22"/>
          <w:szCs w:val="22"/>
          <w:lang w:val="es-ES_tradnl"/>
        </w:rPr>
        <w:t xml:space="preserve">y montos para </w:t>
      </w:r>
      <w:r w:rsidR="00962C93" w:rsidRPr="00A26052">
        <w:rPr>
          <w:rFonts w:ascii="Arial" w:eastAsia="Calibri" w:hAnsi="Arial" w:cs="Arial"/>
          <w:sz w:val="22"/>
          <w:szCs w:val="22"/>
          <w:lang w:val="es-ES_tradnl"/>
        </w:rPr>
        <w:t>las</w:t>
      </w:r>
      <w:r w:rsidR="00402FAF" w:rsidRPr="00A26052">
        <w:rPr>
          <w:rFonts w:ascii="Arial" w:eastAsia="Calibri" w:hAnsi="Arial" w:cs="Arial"/>
          <w:sz w:val="22"/>
          <w:szCs w:val="22"/>
          <w:lang w:val="es-ES_tradnl"/>
        </w:rPr>
        <w:t xml:space="preserve"> convocatorias</w:t>
      </w:r>
      <w:r w:rsidR="00962C93" w:rsidRPr="00A26052">
        <w:rPr>
          <w:rFonts w:ascii="Arial" w:eastAsia="Calibri" w:hAnsi="Arial" w:cs="Arial"/>
          <w:sz w:val="22"/>
          <w:szCs w:val="22"/>
          <w:lang w:val="es-ES_tradnl"/>
        </w:rPr>
        <w:t xml:space="preserve"> limitadas a</w:t>
      </w:r>
      <w:r w:rsidR="007C21E1" w:rsidRPr="00A26052">
        <w:rPr>
          <w:rFonts w:ascii="Arial" w:eastAsia="Calibri" w:hAnsi="Arial" w:cs="Arial"/>
          <w:sz w:val="22"/>
          <w:szCs w:val="22"/>
          <w:lang w:val="es-ES_tradnl"/>
        </w:rPr>
        <w:t xml:space="preserve"> mipymes</w:t>
      </w:r>
      <w:r w:rsidR="00402FAF" w:rsidRPr="00A26052">
        <w:rPr>
          <w:rFonts w:ascii="Arial" w:eastAsia="Calibri" w:hAnsi="Arial" w:cs="Arial"/>
          <w:sz w:val="22"/>
          <w:szCs w:val="22"/>
          <w:lang w:val="es-ES_tradnl"/>
        </w:rPr>
        <w:t xml:space="preserve">. Por ende, mientras ello no suceda, </w:t>
      </w:r>
      <w:r w:rsidR="00D50DB9" w:rsidRPr="00A26052">
        <w:rPr>
          <w:rFonts w:ascii="Arial" w:eastAsia="Calibri" w:hAnsi="Arial" w:cs="Arial"/>
          <w:sz w:val="22"/>
          <w:szCs w:val="22"/>
          <w:lang w:val="es-ES_tradnl"/>
        </w:rPr>
        <w:t>las entidades estatales, los patrimonios autónomos constituidos por estas y los particulares que ejecuten recursos públicos, no pueden</w:t>
      </w:r>
      <w:r w:rsidR="00400E06" w:rsidRPr="00A26052">
        <w:rPr>
          <w:rFonts w:ascii="Arial" w:eastAsia="Calibri" w:hAnsi="Arial" w:cs="Arial"/>
          <w:sz w:val="22"/>
          <w:szCs w:val="22"/>
          <w:lang w:val="es-ES_tradnl"/>
        </w:rPr>
        <w:t xml:space="preserve"> adoptar convocatorias limitadas a mipymes, pues al tenor del artículo 34 de la Ley 2069 de 2020, la eficacia de esta norma quedó condicionada a la expedición del decreto reglamentario que fije las condiciones de su operatividad.   </w:t>
      </w:r>
      <w:r w:rsidR="00D50DB9" w:rsidRPr="00A26052">
        <w:rPr>
          <w:rFonts w:ascii="Arial" w:eastAsia="Calibri" w:hAnsi="Arial" w:cs="Arial"/>
          <w:sz w:val="22"/>
          <w:szCs w:val="22"/>
          <w:lang w:val="es-ES_tradnl"/>
        </w:rPr>
        <w:t xml:space="preserve"> </w:t>
      </w:r>
    </w:p>
    <w:p w14:paraId="7E83BEFA" w14:textId="77777777" w:rsidR="0060009C" w:rsidRPr="00A26052" w:rsidRDefault="0060009C" w:rsidP="00510DE9">
      <w:pPr>
        <w:tabs>
          <w:tab w:val="left" w:pos="0"/>
        </w:tabs>
        <w:jc w:val="both"/>
        <w:rPr>
          <w:rFonts w:ascii="Arial" w:eastAsia="Calibri" w:hAnsi="Arial" w:cs="Arial"/>
          <w:b/>
          <w:sz w:val="22"/>
          <w:lang w:val="es-ES_tradnl"/>
        </w:rPr>
      </w:pPr>
    </w:p>
    <w:p w14:paraId="37CA9805" w14:textId="122A5ECE" w:rsidR="00DD5B04" w:rsidRPr="00A26052" w:rsidRDefault="004177A6" w:rsidP="00510DE9">
      <w:pPr>
        <w:tabs>
          <w:tab w:val="left" w:pos="0"/>
        </w:tabs>
        <w:jc w:val="both"/>
        <w:rPr>
          <w:rFonts w:ascii="Arial" w:eastAsia="Calibri" w:hAnsi="Arial" w:cs="Arial"/>
          <w:b/>
          <w:sz w:val="22"/>
          <w:lang w:val="es-ES_tradnl"/>
        </w:rPr>
      </w:pPr>
      <w:r w:rsidRPr="00A26052">
        <w:rPr>
          <w:rFonts w:ascii="Arial" w:eastAsia="Calibri" w:hAnsi="Arial" w:cs="Arial"/>
          <w:b/>
          <w:sz w:val="22"/>
          <w:lang w:val="es-ES_tradnl"/>
        </w:rPr>
        <w:t>3</w:t>
      </w:r>
      <w:r w:rsidR="00B011A9" w:rsidRPr="00A26052">
        <w:rPr>
          <w:rFonts w:ascii="Arial" w:eastAsia="Calibri" w:hAnsi="Arial" w:cs="Arial"/>
          <w:b/>
          <w:sz w:val="22"/>
          <w:lang w:val="es-ES_tradnl"/>
        </w:rPr>
        <w:t xml:space="preserve">. </w:t>
      </w:r>
      <w:r w:rsidR="00DD5B04" w:rsidRPr="00A26052">
        <w:rPr>
          <w:rFonts w:ascii="Arial" w:eastAsia="Calibri" w:hAnsi="Arial" w:cs="Arial"/>
          <w:b/>
          <w:sz w:val="22"/>
          <w:lang w:val="es-ES_tradnl"/>
        </w:rPr>
        <w:t>Respuesta</w:t>
      </w:r>
      <w:r w:rsidR="002A7D84" w:rsidRPr="00A26052">
        <w:rPr>
          <w:rFonts w:ascii="Arial" w:eastAsia="Calibri" w:hAnsi="Arial" w:cs="Arial"/>
          <w:b/>
          <w:sz w:val="22"/>
          <w:lang w:val="es-ES_tradnl"/>
        </w:rPr>
        <w:t>s</w:t>
      </w:r>
    </w:p>
    <w:p w14:paraId="12DCA9F3" w14:textId="77777777" w:rsidR="004B25D8" w:rsidRPr="00A26052" w:rsidRDefault="004B25D8" w:rsidP="001C2119">
      <w:pPr>
        <w:ind w:right="709"/>
        <w:jc w:val="both"/>
        <w:rPr>
          <w:rFonts w:ascii="Arial" w:hAnsi="Arial" w:cs="Arial"/>
          <w:sz w:val="21"/>
          <w:szCs w:val="21"/>
          <w:lang w:val="es-ES_tradnl"/>
        </w:rPr>
      </w:pPr>
    </w:p>
    <w:p w14:paraId="3E7CB55C" w14:textId="009F1DED" w:rsidR="00DE7C6E" w:rsidRPr="00A26052" w:rsidRDefault="00712044" w:rsidP="004B25D8">
      <w:pPr>
        <w:ind w:left="709" w:right="709"/>
        <w:jc w:val="both"/>
        <w:rPr>
          <w:rFonts w:ascii="Arial" w:eastAsiaTheme="minorHAnsi" w:hAnsi="Arial" w:cs="Arial"/>
          <w:sz w:val="21"/>
          <w:szCs w:val="21"/>
          <w:lang w:eastAsia="en-US"/>
        </w:rPr>
      </w:pPr>
      <w:r w:rsidRPr="00A26052">
        <w:rPr>
          <w:rFonts w:ascii="Arial" w:hAnsi="Arial" w:cs="Arial"/>
          <w:sz w:val="21"/>
          <w:szCs w:val="21"/>
          <w:lang w:val="es-ES_tradnl"/>
        </w:rPr>
        <w:t>«[…]</w:t>
      </w:r>
      <w:r w:rsidRPr="00A26052">
        <w:rPr>
          <w:rFonts w:ascii="Arial" w:eastAsiaTheme="minorHAnsi" w:hAnsi="Arial" w:cs="Arial"/>
          <w:sz w:val="21"/>
          <w:szCs w:val="21"/>
          <w:lang w:eastAsia="en-US"/>
        </w:rPr>
        <w:t xml:space="preserve"> 1. Como debe aplicarse el artículo 2.2.1.2.4.2.2. del decreto 1082 de 2015 respecto a las convocatorias limitadas a </w:t>
      </w:r>
      <w:proofErr w:type="spellStart"/>
      <w:r w:rsidRPr="00A26052">
        <w:rPr>
          <w:rFonts w:ascii="Arial" w:eastAsiaTheme="minorHAnsi" w:hAnsi="Arial" w:cs="Arial"/>
          <w:sz w:val="21"/>
          <w:szCs w:val="21"/>
          <w:lang w:eastAsia="en-US"/>
        </w:rPr>
        <w:t>mipyme</w:t>
      </w:r>
      <w:proofErr w:type="spellEnd"/>
      <w:r w:rsidRPr="00A26052">
        <w:rPr>
          <w:rFonts w:ascii="Arial" w:eastAsiaTheme="minorHAnsi" w:hAnsi="Arial" w:cs="Arial"/>
          <w:sz w:val="21"/>
          <w:szCs w:val="21"/>
          <w:lang w:eastAsia="en-US"/>
        </w:rPr>
        <w:t xml:space="preserve"> frente a lo dispuesto por el artículo 34 de la Ley 2069 de 2020?; 2. El mencionado artículo se encuentra derogado?»</w:t>
      </w:r>
    </w:p>
    <w:p w14:paraId="734BCD29" w14:textId="77777777" w:rsidR="00DA40C1" w:rsidRPr="00A26052" w:rsidRDefault="00DA40C1" w:rsidP="004B25D8">
      <w:pPr>
        <w:ind w:left="709" w:right="709"/>
        <w:jc w:val="both"/>
        <w:rPr>
          <w:rFonts w:ascii="Arial" w:hAnsi="Arial" w:cs="Arial"/>
          <w:sz w:val="21"/>
          <w:szCs w:val="21"/>
          <w:lang w:val="es-ES_tradnl"/>
        </w:rPr>
      </w:pPr>
    </w:p>
    <w:p w14:paraId="4CB83DF1" w14:textId="207F7EBF" w:rsidR="00253723" w:rsidRPr="00A26052" w:rsidRDefault="0039047D" w:rsidP="00DA40C1">
      <w:pPr>
        <w:spacing w:line="276" w:lineRule="auto"/>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De </w:t>
      </w:r>
      <w:r w:rsidR="00407937" w:rsidRPr="00A26052">
        <w:rPr>
          <w:rFonts w:ascii="Arial" w:eastAsia="Calibri" w:hAnsi="Arial" w:cs="Arial"/>
          <w:sz w:val="22"/>
          <w:szCs w:val="22"/>
          <w:lang w:val="es-ES_tradnl"/>
        </w:rPr>
        <w:t>conformidad con lo expuesto</w:t>
      </w:r>
      <w:r w:rsidR="00DA40C1" w:rsidRPr="00A26052">
        <w:rPr>
          <w:rFonts w:ascii="Arial" w:eastAsia="Calibri" w:hAnsi="Arial" w:cs="Arial"/>
          <w:sz w:val="22"/>
          <w:szCs w:val="22"/>
          <w:lang w:val="es-ES_tradnl"/>
        </w:rPr>
        <w:t xml:space="preserve">, </w:t>
      </w:r>
      <w:r w:rsidRPr="00A26052">
        <w:rPr>
          <w:rFonts w:ascii="Arial" w:eastAsia="Calibri" w:hAnsi="Arial" w:cs="Arial"/>
          <w:sz w:val="22"/>
          <w:szCs w:val="22"/>
          <w:lang w:val="es-ES_tradnl"/>
        </w:rPr>
        <w:t xml:space="preserve">el artículo 2.2.1.2.4.2.2. del Decreto 1082 de 2015 </w:t>
      </w:r>
      <w:r w:rsidR="007227EB" w:rsidRPr="00A26052">
        <w:rPr>
          <w:rFonts w:ascii="Arial" w:eastAsia="Calibri" w:hAnsi="Arial" w:cs="Arial"/>
          <w:sz w:val="22"/>
          <w:szCs w:val="22"/>
          <w:lang w:val="es-ES_tradnl"/>
        </w:rPr>
        <w:t xml:space="preserve">no solo ha </w:t>
      </w:r>
      <w:r w:rsidR="00240DA2" w:rsidRPr="00A26052">
        <w:rPr>
          <w:rFonts w:ascii="Arial" w:eastAsia="Calibri" w:hAnsi="Arial" w:cs="Arial"/>
          <w:sz w:val="22"/>
          <w:szCs w:val="22"/>
          <w:lang w:val="es-ES_tradnl"/>
        </w:rPr>
        <w:t xml:space="preserve">perdido fuerza ejecutoria, sino </w:t>
      </w:r>
      <w:r w:rsidR="00407937" w:rsidRPr="00A26052">
        <w:rPr>
          <w:rFonts w:ascii="Arial" w:eastAsia="Calibri" w:hAnsi="Arial" w:cs="Arial"/>
          <w:sz w:val="22"/>
          <w:szCs w:val="22"/>
          <w:lang w:val="es-ES_tradnl"/>
        </w:rPr>
        <w:t>que,</w:t>
      </w:r>
      <w:r w:rsidR="00240DA2" w:rsidRPr="00A26052">
        <w:rPr>
          <w:rFonts w:ascii="Arial" w:eastAsia="Calibri" w:hAnsi="Arial" w:cs="Arial"/>
          <w:sz w:val="22"/>
          <w:szCs w:val="22"/>
          <w:lang w:val="es-ES_tradnl"/>
        </w:rPr>
        <w:t xml:space="preserve"> además, de conformidad con el artículo 84 de la Ley 2069 de 2020, </w:t>
      </w:r>
      <w:r w:rsidR="00444D7D" w:rsidRPr="00A26052">
        <w:rPr>
          <w:rFonts w:ascii="Arial" w:eastAsia="Calibri" w:hAnsi="Arial" w:cs="Arial"/>
          <w:sz w:val="22"/>
          <w:szCs w:val="22"/>
          <w:lang w:val="es-ES_tradnl"/>
        </w:rPr>
        <w:t>ha sido derogado</w:t>
      </w:r>
      <w:r w:rsidR="00407937" w:rsidRPr="00A26052">
        <w:rPr>
          <w:rFonts w:ascii="Arial" w:eastAsia="Calibri" w:hAnsi="Arial" w:cs="Arial"/>
          <w:sz w:val="22"/>
          <w:szCs w:val="22"/>
          <w:lang w:val="es-ES_tradnl"/>
        </w:rPr>
        <w:t xml:space="preserve">, al ser contrario a lo dispuesto en el artículo 34 de </w:t>
      </w:r>
      <w:r w:rsidR="00F53430" w:rsidRPr="00A26052">
        <w:rPr>
          <w:rFonts w:ascii="Arial" w:eastAsia="Calibri" w:hAnsi="Arial" w:cs="Arial"/>
          <w:sz w:val="22"/>
          <w:szCs w:val="22"/>
          <w:lang w:val="es-ES_tradnl"/>
        </w:rPr>
        <w:t>la Ley de Emprendimiento</w:t>
      </w:r>
      <w:r w:rsidR="00407937" w:rsidRPr="00A26052">
        <w:rPr>
          <w:rFonts w:ascii="Arial" w:eastAsia="Calibri" w:hAnsi="Arial" w:cs="Arial"/>
          <w:sz w:val="22"/>
          <w:szCs w:val="22"/>
          <w:lang w:val="es-ES_tradnl"/>
        </w:rPr>
        <w:t>.</w:t>
      </w:r>
    </w:p>
    <w:p w14:paraId="24C8D36F" w14:textId="3E0A8359" w:rsidR="0039047D" w:rsidRPr="00A26052" w:rsidRDefault="0039047D" w:rsidP="00253723">
      <w:pPr>
        <w:spacing w:before="120" w:line="276" w:lineRule="auto"/>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 </w:t>
      </w:r>
      <w:r w:rsidR="00253723" w:rsidRPr="00A26052">
        <w:rPr>
          <w:rFonts w:ascii="Arial" w:eastAsia="Calibri" w:hAnsi="Arial" w:cs="Arial"/>
          <w:sz w:val="22"/>
          <w:szCs w:val="22"/>
          <w:lang w:val="es-ES_tradnl"/>
        </w:rPr>
        <w:tab/>
        <w:t>No resulta</w:t>
      </w:r>
      <w:r w:rsidRPr="00A26052">
        <w:rPr>
          <w:rFonts w:ascii="Arial" w:eastAsia="Calibri" w:hAnsi="Arial" w:cs="Arial"/>
          <w:sz w:val="22"/>
          <w:szCs w:val="22"/>
          <w:lang w:val="es-ES_tradnl"/>
        </w:rPr>
        <w:t xml:space="preserve"> válido aducir que los apartados normativos del artículo 2.2.1.2.4.2.2. del Decreto 1082 de 2015 que, en su texto, no sean contrarios a la nueva regulación contenida en el artículo 34 de la Ley 2069 de 2020 pueden seguirse aplicando. Tal aseveración no es </w:t>
      </w:r>
      <w:r w:rsidRPr="00A26052">
        <w:rPr>
          <w:rFonts w:ascii="Arial" w:eastAsia="Calibri" w:hAnsi="Arial" w:cs="Arial"/>
          <w:sz w:val="22"/>
          <w:szCs w:val="22"/>
          <w:lang w:val="es-ES_tradnl"/>
        </w:rPr>
        <w:lastRenderedPageBreak/>
        <w:t xml:space="preserve">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    </w:t>
      </w:r>
    </w:p>
    <w:p w14:paraId="4EF4A288" w14:textId="148F2864" w:rsidR="0080376A" w:rsidRPr="00A26052" w:rsidRDefault="00DA40C1" w:rsidP="0039047D">
      <w:pPr>
        <w:spacing w:before="120" w:line="276" w:lineRule="auto"/>
        <w:ind w:firstLine="709"/>
        <w:jc w:val="both"/>
        <w:rPr>
          <w:rFonts w:ascii="Arial" w:eastAsia="Calibri" w:hAnsi="Arial" w:cs="Arial"/>
          <w:sz w:val="22"/>
          <w:szCs w:val="22"/>
          <w:lang w:val="es-ES_tradnl"/>
        </w:rPr>
      </w:pPr>
      <w:r w:rsidRPr="00A26052">
        <w:rPr>
          <w:rFonts w:ascii="Arial" w:eastAsia="Calibri" w:hAnsi="Arial" w:cs="Arial"/>
          <w:sz w:val="22"/>
          <w:szCs w:val="22"/>
          <w:lang w:val="es-ES_tradnl"/>
        </w:rPr>
        <w:t xml:space="preserve">Por otro lado, en </w:t>
      </w:r>
      <w:r w:rsidR="0080376A" w:rsidRPr="00A26052">
        <w:rPr>
          <w:rFonts w:ascii="Arial" w:eastAsia="Calibri" w:hAnsi="Arial" w:cs="Arial"/>
          <w:sz w:val="22"/>
          <w:szCs w:val="22"/>
          <w:lang w:val="es-ES_tradnl"/>
        </w:rPr>
        <w:t xml:space="preserve">atención a la solicitud de copias del concepto C-043 del 2021 formulada por la peticionaria, </w:t>
      </w:r>
      <w:r w:rsidRPr="00A26052">
        <w:rPr>
          <w:rFonts w:ascii="Arial" w:eastAsia="Calibri" w:hAnsi="Arial" w:cs="Arial"/>
          <w:sz w:val="22"/>
          <w:szCs w:val="22"/>
          <w:lang w:val="es-ES_tradnl"/>
        </w:rPr>
        <w:t xml:space="preserve">se remite copia </w:t>
      </w:r>
      <w:proofErr w:type="gramStart"/>
      <w:r w:rsidRPr="00A26052">
        <w:rPr>
          <w:rFonts w:ascii="Arial" w:eastAsia="Calibri" w:hAnsi="Arial" w:cs="Arial"/>
          <w:sz w:val="22"/>
          <w:szCs w:val="22"/>
          <w:lang w:val="es-ES_tradnl"/>
        </w:rPr>
        <w:t>del mismo</w:t>
      </w:r>
      <w:proofErr w:type="gramEnd"/>
      <w:r w:rsidRPr="00A26052">
        <w:rPr>
          <w:rFonts w:ascii="Arial" w:eastAsia="Calibri" w:hAnsi="Arial" w:cs="Arial"/>
          <w:sz w:val="22"/>
          <w:szCs w:val="22"/>
          <w:lang w:val="es-ES_tradnl"/>
        </w:rPr>
        <w:t xml:space="preserve"> en</w:t>
      </w:r>
      <w:r w:rsidR="007C227C" w:rsidRPr="00A26052">
        <w:rPr>
          <w:rFonts w:ascii="Arial" w:eastAsia="Calibri" w:hAnsi="Arial" w:cs="Arial"/>
          <w:sz w:val="22"/>
          <w:szCs w:val="22"/>
          <w:lang w:val="es-ES_tradnl"/>
        </w:rPr>
        <w:t xml:space="preserve"> archivo con formato PDF de</w:t>
      </w:r>
      <w:r w:rsidRPr="00A26052">
        <w:rPr>
          <w:rFonts w:ascii="Arial" w:eastAsia="Calibri" w:hAnsi="Arial" w:cs="Arial"/>
          <w:sz w:val="22"/>
          <w:szCs w:val="22"/>
          <w:lang w:val="es-ES_tradnl"/>
        </w:rPr>
        <w:t xml:space="preserve"> </w:t>
      </w:r>
      <w:r w:rsidR="00A02EF9" w:rsidRPr="00A26052">
        <w:rPr>
          <w:rFonts w:ascii="Arial" w:eastAsia="Calibri" w:hAnsi="Arial" w:cs="Arial"/>
          <w:sz w:val="22"/>
          <w:szCs w:val="22"/>
          <w:lang w:val="es-ES_tradnl"/>
        </w:rPr>
        <w:t>veinte (20) folios.</w:t>
      </w:r>
    </w:p>
    <w:p w14:paraId="64E1CB54" w14:textId="77777777" w:rsidR="00DA36B3" w:rsidRPr="00A26052" w:rsidRDefault="00DA36B3" w:rsidP="009100A1">
      <w:pPr>
        <w:spacing w:line="276" w:lineRule="auto"/>
        <w:ind w:firstLine="709"/>
        <w:jc w:val="both"/>
        <w:rPr>
          <w:rFonts w:ascii="Arial" w:hAnsi="Arial" w:cs="Arial"/>
          <w:sz w:val="22"/>
          <w:szCs w:val="22"/>
          <w:lang w:val="es-ES_tradnl"/>
        </w:rPr>
      </w:pPr>
    </w:p>
    <w:p w14:paraId="35405C2F" w14:textId="77777777" w:rsidR="0080376A" w:rsidRPr="00A26052" w:rsidRDefault="00DD5B04" w:rsidP="0080376A">
      <w:pPr>
        <w:spacing w:line="276" w:lineRule="auto"/>
        <w:jc w:val="both"/>
        <w:rPr>
          <w:rFonts w:ascii="Arial" w:hAnsi="Arial" w:cs="Arial"/>
          <w:sz w:val="22"/>
          <w:szCs w:val="22"/>
          <w:lang w:val="es-ES_tradnl"/>
        </w:rPr>
      </w:pPr>
      <w:r w:rsidRPr="00A26052">
        <w:rPr>
          <w:rFonts w:ascii="Arial" w:hAnsi="Arial" w:cs="Arial"/>
          <w:sz w:val="22"/>
          <w:szCs w:val="22"/>
          <w:lang w:val="es-ES_tradnl"/>
        </w:rPr>
        <w:t>Este concepto tiene el alcance previsto en el artículo 28 del Código de Procedimiento Administrativo y de lo Contencioso Administrativo.</w:t>
      </w:r>
    </w:p>
    <w:p w14:paraId="2CCA8B64" w14:textId="77777777" w:rsidR="0080376A" w:rsidRPr="00A26052" w:rsidRDefault="0080376A" w:rsidP="0080376A">
      <w:pPr>
        <w:spacing w:line="276" w:lineRule="auto"/>
        <w:rPr>
          <w:rFonts w:ascii="Arial" w:hAnsi="Arial" w:cs="Arial"/>
          <w:sz w:val="22"/>
          <w:szCs w:val="22"/>
          <w:lang w:eastAsia="es-CO"/>
        </w:rPr>
      </w:pPr>
    </w:p>
    <w:p w14:paraId="011D45FA" w14:textId="78854C3C" w:rsidR="0080376A" w:rsidRPr="00A26052" w:rsidRDefault="0080376A" w:rsidP="0080376A">
      <w:pPr>
        <w:spacing w:line="276" w:lineRule="auto"/>
        <w:rPr>
          <w:rFonts w:ascii="Arial" w:hAnsi="Arial" w:cs="Arial"/>
          <w:sz w:val="22"/>
          <w:szCs w:val="22"/>
        </w:rPr>
      </w:pPr>
      <w:r w:rsidRPr="00A26052">
        <w:rPr>
          <w:noProof/>
          <w:sz w:val="22"/>
          <w:szCs w:val="22"/>
        </w:rPr>
        <w:drawing>
          <wp:anchor distT="0" distB="0" distL="114300" distR="114300" simplePos="0" relativeHeight="251659264" behindDoc="0" locked="0" layoutInCell="1" allowOverlap="1" wp14:anchorId="299420A2" wp14:editId="32B4B8E6">
            <wp:simplePos x="0" y="0"/>
            <wp:positionH relativeFrom="margin">
              <wp:align>center</wp:align>
            </wp:positionH>
            <wp:positionV relativeFrom="paragraph">
              <wp:posOffset>13827</wp:posOffset>
            </wp:positionV>
            <wp:extent cx="3008630" cy="1504315"/>
            <wp:effectExtent l="0" t="0" r="1270" b="63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8630" cy="1504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052">
        <w:rPr>
          <w:rFonts w:ascii="Arial" w:hAnsi="Arial" w:cs="Arial"/>
          <w:sz w:val="22"/>
          <w:szCs w:val="22"/>
          <w:lang w:eastAsia="es-CO"/>
        </w:rPr>
        <w:t>Atentamente,</w:t>
      </w:r>
    </w:p>
    <w:p w14:paraId="5B12458F" w14:textId="77777777" w:rsidR="0080376A" w:rsidRPr="00A26052" w:rsidRDefault="0080376A" w:rsidP="0080376A">
      <w:pPr>
        <w:jc w:val="both"/>
        <w:rPr>
          <w:rFonts w:ascii="Arial" w:hAnsi="Arial" w:cs="Arial"/>
          <w:lang w:eastAsia="es-CO"/>
        </w:rPr>
      </w:pPr>
    </w:p>
    <w:p w14:paraId="67037290" w14:textId="77777777" w:rsidR="0080376A" w:rsidRPr="00A26052" w:rsidRDefault="0080376A" w:rsidP="0080376A">
      <w:pPr>
        <w:spacing w:after="18"/>
        <w:jc w:val="center"/>
        <w:rPr>
          <w:rFonts w:ascii="Arial" w:hAnsi="Arial" w:cs="Arial"/>
          <w:lang w:eastAsia="es-CO"/>
        </w:rPr>
      </w:pPr>
    </w:p>
    <w:p w14:paraId="0A4EEE09" w14:textId="77777777" w:rsidR="0080376A" w:rsidRPr="00A26052" w:rsidRDefault="0080376A" w:rsidP="0080376A">
      <w:pPr>
        <w:spacing w:after="18"/>
        <w:jc w:val="center"/>
        <w:rPr>
          <w:rFonts w:ascii="Arial" w:hAnsi="Arial" w:cs="Arial"/>
          <w:lang w:eastAsia="es-CO"/>
        </w:rPr>
      </w:pPr>
    </w:p>
    <w:p w14:paraId="110E7C14" w14:textId="77777777" w:rsidR="0080376A" w:rsidRPr="00A26052" w:rsidRDefault="0080376A" w:rsidP="0080376A">
      <w:pPr>
        <w:spacing w:after="18"/>
        <w:jc w:val="center"/>
        <w:rPr>
          <w:rFonts w:ascii="Arial" w:hAnsi="Arial" w:cs="Arial"/>
          <w:lang w:eastAsia="es-CO"/>
        </w:rPr>
      </w:pPr>
    </w:p>
    <w:p w14:paraId="73BAD691" w14:textId="77777777" w:rsidR="0080376A" w:rsidRPr="00A26052" w:rsidRDefault="0080376A" w:rsidP="0080376A">
      <w:pPr>
        <w:spacing w:after="18"/>
        <w:jc w:val="center"/>
        <w:rPr>
          <w:rFonts w:ascii="Arial" w:hAnsi="Arial" w:cs="Arial"/>
          <w:lang w:eastAsia="es-CO"/>
        </w:rPr>
      </w:pPr>
    </w:p>
    <w:p w14:paraId="61C66791" w14:textId="77777777" w:rsidR="0080376A" w:rsidRPr="00A26052" w:rsidRDefault="0080376A" w:rsidP="0080376A">
      <w:pPr>
        <w:spacing w:after="18"/>
        <w:jc w:val="center"/>
        <w:rPr>
          <w:rFonts w:ascii="Arial" w:hAnsi="Arial" w:cs="Arial"/>
          <w:lang w:eastAsia="es-CO"/>
        </w:rPr>
      </w:pPr>
    </w:p>
    <w:p w14:paraId="13801F4A" w14:textId="7186ED44" w:rsidR="0080376A" w:rsidRPr="00A26052" w:rsidRDefault="0080376A" w:rsidP="0080376A">
      <w:pPr>
        <w:spacing w:after="18"/>
        <w:jc w:val="center"/>
        <w:rPr>
          <w:rFonts w:ascii="Arial" w:hAnsi="Arial" w:cs="Arial"/>
          <w:lang w:eastAsia="es-CO"/>
        </w:rPr>
      </w:pPr>
    </w:p>
    <w:p w14:paraId="604936B9" w14:textId="77777777" w:rsidR="0080376A" w:rsidRPr="00A26052" w:rsidRDefault="0080376A" w:rsidP="0080376A">
      <w:pPr>
        <w:spacing w:after="18"/>
        <w:jc w:val="center"/>
        <w:rPr>
          <w:rFonts w:ascii="Arial" w:hAnsi="Arial" w:cs="Arial"/>
          <w:lang w:eastAsia="es-CO"/>
        </w:rPr>
      </w:pPr>
    </w:p>
    <w:p w14:paraId="353D05CB" w14:textId="77777777" w:rsidR="0080376A" w:rsidRPr="00A26052" w:rsidRDefault="0080376A" w:rsidP="0080376A">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0B046C" w:rsidRPr="00A26052" w14:paraId="03974E28" w14:textId="77777777" w:rsidTr="00BB6A6E">
        <w:trPr>
          <w:trHeight w:val="286"/>
        </w:trPr>
        <w:tc>
          <w:tcPr>
            <w:tcW w:w="886" w:type="dxa"/>
            <w:vAlign w:val="center"/>
            <w:hideMark/>
          </w:tcPr>
          <w:p w14:paraId="01140129"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Alejandro Sarmiento Cantillo</w:t>
            </w:r>
          </w:p>
          <w:p w14:paraId="1886B9EC"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Gestor T1-11 de la Subdirección de Gestión Contractual</w:t>
            </w:r>
          </w:p>
        </w:tc>
      </w:tr>
      <w:tr w:rsidR="000B046C" w:rsidRPr="00A26052" w14:paraId="1C6D880D" w14:textId="77777777" w:rsidTr="00BB6A6E">
        <w:trPr>
          <w:trHeight w:val="299"/>
        </w:trPr>
        <w:tc>
          <w:tcPr>
            <w:tcW w:w="886" w:type="dxa"/>
            <w:vAlign w:val="center"/>
          </w:tcPr>
          <w:p w14:paraId="5E9E0994"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Juan David Montoya Penagos</w:t>
            </w:r>
          </w:p>
          <w:p w14:paraId="5B170026"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 xml:space="preserve">Gestor T1-15 de la Subdirección de Gestión Contractual  </w:t>
            </w:r>
          </w:p>
        </w:tc>
      </w:tr>
      <w:tr w:rsidR="000B046C" w:rsidRPr="00A26052" w14:paraId="69EA51B1" w14:textId="77777777" w:rsidTr="00BB6A6E">
        <w:trPr>
          <w:trHeight w:val="272"/>
        </w:trPr>
        <w:tc>
          <w:tcPr>
            <w:tcW w:w="886" w:type="dxa"/>
            <w:vAlign w:val="center"/>
            <w:hideMark/>
          </w:tcPr>
          <w:p w14:paraId="310910D2"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Jorge Augusto Tirado Navarro</w:t>
            </w:r>
          </w:p>
          <w:p w14:paraId="3019D417" w14:textId="77777777" w:rsidR="0080376A" w:rsidRPr="00A26052" w:rsidRDefault="0080376A" w:rsidP="00BB6A6E">
            <w:pPr>
              <w:rPr>
                <w:rFonts w:ascii="Arial" w:hAnsi="Arial" w:cs="Arial"/>
                <w:sz w:val="14"/>
                <w:szCs w:val="14"/>
                <w:lang w:eastAsia="es-ES"/>
              </w:rPr>
            </w:pPr>
            <w:r w:rsidRPr="00A26052">
              <w:rPr>
                <w:rFonts w:ascii="Arial" w:hAnsi="Arial" w:cs="Arial"/>
                <w:sz w:val="14"/>
                <w:szCs w:val="14"/>
                <w:lang w:eastAsia="es-ES"/>
              </w:rPr>
              <w:t>Subdirector de Gestión Contractual</w:t>
            </w:r>
          </w:p>
        </w:tc>
      </w:tr>
      <w:tr w:rsidR="00A02EF9" w:rsidRPr="000B046C" w14:paraId="50CFBC4A" w14:textId="77777777" w:rsidTr="00BB6A6E">
        <w:trPr>
          <w:trHeight w:val="272"/>
        </w:trPr>
        <w:tc>
          <w:tcPr>
            <w:tcW w:w="886" w:type="dxa"/>
            <w:vAlign w:val="center"/>
          </w:tcPr>
          <w:p w14:paraId="51793ED3" w14:textId="07826245" w:rsidR="00A02EF9" w:rsidRPr="00A26052" w:rsidRDefault="00A02EF9" w:rsidP="00BB6A6E">
            <w:pPr>
              <w:rPr>
                <w:rFonts w:ascii="Arial" w:hAnsi="Arial" w:cs="Arial"/>
                <w:sz w:val="14"/>
                <w:szCs w:val="14"/>
                <w:lang w:eastAsia="es-ES"/>
              </w:rPr>
            </w:pPr>
            <w:r w:rsidRPr="00A26052">
              <w:rPr>
                <w:rFonts w:ascii="Arial" w:hAnsi="Arial" w:cs="Arial"/>
                <w:sz w:val="14"/>
                <w:szCs w:val="14"/>
                <w:lang w:eastAsia="es-ES"/>
              </w:rPr>
              <w:t>Anexos:</w:t>
            </w:r>
          </w:p>
        </w:tc>
        <w:tc>
          <w:tcPr>
            <w:tcW w:w="4003" w:type="dxa"/>
            <w:tcBorders>
              <w:top w:val="dotted" w:sz="4" w:space="0" w:color="7F7F7F"/>
              <w:left w:val="nil"/>
              <w:bottom w:val="dotted" w:sz="4" w:space="0" w:color="7F7F7F"/>
              <w:right w:val="nil"/>
            </w:tcBorders>
            <w:vAlign w:val="center"/>
          </w:tcPr>
          <w:p w14:paraId="336BFCD8" w14:textId="7B191D7E" w:rsidR="00A02EF9" w:rsidRPr="000B046C" w:rsidRDefault="007C227C" w:rsidP="00BB6A6E">
            <w:pPr>
              <w:rPr>
                <w:rFonts w:ascii="Arial" w:hAnsi="Arial" w:cs="Arial"/>
                <w:sz w:val="14"/>
                <w:szCs w:val="14"/>
                <w:lang w:eastAsia="es-ES"/>
              </w:rPr>
            </w:pPr>
            <w:r w:rsidRPr="00A26052">
              <w:rPr>
                <w:rFonts w:ascii="Arial" w:hAnsi="Arial" w:cs="Arial"/>
                <w:sz w:val="14"/>
                <w:szCs w:val="14"/>
                <w:lang w:eastAsia="es-ES"/>
              </w:rPr>
              <w:t xml:space="preserve">Archivo en formato PDF del </w:t>
            </w:r>
            <w:r w:rsidR="00A02EF9" w:rsidRPr="00A26052">
              <w:rPr>
                <w:rFonts w:ascii="Arial" w:hAnsi="Arial" w:cs="Arial"/>
                <w:sz w:val="14"/>
                <w:szCs w:val="14"/>
                <w:lang w:eastAsia="es-ES"/>
              </w:rPr>
              <w:t>Concepto C-043 de 2021 en veinte (20) folios.</w:t>
            </w:r>
            <w:r w:rsidRPr="000B046C">
              <w:rPr>
                <w:rFonts w:ascii="Arial" w:hAnsi="Arial" w:cs="Arial"/>
                <w:sz w:val="14"/>
                <w:szCs w:val="14"/>
                <w:lang w:eastAsia="es-ES"/>
              </w:rPr>
              <w:t xml:space="preserve"> </w:t>
            </w:r>
          </w:p>
        </w:tc>
      </w:tr>
    </w:tbl>
    <w:p w14:paraId="5D4CDD3F" w14:textId="77777777" w:rsidR="0080376A" w:rsidRPr="000B046C" w:rsidRDefault="0080376A" w:rsidP="0080376A">
      <w:pPr>
        <w:rPr>
          <w:rFonts w:ascii="Arial" w:hAnsi="Arial" w:cs="Arial"/>
          <w:lang w:eastAsia="es-ES"/>
        </w:rPr>
      </w:pPr>
    </w:p>
    <w:p w14:paraId="35B56F46" w14:textId="68D0B3F1" w:rsidR="00746E08" w:rsidRPr="000B046C" w:rsidRDefault="00746E08" w:rsidP="0080376A">
      <w:pPr>
        <w:spacing w:line="276" w:lineRule="auto"/>
        <w:jc w:val="both"/>
        <w:rPr>
          <w:rFonts w:ascii="Arial" w:hAnsi="Arial" w:cs="Arial"/>
          <w:lang w:val="es-ES_tradnl"/>
        </w:rPr>
      </w:pPr>
    </w:p>
    <w:sectPr w:rsidR="00746E08" w:rsidRPr="000B046C"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A9420" w14:textId="77777777" w:rsidR="00C75936" w:rsidRDefault="00C75936">
      <w:r>
        <w:separator/>
      </w:r>
    </w:p>
  </w:endnote>
  <w:endnote w:type="continuationSeparator" w:id="0">
    <w:p w14:paraId="77517F3A" w14:textId="77777777" w:rsidR="00C75936" w:rsidRDefault="00C75936">
      <w:r>
        <w:continuationSeparator/>
      </w:r>
    </w:p>
  </w:endnote>
  <w:endnote w:type="continuationNotice" w:id="1">
    <w:p w14:paraId="41E4F6DF" w14:textId="77777777" w:rsidR="00C75936" w:rsidRDefault="00C75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25234D" w14:textId="77777777" w:rsidR="00C75936" w:rsidRDefault="00C75936">
      <w:r>
        <w:separator/>
      </w:r>
    </w:p>
  </w:footnote>
  <w:footnote w:type="continuationSeparator" w:id="0">
    <w:p w14:paraId="61D11C3D" w14:textId="77777777" w:rsidR="00C75936" w:rsidRDefault="00C75936">
      <w:r>
        <w:continuationSeparator/>
      </w:r>
    </w:p>
  </w:footnote>
  <w:footnote w:type="continuationNotice" w:id="1">
    <w:p w14:paraId="4ABB3B19" w14:textId="77777777" w:rsidR="00C75936" w:rsidRDefault="00C75936"/>
  </w:footnote>
  <w:footnote w:id="2">
    <w:p w14:paraId="79F1759F"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3F3A4C1F" w14:textId="77777777" w:rsidR="00C47F18" w:rsidRPr="008640C4" w:rsidRDefault="00C47F18" w:rsidP="00C47F18">
      <w:pPr>
        <w:pStyle w:val="Textonotapie"/>
        <w:ind w:firstLine="709"/>
        <w:jc w:val="both"/>
        <w:rPr>
          <w:rFonts w:ascii="Arial" w:hAnsi="Arial" w:cs="Arial"/>
          <w:sz w:val="19"/>
          <w:szCs w:val="19"/>
          <w:lang w:val="es-ES"/>
        </w:rPr>
      </w:pPr>
    </w:p>
  </w:footnote>
  <w:footnote w:id="3">
    <w:p w14:paraId="3A8728BD"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6E32AE94" w14:textId="77777777" w:rsidR="00C47F18" w:rsidRPr="008640C4" w:rsidRDefault="00C47F18" w:rsidP="00C47F18">
      <w:pPr>
        <w:pStyle w:val="Textonotapie"/>
        <w:ind w:firstLine="709"/>
        <w:jc w:val="both"/>
        <w:rPr>
          <w:rFonts w:ascii="Arial" w:hAnsi="Arial" w:cs="Arial"/>
          <w:sz w:val="19"/>
          <w:szCs w:val="19"/>
          <w:lang w:val="es-ES"/>
        </w:rPr>
      </w:pPr>
    </w:p>
  </w:footnote>
  <w:footnote w:id="4">
    <w:p w14:paraId="29604E64"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EAC1815" w14:textId="77777777" w:rsidR="00C47F18" w:rsidRPr="008640C4" w:rsidRDefault="00C47F18" w:rsidP="00C47F18">
      <w:pPr>
        <w:pStyle w:val="Textonotapie"/>
        <w:ind w:firstLine="709"/>
        <w:jc w:val="both"/>
        <w:rPr>
          <w:rFonts w:ascii="Arial" w:hAnsi="Arial" w:cs="Arial"/>
          <w:sz w:val="19"/>
          <w:szCs w:val="19"/>
          <w:lang w:val="es-ES"/>
        </w:rPr>
      </w:pPr>
    </w:p>
  </w:footnote>
  <w:footnote w:id="5">
    <w:p w14:paraId="5B24E1F3"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0FD1F17" w14:textId="77777777" w:rsidR="00C47F18" w:rsidRPr="008640C4" w:rsidRDefault="00C47F18" w:rsidP="00C47F18">
      <w:pPr>
        <w:pStyle w:val="Textonotapie"/>
        <w:ind w:firstLine="709"/>
        <w:jc w:val="both"/>
        <w:rPr>
          <w:rFonts w:ascii="Arial" w:hAnsi="Arial" w:cs="Arial"/>
          <w:sz w:val="19"/>
          <w:szCs w:val="19"/>
          <w:lang w:val="es-ES"/>
        </w:rPr>
      </w:pPr>
    </w:p>
  </w:footnote>
  <w:footnote w:id="6">
    <w:p w14:paraId="799E79D6"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4FB507B1" w14:textId="77777777" w:rsidR="00C47F18" w:rsidRPr="008640C4" w:rsidRDefault="00C47F18" w:rsidP="00C47F18">
      <w:pPr>
        <w:pStyle w:val="Textonotapie"/>
        <w:ind w:firstLine="709"/>
        <w:jc w:val="both"/>
        <w:rPr>
          <w:rFonts w:ascii="Arial" w:hAnsi="Arial" w:cs="Arial"/>
          <w:sz w:val="19"/>
          <w:szCs w:val="19"/>
          <w:lang w:val="es-ES"/>
        </w:rPr>
      </w:pPr>
    </w:p>
  </w:footnote>
  <w:footnote w:id="7">
    <w:p w14:paraId="007B2DE8" w14:textId="11F1F723" w:rsidR="005F0B10" w:rsidRPr="005F0B10" w:rsidRDefault="00903C57" w:rsidP="005F0B10">
      <w:pPr>
        <w:ind w:firstLine="709"/>
        <w:jc w:val="both"/>
        <w:rPr>
          <w:rFonts w:ascii="Arial" w:hAnsi="Arial" w:cs="Arial"/>
          <w:sz w:val="19"/>
          <w:szCs w:val="19"/>
        </w:rPr>
      </w:pPr>
      <w:r w:rsidRPr="005F0B10">
        <w:rPr>
          <w:rStyle w:val="Refdenotaalpie"/>
          <w:rFonts w:ascii="Arial" w:hAnsi="Arial" w:cs="Arial"/>
          <w:sz w:val="19"/>
          <w:szCs w:val="19"/>
        </w:rPr>
        <w:footnoteRef/>
      </w:r>
      <w:r w:rsidRPr="005F0B10">
        <w:rPr>
          <w:rFonts w:ascii="Arial" w:hAnsi="Arial" w:cs="Arial"/>
          <w:sz w:val="19"/>
          <w:szCs w:val="19"/>
        </w:rPr>
        <w:t xml:space="preserve"> </w:t>
      </w:r>
      <w:r w:rsidRPr="005F0B10">
        <w:rPr>
          <w:rFonts w:ascii="Arial" w:hAnsi="Arial" w:cs="Arial"/>
          <w:sz w:val="19"/>
          <w:szCs w:val="19"/>
          <w:lang w:val="es-ES"/>
        </w:rPr>
        <w:t xml:space="preserve">En efecto, el artículo </w:t>
      </w:r>
      <w:r w:rsidR="00231A18" w:rsidRPr="005F0B10">
        <w:rPr>
          <w:rFonts w:ascii="Arial" w:hAnsi="Arial" w:cs="Arial"/>
          <w:sz w:val="19"/>
          <w:szCs w:val="19"/>
          <w:lang w:val="es-ES"/>
        </w:rPr>
        <w:t xml:space="preserve">34 de la Ley 2069 de 2020 establece: </w:t>
      </w:r>
      <w:r w:rsidR="005F0B10" w:rsidRPr="005F0B10">
        <w:rPr>
          <w:rFonts w:ascii="Arial" w:hAnsi="Arial" w:cs="Arial"/>
          <w:sz w:val="19"/>
          <w:szCs w:val="19"/>
          <w:lang w:val="es-ES"/>
        </w:rPr>
        <w:t>«</w:t>
      </w:r>
      <w:r w:rsidR="005F0B10" w:rsidRPr="005F0B10">
        <w:rPr>
          <w:rFonts w:ascii="Arial" w:hAnsi="Arial" w:cs="Arial"/>
          <w:sz w:val="19"/>
          <w:szCs w:val="19"/>
        </w:rPr>
        <w:t xml:space="preserve">Modifíquese el artículo 12 de la Ley 1150 de 2007, el cual quedará así: </w:t>
      </w:r>
    </w:p>
    <w:p w14:paraId="5B3EECC1" w14:textId="7C5050AB" w:rsidR="00231A18" w:rsidRPr="005F0B10" w:rsidRDefault="005F0B10" w:rsidP="005F0B10">
      <w:pPr>
        <w:ind w:firstLine="709"/>
        <w:jc w:val="both"/>
        <w:rPr>
          <w:rFonts w:ascii="Arial" w:eastAsia="Calibri" w:hAnsi="Arial" w:cs="Arial"/>
          <w:color w:val="000000" w:themeColor="text1"/>
          <w:sz w:val="19"/>
          <w:szCs w:val="19"/>
          <w:lang w:val="es-ES_tradnl"/>
        </w:rPr>
      </w:pPr>
      <w:r w:rsidRPr="005F0B10">
        <w:rPr>
          <w:rFonts w:ascii="Arial" w:eastAsia="Calibri" w:hAnsi="Arial" w:cs="Arial"/>
          <w:color w:val="000000" w:themeColor="text1"/>
          <w:sz w:val="19"/>
          <w:szCs w:val="19"/>
        </w:rPr>
        <w:t>»</w:t>
      </w:r>
      <w:r w:rsidR="00231A18" w:rsidRPr="005F0B10">
        <w:rPr>
          <w:rFonts w:ascii="Arial" w:eastAsia="Calibri" w:hAnsi="Arial" w:cs="Arial"/>
          <w:color w:val="000000" w:themeColor="text1"/>
          <w:sz w:val="19"/>
          <w:szCs w:val="19"/>
          <w:lang w:val="es-ES_tradnl"/>
        </w:rPr>
        <w:t>"</w:t>
      </w:r>
      <w:r w:rsidRPr="005F0B10">
        <w:rPr>
          <w:rFonts w:ascii="Arial" w:eastAsia="Calibri" w:hAnsi="Arial" w:cs="Arial"/>
          <w:color w:val="000000" w:themeColor="text1"/>
          <w:sz w:val="19"/>
          <w:szCs w:val="19"/>
          <w:lang w:val="es-ES_tradnl"/>
        </w:rPr>
        <w:t>Artículo</w:t>
      </w:r>
      <w:r w:rsidR="00231A18" w:rsidRPr="005F0B10">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w:t>
      </w:r>
    </w:p>
    <w:p w14:paraId="58FA426A" w14:textId="303369BB"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Asimismo</w:t>
      </w:r>
      <w:proofErr w:type="gramEnd"/>
      <w:r w:rsidR="00231A18" w:rsidRPr="005F0B10">
        <w:rPr>
          <w:rFonts w:ascii="Arial" w:eastAsia="Calibri" w:hAnsi="Arial" w:cs="Arial"/>
          <w:color w:val="000000" w:themeColor="text1"/>
          <w:sz w:val="19"/>
          <w:szCs w:val="19"/>
          <w:lang w:val="es-ES_tradnl"/>
        </w:rPr>
        <w:t xml:space="preserve">, el reglamento podrá establecer condiciones preferenciales a favor de la oferta de bienes y servicios producidos por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18EBE081" w14:textId="1BBDB92E"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En</w:t>
      </w:r>
      <w:proofErr w:type="gramEnd"/>
      <w:r w:rsidR="00231A18" w:rsidRPr="005F0B10">
        <w:rPr>
          <w:rFonts w:ascii="Arial" w:eastAsia="Calibri" w:hAnsi="Arial" w:cs="Arial"/>
          <w:color w:val="000000" w:themeColor="text1"/>
          <w:sz w:val="19"/>
          <w:szCs w:val="19"/>
          <w:lang w:val="es-ES_tradnl"/>
        </w:rPr>
        <w:t xml:space="preserve"> todo caso, se deberá garantizar la satisfacción de las condiciones técnicas y económicas requeridas en el Proceso de Contratación.</w:t>
      </w:r>
    </w:p>
    <w:p w14:paraId="0B8E2E25" w14:textId="120EFCBF"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De</w:t>
      </w:r>
      <w:proofErr w:type="gramEnd"/>
      <w:r w:rsidR="00231A18" w:rsidRPr="005F0B10">
        <w:rPr>
          <w:rFonts w:ascii="Arial" w:eastAsia="Calibri" w:hAnsi="Arial" w:cs="Arial"/>
          <w:color w:val="000000" w:themeColor="text1"/>
          <w:sz w:val="19"/>
          <w:szCs w:val="19"/>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»Parágrafo</w:t>
      </w:r>
      <w:proofErr w:type="gramEnd"/>
      <w:r w:rsidRPr="005F0B10">
        <w:rPr>
          <w:rFonts w:ascii="Arial" w:eastAsia="Calibri" w:hAnsi="Arial" w:cs="Arial"/>
          <w:color w:val="000000" w:themeColor="text1"/>
          <w:sz w:val="19"/>
          <w:szCs w:val="19"/>
          <w:lang w:val="es-ES_tradnl"/>
        </w:rPr>
        <w:t xml:space="preserve"> Primero</w:t>
      </w:r>
      <w:r w:rsidR="00231A18" w:rsidRPr="005F0B10">
        <w:rPr>
          <w:rFonts w:ascii="Arial" w:eastAsia="Calibri" w:hAnsi="Arial" w:cs="Arial"/>
          <w:color w:val="000000" w:themeColor="text1"/>
          <w:sz w:val="19"/>
          <w:szCs w:val="19"/>
          <w:lang w:val="es-ES_tradnl"/>
        </w:rPr>
        <w:t xml:space="preserve">. En los Procesos de Contratación que se desarrollen con base en el primer inciso, las entidades podrán realizar las convocatorias limitadas que beneficien a las </w:t>
      </w:r>
      <w:proofErr w:type="spellStart"/>
      <w:r w:rsidR="00231A18" w:rsidRPr="005F0B10">
        <w:rPr>
          <w:rFonts w:ascii="Arial" w:eastAsia="Calibri" w:hAnsi="Arial" w:cs="Arial"/>
          <w:color w:val="000000" w:themeColor="text1"/>
          <w:sz w:val="19"/>
          <w:szCs w:val="19"/>
          <w:lang w:val="es-ES_tradnl"/>
        </w:rPr>
        <w:t>Mipyme</w:t>
      </w:r>
      <w:proofErr w:type="spellEnd"/>
      <w:r w:rsidR="00231A18" w:rsidRPr="005F0B10">
        <w:rPr>
          <w:rFonts w:ascii="Arial" w:eastAsia="Calibri" w:hAnsi="Arial" w:cs="Arial"/>
          <w:color w:val="000000" w:themeColor="text1"/>
          <w:sz w:val="19"/>
          <w:szCs w:val="19"/>
          <w:lang w:val="es-ES_tradnl"/>
        </w:rPr>
        <w:t xml:space="preserve"> del ámbito municipal o departamental correspondiente al de la ejecución del contrato.</w:t>
      </w:r>
    </w:p>
    <w:p w14:paraId="75C07D68" w14:textId="4D11C44A"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»Parágrafo</w:t>
      </w:r>
      <w:proofErr w:type="gramEnd"/>
      <w:r w:rsidRPr="005F0B10">
        <w:rPr>
          <w:rFonts w:ascii="Arial" w:eastAsia="Calibri" w:hAnsi="Arial" w:cs="Arial"/>
          <w:color w:val="000000" w:themeColor="text1"/>
          <w:sz w:val="19"/>
          <w:szCs w:val="19"/>
          <w:lang w:val="es-ES_tradnl"/>
        </w:rPr>
        <w:t xml:space="preserve"> Segundo</w:t>
      </w:r>
      <w:r w:rsidR="00231A18" w:rsidRPr="005F0B10">
        <w:rPr>
          <w:rFonts w:ascii="Arial" w:eastAsia="Calibri" w:hAnsi="Arial" w:cs="Arial"/>
          <w:color w:val="000000" w:themeColor="text1"/>
          <w:sz w:val="19"/>
          <w:szCs w:val="19"/>
          <w:lang w:val="es-ES_tradnl"/>
        </w:rPr>
        <w:t>.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5F0B10" w:rsidRDefault="005F0B10" w:rsidP="005F0B10">
      <w:pPr>
        <w:ind w:firstLine="709"/>
        <w:jc w:val="both"/>
        <w:rPr>
          <w:rFonts w:ascii="Arial" w:eastAsia="Calibri" w:hAnsi="Arial" w:cs="Arial"/>
          <w:color w:val="000000" w:themeColor="text1"/>
          <w:sz w:val="19"/>
          <w:szCs w:val="19"/>
          <w:lang w:val="es-ES_tradnl"/>
        </w:rPr>
      </w:pPr>
      <w:proofErr w:type="gramStart"/>
      <w:r w:rsidRPr="005F0B10">
        <w:rPr>
          <w:rFonts w:ascii="Arial" w:eastAsia="Calibri" w:hAnsi="Arial" w:cs="Arial"/>
          <w:color w:val="000000" w:themeColor="text1"/>
          <w:sz w:val="19"/>
          <w:szCs w:val="19"/>
          <w:lang w:val="es-ES_tradnl"/>
        </w:rPr>
        <w:t>»Parágrafo</w:t>
      </w:r>
      <w:proofErr w:type="gramEnd"/>
      <w:r w:rsidRPr="005F0B10">
        <w:rPr>
          <w:rFonts w:ascii="Arial" w:eastAsia="Calibri" w:hAnsi="Arial" w:cs="Arial"/>
          <w:color w:val="000000" w:themeColor="text1"/>
          <w:sz w:val="19"/>
          <w:szCs w:val="19"/>
          <w:lang w:val="es-ES_tradnl"/>
        </w:rPr>
        <w:t xml:space="preserve"> Tercero</w:t>
      </w:r>
      <w:r w:rsidR="00231A18" w:rsidRPr="005F0B10">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5F0B10">
        <w:rPr>
          <w:rFonts w:ascii="Arial" w:eastAsia="Calibri" w:hAnsi="Arial" w:cs="Arial"/>
          <w:color w:val="000000" w:themeColor="text1"/>
          <w:sz w:val="19"/>
          <w:szCs w:val="19"/>
          <w:lang w:val="es-ES_tradnl"/>
        </w:rPr>
        <w:t>»</w:t>
      </w:r>
      <w:r w:rsidR="00231A18" w:rsidRPr="005F0B10">
        <w:rPr>
          <w:rFonts w:ascii="Arial" w:eastAsia="Calibri" w:hAnsi="Arial" w:cs="Arial"/>
          <w:color w:val="000000" w:themeColor="text1"/>
          <w:sz w:val="19"/>
          <w:szCs w:val="19"/>
          <w:lang w:val="es-ES_tradnl"/>
        </w:rPr>
        <w:t xml:space="preserve">  </w:t>
      </w:r>
    </w:p>
    <w:p w14:paraId="415AFBE5" w14:textId="0449504E" w:rsidR="00903C57" w:rsidRPr="005F0B10" w:rsidRDefault="00903C57" w:rsidP="005F0B10">
      <w:pPr>
        <w:pStyle w:val="Textonotapie"/>
        <w:ind w:firstLine="709"/>
        <w:jc w:val="both"/>
        <w:rPr>
          <w:rFonts w:ascii="Arial" w:hAnsi="Arial" w:cs="Arial"/>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tplc="45123EE6">
      <w:start w:val="1"/>
      <w:numFmt w:val="decimal"/>
      <w:lvlText w:val="%1."/>
      <w:lvlJc w:val="left"/>
      <w:pPr>
        <w:ind w:left="360" w:hanging="360"/>
      </w:pPr>
      <w:rPr>
        <w:color w:val="auto"/>
        <w:sz w:val="20"/>
        <w:szCs w:val="20"/>
      </w:rPr>
    </w:lvl>
    <w:lvl w:ilvl="1" w:tplc="652E12CC">
      <w:start w:val="1"/>
      <w:numFmt w:val="decimal"/>
      <w:lvlText w:val="3.%2."/>
      <w:lvlJc w:val="left"/>
      <w:pPr>
        <w:ind w:left="1004" w:hanging="720"/>
      </w:pPr>
      <w:rPr>
        <w:b/>
        <w:i w:val="0"/>
        <w:color w:val="000000"/>
      </w:rPr>
    </w:lvl>
    <w:lvl w:ilvl="2" w:tplc="7354C198">
      <w:start w:val="1"/>
      <w:numFmt w:val="decimal"/>
      <w:lvlText w:val="4.1.%3."/>
      <w:lvlJc w:val="left"/>
      <w:pPr>
        <w:ind w:left="964" w:hanging="624"/>
      </w:pPr>
      <w:rPr>
        <w:b/>
        <w:i w:val="0"/>
      </w:rPr>
    </w:lvl>
    <w:lvl w:ilvl="3" w:tplc="80B04BF0">
      <w:start w:val="1"/>
      <w:numFmt w:val="decimal"/>
      <w:lvlText w:val="%1.%2.%3.%4."/>
      <w:lvlJc w:val="left"/>
      <w:pPr>
        <w:ind w:left="1080" w:hanging="1080"/>
      </w:pPr>
      <w:rPr>
        <w:b/>
      </w:rPr>
    </w:lvl>
    <w:lvl w:ilvl="4" w:tplc="A0BCEF0C">
      <w:start w:val="1"/>
      <w:numFmt w:val="decimal"/>
      <w:lvlText w:val="%1.%2.%3.%4.%5."/>
      <w:lvlJc w:val="left"/>
      <w:pPr>
        <w:ind w:left="1080" w:hanging="1080"/>
      </w:pPr>
    </w:lvl>
    <w:lvl w:ilvl="5" w:tplc="3A202B3C">
      <w:start w:val="1"/>
      <w:numFmt w:val="decimal"/>
      <w:lvlText w:val="%1.%2.%3.%4.%5.%6."/>
      <w:lvlJc w:val="left"/>
      <w:pPr>
        <w:ind w:left="1440" w:hanging="1440"/>
      </w:pPr>
    </w:lvl>
    <w:lvl w:ilvl="6" w:tplc="29F0695A">
      <w:start w:val="1"/>
      <w:numFmt w:val="decimal"/>
      <w:lvlText w:val="%1.%2.%3.%4.%5.%6.%7."/>
      <w:lvlJc w:val="left"/>
      <w:pPr>
        <w:ind w:left="1440" w:hanging="1440"/>
      </w:pPr>
    </w:lvl>
    <w:lvl w:ilvl="7" w:tplc="21DE8774">
      <w:start w:val="1"/>
      <w:numFmt w:val="decimal"/>
      <w:lvlText w:val="%1.%2.%3.%4.%5.%6.%7.%8."/>
      <w:lvlJc w:val="left"/>
      <w:pPr>
        <w:ind w:left="1800" w:hanging="1800"/>
      </w:pPr>
    </w:lvl>
    <w:lvl w:ilvl="8" w:tplc="143EDD30">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tplc="32AC7564">
      <w:start w:val="2"/>
      <w:numFmt w:val="decimal"/>
      <w:lvlText w:val="%1"/>
      <w:lvlJc w:val="left"/>
      <w:pPr>
        <w:ind w:left="360" w:hanging="360"/>
      </w:pPr>
      <w:rPr>
        <w:rFonts w:hint="default"/>
      </w:rPr>
    </w:lvl>
    <w:lvl w:ilvl="1" w:tplc="D7C67DF2">
      <w:start w:val="3"/>
      <w:numFmt w:val="decimal"/>
      <w:lvlText w:val="%1.%2"/>
      <w:lvlJc w:val="left"/>
      <w:pPr>
        <w:ind w:left="360" w:hanging="360"/>
      </w:pPr>
      <w:rPr>
        <w:rFonts w:hint="default"/>
      </w:rPr>
    </w:lvl>
    <w:lvl w:ilvl="2" w:tplc="3050EE00">
      <w:start w:val="1"/>
      <w:numFmt w:val="decimal"/>
      <w:lvlText w:val="%1.%2.%3"/>
      <w:lvlJc w:val="left"/>
      <w:pPr>
        <w:ind w:left="720" w:hanging="720"/>
      </w:pPr>
      <w:rPr>
        <w:rFonts w:hint="default"/>
      </w:rPr>
    </w:lvl>
    <w:lvl w:ilvl="3" w:tplc="06C28144">
      <w:start w:val="1"/>
      <w:numFmt w:val="decimal"/>
      <w:lvlText w:val="%1.%2.%3.%4"/>
      <w:lvlJc w:val="left"/>
      <w:pPr>
        <w:ind w:left="720" w:hanging="720"/>
      </w:pPr>
      <w:rPr>
        <w:rFonts w:hint="default"/>
      </w:rPr>
    </w:lvl>
    <w:lvl w:ilvl="4" w:tplc="8A9C20FC">
      <w:start w:val="1"/>
      <w:numFmt w:val="decimal"/>
      <w:lvlText w:val="%1.%2.%3.%4.%5"/>
      <w:lvlJc w:val="left"/>
      <w:pPr>
        <w:ind w:left="1080" w:hanging="1080"/>
      </w:pPr>
      <w:rPr>
        <w:rFonts w:hint="default"/>
      </w:rPr>
    </w:lvl>
    <w:lvl w:ilvl="5" w:tplc="CF3015D0">
      <w:start w:val="1"/>
      <w:numFmt w:val="decimal"/>
      <w:lvlText w:val="%1.%2.%3.%4.%5.%6"/>
      <w:lvlJc w:val="left"/>
      <w:pPr>
        <w:ind w:left="1080" w:hanging="1080"/>
      </w:pPr>
      <w:rPr>
        <w:rFonts w:hint="default"/>
      </w:rPr>
    </w:lvl>
    <w:lvl w:ilvl="6" w:tplc="26A263C6">
      <w:start w:val="1"/>
      <w:numFmt w:val="decimal"/>
      <w:lvlText w:val="%1.%2.%3.%4.%5.%6.%7"/>
      <w:lvlJc w:val="left"/>
      <w:pPr>
        <w:ind w:left="1440" w:hanging="1440"/>
      </w:pPr>
      <w:rPr>
        <w:rFonts w:hint="default"/>
      </w:rPr>
    </w:lvl>
    <w:lvl w:ilvl="7" w:tplc="34DC5028">
      <w:start w:val="1"/>
      <w:numFmt w:val="decimal"/>
      <w:lvlText w:val="%1.%2.%3.%4.%5.%6.%7.%8"/>
      <w:lvlJc w:val="left"/>
      <w:pPr>
        <w:ind w:left="1440" w:hanging="1440"/>
      </w:pPr>
      <w:rPr>
        <w:rFonts w:hint="default"/>
      </w:rPr>
    </w:lvl>
    <w:lvl w:ilvl="8" w:tplc="A3D82246">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tplc="D658723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tplc="02D88A28">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tplc="CAEC6580">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tplc="388A5CE6">
      <w:numFmt w:val="bullet"/>
      <w:lvlText w:val="•"/>
      <w:lvlJc w:val="left"/>
      <w:pPr>
        <w:ind w:left="2853" w:hanging="265"/>
      </w:pPr>
      <w:rPr>
        <w:rFonts w:hint="default"/>
        <w:lang w:val="es-ES" w:eastAsia="en-US" w:bidi="ar-SA"/>
      </w:rPr>
    </w:lvl>
    <w:lvl w:ilvl="4" w:tplc="6E30C32A">
      <w:numFmt w:val="bullet"/>
      <w:lvlText w:val="•"/>
      <w:lvlJc w:val="left"/>
      <w:pPr>
        <w:ind w:left="3780" w:hanging="265"/>
      </w:pPr>
      <w:rPr>
        <w:rFonts w:hint="default"/>
        <w:lang w:val="es-ES" w:eastAsia="en-US" w:bidi="ar-SA"/>
      </w:rPr>
    </w:lvl>
    <w:lvl w:ilvl="5" w:tplc="D96A70FC">
      <w:numFmt w:val="bullet"/>
      <w:lvlText w:val="•"/>
      <w:lvlJc w:val="left"/>
      <w:pPr>
        <w:ind w:left="4706" w:hanging="265"/>
      </w:pPr>
      <w:rPr>
        <w:rFonts w:hint="default"/>
        <w:lang w:val="es-ES" w:eastAsia="en-US" w:bidi="ar-SA"/>
      </w:rPr>
    </w:lvl>
    <w:lvl w:ilvl="6" w:tplc="0E983A10">
      <w:numFmt w:val="bullet"/>
      <w:lvlText w:val="•"/>
      <w:lvlJc w:val="left"/>
      <w:pPr>
        <w:ind w:left="5633" w:hanging="265"/>
      </w:pPr>
      <w:rPr>
        <w:rFonts w:hint="default"/>
        <w:lang w:val="es-ES" w:eastAsia="en-US" w:bidi="ar-SA"/>
      </w:rPr>
    </w:lvl>
    <w:lvl w:ilvl="7" w:tplc="0696E112">
      <w:numFmt w:val="bullet"/>
      <w:lvlText w:val="•"/>
      <w:lvlJc w:val="left"/>
      <w:pPr>
        <w:ind w:left="6560" w:hanging="265"/>
      </w:pPr>
      <w:rPr>
        <w:rFonts w:hint="default"/>
        <w:lang w:val="es-ES" w:eastAsia="en-US" w:bidi="ar-SA"/>
      </w:rPr>
    </w:lvl>
    <w:lvl w:ilvl="8" w:tplc="0652E17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hybridMultilevel"/>
    <w:tmpl w:val="614E70D0"/>
    <w:lvl w:ilvl="0" w:tplc="306E5F3E">
      <w:start w:val="1"/>
      <w:numFmt w:val="decimal"/>
      <w:lvlText w:val="%1."/>
      <w:lvlJc w:val="left"/>
      <w:pPr>
        <w:ind w:left="360" w:hanging="360"/>
      </w:pPr>
      <w:rPr>
        <w:rFonts w:hint="default"/>
        <w:b/>
        <w:sz w:val="22"/>
      </w:rPr>
    </w:lvl>
    <w:lvl w:ilvl="1" w:tplc="4492186E">
      <w:start w:val="1"/>
      <w:numFmt w:val="decimal"/>
      <w:isLgl/>
      <w:lvlText w:val="%1.%2"/>
      <w:lvlJc w:val="left"/>
      <w:pPr>
        <w:ind w:left="360" w:hanging="360"/>
      </w:pPr>
      <w:rPr>
        <w:rFonts w:hint="default"/>
      </w:rPr>
    </w:lvl>
    <w:lvl w:ilvl="2" w:tplc="B106E58A">
      <w:start w:val="1"/>
      <w:numFmt w:val="decimal"/>
      <w:isLgl/>
      <w:lvlText w:val="%1.%2.%3"/>
      <w:lvlJc w:val="left"/>
      <w:pPr>
        <w:ind w:left="720" w:hanging="720"/>
      </w:pPr>
      <w:rPr>
        <w:rFonts w:hint="default"/>
      </w:rPr>
    </w:lvl>
    <w:lvl w:ilvl="3" w:tplc="902212E2">
      <w:start w:val="1"/>
      <w:numFmt w:val="decimal"/>
      <w:isLgl/>
      <w:lvlText w:val="%1.%2.%3.%4"/>
      <w:lvlJc w:val="left"/>
      <w:pPr>
        <w:ind w:left="720" w:hanging="720"/>
      </w:pPr>
      <w:rPr>
        <w:rFonts w:hint="default"/>
      </w:rPr>
    </w:lvl>
    <w:lvl w:ilvl="4" w:tplc="A6C43C72">
      <w:start w:val="1"/>
      <w:numFmt w:val="decimal"/>
      <w:isLgl/>
      <w:lvlText w:val="%1.%2.%3.%4.%5"/>
      <w:lvlJc w:val="left"/>
      <w:pPr>
        <w:ind w:left="1080" w:hanging="1080"/>
      </w:pPr>
      <w:rPr>
        <w:rFonts w:hint="default"/>
      </w:rPr>
    </w:lvl>
    <w:lvl w:ilvl="5" w:tplc="54408272">
      <w:start w:val="1"/>
      <w:numFmt w:val="decimal"/>
      <w:isLgl/>
      <w:lvlText w:val="%1.%2.%3.%4.%5.%6"/>
      <w:lvlJc w:val="left"/>
      <w:pPr>
        <w:ind w:left="1080" w:hanging="1080"/>
      </w:pPr>
      <w:rPr>
        <w:rFonts w:hint="default"/>
      </w:rPr>
    </w:lvl>
    <w:lvl w:ilvl="6" w:tplc="E516044A">
      <w:start w:val="1"/>
      <w:numFmt w:val="decimal"/>
      <w:isLgl/>
      <w:lvlText w:val="%1.%2.%3.%4.%5.%6.%7"/>
      <w:lvlJc w:val="left"/>
      <w:pPr>
        <w:ind w:left="1440" w:hanging="1440"/>
      </w:pPr>
      <w:rPr>
        <w:rFonts w:hint="default"/>
      </w:rPr>
    </w:lvl>
    <w:lvl w:ilvl="7" w:tplc="C5A046AA">
      <w:start w:val="1"/>
      <w:numFmt w:val="decimal"/>
      <w:isLgl/>
      <w:lvlText w:val="%1.%2.%3.%4.%5.%6.%7.%8"/>
      <w:lvlJc w:val="left"/>
      <w:pPr>
        <w:ind w:left="1440" w:hanging="1440"/>
      </w:pPr>
      <w:rPr>
        <w:rFonts w:hint="default"/>
      </w:rPr>
    </w:lvl>
    <w:lvl w:ilvl="8" w:tplc="3A3C7AC8">
      <w:start w:val="1"/>
      <w:numFmt w:val="decimal"/>
      <w:isLgl/>
      <w:lvlText w:val="%1.%2.%3.%4.%5.%6.%7.%8.%9"/>
      <w:lvlJc w:val="left"/>
      <w:pPr>
        <w:ind w:left="1800" w:hanging="1800"/>
      </w:pPr>
      <w:rPr>
        <w:rFonts w:hint="default"/>
      </w:rPr>
    </w:lvl>
  </w:abstractNum>
  <w:abstractNum w:abstractNumId="18" w15:restartNumberingAfterBreak="0">
    <w:nsid w:val="68FA17E7"/>
    <w:multiLevelType w:val="hybridMultilevel"/>
    <w:tmpl w:val="5768BC5E"/>
    <w:lvl w:ilvl="0" w:tplc="0B66AE92">
      <w:start w:val="2"/>
      <w:numFmt w:val="decimal"/>
      <w:lvlText w:val="%1."/>
      <w:lvlJc w:val="left"/>
      <w:pPr>
        <w:ind w:left="360" w:hanging="360"/>
      </w:pPr>
    </w:lvl>
    <w:lvl w:ilvl="1" w:tplc="AC9450DC">
      <w:start w:val="1"/>
      <w:numFmt w:val="decimal"/>
      <w:lvlText w:val="%1.%2."/>
      <w:lvlJc w:val="left"/>
      <w:pPr>
        <w:ind w:left="720" w:hanging="720"/>
      </w:pPr>
    </w:lvl>
    <w:lvl w:ilvl="2" w:tplc="85EC18A2">
      <w:start w:val="1"/>
      <w:numFmt w:val="decimal"/>
      <w:lvlText w:val="%1.%2.%3."/>
      <w:lvlJc w:val="left"/>
      <w:pPr>
        <w:ind w:left="720" w:hanging="720"/>
      </w:pPr>
    </w:lvl>
    <w:lvl w:ilvl="3" w:tplc="5A5E4500">
      <w:start w:val="1"/>
      <w:numFmt w:val="decimal"/>
      <w:lvlText w:val="%1.%2.%3.%4."/>
      <w:lvlJc w:val="left"/>
      <w:pPr>
        <w:ind w:left="1080" w:hanging="1080"/>
      </w:pPr>
    </w:lvl>
    <w:lvl w:ilvl="4" w:tplc="6250FE08">
      <w:start w:val="1"/>
      <w:numFmt w:val="decimal"/>
      <w:lvlText w:val="%1.%2.%3.%4.%5."/>
      <w:lvlJc w:val="left"/>
      <w:pPr>
        <w:ind w:left="1080" w:hanging="1080"/>
      </w:pPr>
    </w:lvl>
    <w:lvl w:ilvl="5" w:tplc="350436BA">
      <w:start w:val="1"/>
      <w:numFmt w:val="decimal"/>
      <w:lvlText w:val="%1.%2.%3.%4.%5.%6."/>
      <w:lvlJc w:val="left"/>
      <w:pPr>
        <w:ind w:left="1440" w:hanging="1440"/>
      </w:pPr>
    </w:lvl>
    <w:lvl w:ilvl="6" w:tplc="D0FA9C14">
      <w:start w:val="1"/>
      <w:numFmt w:val="decimal"/>
      <w:lvlText w:val="%1.%2.%3.%4.%5.%6.%7."/>
      <w:lvlJc w:val="left"/>
      <w:pPr>
        <w:ind w:left="1440" w:hanging="1440"/>
      </w:pPr>
    </w:lvl>
    <w:lvl w:ilvl="7" w:tplc="4BE87A12">
      <w:start w:val="1"/>
      <w:numFmt w:val="decimal"/>
      <w:lvlText w:val="%1.%2.%3.%4.%5.%6.%7.%8."/>
      <w:lvlJc w:val="left"/>
      <w:pPr>
        <w:ind w:left="1800" w:hanging="1800"/>
      </w:pPr>
    </w:lvl>
    <w:lvl w:ilvl="8" w:tplc="6B50741A">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hybridMultilevel"/>
    <w:tmpl w:val="25463362"/>
    <w:lvl w:ilvl="0" w:tplc="7F2AE9A4">
      <w:start w:val="2"/>
      <w:numFmt w:val="decimal"/>
      <w:lvlText w:val="%1."/>
      <w:lvlJc w:val="left"/>
      <w:pPr>
        <w:ind w:left="360" w:hanging="360"/>
      </w:pPr>
    </w:lvl>
    <w:lvl w:ilvl="1" w:tplc="C764EFCA">
      <w:start w:val="1"/>
      <w:numFmt w:val="decimal"/>
      <w:lvlText w:val="%1.%2."/>
      <w:lvlJc w:val="left"/>
      <w:pPr>
        <w:ind w:left="720" w:hanging="720"/>
      </w:pPr>
    </w:lvl>
    <w:lvl w:ilvl="2" w:tplc="9A5A0782">
      <w:start w:val="1"/>
      <w:numFmt w:val="decimal"/>
      <w:lvlText w:val="%1.%2.%3."/>
      <w:lvlJc w:val="left"/>
      <w:pPr>
        <w:ind w:left="720" w:hanging="720"/>
      </w:pPr>
    </w:lvl>
    <w:lvl w:ilvl="3" w:tplc="59465614">
      <w:start w:val="1"/>
      <w:numFmt w:val="decimal"/>
      <w:lvlText w:val="%1.%2.%3.%4."/>
      <w:lvlJc w:val="left"/>
      <w:pPr>
        <w:ind w:left="1080" w:hanging="1080"/>
      </w:pPr>
    </w:lvl>
    <w:lvl w:ilvl="4" w:tplc="A796A522">
      <w:start w:val="1"/>
      <w:numFmt w:val="decimal"/>
      <w:lvlText w:val="%1.%2.%3.%4.%5."/>
      <w:lvlJc w:val="left"/>
      <w:pPr>
        <w:ind w:left="1080" w:hanging="1080"/>
      </w:pPr>
    </w:lvl>
    <w:lvl w:ilvl="5" w:tplc="7B5AAC52">
      <w:start w:val="1"/>
      <w:numFmt w:val="decimal"/>
      <w:lvlText w:val="%1.%2.%3.%4.%5.%6."/>
      <w:lvlJc w:val="left"/>
      <w:pPr>
        <w:ind w:left="1440" w:hanging="1440"/>
      </w:pPr>
    </w:lvl>
    <w:lvl w:ilvl="6" w:tplc="3D80E354">
      <w:start w:val="1"/>
      <w:numFmt w:val="decimal"/>
      <w:lvlText w:val="%1.%2.%3.%4.%5.%6.%7."/>
      <w:lvlJc w:val="left"/>
      <w:pPr>
        <w:ind w:left="1440" w:hanging="1440"/>
      </w:pPr>
    </w:lvl>
    <w:lvl w:ilvl="7" w:tplc="C23E6762">
      <w:start w:val="1"/>
      <w:numFmt w:val="decimal"/>
      <w:lvlText w:val="%1.%2.%3.%4.%5.%6.%7.%8."/>
      <w:lvlJc w:val="left"/>
      <w:pPr>
        <w:ind w:left="1800" w:hanging="1800"/>
      </w:pPr>
    </w:lvl>
    <w:lvl w:ilvl="8" w:tplc="92A8BD8E">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46C"/>
    <w:rsid w:val="000B0A15"/>
    <w:rsid w:val="000B103F"/>
    <w:rsid w:val="000B1437"/>
    <w:rsid w:val="000B1470"/>
    <w:rsid w:val="000B244D"/>
    <w:rsid w:val="000B2A1A"/>
    <w:rsid w:val="000B2B86"/>
    <w:rsid w:val="000B3051"/>
    <w:rsid w:val="000B419B"/>
    <w:rsid w:val="000B56F9"/>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0F75"/>
    <w:rsid w:val="001813AF"/>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59F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4F8B"/>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13F"/>
    <w:rsid w:val="00347202"/>
    <w:rsid w:val="0034778E"/>
    <w:rsid w:val="00347A5A"/>
    <w:rsid w:val="003501E2"/>
    <w:rsid w:val="003514B8"/>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002"/>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3B15"/>
    <w:rsid w:val="003D3B2E"/>
    <w:rsid w:val="003D3F28"/>
    <w:rsid w:val="003D4101"/>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30186"/>
    <w:rsid w:val="00430D44"/>
    <w:rsid w:val="00430DD2"/>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D7D"/>
    <w:rsid w:val="0044500B"/>
    <w:rsid w:val="004451C5"/>
    <w:rsid w:val="00446037"/>
    <w:rsid w:val="00446270"/>
    <w:rsid w:val="0044642F"/>
    <w:rsid w:val="00446709"/>
    <w:rsid w:val="00446922"/>
    <w:rsid w:val="0044772C"/>
    <w:rsid w:val="00450846"/>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8D1"/>
    <w:rsid w:val="004A16C1"/>
    <w:rsid w:val="004A1CE2"/>
    <w:rsid w:val="004A34D2"/>
    <w:rsid w:val="004A4161"/>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50CB"/>
    <w:rsid w:val="004B578D"/>
    <w:rsid w:val="004B5BE7"/>
    <w:rsid w:val="004B5E2D"/>
    <w:rsid w:val="004B65D9"/>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0EC1"/>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516"/>
    <w:rsid w:val="005A1976"/>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66D"/>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C3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7D1"/>
    <w:rsid w:val="007E564D"/>
    <w:rsid w:val="007E5C4A"/>
    <w:rsid w:val="007E64D4"/>
    <w:rsid w:val="007E66E9"/>
    <w:rsid w:val="007E69F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100A1"/>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2EF9"/>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6052"/>
    <w:rsid w:val="00A26C97"/>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C60"/>
    <w:rsid w:val="00A62589"/>
    <w:rsid w:val="00A62AD0"/>
    <w:rsid w:val="00A62C3A"/>
    <w:rsid w:val="00A6319C"/>
    <w:rsid w:val="00A63812"/>
    <w:rsid w:val="00A63DF7"/>
    <w:rsid w:val="00A6454D"/>
    <w:rsid w:val="00A64767"/>
    <w:rsid w:val="00A64F2F"/>
    <w:rsid w:val="00A6611E"/>
    <w:rsid w:val="00A6662C"/>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0A44"/>
    <w:rsid w:val="00B011A9"/>
    <w:rsid w:val="00B01BAF"/>
    <w:rsid w:val="00B024ED"/>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2FBB"/>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92A"/>
    <w:rsid w:val="00B36D2B"/>
    <w:rsid w:val="00B37657"/>
    <w:rsid w:val="00B37AFD"/>
    <w:rsid w:val="00B37B07"/>
    <w:rsid w:val="00B4046F"/>
    <w:rsid w:val="00B406B3"/>
    <w:rsid w:val="00B40A36"/>
    <w:rsid w:val="00B41BCA"/>
    <w:rsid w:val="00B41D39"/>
    <w:rsid w:val="00B422C0"/>
    <w:rsid w:val="00B426CA"/>
    <w:rsid w:val="00B426E1"/>
    <w:rsid w:val="00B434C1"/>
    <w:rsid w:val="00B43718"/>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5E0"/>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17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5936"/>
    <w:rsid w:val="00C760DC"/>
    <w:rsid w:val="00C77777"/>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12"/>
    <w:rsid w:val="00D96EE0"/>
    <w:rsid w:val="00D97BD1"/>
    <w:rsid w:val="00D97EF0"/>
    <w:rsid w:val="00DA00C3"/>
    <w:rsid w:val="00DA01E9"/>
    <w:rsid w:val="00DA06B8"/>
    <w:rsid w:val="00DA14A9"/>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17CAC"/>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6F93"/>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430"/>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8</Pages>
  <Words>2973</Words>
  <Characters>16356</Characters>
  <Application>Microsoft Office Word</Application>
  <DocSecurity>0</DocSecurity>
  <Lines>136</Lines>
  <Paragraphs>38</Paragraphs>
  <ScaleCrop>false</ScaleCrop>
  <Company/>
  <LinksUpToDate>false</LinksUpToDate>
  <CharactersWithSpaces>19291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2</cp:revision>
  <cp:lastPrinted>2020-01-30T15:05:00Z</cp:lastPrinted>
  <dcterms:created xsi:type="dcterms:W3CDTF">2021-04-06T16:19:00Z</dcterms:created>
  <dcterms:modified xsi:type="dcterms:W3CDTF">2021-04-06T16:19:00Z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