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48227" w14:textId="77777777" w:rsidR="00A05267" w:rsidRDefault="00A05267" w:rsidP="00A05267">
      <w:pPr>
        <w:jc w:val="both"/>
        <w:rPr>
          <w:rFonts w:ascii="Verdana" w:eastAsia="Calibri" w:hAnsi="Verdana" w:cs="Arial"/>
          <w:b/>
          <w:bCs/>
          <w:lang w:val="es-ES" w:eastAsia="es-ES"/>
        </w:rPr>
      </w:pPr>
      <w:bookmarkStart w:id="0" w:name="_Hlk143780582"/>
      <w:bookmarkStart w:id="1" w:name="_Hlk202875225"/>
      <w:bookmarkStart w:id="2" w:name="_Hlk203032812"/>
      <w:bookmarkStart w:id="3" w:name="_Hlk204367265"/>
      <w:bookmarkStart w:id="4" w:name="_Hlk206116713"/>
      <w:bookmarkStart w:id="5" w:name="_Hlk210398672"/>
      <w:r w:rsidRPr="00A05267">
        <w:rPr>
          <w:rFonts w:ascii="Verdana" w:eastAsia="Calibri" w:hAnsi="Verdana" w:cs="Arial"/>
          <w:b/>
          <w:bCs/>
          <w:lang w:val="es-ES" w:eastAsia="es-ES"/>
        </w:rPr>
        <w:t xml:space="preserve">PROPONENTE PLURAL ‒ Consorcio ‒ Unión temporal ‒ Concepto – Diferencias </w:t>
      </w:r>
    </w:p>
    <w:p w14:paraId="74C62B47" w14:textId="41C2CE8F" w:rsidR="00A05267" w:rsidRDefault="00A05267" w:rsidP="00A05267">
      <w:pPr>
        <w:spacing w:after="0" w:line="240" w:lineRule="auto"/>
        <w:jc w:val="both"/>
        <w:rPr>
          <w:rFonts w:ascii="Verdana" w:eastAsia="Calibri" w:hAnsi="Verdana" w:cs="Arial"/>
          <w:color w:val="000000"/>
          <w:sz w:val="20"/>
          <w:szCs w:val="20"/>
          <w:lang w:eastAsia="es-ES_tradnl"/>
        </w:rPr>
      </w:pPr>
      <w:r>
        <w:rPr>
          <w:rFonts w:ascii="Verdana" w:eastAsia="Calibri" w:hAnsi="Verdana" w:cs="Arial"/>
          <w:color w:val="000000"/>
          <w:sz w:val="20"/>
          <w:szCs w:val="20"/>
          <w:lang w:eastAsia="es-ES_tradnl"/>
        </w:rPr>
        <w:t xml:space="preserve">[…] </w:t>
      </w:r>
      <w:r w:rsidRPr="00A05267">
        <w:rPr>
          <w:rFonts w:ascii="Verdana" w:eastAsia="Calibri" w:hAnsi="Verdana" w:cs="Arial"/>
          <w:color w:val="000000"/>
          <w:sz w:val="20"/>
          <w:szCs w:val="20"/>
          <w:lang w:eastAsia="es-ES_tradnl"/>
        </w:rPr>
        <w:t xml:space="preserve">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32526A25" w14:textId="77777777" w:rsidR="00A05267" w:rsidRDefault="00A05267" w:rsidP="00A05267">
      <w:pPr>
        <w:spacing w:after="0" w:line="240" w:lineRule="auto"/>
        <w:jc w:val="both"/>
        <w:rPr>
          <w:rFonts w:ascii="Verdana" w:eastAsia="Calibri" w:hAnsi="Verdana" w:cs="Arial"/>
          <w:color w:val="000000"/>
          <w:sz w:val="20"/>
          <w:szCs w:val="20"/>
          <w:lang w:eastAsia="es-ES_tradnl"/>
        </w:rPr>
      </w:pPr>
    </w:p>
    <w:p w14:paraId="7D6D315C" w14:textId="77777777" w:rsidR="00907CC2" w:rsidRDefault="00A05267" w:rsidP="00A05267">
      <w:pPr>
        <w:spacing w:line="276" w:lineRule="auto"/>
        <w:jc w:val="both"/>
        <w:rPr>
          <w:rFonts w:ascii="Verdana" w:eastAsia="Calibri" w:hAnsi="Verdana" w:cs="Arial"/>
          <w:b/>
          <w:bCs/>
          <w:lang w:val="es-ES" w:eastAsia="es-ES"/>
        </w:rPr>
      </w:pPr>
      <w:r w:rsidRPr="00907CC2">
        <w:rPr>
          <w:rFonts w:ascii="Verdana" w:eastAsia="Calibri" w:hAnsi="Verdana" w:cs="Arial"/>
          <w:b/>
          <w:bCs/>
          <w:lang w:val="es-ES" w:eastAsia="es-ES"/>
        </w:rPr>
        <w:t xml:space="preserve">SUBCONTRATACIÓN – Concepto – Limitaciones jurídicas </w:t>
      </w:r>
    </w:p>
    <w:p w14:paraId="245AA2A7" w14:textId="60A348CC" w:rsidR="0098704D" w:rsidRDefault="0098704D" w:rsidP="0098704D">
      <w:pPr>
        <w:spacing w:after="0" w:line="240" w:lineRule="auto"/>
        <w:jc w:val="both"/>
        <w:rPr>
          <w:rFonts w:ascii="Verdana" w:eastAsia="Calibri" w:hAnsi="Verdana" w:cs="Arial"/>
          <w:color w:val="000000"/>
          <w:sz w:val="20"/>
          <w:szCs w:val="20"/>
          <w:lang w:eastAsia="es-ES_tradnl"/>
        </w:rPr>
      </w:pPr>
      <w:r>
        <w:rPr>
          <w:rFonts w:ascii="Verdana" w:eastAsia="Calibri" w:hAnsi="Verdana" w:cs="Arial"/>
          <w:color w:val="000000"/>
          <w:sz w:val="20"/>
          <w:szCs w:val="20"/>
          <w:lang w:eastAsia="es-ES_tradnl"/>
        </w:rPr>
        <w:t xml:space="preserve">(…) </w:t>
      </w:r>
      <w:r w:rsidRPr="0098704D">
        <w:rPr>
          <w:rFonts w:ascii="Verdana" w:eastAsia="Calibri" w:hAnsi="Verdana" w:cs="Arial"/>
          <w:color w:val="000000"/>
          <w:sz w:val="20"/>
          <w:szCs w:val="20"/>
          <w:lang w:eastAsia="es-ES_tradnl"/>
        </w:rPr>
        <w:t xml:space="preserve">la subcontratación implica la celebración de un contrato derivado de otro principal cuyo propósito es ejecutar parcialmente este último. Dentro de este marco, podrían presentarse niveles de subcontratación, es decir, los escalones en que se estructura el proceso de subcontratación. Estos niveles no excluyen el carácter de contrato derivado de estos subcontratos, puesto que sus objetos se encuentran en función de la realización material del contrato principal. </w:t>
      </w:r>
    </w:p>
    <w:p w14:paraId="42C0BCF2" w14:textId="77777777" w:rsidR="0098704D" w:rsidRPr="0098704D" w:rsidRDefault="0098704D" w:rsidP="0098704D">
      <w:pPr>
        <w:spacing w:after="0" w:line="240" w:lineRule="auto"/>
        <w:jc w:val="both"/>
        <w:rPr>
          <w:rFonts w:ascii="Verdana" w:eastAsia="Calibri" w:hAnsi="Verdana" w:cs="Arial"/>
          <w:color w:val="000000"/>
          <w:sz w:val="20"/>
          <w:szCs w:val="20"/>
          <w:lang w:eastAsia="es-ES_tradnl"/>
        </w:rPr>
      </w:pPr>
    </w:p>
    <w:p w14:paraId="441EB21D" w14:textId="12CF3F44" w:rsidR="0098704D" w:rsidRPr="0098704D" w:rsidRDefault="0098704D" w:rsidP="0098704D">
      <w:pPr>
        <w:spacing w:after="0" w:line="240" w:lineRule="auto"/>
        <w:jc w:val="both"/>
        <w:rPr>
          <w:rFonts w:ascii="Verdana" w:eastAsia="Calibri" w:hAnsi="Verdana" w:cs="Arial"/>
          <w:color w:val="000000"/>
          <w:sz w:val="20"/>
          <w:szCs w:val="20"/>
          <w:lang w:val="es-ES" w:eastAsia="es-ES_tradnl"/>
        </w:rPr>
      </w:pPr>
      <w:r w:rsidRPr="0098704D">
        <w:rPr>
          <w:rFonts w:ascii="Verdana" w:eastAsia="Calibri" w:hAnsi="Verdana" w:cs="Arial"/>
          <w:color w:val="000000"/>
          <w:sz w:val="20"/>
          <w:szCs w:val="20"/>
          <w:lang w:val="es-ES" w:eastAsia="es-ES_tradnl"/>
        </w:rPr>
        <w:t xml:space="preserve">Debido a la escasa regulación normativa, la subcontratación en materia de contratación pública estará supeditada a lo dispuesto en el pliego de condiciones y en el contrato, sin perjuicio de las limitaciones establecidas por la ley. De esta manera, su configuración dependerá de las condiciones definidas en el acuerdo de voluntades, de tal forma que, si esta no se permite para determinadas actividades, está sujeta a la autorización previa de la entidad o al cumplimiento de algún otro requisito, el contratista no podrá subcontratar sin su autorización o sin el cumplimiento de la condición establecida en el negocio jurídico. </w:t>
      </w:r>
    </w:p>
    <w:p w14:paraId="1E6135EE" w14:textId="77777777" w:rsidR="0098704D" w:rsidRDefault="0098704D" w:rsidP="0098704D">
      <w:pPr>
        <w:spacing w:after="0" w:line="240" w:lineRule="auto"/>
        <w:jc w:val="both"/>
        <w:rPr>
          <w:rFonts w:ascii="Verdana" w:eastAsia="Calibri" w:hAnsi="Verdana" w:cs="Arial"/>
          <w:b/>
          <w:bCs/>
          <w:lang w:val="es-ES" w:eastAsia="es-ES"/>
        </w:rPr>
      </w:pPr>
    </w:p>
    <w:p w14:paraId="28D81FE8" w14:textId="77777777" w:rsidR="0098704D" w:rsidRDefault="00A05267" w:rsidP="0098704D">
      <w:pPr>
        <w:jc w:val="both"/>
        <w:rPr>
          <w:rFonts w:ascii="Verdana" w:eastAsia="Calibri" w:hAnsi="Verdana" w:cs="Arial"/>
          <w:b/>
          <w:bCs/>
          <w:lang w:val="es-ES" w:eastAsia="es-ES"/>
        </w:rPr>
      </w:pPr>
      <w:r w:rsidRPr="0098704D">
        <w:rPr>
          <w:rFonts w:ascii="Verdana" w:eastAsia="Calibri" w:hAnsi="Verdana" w:cs="Arial"/>
          <w:b/>
          <w:bCs/>
          <w:lang w:val="es-ES" w:eastAsia="es-ES"/>
        </w:rPr>
        <w:t xml:space="preserve">INTEGRANTES DE ESTRUCTURA PLURAL – Subcontratación – Terceros – Imposibilidad de fungir como subcontratistas   </w:t>
      </w:r>
    </w:p>
    <w:p w14:paraId="323F4AA3" w14:textId="7E039585" w:rsidR="003148DF" w:rsidRPr="003148DF" w:rsidRDefault="003148DF" w:rsidP="003148DF">
      <w:pPr>
        <w:spacing w:after="0" w:line="240" w:lineRule="auto"/>
        <w:jc w:val="both"/>
        <w:rPr>
          <w:rFonts w:ascii="Verdana" w:eastAsia="Calibri" w:hAnsi="Verdana" w:cs="Arial"/>
          <w:color w:val="000000"/>
          <w:sz w:val="20"/>
          <w:szCs w:val="20"/>
          <w:lang w:eastAsia="es-ES_tradnl"/>
        </w:rPr>
      </w:pPr>
      <w:r w:rsidRPr="003148DF">
        <w:rPr>
          <w:rFonts w:ascii="Verdana" w:eastAsia="Calibri" w:hAnsi="Verdana" w:cs="Arial"/>
          <w:color w:val="000000"/>
          <w:sz w:val="20"/>
          <w:szCs w:val="20"/>
          <w:lang w:eastAsia="es-ES_tradnl"/>
        </w:rPr>
        <w:t xml:space="preserve">(…) </w:t>
      </w:r>
      <w:r w:rsidRPr="003148DF">
        <w:rPr>
          <w:rFonts w:ascii="Verdana" w:eastAsia="Calibri" w:hAnsi="Verdana" w:cs="Arial"/>
          <w:color w:val="000000"/>
          <w:sz w:val="20"/>
          <w:szCs w:val="20"/>
          <w:lang w:eastAsia="es-ES_tradnl"/>
        </w:rPr>
        <w:t xml:space="preserve">no es posible que los integrantes de la estructura plural conformen el consorcio o la unión temporal y, de manera simultánea, uno o varios de aquellos tengan la calidad de subcontratistas. Pensar lo contrario resulta absurdo de cara al principio lógico de no contradicción, criterio bajo el cual “Una cosa no puede ser ella misma y su contrario, en el mismo aspecto y en el mismo momento”. </w:t>
      </w:r>
    </w:p>
    <w:p w14:paraId="6819D1FB" w14:textId="77777777" w:rsidR="003148DF" w:rsidRDefault="003148DF" w:rsidP="003148DF">
      <w:pPr>
        <w:spacing w:after="0" w:line="240" w:lineRule="auto"/>
        <w:jc w:val="both"/>
        <w:rPr>
          <w:rFonts w:ascii="Verdana" w:eastAsia="Calibri" w:hAnsi="Verdana" w:cs="Arial"/>
          <w:color w:val="000000"/>
          <w:sz w:val="20"/>
          <w:szCs w:val="20"/>
          <w:lang w:eastAsia="es-ES_tradnl"/>
        </w:rPr>
      </w:pPr>
    </w:p>
    <w:p w14:paraId="411F0C5B" w14:textId="5E57321E" w:rsidR="003148DF" w:rsidRPr="003148DF" w:rsidRDefault="003148DF" w:rsidP="003148DF">
      <w:pPr>
        <w:spacing w:after="0" w:line="240" w:lineRule="auto"/>
        <w:jc w:val="both"/>
        <w:rPr>
          <w:rFonts w:ascii="Verdana" w:eastAsia="Calibri" w:hAnsi="Verdana" w:cs="Arial"/>
          <w:color w:val="000000"/>
          <w:sz w:val="20"/>
          <w:szCs w:val="20"/>
          <w:lang w:eastAsia="es-ES_tradnl"/>
        </w:rPr>
      </w:pPr>
      <w:r w:rsidRPr="003148DF">
        <w:rPr>
          <w:rFonts w:ascii="Verdana" w:eastAsia="Calibri" w:hAnsi="Verdana" w:cs="Arial"/>
          <w:color w:val="000000"/>
          <w:sz w:val="20"/>
          <w:szCs w:val="20"/>
          <w:lang w:eastAsia="es-ES_tradnl"/>
        </w:rPr>
        <w:t xml:space="preserve">Esto significa que quien ocupa la posición de parte en el negocio jurídico, por exclusión, no puede tener la naturaleza de tercero para efectos de la subcontratación. Por tanto, desde el punto de vista de los sujetos, la calidad de tercero corresponde a cualquier persona distinta al contratista o a los integrantes del consorcio o unión temporal y a la entidad estatal contratante. En este contexto, sólo la experiencia adquirida por lo integrantes del proponente plural puede acreditarse en otros procesos de selección, pues </w:t>
      </w:r>
      <w:r w:rsidRPr="003148DF">
        <w:rPr>
          <w:rFonts w:ascii="Verdana" w:eastAsia="Calibri" w:hAnsi="Verdana" w:cs="Arial"/>
          <w:color w:val="000000"/>
          <w:sz w:val="20"/>
          <w:szCs w:val="20"/>
          <w:lang w:eastAsia="es-ES_tradnl"/>
        </w:rPr>
        <w:lastRenderedPageBreak/>
        <w:t xml:space="preserve">–por sustracción de materia– no pueden fungir como subcontratistas del consorcio o unión temporal del que hacen parte.  </w:t>
      </w:r>
    </w:p>
    <w:p w14:paraId="352EC563" w14:textId="77777777" w:rsidR="003148DF" w:rsidRDefault="003148DF" w:rsidP="003148DF">
      <w:pPr>
        <w:spacing w:after="0" w:line="240" w:lineRule="auto"/>
        <w:jc w:val="both"/>
        <w:rPr>
          <w:rFonts w:ascii="Verdana" w:eastAsia="Calibri" w:hAnsi="Verdana" w:cs="Arial"/>
          <w:color w:val="000000"/>
          <w:sz w:val="20"/>
          <w:szCs w:val="20"/>
          <w:lang w:eastAsia="es-ES_tradnl"/>
        </w:rPr>
      </w:pPr>
    </w:p>
    <w:p w14:paraId="5F29E14A" w14:textId="419967C5" w:rsidR="003148DF" w:rsidRPr="003148DF" w:rsidRDefault="003148DF" w:rsidP="003148DF">
      <w:pPr>
        <w:spacing w:after="0" w:line="240" w:lineRule="auto"/>
        <w:jc w:val="both"/>
        <w:rPr>
          <w:rFonts w:ascii="Verdana" w:eastAsia="Calibri" w:hAnsi="Verdana" w:cs="Arial"/>
          <w:color w:val="000000"/>
          <w:sz w:val="20"/>
          <w:szCs w:val="20"/>
          <w:lang w:eastAsia="es-ES_tradnl"/>
        </w:rPr>
      </w:pPr>
      <w:r w:rsidRPr="003148DF">
        <w:rPr>
          <w:rFonts w:ascii="Verdana" w:eastAsia="Calibri" w:hAnsi="Verdana" w:cs="Arial"/>
          <w:color w:val="000000"/>
          <w:sz w:val="20"/>
          <w:szCs w:val="20"/>
          <w:lang w:eastAsia="es-ES_tradnl"/>
        </w:rPr>
        <w:t xml:space="preserve">En este contexto, las personas naturales o jurídicas que se unen para la conformación de un consorcio o una unión temporal, cuyo propósito consiste en la presentación de propuestas, adjudicación, celebración del contrato así como la ejecución de éste, definido las actividades y obligaciones previamente en la carta de conformación, resulta contrario a la naturaleza propia de dicha forma de colaboración que ellas mismas subcontraten a quienes hacen parte de esta forma asociativa de colaboración, por cuanto como se indicó previamente, la subcontratación requiere que sea un tercero quien cumplan con el objeto de dicha subcontratación. </w:t>
      </w:r>
    </w:p>
    <w:p w14:paraId="7774CBE8" w14:textId="77777777" w:rsidR="003148DF" w:rsidRPr="003148DF" w:rsidRDefault="003148DF" w:rsidP="0098704D">
      <w:pPr>
        <w:jc w:val="both"/>
        <w:rPr>
          <w:rFonts w:ascii="Verdana" w:eastAsia="Calibri" w:hAnsi="Verdana" w:cs="Arial"/>
          <w:b/>
          <w:bCs/>
          <w:lang w:eastAsia="es-ES"/>
        </w:rPr>
      </w:pPr>
    </w:p>
    <w:p w14:paraId="22DEFA33" w14:textId="77777777" w:rsidR="0098704D" w:rsidRDefault="0098704D" w:rsidP="0098704D">
      <w:pPr>
        <w:jc w:val="both"/>
        <w:rPr>
          <w:rFonts w:ascii="Verdana" w:eastAsia="Calibri" w:hAnsi="Verdana" w:cs="Arial"/>
          <w:b/>
          <w:bCs/>
          <w:lang w:val="es-ES" w:eastAsia="es-ES"/>
        </w:rPr>
      </w:pPr>
    </w:p>
    <w:p w14:paraId="2E050CF8" w14:textId="77777777" w:rsidR="0098704D" w:rsidRDefault="0098704D" w:rsidP="0098704D">
      <w:pPr>
        <w:jc w:val="both"/>
        <w:rPr>
          <w:rFonts w:ascii="Verdana" w:eastAsia="Calibri" w:hAnsi="Verdana" w:cs="Arial"/>
          <w:b/>
          <w:bCs/>
          <w:lang w:val="es-ES" w:eastAsia="es-ES"/>
        </w:rPr>
      </w:pPr>
    </w:p>
    <w:p w14:paraId="4A2C648F" w14:textId="77777777" w:rsidR="0098704D" w:rsidRDefault="0098704D" w:rsidP="0098704D">
      <w:pPr>
        <w:jc w:val="both"/>
        <w:rPr>
          <w:rFonts w:ascii="Verdana" w:eastAsia="Calibri" w:hAnsi="Verdana" w:cs="Arial"/>
          <w:b/>
          <w:bCs/>
          <w:lang w:val="es-ES" w:eastAsia="es-ES"/>
        </w:rPr>
      </w:pPr>
    </w:p>
    <w:p w14:paraId="7B4C8CE8" w14:textId="064CC4F3" w:rsidR="00A05267" w:rsidRPr="0098704D" w:rsidRDefault="00A05267" w:rsidP="0098704D">
      <w:pPr>
        <w:spacing w:after="0" w:line="240" w:lineRule="auto"/>
        <w:jc w:val="both"/>
        <w:rPr>
          <w:rFonts w:ascii="Verdana" w:eastAsia="Calibri" w:hAnsi="Verdana" w:cs="Arial"/>
          <w:b/>
          <w:bCs/>
          <w:lang w:val="es-ES" w:eastAsia="es-ES"/>
        </w:rPr>
      </w:pPr>
      <w:r w:rsidRPr="0098704D">
        <w:rPr>
          <w:rFonts w:ascii="Verdana" w:eastAsia="Calibri" w:hAnsi="Verdana" w:cs="Arial"/>
          <w:b/>
          <w:bCs/>
          <w:lang w:val="es-ES" w:eastAsia="es-ES"/>
        </w:rPr>
        <w:t xml:space="preserve">                       </w:t>
      </w:r>
    </w:p>
    <w:p w14:paraId="05E69E1E" w14:textId="77777777" w:rsidR="00A05267" w:rsidRDefault="00A05267" w:rsidP="00BE5D31">
      <w:pPr>
        <w:spacing w:after="0" w:line="240" w:lineRule="auto"/>
        <w:jc w:val="both"/>
        <w:rPr>
          <w:rFonts w:ascii="Verdana" w:hAnsi="Verdana"/>
          <w:lang w:val="es-ES"/>
        </w:rPr>
      </w:pPr>
    </w:p>
    <w:p w14:paraId="5901C70D" w14:textId="77777777" w:rsidR="00A05267" w:rsidRDefault="00A05267" w:rsidP="00BE5D31">
      <w:pPr>
        <w:spacing w:after="0" w:line="240" w:lineRule="auto"/>
        <w:jc w:val="both"/>
        <w:rPr>
          <w:rFonts w:ascii="Verdana" w:hAnsi="Verdana"/>
          <w:lang w:val="es-ES"/>
        </w:rPr>
      </w:pPr>
    </w:p>
    <w:p w14:paraId="6AA9EE45" w14:textId="77777777" w:rsidR="00A05267" w:rsidRDefault="00A05267" w:rsidP="00BE5D31">
      <w:pPr>
        <w:spacing w:after="0" w:line="240" w:lineRule="auto"/>
        <w:jc w:val="both"/>
        <w:rPr>
          <w:rFonts w:ascii="Verdana" w:hAnsi="Verdana"/>
          <w:lang w:val="es-ES"/>
        </w:rPr>
      </w:pPr>
    </w:p>
    <w:p w14:paraId="2E27F28D" w14:textId="77777777" w:rsidR="00A05267" w:rsidRDefault="00A05267" w:rsidP="00BE5D31">
      <w:pPr>
        <w:spacing w:after="0" w:line="240" w:lineRule="auto"/>
        <w:jc w:val="both"/>
        <w:rPr>
          <w:rFonts w:ascii="Verdana" w:hAnsi="Verdana"/>
          <w:lang w:val="es-ES"/>
        </w:rPr>
      </w:pPr>
    </w:p>
    <w:p w14:paraId="4A6B6B96" w14:textId="77777777" w:rsidR="00A05267" w:rsidRDefault="00A05267" w:rsidP="00BE5D31">
      <w:pPr>
        <w:spacing w:after="0" w:line="240" w:lineRule="auto"/>
        <w:jc w:val="both"/>
        <w:rPr>
          <w:rFonts w:ascii="Verdana" w:hAnsi="Verdana"/>
          <w:lang w:val="es-ES"/>
        </w:rPr>
      </w:pPr>
    </w:p>
    <w:p w14:paraId="49FEB00C" w14:textId="77777777" w:rsidR="00A05267" w:rsidRDefault="00A05267" w:rsidP="00BE5D31">
      <w:pPr>
        <w:spacing w:after="0" w:line="240" w:lineRule="auto"/>
        <w:jc w:val="both"/>
        <w:rPr>
          <w:rFonts w:ascii="Verdana" w:hAnsi="Verdana"/>
          <w:lang w:val="es-ES"/>
        </w:rPr>
      </w:pPr>
    </w:p>
    <w:p w14:paraId="0C017F11" w14:textId="77777777" w:rsidR="00A05267" w:rsidRDefault="00A05267" w:rsidP="00BE5D31">
      <w:pPr>
        <w:spacing w:after="0" w:line="240" w:lineRule="auto"/>
        <w:jc w:val="both"/>
        <w:rPr>
          <w:rFonts w:ascii="Verdana" w:hAnsi="Verdana"/>
          <w:lang w:val="es-ES"/>
        </w:rPr>
      </w:pPr>
    </w:p>
    <w:p w14:paraId="44F7720C" w14:textId="77777777" w:rsidR="003148DF" w:rsidRDefault="003148DF" w:rsidP="00BE5D31">
      <w:pPr>
        <w:spacing w:after="0" w:line="240" w:lineRule="auto"/>
        <w:jc w:val="both"/>
        <w:rPr>
          <w:rFonts w:ascii="Verdana" w:hAnsi="Verdana"/>
          <w:lang w:val="es-ES"/>
        </w:rPr>
      </w:pPr>
    </w:p>
    <w:p w14:paraId="7E3E348D" w14:textId="77777777" w:rsidR="003148DF" w:rsidRDefault="003148DF" w:rsidP="00BE5D31">
      <w:pPr>
        <w:spacing w:after="0" w:line="240" w:lineRule="auto"/>
        <w:jc w:val="both"/>
        <w:rPr>
          <w:rFonts w:ascii="Verdana" w:hAnsi="Verdana"/>
          <w:lang w:val="es-ES"/>
        </w:rPr>
      </w:pPr>
    </w:p>
    <w:p w14:paraId="5E229E3D" w14:textId="77777777" w:rsidR="003148DF" w:rsidRDefault="003148DF" w:rsidP="00BE5D31">
      <w:pPr>
        <w:spacing w:after="0" w:line="240" w:lineRule="auto"/>
        <w:jc w:val="both"/>
        <w:rPr>
          <w:rFonts w:ascii="Verdana" w:hAnsi="Verdana"/>
          <w:lang w:val="es-ES"/>
        </w:rPr>
      </w:pPr>
    </w:p>
    <w:p w14:paraId="10A33964" w14:textId="77777777" w:rsidR="003148DF" w:rsidRDefault="003148DF" w:rsidP="00BE5D31">
      <w:pPr>
        <w:spacing w:after="0" w:line="240" w:lineRule="auto"/>
        <w:jc w:val="both"/>
        <w:rPr>
          <w:rFonts w:ascii="Verdana" w:hAnsi="Verdana"/>
          <w:lang w:val="es-ES"/>
        </w:rPr>
      </w:pPr>
    </w:p>
    <w:p w14:paraId="2734D2BC" w14:textId="77777777" w:rsidR="003148DF" w:rsidRDefault="003148DF" w:rsidP="00BE5D31">
      <w:pPr>
        <w:spacing w:after="0" w:line="240" w:lineRule="auto"/>
        <w:jc w:val="both"/>
        <w:rPr>
          <w:rFonts w:ascii="Verdana" w:hAnsi="Verdana"/>
          <w:lang w:val="es-ES"/>
        </w:rPr>
      </w:pPr>
    </w:p>
    <w:p w14:paraId="0440AD53" w14:textId="77777777" w:rsidR="003148DF" w:rsidRDefault="003148DF" w:rsidP="00BE5D31">
      <w:pPr>
        <w:spacing w:after="0" w:line="240" w:lineRule="auto"/>
        <w:jc w:val="both"/>
        <w:rPr>
          <w:rFonts w:ascii="Verdana" w:hAnsi="Verdana"/>
          <w:lang w:val="es-ES"/>
        </w:rPr>
      </w:pPr>
    </w:p>
    <w:p w14:paraId="566CD002" w14:textId="77777777" w:rsidR="003148DF" w:rsidRDefault="003148DF" w:rsidP="00BE5D31">
      <w:pPr>
        <w:spacing w:after="0" w:line="240" w:lineRule="auto"/>
        <w:jc w:val="both"/>
        <w:rPr>
          <w:rFonts w:ascii="Verdana" w:hAnsi="Verdana"/>
          <w:lang w:val="es-ES"/>
        </w:rPr>
      </w:pPr>
    </w:p>
    <w:p w14:paraId="4278B6C3" w14:textId="77777777" w:rsidR="003148DF" w:rsidRDefault="003148DF" w:rsidP="00BE5D31">
      <w:pPr>
        <w:spacing w:after="0" w:line="240" w:lineRule="auto"/>
        <w:jc w:val="both"/>
        <w:rPr>
          <w:rFonts w:ascii="Verdana" w:hAnsi="Verdana"/>
          <w:lang w:val="es-ES"/>
        </w:rPr>
      </w:pPr>
    </w:p>
    <w:p w14:paraId="52FB00F7" w14:textId="77777777" w:rsidR="003148DF" w:rsidRDefault="003148DF" w:rsidP="00BE5D31">
      <w:pPr>
        <w:spacing w:after="0" w:line="240" w:lineRule="auto"/>
        <w:jc w:val="both"/>
        <w:rPr>
          <w:rFonts w:ascii="Verdana" w:hAnsi="Verdana"/>
          <w:lang w:val="es-ES"/>
        </w:rPr>
      </w:pPr>
    </w:p>
    <w:p w14:paraId="5BB05E39" w14:textId="77777777" w:rsidR="003148DF" w:rsidRDefault="003148DF" w:rsidP="00BE5D31">
      <w:pPr>
        <w:spacing w:after="0" w:line="240" w:lineRule="auto"/>
        <w:jc w:val="both"/>
        <w:rPr>
          <w:rFonts w:ascii="Verdana" w:hAnsi="Verdana"/>
          <w:lang w:val="es-ES"/>
        </w:rPr>
      </w:pPr>
    </w:p>
    <w:p w14:paraId="767924AF" w14:textId="77777777" w:rsidR="003148DF" w:rsidRDefault="003148DF" w:rsidP="00BE5D31">
      <w:pPr>
        <w:spacing w:after="0" w:line="240" w:lineRule="auto"/>
        <w:jc w:val="both"/>
        <w:rPr>
          <w:rFonts w:ascii="Verdana" w:hAnsi="Verdana"/>
          <w:lang w:val="es-ES"/>
        </w:rPr>
      </w:pPr>
    </w:p>
    <w:p w14:paraId="1880E06C" w14:textId="77777777" w:rsidR="003148DF" w:rsidRDefault="003148DF" w:rsidP="00BE5D31">
      <w:pPr>
        <w:spacing w:after="0" w:line="240" w:lineRule="auto"/>
        <w:jc w:val="both"/>
        <w:rPr>
          <w:rFonts w:ascii="Verdana" w:hAnsi="Verdana"/>
          <w:lang w:val="es-ES"/>
        </w:rPr>
      </w:pPr>
    </w:p>
    <w:p w14:paraId="44A784EA" w14:textId="77777777" w:rsidR="003148DF" w:rsidRDefault="003148DF" w:rsidP="00BE5D31">
      <w:pPr>
        <w:spacing w:after="0" w:line="240" w:lineRule="auto"/>
        <w:jc w:val="both"/>
        <w:rPr>
          <w:rFonts w:ascii="Verdana" w:hAnsi="Verdana"/>
          <w:lang w:val="es-ES"/>
        </w:rPr>
      </w:pPr>
    </w:p>
    <w:p w14:paraId="26A56F84" w14:textId="77777777" w:rsidR="003148DF" w:rsidRDefault="003148DF" w:rsidP="00BE5D31">
      <w:pPr>
        <w:spacing w:after="0" w:line="240" w:lineRule="auto"/>
        <w:jc w:val="both"/>
        <w:rPr>
          <w:rFonts w:ascii="Verdana" w:hAnsi="Verdana"/>
          <w:lang w:val="es-ES"/>
        </w:rPr>
      </w:pPr>
    </w:p>
    <w:p w14:paraId="187E1009" w14:textId="77777777" w:rsidR="003148DF" w:rsidRDefault="003148DF" w:rsidP="00BE5D31">
      <w:pPr>
        <w:spacing w:after="0" w:line="240" w:lineRule="auto"/>
        <w:jc w:val="both"/>
        <w:rPr>
          <w:rFonts w:ascii="Verdana" w:hAnsi="Verdana"/>
          <w:lang w:val="es-ES"/>
        </w:rPr>
      </w:pPr>
    </w:p>
    <w:p w14:paraId="429134A7" w14:textId="77777777" w:rsidR="003148DF" w:rsidRDefault="003148DF" w:rsidP="00BE5D31">
      <w:pPr>
        <w:spacing w:after="0" w:line="240" w:lineRule="auto"/>
        <w:jc w:val="both"/>
        <w:rPr>
          <w:rFonts w:ascii="Verdana" w:hAnsi="Verdana"/>
          <w:lang w:val="es-ES"/>
        </w:rPr>
      </w:pPr>
    </w:p>
    <w:p w14:paraId="5A912082" w14:textId="77777777" w:rsidR="003148DF" w:rsidRDefault="003148DF" w:rsidP="00BE5D31">
      <w:pPr>
        <w:spacing w:after="0" w:line="240" w:lineRule="auto"/>
        <w:jc w:val="both"/>
        <w:rPr>
          <w:rFonts w:ascii="Verdana" w:hAnsi="Verdana"/>
          <w:lang w:val="es-ES"/>
        </w:rPr>
      </w:pPr>
    </w:p>
    <w:p w14:paraId="7C0AB18F" w14:textId="77777777" w:rsidR="00A05267" w:rsidRPr="00A05267" w:rsidRDefault="00A05267" w:rsidP="00BE5D31">
      <w:pPr>
        <w:spacing w:after="0" w:line="240" w:lineRule="auto"/>
        <w:jc w:val="both"/>
        <w:rPr>
          <w:rFonts w:ascii="Verdana" w:hAnsi="Verdana"/>
          <w:lang w:val="es-ES"/>
        </w:rPr>
      </w:pPr>
    </w:p>
    <w:p w14:paraId="1475ED14" w14:textId="6929DBEA" w:rsidR="00BE5D31" w:rsidRDefault="00BE5D31" w:rsidP="00BE5D31">
      <w:pPr>
        <w:spacing w:after="0" w:line="240" w:lineRule="auto"/>
        <w:jc w:val="both"/>
        <w:rPr>
          <w:rFonts w:ascii="Verdana" w:hAnsi="Verdana"/>
        </w:rPr>
      </w:pPr>
      <w:r w:rsidRPr="00FF007A">
        <w:rPr>
          <w:rFonts w:ascii="Verdana" w:hAnsi="Verdana"/>
        </w:rPr>
        <w:lastRenderedPageBreak/>
        <w:t>Bogotá D.C.,</w:t>
      </w:r>
      <w:r w:rsidRPr="00FF007A">
        <w:rPr>
          <w:rFonts w:ascii="Verdana" w:hAnsi="Verdana"/>
        </w:rPr>
        <w:tab/>
      </w:r>
      <w:r w:rsidR="00DF4898">
        <w:rPr>
          <w:rFonts w:ascii="Verdana" w:hAnsi="Verdana"/>
        </w:rPr>
        <w:t xml:space="preserve"> 3 de octubre de 2025 </w:t>
      </w:r>
    </w:p>
    <w:p w14:paraId="3CBE8592" w14:textId="77777777" w:rsidR="00A05267" w:rsidRPr="00FF007A" w:rsidRDefault="00A05267" w:rsidP="00BE5D31">
      <w:pPr>
        <w:spacing w:after="0" w:line="240" w:lineRule="auto"/>
        <w:jc w:val="both"/>
        <w:rPr>
          <w:rFonts w:ascii="Verdana" w:hAnsi="Verdana"/>
        </w:rPr>
      </w:pPr>
    </w:p>
    <w:p w14:paraId="0B14C334" w14:textId="77777777" w:rsidR="00BE5D31" w:rsidRDefault="00BE5D31" w:rsidP="00BE5D31">
      <w:pPr>
        <w:spacing w:after="0" w:line="240" w:lineRule="auto"/>
        <w:jc w:val="both"/>
        <w:rPr>
          <w:rFonts w:ascii="Verdana" w:eastAsia="Calibri" w:hAnsi="Verdana" w:cs="Arial"/>
          <w:lang w:eastAsia="es-ES"/>
        </w:rPr>
      </w:pPr>
      <w:bookmarkStart w:id="6" w:name="_Hlk197462763"/>
      <w:bookmarkStart w:id="7" w:name="_Hlk197529996"/>
    </w:p>
    <w:p w14:paraId="006F18F8" w14:textId="604D202A" w:rsidR="00DF4898" w:rsidRDefault="00DF4898" w:rsidP="00DF4898">
      <w:pPr>
        <w:spacing w:after="0" w:line="240" w:lineRule="auto"/>
        <w:jc w:val="right"/>
        <w:rPr>
          <w:rFonts w:ascii="Verdana" w:eastAsia="Calibri" w:hAnsi="Verdana" w:cs="Arial"/>
          <w:lang w:eastAsia="es-ES"/>
        </w:rPr>
      </w:pPr>
      <w:r w:rsidRPr="00DF4898">
        <w:rPr>
          <w:rFonts w:ascii="Verdana" w:eastAsia="Calibri" w:hAnsi="Verdana" w:cs="Arial"/>
          <w:lang w:eastAsia="es-ES"/>
        </w:rPr>
        <w:drawing>
          <wp:inline distT="0" distB="0" distL="0" distR="0" wp14:anchorId="09D7E745" wp14:editId="421EBFBB">
            <wp:extent cx="2921000" cy="811389"/>
            <wp:effectExtent l="0" t="0" r="0" b="8255"/>
            <wp:docPr id="540045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4560" name=""/>
                    <pic:cNvPicPr/>
                  </pic:nvPicPr>
                  <pic:blipFill>
                    <a:blip r:embed="rId10"/>
                    <a:stretch>
                      <a:fillRect/>
                    </a:stretch>
                  </pic:blipFill>
                  <pic:spPr>
                    <a:xfrm>
                      <a:off x="0" y="0"/>
                      <a:ext cx="2931338" cy="814261"/>
                    </a:xfrm>
                    <a:prstGeom prst="rect">
                      <a:avLst/>
                    </a:prstGeom>
                  </pic:spPr>
                </pic:pic>
              </a:graphicData>
            </a:graphic>
          </wp:inline>
        </w:drawing>
      </w:r>
    </w:p>
    <w:p w14:paraId="36915870" w14:textId="77777777" w:rsidR="00BE5D31" w:rsidRPr="00FF007A" w:rsidRDefault="00BE5D31" w:rsidP="00BE5D31">
      <w:pPr>
        <w:spacing w:after="0" w:line="240" w:lineRule="auto"/>
        <w:jc w:val="both"/>
        <w:rPr>
          <w:rFonts w:ascii="Verdana" w:eastAsia="Calibri" w:hAnsi="Verdana" w:cs="Arial"/>
          <w:lang w:eastAsia="es-ES"/>
        </w:rPr>
      </w:pPr>
      <w:r w:rsidRPr="00FF007A">
        <w:rPr>
          <w:rFonts w:ascii="Verdana" w:eastAsia="Calibri" w:hAnsi="Verdana" w:cs="Arial"/>
          <w:lang w:eastAsia="es-ES"/>
        </w:rPr>
        <w:t>Señor</w:t>
      </w:r>
    </w:p>
    <w:p w14:paraId="00FAA386" w14:textId="77777777" w:rsidR="00BE5D31" w:rsidRDefault="00BE5D31" w:rsidP="00BE5D31">
      <w:pPr>
        <w:spacing w:after="0" w:line="240" w:lineRule="auto"/>
        <w:jc w:val="both"/>
        <w:rPr>
          <w:rFonts w:ascii="Verdana" w:eastAsia="Calibri" w:hAnsi="Verdana" w:cs="Arial"/>
          <w:b/>
          <w:lang w:eastAsia="es-ES_tradnl"/>
        </w:rPr>
      </w:pPr>
      <w:r w:rsidRPr="00423371">
        <w:rPr>
          <w:rFonts w:ascii="Verdana" w:eastAsia="Calibri" w:hAnsi="Verdana" w:cs="Arial"/>
          <w:b/>
          <w:lang w:eastAsia="es-ES_tradnl"/>
        </w:rPr>
        <w:t>José Javier</w:t>
      </w:r>
      <w:r>
        <w:rPr>
          <w:rFonts w:ascii="Verdana" w:eastAsia="Calibri" w:hAnsi="Verdana" w:cs="Arial"/>
          <w:b/>
          <w:lang w:eastAsia="es-ES_tradnl"/>
        </w:rPr>
        <w:t xml:space="preserve"> </w:t>
      </w:r>
      <w:r w:rsidRPr="00423371">
        <w:rPr>
          <w:rFonts w:ascii="Verdana" w:eastAsia="Calibri" w:hAnsi="Verdana" w:cs="Arial"/>
          <w:b/>
          <w:lang w:eastAsia="es-ES_tradnl"/>
        </w:rPr>
        <w:t>Barrera Páez</w:t>
      </w:r>
    </w:p>
    <w:p w14:paraId="2A5FEF33" w14:textId="77777777" w:rsidR="00BE5D31" w:rsidRDefault="00BE5D31" w:rsidP="00BE5D31">
      <w:pPr>
        <w:spacing w:after="0" w:line="240" w:lineRule="auto"/>
        <w:jc w:val="both"/>
        <w:rPr>
          <w:rFonts w:ascii="Verdana" w:hAnsi="Verdana"/>
        </w:rPr>
      </w:pPr>
      <w:hyperlink r:id="rId11" w:history="1">
        <w:r w:rsidRPr="00C97F3E">
          <w:rPr>
            <w:rStyle w:val="Hipervnculo"/>
            <w:rFonts w:ascii="Verdana" w:hAnsi="Verdana"/>
          </w:rPr>
          <w:t>abogadojavierbarrera@gmail.com</w:t>
        </w:r>
      </w:hyperlink>
    </w:p>
    <w:p w14:paraId="3D682EC0" w14:textId="77777777" w:rsidR="00BE5D31" w:rsidRDefault="00BE5D31" w:rsidP="00BE5D31">
      <w:pPr>
        <w:spacing w:after="0" w:line="240" w:lineRule="auto"/>
        <w:jc w:val="both"/>
        <w:rPr>
          <w:rFonts w:ascii="Verdana" w:hAnsi="Verdana"/>
        </w:rPr>
      </w:pPr>
      <w:r>
        <w:rPr>
          <w:rFonts w:ascii="Verdana" w:hAnsi="Verdana"/>
        </w:rPr>
        <w:t xml:space="preserve">Fortul – Arauca </w:t>
      </w:r>
    </w:p>
    <w:p w14:paraId="60D65C12" w14:textId="77777777" w:rsidR="00BE5D31" w:rsidRPr="00FF007A" w:rsidRDefault="00BE5D31" w:rsidP="00BE5D31">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BE5D31" w:rsidRPr="00FF007A" w14:paraId="0DD28D4C" w14:textId="77777777" w:rsidTr="008C2CAB">
        <w:trPr>
          <w:trHeight w:val="162"/>
        </w:trPr>
        <w:tc>
          <w:tcPr>
            <w:tcW w:w="3119" w:type="dxa"/>
          </w:tcPr>
          <w:p w14:paraId="1A96F84E" w14:textId="77777777" w:rsidR="00BE5D31" w:rsidRPr="00FF007A" w:rsidRDefault="00BE5D31" w:rsidP="008C2CAB">
            <w:pPr>
              <w:jc w:val="both"/>
              <w:rPr>
                <w:rFonts w:ascii="Verdana" w:eastAsia="Calibri" w:hAnsi="Verdana" w:cs="Arial"/>
                <w:b/>
                <w:bCs/>
                <w:color w:val="7030A0"/>
                <w:lang w:eastAsia="es-ES_tradnl"/>
              </w:rPr>
            </w:pPr>
          </w:p>
        </w:tc>
        <w:tc>
          <w:tcPr>
            <w:tcW w:w="5670" w:type="dxa"/>
          </w:tcPr>
          <w:p w14:paraId="2CC0930A" w14:textId="77777777" w:rsidR="00BE5D31" w:rsidRPr="00FF007A" w:rsidRDefault="00BE5D31" w:rsidP="008C2CAB">
            <w:pPr>
              <w:jc w:val="both"/>
              <w:rPr>
                <w:rFonts w:ascii="Verdana" w:eastAsia="Calibri" w:hAnsi="Verdana" w:cs="Arial"/>
                <w:b/>
                <w:bCs/>
                <w:lang w:eastAsia="es-ES"/>
              </w:rPr>
            </w:pPr>
            <w:r w:rsidRPr="00FF007A">
              <w:rPr>
                <w:rFonts w:ascii="Verdana" w:eastAsia="Calibri" w:hAnsi="Verdana" w:cs="Arial"/>
                <w:b/>
                <w:bCs/>
                <w:lang w:eastAsia="es-ES"/>
              </w:rPr>
              <w:t>Concepto C-</w:t>
            </w:r>
            <w:r>
              <w:rPr>
                <w:rFonts w:ascii="Verdana" w:eastAsia="Calibri" w:hAnsi="Verdana" w:cs="Arial"/>
                <w:b/>
                <w:bCs/>
                <w:lang w:eastAsia="es-ES"/>
              </w:rPr>
              <w:t>1265</w:t>
            </w:r>
            <w:r w:rsidRPr="00FF007A">
              <w:rPr>
                <w:rFonts w:ascii="Verdana" w:eastAsia="Calibri" w:hAnsi="Verdana" w:cs="Arial"/>
                <w:b/>
                <w:bCs/>
                <w:lang w:eastAsia="es-ES"/>
              </w:rPr>
              <w:t xml:space="preserve"> de 2025</w:t>
            </w:r>
          </w:p>
          <w:p w14:paraId="72D5C424" w14:textId="77777777" w:rsidR="00BE5D31" w:rsidRPr="00FF007A" w:rsidRDefault="00BE5D31" w:rsidP="008C2CAB">
            <w:pPr>
              <w:jc w:val="both"/>
              <w:rPr>
                <w:rFonts w:ascii="Verdana" w:eastAsia="Calibri" w:hAnsi="Verdana" w:cs="Arial"/>
                <w:b/>
                <w:bCs/>
                <w:color w:val="7030A0"/>
                <w:lang w:eastAsia="es-ES"/>
              </w:rPr>
            </w:pPr>
          </w:p>
        </w:tc>
      </w:tr>
      <w:tr w:rsidR="00BE5D31" w:rsidRPr="00FF007A" w14:paraId="10B51FA5" w14:textId="77777777" w:rsidTr="008C2CAB">
        <w:trPr>
          <w:trHeight w:val="884"/>
        </w:trPr>
        <w:tc>
          <w:tcPr>
            <w:tcW w:w="3119" w:type="dxa"/>
          </w:tcPr>
          <w:p w14:paraId="61834598" w14:textId="77777777" w:rsidR="00BE5D31" w:rsidRPr="00FF007A" w:rsidRDefault="00BE5D31" w:rsidP="008C2CAB">
            <w:pPr>
              <w:jc w:val="both"/>
              <w:rPr>
                <w:rFonts w:ascii="Verdana" w:eastAsia="Calibri" w:hAnsi="Verdana" w:cs="Arial"/>
                <w:color w:val="000000"/>
                <w:lang w:eastAsia="es-ES_tradnl"/>
              </w:rPr>
            </w:pPr>
            <w:r w:rsidRPr="00FF007A">
              <w:rPr>
                <w:rFonts w:ascii="Verdana" w:eastAsia="Calibri" w:hAnsi="Verdana" w:cs="Arial"/>
                <w:b/>
                <w:color w:val="000000"/>
                <w:lang w:eastAsia="es-ES_tradnl"/>
              </w:rPr>
              <w:t>Temas:</w:t>
            </w:r>
            <w:r w:rsidRPr="00FF007A">
              <w:rPr>
                <w:rFonts w:ascii="Verdana" w:eastAsia="Calibri" w:hAnsi="Verdana" w:cs="Arial"/>
                <w:color w:val="000000"/>
                <w:lang w:eastAsia="es-ES_tradnl"/>
              </w:rPr>
              <w:t xml:space="preserve">                   </w:t>
            </w:r>
          </w:p>
        </w:tc>
        <w:tc>
          <w:tcPr>
            <w:tcW w:w="5670" w:type="dxa"/>
          </w:tcPr>
          <w:p w14:paraId="0411BFC6" w14:textId="77777777" w:rsidR="00BE5D31" w:rsidRPr="00A11406" w:rsidRDefault="00BE5D31" w:rsidP="008C2CAB">
            <w:pPr>
              <w:spacing w:line="276" w:lineRule="auto"/>
              <w:jc w:val="both"/>
              <w:rPr>
                <w:rFonts w:ascii="Verdana" w:eastAsia="Calibri" w:hAnsi="Verdana" w:cs="Arial"/>
                <w:lang w:val="es-ES" w:eastAsia="es-ES"/>
              </w:rPr>
            </w:pPr>
            <w:r w:rsidRPr="00003886">
              <w:rPr>
                <w:rFonts w:ascii="Verdana" w:eastAsia="Calibri" w:hAnsi="Verdana" w:cs="Arial"/>
                <w:lang w:val="es-ES" w:eastAsia="es-ES"/>
              </w:rPr>
              <w:t xml:space="preserve">PROPONENTE PLURAL ‒ </w:t>
            </w:r>
            <w:r w:rsidRPr="00127B1A">
              <w:rPr>
                <w:rFonts w:ascii="Verdana" w:eastAsia="Calibri" w:hAnsi="Verdana" w:cs="Arial"/>
                <w:lang w:val="es-ES" w:eastAsia="es-ES"/>
              </w:rPr>
              <w:t xml:space="preserve">Consorcio ‒ Unión temporal ‒ Concepto – Diferencias / SUBCONTRATACIÓN – Concepto – Limitaciones jurídicas </w:t>
            </w:r>
            <w:r w:rsidRPr="00127B1A">
              <w:rPr>
                <w:rFonts w:ascii="Verdana" w:eastAsia="Calibri" w:hAnsi="Verdana"/>
                <w:lang w:val="es-ES" w:eastAsia="es-ES"/>
              </w:rPr>
              <w:t xml:space="preserve">/ </w:t>
            </w:r>
            <w:r w:rsidRPr="00127B1A">
              <w:rPr>
                <w:rFonts w:ascii="Verdana" w:eastAsia="Calibri" w:hAnsi="Verdana" w:cs="Arial"/>
                <w:lang w:val="es-ES" w:eastAsia="es-ES"/>
              </w:rPr>
              <w:t>INTEGRANTES DE ESTRUCTURA PLURAL – Subcontratación – Terceros – Imposibilidad de fungir como subcontratistas</w:t>
            </w:r>
            <w:r w:rsidRPr="006424A3">
              <w:rPr>
                <w:rFonts w:ascii="Verdana" w:eastAsia="Calibri" w:hAnsi="Verdana" w:cs="Arial"/>
                <w:lang w:val="es-ES" w:eastAsia="es-ES"/>
              </w:rPr>
              <w:t xml:space="preserve">   </w:t>
            </w:r>
            <w:r w:rsidRPr="00003886">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37F6C375" w14:textId="77777777" w:rsidR="00BE5D31" w:rsidRPr="00AA15A4" w:rsidRDefault="00BE5D31" w:rsidP="008C2CAB">
            <w:pPr>
              <w:spacing w:line="276" w:lineRule="auto"/>
              <w:jc w:val="both"/>
              <w:rPr>
                <w:rFonts w:ascii="Verdana" w:hAnsi="Verdana" w:cs="Arial"/>
                <w:color w:val="000000" w:themeColor="text1"/>
                <w:lang w:val="es-ES"/>
              </w:rPr>
            </w:pPr>
          </w:p>
        </w:tc>
      </w:tr>
      <w:tr w:rsidR="00BE5D31" w:rsidRPr="00FF007A" w14:paraId="36CCA4C5" w14:textId="77777777" w:rsidTr="008C2CAB">
        <w:tc>
          <w:tcPr>
            <w:tcW w:w="3119" w:type="dxa"/>
          </w:tcPr>
          <w:p w14:paraId="0F8BC301" w14:textId="77777777" w:rsidR="00BE5D31" w:rsidRPr="00FF007A" w:rsidRDefault="00BE5D31" w:rsidP="008C2CAB">
            <w:pPr>
              <w:jc w:val="both"/>
              <w:rPr>
                <w:rFonts w:ascii="Verdana" w:eastAsia="Calibri" w:hAnsi="Verdana" w:cs="Arial"/>
                <w:b/>
                <w:lang w:eastAsia="es-ES_tradnl"/>
              </w:rPr>
            </w:pPr>
            <w:r w:rsidRPr="00FF007A">
              <w:rPr>
                <w:rFonts w:ascii="Verdana" w:eastAsia="Calibri" w:hAnsi="Verdana" w:cs="Arial"/>
                <w:b/>
                <w:lang w:eastAsia="es-ES_tradnl"/>
              </w:rPr>
              <w:t>Radicación:</w:t>
            </w:r>
            <w:r w:rsidRPr="00FF007A">
              <w:rPr>
                <w:rFonts w:ascii="Verdana" w:eastAsia="Calibri" w:hAnsi="Verdana" w:cs="Arial"/>
                <w:lang w:eastAsia="es-ES_tradnl"/>
              </w:rPr>
              <w:t xml:space="preserve">               </w:t>
            </w:r>
          </w:p>
        </w:tc>
        <w:tc>
          <w:tcPr>
            <w:tcW w:w="5670" w:type="dxa"/>
          </w:tcPr>
          <w:p w14:paraId="7FC4AA77" w14:textId="77777777" w:rsidR="00BE5D31" w:rsidRPr="00FF007A" w:rsidRDefault="00BE5D31" w:rsidP="008C2CAB">
            <w:pPr>
              <w:jc w:val="both"/>
              <w:rPr>
                <w:rFonts w:ascii="Verdana" w:eastAsia="Calibri" w:hAnsi="Verdana" w:cs="Arial"/>
                <w:lang w:eastAsia="es-ES_tradnl"/>
              </w:rPr>
            </w:pPr>
            <w:r w:rsidRPr="00FF007A">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423371">
              <w:rPr>
                <w:rFonts w:ascii="Verdana" w:eastAsia="Calibri" w:hAnsi="Verdana" w:cs="Arial"/>
                <w:lang w:eastAsia="es-ES_tradnl"/>
              </w:rPr>
              <w:t>1_2025_09_04_009619</w:t>
            </w:r>
          </w:p>
        </w:tc>
      </w:tr>
    </w:tbl>
    <w:p w14:paraId="63D9F80D" w14:textId="77777777" w:rsidR="00BE5D31" w:rsidRPr="00FF007A" w:rsidRDefault="00BE5D31" w:rsidP="00BE5D31">
      <w:pPr>
        <w:spacing w:after="0" w:line="276" w:lineRule="auto"/>
        <w:jc w:val="both"/>
        <w:rPr>
          <w:rFonts w:ascii="Verdana" w:eastAsia="Calibri" w:hAnsi="Verdana" w:cs="Arial"/>
          <w:lang w:eastAsia="es-ES_tradnl"/>
        </w:rPr>
      </w:pPr>
    </w:p>
    <w:p w14:paraId="3C0DE66F" w14:textId="77777777" w:rsidR="00BE5D31" w:rsidRPr="00FF007A" w:rsidRDefault="00BE5D31" w:rsidP="00BE5D31">
      <w:pPr>
        <w:spacing w:after="0" w:line="276" w:lineRule="auto"/>
        <w:jc w:val="both"/>
        <w:rPr>
          <w:rFonts w:ascii="Verdana" w:eastAsia="Calibri" w:hAnsi="Verdana" w:cs="Arial"/>
          <w:lang w:eastAsia="es-ES"/>
        </w:rPr>
      </w:pPr>
      <w:r w:rsidRPr="00FF007A">
        <w:rPr>
          <w:rFonts w:ascii="Verdana" w:eastAsia="Calibri" w:hAnsi="Verdana" w:cs="Arial"/>
          <w:lang w:eastAsia="es-ES"/>
        </w:rPr>
        <w:t>Estimad</w:t>
      </w:r>
      <w:r>
        <w:rPr>
          <w:rFonts w:ascii="Verdana" w:eastAsia="Calibri" w:hAnsi="Verdana" w:cs="Arial"/>
          <w:lang w:eastAsia="es-ES"/>
        </w:rPr>
        <w:t>o señor Barrera</w:t>
      </w:r>
      <w:r w:rsidRPr="00FF007A">
        <w:rPr>
          <w:rFonts w:ascii="Verdana" w:eastAsia="Calibri" w:hAnsi="Verdana" w:cs="Arial"/>
          <w:lang w:eastAsia="es-ES"/>
        </w:rPr>
        <w:t xml:space="preserve">: </w:t>
      </w:r>
    </w:p>
    <w:p w14:paraId="7C4E16BF" w14:textId="77777777" w:rsidR="00BE5D31" w:rsidRPr="00FF007A" w:rsidRDefault="00BE5D31" w:rsidP="00BE5D31">
      <w:pPr>
        <w:tabs>
          <w:tab w:val="left" w:pos="3768"/>
        </w:tabs>
        <w:spacing w:after="0" w:line="240" w:lineRule="auto"/>
        <w:jc w:val="both"/>
        <w:rPr>
          <w:rFonts w:ascii="Verdana" w:eastAsia="Calibri" w:hAnsi="Verdana" w:cs="Arial"/>
          <w:lang w:eastAsia="es-ES"/>
        </w:rPr>
      </w:pPr>
    </w:p>
    <w:p w14:paraId="5ACBA934" w14:textId="77777777" w:rsidR="00BE5D31" w:rsidRPr="00E05649" w:rsidRDefault="00BE5D31" w:rsidP="00BE5D31">
      <w:pPr>
        <w:tabs>
          <w:tab w:val="left" w:pos="3768"/>
        </w:tabs>
        <w:spacing w:after="0" w:line="276" w:lineRule="auto"/>
        <w:jc w:val="both"/>
        <w:rPr>
          <w:rFonts w:ascii="Verdana" w:eastAsia="Calibri" w:hAnsi="Verdana" w:cs="Arial"/>
          <w:lang w:eastAsia="es-ES"/>
        </w:rPr>
      </w:pPr>
      <w:r w:rsidRPr="00E05649">
        <w:rPr>
          <w:rFonts w:ascii="Verdana" w:eastAsia="Calibri" w:hAnsi="Verdana" w:cs="Arial"/>
          <w:lang w:eastAsia="es-ES"/>
        </w:rPr>
        <w:t>En ejercicio de la competencia otorgada por los artículos 3, numeral 5º, y 11, numeral 8º, del Decreto Ley 4170 de 2011,</w:t>
      </w:r>
      <w:r w:rsidRPr="00E05649">
        <w:rPr>
          <w:rFonts w:ascii="Verdana" w:eastAsia="Arial MT" w:hAnsi="Verdana" w:cs="Arial MT"/>
          <w:lang w:eastAsia="es-ES"/>
        </w:rPr>
        <w:t xml:space="preserve"> </w:t>
      </w:r>
      <w:r w:rsidRPr="00E05649">
        <w:rPr>
          <w:rFonts w:ascii="Verdana" w:hAnsi="Verdana" w:cs="Arial"/>
        </w:rPr>
        <w:t xml:space="preserve">así como lo establecido en el artículo 4 de la Resolución 1707 de 2018 expedida por esta Entidad, </w:t>
      </w:r>
      <w:r w:rsidRPr="00E05649">
        <w:rPr>
          <w:rFonts w:ascii="Verdana" w:eastAsia="Calibri" w:hAnsi="Verdana" w:cs="Arial"/>
          <w:lang w:eastAsia="es-ES"/>
        </w:rPr>
        <w:t>la Agencia Nacional de Contratación Pública – Colombia Compra Eficiente– responde su solicitud de consulta de fecha 3 de septiembre</w:t>
      </w:r>
      <w:r>
        <w:rPr>
          <w:rFonts w:ascii="Verdana" w:eastAsia="Calibri" w:hAnsi="Verdana" w:cs="Arial"/>
          <w:lang w:eastAsia="es-ES"/>
        </w:rPr>
        <w:t xml:space="preserve"> de 2025</w:t>
      </w:r>
      <w:r w:rsidRPr="00E05649">
        <w:rPr>
          <w:rFonts w:ascii="Verdana" w:eastAsia="Calibri" w:hAnsi="Verdana" w:cs="Arial"/>
          <w:lang w:eastAsia="es-ES"/>
        </w:rPr>
        <w:t xml:space="preserve">, esta última previamente remitida por el Departamento de la Función Pública mediante oficio con radicado 20252040420351 del 2 de septiembre de la presente anualidad en la cual manifiesta lo siguiente: </w:t>
      </w:r>
    </w:p>
    <w:p w14:paraId="522707A2" w14:textId="77777777" w:rsidR="00BE5D31" w:rsidRPr="007C7B24" w:rsidRDefault="00BE5D31" w:rsidP="00BE5D31">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highlight w:val="yellow"/>
          <w:lang w:val="es-CO"/>
        </w:rPr>
      </w:pPr>
    </w:p>
    <w:p w14:paraId="3E5CA03A" w14:textId="77777777" w:rsidR="00BE5D31" w:rsidRPr="00FF007A" w:rsidRDefault="00BE5D31" w:rsidP="00BE5D31">
      <w:pPr>
        <w:spacing w:after="0" w:line="240" w:lineRule="auto"/>
        <w:ind w:left="709" w:right="709"/>
        <w:jc w:val="both"/>
        <w:rPr>
          <w:rFonts w:ascii="Verdana" w:eastAsia="Century Gothic" w:hAnsi="Verdana" w:cs="Century Gothic"/>
          <w:sz w:val="20"/>
          <w:szCs w:val="20"/>
        </w:rPr>
      </w:pPr>
      <w:bookmarkStart w:id="8" w:name="_Hlk192699624"/>
      <w:bookmarkStart w:id="9" w:name="_Hlk199394899"/>
      <w:r w:rsidRPr="007C7B24">
        <w:rPr>
          <w:rFonts w:ascii="Verdana" w:eastAsia="Century Gothic" w:hAnsi="Verdana" w:cs="Century Gothic"/>
          <w:sz w:val="20"/>
          <w:szCs w:val="20"/>
        </w:rPr>
        <w:t xml:space="preserve">“(…) </w:t>
      </w:r>
      <w:bookmarkEnd w:id="8"/>
      <w:bookmarkEnd w:id="9"/>
      <w:r w:rsidRPr="00F6063E">
        <w:rPr>
          <w:rFonts w:ascii="Verdana" w:eastAsia="Century Gothic" w:hAnsi="Verdana" w:cs="Century Gothic"/>
          <w:sz w:val="20"/>
          <w:szCs w:val="20"/>
        </w:rPr>
        <w:t>1) Un grupo de contratista se ha consorciado para la adjudicación de un C/</w:t>
      </w:r>
      <w:proofErr w:type="spellStart"/>
      <w:r w:rsidRPr="00F6063E">
        <w:rPr>
          <w:rFonts w:ascii="Verdana" w:eastAsia="Century Gothic" w:hAnsi="Verdana" w:cs="Century Gothic"/>
          <w:sz w:val="20"/>
          <w:szCs w:val="20"/>
        </w:rPr>
        <w:t>to</w:t>
      </w:r>
      <w:proofErr w:type="spellEnd"/>
      <w:r w:rsidRPr="00F6063E">
        <w:rPr>
          <w:rFonts w:ascii="Verdana" w:eastAsia="Century Gothic" w:hAnsi="Verdana" w:cs="Century Gothic"/>
          <w:sz w:val="20"/>
          <w:szCs w:val="20"/>
        </w:rPr>
        <w:t xml:space="preserve"> de obra.</w:t>
      </w:r>
      <w:r>
        <w:rPr>
          <w:rFonts w:ascii="Verdana" w:eastAsia="Century Gothic" w:hAnsi="Verdana" w:cs="Century Gothic"/>
          <w:sz w:val="20"/>
          <w:szCs w:val="20"/>
        </w:rPr>
        <w:t xml:space="preserve"> </w:t>
      </w:r>
      <w:r w:rsidRPr="00F6063E">
        <w:rPr>
          <w:rFonts w:ascii="Verdana" w:eastAsia="Century Gothic" w:hAnsi="Verdana" w:cs="Century Gothic"/>
          <w:sz w:val="20"/>
          <w:szCs w:val="20"/>
        </w:rPr>
        <w:t>2) El municipio aprobó un anticipo en el cual suscribieron una fiducia.</w:t>
      </w:r>
      <w:r>
        <w:rPr>
          <w:rFonts w:ascii="Verdana" w:eastAsia="Century Gothic" w:hAnsi="Verdana" w:cs="Century Gothic"/>
          <w:sz w:val="20"/>
          <w:szCs w:val="20"/>
        </w:rPr>
        <w:t xml:space="preserve"> </w:t>
      </w:r>
      <w:r w:rsidRPr="00F6063E">
        <w:rPr>
          <w:rFonts w:ascii="Verdana" w:eastAsia="Century Gothic" w:hAnsi="Verdana" w:cs="Century Gothic"/>
          <w:sz w:val="20"/>
          <w:szCs w:val="20"/>
        </w:rPr>
        <w:t>3) El contratista de la obra, subcontrato a otra empresa para que esta, suministrara unos materiales.</w:t>
      </w:r>
      <w:r>
        <w:rPr>
          <w:rFonts w:ascii="Verdana" w:eastAsia="Century Gothic" w:hAnsi="Verdana" w:cs="Century Gothic"/>
          <w:sz w:val="20"/>
          <w:szCs w:val="20"/>
        </w:rPr>
        <w:t xml:space="preserve"> </w:t>
      </w:r>
      <w:r w:rsidRPr="00F6063E">
        <w:rPr>
          <w:rFonts w:ascii="Verdana" w:eastAsia="Century Gothic" w:hAnsi="Verdana" w:cs="Century Gothic"/>
          <w:sz w:val="20"/>
          <w:szCs w:val="20"/>
        </w:rPr>
        <w:t xml:space="preserve">4) Al revisar la parte documental de la empresa subcontratada, evidenciamos que esta hace parte del </w:t>
      </w:r>
      <w:r w:rsidRPr="00F6063E">
        <w:rPr>
          <w:rFonts w:ascii="Verdana" w:eastAsia="Century Gothic" w:hAnsi="Verdana" w:cs="Century Gothic"/>
          <w:sz w:val="20"/>
          <w:szCs w:val="20"/>
        </w:rPr>
        <w:lastRenderedPageBreak/>
        <w:t>consorcio que se presentó para el contrato de obra. 5) Debo aclarar que en los estudios previos y en el contrato, no se estipulo algo en específico que les impida a ellos subcontratar o que tengan que pedir autorización del supervisor. Solicito si me pueden brindar un concepto en base a lo siguiente 1. ¿Puede un consorcio o unión temporal, contratar a uno de sus propias empresas integrantes del consorcio del contrato de obra, como subcontratista dentro del contrato de obra que está ejecutando, para que realice el suministro de unos materiales? 2. ¿podría en este caso existir conflicto de interés y/o simulación de contrato?</w:t>
      </w:r>
      <w:r w:rsidRPr="007C7B24">
        <w:rPr>
          <w:rFonts w:ascii="Verdana" w:eastAsia="Century Gothic" w:hAnsi="Verdana" w:cs="Century Gothic"/>
          <w:sz w:val="20"/>
          <w:szCs w:val="20"/>
        </w:rPr>
        <w:t xml:space="preserve">. </w:t>
      </w:r>
      <w:r w:rsidRPr="007C7B24">
        <w:rPr>
          <w:rFonts w:ascii="Verdana" w:hAnsi="Verdana"/>
          <w:sz w:val="20"/>
          <w:szCs w:val="20"/>
        </w:rPr>
        <w:t>(…)”.</w:t>
      </w:r>
    </w:p>
    <w:p w14:paraId="027BAAC3" w14:textId="77777777" w:rsidR="00BE5D31" w:rsidRPr="00FF007A" w:rsidRDefault="00BE5D31" w:rsidP="00BE5D31">
      <w:pPr>
        <w:spacing w:after="0" w:line="240" w:lineRule="auto"/>
        <w:ind w:left="709" w:right="709"/>
        <w:jc w:val="both"/>
        <w:rPr>
          <w:rFonts w:ascii="Verdana" w:hAnsi="Verdana"/>
          <w:sz w:val="20"/>
          <w:szCs w:val="20"/>
        </w:rPr>
      </w:pPr>
    </w:p>
    <w:p w14:paraId="5D52BE93" w14:textId="77777777" w:rsidR="00BE5D31" w:rsidRPr="00FF007A" w:rsidRDefault="00BE5D31" w:rsidP="00BE5D31">
      <w:pPr>
        <w:spacing w:after="120"/>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A65EF09" w14:textId="77777777" w:rsidR="00BE5D31" w:rsidRPr="00453833" w:rsidRDefault="00BE5D31" w:rsidP="00BE5D31">
      <w:pPr>
        <w:spacing w:after="120"/>
        <w:ind w:firstLine="709"/>
        <w:jc w:val="both"/>
        <w:rPr>
          <w:rFonts w:ascii="Verdana" w:eastAsia="Calibri" w:hAnsi="Verdana" w:cs="Arial"/>
          <w:color w:val="000000"/>
          <w:lang w:eastAsia="es-ES"/>
        </w:rPr>
      </w:pPr>
      <w:r w:rsidRPr="00453833">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w:t>
      </w:r>
      <w:r>
        <w:rPr>
          <w:rFonts w:ascii="Verdana" w:eastAsia="Calibri" w:hAnsi="Verdana" w:cs="Arial"/>
          <w:color w:val="000000"/>
          <w:lang w:eastAsia="es-ES"/>
        </w:rPr>
        <w:t>el problema jurídico</w:t>
      </w:r>
      <w:r w:rsidRPr="00453833">
        <w:rPr>
          <w:rFonts w:ascii="Verdana" w:eastAsia="Calibri" w:hAnsi="Verdana" w:cs="Arial"/>
          <w:color w:val="000000"/>
          <w:lang w:eastAsia="es-ES"/>
        </w:rPr>
        <w:t xml:space="preserve"> de su consulta.  </w:t>
      </w:r>
    </w:p>
    <w:p w14:paraId="439010C0" w14:textId="77777777" w:rsidR="00BE5D31" w:rsidRPr="00453833" w:rsidRDefault="00BE5D31" w:rsidP="00BE5D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453833">
        <w:rPr>
          <w:rFonts w:ascii="Verdana" w:eastAsia="Century Gothic" w:hAnsi="Verdana" w:cs="Century Gothic"/>
          <w:b/>
          <w:bCs/>
          <w:lang w:val="es-CO"/>
        </w:rPr>
        <w:t>Problema planteado:</w:t>
      </w:r>
    </w:p>
    <w:p w14:paraId="08DF5F7C" w14:textId="77777777" w:rsidR="00BE5D31" w:rsidRPr="00453833" w:rsidRDefault="00BE5D31" w:rsidP="00BE5D31">
      <w:pPr>
        <w:spacing w:after="0" w:line="240" w:lineRule="auto"/>
        <w:jc w:val="both"/>
        <w:rPr>
          <w:rFonts w:ascii="Verdana" w:eastAsia="Calibri" w:hAnsi="Verdana" w:cs="Arial"/>
          <w:color w:val="000000"/>
          <w:lang w:eastAsia="es-ES"/>
        </w:rPr>
      </w:pPr>
    </w:p>
    <w:p w14:paraId="7C5EC154" w14:textId="77777777" w:rsidR="00BE5D31" w:rsidRPr="00FF007A" w:rsidRDefault="00BE5D31" w:rsidP="00BE5D31">
      <w:pPr>
        <w:spacing w:after="120"/>
        <w:jc w:val="both"/>
        <w:rPr>
          <w:rFonts w:ascii="Verdana" w:eastAsia="Calibri" w:hAnsi="Verdana" w:cs="Arial"/>
          <w:color w:val="000000"/>
          <w:lang w:eastAsia="es-ES"/>
        </w:rPr>
      </w:pPr>
      <w:r w:rsidRPr="0045383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w:t>
      </w:r>
      <w:r w:rsidRPr="00453833">
        <w:rPr>
          <w:rFonts w:ascii="Verdana" w:eastAsia="Calibri" w:hAnsi="Verdana" w:cs="Arial"/>
          <w:color w:val="000000"/>
          <w:lang w:eastAsia="es-ES"/>
        </w:rPr>
        <w:t>iguiente problema jurídico ¿</w:t>
      </w:r>
      <w:r>
        <w:rPr>
          <w:rFonts w:ascii="Verdana" w:eastAsia="Century Gothic" w:hAnsi="Verdana" w:cs="Century Gothic"/>
        </w:rPr>
        <w:t>E</w:t>
      </w:r>
      <w:r w:rsidRPr="00453833">
        <w:rPr>
          <w:rFonts w:ascii="Verdana" w:eastAsia="Calibri" w:hAnsi="Verdana" w:cs="Arial"/>
          <w:color w:val="000000"/>
          <w:lang w:eastAsia="es-ES"/>
        </w:rPr>
        <w:t xml:space="preserve">s posible la subcontratación entre un consorcio o unión temporal y los integrantes de la estructura plural que la conforman </w:t>
      </w:r>
    </w:p>
    <w:p w14:paraId="5A2BB6F0" w14:textId="77777777" w:rsidR="00BE5D31" w:rsidRPr="00FF007A" w:rsidRDefault="00BE5D31" w:rsidP="00BE5D31">
      <w:pPr>
        <w:spacing w:after="0" w:line="276" w:lineRule="auto"/>
        <w:jc w:val="both"/>
        <w:rPr>
          <w:rFonts w:ascii="Verdana" w:eastAsia="Century Gothic" w:hAnsi="Verdana" w:cs="Century Gothic"/>
          <w:b/>
          <w:bCs/>
        </w:rPr>
      </w:pPr>
      <w:r w:rsidRPr="00FF007A">
        <w:rPr>
          <w:rFonts w:ascii="Verdana" w:eastAsia="Century Gothic" w:hAnsi="Verdana" w:cs="Century Gothic"/>
          <w:b/>
          <w:bCs/>
        </w:rPr>
        <w:t>2. Respuesta:</w:t>
      </w:r>
    </w:p>
    <w:p w14:paraId="5A16061A" w14:textId="77777777" w:rsidR="00BE5D31" w:rsidRPr="00FF007A" w:rsidRDefault="00BE5D31" w:rsidP="00BE5D31">
      <w:pPr>
        <w:tabs>
          <w:tab w:val="left" w:pos="142"/>
          <w:tab w:val="left" w:pos="284"/>
        </w:tabs>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BE5D31" w:rsidRPr="00FF007A" w14:paraId="73DBFE4B" w14:textId="77777777" w:rsidTr="008C2CAB">
        <w:tc>
          <w:tcPr>
            <w:tcW w:w="8828" w:type="dxa"/>
          </w:tcPr>
          <w:p w14:paraId="19F50963" w14:textId="77777777" w:rsidR="00BE5D31" w:rsidRDefault="00BE5D31" w:rsidP="008C2CAB">
            <w:pPr>
              <w:spacing w:after="120" w:line="276" w:lineRule="auto"/>
              <w:jc w:val="both"/>
              <w:rPr>
                <w:rFonts w:ascii="Verdana" w:eastAsia="Calibri" w:hAnsi="Verdana" w:cs="Arial"/>
                <w:color w:val="000000"/>
                <w:lang w:val="es-MX" w:eastAsia="es-ES_tradnl"/>
              </w:rPr>
            </w:pPr>
            <w:r>
              <w:rPr>
                <w:rFonts w:ascii="Verdana" w:eastAsia="Calibri" w:hAnsi="Verdana" w:cs="Arial"/>
                <w:color w:val="000000"/>
                <w:lang w:val="es-MX" w:eastAsia="es-ES_tradnl"/>
              </w:rPr>
              <w:t xml:space="preserve">En materia de contratación estatal </w:t>
            </w:r>
            <w:r w:rsidRPr="00043FE7">
              <w:rPr>
                <w:rFonts w:ascii="Verdana" w:eastAsia="Calibri" w:hAnsi="Verdana" w:cs="Arial"/>
                <w:color w:val="000000"/>
                <w:lang w:val="es-MX" w:eastAsia="es-ES_tradnl"/>
              </w:rPr>
              <w:t>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6875CAB1" w14:textId="77777777" w:rsidR="00BE5D31" w:rsidRDefault="00BE5D31" w:rsidP="008C2CAB">
            <w:pPr>
              <w:spacing w:after="120" w:line="276" w:lineRule="auto"/>
              <w:ind w:firstLine="709"/>
              <w:jc w:val="both"/>
              <w:rPr>
                <w:rFonts w:ascii="Verdana" w:eastAsia="Calibri" w:hAnsi="Verdana" w:cs="Arial"/>
                <w:color w:val="000000"/>
                <w:lang w:val="es-MX" w:eastAsia="es-ES_tradnl"/>
              </w:rPr>
            </w:pPr>
            <w:r>
              <w:rPr>
                <w:rFonts w:ascii="Verdana" w:eastAsia="Calibri" w:hAnsi="Verdana" w:cs="Arial"/>
                <w:color w:val="000000"/>
                <w:lang w:val="es-MX" w:eastAsia="es-ES_tradnl"/>
              </w:rPr>
              <w:lastRenderedPageBreak/>
              <w:t xml:space="preserve">De lo anterior, el legislador expresamente dotó a las figuras asociativas como los consorcios y uniones temporales de capacidad para participar dentro de los procesos de selección definidos en el EGCAP.   </w:t>
            </w:r>
          </w:p>
          <w:p w14:paraId="09EDDD31" w14:textId="77777777" w:rsidR="00BE5D31" w:rsidRDefault="00BE5D31" w:rsidP="008C2CAB">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 xml:space="preserve">Debido a que los consorcios y las uniones temporales no son personas jurídicas, </w:t>
            </w:r>
            <w:r>
              <w:rPr>
                <w:rFonts w:ascii="Verdana" w:eastAsia="Calibri" w:hAnsi="Verdana" w:cs="Arial"/>
                <w:color w:val="000000"/>
                <w:lang w:eastAsia="es-ES_tradnl"/>
              </w:rPr>
              <w:t xml:space="preserve">en tanto que </w:t>
            </w:r>
            <w:r w:rsidRPr="00B05BE8">
              <w:rPr>
                <w:rFonts w:ascii="Verdana" w:eastAsia="Calibri" w:hAnsi="Verdana" w:cs="Arial"/>
                <w:color w:val="000000"/>
                <w:lang w:eastAsia="es-ES_tradnl"/>
              </w:rPr>
              <w:t>carecen de personalidad jurídica diferente de aquella que acompaña a las personas naturales y/o morales que los integran</w:t>
            </w:r>
            <w:r>
              <w:rPr>
                <w:rFonts w:ascii="Verdana" w:eastAsia="Calibri" w:hAnsi="Verdana" w:cs="Arial"/>
                <w:color w:val="000000"/>
                <w:lang w:eastAsia="es-ES_tradnl"/>
              </w:rPr>
              <w:t xml:space="preserve">, </w:t>
            </w:r>
            <w:r w:rsidRPr="00043FE7">
              <w:rPr>
                <w:rFonts w:ascii="Verdana" w:eastAsia="Calibri" w:hAnsi="Verdana" w:cs="Arial"/>
                <w:color w:val="000000"/>
                <w:lang w:eastAsia="es-ES_tradnl"/>
              </w:rPr>
              <w:t>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w:t>
            </w:r>
            <w:r>
              <w:rPr>
                <w:rFonts w:ascii="Verdana" w:eastAsia="Calibri" w:hAnsi="Verdana" w:cs="Arial"/>
                <w:color w:val="000000"/>
                <w:lang w:eastAsia="es-ES_tradnl"/>
              </w:rPr>
              <w:t>.</w:t>
            </w:r>
          </w:p>
          <w:p w14:paraId="054B6211" w14:textId="77777777" w:rsidR="00BE5D31" w:rsidRPr="00DD57C5" w:rsidRDefault="00BE5D31" w:rsidP="008C2CAB">
            <w:pPr>
              <w:spacing w:after="120" w:line="276" w:lineRule="auto"/>
              <w:ind w:firstLine="709"/>
              <w:jc w:val="both"/>
              <w:rPr>
                <w:rFonts w:ascii="Verdana" w:eastAsia="Calibri" w:hAnsi="Verdana" w:cs="Arial"/>
                <w:color w:val="000000"/>
                <w:lang w:eastAsia="es-ES_tradnl"/>
              </w:rPr>
            </w:pPr>
            <w:r>
              <w:rPr>
                <w:rFonts w:ascii="Verdana" w:eastAsia="Calibri" w:hAnsi="Verdana" w:cs="Arial"/>
                <w:color w:val="000000" w:themeColor="text1"/>
              </w:rPr>
              <w:t>Ahora bien, respecto al problema jurídico planteado, l</w:t>
            </w:r>
            <w:r w:rsidRPr="009C7865">
              <w:rPr>
                <w:rFonts w:ascii="Verdana" w:eastAsia="Calibri" w:hAnsi="Verdana" w:cs="Arial"/>
              </w:rPr>
              <w:t>a subcontratación supone la celebración de un contrato eventual y accesorio, entre un contratista del Estado y un tercero</w:t>
            </w:r>
            <w:r>
              <w:rPr>
                <w:rFonts w:ascii="Verdana" w:eastAsia="Calibri" w:hAnsi="Verdana" w:cs="Arial"/>
              </w:rPr>
              <w:t xml:space="preserve">. </w:t>
            </w:r>
            <w:r>
              <w:rPr>
                <w:rFonts w:ascii="Verdana" w:eastAsia="Calibri" w:hAnsi="Verdana" w:cs="Arial"/>
                <w:color w:val="000000" w:themeColor="text1"/>
              </w:rPr>
              <w:t xml:space="preserve">No obstante, sobre la base de que consorcios y uniones temporales carecen de personería jurídica, </w:t>
            </w:r>
            <w:r w:rsidRPr="00090CBB">
              <w:rPr>
                <w:rFonts w:ascii="Verdana" w:eastAsia="Calibri" w:hAnsi="Verdana" w:cs="Arial"/>
                <w:color w:val="000000" w:themeColor="text1"/>
              </w:rPr>
              <w:t>la calidad de contratista se predica de cada uno de los integrantes</w:t>
            </w:r>
            <w:r>
              <w:rPr>
                <w:rFonts w:ascii="Verdana" w:eastAsia="Calibri" w:hAnsi="Verdana" w:cs="Arial"/>
                <w:color w:val="000000" w:themeColor="text1"/>
              </w:rPr>
              <w:t xml:space="preserve"> de la estructura plural. </w:t>
            </w:r>
          </w:p>
          <w:p w14:paraId="37FDE1AB" w14:textId="77777777" w:rsidR="00BE5D31" w:rsidRPr="003D4557" w:rsidRDefault="00BE5D31" w:rsidP="008C2CAB">
            <w:pPr>
              <w:spacing w:after="120" w:line="276" w:lineRule="auto"/>
              <w:ind w:right="51" w:firstLine="733"/>
              <w:jc w:val="both"/>
              <w:rPr>
                <w:rFonts w:ascii="Verdana" w:eastAsia="Calibri" w:hAnsi="Verdana" w:cs="Arial"/>
                <w:color w:val="000000" w:themeColor="text1"/>
              </w:rPr>
            </w:pPr>
            <w:r>
              <w:rPr>
                <w:rFonts w:ascii="Verdana" w:eastAsia="Calibri" w:hAnsi="Verdana" w:cs="Arial"/>
                <w:color w:val="000000" w:themeColor="text1"/>
              </w:rPr>
              <w:t>De acuerdo con el principio lógico de no contradicción, e</w:t>
            </w:r>
            <w:r w:rsidRPr="00090CBB">
              <w:rPr>
                <w:rFonts w:ascii="Verdana" w:eastAsia="Calibri" w:hAnsi="Verdana" w:cs="Arial"/>
                <w:color w:val="000000" w:themeColor="text1"/>
              </w:rPr>
              <w:t xml:space="preserve">sto significa que quien ocupa la posición de parte en el negocio jurídico, por exclusión, no puede tener la naturaleza de tercero para efectos de la subcontratación. Por tanto, desde el punto de vista de los sujetos, la calidad de tercero corresponde a cualquier persona distinta al contratista o a los integrantes del consorcio o unión temporal y a la entidad estatal contratante. En este contexto, sólo la experiencia adquirida por lo integrantes del proponente plural puede acreditarse en otros procesos de selección, pues –por sustracción de materia– no pueden fungir como subcontratistas del consorcio o unión temporal del que hacen parte.  </w:t>
            </w:r>
          </w:p>
          <w:p w14:paraId="21C73F81" w14:textId="77777777" w:rsidR="00BE5D31" w:rsidRPr="00E71A90" w:rsidRDefault="00BE5D31" w:rsidP="008C2CAB">
            <w:pPr>
              <w:spacing w:line="276" w:lineRule="auto"/>
              <w:ind w:firstLine="709"/>
              <w:jc w:val="both"/>
              <w:rPr>
                <w:rFonts w:ascii="Verdana" w:eastAsiaTheme="minorEastAsia" w:hAnsi="Verdana" w:cs="Arial"/>
                <w:szCs w:val="24"/>
                <w:lang w:eastAsia="es-CO"/>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la solución de situaciones particulares corresponde a los interesados adoptar la decisión correspondiente y, en caso de conflicto, a las autoridades judiciales, fiscales y disciplinarias. Así, cada entidad definirá la forma de adelantar su gestión </w:t>
            </w:r>
            <w:r w:rsidRPr="001941FD">
              <w:rPr>
                <w:rStyle w:val="s15"/>
                <w:rFonts w:ascii="Verdana" w:hAnsi="Verdana"/>
                <w:color w:val="000000"/>
              </w:rPr>
              <w:lastRenderedPageBreak/>
              <w:t>contractual, sin que sea atribución de Colombia Compra Eficiente validar sus actuaciones.</w:t>
            </w:r>
          </w:p>
        </w:tc>
      </w:tr>
    </w:tbl>
    <w:p w14:paraId="59B7798E" w14:textId="77777777" w:rsidR="00BE5D31" w:rsidRDefault="00BE5D31" w:rsidP="00BE5D31">
      <w:pPr>
        <w:tabs>
          <w:tab w:val="left" w:pos="142"/>
          <w:tab w:val="left" w:pos="284"/>
        </w:tabs>
        <w:spacing w:after="0" w:line="276" w:lineRule="auto"/>
        <w:jc w:val="both"/>
        <w:rPr>
          <w:rFonts w:ascii="Verdana" w:eastAsia="Century Gothic" w:hAnsi="Verdana" w:cs="Century Gothic"/>
          <w:b/>
          <w:bCs/>
        </w:rPr>
      </w:pPr>
    </w:p>
    <w:p w14:paraId="6EBF3598" w14:textId="77777777" w:rsidR="00BE5D31" w:rsidRPr="00FF007A" w:rsidRDefault="00BE5D31" w:rsidP="00BE5D31">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3. Razones de la respuesta:</w:t>
      </w:r>
    </w:p>
    <w:p w14:paraId="4D6ED2EA" w14:textId="77777777" w:rsidR="00591B48" w:rsidRDefault="00591B48" w:rsidP="00BE5D31">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3877EF79" w14:textId="40A678A3" w:rsidR="00BE5D31" w:rsidRDefault="00BE5D31" w:rsidP="00BE5D31">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p>
    <w:p w14:paraId="6C2AB41F" w14:textId="77777777" w:rsidR="00BE5D31" w:rsidRDefault="00BE5D31" w:rsidP="00591B48">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3D4CE7D2" w14:textId="77777777" w:rsidR="00BE5D31" w:rsidRDefault="00BE5D31" w:rsidP="00BE5D31">
      <w:pPr>
        <w:spacing w:after="120" w:line="276" w:lineRule="auto"/>
        <w:jc w:val="both"/>
        <w:rPr>
          <w:rFonts w:ascii="Verdana" w:eastAsia="Calibri" w:hAnsi="Verdana" w:cs="Arial"/>
          <w:color w:val="000000"/>
          <w:lang w:val="es-MX" w:eastAsia="es-ES_tradnl"/>
        </w:rPr>
      </w:pPr>
      <w:r>
        <w:rPr>
          <w:rFonts w:ascii="Verdana" w:eastAsia="Calibri" w:hAnsi="Verdana" w:cs="Arial"/>
          <w:color w:val="000000"/>
          <w:lang w:eastAsia="es-ES_tradnl"/>
        </w:rPr>
        <w:t>S</w:t>
      </w:r>
      <w:r w:rsidRPr="00043FE7">
        <w:rPr>
          <w:rFonts w:ascii="Verdana" w:eastAsia="Calibri" w:hAnsi="Verdana" w:cs="Arial"/>
          <w:color w:val="000000"/>
          <w:lang w:val="es-ES_tradnl" w:eastAsia="es-ES_tradnl"/>
        </w:rPr>
        <w:t xml:space="preserve">i bien las personas pueden presentarse individualmente a los procesos de selección, también pueden hacerlo en forma plural a través de consorcios o uniones temporales. En efecto, </w:t>
      </w:r>
      <w:r w:rsidRPr="00043FE7">
        <w:rPr>
          <w:rFonts w:ascii="Verdana" w:eastAsia="Calibri" w:hAnsi="Verdana" w:cs="Arial"/>
          <w:color w:val="000000"/>
          <w:lang w:val="es-MX" w:eastAsia="es-ES_tradnl"/>
        </w:rPr>
        <w:t xml:space="preserve">de acuerdo con el Código Civil, la capacidad se refiere a la facultad que la ley le confiere a la persona para ejercer derechos y contraer obligaciones. Esta norma parte del supuesto de que todas las personas naturales mayores de edad son capaces, con excepción de aquellas que la ley expresamente excluye de esta presunción –artículos 1502, 1503 y 1504–, y de que la capacidad de las personas jurídicas se circunscribe a su objeto social –artículo 99 del Código de Comercio–. Al respecto, </w:t>
      </w:r>
      <w:r>
        <w:rPr>
          <w:rFonts w:ascii="Verdana" w:eastAsia="Calibri" w:hAnsi="Verdana" w:cs="Arial"/>
          <w:color w:val="000000"/>
          <w:lang w:val="es-MX" w:eastAsia="es-ES_tradnl"/>
        </w:rPr>
        <w:t xml:space="preserve">en materia de contratación estatal </w:t>
      </w:r>
      <w:r w:rsidRPr="00043FE7">
        <w:rPr>
          <w:rFonts w:ascii="Verdana" w:eastAsia="Calibri" w:hAnsi="Verdana" w:cs="Arial"/>
          <w:color w:val="000000"/>
          <w:lang w:val="es-MX" w:eastAsia="es-ES_tradnl"/>
        </w:rPr>
        <w:t>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4A66461F" w14:textId="77777777" w:rsidR="00BE5D31" w:rsidRPr="00043FE7" w:rsidRDefault="00BE5D31" w:rsidP="00BE5D31">
      <w:pPr>
        <w:spacing w:after="120" w:line="276" w:lineRule="auto"/>
        <w:ind w:firstLine="709"/>
        <w:jc w:val="both"/>
        <w:rPr>
          <w:rFonts w:ascii="Verdana" w:eastAsia="Calibri" w:hAnsi="Verdana" w:cs="Arial"/>
          <w:color w:val="000000"/>
          <w:lang w:val="es-MX" w:eastAsia="es-ES_tradnl"/>
        </w:rPr>
      </w:pPr>
      <w:r>
        <w:rPr>
          <w:rFonts w:ascii="Verdana" w:eastAsia="Calibri" w:hAnsi="Verdana" w:cs="Arial"/>
          <w:color w:val="000000"/>
          <w:lang w:val="es-MX" w:eastAsia="es-ES_tradnl"/>
        </w:rPr>
        <w:t xml:space="preserve">De lo anterior, el legislador expresamente dotó a las figuras asociativas como los consorcios y uniones temporales de capacidad para participar dentro de los procesos de selección definidos en el EGCAP.   </w:t>
      </w:r>
    </w:p>
    <w:p w14:paraId="509CDD24" w14:textId="77777777" w:rsidR="00BE5D31" w:rsidRPr="00043FE7" w:rsidRDefault="00BE5D31" w:rsidP="00BE5D31">
      <w:pPr>
        <w:spacing w:after="120" w:line="276" w:lineRule="auto"/>
        <w:ind w:firstLine="709"/>
        <w:jc w:val="both"/>
        <w:rPr>
          <w:rFonts w:ascii="Verdana" w:eastAsia="Calibri" w:hAnsi="Verdana" w:cs="Arial"/>
          <w:bCs/>
          <w:color w:val="000000"/>
          <w:lang w:val="es-ES" w:eastAsia="es-ES_tradnl"/>
        </w:rPr>
      </w:pPr>
      <w:r>
        <w:rPr>
          <w:rFonts w:ascii="Verdana" w:eastAsia="Calibri" w:hAnsi="Verdana" w:cs="Arial"/>
          <w:bCs/>
          <w:color w:val="000000"/>
          <w:lang w:val="es-ES" w:eastAsia="es-ES_tradnl"/>
        </w:rPr>
        <w:t>Ahora bien, l</w:t>
      </w:r>
      <w:r w:rsidRPr="00043FE7">
        <w:rPr>
          <w:rFonts w:ascii="Verdana" w:eastAsia="Calibri" w:hAnsi="Verdana" w:cs="Arial"/>
          <w:bCs/>
          <w:color w:val="000000"/>
          <w:lang w:val="es-ES" w:eastAsia="es-ES_tradnl"/>
        </w:rPr>
        <w:t>a capacidad para contratar, e incluso la de realizar actos jurídicamente vinculantes como la presentación de una oferta en un procedimiento de selección de contratistas, se consideró por mucho tiempo uno de los atributos de la personalidad reservado, en tanto tal, a las personas jurídicas y naturales. No obstante, el progreso en las formas negociales y asociativas hizo necesario reconocer nuevas estructuras plurales y otorgarles ciertos atributos que tradicionalmente habían estado reservados a las personas jurídicas. Tal es precisamente el caso de la capacidad para contratar otorgada a los consorcios y uniones temporales. En este sentido, la Corte Constitucional ha sostenido:</w:t>
      </w:r>
    </w:p>
    <w:p w14:paraId="2CDC8BAA" w14:textId="77777777" w:rsidR="00BE5D31" w:rsidRDefault="00BE5D31" w:rsidP="00BE5D31">
      <w:pPr>
        <w:spacing w:after="0" w:line="240" w:lineRule="auto"/>
        <w:ind w:left="709" w:right="618"/>
        <w:jc w:val="both"/>
        <w:rPr>
          <w:rFonts w:ascii="Verdana" w:eastAsia="Calibri" w:hAnsi="Verdana" w:cs="Arial"/>
          <w:bCs/>
          <w:color w:val="000000"/>
          <w:sz w:val="20"/>
          <w:szCs w:val="20"/>
          <w:lang w:eastAsia="es-ES_tradnl"/>
        </w:rPr>
      </w:pPr>
      <w:r w:rsidRPr="00A3303A">
        <w:rPr>
          <w:rFonts w:ascii="Verdana" w:eastAsia="Calibri" w:hAnsi="Verdana" w:cs="Arial"/>
          <w:bCs/>
          <w:color w:val="000000"/>
          <w:sz w:val="20"/>
          <w:szCs w:val="20"/>
          <w:lang w:eastAsia="es-ES_tradnl"/>
        </w:rPr>
        <w:t xml:space="preserve">“Respecto de la capacidad legal para contratar y la personalidad jurídica señala, que la Ley 80 de 1993 al crear las figuras de los consorcios y uniones temporales, y construirlas como sujetos de la contratación </w:t>
      </w:r>
      <w:r w:rsidRPr="00A3303A">
        <w:rPr>
          <w:rFonts w:ascii="Verdana" w:eastAsia="Calibri" w:hAnsi="Verdana" w:cs="Arial"/>
          <w:bCs/>
          <w:color w:val="000000"/>
          <w:sz w:val="20"/>
          <w:szCs w:val="20"/>
          <w:lang w:eastAsia="es-ES_tradnl"/>
        </w:rPr>
        <w:lastRenderedPageBreak/>
        <w:t>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r>
        <w:rPr>
          <w:rFonts w:ascii="Verdana" w:eastAsia="Calibri" w:hAnsi="Verdana" w:cs="Arial"/>
          <w:bCs/>
          <w:color w:val="000000"/>
          <w:sz w:val="20"/>
          <w:szCs w:val="20"/>
          <w:lang w:eastAsia="es-ES_tradnl"/>
        </w:rPr>
        <w:t>.</w:t>
      </w:r>
    </w:p>
    <w:p w14:paraId="23E6CD94" w14:textId="77777777" w:rsidR="00BE5D31" w:rsidRDefault="00BE5D31" w:rsidP="00BE5D31">
      <w:pPr>
        <w:spacing w:after="0" w:line="240" w:lineRule="auto"/>
        <w:ind w:left="709" w:right="618"/>
        <w:jc w:val="both"/>
        <w:rPr>
          <w:rFonts w:ascii="Verdana" w:eastAsia="Calibri" w:hAnsi="Verdana" w:cs="Arial"/>
          <w:bCs/>
          <w:color w:val="000000"/>
          <w:sz w:val="20"/>
          <w:szCs w:val="20"/>
          <w:lang w:eastAsia="es-ES_tradnl"/>
        </w:rPr>
      </w:pPr>
    </w:p>
    <w:p w14:paraId="686971EB" w14:textId="77777777" w:rsidR="00BE5D31" w:rsidRDefault="00BE5D31" w:rsidP="00BE5D31">
      <w:pPr>
        <w:spacing w:after="0" w:line="240" w:lineRule="auto"/>
        <w:ind w:left="709" w:right="618"/>
        <w:jc w:val="both"/>
        <w:rPr>
          <w:rFonts w:ascii="Verdana" w:eastAsia="Calibri" w:hAnsi="Verdana" w:cs="Arial"/>
          <w:bCs/>
          <w:color w:val="000000"/>
          <w:sz w:val="20"/>
          <w:szCs w:val="20"/>
          <w:lang w:eastAsia="es-ES_tradnl"/>
        </w:rPr>
      </w:pPr>
      <w:r>
        <w:rPr>
          <w:rFonts w:ascii="Verdana" w:eastAsia="Calibri" w:hAnsi="Verdana" w:cs="Arial"/>
          <w:bCs/>
          <w:color w:val="000000"/>
          <w:sz w:val="20"/>
          <w:szCs w:val="20"/>
          <w:lang w:eastAsia="es-ES_tradnl"/>
        </w:rPr>
        <w:t>(…)</w:t>
      </w:r>
    </w:p>
    <w:p w14:paraId="30442554" w14:textId="77777777" w:rsidR="00BE5D31" w:rsidRDefault="00BE5D31" w:rsidP="00BE5D31">
      <w:pPr>
        <w:spacing w:after="0" w:line="240" w:lineRule="auto"/>
        <w:ind w:left="709" w:right="618"/>
        <w:jc w:val="both"/>
        <w:rPr>
          <w:rFonts w:ascii="Verdana" w:eastAsia="Calibri" w:hAnsi="Verdana" w:cs="Arial"/>
          <w:bCs/>
          <w:color w:val="000000"/>
          <w:sz w:val="20"/>
          <w:szCs w:val="20"/>
          <w:lang w:eastAsia="es-ES_tradnl"/>
        </w:rPr>
      </w:pPr>
    </w:p>
    <w:p w14:paraId="4158E301" w14:textId="77777777" w:rsidR="00BE5D31" w:rsidRDefault="00BE5D31" w:rsidP="00BE5D31">
      <w:pPr>
        <w:spacing w:after="0" w:line="240" w:lineRule="auto"/>
        <w:ind w:left="709" w:right="618"/>
        <w:jc w:val="both"/>
        <w:rPr>
          <w:rFonts w:ascii="Verdana" w:eastAsia="Calibri" w:hAnsi="Verdana" w:cs="Arial"/>
          <w:bCs/>
          <w:color w:val="000000"/>
          <w:sz w:val="20"/>
          <w:szCs w:val="20"/>
          <w:lang w:eastAsia="es-ES_tradnl"/>
        </w:rPr>
      </w:pPr>
      <w:r w:rsidRPr="004D0D9F">
        <w:rPr>
          <w:rFonts w:ascii="Verdana" w:eastAsia="Calibri" w:hAnsi="Verdana" w:cs="Arial"/>
          <w:bCs/>
          <w:color w:val="000000"/>
          <w:sz w:val="20"/>
          <w:szCs w:val="20"/>
          <w:lang w:eastAsia="es-ES_tradnl"/>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4D0D9F">
        <w:rPr>
          <w:rFonts w:ascii="Verdana" w:eastAsia="Calibri" w:hAnsi="Verdana" w:cs="Arial"/>
          <w:bCs/>
          <w:color w:val="000000"/>
          <w:sz w:val="20"/>
          <w:szCs w:val="20"/>
          <w:vertAlign w:val="superscript"/>
          <w:lang w:eastAsia="es-ES_tradnl"/>
        </w:rPr>
        <w:footnoteReference w:id="1"/>
      </w:r>
      <w:r w:rsidRPr="004D0D9F">
        <w:rPr>
          <w:rFonts w:ascii="Verdana" w:eastAsia="Calibri" w:hAnsi="Verdana" w:cs="Arial"/>
          <w:bCs/>
          <w:color w:val="000000"/>
          <w:sz w:val="20"/>
          <w:szCs w:val="20"/>
          <w:lang w:eastAsia="es-ES_tradnl"/>
        </w:rPr>
        <w:t>.</w:t>
      </w:r>
    </w:p>
    <w:p w14:paraId="0A096EE4" w14:textId="77777777" w:rsidR="00BE5D31" w:rsidRPr="004D0D9F" w:rsidRDefault="00BE5D31" w:rsidP="00BE5D31">
      <w:pPr>
        <w:spacing w:after="0" w:line="240" w:lineRule="auto"/>
        <w:ind w:left="709" w:right="618"/>
        <w:jc w:val="both"/>
        <w:rPr>
          <w:rFonts w:ascii="Verdana" w:eastAsia="Calibri" w:hAnsi="Verdana" w:cs="Arial"/>
          <w:bCs/>
          <w:color w:val="000000"/>
          <w:sz w:val="20"/>
          <w:szCs w:val="20"/>
          <w:lang w:eastAsia="es-ES_tradnl"/>
        </w:rPr>
      </w:pPr>
    </w:p>
    <w:p w14:paraId="26EFC5EB" w14:textId="77777777" w:rsidR="00BE5D31" w:rsidRPr="00043FE7" w:rsidRDefault="00BE5D31" w:rsidP="00BE5D31">
      <w:pPr>
        <w:spacing w:after="120" w:line="276" w:lineRule="auto"/>
        <w:ind w:firstLine="709"/>
        <w:jc w:val="both"/>
        <w:rPr>
          <w:rFonts w:ascii="Verdana" w:eastAsia="Calibri" w:hAnsi="Verdana" w:cs="Arial"/>
          <w:bCs/>
          <w:color w:val="000000"/>
          <w:lang w:val="es-ES" w:eastAsia="es-ES_tradnl"/>
        </w:rPr>
      </w:pPr>
      <w:r w:rsidRPr="00043FE7">
        <w:rPr>
          <w:rFonts w:ascii="Verdana" w:eastAsia="Calibri" w:hAnsi="Verdana" w:cs="Arial"/>
          <w:bCs/>
          <w:color w:val="000000"/>
          <w:lang w:val="es-ES" w:eastAsia="es-ES_tradnl"/>
        </w:rPr>
        <w:t>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p>
    <w:p w14:paraId="2F42691C" w14:textId="6092A7DC" w:rsidR="00BE5D31" w:rsidRPr="003148DF" w:rsidRDefault="00BE5D31" w:rsidP="003148DF">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 xml:space="preserve">Debido a que los consorcios y las uniones temporales no son personas jurídicas, </w:t>
      </w:r>
      <w:r>
        <w:rPr>
          <w:rFonts w:ascii="Verdana" w:eastAsia="Calibri" w:hAnsi="Verdana" w:cs="Arial"/>
          <w:color w:val="000000"/>
          <w:lang w:eastAsia="es-ES_tradnl"/>
        </w:rPr>
        <w:t xml:space="preserve">en tanto que </w:t>
      </w:r>
      <w:r w:rsidRPr="00B05BE8">
        <w:rPr>
          <w:rFonts w:ascii="Verdana" w:eastAsia="Calibri" w:hAnsi="Verdana" w:cs="Arial"/>
          <w:color w:val="000000"/>
          <w:lang w:eastAsia="es-ES_tradnl"/>
        </w:rPr>
        <w:t>carecen de personalidad jurídica diferente de aquella que acompaña a las personas naturales y/o morales que los integran</w:t>
      </w:r>
      <w:r>
        <w:rPr>
          <w:rStyle w:val="Refdenotaalpie"/>
          <w:rFonts w:ascii="Verdana" w:eastAsia="Calibri" w:hAnsi="Verdana" w:cs="Arial"/>
          <w:color w:val="000000"/>
          <w:lang w:eastAsia="es-ES_tradnl"/>
        </w:rPr>
        <w:footnoteReference w:id="2"/>
      </w:r>
      <w:r>
        <w:rPr>
          <w:rFonts w:ascii="Verdana" w:eastAsia="Calibri" w:hAnsi="Verdana" w:cs="Arial"/>
          <w:color w:val="000000"/>
          <w:lang w:eastAsia="es-ES_tradnl"/>
        </w:rPr>
        <w:t xml:space="preserve"> </w:t>
      </w:r>
      <w:r w:rsidRPr="00043FE7">
        <w:rPr>
          <w:rFonts w:ascii="Verdana" w:eastAsia="Calibri" w:hAnsi="Verdana" w:cs="Arial"/>
          <w:color w:val="000000"/>
          <w:lang w:eastAsia="es-ES_tradnl"/>
        </w:rPr>
        <w:t>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 En lo pertinente, la norma precitada dispone que:</w:t>
      </w:r>
    </w:p>
    <w:p w14:paraId="21C72A32" w14:textId="77777777" w:rsidR="00BE5D31" w:rsidRPr="00B05BE8" w:rsidRDefault="00BE5D31" w:rsidP="00BE5D31">
      <w:pPr>
        <w:spacing w:after="0" w:line="240" w:lineRule="auto"/>
        <w:ind w:left="709" w:right="616"/>
        <w:jc w:val="both"/>
        <w:rPr>
          <w:rFonts w:ascii="Verdana" w:eastAsia="Calibri" w:hAnsi="Verdana" w:cs="Arial"/>
          <w:bCs/>
          <w:color w:val="000000"/>
          <w:sz w:val="20"/>
          <w:szCs w:val="20"/>
          <w:lang w:val="es-ES" w:eastAsia="es-ES_tradnl"/>
        </w:rPr>
      </w:pPr>
      <w:r w:rsidRPr="00B05BE8">
        <w:rPr>
          <w:rFonts w:ascii="Verdana" w:eastAsia="Calibri" w:hAnsi="Verdana" w:cs="Arial"/>
          <w:bCs/>
          <w:color w:val="000000"/>
          <w:sz w:val="20"/>
          <w:szCs w:val="20"/>
          <w:lang w:val="es-ES" w:eastAsia="es-ES_tradnl"/>
        </w:rPr>
        <w:lastRenderedPageBreak/>
        <w:t>“Artículo 7º.- ENTIDADES A CONTRATAR. Artículo modificado por el artículo 3 de la Ley 2160 de 2021. Para los efectos de esta Ley se entiende por:</w:t>
      </w:r>
    </w:p>
    <w:p w14:paraId="70AA7D87" w14:textId="77777777" w:rsidR="00BE5D31" w:rsidRDefault="00BE5D31" w:rsidP="00BE5D31">
      <w:pPr>
        <w:spacing w:after="0" w:line="240" w:lineRule="auto"/>
        <w:ind w:left="709" w:right="616"/>
        <w:jc w:val="both"/>
        <w:rPr>
          <w:rFonts w:ascii="Verdana" w:eastAsia="Calibri" w:hAnsi="Verdana" w:cs="Arial"/>
          <w:bCs/>
          <w:color w:val="000000"/>
          <w:sz w:val="20"/>
          <w:szCs w:val="20"/>
          <w:lang w:val="es-ES" w:eastAsia="es-ES_tradnl"/>
        </w:rPr>
      </w:pPr>
    </w:p>
    <w:p w14:paraId="579E9B2E" w14:textId="77777777" w:rsidR="00BE5D31" w:rsidRPr="00B05BE8" w:rsidRDefault="00BE5D31" w:rsidP="00BE5D31">
      <w:pPr>
        <w:spacing w:after="0" w:line="240" w:lineRule="auto"/>
        <w:ind w:left="709" w:right="616"/>
        <w:jc w:val="both"/>
        <w:rPr>
          <w:rFonts w:ascii="Verdana" w:eastAsia="Calibri" w:hAnsi="Verdana" w:cs="Arial"/>
          <w:bCs/>
          <w:color w:val="000000"/>
          <w:sz w:val="20"/>
          <w:szCs w:val="20"/>
          <w:lang w:val="es-ES" w:eastAsia="es-ES_tradnl"/>
        </w:rPr>
      </w:pPr>
      <w:r>
        <w:rPr>
          <w:rFonts w:ascii="Verdana" w:eastAsia="Calibri" w:hAnsi="Verdana" w:cs="Arial"/>
          <w:bCs/>
          <w:color w:val="000000"/>
          <w:sz w:val="20"/>
          <w:szCs w:val="20"/>
          <w:lang w:val="es-ES" w:eastAsia="es-ES_tradnl"/>
        </w:rPr>
        <w:t>(…)</w:t>
      </w:r>
    </w:p>
    <w:p w14:paraId="7AB4065B" w14:textId="77777777" w:rsidR="00BE5D31" w:rsidRDefault="00BE5D31" w:rsidP="00BE5D31">
      <w:pPr>
        <w:spacing w:after="0" w:line="240" w:lineRule="auto"/>
        <w:ind w:left="709" w:right="616"/>
        <w:jc w:val="both"/>
        <w:rPr>
          <w:rFonts w:ascii="Verdana" w:eastAsia="Calibri" w:hAnsi="Verdana" w:cs="Arial"/>
          <w:bCs/>
          <w:color w:val="000000"/>
          <w:sz w:val="20"/>
          <w:szCs w:val="20"/>
          <w:lang w:val="es-ES" w:eastAsia="es-ES_tradnl"/>
        </w:rPr>
      </w:pPr>
    </w:p>
    <w:p w14:paraId="6764B84F" w14:textId="77777777" w:rsidR="00BE5D31" w:rsidRDefault="00BE5D31" w:rsidP="00BE5D31">
      <w:pPr>
        <w:spacing w:after="0" w:line="240" w:lineRule="auto"/>
        <w:ind w:left="709" w:right="616"/>
        <w:jc w:val="both"/>
        <w:rPr>
          <w:rFonts w:ascii="Verdana" w:eastAsia="Calibri" w:hAnsi="Verdana" w:cs="Arial"/>
          <w:bCs/>
          <w:color w:val="000000"/>
          <w:sz w:val="20"/>
          <w:szCs w:val="20"/>
          <w:lang w:val="es-ES" w:eastAsia="es-ES_tradnl"/>
        </w:rPr>
      </w:pPr>
      <w:r w:rsidRPr="00B05BE8">
        <w:rPr>
          <w:rFonts w:ascii="Verdana" w:eastAsia="Calibri" w:hAnsi="Verdana" w:cs="Arial"/>
          <w:bCs/>
          <w:color w:val="000000"/>
          <w:sz w:val="20"/>
          <w:szCs w:val="20"/>
          <w:lang w:val="es-ES" w:eastAsia="es-ES_tradnl"/>
        </w:rPr>
        <w:t xml:space="preserve">6. Consorcio: Cuando dos o más personas </w:t>
      </w:r>
      <w:bookmarkStart w:id="10" w:name="_Hlk180410264"/>
      <w:r w:rsidRPr="00B05BE8">
        <w:rPr>
          <w:rFonts w:ascii="Verdana" w:eastAsia="Calibri" w:hAnsi="Verdana" w:cs="Arial"/>
          <w:bCs/>
          <w:color w:val="000000"/>
          <w:sz w:val="20"/>
          <w:szCs w:val="20"/>
          <w:lang w:val="es-ES" w:eastAsia="es-ES_tradnl"/>
        </w:rPr>
        <w:t>en forma conjunta presentan una misma propuesta para la adjudicación, celebración y ejecución de un contrato</w:t>
      </w:r>
      <w:bookmarkEnd w:id="10"/>
      <w:r w:rsidRPr="00B05BE8">
        <w:rPr>
          <w:rFonts w:ascii="Verdana" w:eastAsia="Calibri" w:hAnsi="Verdana" w:cs="Arial"/>
          <w:bCs/>
          <w:color w:val="000000"/>
          <w:sz w:val="20"/>
          <w:szCs w:val="20"/>
          <w:lang w:val="es-ES" w:eastAsia="es-ES_tradnl"/>
        </w:rPr>
        <w:t>,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1DFF943B" w14:textId="77777777" w:rsidR="00BE5D31" w:rsidRPr="00B05BE8" w:rsidRDefault="00BE5D31" w:rsidP="00BE5D31">
      <w:pPr>
        <w:spacing w:after="0" w:line="240" w:lineRule="auto"/>
        <w:ind w:left="709" w:right="616"/>
        <w:jc w:val="both"/>
        <w:rPr>
          <w:rFonts w:ascii="Verdana" w:eastAsia="Calibri" w:hAnsi="Verdana" w:cs="Arial"/>
          <w:bCs/>
          <w:color w:val="000000"/>
          <w:sz w:val="20"/>
          <w:szCs w:val="20"/>
          <w:lang w:val="es-ES" w:eastAsia="es-ES_tradnl"/>
        </w:rPr>
      </w:pPr>
    </w:p>
    <w:p w14:paraId="70E653A1" w14:textId="77777777" w:rsidR="00BE5D31" w:rsidRDefault="00BE5D31" w:rsidP="00BE5D31">
      <w:pPr>
        <w:spacing w:after="0" w:line="240" w:lineRule="auto"/>
        <w:ind w:left="709" w:right="616"/>
        <w:jc w:val="both"/>
        <w:rPr>
          <w:rFonts w:ascii="Verdana" w:eastAsia="Calibri" w:hAnsi="Verdana" w:cs="Arial"/>
          <w:bCs/>
          <w:color w:val="000000"/>
          <w:sz w:val="20"/>
          <w:szCs w:val="20"/>
          <w:lang w:val="es-ES" w:eastAsia="es-ES_tradnl"/>
        </w:rPr>
      </w:pPr>
      <w:r w:rsidRPr="00B05BE8">
        <w:rPr>
          <w:rFonts w:ascii="Verdana" w:eastAsia="Calibri" w:hAnsi="Verdana" w:cs="Arial"/>
          <w:bCs/>
          <w:color w:val="000000"/>
          <w:sz w:val="20"/>
          <w:szCs w:val="20"/>
          <w:lang w:val="es-ES" w:eastAsia="es-ES_tradnl"/>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r>
        <w:rPr>
          <w:rFonts w:ascii="Verdana" w:eastAsia="Calibri" w:hAnsi="Verdana" w:cs="Arial"/>
          <w:bCs/>
          <w:color w:val="000000"/>
          <w:sz w:val="20"/>
          <w:szCs w:val="20"/>
          <w:lang w:val="es-ES" w:eastAsia="es-ES_tradnl"/>
        </w:rPr>
        <w:t xml:space="preserve"> (…)”.</w:t>
      </w:r>
      <w:r w:rsidRPr="00B05BE8">
        <w:rPr>
          <w:rFonts w:ascii="Verdana" w:eastAsia="Calibri" w:hAnsi="Verdana" w:cs="Arial"/>
          <w:bCs/>
          <w:color w:val="000000"/>
          <w:sz w:val="20"/>
          <w:szCs w:val="20"/>
          <w:lang w:val="es-ES" w:eastAsia="es-ES_tradnl"/>
        </w:rPr>
        <w:t> </w:t>
      </w:r>
    </w:p>
    <w:p w14:paraId="4F232A2B" w14:textId="77777777" w:rsidR="00BE5D31" w:rsidRPr="00B05BE8" w:rsidRDefault="00BE5D31" w:rsidP="00BE5D31">
      <w:pPr>
        <w:spacing w:after="0" w:line="240" w:lineRule="auto"/>
        <w:ind w:left="709" w:right="616"/>
        <w:jc w:val="both"/>
        <w:rPr>
          <w:rFonts w:ascii="Verdana" w:eastAsia="Calibri" w:hAnsi="Verdana" w:cs="Arial"/>
          <w:bCs/>
          <w:color w:val="000000"/>
          <w:sz w:val="20"/>
          <w:szCs w:val="20"/>
          <w:lang w:val="es-ES" w:eastAsia="es-ES_tradnl"/>
        </w:rPr>
      </w:pPr>
    </w:p>
    <w:p w14:paraId="13159601" w14:textId="77777777" w:rsidR="00BE5D31" w:rsidRDefault="00BE5D31" w:rsidP="00BE5D31">
      <w:pPr>
        <w:spacing w:after="0" w:line="240" w:lineRule="auto"/>
        <w:ind w:left="708" w:right="616"/>
        <w:jc w:val="both"/>
        <w:rPr>
          <w:rFonts w:ascii="Verdana" w:eastAsia="Calibri" w:hAnsi="Verdana" w:cs="Arial"/>
          <w:bCs/>
          <w:color w:val="000000"/>
          <w:sz w:val="20"/>
          <w:szCs w:val="20"/>
          <w:lang w:val="es-ES" w:eastAsia="es-ES_tradnl"/>
        </w:rPr>
      </w:pPr>
      <w:r w:rsidRPr="00B05BE8">
        <w:rPr>
          <w:rFonts w:ascii="Verdana" w:eastAsia="Calibri" w:hAnsi="Verdana" w:cs="Arial"/>
          <w:bCs/>
          <w:color w:val="000000"/>
          <w:sz w:val="20"/>
          <w:szCs w:val="20"/>
          <w:lang w:val="es-ES" w:eastAsia="es-ES_tradnl"/>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3E286ACC" w14:textId="77777777" w:rsidR="00BE5D31" w:rsidRPr="00B05BE8" w:rsidRDefault="00BE5D31" w:rsidP="00BE5D31">
      <w:pPr>
        <w:spacing w:after="0" w:line="240" w:lineRule="auto"/>
        <w:ind w:left="708" w:right="616"/>
        <w:jc w:val="both"/>
        <w:rPr>
          <w:rFonts w:ascii="Verdana" w:eastAsia="Calibri" w:hAnsi="Verdana" w:cs="Arial"/>
          <w:bCs/>
          <w:color w:val="000000"/>
          <w:sz w:val="20"/>
          <w:szCs w:val="20"/>
          <w:lang w:val="es-ES" w:eastAsia="es-ES_tradnl"/>
        </w:rPr>
      </w:pPr>
    </w:p>
    <w:p w14:paraId="2F95E40F" w14:textId="77777777" w:rsidR="00BE5D31" w:rsidRDefault="00BE5D31" w:rsidP="00BE5D31">
      <w:pPr>
        <w:spacing w:after="0" w:line="240" w:lineRule="auto"/>
        <w:ind w:left="708" w:right="616"/>
        <w:jc w:val="both"/>
        <w:rPr>
          <w:rFonts w:ascii="Verdana" w:eastAsia="Calibri" w:hAnsi="Verdana" w:cs="Arial"/>
          <w:bCs/>
          <w:color w:val="000000"/>
          <w:sz w:val="20"/>
          <w:szCs w:val="20"/>
          <w:lang w:val="es-ES" w:eastAsia="es-ES_tradnl"/>
        </w:rPr>
      </w:pPr>
      <w:r w:rsidRPr="00B05BE8">
        <w:rPr>
          <w:rFonts w:ascii="Verdana" w:eastAsia="Calibri" w:hAnsi="Verdana" w:cs="Arial"/>
          <w:bCs/>
          <w:color w:val="000000"/>
          <w:sz w:val="20"/>
          <w:szCs w:val="20"/>
          <w:lang w:val="es-ES" w:eastAsia="es-ES_tradnl"/>
        </w:rPr>
        <w:t>Los miembros del consorcio y de la unión temporal deberán designar la persona que, para todos los efectos, representará al consorcio o unión temporal y señalarán las reglas básicas que regulen las relaciones entre ellos y su responsabilidad</w:t>
      </w:r>
      <w:r>
        <w:rPr>
          <w:rFonts w:ascii="Verdana" w:eastAsia="Calibri" w:hAnsi="Verdana" w:cs="Arial"/>
          <w:bCs/>
          <w:color w:val="000000"/>
          <w:sz w:val="20"/>
          <w:szCs w:val="20"/>
          <w:lang w:val="es-ES" w:eastAsia="es-ES_tradnl"/>
        </w:rPr>
        <w:t xml:space="preserve"> (…)”.</w:t>
      </w:r>
    </w:p>
    <w:p w14:paraId="245AE606" w14:textId="77777777" w:rsidR="00BE5D31" w:rsidRPr="00B05BE8" w:rsidRDefault="00BE5D31" w:rsidP="00BE5D31">
      <w:pPr>
        <w:spacing w:after="0" w:line="240" w:lineRule="auto"/>
        <w:ind w:left="708" w:right="616"/>
        <w:jc w:val="both"/>
        <w:rPr>
          <w:rFonts w:ascii="Verdana" w:eastAsia="Calibri" w:hAnsi="Verdana" w:cs="Arial"/>
          <w:bCs/>
          <w:color w:val="000000"/>
          <w:sz w:val="20"/>
          <w:szCs w:val="20"/>
          <w:lang w:val="es-ES" w:eastAsia="es-ES_tradnl"/>
        </w:rPr>
      </w:pPr>
    </w:p>
    <w:p w14:paraId="4E372E19" w14:textId="77777777" w:rsidR="00BE5D31" w:rsidRPr="00043FE7" w:rsidRDefault="00BE5D31" w:rsidP="00BE5D31">
      <w:pPr>
        <w:spacing w:after="120" w:line="276" w:lineRule="auto"/>
        <w:jc w:val="both"/>
        <w:rPr>
          <w:rFonts w:ascii="Verdana" w:eastAsia="Calibri" w:hAnsi="Verdana" w:cs="Arial"/>
          <w:color w:val="000000"/>
          <w:lang w:eastAsia="es-ES_tradnl"/>
        </w:rPr>
      </w:pPr>
      <w:r w:rsidRPr="00043FE7">
        <w:rPr>
          <w:rFonts w:ascii="Verdana" w:eastAsia="Calibri" w:hAnsi="Verdana" w:cs="Arial"/>
          <w:bCs/>
          <w:color w:val="000000"/>
          <w:lang w:val="es-ES" w:eastAsia="es-ES_tradnl"/>
        </w:rPr>
        <w:tab/>
        <w:t>Como se observa, el artículo citado señala que el consorcio o la unión temporal surge “Cuando dos o más personas en forma conjunta presentan una misma propuesta para la adjudicación, celebración y ejecución de un contrato […]”.</w:t>
      </w:r>
      <w:r w:rsidRPr="00043FE7">
        <w:rPr>
          <w:rFonts w:ascii="Verdana" w:eastAsia="Calibri" w:hAnsi="Verdana" w:cs="Arial"/>
          <w:color w:val="000000"/>
          <w:lang w:eastAsia="es-ES_tradnl"/>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35F05E95" w14:textId="77777777" w:rsidR="00BE5D31" w:rsidRDefault="00BE5D31" w:rsidP="00BE5D31">
      <w:pPr>
        <w:spacing w:after="120" w:line="276" w:lineRule="auto"/>
        <w:jc w:val="both"/>
        <w:rPr>
          <w:rFonts w:ascii="Verdana" w:eastAsia="Calibri" w:hAnsi="Verdana" w:cs="Arial"/>
          <w:color w:val="000000"/>
          <w:lang w:eastAsia="es-ES_tradnl"/>
        </w:rPr>
      </w:pPr>
      <w:r w:rsidRPr="00043FE7">
        <w:rPr>
          <w:rFonts w:ascii="Verdana" w:eastAsia="Calibri" w:hAnsi="Verdana" w:cs="Arial"/>
          <w:color w:val="000000"/>
          <w:lang w:eastAsia="es-ES_tradnl"/>
        </w:rPr>
        <w:tab/>
        <w:t xml:space="preserve">De esta manera, los consorcios o uniones temporales son convenios de asociación provenientes de la colaboración empresarial, mediante los cuales sus integrantes se unen y se organizan mancomunadamente para lograr con mayor </w:t>
      </w:r>
      <w:r w:rsidRPr="00043FE7">
        <w:rPr>
          <w:rFonts w:ascii="Verdana" w:eastAsia="Calibri" w:hAnsi="Verdana" w:cs="Arial"/>
          <w:color w:val="000000"/>
          <w:lang w:eastAsia="es-ES_tradnl"/>
        </w:rPr>
        <w:lastRenderedPageBreak/>
        <w:t xml:space="preserve">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61694A60" w14:textId="77777777" w:rsidR="00BE5D31" w:rsidRDefault="00BE5D31" w:rsidP="00BE5D31">
      <w:pPr>
        <w:spacing w:after="120" w:line="276" w:lineRule="auto"/>
        <w:ind w:firstLine="709"/>
        <w:jc w:val="both"/>
        <w:rPr>
          <w:rFonts w:ascii="Verdana" w:eastAsia="Calibri" w:hAnsi="Verdana" w:cs="Arial"/>
          <w:color w:val="000000"/>
          <w:lang w:eastAsia="es-ES_tradnl"/>
        </w:rPr>
      </w:pPr>
      <w:r>
        <w:rPr>
          <w:rFonts w:ascii="Verdana" w:eastAsia="Calibri" w:hAnsi="Verdana" w:cs="Arial"/>
          <w:color w:val="000000"/>
          <w:lang w:eastAsia="es-ES_tradnl"/>
        </w:rPr>
        <w:t xml:space="preserve">En cuanto a la subcontratación, según la definición de la Real Academia de la Lengua Española, subcontratar es: </w:t>
      </w:r>
      <w:r w:rsidRPr="00C369AB">
        <w:rPr>
          <w:rFonts w:ascii="Verdana" w:eastAsia="Calibri" w:hAnsi="Verdana" w:cs="Arial"/>
          <w:i/>
          <w:iCs/>
          <w:color w:val="000000"/>
          <w:lang w:eastAsia="es-ES_tradnl"/>
        </w:rPr>
        <w:t>Dicho del adjudicatario de una contrata: Firmar un contrato con otra persona o con otra empresa para que realice trabajos relacionados con la contrata original</w:t>
      </w:r>
      <w:r>
        <w:rPr>
          <w:rStyle w:val="Refdenotaalpie"/>
          <w:rFonts w:ascii="Verdana" w:eastAsia="Calibri" w:hAnsi="Verdana" w:cs="Arial"/>
          <w:i/>
          <w:iCs/>
          <w:color w:val="000000"/>
          <w:lang w:eastAsia="es-ES_tradnl"/>
        </w:rPr>
        <w:footnoteReference w:id="3"/>
      </w:r>
      <w:r>
        <w:rPr>
          <w:rFonts w:ascii="Verdana" w:eastAsia="Calibri" w:hAnsi="Verdana" w:cs="Arial"/>
          <w:color w:val="000000"/>
          <w:lang w:eastAsia="es-ES_tradnl"/>
        </w:rPr>
        <w:t xml:space="preserve">. </w:t>
      </w:r>
    </w:p>
    <w:p w14:paraId="1F573352" w14:textId="77777777" w:rsidR="00BE5D31" w:rsidRPr="00043FE7" w:rsidRDefault="00BE5D31" w:rsidP="00BE5D31">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La figura jurídica de la subcontratación no ha tenido un desarrollo regulatorio sustancial en el derecho colombiano. Aunque en materia de contratación estatal hay algunas referencias a esta institución en las Leyes 80 de 1993</w:t>
      </w:r>
      <w:r w:rsidRPr="00043FE7">
        <w:rPr>
          <w:rFonts w:ascii="Verdana" w:eastAsia="Calibri" w:hAnsi="Verdana" w:cs="Arial"/>
          <w:color w:val="000000"/>
          <w:vertAlign w:val="superscript"/>
          <w:lang w:eastAsia="es-ES_tradnl"/>
        </w:rPr>
        <w:footnoteReference w:id="4"/>
      </w:r>
      <w:r w:rsidRPr="00043FE7">
        <w:rPr>
          <w:rFonts w:ascii="Verdana" w:eastAsia="Calibri" w:hAnsi="Verdana" w:cs="Arial"/>
          <w:color w:val="000000"/>
          <w:vertAlign w:val="superscript"/>
          <w:lang w:eastAsia="es-ES_tradnl"/>
        </w:rPr>
        <w:t xml:space="preserve"> </w:t>
      </w:r>
      <w:r w:rsidRPr="00043FE7">
        <w:rPr>
          <w:rFonts w:ascii="Verdana" w:eastAsia="Calibri" w:hAnsi="Verdana" w:cs="Arial"/>
          <w:color w:val="000000"/>
          <w:lang w:eastAsia="es-ES_tradnl"/>
        </w:rPr>
        <w:t>y 1150 de 2007</w:t>
      </w:r>
      <w:r w:rsidRPr="00043FE7">
        <w:rPr>
          <w:rFonts w:ascii="Verdana" w:eastAsia="Calibri" w:hAnsi="Verdana" w:cs="Arial"/>
          <w:color w:val="000000"/>
          <w:vertAlign w:val="superscript"/>
          <w:lang w:eastAsia="es-ES_tradnl"/>
        </w:rPr>
        <w:footnoteReference w:id="5"/>
      </w:r>
      <w:r w:rsidRPr="00043FE7">
        <w:rPr>
          <w:rFonts w:ascii="Verdana" w:eastAsia="Calibri" w:hAnsi="Verdana" w:cs="Arial"/>
          <w:color w:val="000000"/>
          <w:lang w:eastAsia="es-ES_tradnl"/>
        </w:rPr>
        <w:t>, así como en el Decreto 1082 de 2015</w:t>
      </w:r>
      <w:r w:rsidRPr="00043FE7">
        <w:rPr>
          <w:rFonts w:ascii="Verdana" w:eastAsia="Calibri" w:hAnsi="Verdana" w:cs="Arial"/>
          <w:color w:val="000000"/>
          <w:vertAlign w:val="superscript"/>
          <w:lang w:eastAsia="es-ES_tradnl"/>
        </w:rPr>
        <w:footnoteReference w:id="6"/>
      </w:r>
      <w:r w:rsidRPr="00043FE7">
        <w:rPr>
          <w:rFonts w:ascii="Verdana" w:eastAsia="Calibri" w:hAnsi="Verdana" w:cs="Arial"/>
          <w:color w:val="000000"/>
          <w:lang w:eastAsia="es-ES_tradnl"/>
        </w:rPr>
        <w:t xml:space="preserve">, y en </w:t>
      </w:r>
      <w:r w:rsidRPr="00043FE7">
        <w:rPr>
          <w:rFonts w:ascii="Verdana" w:eastAsia="Calibri" w:hAnsi="Verdana" w:cs="Arial"/>
          <w:color w:val="000000"/>
          <w:lang w:val="es-ES" w:eastAsia="es-ES_tradnl"/>
        </w:rPr>
        <w:t>el Decreto 092 de 2017</w:t>
      </w:r>
      <w:r w:rsidRPr="00043FE7">
        <w:rPr>
          <w:rFonts w:ascii="Verdana" w:eastAsia="Calibri" w:hAnsi="Verdana" w:cs="Arial"/>
          <w:color w:val="000000"/>
          <w:vertAlign w:val="superscript"/>
          <w:lang w:val="es-ES" w:eastAsia="es-ES_tradnl"/>
        </w:rPr>
        <w:footnoteReference w:id="7"/>
      </w:r>
      <w:r w:rsidRPr="00043FE7">
        <w:rPr>
          <w:rFonts w:ascii="Verdana" w:eastAsia="Calibri" w:hAnsi="Verdana" w:cs="Arial"/>
          <w:color w:val="000000"/>
          <w:lang w:val="es-ES" w:eastAsia="es-ES_tradnl"/>
        </w:rPr>
        <w:t xml:space="preserve">, </w:t>
      </w:r>
      <w:r w:rsidRPr="00043FE7">
        <w:rPr>
          <w:rFonts w:ascii="Verdana" w:eastAsia="Calibri" w:hAnsi="Verdana" w:cs="Arial"/>
          <w:color w:val="000000"/>
          <w:lang w:eastAsia="es-ES_tradnl"/>
        </w:rPr>
        <w:t xml:space="preserve">el ordenamiento jurídico carece de una disposición legal que brinde una definición de subcontratación. Sin embargo, la jurisprudencia y la </w:t>
      </w:r>
      <w:r w:rsidRPr="00043FE7">
        <w:rPr>
          <w:rFonts w:ascii="Verdana" w:eastAsia="Calibri" w:hAnsi="Verdana" w:cs="Arial"/>
          <w:color w:val="000000"/>
          <w:lang w:eastAsia="es-ES_tradnl"/>
        </w:rPr>
        <w:lastRenderedPageBreak/>
        <w:t xml:space="preserve">doctrina se han encargado de estudiar y analizar la naturaleza de esta figura y han construido los elementos y características propias de la subcontratación. </w:t>
      </w:r>
    </w:p>
    <w:p w14:paraId="6F58A096" w14:textId="77777777" w:rsidR="00BE5D31" w:rsidRPr="00043FE7" w:rsidRDefault="00BE5D31" w:rsidP="00591B48">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La doctrina ha analizado la subcontratación en la contratación estatal, señalando que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043FE7">
        <w:rPr>
          <w:rFonts w:ascii="Verdana" w:eastAsia="Calibri" w:hAnsi="Verdana" w:cs="Arial"/>
          <w:color w:val="000000"/>
          <w:vertAlign w:val="superscript"/>
          <w:lang w:eastAsia="es-ES_tradnl"/>
        </w:rPr>
        <w:footnoteReference w:id="8"/>
      </w:r>
      <w:r w:rsidRPr="00043FE7">
        <w:rPr>
          <w:rFonts w:ascii="Verdana" w:eastAsia="Calibri" w:hAnsi="Verdana" w:cs="Arial"/>
          <w:color w:val="000000"/>
          <w:lang w:eastAsia="es-ES_tradnl"/>
        </w:rPr>
        <w:t>. En el ámbito internacional se ha entendido a la subcontratación como “La práctica mercantil de organización productiva en virtud de la cual el contratista o subcontratista encarga a otro subcontratista o trabajador autónomo parte de lo que a él se le ha encomendado”</w:t>
      </w:r>
      <w:r w:rsidRPr="00043FE7">
        <w:rPr>
          <w:rFonts w:ascii="Verdana" w:eastAsia="Calibri" w:hAnsi="Verdana" w:cs="Arial"/>
          <w:color w:val="000000"/>
          <w:vertAlign w:val="superscript"/>
          <w:lang w:eastAsia="es-ES_tradnl"/>
        </w:rPr>
        <w:footnoteReference w:id="9"/>
      </w:r>
      <w:r w:rsidRPr="00043FE7">
        <w:rPr>
          <w:rFonts w:ascii="Verdana" w:eastAsia="Calibri" w:hAnsi="Verdana" w:cs="Arial"/>
          <w:color w:val="000000"/>
          <w:vertAlign w:val="superscript"/>
          <w:lang w:eastAsia="es-ES_tradnl"/>
        </w:rPr>
        <w:t>.</w:t>
      </w:r>
      <w:r w:rsidRPr="00043FE7">
        <w:rPr>
          <w:rFonts w:ascii="Verdana" w:eastAsia="Calibri" w:hAnsi="Verdana" w:cs="Arial"/>
          <w:color w:val="000000"/>
          <w:lang w:eastAsia="es-ES_tradnl"/>
        </w:rPr>
        <w:t xml:space="preserve"> En el marco de esta figura, se define el nivel de subcontratación como “Cada uno de los escalones en que se estructura el proceso de subcontratación que se desarrolla para la ejecución de la totalidad o parte de la obra asumida contractualmente por el contratista con el promotor”</w:t>
      </w:r>
      <w:r w:rsidRPr="00043FE7">
        <w:rPr>
          <w:rFonts w:ascii="Verdana" w:eastAsia="Calibri" w:hAnsi="Verdana" w:cs="Arial"/>
          <w:color w:val="000000"/>
          <w:vertAlign w:val="superscript"/>
          <w:lang w:eastAsia="es-ES_tradnl"/>
        </w:rPr>
        <w:footnoteReference w:id="10"/>
      </w:r>
      <w:r w:rsidRPr="00043FE7">
        <w:rPr>
          <w:rFonts w:ascii="Verdana" w:eastAsia="Calibri" w:hAnsi="Verdana" w:cs="Arial"/>
          <w:color w:val="000000"/>
          <w:lang w:eastAsia="es-ES_tradnl"/>
        </w:rPr>
        <w:t xml:space="preserve">. </w:t>
      </w:r>
    </w:p>
    <w:p w14:paraId="3615857E" w14:textId="77777777" w:rsidR="00BE5D31" w:rsidRPr="00043FE7" w:rsidRDefault="00BE5D31" w:rsidP="00591B48">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Por su parte, la Sección Tercera del Consejo de Estado, en Sentencia del 12 de agosto de 2013</w:t>
      </w:r>
      <w:r w:rsidRPr="00043FE7">
        <w:rPr>
          <w:rFonts w:ascii="Verdana" w:eastAsia="Calibri" w:hAnsi="Verdana" w:cs="Arial"/>
          <w:color w:val="000000"/>
          <w:vertAlign w:val="superscript"/>
          <w:lang w:eastAsia="es-ES_tradnl"/>
        </w:rPr>
        <w:footnoteReference w:id="11"/>
      </w:r>
      <w:r w:rsidRPr="00043FE7">
        <w:rPr>
          <w:rFonts w:ascii="Verdana" w:eastAsia="Calibri" w:hAnsi="Verdana" w:cs="Arial"/>
          <w:color w:val="000000"/>
          <w:lang w:eastAsia="es-ES_tradnl"/>
        </w:rPr>
        <w:t xml:space="preserve">, estructuró la definición y naturaleza del subcontrato reiterando lo señalado por la doctrina. Al respecto, indicó: </w:t>
      </w:r>
    </w:p>
    <w:p w14:paraId="3CF75D93" w14:textId="0482295C" w:rsidR="00BE5D31" w:rsidRPr="00591B48" w:rsidRDefault="00BE5D31" w:rsidP="00591B48">
      <w:pPr>
        <w:spacing w:after="0" w:line="240" w:lineRule="auto"/>
        <w:ind w:left="709" w:right="618"/>
        <w:jc w:val="both"/>
        <w:rPr>
          <w:rFonts w:ascii="Verdana" w:eastAsia="Calibri" w:hAnsi="Verdana" w:cs="Arial"/>
          <w:color w:val="000000"/>
          <w:sz w:val="20"/>
          <w:szCs w:val="20"/>
          <w:lang w:eastAsia="es-ES_tradnl"/>
        </w:rPr>
      </w:pPr>
      <w:r w:rsidRPr="00FF5128">
        <w:rPr>
          <w:rFonts w:ascii="Verdana" w:eastAsia="Calibri" w:hAnsi="Verdana" w:cs="Arial"/>
          <w:color w:val="000000"/>
          <w:sz w:val="20"/>
          <w:szCs w:val="20"/>
          <w:lang w:eastAsia="es-ES_tradnl"/>
        </w:rPr>
        <w:t>“Esta institución hace surgir una relación jurídica autónoma entre el contratista del Estado y el sub contratista,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w:t>
      </w:r>
      <w:r>
        <w:rPr>
          <w:rFonts w:ascii="Verdana" w:eastAsia="Calibri" w:hAnsi="Verdana" w:cs="Arial"/>
          <w:color w:val="000000"/>
          <w:sz w:val="20"/>
          <w:szCs w:val="20"/>
          <w:lang w:eastAsia="es-ES_tradnl"/>
        </w:rPr>
        <w:t>”</w:t>
      </w:r>
      <w:r w:rsidRPr="00FF5128">
        <w:rPr>
          <w:rFonts w:ascii="Verdana" w:eastAsia="Calibri" w:hAnsi="Verdana" w:cs="Arial"/>
          <w:color w:val="000000"/>
          <w:sz w:val="20"/>
          <w:szCs w:val="20"/>
          <w:lang w:eastAsia="es-ES_tradnl"/>
        </w:rPr>
        <w:t xml:space="preserve">. </w:t>
      </w:r>
    </w:p>
    <w:p w14:paraId="78CDA7D7" w14:textId="77777777" w:rsidR="00BE5D31" w:rsidRPr="00FF5128" w:rsidRDefault="00BE5D31" w:rsidP="00BE5D31">
      <w:pPr>
        <w:spacing w:after="0" w:line="240" w:lineRule="auto"/>
        <w:ind w:left="708" w:right="616"/>
        <w:jc w:val="both"/>
        <w:rPr>
          <w:rFonts w:ascii="Verdana" w:eastAsia="Calibri" w:hAnsi="Verdana" w:cs="Arial"/>
          <w:color w:val="000000"/>
          <w:sz w:val="20"/>
          <w:szCs w:val="20"/>
          <w:lang w:eastAsia="es-ES_tradnl"/>
        </w:rPr>
      </w:pPr>
      <w:r w:rsidRPr="00FF5128">
        <w:rPr>
          <w:rFonts w:ascii="Verdana" w:eastAsia="Calibri" w:hAnsi="Verdana" w:cs="Arial"/>
          <w:color w:val="000000"/>
          <w:sz w:val="20"/>
          <w:szCs w:val="20"/>
          <w:lang w:eastAsia="es-ES_tradnl"/>
        </w:rPr>
        <w:lastRenderedPageBreak/>
        <w:t>En este sentido, el contratista conserva frente a la entidad pública la responsabilidad por la ejecución del contrato, así que desde el punto de vista subjetivo la sub contratación es material y no jurídica, porque traslada el cumplimiento del contrato a un tercero, pero no sustituye al contratista.</w:t>
      </w:r>
    </w:p>
    <w:p w14:paraId="04ACE256" w14:textId="77777777" w:rsidR="00BE5D31" w:rsidRDefault="00BE5D31" w:rsidP="00BE5D31">
      <w:pPr>
        <w:spacing w:after="0" w:line="240" w:lineRule="auto"/>
        <w:ind w:left="708" w:right="616"/>
        <w:jc w:val="both"/>
        <w:rPr>
          <w:rFonts w:ascii="Verdana" w:eastAsia="Calibri" w:hAnsi="Verdana" w:cs="Arial"/>
          <w:color w:val="000000"/>
          <w:sz w:val="20"/>
          <w:szCs w:val="20"/>
          <w:lang w:eastAsia="es-ES_tradnl"/>
        </w:rPr>
      </w:pPr>
    </w:p>
    <w:p w14:paraId="7773C133" w14:textId="77777777" w:rsidR="00BE5D31" w:rsidRDefault="00BE5D31" w:rsidP="00BE5D31">
      <w:pPr>
        <w:spacing w:after="0" w:line="240" w:lineRule="auto"/>
        <w:ind w:left="708" w:right="616"/>
        <w:jc w:val="both"/>
        <w:rPr>
          <w:rFonts w:ascii="Verdana" w:eastAsia="Calibri" w:hAnsi="Verdana" w:cs="Arial"/>
          <w:color w:val="000000"/>
          <w:sz w:val="20"/>
          <w:szCs w:val="20"/>
          <w:lang w:eastAsia="es-ES_tradnl"/>
        </w:rPr>
      </w:pPr>
      <w:r w:rsidRPr="00FF5128">
        <w:rPr>
          <w:rFonts w:ascii="Verdana" w:eastAsia="Calibri" w:hAnsi="Verdana" w:cs="Arial"/>
          <w:color w:val="000000"/>
          <w:sz w:val="20"/>
          <w:szCs w:val="20"/>
          <w:lang w:eastAsia="es-ES_tradnl"/>
        </w:rPr>
        <w:t>La Subcontratación es la celebración de un contrato accesorio a otro principal, entre un contratista del Estado y un tercero, en virtud del cual el subcontratista o tercero sustituye parcial y materialmente al primero, quien conserva la dirección general del proyecto y es responsable ante la entidad estatal contratante por el cumplimiento íntegro de las obligaciones derivadas del contrato adjudicado. Esta institución hace surgir una relación jurídica autónoma entre el contratista del Estado y el subcontratista,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w:t>
      </w:r>
    </w:p>
    <w:p w14:paraId="2EC7B811" w14:textId="77777777" w:rsidR="00BE5D31" w:rsidRPr="00FF5128" w:rsidRDefault="00BE5D31" w:rsidP="00BE5D31">
      <w:pPr>
        <w:spacing w:after="0" w:line="240" w:lineRule="auto"/>
        <w:ind w:left="708" w:right="616"/>
        <w:jc w:val="both"/>
        <w:rPr>
          <w:rFonts w:ascii="Verdana" w:eastAsia="Calibri" w:hAnsi="Verdana" w:cs="Arial"/>
          <w:color w:val="000000"/>
          <w:sz w:val="20"/>
          <w:szCs w:val="20"/>
          <w:lang w:eastAsia="es-ES_tradnl"/>
        </w:rPr>
      </w:pPr>
    </w:p>
    <w:p w14:paraId="3EED2570" w14:textId="77777777" w:rsidR="00BE5D31" w:rsidRPr="00043FE7" w:rsidRDefault="00BE5D31" w:rsidP="00BE5D31">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 xml:space="preserve">De lo expuesto se resaltan, como características esenciales de la subcontratación, las siguientes: i) es un contrato eventual, </w:t>
      </w:r>
      <w:proofErr w:type="spellStart"/>
      <w:r w:rsidRPr="00043FE7">
        <w:rPr>
          <w:rFonts w:ascii="Verdana" w:eastAsia="Calibri" w:hAnsi="Verdana" w:cs="Arial"/>
          <w:color w:val="000000"/>
          <w:lang w:eastAsia="es-ES_tradnl"/>
        </w:rPr>
        <w:t>ii</w:t>
      </w:r>
      <w:proofErr w:type="spellEnd"/>
      <w:r w:rsidRPr="00043FE7">
        <w:rPr>
          <w:rFonts w:ascii="Verdana" w:eastAsia="Calibri" w:hAnsi="Verdana" w:cs="Arial"/>
          <w:color w:val="000000"/>
          <w:lang w:eastAsia="es-ES_tradnl"/>
        </w:rPr>
        <w:t xml:space="preserve">) es un contrato accesorio, pues asegura el cumplimiento de otro contrato –principal–, </w:t>
      </w:r>
      <w:proofErr w:type="spellStart"/>
      <w:r w:rsidRPr="00043FE7">
        <w:rPr>
          <w:rFonts w:ascii="Verdana" w:eastAsia="Calibri" w:hAnsi="Verdana" w:cs="Arial"/>
          <w:color w:val="000000"/>
          <w:lang w:eastAsia="es-ES_tradnl"/>
        </w:rPr>
        <w:t>iii</w:t>
      </w:r>
      <w:proofErr w:type="spellEnd"/>
      <w:r w:rsidRPr="00043FE7">
        <w:rPr>
          <w:rFonts w:ascii="Verdana" w:eastAsia="Calibri" w:hAnsi="Verdana" w:cs="Arial"/>
          <w:color w:val="000000"/>
          <w:lang w:eastAsia="es-ES_tradnl"/>
        </w:rPr>
        <w:t xml:space="preserve">) la relación jurídica que surge entre el contratista del Estado y el tercero es independiente y autónoma de la entidad contratante, </w:t>
      </w:r>
      <w:proofErr w:type="spellStart"/>
      <w:r w:rsidRPr="00043FE7">
        <w:rPr>
          <w:rFonts w:ascii="Verdana" w:eastAsia="Calibri" w:hAnsi="Verdana" w:cs="Arial"/>
          <w:color w:val="000000"/>
          <w:lang w:eastAsia="es-ES_tradnl"/>
        </w:rPr>
        <w:t>iv</w:t>
      </w:r>
      <w:proofErr w:type="spellEnd"/>
      <w:r w:rsidRPr="00043FE7">
        <w:rPr>
          <w:rFonts w:ascii="Verdana" w:eastAsia="Calibri" w:hAnsi="Verdana" w:cs="Arial"/>
          <w:color w:val="000000"/>
          <w:lang w:eastAsia="es-ES_tradnl"/>
        </w:rPr>
        <w:t>) la sustitución es parcial, lo que significa que no podrán subcontratar la ejecución total del contrato principal y v) la sustitución es material y no jurídica; por lo tanto, no relevará al contratista del Estado de las responsabilidades emanadas del contrato principal.</w:t>
      </w:r>
    </w:p>
    <w:p w14:paraId="2AC21B8C" w14:textId="77777777" w:rsidR="00BE5D31" w:rsidRPr="00043FE7" w:rsidRDefault="00BE5D31" w:rsidP="00591B48">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 xml:space="preserve">En este sentido, la subcontratación implica la celebración de un contrato derivado de otro principal cuyo propósito es ejecutar parcialmente este último. Dentro de este marco, podrían presentarse niveles de subcontratación, es decir, los escalones en que se estructura el proceso de subcontratación. Estos niveles no excluyen el carácter de contrato derivado de estos subcontratos, puesto que sus objetos se encuentran en función de la realización material del contrato principal. </w:t>
      </w:r>
    </w:p>
    <w:p w14:paraId="73A785E0" w14:textId="77777777" w:rsidR="00BE5D31" w:rsidRDefault="00BE5D31" w:rsidP="00BE5D31">
      <w:pPr>
        <w:spacing w:after="120" w:line="276" w:lineRule="auto"/>
        <w:ind w:firstLine="709"/>
        <w:jc w:val="both"/>
        <w:rPr>
          <w:rFonts w:ascii="Verdana" w:eastAsia="Calibri" w:hAnsi="Verdana" w:cs="Arial"/>
          <w:color w:val="000000"/>
          <w:lang w:val="es-ES" w:eastAsia="es-ES_tradnl"/>
        </w:rPr>
      </w:pPr>
      <w:r w:rsidRPr="00043FE7">
        <w:rPr>
          <w:rFonts w:ascii="Verdana" w:eastAsia="Calibri" w:hAnsi="Verdana" w:cs="Arial"/>
          <w:color w:val="000000"/>
          <w:lang w:val="es-ES" w:eastAsia="es-ES_tradnl"/>
        </w:rPr>
        <w:t xml:space="preserve">Debido a la escasa regulación normativa, la subcontratación en materia de contratación pública estará supeditada a lo dispuesto en el pliego de condiciones y en el contrato, sin perjuicio de las limitaciones establecidas por la </w:t>
      </w:r>
      <w:r w:rsidRPr="00043FE7">
        <w:rPr>
          <w:rFonts w:ascii="Verdana" w:eastAsia="Calibri" w:hAnsi="Verdana" w:cs="Arial"/>
          <w:color w:val="000000"/>
          <w:lang w:val="es-ES" w:eastAsia="es-ES_tradnl"/>
        </w:rPr>
        <w:lastRenderedPageBreak/>
        <w:t>ley</w:t>
      </w:r>
      <w:r w:rsidRPr="00043FE7">
        <w:rPr>
          <w:rFonts w:ascii="Verdana" w:eastAsia="Calibri" w:hAnsi="Verdana" w:cs="Arial"/>
          <w:color w:val="000000"/>
          <w:vertAlign w:val="superscript"/>
          <w:lang w:val="es-ES" w:eastAsia="es-ES_tradnl"/>
        </w:rPr>
        <w:footnoteReference w:id="12"/>
      </w:r>
      <w:r w:rsidRPr="00043FE7">
        <w:rPr>
          <w:rFonts w:ascii="Verdana" w:eastAsia="Calibri" w:hAnsi="Verdana" w:cs="Arial"/>
          <w:color w:val="000000"/>
          <w:lang w:val="es-ES" w:eastAsia="es-ES_tradnl"/>
        </w:rPr>
        <w:t xml:space="preserve">. De esta manera, su configuración dependerá de las condiciones definidas en el acuerdo de voluntades, de tal forma que, si esta no se permite para determinadas actividades, está sujeta a la autorización previa de la entidad o al cumplimiento de algún otro requisito, el contratista no podrá subcontratar sin su autorización o sin el cumplimiento de la condición establecida en el negocio jurídico. </w:t>
      </w:r>
    </w:p>
    <w:p w14:paraId="7CC7CF2B" w14:textId="77777777" w:rsidR="00BE5D31" w:rsidRPr="00043FE7" w:rsidRDefault="00BE5D31" w:rsidP="00BE5D31">
      <w:pPr>
        <w:spacing w:after="120" w:line="276" w:lineRule="auto"/>
        <w:ind w:firstLine="709"/>
        <w:jc w:val="both"/>
        <w:rPr>
          <w:rFonts w:ascii="Verdana" w:eastAsia="Calibri" w:hAnsi="Verdana" w:cs="Arial"/>
          <w:color w:val="000000"/>
          <w:lang w:val="es-ES" w:eastAsia="es-ES_tradnl"/>
        </w:rPr>
      </w:pPr>
      <w:r w:rsidRPr="00043FE7">
        <w:rPr>
          <w:rFonts w:ascii="Verdana" w:eastAsia="Calibri" w:hAnsi="Verdana" w:cs="Arial"/>
          <w:color w:val="000000"/>
          <w:lang w:val="es-ES" w:eastAsia="es-ES_tradnl"/>
        </w:rPr>
        <w:t>Por su parte, si en el contrato no se estipula esta figura, se entiende que en principio está permitida y, por tanto, el contratista podrá subcontratar parcialmente con fundamento en la libertad de empresa, sin perjuicio de las limitaciones establecidas por ley.</w:t>
      </w:r>
    </w:p>
    <w:p w14:paraId="18639AF0" w14:textId="77777777" w:rsidR="00BE5D31" w:rsidRPr="00043FE7" w:rsidRDefault="00BE5D31" w:rsidP="00BE5D31">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 xml:space="preserve">Aunque el subcontrato es un contrato autónomo e independiente del contrato principal, en materia de contratación estatal, es recomendable –en ciertos eventos–, que las Entidades Estatales, exijan en el contrato la autorización previa y expresa para la subcontratación. Esto permite a la Entidad Estatal controlar las condiciones bajo las cuales se ejecutará el contrato, asegurar el cumplimiento de este bajo un esquema de transparencia y garantizar que no se infrinjan los principios de la contratación estatal. </w:t>
      </w:r>
    </w:p>
    <w:p w14:paraId="403B9578" w14:textId="77777777" w:rsidR="00BE5D31" w:rsidRPr="00043FE7" w:rsidRDefault="00BE5D31" w:rsidP="00BE5D31">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 xml:space="preserve">De esta manera, la autorización de la entidad contratante es importante –aunque no obligatoria de acuerdo con la ley– para que las actividades contratadas puedan ejecutarse de forma parcial por un tercero, sin que el contratista se desprenda de las responsabilidades derivadas del contrato. Por consiguiente, en el evento en que en el contrato principal se haya pactado dicha autorización, los subcontratos que se celebren deberán respetar esta estipulación, so pena de un posible incumplimiento del contrato. Así las cosas, </w:t>
      </w:r>
      <w:r w:rsidRPr="00043FE7">
        <w:rPr>
          <w:rFonts w:ascii="Verdana" w:eastAsia="Calibri" w:hAnsi="Verdana" w:cs="Arial"/>
          <w:bCs/>
          <w:color w:val="000000"/>
          <w:lang w:eastAsia="es-ES_tradnl"/>
        </w:rPr>
        <w:t>se colige que,</w:t>
      </w:r>
      <w:r w:rsidRPr="00043FE7">
        <w:rPr>
          <w:rFonts w:ascii="Verdana" w:eastAsia="Calibri" w:hAnsi="Verdana" w:cs="Arial"/>
          <w:color w:val="000000"/>
          <w:lang w:val="es-ES" w:eastAsia="es-ES_tradnl"/>
        </w:rPr>
        <w:t xml:space="preserve"> </w:t>
      </w:r>
      <w:bookmarkStart w:id="11" w:name="_Hlk113478384"/>
      <w:r w:rsidRPr="00043FE7">
        <w:rPr>
          <w:rFonts w:ascii="Verdana" w:eastAsia="Calibri" w:hAnsi="Verdana" w:cs="Arial"/>
          <w:color w:val="000000"/>
          <w:lang w:val="es-ES" w:eastAsia="es-ES_tradnl"/>
        </w:rPr>
        <w:t xml:space="preserve">aunque hay ausencia de regulación específica de la subcontratación, </w:t>
      </w:r>
      <w:r w:rsidRPr="00043FE7">
        <w:rPr>
          <w:rFonts w:ascii="Verdana" w:eastAsia="Calibri" w:hAnsi="Verdana" w:cs="Arial"/>
          <w:bCs/>
          <w:color w:val="000000"/>
          <w:lang w:eastAsia="es-ES_tradnl"/>
        </w:rPr>
        <w:t xml:space="preserve">esta no se encuentra proscrita en materia de contratación pública; pero sí encuentra límites para su aplicación en </w:t>
      </w:r>
      <w:bookmarkStart w:id="12" w:name="_Hlk113472119"/>
      <w:r w:rsidRPr="00043FE7">
        <w:rPr>
          <w:rFonts w:ascii="Verdana" w:eastAsia="Calibri" w:hAnsi="Verdana" w:cs="Arial"/>
          <w:bCs/>
          <w:color w:val="000000"/>
          <w:lang w:eastAsia="es-ES_tradnl"/>
        </w:rPr>
        <w:t>el principio de la autonomía de la voluntad, representada en lo pactado en el contrato principal</w:t>
      </w:r>
      <w:bookmarkEnd w:id="12"/>
      <w:r w:rsidRPr="00043FE7">
        <w:rPr>
          <w:rFonts w:ascii="Verdana" w:eastAsia="Calibri" w:hAnsi="Verdana" w:cs="Arial"/>
          <w:bCs/>
          <w:color w:val="000000"/>
          <w:lang w:eastAsia="es-ES_tradnl"/>
        </w:rPr>
        <w:t>, y en algunas normas específicas</w:t>
      </w:r>
      <w:bookmarkEnd w:id="11"/>
      <w:r w:rsidRPr="00043FE7">
        <w:rPr>
          <w:rFonts w:ascii="Verdana" w:eastAsia="Calibri" w:hAnsi="Verdana" w:cs="Arial"/>
          <w:color w:val="000000"/>
          <w:lang w:eastAsia="es-ES_tradnl"/>
        </w:rPr>
        <w:t xml:space="preserve">. </w:t>
      </w:r>
    </w:p>
    <w:p w14:paraId="48E203D8" w14:textId="77777777" w:rsidR="00BE5D31" w:rsidRPr="00043FE7" w:rsidRDefault="00BE5D31" w:rsidP="00BE5D31">
      <w:pPr>
        <w:spacing w:after="120" w:line="276" w:lineRule="auto"/>
        <w:ind w:firstLine="709"/>
        <w:jc w:val="both"/>
        <w:rPr>
          <w:rFonts w:ascii="Verdana" w:eastAsia="Calibri" w:hAnsi="Verdana" w:cs="Arial"/>
          <w:color w:val="000000"/>
          <w:lang w:val="es-ES" w:eastAsia="es-ES_tradnl"/>
        </w:rPr>
      </w:pPr>
      <w:r w:rsidRPr="00043FE7">
        <w:rPr>
          <w:rFonts w:ascii="Verdana" w:eastAsia="Calibri" w:hAnsi="Verdana" w:cs="Arial"/>
          <w:color w:val="000000"/>
          <w:lang w:val="es-ES" w:eastAsia="es-ES_tradnl"/>
        </w:rPr>
        <w:t xml:space="preserve">La subcontratación es distinta a la cesión del contrato. En el primer caso, a diferencia del segundo, no existe traslado de la posición contractual de una </w:t>
      </w:r>
      <w:r w:rsidRPr="00043FE7">
        <w:rPr>
          <w:rFonts w:ascii="Verdana" w:eastAsia="Calibri" w:hAnsi="Verdana" w:cs="Arial"/>
          <w:color w:val="000000"/>
          <w:lang w:val="es-ES" w:eastAsia="es-ES_tradnl"/>
        </w:rPr>
        <w:lastRenderedPageBreak/>
        <w:t>parte a otra; por ello, en la subcontratación, al contrato principal se le suma un nuevo acuerdo, cuyo propósito es establecer relaciones jurídicas que se derivan del contrato original</w:t>
      </w:r>
      <w:r w:rsidRPr="00043FE7">
        <w:rPr>
          <w:rFonts w:ascii="Verdana" w:eastAsia="Calibri" w:hAnsi="Verdana" w:cs="Arial"/>
          <w:color w:val="000000"/>
          <w:vertAlign w:val="superscript"/>
          <w:lang w:val="es-ES" w:eastAsia="es-ES_tradnl"/>
        </w:rPr>
        <w:footnoteReference w:id="13"/>
      </w:r>
      <w:r w:rsidRPr="00043FE7">
        <w:rPr>
          <w:rFonts w:ascii="Verdana" w:eastAsia="Calibri" w:hAnsi="Verdana" w:cs="Arial"/>
          <w:color w:val="000000"/>
          <w:lang w:val="es-ES" w:eastAsia="es-ES_tradnl"/>
        </w:rPr>
        <w:t>. Sin embargo, la aplicación de ambas figuras requiere que tanto el subcontrato como la cesión recaigan sobre un tercero ajeno a la relación originaria</w:t>
      </w:r>
      <w:r w:rsidRPr="00043FE7">
        <w:rPr>
          <w:rFonts w:ascii="Verdana" w:eastAsia="Calibri" w:hAnsi="Verdana" w:cs="Arial"/>
          <w:color w:val="000000"/>
          <w:vertAlign w:val="superscript"/>
          <w:lang w:val="es-ES" w:eastAsia="es-ES_tradnl"/>
        </w:rPr>
        <w:footnoteReference w:id="14"/>
      </w:r>
      <w:r w:rsidRPr="00043FE7">
        <w:rPr>
          <w:rFonts w:ascii="Verdana" w:eastAsia="Calibri" w:hAnsi="Verdana" w:cs="Arial"/>
          <w:color w:val="000000"/>
          <w:lang w:val="es-ES" w:eastAsia="es-ES_tradnl"/>
        </w:rPr>
        <w:t xml:space="preserve">. </w:t>
      </w:r>
    </w:p>
    <w:p w14:paraId="21BA5AD9" w14:textId="77777777" w:rsidR="00BE5D31" w:rsidRPr="00043FE7" w:rsidRDefault="00BE5D31" w:rsidP="00BE5D31">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w:t>
      </w:r>
      <w:r>
        <w:rPr>
          <w:rFonts w:ascii="Verdana" w:eastAsia="Calibri" w:hAnsi="Verdana" w:cs="Arial"/>
          <w:color w:val="000000"/>
          <w:lang w:eastAsia="es-ES_tradnl"/>
        </w:rPr>
        <w:t>(…)</w:t>
      </w:r>
      <w:r w:rsidRPr="00043FE7">
        <w:rPr>
          <w:rFonts w:ascii="Verdana" w:eastAsia="Calibri" w:hAnsi="Verdana" w:cs="Arial"/>
          <w:color w:val="000000"/>
          <w:lang w:eastAsia="es-ES_tradnl"/>
        </w:rPr>
        <w:t xml:space="preserve"> este cederá su participación a un tercero previa autorización escrita de la entidad contratante </w:t>
      </w:r>
      <w:r>
        <w:rPr>
          <w:rFonts w:ascii="Verdana" w:eastAsia="Calibri" w:hAnsi="Verdana" w:cs="Arial"/>
          <w:color w:val="000000"/>
          <w:lang w:eastAsia="es-ES_tradnl"/>
        </w:rPr>
        <w:t>(…)</w:t>
      </w:r>
      <w:r w:rsidRPr="00043FE7">
        <w:rPr>
          <w:rFonts w:ascii="Verdana" w:eastAsia="Calibri" w:hAnsi="Verdana" w:cs="Arial"/>
          <w:color w:val="000000"/>
          <w:lang w:eastAsia="es-ES_tradnl"/>
        </w:rPr>
        <w:t>”, y establece que “</w:t>
      </w:r>
      <w:r>
        <w:rPr>
          <w:rFonts w:ascii="Verdana" w:eastAsia="Calibri" w:hAnsi="Verdana" w:cs="Arial"/>
          <w:color w:val="000000"/>
          <w:lang w:eastAsia="es-ES_tradnl"/>
        </w:rPr>
        <w:t>(…)</w:t>
      </w:r>
      <w:r w:rsidRPr="00043FE7">
        <w:rPr>
          <w:rFonts w:ascii="Verdana" w:eastAsia="Calibri" w:hAnsi="Verdana" w:cs="Arial"/>
          <w:color w:val="000000"/>
          <w:lang w:eastAsia="es-ES_tradnl"/>
        </w:rPr>
        <w:t xml:space="preserve"> En ningún caso, podrá haber cesión del contrato entre quienes integran el consorcio o unión temporal”. En esta última hipótesis, para la doctrina no existe un tercero como requisito de la cesión, y agrega lo siguiente:</w:t>
      </w:r>
    </w:p>
    <w:p w14:paraId="6AF6D810" w14:textId="05040B87" w:rsidR="00BE5D31" w:rsidRPr="00A41D52" w:rsidRDefault="00BE5D31" w:rsidP="008C2CAB">
      <w:pPr>
        <w:spacing w:after="0" w:line="240" w:lineRule="auto"/>
        <w:ind w:left="709" w:right="616"/>
        <w:jc w:val="both"/>
        <w:rPr>
          <w:rFonts w:ascii="Verdana" w:eastAsia="Calibri" w:hAnsi="Verdana" w:cs="Arial"/>
          <w:color w:val="000000"/>
          <w:sz w:val="20"/>
          <w:szCs w:val="20"/>
          <w:lang w:eastAsia="es-ES_tradnl"/>
        </w:rPr>
      </w:pPr>
      <w:r w:rsidRPr="00A41D52">
        <w:rPr>
          <w:rFonts w:ascii="Verdana" w:eastAsia="Calibri" w:hAnsi="Verdana" w:cs="Arial"/>
          <w:color w:val="000000"/>
          <w:sz w:val="20"/>
          <w:szCs w:val="20"/>
          <w:lang w:eastAsia="es-ES_tradnl"/>
        </w:rPr>
        <w:t>“</w:t>
      </w:r>
      <w:r>
        <w:rPr>
          <w:rFonts w:ascii="Verdana" w:eastAsia="Calibri" w:hAnsi="Verdana" w:cs="Arial"/>
          <w:color w:val="000000"/>
          <w:sz w:val="20"/>
          <w:szCs w:val="20"/>
          <w:lang w:eastAsia="es-ES_tradnl"/>
        </w:rPr>
        <w:t>(…)</w:t>
      </w:r>
      <w:r w:rsidRPr="00A41D52">
        <w:rPr>
          <w:rFonts w:ascii="Verdana" w:eastAsia="Calibri" w:hAnsi="Verdana" w:cs="Arial"/>
          <w:color w:val="000000"/>
          <w:sz w:val="20"/>
          <w:szCs w:val="20"/>
          <w:lang w:eastAsia="es-ES_tradnl"/>
        </w:rPr>
        <w:t xml:space="preserve"> supóngase que no existiera la restricción aludida; en este caso tampoco es válida la cesión en un integrante de un consorcio o unión temporal dado que los consorcios o uniones temporales no tienen personalidad jurídica, sino solo capacidad para celebrar contratos estatales, en virtud de la habilitación contenida en el artículo 6 de la Ley 80 de 1993. </w:t>
      </w:r>
      <w:r w:rsidRPr="00A41D52">
        <w:rPr>
          <w:rFonts w:ascii="Verdana" w:eastAsia="Calibri" w:hAnsi="Verdana" w:cs="Arial"/>
          <w:i/>
          <w:iCs/>
          <w:color w:val="000000"/>
          <w:sz w:val="20"/>
          <w:szCs w:val="20"/>
          <w:lang w:eastAsia="es-ES_tradnl"/>
        </w:rPr>
        <w:t xml:space="preserve">En estos casos se está en presencia, por tanto, de un contratista plural; esto es, la calidad de contratista se predica de cada uno de los integrantes del consorcio o unión temporal, de allí que </w:t>
      </w:r>
      <w:r>
        <w:rPr>
          <w:rFonts w:ascii="Verdana" w:eastAsia="Calibri" w:hAnsi="Verdana" w:cs="Arial"/>
          <w:i/>
          <w:iCs/>
          <w:color w:val="000000"/>
          <w:sz w:val="20"/>
          <w:szCs w:val="20"/>
          <w:lang w:eastAsia="es-ES_tradnl"/>
        </w:rPr>
        <w:t>(…)</w:t>
      </w:r>
      <w:r w:rsidRPr="00A41D52">
        <w:rPr>
          <w:rFonts w:ascii="Verdana" w:eastAsia="Calibri" w:hAnsi="Verdana" w:cs="Arial"/>
          <w:i/>
          <w:iCs/>
          <w:color w:val="000000"/>
          <w:sz w:val="20"/>
          <w:szCs w:val="20"/>
          <w:lang w:eastAsia="es-ES_tradnl"/>
        </w:rPr>
        <w:t xml:space="preserve"> no es válida la cesión en el propio contratista</w:t>
      </w:r>
      <w:r w:rsidRPr="00A41D52">
        <w:rPr>
          <w:rFonts w:ascii="Verdana" w:eastAsia="Calibri" w:hAnsi="Verdana" w:cs="Arial"/>
          <w:color w:val="000000"/>
          <w:sz w:val="20"/>
          <w:szCs w:val="20"/>
          <w:lang w:eastAsia="es-ES_tradnl"/>
        </w:rPr>
        <w:t>”</w:t>
      </w:r>
      <w:r w:rsidRPr="00A41D52">
        <w:rPr>
          <w:rFonts w:ascii="Verdana" w:eastAsia="Calibri" w:hAnsi="Verdana" w:cs="Arial"/>
          <w:color w:val="000000"/>
          <w:sz w:val="20"/>
          <w:szCs w:val="20"/>
          <w:vertAlign w:val="superscript"/>
          <w:lang w:eastAsia="es-ES_tradnl"/>
        </w:rPr>
        <w:footnoteReference w:id="15"/>
      </w:r>
      <w:r w:rsidRPr="00A41D52">
        <w:rPr>
          <w:rFonts w:ascii="Verdana" w:eastAsia="Calibri" w:hAnsi="Verdana" w:cs="Arial"/>
          <w:color w:val="000000"/>
          <w:sz w:val="20"/>
          <w:szCs w:val="20"/>
          <w:lang w:eastAsia="es-ES_tradnl"/>
        </w:rPr>
        <w:t xml:space="preserve">. (Énfasis fuera de texto)  </w:t>
      </w:r>
    </w:p>
    <w:p w14:paraId="1ACBBF5F" w14:textId="77777777" w:rsidR="00BE5D31" w:rsidRPr="00043FE7" w:rsidRDefault="00BE5D31" w:rsidP="00BE5D31">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lastRenderedPageBreak/>
        <w:t xml:space="preserve">De esta manera, si está prohibida la cesión entre quienes integren el proponente plural, significa que está permitida la cesión de sus integrantes a un tercero distinto a los miembros del consorcio o la unión temporal. Este razonamiento es aplicable </w:t>
      </w:r>
      <w:r w:rsidRPr="00043FE7">
        <w:rPr>
          <w:rFonts w:ascii="Verdana" w:eastAsia="Calibri" w:hAnsi="Verdana" w:cs="Arial"/>
          <w:i/>
          <w:iCs/>
          <w:color w:val="000000"/>
          <w:lang w:eastAsia="es-ES_tradnl"/>
        </w:rPr>
        <w:t>mutatis mutandis</w:t>
      </w:r>
      <w:r w:rsidRPr="00043FE7">
        <w:rPr>
          <w:rFonts w:ascii="Verdana" w:eastAsia="Calibri" w:hAnsi="Verdana" w:cs="Arial"/>
          <w:color w:val="000000"/>
          <w:lang w:eastAsia="es-ES_tradnl"/>
        </w:rPr>
        <w:t xml:space="preserve"> a la subcontratación, pues también depende de la existencia de un tercero. En este caso, no es posible que los integrantes de la estructura plural conformen el consorcio o la unión temporal y, de manera simultánea, uno o varios de aquellos tengan la calidad de subcontratistas. Pensar lo contrario resulta absurdo de cara al principio lógico de no contradicción, criterio bajo el cual “Una cosa no puede ser ella misma y su contrario, en el mismo aspecto y en el mismo momento”. </w:t>
      </w:r>
    </w:p>
    <w:p w14:paraId="1579662C" w14:textId="77777777" w:rsidR="00BE5D31" w:rsidRDefault="00BE5D31" w:rsidP="00BE5D31">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color w:val="000000"/>
          <w:lang w:eastAsia="es-ES_tradnl"/>
        </w:rPr>
        <w:t>Esto significa que quien ocupa la posición de parte en el negocio jurídico, por exclusión, no puede tener la naturaleza de tercero para efectos de la subcontratación. Por tanto, desde el punto de vista de los sujetos, la calidad de tercero corresponde a cualquier persona distinta al contratista o a los integrantes del consorcio o unión temporal y a la entidad estatal contratante</w:t>
      </w:r>
      <w:r w:rsidRPr="00043FE7">
        <w:rPr>
          <w:rFonts w:ascii="Verdana" w:eastAsia="Calibri" w:hAnsi="Verdana" w:cs="Arial"/>
          <w:color w:val="000000"/>
          <w:vertAlign w:val="superscript"/>
          <w:lang w:eastAsia="es-ES_tradnl"/>
        </w:rPr>
        <w:footnoteReference w:id="16"/>
      </w:r>
      <w:r w:rsidRPr="00043FE7">
        <w:rPr>
          <w:rFonts w:ascii="Verdana" w:eastAsia="Calibri" w:hAnsi="Verdana" w:cs="Arial"/>
          <w:color w:val="000000"/>
          <w:lang w:eastAsia="es-ES_tradnl"/>
        </w:rPr>
        <w:t xml:space="preserve">. En este contexto, sólo la experiencia adquirida por lo integrantes del proponente plural puede acreditarse en otros procesos de selección, pues –por sustracción de materia– no pueden fungir como subcontratistas del consorcio o unión temporal del que hacen parte.  </w:t>
      </w:r>
    </w:p>
    <w:p w14:paraId="6D516479" w14:textId="77777777" w:rsidR="00BE5D31" w:rsidRDefault="00BE5D31" w:rsidP="00BE5D31">
      <w:pPr>
        <w:spacing w:after="120" w:line="276" w:lineRule="auto"/>
        <w:ind w:firstLine="709"/>
        <w:jc w:val="both"/>
        <w:rPr>
          <w:rFonts w:ascii="Verdana" w:eastAsia="Calibri" w:hAnsi="Verdana" w:cs="Arial"/>
          <w:color w:val="000000"/>
          <w:lang w:eastAsia="es-ES_tradnl"/>
        </w:rPr>
      </w:pPr>
      <w:r>
        <w:rPr>
          <w:rFonts w:ascii="Verdana" w:eastAsia="Calibri" w:hAnsi="Verdana" w:cs="Arial"/>
          <w:color w:val="000000"/>
          <w:lang w:eastAsia="es-ES_tradnl"/>
        </w:rPr>
        <w:t xml:space="preserve">En este contexto, las personas naturales o jurídicas que se unen para la conformación de un consorcio o una unión temporal, cuyo propósito consiste en la presentación de propuestas, </w:t>
      </w:r>
      <w:r w:rsidRPr="00894F46">
        <w:rPr>
          <w:rFonts w:ascii="Verdana" w:eastAsia="Calibri" w:hAnsi="Verdana" w:cs="Arial"/>
          <w:color w:val="000000"/>
          <w:lang w:eastAsia="es-ES_tradnl"/>
        </w:rPr>
        <w:t xml:space="preserve">adjudicación, celebración </w:t>
      </w:r>
      <w:r>
        <w:rPr>
          <w:rFonts w:ascii="Verdana" w:eastAsia="Calibri" w:hAnsi="Verdana" w:cs="Arial"/>
          <w:color w:val="000000"/>
          <w:lang w:eastAsia="es-ES_tradnl"/>
        </w:rPr>
        <w:t xml:space="preserve">del contrato así como la </w:t>
      </w:r>
      <w:r w:rsidRPr="00894F46">
        <w:rPr>
          <w:rFonts w:ascii="Verdana" w:eastAsia="Calibri" w:hAnsi="Verdana" w:cs="Arial"/>
          <w:color w:val="000000"/>
          <w:lang w:eastAsia="es-ES_tradnl"/>
        </w:rPr>
        <w:t xml:space="preserve">ejecución </w:t>
      </w:r>
      <w:r>
        <w:rPr>
          <w:rFonts w:ascii="Verdana" w:eastAsia="Calibri" w:hAnsi="Verdana" w:cs="Arial"/>
          <w:color w:val="000000"/>
          <w:lang w:eastAsia="es-ES_tradnl"/>
        </w:rPr>
        <w:t xml:space="preserve">de éste, definido las actividades y obligaciones previamente en la carta de conformación, resulta contrario a la naturaleza propia de dicha forma de colaboración que ellas mismas subcontraten a quienes hacen parte de esta forma asociativa de colaboración, por cuanto como se indicó previamente, la subcontratación requiere que sea un tercero quien cumplan con el objeto de dicha subcontratación. </w:t>
      </w:r>
    </w:p>
    <w:p w14:paraId="66886287" w14:textId="77777777" w:rsidR="00BE5D31" w:rsidRDefault="00BE5D31" w:rsidP="00BE5D31">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bCs/>
          <w:color w:val="000000"/>
          <w:lang w:eastAsia="es-ES_tradnl"/>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w:t>
      </w:r>
      <w:r w:rsidRPr="00043FE7">
        <w:rPr>
          <w:rFonts w:ascii="Verdana" w:eastAsia="Calibri" w:hAnsi="Verdana" w:cs="Arial"/>
          <w:bCs/>
          <w:color w:val="000000"/>
          <w:lang w:eastAsia="es-ES_tradnl"/>
        </w:rPr>
        <w:lastRenderedPageBreak/>
        <w:t>motivan la consulta. Por lo anterior, previo concepto de sus asesores, la solución de situaciones particulares corresponde a los interesados adoptar la decisión correspondiente y, en caso de conflicto, a las autoridades judiciales, fiscales y disciplinarias.</w:t>
      </w:r>
    </w:p>
    <w:p w14:paraId="1938B687" w14:textId="77777777" w:rsidR="00BE5D31" w:rsidRPr="00FB06B4" w:rsidRDefault="00BE5D31" w:rsidP="00BE5D31">
      <w:pPr>
        <w:spacing w:after="120" w:line="276" w:lineRule="auto"/>
        <w:ind w:firstLine="709"/>
        <w:jc w:val="both"/>
        <w:rPr>
          <w:rFonts w:ascii="Verdana" w:eastAsia="Calibri" w:hAnsi="Verdana" w:cs="Arial"/>
          <w:color w:val="000000"/>
          <w:lang w:eastAsia="es-ES_tradnl"/>
        </w:rPr>
      </w:pPr>
      <w:r w:rsidRPr="00043FE7">
        <w:rPr>
          <w:rFonts w:ascii="Verdana" w:eastAsia="Calibri" w:hAnsi="Verdana" w:cs="Arial"/>
          <w:bCs/>
          <w:color w:val="000000"/>
          <w:lang w:eastAsia="es-ES_tradnl"/>
        </w:rPr>
        <w:t xml:space="preserve">Dentro de este marco, la entidad contratante definirá en cada caso concreto lo relacionado con los aspectos puntuales del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FBF1895" w14:textId="77777777" w:rsidR="00BE5D31" w:rsidRPr="00FF007A" w:rsidRDefault="00BE5D31" w:rsidP="00BE5D31">
      <w:pPr>
        <w:tabs>
          <w:tab w:val="left" w:pos="142"/>
          <w:tab w:val="left" w:pos="284"/>
        </w:tabs>
        <w:spacing w:after="0" w:line="240" w:lineRule="auto"/>
        <w:rPr>
          <w:rFonts w:ascii="Verdana" w:eastAsia="Century Gothic" w:hAnsi="Verdana" w:cs="Century Gothic"/>
          <w:b/>
          <w:bCs/>
        </w:rPr>
      </w:pPr>
      <w:bookmarkStart w:id="13" w:name="_Hlk204854194"/>
      <w:r w:rsidRPr="00FF007A">
        <w:rPr>
          <w:rFonts w:ascii="Verdana" w:eastAsia="Century Gothic" w:hAnsi="Verdana" w:cs="Century Gothic"/>
          <w:b/>
          <w:bCs/>
        </w:rPr>
        <w:t>4. Referencias normativas:</w:t>
      </w:r>
    </w:p>
    <w:bookmarkEnd w:id="13"/>
    <w:p w14:paraId="511EE72B" w14:textId="77777777" w:rsidR="00BE5D31" w:rsidRPr="00FF007A" w:rsidRDefault="00BE5D31" w:rsidP="00BE5D3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E5D31" w:rsidRPr="00FF007A" w14:paraId="7B4EBE49" w14:textId="77777777" w:rsidTr="008C2CAB">
        <w:trPr>
          <w:trHeight w:val="870"/>
          <w:jc w:val="center"/>
        </w:trPr>
        <w:tc>
          <w:tcPr>
            <w:tcW w:w="8647" w:type="dxa"/>
          </w:tcPr>
          <w:p w14:paraId="29972AB3" w14:textId="26FBFE43" w:rsidR="00BE5D31" w:rsidRPr="004D0D9F" w:rsidRDefault="00BE5D31" w:rsidP="008C2CAB">
            <w:pPr>
              <w:pStyle w:val="Prrafodelista"/>
              <w:numPr>
                <w:ilvl w:val="0"/>
                <w:numId w:val="17"/>
              </w:numPr>
              <w:spacing w:line="276" w:lineRule="auto"/>
              <w:jc w:val="both"/>
              <w:rPr>
                <w:rFonts w:ascii="Verdana" w:eastAsia="Arial MT" w:hAnsi="Verdana" w:cs="Arial"/>
                <w:lang w:val="es-CO" w:eastAsia="es-ES" w:bidi="es-ES"/>
              </w:rPr>
            </w:pPr>
            <w:r>
              <w:rPr>
                <w:rFonts w:ascii="Verdana" w:hAnsi="Verdana"/>
              </w:rPr>
              <w:t>Código Civil. Artículos 1502, 1503, 1504.</w:t>
            </w:r>
          </w:p>
          <w:p w14:paraId="274DD2D8" w14:textId="77777777" w:rsidR="00BE5D31" w:rsidRPr="004D0D9F" w:rsidRDefault="00BE5D31" w:rsidP="008C2CAB">
            <w:pPr>
              <w:pStyle w:val="Prrafodelista"/>
              <w:numPr>
                <w:ilvl w:val="0"/>
                <w:numId w:val="17"/>
              </w:numPr>
              <w:spacing w:line="276" w:lineRule="auto"/>
              <w:jc w:val="both"/>
              <w:rPr>
                <w:rFonts w:ascii="Verdana" w:eastAsia="Arial MT" w:hAnsi="Verdana" w:cs="Arial"/>
                <w:lang w:val="es-CO" w:eastAsia="es-ES" w:bidi="es-ES"/>
              </w:rPr>
            </w:pPr>
            <w:r>
              <w:rPr>
                <w:rFonts w:ascii="Verdana" w:hAnsi="Verdana"/>
              </w:rPr>
              <w:t xml:space="preserve">Código de Comercio. Artículo 99. </w:t>
            </w:r>
          </w:p>
          <w:p w14:paraId="6F9E7CB0" w14:textId="77777777" w:rsidR="00BE5D31" w:rsidRPr="004D0D9F" w:rsidRDefault="00BE5D31" w:rsidP="008C2CAB">
            <w:pPr>
              <w:pStyle w:val="Prrafodelista"/>
              <w:numPr>
                <w:ilvl w:val="0"/>
                <w:numId w:val="17"/>
              </w:numPr>
              <w:spacing w:line="276" w:lineRule="auto"/>
              <w:jc w:val="both"/>
              <w:rPr>
                <w:rFonts w:ascii="Verdana" w:eastAsia="Arial MT" w:hAnsi="Verdana" w:cs="Arial"/>
                <w:lang w:val="es-CO" w:eastAsia="es-ES" w:bidi="es-ES"/>
              </w:rPr>
            </w:pPr>
            <w:r>
              <w:rPr>
                <w:rFonts w:ascii="Verdana" w:hAnsi="Verdana"/>
              </w:rPr>
              <w:t>Ley 80 de 1993. Artículos 6, 7, 9, 32 numeral 5.</w:t>
            </w:r>
          </w:p>
          <w:p w14:paraId="2E224C12" w14:textId="77777777" w:rsidR="00BE5D31" w:rsidRPr="004D0D9F" w:rsidRDefault="00BE5D31" w:rsidP="008C2CAB">
            <w:pPr>
              <w:pStyle w:val="Prrafodelista"/>
              <w:numPr>
                <w:ilvl w:val="0"/>
                <w:numId w:val="17"/>
              </w:numPr>
              <w:spacing w:line="276" w:lineRule="auto"/>
              <w:jc w:val="both"/>
              <w:rPr>
                <w:rFonts w:ascii="Verdana" w:eastAsia="Arial MT" w:hAnsi="Verdana" w:cs="Arial"/>
                <w:lang w:val="es-CO" w:eastAsia="es-ES" w:bidi="es-ES"/>
              </w:rPr>
            </w:pPr>
            <w:r>
              <w:rPr>
                <w:rFonts w:ascii="Verdana" w:hAnsi="Verdana"/>
              </w:rPr>
              <w:t xml:space="preserve">Ley 1150 de 2007. Artículo 2 numeral 4 literal c. </w:t>
            </w:r>
          </w:p>
          <w:p w14:paraId="74CD2A2C" w14:textId="77777777" w:rsidR="00BE5D31" w:rsidRPr="004D0D9F" w:rsidRDefault="00BE5D31" w:rsidP="008C2CAB">
            <w:pPr>
              <w:pStyle w:val="Prrafodelista"/>
              <w:numPr>
                <w:ilvl w:val="0"/>
                <w:numId w:val="17"/>
              </w:numPr>
              <w:spacing w:line="276" w:lineRule="auto"/>
              <w:jc w:val="both"/>
              <w:rPr>
                <w:rFonts w:ascii="Verdana" w:eastAsia="Arial MT" w:hAnsi="Verdana" w:cs="Arial"/>
                <w:lang w:val="es-CO" w:eastAsia="es-ES" w:bidi="es-ES"/>
              </w:rPr>
            </w:pPr>
            <w:r>
              <w:rPr>
                <w:rFonts w:ascii="Verdana" w:hAnsi="Verdana"/>
              </w:rPr>
              <w:t xml:space="preserve">Decreto 1082 de 2015. Artículo </w:t>
            </w:r>
            <w:r w:rsidRPr="004D0D9F">
              <w:rPr>
                <w:rFonts w:ascii="Verdana" w:hAnsi="Verdana"/>
              </w:rPr>
              <w:t>2.2.1.2.3.1.5</w:t>
            </w:r>
            <w:r>
              <w:rPr>
                <w:rFonts w:ascii="Verdana" w:hAnsi="Verdana"/>
              </w:rPr>
              <w:t>.</w:t>
            </w:r>
          </w:p>
          <w:p w14:paraId="7DD7DFCE" w14:textId="77777777" w:rsidR="00BE5D31" w:rsidRPr="004D0D9F" w:rsidRDefault="00BE5D31" w:rsidP="008C2CAB">
            <w:pPr>
              <w:pStyle w:val="Prrafodelista"/>
              <w:numPr>
                <w:ilvl w:val="0"/>
                <w:numId w:val="17"/>
              </w:numPr>
              <w:spacing w:line="276" w:lineRule="auto"/>
              <w:jc w:val="both"/>
              <w:rPr>
                <w:rFonts w:ascii="Verdana" w:eastAsia="Arial MT" w:hAnsi="Verdana" w:cs="Arial"/>
                <w:lang w:val="es-CO" w:eastAsia="es-ES" w:bidi="es-ES"/>
              </w:rPr>
            </w:pPr>
            <w:r>
              <w:rPr>
                <w:rFonts w:ascii="Verdana" w:hAnsi="Verdana"/>
              </w:rPr>
              <w:t>Decreto 019 de 2012. Artículo 7.</w:t>
            </w:r>
          </w:p>
          <w:p w14:paraId="5DB1CB8F" w14:textId="77777777" w:rsidR="00BE5D31" w:rsidRDefault="00BE5D31" w:rsidP="008C2CAB">
            <w:pPr>
              <w:pStyle w:val="Prrafodelista"/>
              <w:numPr>
                <w:ilvl w:val="0"/>
                <w:numId w:val="17"/>
              </w:numPr>
              <w:spacing w:line="276" w:lineRule="auto"/>
              <w:jc w:val="both"/>
              <w:rPr>
                <w:rFonts w:ascii="Verdana" w:eastAsia="Arial MT" w:hAnsi="Verdana" w:cs="Arial"/>
                <w:lang w:val="es-CO" w:eastAsia="es-ES" w:bidi="es-ES"/>
              </w:rPr>
            </w:pPr>
            <w:r w:rsidRPr="004D0D9F">
              <w:rPr>
                <w:rFonts w:ascii="Verdana" w:eastAsia="Arial MT" w:hAnsi="Verdana" w:cs="Arial"/>
                <w:lang w:val="es-CO" w:eastAsia="es-ES" w:bidi="es-ES"/>
              </w:rPr>
              <w:t>Consejo de Estado, Sala de lo Contencioso Administrativo. Sección Tercera. Subsección A. Sentencia del 10 de febrero de 2011. Radicación: 63001-23-31-000-1997-04685- 01 (16306). C.P:: Hernán Andrade Rincón.</w:t>
            </w:r>
          </w:p>
          <w:p w14:paraId="08DB122E" w14:textId="77777777" w:rsidR="00BE5D31" w:rsidRPr="004D0D9F" w:rsidRDefault="00BE5D31" w:rsidP="008C2CAB">
            <w:pPr>
              <w:pStyle w:val="Prrafodelista"/>
              <w:numPr>
                <w:ilvl w:val="0"/>
                <w:numId w:val="17"/>
              </w:numPr>
              <w:spacing w:line="276" w:lineRule="auto"/>
              <w:jc w:val="both"/>
              <w:rPr>
                <w:rFonts w:ascii="Verdana" w:eastAsia="Arial MT" w:hAnsi="Verdana" w:cs="Arial"/>
                <w:lang w:val="es-CO" w:eastAsia="es-ES" w:bidi="es-ES"/>
              </w:rPr>
            </w:pPr>
            <w:r w:rsidRPr="004D0D9F">
              <w:rPr>
                <w:rFonts w:ascii="Verdana" w:eastAsia="Arial MT" w:hAnsi="Verdana" w:cs="Arial"/>
                <w:lang w:val="es-CO" w:eastAsia="es-ES" w:bidi="es-ES"/>
              </w:rPr>
              <w:t>Consejo de Estado. Sala de lo Contencioso Administrativo. Sección Tercera. Subsección C. Sentencia del 12 de agosto de 2013. Radicación número: 52001-23-31-000-1999-00985-01 (23.088) C.P. Enrique Gil Botero.</w:t>
            </w:r>
          </w:p>
          <w:p w14:paraId="57553165" w14:textId="77777777" w:rsidR="00BE5D31" w:rsidRDefault="00BE5D31" w:rsidP="008C2CAB">
            <w:pPr>
              <w:pStyle w:val="Prrafodelista"/>
              <w:numPr>
                <w:ilvl w:val="0"/>
                <w:numId w:val="17"/>
              </w:numPr>
              <w:spacing w:line="276" w:lineRule="auto"/>
              <w:jc w:val="both"/>
              <w:rPr>
                <w:rFonts w:ascii="Verdana" w:eastAsia="Arial MT" w:hAnsi="Verdana" w:cs="Arial"/>
                <w:lang w:val="es-CO" w:eastAsia="es-ES" w:bidi="es-ES"/>
              </w:rPr>
            </w:pPr>
            <w:r w:rsidRPr="004D0D9F">
              <w:rPr>
                <w:rFonts w:ascii="Verdana" w:eastAsia="Arial MT" w:hAnsi="Verdana" w:cs="Arial"/>
                <w:lang w:val="es-CO" w:eastAsia="es-ES" w:bidi="es-ES"/>
              </w:rPr>
              <w:t xml:space="preserve">Corte Constitucional. Sentencia C-949 del 5 de septiembre de 2001. M.P: Clara Inés Vargas Hernández.  </w:t>
            </w:r>
          </w:p>
          <w:p w14:paraId="7A54E2DA" w14:textId="77777777" w:rsidR="00BE5D31" w:rsidRDefault="00BE5D31" w:rsidP="008C2CAB">
            <w:pPr>
              <w:pStyle w:val="Prrafodelista"/>
              <w:numPr>
                <w:ilvl w:val="0"/>
                <w:numId w:val="17"/>
              </w:numPr>
              <w:spacing w:line="276" w:lineRule="auto"/>
              <w:jc w:val="both"/>
              <w:rPr>
                <w:rFonts w:ascii="Verdana" w:eastAsia="Arial MT" w:hAnsi="Verdana" w:cs="Arial"/>
                <w:lang w:val="es-CO" w:eastAsia="es-ES" w:bidi="es-ES"/>
              </w:rPr>
            </w:pPr>
            <w:r w:rsidRPr="004D0D9F">
              <w:rPr>
                <w:rFonts w:ascii="Verdana" w:eastAsia="Arial MT" w:hAnsi="Verdana" w:cs="Arial"/>
                <w:lang w:val="es-CO" w:eastAsia="es-ES" w:bidi="es-ES"/>
              </w:rPr>
              <w:t>RAMÍREZ GRISALES, Richard Steve. La Subcontratación. Serie: Las cláusulas del contrato estatal. Librería Jurídica Sánchez R. Ltda. y Centro de Estudios de Derecho Administrativo –CEDA-, Medellín, 2012</w:t>
            </w:r>
            <w:r>
              <w:rPr>
                <w:rFonts w:ascii="Verdana" w:eastAsia="Arial MT" w:hAnsi="Verdana" w:cs="Arial"/>
                <w:lang w:val="es-CO" w:eastAsia="es-ES" w:bidi="es-ES"/>
              </w:rPr>
              <w:t>.</w:t>
            </w:r>
          </w:p>
          <w:p w14:paraId="258FCC5E" w14:textId="77777777" w:rsidR="00BE5D31" w:rsidRDefault="00BE5D31" w:rsidP="008C2CAB">
            <w:pPr>
              <w:pStyle w:val="Prrafodelista"/>
              <w:numPr>
                <w:ilvl w:val="0"/>
                <w:numId w:val="17"/>
              </w:numPr>
              <w:spacing w:line="276" w:lineRule="auto"/>
              <w:jc w:val="both"/>
              <w:rPr>
                <w:rFonts w:ascii="Verdana" w:eastAsia="Arial MT" w:hAnsi="Verdana" w:cs="Arial"/>
                <w:lang w:val="es-CO" w:eastAsia="es-ES" w:bidi="es-ES"/>
              </w:rPr>
            </w:pPr>
            <w:r w:rsidRPr="004D0D9F">
              <w:rPr>
                <w:rFonts w:ascii="Verdana" w:eastAsia="Arial MT" w:hAnsi="Verdana" w:cs="Arial"/>
                <w:lang w:val="es-CO" w:eastAsia="es-ES" w:bidi="es-ES"/>
              </w:rPr>
              <w:lastRenderedPageBreak/>
              <w:t>TRABALÓN Cristóbal. Tratado Legal de Construcción. Editorial Tébar Flores. Madrid. 2015</w:t>
            </w:r>
            <w:r>
              <w:rPr>
                <w:rFonts w:ascii="Verdana" w:eastAsia="Arial MT" w:hAnsi="Verdana" w:cs="Arial"/>
                <w:lang w:val="es-CO" w:eastAsia="es-ES" w:bidi="es-ES"/>
              </w:rPr>
              <w:t>.</w:t>
            </w:r>
          </w:p>
          <w:p w14:paraId="189FFFB4" w14:textId="77777777" w:rsidR="00BE5D31" w:rsidRDefault="00BE5D31" w:rsidP="008C2CAB">
            <w:pPr>
              <w:pStyle w:val="Prrafodelista"/>
              <w:numPr>
                <w:ilvl w:val="0"/>
                <w:numId w:val="17"/>
              </w:numPr>
              <w:spacing w:line="276" w:lineRule="auto"/>
              <w:jc w:val="both"/>
              <w:rPr>
                <w:rFonts w:ascii="Verdana" w:eastAsia="Arial MT" w:hAnsi="Verdana" w:cs="Arial"/>
                <w:lang w:val="es-CO" w:eastAsia="es-ES" w:bidi="es-ES"/>
              </w:rPr>
            </w:pPr>
            <w:r w:rsidRPr="004D0D9F">
              <w:rPr>
                <w:rFonts w:ascii="Verdana" w:eastAsia="Arial MT" w:hAnsi="Verdana" w:cs="Arial"/>
                <w:lang w:val="es-CO" w:eastAsia="es-ES" w:bidi="es-ES"/>
              </w:rPr>
              <w:t>BIANCA, Massimo. Derecho civil III: el contrato. Segunda edición. Bogotá: Universidad Externado de Colombia, 2007.</w:t>
            </w:r>
          </w:p>
          <w:p w14:paraId="4D214FCA" w14:textId="77777777" w:rsidR="00BE5D31" w:rsidRPr="004D0D9F" w:rsidRDefault="00BE5D31" w:rsidP="008C2CAB">
            <w:pPr>
              <w:pStyle w:val="Prrafodelista"/>
              <w:numPr>
                <w:ilvl w:val="0"/>
                <w:numId w:val="17"/>
              </w:numPr>
              <w:spacing w:line="276" w:lineRule="auto"/>
              <w:jc w:val="both"/>
              <w:rPr>
                <w:rFonts w:ascii="Verdana" w:eastAsia="Arial MT" w:hAnsi="Verdana" w:cs="Arial"/>
                <w:lang w:val="es-CO" w:eastAsia="es-ES" w:bidi="es-ES"/>
              </w:rPr>
            </w:pPr>
            <w:r w:rsidRPr="004D0D9F">
              <w:rPr>
                <w:rFonts w:ascii="Verdana" w:eastAsia="Arial MT" w:hAnsi="Verdana" w:cs="Arial"/>
                <w:lang w:val="es-CO" w:eastAsia="es-ES" w:bidi="es-ES"/>
              </w:rPr>
              <w:t>RAMÍREZ GRISALES, Richard. La cesión. Serie: Las cláusulas del contrato estatal. Medellín: Centro de Estudios de Derecho Administrativo –CEDA– y Librería Jurídica Sánchez R., 2014</w:t>
            </w:r>
            <w:r>
              <w:rPr>
                <w:rFonts w:ascii="Verdana" w:eastAsia="Arial MT" w:hAnsi="Verdana" w:cs="Arial"/>
                <w:lang w:val="es-CO" w:eastAsia="es-ES" w:bidi="es-ES"/>
              </w:rPr>
              <w:t>.</w:t>
            </w:r>
          </w:p>
          <w:p w14:paraId="11FEE974" w14:textId="77777777" w:rsidR="00BE5D31" w:rsidRPr="00B645F5" w:rsidRDefault="00BE5D31" w:rsidP="008C2CAB">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Real academia de la lengua Española. </w:t>
            </w:r>
            <w:r w:rsidRPr="004D0D9F">
              <w:rPr>
                <w:rFonts w:ascii="Verdana" w:hAnsi="Verdana"/>
              </w:rPr>
              <w:t xml:space="preserve">Disponible en </w:t>
            </w:r>
            <w:hyperlink r:id="rId12" w:history="1">
              <w:r w:rsidRPr="004D0D9F">
                <w:rPr>
                  <w:rStyle w:val="Hipervnculo"/>
                  <w:rFonts w:ascii="Verdana" w:hAnsi="Verdana"/>
                  <w:lang w:val="es-CO"/>
                </w:rPr>
                <w:t>subcontratar | Definición | Diccionario de la lengua española | RAE - ASALE</w:t>
              </w:r>
            </w:hyperlink>
          </w:p>
        </w:tc>
      </w:tr>
    </w:tbl>
    <w:p w14:paraId="16E6EABC" w14:textId="77777777" w:rsidR="00BE5D31" w:rsidRPr="00FF007A" w:rsidRDefault="00BE5D31" w:rsidP="00BE5D31">
      <w:pPr>
        <w:widowControl w:val="0"/>
        <w:autoSpaceDE w:val="0"/>
        <w:autoSpaceDN w:val="0"/>
        <w:spacing w:after="0" w:line="276" w:lineRule="auto"/>
        <w:jc w:val="both"/>
        <w:rPr>
          <w:rFonts w:ascii="Verdana" w:hAnsi="Verdana" w:cs="Arial"/>
        </w:rPr>
      </w:pPr>
    </w:p>
    <w:p w14:paraId="33C7FDA6" w14:textId="77777777" w:rsidR="00BE5D31" w:rsidRPr="00FF007A" w:rsidRDefault="00BE5D31" w:rsidP="00BE5D31">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1A5A8A7F" w14:textId="77777777" w:rsidR="00BE5D31" w:rsidRPr="00FF007A" w:rsidRDefault="00BE5D31" w:rsidP="00BE5D31">
      <w:pPr>
        <w:widowControl w:val="0"/>
        <w:autoSpaceDE w:val="0"/>
        <w:autoSpaceDN w:val="0"/>
        <w:spacing w:after="0" w:line="240" w:lineRule="auto"/>
        <w:jc w:val="both"/>
        <w:rPr>
          <w:rStyle w:val="normaltextrun"/>
          <w:rFonts w:ascii="Verdana" w:hAnsi="Verdana" w:cs="Arial"/>
          <w:shd w:val="clear" w:color="auto" w:fill="FFFFFF"/>
        </w:rPr>
      </w:pPr>
    </w:p>
    <w:p w14:paraId="1E7FDEAA" w14:textId="77777777" w:rsidR="00BE5D31" w:rsidRDefault="00BE5D31" w:rsidP="00BE5D31">
      <w:pPr>
        <w:widowControl w:val="0"/>
        <w:autoSpaceDE w:val="0"/>
        <w:autoSpaceDN w:val="0"/>
        <w:spacing w:after="0" w:line="276" w:lineRule="auto"/>
        <w:jc w:val="both"/>
        <w:rPr>
          <w:rFonts w:ascii="Verdana" w:hAnsi="Verdana" w:cs="Arial"/>
          <w:shd w:val="clear" w:color="auto" w:fill="FFFFFF"/>
        </w:rPr>
      </w:pPr>
      <w:r>
        <w:rPr>
          <w:rFonts w:ascii="Verdana" w:hAnsi="Verdana" w:cs="Arial"/>
          <w:shd w:val="clear" w:color="auto" w:fill="FFFFFF"/>
        </w:rPr>
        <w:t xml:space="preserve">La Subdirección se </w:t>
      </w:r>
      <w:r w:rsidRPr="00003886">
        <w:rPr>
          <w:rFonts w:ascii="Verdana" w:hAnsi="Verdana" w:cs="Arial"/>
          <w:shd w:val="clear" w:color="auto" w:fill="FFFFFF"/>
        </w:rPr>
        <w:t>ha pronunciado sobre la capacidad jurídica de los consorcios y las uniones temporales en los Conceptos 4201913000007643 del 26 de diciembre de 2019, C-343 del 17 de junio de 2020, C-518 del 9 de septiembre de 2020, C-614 del 5 de octubre de 2022, C-882 del 21 de diciembre de 2022, C-172 del 6 de junio de 2023, C-032 del 16 de abril de 2024</w:t>
      </w:r>
      <w:r>
        <w:rPr>
          <w:rFonts w:ascii="Verdana" w:hAnsi="Verdana" w:cs="Arial"/>
          <w:shd w:val="clear" w:color="auto" w:fill="FFFFFF"/>
        </w:rPr>
        <w:t>,</w:t>
      </w:r>
      <w:r w:rsidRPr="00003886">
        <w:rPr>
          <w:rFonts w:ascii="Verdana" w:hAnsi="Verdana" w:cs="Arial"/>
          <w:shd w:val="clear" w:color="auto" w:fill="FFFFFF"/>
        </w:rPr>
        <w:t xml:space="preserve"> C-100 del 12 de junio de 2024</w:t>
      </w:r>
      <w:r>
        <w:rPr>
          <w:rFonts w:ascii="Verdana" w:hAnsi="Verdana" w:cs="Arial"/>
          <w:shd w:val="clear" w:color="auto" w:fill="FFFFFF"/>
        </w:rPr>
        <w:t xml:space="preserve">, C-238 del 9 de julio de 2024, C-727 del 28 de octubre de 2024, C-1109 del 24 de agosto de 2025, entre otros. También </w:t>
      </w:r>
      <w:r w:rsidRPr="004035E6">
        <w:rPr>
          <w:rFonts w:ascii="Verdana" w:hAnsi="Verdana" w:cs="Arial"/>
          <w:shd w:val="clear" w:color="auto" w:fill="FFFFFF"/>
        </w:rPr>
        <w:t>se ha pronunciado sobre el alcance de la subcontratación o contratación derivada en los Conceptos C-599 del 26 de octubre de 2021, C-581 del 16 de septiembre de 2022, C-702 del 9 de noviembre de 2022, C-808 del 25 de noviembre de 2022, C-240 del 14 de septiembre de 2023</w:t>
      </w:r>
      <w:r>
        <w:rPr>
          <w:rFonts w:ascii="Verdana" w:hAnsi="Verdana" w:cs="Arial"/>
          <w:shd w:val="clear" w:color="auto" w:fill="FFFFFF"/>
        </w:rPr>
        <w:t>,</w:t>
      </w:r>
      <w:r w:rsidRPr="004035E6">
        <w:rPr>
          <w:rFonts w:ascii="Verdana" w:hAnsi="Verdana" w:cs="Arial"/>
          <w:shd w:val="clear" w:color="auto" w:fill="FFFFFF"/>
        </w:rPr>
        <w:t xml:space="preserve"> </w:t>
      </w:r>
      <w:r>
        <w:rPr>
          <w:rFonts w:ascii="Verdana" w:hAnsi="Verdana" w:cs="Arial"/>
          <w:shd w:val="clear" w:color="auto" w:fill="FFFFFF"/>
        </w:rPr>
        <w:t xml:space="preserve">C-238 del 9 de julio de 2024, C-475 del 27 de agosto de 2024, </w:t>
      </w:r>
      <w:r w:rsidRPr="004035E6">
        <w:rPr>
          <w:rFonts w:ascii="Verdana" w:hAnsi="Verdana" w:cs="Arial"/>
          <w:shd w:val="clear" w:color="auto" w:fill="FFFFFF"/>
        </w:rPr>
        <w:t>C-444 del 18 de septiembre de 2024</w:t>
      </w:r>
      <w:r>
        <w:rPr>
          <w:rFonts w:ascii="Verdana" w:hAnsi="Verdana" w:cs="Arial"/>
          <w:shd w:val="clear" w:color="auto" w:fill="FFFFFF"/>
        </w:rPr>
        <w:t xml:space="preserve"> y C-794 del 2 de julio de </w:t>
      </w:r>
      <w:r w:rsidRPr="00FB06B4">
        <w:rPr>
          <w:rFonts w:ascii="Verdana" w:hAnsi="Verdana" w:cs="Arial"/>
          <w:shd w:val="clear" w:color="auto" w:fill="FFFFFF"/>
        </w:rPr>
        <w:t>2025</w:t>
      </w:r>
      <w:r w:rsidRPr="00FB06B4">
        <w:rPr>
          <w:rFonts w:ascii="Verdana" w:eastAsia="Times New Roman" w:hAnsi="Verdana" w:cs="Arial"/>
          <w:shd w:val="clear" w:color="auto" w:fill="FFFFFF"/>
          <w:lang w:val="es-ES"/>
        </w:rPr>
        <w:t xml:space="preserve">, C-924 del 18 de julio de 2025, entre otros. </w:t>
      </w:r>
      <w:r w:rsidRPr="00FB06B4">
        <w:rPr>
          <w:rFonts w:ascii="Verdana" w:hAnsi="Verdana" w:cs="Arial"/>
        </w:rPr>
        <w:t xml:space="preserve">Estos y otros </w:t>
      </w:r>
      <w:r w:rsidRPr="00FB06B4">
        <w:rPr>
          <w:rFonts w:ascii="Verdana" w:hAnsi="Verdana"/>
        </w:rPr>
        <w:t>conceptos se encuentran disponibles para consulta</w:t>
      </w:r>
      <w:r w:rsidRPr="00FF007A">
        <w:rPr>
          <w:rFonts w:ascii="Verdana" w:hAnsi="Verdana"/>
        </w:rPr>
        <w:t xml:space="preserve"> en el Sistema de relatoría de la Agencia, al cual se puede acceder a través del siguiente enlace:</w:t>
      </w:r>
      <w:r w:rsidRPr="00FF007A">
        <w:rPr>
          <w:rFonts w:ascii="Verdana" w:hAnsi="Verdana" w:cs="Arial"/>
          <w:shd w:val="clear" w:color="auto" w:fill="FFFFFF"/>
        </w:rPr>
        <w:t xml:space="preserve"> </w:t>
      </w:r>
    </w:p>
    <w:p w14:paraId="2A8DDFE6" w14:textId="77777777" w:rsidR="00BE5D31" w:rsidRPr="00A454F0" w:rsidRDefault="00BE5D31" w:rsidP="00BE5D31">
      <w:pPr>
        <w:widowControl w:val="0"/>
        <w:autoSpaceDE w:val="0"/>
        <w:autoSpaceDN w:val="0"/>
        <w:spacing w:after="0" w:line="276" w:lineRule="auto"/>
        <w:jc w:val="both"/>
        <w:rPr>
          <w:rFonts w:ascii="Verdana" w:hAnsi="Verdana" w:cs="Arial"/>
          <w:shd w:val="clear" w:color="auto" w:fill="FFFFFF"/>
        </w:rPr>
      </w:pPr>
      <w:hyperlink r:id="rId13" w:history="1">
        <w:r w:rsidRPr="00E22850">
          <w:rPr>
            <w:rStyle w:val="Hipervnculo"/>
            <w:rFonts w:ascii="Verdana" w:hAnsi="Verdana" w:cs="Arial"/>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1FD3409D" w14:textId="77777777" w:rsidR="00BE5D31" w:rsidRDefault="00BE5D31" w:rsidP="00BE5D31">
      <w:pPr>
        <w:spacing w:after="0" w:line="240" w:lineRule="auto"/>
        <w:jc w:val="both"/>
        <w:rPr>
          <w:rFonts w:ascii="Verdana" w:hAnsi="Verdana"/>
        </w:rPr>
      </w:pPr>
    </w:p>
    <w:p w14:paraId="06629A82" w14:textId="77777777" w:rsidR="00BE5D31" w:rsidRPr="00FF007A" w:rsidRDefault="00BE5D31" w:rsidP="00BE5D31">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FCE2E0B" w14:textId="77777777" w:rsidR="00BE5D31" w:rsidRPr="00FF007A" w:rsidRDefault="00BE5D31" w:rsidP="00BE5D31">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nacional gratuita o servicio a la ciudadanía: 01800 0520808</w:t>
      </w:r>
    </w:p>
    <w:p w14:paraId="73C9140A" w14:textId="77777777" w:rsidR="00BE5D31" w:rsidRPr="00FF007A" w:rsidRDefault="00BE5D31" w:rsidP="00BE5D31">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en Bogotá (Mesa de servicio): +57 601 7456788</w:t>
      </w:r>
    </w:p>
    <w:p w14:paraId="0412BEBE" w14:textId="77777777" w:rsidR="00BE5D31" w:rsidRPr="00FF007A" w:rsidRDefault="00BE5D31" w:rsidP="00BE5D31">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de servicio y atención al ciudadano: +57 601 7956600</w:t>
      </w:r>
    </w:p>
    <w:p w14:paraId="5E2C4348" w14:textId="77777777" w:rsidR="00BE5D31" w:rsidRPr="00FF007A" w:rsidRDefault="00BE5D31" w:rsidP="00BE5D31">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lastRenderedPageBreak/>
        <w:t xml:space="preserve">Página web: </w:t>
      </w:r>
      <w:hyperlink r:id="rId14" w:history="1">
        <w:r w:rsidRPr="00FF007A">
          <w:rPr>
            <w:rStyle w:val="Hipervnculo"/>
            <w:rFonts w:ascii="Verdana" w:hAnsi="Verdana"/>
            <w:lang w:val="es-CO"/>
          </w:rPr>
          <w:t>www.colombiacompra.gov.co</w:t>
        </w:r>
      </w:hyperlink>
    </w:p>
    <w:p w14:paraId="631E0D33" w14:textId="77777777" w:rsidR="00BE5D31" w:rsidRPr="00FF007A" w:rsidRDefault="00BE5D31" w:rsidP="00BE5D31">
      <w:pPr>
        <w:spacing w:before="120"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12ED5AE3" w14:textId="77777777" w:rsidR="00BE5D31" w:rsidRPr="00FF007A" w:rsidRDefault="00BE5D31" w:rsidP="00BE5D31">
      <w:pPr>
        <w:spacing w:after="0" w:line="276" w:lineRule="auto"/>
        <w:jc w:val="both"/>
        <w:rPr>
          <w:rFonts w:ascii="Verdana" w:hAnsi="Verdana"/>
        </w:rPr>
      </w:pPr>
    </w:p>
    <w:p w14:paraId="36C46585" w14:textId="77777777" w:rsidR="00BE5D31" w:rsidRPr="00FF007A" w:rsidRDefault="00BE5D31" w:rsidP="00BE5D31">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27777BDB" w14:textId="77777777" w:rsidR="00BE5D31" w:rsidRPr="00FF007A" w:rsidRDefault="00BE5D31" w:rsidP="00BE5D31">
      <w:pPr>
        <w:spacing w:after="0" w:line="276" w:lineRule="auto"/>
        <w:jc w:val="both"/>
        <w:rPr>
          <w:rFonts w:ascii="Verdana" w:hAnsi="Verdana"/>
        </w:rPr>
      </w:pPr>
      <w:r w:rsidRPr="00FF007A">
        <w:rPr>
          <w:rFonts w:ascii="Verdana" w:hAnsi="Verdana"/>
        </w:rPr>
        <w:t xml:space="preserve">Facebook: </w:t>
      </w:r>
      <w:proofErr w:type="spellStart"/>
      <w:r w:rsidRPr="00FF007A">
        <w:rPr>
          <w:rStyle w:val="Hipervnculo"/>
          <w:rFonts w:ascii="Verdana" w:hAnsi="Verdana"/>
        </w:rPr>
        <w:t>ColombiaCompraEficiente</w:t>
      </w:r>
      <w:proofErr w:type="spellEnd"/>
    </w:p>
    <w:p w14:paraId="2DD7408C" w14:textId="77777777" w:rsidR="00BE5D31" w:rsidRPr="00FF007A" w:rsidRDefault="00BE5D31" w:rsidP="00BE5D31">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35D41958" w14:textId="77777777" w:rsidR="00BE5D31" w:rsidRDefault="00BE5D31" w:rsidP="00BE5D31">
      <w:pPr>
        <w:spacing w:before="120" w:after="0" w:line="276" w:lineRule="auto"/>
        <w:jc w:val="both"/>
        <w:rPr>
          <w:rFonts w:ascii="Verdana" w:hAnsi="Verdana"/>
        </w:rPr>
      </w:pPr>
    </w:p>
    <w:p w14:paraId="24DD20AF" w14:textId="77777777" w:rsidR="00BE5D31" w:rsidRPr="00FF007A" w:rsidRDefault="00BE5D31" w:rsidP="00BE5D31">
      <w:pPr>
        <w:spacing w:before="120" w:after="0" w:line="276" w:lineRule="auto"/>
        <w:jc w:val="both"/>
        <w:rPr>
          <w:rFonts w:ascii="Verdana" w:hAnsi="Verdana"/>
        </w:rPr>
      </w:pPr>
      <w:r w:rsidRPr="00FF007A">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23B99A3" w14:textId="77777777" w:rsidR="00BE5D31" w:rsidRPr="00FF007A" w:rsidRDefault="00BE5D31" w:rsidP="00BE5D31">
      <w:pPr>
        <w:spacing w:after="0" w:line="276" w:lineRule="auto"/>
        <w:jc w:val="both"/>
        <w:rPr>
          <w:rFonts w:ascii="Verdana" w:eastAsia="Calibri" w:hAnsi="Verdana" w:cs="Times New Roman"/>
        </w:rPr>
      </w:pPr>
    </w:p>
    <w:p w14:paraId="5381E7AB" w14:textId="77777777" w:rsidR="00BE5D31" w:rsidRDefault="00BE5D31" w:rsidP="00BE5D31">
      <w:pPr>
        <w:spacing w:after="0" w:line="276" w:lineRule="auto"/>
        <w:jc w:val="both"/>
        <w:rPr>
          <w:rFonts w:ascii="Verdana" w:eastAsia="Calibri" w:hAnsi="Verdana" w:cs="Times New Roman"/>
        </w:rPr>
      </w:pPr>
      <w:r w:rsidRPr="00FF007A">
        <w:rPr>
          <w:rFonts w:ascii="Verdana" w:eastAsia="Calibri" w:hAnsi="Verdana" w:cs="Times New Roman"/>
        </w:rPr>
        <w:t>Atentamente,</w:t>
      </w:r>
    </w:p>
    <w:p w14:paraId="5E5C066C" w14:textId="77777777" w:rsidR="00DF4898" w:rsidRDefault="00DF4898" w:rsidP="00BE5D31">
      <w:pPr>
        <w:spacing w:after="0" w:line="276" w:lineRule="auto"/>
        <w:jc w:val="both"/>
        <w:rPr>
          <w:rFonts w:ascii="Verdana" w:eastAsia="Calibri" w:hAnsi="Verdana" w:cs="Times New Roman"/>
        </w:rPr>
      </w:pPr>
    </w:p>
    <w:p w14:paraId="67EC8E70" w14:textId="21CCBF84" w:rsidR="00DF4898" w:rsidRPr="00FF007A" w:rsidRDefault="00DF4898" w:rsidP="00DF4898">
      <w:pPr>
        <w:spacing w:after="0" w:line="276" w:lineRule="auto"/>
        <w:jc w:val="center"/>
        <w:rPr>
          <w:rFonts w:ascii="Verdana" w:eastAsia="Calibri" w:hAnsi="Verdana" w:cs="Times New Roman"/>
        </w:rPr>
      </w:pPr>
      <w:r w:rsidRPr="0065791A">
        <w:rPr>
          <w:rFonts w:ascii="Century Gothic" w:hAnsi="Century Gothic"/>
          <w:noProof/>
        </w:rPr>
        <w:drawing>
          <wp:inline distT="0" distB="0" distL="0" distR="0" wp14:anchorId="46DBFA27" wp14:editId="001883C9">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5"/>
                    <a:stretch>
                      <a:fillRect/>
                    </a:stretch>
                  </pic:blipFill>
                  <pic:spPr>
                    <a:xfrm>
                      <a:off x="0" y="0"/>
                      <a:ext cx="3962953" cy="1867161"/>
                    </a:xfrm>
                    <a:prstGeom prst="rect">
                      <a:avLst/>
                    </a:prstGeom>
                  </pic:spPr>
                </pic:pic>
              </a:graphicData>
            </a:graphic>
          </wp:inline>
        </w:drawing>
      </w:r>
    </w:p>
    <w:p w14:paraId="39A162B7" w14:textId="4B17670F" w:rsidR="00BE5D31" w:rsidRDefault="00BE5D31" w:rsidP="00BE5D31">
      <w:pPr>
        <w:spacing w:after="0" w:line="256" w:lineRule="auto"/>
        <w:jc w:val="center"/>
        <w:rPr>
          <w:noProof/>
        </w:rPr>
      </w:pPr>
    </w:p>
    <w:p w14:paraId="582CF1E5" w14:textId="30AE41A6" w:rsidR="009A008C" w:rsidRPr="00D10041" w:rsidRDefault="009A008C" w:rsidP="00D10041">
      <w:pPr>
        <w:spacing w:after="0" w:line="256" w:lineRule="auto"/>
        <w:jc w:val="center"/>
        <w:rPr>
          <w:noProof/>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BE5D31" w:rsidRPr="00FF007A" w14:paraId="7FA05868" w14:textId="77777777" w:rsidTr="008C2CAB">
        <w:trPr>
          <w:trHeight w:val="315"/>
        </w:trPr>
        <w:tc>
          <w:tcPr>
            <w:tcW w:w="893" w:type="dxa"/>
            <w:vAlign w:val="center"/>
            <w:hideMark/>
          </w:tcPr>
          <w:p w14:paraId="7F54C6EA" w14:textId="77777777" w:rsidR="00BE5D31" w:rsidRPr="00FF007A" w:rsidRDefault="00BE5D31" w:rsidP="008C2CAB">
            <w:pPr>
              <w:contextualSpacing/>
              <w:rPr>
                <w:rFonts w:ascii="Verdana" w:hAnsi="Verdana" w:cs="Arial"/>
                <w:sz w:val="16"/>
                <w:szCs w:val="16"/>
                <w:lang w:eastAsia="es-ES"/>
              </w:rPr>
            </w:pPr>
            <w:r w:rsidRPr="00FF007A">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7260074D" w14:textId="77777777" w:rsidR="00BE5D31" w:rsidRPr="00FF007A" w:rsidRDefault="00BE5D31" w:rsidP="008C2CAB">
            <w:pPr>
              <w:contextualSpacing/>
              <w:rPr>
                <w:rStyle w:val="normaltextrun"/>
                <w:rFonts w:ascii="Verdana" w:hAnsi="Verdana"/>
                <w:sz w:val="16"/>
                <w:szCs w:val="16"/>
              </w:rPr>
            </w:pPr>
            <w:r w:rsidRPr="00FF007A">
              <w:rPr>
                <w:rStyle w:val="normaltextrun"/>
                <w:rFonts w:ascii="Verdana" w:hAnsi="Verdana"/>
                <w:sz w:val="16"/>
                <w:szCs w:val="16"/>
              </w:rPr>
              <w:t xml:space="preserve">Esperanza Contreras P </w:t>
            </w:r>
          </w:p>
          <w:p w14:paraId="6904FE65" w14:textId="77777777" w:rsidR="00BE5D31" w:rsidRPr="00FF007A" w:rsidRDefault="00BE5D31" w:rsidP="008C2CAB">
            <w:pPr>
              <w:contextualSpacing/>
              <w:rPr>
                <w:rFonts w:ascii="Verdana" w:eastAsia="Arial" w:hAnsi="Verdana" w:cs="Arial"/>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BE5D31" w:rsidRPr="00FF007A" w14:paraId="0DF1D369" w14:textId="77777777" w:rsidTr="008C2CAB">
        <w:trPr>
          <w:trHeight w:val="330"/>
        </w:trPr>
        <w:tc>
          <w:tcPr>
            <w:tcW w:w="893" w:type="dxa"/>
            <w:vAlign w:val="center"/>
            <w:hideMark/>
          </w:tcPr>
          <w:p w14:paraId="456C8751" w14:textId="77777777" w:rsidR="00BE5D31" w:rsidRPr="00FF007A" w:rsidRDefault="00BE5D31" w:rsidP="008C2CAB">
            <w:pPr>
              <w:contextualSpacing/>
              <w:rPr>
                <w:rFonts w:ascii="Verdana" w:hAnsi="Verdana" w:cs="Arial"/>
                <w:sz w:val="16"/>
                <w:szCs w:val="16"/>
                <w:lang w:eastAsia="es-ES"/>
              </w:rPr>
            </w:pPr>
            <w:r w:rsidRPr="00FF007A">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6F8FF9E0" w14:textId="77777777" w:rsidR="00BE5D31" w:rsidRPr="002743D1" w:rsidRDefault="00BE5D31" w:rsidP="008C2CAB">
            <w:pPr>
              <w:pStyle w:val="paragraph"/>
              <w:spacing w:before="0" w:beforeAutospacing="0" w:after="0" w:afterAutospacing="0"/>
              <w:contextualSpacing/>
              <w:textAlignment w:val="baseline"/>
              <w:rPr>
                <w:rStyle w:val="normaltextrun"/>
                <w:rFonts w:ascii="Verdana" w:hAnsi="Verdana"/>
                <w:sz w:val="16"/>
                <w:szCs w:val="16"/>
              </w:rPr>
            </w:pPr>
            <w:r w:rsidRPr="002743D1">
              <w:rPr>
                <w:rStyle w:val="normaltextrun"/>
                <w:rFonts w:ascii="Verdana" w:hAnsi="Verdana"/>
                <w:sz w:val="16"/>
                <w:szCs w:val="16"/>
              </w:rPr>
              <w:t>Alejandro Sarmiento Cantillo</w:t>
            </w:r>
          </w:p>
          <w:p w14:paraId="01720336" w14:textId="77777777" w:rsidR="00BE5D31" w:rsidRPr="00FF007A" w:rsidRDefault="00BE5D31" w:rsidP="008C2CAB">
            <w:pPr>
              <w:pStyle w:val="paragraph"/>
              <w:spacing w:before="0" w:beforeAutospacing="0" w:after="0" w:afterAutospacing="0"/>
              <w:contextualSpacing/>
              <w:textAlignment w:val="baseline"/>
              <w:rPr>
                <w:rFonts w:ascii="Verdana" w:hAnsi="Verdana" w:cs="Segoe UI"/>
                <w:sz w:val="16"/>
                <w:szCs w:val="16"/>
              </w:rPr>
            </w:pPr>
            <w:r w:rsidRPr="002743D1">
              <w:rPr>
                <w:rStyle w:val="normaltextrun"/>
                <w:rFonts w:ascii="Verdana" w:hAnsi="Verdana"/>
                <w:sz w:val="16"/>
                <w:szCs w:val="16"/>
              </w:rPr>
              <w:t>Gestor T-15 01 Subdirección de Gestión Contractual</w:t>
            </w:r>
            <w:r>
              <w:rPr>
                <w:rStyle w:val="normaltextrun"/>
              </w:rPr>
              <w:t xml:space="preserve"> </w:t>
            </w:r>
            <w:r w:rsidRPr="00FF007A">
              <w:rPr>
                <w:rStyle w:val="eop"/>
                <w:rFonts w:ascii="Verdana" w:hAnsi="Verdana" w:cs="Arial"/>
                <w:sz w:val="16"/>
                <w:szCs w:val="16"/>
              </w:rPr>
              <w:t> </w:t>
            </w:r>
          </w:p>
        </w:tc>
      </w:tr>
      <w:tr w:rsidR="00BE5D31" w:rsidRPr="00FF007A" w14:paraId="6FD9262F" w14:textId="77777777" w:rsidTr="008C2CAB">
        <w:trPr>
          <w:trHeight w:val="300"/>
        </w:trPr>
        <w:tc>
          <w:tcPr>
            <w:tcW w:w="893" w:type="dxa"/>
            <w:vAlign w:val="center"/>
          </w:tcPr>
          <w:p w14:paraId="11481DBE" w14:textId="77777777" w:rsidR="00BE5D31" w:rsidRPr="00FF007A" w:rsidRDefault="00BE5D31" w:rsidP="008C2CAB">
            <w:pPr>
              <w:contextualSpacing/>
              <w:rPr>
                <w:rFonts w:ascii="Verdana" w:hAnsi="Verdana" w:cs="Arial"/>
                <w:sz w:val="16"/>
                <w:szCs w:val="16"/>
                <w:lang w:eastAsia="es-ES"/>
              </w:rPr>
            </w:pPr>
            <w:r w:rsidRPr="00FF007A">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16A9C2A7" w14:textId="77777777" w:rsidR="00BE5D31" w:rsidRPr="00FF007A" w:rsidRDefault="00BE5D31" w:rsidP="008C2CAB">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 xml:space="preserve">Carolina Quintero </w:t>
            </w:r>
            <w:proofErr w:type="spellStart"/>
            <w:r w:rsidRPr="00FF007A">
              <w:rPr>
                <w:rFonts w:ascii="Verdana" w:eastAsia="Calibri" w:hAnsi="Verdana" w:cs="Arial"/>
                <w:sz w:val="16"/>
                <w:szCs w:val="16"/>
                <w:lang w:eastAsia="es-ES"/>
              </w:rPr>
              <w:t>Gacharná</w:t>
            </w:r>
            <w:proofErr w:type="spellEnd"/>
          </w:p>
          <w:p w14:paraId="099D3A7B" w14:textId="77777777" w:rsidR="00BE5D31" w:rsidRPr="00FF007A" w:rsidRDefault="00BE5D31" w:rsidP="008C2CAB">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Subdirectora de Gestión Contractual ANCP – CCE</w:t>
            </w:r>
          </w:p>
        </w:tc>
      </w:tr>
      <w:bookmarkEnd w:id="0"/>
      <w:bookmarkEnd w:id="1"/>
      <w:bookmarkEnd w:id="2"/>
      <w:bookmarkEnd w:id="3"/>
      <w:bookmarkEnd w:id="4"/>
      <w:bookmarkEnd w:id="6"/>
      <w:bookmarkEnd w:id="7"/>
    </w:tbl>
    <w:p w14:paraId="789AC2AF" w14:textId="77777777" w:rsidR="00BE5D31" w:rsidRPr="00DA731C" w:rsidRDefault="00BE5D31" w:rsidP="00BE5D31"/>
    <w:bookmarkEnd w:id="5"/>
    <w:p w14:paraId="0F293BF4" w14:textId="3B5D1236" w:rsidR="00127233" w:rsidRPr="00625275" w:rsidRDefault="00127233" w:rsidP="00591B48">
      <w:pPr>
        <w:spacing w:after="0" w:line="276" w:lineRule="auto"/>
        <w:jc w:val="both"/>
      </w:pPr>
    </w:p>
    <w:sectPr w:rsidR="00127233" w:rsidRPr="00625275"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8669A" w14:textId="77777777" w:rsidR="00297F7B" w:rsidRDefault="00297F7B" w:rsidP="004A1847">
      <w:pPr>
        <w:spacing w:after="0" w:line="240" w:lineRule="auto"/>
      </w:pPr>
      <w:r>
        <w:separator/>
      </w:r>
    </w:p>
  </w:endnote>
  <w:endnote w:type="continuationSeparator" w:id="0">
    <w:p w14:paraId="6640CFF8" w14:textId="77777777" w:rsidR="00297F7B" w:rsidRDefault="00297F7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C5021" w14:textId="77777777" w:rsidR="00297F7B" w:rsidRDefault="00297F7B" w:rsidP="004A1847">
      <w:pPr>
        <w:spacing w:after="0" w:line="240" w:lineRule="auto"/>
      </w:pPr>
      <w:r>
        <w:separator/>
      </w:r>
    </w:p>
  </w:footnote>
  <w:footnote w:type="continuationSeparator" w:id="0">
    <w:p w14:paraId="46B2EEEE" w14:textId="77777777" w:rsidR="00297F7B" w:rsidRDefault="00297F7B" w:rsidP="004A1847">
      <w:pPr>
        <w:spacing w:after="0" w:line="240" w:lineRule="auto"/>
      </w:pPr>
      <w:r>
        <w:continuationSeparator/>
      </w:r>
    </w:p>
  </w:footnote>
  <w:footnote w:id="1">
    <w:p w14:paraId="293D91AC" w14:textId="77777777" w:rsidR="00BE5D31" w:rsidRDefault="00BE5D31" w:rsidP="00BE5D31">
      <w:pPr>
        <w:pStyle w:val="Textonotapie"/>
        <w:ind w:firstLine="720"/>
        <w:jc w:val="both"/>
        <w:rPr>
          <w:rFonts w:ascii="Verdana" w:hAnsi="Verdana" w:cs="Arial"/>
          <w:sz w:val="16"/>
          <w:szCs w:val="16"/>
        </w:rPr>
      </w:pPr>
      <w:r w:rsidRPr="00B05BE8">
        <w:rPr>
          <w:rStyle w:val="Refdenotaalpie"/>
          <w:rFonts w:ascii="Verdana" w:hAnsi="Verdana" w:cs="Arial"/>
          <w:sz w:val="16"/>
          <w:szCs w:val="16"/>
        </w:rPr>
        <w:footnoteRef/>
      </w:r>
      <w:r w:rsidRPr="00B05BE8">
        <w:rPr>
          <w:rFonts w:ascii="Verdana" w:hAnsi="Verdana" w:cs="Arial"/>
          <w:sz w:val="16"/>
          <w:szCs w:val="16"/>
        </w:rPr>
        <w:t xml:space="preserve"> Corte Constitucional. Sentencia C-949 del 5 de septiembre de 2001. M.P: Clara Inés Vargas Hernández.  </w:t>
      </w:r>
    </w:p>
    <w:p w14:paraId="3A0A2F0E" w14:textId="77777777" w:rsidR="00BE5D31" w:rsidRPr="00B05BE8" w:rsidRDefault="00BE5D31" w:rsidP="00BE5D31">
      <w:pPr>
        <w:pStyle w:val="Textonotapie"/>
        <w:ind w:firstLine="720"/>
        <w:jc w:val="both"/>
        <w:rPr>
          <w:rFonts w:ascii="Verdana" w:hAnsi="Verdana" w:cs="Arial"/>
          <w:sz w:val="16"/>
          <w:szCs w:val="16"/>
        </w:rPr>
      </w:pPr>
    </w:p>
  </w:footnote>
  <w:footnote w:id="2">
    <w:p w14:paraId="33BBEF13" w14:textId="77777777" w:rsidR="00BE5D31" w:rsidRPr="00B05BE8" w:rsidRDefault="00BE5D31" w:rsidP="00BE5D31">
      <w:pPr>
        <w:pStyle w:val="Textonotapie"/>
        <w:ind w:firstLine="709"/>
        <w:jc w:val="both"/>
        <w:rPr>
          <w:rFonts w:ascii="Verdana" w:hAnsi="Verdana"/>
          <w:sz w:val="16"/>
          <w:szCs w:val="16"/>
          <w:lang w:val="es-ES"/>
        </w:rPr>
      </w:pPr>
      <w:r w:rsidRPr="00B05BE8">
        <w:rPr>
          <w:rStyle w:val="Refdenotaalpie"/>
          <w:rFonts w:ascii="Verdana" w:hAnsi="Verdana"/>
          <w:sz w:val="16"/>
          <w:szCs w:val="16"/>
        </w:rPr>
        <w:footnoteRef/>
      </w:r>
      <w:r w:rsidRPr="00B05BE8">
        <w:rPr>
          <w:rFonts w:ascii="Verdana" w:hAnsi="Verdana"/>
          <w:sz w:val="16"/>
          <w:szCs w:val="16"/>
        </w:rPr>
        <w:t xml:space="preserve"> </w:t>
      </w:r>
      <w:r w:rsidRPr="00B05BE8">
        <w:rPr>
          <w:rFonts w:ascii="Verdana" w:hAnsi="Verdana"/>
          <w:sz w:val="16"/>
          <w:szCs w:val="16"/>
          <w:lang w:val="es-CO"/>
        </w:rPr>
        <w:t>Consejo de Estado, Sala de lo Contencioso Administrativo</w:t>
      </w:r>
      <w:r>
        <w:rPr>
          <w:rFonts w:ascii="Verdana" w:hAnsi="Verdana"/>
          <w:sz w:val="16"/>
          <w:szCs w:val="16"/>
          <w:lang w:val="es-CO"/>
        </w:rPr>
        <w:t>.</w:t>
      </w:r>
      <w:r w:rsidRPr="00B05BE8">
        <w:rPr>
          <w:rFonts w:ascii="Verdana" w:hAnsi="Verdana"/>
          <w:sz w:val="16"/>
          <w:szCs w:val="16"/>
          <w:lang w:val="es-CO"/>
        </w:rPr>
        <w:t xml:space="preserve"> Sección Tercera</w:t>
      </w:r>
      <w:r>
        <w:rPr>
          <w:rFonts w:ascii="Verdana" w:hAnsi="Verdana"/>
          <w:sz w:val="16"/>
          <w:szCs w:val="16"/>
          <w:lang w:val="es-CO"/>
        </w:rPr>
        <w:t>.</w:t>
      </w:r>
      <w:r w:rsidRPr="00B05BE8">
        <w:rPr>
          <w:rFonts w:ascii="Verdana" w:hAnsi="Verdana"/>
          <w:sz w:val="16"/>
          <w:szCs w:val="16"/>
          <w:lang w:val="es-CO"/>
        </w:rPr>
        <w:t xml:space="preserve"> Subsección A</w:t>
      </w:r>
      <w:r>
        <w:rPr>
          <w:rFonts w:ascii="Verdana" w:hAnsi="Verdana"/>
          <w:sz w:val="16"/>
          <w:szCs w:val="16"/>
          <w:lang w:val="es-CO"/>
        </w:rPr>
        <w:t>.</w:t>
      </w:r>
      <w:r w:rsidRPr="00B05BE8">
        <w:rPr>
          <w:rFonts w:ascii="Verdana" w:hAnsi="Verdana"/>
          <w:sz w:val="16"/>
          <w:szCs w:val="16"/>
          <w:lang w:val="es-CO"/>
        </w:rPr>
        <w:t xml:space="preserve"> </w:t>
      </w:r>
      <w:r>
        <w:rPr>
          <w:rFonts w:ascii="Verdana" w:hAnsi="Verdana"/>
          <w:sz w:val="16"/>
          <w:szCs w:val="16"/>
          <w:lang w:val="es-CO"/>
        </w:rPr>
        <w:t>S</w:t>
      </w:r>
      <w:r w:rsidRPr="00B05BE8">
        <w:rPr>
          <w:rFonts w:ascii="Verdana" w:hAnsi="Verdana"/>
          <w:sz w:val="16"/>
          <w:szCs w:val="16"/>
          <w:lang w:val="es-CO"/>
        </w:rPr>
        <w:t>entencia del 10 de febrero de 2011</w:t>
      </w:r>
      <w:r>
        <w:rPr>
          <w:rFonts w:ascii="Verdana" w:hAnsi="Verdana"/>
          <w:sz w:val="16"/>
          <w:szCs w:val="16"/>
          <w:lang w:val="es-CO"/>
        </w:rPr>
        <w:t xml:space="preserve">. </w:t>
      </w:r>
      <w:r w:rsidRPr="00B05BE8">
        <w:rPr>
          <w:rFonts w:ascii="Verdana" w:hAnsi="Verdana"/>
          <w:sz w:val="16"/>
          <w:szCs w:val="16"/>
          <w:lang w:val="es-CO"/>
        </w:rPr>
        <w:t>Radicació</w:t>
      </w:r>
      <w:r>
        <w:rPr>
          <w:rFonts w:ascii="Verdana" w:hAnsi="Verdana"/>
          <w:sz w:val="16"/>
          <w:szCs w:val="16"/>
          <w:lang w:val="es-CO"/>
        </w:rPr>
        <w:t>n</w:t>
      </w:r>
      <w:r w:rsidRPr="00B05BE8">
        <w:rPr>
          <w:rFonts w:ascii="Verdana" w:hAnsi="Verdana"/>
          <w:sz w:val="16"/>
          <w:szCs w:val="16"/>
          <w:lang w:val="es-CO"/>
        </w:rPr>
        <w:t>: 63001-23-31-000-1997-04685- 01</w:t>
      </w:r>
      <w:r>
        <w:rPr>
          <w:rFonts w:ascii="Verdana" w:hAnsi="Verdana"/>
          <w:sz w:val="16"/>
          <w:szCs w:val="16"/>
          <w:lang w:val="es-CO"/>
        </w:rPr>
        <w:t xml:space="preserve"> </w:t>
      </w:r>
      <w:r w:rsidRPr="00B05BE8">
        <w:rPr>
          <w:rFonts w:ascii="Verdana" w:hAnsi="Verdana"/>
          <w:sz w:val="16"/>
          <w:szCs w:val="16"/>
          <w:lang w:val="es-CO"/>
        </w:rPr>
        <w:t>(16306</w:t>
      </w:r>
      <w:r>
        <w:rPr>
          <w:rFonts w:ascii="Verdana" w:hAnsi="Verdana"/>
          <w:sz w:val="16"/>
          <w:szCs w:val="16"/>
          <w:lang w:val="es-CO"/>
        </w:rPr>
        <w:t>). C.P:</w:t>
      </w:r>
      <w:r w:rsidRPr="00B05BE8">
        <w:rPr>
          <w:rFonts w:ascii="Verdana" w:hAnsi="Verdana"/>
          <w:sz w:val="16"/>
          <w:szCs w:val="16"/>
          <w:lang w:val="es-CO"/>
        </w:rPr>
        <w:t>: Hernán Andrade Rincón</w:t>
      </w:r>
      <w:r>
        <w:rPr>
          <w:rFonts w:ascii="Verdana" w:hAnsi="Verdana"/>
          <w:sz w:val="16"/>
          <w:szCs w:val="16"/>
          <w:lang w:val="es-CO"/>
        </w:rPr>
        <w:t>.</w:t>
      </w:r>
    </w:p>
  </w:footnote>
  <w:footnote w:id="3">
    <w:p w14:paraId="4BCF6E37" w14:textId="77777777" w:rsidR="00BE5D31" w:rsidRPr="00C369AB" w:rsidRDefault="00BE5D31" w:rsidP="00BE5D31">
      <w:pPr>
        <w:pStyle w:val="Textonotapie"/>
        <w:ind w:firstLine="709"/>
        <w:rPr>
          <w:rFonts w:ascii="Verdana" w:hAnsi="Verdana"/>
          <w:sz w:val="16"/>
          <w:szCs w:val="16"/>
        </w:rPr>
      </w:pPr>
      <w:r w:rsidRPr="00C369AB">
        <w:rPr>
          <w:rStyle w:val="Refdenotaalpie"/>
          <w:rFonts w:ascii="Verdana" w:hAnsi="Verdana"/>
          <w:sz w:val="16"/>
          <w:szCs w:val="16"/>
        </w:rPr>
        <w:footnoteRef/>
      </w:r>
      <w:r w:rsidRPr="00C369AB">
        <w:rPr>
          <w:rFonts w:ascii="Verdana" w:hAnsi="Verdana"/>
          <w:sz w:val="16"/>
          <w:szCs w:val="16"/>
        </w:rPr>
        <w:t xml:space="preserve"> Disponible en </w:t>
      </w:r>
      <w:hyperlink r:id="rId1" w:history="1">
        <w:r w:rsidRPr="00C369AB">
          <w:rPr>
            <w:rStyle w:val="Hipervnculo"/>
            <w:rFonts w:ascii="Verdana" w:hAnsi="Verdana"/>
            <w:sz w:val="16"/>
            <w:szCs w:val="16"/>
            <w:lang w:val="es-CO"/>
          </w:rPr>
          <w:t>subcontratar | Definición | Diccionario de la lengua española | RAE - ASALE</w:t>
        </w:r>
      </w:hyperlink>
    </w:p>
    <w:p w14:paraId="6FC4044D" w14:textId="77777777" w:rsidR="00BE5D31" w:rsidRPr="00C369AB" w:rsidRDefault="00BE5D31" w:rsidP="00BE5D31">
      <w:pPr>
        <w:pStyle w:val="Textonotapie"/>
      </w:pPr>
    </w:p>
  </w:footnote>
  <w:footnote w:id="4">
    <w:p w14:paraId="4DE5F363" w14:textId="77777777" w:rsidR="00BE5D31" w:rsidRDefault="00BE5D31" w:rsidP="00BE5D31">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vertAlign w:val="superscript"/>
        </w:rPr>
        <w:t xml:space="preserve"> </w:t>
      </w:r>
      <w:r>
        <w:rPr>
          <w:rFonts w:ascii="Verdana" w:hAnsi="Verdana" w:cs="Arial"/>
          <w:sz w:val="16"/>
          <w:szCs w:val="16"/>
        </w:rPr>
        <w:t>El inciso final del numeral 5 “encargos fiduciarios y fiducia pública” del artículo 32 de la Ley 80 de 1993 señala lo siguiente: “So pena de nulidad no podrán celebrarse contratos de fiducia o subcontratos en contravención del artículo 355 de la Constitución Política. Si tal evento se diese, la entidad fideicomitente deberá repetir contra la persona, natural o jurídica, adjudicataria del respectivo contrato”.</w:t>
      </w:r>
    </w:p>
    <w:p w14:paraId="09B6E8B9" w14:textId="77777777" w:rsidR="00BE5D31" w:rsidRDefault="00BE5D31" w:rsidP="00BE5D31">
      <w:pPr>
        <w:pStyle w:val="Textonotapie"/>
        <w:ind w:firstLine="708"/>
        <w:jc w:val="both"/>
        <w:rPr>
          <w:rFonts w:ascii="Verdana" w:hAnsi="Verdana" w:cs="Arial"/>
          <w:sz w:val="16"/>
          <w:szCs w:val="16"/>
        </w:rPr>
      </w:pPr>
    </w:p>
  </w:footnote>
  <w:footnote w:id="5">
    <w:p w14:paraId="490AA6D2" w14:textId="77777777" w:rsidR="00BE5D31" w:rsidRDefault="00BE5D31" w:rsidP="00BE5D31">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rPr>
        <w:t xml:space="preserve">  El literal c del numeral 4 del artículo 2 de la Ley 1150 de 2007 dispone que: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38AEA72C" w14:textId="77777777" w:rsidR="00BE5D31" w:rsidRDefault="00BE5D31" w:rsidP="00BE5D31">
      <w:pPr>
        <w:pStyle w:val="Textonotapie"/>
        <w:ind w:firstLine="708"/>
        <w:jc w:val="both"/>
        <w:rPr>
          <w:rFonts w:ascii="Verdana" w:hAnsi="Verdana" w:cs="Arial"/>
          <w:sz w:val="16"/>
          <w:szCs w:val="16"/>
        </w:rPr>
      </w:pPr>
    </w:p>
  </w:footnote>
  <w:footnote w:id="6">
    <w:p w14:paraId="1F501781" w14:textId="77777777" w:rsidR="00BE5D31" w:rsidRDefault="00BE5D31" w:rsidP="00BE5D31">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rPr>
        <w:t xml:space="preserve"> El artículo 2.2.1.2.3.1.5 del Decreto 1082 de 2015 hace mención a la subcontratación en lo relacionado con las garantías, particularmente en los riesgos a los que se encuentran expuestas las entidades estatales, derivados de la responsabilidad extracontractual que pueda surgir por las actuaciones, hechos u omisiones de sus contratistas y subcontratistas. </w:t>
      </w:r>
    </w:p>
    <w:p w14:paraId="5EA28581" w14:textId="77777777" w:rsidR="00BE5D31" w:rsidRDefault="00BE5D31" w:rsidP="00BE5D31">
      <w:pPr>
        <w:pStyle w:val="Textonotapie"/>
        <w:ind w:firstLine="708"/>
        <w:jc w:val="both"/>
        <w:rPr>
          <w:rFonts w:ascii="Verdana" w:hAnsi="Verdana" w:cs="Arial"/>
          <w:sz w:val="16"/>
          <w:szCs w:val="16"/>
        </w:rPr>
      </w:pPr>
    </w:p>
  </w:footnote>
  <w:footnote w:id="7">
    <w:p w14:paraId="1BE8974F" w14:textId="77777777" w:rsidR="00BE5D31" w:rsidRDefault="00BE5D31" w:rsidP="00BE5D31">
      <w:pPr>
        <w:pStyle w:val="Textonotapie"/>
        <w:ind w:firstLine="709"/>
        <w:jc w:val="both"/>
        <w:rPr>
          <w:rFonts w:ascii="Verdana" w:hAnsi="Verdana" w:cs="Arial"/>
          <w:sz w:val="16"/>
          <w:szCs w:val="16"/>
        </w:rPr>
      </w:pPr>
      <w:r>
        <w:rPr>
          <w:rStyle w:val="Refdenotaalpie"/>
          <w:rFonts w:ascii="Verdana" w:hAnsi="Verdana"/>
          <w:sz w:val="16"/>
          <w:szCs w:val="16"/>
        </w:rPr>
        <w:footnoteRef/>
      </w:r>
      <w:r>
        <w:rPr>
          <w:rFonts w:ascii="Verdana" w:hAnsi="Verdana"/>
          <w:sz w:val="16"/>
          <w:szCs w:val="16"/>
        </w:rPr>
        <w:t xml:space="preserve"> </w:t>
      </w:r>
      <w:r>
        <w:rPr>
          <w:rFonts w:ascii="Verdana" w:hAnsi="Verdana" w:cs="Arial"/>
          <w:sz w:val="16"/>
          <w:szCs w:val="16"/>
        </w:rPr>
        <w:t xml:space="preserve">El artículo 7 del Decreto 092 de 2017 señala lo siguiente: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w:t>
      </w:r>
      <w:proofErr w:type="spellStart"/>
      <w:r>
        <w:rPr>
          <w:rFonts w:ascii="Verdana" w:hAnsi="Verdana" w:cs="Arial"/>
          <w:sz w:val="16"/>
          <w:szCs w:val="16"/>
        </w:rPr>
        <w:t>que</w:t>
      </w:r>
      <w:proofErr w:type="spellEnd"/>
      <w:r>
        <w:rPr>
          <w:rFonts w:ascii="Verdana" w:hAnsi="Verdana" w:cs="Arial"/>
          <w:sz w:val="16"/>
          <w:szCs w:val="16"/>
        </w:rPr>
        <w:t xml:space="preserve"> trata el presente decreto deberán ser objeto de publicación en el Sistema Electrónico de Contratación Pública (SECOP). Adicionalmente,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 (Énfasis por fuera de texto).</w:t>
      </w:r>
    </w:p>
    <w:p w14:paraId="45016553" w14:textId="77777777" w:rsidR="00BE5D31" w:rsidRDefault="00BE5D31" w:rsidP="00BE5D31">
      <w:pPr>
        <w:pStyle w:val="Textonotapie"/>
        <w:ind w:firstLine="709"/>
        <w:jc w:val="both"/>
        <w:rPr>
          <w:rFonts w:ascii="Verdana" w:hAnsi="Verdana" w:cs="Arial"/>
          <w:sz w:val="16"/>
          <w:szCs w:val="16"/>
        </w:rPr>
      </w:pPr>
    </w:p>
  </w:footnote>
  <w:footnote w:id="8">
    <w:p w14:paraId="45BF09FD" w14:textId="1BFAC0FF" w:rsidR="00BE5D31" w:rsidRDefault="00BE5D31" w:rsidP="003148DF">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vertAlign w:val="superscript"/>
        </w:rPr>
        <w:t xml:space="preserve"> </w:t>
      </w:r>
      <w:r>
        <w:rPr>
          <w:rFonts w:ascii="Verdana" w:hAnsi="Verdana" w:cs="Arial"/>
          <w:sz w:val="16"/>
          <w:szCs w:val="16"/>
        </w:rPr>
        <w:t xml:space="preserve">RAMÍREZ GRISALES, Richard Steve. La Subcontratación. Serie: Las cláusulas del contrato estatal. Librería Jurídica Sánchez R. Ltda. y Centro de Estudios de Derecho Administrativo –CEDA-, Medellín, 2012, p. 26. </w:t>
      </w:r>
    </w:p>
    <w:p w14:paraId="66EC3E2A" w14:textId="77777777" w:rsidR="003148DF" w:rsidRDefault="003148DF" w:rsidP="003148DF">
      <w:pPr>
        <w:pStyle w:val="Textonotapie"/>
        <w:ind w:firstLine="708"/>
        <w:jc w:val="both"/>
        <w:rPr>
          <w:rFonts w:ascii="Verdana" w:hAnsi="Verdana" w:cs="Arial"/>
          <w:sz w:val="16"/>
          <w:szCs w:val="16"/>
        </w:rPr>
      </w:pPr>
    </w:p>
  </w:footnote>
  <w:footnote w:id="9">
    <w:p w14:paraId="4CEEFDE2" w14:textId="77777777" w:rsidR="00BE5D31" w:rsidRDefault="00BE5D31" w:rsidP="00BE5D31">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vertAlign w:val="superscript"/>
        </w:rPr>
        <w:t xml:space="preserve"> </w:t>
      </w:r>
      <w:r>
        <w:rPr>
          <w:rFonts w:ascii="Verdana" w:hAnsi="Verdana" w:cs="Arial"/>
          <w:sz w:val="16"/>
          <w:szCs w:val="16"/>
        </w:rPr>
        <w:t>TRABALÓN Cristóbal. Tratado Legal de Construcción. Editorial Tébar Flores. Madrid. 2015.</w:t>
      </w:r>
    </w:p>
    <w:p w14:paraId="078EB22E" w14:textId="77777777" w:rsidR="00BE5D31" w:rsidRDefault="00BE5D31" w:rsidP="00BE5D31">
      <w:pPr>
        <w:pStyle w:val="Textonotapie"/>
        <w:ind w:firstLine="708"/>
        <w:jc w:val="both"/>
        <w:rPr>
          <w:rFonts w:ascii="Verdana" w:hAnsi="Verdana" w:cs="Arial"/>
          <w:sz w:val="16"/>
          <w:szCs w:val="16"/>
        </w:rPr>
      </w:pPr>
    </w:p>
  </w:footnote>
  <w:footnote w:id="10">
    <w:p w14:paraId="0856317B" w14:textId="77777777" w:rsidR="00BE5D31" w:rsidRDefault="00BE5D31" w:rsidP="00BE5D31">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vertAlign w:val="superscript"/>
        </w:rPr>
        <w:t xml:space="preserve"> </w:t>
      </w:r>
      <w:r>
        <w:rPr>
          <w:rFonts w:ascii="Verdana" w:hAnsi="Verdana" w:cs="Arial"/>
          <w:i/>
          <w:iCs/>
          <w:sz w:val="16"/>
          <w:szCs w:val="16"/>
        </w:rPr>
        <w:t>Ibidem</w:t>
      </w:r>
      <w:r>
        <w:rPr>
          <w:rFonts w:ascii="Verdana" w:hAnsi="Verdana" w:cs="Arial"/>
          <w:sz w:val="16"/>
          <w:szCs w:val="16"/>
        </w:rPr>
        <w:t xml:space="preserve">. </w:t>
      </w:r>
    </w:p>
    <w:p w14:paraId="6DB4F9F2" w14:textId="77777777" w:rsidR="00BE5D31" w:rsidRDefault="00BE5D31" w:rsidP="00BE5D31">
      <w:pPr>
        <w:pStyle w:val="Textonotapie"/>
        <w:ind w:firstLine="708"/>
        <w:jc w:val="both"/>
        <w:rPr>
          <w:rFonts w:ascii="Verdana" w:hAnsi="Verdana" w:cs="Arial"/>
          <w:sz w:val="16"/>
          <w:szCs w:val="16"/>
        </w:rPr>
      </w:pPr>
    </w:p>
  </w:footnote>
  <w:footnote w:id="11">
    <w:p w14:paraId="52E5B6F1" w14:textId="77777777" w:rsidR="00BE5D31" w:rsidRDefault="00BE5D31" w:rsidP="00BE5D31">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rPr>
        <w:t xml:space="preserve"> Consejo de Estado. Sala de lo Contencioso Administrativo. Sección Tercera. Subsección C. Sentencia del 12 de agosto de 2013. Radicación número: 52001-23-31-000-1999-00985-01 (23.088) C.P. Enrique Gil Botero. </w:t>
      </w:r>
    </w:p>
    <w:p w14:paraId="51A82978" w14:textId="77777777" w:rsidR="00BE5D31" w:rsidRDefault="00BE5D31" w:rsidP="00BE5D31">
      <w:pPr>
        <w:pStyle w:val="Textonotapie"/>
        <w:ind w:firstLine="708"/>
        <w:jc w:val="both"/>
        <w:rPr>
          <w:rFonts w:ascii="Verdana" w:hAnsi="Verdana" w:cs="Arial"/>
          <w:sz w:val="16"/>
          <w:szCs w:val="16"/>
        </w:rPr>
      </w:pPr>
    </w:p>
  </w:footnote>
  <w:footnote w:id="12">
    <w:p w14:paraId="3B4BCC57" w14:textId="77777777" w:rsidR="00BE5D31" w:rsidRDefault="00BE5D31" w:rsidP="00BE5D31">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Por ejemplo, </w:t>
      </w:r>
      <w:r>
        <w:rPr>
          <w:rFonts w:ascii="Verdana" w:hAnsi="Verdana"/>
          <w:sz w:val="16"/>
          <w:szCs w:val="16"/>
          <w:lang w:val="es-CO"/>
        </w:rPr>
        <w:t>el inciso 4 del literal c del numeral 4 del artículo 2 de la Ley 1150 de 2007 dispone que, tratándose de contratos interadministrativos,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footnote>
  <w:footnote w:id="13">
    <w:p w14:paraId="65EB0716" w14:textId="77777777" w:rsidR="00BE5D31" w:rsidRDefault="00BE5D31" w:rsidP="00BE5D3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BIANCA, Massimo. Derecho civil III: el contrato. Segunda edición. Bogotá: Universidad Externado de Colombia, 2007. p. 748.</w:t>
      </w:r>
    </w:p>
    <w:p w14:paraId="047BBCE6" w14:textId="77777777" w:rsidR="00BE5D31" w:rsidRDefault="00BE5D31" w:rsidP="00BE5D31">
      <w:pPr>
        <w:pStyle w:val="Textonotapie"/>
        <w:ind w:firstLine="708"/>
        <w:jc w:val="both"/>
        <w:rPr>
          <w:rFonts w:ascii="Verdana" w:hAnsi="Verdana"/>
          <w:sz w:val="16"/>
          <w:szCs w:val="16"/>
          <w:lang w:val="es-CO"/>
        </w:rPr>
      </w:pPr>
    </w:p>
  </w:footnote>
  <w:footnote w:id="14">
    <w:p w14:paraId="1A0A783B" w14:textId="77777777" w:rsidR="00BE5D31" w:rsidRDefault="00BE5D31" w:rsidP="00BE5D3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En efecto, BIANCA define la subcontratación como “[…] el contrato mediante el cual una parte vuelve a emplear frente a un </w:t>
      </w:r>
      <w:r>
        <w:rPr>
          <w:rFonts w:ascii="Verdana" w:hAnsi="Verdana"/>
          <w:i/>
          <w:iCs/>
          <w:sz w:val="16"/>
          <w:szCs w:val="16"/>
        </w:rPr>
        <w:t>tercero</w:t>
      </w:r>
      <w:r>
        <w:rPr>
          <w:rFonts w:ascii="Verdana" w:hAnsi="Verdana"/>
          <w:sz w:val="16"/>
          <w:szCs w:val="16"/>
        </w:rPr>
        <w:t xml:space="preserve"> la posición que ella misma tiene en un contrato en curso, llamado contrato base. El subcontrato reproduce el mismo tipo de operación económica del contrato base, pero la parte asume con el </w:t>
      </w:r>
      <w:r>
        <w:rPr>
          <w:rFonts w:ascii="Verdana" w:hAnsi="Verdana"/>
          <w:i/>
          <w:iCs/>
          <w:sz w:val="16"/>
          <w:szCs w:val="16"/>
        </w:rPr>
        <w:t>tercero</w:t>
      </w:r>
      <w:r>
        <w:rPr>
          <w:rFonts w:ascii="Verdana" w:hAnsi="Verdana"/>
          <w:sz w:val="16"/>
          <w:szCs w:val="16"/>
        </w:rPr>
        <w:t xml:space="preserve"> el papel contrario de aquel que tiene en tal contrato […]” (</w:t>
      </w:r>
      <w:r>
        <w:rPr>
          <w:rFonts w:ascii="Verdana" w:hAnsi="Verdana"/>
          <w:i/>
          <w:iCs/>
          <w:sz w:val="16"/>
          <w:szCs w:val="16"/>
        </w:rPr>
        <w:t>ibidem</w:t>
      </w:r>
      <w:r>
        <w:rPr>
          <w:rFonts w:ascii="Verdana" w:hAnsi="Verdana"/>
          <w:sz w:val="16"/>
          <w:szCs w:val="16"/>
        </w:rPr>
        <w:t xml:space="preserve">. Énfasis fuera de texto). </w:t>
      </w:r>
    </w:p>
    <w:p w14:paraId="1EB33D83" w14:textId="77777777" w:rsidR="00BE5D31" w:rsidRDefault="00BE5D31" w:rsidP="00BE5D31">
      <w:pPr>
        <w:pStyle w:val="Textonotapie"/>
        <w:ind w:firstLine="708"/>
        <w:jc w:val="both"/>
        <w:rPr>
          <w:rFonts w:ascii="Verdana" w:hAnsi="Verdana"/>
          <w:sz w:val="16"/>
          <w:szCs w:val="16"/>
          <w:lang w:val="es-CO"/>
        </w:rPr>
      </w:pPr>
      <w:r>
        <w:rPr>
          <w:rFonts w:ascii="Verdana" w:hAnsi="Verdana"/>
          <w:sz w:val="16"/>
          <w:szCs w:val="16"/>
        </w:rPr>
        <w:t xml:space="preserve">De forma similar, para ANDREOLI, la cesión corresponde al “[…] </w:t>
      </w:r>
      <w:r>
        <w:rPr>
          <w:rFonts w:ascii="Verdana" w:hAnsi="Verdana"/>
          <w:sz w:val="16"/>
          <w:szCs w:val="16"/>
          <w:lang w:val="es-CO"/>
        </w:rPr>
        <w:t xml:space="preserve">instrumento que permite realizar la llamada </w:t>
      </w:r>
      <w:r>
        <w:rPr>
          <w:rFonts w:ascii="Verdana" w:hAnsi="Verdana"/>
          <w:i/>
          <w:iCs/>
          <w:sz w:val="16"/>
          <w:szCs w:val="16"/>
          <w:lang w:val="es-CO"/>
        </w:rPr>
        <w:t>circulación del contrato</w:t>
      </w:r>
      <w:r>
        <w:rPr>
          <w:rFonts w:ascii="Verdana" w:hAnsi="Verdana"/>
          <w:sz w:val="16"/>
          <w:szCs w:val="16"/>
          <w:lang w:val="es-CO"/>
        </w:rPr>
        <w:t xml:space="preserve">, es decir, la transferencia negocial a un tercero (llamado </w:t>
      </w:r>
      <w:r>
        <w:rPr>
          <w:rFonts w:ascii="Verdana" w:hAnsi="Verdana"/>
          <w:i/>
          <w:iCs/>
          <w:sz w:val="16"/>
          <w:szCs w:val="16"/>
          <w:lang w:val="es-CO"/>
        </w:rPr>
        <w:t>cesionario</w:t>
      </w:r>
      <w:r>
        <w:rPr>
          <w:rFonts w:ascii="Verdana" w:hAnsi="Verdana"/>
          <w:sz w:val="16"/>
          <w:szCs w:val="16"/>
          <w:lang w:val="es-CO"/>
        </w:rPr>
        <w:t xml:space="preserve">) del conjunto de posiciones contractuales (entendido como resultante unitario de derechos y obligaciones orgánicamente interdependientes), constituida en la persona de uno de los originarios contratantes (llamado </w:t>
      </w:r>
      <w:r>
        <w:rPr>
          <w:rFonts w:ascii="Verdana" w:hAnsi="Verdana"/>
          <w:i/>
          <w:iCs/>
          <w:sz w:val="16"/>
          <w:szCs w:val="16"/>
          <w:lang w:val="es-CO"/>
        </w:rPr>
        <w:t>cedente</w:t>
      </w:r>
      <w:r>
        <w:rPr>
          <w:rFonts w:ascii="Verdana" w:hAnsi="Verdana"/>
          <w:sz w:val="16"/>
          <w:szCs w:val="16"/>
          <w:lang w:val="es-CO"/>
        </w:rPr>
        <w:t xml:space="preserve">); de tal forma que, a través de esa sustitución </w:t>
      </w:r>
      <w:r>
        <w:rPr>
          <w:rFonts w:ascii="Verdana" w:hAnsi="Verdana"/>
          <w:i/>
          <w:iCs/>
          <w:sz w:val="16"/>
          <w:szCs w:val="16"/>
          <w:lang w:val="es-CO"/>
        </w:rPr>
        <w:t>negocial</w:t>
      </w:r>
      <w:r>
        <w:rPr>
          <w:rFonts w:ascii="Verdana" w:hAnsi="Verdana"/>
          <w:sz w:val="16"/>
          <w:szCs w:val="16"/>
          <w:lang w:val="es-CO"/>
        </w:rPr>
        <w:t xml:space="preserve"> del tercero en la posición de ‘parte’ del contrato, en lugar del cedente, dicho tercero </w:t>
      </w:r>
      <w:proofErr w:type="spellStart"/>
      <w:r>
        <w:rPr>
          <w:rFonts w:ascii="Verdana" w:hAnsi="Verdana"/>
          <w:sz w:val="16"/>
          <w:szCs w:val="16"/>
          <w:lang w:val="es-CO"/>
        </w:rPr>
        <w:t>subentra</w:t>
      </w:r>
      <w:proofErr w:type="spellEnd"/>
      <w:r>
        <w:rPr>
          <w:rFonts w:ascii="Verdana" w:hAnsi="Verdana"/>
          <w:sz w:val="16"/>
          <w:szCs w:val="16"/>
          <w:lang w:val="es-CO"/>
        </w:rPr>
        <w:t xml:space="preserve"> en la totalidad de los derechos y obligaciones que en su orgánica interdependencia se derivan del contrato estipulado por el cedente” (ANDREOLI, </w:t>
      </w:r>
      <w:proofErr w:type="spellStart"/>
      <w:r>
        <w:rPr>
          <w:rFonts w:ascii="Verdana" w:hAnsi="Verdana"/>
          <w:sz w:val="16"/>
          <w:szCs w:val="16"/>
          <w:lang w:val="es-CO"/>
        </w:rPr>
        <w:t>Marcello</w:t>
      </w:r>
      <w:proofErr w:type="spellEnd"/>
      <w:r>
        <w:rPr>
          <w:rFonts w:ascii="Verdana" w:hAnsi="Verdana"/>
          <w:sz w:val="16"/>
          <w:szCs w:val="16"/>
          <w:lang w:val="es-CO"/>
        </w:rPr>
        <w:t xml:space="preserve">. La cesión del contrato. Santiago: Ediciones </w:t>
      </w:r>
      <w:proofErr w:type="spellStart"/>
      <w:r>
        <w:rPr>
          <w:rFonts w:ascii="Verdana" w:hAnsi="Verdana"/>
          <w:sz w:val="16"/>
          <w:szCs w:val="16"/>
          <w:lang w:val="es-CO"/>
        </w:rPr>
        <w:t>Olejnik</w:t>
      </w:r>
      <w:proofErr w:type="spellEnd"/>
      <w:r>
        <w:rPr>
          <w:rFonts w:ascii="Verdana" w:hAnsi="Verdana"/>
          <w:sz w:val="16"/>
          <w:szCs w:val="16"/>
          <w:lang w:val="es-CO"/>
        </w:rPr>
        <w:t>, 2019. p. 12. Énfasis dentro del texto).</w:t>
      </w:r>
    </w:p>
    <w:p w14:paraId="5D4B8867" w14:textId="77777777" w:rsidR="00BE5D31" w:rsidRDefault="00BE5D31" w:rsidP="00BE5D31">
      <w:pPr>
        <w:pStyle w:val="Textonotapie"/>
        <w:ind w:firstLine="708"/>
        <w:jc w:val="both"/>
        <w:rPr>
          <w:rFonts w:ascii="Verdana" w:hAnsi="Verdana"/>
          <w:sz w:val="16"/>
          <w:szCs w:val="16"/>
          <w:lang w:val="es-CO"/>
        </w:rPr>
      </w:pPr>
    </w:p>
  </w:footnote>
  <w:footnote w:id="15">
    <w:p w14:paraId="35BCD200" w14:textId="77777777" w:rsidR="00BE5D31" w:rsidRDefault="00BE5D31" w:rsidP="00BE5D31">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CO"/>
        </w:rPr>
        <w:t>RAMÍREZ GRISALES, Richard. La cesión. Serie: Las cláusulas del contrato estatal. Medellín: Centro de Estudios de Derecho Administrativo –CEDA– y Librería Jurídica Sánchez R., 2014.</w:t>
      </w:r>
      <w:r>
        <w:rPr>
          <w:rFonts w:ascii="Verdana" w:hAnsi="Verdana" w:cs="Arial"/>
          <w:sz w:val="16"/>
          <w:szCs w:val="16"/>
        </w:rPr>
        <w:t xml:space="preserve"> pp.162-163. </w:t>
      </w:r>
    </w:p>
  </w:footnote>
  <w:footnote w:id="16">
    <w:p w14:paraId="27D12A23" w14:textId="77777777" w:rsidR="00BE5D31" w:rsidRPr="00043FE7" w:rsidRDefault="00BE5D31" w:rsidP="00BE5D31">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w:t>
      </w:r>
      <w:r>
        <w:rPr>
          <w:rFonts w:ascii="Verdana" w:hAnsi="Verdana"/>
          <w:i/>
          <w:iCs/>
          <w:sz w:val="16"/>
          <w:szCs w:val="16"/>
        </w:rPr>
        <w:t>Ibidem</w:t>
      </w:r>
      <w:r>
        <w:rPr>
          <w:rFonts w:ascii="Verdana" w:hAnsi="Verdana"/>
          <w:sz w:val="16"/>
          <w:szCs w:val="16"/>
        </w:rPr>
        <w:t xml:space="preserve">, p. 159.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A6838"/>
    <w:rsid w:val="001C6AF1"/>
    <w:rsid w:val="001E4177"/>
    <w:rsid w:val="001F7DC6"/>
    <w:rsid w:val="002421BB"/>
    <w:rsid w:val="0025796E"/>
    <w:rsid w:val="002707A2"/>
    <w:rsid w:val="002951A0"/>
    <w:rsid w:val="002962BC"/>
    <w:rsid w:val="00297F7B"/>
    <w:rsid w:val="002A093D"/>
    <w:rsid w:val="002A0DD0"/>
    <w:rsid w:val="002A49AC"/>
    <w:rsid w:val="002A64FD"/>
    <w:rsid w:val="002C7A84"/>
    <w:rsid w:val="002E4FD9"/>
    <w:rsid w:val="003148DF"/>
    <w:rsid w:val="00322A85"/>
    <w:rsid w:val="00324168"/>
    <w:rsid w:val="003448F4"/>
    <w:rsid w:val="00366B88"/>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91B48"/>
    <w:rsid w:val="005C3777"/>
    <w:rsid w:val="005C5CDC"/>
    <w:rsid w:val="005D476C"/>
    <w:rsid w:val="006219F8"/>
    <w:rsid w:val="00625275"/>
    <w:rsid w:val="006302F7"/>
    <w:rsid w:val="006307BC"/>
    <w:rsid w:val="00653B58"/>
    <w:rsid w:val="00665D70"/>
    <w:rsid w:val="006900D9"/>
    <w:rsid w:val="006A760C"/>
    <w:rsid w:val="00706C16"/>
    <w:rsid w:val="00723093"/>
    <w:rsid w:val="007447BF"/>
    <w:rsid w:val="00756841"/>
    <w:rsid w:val="007649AB"/>
    <w:rsid w:val="00771D0C"/>
    <w:rsid w:val="007833AC"/>
    <w:rsid w:val="007B268C"/>
    <w:rsid w:val="007B7171"/>
    <w:rsid w:val="007C0C0F"/>
    <w:rsid w:val="007C2EE0"/>
    <w:rsid w:val="007C3DC2"/>
    <w:rsid w:val="007D02EA"/>
    <w:rsid w:val="007E24A0"/>
    <w:rsid w:val="007E5497"/>
    <w:rsid w:val="00806F5F"/>
    <w:rsid w:val="00814FF9"/>
    <w:rsid w:val="00820278"/>
    <w:rsid w:val="00831F09"/>
    <w:rsid w:val="00867F95"/>
    <w:rsid w:val="008843B6"/>
    <w:rsid w:val="00891928"/>
    <w:rsid w:val="00897A3A"/>
    <w:rsid w:val="008A446D"/>
    <w:rsid w:val="008C2CAB"/>
    <w:rsid w:val="008D180B"/>
    <w:rsid w:val="008F0EA7"/>
    <w:rsid w:val="00907CC2"/>
    <w:rsid w:val="00923EEF"/>
    <w:rsid w:val="009419F9"/>
    <w:rsid w:val="0095685E"/>
    <w:rsid w:val="00961B09"/>
    <w:rsid w:val="00965334"/>
    <w:rsid w:val="0097093E"/>
    <w:rsid w:val="0098704D"/>
    <w:rsid w:val="009A008C"/>
    <w:rsid w:val="009A0DFA"/>
    <w:rsid w:val="009B25A8"/>
    <w:rsid w:val="009B2D26"/>
    <w:rsid w:val="009C71FA"/>
    <w:rsid w:val="009C72E7"/>
    <w:rsid w:val="009D3058"/>
    <w:rsid w:val="009F3A13"/>
    <w:rsid w:val="00A05267"/>
    <w:rsid w:val="00A122D3"/>
    <w:rsid w:val="00A17F13"/>
    <w:rsid w:val="00A20739"/>
    <w:rsid w:val="00A33C78"/>
    <w:rsid w:val="00A5408D"/>
    <w:rsid w:val="00AB0ADB"/>
    <w:rsid w:val="00AE606B"/>
    <w:rsid w:val="00B00C0E"/>
    <w:rsid w:val="00B01B1A"/>
    <w:rsid w:val="00B44A47"/>
    <w:rsid w:val="00B72CD3"/>
    <w:rsid w:val="00B72FFF"/>
    <w:rsid w:val="00B92B8C"/>
    <w:rsid w:val="00BC3D36"/>
    <w:rsid w:val="00BD7F72"/>
    <w:rsid w:val="00BE5D31"/>
    <w:rsid w:val="00C04FB3"/>
    <w:rsid w:val="00C330EB"/>
    <w:rsid w:val="00C754BE"/>
    <w:rsid w:val="00C76B1C"/>
    <w:rsid w:val="00C83B0D"/>
    <w:rsid w:val="00CB6357"/>
    <w:rsid w:val="00CC1B26"/>
    <w:rsid w:val="00D10041"/>
    <w:rsid w:val="00D12395"/>
    <w:rsid w:val="00D423A2"/>
    <w:rsid w:val="00D520D8"/>
    <w:rsid w:val="00D6099D"/>
    <w:rsid w:val="00D63AC2"/>
    <w:rsid w:val="00D7383B"/>
    <w:rsid w:val="00DA231B"/>
    <w:rsid w:val="00DC367D"/>
    <w:rsid w:val="00DC39FC"/>
    <w:rsid w:val="00DF4898"/>
    <w:rsid w:val="00DF5254"/>
    <w:rsid w:val="00E16408"/>
    <w:rsid w:val="00E20894"/>
    <w:rsid w:val="00E245AB"/>
    <w:rsid w:val="00E2764C"/>
    <w:rsid w:val="00E27F2E"/>
    <w:rsid w:val="00E50AFE"/>
    <w:rsid w:val="00E75C92"/>
    <w:rsid w:val="00E771DC"/>
    <w:rsid w:val="00E8772A"/>
    <w:rsid w:val="00E90F6B"/>
    <w:rsid w:val="00E92C27"/>
    <w:rsid w:val="00E92F5C"/>
    <w:rsid w:val="00EA0E3D"/>
    <w:rsid w:val="00EC38A7"/>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E757522-A22F-4474-BA1F-23BD274F0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E5D3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E5D31"/>
    <w:rPr>
      <w:rFonts w:ascii="Geomanist Light" w:hAnsi="Geomanist Light"/>
      <w:lang w:val="es-ES"/>
    </w:rPr>
  </w:style>
  <w:style w:type="character" w:customStyle="1" w:styleId="s15">
    <w:name w:val="s15"/>
    <w:basedOn w:val="Fuentedeprrafopredeter"/>
    <w:rsid w:val="00BE5D31"/>
  </w:style>
  <w:style w:type="character" w:customStyle="1" w:styleId="apple-converted-space">
    <w:name w:val="apple-converted-space"/>
    <w:basedOn w:val="Fuentedeprrafopredeter"/>
    <w:rsid w:val="00BE5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le.rae.es/subcontrata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javierbarrera@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subcontrata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C6B75D-1248-48F7-B1F7-36C12BCEB770}"/>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20</TotalTime>
  <Pages>17</Pages>
  <Words>5650</Words>
  <Characters>30003</Characters>
  <Application>Microsoft Office Word</Application>
  <DocSecurity>0</DocSecurity>
  <Lines>535</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35549</CharactersWithSpaces>
  <SharedDoc>false</SharedDoc>
  <HLinks>
    <vt:vector size="30" baseType="variant">
      <vt:variant>
        <vt:i4>6029407</vt:i4>
      </vt:variant>
      <vt:variant>
        <vt:i4>9</vt:i4>
      </vt:variant>
      <vt:variant>
        <vt:i4>0</vt:i4>
      </vt:variant>
      <vt:variant>
        <vt:i4>5</vt:i4>
      </vt:variant>
      <vt:variant>
        <vt:lpwstr>http://www.colombiacompra.gov.co/</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6619234</vt:i4>
      </vt:variant>
      <vt:variant>
        <vt:i4>3</vt:i4>
      </vt:variant>
      <vt:variant>
        <vt:i4>0</vt:i4>
      </vt:variant>
      <vt:variant>
        <vt:i4>5</vt:i4>
      </vt:variant>
      <vt:variant>
        <vt:lpwstr>https://dle.rae.es/subcontratar</vt:lpwstr>
      </vt:variant>
      <vt:variant>
        <vt:lpwstr/>
      </vt:variant>
      <vt:variant>
        <vt:i4>8126543</vt:i4>
      </vt:variant>
      <vt:variant>
        <vt:i4>0</vt:i4>
      </vt:variant>
      <vt:variant>
        <vt:i4>0</vt:i4>
      </vt:variant>
      <vt:variant>
        <vt:i4>5</vt:i4>
      </vt:variant>
      <vt:variant>
        <vt:lpwstr>mailto:abogadojavierbarrera@gmail.com</vt:lpwstr>
      </vt:variant>
      <vt:variant>
        <vt:lpwstr/>
      </vt:variant>
      <vt:variant>
        <vt:i4>6619234</vt:i4>
      </vt:variant>
      <vt:variant>
        <vt:i4>0</vt:i4>
      </vt:variant>
      <vt:variant>
        <vt:i4>0</vt:i4>
      </vt:variant>
      <vt:variant>
        <vt:i4>5</vt:i4>
      </vt:variant>
      <vt:variant>
        <vt:lpwstr>https://dle.rae.es/subcontratar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2025-10-03T20:05:00Z</dcterms:created>
  <dcterms:modified xsi:type="dcterms:W3CDTF">2025-10-03T21:13:00Z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