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08789" w14:textId="3A9F266D" w:rsidR="00F217FD" w:rsidRPr="00F217FD" w:rsidRDefault="00F217FD" w:rsidP="00F217FD">
      <w:pPr>
        <w:spacing w:after="0"/>
        <w:jc w:val="both"/>
        <w:rPr>
          <w:rFonts w:ascii="Verdana" w:hAnsi="Verdana"/>
        </w:rPr>
      </w:pPr>
      <w:bookmarkStart w:id="0" w:name="_Hlk143780582"/>
      <w:r w:rsidRPr="00F217FD">
        <w:rPr>
          <w:rFonts w:ascii="Verdana" w:eastAsia="Aptos" w:hAnsi="Verdana" w:cs="Arial"/>
          <w:b/>
          <w:color w:val="000000"/>
          <w:kern w:val="2"/>
          <w:lang w:val="es-ES_tradnl"/>
          <w14:ligatures w14:val="standardContextual"/>
        </w:rPr>
        <w:t>CAUSALES DE RECHAZO – Principio de legalidad – Configuración – Documentos Tipo</w:t>
      </w:r>
    </w:p>
    <w:p w14:paraId="6F4C6EA1" w14:textId="77777777" w:rsidR="00F217FD" w:rsidRPr="00F217FD" w:rsidRDefault="00F217FD" w:rsidP="00F217FD">
      <w:pPr>
        <w:spacing w:after="0" w:line="276" w:lineRule="auto"/>
        <w:jc w:val="both"/>
        <w:rPr>
          <w:rFonts w:ascii="Verdana" w:eastAsia="Aptos" w:hAnsi="Verdana" w:cs="Arial"/>
          <w:bCs/>
          <w:color w:val="000000"/>
          <w:kern w:val="2"/>
          <w:lang w:val="es-ES_tradnl"/>
          <w14:ligatures w14:val="standardContextual"/>
        </w:rPr>
      </w:pPr>
    </w:p>
    <w:p w14:paraId="3BFCA5A2" w14:textId="1AAFF5C3" w:rsidR="00B66E1B" w:rsidRPr="00B66E1B" w:rsidRDefault="00B66E1B" w:rsidP="00B66E1B">
      <w:pPr>
        <w:spacing w:after="0" w:line="240" w:lineRule="auto"/>
        <w:jc w:val="both"/>
        <w:rPr>
          <w:rFonts w:ascii="Verdana" w:eastAsia="Aptos" w:hAnsi="Verdana" w:cs="Arial"/>
          <w:bCs/>
          <w:color w:val="000000"/>
          <w:kern w:val="2"/>
          <w:sz w:val="20"/>
          <w:szCs w:val="20"/>
          <w:lang w:val="es-ES_tradnl"/>
          <w14:ligatures w14:val="standardContextual"/>
        </w:rPr>
      </w:pPr>
      <w:r w:rsidRPr="00B66E1B">
        <w:rPr>
          <w:rFonts w:ascii="Verdana" w:eastAsia="Aptos" w:hAnsi="Verdana" w:cs="Arial"/>
          <w:bCs/>
          <w:color w:val="000000"/>
          <w:kern w:val="2"/>
          <w:sz w:val="20"/>
          <w:szCs w:val="20"/>
          <w:lang w:val="es-ES_tradnl"/>
          <w14:ligatures w14:val="standardContextu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p>
    <w:p w14:paraId="4D3F9DED" w14:textId="665C4815" w:rsidR="00B66E1B" w:rsidRPr="00B66E1B" w:rsidRDefault="00B66E1B" w:rsidP="00B66E1B">
      <w:pPr>
        <w:spacing w:after="0" w:line="240" w:lineRule="auto"/>
        <w:jc w:val="both"/>
        <w:rPr>
          <w:rFonts w:ascii="Verdana" w:eastAsia="Aptos" w:hAnsi="Verdana" w:cs="Arial"/>
          <w:bCs/>
          <w:color w:val="000000"/>
          <w:kern w:val="2"/>
          <w:sz w:val="20"/>
          <w:szCs w:val="20"/>
          <w:lang w:val="es-ES_tradnl"/>
          <w14:ligatures w14:val="standardContextual"/>
        </w:rPr>
      </w:pPr>
      <w:r>
        <w:rPr>
          <w:rFonts w:ascii="Verdana" w:eastAsia="Aptos" w:hAnsi="Verdana" w:cs="Arial"/>
          <w:bCs/>
          <w:color w:val="000000"/>
          <w:kern w:val="2"/>
          <w:sz w:val="20"/>
          <w:szCs w:val="20"/>
          <w:lang w:val="es-ES_tradnl"/>
          <w14:ligatures w14:val="standardContextual"/>
        </w:rPr>
        <w:t>[…]</w:t>
      </w:r>
    </w:p>
    <w:p w14:paraId="19F7FB01" w14:textId="03C1E325" w:rsidR="00F217FD" w:rsidRPr="00F217FD" w:rsidRDefault="00B66E1B" w:rsidP="00B66E1B">
      <w:pPr>
        <w:spacing w:after="0" w:line="240" w:lineRule="auto"/>
        <w:jc w:val="both"/>
        <w:rPr>
          <w:rFonts w:ascii="Verdana" w:eastAsia="Aptos" w:hAnsi="Verdana" w:cs="Arial"/>
          <w:bCs/>
          <w:color w:val="000000"/>
          <w:kern w:val="2"/>
          <w:sz w:val="20"/>
          <w:szCs w:val="20"/>
          <w:lang w:val="es-ES_tradnl"/>
          <w14:ligatures w14:val="standardContextual"/>
        </w:rPr>
      </w:pPr>
      <w:r w:rsidRPr="00B66E1B">
        <w:rPr>
          <w:rFonts w:ascii="Verdana" w:eastAsia="Aptos" w:hAnsi="Verdana" w:cs="Arial"/>
          <w:bCs/>
          <w:color w:val="000000"/>
          <w:kern w:val="2"/>
          <w:sz w:val="20"/>
          <w:szCs w:val="20"/>
          <w:lang w:val="es-ES_tradnl"/>
          <w14:ligatures w14:val="standardContextu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 sostuvo:</w:t>
      </w:r>
    </w:p>
    <w:p w14:paraId="596505D7" w14:textId="77777777" w:rsidR="00F217FD" w:rsidRPr="00F217FD" w:rsidRDefault="00F217FD" w:rsidP="00F217FD">
      <w:pPr>
        <w:spacing w:after="0" w:line="276" w:lineRule="auto"/>
        <w:jc w:val="both"/>
        <w:rPr>
          <w:rFonts w:ascii="Verdana" w:eastAsia="Aptos" w:hAnsi="Verdana" w:cs="Arial"/>
          <w:bCs/>
          <w:color w:val="000000"/>
          <w:kern w:val="2"/>
          <w:lang w:val="es-ES_tradnl"/>
          <w14:ligatures w14:val="standardContextual"/>
        </w:rPr>
      </w:pPr>
    </w:p>
    <w:p w14:paraId="139DF6F4" w14:textId="77777777" w:rsidR="00F217FD" w:rsidRPr="00F217FD" w:rsidRDefault="00F217FD" w:rsidP="00F217FD">
      <w:pPr>
        <w:spacing w:after="0" w:line="276" w:lineRule="auto"/>
        <w:jc w:val="both"/>
        <w:rPr>
          <w:rFonts w:ascii="Verdana" w:eastAsia="Aptos" w:hAnsi="Verdana" w:cs="Arial"/>
          <w:b/>
          <w:color w:val="000000"/>
          <w:kern w:val="2"/>
          <w:lang w:val="es-ES_tradnl"/>
          <w14:ligatures w14:val="standardContextual"/>
        </w:rPr>
      </w:pPr>
      <w:r w:rsidRPr="00F217FD">
        <w:rPr>
          <w:rFonts w:ascii="Verdana" w:eastAsia="Aptos" w:hAnsi="Verdana" w:cs="Arial"/>
          <w:b/>
          <w:color w:val="000000"/>
          <w:kern w:val="2"/>
          <w:lang w:val="es-ES_tradnl"/>
          <w14:ligatures w14:val="standardContextual"/>
        </w:rPr>
        <w:t>PRINCIPIO DE SELECCIÓN OBJETIVA – Rechazo de las ofertas – Aspectos formales</w:t>
      </w:r>
    </w:p>
    <w:p w14:paraId="2E17AD0F" w14:textId="77777777" w:rsidR="00F217FD" w:rsidRPr="00F217FD" w:rsidRDefault="00F217FD" w:rsidP="00F217FD">
      <w:pPr>
        <w:spacing w:after="0" w:line="276" w:lineRule="auto"/>
        <w:jc w:val="both"/>
        <w:rPr>
          <w:rFonts w:ascii="Verdana" w:eastAsia="Geomanist Light" w:hAnsi="Verdana" w:cs="Arial"/>
          <w:lang w:val="es-MX"/>
        </w:rPr>
      </w:pPr>
    </w:p>
    <w:p w14:paraId="53F013EF" w14:textId="4DB4CC7D" w:rsidR="00B66E1B" w:rsidRPr="00B66E1B" w:rsidRDefault="00B66E1B" w:rsidP="00B66E1B">
      <w:pPr>
        <w:spacing w:after="0" w:line="240" w:lineRule="auto"/>
        <w:jc w:val="both"/>
        <w:rPr>
          <w:rFonts w:ascii="Verdana" w:eastAsia="Arial" w:hAnsi="Verdana" w:cs="Arial"/>
          <w:color w:val="000000"/>
          <w:kern w:val="2"/>
          <w:sz w:val="20"/>
          <w:szCs w:val="20"/>
          <w14:ligatures w14:val="standardContextual"/>
        </w:rPr>
      </w:pPr>
      <w:r w:rsidRPr="00B66E1B">
        <w:rPr>
          <w:rFonts w:ascii="Verdana" w:eastAsia="Arial" w:hAnsi="Verdana" w:cs="Arial"/>
          <w:color w:val="000000"/>
          <w:kern w:val="2"/>
          <w:sz w:val="20"/>
          <w:szCs w:val="20"/>
          <w14:ligatures w14:val="standardContextual"/>
        </w:rPr>
        <w:t>Por otra parte, es importante señalar que, uno de los principios transversales de los procedimientos de selección es el de selección objetiva.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 , en la actualidad la disposición legal que lo prevé de manera más clara y contundente es el artículo 5 de la Ley 1150 de 2007, modificado por el artículo 88 de la Ley 1474 de 2011 y por el artículo 5 de la Ley 1882 de 2018.</w:t>
      </w:r>
    </w:p>
    <w:p w14:paraId="16AA0166" w14:textId="77777777" w:rsidR="00B66E1B" w:rsidRDefault="00B66E1B" w:rsidP="00B66E1B">
      <w:pPr>
        <w:spacing w:after="0" w:line="240" w:lineRule="auto"/>
        <w:jc w:val="both"/>
        <w:rPr>
          <w:rFonts w:ascii="Verdana" w:eastAsia="Arial" w:hAnsi="Verdana" w:cs="Arial"/>
          <w:color w:val="000000"/>
          <w:kern w:val="2"/>
          <w:sz w:val="20"/>
          <w:szCs w:val="20"/>
          <w14:ligatures w14:val="standardContextual"/>
        </w:rPr>
      </w:pPr>
    </w:p>
    <w:p w14:paraId="1B8A93CB" w14:textId="4D216EF1" w:rsidR="00F217FD" w:rsidRPr="00F217FD" w:rsidRDefault="00B66E1B" w:rsidP="00B66E1B">
      <w:pPr>
        <w:spacing w:after="0" w:line="240" w:lineRule="auto"/>
        <w:jc w:val="both"/>
        <w:rPr>
          <w:rFonts w:ascii="Verdana" w:eastAsia="Calibri" w:hAnsi="Verdana" w:cs="Arial"/>
          <w:kern w:val="2"/>
          <w:sz w:val="20"/>
          <w:szCs w:val="20"/>
          <w:lang w:val="es-ES_tradnl"/>
          <w14:ligatures w14:val="standardContextual"/>
        </w:rPr>
      </w:pPr>
      <w:r w:rsidRPr="00B66E1B">
        <w:rPr>
          <w:rFonts w:ascii="Verdana" w:eastAsia="Arial" w:hAnsi="Verdana" w:cs="Arial"/>
          <w:color w:val="000000"/>
          <w:kern w:val="2"/>
          <w:sz w:val="20"/>
          <w:szCs w:val="20"/>
          <w14:ligatures w14:val="standardContextual"/>
        </w:rPr>
        <w:t>Para garantizar el principio de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w:t>
      </w:r>
    </w:p>
    <w:p w14:paraId="2E548F11" w14:textId="77777777" w:rsidR="00F217FD" w:rsidRPr="00F217FD" w:rsidRDefault="00F217FD" w:rsidP="00F217FD">
      <w:pPr>
        <w:spacing w:after="0" w:line="240" w:lineRule="auto"/>
        <w:rPr>
          <w:rFonts w:ascii="Verdana" w:eastAsia="Geomanist Light" w:hAnsi="Verdana" w:cs="Arial"/>
          <w:sz w:val="20"/>
          <w:szCs w:val="20"/>
          <w:lang w:val="es-MX"/>
        </w:rPr>
      </w:pPr>
    </w:p>
    <w:p w14:paraId="7D013B1D" w14:textId="77777777" w:rsidR="00F217FD" w:rsidRPr="00F217FD" w:rsidRDefault="00F217FD" w:rsidP="00F217FD">
      <w:pPr>
        <w:spacing w:after="0" w:line="276" w:lineRule="auto"/>
        <w:jc w:val="both"/>
        <w:rPr>
          <w:rFonts w:ascii="Verdana" w:eastAsia="Geomanist Light" w:hAnsi="Verdana" w:cs="Arial"/>
          <w:lang w:val="es-MX"/>
        </w:rPr>
      </w:pPr>
    </w:p>
    <w:p w14:paraId="3345D3BA" w14:textId="77777777" w:rsidR="00F217FD" w:rsidRPr="00F217FD" w:rsidRDefault="00F217FD" w:rsidP="00F217FD">
      <w:pPr>
        <w:spacing w:after="0" w:line="276" w:lineRule="auto"/>
        <w:jc w:val="both"/>
        <w:rPr>
          <w:rFonts w:ascii="Verdana" w:eastAsia="Calibri" w:hAnsi="Verdana" w:cs="Times New Roman"/>
        </w:rPr>
      </w:pPr>
    </w:p>
    <w:p w14:paraId="18D85AB8" w14:textId="77777777" w:rsidR="00F217FD" w:rsidRPr="00F217FD" w:rsidRDefault="00F217FD" w:rsidP="00F217FD">
      <w:pPr>
        <w:spacing w:after="0" w:line="240" w:lineRule="auto"/>
        <w:jc w:val="both"/>
        <w:rPr>
          <w:rFonts w:ascii="Verdana" w:eastAsia="Calibri" w:hAnsi="Verdana" w:cs="Times New Roman"/>
        </w:rPr>
      </w:pPr>
    </w:p>
    <w:p w14:paraId="3F1CF7A5" w14:textId="77777777" w:rsidR="00F217FD" w:rsidRPr="00F217FD" w:rsidRDefault="00F217FD" w:rsidP="00F217FD">
      <w:pPr>
        <w:spacing w:after="0" w:line="240" w:lineRule="auto"/>
        <w:jc w:val="both"/>
        <w:rPr>
          <w:rFonts w:ascii="Verdana" w:eastAsia="Calibri" w:hAnsi="Verdana" w:cs="Times New Roman"/>
        </w:rPr>
      </w:pPr>
    </w:p>
    <w:p w14:paraId="555554A0" w14:textId="77777777" w:rsidR="00F217FD" w:rsidRPr="00F217FD" w:rsidRDefault="00F217FD" w:rsidP="00F217FD">
      <w:pPr>
        <w:spacing w:after="0" w:line="240" w:lineRule="auto"/>
        <w:jc w:val="both"/>
        <w:rPr>
          <w:rFonts w:ascii="Verdana" w:eastAsia="Calibri" w:hAnsi="Verdana" w:cs="Times New Roman"/>
        </w:rPr>
      </w:pPr>
    </w:p>
    <w:p w14:paraId="459C563E" w14:textId="77777777" w:rsidR="00F217FD" w:rsidRPr="00F217FD" w:rsidRDefault="00F217FD" w:rsidP="00F217FD">
      <w:pPr>
        <w:spacing w:after="0" w:line="240" w:lineRule="auto"/>
        <w:jc w:val="both"/>
        <w:rPr>
          <w:rFonts w:ascii="Verdana" w:eastAsia="Calibri" w:hAnsi="Verdana" w:cs="Times New Roman"/>
        </w:rPr>
      </w:pPr>
    </w:p>
    <w:p w14:paraId="19A55361" w14:textId="77777777" w:rsidR="00F217FD" w:rsidRPr="00F217FD" w:rsidRDefault="00F217FD" w:rsidP="00F217FD">
      <w:pPr>
        <w:spacing w:after="0" w:line="240" w:lineRule="auto"/>
        <w:jc w:val="both"/>
        <w:rPr>
          <w:rFonts w:ascii="Verdana" w:eastAsia="Calibri" w:hAnsi="Verdana" w:cs="Times New Roman"/>
        </w:rPr>
      </w:pPr>
    </w:p>
    <w:p w14:paraId="767C7552" w14:textId="77777777" w:rsidR="00F217FD" w:rsidRPr="00F217FD" w:rsidRDefault="00F217FD" w:rsidP="00F217FD">
      <w:pPr>
        <w:spacing w:after="0" w:line="240" w:lineRule="auto"/>
        <w:jc w:val="both"/>
        <w:rPr>
          <w:rFonts w:ascii="Verdana" w:eastAsia="Calibri" w:hAnsi="Verdana" w:cs="Times New Roman"/>
        </w:rPr>
      </w:pPr>
    </w:p>
    <w:p w14:paraId="664926F0" w14:textId="77777777" w:rsidR="00F217FD" w:rsidRPr="00F217FD" w:rsidRDefault="00F217FD" w:rsidP="00F217FD">
      <w:pPr>
        <w:spacing w:after="0" w:line="240" w:lineRule="auto"/>
        <w:jc w:val="both"/>
        <w:rPr>
          <w:rFonts w:ascii="Verdana" w:eastAsia="Calibri" w:hAnsi="Verdana" w:cs="Arial"/>
          <w:lang w:val="es-ES"/>
        </w:rPr>
      </w:pPr>
    </w:p>
    <w:p w14:paraId="1F67A5B3" w14:textId="631EF003" w:rsidR="00F217FD" w:rsidRDefault="008059A9" w:rsidP="00F217FD">
      <w:pPr>
        <w:spacing w:after="0" w:line="240" w:lineRule="auto"/>
        <w:jc w:val="both"/>
        <w:rPr>
          <w:rFonts w:ascii="Verdana" w:hAnsi="Verdana"/>
        </w:rPr>
      </w:pPr>
      <w:r w:rsidRPr="0044528D">
        <w:rPr>
          <w:rFonts w:ascii="Verdana" w:hAnsi="Verdana"/>
        </w:rPr>
        <w:lastRenderedPageBreak/>
        <w:t>Bogotá D.C.</w:t>
      </w:r>
    </w:p>
    <w:p w14:paraId="2F4D15A1" w14:textId="77777777" w:rsidR="008059A9" w:rsidRDefault="008059A9" w:rsidP="00F217FD">
      <w:pPr>
        <w:spacing w:after="0" w:line="240" w:lineRule="auto"/>
        <w:jc w:val="both"/>
        <w:rPr>
          <w:rFonts w:ascii="Verdana" w:hAnsi="Verdana"/>
        </w:rPr>
      </w:pPr>
    </w:p>
    <w:p w14:paraId="29ADEE14" w14:textId="12A017E2" w:rsidR="008059A9" w:rsidRPr="00F217FD" w:rsidRDefault="00976FB4" w:rsidP="0020496B">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22C0FC50" wp14:editId="34EA89D1">
            <wp:extent cx="3772041" cy="1101139"/>
            <wp:effectExtent l="0" t="0" r="0" b="3810"/>
            <wp:docPr id="6305705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570506" name="Imagen 63057050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6895" cy="1108394"/>
                    </a:xfrm>
                    <a:prstGeom prst="rect">
                      <a:avLst/>
                    </a:prstGeom>
                  </pic:spPr>
                </pic:pic>
              </a:graphicData>
            </a:graphic>
          </wp:inline>
        </w:drawing>
      </w:r>
    </w:p>
    <w:p w14:paraId="664C75B4" w14:textId="77777777" w:rsidR="00F217FD" w:rsidRPr="00F217FD" w:rsidRDefault="00F217FD" w:rsidP="00F217FD">
      <w:pPr>
        <w:spacing w:after="0" w:line="240" w:lineRule="auto"/>
        <w:jc w:val="both"/>
        <w:rPr>
          <w:rFonts w:ascii="Verdana" w:eastAsia="Calibri" w:hAnsi="Verdana" w:cs="Arial"/>
          <w:lang w:val="es-ES" w:eastAsia="es-ES"/>
        </w:rPr>
      </w:pPr>
      <w:r w:rsidRPr="00F217FD">
        <w:rPr>
          <w:rFonts w:ascii="Verdana" w:eastAsia="Calibri" w:hAnsi="Verdana" w:cs="Arial"/>
          <w:lang w:val="es-ES" w:eastAsia="es-ES"/>
        </w:rPr>
        <w:t>Señora</w:t>
      </w:r>
    </w:p>
    <w:p w14:paraId="1E4C64A4" w14:textId="77777777" w:rsidR="00F217FD" w:rsidRPr="00F217FD" w:rsidRDefault="00F217FD" w:rsidP="00F217FD">
      <w:pPr>
        <w:spacing w:after="0" w:line="240" w:lineRule="auto"/>
        <w:rPr>
          <w:rFonts w:ascii="Verdana" w:eastAsia="Calibri" w:hAnsi="Verdana" w:cs="Arial"/>
          <w:b/>
          <w:lang w:val="es-ES_tradnl" w:eastAsia="es-ES_tradnl"/>
        </w:rPr>
      </w:pPr>
      <w:r w:rsidRPr="00F217FD">
        <w:rPr>
          <w:rFonts w:ascii="Verdana" w:eastAsia="Calibri" w:hAnsi="Verdana" w:cs="Arial"/>
          <w:b/>
          <w:lang w:val="es-ES_tradnl" w:eastAsia="es-ES_tradnl"/>
        </w:rPr>
        <w:t>Diana Marcela Morales</w:t>
      </w:r>
    </w:p>
    <w:p w14:paraId="73BDB0C8" w14:textId="77777777" w:rsidR="00F217FD" w:rsidRPr="00F217FD" w:rsidRDefault="00F217FD" w:rsidP="00F217FD">
      <w:pPr>
        <w:spacing w:after="0" w:line="240" w:lineRule="auto"/>
        <w:rPr>
          <w:rFonts w:ascii="Verdana" w:eastAsia="Calibri" w:hAnsi="Verdana" w:cs="Arial"/>
          <w:bCs/>
          <w:lang w:val="es-ES_tradnl" w:eastAsia="es-ES_tradnl"/>
        </w:rPr>
      </w:pPr>
      <w:r w:rsidRPr="00F217FD">
        <w:rPr>
          <w:rFonts w:ascii="Verdana" w:eastAsia="Calibri" w:hAnsi="Verdana" w:cs="Arial"/>
          <w:bCs/>
          <w:lang w:val="es-ES_tradnl" w:eastAsia="es-ES_tradnl"/>
        </w:rPr>
        <w:t>Directora Técnica – INGESOLUCIONES</w:t>
      </w:r>
    </w:p>
    <w:p w14:paraId="4F33D441" w14:textId="77777777" w:rsidR="00F217FD" w:rsidRPr="00F217FD" w:rsidRDefault="00F217FD" w:rsidP="00F217FD">
      <w:pPr>
        <w:spacing w:after="0" w:line="240" w:lineRule="auto"/>
        <w:rPr>
          <w:rFonts w:ascii="Verdana" w:eastAsia="Calibri" w:hAnsi="Verdana" w:cs="Arial"/>
          <w:b/>
          <w:bCs/>
          <w:lang w:val="es-ES_tradnl" w:eastAsia="es-ES_tradnl"/>
        </w:rPr>
      </w:pPr>
      <w:r w:rsidRPr="00F217FD">
        <w:rPr>
          <w:rFonts w:ascii="Verdana" w:eastAsia="Calibri" w:hAnsi="Verdana" w:cs="Arial"/>
          <w:lang w:val="es-ES" w:eastAsia="es-ES"/>
        </w:rPr>
        <w:t>Manizales, Caldas</w:t>
      </w:r>
    </w:p>
    <w:p w14:paraId="12629529" w14:textId="77777777" w:rsidR="00F217FD" w:rsidRPr="00F217FD" w:rsidRDefault="00F217FD" w:rsidP="00F217F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217FD" w:rsidRPr="00F217FD" w14:paraId="371E93E9" w14:textId="77777777" w:rsidTr="00EB1188">
        <w:trPr>
          <w:trHeight w:val="884"/>
        </w:trPr>
        <w:tc>
          <w:tcPr>
            <w:tcW w:w="2689" w:type="dxa"/>
          </w:tcPr>
          <w:p w14:paraId="6B010DAC" w14:textId="77777777" w:rsidR="00F217FD" w:rsidRPr="00F217FD" w:rsidRDefault="00F217FD" w:rsidP="00F217FD">
            <w:pPr>
              <w:jc w:val="both"/>
              <w:rPr>
                <w:rFonts w:ascii="Verdana" w:eastAsia="Calibri" w:hAnsi="Verdana" w:cs="Arial"/>
                <w:b/>
                <w:bCs/>
                <w:lang w:val="es-ES_tradnl" w:eastAsia="es-ES_tradnl"/>
              </w:rPr>
            </w:pPr>
          </w:p>
        </w:tc>
        <w:tc>
          <w:tcPr>
            <w:tcW w:w="6100" w:type="dxa"/>
          </w:tcPr>
          <w:p w14:paraId="22768023" w14:textId="77777777" w:rsidR="00F217FD" w:rsidRPr="00F217FD" w:rsidRDefault="00F217FD" w:rsidP="00F217FD">
            <w:pPr>
              <w:jc w:val="both"/>
              <w:rPr>
                <w:rFonts w:ascii="Verdana" w:eastAsia="Calibri" w:hAnsi="Verdana" w:cs="Arial"/>
                <w:b/>
                <w:bCs/>
                <w:lang w:val="es-ES" w:eastAsia="es-ES"/>
              </w:rPr>
            </w:pPr>
            <w:r w:rsidRPr="00F217FD">
              <w:rPr>
                <w:rFonts w:ascii="Verdana" w:eastAsia="Calibri" w:hAnsi="Verdana" w:cs="Arial"/>
                <w:b/>
                <w:bCs/>
                <w:lang w:val="es-ES" w:eastAsia="es-ES"/>
              </w:rPr>
              <w:t>Concepto C – 128 de 2024</w:t>
            </w:r>
          </w:p>
        </w:tc>
      </w:tr>
      <w:tr w:rsidR="00F217FD" w:rsidRPr="00F217FD" w14:paraId="7D7BD3BF" w14:textId="77777777" w:rsidTr="00EB1188">
        <w:trPr>
          <w:trHeight w:val="884"/>
        </w:trPr>
        <w:tc>
          <w:tcPr>
            <w:tcW w:w="2689" w:type="dxa"/>
          </w:tcPr>
          <w:p w14:paraId="2B1D1947" w14:textId="77777777" w:rsidR="00F217FD" w:rsidRPr="00F217FD" w:rsidRDefault="00F217FD" w:rsidP="00F217FD">
            <w:pPr>
              <w:jc w:val="both"/>
              <w:rPr>
                <w:rFonts w:ascii="Verdana" w:eastAsia="Calibri" w:hAnsi="Verdana" w:cs="Arial"/>
                <w:lang w:val="es-ES_tradnl" w:eastAsia="es-ES_tradnl"/>
              </w:rPr>
            </w:pPr>
            <w:r w:rsidRPr="00F217FD">
              <w:rPr>
                <w:rFonts w:ascii="Verdana" w:eastAsia="Calibri" w:hAnsi="Verdana" w:cs="Arial"/>
                <w:b/>
                <w:lang w:val="es-ES_tradnl" w:eastAsia="es-ES_tradnl"/>
              </w:rPr>
              <w:t>Temas:</w:t>
            </w:r>
            <w:r w:rsidRPr="00F217FD">
              <w:rPr>
                <w:rFonts w:ascii="Verdana" w:eastAsia="Calibri" w:hAnsi="Verdana" w:cs="Arial"/>
                <w:lang w:val="es-ES_tradnl" w:eastAsia="es-ES_tradnl"/>
              </w:rPr>
              <w:t xml:space="preserve">                   </w:t>
            </w:r>
          </w:p>
        </w:tc>
        <w:tc>
          <w:tcPr>
            <w:tcW w:w="6100" w:type="dxa"/>
          </w:tcPr>
          <w:p w14:paraId="165F8526" w14:textId="77777777" w:rsidR="00F217FD" w:rsidRPr="00F217FD" w:rsidRDefault="00F217FD" w:rsidP="00F217FD">
            <w:pPr>
              <w:spacing w:line="276" w:lineRule="auto"/>
              <w:jc w:val="both"/>
              <w:rPr>
                <w:rFonts w:ascii="Verdana" w:eastAsia="Aptos" w:hAnsi="Verdana" w:cs="Arial"/>
                <w:bCs/>
                <w:color w:val="000000"/>
                <w:lang w:val="es-ES_tradnl"/>
              </w:rPr>
            </w:pPr>
            <w:r w:rsidRPr="00F217FD">
              <w:rPr>
                <w:rFonts w:ascii="Verdana" w:eastAsia="Aptos" w:hAnsi="Verdana" w:cs="Arial"/>
                <w:bCs/>
                <w:color w:val="000000"/>
                <w:lang w:val="es-ES_tradnl"/>
              </w:rPr>
              <w:t>CAUSALES DE RECHAZO – Principio de legalidad – Configuración – Documentos Tipo / PRINCIPIO DE SELECCIÓN OBJETIVA – Rechazo de las ofertas – Aspectos formales</w:t>
            </w:r>
          </w:p>
          <w:p w14:paraId="6983B9CD" w14:textId="77777777" w:rsidR="00F217FD" w:rsidRPr="00F217FD" w:rsidRDefault="00F217FD" w:rsidP="00F217FD">
            <w:pPr>
              <w:tabs>
                <w:tab w:val="left" w:pos="0"/>
              </w:tabs>
              <w:spacing w:line="276" w:lineRule="auto"/>
              <w:jc w:val="both"/>
              <w:rPr>
                <w:rFonts w:ascii="Verdana" w:eastAsia="Calibri" w:hAnsi="Verdana" w:cs="Arial"/>
                <w:lang w:val="es-ES" w:eastAsia="es-ES"/>
              </w:rPr>
            </w:pPr>
          </w:p>
        </w:tc>
      </w:tr>
      <w:tr w:rsidR="00F217FD" w:rsidRPr="00F217FD" w14:paraId="27BAA1D3" w14:textId="77777777" w:rsidTr="00EB1188">
        <w:tc>
          <w:tcPr>
            <w:tcW w:w="2689" w:type="dxa"/>
          </w:tcPr>
          <w:p w14:paraId="12774445" w14:textId="77777777" w:rsidR="00F217FD" w:rsidRPr="00F217FD" w:rsidRDefault="00F217FD" w:rsidP="00F217FD">
            <w:pPr>
              <w:jc w:val="both"/>
              <w:rPr>
                <w:rFonts w:ascii="Verdana" w:eastAsia="Calibri" w:hAnsi="Verdana" w:cs="Arial"/>
                <w:b/>
                <w:lang w:val="es-ES_tradnl" w:eastAsia="es-ES_tradnl"/>
              </w:rPr>
            </w:pPr>
            <w:r w:rsidRPr="00F217FD">
              <w:rPr>
                <w:rFonts w:ascii="Verdana" w:eastAsia="Calibri" w:hAnsi="Verdana" w:cs="Arial"/>
                <w:b/>
                <w:lang w:val="es-ES_tradnl" w:eastAsia="es-ES_tradnl"/>
              </w:rPr>
              <w:t>Radicación:</w:t>
            </w:r>
            <w:r w:rsidRPr="00F217FD">
              <w:rPr>
                <w:rFonts w:ascii="Verdana" w:eastAsia="Calibri" w:hAnsi="Verdana" w:cs="Arial"/>
                <w:lang w:val="es-ES_tradnl" w:eastAsia="es-ES_tradnl"/>
              </w:rPr>
              <w:t xml:space="preserve">               </w:t>
            </w:r>
          </w:p>
        </w:tc>
        <w:tc>
          <w:tcPr>
            <w:tcW w:w="6100" w:type="dxa"/>
          </w:tcPr>
          <w:p w14:paraId="0482C48A" w14:textId="77777777" w:rsidR="00F217FD" w:rsidRPr="00F217FD" w:rsidRDefault="00F217FD" w:rsidP="00F217FD">
            <w:pPr>
              <w:jc w:val="both"/>
              <w:rPr>
                <w:rFonts w:ascii="Verdana" w:eastAsia="Calibri" w:hAnsi="Verdana" w:cs="Arial"/>
                <w:lang w:val="es-ES_tradnl" w:eastAsia="es-ES_tradnl"/>
              </w:rPr>
            </w:pPr>
            <w:r w:rsidRPr="00F217FD">
              <w:rPr>
                <w:rFonts w:ascii="Verdana" w:eastAsia="Calibri" w:hAnsi="Verdana" w:cs="Arial"/>
                <w:lang w:val="es-ES_tradnl" w:eastAsia="es-ES_tradnl"/>
              </w:rPr>
              <w:t>Respuesta a consulta con radicado No. P20240613006071</w:t>
            </w:r>
          </w:p>
        </w:tc>
      </w:tr>
    </w:tbl>
    <w:p w14:paraId="3DDEDE44" w14:textId="77777777" w:rsidR="00F217FD" w:rsidRPr="00F217FD" w:rsidRDefault="00F217FD" w:rsidP="00F217FD">
      <w:pPr>
        <w:spacing w:after="0" w:line="240" w:lineRule="auto"/>
        <w:jc w:val="both"/>
        <w:rPr>
          <w:rFonts w:ascii="Verdana" w:eastAsia="Calibri" w:hAnsi="Verdana" w:cs="Arial"/>
          <w:lang w:val="es-ES_tradnl" w:eastAsia="es-ES_tradnl"/>
        </w:rPr>
      </w:pPr>
    </w:p>
    <w:p w14:paraId="2A019C8A" w14:textId="77777777" w:rsidR="00F217FD" w:rsidRPr="00F217FD" w:rsidRDefault="00F217FD" w:rsidP="00F217FD">
      <w:pPr>
        <w:spacing w:after="0" w:line="240" w:lineRule="auto"/>
        <w:jc w:val="both"/>
        <w:rPr>
          <w:rFonts w:ascii="Verdana" w:eastAsia="Calibri" w:hAnsi="Verdana" w:cs="Arial"/>
          <w:lang w:val="es-ES_tradnl" w:eastAsia="es-ES_tradnl"/>
        </w:rPr>
      </w:pPr>
    </w:p>
    <w:p w14:paraId="1ADF18B3" w14:textId="77777777" w:rsidR="00F217FD" w:rsidRPr="00F217FD" w:rsidRDefault="00F217FD" w:rsidP="00F217FD">
      <w:pPr>
        <w:spacing w:after="0" w:line="276" w:lineRule="auto"/>
        <w:jc w:val="both"/>
        <w:rPr>
          <w:rFonts w:ascii="Verdana" w:eastAsia="Calibri" w:hAnsi="Verdana" w:cs="Arial"/>
          <w:lang w:val="es-ES" w:eastAsia="es-ES"/>
        </w:rPr>
      </w:pPr>
      <w:r w:rsidRPr="00F217FD">
        <w:rPr>
          <w:rFonts w:ascii="Verdana" w:eastAsia="Calibri" w:hAnsi="Verdana" w:cs="Arial"/>
          <w:lang w:val="es-ES" w:eastAsia="es-ES"/>
        </w:rPr>
        <w:t xml:space="preserve">Estimada señora Morales: </w:t>
      </w:r>
    </w:p>
    <w:p w14:paraId="7BC35833" w14:textId="77777777" w:rsidR="00F217FD" w:rsidRPr="00F217FD" w:rsidRDefault="00F217FD" w:rsidP="00F217FD">
      <w:pPr>
        <w:tabs>
          <w:tab w:val="left" w:pos="3768"/>
        </w:tabs>
        <w:spacing w:after="0" w:line="276" w:lineRule="auto"/>
        <w:jc w:val="both"/>
        <w:rPr>
          <w:rFonts w:ascii="Verdana" w:eastAsia="Calibri" w:hAnsi="Verdana" w:cs="Arial"/>
          <w:lang w:val="es-ES" w:eastAsia="es-ES"/>
        </w:rPr>
      </w:pPr>
      <w:r w:rsidRPr="00F217FD">
        <w:rPr>
          <w:rFonts w:ascii="Verdana" w:eastAsia="Calibri" w:hAnsi="Verdana" w:cs="Arial"/>
          <w:lang w:val="es-ES" w:eastAsia="es-ES"/>
        </w:rPr>
        <w:tab/>
      </w:r>
    </w:p>
    <w:p w14:paraId="101BA02E" w14:textId="77777777" w:rsidR="00F217FD" w:rsidRPr="00F217FD" w:rsidRDefault="00F217FD" w:rsidP="00F217FD">
      <w:pPr>
        <w:spacing w:after="0" w:line="276" w:lineRule="auto"/>
        <w:jc w:val="both"/>
        <w:rPr>
          <w:rFonts w:ascii="Verdana" w:eastAsia="Calibri" w:hAnsi="Verdana" w:cs="Arial"/>
          <w:lang w:val="es-ES" w:eastAsia="es-ES"/>
        </w:rPr>
      </w:pPr>
      <w:r w:rsidRPr="00F217FD">
        <w:rPr>
          <w:rFonts w:ascii="Verdana" w:eastAsia="Calibri" w:hAnsi="Verdana" w:cs="Arial"/>
          <w:lang w:val="es-ES" w:eastAsia="es-ES"/>
        </w:rPr>
        <w:t>En ejercicio de la competencia otorgada por los artículos 3, numeral 5º, y 11, numeral 8º, del Decreto Ley 4170 de 2011,</w:t>
      </w:r>
      <w:r w:rsidRPr="00F217FD">
        <w:rPr>
          <w:rFonts w:ascii="Verdana" w:eastAsia="Arial MT" w:hAnsi="Verdana" w:cs="Arial MT"/>
          <w:lang w:val="es-ES" w:eastAsia="es-ES"/>
        </w:rPr>
        <w:t xml:space="preserve"> </w:t>
      </w:r>
      <w:r w:rsidRPr="00F217FD">
        <w:rPr>
          <w:rFonts w:ascii="Verdana" w:eastAsia="Calibri" w:hAnsi="Verdana" w:cs="Arial"/>
        </w:rPr>
        <w:t xml:space="preserve">así como lo establecido en el artículo 4 de la Resolución 1707 de 2018 expedida por esta Entidad, </w:t>
      </w:r>
      <w:r w:rsidRPr="00F217FD">
        <w:rPr>
          <w:rFonts w:ascii="Verdana" w:eastAsia="Calibri" w:hAnsi="Verdana" w:cs="Arial"/>
          <w:lang w:val="es-ES" w:eastAsia="es-ES"/>
        </w:rPr>
        <w:t>la Agencia Nacional de Contratación Pública – Colombia Compra Eficiente– responde su solicitud de consulta de fecha 13 de junio de 2024, en la que manifiesta lo siguiente:</w:t>
      </w:r>
    </w:p>
    <w:p w14:paraId="0EDCBDBC" w14:textId="77777777" w:rsidR="00F217FD" w:rsidRPr="00F217FD" w:rsidRDefault="00F217FD" w:rsidP="00F217FD">
      <w:pPr>
        <w:tabs>
          <w:tab w:val="left" w:pos="142"/>
          <w:tab w:val="left" w:pos="284"/>
        </w:tabs>
        <w:spacing w:line="276" w:lineRule="auto"/>
        <w:contextualSpacing/>
        <w:jc w:val="both"/>
        <w:rPr>
          <w:rFonts w:ascii="Verdana" w:eastAsia="Century Gothic" w:hAnsi="Verdana" w:cs="Century Gothic"/>
          <w:b/>
          <w:bCs/>
          <w:lang w:val="es-ES"/>
        </w:rPr>
      </w:pPr>
    </w:p>
    <w:p w14:paraId="4567918A"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 xml:space="preserve">“1. 1. En los pliegos tipo de infraestructura de transporte existe la causal de rechazo: </w:t>
      </w:r>
    </w:p>
    <w:p w14:paraId="31473679"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1401838C"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U. No presentar oferta económica. Entregar la información de la propuesta económica en el sobre que no corresponda</w:t>
      </w:r>
    </w:p>
    <w:p w14:paraId="19203F32"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05251086"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Frente a esto solicitamos las siguientes inquietudes:</w:t>
      </w:r>
    </w:p>
    <w:p w14:paraId="79F7905C"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296A15A8"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lastRenderedPageBreak/>
        <w:t>• En el Secop 2, Si la entidad organiza el cuestionario Anexo técnico-jurídico – Sobre 1 y pide que se suba la propuesta económica en un ítem de este cuestionario y también en el sobre 2, se puede considerar que la entidad induce al error por solicitar a los proponentes subir la propuesta en los dos sobres? ¿Se puede considerar que el proponente que sube el formulario en las dos pestañas solicitadas por la entidad incurre en causal de rechazo por subirlo en los dos sobres?</w:t>
      </w:r>
    </w:p>
    <w:p w14:paraId="65CD87CD"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18DF9F0A"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 En la plataforma secop 2 existe una pestaña adicional para anexos. Esta pestaña el proponente puede subir documentos que no le solicitaron en las pestañas de los sobres 1 y 2. Si un proponente sube el formulario 1 – propuesta económica en PDF firmado en el sobre 2 y en la pestaña anexos sube el formulario 1 – propuesta económica en formulario Excel podría considerarse que existe causal de rechazo por subir el archivo Excel complementario en la pestaña de anexos.</w:t>
      </w:r>
    </w:p>
    <w:p w14:paraId="55E4F4C2"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4B8EA42C"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 Existen propuestas que suben el formulario 1 – Presupuesto oficial en PDF firmado en el sobre 2. Es posible considerarse una subsanación si la entidad solicita que se suba en los dos formatos (PDF y Excel) cuando el documento Excel no haya sido suministrado en la propuesta inicial. ¿Un proponente puede subsanar la ausencia de formato Excel si solo allego en la propuesta inicial el PDF?</w:t>
      </w:r>
    </w:p>
    <w:p w14:paraId="3A3D02D4"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51A2467F"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 En caso de que la información del PDF y Excel del Formulario 1 – Propuesta económica sea diferente, que prima primero el documento PDF o el de Excel para que la entidad pueda evaluar la propuesta. ¿Cuál de los dos formatos será el válido?</w:t>
      </w:r>
    </w:p>
    <w:p w14:paraId="59775AEA"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52E7A89C"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 Los formatos y documentos subidos en la plataforma Secop 2 en la pestaña anexos a que sobre corresponden? ¿Sobre 1 o Sobre 2? ¿La pestaña de anexos es considerada un sobre 3?</w:t>
      </w:r>
    </w:p>
    <w:p w14:paraId="1C3C4E34"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5090D916"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2. Los pliegos tipos existen anexos. Entre los anexos evaluables se encuentra el Formulario 1 y anexos para conceder puntos, como factor de calidad, discapacidad, industria nacional entre otros.</w:t>
      </w:r>
    </w:p>
    <w:p w14:paraId="5FE503AC"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6FCABFCA"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 Si un oferente presenta un formato con error de ortografía. En lugar de colocar Formato 7 se equivoca y lo nombra formato 8 – y sin embargo todo lo demás es correcto, la entidad puede omitir el error de ortografía o descuido de un número y asignar los puntos que corresponden? ¿El error de forma sirve para la comparación de las propuestas?</w:t>
      </w:r>
    </w:p>
    <w:p w14:paraId="502C8E36"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585881C3"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 Si la entidad publica un formato con título “Formato 12 – Emprendimiento de Mujeres” y el oferente cambia el titulo a “Formato 13 – Emprendimiento de mujeres” siendo el primero correcto y el segundo incorrecto, es posible que la entidad pueda calificar de igual forma a los proponentes que colocaron el titulo correcto a los proponentes que colocaron el titulo incorrecto?” [SIC]</w:t>
      </w:r>
    </w:p>
    <w:p w14:paraId="5676EF01"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2BBBD90C"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3. Sobre el certificado de antecedentes de los contadores.</w:t>
      </w:r>
    </w:p>
    <w:p w14:paraId="60827979"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p>
    <w:p w14:paraId="087B082D" w14:textId="77777777" w:rsidR="00F217FD" w:rsidRPr="00F217FD" w:rsidRDefault="00F217FD" w:rsidP="00F217FD">
      <w:pPr>
        <w:spacing w:after="0" w:line="240" w:lineRule="auto"/>
        <w:ind w:left="709" w:right="709"/>
        <w:jc w:val="both"/>
        <w:rPr>
          <w:rFonts w:ascii="Verdana" w:eastAsia="Century Gothic" w:hAnsi="Verdana" w:cs="Century Gothic"/>
          <w:sz w:val="20"/>
          <w:szCs w:val="20"/>
          <w:lang w:val="es-ES"/>
        </w:rPr>
      </w:pPr>
      <w:r w:rsidRPr="00F217FD">
        <w:rPr>
          <w:rFonts w:ascii="Verdana" w:eastAsia="Century Gothic" w:hAnsi="Verdana" w:cs="Century Gothic"/>
          <w:sz w:val="20"/>
          <w:szCs w:val="20"/>
          <w:lang w:val="es-ES"/>
        </w:rPr>
        <w:t>• Si el proponente suministra el certificado de antecedente del contador(a) con la vigencia correcta y sin embargo, este certificado se presenta con una observación: “El contador no ha cumplido con su obligación de actualizar el registro” este antecedente puede considerarse para la evaluación o se requiere que el contador levante la restricción en la junta central de contadores?”</w:t>
      </w:r>
    </w:p>
    <w:p w14:paraId="72F56B6E" w14:textId="77777777" w:rsidR="00F217FD" w:rsidRPr="00F217FD" w:rsidRDefault="00F217FD" w:rsidP="00F217FD">
      <w:pPr>
        <w:spacing w:after="0" w:line="240" w:lineRule="auto"/>
        <w:ind w:right="709"/>
        <w:jc w:val="both"/>
        <w:rPr>
          <w:rFonts w:ascii="Verdana" w:eastAsia="Century Gothic" w:hAnsi="Verdana" w:cs="Century Gothic"/>
          <w:lang w:val="es-ES"/>
        </w:rPr>
      </w:pPr>
    </w:p>
    <w:p w14:paraId="4C2746EF" w14:textId="77777777" w:rsidR="00F217FD" w:rsidRPr="00F217FD" w:rsidRDefault="00F217FD" w:rsidP="00F217FD">
      <w:pPr>
        <w:spacing w:after="120" w:line="276" w:lineRule="auto"/>
        <w:ind w:firstLine="709"/>
        <w:jc w:val="both"/>
        <w:rPr>
          <w:rFonts w:ascii="Verdana" w:eastAsia="Calibri" w:hAnsi="Verdana" w:cs="Arial"/>
          <w:szCs w:val="24"/>
          <w:lang w:val="es-ES_tradnl" w:eastAsia="es-ES_tradnl"/>
        </w:rPr>
      </w:pPr>
      <w:r w:rsidRPr="00F217F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217FD">
        <w:rPr>
          <w:rFonts w:ascii="Verdana" w:eastAsia="Calibri" w:hAnsi="Verdana" w:cs="Arial"/>
          <w:szCs w:val="24"/>
          <w:lang w:val="es-ES_tradnl" w:eastAsia="es-ES_tradnl"/>
        </w:rPr>
        <w:tab/>
      </w:r>
    </w:p>
    <w:p w14:paraId="19D90EED" w14:textId="77777777" w:rsidR="00F217FD" w:rsidRPr="00F217FD" w:rsidRDefault="00F217FD" w:rsidP="00F217FD">
      <w:pPr>
        <w:spacing w:after="0" w:line="276" w:lineRule="auto"/>
        <w:ind w:firstLine="709"/>
        <w:jc w:val="both"/>
        <w:rPr>
          <w:rFonts w:ascii="Verdana" w:eastAsia="Calibri" w:hAnsi="Verdana" w:cs="Arial"/>
          <w:lang w:val="es-ES" w:eastAsia="es-ES"/>
        </w:rPr>
      </w:pPr>
      <w:r w:rsidRPr="00F217FD">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Además, le informamos que su pregunta 3 será remitida a la Junta Central de Contadores, para que sea esta la institución que, de considerarlo procedente y dentro de sus competencias, resuelva su inquietud. </w:t>
      </w:r>
    </w:p>
    <w:p w14:paraId="371E543E" w14:textId="77777777" w:rsidR="00F217FD" w:rsidRPr="00F217FD" w:rsidRDefault="00F217FD" w:rsidP="00F217FD">
      <w:pPr>
        <w:spacing w:after="0" w:line="276" w:lineRule="auto"/>
        <w:ind w:firstLine="709"/>
        <w:jc w:val="both"/>
        <w:rPr>
          <w:rFonts w:ascii="Verdana" w:eastAsia="Calibri" w:hAnsi="Verdana" w:cs="Arial"/>
          <w:lang w:val="es-ES" w:eastAsia="es-ES"/>
        </w:rPr>
      </w:pPr>
    </w:p>
    <w:p w14:paraId="2192A691" w14:textId="77777777" w:rsidR="00F217FD" w:rsidRPr="00F217FD" w:rsidRDefault="00F217FD" w:rsidP="00F217FD">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F217FD">
        <w:rPr>
          <w:rFonts w:ascii="Verdana" w:eastAsia="Century Gothic" w:hAnsi="Verdana" w:cs="Century Gothic"/>
          <w:b/>
          <w:bCs/>
          <w:lang w:val="es-ES"/>
        </w:rPr>
        <w:t>Problema planteado:</w:t>
      </w:r>
    </w:p>
    <w:p w14:paraId="120CCC90" w14:textId="77777777" w:rsidR="00F217FD" w:rsidRPr="00F217FD" w:rsidRDefault="00F217FD" w:rsidP="00F217FD">
      <w:pPr>
        <w:tabs>
          <w:tab w:val="left" w:pos="426"/>
        </w:tabs>
        <w:spacing w:after="0" w:line="276" w:lineRule="auto"/>
        <w:jc w:val="both"/>
        <w:rPr>
          <w:rFonts w:ascii="Verdana" w:eastAsia="Century Gothic" w:hAnsi="Verdana" w:cs="Century Gothic"/>
          <w:lang w:val="es-ES"/>
        </w:rPr>
      </w:pPr>
    </w:p>
    <w:p w14:paraId="10107985" w14:textId="77777777" w:rsidR="00F217FD" w:rsidRPr="00F217FD" w:rsidRDefault="00F217FD" w:rsidP="00F217FD">
      <w:pPr>
        <w:snapToGrid w:val="0"/>
        <w:spacing w:after="0" w:line="276" w:lineRule="auto"/>
        <w:jc w:val="both"/>
        <w:rPr>
          <w:rFonts w:ascii="Verdana" w:eastAsia="Century Gothic" w:hAnsi="Verdana" w:cs="Century Gothic"/>
        </w:rPr>
      </w:pPr>
      <w:r w:rsidRPr="00F217FD">
        <w:rPr>
          <w:rFonts w:ascii="Verdana" w:eastAsia="Century Gothic" w:hAnsi="Verdana" w:cs="Century Gothic"/>
        </w:rPr>
        <w:t>De acuerdo con el contenido de su solicitud, esta Agencia resolverá los siguientes problemas jurídicos:</w:t>
      </w:r>
    </w:p>
    <w:p w14:paraId="6312A88C" w14:textId="77777777" w:rsidR="00F217FD" w:rsidRPr="00F217FD" w:rsidRDefault="00F217FD" w:rsidP="00F217FD">
      <w:pPr>
        <w:snapToGrid w:val="0"/>
        <w:spacing w:after="0" w:line="276" w:lineRule="auto"/>
        <w:jc w:val="both"/>
        <w:rPr>
          <w:rFonts w:ascii="Verdana" w:eastAsia="Century Gothic" w:hAnsi="Verdana" w:cs="Century Gothic"/>
        </w:rPr>
      </w:pPr>
    </w:p>
    <w:p w14:paraId="5DD8FCC4" w14:textId="77777777" w:rsidR="00F217FD" w:rsidRPr="00F217FD" w:rsidRDefault="00F217FD" w:rsidP="00F217FD">
      <w:pPr>
        <w:numPr>
          <w:ilvl w:val="0"/>
          <w:numId w:val="19"/>
        </w:numPr>
        <w:spacing w:line="278" w:lineRule="auto"/>
        <w:contextualSpacing/>
        <w:jc w:val="both"/>
        <w:rPr>
          <w:rFonts w:ascii="Verdana" w:eastAsia="Century Gothic" w:hAnsi="Verdana" w:cs="Century Gothic"/>
        </w:rPr>
      </w:pPr>
      <w:r w:rsidRPr="00F217FD">
        <w:rPr>
          <w:rFonts w:ascii="Verdana" w:eastAsia="Century Gothic" w:hAnsi="Verdana" w:cs="Century Gothic"/>
        </w:rPr>
        <w:t>En uso del SECOP II, ¿cuál es el alcance de la causal de rechazo correspondiente a</w:t>
      </w:r>
      <w:r w:rsidRPr="00F217FD">
        <w:rPr>
          <w:rFonts w:ascii="Aptos" w:eastAsia="Aptos" w:hAnsi="Aptos" w:cs="Times New Roman"/>
          <w:kern w:val="2"/>
          <w:sz w:val="24"/>
          <w:szCs w:val="24"/>
          <w14:ligatures w14:val="standardContextual"/>
        </w:rPr>
        <w:t xml:space="preserve"> </w:t>
      </w:r>
      <w:r w:rsidRPr="00F217FD">
        <w:rPr>
          <w:rFonts w:ascii="Aptos" w:eastAsia="Aptos" w:hAnsi="Aptos" w:cs="Times New Roman"/>
          <w:i/>
          <w:iCs/>
          <w:kern w:val="2"/>
          <w:sz w:val="24"/>
          <w:szCs w:val="24"/>
          <w14:ligatures w14:val="standardContextual"/>
        </w:rPr>
        <w:t>“</w:t>
      </w:r>
      <w:r w:rsidRPr="00F217FD">
        <w:rPr>
          <w:rFonts w:ascii="Verdana" w:eastAsia="Century Gothic" w:hAnsi="Verdana" w:cs="Century Gothic"/>
          <w:i/>
          <w:iCs/>
        </w:rPr>
        <w:t>No presentar oferta económica. Entregar la información de la propuesta económica en el sobre que no corresponda”</w:t>
      </w:r>
      <w:r w:rsidRPr="00F217FD">
        <w:rPr>
          <w:rFonts w:ascii="Verdana" w:eastAsia="Century Gothic" w:hAnsi="Verdana" w:cs="Century Gothic"/>
        </w:rPr>
        <w:t xml:space="preserve"> de los documentos tipo de infraestructura de transporte?</w:t>
      </w:r>
    </w:p>
    <w:p w14:paraId="6865D958" w14:textId="77777777" w:rsidR="00F217FD" w:rsidRPr="00F217FD" w:rsidRDefault="00F217FD" w:rsidP="00F217FD">
      <w:pPr>
        <w:snapToGrid w:val="0"/>
        <w:spacing w:after="0" w:line="276" w:lineRule="auto"/>
        <w:jc w:val="both"/>
        <w:rPr>
          <w:rFonts w:ascii="Verdana" w:eastAsia="Century Gothic" w:hAnsi="Verdana" w:cs="Century Gothic"/>
        </w:rPr>
      </w:pPr>
    </w:p>
    <w:p w14:paraId="2650059F" w14:textId="77777777" w:rsidR="00F217FD" w:rsidRPr="00F217FD" w:rsidRDefault="00F217FD" w:rsidP="00F217FD">
      <w:pPr>
        <w:numPr>
          <w:ilvl w:val="0"/>
          <w:numId w:val="19"/>
        </w:numPr>
        <w:snapToGrid w:val="0"/>
        <w:spacing w:after="0" w:line="276" w:lineRule="auto"/>
        <w:contextualSpacing/>
        <w:jc w:val="both"/>
        <w:rPr>
          <w:rFonts w:ascii="Verdana" w:eastAsia="Century Gothic" w:hAnsi="Verdana" w:cs="Century Gothic"/>
        </w:rPr>
      </w:pPr>
      <w:r w:rsidRPr="00F217FD">
        <w:rPr>
          <w:rFonts w:ascii="Verdana" w:eastAsia="Century Gothic" w:hAnsi="Verdana" w:cs="Century Gothic"/>
        </w:rPr>
        <w:t>¿Los errores de forma pueden configurarse en una causal válida de rechazo?</w:t>
      </w:r>
    </w:p>
    <w:p w14:paraId="66F479E1" w14:textId="77777777" w:rsidR="00F217FD" w:rsidRPr="00F217FD" w:rsidRDefault="00F217FD" w:rsidP="00F217FD">
      <w:pPr>
        <w:snapToGrid w:val="0"/>
        <w:spacing w:after="0" w:line="276" w:lineRule="auto"/>
        <w:jc w:val="both"/>
        <w:rPr>
          <w:rFonts w:ascii="Verdana" w:eastAsia="Calibri" w:hAnsi="Verdana" w:cs="Arial"/>
          <w:lang w:val="es-ES"/>
        </w:rPr>
      </w:pPr>
    </w:p>
    <w:p w14:paraId="4BF493C4" w14:textId="77777777" w:rsidR="00F217FD" w:rsidRPr="00F217FD" w:rsidRDefault="00F217FD" w:rsidP="00F217F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F217FD">
        <w:rPr>
          <w:rFonts w:ascii="Verdana" w:eastAsia="Century Gothic" w:hAnsi="Verdana" w:cs="Century Gothic"/>
          <w:b/>
          <w:bCs/>
          <w:lang w:val="es-ES"/>
        </w:rPr>
        <w:t>Respuesta:</w:t>
      </w:r>
    </w:p>
    <w:p w14:paraId="00D596AE" w14:textId="77777777" w:rsidR="00F217FD" w:rsidRPr="00F217FD" w:rsidRDefault="00F217FD" w:rsidP="00F217FD">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217FD" w:rsidRPr="00F217FD" w14:paraId="02F97BFA" w14:textId="77777777" w:rsidTr="00EB1188">
        <w:tc>
          <w:tcPr>
            <w:tcW w:w="8828" w:type="dxa"/>
            <w:shd w:val="clear" w:color="auto" w:fill="auto"/>
          </w:tcPr>
          <w:p w14:paraId="1D0247D6" w14:textId="77777777" w:rsidR="00F217FD" w:rsidRPr="00F217FD" w:rsidRDefault="00F217FD" w:rsidP="00F217FD">
            <w:pPr>
              <w:spacing w:line="276" w:lineRule="auto"/>
              <w:jc w:val="both"/>
              <w:rPr>
                <w:rFonts w:ascii="Verdana" w:eastAsia="Calibri" w:hAnsi="Verdana" w:cs="Arial"/>
                <w:lang w:val="es-ES_tradnl"/>
              </w:rPr>
            </w:pPr>
            <w:r w:rsidRPr="00F217FD">
              <w:rPr>
                <w:rFonts w:ascii="Verdana" w:eastAsia="Calibri" w:hAnsi="Verdana" w:cs="Arial"/>
                <w:lang w:val="es-ES_tradnl"/>
              </w:rPr>
              <w:t xml:space="preserve">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Algo similar ocurre con las causales de rechazo establecidas en los documentos tipo, </w:t>
            </w:r>
            <w:r w:rsidRPr="00F217FD">
              <w:rPr>
                <w:rFonts w:ascii="Verdana" w:eastAsia="Calibri" w:hAnsi="Verdana" w:cs="Arial"/>
                <w:lang w:val="es-MX" w:eastAsia="es-MX"/>
              </w:rPr>
              <w:t>las cuales son taxativas, descartándose que la entidad introduzca nuevas, salvo las contempladas directamente en la ley.</w:t>
            </w:r>
          </w:p>
          <w:p w14:paraId="7B8AA02D" w14:textId="77777777" w:rsidR="00F217FD" w:rsidRPr="00F217FD" w:rsidRDefault="00F217FD" w:rsidP="00F217FD">
            <w:pPr>
              <w:spacing w:line="276" w:lineRule="auto"/>
              <w:jc w:val="both"/>
              <w:rPr>
                <w:rFonts w:ascii="Verdana" w:eastAsia="Calibri" w:hAnsi="Verdana" w:cs="Arial"/>
                <w:b/>
                <w:bCs/>
                <w:lang w:val="es-ES"/>
              </w:rPr>
            </w:pPr>
          </w:p>
          <w:p w14:paraId="102FD5F9" w14:textId="77777777" w:rsidR="00F217FD" w:rsidRPr="00F217FD" w:rsidRDefault="00F217FD" w:rsidP="00F217FD">
            <w:pPr>
              <w:spacing w:line="276" w:lineRule="auto"/>
              <w:jc w:val="both"/>
              <w:rPr>
                <w:rFonts w:ascii="Verdana" w:eastAsia="Calibri" w:hAnsi="Verdana" w:cs="Arial"/>
                <w:lang w:val="es-ES"/>
              </w:rPr>
            </w:pPr>
            <w:r w:rsidRPr="0594F8A8">
              <w:rPr>
                <w:rFonts w:ascii="Verdana" w:eastAsia="Calibri" w:hAnsi="Verdana" w:cs="Arial"/>
                <w:lang w:val="es-ES"/>
              </w:rPr>
              <w:t>Por la naturaleza propia de las causales de rechazo, su aplicación es estricta y restrictiva, lo que significa que su interpretación gramatical prevalece sobre una interpretación extensiva o de otra índole, mediante la cual se pretenda ampliar su alcance. De esta manera, la causal de rechazo del literal V del documento base de los documentos tipo de infraestructura de transporte, es aplicable únicamente cuando el proponente no presenta la oferta económica o entrega información de la propuesta económica en el sobre que no corresponde –diferente al sobre de la oferta económica–.</w:t>
            </w:r>
          </w:p>
          <w:p w14:paraId="163077D1" w14:textId="77777777" w:rsidR="00F217FD" w:rsidRPr="00F217FD" w:rsidRDefault="00F217FD" w:rsidP="00F217FD">
            <w:pPr>
              <w:spacing w:line="276" w:lineRule="auto"/>
              <w:jc w:val="both"/>
              <w:rPr>
                <w:rFonts w:ascii="Verdana" w:eastAsia="Calibri" w:hAnsi="Verdana" w:cs="Arial"/>
                <w:lang w:val="es-ES_tradnl"/>
              </w:rPr>
            </w:pPr>
          </w:p>
          <w:p w14:paraId="5C7155E8" w14:textId="77777777" w:rsidR="00F217FD" w:rsidRPr="00F217FD" w:rsidRDefault="00F217FD" w:rsidP="00F217FD">
            <w:pPr>
              <w:spacing w:line="276" w:lineRule="auto"/>
              <w:jc w:val="both"/>
              <w:rPr>
                <w:rFonts w:ascii="Verdana" w:eastAsia="Calibri" w:hAnsi="Verdana" w:cs="Arial"/>
                <w:lang w:val="es-ES_tradnl"/>
              </w:rPr>
            </w:pPr>
            <w:r w:rsidRPr="00F217FD">
              <w:rPr>
                <w:rFonts w:ascii="Verdana" w:eastAsia="Calibri" w:hAnsi="Verdana" w:cs="Arial"/>
                <w:lang w:val="es-ES_tradnl"/>
              </w:rPr>
              <w:t>Por lo demás, las entidades estatales deben abstenerse</w:t>
            </w:r>
            <w:r w:rsidRPr="00F217FD">
              <w:rPr>
                <w:rFonts w:ascii="Verdana" w:eastAsia="Arial" w:hAnsi="Verdana" w:cs="Arial"/>
                <w:color w:val="000000"/>
              </w:rPr>
              <w:t xml:space="preserve">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w:t>
            </w:r>
          </w:p>
        </w:tc>
      </w:tr>
    </w:tbl>
    <w:p w14:paraId="3815DF5E" w14:textId="77777777" w:rsidR="00F217FD" w:rsidRPr="00F217FD" w:rsidRDefault="00F217FD" w:rsidP="00F217FD">
      <w:pPr>
        <w:tabs>
          <w:tab w:val="left" w:pos="142"/>
          <w:tab w:val="left" w:pos="284"/>
        </w:tabs>
        <w:snapToGrid w:val="0"/>
        <w:spacing w:after="0" w:line="276" w:lineRule="auto"/>
        <w:jc w:val="both"/>
        <w:rPr>
          <w:rFonts w:ascii="Verdana" w:eastAsia="Century Gothic" w:hAnsi="Verdana" w:cs="Century Gothic"/>
          <w:b/>
          <w:bCs/>
          <w:lang w:val="es-ES"/>
        </w:rPr>
      </w:pPr>
    </w:p>
    <w:p w14:paraId="3A26DFCF" w14:textId="77777777" w:rsidR="00F217FD" w:rsidRPr="00F217FD" w:rsidRDefault="00F217FD" w:rsidP="00F217F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F217FD">
        <w:rPr>
          <w:rFonts w:ascii="Verdana" w:eastAsia="Century Gothic" w:hAnsi="Verdana" w:cs="Century Gothic"/>
          <w:b/>
          <w:bCs/>
          <w:lang w:val="es-ES"/>
        </w:rPr>
        <w:t>Razones de la respuesta:</w:t>
      </w:r>
    </w:p>
    <w:p w14:paraId="0064DDB2" w14:textId="77777777" w:rsidR="00F217FD" w:rsidRPr="00F217FD" w:rsidRDefault="00F217FD" w:rsidP="00F217FD">
      <w:pPr>
        <w:tabs>
          <w:tab w:val="left" w:pos="142"/>
          <w:tab w:val="left" w:pos="284"/>
        </w:tabs>
        <w:snapToGrid w:val="0"/>
        <w:spacing w:after="0" w:line="276" w:lineRule="auto"/>
        <w:ind w:left="357"/>
        <w:jc w:val="both"/>
        <w:rPr>
          <w:rFonts w:ascii="Verdana" w:eastAsia="Century Gothic" w:hAnsi="Verdana" w:cs="Century Gothic"/>
          <w:b/>
          <w:bCs/>
          <w:lang w:val="es-ES"/>
        </w:rPr>
      </w:pPr>
    </w:p>
    <w:p w14:paraId="3899B2CE" w14:textId="77777777" w:rsidR="00F217FD" w:rsidRPr="00F217FD" w:rsidRDefault="00F217FD" w:rsidP="00F217FD">
      <w:pPr>
        <w:snapToGrid w:val="0"/>
        <w:spacing w:after="0" w:line="276" w:lineRule="auto"/>
        <w:jc w:val="both"/>
        <w:rPr>
          <w:rFonts w:ascii="Verdana" w:eastAsia="Calibri" w:hAnsi="Verdana" w:cs="Arial"/>
          <w:lang w:val="es-ES"/>
        </w:rPr>
      </w:pPr>
      <w:r w:rsidRPr="00F217FD">
        <w:rPr>
          <w:rFonts w:ascii="Verdana" w:eastAsia="Calibri" w:hAnsi="Verdana" w:cs="Arial"/>
          <w:lang w:val="es-ES"/>
        </w:rPr>
        <w:t>Lo anterior se sustenta en las siguientes consideraciones:</w:t>
      </w:r>
    </w:p>
    <w:p w14:paraId="7B6D6B11" w14:textId="77777777" w:rsidR="00F217FD" w:rsidRPr="00F217FD" w:rsidRDefault="00F217FD" w:rsidP="00F217FD">
      <w:pPr>
        <w:snapToGrid w:val="0"/>
        <w:spacing w:after="0" w:line="276" w:lineRule="auto"/>
        <w:jc w:val="both"/>
        <w:rPr>
          <w:rFonts w:ascii="Verdana" w:eastAsia="Calibri" w:hAnsi="Verdana" w:cs="Arial"/>
          <w:lang w:val="es-ES"/>
        </w:rPr>
      </w:pPr>
      <w:r w:rsidRPr="00F217FD">
        <w:rPr>
          <w:rFonts w:ascii="Verdana" w:eastAsia="Calibri" w:hAnsi="Verdana" w:cs="Arial"/>
          <w:lang w:val="es-ES"/>
        </w:rPr>
        <w:t xml:space="preserve"> </w:t>
      </w:r>
    </w:p>
    <w:p w14:paraId="2FB1586C" w14:textId="77777777" w:rsidR="00F217FD" w:rsidRPr="00F217FD" w:rsidRDefault="00F217FD" w:rsidP="00F217FD">
      <w:pPr>
        <w:numPr>
          <w:ilvl w:val="0"/>
          <w:numId w:val="18"/>
        </w:numPr>
        <w:snapToGrid w:val="0"/>
        <w:spacing w:after="0" w:line="276" w:lineRule="auto"/>
        <w:jc w:val="both"/>
        <w:rPr>
          <w:rFonts w:ascii="Verdana" w:eastAsia="Calibri" w:hAnsi="Verdana" w:cs="Arial"/>
          <w:kern w:val="2"/>
          <w:lang w:val="es-ES"/>
          <w14:ligatures w14:val="standardContextual"/>
        </w:rPr>
      </w:pPr>
      <w:r w:rsidRPr="00F217FD">
        <w:rPr>
          <w:rFonts w:ascii="Verdana" w:eastAsia="Calibri" w:hAnsi="Verdana" w:cs="Arial"/>
          <w:kern w:val="2"/>
          <w:lang w:val="es-ES"/>
          <w14:ligatures w14:val="standardContextual"/>
        </w:rPr>
        <w:t xml:space="preserve">Los Documentos Tipo expedidos por esta Agencia en ejercicio de la potestad otorgada por la Ley 2022 de 2020 son de obligatoria observancia </w:t>
      </w:r>
      <w:r w:rsidRPr="00F217FD">
        <w:rPr>
          <w:rFonts w:ascii="Verdana" w:eastAsia="Calibri" w:hAnsi="Verdana" w:cs="Arial"/>
          <w:kern w:val="2"/>
          <w:lang w:val="es-ES"/>
          <w14:ligatures w14:val="standardContextual"/>
        </w:rPr>
        <w:lastRenderedPageBreak/>
        <w:t xml:space="preserve">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4199FAC8" w14:textId="77777777" w:rsidR="00F217FD" w:rsidRPr="00F217FD" w:rsidRDefault="00F217FD" w:rsidP="00F217FD">
      <w:pPr>
        <w:snapToGrid w:val="0"/>
        <w:spacing w:after="0" w:line="276" w:lineRule="auto"/>
        <w:ind w:left="720"/>
        <w:jc w:val="both"/>
        <w:rPr>
          <w:rFonts w:ascii="Verdana" w:eastAsia="Calibri" w:hAnsi="Verdana" w:cs="Arial"/>
          <w:kern w:val="2"/>
          <w:lang w:val="es-ES"/>
          <w14:ligatures w14:val="standardContextual"/>
        </w:rPr>
      </w:pPr>
    </w:p>
    <w:p w14:paraId="4B369270" w14:textId="77777777" w:rsidR="00F217FD" w:rsidRPr="00F217FD" w:rsidRDefault="00F217FD" w:rsidP="00F217FD">
      <w:pPr>
        <w:numPr>
          <w:ilvl w:val="0"/>
          <w:numId w:val="18"/>
        </w:numPr>
        <w:snapToGrid w:val="0"/>
        <w:spacing w:after="0" w:line="276" w:lineRule="auto"/>
        <w:jc w:val="both"/>
        <w:rPr>
          <w:rFonts w:ascii="Verdana" w:eastAsia="Calibri" w:hAnsi="Verdana" w:cs="Arial"/>
          <w:kern w:val="2"/>
          <w:lang w:val="es-ES"/>
          <w14:ligatures w14:val="standardContextual"/>
        </w:rPr>
      </w:pPr>
      <w:r w:rsidRPr="00F217FD">
        <w:rPr>
          <w:rFonts w:ascii="Verdana" w:eastAsia="Calibri" w:hAnsi="Verdana" w:cs="Arial"/>
          <w:kern w:val="2"/>
          <w:lang w:val="es-ES_tradnl"/>
          <w14:ligatures w14:val="standardContextu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F217FD">
        <w:rPr>
          <w:rFonts w:ascii="Verdana" w:eastAsia="Calibri" w:hAnsi="Verdana" w:cs="Arial"/>
          <w:i/>
          <w:iCs/>
          <w:kern w:val="2"/>
          <w:vertAlign w:val="superscript"/>
          <w:lang w:val="es-ES_tradnl"/>
          <w14:ligatures w14:val="standardContextual"/>
        </w:rPr>
        <w:footnoteReference w:id="2"/>
      </w:r>
      <w:r w:rsidRPr="00F217FD">
        <w:rPr>
          <w:rFonts w:ascii="Verdana" w:eastAsia="Calibri" w:hAnsi="Verdana" w:cs="Arial"/>
          <w:kern w:val="2"/>
          <w:lang w:val="es-ES_tradnl"/>
          <w14:ligatures w14:val="standardContextual"/>
        </w:rPr>
        <w:t xml:space="preserve"> señala:</w:t>
      </w:r>
    </w:p>
    <w:p w14:paraId="079CACFB" w14:textId="77777777" w:rsidR="00F217FD" w:rsidRPr="00F217FD" w:rsidRDefault="00F217FD" w:rsidP="00F217FD">
      <w:pPr>
        <w:tabs>
          <w:tab w:val="left" w:pos="709"/>
        </w:tabs>
        <w:spacing w:after="0" w:line="276" w:lineRule="auto"/>
        <w:jc w:val="both"/>
        <w:rPr>
          <w:rFonts w:ascii="Verdana" w:eastAsia="Calibri" w:hAnsi="Verdana" w:cs="Arial"/>
          <w:kern w:val="2"/>
          <w:lang w:val="es-ES_tradnl"/>
          <w14:ligatures w14:val="standardContextual"/>
        </w:rPr>
      </w:pPr>
    </w:p>
    <w:p w14:paraId="20A4C7F1" w14:textId="77777777" w:rsidR="00F217FD" w:rsidRPr="00F217FD" w:rsidRDefault="00F217FD" w:rsidP="00F217FD">
      <w:pPr>
        <w:tabs>
          <w:tab w:val="left" w:pos="709"/>
        </w:tabs>
        <w:spacing w:after="0" w:line="240" w:lineRule="auto"/>
        <w:ind w:left="709" w:right="709"/>
        <w:jc w:val="both"/>
        <w:rPr>
          <w:rFonts w:ascii="Verdana" w:eastAsia="Calibri" w:hAnsi="Verdana" w:cs="Arial"/>
          <w:kern w:val="2"/>
          <w:sz w:val="21"/>
          <w:szCs w:val="21"/>
          <w:lang w:val="es-ES"/>
          <w14:ligatures w14:val="standardContextual"/>
        </w:rPr>
      </w:pPr>
      <w:r w:rsidRPr="0594F8A8">
        <w:rPr>
          <w:rFonts w:ascii="Verdana" w:eastAsia="Calibri" w:hAnsi="Verdana" w:cs="Arial"/>
          <w:kern w:val="2"/>
          <w:sz w:val="21"/>
          <w:szCs w:val="21"/>
          <w:lang w:val="es-ES"/>
          <w14:ligatures w14:val="standardContextual"/>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6C972936" w14:textId="77777777" w:rsidR="00F217FD" w:rsidRPr="00F217FD" w:rsidRDefault="00F217FD" w:rsidP="00F217FD">
      <w:pPr>
        <w:spacing w:after="0" w:line="276" w:lineRule="auto"/>
        <w:ind w:firstLine="708"/>
        <w:jc w:val="both"/>
        <w:rPr>
          <w:rFonts w:ascii="Verdana" w:eastAsia="Calibri" w:hAnsi="Verdana" w:cs="Arial"/>
          <w:kern w:val="2"/>
          <w:lang w:val="es-ES_tradnl"/>
          <w14:ligatures w14:val="standardContextual"/>
        </w:rPr>
      </w:pPr>
    </w:p>
    <w:p w14:paraId="7E14F373" w14:textId="77777777" w:rsidR="00F217FD" w:rsidRPr="00F217FD" w:rsidRDefault="00F217FD" w:rsidP="00F217FD">
      <w:pPr>
        <w:numPr>
          <w:ilvl w:val="0"/>
          <w:numId w:val="22"/>
        </w:numPr>
        <w:spacing w:after="0" w:line="276" w:lineRule="auto"/>
        <w:jc w:val="both"/>
        <w:rPr>
          <w:rFonts w:ascii="Verdana" w:eastAsia="Calibri" w:hAnsi="Verdana" w:cs="Arial"/>
          <w:kern w:val="2"/>
          <w:lang w:val="es-ES_tradnl"/>
          <w14:ligatures w14:val="standardContextual"/>
        </w:rPr>
      </w:pPr>
      <w:r w:rsidRPr="00F217FD">
        <w:rPr>
          <w:rFonts w:ascii="Verdana" w:eastAsia="Calibri" w:hAnsi="Verdana" w:cs="Arial"/>
          <w:kern w:val="2"/>
          <w:lang w:val="es-ES_tradnl"/>
          <w14:ligatures w14:val="standardContextu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F217FD">
        <w:rPr>
          <w:rFonts w:ascii="Aptos" w:eastAsia="Aptos" w:hAnsi="Aptos" w:cs="Times New Roman"/>
          <w:i/>
          <w:kern w:val="2"/>
          <w:sz w:val="24"/>
          <w:szCs w:val="24"/>
          <w:vertAlign w:val="superscript"/>
          <w:lang w:val="es-ES_tradnl"/>
          <w14:ligatures w14:val="standardContextual"/>
        </w:rPr>
        <w:footnoteReference w:id="3"/>
      </w:r>
      <w:r w:rsidRPr="00F217FD">
        <w:rPr>
          <w:rFonts w:ascii="Verdana" w:eastAsia="Calibri" w:hAnsi="Verdana" w:cs="Arial"/>
          <w:kern w:val="2"/>
          <w:lang w:val="es-ES_tradnl"/>
          <w14:ligatures w14:val="standardContextual"/>
        </w:rPr>
        <w:t xml:space="preserve"> sostuvo: </w:t>
      </w:r>
    </w:p>
    <w:p w14:paraId="04CC8648" w14:textId="77777777" w:rsidR="00F217FD" w:rsidRPr="00F217FD" w:rsidRDefault="00F217FD" w:rsidP="00F217FD">
      <w:pPr>
        <w:spacing w:after="0" w:line="276" w:lineRule="auto"/>
        <w:ind w:left="709" w:right="709"/>
        <w:jc w:val="both"/>
        <w:rPr>
          <w:rFonts w:ascii="Verdana" w:eastAsia="Times New Roman" w:hAnsi="Verdana" w:cs="Arial"/>
          <w:bCs/>
          <w:iCs/>
          <w:kern w:val="2"/>
          <w:lang w:val="es-ES_tradnl" w:eastAsia="es-MX"/>
          <w14:ligatures w14:val="standardContextual"/>
        </w:rPr>
      </w:pPr>
    </w:p>
    <w:p w14:paraId="3548233E" w14:textId="77777777" w:rsidR="00F217FD" w:rsidRPr="00F217FD" w:rsidRDefault="00F217FD" w:rsidP="00F217FD">
      <w:pPr>
        <w:spacing w:after="0" w:line="240" w:lineRule="auto"/>
        <w:ind w:left="709" w:right="709"/>
        <w:jc w:val="both"/>
        <w:rPr>
          <w:rFonts w:ascii="Verdana" w:eastAsia="Times New Roman" w:hAnsi="Verdana" w:cs="Arial"/>
          <w:bCs/>
          <w:iCs/>
          <w:kern w:val="2"/>
          <w:sz w:val="21"/>
          <w:szCs w:val="21"/>
          <w:lang w:val="es-ES_tradnl" w:eastAsia="es-MX"/>
          <w14:ligatures w14:val="standardContextual"/>
        </w:rPr>
      </w:pPr>
      <w:r w:rsidRPr="00F217FD">
        <w:rPr>
          <w:rFonts w:ascii="Verdana" w:eastAsia="Times New Roman" w:hAnsi="Verdana" w:cs="Arial"/>
          <w:bCs/>
          <w:iCs/>
          <w:kern w:val="2"/>
          <w:sz w:val="21"/>
          <w:szCs w:val="21"/>
          <w:lang w:val="es-ES_tradnl" w:eastAsia="es-MX"/>
          <w14:ligatures w14:val="standardContextual"/>
        </w:rPr>
        <w:t xml:space="preserve">“En esta línea de pensamiento, resulta claro que el rechazo o la descalificación de ofertas no puede depender de la libre discrecionalidad de la administración, en la medida en que el oferente, </w:t>
      </w:r>
      <w:r w:rsidRPr="00F217FD">
        <w:rPr>
          <w:rFonts w:ascii="Verdana" w:eastAsia="Times New Roman" w:hAnsi="Verdana" w:cs="Arial"/>
          <w:bCs/>
          <w:iCs/>
          <w:kern w:val="2"/>
          <w:sz w:val="21"/>
          <w:szCs w:val="21"/>
          <w:lang w:val="es-ES_tradnl" w:eastAsia="es-MX"/>
          <w14:ligatures w14:val="standardContextual"/>
        </w:rPr>
        <w:lastRenderedPageBreak/>
        <w:t>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2B7CC602" w14:textId="77777777" w:rsidR="00F217FD" w:rsidRPr="00F217FD" w:rsidRDefault="00F217FD" w:rsidP="00F217FD">
      <w:pPr>
        <w:spacing w:after="0" w:line="276" w:lineRule="auto"/>
        <w:ind w:left="709" w:right="709"/>
        <w:jc w:val="both"/>
        <w:rPr>
          <w:rFonts w:ascii="Verdana" w:eastAsia="Times New Roman" w:hAnsi="Verdana" w:cs="Arial"/>
          <w:bCs/>
          <w:iCs/>
          <w:kern w:val="2"/>
          <w:lang w:val="es-ES_tradnl" w:eastAsia="es-MX"/>
          <w14:ligatures w14:val="standardContextual"/>
        </w:rPr>
      </w:pPr>
    </w:p>
    <w:p w14:paraId="6CC51550" w14:textId="77777777" w:rsidR="00F217FD" w:rsidRPr="00F217FD" w:rsidRDefault="00F217FD" w:rsidP="00F217FD">
      <w:pPr>
        <w:numPr>
          <w:ilvl w:val="0"/>
          <w:numId w:val="22"/>
        </w:numPr>
        <w:spacing w:after="0" w:line="276" w:lineRule="auto"/>
        <w:contextualSpacing/>
        <w:jc w:val="both"/>
        <w:rPr>
          <w:rFonts w:ascii="Verdana" w:eastAsia="Calibri" w:hAnsi="Verdana" w:cs="Arial"/>
          <w:kern w:val="2"/>
          <w:lang w:val="es-ES"/>
          <w14:ligatures w14:val="standardContextual"/>
        </w:rPr>
      </w:pPr>
      <w:r w:rsidRPr="0594F8A8">
        <w:rPr>
          <w:rFonts w:ascii="Verdana" w:eastAsia="Calibri" w:hAnsi="Verdana" w:cs="Arial"/>
          <w:kern w:val="2"/>
          <w:lang w:val="es-ES"/>
          <w14:ligatures w14:val="standardContextual"/>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5FCF8F0E" w14:textId="77777777" w:rsidR="00F217FD" w:rsidRPr="00F217FD" w:rsidRDefault="00F217FD" w:rsidP="00F217FD">
      <w:pPr>
        <w:spacing w:after="0" w:line="276" w:lineRule="auto"/>
        <w:ind w:left="720"/>
        <w:contextualSpacing/>
        <w:jc w:val="both"/>
        <w:rPr>
          <w:rFonts w:ascii="Verdana" w:eastAsia="Calibri" w:hAnsi="Verdana" w:cs="Arial"/>
          <w:kern w:val="2"/>
          <w:lang w:val="es-ES_tradnl"/>
          <w14:ligatures w14:val="standardContextual"/>
        </w:rPr>
      </w:pPr>
    </w:p>
    <w:p w14:paraId="38AFE2A1" w14:textId="77777777" w:rsidR="00F217FD" w:rsidRPr="00F217FD" w:rsidRDefault="00F217FD" w:rsidP="00F217FD">
      <w:pPr>
        <w:numPr>
          <w:ilvl w:val="0"/>
          <w:numId w:val="22"/>
        </w:numPr>
        <w:spacing w:after="0" w:line="276" w:lineRule="auto"/>
        <w:contextualSpacing/>
        <w:jc w:val="both"/>
        <w:rPr>
          <w:rFonts w:ascii="Verdana" w:eastAsia="Calibri" w:hAnsi="Verdana" w:cs="Arial"/>
          <w:kern w:val="2"/>
          <w:lang w:val="es-ES_tradnl"/>
          <w14:ligatures w14:val="standardContextual"/>
        </w:rPr>
      </w:pPr>
      <w:r w:rsidRPr="00F217FD">
        <w:rPr>
          <w:rFonts w:ascii="Verdana" w:eastAsia="Calibri" w:hAnsi="Verdana" w:cs="Arial"/>
          <w:lang w:val="es-MX" w:eastAsia="es-MX"/>
        </w:rPr>
        <w:t>Adicionalmente, la Agencia Nacional de Contratación Pública – Colombia Compra Eficiente, mediante los conceptos con radicados Nos. 2201913000007117 del 25 de septiembre de 2019, 2201913000009538 del 23 de diciembre de 2019 y C- 716 del 30 de octubre de 2020,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4E960C76" w14:textId="77777777" w:rsidR="00F217FD" w:rsidRPr="00F217FD" w:rsidRDefault="00F217FD" w:rsidP="00F217FD">
      <w:pPr>
        <w:spacing w:line="278" w:lineRule="auto"/>
        <w:ind w:left="720"/>
        <w:contextualSpacing/>
        <w:rPr>
          <w:rFonts w:ascii="Verdana" w:eastAsia="Calibri" w:hAnsi="Verdana" w:cs="Arial"/>
          <w:lang w:val="es-MX" w:eastAsia="es-MX"/>
        </w:rPr>
      </w:pPr>
    </w:p>
    <w:p w14:paraId="6D68D9C4" w14:textId="77777777" w:rsidR="00F217FD" w:rsidRPr="00F217FD" w:rsidRDefault="00F217FD" w:rsidP="00F217FD">
      <w:pPr>
        <w:numPr>
          <w:ilvl w:val="0"/>
          <w:numId w:val="22"/>
        </w:numPr>
        <w:spacing w:after="0" w:line="276" w:lineRule="auto"/>
        <w:contextualSpacing/>
        <w:jc w:val="both"/>
        <w:rPr>
          <w:rFonts w:ascii="Verdana" w:eastAsia="Calibri" w:hAnsi="Verdana" w:cs="Arial"/>
          <w:kern w:val="2"/>
          <w:lang w:val="es-ES_tradnl"/>
          <w14:ligatures w14:val="standardContextual"/>
        </w:rPr>
      </w:pPr>
      <w:r w:rsidRPr="00F217FD">
        <w:rPr>
          <w:rFonts w:ascii="Verdana" w:eastAsia="Calibri" w:hAnsi="Verdana" w:cs="Arial"/>
          <w:lang w:val="es-MX" w:eastAsia="es-MX"/>
        </w:rPr>
        <w:t>De acuerdo con lo anterior, al consultar el numeral 1.15</w:t>
      </w:r>
      <w:r w:rsidRPr="00F217FD">
        <w:rPr>
          <w:rFonts w:ascii="Verdana" w:eastAsia="Arial" w:hAnsi="Verdana" w:cs="Arial"/>
          <w:bCs/>
          <w:lang w:val="es-ES" w:eastAsia="es-ES" w:bidi="es-ES"/>
        </w:rPr>
        <w:t xml:space="preserve"> del Documento Base de los documentos tipo de infraestructura de transporte, existen varias causales de rechazo relacionadas con aspectos relativos a la oferta </w:t>
      </w:r>
      <w:r w:rsidRPr="00F217FD">
        <w:rPr>
          <w:rFonts w:ascii="Verdana" w:eastAsia="Arial" w:hAnsi="Verdana" w:cs="Arial"/>
          <w:bCs/>
          <w:lang w:val="es-ES" w:eastAsia="es-ES" w:bidi="es-ES"/>
        </w:rPr>
        <w:lastRenderedPageBreak/>
        <w:t>económica</w:t>
      </w:r>
      <w:r w:rsidRPr="00F217FD">
        <w:rPr>
          <w:rFonts w:ascii="Aptos" w:eastAsia="Aptos" w:hAnsi="Aptos" w:cs="Times New Roman"/>
          <w:kern w:val="2"/>
          <w:sz w:val="24"/>
          <w:szCs w:val="24"/>
          <w:vertAlign w:val="superscript"/>
          <w:lang w:val="es-ES" w:eastAsia="es-ES" w:bidi="es-ES"/>
          <w14:ligatures w14:val="standardContextual"/>
        </w:rPr>
        <w:footnoteReference w:id="4"/>
      </w:r>
      <w:r w:rsidRPr="00F217FD">
        <w:rPr>
          <w:rFonts w:ascii="Verdana" w:eastAsia="Arial" w:hAnsi="Verdana" w:cs="Arial"/>
          <w:bCs/>
          <w:lang w:val="es-ES" w:eastAsia="es-ES" w:bidi="es-ES"/>
        </w:rPr>
        <w:t xml:space="preserve">. </w:t>
      </w:r>
      <w:r w:rsidRPr="00F217FD">
        <w:rPr>
          <w:rFonts w:ascii="Verdana" w:eastAsia="Calibri" w:hAnsi="Verdana" w:cs="Arial"/>
          <w:lang w:val="es-ES" w:eastAsia="es-ES" w:bidi="es-ES"/>
        </w:rPr>
        <w:t xml:space="preserve">Ante la imposibilidad de incluir nuevas causales, con fundamento en el principio de inalterabilidad, las entidades estatales </w:t>
      </w:r>
      <w:r w:rsidRPr="00F217FD">
        <w:rPr>
          <w:rFonts w:ascii="Verdana" w:eastAsia="Calibri" w:hAnsi="Verdana" w:cs="Arial"/>
          <w:lang w:val="es-ES" w:eastAsia="es-ES" w:bidi="es-ES"/>
        </w:rPr>
        <w:lastRenderedPageBreak/>
        <w:t>deben evaluar en la presentación de la oferta económica la configuración de causales de rechazo estandarizadas en el pliego tipo o documento base, determinando en cada caso concreto si la situación evidenciada configura en estricto sentido alguno de los supuestos de hecho establecidos en las mismas, sin valerse de interpretaciones extensivas o finalistas</w:t>
      </w:r>
      <w:r w:rsidRPr="00F217FD">
        <w:rPr>
          <w:rFonts w:ascii="Aptos" w:eastAsia="Calibri" w:hAnsi="Aptos" w:cs="Times New Roman"/>
          <w:kern w:val="2"/>
          <w:sz w:val="24"/>
          <w:szCs w:val="24"/>
          <w:vertAlign w:val="superscript"/>
          <w:lang w:val="es-ES" w:eastAsia="es-ES" w:bidi="es-ES"/>
          <w14:ligatures w14:val="standardContextual"/>
        </w:rPr>
        <w:footnoteReference w:id="5"/>
      </w:r>
      <w:r w:rsidRPr="00F217FD">
        <w:rPr>
          <w:rFonts w:ascii="Verdana" w:eastAsia="Calibri" w:hAnsi="Verdana" w:cs="Arial"/>
          <w:lang w:val="es-ES" w:eastAsia="es-ES" w:bidi="es-ES"/>
        </w:rPr>
        <w:t xml:space="preserve">. </w:t>
      </w:r>
    </w:p>
    <w:p w14:paraId="6A77184E" w14:textId="77777777" w:rsidR="00F217FD" w:rsidRPr="00F217FD" w:rsidRDefault="00F217FD" w:rsidP="00F217FD">
      <w:pPr>
        <w:spacing w:line="278" w:lineRule="auto"/>
        <w:ind w:left="720"/>
        <w:contextualSpacing/>
        <w:rPr>
          <w:rFonts w:ascii="Verdana" w:eastAsia="Calibri" w:hAnsi="Verdana" w:cs="Arial"/>
          <w:lang w:val="es-ES" w:eastAsia="es-ES" w:bidi="es-ES"/>
        </w:rPr>
      </w:pPr>
    </w:p>
    <w:p w14:paraId="75EC5BF3" w14:textId="77777777" w:rsidR="00F217FD" w:rsidRPr="00F217FD" w:rsidRDefault="00F217FD" w:rsidP="00F217FD">
      <w:pPr>
        <w:numPr>
          <w:ilvl w:val="0"/>
          <w:numId w:val="22"/>
        </w:numPr>
        <w:spacing w:after="0" w:line="276" w:lineRule="auto"/>
        <w:contextualSpacing/>
        <w:jc w:val="both"/>
        <w:rPr>
          <w:rFonts w:ascii="Verdana" w:eastAsia="Calibri" w:hAnsi="Verdana" w:cs="Arial"/>
          <w:kern w:val="2"/>
          <w:lang w:val="es-ES_tradnl"/>
          <w14:ligatures w14:val="standardContextual"/>
        </w:rPr>
      </w:pPr>
      <w:r w:rsidRPr="00F217FD">
        <w:rPr>
          <w:rFonts w:ascii="Verdana" w:eastAsia="Calibri" w:hAnsi="Verdana" w:cs="Arial"/>
          <w:lang w:val="es-ES" w:eastAsia="es-ES" w:bidi="es-ES"/>
        </w:rPr>
        <w:t xml:space="preserve">En relación con la causal de rechazo aludida en la consulta, el numeral 1.15 del Documento Base prevé la causal V que sanciona con el rechazo de la oferta en el siguiente supuesto: </w:t>
      </w:r>
    </w:p>
    <w:p w14:paraId="07905D89" w14:textId="77777777" w:rsidR="00F217FD" w:rsidRPr="00F217FD" w:rsidRDefault="00F217FD" w:rsidP="00F217FD">
      <w:pPr>
        <w:spacing w:after="0" w:line="276" w:lineRule="auto"/>
        <w:jc w:val="both"/>
        <w:rPr>
          <w:rFonts w:ascii="Verdana" w:eastAsia="Calibri" w:hAnsi="Verdana" w:cs="Arial"/>
          <w:kern w:val="2"/>
          <w:lang w:val="es-ES_tradnl"/>
          <w14:ligatures w14:val="standardContextual"/>
        </w:rPr>
      </w:pPr>
    </w:p>
    <w:p w14:paraId="486105BE" w14:textId="77777777" w:rsidR="00F217FD" w:rsidRPr="00F217FD" w:rsidRDefault="00F217FD" w:rsidP="00F217FD">
      <w:pPr>
        <w:numPr>
          <w:ilvl w:val="0"/>
          <w:numId w:val="21"/>
        </w:numPr>
        <w:spacing w:after="0" w:line="240" w:lineRule="auto"/>
        <w:ind w:right="709"/>
        <w:jc w:val="both"/>
        <w:rPr>
          <w:rFonts w:ascii="Verdana" w:eastAsia="Calibri" w:hAnsi="Verdana" w:cs="Arial"/>
          <w:color w:val="000000"/>
          <w:kern w:val="2"/>
          <w:sz w:val="21"/>
          <w:szCs w:val="21"/>
          <w14:ligatures w14:val="standardContextual"/>
        </w:rPr>
      </w:pPr>
      <w:r w:rsidRPr="00F217FD">
        <w:rPr>
          <w:rFonts w:ascii="Verdana" w:eastAsia="Calibri" w:hAnsi="Verdana" w:cs="Arial"/>
          <w:color w:val="000000"/>
          <w:kern w:val="2"/>
          <w:sz w:val="21"/>
          <w:szCs w:val="21"/>
          <w14:ligatures w14:val="standardContextual"/>
        </w:rPr>
        <w:t>No presentar oferta económica. Entregar la información de la propuesta económica en el sobre que no corresponda.</w:t>
      </w:r>
    </w:p>
    <w:p w14:paraId="4D2633F9" w14:textId="77777777" w:rsidR="00F217FD" w:rsidRPr="00F217FD" w:rsidRDefault="00F217FD" w:rsidP="00F217FD">
      <w:pPr>
        <w:spacing w:after="0" w:line="276" w:lineRule="auto"/>
        <w:ind w:left="1428"/>
        <w:contextualSpacing/>
        <w:jc w:val="both"/>
        <w:rPr>
          <w:rFonts w:ascii="Verdana" w:eastAsia="Calibri" w:hAnsi="Verdana" w:cs="Arial"/>
          <w:kern w:val="2"/>
          <w:lang w:val="es-ES_tradnl"/>
          <w14:ligatures w14:val="standardContextual"/>
        </w:rPr>
      </w:pPr>
    </w:p>
    <w:p w14:paraId="4DA4AB27" w14:textId="77777777" w:rsidR="00F217FD" w:rsidRPr="00F217FD" w:rsidRDefault="00F217FD" w:rsidP="00F217FD">
      <w:pPr>
        <w:numPr>
          <w:ilvl w:val="0"/>
          <w:numId w:val="23"/>
        </w:numPr>
        <w:spacing w:after="0" w:line="276" w:lineRule="auto"/>
        <w:contextualSpacing/>
        <w:jc w:val="both"/>
        <w:rPr>
          <w:rFonts w:ascii="Verdana" w:eastAsia="Calibri" w:hAnsi="Verdana" w:cs="Arial"/>
          <w:kern w:val="2"/>
          <w:lang w:val="es-ES_tradnl"/>
          <w14:ligatures w14:val="standardContextual"/>
        </w:rPr>
      </w:pPr>
      <w:r w:rsidRPr="00F217FD">
        <w:rPr>
          <w:rFonts w:ascii="Verdana" w:eastAsia="Calibri" w:hAnsi="Verdana" w:cs="Arial"/>
          <w:kern w:val="2"/>
          <w:lang w:val="es-ES_tradnl"/>
          <w14:ligatures w14:val="standardContextual"/>
        </w:rPr>
        <w:t>Debe destacarse que la referida causal es aplicable cuando el proponente no presenta la oferta económica o entrega información de la propuesta económica en el sobre que no corresponde –diferente al sobre de la oferta económica–.</w:t>
      </w:r>
    </w:p>
    <w:p w14:paraId="4146CCE3" w14:textId="77777777" w:rsidR="00F217FD" w:rsidRPr="00F217FD" w:rsidRDefault="00F217FD" w:rsidP="00F217FD">
      <w:pPr>
        <w:spacing w:after="0" w:line="276" w:lineRule="auto"/>
        <w:ind w:left="720"/>
        <w:contextualSpacing/>
        <w:jc w:val="both"/>
        <w:rPr>
          <w:rFonts w:ascii="Verdana" w:eastAsia="Calibri" w:hAnsi="Verdana" w:cs="Arial"/>
          <w:kern w:val="2"/>
          <w:lang w:val="es-ES_tradnl"/>
          <w14:ligatures w14:val="standardContextual"/>
        </w:rPr>
      </w:pPr>
    </w:p>
    <w:p w14:paraId="542EF283" w14:textId="77777777" w:rsidR="00F217FD" w:rsidRPr="00F217FD" w:rsidRDefault="00F217FD" w:rsidP="00F217FD">
      <w:pPr>
        <w:numPr>
          <w:ilvl w:val="0"/>
          <w:numId w:val="23"/>
        </w:numPr>
        <w:spacing w:after="0" w:line="276" w:lineRule="auto"/>
        <w:contextualSpacing/>
        <w:jc w:val="both"/>
        <w:rPr>
          <w:rFonts w:ascii="Verdana" w:eastAsia="Calibri" w:hAnsi="Verdana" w:cs="Arial"/>
          <w:kern w:val="2"/>
          <w:lang w:val="es-ES_tradnl"/>
          <w14:ligatures w14:val="standardContextual"/>
        </w:rPr>
      </w:pPr>
      <w:r w:rsidRPr="00F217FD">
        <w:rPr>
          <w:rFonts w:ascii="Verdana" w:eastAsia="Arial" w:hAnsi="Verdana" w:cs="Arial"/>
          <w:color w:val="000000"/>
          <w:kern w:val="2"/>
          <w14:ligatures w14:val="standardContextual"/>
        </w:rPr>
        <w:t xml:space="preserve">Por otra parte, es importante señalar que, uno de los principios transversales de los procedimientos de selección es el de </w:t>
      </w:r>
      <w:r w:rsidRPr="00F217FD">
        <w:rPr>
          <w:rFonts w:ascii="Verdana" w:eastAsia="Arial" w:hAnsi="Verdana" w:cs="Arial"/>
          <w:i/>
          <w:color w:val="000000"/>
          <w:kern w:val="2"/>
          <w14:ligatures w14:val="standardContextual"/>
        </w:rPr>
        <w:t>selección objetiva</w:t>
      </w:r>
      <w:r w:rsidRPr="00F217FD">
        <w:rPr>
          <w:rFonts w:ascii="Verdana" w:eastAsia="Arial" w:hAnsi="Verdana" w:cs="Arial"/>
          <w:color w:val="000000"/>
          <w:kern w:val="2"/>
          <w14:ligatures w14:val="standardContextual"/>
        </w:rPr>
        <w:t xml:space="preserve">. Se trata del postulado que exige que la escogencia de la oferta ganadora deba fundamentarse en factores objetivos, de carácter técnico, jurídico y financiero, y no en criterios subjetivos, como el afecto, la </w:t>
      </w:r>
      <w:r w:rsidRPr="00F217FD">
        <w:rPr>
          <w:rFonts w:ascii="Verdana" w:eastAsia="Arial" w:hAnsi="Verdana" w:cs="Arial"/>
          <w:color w:val="000000"/>
          <w:kern w:val="2"/>
          <w14:ligatures w14:val="standardContextual"/>
        </w:rPr>
        <w:lastRenderedPageBreak/>
        <w:t>amistad, el ánimo de ayuda, el interés personal, etc. Si bien dentro de la historia de la contratación pública en Colombia se vislumbran antecedentes normativos que consagraban dicho principio</w:t>
      </w:r>
      <w:r w:rsidRPr="00F217FD">
        <w:rPr>
          <w:rFonts w:ascii="Aptos" w:eastAsia="Aptos" w:hAnsi="Aptos" w:cs="Times New Roman"/>
          <w:kern w:val="2"/>
          <w:sz w:val="24"/>
          <w:szCs w:val="24"/>
          <w:vertAlign w:val="superscript"/>
          <w14:ligatures w14:val="standardContextual"/>
        </w:rPr>
        <w:footnoteReference w:id="6"/>
      </w:r>
      <w:r w:rsidRPr="00F217FD">
        <w:rPr>
          <w:rFonts w:ascii="Verdana" w:eastAsia="Arial" w:hAnsi="Verdana" w:cs="Arial"/>
          <w:color w:val="000000"/>
          <w:kern w:val="2"/>
          <w14:ligatures w14:val="standardContextual"/>
        </w:rPr>
        <w:t>, en la actualidad la disposición legal que lo prevé de manera más clara y contundente es el artículo 5 de la Ley 1150 de 2007, modificado por el artículo 88 de la Ley 1474 de 2011 y por el artículo 5 de la Ley 1882 de 2018.</w:t>
      </w:r>
    </w:p>
    <w:p w14:paraId="281A6176" w14:textId="77777777" w:rsidR="00F217FD" w:rsidRPr="00F217FD" w:rsidRDefault="00F217FD" w:rsidP="00F217FD">
      <w:pPr>
        <w:spacing w:line="278" w:lineRule="auto"/>
        <w:ind w:left="720"/>
        <w:contextualSpacing/>
        <w:rPr>
          <w:rFonts w:ascii="Verdana" w:eastAsia="Arial" w:hAnsi="Verdana" w:cs="Arial"/>
          <w:color w:val="000000"/>
          <w:kern w:val="2"/>
          <w14:ligatures w14:val="standardContextual"/>
        </w:rPr>
      </w:pPr>
    </w:p>
    <w:p w14:paraId="1719A57D" w14:textId="77777777" w:rsidR="00F217FD" w:rsidRPr="00F217FD" w:rsidRDefault="00F217FD" w:rsidP="00F217FD">
      <w:pPr>
        <w:numPr>
          <w:ilvl w:val="0"/>
          <w:numId w:val="23"/>
        </w:numPr>
        <w:spacing w:after="0" w:line="276" w:lineRule="auto"/>
        <w:contextualSpacing/>
        <w:jc w:val="both"/>
        <w:rPr>
          <w:rFonts w:ascii="Verdana" w:eastAsia="Calibri" w:hAnsi="Verdana" w:cs="Arial"/>
          <w:kern w:val="2"/>
          <w:lang w:val="es-ES_tradnl"/>
          <w14:ligatures w14:val="standardContextual"/>
        </w:rPr>
      </w:pPr>
      <w:r w:rsidRPr="00F217FD">
        <w:rPr>
          <w:rFonts w:ascii="Verdana" w:eastAsia="Arial" w:hAnsi="Verdana" w:cs="Arial"/>
          <w:color w:val="000000"/>
          <w:kern w:val="2"/>
          <w14:ligatures w14:val="standardContextual"/>
        </w:rPr>
        <w:t>Para garantizar el principio de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w:t>
      </w:r>
    </w:p>
    <w:p w14:paraId="4DEE7A09" w14:textId="77777777" w:rsidR="00F217FD" w:rsidRPr="00F217FD" w:rsidRDefault="00F217FD" w:rsidP="00F217FD">
      <w:pPr>
        <w:spacing w:after="0" w:line="276" w:lineRule="auto"/>
        <w:jc w:val="both"/>
        <w:rPr>
          <w:rFonts w:ascii="Verdana" w:eastAsia="Calibri" w:hAnsi="Verdana" w:cs="Arial"/>
          <w:kern w:val="2"/>
          <w:lang w:val="es-ES_tradnl"/>
          <w14:ligatures w14:val="standardContextual"/>
        </w:rPr>
      </w:pPr>
    </w:p>
    <w:p w14:paraId="50CC8C00" w14:textId="77777777" w:rsidR="00F217FD" w:rsidRPr="00F217FD" w:rsidRDefault="00F217FD" w:rsidP="00F217FD">
      <w:pPr>
        <w:numPr>
          <w:ilvl w:val="0"/>
          <w:numId w:val="23"/>
        </w:numPr>
        <w:spacing w:after="0" w:line="276" w:lineRule="auto"/>
        <w:contextualSpacing/>
        <w:jc w:val="both"/>
        <w:rPr>
          <w:rFonts w:ascii="Verdana" w:eastAsia="Arial" w:hAnsi="Verdana" w:cs="Arial"/>
          <w:color w:val="000000"/>
          <w:kern w:val="2"/>
          <w14:ligatures w14:val="standardContextual"/>
        </w:rPr>
      </w:pPr>
      <w:r w:rsidRPr="00F217FD">
        <w:rPr>
          <w:rFonts w:ascii="Verdana" w:eastAsia="Arial" w:hAnsi="Verdana" w:cs="Arial"/>
          <w:color w:val="000000"/>
          <w:kern w:val="2"/>
          <w14:ligatures w14:val="standardContextual"/>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5223C8F2" w14:textId="77777777" w:rsidR="00F217FD" w:rsidRPr="00F217FD" w:rsidRDefault="00F217FD" w:rsidP="00F217FD">
      <w:pPr>
        <w:spacing w:after="0" w:line="276" w:lineRule="auto"/>
        <w:contextualSpacing/>
        <w:jc w:val="both"/>
        <w:rPr>
          <w:rFonts w:ascii="Verdana" w:eastAsia="Calibri" w:hAnsi="Verdana" w:cs="Arial"/>
          <w:b/>
          <w:kern w:val="2"/>
          <w:lang w:val="es-ES_tradnl" w:eastAsia="es-CO"/>
          <w14:ligatures w14:val="standardContextual"/>
        </w:rPr>
      </w:pPr>
    </w:p>
    <w:p w14:paraId="41E0C9CD" w14:textId="77777777" w:rsidR="00F217FD" w:rsidRPr="00F217FD" w:rsidRDefault="00F217FD" w:rsidP="00F217F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F217FD">
        <w:rPr>
          <w:rFonts w:ascii="Verdana" w:eastAsia="Century Gothic" w:hAnsi="Verdana" w:cs="Century Gothic"/>
          <w:b/>
          <w:bCs/>
          <w:lang w:val="es-ES"/>
        </w:rPr>
        <w:t>Referencias normativas, jurisprudenciales y otras fuentes:</w:t>
      </w:r>
    </w:p>
    <w:p w14:paraId="67AA87CD" w14:textId="77777777" w:rsidR="00F217FD" w:rsidRPr="00F217FD" w:rsidRDefault="00F217FD" w:rsidP="00F217FD">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F217FD" w:rsidRPr="00F217FD" w14:paraId="3B1B9061" w14:textId="77777777" w:rsidTr="00EB1188">
        <w:trPr>
          <w:trHeight w:val="870"/>
        </w:trPr>
        <w:tc>
          <w:tcPr>
            <w:tcW w:w="8647" w:type="dxa"/>
          </w:tcPr>
          <w:p w14:paraId="1428A482" w14:textId="77777777" w:rsidR="00F217FD" w:rsidRPr="00F217FD" w:rsidRDefault="00F217FD" w:rsidP="00F217FD">
            <w:pPr>
              <w:widowControl w:val="0"/>
              <w:numPr>
                <w:ilvl w:val="0"/>
                <w:numId w:val="17"/>
              </w:numPr>
              <w:autoSpaceDE w:val="0"/>
              <w:autoSpaceDN w:val="0"/>
              <w:spacing w:after="120" w:line="276" w:lineRule="auto"/>
              <w:jc w:val="both"/>
              <w:rPr>
                <w:rFonts w:ascii="Verdana" w:eastAsia="Calibri" w:hAnsi="Verdana" w:cs="Arial"/>
              </w:rPr>
            </w:pPr>
            <w:r w:rsidRPr="00F217FD">
              <w:rPr>
                <w:rFonts w:ascii="Verdana" w:eastAsia="Calibri" w:hAnsi="Verdana" w:cs="Arial"/>
              </w:rPr>
              <w:t>Ley 2022 de 2020, artículo 1.</w:t>
            </w:r>
          </w:p>
          <w:p w14:paraId="763BCB51" w14:textId="77777777" w:rsidR="00F217FD" w:rsidRPr="00F217FD" w:rsidRDefault="00F217FD" w:rsidP="00F217FD">
            <w:pPr>
              <w:widowControl w:val="0"/>
              <w:numPr>
                <w:ilvl w:val="0"/>
                <w:numId w:val="17"/>
              </w:numPr>
              <w:autoSpaceDE w:val="0"/>
              <w:autoSpaceDN w:val="0"/>
              <w:spacing w:after="120" w:line="276" w:lineRule="auto"/>
              <w:jc w:val="both"/>
              <w:rPr>
                <w:rFonts w:ascii="Verdana" w:eastAsia="Calibri" w:hAnsi="Verdana" w:cs="Arial"/>
              </w:rPr>
            </w:pPr>
            <w:r w:rsidRPr="00F217FD">
              <w:rPr>
                <w:rFonts w:ascii="Verdana" w:eastAsia="Aptos" w:hAnsi="Verdana" w:cs="Arial"/>
                <w:color w:val="000000"/>
                <w:lang w:val="es-ES_tradnl"/>
              </w:rPr>
              <w:t>Ley 80 de 1993, artículo 25.15.</w:t>
            </w:r>
          </w:p>
          <w:p w14:paraId="6EF3D630" w14:textId="77777777" w:rsidR="00F217FD" w:rsidRPr="00F217FD" w:rsidRDefault="00F217FD" w:rsidP="00F217FD">
            <w:pPr>
              <w:widowControl w:val="0"/>
              <w:numPr>
                <w:ilvl w:val="0"/>
                <w:numId w:val="17"/>
              </w:numPr>
              <w:autoSpaceDE w:val="0"/>
              <w:autoSpaceDN w:val="0"/>
              <w:spacing w:after="120" w:line="276" w:lineRule="auto"/>
              <w:jc w:val="both"/>
              <w:rPr>
                <w:rFonts w:ascii="Verdana" w:eastAsia="Calibri" w:hAnsi="Verdana" w:cs="Arial"/>
              </w:rPr>
            </w:pPr>
            <w:r w:rsidRPr="00F217FD">
              <w:rPr>
                <w:rFonts w:ascii="Verdana" w:eastAsia="Aptos" w:hAnsi="Verdana" w:cs="Arial"/>
                <w:color w:val="000000"/>
                <w:lang w:val="es-ES_tradnl"/>
              </w:rPr>
              <w:t>Ley 1150 de 2007, artículo 5.</w:t>
            </w:r>
          </w:p>
          <w:p w14:paraId="1B6CE1B5" w14:textId="77777777" w:rsidR="00F217FD" w:rsidRPr="00F217FD" w:rsidRDefault="00F217FD" w:rsidP="00F217FD">
            <w:pPr>
              <w:widowControl w:val="0"/>
              <w:numPr>
                <w:ilvl w:val="0"/>
                <w:numId w:val="17"/>
              </w:numPr>
              <w:autoSpaceDE w:val="0"/>
              <w:autoSpaceDN w:val="0"/>
              <w:spacing w:after="120" w:line="276" w:lineRule="auto"/>
              <w:jc w:val="both"/>
              <w:rPr>
                <w:rFonts w:ascii="Verdana" w:eastAsia="Calibri" w:hAnsi="Verdana" w:cs="Arial"/>
              </w:rPr>
            </w:pPr>
            <w:r w:rsidRPr="00F217FD">
              <w:rPr>
                <w:rFonts w:ascii="Verdana" w:eastAsia="Calibri" w:hAnsi="Verdana" w:cs="Arial"/>
              </w:rPr>
              <w:t>Documentos tipo de licitación de obra pública de infraestructura de transporte –versión 3–. Resolución 240 de 2020 de la Agencia Nacional de Contratación Pública – Colombia Compra Eficiente. Disponible en:</w:t>
            </w:r>
            <w:r w:rsidRPr="00F217FD">
              <w:rPr>
                <w:rFonts w:ascii="Aptos" w:eastAsia="Aptos" w:hAnsi="Aptos" w:cs="Times New Roman"/>
                <w:lang w:val="es-ES_tradnl"/>
              </w:rPr>
              <w:t xml:space="preserve"> </w:t>
            </w:r>
            <w:hyperlink r:id="rId11" w:history="1">
              <w:r w:rsidRPr="00F217FD">
                <w:rPr>
                  <w:rFonts w:ascii="Verdana" w:eastAsia="Calibri" w:hAnsi="Verdana" w:cs="Arial"/>
                  <w:color w:val="0000FF"/>
                  <w:u w:val="single"/>
                </w:rPr>
                <w:t>https://www.colombiacompra.gov.co/content/04-documentos-tipo-para-licitacion-de-obra-publica-de-infraestructura-de-transporte-version</w:t>
              </w:r>
            </w:hyperlink>
            <w:r w:rsidRPr="00F217FD">
              <w:rPr>
                <w:rFonts w:ascii="Verdana" w:eastAsia="Calibri" w:hAnsi="Verdana" w:cs="Arial"/>
              </w:rPr>
              <w:t xml:space="preserve"> </w:t>
            </w:r>
          </w:p>
        </w:tc>
      </w:tr>
    </w:tbl>
    <w:p w14:paraId="2B7EB8D9" w14:textId="77777777" w:rsidR="00F217FD" w:rsidRPr="00F217FD" w:rsidRDefault="00F217FD" w:rsidP="00F217FD">
      <w:pPr>
        <w:widowControl w:val="0"/>
        <w:autoSpaceDE w:val="0"/>
        <w:autoSpaceDN w:val="0"/>
        <w:spacing w:after="0" w:line="276" w:lineRule="auto"/>
        <w:jc w:val="both"/>
        <w:rPr>
          <w:rFonts w:ascii="Verdana" w:eastAsia="Calibri" w:hAnsi="Verdana" w:cs="Arial"/>
        </w:rPr>
      </w:pPr>
    </w:p>
    <w:p w14:paraId="37862DFB" w14:textId="77777777" w:rsidR="00F217FD" w:rsidRPr="00F217FD" w:rsidRDefault="00F217FD" w:rsidP="00F217F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F217FD">
        <w:rPr>
          <w:rFonts w:ascii="Verdana" w:eastAsia="Century Gothic" w:hAnsi="Verdana" w:cs="Century Gothic"/>
          <w:b/>
          <w:bCs/>
          <w:lang w:val="es-ES"/>
        </w:rPr>
        <w:t>Doctrina de la Agencia Nacional de Contratación Pública:</w:t>
      </w:r>
    </w:p>
    <w:p w14:paraId="319EC529" w14:textId="77777777" w:rsidR="00F217FD" w:rsidRPr="00F217FD" w:rsidRDefault="00F217FD" w:rsidP="00F217FD">
      <w:pPr>
        <w:widowControl w:val="0"/>
        <w:autoSpaceDE w:val="0"/>
        <w:autoSpaceDN w:val="0"/>
        <w:spacing w:after="0" w:line="276" w:lineRule="auto"/>
        <w:jc w:val="both"/>
        <w:rPr>
          <w:rFonts w:ascii="Verdana" w:eastAsia="Calibri" w:hAnsi="Verdana" w:cs="Arial"/>
        </w:rPr>
      </w:pPr>
    </w:p>
    <w:p w14:paraId="32FE7A9B" w14:textId="77777777" w:rsidR="00F217FD" w:rsidRPr="00F217FD" w:rsidRDefault="00F217FD" w:rsidP="00F217FD">
      <w:pPr>
        <w:widowControl w:val="0"/>
        <w:autoSpaceDE w:val="0"/>
        <w:autoSpaceDN w:val="0"/>
        <w:spacing w:after="0" w:line="276" w:lineRule="auto"/>
        <w:jc w:val="both"/>
        <w:rPr>
          <w:rFonts w:ascii="Verdana" w:eastAsia="Calibri" w:hAnsi="Verdana" w:cs="Arial"/>
          <w:shd w:val="clear" w:color="auto" w:fill="FFFFFF"/>
          <w:lang w:val="es-ES"/>
        </w:rPr>
      </w:pPr>
      <w:r w:rsidRPr="00F217FD">
        <w:rPr>
          <w:rFonts w:ascii="Verdana" w:eastAsia="Calibri" w:hAnsi="Verdana" w:cs="Arial"/>
          <w:shd w:val="clear" w:color="auto" w:fill="FFFFFF"/>
          <w:lang w:val="es-ES"/>
        </w:rPr>
        <w:t>La Agencia Nacional de Contratación Pública − Colombia Compra Eficiente se pronunció sobre las causales de rechazo incorporadas en los pliegos de condiciones,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entre otros. Es</w:t>
      </w:r>
      <w:r w:rsidRPr="00F217FD">
        <w:rPr>
          <w:rFonts w:ascii="Verdana" w:eastAsia="Calibri" w:hAnsi="Verdana" w:cs="Times New Roman"/>
        </w:rPr>
        <w:t>tos y otros conceptos se encuentran disponibles para consulta en el sistema de relatoría de la Agencia, al cual se puede acceder a través del siguiente enlace:</w:t>
      </w:r>
      <w:r w:rsidRPr="00F217FD">
        <w:rPr>
          <w:rFonts w:ascii="Verdana" w:eastAsia="Calibri" w:hAnsi="Verdana" w:cs="Arial"/>
          <w:shd w:val="clear" w:color="auto" w:fill="FFFFFF"/>
          <w:lang w:val="es-ES"/>
        </w:rPr>
        <w:t xml:space="preserve"> </w:t>
      </w:r>
      <w:hyperlink r:id="rId12" w:history="1">
        <w:r w:rsidRPr="00F217FD">
          <w:rPr>
            <w:rFonts w:ascii="Verdana" w:eastAsia="Calibri" w:hAnsi="Verdana" w:cs="Arial"/>
            <w:u w:val="single"/>
            <w:shd w:val="clear" w:color="auto" w:fill="FFFFFF"/>
            <w:lang w:val="es-ES"/>
          </w:rPr>
          <w:t>https://relatoria.colombiacompra.gov.co/busqueda/conceptos</w:t>
        </w:r>
      </w:hyperlink>
      <w:r w:rsidRPr="00F217FD">
        <w:rPr>
          <w:rFonts w:ascii="Verdana" w:eastAsia="Calibri" w:hAnsi="Verdana" w:cs="Arial"/>
          <w:shd w:val="clear" w:color="auto" w:fill="FFFFFF"/>
          <w:lang w:val="es-ES"/>
        </w:rPr>
        <w:t xml:space="preserve">. </w:t>
      </w:r>
    </w:p>
    <w:p w14:paraId="67B25570" w14:textId="77777777" w:rsidR="00F217FD" w:rsidRPr="00F217FD" w:rsidRDefault="00F217FD" w:rsidP="00F217FD">
      <w:pPr>
        <w:widowControl w:val="0"/>
        <w:autoSpaceDE w:val="0"/>
        <w:autoSpaceDN w:val="0"/>
        <w:spacing w:after="0" w:line="276" w:lineRule="auto"/>
        <w:jc w:val="both"/>
        <w:rPr>
          <w:rFonts w:ascii="Verdana" w:eastAsia="Calibri" w:hAnsi="Verdana" w:cs="Arial"/>
          <w:shd w:val="clear" w:color="auto" w:fill="FFFFFF"/>
          <w:lang w:val="es-ES"/>
        </w:rPr>
      </w:pPr>
    </w:p>
    <w:p w14:paraId="3F848E51" w14:textId="77777777" w:rsidR="00F217FD" w:rsidRPr="00F217FD" w:rsidRDefault="00F217FD" w:rsidP="00F217FD">
      <w:pPr>
        <w:widowControl w:val="0"/>
        <w:autoSpaceDE w:val="0"/>
        <w:autoSpaceDN w:val="0"/>
        <w:spacing w:after="0" w:line="276" w:lineRule="auto"/>
        <w:jc w:val="both"/>
        <w:rPr>
          <w:rFonts w:ascii="Verdana" w:eastAsia="Calibri" w:hAnsi="Verdana" w:cs="Arial"/>
          <w:shd w:val="clear" w:color="auto" w:fill="FFFFFF"/>
          <w:lang w:val="es-ES"/>
        </w:rPr>
      </w:pPr>
      <w:r w:rsidRPr="00F217FD">
        <w:rPr>
          <w:rFonts w:ascii="Verdana" w:eastAsia="Calibri"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3" w:history="1">
        <w:r w:rsidRPr="00F217FD">
          <w:rPr>
            <w:rFonts w:ascii="Verdana" w:eastAsia="Calibri" w:hAnsi="Verdana" w:cs="Arial"/>
            <w:u w:val="single"/>
            <w:shd w:val="clear" w:color="auto" w:fill="FFFFFF"/>
            <w:lang w:val="es-ES"/>
          </w:rPr>
          <w:t>https://www.colombiacompra.gov.co/sala-de-prensa/boletin-digital</w:t>
        </w:r>
      </w:hyperlink>
      <w:r w:rsidRPr="00F217FD">
        <w:rPr>
          <w:rFonts w:ascii="Verdana" w:eastAsia="Calibri" w:hAnsi="Verdana" w:cs="Arial"/>
          <w:shd w:val="clear" w:color="auto" w:fill="FFFFFF"/>
          <w:lang w:val="es-ES"/>
        </w:rPr>
        <w:t xml:space="preserve">   </w:t>
      </w:r>
    </w:p>
    <w:p w14:paraId="5B549117" w14:textId="77777777" w:rsidR="00F217FD" w:rsidRPr="00F217FD" w:rsidRDefault="00F217FD" w:rsidP="00F217FD">
      <w:pPr>
        <w:widowControl w:val="0"/>
        <w:autoSpaceDE w:val="0"/>
        <w:autoSpaceDN w:val="0"/>
        <w:spacing w:after="0" w:line="276" w:lineRule="auto"/>
        <w:jc w:val="both"/>
        <w:rPr>
          <w:rFonts w:ascii="Verdana" w:eastAsia="Calibri" w:hAnsi="Verdana" w:cs="Arial"/>
          <w:shd w:val="clear" w:color="auto" w:fill="FFFFFF"/>
          <w:lang w:val="es-ES"/>
        </w:rPr>
      </w:pPr>
    </w:p>
    <w:p w14:paraId="564F0D20" w14:textId="77777777" w:rsidR="00F217FD" w:rsidRPr="00F217FD" w:rsidRDefault="00F217FD" w:rsidP="00F217FD">
      <w:pPr>
        <w:spacing w:after="0" w:line="240" w:lineRule="auto"/>
        <w:jc w:val="both"/>
        <w:rPr>
          <w:rFonts w:ascii="Verdana" w:eastAsia="Calibri" w:hAnsi="Verdana" w:cs="Times New Roman"/>
        </w:rPr>
      </w:pPr>
      <w:r w:rsidRPr="00F217FD">
        <w:rPr>
          <w:rFonts w:ascii="Verdana" w:eastAsia="Calibri" w:hAnsi="Verdana" w:cs="Times New Roman"/>
        </w:rPr>
        <w:t xml:space="preserve">Por último, los invitamos a seguirnos en las redes sociales, en las cuales se difunde información institucional: </w:t>
      </w:r>
    </w:p>
    <w:p w14:paraId="31B76270" w14:textId="77777777" w:rsidR="00F217FD" w:rsidRPr="00F217FD" w:rsidRDefault="00F217FD" w:rsidP="00F217FD">
      <w:pPr>
        <w:spacing w:after="0" w:line="240" w:lineRule="auto"/>
        <w:jc w:val="both"/>
        <w:rPr>
          <w:rFonts w:ascii="Verdana" w:eastAsia="Calibri" w:hAnsi="Verdana" w:cs="Times New Roman"/>
        </w:rPr>
      </w:pPr>
    </w:p>
    <w:p w14:paraId="6348260C" w14:textId="77777777" w:rsidR="00F217FD" w:rsidRPr="00F217FD" w:rsidRDefault="00F217FD" w:rsidP="00F217FD">
      <w:pPr>
        <w:spacing w:after="0" w:line="240" w:lineRule="auto"/>
        <w:jc w:val="both"/>
        <w:rPr>
          <w:rFonts w:ascii="Verdana" w:eastAsia="Calibri" w:hAnsi="Verdana" w:cs="Times New Roman"/>
        </w:rPr>
      </w:pPr>
      <w:r w:rsidRPr="00F217FD">
        <w:rPr>
          <w:rFonts w:ascii="Verdana" w:eastAsia="Calibri" w:hAnsi="Verdana" w:cs="Times New Roman"/>
        </w:rPr>
        <w:t xml:space="preserve">Twitter: </w:t>
      </w:r>
      <w:r w:rsidRPr="00F217FD">
        <w:rPr>
          <w:rFonts w:ascii="Verdana" w:eastAsia="Calibri" w:hAnsi="Verdana" w:cs="Times New Roman"/>
          <w:u w:val="single"/>
        </w:rPr>
        <w:t>@colombiacompra</w:t>
      </w:r>
      <w:r w:rsidRPr="00F217FD">
        <w:rPr>
          <w:rFonts w:ascii="Verdana" w:eastAsia="Calibri" w:hAnsi="Verdana" w:cs="Times New Roman"/>
        </w:rPr>
        <w:t xml:space="preserve"> </w:t>
      </w:r>
    </w:p>
    <w:p w14:paraId="61E87F83" w14:textId="77777777" w:rsidR="00F217FD" w:rsidRPr="00F217FD" w:rsidRDefault="00F217FD" w:rsidP="00F217FD">
      <w:pPr>
        <w:spacing w:after="0" w:line="240" w:lineRule="auto"/>
        <w:jc w:val="both"/>
        <w:rPr>
          <w:rFonts w:ascii="Verdana" w:eastAsia="Calibri" w:hAnsi="Verdana" w:cs="Times New Roman"/>
        </w:rPr>
      </w:pPr>
      <w:r w:rsidRPr="00F217FD">
        <w:rPr>
          <w:rFonts w:ascii="Verdana" w:eastAsia="Calibri" w:hAnsi="Verdana" w:cs="Times New Roman"/>
        </w:rPr>
        <w:t xml:space="preserve">Facebook: </w:t>
      </w:r>
      <w:r w:rsidRPr="00F217FD">
        <w:rPr>
          <w:rFonts w:ascii="Verdana" w:eastAsia="Calibri" w:hAnsi="Verdana" w:cs="Times New Roman"/>
          <w:u w:val="single"/>
        </w:rPr>
        <w:t>ColombiaCompraEficiente</w:t>
      </w:r>
    </w:p>
    <w:p w14:paraId="2F70A6AC" w14:textId="77777777" w:rsidR="00F217FD" w:rsidRPr="00F217FD" w:rsidRDefault="00F217FD" w:rsidP="00F217FD">
      <w:pPr>
        <w:spacing w:after="0" w:line="240" w:lineRule="auto"/>
        <w:jc w:val="both"/>
        <w:rPr>
          <w:rFonts w:ascii="Verdana" w:eastAsia="Calibri" w:hAnsi="Verdana" w:cs="Times New Roman"/>
        </w:rPr>
      </w:pPr>
      <w:r w:rsidRPr="00F217FD">
        <w:rPr>
          <w:rFonts w:ascii="Verdana" w:eastAsia="Calibri" w:hAnsi="Verdana" w:cs="Times New Roman"/>
        </w:rPr>
        <w:t xml:space="preserve">LinkedIn: </w:t>
      </w:r>
      <w:r w:rsidRPr="00F217FD">
        <w:rPr>
          <w:rFonts w:ascii="Verdana" w:eastAsia="Calibri" w:hAnsi="Verdana" w:cs="Times New Roman"/>
          <w:u w:val="single"/>
        </w:rPr>
        <w:t>Agencia Nacional de Contratación Pública - Colombia Compra Eficiente</w:t>
      </w:r>
      <w:r w:rsidRPr="00F217FD">
        <w:rPr>
          <w:rFonts w:ascii="Verdana" w:eastAsia="Calibri" w:hAnsi="Verdana" w:cs="Times New Roman"/>
        </w:rPr>
        <w:t xml:space="preserve"> Instagram: </w:t>
      </w:r>
      <w:r w:rsidRPr="00F217FD">
        <w:rPr>
          <w:rFonts w:ascii="Verdana" w:eastAsia="Calibri" w:hAnsi="Verdana" w:cs="Times New Roman"/>
          <w:u w:val="single"/>
        </w:rPr>
        <w:t>@colombiacompraeficiente_cce</w:t>
      </w:r>
    </w:p>
    <w:p w14:paraId="0FB6E569" w14:textId="77777777" w:rsidR="00F217FD" w:rsidRPr="00F217FD" w:rsidRDefault="00F217FD" w:rsidP="00F217FD">
      <w:pPr>
        <w:widowControl w:val="0"/>
        <w:autoSpaceDE w:val="0"/>
        <w:autoSpaceDN w:val="0"/>
        <w:spacing w:after="0" w:line="276" w:lineRule="auto"/>
        <w:jc w:val="both"/>
        <w:rPr>
          <w:rFonts w:ascii="Verdana" w:eastAsia="Calibri" w:hAnsi="Verdana" w:cs="Arial"/>
        </w:rPr>
      </w:pPr>
    </w:p>
    <w:p w14:paraId="768BA736" w14:textId="77777777" w:rsidR="00F217FD" w:rsidRPr="00F217FD" w:rsidRDefault="00F217FD" w:rsidP="00F217FD">
      <w:pPr>
        <w:widowControl w:val="0"/>
        <w:autoSpaceDE w:val="0"/>
        <w:autoSpaceDN w:val="0"/>
        <w:spacing w:after="0" w:line="276" w:lineRule="auto"/>
        <w:jc w:val="both"/>
        <w:rPr>
          <w:rFonts w:ascii="Verdana" w:eastAsia="Calibri" w:hAnsi="Verdana" w:cs="Arial"/>
        </w:rPr>
      </w:pPr>
      <w:r w:rsidRPr="00F217FD">
        <w:rPr>
          <w:rFonts w:ascii="Verdana" w:eastAsia="Calibri" w:hAnsi="Verdana" w:cs="Arial"/>
        </w:rPr>
        <w:t xml:space="preserve">Anexo al presente concepto encontrará la respuesta emitida por parte de la Subdirección de Información y Desarrollo Tecnológico de </w:t>
      </w:r>
      <w:r w:rsidRPr="00F217FD">
        <w:rPr>
          <w:rFonts w:ascii="Verdana" w:eastAsia="Calibri" w:hAnsi="Verdana" w:cs="Arial"/>
        </w:rPr>
        <w:tab/>
        <w:t>esta Agencia, que complementa las presentes consideraciones, con el fin de responder su solicitud.</w:t>
      </w:r>
    </w:p>
    <w:p w14:paraId="669ABA0D" w14:textId="77777777" w:rsidR="00F217FD" w:rsidRPr="00F217FD" w:rsidRDefault="00F217FD" w:rsidP="00F217FD">
      <w:pPr>
        <w:widowControl w:val="0"/>
        <w:autoSpaceDE w:val="0"/>
        <w:autoSpaceDN w:val="0"/>
        <w:spacing w:after="0" w:line="276" w:lineRule="auto"/>
        <w:jc w:val="both"/>
        <w:rPr>
          <w:rFonts w:ascii="Verdana" w:eastAsia="Calibri" w:hAnsi="Verdana" w:cs="Arial"/>
        </w:rPr>
      </w:pPr>
    </w:p>
    <w:p w14:paraId="58E0733E" w14:textId="77777777" w:rsidR="00F217FD" w:rsidRPr="00F217FD" w:rsidRDefault="00F217FD" w:rsidP="00F217FD">
      <w:pPr>
        <w:widowControl w:val="0"/>
        <w:autoSpaceDE w:val="0"/>
        <w:autoSpaceDN w:val="0"/>
        <w:spacing w:after="0" w:line="276" w:lineRule="auto"/>
        <w:jc w:val="both"/>
        <w:rPr>
          <w:rFonts w:ascii="Verdana" w:eastAsia="Calibri" w:hAnsi="Verdana" w:cs="Arial"/>
          <w:lang w:val="es-ES_tradnl"/>
        </w:rPr>
      </w:pPr>
      <w:r w:rsidRPr="00F217FD">
        <w:rPr>
          <w:rFonts w:ascii="Verdana" w:eastAsia="Calibri" w:hAnsi="Verdana" w:cs="Arial"/>
        </w:rPr>
        <w:t xml:space="preserve">Este concepto tiene el alcance previsto en el artículo 28 del Código de Procedimiento Administrativo y de lo Contencioso Administrativo </w:t>
      </w:r>
      <w:r w:rsidRPr="00F217FD">
        <w:rPr>
          <w:rFonts w:ascii="Verdana" w:eastAsia="Calibri" w:hAnsi="Verdana" w:cs="Arial"/>
          <w:lang w:val="es-ES_tradnl"/>
        </w:rPr>
        <w:t>y las expresiones aquí utilizadas con mayúscula inicial deben ser entendidas con el significado que les otorga el artículo 2.2.1.1.1.3.1. del Decreto 1082 de 2015.</w:t>
      </w:r>
    </w:p>
    <w:p w14:paraId="35B1E84B" w14:textId="77777777" w:rsidR="00F217FD" w:rsidRPr="00F217FD" w:rsidRDefault="00F217FD" w:rsidP="00F217FD">
      <w:pPr>
        <w:widowControl w:val="0"/>
        <w:autoSpaceDE w:val="0"/>
        <w:autoSpaceDN w:val="0"/>
        <w:spacing w:after="0" w:line="276" w:lineRule="auto"/>
        <w:jc w:val="both"/>
        <w:rPr>
          <w:rFonts w:ascii="Verdana" w:eastAsia="Calibri" w:hAnsi="Verdana" w:cs="Arial"/>
        </w:rPr>
      </w:pPr>
    </w:p>
    <w:p w14:paraId="052945C3" w14:textId="77777777" w:rsidR="00F217FD" w:rsidRPr="00F217FD" w:rsidRDefault="00F217FD" w:rsidP="00F217FD">
      <w:pPr>
        <w:spacing w:after="0" w:line="240" w:lineRule="auto"/>
        <w:rPr>
          <w:rFonts w:ascii="Verdana" w:eastAsia="Calibri" w:hAnsi="Verdana" w:cs="Arial"/>
          <w:lang w:eastAsia="es-CO"/>
        </w:rPr>
      </w:pPr>
      <w:r w:rsidRPr="00F217FD">
        <w:rPr>
          <w:rFonts w:ascii="Verdana" w:eastAsia="Times New Roman" w:hAnsi="Verdana" w:cs="Arial"/>
          <w:lang w:eastAsia="es-CO"/>
        </w:rPr>
        <w:t>Atentamente,</w:t>
      </w:r>
      <w:r w:rsidRPr="00F217FD">
        <w:rPr>
          <w:rFonts w:ascii="Verdana" w:eastAsia="Calibri" w:hAnsi="Verdana" w:cs="Arial"/>
          <w:lang w:eastAsia="es-CO"/>
        </w:rPr>
        <w:t xml:space="preserve"> </w:t>
      </w:r>
    </w:p>
    <w:p w14:paraId="1B660C61" w14:textId="4DCD7DE3" w:rsidR="00F217FD" w:rsidRPr="00F217FD" w:rsidRDefault="0020496B" w:rsidP="00F217FD">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5F634115" wp14:editId="7DC4B7B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217FD" w:rsidRPr="00F217FD" w14:paraId="266CCDFF" w14:textId="77777777" w:rsidTr="00EB1188">
        <w:trPr>
          <w:trHeight w:val="315"/>
        </w:trPr>
        <w:tc>
          <w:tcPr>
            <w:tcW w:w="893" w:type="dxa"/>
            <w:vAlign w:val="center"/>
            <w:hideMark/>
          </w:tcPr>
          <w:p w14:paraId="34F5A41B" w14:textId="77777777" w:rsidR="00F217FD" w:rsidRPr="00F217FD" w:rsidRDefault="00F217FD" w:rsidP="00F217FD">
            <w:pPr>
              <w:rPr>
                <w:rFonts w:ascii="Verdana" w:eastAsia="Calibri" w:hAnsi="Verdana" w:cs="Arial"/>
                <w:sz w:val="16"/>
                <w:szCs w:val="16"/>
                <w:lang w:val="es-ES" w:eastAsia="es-ES"/>
              </w:rPr>
            </w:pPr>
            <w:r w:rsidRPr="00F217FD">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4EA5627F" w14:textId="77777777" w:rsidR="00F217FD" w:rsidRPr="00F217FD" w:rsidRDefault="00F217FD" w:rsidP="00F217FD">
            <w:pPr>
              <w:rPr>
                <w:rFonts w:ascii="Verdana" w:eastAsia="Arial" w:hAnsi="Verdana" w:cs="Arial"/>
                <w:sz w:val="16"/>
                <w:szCs w:val="16"/>
              </w:rPr>
            </w:pPr>
            <w:r w:rsidRPr="00F217FD">
              <w:rPr>
                <w:rFonts w:ascii="Verdana" w:eastAsia="Arial" w:hAnsi="Verdana" w:cs="Arial"/>
                <w:sz w:val="16"/>
                <w:szCs w:val="16"/>
              </w:rPr>
              <w:t>Kevin Arlid Herrera Santa</w:t>
            </w:r>
          </w:p>
          <w:p w14:paraId="39C06EF0" w14:textId="77777777" w:rsidR="00F217FD" w:rsidRPr="00F217FD" w:rsidRDefault="00F217FD" w:rsidP="00F217FD">
            <w:pPr>
              <w:rPr>
                <w:rFonts w:ascii="Verdana" w:eastAsia="Arial" w:hAnsi="Verdana" w:cs="Arial"/>
                <w:sz w:val="16"/>
                <w:szCs w:val="16"/>
              </w:rPr>
            </w:pPr>
            <w:r w:rsidRPr="00F217FD">
              <w:rPr>
                <w:rFonts w:ascii="Verdana" w:eastAsia="Arial" w:hAnsi="Verdana" w:cs="Arial"/>
                <w:sz w:val="16"/>
                <w:szCs w:val="16"/>
              </w:rPr>
              <w:t>Contratista de la Subdirección de Gestión Contractual</w:t>
            </w:r>
          </w:p>
        </w:tc>
      </w:tr>
      <w:tr w:rsidR="00F217FD" w:rsidRPr="00F217FD" w14:paraId="3804D9BB" w14:textId="77777777" w:rsidTr="00EB1188">
        <w:trPr>
          <w:trHeight w:val="330"/>
        </w:trPr>
        <w:tc>
          <w:tcPr>
            <w:tcW w:w="893" w:type="dxa"/>
            <w:vAlign w:val="center"/>
            <w:hideMark/>
          </w:tcPr>
          <w:p w14:paraId="37277D30" w14:textId="77777777" w:rsidR="00F217FD" w:rsidRPr="00F217FD" w:rsidRDefault="00F217FD" w:rsidP="00F217FD">
            <w:pPr>
              <w:rPr>
                <w:rFonts w:ascii="Verdana" w:eastAsia="Calibri" w:hAnsi="Verdana" w:cs="Arial"/>
                <w:sz w:val="16"/>
                <w:szCs w:val="16"/>
                <w:lang w:val="es-ES" w:eastAsia="es-ES"/>
              </w:rPr>
            </w:pPr>
            <w:r w:rsidRPr="00F217FD">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00FA7435" w14:textId="77777777" w:rsidR="00F217FD" w:rsidRPr="00F217FD" w:rsidRDefault="00F217FD" w:rsidP="00F217FD">
            <w:pPr>
              <w:textAlignment w:val="baseline"/>
              <w:rPr>
                <w:rFonts w:ascii="Verdana" w:eastAsia="Times New Roman" w:hAnsi="Verdana" w:cs="Segoe UI"/>
                <w:sz w:val="16"/>
                <w:szCs w:val="16"/>
                <w:lang w:eastAsia="es-ES_tradnl"/>
              </w:rPr>
            </w:pPr>
            <w:r w:rsidRPr="00F217FD">
              <w:rPr>
                <w:rFonts w:ascii="Verdana" w:eastAsia="Times New Roman" w:hAnsi="Verdana" w:cs="Segoe UI"/>
                <w:sz w:val="16"/>
                <w:szCs w:val="16"/>
                <w:lang w:eastAsia="es-ES_tradnl"/>
              </w:rPr>
              <w:t>Juan David Cárdenas Cabeza</w:t>
            </w:r>
          </w:p>
          <w:p w14:paraId="2348B999" w14:textId="77777777" w:rsidR="00F217FD" w:rsidRPr="00F217FD" w:rsidRDefault="00F217FD" w:rsidP="00F217FD">
            <w:pPr>
              <w:textAlignment w:val="baseline"/>
              <w:rPr>
                <w:rFonts w:ascii="Verdana" w:eastAsia="Times New Roman" w:hAnsi="Verdana" w:cs="Segoe UI"/>
                <w:sz w:val="16"/>
                <w:szCs w:val="16"/>
                <w:lang w:eastAsia="es-ES_tradnl"/>
              </w:rPr>
            </w:pPr>
            <w:r w:rsidRPr="00F217FD">
              <w:rPr>
                <w:rFonts w:ascii="Verdana" w:eastAsia="Times New Roman" w:hAnsi="Verdana" w:cs="Arial"/>
                <w:sz w:val="16"/>
                <w:szCs w:val="16"/>
                <w:lang w:val="es-ES" w:eastAsia="es-ES_tradnl"/>
              </w:rPr>
              <w:t>Contratista de la Subdirección de Gestión Contractual</w:t>
            </w:r>
            <w:r w:rsidRPr="00F217FD">
              <w:rPr>
                <w:rFonts w:ascii="Verdana" w:eastAsia="Times New Roman" w:hAnsi="Verdana" w:cs="Arial"/>
                <w:sz w:val="16"/>
                <w:szCs w:val="16"/>
                <w:lang w:eastAsia="es-ES_tradnl"/>
              </w:rPr>
              <w:t> </w:t>
            </w:r>
          </w:p>
        </w:tc>
      </w:tr>
      <w:tr w:rsidR="00F217FD" w:rsidRPr="00F217FD" w14:paraId="35F59F19" w14:textId="77777777" w:rsidTr="00EB1188">
        <w:trPr>
          <w:trHeight w:val="300"/>
        </w:trPr>
        <w:tc>
          <w:tcPr>
            <w:tcW w:w="893" w:type="dxa"/>
            <w:vAlign w:val="center"/>
          </w:tcPr>
          <w:p w14:paraId="2D21B449" w14:textId="77777777" w:rsidR="00F217FD" w:rsidRPr="00F217FD" w:rsidRDefault="00F217FD" w:rsidP="00F217FD">
            <w:pPr>
              <w:rPr>
                <w:rFonts w:ascii="Verdana" w:eastAsia="Calibri" w:hAnsi="Verdana" w:cs="Arial"/>
                <w:sz w:val="16"/>
                <w:szCs w:val="16"/>
                <w:lang w:val="es-ES" w:eastAsia="es-ES"/>
              </w:rPr>
            </w:pPr>
            <w:r w:rsidRPr="00F217FD">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10E327C" w14:textId="77777777" w:rsidR="00F217FD" w:rsidRPr="00F217FD" w:rsidRDefault="00F217FD" w:rsidP="00F217FD">
            <w:pPr>
              <w:rPr>
                <w:rFonts w:ascii="Verdana" w:eastAsia="Calibri" w:hAnsi="Verdana" w:cs="Arial"/>
                <w:sz w:val="16"/>
                <w:szCs w:val="16"/>
                <w:lang w:val="pt-BR" w:eastAsia="es-ES"/>
              </w:rPr>
            </w:pPr>
            <w:r w:rsidRPr="00F217FD">
              <w:rPr>
                <w:rFonts w:ascii="Verdana" w:eastAsia="Calibri" w:hAnsi="Verdana" w:cs="Arial"/>
                <w:sz w:val="16"/>
                <w:szCs w:val="16"/>
                <w:lang w:val="pt-BR" w:eastAsia="es-ES"/>
              </w:rPr>
              <w:t>Carolina Quintero Gacharná</w:t>
            </w:r>
          </w:p>
          <w:p w14:paraId="18B369FC" w14:textId="77777777" w:rsidR="00F217FD" w:rsidRPr="00F217FD" w:rsidRDefault="00F217FD" w:rsidP="00F217FD">
            <w:pPr>
              <w:rPr>
                <w:rFonts w:ascii="Verdana" w:eastAsia="Calibri" w:hAnsi="Verdana" w:cs="Arial"/>
                <w:sz w:val="16"/>
                <w:szCs w:val="16"/>
                <w:lang w:val="pt-BR" w:eastAsia="es-ES"/>
              </w:rPr>
            </w:pPr>
            <w:r w:rsidRPr="00F217FD">
              <w:rPr>
                <w:rFonts w:ascii="Verdana" w:eastAsia="Calibri" w:hAnsi="Verdana" w:cs="Arial"/>
                <w:sz w:val="16"/>
                <w:szCs w:val="16"/>
                <w:lang w:eastAsia="es-ES"/>
              </w:rPr>
              <w:t>Subdirectora</w:t>
            </w:r>
            <w:r w:rsidRPr="00F217FD">
              <w:rPr>
                <w:rFonts w:ascii="Verdana" w:eastAsia="Calibri" w:hAnsi="Verdana" w:cs="Arial"/>
                <w:sz w:val="16"/>
                <w:szCs w:val="16"/>
                <w:lang w:val="pt-BR" w:eastAsia="es-ES"/>
              </w:rPr>
              <w:t xml:space="preserve"> de Gestión Contratual ANCP – CCE</w:t>
            </w:r>
          </w:p>
        </w:tc>
      </w:tr>
    </w:tbl>
    <w:p w14:paraId="2AE54A0D" w14:textId="42BE1AF8" w:rsidR="00F217FD" w:rsidRPr="00F217FD" w:rsidRDefault="008059A9" w:rsidP="008059A9">
      <w:pPr>
        <w:spacing w:after="0"/>
        <w:rPr>
          <w:rFonts w:ascii="Verdana" w:eastAsia="Calibri" w:hAnsi="Verdana" w:cs="Arial"/>
          <w:sz w:val="16"/>
          <w:szCs w:val="16"/>
        </w:rPr>
      </w:pPr>
      <w:r>
        <w:rPr>
          <w:rFonts w:ascii="Verdana" w:eastAsia="Calibri" w:hAnsi="Verdana" w:cs="Arial"/>
          <w:sz w:val="16"/>
          <w:szCs w:val="16"/>
        </w:rPr>
        <w:t xml:space="preserve">  </w:t>
      </w:r>
      <w:r w:rsidR="00F217FD" w:rsidRPr="00F217FD">
        <w:rPr>
          <w:rFonts w:ascii="Verdana" w:eastAsia="Calibri" w:hAnsi="Verdana" w:cs="Arial"/>
          <w:sz w:val="16"/>
          <w:szCs w:val="16"/>
        </w:rPr>
        <w:t xml:space="preserve">Anexo: </w:t>
      </w:r>
      <w:r>
        <w:rPr>
          <w:rFonts w:ascii="Verdana" w:eastAsia="Calibri" w:hAnsi="Verdana" w:cs="Arial"/>
          <w:sz w:val="16"/>
          <w:szCs w:val="16"/>
        </w:rPr>
        <w:t xml:space="preserve">     </w:t>
      </w:r>
      <w:r w:rsidR="00F217FD" w:rsidRPr="00F217FD">
        <w:rPr>
          <w:rFonts w:ascii="Verdana" w:eastAsia="Calibri" w:hAnsi="Verdana" w:cs="Arial"/>
          <w:sz w:val="16"/>
          <w:szCs w:val="16"/>
        </w:rPr>
        <w:t>Respuesta de la Subdirección de Información y Desarrollo Tecnológico</w:t>
      </w:r>
    </w:p>
    <w:p w14:paraId="3956AD4A" w14:textId="77777777" w:rsidR="00F217FD" w:rsidRPr="00F217FD" w:rsidRDefault="00F217FD" w:rsidP="00F217FD">
      <w:pPr>
        <w:spacing w:line="278" w:lineRule="auto"/>
        <w:rPr>
          <w:rFonts w:ascii="Aptos" w:eastAsia="Aptos" w:hAnsi="Aptos" w:cs="Times New Roman"/>
          <w:kern w:val="2"/>
          <w:sz w:val="24"/>
          <w:szCs w:val="24"/>
          <w14:ligatures w14:val="standardContextual"/>
        </w:rPr>
      </w:pPr>
    </w:p>
    <w:p w14:paraId="4D42BE2F" w14:textId="77777777" w:rsidR="00F217FD" w:rsidRPr="00F217FD" w:rsidRDefault="00F217FD" w:rsidP="00F217FD">
      <w:pPr>
        <w:spacing w:line="278" w:lineRule="auto"/>
        <w:rPr>
          <w:rFonts w:ascii="Aptos" w:eastAsia="Aptos" w:hAnsi="Aptos" w:cs="Times New Roman"/>
          <w:kern w:val="2"/>
          <w:sz w:val="24"/>
          <w:szCs w:val="24"/>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3111D9" w14:textId="77777777" w:rsidR="00517DA9" w:rsidRDefault="00517DA9" w:rsidP="004A1847">
      <w:pPr>
        <w:spacing w:after="0" w:line="240" w:lineRule="auto"/>
      </w:pPr>
      <w:r>
        <w:separator/>
      </w:r>
    </w:p>
  </w:endnote>
  <w:endnote w:type="continuationSeparator" w:id="0">
    <w:p w14:paraId="1892A63A" w14:textId="77777777" w:rsidR="00517DA9" w:rsidRDefault="00517DA9" w:rsidP="004A1847">
      <w:pPr>
        <w:spacing w:after="0" w:line="240" w:lineRule="auto"/>
      </w:pPr>
      <w:r>
        <w:continuationSeparator/>
      </w:r>
    </w:p>
  </w:endnote>
  <w:endnote w:type="continuationNotice" w:id="1">
    <w:p w14:paraId="07F01C5B" w14:textId="77777777" w:rsidR="00517DA9" w:rsidRDefault="00517D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4BC0E2" w14:textId="77777777" w:rsidR="00517DA9" w:rsidRDefault="00517DA9" w:rsidP="004A1847">
      <w:pPr>
        <w:spacing w:after="0" w:line="240" w:lineRule="auto"/>
      </w:pPr>
      <w:r>
        <w:separator/>
      </w:r>
    </w:p>
  </w:footnote>
  <w:footnote w:type="continuationSeparator" w:id="0">
    <w:p w14:paraId="4344CB00" w14:textId="77777777" w:rsidR="00517DA9" w:rsidRDefault="00517DA9" w:rsidP="004A1847">
      <w:pPr>
        <w:spacing w:after="0" w:line="240" w:lineRule="auto"/>
      </w:pPr>
      <w:r>
        <w:continuationSeparator/>
      </w:r>
    </w:p>
  </w:footnote>
  <w:footnote w:type="continuationNotice" w:id="1">
    <w:p w14:paraId="67F01644" w14:textId="77777777" w:rsidR="00517DA9" w:rsidRDefault="00517DA9">
      <w:pPr>
        <w:spacing w:after="0" w:line="240" w:lineRule="auto"/>
      </w:pPr>
    </w:p>
  </w:footnote>
  <w:footnote w:id="2">
    <w:p w14:paraId="01E2DEE9" w14:textId="77777777" w:rsidR="00F217FD" w:rsidRPr="0034663B" w:rsidRDefault="00F217FD" w:rsidP="00F217FD">
      <w:pPr>
        <w:pStyle w:val="Textonotapie"/>
        <w:ind w:firstLine="709"/>
        <w:jc w:val="both"/>
        <w:rPr>
          <w:rFonts w:ascii="Verdana" w:eastAsia="Times New Roman" w:hAnsi="Verdana" w:cs="Arial"/>
          <w:sz w:val="14"/>
          <w:szCs w:val="14"/>
          <w:lang w:val="es-CO" w:eastAsia="es-CO"/>
        </w:rPr>
      </w:pPr>
      <w:r w:rsidRPr="0034663B">
        <w:rPr>
          <w:rStyle w:val="Refdenotaalpie"/>
          <w:rFonts w:ascii="Verdana" w:hAnsi="Verdana" w:cs="Arial"/>
          <w:sz w:val="14"/>
          <w:szCs w:val="14"/>
        </w:rPr>
        <w:footnoteRef/>
      </w:r>
      <w:r w:rsidRPr="0034663B">
        <w:rPr>
          <w:rFonts w:ascii="Verdana" w:hAnsi="Verdana" w:cs="Arial"/>
          <w:sz w:val="14"/>
          <w:szCs w:val="14"/>
        </w:rPr>
        <w:t xml:space="preserve"> </w:t>
      </w:r>
      <w:r w:rsidRPr="0034663B">
        <w:rPr>
          <w:rFonts w:ascii="Verdana" w:eastAsia="Times New Roman" w:hAnsi="Verdana" w:cs="Arial"/>
          <w:sz w:val="14"/>
          <w:szCs w:val="14"/>
          <w:lang w:val="es-CO" w:eastAsia="es-CO"/>
        </w:rPr>
        <w:t>Consejo de Estado. Sección Tercera. Sentencia del 27 de abril de 2011. Exp. 18.293. C.P. Ruth Stella Correa Palacio.</w:t>
      </w:r>
    </w:p>
  </w:footnote>
  <w:footnote w:id="3">
    <w:p w14:paraId="778E51C1" w14:textId="77777777" w:rsidR="00F217FD" w:rsidRPr="0034663B" w:rsidRDefault="00F217FD" w:rsidP="00F217FD">
      <w:pPr>
        <w:pStyle w:val="Textonotapie"/>
        <w:ind w:firstLine="709"/>
        <w:jc w:val="both"/>
        <w:rPr>
          <w:rFonts w:ascii="Verdana" w:eastAsia="Times New Roman" w:hAnsi="Verdana" w:cs="Arial"/>
          <w:sz w:val="14"/>
          <w:szCs w:val="14"/>
          <w:lang w:val="es-CO" w:eastAsia="es-CO"/>
        </w:rPr>
      </w:pPr>
      <w:r w:rsidRPr="0034663B">
        <w:rPr>
          <w:rStyle w:val="Refdenotaalpie"/>
          <w:rFonts w:ascii="Verdana" w:hAnsi="Verdana" w:cs="Arial"/>
          <w:sz w:val="14"/>
          <w:szCs w:val="14"/>
        </w:rPr>
        <w:footnoteRef/>
      </w:r>
      <w:r w:rsidRPr="0034663B">
        <w:rPr>
          <w:rFonts w:ascii="Verdana" w:hAnsi="Verdana" w:cs="Arial"/>
          <w:sz w:val="14"/>
          <w:szCs w:val="14"/>
        </w:rPr>
        <w:t xml:space="preserve"> </w:t>
      </w:r>
      <w:r w:rsidRPr="0034663B">
        <w:rPr>
          <w:rFonts w:ascii="Verdana" w:eastAsia="Times New Roman" w:hAnsi="Verdana" w:cs="Arial"/>
          <w:sz w:val="14"/>
          <w:szCs w:val="14"/>
          <w:lang w:val="es-CO" w:eastAsia="es-CO"/>
        </w:rPr>
        <w:t>Consejo de Estado. Sección Tercera. Sentencia del 21 de noviembre de 2013  Exp. 25397. C.P. Carlos Alberto Zambrano Barrera.</w:t>
      </w:r>
    </w:p>
    <w:p w14:paraId="29E35366" w14:textId="77777777" w:rsidR="00F217FD" w:rsidRPr="0034663B" w:rsidRDefault="00F217FD" w:rsidP="00F217FD">
      <w:pPr>
        <w:pStyle w:val="Textonotapie"/>
        <w:ind w:firstLine="709"/>
        <w:jc w:val="both"/>
        <w:rPr>
          <w:rFonts w:ascii="Verdana" w:eastAsia="Calibri" w:hAnsi="Verdana" w:cs="Arial"/>
          <w:sz w:val="14"/>
          <w:szCs w:val="14"/>
          <w:lang w:val="es-CO"/>
        </w:rPr>
      </w:pPr>
    </w:p>
  </w:footnote>
  <w:footnote w:id="4">
    <w:p w14:paraId="11034B65" w14:textId="77777777" w:rsidR="00F217FD" w:rsidRPr="0034663B" w:rsidRDefault="00F217FD" w:rsidP="00F217FD">
      <w:pPr>
        <w:pStyle w:val="Textonotapie"/>
        <w:ind w:firstLine="709"/>
        <w:jc w:val="both"/>
        <w:rPr>
          <w:rFonts w:ascii="Verdana" w:hAnsi="Verdana" w:cs="Arial"/>
          <w:sz w:val="14"/>
          <w:szCs w:val="14"/>
        </w:rPr>
      </w:pPr>
      <w:r w:rsidRPr="0034663B">
        <w:rPr>
          <w:rStyle w:val="Refdenotaalpie"/>
          <w:rFonts w:ascii="Verdana" w:hAnsi="Verdana" w:cs="Arial"/>
          <w:sz w:val="14"/>
          <w:szCs w:val="14"/>
        </w:rPr>
        <w:footnoteRef/>
      </w:r>
      <w:r w:rsidRPr="0034663B">
        <w:rPr>
          <w:rFonts w:ascii="Verdana" w:hAnsi="Verdana" w:cs="Arial"/>
          <w:sz w:val="14"/>
          <w:szCs w:val="14"/>
        </w:rPr>
        <w:t xml:space="preserve"> El numeral 1.15 del documento base establece: “1.15 Causales de rechazo. </w:t>
      </w:r>
    </w:p>
    <w:p w14:paraId="46702547" w14:textId="77777777" w:rsidR="00F217FD" w:rsidRPr="0034663B" w:rsidRDefault="00F217FD" w:rsidP="00F217FD">
      <w:pPr>
        <w:spacing w:line="240" w:lineRule="auto"/>
        <w:ind w:firstLine="709"/>
        <w:jc w:val="both"/>
        <w:rPr>
          <w:rFonts w:ascii="Verdana" w:eastAsia="Calibri" w:hAnsi="Verdana" w:cs="Arial"/>
          <w:color w:val="000000"/>
          <w:sz w:val="14"/>
          <w:szCs w:val="14"/>
        </w:rPr>
      </w:pPr>
      <w:r w:rsidRPr="0034663B">
        <w:rPr>
          <w:rFonts w:ascii="Verdana" w:eastAsia="Calibri" w:hAnsi="Verdana" w:cs="Arial"/>
          <w:color w:val="000000"/>
          <w:sz w:val="14"/>
          <w:szCs w:val="14"/>
        </w:rPr>
        <w:t xml:space="preserve">Son causales de rechazo de las propuestas las siguientes </w:t>
      </w:r>
      <w:r w:rsidRPr="0034663B">
        <w:rPr>
          <w:rFonts w:ascii="Verdana" w:eastAsia="Calibri" w:hAnsi="Verdana" w:cs="Arial"/>
          <w:color w:val="000000"/>
          <w:sz w:val="14"/>
          <w:szCs w:val="14"/>
          <w:highlight w:val="lightGray"/>
        </w:rPr>
        <w:t>[Las entidades no podrán incluir causales de rechazo distintas a las señaladas en la presente sección]</w:t>
      </w:r>
      <w:r w:rsidRPr="0034663B">
        <w:rPr>
          <w:rFonts w:ascii="Verdana" w:eastAsia="Calibri" w:hAnsi="Verdana" w:cs="Arial"/>
          <w:color w:val="000000"/>
          <w:sz w:val="14"/>
          <w:szCs w:val="14"/>
        </w:rPr>
        <w:t>:</w:t>
      </w:r>
    </w:p>
    <w:p w14:paraId="5752E87D"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Que el proponente o alguno de los integrantes del proponente plural esté incurso en causal de inhabilidad, incompatibilidad o prohibición previstas en la legislación para contratar.</w:t>
      </w:r>
    </w:p>
    <w:p w14:paraId="22ADD921" w14:textId="77777777" w:rsidR="00F217FD" w:rsidRPr="0034663B" w:rsidRDefault="00F217FD" w:rsidP="00F217FD">
      <w:pPr>
        <w:spacing w:line="240" w:lineRule="auto"/>
        <w:ind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highlight w:val="lightGray"/>
        </w:rPr>
        <w:t>[Cuando en el mismo proceso de contratación se presentan oferentes en la situación descrita por los literales g) y h) del numeral 1 del artículo 8 de la Ley 80 de 1993, la entidad solo admitirá la oferta presentada primero en el tiempo]</w:t>
      </w:r>
    </w:p>
    <w:p w14:paraId="026F990A"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Cuando una misma persona natural o jurídica, o integrante de un proponente plural presente o haga parte en más de una propuesta para el presente proceso de contratación.</w:t>
      </w:r>
    </w:p>
    <w:p w14:paraId="0E4EC424" w14:textId="77777777" w:rsidR="00F217FD" w:rsidRPr="0034663B" w:rsidRDefault="00F217FD" w:rsidP="00F217FD">
      <w:pPr>
        <w:spacing w:line="240" w:lineRule="auto"/>
        <w:ind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highlight w:val="lightGray"/>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34663B">
        <w:rPr>
          <w:rFonts w:ascii="Verdana" w:eastAsia="Calibri" w:hAnsi="Verdana" w:cs="Arial"/>
          <w:color w:val="000000"/>
          <w:sz w:val="14"/>
          <w:szCs w:val="14"/>
        </w:rPr>
        <w:t xml:space="preserve"> </w:t>
      </w:r>
    </w:p>
    <w:p w14:paraId="7EC752B2"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Que el proponente o alguno de los integrantes del proponente plural esté reportado en el Boletín de Responsables Fiscales emitido por la Contraloría General de la República.</w:t>
      </w:r>
    </w:p>
    <w:p w14:paraId="3FBC81A8"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Que la persona jurídica proponente individual o integrante del proponente plural esté incursa en la situación descrita en el numeral 1 del artículo 38 de la Ley 1116 de 2006.</w:t>
      </w:r>
    </w:p>
    <w:p w14:paraId="3DC6E1C6"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Que el proponente no aclare, subsane o aporte documentos necesarios para cumplir un requisito habilitante o aportándolos no lo haga de forma correcta, en los términos establecidos en la sección 1.6.</w:t>
      </w:r>
    </w:p>
    <w:p w14:paraId="11D0374F"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Que la inscripción en el Registro Único de Proponentes (RUP) que realice el proponente, por primera vez o cuando han cesado los efectos y debe volver a inscribirse, no esté en firme en la fecha prevista para el cierre del proceso de contratación.</w:t>
      </w:r>
    </w:p>
    <w:p w14:paraId="7BE68506"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558A2147"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Que el proponente aporte información inexacta sobre la cual pueda existir una posible falsedad en los términos de la sección 1.11.</w:t>
      </w:r>
    </w:p>
    <w:p w14:paraId="2F2B826D"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Que el proponente se encuentre inmerso en un conflicto de interés previsto en una norma de rango constitucional o legal o en la causal prevista en el numeral 1.14 del pliego de condiciones.</w:t>
      </w:r>
    </w:p>
    <w:p w14:paraId="33375D13"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highlight w:val="lightGray"/>
        </w:rPr>
        <w:t>[Incluir esta causal cuando las ofertas se presente en el SECOP I]</w:t>
      </w:r>
      <w:r w:rsidRPr="0034663B">
        <w:rPr>
          <w:rFonts w:ascii="Verdana" w:eastAsia="Calibri" w:hAnsi="Verdana" w:cs="Arial"/>
          <w:color w:val="000000"/>
          <w:sz w:val="14"/>
          <w:szCs w:val="14"/>
        </w:rPr>
        <w:t xml:space="preserve"> Que la propuesta económica no se aporte firmada.</w:t>
      </w:r>
    </w:p>
    <w:p w14:paraId="6DFA74B2"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No entregar la Garantía de seriedad de la oferta junto con la propuesta.</w:t>
      </w:r>
    </w:p>
    <w:p w14:paraId="3C5BC5DA"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Que el objeto social del proponente o el de sus integrantes no le permita ejecutar el objeto del contrato.</w:t>
      </w:r>
    </w:p>
    <w:p w14:paraId="27C21955"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Que el valor total de la oferta o aquel revisado en la audiencia efectiva de adjudicación exceda el presupuesto oficial estimado para el proceso de contratación.</w:t>
      </w:r>
    </w:p>
    <w:p w14:paraId="5C52A340"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Presentar la oferta con tachaduras o enmendaduras en alguno de los documentos que acreditan los requisitos habilitantes o los factores de evaluación de la oferta y no estén convalidadas en la forma indicada en la sección 2.3 del Pliego de Condiciones, sin perjuicio de la posibilidad de subsanar los primeros en los términos del numeral 1.6.</w:t>
      </w:r>
    </w:p>
    <w:p w14:paraId="694DB221"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 xml:space="preserve">Que el proponente adicione, suprima, cambie, o modifique los ítems, la descripción, las especificaciones, el detalle, las unidades o cantidades señaladas en el Formulario 1 – Formulario de Presupuesto Oficial, de acuerdo con lo exigido por la entidad. </w:t>
      </w:r>
    </w:p>
    <w:p w14:paraId="64B77AB2"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highlight w:val="lightGray"/>
        </w:rPr>
        <w:t>[Incluir solo cuando la forma de pago sea por precios unitarios]</w:t>
      </w:r>
      <w:r w:rsidRPr="0034663B">
        <w:rPr>
          <w:rFonts w:ascii="Verdana" w:eastAsia="Calibri" w:hAnsi="Verdana" w:cs="Arial"/>
          <w:color w:val="000000"/>
          <w:sz w:val="14"/>
          <w:szCs w:val="14"/>
        </w:rPr>
        <w:t xml:space="preserve"> No ofrecer el valor de un precio unitario u ofrecerlo en cero (0) pesos. </w:t>
      </w:r>
    </w:p>
    <w:p w14:paraId="6DEAEF47"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highlight w:val="lightGray"/>
        </w:rPr>
        <w:t>[Incluir solo cuando la forma de pago sea por precios unitarios</w:t>
      </w:r>
      <w:r w:rsidRPr="0034663B">
        <w:rPr>
          <w:rFonts w:ascii="Verdana" w:eastAsia="Calibri" w:hAnsi="Verdana" w:cs="Arial"/>
          <w:color w:val="000000"/>
          <w:sz w:val="14"/>
          <w:szCs w:val="14"/>
        </w:rPr>
        <w:t>] Superar el valor unitario de alguno o algunos de los siguientes ítems ofrecidos con respecto al valor establecido para cada ítem del presupuesto oficial: [</w:t>
      </w:r>
      <w:r w:rsidRPr="0034663B">
        <w:rPr>
          <w:rFonts w:ascii="Verdana" w:eastAsia="Calibri" w:hAnsi="Verdana" w:cs="Arial"/>
          <w:color w:val="000000"/>
          <w:sz w:val="14"/>
          <w:szCs w:val="14"/>
          <w:highlight w:val="lightGray"/>
        </w:rPr>
        <w:t>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w:t>
      </w:r>
      <w:r w:rsidRPr="0034663B">
        <w:rPr>
          <w:rFonts w:ascii="Verdana" w:eastAsia="Calibri" w:hAnsi="Verdana" w:cs="Arial"/>
          <w:color w:val="000000"/>
          <w:sz w:val="14"/>
          <w:szCs w:val="14"/>
        </w:rPr>
        <w:t xml:space="preserve">]. </w:t>
      </w:r>
    </w:p>
    <w:p w14:paraId="68EA7738" w14:textId="77777777" w:rsidR="00F217FD" w:rsidRPr="0034663B" w:rsidRDefault="00F217FD" w:rsidP="00F217FD">
      <w:pPr>
        <w:spacing w:line="240" w:lineRule="auto"/>
        <w:ind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 xml:space="preserve">Para la aplicación de esta causal la entidad debe tener en cuenta que el valor unitario establecido en el Formulario 1 – Formulario de Presupuesto Oficial incluye el valor de AIU] </w:t>
      </w:r>
    </w:p>
    <w:p w14:paraId="05EC8613"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highlight w:val="lightGray"/>
        </w:rPr>
        <w:t>[Esta causal aplica de acuerdo con la configuración de la oferta económica por parte de la entidad</w:t>
      </w:r>
      <w:r w:rsidRPr="0034663B">
        <w:rPr>
          <w:rFonts w:ascii="Verdana" w:eastAsia="Calibri" w:hAnsi="Verdana" w:cs="Arial"/>
          <w:color w:val="000000"/>
          <w:sz w:val="14"/>
          <w:szCs w:val="14"/>
        </w:rPr>
        <w:t xml:space="preserve">] No discriminar en la oferta económica el porcentaje de AIU en la forma como lo establece el Pliego de Condiciones y el Formulario 1 – Formulario de presupuesto oficial. </w:t>
      </w:r>
      <w:r w:rsidRPr="0034663B">
        <w:rPr>
          <w:rFonts w:ascii="Verdana" w:eastAsia="Calibri" w:hAnsi="Verdana" w:cs="Arial"/>
          <w:color w:val="000000"/>
          <w:sz w:val="14"/>
          <w:szCs w:val="14"/>
          <w:highlight w:val="lightGray"/>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5DE03B80"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 xml:space="preserve">Ofrecer como AIU un porcentaje cuya sumatoria sea superior al establecido por la Entidad en el </w:t>
      </w:r>
      <w:r w:rsidRPr="0034663B">
        <w:rPr>
          <w:rFonts w:ascii="Verdana" w:eastAsia="Calibri" w:hAnsi="Verdana" w:cs="Arial"/>
          <w:color w:val="000000"/>
          <w:sz w:val="14"/>
          <w:szCs w:val="14"/>
        </w:rPr>
        <w:fldChar w:fldCharType="begin"/>
      </w:r>
      <w:r w:rsidRPr="0034663B">
        <w:rPr>
          <w:rFonts w:ascii="Verdana" w:eastAsia="Calibri" w:hAnsi="Verdana" w:cs="Arial"/>
          <w:color w:val="000000"/>
          <w:sz w:val="14"/>
          <w:szCs w:val="14"/>
        </w:rPr>
        <w:instrText xml:space="preserve"> REF _Ref57725061 \h  \* MERGEFORMAT </w:instrText>
      </w:r>
      <w:r w:rsidRPr="0034663B">
        <w:rPr>
          <w:rFonts w:ascii="Verdana" w:eastAsia="Calibri" w:hAnsi="Verdana" w:cs="Arial"/>
          <w:color w:val="000000"/>
          <w:sz w:val="14"/>
          <w:szCs w:val="14"/>
        </w:rPr>
      </w:r>
      <w:r w:rsidRPr="0034663B">
        <w:rPr>
          <w:rFonts w:ascii="Verdana" w:eastAsia="Calibri" w:hAnsi="Verdana" w:cs="Arial"/>
          <w:color w:val="000000"/>
          <w:sz w:val="14"/>
          <w:szCs w:val="14"/>
        </w:rPr>
        <w:fldChar w:fldCharType="separate"/>
      </w:r>
      <w:r w:rsidRPr="0034663B">
        <w:rPr>
          <w:rFonts w:ascii="Verdana" w:eastAsia="Calibri" w:hAnsi="Verdana" w:cs="Arial"/>
          <w:color w:val="000000"/>
          <w:sz w:val="14"/>
          <w:szCs w:val="14"/>
        </w:rPr>
        <w:t>Formulario 1– Formulario de Presupuesto Oficial</w:t>
      </w:r>
      <w:r w:rsidRPr="0034663B">
        <w:rPr>
          <w:rFonts w:ascii="Verdana" w:eastAsia="Calibri" w:hAnsi="Verdana" w:cs="Arial"/>
          <w:color w:val="000000"/>
          <w:sz w:val="14"/>
          <w:szCs w:val="14"/>
        </w:rPr>
        <w:fldChar w:fldCharType="end"/>
      </w:r>
      <w:r w:rsidRPr="0034663B">
        <w:rPr>
          <w:rFonts w:ascii="Verdana" w:eastAsia="Calibri" w:hAnsi="Verdana" w:cs="Arial"/>
          <w:color w:val="000000"/>
          <w:sz w:val="14"/>
          <w:szCs w:val="14"/>
        </w:rPr>
        <w:t>.</w:t>
      </w:r>
    </w:p>
    <w:p w14:paraId="7E578AF7"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Cuando se presente propuesta condicionada para la adjudicación del contrato.</w:t>
      </w:r>
    </w:p>
    <w:p w14:paraId="7F7B3464"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Presentar la oferta extemporáneamente.</w:t>
      </w:r>
    </w:p>
    <w:p w14:paraId="3495DA8A"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No presentar oferta económica. Entregar la información de la propuesta económica en el sobre que no corresponda.</w:t>
      </w:r>
    </w:p>
    <w:p w14:paraId="73ED9D7F"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 xml:space="preserve">Presentar más de una oferta económica con valores distintos en el Sobre 2. </w:t>
      </w:r>
      <w:r w:rsidRPr="0034663B">
        <w:rPr>
          <w:rFonts w:ascii="Verdana" w:eastAsia="Calibri" w:hAnsi="Verdana" w:cs="Arial"/>
          <w:color w:val="000000"/>
          <w:sz w:val="14"/>
          <w:szCs w:val="14"/>
          <w:highlight w:val="lightGray"/>
        </w:rPr>
        <w:t>[Cuando el proceso se estructure por lotes o grupos reemplazar el texto anterior por el siguiente: Presentar más de una oferta económica con valores distintos para el mismo lote o grupo]</w:t>
      </w:r>
    </w:p>
    <w:p w14:paraId="7DC00845"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 xml:space="preserve">Cuando se determine que el valor total de la oferta es artificialmente bajo, de acuerdo con lo establecido en la sección 4.1.3 </w:t>
      </w:r>
    </w:p>
    <w:p w14:paraId="4B0A3813"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Cuando se presenten propuestas parciales y esta posibilidad no haya sido establecida en el pliego de condiciones.</w:t>
      </w:r>
    </w:p>
    <w:p w14:paraId="6216183A"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No informar todos los contratos que el proponente tenga en ejecución antes del cierre, necesarios para acreditar su capacidad residual conforme a la sección 3.10.</w:t>
      </w:r>
    </w:p>
    <w:p w14:paraId="04AC556C"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Ofrecer un plazo superior al señalado por la entidad en el Anexo 1 – Anexo Técnico.</w:t>
      </w:r>
    </w:p>
    <w:p w14:paraId="6255B65F"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0D4245D0"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highlight w:val="lightGray"/>
        </w:rPr>
        <w:t>[Incluir cuando la convocatoria del Proceso de Contratación esté limitada a Mipyme]</w:t>
      </w:r>
      <w:r w:rsidRPr="0034663B">
        <w:rPr>
          <w:rFonts w:ascii="Verdana" w:eastAsia="Calibri" w:hAnsi="Verdana" w:cs="Arial"/>
          <w:color w:val="000000"/>
          <w:sz w:val="14"/>
          <w:szCs w:val="14"/>
        </w:rPr>
        <w:t xml:space="preserve"> Cuando el que presenta oferta o alguno de los miembros del Proponente Plural no acredita la condición de Mipyme y, en consecuencia, no aporta el RUP vigente y en firme al momento de su presentación y no subsana su entrega en los términos del numeral 1.6.</w:t>
      </w:r>
    </w:p>
    <w:p w14:paraId="427CF43C" w14:textId="77777777" w:rsidR="00F217FD" w:rsidRPr="0034663B" w:rsidRDefault="00F217FD" w:rsidP="00F217FD">
      <w:pPr>
        <w:numPr>
          <w:ilvl w:val="0"/>
          <w:numId w:val="20"/>
        </w:numPr>
        <w:spacing w:after="0" w:line="240" w:lineRule="auto"/>
        <w:ind w:left="0" w:firstLine="709"/>
        <w:contextualSpacing/>
        <w:jc w:val="both"/>
        <w:rPr>
          <w:rFonts w:ascii="Verdana" w:eastAsia="Calibri" w:hAnsi="Verdana" w:cs="Arial"/>
          <w:color w:val="000000"/>
          <w:sz w:val="14"/>
          <w:szCs w:val="14"/>
        </w:rPr>
      </w:pPr>
      <w:r w:rsidRPr="0034663B">
        <w:rPr>
          <w:rFonts w:ascii="Verdana" w:eastAsia="Calibri" w:hAnsi="Verdana" w:cs="Arial"/>
          <w:color w:val="000000"/>
          <w:sz w:val="14"/>
          <w:szCs w:val="14"/>
        </w:rPr>
        <w:t xml:space="preserve">Las demás previstas en la ley.” </w:t>
      </w:r>
    </w:p>
  </w:footnote>
  <w:footnote w:id="5">
    <w:p w14:paraId="4EB27A10" w14:textId="77777777" w:rsidR="00F217FD" w:rsidRPr="0034663B" w:rsidRDefault="00F217FD" w:rsidP="00F217FD">
      <w:pPr>
        <w:pStyle w:val="Textonotapie"/>
        <w:ind w:firstLine="709"/>
        <w:jc w:val="both"/>
        <w:rPr>
          <w:rFonts w:ascii="Verdana" w:hAnsi="Verdana" w:cs="Arial"/>
          <w:sz w:val="14"/>
          <w:szCs w:val="14"/>
          <w:lang w:val="es-CO"/>
        </w:rPr>
      </w:pPr>
      <w:r w:rsidRPr="0034663B">
        <w:rPr>
          <w:rStyle w:val="Refdenotaalpie"/>
          <w:rFonts w:ascii="Verdana" w:hAnsi="Verdana" w:cs="Arial"/>
          <w:sz w:val="14"/>
          <w:szCs w:val="14"/>
        </w:rPr>
        <w:footnoteRef/>
      </w:r>
      <w:r w:rsidRPr="0034663B">
        <w:rPr>
          <w:rFonts w:ascii="Verdana" w:hAnsi="Verdana" w:cs="Arial"/>
          <w:sz w:val="14"/>
          <w:szCs w:val="14"/>
        </w:rPr>
        <w:t xml:space="preserve"> </w:t>
      </w:r>
      <w:r w:rsidRPr="0034663B">
        <w:rPr>
          <w:rFonts w:ascii="Verdana" w:hAnsi="Verdana" w:cs="Arial"/>
          <w:sz w:val="14"/>
          <w:szCs w:val="14"/>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footnote>
  <w:footnote w:id="6">
    <w:p w14:paraId="3001909B" w14:textId="77777777" w:rsidR="00F217FD" w:rsidRPr="0034663B" w:rsidRDefault="00F217FD" w:rsidP="00F217FD">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4663B">
        <w:rPr>
          <w:rFonts w:ascii="Verdana" w:hAnsi="Verdana" w:cs="Arial"/>
          <w:sz w:val="14"/>
          <w:szCs w:val="14"/>
          <w:vertAlign w:val="superscript"/>
        </w:rPr>
        <w:footnoteRef/>
      </w:r>
      <w:r w:rsidRPr="0034663B">
        <w:rPr>
          <w:rFonts w:ascii="Verdana" w:eastAsia="Arial" w:hAnsi="Verdana" w:cs="Arial"/>
          <w:color w:val="000000"/>
          <w:sz w:val="14"/>
          <w:szCs w:val="14"/>
        </w:rPr>
        <w:t xml:space="preserve"> Al respecto, conviene recordar el artículo 29 de la Ley 80 de 1993, derogado por el artículo 32 de la Ley 1150 de 2007, que establecía: “La selección de contratistas será objetiva.</w:t>
      </w:r>
    </w:p>
    <w:p w14:paraId="47154726" w14:textId="77777777" w:rsidR="00F217FD" w:rsidRPr="0034663B" w:rsidRDefault="00F217FD" w:rsidP="00F217FD">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4663B">
        <w:rPr>
          <w:rFonts w:ascii="Verdana" w:eastAsia="Arial" w:hAnsi="Verdana" w:cs="Arial"/>
          <w:color w:val="000000"/>
          <w:sz w:val="14"/>
          <w:szCs w:val="14"/>
        </w:rPr>
        <w:t>Es objetiva la selección en la cual la escogencia se hace al ofrecimiento más favorable a la entidad y a los fines que ella busca, sin tener en consideración factores de afecto o de interés y, en general, cualquier clase de motivación subjetiva.</w:t>
      </w:r>
    </w:p>
    <w:p w14:paraId="16576987" w14:textId="77777777" w:rsidR="00F217FD" w:rsidRPr="0034663B" w:rsidRDefault="00F217FD" w:rsidP="00F217FD">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4663B">
        <w:rPr>
          <w:rFonts w:ascii="Verdana" w:eastAsia="Arial" w:hAnsi="Verdana" w:cs="Arial"/>
          <w:color w:val="000000"/>
          <w:sz w:val="14"/>
          <w:szCs w:val="14"/>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32782906" w14:textId="77777777" w:rsidR="00F217FD" w:rsidRPr="0034663B" w:rsidRDefault="00F217FD" w:rsidP="00F217FD">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4663B">
        <w:rPr>
          <w:rFonts w:ascii="Verdana" w:eastAsia="Arial" w:hAnsi="Verdana" w:cs="Arial"/>
          <w:color w:val="000000"/>
          <w:sz w:val="14"/>
          <w:szCs w:val="14"/>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46CAA1DF" w14:textId="77777777" w:rsidR="00F217FD" w:rsidRPr="0034663B" w:rsidRDefault="00F217FD" w:rsidP="00F217FD">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4663B">
        <w:rPr>
          <w:rFonts w:ascii="Verdana" w:eastAsia="Arial" w:hAnsi="Verdana" w:cs="Arial"/>
          <w:color w:val="000000"/>
          <w:sz w:val="14"/>
          <w:szCs w:val="14"/>
        </w:rPr>
        <w:t>En caso de comparación de propuestas nacionales y extranjeras, se incluirán los costos necesarios para la entrega del producto terminado en el lugar de su utilización”.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11.55pt;height:11.55pt" o:bullet="t">
        <v:imagedata r:id="rId1" o:title="mso1B13"/>
      </v:shape>
    </w:pict>
  </w:numPicBullet>
  <w:abstractNum w:abstractNumId="0" w15:restartNumberingAfterBreak="0">
    <w:nsid w:val="00B24FA3"/>
    <w:multiLevelType w:val="hybridMultilevel"/>
    <w:tmpl w:val="C0E217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960B20"/>
    <w:multiLevelType w:val="hybridMultilevel"/>
    <w:tmpl w:val="929E1B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51543960"/>
    <w:multiLevelType w:val="hybridMultilevel"/>
    <w:tmpl w:val="AD669B6A"/>
    <w:lvl w:ilvl="0" w:tplc="84DA32A0">
      <w:start w:val="5"/>
      <w:numFmt w:val="upp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7D9353E"/>
    <w:multiLevelType w:val="hybridMultilevel"/>
    <w:tmpl w:val="6DD4E6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3"/>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9"/>
  </w:num>
  <w:num w:numId="7" w16cid:durableId="1946422806">
    <w:abstractNumId w:val="7"/>
  </w:num>
  <w:num w:numId="8" w16cid:durableId="152644682">
    <w:abstractNumId w:val="18"/>
  </w:num>
  <w:num w:numId="9" w16cid:durableId="1317221377">
    <w:abstractNumId w:val="9"/>
  </w:num>
  <w:num w:numId="10" w16cid:durableId="1471245386">
    <w:abstractNumId w:val="17"/>
  </w:num>
  <w:num w:numId="11" w16cid:durableId="289172385">
    <w:abstractNumId w:val="10"/>
  </w:num>
  <w:num w:numId="12" w16cid:durableId="1470781324">
    <w:abstractNumId w:val="2"/>
  </w:num>
  <w:num w:numId="13" w16cid:durableId="1512908409">
    <w:abstractNumId w:val="4"/>
  </w:num>
  <w:num w:numId="14" w16cid:durableId="895897244">
    <w:abstractNumId w:val="20"/>
  </w:num>
  <w:num w:numId="15" w16cid:durableId="390349800">
    <w:abstractNumId w:val="15"/>
  </w:num>
  <w:num w:numId="16" w16cid:durableId="341274352">
    <w:abstractNumId w:val="1"/>
  </w:num>
  <w:num w:numId="17" w16cid:durableId="679089576">
    <w:abstractNumId w:val="12"/>
  </w:num>
  <w:num w:numId="18" w16cid:durableId="1492209491">
    <w:abstractNumId w:val="6"/>
  </w:num>
  <w:num w:numId="19" w16cid:durableId="712116450">
    <w:abstractNumId w:val="0"/>
  </w:num>
  <w:num w:numId="20" w16cid:durableId="1340157845">
    <w:abstractNumId w:val="13"/>
  </w:num>
  <w:num w:numId="21" w16cid:durableId="2009745140">
    <w:abstractNumId w:val="14"/>
  </w:num>
  <w:num w:numId="22" w16cid:durableId="588075328">
    <w:abstractNumId w:val="11"/>
  </w:num>
  <w:num w:numId="23" w16cid:durableId="17268737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7DEC"/>
    <w:rsid w:val="00061B2A"/>
    <w:rsid w:val="00082362"/>
    <w:rsid w:val="000A683E"/>
    <w:rsid w:val="000B19B9"/>
    <w:rsid w:val="000D0334"/>
    <w:rsid w:val="000F6486"/>
    <w:rsid w:val="00125105"/>
    <w:rsid w:val="00127233"/>
    <w:rsid w:val="001B5AFF"/>
    <w:rsid w:val="001E4177"/>
    <w:rsid w:val="001F7DC6"/>
    <w:rsid w:val="0020496B"/>
    <w:rsid w:val="00211BF7"/>
    <w:rsid w:val="002421BB"/>
    <w:rsid w:val="0025796E"/>
    <w:rsid w:val="002707A2"/>
    <w:rsid w:val="002951A0"/>
    <w:rsid w:val="002962BC"/>
    <w:rsid w:val="002A093D"/>
    <w:rsid w:val="002A0DD0"/>
    <w:rsid w:val="002A49AC"/>
    <w:rsid w:val="002A64FD"/>
    <w:rsid w:val="002C7A84"/>
    <w:rsid w:val="002E4FD9"/>
    <w:rsid w:val="00300EE2"/>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769C4"/>
    <w:rsid w:val="004A1847"/>
    <w:rsid w:val="004A305D"/>
    <w:rsid w:val="004F21C4"/>
    <w:rsid w:val="004F685F"/>
    <w:rsid w:val="00517DA9"/>
    <w:rsid w:val="005566E8"/>
    <w:rsid w:val="00574867"/>
    <w:rsid w:val="00591460"/>
    <w:rsid w:val="00592628"/>
    <w:rsid w:val="005C07BA"/>
    <w:rsid w:val="005C3777"/>
    <w:rsid w:val="005C5CDC"/>
    <w:rsid w:val="005D476C"/>
    <w:rsid w:val="00610812"/>
    <w:rsid w:val="006219F8"/>
    <w:rsid w:val="00650FF7"/>
    <w:rsid w:val="00665D70"/>
    <w:rsid w:val="00671DAC"/>
    <w:rsid w:val="006900D9"/>
    <w:rsid w:val="006D12F8"/>
    <w:rsid w:val="006E2EA5"/>
    <w:rsid w:val="00706C16"/>
    <w:rsid w:val="00756841"/>
    <w:rsid w:val="007649AB"/>
    <w:rsid w:val="00771D0C"/>
    <w:rsid w:val="007833AC"/>
    <w:rsid w:val="007B0CEC"/>
    <w:rsid w:val="007B268C"/>
    <w:rsid w:val="007B7171"/>
    <w:rsid w:val="007C0C0F"/>
    <w:rsid w:val="007C3DC2"/>
    <w:rsid w:val="007E5497"/>
    <w:rsid w:val="008059A9"/>
    <w:rsid w:val="00806F5F"/>
    <w:rsid w:val="00820278"/>
    <w:rsid w:val="008843B6"/>
    <w:rsid w:val="00891928"/>
    <w:rsid w:val="008A446D"/>
    <w:rsid w:val="008D180B"/>
    <w:rsid w:val="008F0EA7"/>
    <w:rsid w:val="00923EEF"/>
    <w:rsid w:val="009419F9"/>
    <w:rsid w:val="0095685E"/>
    <w:rsid w:val="00961B09"/>
    <w:rsid w:val="00965334"/>
    <w:rsid w:val="009661DE"/>
    <w:rsid w:val="0097093E"/>
    <w:rsid w:val="00976FB4"/>
    <w:rsid w:val="009A0DFA"/>
    <w:rsid w:val="009B2D26"/>
    <w:rsid w:val="009C71FA"/>
    <w:rsid w:val="009C72E7"/>
    <w:rsid w:val="009D3058"/>
    <w:rsid w:val="009F3A13"/>
    <w:rsid w:val="00A122D3"/>
    <w:rsid w:val="00A17F13"/>
    <w:rsid w:val="00A20739"/>
    <w:rsid w:val="00A33C78"/>
    <w:rsid w:val="00AB0ADB"/>
    <w:rsid w:val="00B01B1A"/>
    <w:rsid w:val="00B64B68"/>
    <w:rsid w:val="00B66E1B"/>
    <w:rsid w:val="00B72CD3"/>
    <w:rsid w:val="00B72FFF"/>
    <w:rsid w:val="00BC3D36"/>
    <w:rsid w:val="00BD2034"/>
    <w:rsid w:val="00BD7F72"/>
    <w:rsid w:val="00C04FB3"/>
    <w:rsid w:val="00C330EB"/>
    <w:rsid w:val="00C754BE"/>
    <w:rsid w:val="00C76B1C"/>
    <w:rsid w:val="00CB6357"/>
    <w:rsid w:val="00CC1B26"/>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217FD"/>
    <w:rsid w:val="00F31EDC"/>
    <w:rsid w:val="00F462B3"/>
    <w:rsid w:val="00F5664F"/>
    <w:rsid w:val="00F666C4"/>
    <w:rsid w:val="00F76AFC"/>
    <w:rsid w:val="00FA47C0"/>
    <w:rsid w:val="00FB5DD1"/>
    <w:rsid w:val="00FC2B5D"/>
    <w:rsid w:val="00FF1449"/>
    <w:rsid w:val="0594F8A8"/>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217FD"/>
    <w:pPr>
      <w:spacing w:line="240" w:lineRule="exact"/>
    </w:pPr>
    <w:rPr>
      <w:vertAlign w:val="superscript"/>
    </w:rPr>
  </w:style>
  <w:style w:type="character" w:styleId="Refdecomentario">
    <w:name w:val="annotation reference"/>
    <w:basedOn w:val="Fuentedeprrafopredeter"/>
    <w:uiPriority w:val="99"/>
    <w:semiHidden/>
    <w:unhideWhenUsed/>
    <w:rsid w:val="00F217FD"/>
    <w:rPr>
      <w:sz w:val="16"/>
      <w:szCs w:val="16"/>
    </w:rPr>
  </w:style>
  <w:style w:type="paragraph" w:styleId="Textocomentario">
    <w:name w:val="annotation text"/>
    <w:basedOn w:val="Normal"/>
    <w:link w:val="TextocomentarioCar"/>
    <w:uiPriority w:val="99"/>
    <w:unhideWhenUsed/>
    <w:rsid w:val="00F217FD"/>
    <w:pPr>
      <w:spacing w:line="240" w:lineRule="auto"/>
    </w:pPr>
    <w:rPr>
      <w:kern w:val="2"/>
      <w:sz w:val="20"/>
      <w:szCs w:val="20"/>
      <w14:ligatures w14:val="standardContextual"/>
    </w:rPr>
  </w:style>
  <w:style w:type="character" w:customStyle="1" w:styleId="TextocomentarioCar">
    <w:name w:val="Texto comentario Car"/>
    <w:basedOn w:val="Fuentedeprrafopredeter"/>
    <w:link w:val="Textocomentario"/>
    <w:uiPriority w:val="99"/>
    <w:rsid w:val="00F217FD"/>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4-documentos-tipo-para-licitacion-de-obra-publica-de-infraestructura-de-transporte-version"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8C43AD-9392-43CA-8C7C-6B988A73100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3231</Words>
  <Characters>17771</Characters>
  <Application>Microsoft Office Word</Application>
  <DocSecurity>0</DocSecurity>
  <Lines>148</Lines>
  <Paragraphs>41</Paragraphs>
  <ScaleCrop>false</ScaleCrop>
  <Company/>
  <LinksUpToDate>false</LinksUpToDate>
  <CharactersWithSpaces>20961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2024-08-09T17:39:00Z</dcterms:created>
  <dcterms:modified xsi:type="dcterms:W3CDTF">2024-08-09T17:42:00Z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