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6EBA2" w14:textId="77777777" w:rsidR="00A070B6" w:rsidRPr="00A070B6" w:rsidRDefault="00A070B6" w:rsidP="00A070B6">
      <w:pPr>
        <w:spacing w:after="0" w:line="276" w:lineRule="auto"/>
        <w:jc w:val="both"/>
        <w:rPr>
          <w:rFonts w:ascii="Verdana" w:eastAsia="Aptos" w:hAnsi="Verdana" w:cs="Arial"/>
          <w:b/>
          <w:bCs/>
          <w:kern w:val="2"/>
          <w:lang w:val="es-MX"/>
          <w14:ligatures w14:val="standardContextual"/>
        </w:rPr>
      </w:pPr>
      <w:bookmarkStart w:id="0" w:name="_Hlk143780582"/>
      <w:r w:rsidRPr="00A070B6">
        <w:rPr>
          <w:rFonts w:ascii="Verdana" w:eastAsia="Aptos" w:hAnsi="Verdana" w:cs="Arial"/>
          <w:b/>
          <w:bCs/>
          <w:kern w:val="2"/>
          <w:lang w:val="es-MX"/>
          <w14:ligatures w14:val="standardContextual"/>
        </w:rPr>
        <w:t>DOCUMENTOS TIPO – Formulario 1 – Presupuesto Oficial – Propuesta económica </w:t>
      </w:r>
    </w:p>
    <w:p w14:paraId="397A75F3" w14:textId="77777777" w:rsidR="00A070B6" w:rsidRPr="00A070B6" w:rsidRDefault="00A070B6" w:rsidP="00A070B6">
      <w:pPr>
        <w:spacing w:after="0" w:line="276" w:lineRule="auto"/>
        <w:jc w:val="both"/>
        <w:rPr>
          <w:rFonts w:ascii="Verdana" w:eastAsia="Aptos" w:hAnsi="Verdana" w:cs="Arial"/>
          <w:b/>
          <w:bCs/>
          <w:kern w:val="2"/>
          <w:lang w:val="es-MX"/>
          <w14:ligatures w14:val="standardContextual"/>
        </w:rPr>
      </w:pPr>
    </w:p>
    <w:p w14:paraId="26172E83" w14:textId="60C5C079" w:rsidR="000D5612" w:rsidRPr="000D5612" w:rsidRDefault="000D5612" w:rsidP="000D5612">
      <w:pPr>
        <w:spacing w:after="0" w:line="240" w:lineRule="auto"/>
        <w:jc w:val="both"/>
        <w:rPr>
          <w:rFonts w:ascii="Verdana" w:eastAsia="Aptos" w:hAnsi="Verdana" w:cs="Arial"/>
          <w:kern w:val="2"/>
          <w:sz w:val="20"/>
          <w:szCs w:val="20"/>
          <w:lang w:val="es-MX"/>
          <w14:ligatures w14:val="standardContextual"/>
        </w:rPr>
      </w:pPr>
      <w:r w:rsidRPr="000D5612">
        <w:rPr>
          <w:rFonts w:ascii="Verdana" w:eastAsia="Aptos" w:hAnsi="Verdana" w:cs="Arial"/>
          <w:kern w:val="2"/>
          <w:sz w:val="20"/>
          <w:szCs w:val="20"/>
          <w:lang w:val="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1E1CD149" w14:textId="77777777" w:rsidR="000D5612" w:rsidRDefault="000D5612" w:rsidP="000D5612">
      <w:pPr>
        <w:spacing w:after="0" w:line="240" w:lineRule="auto"/>
        <w:jc w:val="both"/>
        <w:rPr>
          <w:rFonts w:ascii="Verdana" w:eastAsia="Aptos" w:hAnsi="Verdana" w:cs="Arial"/>
          <w:kern w:val="2"/>
          <w:sz w:val="20"/>
          <w:szCs w:val="20"/>
          <w:lang w:val="es-MX"/>
          <w14:ligatures w14:val="standardContextual"/>
        </w:rPr>
      </w:pPr>
    </w:p>
    <w:p w14:paraId="077647B4" w14:textId="2B2AA586" w:rsidR="00A070B6" w:rsidRPr="00A070B6" w:rsidRDefault="000D5612" w:rsidP="000D5612">
      <w:pPr>
        <w:spacing w:after="0" w:line="240" w:lineRule="auto"/>
        <w:jc w:val="both"/>
        <w:rPr>
          <w:rFonts w:ascii="Verdana" w:eastAsia="Aptos" w:hAnsi="Verdana" w:cs="Arial"/>
          <w:kern w:val="2"/>
          <w:sz w:val="20"/>
          <w:szCs w:val="20"/>
          <w:lang w:val="es-MX"/>
          <w14:ligatures w14:val="standardContextual"/>
        </w:rPr>
      </w:pPr>
      <w:r w:rsidRPr="000D5612">
        <w:rPr>
          <w:rFonts w:ascii="Verdana" w:eastAsia="Aptos" w:hAnsi="Verdana" w:cs="Arial"/>
          <w:kern w:val="2"/>
          <w:sz w:val="20"/>
          <w:szCs w:val="20"/>
          <w:lang w:val="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 , como el objeto, alcance, obras a ejecutar, actividades, cantidades, particularidades de la zona de ejecución del proyecto, disponibilidad y distancia de fuentes de materiales, entre otros.</w:t>
      </w:r>
    </w:p>
    <w:p w14:paraId="5FA9673B" w14:textId="77777777" w:rsidR="00A070B6" w:rsidRPr="00A070B6" w:rsidRDefault="00A070B6" w:rsidP="00A070B6">
      <w:pPr>
        <w:spacing w:after="0" w:line="276" w:lineRule="auto"/>
        <w:jc w:val="both"/>
        <w:rPr>
          <w:rFonts w:ascii="Verdana" w:eastAsia="Aptos" w:hAnsi="Verdana" w:cs="Arial"/>
          <w:b/>
          <w:bCs/>
          <w:kern w:val="2"/>
          <w:lang w:val="es-MX"/>
          <w14:ligatures w14:val="standardContextual"/>
        </w:rPr>
      </w:pPr>
    </w:p>
    <w:p w14:paraId="00EA2E09" w14:textId="77777777" w:rsidR="00A070B6" w:rsidRPr="00A070B6" w:rsidRDefault="00A070B6" w:rsidP="00A070B6">
      <w:pPr>
        <w:spacing w:after="0" w:line="276" w:lineRule="auto"/>
        <w:jc w:val="both"/>
        <w:rPr>
          <w:rFonts w:ascii="Verdana" w:eastAsia="Aptos" w:hAnsi="Verdana" w:cs="Arial"/>
          <w:b/>
          <w:bCs/>
          <w:kern w:val="2"/>
          <w:lang w:val="es-MX"/>
          <w14:ligatures w14:val="standardContextual"/>
        </w:rPr>
      </w:pPr>
      <w:r w:rsidRPr="00A070B6">
        <w:rPr>
          <w:rFonts w:ascii="Verdana" w:eastAsia="Aptos" w:hAnsi="Verdana" w:cs="Arial"/>
          <w:b/>
          <w:bCs/>
          <w:kern w:val="2"/>
          <w:lang w:val="es-MX"/>
          <w14:ligatures w14:val="standardContextual"/>
        </w:rPr>
        <w:t>INALTERABILIDAD – Documentos Tipo – Alcance</w:t>
      </w:r>
    </w:p>
    <w:p w14:paraId="32F4BC74" w14:textId="77777777" w:rsidR="00A070B6" w:rsidRPr="00A070B6" w:rsidRDefault="00A070B6" w:rsidP="00A070B6">
      <w:pPr>
        <w:spacing w:after="0" w:line="276" w:lineRule="auto"/>
        <w:jc w:val="both"/>
        <w:rPr>
          <w:rFonts w:ascii="Verdana" w:eastAsia="Geomanist Light" w:hAnsi="Verdana" w:cs="Arial"/>
          <w:lang w:val="es-MX"/>
        </w:rPr>
      </w:pPr>
    </w:p>
    <w:p w14:paraId="71EE75EC" w14:textId="172A8339" w:rsidR="00A070B6" w:rsidRPr="00A070B6" w:rsidRDefault="000D5612" w:rsidP="00A070B6">
      <w:pPr>
        <w:spacing w:after="0" w:line="240" w:lineRule="auto"/>
        <w:jc w:val="both"/>
        <w:rPr>
          <w:rFonts w:ascii="Verdana" w:eastAsia="Geomanist Light" w:hAnsi="Verdana" w:cs="Arial"/>
          <w:sz w:val="20"/>
          <w:szCs w:val="20"/>
          <w:lang w:val="es-MX"/>
        </w:rPr>
      </w:pPr>
      <w:r w:rsidRPr="000D5612">
        <w:rPr>
          <w:rFonts w:ascii="Verdana" w:eastAsia="Geomanist Light" w:hAnsi="Verdana" w:cs="Arial"/>
          <w:sz w:val="20"/>
          <w:szCs w:val="20"/>
          <w:lang w:val="es-MX"/>
        </w:rPr>
        <w:t xml:space="preserve">Todas las resoluciones expedidas por la Agencia Nacional de Contratación Pública – Colombia Compra Eficiente, mediante las cuales se han adoptado los documentos tipo, consagran la regla de la inalterabilidad . Esta prohibición consiste en que las entidades estatales no pueden incluir o modificar en los </w:t>
      </w:r>
      <w:r w:rsidRPr="00CC677D">
        <w:rPr>
          <w:rFonts w:ascii="Verdana" w:eastAsia="Geomanist Light" w:hAnsi="Verdana" w:cs="Arial"/>
          <w:i/>
          <w:iCs/>
          <w:sz w:val="20"/>
          <w:szCs w:val="20"/>
          <w:lang w:val="es-MX"/>
        </w:rPr>
        <w:t>Documentos del Proceso</w:t>
      </w:r>
      <w:r w:rsidRPr="000D5612">
        <w:rPr>
          <w:rFonts w:ascii="Verdana" w:eastAsia="Geomanist Light" w:hAnsi="Verdana" w:cs="Arial"/>
          <w:sz w:val="20"/>
          <w:szCs w:val="20"/>
          <w:lang w:val="es-MX"/>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42EC486" w14:textId="77777777" w:rsidR="00A070B6" w:rsidRPr="00A070B6" w:rsidRDefault="00A070B6" w:rsidP="00A070B6">
      <w:pPr>
        <w:spacing w:after="0" w:line="276" w:lineRule="auto"/>
        <w:jc w:val="both"/>
        <w:rPr>
          <w:rFonts w:ascii="Verdana" w:eastAsia="Geomanist Light" w:hAnsi="Verdana" w:cs="Arial"/>
          <w:lang w:val="es-MX"/>
        </w:rPr>
      </w:pPr>
    </w:p>
    <w:p w14:paraId="71362C8E" w14:textId="77777777" w:rsidR="00A070B6" w:rsidRPr="00A070B6" w:rsidRDefault="00A070B6" w:rsidP="00A070B6">
      <w:pPr>
        <w:spacing w:after="0" w:line="240" w:lineRule="auto"/>
        <w:rPr>
          <w:rFonts w:ascii="Verdana" w:eastAsia="Geomanist Light" w:hAnsi="Verdana" w:cs="Arial"/>
          <w:lang w:val="es-MX"/>
        </w:rPr>
      </w:pPr>
    </w:p>
    <w:p w14:paraId="465848A9" w14:textId="77777777" w:rsidR="00A070B6" w:rsidRPr="00A070B6" w:rsidRDefault="00A070B6" w:rsidP="00A070B6">
      <w:pPr>
        <w:spacing w:after="0" w:line="240" w:lineRule="auto"/>
        <w:jc w:val="both"/>
        <w:rPr>
          <w:rFonts w:ascii="Verdana" w:eastAsia="Geomanist Light" w:hAnsi="Verdana" w:cs="Arial"/>
          <w:lang w:val="es-MX"/>
        </w:rPr>
      </w:pPr>
    </w:p>
    <w:p w14:paraId="43E845A6" w14:textId="77777777" w:rsidR="00A070B6" w:rsidRPr="00A070B6" w:rsidRDefault="00A070B6" w:rsidP="00A070B6">
      <w:pPr>
        <w:spacing w:after="0" w:line="240" w:lineRule="auto"/>
        <w:jc w:val="both"/>
        <w:rPr>
          <w:rFonts w:ascii="Verdana" w:eastAsia="Calibri" w:hAnsi="Verdana" w:cs="Times New Roman"/>
        </w:rPr>
      </w:pPr>
    </w:p>
    <w:p w14:paraId="40C4CB5E" w14:textId="77777777" w:rsidR="00A070B6" w:rsidRPr="00A070B6" w:rsidRDefault="00A070B6" w:rsidP="00A070B6">
      <w:pPr>
        <w:spacing w:after="0" w:line="240" w:lineRule="auto"/>
        <w:jc w:val="both"/>
        <w:rPr>
          <w:rFonts w:ascii="Verdana" w:eastAsia="Calibri" w:hAnsi="Verdana" w:cs="Times New Roman"/>
        </w:rPr>
      </w:pPr>
    </w:p>
    <w:p w14:paraId="58BABBB9" w14:textId="77777777" w:rsidR="00A070B6" w:rsidRPr="00A070B6" w:rsidRDefault="00A070B6" w:rsidP="00A070B6">
      <w:pPr>
        <w:spacing w:after="0" w:line="240" w:lineRule="auto"/>
        <w:jc w:val="both"/>
        <w:rPr>
          <w:rFonts w:ascii="Verdana" w:eastAsia="Calibri" w:hAnsi="Verdana" w:cs="Times New Roman"/>
        </w:rPr>
      </w:pPr>
    </w:p>
    <w:p w14:paraId="0EC09B9A" w14:textId="77777777" w:rsidR="00A070B6" w:rsidRPr="00A070B6" w:rsidRDefault="00A070B6" w:rsidP="00A070B6">
      <w:pPr>
        <w:spacing w:after="0" w:line="240" w:lineRule="auto"/>
        <w:jc w:val="both"/>
        <w:rPr>
          <w:rFonts w:ascii="Verdana" w:eastAsia="Calibri" w:hAnsi="Verdana" w:cs="Times New Roman"/>
        </w:rPr>
      </w:pPr>
    </w:p>
    <w:p w14:paraId="0E1E0BEF" w14:textId="77777777" w:rsidR="00A070B6" w:rsidRPr="00A070B6" w:rsidRDefault="00A070B6" w:rsidP="00A070B6">
      <w:pPr>
        <w:spacing w:after="0" w:line="240" w:lineRule="auto"/>
        <w:jc w:val="both"/>
        <w:rPr>
          <w:rFonts w:ascii="Verdana" w:eastAsia="Calibri" w:hAnsi="Verdana" w:cs="Times New Roman"/>
        </w:rPr>
      </w:pPr>
    </w:p>
    <w:p w14:paraId="31BC9103" w14:textId="77777777" w:rsidR="00A070B6" w:rsidRPr="00A070B6" w:rsidRDefault="00A070B6" w:rsidP="00A070B6">
      <w:pPr>
        <w:spacing w:after="0" w:line="240" w:lineRule="auto"/>
        <w:jc w:val="both"/>
        <w:rPr>
          <w:rFonts w:ascii="Verdana" w:eastAsia="Calibri" w:hAnsi="Verdana" w:cs="Times New Roman"/>
        </w:rPr>
      </w:pPr>
    </w:p>
    <w:p w14:paraId="2A13FAFB" w14:textId="77777777" w:rsidR="00A070B6" w:rsidRPr="00A070B6" w:rsidRDefault="00A070B6" w:rsidP="00A070B6">
      <w:pPr>
        <w:spacing w:after="0" w:line="240" w:lineRule="auto"/>
        <w:jc w:val="both"/>
        <w:rPr>
          <w:rFonts w:ascii="Verdana" w:eastAsia="Calibri" w:hAnsi="Verdana" w:cs="Times New Roman"/>
        </w:rPr>
      </w:pPr>
    </w:p>
    <w:p w14:paraId="5B902F52" w14:textId="77777777" w:rsidR="00A070B6" w:rsidRPr="00A070B6" w:rsidRDefault="00A070B6" w:rsidP="00A070B6">
      <w:pPr>
        <w:spacing w:after="0" w:line="240" w:lineRule="auto"/>
        <w:jc w:val="both"/>
        <w:rPr>
          <w:rFonts w:ascii="Verdana" w:eastAsia="Calibri" w:hAnsi="Verdana" w:cs="Times New Roman"/>
        </w:rPr>
      </w:pPr>
    </w:p>
    <w:p w14:paraId="45744936" w14:textId="77777777" w:rsidR="00A070B6" w:rsidRPr="00A070B6" w:rsidRDefault="00A070B6" w:rsidP="00A070B6">
      <w:pPr>
        <w:spacing w:after="0" w:line="240" w:lineRule="auto"/>
        <w:jc w:val="both"/>
        <w:rPr>
          <w:rFonts w:ascii="Verdana" w:eastAsia="Calibri" w:hAnsi="Verdana" w:cs="Times New Roman"/>
        </w:rPr>
      </w:pPr>
    </w:p>
    <w:p w14:paraId="19297017" w14:textId="77777777" w:rsidR="00A070B6" w:rsidRPr="00A070B6" w:rsidRDefault="00A070B6" w:rsidP="00A070B6">
      <w:pPr>
        <w:spacing w:after="0" w:line="240" w:lineRule="auto"/>
        <w:jc w:val="both"/>
        <w:rPr>
          <w:rFonts w:ascii="Verdana" w:eastAsia="Calibri" w:hAnsi="Verdana" w:cs="Times New Roman"/>
        </w:rPr>
      </w:pPr>
    </w:p>
    <w:p w14:paraId="65BDE32B" w14:textId="77777777" w:rsidR="00A070B6" w:rsidRPr="00A070B6" w:rsidRDefault="00A070B6" w:rsidP="00A070B6">
      <w:pPr>
        <w:spacing w:after="0" w:line="240" w:lineRule="auto"/>
        <w:jc w:val="both"/>
        <w:rPr>
          <w:rFonts w:ascii="Verdana" w:eastAsia="Calibri" w:hAnsi="Verdana" w:cs="Times New Roman"/>
        </w:rPr>
      </w:pPr>
    </w:p>
    <w:p w14:paraId="40C0C708" w14:textId="77777777" w:rsidR="00A070B6" w:rsidRPr="00A070B6" w:rsidRDefault="00A070B6" w:rsidP="00A070B6">
      <w:pPr>
        <w:spacing w:after="0" w:line="240" w:lineRule="auto"/>
        <w:jc w:val="both"/>
        <w:rPr>
          <w:rFonts w:ascii="Verdana" w:eastAsia="Calibri" w:hAnsi="Verdana" w:cs="Times New Roman"/>
        </w:rPr>
      </w:pPr>
    </w:p>
    <w:p w14:paraId="3EA052A7" w14:textId="77777777" w:rsidR="00A070B6" w:rsidRPr="00A070B6" w:rsidRDefault="00A070B6" w:rsidP="00A070B6">
      <w:pPr>
        <w:spacing w:after="0" w:line="240" w:lineRule="auto"/>
        <w:jc w:val="both"/>
        <w:rPr>
          <w:rFonts w:ascii="Verdana" w:eastAsia="Calibri" w:hAnsi="Verdana" w:cs="Times New Roman"/>
        </w:rPr>
      </w:pPr>
    </w:p>
    <w:p w14:paraId="278F94DB" w14:textId="77777777" w:rsidR="00A070B6" w:rsidRPr="00A070B6" w:rsidRDefault="00A070B6" w:rsidP="00A070B6">
      <w:pPr>
        <w:spacing w:after="0" w:line="240" w:lineRule="auto"/>
        <w:jc w:val="both"/>
        <w:rPr>
          <w:rFonts w:ascii="Verdana" w:eastAsia="Calibri" w:hAnsi="Verdana" w:cs="Times New Roman"/>
        </w:rPr>
      </w:pPr>
    </w:p>
    <w:p w14:paraId="3A03DC8B" w14:textId="169D002E" w:rsidR="00A070B6" w:rsidRPr="00A070B6" w:rsidRDefault="00A070B6" w:rsidP="00A070B6">
      <w:pPr>
        <w:spacing w:after="0" w:line="240" w:lineRule="auto"/>
        <w:jc w:val="both"/>
        <w:rPr>
          <w:rFonts w:ascii="Verdana" w:eastAsia="Calibri" w:hAnsi="Verdana" w:cs="Arial"/>
          <w:lang w:val="es-ES"/>
        </w:rPr>
      </w:pPr>
      <w:r w:rsidRPr="0044528D">
        <w:rPr>
          <w:rFonts w:ascii="Verdana" w:hAnsi="Verdana"/>
        </w:rPr>
        <w:lastRenderedPageBreak/>
        <w:t>Bogotá D.C.</w:t>
      </w:r>
    </w:p>
    <w:p w14:paraId="4130958A" w14:textId="77777777" w:rsidR="00A070B6" w:rsidRDefault="00A070B6" w:rsidP="00A070B6">
      <w:pPr>
        <w:spacing w:after="0" w:line="240" w:lineRule="auto"/>
        <w:jc w:val="both"/>
        <w:rPr>
          <w:rFonts w:ascii="Verdana" w:eastAsia="Calibri" w:hAnsi="Verdana" w:cs="Arial"/>
          <w:lang w:val="es-ES"/>
        </w:rPr>
      </w:pPr>
    </w:p>
    <w:p w14:paraId="62C7289A" w14:textId="0175B24C" w:rsidR="00A070B6" w:rsidRPr="00A070B6" w:rsidRDefault="0062055B" w:rsidP="0062055B">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1B45CC2D" wp14:editId="201CA6CD">
            <wp:extent cx="3946616" cy="1154334"/>
            <wp:effectExtent l="0" t="0" r="3175" b="1905"/>
            <wp:docPr id="249940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40410" name="Imagen 2499404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63103" cy="1159156"/>
                    </a:xfrm>
                    <a:prstGeom prst="rect">
                      <a:avLst/>
                    </a:prstGeom>
                  </pic:spPr>
                </pic:pic>
              </a:graphicData>
            </a:graphic>
          </wp:inline>
        </w:drawing>
      </w:r>
    </w:p>
    <w:p w14:paraId="7FE5AF30" w14:textId="77777777" w:rsidR="00A070B6" w:rsidRPr="00A070B6" w:rsidRDefault="00A070B6" w:rsidP="00A070B6">
      <w:pPr>
        <w:spacing w:after="0" w:line="240" w:lineRule="auto"/>
        <w:jc w:val="both"/>
        <w:rPr>
          <w:rFonts w:ascii="Verdana" w:eastAsia="Calibri" w:hAnsi="Verdana" w:cs="Arial"/>
          <w:lang w:val="es-ES" w:eastAsia="es-ES"/>
        </w:rPr>
      </w:pPr>
      <w:r w:rsidRPr="00A070B6">
        <w:rPr>
          <w:rFonts w:ascii="Verdana" w:eastAsia="Calibri" w:hAnsi="Verdana" w:cs="Arial"/>
          <w:lang w:val="es-ES" w:eastAsia="es-ES"/>
        </w:rPr>
        <w:t>Señora</w:t>
      </w:r>
    </w:p>
    <w:p w14:paraId="297EBF66" w14:textId="77777777" w:rsidR="00A070B6" w:rsidRPr="00A070B6" w:rsidRDefault="00A070B6" w:rsidP="00A070B6">
      <w:pPr>
        <w:spacing w:after="0" w:line="240" w:lineRule="auto"/>
        <w:rPr>
          <w:rFonts w:ascii="Verdana" w:eastAsia="Calibri" w:hAnsi="Verdana" w:cs="Arial"/>
          <w:b/>
          <w:lang w:val="es-ES_tradnl" w:eastAsia="es-ES_tradnl"/>
        </w:rPr>
      </w:pPr>
      <w:r w:rsidRPr="00A070B6">
        <w:rPr>
          <w:rFonts w:ascii="Verdana" w:eastAsia="Calibri" w:hAnsi="Verdana" w:cs="Arial"/>
          <w:b/>
          <w:lang w:val="es-ES_tradnl" w:eastAsia="es-ES_tradnl"/>
        </w:rPr>
        <w:t>Sandra Forero Ramírez</w:t>
      </w:r>
    </w:p>
    <w:p w14:paraId="7E816260" w14:textId="77777777" w:rsidR="00A070B6" w:rsidRPr="00A070B6" w:rsidRDefault="00A070B6" w:rsidP="00A070B6">
      <w:pPr>
        <w:spacing w:after="0" w:line="240" w:lineRule="auto"/>
        <w:rPr>
          <w:rFonts w:ascii="Verdana" w:eastAsia="Calibri" w:hAnsi="Verdana" w:cs="Arial"/>
          <w:bCs/>
          <w:lang w:val="es-ES_tradnl" w:eastAsia="es-ES_tradnl"/>
        </w:rPr>
      </w:pPr>
      <w:r w:rsidRPr="00A070B6">
        <w:rPr>
          <w:rFonts w:ascii="Verdana" w:eastAsia="Calibri" w:hAnsi="Verdana" w:cs="Arial"/>
          <w:bCs/>
          <w:lang w:val="es-ES_tradnl" w:eastAsia="es-ES_tradnl"/>
        </w:rPr>
        <w:t>Concejal de Bogotá D.C.</w:t>
      </w:r>
    </w:p>
    <w:p w14:paraId="44A7F12A" w14:textId="77777777" w:rsidR="00A070B6" w:rsidRPr="00A070B6" w:rsidRDefault="00A070B6" w:rsidP="00A070B6">
      <w:pPr>
        <w:spacing w:after="0" w:line="240" w:lineRule="auto"/>
        <w:rPr>
          <w:rFonts w:ascii="Verdana" w:eastAsia="Calibri" w:hAnsi="Verdana" w:cs="Arial"/>
          <w:b/>
          <w:bCs/>
          <w:lang w:val="es-ES_tradnl" w:eastAsia="es-ES_tradnl"/>
        </w:rPr>
      </w:pPr>
      <w:r w:rsidRPr="00A070B6">
        <w:rPr>
          <w:rFonts w:ascii="Verdana" w:eastAsia="Calibri" w:hAnsi="Verdana" w:cs="Arial"/>
          <w:lang w:val="es-ES" w:eastAsia="es-ES"/>
        </w:rPr>
        <w:t>Bogotá, D.C.</w:t>
      </w:r>
    </w:p>
    <w:p w14:paraId="79DBAE7F" w14:textId="77777777" w:rsidR="00A070B6" w:rsidRPr="00A070B6" w:rsidRDefault="00A070B6" w:rsidP="00A070B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070B6" w:rsidRPr="00A070B6" w14:paraId="32ECF42C" w14:textId="77777777">
        <w:trPr>
          <w:trHeight w:val="884"/>
        </w:trPr>
        <w:tc>
          <w:tcPr>
            <w:tcW w:w="2689" w:type="dxa"/>
          </w:tcPr>
          <w:p w14:paraId="7BC240F5" w14:textId="77777777" w:rsidR="00A070B6" w:rsidRPr="00A070B6" w:rsidRDefault="00A070B6" w:rsidP="00A070B6">
            <w:pPr>
              <w:jc w:val="both"/>
              <w:rPr>
                <w:rFonts w:ascii="Verdana" w:eastAsia="Calibri" w:hAnsi="Verdana" w:cs="Arial"/>
                <w:b/>
                <w:bCs/>
                <w:lang w:val="es-ES_tradnl" w:eastAsia="es-ES_tradnl"/>
              </w:rPr>
            </w:pPr>
          </w:p>
        </w:tc>
        <w:tc>
          <w:tcPr>
            <w:tcW w:w="6100" w:type="dxa"/>
          </w:tcPr>
          <w:p w14:paraId="6642FCE6" w14:textId="77777777" w:rsidR="00A070B6" w:rsidRPr="00A070B6" w:rsidRDefault="00A070B6" w:rsidP="00A070B6">
            <w:pPr>
              <w:jc w:val="both"/>
              <w:rPr>
                <w:rFonts w:ascii="Verdana" w:eastAsia="Calibri" w:hAnsi="Verdana" w:cs="Arial"/>
                <w:b/>
                <w:bCs/>
                <w:lang w:val="es-ES" w:eastAsia="es-ES"/>
              </w:rPr>
            </w:pPr>
            <w:r w:rsidRPr="00A070B6">
              <w:rPr>
                <w:rFonts w:ascii="Verdana" w:eastAsia="Calibri" w:hAnsi="Verdana" w:cs="Arial"/>
                <w:b/>
                <w:bCs/>
                <w:lang w:val="es-ES" w:eastAsia="es-ES"/>
              </w:rPr>
              <w:t>Concepto C – 131 de 2024</w:t>
            </w:r>
          </w:p>
        </w:tc>
      </w:tr>
      <w:tr w:rsidR="00A070B6" w:rsidRPr="00A070B6" w14:paraId="36E87155" w14:textId="77777777">
        <w:trPr>
          <w:trHeight w:val="884"/>
        </w:trPr>
        <w:tc>
          <w:tcPr>
            <w:tcW w:w="2689" w:type="dxa"/>
          </w:tcPr>
          <w:p w14:paraId="4760160C" w14:textId="77777777" w:rsidR="00A070B6" w:rsidRPr="00A070B6" w:rsidRDefault="00A070B6" w:rsidP="00A070B6">
            <w:pPr>
              <w:jc w:val="both"/>
              <w:rPr>
                <w:rFonts w:ascii="Verdana" w:eastAsia="Calibri" w:hAnsi="Verdana" w:cs="Arial"/>
                <w:lang w:val="es-ES_tradnl" w:eastAsia="es-ES_tradnl"/>
              </w:rPr>
            </w:pPr>
            <w:r w:rsidRPr="00A070B6">
              <w:rPr>
                <w:rFonts w:ascii="Verdana" w:eastAsia="Calibri" w:hAnsi="Verdana" w:cs="Arial"/>
                <w:b/>
                <w:lang w:val="es-ES_tradnl" w:eastAsia="es-ES_tradnl"/>
              </w:rPr>
              <w:t>Temas:</w:t>
            </w:r>
            <w:r w:rsidRPr="00A070B6">
              <w:rPr>
                <w:rFonts w:ascii="Verdana" w:eastAsia="Calibri" w:hAnsi="Verdana" w:cs="Arial"/>
                <w:lang w:val="es-ES_tradnl" w:eastAsia="es-ES_tradnl"/>
              </w:rPr>
              <w:t xml:space="preserve">                   </w:t>
            </w:r>
          </w:p>
        </w:tc>
        <w:tc>
          <w:tcPr>
            <w:tcW w:w="6100" w:type="dxa"/>
          </w:tcPr>
          <w:p w14:paraId="4C3AB0F0" w14:textId="77777777" w:rsidR="00A070B6" w:rsidRPr="00A070B6" w:rsidRDefault="00A070B6" w:rsidP="00A070B6">
            <w:pPr>
              <w:spacing w:line="276" w:lineRule="auto"/>
              <w:jc w:val="both"/>
              <w:rPr>
                <w:rFonts w:ascii="Verdana" w:eastAsia="Aptos" w:hAnsi="Verdana" w:cs="Arial"/>
                <w:lang w:val="es-MX"/>
              </w:rPr>
            </w:pPr>
            <w:r w:rsidRPr="00A070B6">
              <w:rPr>
                <w:rFonts w:ascii="Verdana" w:eastAsia="Aptos" w:hAnsi="Verdana" w:cs="Arial"/>
                <w:lang w:val="es-MX"/>
              </w:rPr>
              <w:t>DOCUMENTOS TIPO – Formulario 1 – Presupuesto Oficial – Propuesta económica / INALTERABILIDAD – Documentos Tipo – Alcance</w:t>
            </w:r>
          </w:p>
          <w:p w14:paraId="02A2B438" w14:textId="77777777" w:rsidR="00A070B6" w:rsidRPr="00A070B6" w:rsidRDefault="00A070B6" w:rsidP="00A070B6">
            <w:pPr>
              <w:tabs>
                <w:tab w:val="left" w:pos="0"/>
              </w:tabs>
              <w:spacing w:line="276" w:lineRule="auto"/>
              <w:jc w:val="both"/>
              <w:rPr>
                <w:rFonts w:ascii="Verdana" w:eastAsia="Calibri" w:hAnsi="Verdana" w:cs="Arial"/>
                <w:lang w:val="es-ES" w:eastAsia="es-ES"/>
              </w:rPr>
            </w:pPr>
          </w:p>
        </w:tc>
      </w:tr>
      <w:tr w:rsidR="00A070B6" w:rsidRPr="00A070B6" w14:paraId="2540529D" w14:textId="77777777">
        <w:tc>
          <w:tcPr>
            <w:tcW w:w="2689" w:type="dxa"/>
          </w:tcPr>
          <w:p w14:paraId="0E508B12" w14:textId="77777777" w:rsidR="00A070B6" w:rsidRPr="00A070B6" w:rsidRDefault="00A070B6" w:rsidP="00A070B6">
            <w:pPr>
              <w:jc w:val="both"/>
              <w:rPr>
                <w:rFonts w:ascii="Verdana" w:eastAsia="Calibri" w:hAnsi="Verdana" w:cs="Arial"/>
                <w:b/>
                <w:lang w:val="es-ES_tradnl" w:eastAsia="es-ES_tradnl"/>
              </w:rPr>
            </w:pPr>
            <w:r w:rsidRPr="00A070B6">
              <w:rPr>
                <w:rFonts w:ascii="Verdana" w:eastAsia="Calibri" w:hAnsi="Verdana" w:cs="Arial"/>
                <w:b/>
                <w:lang w:val="es-ES_tradnl" w:eastAsia="es-ES_tradnl"/>
              </w:rPr>
              <w:t>Radicación:</w:t>
            </w:r>
            <w:r w:rsidRPr="00A070B6">
              <w:rPr>
                <w:rFonts w:ascii="Verdana" w:eastAsia="Calibri" w:hAnsi="Verdana" w:cs="Arial"/>
                <w:lang w:val="es-ES_tradnl" w:eastAsia="es-ES_tradnl"/>
              </w:rPr>
              <w:t xml:space="preserve">               </w:t>
            </w:r>
          </w:p>
        </w:tc>
        <w:tc>
          <w:tcPr>
            <w:tcW w:w="6100" w:type="dxa"/>
          </w:tcPr>
          <w:p w14:paraId="42F3FD11" w14:textId="77777777" w:rsidR="00A070B6" w:rsidRPr="00A070B6" w:rsidRDefault="00A070B6" w:rsidP="00A070B6">
            <w:pPr>
              <w:jc w:val="both"/>
              <w:rPr>
                <w:rFonts w:ascii="Verdana" w:eastAsia="Calibri" w:hAnsi="Verdana" w:cs="Arial"/>
                <w:lang w:val="es-ES_tradnl" w:eastAsia="es-ES_tradnl"/>
              </w:rPr>
            </w:pPr>
            <w:r w:rsidRPr="00A070B6">
              <w:rPr>
                <w:rFonts w:ascii="Verdana" w:eastAsia="Calibri" w:hAnsi="Verdana" w:cs="Arial"/>
                <w:lang w:val="es-ES_tradnl" w:eastAsia="es-ES_tradnl"/>
              </w:rPr>
              <w:t>Respuesta a consulta con radicado No. P20240617006145</w:t>
            </w:r>
          </w:p>
        </w:tc>
      </w:tr>
    </w:tbl>
    <w:p w14:paraId="2FAE17EB" w14:textId="77777777" w:rsidR="00A070B6" w:rsidRPr="00A070B6" w:rsidRDefault="00A070B6" w:rsidP="00A070B6">
      <w:pPr>
        <w:spacing w:after="0" w:line="240" w:lineRule="auto"/>
        <w:jc w:val="both"/>
        <w:rPr>
          <w:rFonts w:ascii="Verdana" w:eastAsia="Calibri" w:hAnsi="Verdana" w:cs="Arial"/>
          <w:lang w:val="es-ES_tradnl" w:eastAsia="es-ES_tradnl"/>
        </w:rPr>
      </w:pPr>
    </w:p>
    <w:p w14:paraId="44D865C4" w14:textId="77777777" w:rsidR="00A070B6" w:rsidRPr="00A070B6" w:rsidRDefault="00A070B6" w:rsidP="00A070B6">
      <w:pPr>
        <w:spacing w:after="0" w:line="240" w:lineRule="auto"/>
        <w:jc w:val="both"/>
        <w:rPr>
          <w:rFonts w:ascii="Verdana" w:eastAsia="Calibri" w:hAnsi="Verdana" w:cs="Arial"/>
          <w:lang w:val="es-ES_tradnl" w:eastAsia="es-ES_tradnl"/>
        </w:rPr>
      </w:pPr>
    </w:p>
    <w:p w14:paraId="3CC4F069" w14:textId="77777777" w:rsidR="00A070B6" w:rsidRPr="00A070B6" w:rsidRDefault="00A070B6" w:rsidP="00A070B6">
      <w:pPr>
        <w:spacing w:after="0" w:line="276" w:lineRule="auto"/>
        <w:jc w:val="both"/>
        <w:rPr>
          <w:rFonts w:ascii="Verdana" w:eastAsia="Calibri" w:hAnsi="Verdana" w:cs="Arial"/>
          <w:lang w:val="es-ES" w:eastAsia="es-ES"/>
        </w:rPr>
      </w:pPr>
      <w:r w:rsidRPr="00A070B6">
        <w:rPr>
          <w:rFonts w:ascii="Verdana" w:eastAsia="Calibri" w:hAnsi="Verdana" w:cs="Arial"/>
          <w:lang w:val="es-ES" w:eastAsia="es-ES"/>
        </w:rPr>
        <w:t xml:space="preserve">Estimada señora Forero Ramírez: </w:t>
      </w:r>
    </w:p>
    <w:p w14:paraId="6A47CEAC" w14:textId="77777777" w:rsidR="00A070B6" w:rsidRPr="00A070B6" w:rsidRDefault="00A070B6" w:rsidP="00A070B6">
      <w:pPr>
        <w:tabs>
          <w:tab w:val="left" w:pos="3768"/>
        </w:tabs>
        <w:spacing w:after="0" w:line="276" w:lineRule="auto"/>
        <w:jc w:val="both"/>
        <w:rPr>
          <w:rFonts w:ascii="Verdana" w:eastAsia="Calibri" w:hAnsi="Verdana" w:cs="Arial"/>
          <w:lang w:val="es-ES" w:eastAsia="es-ES"/>
        </w:rPr>
      </w:pPr>
      <w:r w:rsidRPr="00A070B6">
        <w:rPr>
          <w:rFonts w:ascii="Verdana" w:eastAsia="Calibri" w:hAnsi="Verdana" w:cs="Arial"/>
          <w:lang w:val="es-ES" w:eastAsia="es-ES"/>
        </w:rPr>
        <w:tab/>
      </w:r>
    </w:p>
    <w:p w14:paraId="5FD09737" w14:textId="77777777" w:rsidR="00A070B6" w:rsidRPr="00A070B6" w:rsidRDefault="00A070B6" w:rsidP="00A070B6">
      <w:pPr>
        <w:spacing w:after="0" w:line="276" w:lineRule="auto"/>
        <w:jc w:val="both"/>
        <w:rPr>
          <w:rFonts w:ascii="Verdana" w:eastAsia="Calibri" w:hAnsi="Verdana" w:cs="Arial"/>
          <w:lang w:val="es-ES" w:eastAsia="es-ES"/>
        </w:rPr>
      </w:pPr>
      <w:r w:rsidRPr="00A070B6">
        <w:rPr>
          <w:rFonts w:ascii="Verdana" w:eastAsia="Calibri" w:hAnsi="Verdana" w:cs="Arial"/>
          <w:lang w:val="es-ES" w:eastAsia="es-ES"/>
        </w:rPr>
        <w:t>En ejercicio de la competencia otorgada por los artículos 3, numeral 5º, y 11, numeral 8º, del Decreto Ley 4170 de 2011,</w:t>
      </w:r>
      <w:r w:rsidRPr="00A070B6">
        <w:rPr>
          <w:rFonts w:ascii="Verdana" w:eastAsia="Arial MT" w:hAnsi="Verdana" w:cs="Arial MT"/>
          <w:lang w:val="es-ES" w:eastAsia="es-ES"/>
        </w:rPr>
        <w:t xml:space="preserve"> </w:t>
      </w:r>
      <w:r w:rsidRPr="00A070B6">
        <w:rPr>
          <w:rFonts w:ascii="Verdana" w:eastAsia="Calibri" w:hAnsi="Verdana" w:cs="Arial"/>
        </w:rPr>
        <w:t xml:space="preserve">así como lo establecido en el artículo 4 de la Resolución 1707 de 2018 expedida por esta Entidad, </w:t>
      </w:r>
      <w:r w:rsidRPr="00A070B6">
        <w:rPr>
          <w:rFonts w:ascii="Verdana" w:eastAsia="Calibri" w:hAnsi="Verdana" w:cs="Arial"/>
          <w:lang w:val="es-ES" w:eastAsia="es-ES"/>
        </w:rPr>
        <w:t>la Agencia Nacional de Contratación Pública – Colombia Compra Eficiente– responde su solicitud de consulta de fecha 17 de junio de 2024. En relación con los documentos tipo de licitación de obra pública de infraestructura de transporte, usted manifiesta lo siguiente:</w:t>
      </w:r>
    </w:p>
    <w:p w14:paraId="6046070C" w14:textId="77777777" w:rsidR="00A070B6" w:rsidRPr="00A070B6" w:rsidRDefault="00A070B6" w:rsidP="00A070B6">
      <w:pPr>
        <w:tabs>
          <w:tab w:val="left" w:pos="142"/>
          <w:tab w:val="left" w:pos="284"/>
        </w:tabs>
        <w:spacing w:line="276" w:lineRule="auto"/>
        <w:contextualSpacing/>
        <w:jc w:val="both"/>
        <w:rPr>
          <w:rFonts w:ascii="Verdana" w:eastAsia="Century Gothic" w:hAnsi="Verdana" w:cs="Century Gothic"/>
          <w:b/>
          <w:bCs/>
          <w:lang w:val="es-ES"/>
        </w:rPr>
      </w:pPr>
    </w:p>
    <w:p w14:paraId="7989510A"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t>“1. ¿Qué tanta libertad permite el Formulario 1 – Propuesta Económica (en todas sus pestañas del archivo Excel) a las Entidades obligadas a implementar los documentos tipo de licitación de obra pública de infraestructura de transporte para establecer notas que limiten la participación y que estén en contravía de las premisas de la adopción de estos documentos tipo?</w:t>
      </w:r>
    </w:p>
    <w:p w14:paraId="23F6EC3D"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p>
    <w:p w14:paraId="52D1A086"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lastRenderedPageBreak/>
        <w:t>2. ¿Las notas 1, 2 y 3 del formulario propuesto por la ANCP-CCE son de obligatoria inclusión en los procesos que sean adelantados bajo la modalidad de precios unitarios? ¿Estás notas pueden ser modificadas y/o eliminadas?</w:t>
      </w:r>
    </w:p>
    <w:p w14:paraId="4F080FA4"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t>3. Bajo las normas de interpretación del pliego de condiciones, ¿las notas incluidas por las entidades estatales en el Formulario 1 pueden estar por encima de lo dispuesto en el Documento Base?</w:t>
      </w:r>
    </w:p>
    <w:p w14:paraId="034CF40D"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p>
    <w:p w14:paraId="3A3B58A9"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t>4. ¿La entidad bajo las reglas del numeral 4?1.2. ¿CORRECCIONES ARITMÉTICAS puede hacerlas extensivas a una interpretación diferente a la consagrada en el Documento Base? Es decir, establecer que bajo la condición de aproximación o corrección aritmética más allá de su noción matemática las emplee como una regla restrictiva que limite y/o direccione el proceso a algún proponente en particular.</w:t>
      </w:r>
    </w:p>
    <w:p w14:paraId="11C51F3F"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p>
    <w:p w14:paraId="524C61D1"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t>5. Al establecerse reglas de aproximación y/o correcciones aritméticas bajo una interpretación distinta a la del numeral 4.1.2., las entidades están empleando la libertad de configuración del Formulario 1 como una ventana que limite la participación con reglas, cantidad de decimales, ítems que son objeto de corrección, otros que no, para limitar la participación y aparentemente direccionar los procesos. ¿La ANCP-CCE y las entidades del sector que coadyuvan a la construcción de los documentos de infraestructura de transporte han analizado estas condiciones? ¿Desde el observatorio oficial de contratación de la Subdirección de EMAE se ha alertado sobre el particular?</w:t>
      </w:r>
    </w:p>
    <w:p w14:paraId="57517607"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p>
    <w:p w14:paraId="6B29C1FB" w14:textId="77777777" w:rsidR="00A070B6" w:rsidRPr="00A070B6" w:rsidRDefault="00A070B6" w:rsidP="00A070B6">
      <w:pPr>
        <w:spacing w:after="0" w:line="240" w:lineRule="auto"/>
        <w:ind w:left="709" w:right="709"/>
        <w:jc w:val="both"/>
        <w:rPr>
          <w:rFonts w:ascii="Verdana" w:eastAsia="Century Gothic" w:hAnsi="Verdana" w:cs="Century Gothic"/>
          <w:sz w:val="20"/>
          <w:szCs w:val="20"/>
          <w:lang w:val="es-ES"/>
        </w:rPr>
      </w:pPr>
      <w:r w:rsidRPr="00A070B6">
        <w:rPr>
          <w:rFonts w:ascii="Verdana" w:eastAsia="Century Gothic" w:hAnsi="Verdana" w:cs="Century Gothic"/>
          <w:sz w:val="20"/>
          <w:szCs w:val="20"/>
          <w:lang w:val="es-ES"/>
        </w:rPr>
        <w:t>6. Las entidades estatales en su obligación que le asiste como parte de la etapa previa de planeación, ¿puede establecer condiciones confusas en cuanto a la estimación del presupuesto oficial que induzcan al error al proponente, o, por el contrario, sea una ventana para direccionar el proceso de selección? Esto en el caso que, al establecer el presupuesto oficial, los precios unitarios y cantidades que se empleen para el formulario económico sean diferentes, y que por un lado se estimó un presupuesto y precios unitarios que en la evaluación NO corresponden a los que se evaluarán.”</w:t>
      </w:r>
    </w:p>
    <w:p w14:paraId="3C03B96A" w14:textId="77777777" w:rsidR="00A070B6" w:rsidRPr="00A070B6" w:rsidRDefault="00A070B6" w:rsidP="00A070B6">
      <w:pPr>
        <w:spacing w:after="0" w:line="240" w:lineRule="auto"/>
        <w:ind w:right="709"/>
        <w:jc w:val="both"/>
        <w:rPr>
          <w:rFonts w:ascii="Verdana" w:eastAsia="Century Gothic" w:hAnsi="Verdana" w:cs="Century Gothic"/>
          <w:lang w:val="es-ES"/>
        </w:rPr>
      </w:pPr>
    </w:p>
    <w:p w14:paraId="75ECDB77" w14:textId="77777777" w:rsidR="00A070B6" w:rsidRPr="00A070B6" w:rsidRDefault="00A070B6" w:rsidP="00A070B6">
      <w:pPr>
        <w:spacing w:after="120" w:line="276" w:lineRule="auto"/>
        <w:ind w:firstLine="709"/>
        <w:jc w:val="both"/>
        <w:rPr>
          <w:rFonts w:ascii="Verdana" w:eastAsia="Calibri" w:hAnsi="Verdana" w:cs="Arial"/>
          <w:szCs w:val="24"/>
          <w:lang w:val="es-ES_tradnl" w:eastAsia="es-ES_tradnl"/>
        </w:rPr>
      </w:pPr>
      <w:r w:rsidRPr="00A070B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A070B6">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A070B6">
        <w:rPr>
          <w:rFonts w:ascii="Verdana" w:eastAsia="Calibri" w:hAnsi="Verdana" w:cs="Arial"/>
          <w:szCs w:val="24"/>
          <w:lang w:val="es-ES_tradnl" w:eastAsia="es-ES_tradnl"/>
        </w:rPr>
        <w:tab/>
      </w:r>
    </w:p>
    <w:p w14:paraId="1AAC5AC5" w14:textId="77777777" w:rsidR="00A070B6" w:rsidRPr="00A070B6" w:rsidRDefault="00A070B6" w:rsidP="00A070B6">
      <w:pPr>
        <w:spacing w:after="0" w:line="276" w:lineRule="auto"/>
        <w:ind w:firstLine="709"/>
        <w:jc w:val="both"/>
        <w:rPr>
          <w:rFonts w:ascii="Verdana" w:eastAsia="Calibri" w:hAnsi="Verdana" w:cs="Arial"/>
          <w:lang w:val="es-ES" w:eastAsia="es-ES"/>
        </w:rPr>
      </w:pPr>
      <w:r w:rsidRPr="00A070B6">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122F8D4" w14:textId="77777777" w:rsidR="00A070B6" w:rsidRPr="00A070B6" w:rsidRDefault="00A070B6" w:rsidP="00A070B6">
      <w:pPr>
        <w:spacing w:after="0" w:line="276" w:lineRule="auto"/>
        <w:ind w:firstLine="709"/>
        <w:jc w:val="both"/>
        <w:rPr>
          <w:rFonts w:ascii="Verdana" w:eastAsia="Calibri" w:hAnsi="Verdana" w:cs="Arial"/>
          <w:lang w:val="es-ES" w:eastAsia="es-ES"/>
        </w:rPr>
      </w:pPr>
    </w:p>
    <w:p w14:paraId="15B0BEE0" w14:textId="77777777" w:rsidR="00A070B6" w:rsidRPr="00A070B6" w:rsidRDefault="00A070B6" w:rsidP="00A070B6">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A070B6">
        <w:rPr>
          <w:rFonts w:ascii="Verdana" w:eastAsia="Century Gothic" w:hAnsi="Verdana" w:cs="Century Gothic"/>
          <w:b/>
          <w:bCs/>
          <w:lang w:val="es-ES"/>
        </w:rPr>
        <w:t>Problema planteado:</w:t>
      </w:r>
    </w:p>
    <w:p w14:paraId="38975365" w14:textId="77777777" w:rsidR="00A070B6" w:rsidRPr="00A070B6" w:rsidRDefault="00A070B6" w:rsidP="00A070B6">
      <w:pPr>
        <w:tabs>
          <w:tab w:val="left" w:pos="426"/>
        </w:tabs>
        <w:spacing w:after="0" w:line="276" w:lineRule="auto"/>
        <w:jc w:val="both"/>
        <w:rPr>
          <w:rFonts w:ascii="Verdana" w:eastAsia="Century Gothic" w:hAnsi="Verdana" w:cs="Century Gothic"/>
          <w:lang w:val="es-ES"/>
        </w:rPr>
      </w:pPr>
    </w:p>
    <w:p w14:paraId="20671020" w14:textId="77777777" w:rsidR="00A070B6" w:rsidRPr="00A070B6" w:rsidRDefault="00A070B6" w:rsidP="00A070B6">
      <w:pPr>
        <w:snapToGrid w:val="0"/>
        <w:spacing w:after="0" w:line="276" w:lineRule="auto"/>
        <w:jc w:val="both"/>
        <w:rPr>
          <w:rFonts w:ascii="Verdana" w:eastAsia="Century Gothic" w:hAnsi="Verdana" w:cs="Century Gothic"/>
        </w:rPr>
      </w:pPr>
      <w:r w:rsidRPr="00A070B6">
        <w:rPr>
          <w:rFonts w:ascii="Verdana" w:eastAsia="Century Gothic" w:hAnsi="Verdana" w:cs="Century Gothic"/>
        </w:rPr>
        <w:t>De acuerdo con el contenido de su solicitud, esta Agencia resolverá el siguiente problema jurídico: ¿cuál es el alcance de la posibilidad de modificar el contenido del Formulario 1 y de las reglas sobre correcciones aritméticas de los documentos tipo de licitación de obra pública de infraestructura de transporte?</w:t>
      </w:r>
    </w:p>
    <w:p w14:paraId="2CE26B93" w14:textId="77777777" w:rsidR="00A070B6" w:rsidRPr="00A070B6" w:rsidRDefault="00A070B6" w:rsidP="00A070B6">
      <w:pPr>
        <w:snapToGrid w:val="0"/>
        <w:spacing w:after="0" w:line="276" w:lineRule="auto"/>
        <w:jc w:val="both"/>
        <w:rPr>
          <w:rFonts w:ascii="Verdana" w:eastAsia="Calibri" w:hAnsi="Verdana" w:cs="Arial"/>
          <w:lang w:val="es-ES"/>
        </w:rPr>
      </w:pPr>
    </w:p>
    <w:p w14:paraId="0545B8FA" w14:textId="77777777" w:rsidR="00A070B6" w:rsidRPr="00A070B6" w:rsidRDefault="00A070B6" w:rsidP="00A070B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070B6">
        <w:rPr>
          <w:rFonts w:ascii="Verdana" w:eastAsia="Century Gothic" w:hAnsi="Verdana" w:cs="Century Gothic"/>
          <w:b/>
          <w:bCs/>
          <w:lang w:val="es-ES"/>
        </w:rPr>
        <w:t>Respuesta:</w:t>
      </w:r>
    </w:p>
    <w:p w14:paraId="5ED608BD" w14:textId="77777777" w:rsidR="00A070B6" w:rsidRPr="00A070B6" w:rsidRDefault="00A070B6" w:rsidP="00A070B6">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70B6" w:rsidRPr="00A070B6" w14:paraId="45C64E77" w14:textId="77777777" w:rsidTr="2297D838">
        <w:tc>
          <w:tcPr>
            <w:tcW w:w="8828" w:type="dxa"/>
            <w:shd w:val="clear" w:color="auto" w:fill="auto"/>
          </w:tcPr>
          <w:p w14:paraId="541A2429" w14:textId="77777777" w:rsidR="00A070B6" w:rsidRPr="00A070B6" w:rsidRDefault="00A070B6" w:rsidP="2297D838">
            <w:pPr>
              <w:spacing w:line="276" w:lineRule="auto"/>
              <w:jc w:val="both"/>
              <w:rPr>
                <w:rFonts w:ascii="Verdana" w:eastAsia="Times New Roman" w:hAnsi="Verdana" w:cs="Arial"/>
                <w:kern w:val="2"/>
                <w:shd w:val="clear" w:color="auto" w:fill="FFFFFF"/>
                <w:lang w:val="es-ES" w:eastAsia="es-ES"/>
                <w14:ligatures w14:val="standardContextual"/>
              </w:rPr>
            </w:pPr>
            <w:r w:rsidRPr="2297D838">
              <w:rPr>
                <w:rFonts w:ascii="Verdana" w:eastAsia="Times New Roman" w:hAnsi="Verdana" w:cs="Arial"/>
                <w:kern w:val="2"/>
                <w:shd w:val="clear" w:color="auto" w:fill="FFFFFF"/>
                <w:lang w:val="es-ES" w:eastAsia="es-ES"/>
                <w14:ligatures w14:val="standardContextual"/>
              </w:rPr>
              <w:t xml:space="preserve">En virtud de la regla de inalterabilidad aludida, los Documentos Tipo solo pueden ser modificados en los aspectos en que estos lo permitan. Esto corresponde a aquellos aspectos que se encuentran entre corchetes y resaltados en gris </w:t>
            </w:r>
            <w:r w:rsidRPr="2297D838">
              <w:rPr>
                <w:rFonts w:ascii="Verdana" w:eastAsia="Times New Roman" w:hAnsi="Verdana" w:cs="Arial"/>
                <w:kern w:val="2"/>
                <w:highlight w:val="lightGray"/>
                <w:shd w:val="clear" w:color="auto" w:fill="FFFFFF"/>
                <w:lang w:val="es-ES" w:eastAsia="es-ES"/>
                <w14:ligatures w14:val="standardContextual"/>
              </w:rPr>
              <w:t>–[texto]–</w:t>
            </w:r>
            <w:r w:rsidRPr="2297D838">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9EA0925" w14:textId="77777777" w:rsidR="00A070B6" w:rsidRPr="00A070B6" w:rsidRDefault="00A070B6" w:rsidP="00A070B6">
            <w:pPr>
              <w:spacing w:line="276" w:lineRule="auto"/>
              <w:jc w:val="both"/>
              <w:rPr>
                <w:rFonts w:ascii="Verdana" w:eastAsia="Calibri" w:hAnsi="Verdana" w:cs="Arial"/>
                <w:bCs/>
                <w:lang w:val="es-ES_tradnl" w:eastAsia="es-CO"/>
              </w:rPr>
            </w:pPr>
          </w:p>
          <w:p w14:paraId="726D9885" w14:textId="77777777" w:rsidR="00A070B6" w:rsidRPr="00A070B6" w:rsidRDefault="00A070B6" w:rsidP="00A070B6">
            <w:pPr>
              <w:snapToGrid w:val="0"/>
              <w:spacing w:line="276" w:lineRule="auto"/>
              <w:jc w:val="both"/>
              <w:rPr>
                <w:rFonts w:ascii="Verdana" w:eastAsia="Aptos" w:hAnsi="Verdana" w:cs="Arial"/>
                <w:lang w:val="es-ES_tradnl"/>
              </w:rPr>
            </w:pPr>
            <w:r w:rsidRPr="00A070B6">
              <w:rPr>
                <w:rFonts w:ascii="Verdana" w:eastAsia="Aptos" w:hAnsi="Verdana" w:cs="Arial"/>
                <w:lang w:val="es-ES_tradnl"/>
              </w:rPr>
              <w:t xml:space="preserve">Respecto al “Formulario 1” de los documentos tipo de infraestructura de transporte objeto de su consulta, es importante señalar que la entidad puede modificarlo o establecer la presentación de la oferta económica con un formulario distinto al indicado. Sin embargo, cuando el proceso de contratación es estructurado por precios unitarios, la entidad deberá aplicar las notas 1, 2 y 3 del formulario en comento. </w:t>
            </w:r>
          </w:p>
          <w:p w14:paraId="71811C7A" w14:textId="77777777" w:rsidR="00A070B6" w:rsidRPr="00A070B6" w:rsidRDefault="00A070B6" w:rsidP="00A070B6">
            <w:pPr>
              <w:snapToGrid w:val="0"/>
              <w:spacing w:line="276" w:lineRule="auto"/>
              <w:jc w:val="both"/>
              <w:rPr>
                <w:rFonts w:ascii="Verdana" w:eastAsia="Aptos" w:hAnsi="Verdana" w:cs="Arial"/>
                <w:lang w:val="es-ES_tradnl"/>
              </w:rPr>
            </w:pPr>
          </w:p>
          <w:p w14:paraId="012E5F66" w14:textId="77777777" w:rsidR="00A070B6" w:rsidRPr="00A070B6" w:rsidRDefault="00A070B6" w:rsidP="00A070B6">
            <w:pPr>
              <w:snapToGrid w:val="0"/>
              <w:spacing w:line="276" w:lineRule="auto"/>
              <w:jc w:val="both"/>
              <w:rPr>
                <w:rFonts w:ascii="Verdana" w:eastAsia="Aptos" w:hAnsi="Verdana" w:cs="Arial"/>
                <w:lang w:val="es-ES_tradnl"/>
              </w:rPr>
            </w:pPr>
            <w:r w:rsidRPr="00A070B6">
              <w:rPr>
                <w:rFonts w:ascii="Verdana" w:eastAsia="Aptos" w:hAnsi="Verdana" w:cs="Arial"/>
                <w:lang w:val="es-ES_tradnl"/>
              </w:rPr>
              <w:t>Por otra parte, el numeral “4.1.2. CORRECCIONES ARITMÉTICAS” del Documento Base señala las situaciones en las cuales la entidad efectuará correcciones aritméticas. En todo caso, cuando la entidad realice modificaciones o incluya aspectos que puedan interpretar de forma diferente lo definido en el pliego tipo, primará lo señalado en los documentos tipo, conforme al literal “E” del numeral 1.17 del Documento Base.</w:t>
            </w:r>
          </w:p>
          <w:p w14:paraId="6B0E6EE5" w14:textId="77777777" w:rsidR="00A070B6" w:rsidRPr="00A070B6" w:rsidRDefault="00A070B6" w:rsidP="00A070B6">
            <w:pPr>
              <w:snapToGrid w:val="0"/>
              <w:spacing w:line="276" w:lineRule="auto"/>
              <w:jc w:val="both"/>
              <w:rPr>
                <w:rFonts w:ascii="Verdana" w:eastAsia="Aptos" w:hAnsi="Verdana" w:cs="Times New Roman"/>
                <w:lang w:val="es-ES_tradnl"/>
              </w:rPr>
            </w:pPr>
          </w:p>
          <w:p w14:paraId="23C132CB" w14:textId="77777777" w:rsidR="00A070B6" w:rsidRPr="00A070B6" w:rsidRDefault="00A070B6" w:rsidP="7916B96F">
            <w:pPr>
              <w:snapToGrid w:val="0"/>
              <w:spacing w:line="276" w:lineRule="auto"/>
              <w:jc w:val="both"/>
              <w:rPr>
                <w:rFonts w:ascii="Verdana" w:eastAsia="Aptos" w:hAnsi="Verdana" w:cs="Arial"/>
                <w:b/>
                <w:bCs/>
                <w:kern w:val="2"/>
                <w:lang w:val="es-ES"/>
                <w14:ligatures w14:val="standardContextual"/>
              </w:rPr>
            </w:pPr>
            <w:r w:rsidRPr="7916B96F">
              <w:rPr>
                <w:rFonts w:ascii="Verdana" w:eastAsia="Aptos" w:hAnsi="Verdana" w:cs="Times New Roman"/>
                <w:lang w:val="es-ES"/>
              </w:rPr>
              <w:lastRenderedPageBreak/>
              <w:t>Finalmente, respecto a sus observaciones, le informamos que serán tenidas en cuenta para la actualización de los documentos tipo que adelanta esta Agencia en la actualidad.</w:t>
            </w:r>
          </w:p>
        </w:tc>
      </w:tr>
    </w:tbl>
    <w:p w14:paraId="63BD1853" w14:textId="77777777" w:rsidR="00A070B6" w:rsidRPr="00A070B6" w:rsidRDefault="00A070B6" w:rsidP="00A070B6">
      <w:pPr>
        <w:tabs>
          <w:tab w:val="left" w:pos="142"/>
          <w:tab w:val="left" w:pos="284"/>
        </w:tabs>
        <w:snapToGrid w:val="0"/>
        <w:spacing w:after="0" w:line="276" w:lineRule="auto"/>
        <w:jc w:val="both"/>
        <w:rPr>
          <w:rFonts w:ascii="Verdana" w:eastAsia="Century Gothic" w:hAnsi="Verdana" w:cs="Century Gothic"/>
          <w:b/>
          <w:bCs/>
          <w:lang w:val="es-ES"/>
        </w:rPr>
      </w:pPr>
    </w:p>
    <w:p w14:paraId="685B13F9" w14:textId="77777777" w:rsidR="00A070B6" w:rsidRPr="00A070B6" w:rsidRDefault="00A070B6" w:rsidP="00A070B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070B6">
        <w:rPr>
          <w:rFonts w:ascii="Verdana" w:eastAsia="Century Gothic" w:hAnsi="Verdana" w:cs="Century Gothic"/>
          <w:b/>
          <w:bCs/>
          <w:lang w:val="es-ES"/>
        </w:rPr>
        <w:t>Razones de la respuesta:</w:t>
      </w:r>
    </w:p>
    <w:p w14:paraId="091A1FE9" w14:textId="77777777" w:rsidR="00A070B6" w:rsidRPr="00A070B6" w:rsidRDefault="00A070B6" w:rsidP="00A070B6">
      <w:pPr>
        <w:tabs>
          <w:tab w:val="left" w:pos="142"/>
          <w:tab w:val="left" w:pos="284"/>
        </w:tabs>
        <w:snapToGrid w:val="0"/>
        <w:spacing w:after="0" w:line="276" w:lineRule="auto"/>
        <w:ind w:left="357"/>
        <w:jc w:val="both"/>
        <w:rPr>
          <w:rFonts w:ascii="Verdana" w:eastAsia="Century Gothic" w:hAnsi="Verdana" w:cs="Century Gothic"/>
          <w:b/>
          <w:bCs/>
          <w:lang w:val="es-ES"/>
        </w:rPr>
      </w:pPr>
    </w:p>
    <w:p w14:paraId="4A46E910" w14:textId="77777777" w:rsidR="00A070B6" w:rsidRPr="00A070B6" w:rsidRDefault="00A070B6" w:rsidP="00A070B6">
      <w:pPr>
        <w:snapToGrid w:val="0"/>
        <w:spacing w:after="0" w:line="276" w:lineRule="auto"/>
        <w:jc w:val="both"/>
        <w:rPr>
          <w:rFonts w:ascii="Verdana" w:eastAsia="Calibri" w:hAnsi="Verdana" w:cs="Arial"/>
          <w:lang w:val="es-ES"/>
        </w:rPr>
      </w:pPr>
      <w:r w:rsidRPr="00A070B6">
        <w:rPr>
          <w:rFonts w:ascii="Verdana" w:eastAsia="Calibri" w:hAnsi="Verdana" w:cs="Arial"/>
          <w:lang w:val="es-ES"/>
        </w:rPr>
        <w:t>Lo anterior se sustenta en las siguientes consideraciones:</w:t>
      </w:r>
    </w:p>
    <w:p w14:paraId="1D67E63A" w14:textId="77777777" w:rsidR="00A070B6" w:rsidRPr="00A070B6" w:rsidRDefault="00A070B6" w:rsidP="00A070B6">
      <w:pPr>
        <w:snapToGrid w:val="0"/>
        <w:spacing w:after="0" w:line="276" w:lineRule="auto"/>
        <w:jc w:val="both"/>
        <w:rPr>
          <w:rFonts w:ascii="Verdana" w:eastAsia="Calibri" w:hAnsi="Verdana" w:cs="Arial"/>
          <w:lang w:val="es-ES"/>
        </w:rPr>
      </w:pPr>
      <w:r w:rsidRPr="00A070B6">
        <w:rPr>
          <w:rFonts w:ascii="Verdana" w:eastAsia="Calibri" w:hAnsi="Verdana" w:cs="Arial"/>
          <w:lang w:val="es-ES"/>
        </w:rPr>
        <w:t xml:space="preserve"> </w:t>
      </w:r>
    </w:p>
    <w:p w14:paraId="35F809A0" w14:textId="77777777" w:rsidR="00A070B6" w:rsidRPr="00A070B6" w:rsidRDefault="00A070B6" w:rsidP="00A070B6">
      <w:pPr>
        <w:numPr>
          <w:ilvl w:val="0"/>
          <w:numId w:val="18"/>
        </w:numPr>
        <w:snapToGrid w:val="0"/>
        <w:spacing w:after="0" w:line="276" w:lineRule="auto"/>
        <w:jc w:val="both"/>
        <w:rPr>
          <w:rFonts w:ascii="Verdana" w:eastAsia="Calibri" w:hAnsi="Verdana" w:cs="Arial"/>
          <w:kern w:val="2"/>
          <w:lang w:val="es-ES"/>
          <w14:ligatures w14:val="standardContextual"/>
        </w:rPr>
      </w:pPr>
      <w:r w:rsidRPr="00A070B6">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7960EB4" w14:textId="77777777" w:rsidR="00A070B6" w:rsidRPr="00A070B6" w:rsidRDefault="00A070B6" w:rsidP="00A070B6">
      <w:pPr>
        <w:snapToGrid w:val="0"/>
        <w:spacing w:after="0" w:line="276" w:lineRule="auto"/>
        <w:ind w:left="720"/>
        <w:jc w:val="both"/>
        <w:rPr>
          <w:rFonts w:ascii="Verdana" w:eastAsia="Calibri" w:hAnsi="Verdana" w:cs="Arial"/>
          <w:kern w:val="2"/>
          <w:lang w:val="es-ES"/>
          <w14:ligatures w14:val="standardContextual"/>
        </w:rPr>
      </w:pPr>
    </w:p>
    <w:p w14:paraId="22BEBF1F" w14:textId="77777777" w:rsidR="00A070B6" w:rsidRPr="00A070B6" w:rsidRDefault="00A070B6" w:rsidP="00A070B6">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A070B6">
        <w:rPr>
          <w:rFonts w:ascii="Verdana" w:eastAsia="Times New Roman" w:hAnsi="Verdana" w:cs="Arial"/>
          <w:kern w:val="2"/>
          <w:shd w:val="clear" w:color="auto" w:fill="FFFFFF"/>
          <w:lang w:val="es-ES_tradnl" w:eastAsia="es-ES_tradnl"/>
          <w14:ligatures w14:val="standardContextual"/>
        </w:rPr>
        <w:t>Todas las resoluciones expedidas por la Agencia Nacional de Contratación Pública – Colombia Compra Eficiente, mediante las cuales se han adoptado los documentos tipo, consagran la regla de la inalterabilidad</w:t>
      </w:r>
      <w:r w:rsidRPr="00A070B6">
        <w:rPr>
          <w:rFonts w:ascii="Verdana" w:eastAsia="Aptos" w:hAnsi="Verdana" w:cs="Times New Roman"/>
          <w:kern w:val="2"/>
          <w:shd w:val="clear" w:color="auto" w:fill="FFFFFF"/>
          <w:vertAlign w:val="superscript"/>
          <w:lang w:val="es-ES_tradnl" w:eastAsia="es-ES_tradnl"/>
          <w14:ligatures w14:val="standardContextual"/>
        </w:rPr>
        <w:footnoteReference w:id="2"/>
      </w:r>
      <w:r w:rsidRPr="00A070B6">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A070B6">
        <w:rPr>
          <w:rFonts w:ascii="Verdana" w:eastAsia="Times New Roman" w:hAnsi="Verdana" w:cs="Arial"/>
          <w:i/>
          <w:iCs/>
          <w:kern w:val="2"/>
          <w:shd w:val="clear" w:color="auto" w:fill="FFFFFF"/>
          <w:lang w:val="es-ES_tradnl" w:eastAsia="es-ES_tradnl"/>
          <w14:ligatures w14:val="standardContextual"/>
        </w:rPr>
        <w:t>Documentos del Proceso</w:t>
      </w:r>
      <w:r w:rsidRPr="00A070B6">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AB6D6CA" w14:textId="77777777" w:rsidR="00A070B6" w:rsidRPr="00A070B6" w:rsidRDefault="00A070B6" w:rsidP="00A070B6">
      <w:pPr>
        <w:snapToGrid w:val="0"/>
        <w:spacing w:after="0" w:line="276" w:lineRule="auto"/>
        <w:jc w:val="both"/>
        <w:rPr>
          <w:rFonts w:ascii="Verdana" w:eastAsia="Calibri" w:hAnsi="Verdana" w:cs="Arial"/>
          <w:kern w:val="2"/>
          <w:lang w:val="es-ES" w:eastAsia="es-ES"/>
          <w14:ligatures w14:val="standardContextual"/>
        </w:rPr>
      </w:pPr>
    </w:p>
    <w:p w14:paraId="235AC4A6" w14:textId="77777777" w:rsidR="00A070B6" w:rsidRPr="00A070B6" w:rsidRDefault="00A070B6" w:rsidP="00A070B6">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A070B6">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A070B6">
        <w:rPr>
          <w:rFonts w:ascii="Verdana" w:eastAsia="Times New Roman" w:hAnsi="Verdana" w:cs="Arial"/>
          <w:kern w:val="2"/>
          <w:lang w:val="es-ES_tradnl" w:eastAsia="es-ES_tradnl"/>
          <w14:ligatures w14:val="standardContextual"/>
        </w:rPr>
        <w:t xml:space="preserve">[…] </w:t>
      </w:r>
      <w:r w:rsidRPr="00A070B6">
        <w:rPr>
          <w:rFonts w:ascii="Verdana" w:eastAsia="Times New Roman" w:hAnsi="Verdana" w:cs="Arial"/>
          <w:kern w:val="2"/>
          <w:shd w:val="clear" w:color="auto" w:fill="FFFFFF"/>
          <w:lang w:val="es-ES_tradnl" w:eastAsia="es-ES_tradnl"/>
          <w14:ligatures w14:val="standardContextual"/>
        </w:rPr>
        <w:t xml:space="preserve">serán de obligatorio cumplimiento en la actividad contractual de todas las entidades sometidas al Estatuto General de Contratación de la Administración </w:t>
      </w:r>
      <w:r w:rsidRPr="00A070B6">
        <w:rPr>
          <w:rFonts w:ascii="Verdana" w:eastAsia="Times New Roman" w:hAnsi="Verdana" w:cs="Arial"/>
          <w:kern w:val="2"/>
          <w:shd w:val="clear" w:color="auto" w:fill="FFFFFF"/>
          <w:lang w:val="es-ES_tradnl" w:eastAsia="es-ES_tradnl"/>
          <w14:ligatures w14:val="standardContextual"/>
        </w:rPr>
        <w:lastRenderedPageBreak/>
        <w:t>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6C36CFCC" w14:textId="77777777" w:rsidR="00A070B6" w:rsidRPr="00A070B6" w:rsidRDefault="00A070B6" w:rsidP="00A070B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0DCEA77E" w14:textId="77777777" w:rsidR="00A070B6" w:rsidRPr="00A070B6" w:rsidRDefault="00A070B6" w:rsidP="2297D838">
      <w:pPr>
        <w:numPr>
          <w:ilvl w:val="0"/>
          <w:numId w:val="18"/>
        </w:numPr>
        <w:snapToGrid w:val="0"/>
        <w:spacing w:after="0" w:line="276" w:lineRule="auto"/>
        <w:jc w:val="both"/>
        <w:rPr>
          <w:rFonts w:ascii="Verdana" w:eastAsia="Times New Roman" w:hAnsi="Verdana" w:cs="Arial"/>
          <w:kern w:val="2"/>
          <w:shd w:val="clear" w:color="auto" w:fill="FFFFFF"/>
          <w:lang w:val="es-ES" w:eastAsia="es-ES"/>
          <w14:ligatures w14:val="standardContextual"/>
        </w:rPr>
      </w:pPr>
      <w:r w:rsidRPr="2297D838">
        <w:rPr>
          <w:rFonts w:ascii="Verdana" w:eastAsia="Times New Roman" w:hAnsi="Verdana" w:cs="Arial"/>
          <w:kern w:val="2"/>
          <w:shd w:val="clear" w:color="auto" w:fill="FFFFFF"/>
          <w:lang w:val="es-ES" w:eastAsia="es-ES"/>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2297D838">
        <w:rPr>
          <w:rFonts w:ascii="Verdana" w:eastAsia="Times New Roman" w:hAnsi="Verdana" w:cs="Arial"/>
          <w:kern w:val="2"/>
          <w:highlight w:val="lightGray"/>
          <w:shd w:val="clear" w:color="auto" w:fill="FFFFFF"/>
          <w:lang w:val="es-ES" w:eastAsia="es-ES"/>
          <w14:ligatures w14:val="standardContextual"/>
        </w:rPr>
        <w:t>–[texto]–</w:t>
      </w:r>
      <w:r w:rsidRPr="2297D838">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4BFC5348" w14:textId="77777777" w:rsidR="00A070B6" w:rsidRPr="00A070B6" w:rsidRDefault="00A070B6" w:rsidP="00A070B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A070B6">
        <w:rPr>
          <w:rFonts w:ascii="Verdana" w:eastAsia="Times New Roman" w:hAnsi="Verdana" w:cs="Arial"/>
          <w:kern w:val="2"/>
          <w:shd w:val="clear" w:color="auto" w:fill="FFFFFF"/>
          <w:lang w:val="es-ES_tradnl" w:eastAsia="es-ES_tradnl"/>
          <w14:ligatures w14:val="standardContextual"/>
        </w:rPr>
        <w:t xml:space="preserve"> </w:t>
      </w:r>
    </w:p>
    <w:p w14:paraId="2A13C813" w14:textId="77777777" w:rsidR="00A070B6" w:rsidRPr="00A070B6" w:rsidRDefault="00A070B6" w:rsidP="00A070B6">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A070B6">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3EF4F5A" w14:textId="77777777" w:rsidR="00A070B6" w:rsidRPr="00A070B6" w:rsidRDefault="00A070B6" w:rsidP="00A070B6">
      <w:pPr>
        <w:snapToGrid w:val="0"/>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1EC4105B" w14:textId="77777777" w:rsidR="00A070B6" w:rsidRPr="00A070B6" w:rsidRDefault="00A070B6" w:rsidP="00A070B6">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A070B6">
        <w:rPr>
          <w:rFonts w:ascii="Verdana" w:eastAsia="Calibri" w:hAnsi="Verdana" w:cs="Arial"/>
          <w:kern w:val="2"/>
          <w:lang w:val="es-MX" w:eastAsia="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62B432AC" w14:textId="77777777" w:rsidR="00A070B6" w:rsidRPr="00A070B6" w:rsidRDefault="00A070B6" w:rsidP="00A070B6">
      <w:pPr>
        <w:snapToGrid w:val="0"/>
        <w:spacing w:after="0" w:line="276" w:lineRule="auto"/>
        <w:jc w:val="both"/>
        <w:rPr>
          <w:rFonts w:ascii="Verdana" w:eastAsia="Calibri" w:hAnsi="Verdana" w:cs="Arial"/>
          <w:kern w:val="2"/>
          <w:lang w:val="es-ES" w:eastAsia="es-ES"/>
          <w14:ligatures w14:val="standardContextual"/>
        </w:rPr>
      </w:pPr>
    </w:p>
    <w:p w14:paraId="3608D27E" w14:textId="77777777" w:rsidR="00A070B6" w:rsidRPr="00A070B6" w:rsidRDefault="00A070B6" w:rsidP="00A070B6">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A070B6">
        <w:rPr>
          <w:rFonts w:ascii="Verdana" w:eastAsia="Calibri" w:hAnsi="Verdana" w:cs="Arial"/>
          <w:kern w:val="2"/>
          <w:lang w:val="es-MX"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A070B6">
        <w:rPr>
          <w:rFonts w:ascii="Verdana" w:eastAsia="Aptos" w:hAnsi="Verdana" w:cs="Times New Roman"/>
          <w:kern w:val="2"/>
          <w:vertAlign w:val="superscript"/>
          <w:lang w:val="es-ES" w:eastAsia="es-MX"/>
          <w14:ligatures w14:val="standardContextual"/>
        </w:rPr>
        <w:footnoteReference w:id="3"/>
      </w:r>
      <w:r w:rsidRPr="00A070B6">
        <w:rPr>
          <w:rFonts w:ascii="Verdana" w:eastAsia="Calibri" w:hAnsi="Verdana" w:cs="Arial"/>
          <w:kern w:val="2"/>
          <w:lang w:val="es-ES" w:eastAsia="es-MX"/>
          <w14:ligatures w14:val="standardContextual"/>
        </w:rPr>
        <w:t xml:space="preserve">, </w:t>
      </w:r>
      <w:r w:rsidRPr="00A070B6">
        <w:rPr>
          <w:rFonts w:ascii="Verdana" w:eastAsia="Calibri" w:hAnsi="Verdana" w:cs="Arial"/>
          <w:kern w:val="2"/>
          <w:lang w:val="es-MX" w:eastAsia="es-MX"/>
          <w14:ligatures w14:val="standardContextual"/>
        </w:rPr>
        <w:t>como el objeto, alcance, obras a ejecutar, actividades, cantidades, particularidades de la zona de ejecución del proyecto, disponibilidad y distancia de fuentes de materiales, entre otros.</w:t>
      </w:r>
    </w:p>
    <w:p w14:paraId="0B7FF5BB" w14:textId="77777777" w:rsidR="00A070B6" w:rsidRPr="00A070B6" w:rsidRDefault="00A070B6" w:rsidP="00A070B6">
      <w:pPr>
        <w:snapToGrid w:val="0"/>
        <w:spacing w:after="0" w:line="276" w:lineRule="auto"/>
        <w:jc w:val="both"/>
        <w:rPr>
          <w:rFonts w:ascii="Verdana" w:eastAsia="Calibri" w:hAnsi="Verdana" w:cs="Arial"/>
          <w:kern w:val="2"/>
          <w:lang w:val="es-ES" w:eastAsia="es-ES"/>
          <w14:ligatures w14:val="standardContextual"/>
        </w:rPr>
      </w:pPr>
    </w:p>
    <w:p w14:paraId="4702C520" w14:textId="77777777" w:rsidR="00A070B6" w:rsidRPr="00A070B6" w:rsidRDefault="00A070B6" w:rsidP="00A070B6">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A070B6">
        <w:rPr>
          <w:rFonts w:ascii="Verdana" w:eastAsia="Calibri" w:hAnsi="Verdana" w:cs="Arial"/>
          <w:kern w:val="2"/>
          <w:lang w:val="es-MX"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w:t>
      </w:r>
      <w:r w:rsidRPr="00A070B6">
        <w:rPr>
          <w:rFonts w:ascii="Verdana" w:eastAsia="Calibri" w:hAnsi="Verdana" w:cs="Arial"/>
          <w:kern w:val="2"/>
          <w:lang w:val="es-MX" w:eastAsia="es-MX"/>
          <w14:ligatures w14:val="standardContextual"/>
        </w:rPr>
        <w:lastRenderedPageBreak/>
        <w:t>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r w:rsidRPr="00A070B6">
        <w:rPr>
          <w:rFonts w:ascii="Verdana" w:eastAsia="Calibri" w:hAnsi="Verdana" w:cs="Arial"/>
          <w:kern w:val="2"/>
          <w:lang w:val="es-ES" w:eastAsia="es-MX"/>
          <w14:ligatures w14:val="standardContextual"/>
        </w:rPr>
        <w:t xml:space="preserve"> </w:t>
      </w:r>
      <w:r w:rsidRPr="00A070B6">
        <w:rPr>
          <w:rFonts w:ascii="Verdana" w:eastAsia="Calibri" w:hAnsi="Verdana" w:cs="Arial"/>
          <w:kern w:val="2"/>
          <w:lang w:val="es-MX" w:eastAsia="es-MX"/>
          <w14:ligatures w14:val="standardContextual"/>
        </w:rPr>
        <w:t>El propósito de esto es evitar la duplicidad de información y permitir que las propuestas económicas sean evaluadas con las variables, cantidades, unidades de medida y reglas consideradas por la entidad al estructurar su presupuesto oficial.</w:t>
      </w:r>
    </w:p>
    <w:p w14:paraId="50512D52" w14:textId="77777777" w:rsidR="00A070B6" w:rsidRPr="00A070B6" w:rsidRDefault="00A070B6" w:rsidP="00A070B6">
      <w:pPr>
        <w:widowControl w:val="0"/>
        <w:autoSpaceDE w:val="0"/>
        <w:autoSpaceDN w:val="0"/>
        <w:snapToGrid w:val="0"/>
        <w:spacing w:after="0" w:line="276" w:lineRule="auto"/>
        <w:ind w:left="720"/>
        <w:jc w:val="both"/>
        <w:rPr>
          <w:rFonts w:ascii="Verdana" w:eastAsia="Calibri" w:hAnsi="Verdana" w:cs="Arial"/>
          <w:kern w:val="2"/>
          <w:lang w:val="es-MX" w:eastAsia="es-MX"/>
          <w14:ligatures w14:val="standardContextual"/>
        </w:rPr>
      </w:pPr>
    </w:p>
    <w:p w14:paraId="554494AE" w14:textId="77777777" w:rsidR="00A070B6" w:rsidRPr="00A070B6" w:rsidRDefault="00A070B6" w:rsidP="00A070B6">
      <w:pPr>
        <w:widowControl w:val="0"/>
        <w:numPr>
          <w:ilvl w:val="0"/>
          <w:numId w:val="18"/>
        </w:numPr>
        <w:autoSpaceDE w:val="0"/>
        <w:autoSpaceDN w:val="0"/>
        <w:snapToGrid w:val="0"/>
        <w:spacing w:after="0" w:line="276" w:lineRule="auto"/>
        <w:jc w:val="both"/>
        <w:rPr>
          <w:rFonts w:ascii="Verdana" w:eastAsia="Arial" w:hAnsi="Verdana" w:cs="Arial"/>
          <w:iCs/>
          <w:kern w:val="2"/>
          <w:lang w:val="es-ES" w:eastAsia="es-ES" w:bidi="es-ES"/>
          <w14:ligatures w14:val="standardContextual"/>
        </w:rPr>
      </w:pPr>
      <w:r w:rsidRPr="00A070B6">
        <w:rPr>
          <w:rFonts w:ascii="Verdana" w:eastAsia="Arial" w:hAnsi="Verdana" w:cs="Arial"/>
          <w:kern w:val="2"/>
          <w:lang w:val="es-MX" w:eastAsia="es-ES" w:bidi="es-ES"/>
          <w14:ligatures w14:val="standardContextual"/>
        </w:rPr>
        <w:t xml:space="preserve">En ese contexto, se tiene que, en </w:t>
      </w:r>
      <w:r w:rsidRPr="00A070B6">
        <w:rPr>
          <w:rFonts w:ascii="Verdana" w:eastAsia="Arial" w:hAnsi="Verdana" w:cs="Arial"/>
          <w:kern w:val="2"/>
          <w:lang w:val="es-ES" w:eastAsia="es-ES" w:bidi="es-ES"/>
          <w14:ligatures w14:val="standardContextual"/>
        </w:rPr>
        <w:t xml:space="preserve">la primera hoja del Formulario 1, que corresponde al presupuesto oficial, la entidad debe enlistar los </w:t>
      </w:r>
      <w:r w:rsidRPr="00A070B6">
        <w:rPr>
          <w:rFonts w:ascii="Verdana" w:eastAsia="Arial" w:hAnsi="Verdana" w:cs="Arial"/>
          <w:i/>
          <w:kern w:val="2"/>
          <w:lang w:val="es-ES" w:eastAsia="es-ES" w:bidi="es-ES"/>
          <w14:ligatures w14:val="standardContextual"/>
        </w:rPr>
        <w:t xml:space="preserve">ítems de pago </w:t>
      </w:r>
      <w:r w:rsidRPr="00A070B6">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w:t>
      </w:r>
      <w:proofErr w:type="spellStart"/>
      <w:r w:rsidRPr="00A070B6">
        <w:rPr>
          <w:rFonts w:ascii="Verdana" w:eastAsia="Arial" w:hAnsi="Verdana" w:cs="Arial"/>
          <w:kern w:val="2"/>
          <w:lang w:val="es-ES" w:eastAsia="es-ES" w:bidi="es-ES"/>
          <w14:ligatures w14:val="standardContextual"/>
        </w:rPr>
        <w:t>ii</w:t>
      </w:r>
      <w:proofErr w:type="spellEnd"/>
      <w:r w:rsidRPr="00A070B6">
        <w:rPr>
          <w:rFonts w:ascii="Verdana" w:eastAsia="Arial" w:hAnsi="Verdana" w:cs="Arial"/>
          <w:kern w:val="2"/>
          <w:lang w:val="es-ES" w:eastAsia="es-ES" w:bidi="es-ES"/>
          <w14:ligatures w14:val="standardContextual"/>
        </w:rPr>
        <w:t xml:space="preserve">) la descripción, </w:t>
      </w:r>
      <w:proofErr w:type="spellStart"/>
      <w:r w:rsidRPr="00A070B6">
        <w:rPr>
          <w:rFonts w:ascii="Verdana" w:eastAsia="Arial" w:hAnsi="Verdana" w:cs="Arial"/>
          <w:kern w:val="2"/>
          <w:lang w:val="es-ES" w:eastAsia="es-ES" w:bidi="es-ES"/>
          <w14:ligatures w14:val="standardContextual"/>
        </w:rPr>
        <w:t>iii</w:t>
      </w:r>
      <w:proofErr w:type="spellEnd"/>
      <w:r w:rsidRPr="00A070B6">
        <w:rPr>
          <w:rFonts w:ascii="Verdana" w:eastAsia="Arial" w:hAnsi="Verdana" w:cs="Arial"/>
          <w:kern w:val="2"/>
          <w:lang w:val="es-ES" w:eastAsia="es-ES" w:bidi="es-ES"/>
          <w14:ligatures w14:val="standardContextual"/>
        </w:rPr>
        <w:t xml:space="preserve">) la unidad de medida, </w:t>
      </w:r>
      <w:proofErr w:type="spellStart"/>
      <w:r w:rsidRPr="00A070B6">
        <w:rPr>
          <w:rFonts w:ascii="Verdana" w:eastAsia="Arial" w:hAnsi="Verdana" w:cs="Arial"/>
          <w:kern w:val="2"/>
          <w:lang w:val="es-ES" w:eastAsia="es-ES" w:bidi="es-ES"/>
          <w14:ligatures w14:val="standardContextual"/>
        </w:rPr>
        <w:t>iv</w:t>
      </w:r>
      <w:proofErr w:type="spellEnd"/>
      <w:r w:rsidRPr="00A070B6">
        <w:rPr>
          <w:rFonts w:ascii="Verdana" w:eastAsia="Arial" w:hAnsi="Verdana" w:cs="Arial"/>
          <w:kern w:val="2"/>
          <w:lang w:val="es-ES" w:eastAsia="es-ES" w:bidi="es-ES"/>
          <w14:ligatures w14:val="standardContextual"/>
        </w:rPr>
        <w:t xml:space="preserve">) la cantidad, v) el valor unitario y vi) el valor total de los </w:t>
      </w:r>
      <w:r w:rsidRPr="00A070B6">
        <w:rPr>
          <w:rFonts w:ascii="Verdana" w:eastAsia="Arial" w:hAnsi="Verdana" w:cs="Arial"/>
          <w:i/>
          <w:kern w:val="2"/>
          <w:lang w:val="es-ES" w:eastAsia="es-ES" w:bidi="es-ES"/>
          <w14:ligatures w14:val="standardContextual"/>
        </w:rPr>
        <w:t>ítems.</w:t>
      </w:r>
    </w:p>
    <w:p w14:paraId="4308B4A6" w14:textId="77777777" w:rsidR="00A070B6" w:rsidRPr="00A070B6" w:rsidRDefault="00A070B6" w:rsidP="00A070B6">
      <w:pPr>
        <w:widowControl w:val="0"/>
        <w:autoSpaceDE w:val="0"/>
        <w:autoSpaceDN w:val="0"/>
        <w:snapToGrid w:val="0"/>
        <w:spacing w:after="0" w:line="276" w:lineRule="auto"/>
        <w:jc w:val="both"/>
        <w:rPr>
          <w:rFonts w:ascii="Verdana" w:eastAsia="Arial" w:hAnsi="Verdana" w:cs="Arial"/>
          <w:iCs/>
          <w:kern w:val="2"/>
          <w:lang w:val="es-ES" w:eastAsia="es-ES" w:bidi="es-ES"/>
          <w14:ligatures w14:val="standardContextual"/>
        </w:rPr>
      </w:pPr>
    </w:p>
    <w:p w14:paraId="40070B30" w14:textId="77777777" w:rsidR="00A070B6" w:rsidRPr="00A070B6" w:rsidRDefault="00A070B6" w:rsidP="00A070B6">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A070B6">
        <w:rPr>
          <w:rFonts w:ascii="Verdana" w:eastAsia="Calibri" w:hAnsi="Verdana" w:cs="Arial"/>
          <w:kern w:val="2"/>
          <w:lang w:val="es-MX" w:eastAsia="es-MX"/>
          <w14:ligatures w14:val="standardContextual"/>
        </w:rPr>
        <w:t xml:space="preserve">De otra parte, en los documentos tipo para procesos de obras de infraestructura de transporte, el “Formulario 1” en su </w:t>
      </w:r>
      <w:r w:rsidRPr="00A070B6">
        <w:rPr>
          <w:rFonts w:ascii="Verdana" w:eastAsia="Calibri" w:hAnsi="Verdana" w:cs="Arial"/>
          <w:i/>
          <w:iCs/>
          <w:kern w:val="2"/>
          <w:lang w:val="es-MX" w:eastAsia="es-MX"/>
          <w14:ligatures w14:val="standardContextual"/>
        </w:rPr>
        <w:t>segunda pestaña</w:t>
      </w:r>
      <w:r w:rsidRPr="00A070B6">
        <w:rPr>
          <w:rFonts w:ascii="Verdana" w:eastAsia="Calibri" w:hAnsi="Verdana" w:cs="Arial"/>
          <w:kern w:val="2"/>
          <w:lang w:val="es-MX" w:eastAsia="es-MX"/>
          <w14:ligatures w14:val="standardContextual"/>
        </w:rPr>
        <w:t xml:space="preserve"> en Excel, titulada “Formulario 1 propuesta económica”, señala en la parte superior derecha: </w:t>
      </w:r>
      <w:r w:rsidRPr="00A070B6">
        <w:rPr>
          <w:rFonts w:ascii="Verdana" w:eastAsia="Calibri" w:hAnsi="Verdana" w:cs="Arial"/>
          <w:i/>
          <w:iCs/>
          <w:kern w:val="2"/>
          <w:lang w:val="es-MX" w:eastAsia="es-MX"/>
          <w14:ligatures w14:val="standardContextual"/>
        </w:rPr>
        <w:t xml:space="preserve">“[La entidad puede utilizar este formulario de presentación de </w:t>
      </w:r>
      <w:r w:rsidRPr="00A070B6">
        <w:rPr>
          <w:rFonts w:ascii="Verdana" w:eastAsia="Calibri" w:hAnsi="Verdana" w:cs="Arial"/>
          <w:b/>
          <w:bCs/>
          <w:i/>
          <w:iCs/>
          <w:kern w:val="2"/>
          <w:u w:val="single"/>
          <w:lang w:val="es-MX" w:eastAsia="es-MX"/>
          <w14:ligatures w14:val="standardContextual"/>
        </w:rPr>
        <w:t>propuesta económica</w:t>
      </w:r>
      <w:r w:rsidRPr="00A070B6">
        <w:rPr>
          <w:rFonts w:ascii="Verdana" w:eastAsia="Calibri" w:hAnsi="Verdana" w:cs="Arial"/>
          <w:i/>
          <w:iCs/>
          <w:kern w:val="2"/>
          <w:lang w:val="es-MX" w:eastAsia="es-MX"/>
          <w14:ligatures w14:val="standardContextual"/>
        </w:rPr>
        <w:t xml:space="preserve"> de forma detallada, sin perjuicio que la entidad pueda modificarlo o establecer la presentación de la oferta económica con un formulario distinto al indicado.]”.</w:t>
      </w:r>
      <w:r w:rsidRPr="00A070B6">
        <w:rPr>
          <w:rFonts w:ascii="Verdana" w:eastAsia="Calibri" w:hAnsi="Verdana" w:cs="Arial"/>
          <w:kern w:val="2"/>
          <w:lang w:val="es-MX" w:eastAsia="es-MX"/>
          <w14:ligatures w14:val="standardContextual"/>
        </w:rPr>
        <w:t xml:space="preserve">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694503D5" w14:textId="77777777" w:rsidR="00A070B6" w:rsidRPr="00A070B6" w:rsidRDefault="00A070B6" w:rsidP="00A070B6">
      <w:pPr>
        <w:widowControl w:val="0"/>
        <w:autoSpaceDE w:val="0"/>
        <w:autoSpaceDN w:val="0"/>
        <w:snapToGrid w:val="0"/>
        <w:spacing w:after="0" w:line="276" w:lineRule="auto"/>
        <w:jc w:val="both"/>
        <w:rPr>
          <w:rFonts w:ascii="Verdana" w:eastAsia="Calibri" w:hAnsi="Verdana" w:cs="Arial"/>
          <w:kern w:val="2"/>
          <w:lang w:val="es-MX" w:eastAsia="es-MX"/>
          <w14:ligatures w14:val="standardContextual"/>
        </w:rPr>
      </w:pPr>
    </w:p>
    <w:p w14:paraId="17B0E297" w14:textId="77777777" w:rsidR="00A070B6" w:rsidRPr="00A070B6" w:rsidRDefault="00A070B6" w:rsidP="00A070B6">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A070B6">
        <w:rPr>
          <w:rFonts w:ascii="Verdana" w:eastAsia="Calibri" w:hAnsi="Verdana" w:cs="Arial"/>
          <w:kern w:val="2"/>
          <w:lang w:val="es-MX" w:eastAsia="es-MX"/>
          <w14:ligatures w14:val="standardContextual"/>
        </w:rPr>
        <w:t xml:space="preserve">Lo anterior es concordante con lo dispuesto en el numeral 4.1 del Documento Base, que establece que la entidad </w:t>
      </w:r>
      <w:r w:rsidRPr="00A070B6">
        <w:rPr>
          <w:rFonts w:ascii="Verdana" w:eastAsia="Calibri" w:hAnsi="Verdana" w:cs="Arial"/>
          <w:i/>
          <w:iCs/>
          <w:kern w:val="2"/>
          <w:lang w:val="es-MX" w:eastAsia="es-MX"/>
          <w14:ligatures w14:val="standardContextual"/>
        </w:rPr>
        <w:t xml:space="preserve">“debe configurar el formato de oferta económica que se encuentra en el Formulario 1 – Formulario de Presupuesto Oficial, para que sea diligenciado por los </w:t>
      </w:r>
      <w:r w:rsidRPr="00A070B6">
        <w:rPr>
          <w:rFonts w:ascii="Verdana" w:eastAsia="Calibri" w:hAnsi="Verdana" w:cs="Arial"/>
          <w:i/>
          <w:iCs/>
          <w:kern w:val="2"/>
          <w:lang w:val="es-MX" w:eastAsia="es-MX"/>
          <w14:ligatures w14:val="standardContextual"/>
        </w:rPr>
        <w:lastRenderedPageBreak/>
        <w:t>proponentes”.</w:t>
      </w:r>
      <w:r w:rsidRPr="00A070B6">
        <w:rPr>
          <w:rFonts w:ascii="Verdana" w:eastAsia="Calibri" w:hAnsi="Verdana" w:cs="Arial"/>
          <w:kern w:val="2"/>
          <w:lang w:val="es-MX" w:eastAsia="es-MX"/>
          <w14:ligatures w14:val="standardContextual"/>
        </w:rPr>
        <w:t xml:space="preserve"> En tales términos, la presentación de la oferta económica por parte del proponente se realizará teniendo en cuenta el formato determinado por la entidad, sea el que configure de acuerdo con el Formulario 1 o aquel que disponga sobre el particular.</w:t>
      </w:r>
    </w:p>
    <w:p w14:paraId="77F17705" w14:textId="77777777" w:rsidR="00A070B6" w:rsidRPr="00A070B6" w:rsidRDefault="00A070B6" w:rsidP="00A070B6">
      <w:pPr>
        <w:widowControl w:val="0"/>
        <w:autoSpaceDE w:val="0"/>
        <w:autoSpaceDN w:val="0"/>
        <w:snapToGrid w:val="0"/>
        <w:spacing w:after="0" w:line="276" w:lineRule="auto"/>
        <w:jc w:val="both"/>
        <w:rPr>
          <w:rFonts w:ascii="Verdana" w:eastAsia="Calibri" w:hAnsi="Verdana" w:cs="Arial"/>
          <w:kern w:val="2"/>
          <w:lang w:val="es-MX" w:eastAsia="es-MX"/>
          <w14:ligatures w14:val="standardContextual"/>
        </w:rPr>
      </w:pPr>
    </w:p>
    <w:p w14:paraId="056FF58E" w14:textId="77777777" w:rsidR="00A070B6" w:rsidRPr="00A070B6" w:rsidRDefault="00A070B6" w:rsidP="00A070B6">
      <w:pPr>
        <w:numPr>
          <w:ilvl w:val="0"/>
          <w:numId w:val="18"/>
        </w:numPr>
        <w:snapToGrid w:val="0"/>
        <w:spacing w:after="0" w:line="276" w:lineRule="auto"/>
        <w:jc w:val="both"/>
        <w:rPr>
          <w:rFonts w:ascii="Verdana" w:eastAsia="Aptos" w:hAnsi="Verdana" w:cs="Arial"/>
          <w:kern w:val="2"/>
          <w:lang w:val="es-ES_tradnl"/>
          <w14:ligatures w14:val="standardContextual"/>
        </w:rPr>
      </w:pPr>
      <w:r w:rsidRPr="00A070B6">
        <w:rPr>
          <w:rFonts w:ascii="Verdana" w:eastAsia="Aptos" w:hAnsi="Verdana" w:cs="Arial"/>
          <w:kern w:val="2"/>
          <w:lang w:val="es-ES_tradnl"/>
          <w14:ligatures w14:val="standardContextual"/>
        </w:rPr>
        <w:t>Por otra parte, conforme a lo definido en el literal “I” del numeral “1.17 NORMAS DE INTERPRETACIÓN DEL PLIEGO DE CONDICIONES”</w:t>
      </w:r>
      <w:r w:rsidRPr="00A070B6">
        <w:rPr>
          <w:rFonts w:ascii="Verdana" w:eastAsia="Aptos" w:hAnsi="Verdana" w:cs="Arial"/>
          <w:b/>
          <w:bCs/>
          <w:kern w:val="2"/>
          <w:lang w:val="es-ES_tradnl"/>
          <w14:ligatures w14:val="standardContextual"/>
        </w:rPr>
        <w:t xml:space="preserve"> </w:t>
      </w:r>
      <w:r w:rsidRPr="00A070B6">
        <w:rPr>
          <w:rFonts w:ascii="Verdana" w:eastAsia="Aptos" w:hAnsi="Verdana" w:cs="Arial"/>
          <w:kern w:val="2"/>
          <w:lang w:val="es-ES_tradnl"/>
          <w14:ligatures w14:val="standardContextual"/>
        </w:rPr>
        <w:t xml:space="preserve">del Documento Base de los documentos tipo en comento, </w:t>
      </w:r>
      <w:r w:rsidRPr="00A070B6">
        <w:rPr>
          <w:rFonts w:ascii="Verdana" w:eastAsia="Aptos" w:hAnsi="Verdana" w:cs="Arial"/>
          <w:i/>
          <w:iCs/>
          <w:kern w:val="2"/>
          <w:lang w:val="es-ES_tradnl"/>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070B6">
        <w:rPr>
          <w:rFonts w:ascii="Verdana" w:eastAsia="Aptos" w:hAnsi="Verdana" w:cs="Arial"/>
          <w:kern w:val="2"/>
          <w:lang w:val="es-ES_tradnl"/>
          <w14:ligatures w14:val="standardContextual"/>
        </w:rPr>
        <w:t xml:space="preserve"> Esto, en concordancia con la regla de inalterabilidad de los documentos tipo.</w:t>
      </w:r>
    </w:p>
    <w:p w14:paraId="332BEA14" w14:textId="77777777" w:rsidR="00A070B6" w:rsidRPr="00A070B6" w:rsidRDefault="00A070B6" w:rsidP="00A070B6">
      <w:pPr>
        <w:snapToGrid w:val="0"/>
        <w:spacing w:after="0" w:line="276" w:lineRule="auto"/>
        <w:jc w:val="both"/>
        <w:rPr>
          <w:rFonts w:ascii="Verdana" w:eastAsia="Aptos" w:hAnsi="Verdana" w:cs="Arial"/>
          <w:kern w:val="2"/>
          <w:lang w:val="es-ES_tradnl"/>
          <w14:ligatures w14:val="standardContextual"/>
        </w:rPr>
      </w:pPr>
    </w:p>
    <w:p w14:paraId="36BFE286" w14:textId="77777777" w:rsidR="00A070B6" w:rsidRPr="00A070B6" w:rsidRDefault="00A070B6" w:rsidP="7916B96F">
      <w:pPr>
        <w:numPr>
          <w:ilvl w:val="0"/>
          <w:numId w:val="18"/>
        </w:numPr>
        <w:snapToGrid w:val="0"/>
        <w:spacing w:after="0" w:line="276" w:lineRule="auto"/>
        <w:jc w:val="both"/>
        <w:rPr>
          <w:rFonts w:ascii="Verdana" w:eastAsia="Aptos" w:hAnsi="Verdana" w:cs="Arial"/>
          <w:kern w:val="2"/>
          <w:lang w:val="es-ES"/>
          <w14:ligatures w14:val="standardContextual"/>
        </w:rPr>
      </w:pPr>
      <w:r w:rsidRPr="7916B96F">
        <w:rPr>
          <w:rFonts w:ascii="Verdana" w:eastAsia="Aptos" w:hAnsi="Verdana" w:cs="Arial"/>
          <w:kern w:val="2"/>
          <w:lang w:val="es-ES"/>
          <w14:ligatures w14:val="standardContextual"/>
        </w:rPr>
        <w:t xml:space="preserve">Sin embargo, las notas 1, 2 y 3 del “Formulario 1” objeto de su consulta no se encuentran dentro de la excepción anteriormente señalada, toda vez que se establece, de forma expresa, que cuando el proceso de contratación es estructurado por </w:t>
      </w:r>
      <w:r w:rsidRPr="7916B96F">
        <w:rPr>
          <w:rFonts w:ascii="Verdana" w:eastAsia="Aptos" w:hAnsi="Verdana" w:cs="Arial"/>
          <w:i/>
          <w:iCs/>
          <w:kern w:val="2"/>
          <w:lang w:val="es-ES"/>
          <w14:ligatures w14:val="standardContextual"/>
        </w:rPr>
        <w:t>precios unitarios,</w:t>
      </w:r>
      <w:r w:rsidRPr="7916B96F">
        <w:rPr>
          <w:rFonts w:ascii="Verdana" w:eastAsia="Aptos" w:hAnsi="Verdana" w:cs="Arial"/>
          <w:kern w:val="2"/>
          <w:lang w:val="es-ES"/>
          <w14:ligatures w14:val="standardContextual"/>
        </w:rPr>
        <w:t xml:space="preserve"> </w:t>
      </w:r>
      <w:r w:rsidRPr="7916B96F">
        <w:rPr>
          <w:rFonts w:ascii="Verdana" w:eastAsia="Aptos" w:hAnsi="Verdana" w:cs="Arial"/>
          <w:i/>
          <w:iCs/>
          <w:kern w:val="2"/>
          <w:lang w:val="es-ES"/>
          <w14:ligatures w14:val="standardContextual"/>
        </w:rPr>
        <w:t xml:space="preserve">“la Entidad debe aplicar las notas 1, 2 y 3 del presente formato y las casillas de "Descripción", "Porcentaje" de la Administración, Imprevisto, </w:t>
      </w:r>
      <w:proofErr w:type="gramStart"/>
      <w:r w:rsidRPr="7916B96F">
        <w:rPr>
          <w:rFonts w:ascii="Verdana" w:eastAsia="Aptos" w:hAnsi="Verdana" w:cs="Arial"/>
          <w:i/>
          <w:iCs/>
          <w:kern w:val="2"/>
          <w:lang w:val="es-ES"/>
          <w14:ligatures w14:val="standardContextual"/>
        </w:rPr>
        <w:t>Utilidad  y</w:t>
      </w:r>
      <w:proofErr w:type="gramEnd"/>
      <w:r w:rsidRPr="7916B96F">
        <w:rPr>
          <w:rFonts w:ascii="Verdana" w:eastAsia="Aptos" w:hAnsi="Verdana" w:cs="Arial"/>
          <w:i/>
          <w:iCs/>
          <w:kern w:val="2"/>
          <w:lang w:val="es-ES"/>
          <w14:ligatures w14:val="standardContextual"/>
        </w:rPr>
        <w:t xml:space="preserve"> total  A.I.U.  resaltadas en color amarillo.” </w:t>
      </w:r>
      <w:r w:rsidRPr="7916B96F">
        <w:rPr>
          <w:rFonts w:ascii="Verdana" w:eastAsia="Aptos" w:hAnsi="Verdana" w:cs="Arial"/>
          <w:kern w:val="2"/>
          <w:lang w:val="es-ES"/>
          <w14:ligatures w14:val="standardContextual"/>
        </w:rPr>
        <w:t xml:space="preserve">De esta manera, cuando se trate de otras </w:t>
      </w:r>
      <w:r w:rsidRPr="7916B96F">
        <w:rPr>
          <w:rFonts w:ascii="Verdana" w:eastAsia="Aptos" w:hAnsi="Verdana" w:cs="Arial"/>
          <w:i/>
          <w:iCs/>
          <w:kern w:val="2"/>
          <w:lang w:val="es-ES"/>
          <w14:ligatures w14:val="standardContextual"/>
        </w:rPr>
        <w:t>modalidades</w:t>
      </w:r>
      <w:r w:rsidRPr="7916B96F">
        <w:rPr>
          <w:rFonts w:ascii="Verdana" w:eastAsia="Aptos" w:hAnsi="Verdana" w:cs="Arial"/>
          <w:kern w:val="2"/>
          <w:lang w:val="es-ES"/>
          <w14:ligatures w14:val="standardContextual"/>
        </w:rPr>
        <w:t xml:space="preserve"> de precio, la entidad puede o no configurar los mismos aspectos.</w:t>
      </w:r>
    </w:p>
    <w:p w14:paraId="7A61FFAD" w14:textId="77777777" w:rsidR="00A070B6" w:rsidRPr="00A070B6" w:rsidRDefault="00A070B6" w:rsidP="00A070B6">
      <w:pPr>
        <w:snapToGrid w:val="0"/>
        <w:spacing w:after="0" w:line="276" w:lineRule="auto"/>
        <w:jc w:val="both"/>
        <w:rPr>
          <w:rFonts w:ascii="Verdana" w:eastAsia="Aptos" w:hAnsi="Verdana" w:cs="Arial"/>
          <w:kern w:val="2"/>
          <w:lang w:val="es-ES_tradnl"/>
          <w14:ligatures w14:val="standardContextual"/>
        </w:rPr>
      </w:pPr>
    </w:p>
    <w:p w14:paraId="1C9A7740" w14:textId="77777777" w:rsidR="00A070B6" w:rsidRPr="00A070B6" w:rsidRDefault="00A070B6" w:rsidP="00A070B6">
      <w:pPr>
        <w:numPr>
          <w:ilvl w:val="0"/>
          <w:numId w:val="18"/>
        </w:numPr>
        <w:snapToGrid w:val="0"/>
        <w:spacing w:after="0" w:line="276" w:lineRule="auto"/>
        <w:jc w:val="both"/>
        <w:rPr>
          <w:rFonts w:ascii="Verdana" w:eastAsia="Aptos" w:hAnsi="Verdana" w:cs="Arial"/>
          <w:kern w:val="2"/>
          <w:lang w:val="es-ES_tradnl"/>
          <w14:ligatures w14:val="standardContextual"/>
        </w:rPr>
      </w:pPr>
      <w:r w:rsidRPr="00A070B6">
        <w:rPr>
          <w:rFonts w:ascii="Verdana" w:eastAsia="Aptos" w:hAnsi="Verdana" w:cs="Arial"/>
          <w:kern w:val="2"/>
          <w:lang w:val="es-ES_tradnl"/>
          <w14:ligatures w14:val="standardContextual"/>
        </w:rPr>
        <w:t>En consecuencia, para procesos de contratación estructurados por precios unitarios, las notas 1, 2 y 3 del “Formulario 1” son de obligatoria inclusión. Así mismo, en el evento que la entidad determine realizar la inclusión de nuevas notas, las mismas no pueden contrariar lo definido en el pliego tipo, y en el evento en que esta situación se presente, primará lo señalado en los documentos tipo, de acuerdo con lo definido en el literal “E” del numeral “1.17. NORMAS DE INTERPRETACIÓN DEL PLIEGO DE CONDICIONES”</w:t>
      </w:r>
      <w:r w:rsidRPr="00A070B6">
        <w:rPr>
          <w:rFonts w:ascii="Verdana" w:eastAsia="Aptos" w:hAnsi="Verdana" w:cs="Arial"/>
          <w:b/>
          <w:bCs/>
          <w:kern w:val="2"/>
          <w:lang w:val="es-ES_tradnl"/>
          <w14:ligatures w14:val="standardContextual"/>
        </w:rPr>
        <w:t xml:space="preserve"> </w:t>
      </w:r>
      <w:r w:rsidRPr="00A070B6">
        <w:rPr>
          <w:rFonts w:ascii="Verdana" w:eastAsia="Aptos" w:hAnsi="Verdana" w:cs="Arial"/>
          <w:kern w:val="2"/>
          <w:lang w:val="es-ES_tradnl"/>
          <w14:ligatures w14:val="standardContextual"/>
        </w:rPr>
        <w:t>del Documento Base</w:t>
      </w:r>
      <w:r w:rsidRPr="00A070B6">
        <w:rPr>
          <w:rFonts w:ascii="Verdana" w:eastAsia="Aptos" w:hAnsi="Verdana" w:cs="Arial"/>
          <w:b/>
          <w:bCs/>
          <w:kern w:val="2"/>
          <w:lang w:val="es-ES_tradnl"/>
          <w14:ligatures w14:val="standardContextual"/>
        </w:rPr>
        <w:t>.</w:t>
      </w:r>
    </w:p>
    <w:p w14:paraId="6CDD9F33" w14:textId="77777777" w:rsidR="00A070B6" w:rsidRPr="00A070B6" w:rsidRDefault="00A070B6" w:rsidP="00A070B6">
      <w:pPr>
        <w:snapToGrid w:val="0"/>
        <w:spacing w:after="0" w:line="276" w:lineRule="auto"/>
        <w:jc w:val="both"/>
        <w:rPr>
          <w:rFonts w:ascii="Verdana" w:eastAsia="Aptos" w:hAnsi="Verdana" w:cs="Arial"/>
          <w:kern w:val="2"/>
          <w:lang w:val="es-ES_tradnl"/>
          <w14:ligatures w14:val="standardContextual"/>
        </w:rPr>
      </w:pPr>
    </w:p>
    <w:p w14:paraId="0D315646" w14:textId="77777777" w:rsidR="00A070B6" w:rsidRPr="00A070B6" w:rsidRDefault="00A070B6" w:rsidP="00A070B6">
      <w:pPr>
        <w:numPr>
          <w:ilvl w:val="0"/>
          <w:numId w:val="18"/>
        </w:numPr>
        <w:snapToGrid w:val="0"/>
        <w:spacing w:after="0" w:line="276" w:lineRule="auto"/>
        <w:jc w:val="both"/>
        <w:rPr>
          <w:rFonts w:ascii="Verdana" w:eastAsia="Aptos" w:hAnsi="Verdana" w:cs="Arial"/>
          <w:kern w:val="2"/>
          <w:lang w:val="es-ES_tradnl"/>
          <w14:ligatures w14:val="standardContextual"/>
        </w:rPr>
      </w:pPr>
      <w:r w:rsidRPr="00A070B6">
        <w:rPr>
          <w:rFonts w:ascii="Verdana" w:eastAsia="Aptos" w:hAnsi="Verdana" w:cs="Arial"/>
          <w:kern w:val="2"/>
          <w:lang w:val="es-ES_tradnl"/>
          <w14:ligatures w14:val="standardContextual"/>
        </w:rPr>
        <w:t>Adicionalmente, es importante señalar que</w:t>
      </w:r>
      <w:r w:rsidRPr="00A070B6">
        <w:rPr>
          <w:rFonts w:ascii="Verdana" w:eastAsia="Aptos" w:hAnsi="Verdana" w:cs="Arial"/>
          <w:b/>
          <w:bCs/>
          <w:kern w:val="2"/>
          <w:lang w:val="es-ES_tradnl"/>
          <w14:ligatures w14:val="standardContextual"/>
        </w:rPr>
        <w:t xml:space="preserve"> </w:t>
      </w:r>
      <w:r w:rsidRPr="00A070B6">
        <w:rPr>
          <w:rFonts w:ascii="Verdana" w:eastAsia="Aptos" w:hAnsi="Verdana" w:cs="Arial"/>
          <w:kern w:val="2"/>
          <w:lang w:val="es-ES_tradnl"/>
          <w14:ligatures w14:val="standardContextual"/>
        </w:rPr>
        <w:t>el numeral “4.1.2. CORRECCIONES ARITMÉTICAS” del Documento Base, indica claramente que la entidad solo efectuará correcciones aritméticas originadas por las siguientes situaciones:</w:t>
      </w:r>
    </w:p>
    <w:p w14:paraId="38C780E4" w14:textId="77777777" w:rsidR="00A070B6" w:rsidRPr="00A070B6" w:rsidRDefault="00A070B6" w:rsidP="00A070B6">
      <w:pPr>
        <w:snapToGrid w:val="0"/>
        <w:spacing w:after="0" w:line="276" w:lineRule="auto"/>
        <w:jc w:val="both"/>
        <w:rPr>
          <w:rFonts w:ascii="Verdana" w:eastAsia="Aptos" w:hAnsi="Verdana" w:cs="Arial"/>
          <w:kern w:val="2"/>
          <w:lang w:val="es-ES_tradnl"/>
          <w14:ligatures w14:val="standardContextual"/>
        </w:rPr>
      </w:pPr>
    </w:p>
    <w:p w14:paraId="58A86CEA" w14:textId="77777777" w:rsidR="00A070B6" w:rsidRPr="00A070B6" w:rsidRDefault="00A070B6" w:rsidP="00A070B6">
      <w:pPr>
        <w:snapToGrid w:val="0"/>
        <w:spacing w:after="0" w:line="240" w:lineRule="auto"/>
        <w:ind w:left="709" w:right="709"/>
        <w:jc w:val="both"/>
        <w:rPr>
          <w:rFonts w:ascii="Verdana" w:eastAsia="Aptos" w:hAnsi="Verdana" w:cs="Arial"/>
          <w:kern w:val="2"/>
          <w:sz w:val="21"/>
          <w:szCs w:val="21"/>
          <w:lang w:val="es-ES_tradnl"/>
          <w14:ligatures w14:val="standardContextual"/>
        </w:rPr>
      </w:pPr>
      <w:r w:rsidRPr="00A070B6">
        <w:rPr>
          <w:rFonts w:ascii="Verdana" w:eastAsia="Aptos" w:hAnsi="Verdana" w:cs="Arial"/>
          <w:kern w:val="2"/>
          <w:sz w:val="21"/>
          <w:szCs w:val="21"/>
          <w:lang w:val="es-ES_tradnl"/>
          <w14:ligatures w14:val="standardContextual"/>
        </w:rPr>
        <w:lastRenderedPageBreak/>
        <w:t>A.</w:t>
      </w:r>
      <w:r w:rsidRPr="00A070B6">
        <w:rPr>
          <w:rFonts w:ascii="Verdana" w:eastAsia="Aptos" w:hAnsi="Verdana" w:cs="Arial"/>
          <w:kern w:val="2"/>
          <w:sz w:val="21"/>
          <w:szCs w:val="21"/>
          <w:lang w:val="es-ES_tradnl"/>
          <w14:ligatures w14:val="standardContextual"/>
        </w:rPr>
        <w:tab/>
        <w:t>Las operaciones aritméticas a que haya lugar en la propuesta económica, cuando exista un error que surja de un cálculo meramente aritmético cuando la operación ha sido erróneamente realizada.</w:t>
      </w:r>
    </w:p>
    <w:p w14:paraId="50672ECA" w14:textId="77777777" w:rsidR="00A070B6" w:rsidRPr="00A070B6" w:rsidRDefault="00A070B6" w:rsidP="00A070B6">
      <w:pPr>
        <w:snapToGrid w:val="0"/>
        <w:spacing w:after="0" w:line="240" w:lineRule="auto"/>
        <w:ind w:left="709" w:right="709"/>
        <w:jc w:val="both"/>
        <w:rPr>
          <w:rFonts w:ascii="Verdana" w:eastAsia="Aptos" w:hAnsi="Verdana" w:cs="Arial"/>
          <w:kern w:val="2"/>
          <w:sz w:val="21"/>
          <w:szCs w:val="21"/>
          <w:lang w:val="es-ES_tradnl"/>
          <w14:ligatures w14:val="standardContextual"/>
        </w:rPr>
      </w:pPr>
    </w:p>
    <w:p w14:paraId="217AD6CC" w14:textId="77777777" w:rsidR="00A070B6" w:rsidRPr="00A070B6" w:rsidRDefault="00A070B6" w:rsidP="00A070B6">
      <w:pPr>
        <w:snapToGrid w:val="0"/>
        <w:spacing w:after="0" w:line="240" w:lineRule="auto"/>
        <w:ind w:left="709" w:right="709"/>
        <w:jc w:val="both"/>
        <w:rPr>
          <w:rFonts w:ascii="Verdana" w:eastAsia="Aptos" w:hAnsi="Verdana" w:cs="Arial"/>
          <w:kern w:val="2"/>
          <w:sz w:val="21"/>
          <w:szCs w:val="21"/>
          <w:lang w:val="es-ES_tradnl"/>
          <w14:ligatures w14:val="standardContextual"/>
        </w:rPr>
      </w:pPr>
      <w:r w:rsidRPr="00A070B6">
        <w:rPr>
          <w:rFonts w:ascii="Verdana" w:eastAsia="Aptos" w:hAnsi="Verdana" w:cs="Arial"/>
          <w:kern w:val="2"/>
          <w:sz w:val="21"/>
          <w:szCs w:val="21"/>
          <w:lang w:val="es-ES_tradnl"/>
          <w14:ligatures w14:val="standardContextual"/>
        </w:rPr>
        <w:t>B.</w:t>
      </w:r>
      <w:r w:rsidRPr="00A070B6">
        <w:rPr>
          <w:rFonts w:ascii="Verdana" w:eastAsia="Aptos" w:hAnsi="Verdana" w:cs="Arial"/>
          <w:kern w:val="2"/>
          <w:sz w:val="21"/>
          <w:szCs w:val="21"/>
          <w:lang w:val="es-ES_tradnl"/>
          <w14:ligatures w14:val="standardContextual"/>
        </w:rPr>
        <w:tab/>
        <w:t>El 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008F1AAB" w14:textId="77777777" w:rsidR="00A070B6" w:rsidRPr="00A070B6" w:rsidRDefault="00A070B6" w:rsidP="00A070B6">
      <w:pPr>
        <w:snapToGrid w:val="0"/>
        <w:spacing w:after="0" w:line="276" w:lineRule="auto"/>
        <w:jc w:val="both"/>
        <w:rPr>
          <w:rFonts w:ascii="Verdana" w:eastAsia="Aptos" w:hAnsi="Verdana" w:cs="Arial"/>
          <w:kern w:val="2"/>
          <w:lang w:val="es-ES_tradnl"/>
          <w14:ligatures w14:val="standardContextual"/>
        </w:rPr>
      </w:pPr>
    </w:p>
    <w:p w14:paraId="0CFEBB56" w14:textId="77777777" w:rsidR="00A070B6" w:rsidRPr="00A070B6" w:rsidRDefault="00A070B6" w:rsidP="00A070B6">
      <w:pPr>
        <w:numPr>
          <w:ilvl w:val="0"/>
          <w:numId w:val="19"/>
        </w:numPr>
        <w:snapToGrid w:val="0"/>
        <w:spacing w:after="0" w:line="276" w:lineRule="auto"/>
        <w:jc w:val="both"/>
        <w:rPr>
          <w:rFonts w:ascii="Verdana" w:eastAsia="Aptos" w:hAnsi="Verdana" w:cs="Arial"/>
          <w:b/>
          <w:bCs/>
          <w:kern w:val="2"/>
          <w:lang w:val="es-ES_tradnl"/>
          <w14:ligatures w14:val="standardContextual"/>
        </w:rPr>
      </w:pPr>
      <w:r w:rsidRPr="00A070B6">
        <w:rPr>
          <w:rFonts w:ascii="Verdana" w:eastAsia="Aptos" w:hAnsi="Verdana" w:cs="Arial"/>
          <w:kern w:val="2"/>
          <w:lang w:val="es-ES_tradnl"/>
          <w14:ligatures w14:val="standardContextual"/>
        </w:rPr>
        <w:t>Por lo anterior, en concordancia con lo establecido en el literal “E” del numeral 1.17 del Documento Base,</w:t>
      </w:r>
      <w:r w:rsidRPr="00A070B6">
        <w:rPr>
          <w:rFonts w:ascii="Verdana" w:eastAsia="Aptos" w:hAnsi="Verdana" w:cs="Arial"/>
          <w:b/>
          <w:bCs/>
          <w:kern w:val="2"/>
          <w:lang w:val="es-ES_tradnl"/>
          <w14:ligatures w14:val="standardContextual"/>
        </w:rPr>
        <w:t xml:space="preserve"> </w:t>
      </w:r>
      <w:r w:rsidRPr="00A070B6">
        <w:rPr>
          <w:rFonts w:ascii="Verdana" w:eastAsia="Aptos" w:hAnsi="Verdana" w:cs="Arial"/>
          <w:kern w:val="2"/>
          <w:lang w:val="es-ES_tradnl"/>
          <w14:ligatures w14:val="standardContextual"/>
        </w:rPr>
        <w:t>cuando la entidad realice modificaciones que puedan interpretar de forma diferente lo definido en el pliego tipo, primará lo señalado en los documentos tipo.</w:t>
      </w:r>
    </w:p>
    <w:p w14:paraId="236581FA" w14:textId="77777777" w:rsidR="00A070B6" w:rsidRPr="00A070B6" w:rsidRDefault="00A070B6" w:rsidP="00A070B6">
      <w:pPr>
        <w:spacing w:after="0" w:line="276" w:lineRule="auto"/>
        <w:ind w:left="720"/>
        <w:contextualSpacing/>
        <w:jc w:val="both"/>
        <w:rPr>
          <w:rFonts w:ascii="Verdana" w:eastAsia="Calibri" w:hAnsi="Verdana" w:cs="Arial"/>
          <w:b/>
          <w:kern w:val="2"/>
          <w:lang w:val="es-ES_tradnl" w:eastAsia="es-CO"/>
          <w14:ligatures w14:val="standardContextual"/>
        </w:rPr>
      </w:pPr>
    </w:p>
    <w:p w14:paraId="0838077D" w14:textId="77777777" w:rsidR="00A070B6" w:rsidRPr="00A070B6" w:rsidRDefault="00A070B6" w:rsidP="00A070B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070B6">
        <w:rPr>
          <w:rFonts w:ascii="Verdana" w:eastAsia="Century Gothic" w:hAnsi="Verdana" w:cs="Century Gothic"/>
          <w:b/>
          <w:bCs/>
          <w:lang w:val="es-ES"/>
        </w:rPr>
        <w:t>Referencias normativas, jurisprudenciales y otras fuentes:</w:t>
      </w:r>
    </w:p>
    <w:p w14:paraId="6883EFF5" w14:textId="77777777" w:rsidR="00A070B6" w:rsidRPr="00A070B6" w:rsidRDefault="00A070B6" w:rsidP="00A070B6">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070B6" w:rsidRPr="00A070B6" w14:paraId="5E1AF8AF" w14:textId="77777777">
        <w:trPr>
          <w:trHeight w:val="870"/>
        </w:trPr>
        <w:tc>
          <w:tcPr>
            <w:tcW w:w="8647" w:type="dxa"/>
          </w:tcPr>
          <w:p w14:paraId="28996C46" w14:textId="77777777" w:rsidR="00A070B6" w:rsidRPr="00A070B6" w:rsidRDefault="00A070B6" w:rsidP="00A070B6">
            <w:pPr>
              <w:widowControl w:val="0"/>
              <w:numPr>
                <w:ilvl w:val="0"/>
                <w:numId w:val="17"/>
              </w:numPr>
              <w:autoSpaceDE w:val="0"/>
              <w:autoSpaceDN w:val="0"/>
              <w:spacing w:after="120" w:line="276" w:lineRule="auto"/>
              <w:jc w:val="both"/>
              <w:rPr>
                <w:rFonts w:ascii="Verdana" w:eastAsia="Calibri" w:hAnsi="Verdana" w:cs="Arial"/>
              </w:rPr>
            </w:pPr>
            <w:r w:rsidRPr="00A070B6">
              <w:rPr>
                <w:rFonts w:ascii="Verdana" w:eastAsia="Calibri" w:hAnsi="Verdana" w:cs="Arial"/>
              </w:rPr>
              <w:t>Ley 2022 de 2020, artículo 1.</w:t>
            </w:r>
          </w:p>
          <w:p w14:paraId="20DB888E" w14:textId="77777777" w:rsidR="00A070B6" w:rsidRPr="00A070B6" w:rsidRDefault="00A070B6" w:rsidP="00A070B6">
            <w:pPr>
              <w:widowControl w:val="0"/>
              <w:numPr>
                <w:ilvl w:val="0"/>
                <w:numId w:val="17"/>
              </w:numPr>
              <w:autoSpaceDE w:val="0"/>
              <w:autoSpaceDN w:val="0"/>
              <w:spacing w:after="120" w:line="276" w:lineRule="auto"/>
              <w:jc w:val="both"/>
              <w:rPr>
                <w:rFonts w:ascii="Verdana" w:eastAsia="Calibri" w:hAnsi="Verdana" w:cs="Arial"/>
              </w:rPr>
            </w:pPr>
            <w:r w:rsidRPr="00A070B6">
              <w:rPr>
                <w:rFonts w:ascii="Verdana" w:eastAsia="Aptos" w:hAnsi="Verdana" w:cs="Arial"/>
                <w:color w:val="000000"/>
                <w:lang w:val="es-ES_tradnl"/>
              </w:rPr>
              <w:t>Decreto 1082 de 2015, articulo 2.2.1.1.2.1.1.</w:t>
            </w:r>
          </w:p>
          <w:p w14:paraId="2112823C" w14:textId="77777777" w:rsidR="00A070B6" w:rsidRPr="00A070B6" w:rsidRDefault="00A070B6" w:rsidP="00A070B6">
            <w:pPr>
              <w:widowControl w:val="0"/>
              <w:numPr>
                <w:ilvl w:val="0"/>
                <w:numId w:val="17"/>
              </w:numPr>
              <w:autoSpaceDE w:val="0"/>
              <w:autoSpaceDN w:val="0"/>
              <w:spacing w:after="120" w:line="276" w:lineRule="auto"/>
              <w:jc w:val="both"/>
              <w:rPr>
                <w:rFonts w:ascii="Verdana" w:eastAsia="Calibri" w:hAnsi="Verdana" w:cs="Arial"/>
              </w:rPr>
            </w:pPr>
            <w:r w:rsidRPr="00A070B6">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A070B6">
              <w:rPr>
                <w:rFonts w:ascii="Aptos" w:eastAsia="Aptos" w:hAnsi="Aptos" w:cs="Times New Roman"/>
                <w:lang w:val="es-ES_tradnl"/>
              </w:rPr>
              <w:t xml:space="preserve"> </w:t>
            </w:r>
            <w:hyperlink r:id="rId11" w:history="1">
              <w:r w:rsidRPr="00A070B6">
                <w:rPr>
                  <w:rFonts w:ascii="Verdana" w:eastAsia="Calibri" w:hAnsi="Verdana" w:cs="Arial"/>
                  <w:color w:val="0000FF"/>
                  <w:u w:val="single"/>
                </w:rPr>
                <w:t>https://www.colombiacompra.gov.co/content/04-documentos-tipo-para-licitacion-de-obra-publica-de-infraestructura-de-transporte-version</w:t>
              </w:r>
            </w:hyperlink>
            <w:r w:rsidRPr="00A070B6">
              <w:rPr>
                <w:rFonts w:ascii="Verdana" w:eastAsia="Calibri" w:hAnsi="Verdana" w:cs="Arial"/>
              </w:rPr>
              <w:t xml:space="preserve"> </w:t>
            </w:r>
          </w:p>
        </w:tc>
      </w:tr>
    </w:tbl>
    <w:p w14:paraId="4BC336F4" w14:textId="77777777" w:rsidR="00A070B6" w:rsidRPr="00A070B6" w:rsidRDefault="00A070B6" w:rsidP="00A070B6">
      <w:pPr>
        <w:widowControl w:val="0"/>
        <w:autoSpaceDE w:val="0"/>
        <w:autoSpaceDN w:val="0"/>
        <w:spacing w:after="0" w:line="276" w:lineRule="auto"/>
        <w:jc w:val="both"/>
        <w:rPr>
          <w:rFonts w:ascii="Verdana" w:eastAsia="Calibri" w:hAnsi="Verdana" w:cs="Arial"/>
        </w:rPr>
      </w:pPr>
    </w:p>
    <w:p w14:paraId="1B1FFF44" w14:textId="77777777" w:rsidR="00A070B6" w:rsidRPr="00A070B6" w:rsidRDefault="00A070B6" w:rsidP="00A070B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070B6">
        <w:rPr>
          <w:rFonts w:ascii="Verdana" w:eastAsia="Century Gothic" w:hAnsi="Verdana" w:cs="Century Gothic"/>
          <w:b/>
          <w:bCs/>
          <w:lang w:val="es-ES"/>
        </w:rPr>
        <w:t>Doctrina de la Agencia Nacional de Contratación Pública:</w:t>
      </w:r>
    </w:p>
    <w:p w14:paraId="35909843" w14:textId="77777777" w:rsidR="00A070B6" w:rsidRPr="00A070B6" w:rsidRDefault="00A070B6" w:rsidP="00A070B6">
      <w:pPr>
        <w:widowControl w:val="0"/>
        <w:autoSpaceDE w:val="0"/>
        <w:autoSpaceDN w:val="0"/>
        <w:spacing w:after="0" w:line="276" w:lineRule="auto"/>
        <w:jc w:val="both"/>
        <w:rPr>
          <w:rFonts w:ascii="Verdana" w:eastAsia="Calibri" w:hAnsi="Verdana" w:cs="Arial"/>
        </w:rPr>
      </w:pPr>
    </w:p>
    <w:p w14:paraId="072E23E6" w14:textId="77777777" w:rsidR="00A070B6" w:rsidRPr="00A070B6" w:rsidRDefault="00A070B6" w:rsidP="00A070B6">
      <w:pPr>
        <w:widowControl w:val="0"/>
        <w:autoSpaceDE w:val="0"/>
        <w:autoSpaceDN w:val="0"/>
        <w:spacing w:after="0" w:line="276" w:lineRule="auto"/>
        <w:jc w:val="both"/>
        <w:rPr>
          <w:rFonts w:ascii="Verdana" w:eastAsia="Calibri" w:hAnsi="Verdana" w:cs="Arial"/>
          <w:shd w:val="clear" w:color="auto" w:fill="FFFFFF"/>
          <w:lang w:val="es-ES"/>
        </w:rPr>
      </w:pPr>
      <w:r w:rsidRPr="00A070B6">
        <w:rPr>
          <w:rFonts w:ascii="Verdana" w:eastAsia="Calibri" w:hAnsi="Verdana" w:cs="Arial"/>
          <w:shd w:val="clear" w:color="auto" w:fill="FFFFFF"/>
          <w:lang w:val="es-ES"/>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w:t>
      </w:r>
      <w:r w:rsidRPr="00A070B6">
        <w:rPr>
          <w:rFonts w:ascii="Verdana" w:eastAsia="Calibri" w:hAnsi="Verdana" w:cs="Arial"/>
          <w:shd w:val="clear" w:color="auto" w:fill="FFFFFF"/>
          <w:lang w:val="es-ES"/>
        </w:rPr>
        <w:lastRenderedPageBreak/>
        <w:t>del 2020, C – 070 del 16 de marzo de 2021, C – 204 del 6 de mayo de 2021, C – 435 de 1 de septiembre de 2021, C – 640 del 12 de noviembre de 2021 y C – 121 del 13 de junio de 2024. Es</w:t>
      </w:r>
      <w:r w:rsidRPr="00A070B6">
        <w:rPr>
          <w:rFonts w:ascii="Verdana" w:eastAsia="Calibri" w:hAnsi="Verdana" w:cs="Times New Roman"/>
        </w:rPr>
        <w:t>tos y otros conceptos se encuentran disponibles para consulta en el sistema de relatoría de la Agencia, al cual se puede acceder a través del siguiente enlace:</w:t>
      </w:r>
      <w:r w:rsidRPr="00A070B6">
        <w:rPr>
          <w:rFonts w:ascii="Verdana" w:eastAsia="Calibri" w:hAnsi="Verdana" w:cs="Arial"/>
          <w:shd w:val="clear" w:color="auto" w:fill="FFFFFF"/>
          <w:lang w:val="es-ES"/>
        </w:rPr>
        <w:t xml:space="preserve"> </w:t>
      </w:r>
      <w:hyperlink r:id="rId12" w:history="1">
        <w:r w:rsidRPr="00A070B6">
          <w:rPr>
            <w:rFonts w:ascii="Verdana" w:eastAsia="Calibri" w:hAnsi="Verdana" w:cs="Arial"/>
            <w:u w:val="single"/>
            <w:shd w:val="clear" w:color="auto" w:fill="FFFFFF"/>
            <w:lang w:val="es-ES"/>
          </w:rPr>
          <w:t>https://relatoria.colombiacompra.gov.co/busqueda/conceptos</w:t>
        </w:r>
      </w:hyperlink>
      <w:r w:rsidRPr="00A070B6">
        <w:rPr>
          <w:rFonts w:ascii="Verdana" w:eastAsia="Calibri" w:hAnsi="Verdana" w:cs="Arial"/>
          <w:shd w:val="clear" w:color="auto" w:fill="FFFFFF"/>
          <w:lang w:val="es-ES"/>
        </w:rPr>
        <w:t xml:space="preserve">. </w:t>
      </w:r>
    </w:p>
    <w:p w14:paraId="1023F511" w14:textId="77777777" w:rsidR="00A070B6" w:rsidRPr="00A070B6" w:rsidRDefault="00A070B6" w:rsidP="00A070B6">
      <w:pPr>
        <w:widowControl w:val="0"/>
        <w:autoSpaceDE w:val="0"/>
        <w:autoSpaceDN w:val="0"/>
        <w:spacing w:after="0" w:line="276" w:lineRule="auto"/>
        <w:jc w:val="both"/>
        <w:rPr>
          <w:rFonts w:ascii="Verdana" w:eastAsia="Calibri" w:hAnsi="Verdana" w:cs="Arial"/>
          <w:shd w:val="clear" w:color="auto" w:fill="FFFFFF"/>
          <w:lang w:val="es-ES"/>
        </w:rPr>
      </w:pPr>
    </w:p>
    <w:p w14:paraId="4E7D3DBB" w14:textId="77777777" w:rsidR="00A070B6" w:rsidRPr="00A070B6" w:rsidRDefault="00A070B6" w:rsidP="00A070B6">
      <w:pPr>
        <w:widowControl w:val="0"/>
        <w:autoSpaceDE w:val="0"/>
        <w:autoSpaceDN w:val="0"/>
        <w:spacing w:after="0" w:line="276" w:lineRule="auto"/>
        <w:jc w:val="both"/>
        <w:rPr>
          <w:rFonts w:ascii="Verdana" w:eastAsia="Calibri" w:hAnsi="Verdana" w:cs="Arial"/>
          <w:shd w:val="clear" w:color="auto" w:fill="FFFFFF"/>
          <w:lang w:val="es-ES"/>
        </w:rPr>
      </w:pPr>
      <w:r w:rsidRPr="00A070B6">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A070B6">
          <w:rPr>
            <w:rFonts w:ascii="Verdana" w:eastAsia="Calibri" w:hAnsi="Verdana" w:cs="Arial"/>
            <w:u w:val="single"/>
            <w:shd w:val="clear" w:color="auto" w:fill="FFFFFF"/>
            <w:lang w:val="es-ES"/>
          </w:rPr>
          <w:t>https://www.colombiacompra.gov.co/sala-de-prensa/boletin-digital</w:t>
        </w:r>
      </w:hyperlink>
      <w:r w:rsidRPr="00A070B6">
        <w:rPr>
          <w:rFonts w:ascii="Verdana" w:eastAsia="Calibri" w:hAnsi="Verdana" w:cs="Arial"/>
          <w:shd w:val="clear" w:color="auto" w:fill="FFFFFF"/>
          <w:lang w:val="es-ES"/>
        </w:rPr>
        <w:t xml:space="preserve">   </w:t>
      </w:r>
    </w:p>
    <w:p w14:paraId="35B5FD62" w14:textId="77777777" w:rsidR="00A070B6" w:rsidRPr="00A070B6" w:rsidRDefault="00A070B6" w:rsidP="00A070B6">
      <w:pPr>
        <w:widowControl w:val="0"/>
        <w:autoSpaceDE w:val="0"/>
        <w:autoSpaceDN w:val="0"/>
        <w:spacing w:after="0" w:line="276" w:lineRule="auto"/>
        <w:jc w:val="both"/>
        <w:rPr>
          <w:rFonts w:ascii="Verdana" w:eastAsia="Calibri" w:hAnsi="Verdana" w:cs="Arial"/>
          <w:shd w:val="clear" w:color="auto" w:fill="FFFFFF"/>
          <w:lang w:val="es-ES"/>
        </w:rPr>
      </w:pPr>
    </w:p>
    <w:p w14:paraId="21C67943" w14:textId="77777777" w:rsidR="00A070B6" w:rsidRPr="00A070B6" w:rsidRDefault="00A070B6" w:rsidP="00A070B6">
      <w:pPr>
        <w:spacing w:after="0" w:line="240" w:lineRule="auto"/>
        <w:jc w:val="both"/>
        <w:rPr>
          <w:rFonts w:ascii="Verdana" w:eastAsia="Calibri" w:hAnsi="Verdana" w:cs="Times New Roman"/>
        </w:rPr>
      </w:pPr>
      <w:r w:rsidRPr="00A070B6">
        <w:rPr>
          <w:rFonts w:ascii="Verdana" w:eastAsia="Calibri" w:hAnsi="Verdana" w:cs="Times New Roman"/>
        </w:rPr>
        <w:t xml:space="preserve">Por último, los invitamos a seguirnos en las redes sociales, en las cuales se difunde información institucional: </w:t>
      </w:r>
    </w:p>
    <w:p w14:paraId="5626BEF4" w14:textId="77777777" w:rsidR="00A070B6" w:rsidRPr="00A070B6" w:rsidRDefault="00A070B6" w:rsidP="00A070B6">
      <w:pPr>
        <w:spacing w:after="0" w:line="240" w:lineRule="auto"/>
        <w:jc w:val="both"/>
        <w:rPr>
          <w:rFonts w:ascii="Verdana" w:eastAsia="Calibri" w:hAnsi="Verdana" w:cs="Times New Roman"/>
        </w:rPr>
      </w:pPr>
    </w:p>
    <w:p w14:paraId="277878A6" w14:textId="77777777" w:rsidR="00A070B6" w:rsidRPr="00A070B6" w:rsidRDefault="00A070B6" w:rsidP="00A070B6">
      <w:pPr>
        <w:spacing w:after="0" w:line="240" w:lineRule="auto"/>
        <w:jc w:val="both"/>
        <w:rPr>
          <w:rFonts w:ascii="Verdana" w:eastAsia="Calibri" w:hAnsi="Verdana" w:cs="Times New Roman"/>
        </w:rPr>
      </w:pPr>
      <w:r w:rsidRPr="00A070B6">
        <w:rPr>
          <w:rFonts w:ascii="Verdana" w:eastAsia="Calibri" w:hAnsi="Verdana" w:cs="Times New Roman"/>
        </w:rPr>
        <w:t xml:space="preserve">Twitter: </w:t>
      </w:r>
      <w:r w:rsidRPr="00A070B6">
        <w:rPr>
          <w:rFonts w:ascii="Verdana" w:eastAsia="Calibri" w:hAnsi="Verdana" w:cs="Times New Roman"/>
          <w:u w:val="single"/>
        </w:rPr>
        <w:t>@colombiacompra</w:t>
      </w:r>
      <w:r w:rsidRPr="00A070B6">
        <w:rPr>
          <w:rFonts w:ascii="Verdana" w:eastAsia="Calibri" w:hAnsi="Verdana" w:cs="Times New Roman"/>
        </w:rPr>
        <w:t xml:space="preserve"> </w:t>
      </w:r>
    </w:p>
    <w:p w14:paraId="53B94242" w14:textId="77777777" w:rsidR="00A070B6" w:rsidRPr="00A070B6" w:rsidRDefault="00A070B6" w:rsidP="00A070B6">
      <w:pPr>
        <w:spacing w:after="0" w:line="240" w:lineRule="auto"/>
        <w:jc w:val="both"/>
        <w:rPr>
          <w:rFonts w:ascii="Verdana" w:eastAsia="Calibri" w:hAnsi="Verdana" w:cs="Times New Roman"/>
        </w:rPr>
      </w:pPr>
      <w:r w:rsidRPr="00A070B6">
        <w:rPr>
          <w:rFonts w:ascii="Verdana" w:eastAsia="Calibri" w:hAnsi="Verdana" w:cs="Times New Roman"/>
        </w:rPr>
        <w:t xml:space="preserve">Facebook: </w:t>
      </w:r>
      <w:proofErr w:type="spellStart"/>
      <w:r w:rsidRPr="00A070B6">
        <w:rPr>
          <w:rFonts w:ascii="Verdana" w:eastAsia="Calibri" w:hAnsi="Verdana" w:cs="Times New Roman"/>
          <w:u w:val="single"/>
        </w:rPr>
        <w:t>ColombiaCompraEficiente</w:t>
      </w:r>
      <w:proofErr w:type="spellEnd"/>
    </w:p>
    <w:p w14:paraId="052FC289" w14:textId="77777777" w:rsidR="00A070B6" w:rsidRPr="00A070B6" w:rsidRDefault="00A070B6" w:rsidP="00A070B6">
      <w:pPr>
        <w:spacing w:after="0" w:line="240" w:lineRule="auto"/>
        <w:jc w:val="both"/>
        <w:rPr>
          <w:rFonts w:ascii="Verdana" w:eastAsia="Calibri" w:hAnsi="Verdana" w:cs="Times New Roman"/>
        </w:rPr>
      </w:pPr>
      <w:r w:rsidRPr="00A070B6">
        <w:rPr>
          <w:rFonts w:ascii="Verdana" w:eastAsia="Calibri" w:hAnsi="Verdana" w:cs="Times New Roman"/>
        </w:rPr>
        <w:t xml:space="preserve">LinkedIn: </w:t>
      </w:r>
      <w:r w:rsidRPr="00A070B6">
        <w:rPr>
          <w:rFonts w:ascii="Verdana" w:eastAsia="Calibri" w:hAnsi="Verdana" w:cs="Times New Roman"/>
          <w:u w:val="single"/>
        </w:rPr>
        <w:t>Agencia Nacional de Contratación Pública - Colombia Compra Eficiente</w:t>
      </w:r>
      <w:r w:rsidRPr="00A070B6">
        <w:rPr>
          <w:rFonts w:ascii="Verdana" w:eastAsia="Calibri" w:hAnsi="Verdana" w:cs="Times New Roman"/>
        </w:rPr>
        <w:t xml:space="preserve"> Instagram: </w:t>
      </w:r>
      <w:r w:rsidRPr="00A070B6">
        <w:rPr>
          <w:rFonts w:ascii="Verdana" w:eastAsia="Calibri" w:hAnsi="Verdana" w:cs="Times New Roman"/>
          <w:u w:val="single"/>
        </w:rPr>
        <w:t>@colombiacompraeficiente_cce</w:t>
      </w:r>
    </w:p>
    <w:p w14:paraId="1446AC1B" w14:textId="77777777" w:rsidR="00A070B6" w:rsidRPr="00A070B6" w:rsidRDefault="00A070B6" w:rsidP="00A070B6">
      <w:pPr>
        <w:widowControl w:val="0"/>
        <w:autoSpaceDE w:val="0"/>
        <w:autoSpaceDN w:val="0"/>
        <w:spacing w:after="0" w:line="276" w:lineRule="auto"/>
        <w:jc w:val="both"/>
        <w:rPr>
          <w:rFonts w:ascii="Verdana" w:eastAsia="Calibri" w:hAnsi="Verdana" w:cs="Arial"/>
        </w:rPr>
      </w:pPr>
    </w:p>
    <w:p w14:paraId="76455355" w14:textId="77777777" w:rsidR="00A070B6" w:rsidRPr="00A070B6" w:rsidRDefault="00A070B6" w:rsidP="00A070B6">
      <w:pPr>
        <w:widowControl w:val="0"/>
        <w:autoSpaceDE w:val="0"/>
        <w:autoSpaceDN w:val="0"/>
        <w:spacing w:after="0" w:line="276" w:lineRule="auto"/>
        <w:jc w:val="both"/>
        <w:rPr>
          <w:rFonts w:ascii="Verdana" w:eastAsia="Calibri" w:hAnsi="Verdana" w:cs="Arial"/>
          <w:lang w:val="es-ES_tradnl"/>
        </w:rPr>
      </w:pPr>
      <w:r w:rsidRPr="00A070B6">
        <w:rPr>
          <w:rFonts w:ascii="Verdana" w:eastAsia="Calibri" w:hAnsi="Verdana" w:cs="Arial"/>
        </w:rPr>
        <w:t xml:space="preserve">Este concepto tiene el alcance previsto en el artículo 28 del Código de Procedimiento Administrativo y de lo Contencioso Administrativo </w:t>
      </w:r>
      <w:r w:rsidRPr="00A070B6">
        <w:rPr>
          <w:rFonts w:ascii="Verdana" w:eastAsia="Calibri" w:hAnsi="Verdana" w:cs="Arial"/>
          <w:lang w:val="es-ES_tradnl"/>
        </w:rPr>
        <w:t>y las expresiones aquí utilizadas con mayúscula inicial deben ser entendidas con el significado que les otorga el artículo 2.2.1.1.1.3.1. del Decreto 1082 de 2015.</w:t>
      </w:r>
    </w:p>
    <w:p w14:paraId="5C9AE7AD" w14:textId="77777777" w:rsidR="00A070B6" w:rsidRPr="00A070B6" w:rsidRDefault="00A070B6" w:rsidP="00A070B6">
      <w:pPr>
        <w:widowControl w:val="0"/>
        <w:autoSpaceDE w:val="0"/>
        <w:autoSpaceDN w:val="0"/>
        <w:spacing w:after="0" w:line="276" w:lineRule="auto"/>
        <w:jc w:val="both"/>
        <w:rPr>
          <w:rFonts w:ascii="Verdana" w:eastAsia="Calibri" w:hAnsi="Verdana" w:cs="Arial"/>
        </w:rPr>
      </w:pPr>
    </w:p>
    <w:p w14:paraId="3DB6C52B" w14:textId="77777777" w:rsidR="00A070B6" w:rsidRPr="00A070B6" w:rsidRDefault="00A070B6" w:rsidP="00A070B6">
      <w:pPr>
        <w:spacing w:after="0" w:line="240" w:lineRule="auto"/>
        <w:rPr>
          <w:rFonts w:ascii="Verdana" w:eastAsia="Calibri" w:hAnsi="Verdana" w:cs="Arial"/>
          <w:lang w:eastAsia="es-CO"/>
        </w:rPr>
      </w:pPr>
      <w:r w:rsidRPr="00A070B6">
        <w:rPr>
          <w:rFonts w:ascii="Verdana" w:eastAsia="Times New Roman" w:hAnsi="Verdana" w:cs="Arial"/>
          <w:lang w:eastAsia="es-CO"/>
        </w:rPr>
        <w:t>Atentamente,</w:t>
      </w:r>
      <w:r w:rsidRPr="00A070B6">
        <w:rPr>
          <w:rFonts w:ascii="Verdana" w:eastAsia="Calibri" w:hAnsi="Verdana" w:cs="Arial"/>
          <w:lang w:eastAsia="es-CO"/>
        </w:rPr>
        <w:t xml:space="preserve"> </w:t>
      </w:r>
    </w:p>
    <w:p w14:paraId="27B6DCFD" w14:textId="6C532906" w:rsidR="00A070B6" w:rsidRPr="00A070B6" w:rsidRDefault="00081BA8" w:rsidP="00A070B6">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D59C457" wp14:editId="07CE0C8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070B6" w:rsidRPr="00A070B6" w14:paraId="0EADB0DB" w14:textId="77777777">
        <w:trPr>
          <w:trHeight w:val="315"/>
        </w:trPr>
        <w:tc>
          <w:tcPr>
            <w:tcW w:w="893" w:type="dxa"/>
            <w:vAlign w:val="center"/>
            <w:hideMark/>
          </w:tcPr>
          <w:p w14:paraId="2D488BA3" w14:textId="77777777" w:rsidR="00A070B6" w:rsidRPr="00A070B6" w:rsidRDefault="00A070B6" w:rsidP="00A070B6">
            <w:pPr>
              <w:rPr>
                <w:rFonts w:ascii="Verdana" w:eastAsia="Calibri" w:hAnsi="Verdana" w:cs="Arial"/>
                <w:sz w:val="16"/>
                <w:szCs w:val="16"/>
                <w:lang w:val="es-ES" w:eastAsia="es-ES"/>
              </w:rPr>
            </w:pPr>
            <w:r w:rsidRPr="00A070B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321A8C2" w14:textId="77777777" w:rsidR="00A070B6" w:rsidRPr="00A070B6" w:rsidRDefault="00A070B6" w:rsidP="00A070B6">
            <w:pPr>
              <w:rPr>
                <w:rFonts w:ascii="Verdana" w:eastAsia="Arial" w:hAnsi="Verdana" w:cs="Arial"/>
                <w:sz w:val="16"/>
                <w:szCs w:val="16"/>
              </w:rPr>
            </w:pPr>
            <w:r w:rsidRPr="00A070B6">
              <w:rPr>
                <w:rFonts w:ascii="Verdana" w:eastAsia="Arial" w:hAnsi="Verdana" w:cs="Arial"/>
                <w:sz w:val="16"/>
                <w:szCs w:val="16"/>
              </w:rPr>
              <w:t xml:space="preserve">Kevin </w:t>
            </w:r>
            <w:proofErr w:type="spellStart"/>
            <w:r w:rsidRPr="00A070B6">
              <w:rPr>
                <w:rFonts w:ascii="Verdana" w:eastAsia="Arial" w:hAnsi="Verdana" w:cs="Arial"/>
                <w:sz w:val="16"/>
                <w:szCs w:val="16"/>
              </w:rPr>
              <w:t>Arlid</w:t>
            </w:r>
            <w:proofErr w:type="spellEnd"/>
            <w:r w:rsidRPr="00A070B6">
              <w:rPr>
                <w:rFonts w:ascii="Verdana" w:eastAsia="Arial" w:hAnsi="Verdana" w:cs="Arial"/>
                <w:sz w:val="16"/>
                <w:szCs w:val="16"/>
              </w:rPr>
              <w:t xml:space="preserve"> Herrera Santa</w:t>
            </w:r>
          </w:p>
          <w:p w14:paraId="4D53EB53" w14:textId="77777777" w:rsidR="00A070B6" w:rsidRPr="00A070B6" w:rsidRDefault="00A070B6" w:rsidP="00A070B6">
            <w:pPr>
              <w:rPr>
                <w:rFonts w:ascii="Verdana" w:eastAsia="Arial" w:hAnsi="Verdana" w:cs="Arial"/>
                <w:sz w:val="16"/>
                <w:szCs w:val="16"/>
              </w:rPr>
            </w:pPr>
            <w:r w:rsidRPr="00A070B6">
              <w:rPr>
                <w:rFonts w:ascii="Verdana" w:eastAsia="Arial" w:hAnsi="Verdana" w:cs="Arial"/>
                <w:sz w:val="16"/>
                <w:szCs w:val="16"/>
              </w:rPr>
              <w:t>Contratista de la Subdirección de Gestión Contractual</w:t>
            </w:r>
          </w:p>
          <w:p w14:paraId="2777A89E" w14:textId="77777777" w:rsidR="00A070B6" w:rsidRPr="00A070B6" w:rsidRDefault="00A070B6" w:rsidP="00A070B6">
            <w:pPr>
              <w:rPr>
                <w:rFonts w:ascii="Verdana" w:eastAsia="Arial" w:hAnsi="Verdana" w:cs="Arial"/>
                <w:sz w:val="16"/>
                <w:szCs w:val="16"/>
              </w:rPr>
            </w:pPr>
            <w:r w:rsidRPr="00A070B6">
              <w:rPr>
                <w:rFonts w:ascii="Verdana" w:eastAsia="Arial" w:hAnsi="Verdana" w:cs="Arial"/>
                <w:sz w:val="16"/>
                <w:szCs w:val="16"/>
              </w:rPr>
              <w:t>Alejandro Gamboa Cárdenas</w:t>
            </w:r>
          </w:p>
          <w:p w14:paraId="348C8A98" w14:textId="77777777" w:rsidR="00A070B6" w:rsidRPr="00A070B6" w:rsidRDefault="00A070B6" w:rsidP="00A070B6">
            <w:pPr>
              <w:rPr>
                <w:rFonts w:ascii="Verdana" w:eastAsia="Arial" w:hAnsi="Verdana" w:cs="Arial"/>
                <w:sz w:val="16"/>
                <w:szCs w:val="16"/>
              </w:rPr>
            </w:pPr>
            <w:r w:rsidRPr="00A070B6">
              <w:rPr>
                <w:rFonts w:ascii="Verdana" w:eastAsia="Arial" w:hAnsi="Verdana" w:cs="Arial"/>
                <w:sz w:val="16"/>
                <w:szCs w:val="16"/>
              </w:rPr>
              <w:t>Contratista de la Subdirección de Gestión Contractual</w:t>
            </w:r>
          </w:p>
        </w:tc>
      </w:tr>
      <w:tr w:rsidR="00A070B6" w:rsidRPr="00A070B6" w14:paraId="0C5F2848" w14:textId="77777777">
        <w:trPr>
          <w:trHeight w:val="330"/>
        </w:trPr>
        <w:tc>
          <w:tcPr>
            <w:tcW w:w="893" w:type="dxa"/>
            <w:vAlign w:val="center"/>
            <w:hideMark/>
          </w:tcPr>
          <w:p w14:paraId="3866678C" w14:textId="77777777" w:rsidR="00A070B6" w:rsidRPr="00A070B6" w:rsidRDefault="00A070B6" w:rsidP="00A070B6">
            <w:pPr>
              <w:rPr>
                <w:rFonts w:ascii="Verdana" w:eastAsia="Calibri" w:hAnsi="Verdana" w:cs="Arial"/>
                <w:sz w:val="16"/>
                <w:szCs w:val="16"/>
                <w:lang w:val="es-ES" w:eastAsia="es-ES"/>
              </w:rPr>
            </w:pPr>
            <w:r w:rsidRPr="00A070B6">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B9F4338" w14:textId="77777777" w:rsidR="00A070B6" w:rsidRPr="00A070B6" w:rsidRDefault="00A070B6" w:rsidP="00A070B6">
            <w:pPr>
              <w:textAlignment w:val="baseline"/>
              <w:rPr>
                <w:rFonts w:ascii="Verdana" w:eastAsia="Times New Roman" w:hAnsi="Verdana" w:cs="Segoe UI"/>
                <w:sz w:val="16"/>
                <w:szCs w:val="16"/>
                <w:lang w:eastAsia="es-ES_tradnl"/>
              </w:rPr>
            </w:pPr>
            <w:r w:rsidRPr="00A070B6">
              <w:rPr>
                <w:rFonts w:ascii="Verdana" w:eastAsia="Times New Roman" w:hAnsi="Verdana" w:cs="Segoe UI"/>
                <w:sz w:val="16"/>
                <w:szCs w:val="16"/>
                <w:lang w:eastAsia="es-ES_tradnl"/>
              </w:rPr>
              <w:t xml:space="preserve">Adriana </w:t>
            </w:r>
            <w:proofErr w:type="spellStart"/>
            <w:r w:rsidRPr="00A070B6">
              <w:rPr>
                <w:rFonts w:ascii="Verdana" w:eastAsia="Times New Roman" w:hAnsi="Verdana" w:cs="Segoe UI"/>
                <w:sz w:val="16"/>
                <w:szCs w:val="16"/>
                <w:lang w:eastAsia="es-ES_tradnl"/>
              </w:rPr>
              <w:t>Katerine</w:t>
            </w:r>
            <w:proofErr w:type="spellEnd"/>
            <w:r w:rsidRPr="00A070B6">
              <w:rPr>
                <w:rFonts w:ascii="Verdana" w:eastAsia="Times New Roman" w:hAnsi="Verdana" w:cs="Segoe UI"/>
                <w:sz w:val="16"/>
                <w:szCs w:val="16"/>
                <w:lang w:eastAsia="es-ES_tradnl"/>
              </w:rPr>
              <w:t xml:space="preserve"> López Rodríguez</w:t>
            </w:r>
          </w:p>
          <w:p w14:paraId="37E2A19F" w14:textId="77777777" w:rsidR="00A070B6" w:rsidRPr="00A070B6" w:rsidRDefault="00A070B6" w:rsidP="00A070B6">
            <w:pPr>
              <w:textAlignment w:val="baseline"/>
              <w:rPr>
                <w:rFonts w:ascii="Verdana" w:eastAsia="Times New Roman" w:hAnsi="Verdana" w:cs="Segoe UI"/>
                <w:sz w:val="16"/>
                <w:szCs w:val="16"/>
                <w:lang w:eastAsia="es-ES_tradnl"/>
              </w:rPr>
            </w:pPr>
            <w:r w:rsidRPr="00A070B6">
              <w:rPr>
                <w:rFonts w:ascii="Verdana" w:eastAsia="Times New Roman" w:hAnsi="Verdana" w:cs="Arial"/>
                <w:sz w:val="16"/>
                <w:szCs w:val="16"/>
                <w:lang w:val="es-ES" w:eastAsia="es-ES_tradnl"/>
              </w:rPr>
              <w:t>Contratista de la Subdirección de Gestión Contractual</w:t>
            </w:r>
            <w:r w:rsidRPr="00A070B6">
              <w:rPr>
                <w:rFonts w:ascii="Verdana" w:eastAsia="Times New Roman" w:hAnsi="Verdana" w:cs="Arial"/>
                <w:sz w:val="16"/>
                <w:szCs w:val="16"/>
                <w:lang w:eastAsia="es-ES_tradnl"/>
              </w:rPr>
              <w:t> </w:t>
            </w:r>
          </w:p>
        </w:tc>
      </w:tr>
      <w:tr w:rsidR="00A070B6" w:rsidRPr="00A070B6" w14:paraId="46EFF7FC" w14:textId="77777777">
        <w:trPr>
          <w:trHeight w:val="300"/>
        </w:trPr>
        <w:tc>
          <w:tcPr>
            <w:tcW w:w="893" w:type="dxa"/>
            <w:vAlign w:val="center"/>
          </w:tcPr>
          <w:p w14:paraId="39990BA1" w14:textId="77777777" w:rsidR="00A070B6" w:rsidRPr="00A070B6" w:rsidRDefault="00A070B6" w:rsidP="00A070B6">
            <w:pPr>
              <w:rPr>
                <w:rFonts w:ascii="Verdana" w:eastAsia="Calibri" w:hAnsi="Verdana" w:cs="Arial"/>
                <w:sz w:val="16"/>
                <w:szCs w:val="16"/>
                <w:lang w:val="es-ES" w:eastAsia="es-ES"/>
              </w:rPr>
            </w:pPr>
            <w:r w:rsidRPr="00A070B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F5FDF2D" w14:textId="77777777" w:rsidR="00A070B6" w:rsidRPr="00A070B6" w:rsidRDefault="00A070B6" w:rsidP="00A070B6">
            <w:pPr>
              <w:rPr>
                <w:rFonts w:ascii="Verdana" w:eastAsia="Calibri" w:hAnsi="Verdana" w:cs="Arial"/>
                <w:sz w:val="16"/>
                <w:szCs w:val="16"/>
                <w:lang w:val="pt-BR" w:eastAsia="es-ES"/>
              </w:rPr>
            </w:pPr>
            <w:r w:rsidRPr="00A070B6">
              <w:rPr>
                <w:rFonts w:ascii="Verdana" w:eastAsia="Calibri" w:hAnsi="Verdana" w:cs="Arial"/>
                <w:sz w:val="16"/>
                <w:szCs w:val="16"/>
                <w:lang w:val="pt-BR" w:eastAsia="es-ES"/>
              </w:rPr>
              <w:t xml:space="preserve">Carolina Quintero </w:t>
            </w:r>
            <w:proofErr w:type="spellStart"/>
            <w:r w:rsidRPr="00A070B6">
              <w:rPr>
                <w:rFonts w:ascii="Verdana" w:eastAsia="Calibri" w:hAnsi="Verdana" w:cs="Arial"/>
                <w:sz w:val="16"/>
                <w:szCs w:val="16"/>
                <w:lang w:val="pt-BR" w:eastAsia="es-ES"/>
              </w:rPr>
              <w:t>Gacharná</w:t>
            </w:r>
            <w:proofErr w:type="spellEnd"/>
          </w:p>
          <w:p w14:paraId="5C01AA52" w14:textId="77777777" w:rsidR="00A070B6" w:rsidRPr="00A070B6" w:rsidRDefault="00A070B6" w:rsidP="00A070B6">
            <w:pPr>
              <w:rPr>
                <w:rFonts w:ascii="Verdana" w:eastAsia="Calibri" w:hAnsi="Verdana" w:cs="Arial"/>
                <w:sz w:val="16"/>
                <w:szCs w:val="16"/>
                <w:lang w:val="pt-BR" w:eastAsia="es-ES"/>
              </w:rPr>
            </w:pPr>
            <w:r w:rsidRPr="00A070B6">
              <w:rPr>
                <w:rFonts w:ascii="Verdana" w:eastAsia="Calibri" w:hAnsi="Verdana" w:cs="Arial"/>
                <w:sz w:val="16"/>
                <w:szCs w:val="16"/>
                <w:lang w:eastAsia="es-ES"/>
              </w:rPr>
              <w:t>Subdirectora</w:t>
            </w:r>
            <w:r w:rsidRPr="00A070B6">
              <w:rPr>
                <w:rFonts w:ascii="Verdana" w:eastAsia="Calibri" w:hAnsi="Verdana" w:cs="Arial"/>
                <w:sz w:val="16"/>
                <w:szCs w:val="16"/>
                <w:lang w:val="pt-BR" w:eastAsia="es-ES"/>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B7B17" w14:textId="77777777" w:rsidR="00B3026C" w:rsidRDefault="00B3026C" w:rsidP="004A1847">
      <w:pPr>
        <w:spacing w:after="0" w:line="240" w:lineRule="auto"/>
      </w:pPr>
      <w:r>
        <w:separator/>
      </w:r>
    </w:p>
  </w:endnote>
  <w:endnote w:type="continuationSeparator" w:id="0">
    <w:p w14:paraId="7BC66C0A" w14:textId="77777777" w:rsidR="00B3026C" w:rsidRDefault="00B3026C" w:rsidP="004A1847">
      <w:pPr>
        <w:spacing w:after="0" w:line="240" w:lineRule="auto"/>
      </w:pPr>
      <w:r>
        <w:continuationSeparator/>
      </w:r>
    </w:p>
  </w:endnote>
  <w:endnote w:type="continuationNotice" w:id="1">
    <w:p w14:paraId="57840A78" w14:textId="77777777" w:rsidR="00B3026C" w:rsidRDefault="00B30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pitch w:val="variable"/>
    <w:sig w:usb0="800002E7" w:usb1="2AC7FCFF" w:usb2="00000012" w:usb3="00000000" w:csb0="0002009F"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ADA83" w14:textId="77777777" w:rsidR="00B3026C" w:rsidRDefault="00B3026C" w:rsidP="004A1847">
      <w:pPr>
        <w:spacing w:after="0" w:line="240" w:lineRule="auto"/>
      </w:pPr>
      <w:r>
        <w:separator/>
      </w:r>
    </w:p>
  </w:footnote>
  <w:footnote w:type="continuationSeparator" w:id="0">
    <w:p w14:paraId="2C8A8938" w14:textId="77777777" w:rsidR="00B3026C" w:rsidRDefault="00B3026C" w:rsidP="004A1847">
      <w:pPr>
        <w:spacing w:after="0" w:line="240" w:lineRule="auto"/>
      </w:pPr>
      <w:r>
        <w:continuationSeparator/>
      </w:r>
    </w:p>
  </w:footnote>
  <w:footnote w:type="continuationNotice" w:id="1">
    <w:p w14:paraId="0FA50DDB" w14:textId="77777777" w:rsidR="00B3026C" w:rsidRDefault="00B3026C">
      <w:pPr>
        <w:spacing w:after="0" w:line="240" w:lineRule="auto"/>
      </w:pPr>
    </w:p>
  </w:footnote>
  <w:footnote w:id="2">
    <w:p w14:paraId="6DECCB37" w14:textId="77777777" w:rsidR="00A070B6" w:rsidRPr="006556CC" w:rsidRDefault="00A070B6" w:rsidP="00A070B6">
      <w:pPr>
        <w:pStyle w:val="Textonotapie"/>
        <w:ind w:firstLine="709"/>
        <w:jc w:val="both"/>
        <w:rPr>
          <w:rFonts w:ascii="Verdana" w:hAnsi="Verdana" w:cs="Arial"/>
          <w:sz w:val="18"/>
          <w:szCs w:val="18"/>
          <w:lang w:val="es-ES"/>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6556CC">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3">
    <w:p w14:paraId="303CDF83" w14:textId="77777777" w:rsidR="00A070B6" w:rsidRPr="006556CC" w:rsidRDefault="00A070B6" w:rsidP="00A070B6">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w:t>
      </w:r>
      <w:r w:rsidRPr="006556CC">
        <w:rPr>
          <w:rFonts w:ascii="Verdana" w:hAnsi="Verdana" w:cs="Arial"/>
          <w:color w:val="000000"/>
          <w:sz w:val="18"/>
          <w:szCs w:val="18"/>
        </w:rPr>
        <w:t>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A9589B"/>
    <w:multiLevelType w:val="hybridMultilevel"/>
    <w:tmpl w:val="1C6E00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1492209491">
    <w:abstractNumId w:val="6"/>
  </w:num>
  <w:num w:numId="19" w16cid:durableId="1557931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70B5"/>
    <w:rsid w:val="00061B2A"/>
    <w:rsid w:val="00081BA8"/>
    <w:rsid w:val="00082362"/>
    <w:rsid w:val="000A02B8"/>
    <w:rsid w:val="000A1F64"/>
    <w:rsid w:val="000A683E"/>
    <w:rsid w:val="000B19B9"/>
    <w:rsid w:val="000D0334"/>
    <w:rsid w:val="000D5612"/>
    <w:rsid w:val="000F6486"/>
    <w:rsid w:val="00125105"/>
    <w:rsid w:val="00127233"/>
    <w:rsid w:val="00194DB2"/>
    <w:rsid w:val="001D2A88"/>
    <w:rsid w:val="001E4177"/>
    <w:rsid w:val="001F7DC6"/>
    <w:rsid w:val="002421BB"/>
    <w:rsid w:val="0025796E"/>
    <w:rsid w:val="002707A2"/>
    <w:rsid w:val="002951A0"/>
    <w:rsid w:val="002962BC"/>
    <w:rsid w:val="002A093D"/>
    <w:rsid w:val="002A0DD0"/>
    <w:rsid w:val="002A49AC"/>
    <w:rsid w:val="002A64FD"/>
    <w:rsid w:val="002C7A84"/>
    <w:rsid w:val="002E4FD9"/>
    <w:rsid w:val="003210D0"/>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86583"/>
    <w:rsid w:val="004A1847"/>
    <w:rsid w:val="004A305D"/>
    <w:rsid w:val="004F21C4"/>
    <w:rsid w:val="004F685F"/>
    <w:rsid w:val="005308C9"/>
    <w:rsid w:val="005566E8"/>
    <w:rsid w:val="00574867"/>
    <w:rsid w:val="00591460"/>
    <w:rsid w:val="00592628"/>
    <w:rsid w:val="005C3777"/>
    <w:rsid w:val="005C5CDC"/>
    <w:rsid w:val="005D476C"/>
    <w:rsid w:val="00610812"/>
    <w:rsid w:val="0062055B"/>
    <w:rsid w:val="006219F8"/>
    <w:rsid w:val="00650FF7"/>
    <w:rsid w:val="00657876"/>
    <w:rsid w:val="00665D70"/>
    <w:rsid w:val="00671DAC"/>
    <w:rsid w:val="006900D9"/>
    <w:rsid w:val="006D038A"/>
    <w:rsid w:val="006D12F8"/>
    <w:rsid w:val="00706C16"/>
    <w:rsid w:val="00756841"/>
    <w:rsid w:val="007649AB"/>
    <w:rsid w:val="00771D0C"/>
    <w:rsid w:val="007833AC"/>
    <w:rsid w:val="007B268C"/>
    <w:rsid w:val="007B7171"/>
    <w:rsid w:val="007C0C0F"/>
    <w:rsid w:val="007C3DC2"/>
    <w:rsid w:val="007E5497"/>
    <w:rsid w:val="008020FC"/>
    <w:rsid w:val="00806F5F"/>
    <w:rsid w:val="00820278"/>
    <w:rsid w:val="00864FB7"/>
    <w:rsid w:val="008843B6"/>
    <w:rsid w:val="00891928"/>
    <w:rsid w:val="008A446D"/>
    <w:rsid w:val="008D180B"/>
    <w:rsid w:val="008F0EA7"/>
    <w:rsid w:val="00923EEF"/>
    <w:rsid w:val="009419F9"/>
    <w:rsid w:val="0095685E"/>
    <w:rsid w:val="00961B09"/>
    <w:rsid w:val="00965334"/>
    <w:rsid w:val="0097093E"/>
    <w:rsid w:val="00973B4A"/>
    <w:rsid w:val="009A0DFA"/>
    <w:rsid w:val="009B2D26"/>
    <w:rsid w:val="009C71FA"/>
    <w:rsid w:val="009C72E7"/>
    <w:rsid w:val="009D3058"/>
    <w:rsid w:val="009D5BB0"/>
    <w:rsid w:val="009F3A13"/>
    <w:rsid w:val="00A070B6"/>
    <w:rsid w:val="00A122D3"/>
    <w:rsid w:val="00A17F13"/>
    <w:rsid w:val="00A20739"/>
    <w:rsid w:val="00A33C78"/>
    <w:rsid w:val="00A764F4"/>
    <w:rsid w:val="00AB0ADB"/>
    <w:rsid w:val="00AB7560"/>
    <w:rsid w:val="00AF4DF3"/>
    <w:rsid w:val="00B01B1A"/>
    <w:rsid w:val="00B3026C"/>
    <w:rsid w:val="00B72CD3"/>
    <w:rsid w:val="00B72FFF"/>
    <w:rsid w:val="00BA327E"/>
    <w:rsid w:val="00BB2810"/>
    <w:rsid w:val="00BC3D36"/>
    <w:rsid w:val="00BD7F72"/>
    <w:rsid w:val="00C04FB3"/>
    <w:rsid w:val="00C330EB"/>
    <w:rsid w:val="00C754BE"/>
    <w:rsid w:val="00C76B1C"/>
    <w:rsid w:val="00CB6357"/>
    <w:rsid w:val="00CC1B26"/>
    <w:rsid w:val="00CC677D"/>
    <w:rsid w:val="00D423A2"/>
    <w:rsid w:val="00D520D8"/>
    <w:rsid w:val="00D63AC2"/>
    <w:rsid w:val="00D7383B"/>
    <w:rsid w:val="00D77415"/>
    <w:rsid w:val="00D900A3"/>
    <w:rsid w:val="00DA231B"/>
    <w:rsid w:val="00DA23A0"/>
    <w:rsid w:val="00DC39FC"/>
    <w:rsid w:val="00DF5254"/>
    <w:rsid w:val="00E05393"/>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2297D838"/>
    <w:rsid w:val="5CEADB7B"/>
    <w:rsid w:val="7916B96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969E09A-D0E5-4654-AFDE-E92D0943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070B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6E4258F-9483-410F-ABA7-1DE39D4558E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3176</Words>
  <Characters>17280</Characters>
  <Application>Microsoft Office Word</Application>
  <DocSecurity>0</DocSecurity>
  <Lines>384</Lines>
  <Paragraphs>84</Paragraphs>
  <ScaleCrop>false</ScaleCrop>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2024-08-04T00:15:00Z</dcterms:created>
  <dcterms:modified xsi:type="dcterms:W3CDTF">2024-08-04T00:17:00Z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