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B5A6E" w14:textId="77777777" w:rsidR="008A5C21" w:rsidRPr="00DE2AC7" w:rsidRDefault="008A5C21" w:rsidP="008A5C21">
      <w:pPr>
        <w:spacing w:after="0" w:line="240" w:lineRule="auto"/>
        <w:rPr>
          <w:rFonts w:ascii="Verdana" w:eastAsia="Calibri" w:hAnsi="Verdana" w:cs="Arial"/>
          <w:b/>
          <w:sz w:val="20"/>
          <w:szCs w:val="20"/>
          <w:lang w:val="es-ES_tradnl" w:eastAsia="es-ES_tradnl"/>
        </w:rPr>
      </w:pPr>
    </w:p>
    <w:p w14:paraId="6BC904BA" w14:textId="77777777" w:rsidR="008A5C21" w:rsidRPr="007D0816" w:rsidRDefault="008A5C21" w:rsidP="008A5C21">
      <w:pPr>
        <w:spacing w:after="0" w:line="240" w:lineRule="auto"/>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Noción </w:t>
      </w:r>
    </w:p>
    <w:p w14:paraId="19C73A73" w14:textId="77777777" w:rsidR="008A5C21" w:rsidRPr="00DE2AC7" w:rsidRDefault="008A5C21" w:rsidP="008A5C21">
      <w:pPr>
        <w:spacing w:after="0" w:line="240" w:lineRule="auto"/>
        <w:rPr>
          <w:rFonts w:ascii="Verdana" w:eastAsia="Calibri" w:hAnsi="Verdana" w:cs="Arial"/>
          <w:bCs/>
          <w:sz w:val="20"/>
          <w:szCs w:val="20"/>
          <w:lang w:val="es-ES_tradnl" w:eastAsia="es-ES_tradnl"/>
        </w:rPr>
      </w:pPr>
    </w:p>
    <w:p w14:paraId="0B1A1064" w14:textId="77777777" w:rsidR="008A5C21" w:rsidRPr="00DE2AC7" w:rsidRDefault="008A5C21" w:rsidP="008A5C21">
      <w:pPr>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DE2AC7">
        <w:rPr>
          <w:rFonts w:ascii="Verdana" w:eastAsia="Calibri" w:hAnsi="Verdana" w:cs="Arial"/>
          <w:color w:val="000000" w:themeColor="text1"/>
          <w:sz w:val="20"/>
          <w:szCs w:val="20"/>
        </w:rPr>
        <w:t>subentra</w:t>
      </w:r>
      <w:proofErr w:type="spellEnd"/>
      <w:r w:rsidRPr="00DE2AC7">
        <w:rPr>
          <w:rFonts w:ascii="Verdana" w:eastAsia="Calibri" w:hAnsi="Verdana" w:cs="Arial"/>
          <w:color w:val="000000" w:themeColor="text1"/>
          <w:sz w:val="20"/>
          <w:szCs w:val="20"/>
        </w:rPr>
        <w:t xml:space="preserve"> en la relación con el cedido […]”. Por otro, “[…] es la transferencia de la posición contractual de un contratante a otro sujeto, que le </w:t>
      </w:r>
      <w:proofErr w:type="spellStart"/>
      <w:r w:rsidRPr="00DE2AC7">
        <w:rPr>
          <w:rFonts w:ascii="Verdana" w:eastAsia="Calibri" w:hAnsi="Verdana" w:cs="Arial"/>
          <w:color w:val="000000" w:themeColor="text1"/>
          <w:sz w:val="20"/>
          <w:szCs w:val="20"/>
        </w:rPr>
        <w:t>subentra</w:t>
      </w:r>
      <w:proofErr w:type="spellEnd"/>
      <w:r w:rsidRPr="00DE2AC7">
        <w:rPr>
          <w:rFonts w:ascii="Verdana" w:eastAsia="Calibri" w:hAnsi="Verdana" w:cs="Arial"/>
          <w:color w:val="000000" w:themeColor="text1"/>
          <w:sz w:val="20"/>
          <w:szCs w:val="20"/>
        </w:rPr>
        <w:t xml:space="preserve"> en la relación con la contraparte […]”. De esta manera, </w:t>
      </w:r>
      <w:r w:rsidRPr="00DE2AC7">
        <w:rPr>
          <w:rFonts w:ascii="Verdana" w:hAnsi="Verdana" w:cs="Arial"/>
          <w:color w:val="000000" w:themeColor="text1"/>
          <w:sz w:val="20"/>
          <w:szCs w:val="20"/>
        </w:rPr>
        <w:t xml:space="preserve">concurren tres (3) sujetos: i) el cedente, esto es, el contratista inicial; </w:t>
      </w:r>
      <w:proofErr w:type="spellStart"/>
      <w:r w:rsidRPr="00DE2AC7">
        <w:rPr>
          <w:rFonts w:ascii="Verdana" w:hAnsi="Verdana" w:cs="Arial"/>
          <w:color w:val="000000" w:themeColor="text1"/>
          <w:sz w:val="20"/>
          <w:szCs w:val="20"/>
        </w:rPr>
        <w:t>ii</w:t>
      </w:r>
      <w:proofErr w:type="spellEnd"/>
      <w:r w:rsidRPr="00DE2AC7">
        <w:rPr>
          <w:rFonts w:ascii="Verdana" w:hAnsi="Verdana" w:cs="Arial"/>
          <w:color w:val="000000" w:themeColor="text1"/>
          <w:sz w:val="20"/>
          <w:szCs w:val="20"/>
        </w:rPr>
        <w:t xml:space="preserve">) el cesionario, es decir, quien asume total o parcialmente los derechos y obligaciones de este último; y </w:t>
      </w:r>
      <w:proofErr w:type="spellStart"/>
      <w:r w:rsidRPr="00DE2AC7">
        <w:rPr>
          <w:rFonts w:ascii="Verdana" w:hAnsi="Verdana" w:cs="Arial"/>
          <w:color w:val="000000" w:themeColor="text1"/>
          <w:sz w:val="20"/>
          <w:szCs w:val="20"/>
        </w:rPr>
        <w:t>iii</w:t>
      </w:r>
      <w:proofErr w:type="spellEnd"/>
      <w:r w:rsidRPr="00DE2AC7">
        <w:rPr>
          <w:rFonts w:ascii="Verdana" w:hAnsi="Verdana" w:cs="Arial"/>
          <w:color w:val="000000" w:themeColor="text1"/>
          <w:sz w:val="20"/>
          <w:szCs w:val="20"/>
        </w:rPr>
        <w:t xml:space="preserve">) el cedido que, en el caso de los contratos estatales, sería la entidad que suscribió el contrato. </w:t>
      </w:r>
      <w:r w:rsidRPr="00DE2AC7">
        <w:rPr>
          <w:rFonts w:ascii="Verdana" w:eastAsia="Calibri" w:hAnsi="Verdana" w:cs="Arial"/>
          <w:color w:val="000000" w:themeColor="text1"/>
          <w:sz w:val="20"/>
          <w:szCs w:val="20"/>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01F3922A" w14:textId="77777777" w:rsidR="008A5C21" w:rsidRPr="00DE2AC7" w:rsidRDefault="008A5C21" w:rsidP="008A5C21">
      <w:pPr>
        <w:spacing w:after="0" w:line="240" w:lineRule="auto"/>
        <w:jc w:val="both"/>
        <w:rPr>
          <w:rFonts w:ascii="Verdana" w:eastAsia="Calibri" w:hAnsi="Verdana" w:cs="Arial"/>
          <w:color w:val="000000" w:themeColor="text1"/>
          <w:sz w:val="20"/>
          <w:szCs w:val="20"/>
        </w:rPr>
      </w:pPr>
    </w:p>
    <w:p w14:paraId="783B13D2" w14:textId="77777777" w:rsidR="008A5C21" w:rsidRPr="007D0816" w:rsidRDefault="008A5C21" w:rsidP="008A5C21">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Régimen jurídico aplicable – EGCAP – Código de </w:t>
      </w:r>
      <w:r>
        <w:rPr>
          <w:rFonts w:ascii="Verdana" w:eastAsia="Calibri" w:hAnsi="Verdana" w:cs="Arial"/>
          <w:b/>
          <w:lang w:val="es-ES_tradnl" w:eastAsia="es-ES_tradnl"/>
        </w:rPr>
        <w:t>C</w:t>
      </w:r>
      <w:r w:rsidRPr="007D0816">
        <w:rPr>
          <w:rFonts w:ascii="Verdana" w:eastAsia="Calibri" w:hAnsi="Verdana" w:cs="Arial"/>
          <w:b/>
          <w:lang w:val="es-ES_tradnl" w:eastAsia="es-ES_tradnl"/>
        </w:rPr>
        <w:t>omercio</w:t>
      </w:r>
    </w:p>
    <w:p w14:paraId="0D7452D6" w14:textId="77777777" w:rsidR="008A5C21" w:rsidRPr="00DE2AC7" w:rsidRDefault="008A5C21" w:rsidP="008A5C21">
      <w:pPr>
        <w:spacing w:after="0" w:line="240" w:lineRule="auto"/>
        <w:jc w:val="both"/>
        <w:rPr>
          <w:rFonts w:ascii="Verdana" w:eastAsia="Calibri" w:hAnsi="Verdana" w:cs="Arial"/>
          <w:bCs/>
          <w:sz w:val="20"/>
          <w:szCs w:val="20"/>
          <w:lang w:val="es-ES_tradnl" w:eastAsia="es-ES_tradnl"/>
        </w:rPr>
      </w:pPr>
    </w:p>
    <w:p w14:paraId="429A833B" w14:textId="77777777" w:rsidR="008A5C21" w:rsidRPr="00DE2AC7" w:rsidRDefault="008A5C21" w:rsidP="008A5C21">
      <w:pPr>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DE2AC7">
        <w:rPr>
          <w:rFonts w:ascii="Verdana" w:eastAsia="Calibri" w:hAnsi="Verdana" w:cs="Arial"/>
          <w:color w:val="000000" w:themeColor="text1"/>
          <w:sz w:val="20"/>
          <w:szCs w:val="20"/>
        </w:rPr>
        <w:t>ii</w:t>
      </w:r>
      <w:proofErr w:type="spellEnd"/>
      <w:r w:rsidRPr="00DE2AC7">
        <w:rPr>
          <w:rFonts w:ascii="Verdana" w:eastAsia="Calibri" w:hAnsi="Verdana" w:cs="Arial"/>
          <w:color w:val="000000" w:themeColor="text1"/>
          <w:sz w:val="20"/>
          <w:szCs w:val="20"/>
        </w:rPr>
        <w:t xml:space="preserve">) corresponderán como actos jurídicos bilaterales generadores de obligaciones, entre otros, a los previstos en el derecho privado, en los términos del artículo 32 </w:t>
      </w:r>
      <w:r w:rsidRPr="00DE2AC7">
        <w:rPr>
          <w:rFonts w:ascii="Verdana" w:eastAsia="Calibri" w:hAnsi="Verdana" w:cs="Arial"/>
          <w:i/>
          <w:iCs/>
          <w:color w:val="000000" w:themeColor="text1"/>
          <w:sz w:val="20"/>
          <w:szCs w:val="20"/>
        </w:rPr>
        <w:t>ibidem</w:t>
      </w:r>
      <w:r w:rsidRPr="00DE2AC7">
        <w:rPr>
          <w:rFonts w:ascii="Verdana" w:eastAsia="Calibri" w:hAnsi="Verdana" w:cs="Arial"/>
          <w:color w:val="000000" w:themeColor="text1"/>
          <w:sz w:val="20"/>
          <w:szCs w:val="20"/>
        </w:rPr>
        <w:t xml:space="preserve">; y </w:t>
      </w:r>
      <w:proofErr w:type="spellStart"/>
      <w:r w:rsidRPr="00DE2AC7">
        <w:rPr>
          <w:rFonts w:ascii="Verdana" w:eastAsia="Calibri" w:hAnsi="Verdana" w:cs="Arial"/>
          <w:color w:val="000000" w:themeColor="text1"/>
          <w:sz w:val="20"/>
          <w:szCs w:val="20"/>
        </w:rPr>
        <w:t>iii</w:t>
      </w:r>
      <w:proofErr w:type="spellEnd"/>
      <w:r w:rsidRPr="00DE2AC7">
        <w:rPr>
          <w:rFonts w:ascii="Verdana" w:eastAsia="Calibri" w:hAnsi="Verdana" w:cs="Arial"/>
          <w:color w:val="000000" w:themeColor="text1"/>
          <w:sz w:val="20"/>
          <w:szCs w:val="20"/>
        </w:rPr>
        <w:t xml:space="preserve">) contendrán las estipulaciones que, de acuerdo con las normas civiles, comerciales y las previstas en esta ley, correspondan a su esencia y naturaleza, conforme a lo dispuesto por el artículo 40 </w:t>
      </w:r>
      <w:r w:rsidRPr="00DE2AC7">
        <w:rPr>
          <w:rFonts w:ascii="Verdana" w:eastAsia="Calibri" w:hAnsi="Verdana" w:cs="Arial"/>
          <w:i/>
          <w:iCs/>
          <w:color w:val="000000" w:themeColor="text1"/>
          <w:sz w:val="20"/>
          <w:szCs w:val="20"/>
        </w:rPr>
        <w:t>ibidem</w:t>
      </w:r>
      <w:r w:rsidRPr="00DE2AC7">
        <w:rPr>
          <w:rFonts w:ascii="Verdana" w:eastAsia="Calibri" w:hAnsi="Verdana" w:cs="Arial"/>
          <w:color w:val="000000" w:themeColor="text1"/>
          <w:sz w:val="20"/>
          <w:szCs w:val="20"/>
        </w:rPr>
        <w:t xml:space="preserve">. </w:t>
      </w:r>
    </w:p>
    <w:p w14:paraId="3CA93DB5" w14:textId="77777777" w:rsidR="008A5C21" w:rsidRPr="00DE2AC7" w:rsidRDefault="008A5C21" w:rsidP="008A5C21">
      <w:pPr>
        <w:spacing w:after="0" w:line="240" w:lineRule="auto"/>
        <w:jc w:val="both"/>
        <w:rPr>
          <w:rFonts w:ascii="Verdana" w:eastAsia="Calibri" w:hAnsi="Verdana" w:cs="Arial"/>
          <w:color w:val="000000" w:themeColor="text1"/>
          <w:sz w:val="20"/>
          <w:szCs w:val="20"/>
        </w:rPr>
      </w:pPr>
    </w:p>
    <w:p w14:paraId="43B12956" w14:textId="77777777" w:rsidR="008A5C21" w:rsidRPr="007D0816" w:rsidRDefault="008A5C21" w:rsidP="008A5C21">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CESIÓN DEL CONTRATO ESTATAL – Requisitos – Restricciones</w:t>
      </w:r>
    </w:p>
    <w:p w14:paraId="7E8BA73F" w14:textId="77777777" w:rsidR="008A5C21" w:rsidRPr="00DE2AC7" w:rsidRDefault="008A5C21" w:rsidP="008A5C21">
      <w:pPr>
        <w:spacing w:after="0" w:line="240" w:lineRule="auto"/>
        <w:jc w:val="both"/>
        <w:rPr>
          <w:rFonts w:ascii="Verdana" w:eastAsia="Calibri" w:hAnsi="Verdana" w:cs="Arial"/>
          <w:color w:val="000000" w:themeColor="text1"/>
          <w:sz w:val="20"/>
          <w:szCs w:val="20"/>
        </w:rPr>
      </w:pPr>
    </w:p>
    <w:p w14:paraId="4E9C2860" w14:textId="77777777" w:rsidR="008A5C21" w:rsidRPr="00DE2AC7" w:rsidRDefault="008A5C21" w:rsidP="008A5C21">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 el Consejo de Estado ha precisado como requisitos de la cesión del contrato estatal los siguientes: i) debe recaer en un tercero; </w:t>
      </w:r>
      <w:proofErr w:type="spellStart"/>
      <w:r w:rsidRPr="00DE2AC7">
        <w:rPr>
          <w:rFonts w:ascii="Verdana" w:eastAsia="Calibri" w:hAnsi="Verdana" w:cs="Arial"/>
          <w:color w:val="000000" w:themeColor="text1"/>
          <w:sz w:val="20"/>
          <w:szCs w:val="20"/>
        </w:rPr>
        <w:t>ii</w:t>
      </w:r>
      <w:proofErr w:type="spellEnd"/>
      <w:r w:rsidRPr="00DE2AC7">
        <w:rPr>
          <w:rFonts w:ascii="Verdana" w:eastAsia="Calibri" w:hAnsi="Verdana" w:cs="Arial"/>
          <w:color w:val="000000" w:themeColor="text1"/>
          <w:sz w:val="20"/>
          <w:szCs w:val="20"/>
        </w:rPr>
        <w:t xml:space="preserve">) el cesionario debe tener capacidad jurídica para continuar con la ejecución del objeto contractual y no estar incurso en causales de inhabilidad e incompatibilidad para contratar; y </w:t>
      </w:r>
      <w:proofErr w:type="spellStart"/>
      <w:r w:rsidRPr="00DE2AC7">
        <w:rPr>
          <w:rFonts w:ascii="Verdana" w:eastAsia="Calibri" w:hAnsi="Verdana" w:cs="Arial"/>
          <w:color w:val="000000" w:themeColor="text1"/>
          <w:sz w:val="20"/>
          <w:szCs w:val="20"/>
        </w:rPr>
        <w:t>iii</w:t>
      </w:r>
      <w:proofErr w:type="spellEnd"/>
      <w:r w:rsidRPr="00DE2AC7">
        <w:rPr>
          <w:rFonts w:ascii="Verdana" w:eastAsia="Calibri" w:hAnsi="Verdana" w:cs="Arial"/>
          <w:color w:val="000000" w:themeColor="text1"/>
          <w:sz w:val="20"/>
          <w:szCs w:val="20"/>
        </w:rPr>
        <w:t xml:space="preserve">)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contratista, en otras palabras, la figura de la cesión de contrato no puede servir como </w:t>
      </w:r>
      <w:r w:rsidRPr="00DE2AC7">
        <w:rPr>
          <w:rFonts w:ascii="Verdana" w:eastAsia="Calibri" w:hAnsi="Verdana" w:cs="Arial"/>
          <w:color w:val="000000" w:themeColor="text1"/>
          <w:sz w:val="20"/>
          <w:szCs w:val="20"/>
        </w:rPr>
        <w:lastRenderedPageBreak/>
        <w:t>instrumento para desviar las obligaciones que tiene la entidad contratante de cumplimiento de los parámetros de la selección objetiva”.</w:t>
      </w:r>
    </w:p>
    <w:p w14:paraId="57C5DAE4" w14:textId="77777777" w:rsidR="008A5C21" w:rsidRPr="00DE2AC7" w:rsidRDefault="008A5C21" w:rsidP="008A5C21">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w:t>
      </w:r>
    </w:p>
    <w:p w14:paraId="5C6B4BDF" w14:textId="77777777" w:rsidR="008A5C21" w:rsidRPr="00DE2AC7" w:rsidRDefault="008A5C21" w:rsidP="008A5C21">
      <w:pPr>
        <w:tabs>
          <w:tab w:val="left" w:pos="709"/>
        </w:tabs>
        <w:spacing w:after="0" w:line="240" w:lineRule="auto"/>
        <w:jc w:val="both"/>
        <w:rPr>
          <w:rFonts w:ascii="Verdana" w:eastAsia="Calibri" w:hAnsi="Verdana" w:cs="Arial"/>
          <w:color w:val="000000" w:themeColor="text1"/>
          <w:sz w:val="20"/>
          <w:szCs w:val="20"/>
        </w:rPr>
      </w:pPr>
    </w:p>
    <w:p w14:paraId="1B4A8B32" w14:textId="77777777" w:rsidR="008A5C21" w:rsidRPr="00DE2AC7" w:rsidRDefault="008A5C21" w:rsidP="008A5C21">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15CAC732" w14:textId="77777777" w:rsidR="008A5C21" w:rsidRPr="00DE2AC7" w:rsidRDefault="008A5C21" w:rsidP="008A5C21">
      <w:pPr>
        <w:spacing w:after="0" w:line="240" w:lineRule="auto"/>
        <w:rPr>
          <w:rFonts w:ascii="Verdana" w:eastAsia="Geomanist Light" w:hAnsi="Verdana" w:cs="Arial"/>
          <w:color w:val="000000" w:themeColor="text1"/>
        </w:rPr>
      </w:pPr>
    </w:p>
    <w:p w14:paraId="1F488E53" w14:textId="77777777" w:rsidR="008A5C21" w:rsidRDefault="008A5C21" w:rsidP="008A5C21">
      <w:pPr>
        <w:spacing w:after="0" w:line="240" w:lineRule="auto"/>
        <w:rPr>
          <w:rFonts w:ascii="Verdana" w:eastAsia="Geomanist Light" w:hAnsi="Verdana" w:cs="Arial"/>
          <w:color w:val="000000" w:themeColor="text1"/>
          <w:lang w:val="es-MX"/>
        </w:rPr>
      </w:pPr>
    </w:p>
    <w:p w14:paraId="3D88D2BB" w14:textId="77777777" w:rsidR="008A5C21" w:rsidRDefault="008A5C21" w:rsidP="008A5C21">
      <w:pPr>
        <w:spacing w:after="0" w:line="240" w:lineRule="auto"/>
        <w:rPr>
          <w:rFonts w:ascii="Verdana" w:eastAsia="Geomanist Light" w:hAnsi="Verdana" w:cs="Arial"/>
          <w:color w:val="000000" w:themeColor="text1"/>
          <w:lang w:val="es-MX"/>
        </w:rPr>
      </w:pPr>
    </w:p>
    <w:p w14:paraId="45091BD6" w14:textId="77777777" w:rsidR="008A5C21" w:rsidRDefault="008A5C21" w:rsidP="008A5C21">
      <w:pPr>
        <w:spacing w:after="0" w:line="240" w:lineRule="auto"/>
        <w:rPr>
          <w:rFonts w:ascii="Verdana" w:eastAsia="Geomanist Light" w:hAnsi="Verdana" w:cs="Arial"/>
          <w:color w:val="000000" w:themeColor="text1"/>
          <w:lang w:val="es-MX"/>
        </w:rPr>
      </w:pPr>
    </w:p>
    <w:p w14:paraId="097DBAA9" w14:textId="77777777" w:rsidR="008A5C21" w:rsidRDefault="008A5C21" w:rsidP="008A5C21">
      <w:pPr>
        <w:spacing w:after="0" w:line="240" w:lineRule="auto"/>
        <w:rPr>
          <w:rFonts w:ascii="Verdana" w:eastAsia="Geomanist Light" w:hAnsi="Verdana" w:cs="Arial"/>
          <w:color w:val="000000" w:themeColor="text1"/>
          <w:lang w:val="es-MX"/>
        </w:rPr>
      </w:pPr>
    </w:p>
    <w:p w14:paraId="376E97AC" w14:textId="77777777" w:rsidR="008A5C21" w:rsidRDefault="008A5C21" w:rsidP="008A5C21">
      <w:pPr>
        <w:spacing w:after="0" w:line="240" w:lineRule="auto"/>
        <w:rPr>
          <w:rFonts w:ascii="Verdana" w:eastAsia="Geomanist Light" w:hAnsi="Verdana" w:cs="Arial"/>
          <w:color w:val="000000" w:themeColor="text1"/>
          <w:lang w:val="es-MX"/>
        </w:rPr>
      </w:pPr>
    </w:p>
    <w:p w14:paraId="28BD76C1" w14:textId="77777777" w:rsidR="008A5C21" w:rsidRDefault="008A5C21" w:rsidP="008A5C21">
      <w:pPr>
        <w:spacing w:after="0" w:line="240" w:lineRule="auto"/>
        <w:rPr>
          <w:rFonts w:ascii="Verdana" w:eastAsia="Geomanist Light" w:hAnsi="Verdana" w:cs="Arial"/>
          <w:color w:val="000000" w:themeColor="text1"/>
          <w:lang w:val="es-MX"/>
        </w:rPr>
      </w:pPr>
    </w:p>
    <w:p w14:paraId="078198B8" w14:textId="77777777" w:rsidR="008A5C21" w:rsidRDefault="008A5C21" w:rsidP="008A5C21">
      <w:pPr>
        <w:spacing w:after="0" w:line="240" w:lineRule="auto"/>
        <w:rPr>
          <w:rFonts w:ascii="Verdana" w:eastAsia="Geomanist Light" w:hAnsi="Verdana" w:cs="Arial"/>
          <w:color w:val="000000" w:themeColor="text1"/>
          <w:lang w:val="es-MX"/>
        </w:rPr>
      </w:pPr>
    </w:p>
    <w:p w14:paraId="11CC6CB7" w14:textId="77777777" w:rsidR="008A5C21" w:rsidRDefault="008A5C21" w:rsidP="008A5C21">
      <w:pPr>
        <w:spacing w:after="0" w:line="240" w:lineRule="auto"/>
        <w:rPr>
          <w:rFonts w:ascii="Verdana" w:eastAsia="Geomanist Light" w:hAnsi="Verdana" w:cs="Arial"/>
          <w:color w:val="000000" w:themeColor="text1"/>
          <w:lang w:val="es-MX"/>
        </w:rPr>
      </w:pPr>
    </w:p>
    <w:p w14:paraId="6A735FDA" w14:textId="77777777" w:rsidR="008A5C21" w:rsidRDefault="008A5C21" w:rsidP="008A5C21">
      <w:pPr>
        <w:spacing w:after="0" w:line="240" w:lineRule="auto"/>
        <w:rPr>
          <w:rFonts w:ascii="Verdana" w:eastAsia="Geomanist Light" w:hAnsi="Verdana" w:cs="Arial"/>
          <w:color w:val="000000" w:themeColor="text1"/>
          <w:lang w:val="es-MX"/>
        </w:rPr>
      </w:pPr>
    </w:p>
    <w:p w14:paraId="673110F3" w14:textId="77777777" w:rsidR="008A5C21" w:rsidRDefault="008A5C21" w:rsidP="008A5C21">
      <w:pPr>
        <w:spacing w:after="0" w:line="240" w:lineRule="auto"/>
        <w:rPr>
          <w:rFonts w:ascii="Verdana" w:eastAsia="Geomanist Light" w:hAnsi="Verdana" w:cs="Arial"/>
          <w:color w:val="000000" w:themeColor="text1"/>
          <w:lang w:val="es-MX"/>
        </w:rPr>
      </w:pPr>
    </w:p>
    <w:p w14:paraId="6064238D" w14:textId="77777777" w:rsidR="008A5C21" w:rsidRDefault="008A5C21" w:rsidP="008A5C21">
      <w:pPr>
        <w:spacing w:after="0" w:line="240" w:lineRule="auto"/>
        <w:rPr>
          <w:rFonts w:ascii="Verdana" w:eastAsia="Geomanist Light" w:hAnsi="Verdana" w:cs="Arial"/>
          <w:color w:val="000000" w:themeColor="text1"/>
          <w:lang w:val="es-MX"/>
        </w:rPr>
      </w:pPr>
    </w:p>
    <w:p w14:paraId="7CB4B9ED" w14:textId="77777777" w:rsidR="008A5C21" w:rsidRDefault="008A5C21" w:rsidP="008A5C21">
      <w:pPr>
        <w:spacing w:after="0" w:line="240" w:lineRule="auto"/>
        <w:rPr>
          <w:rFonts w:ascii="Verdana" w:eastAsia="Geomanist Light" w:hAnsi="Verdana" w:cs="Arial"/>
          <w:color w:val="000000" w:themeColor="text1"/>
          <w:lang w:val="es-MX"/>
        </w:rPr>
      </w:pPr>
    </w:p>
    <w:p w14:paraId="3C4DB3E8" w14:textId="77777777" w:rsidR="008A5C21" w:rsidRDefault="008A5C21" w:rsidP="008A5C21">
      <w:pPr>
        <w:spacing w:after="0" w:line="240" w:lineRule="auto"/>
        <w:rPr>
          <w:rFonts w:ascii="Verdana" w:eastAsia="Geomanist Light" w:hAnsi="Verdana" w:cs="Arial"/>
          <w:color w:val="000000" w:themeColor="text1"/>
          <w:lang w:val="es-MX"/>
        </w:rPr>
      </w:pPr>
    </w:p>
    <w:p w14:paraId="0BFB9A09" w14:textId="77777777" w:rsidR="008A5C21" w:rsidRDefault="008A5C21" w:rsidP="008A5C21">
      <w:pPr>
        <w:spacing w:after="0" w:line="240" w:lineRule="auto"/>
        <w:rPr>
          <w:rFonts w:ascii="Verdana" w:eastAsia="Geomanist Light" w:hAnsi="Verdana" w:cs="Arial"/>
          <w:color w:val="000000" w:themeColor="text1"/>
          <w:lang w:val="es-MX"/>
        </w:rPr>
      </w:pPr>
    </w:p>
    <w:p w14:paraId="4E50FB13" w14:textId="77777777" w:rsidR="008A5C21" w:rsidRDefault="008A5C21" w:rsidP="008A5C21">
      <w:pPr>
        <w:spacing w:after="0" w:line="240" w:lineRule="auto"/>
        <w:rPr>
          <w:rFonts w:ascii="Verdana" w:eastAsia="Geomanist Light" w:hAnsi="Verdana" w:cs="Arial"/>
          <w:color w:val="000000" w:themeColor="text1"/>
          <w:lang w:val="es-MX"/>
        </w:rPr>
      </w:pPr>
    </w:p>
    <w:p w14:paraId="13BCDD66" w14:textId="77777777" w:rsidR="008A5C21" w:rsidRDefault="008A5C21" w:rsidP="008A5C21">
      <w:pPr>
        <w:spacing w:after="0" w:line="240" w:lineRule="auto"/>
        <w:rPr>
          <w:rFonts w:ascii="Verdana" w:eastAsia="Geomanist Light" w:hAnsi="Verdana" w:cs="Arial"/>
          <w:color w:val="000000" w:themeColor="text1"/>
          <w:lang w:val="es-MX"/>
        </w:rPr>
      </w:pPr>
    </w:p>
    <w:p w14:paraId="4F864F32" w14:textId="77777777" w:rsidR="008A5C21" w:rsidRDefault="008A5C21" w:rsidP="008A5C21">
      <w:pPr>
        <w:spacing w:after="0" w:line="240" w:lineRule="auto"/>
        <w:rPr>
          <w:rFonts w:ascii="Verdana" w:eastAsia="Geomanist Light" w:hAnsi="Verdana" w:cs="Arial"/>
          <w:color w:val="000000" w:themeColor="text1"/>
          <w:lang w:val="es-MX"/>
        </w:rPr>
      </w:pPr>
    </w:p>
    <w:p w14:paraId="6E991364" w14:textId="77777777" w:rsidR="008A5C21" w:rsidRDefault="008A5C21" w:rsidP="008A5C21">
      <w:pPr>
        <w:spacing w:after="0" w:line="240" w:lineRule="auto"/>
        <w:rPr>
          <w:rFonts w:ascii="Verdana" w:eastAsia="Geomanist Light" w:hAnsi="Verdana" w:cs="Arial"/>
          <w:color w:val="000000" w:themeColor="text1"/>
          <w:lang w:val="es-MX"/>
        </w:rPr>
      </w:pPr>
    </w:p>
    <w:p w14:paraId="0189E88E" w14:textId="77777777" w:rsidR="008A5C21" w:rsidRDefault="008A5C21" w:rsidP="008A5C21">
      <w:pPr>
        <w:spacing w:after="0" w:line="240" w:lineRule="auto"/>
        <w:rPr>
          <w:rFonts w:ascii="Verdana" w:eastAsia="Geomanist Light" w:hAnsi="Verdana" w:cs="Arial"/>
          <w:color w:val="000000" w:themeColor="text1"/>
          <w:lang w:val="es-MX"/>
        </w:rPr>
      </w:pPr>
    </w:p>
    <w:p w14:paraId="22AB416A" w14:textId="77777777" w:rsidR="008A5C21" w:rsidRDefault="008A5C21" w:rsidP="008A5C21">
      <w:pPr>
        <w:spacing w:after="0" w:line="240" w:lineRule="auto"/>
        <w:rPr>
          <w:rFonts w:ascii="Verdana" w:eastAsia="Geomanist Light" w:hAnsi="Verdana" w:cs="Arial"/>
          <w:color w:val="000000" w:themeColor="text1"/>
          <w:lang w:val="es-MX"/>
        </w:rPr>
      </w:pPr>
    </w:p>
    <w:p w14:paraId="1EF95155" w14:textId="77777777" w:rsidR="008A5C21" w:rsidRDefault="008A5C21" w:rsidP="008A5C21">
      <w:pPr>
        <w:spacing w:after="0" w:line="240" w:lineRule="auto"/>
        <w:rPr>
          <w:rFonts w:ascii="Verdana" w:eastAsia="Geomanist Light" w:hAnsi="Verdana" w:cs="Arial"/>
          <w:color w:val="000000" w:themeColor="text1"/>
          <w:lang w:val="es-MX"/>
        </w:rPr>
      </w:pPr>
    </w:p>
    <w:p w14:paraId="5DB1F657" w14:textId="77777777" w:rsidR="008A5C21" w:rsidRDefault="008A5C21" w:rsidP="008A5C21">
      <w:pPr>
        <w:spacing w:after="0" w:line="240" w:lineRule="auto"/>
        <w:rPr>
          <w:rFonts w:ascii="Verdana" w:eastAsia="Geomanist Light" w:hAnsi="Verdana" w:cs="Arial"/>
          <w:color w:val="000000" w:themeColor="text1"/>
          <w:lang w:val="es-MX"/>
        </w:rPr>
      </w:pPr>
    </w:p>
    <w:p w14:paraId="0F44629B" w14:textId="77777777" w:rsidR="008A5C21" w:rsidRDefault="008A5C21" w:rsidP="008A5C21">
      <w:pPr>
        <w:spacing w:after="0" w:line="240" w:lineRule="auto"/>
        <w:rPr>
          <w:rFonts w:ascii="Verdana" w:eastAsia="Geomanist Light" w:hAnsi="Verdana" w:cs="Arial"/>
          <w:color w:val="000000" w:themeColor="text1"/>
          <w:lang w:val="es-MX"/>
        </w:rPr>
      </w:pPr>
    </w:p>
    <w:p w14:paraId="4D877AE5" w14:textId="77777777" w:rsidR="008A5C21" w:rsidRDefault="008A5C21" w:rsidP="008A5C21">
      <w:pPr>
        <w:spacing w:after="0" w:line="240" w:lineRule="auto"/>
        <w:rPr>
          <w:rFonts w:ascii="Verdana" w:eastAsia="Geomanist Light" w:hAnsi="Verdana" w:cs="Arial"/>
          <w:color w:val="000000" w:themeColor="text1"/>
          <w:lang w:val="es-MX"/>
        </w:rPr>
      </w:pPr>
    </w:p>
    <w:p w14:paraId="618291EF" w14:textId="77777777" w:rsidR="008A5C21" w:rsidRDefault="008A5C21" w:rsidP="008A5C21">
      <w:pPr>
        <w:spacing w:after="0" w:line="240" w:lineRule="auto"/>
        <w:rPr>
          <w:rFonts w:ascii="Verdana" w:eastAsia="Geomanist Light" w:hAnsi="Verdana" w:cs="Arial"/>
          <w:color w:val="000000" w:themeColor="text1"/>
          <w:lang w:val="es-MX"/>
        </w:rPr>
      </w:pPr>
    </w:p>
    <w:p w14:paraId="6925697E" w14:textId="77777777" w:rsidR="008A5C21" w:rsidRDefault="008A5C21" w:rsidP="008A5C21">
      <w:pPr>
        <w:spacing w:after="0" w:line="240" w:lineRule="auto"/>
        <w:rPr>
          <w:rFonts w:ascii="Verdana" w:eastAsia="Geomanist Light" w:hAnsi="Verdana" w:cs="Arial"/>
          <w:color w:val="000000" w:themeColor="text1"/>
          <w:lang w:val="es-MX"/>
        </w:rPr>
      </w:pPr>
    </w:p>
    <w:p w14:paraId="5B4D07A6" w14:textId="77777777" w:rsidR="008A5C21" w:rsidRDefault="008A5C21" w:rsidP="008A5C21">
      <w:pPr>
        <w:spacing w:after="0" w:line="240" w:lineRule="auto"/>
        <w:rPr>
          <w:rFonts w:ascii="Verdana" w:eastAsia="Geomanist Light" w:hAnsi="Verdana" w:cs="Arial"/>
          <w:color w:val="000000" w:themeColor="text1"/>
          <w:lang w:val="es-MX"/>
        </w:rPr>
      </w:pPr>
    </w:p>
    <w:p w14:paraId="352B5554" w14:textId="77777777" w:rsidR="008A5C21" w:rsidRDefault="008A5C21" w:rsidP="008A5C21">
      <w:pPr>
        <w:spacing w:after="0" w:line="240" w:lineRule="auto"/>
        <w:rPr>
          <w:rFonts w:ascii="Verdana" w:eastAsia="Geomanist Light" w:hAnsi="Verdana" w:cs="Arial"/>
          <w:color w:val="000000" w:themeColor="text1"/>
          <w:lang w:val="es-MX"/>
        </w:rPr>
      </w:pPr>
    </w:p>
    <w:p w14:paraId="467321BA" w14:textId="77777777" w:rsidR="008A5C21" w:rsidRDefault="008A5C21" w:rsidP="00E74570">
      <w:pPr>
        <w:spacing w:after="0" w:line="240" w:lineRule="auto"/>
        <w:rPr>
          <w:rFonts w:ascii="Verdana" w:eastAsia="Geomanist Light" w:hAnsi="Verdana" w:cs="Arial"/>
          <w:color w:val="000000" w:themeColor="text1"/>
          <w:lang w:val="es-MX"/>
        </w:rPr>
      </w:pPr>
    </w:p>
    <w:p w14:paraId="6388C298" w14:textId="08D74B5F" w:rsidR="00E74570" w:rsidRPr="00593A5F" w:rsidRDefault="00E74570" w:rsidP="00E74570">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9542F">
        <w:rPr>
          <w:rFonts w:ascii="Verdana" w:hAnsi="Verdana" w:cs="Verdana"/>
          <w:color w:val="000000"/>
          <w:lang w:val="es-MX"/>
        </w:rPr>
        <w:t>2</w:t>
      </w:r>
      <w:r w:rsidR="00AE45EC">
        <w:rPr>
          <w:rFonts w:ascii="Verdana" w:hAnsi="Verdana" w:cs="Verdana"/>
          <w:color w:val="000000"/>
          <w:lang w:val="es-MX"/>
        </w:rPr>
        <w:t>6</w:t>
      </w:r>
      <w:r w:rsidR="00B9542F">
        <w:rPr>
          <w:rFonts w:ascii="Verdana" w:hAnsi="Verdana" w:cs="Verdana"/>
          <w:color w:val="000000"/>
          <w:lang w:val="es-MX"/>
        </w:rPr>
        <w:t xml:space="preserve"> de Septiembre de 2025</w:t>
      </w:r>
    </w:p>
    <w:p w14:paraId="109E3AD5" w14:textId="77777777" w:rsidR="00E74570" w:rsidRDefault="00E74570" w:rsidP="00E74570">
      <w:pPr>
        <w:spacing w:after="0" w:line="240" w:lineRule="auto"/>
        <w:jc w:val="both"/>
        <w:rPr>
          <w:rFonts w:ascii="Verdana" w:eastAsia="Calibri" w:hAnsi="Verdana" w:cs="Arial"/>
          <w:color w:val="000000"/>
          <w:lang w:val="es-ES"/>
        </w:rPr>
      </w:pPr>
    </w:p>
    <w:p w14:paraId="03289D9D" w14:textId="01FF2718" w:rsidR="008E5014" w:rsidRDefault="008E5014" w:rsidP="008E5014">
      <w:pPr>
        <w:spacing w:after="0" w:line="240" w:lineRule="auto"/>
        <w:jc w:val="right"/>
        <w:rPr>
          <w:rFonts w:ascii="Verdana" w:eastAsia="Calibri" w:hAnsi="Verdana" w:cs="Arial"/>
          <w:color w:val="000000"/>
          <w:lang w:val="es-ES"/>
        </w:rPr>
      </w:pPr>
      <w:r w:rsidRPr="008E5014">
        <w:rPr>
          <w:rFonts w:ascii="Verdana" w:eastAsia="Calibri" w:hAnsi="Verdana" w:cs="Arial"/>
          <w:color w:val="000000"/>
          <w:lang w:val="es-ES"/>
        </w:rPr>
        <w:drawing>
          <wp:inline distT="0" distB="0" distL="0" distR="0" wp14:anchorId="348B6F54" wp14:editId="643AB86A">
            <wp:extent cx="2400300" cy="622300"/>
            <wp:effectExtent l="0" t="0" r="0" b="0"/>
            <wp:docPr id="1578608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08410" name=""/>
                    <pic:cNvPicPr/>
                  </pic:nvPicPr>
                  <pic:blipFill>
                    <a:blip r:embed="rId10"/>
                    <a:stretch>
                      <a:fillRect/>
                    </a:stretch>
                  </pic:blipFill>
                  <pic:spPr>
                    <a:xfrm>
                      <a:off x="0" y="0"/>
                      <a:ext cx="2400300" cy="622300"/>
                    </a:xfrm>
                    <a:prstGeom prst="rect">
                      <a:avLst/>
                    </a:prstGeom>
                  </pic:spPr>
                </pic:pic>
              </a:graphicData>
            </a:graphic>
          </wp:inline>
        </w:drawing>
      </w:r>
    </w:p>
    <w:p w14:paraId="2143A94A" w14:textId="77777777" w:rsidR="00E74570" w:rsidRPr="00593A5F" w:rsidRDefault="00E74570" w:rsidP="00E74570">
      <w:pPr>
        <w:spacing w:after="0" w:line="240" w:lineRule="auto"/>
        <w:jc w:val="both"/>
        <w:rPr>
          <w:rFonts w:ascii="Verdana" w:eastAsia="Calibri" w:hAnsi="Verdana" w:cs="Arial"/>
          <w:color w:val="000000"/>
          <w:lang w:val="es-ES"/>
        </w:rPr>
      </w:pPr>
    </w:p>
    <w:p w14:paraId="3BC2404B" w14:textId="77777777" w:rsidR="00E74570" w:rsidRPr="00B96799" w:rsidRDefault="00E74570" w:rsidP="00E74570">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62950DE" w14:textId="77777777" w:rsidR="00E74570" w:rsidRPr="0085423D" w:rsidRDefault="00E74570" w:rsidP="00E74570">
      <w:pPr>
        <w:spacing w:after="0" w:line="240" w:lineRule="auto"/>
        <w:rPr>
          <w:rFonts w:ascii="Verdana" w:eastAsia="Calibri" w:hAnsi="Verdana" w:cs="Arial"/>
          <w:b/>
          <w:lang w:val="es-ES_tradnl" w:eastAsia="es-ES_tradnl"/>
        </w:rPr>
      </w:pPr>
      <w:r w:rsidRPr="006F52C7">
        <w:rPr>
          <w:rFonts w:ascii="Verdana" w:eastAsia="Calibri" w:hAnsi="Verdana" w:cs="Arial"/>
          <w:b/>
          <w:lang w:val="es-ES_tradnl" w:eastAsia="es-ES_tradnl"/>
        </w:rPr>
        <w:t>Andrés Felipe Hernández González</w:t>
      </w:r>
      <w:r>
        <w:rPr>
          <w:rFonts w:ascii="Verdana" w:eastAsia="Calibri" w:hAnsi="Verdana" w:cs="Arial"/>
          <w:b/>
          <w:lang w:val="es-ES_tradnl" w:eastAsia="es-ES_tradnl"/>
        </w:rPr>
        <w:t xml:space="preserve"> </w:t>
      </w:r>
    </w:p>
    <w:p w14:paraId="1A102367" w14:textId="77777777" w:rsidR="00E74570" w:rsidRPr="006F52C7" w:rsidRDefault="00E74570" w:rsidP="00E74570">
      <w:pPr>
        <w:spacing w:after="0" w:line="240" w:lineRule="auto"/>
        <w:rPr>
          <w:rFonts w:ascii="Verdana" w:eastAsia="Calibri" w:hAnsi="Verdana" w:cs="Arial"/>
          <w:lang w:val="es-ES" w:eastAsia="es-ES"/>
        </w:rPr>
      </w:pPr>
      <w:hyperlink r:id="rId11" w:history="1">
        <w:r w:rsidRPr="00C95D94">
          <w:rPr>
            <w:rStyle w:val="Hipervnculo"/>
            <w:rFonts w:ascii="Verdana" w:hAnsi="Verdana"/>
          </w:rPr>
          <w:t>andreshg93@hotmail.com</w:t>
        </w:r>
      </w:hyperlink>
      <w:r>
        <w:rPr>
          <w:rFonts w:ascii="Verdana" w:hAnsi="Verdana"/>
        </w:rPr>
        <w:t xml:space="preserve"> </w:t>
      </w:r>
      <w:r w:rsidRPr="006F52C7">
        <w:rPr>
          <w:rFonts w:ascii="Verdana" w:hAnsi="Verdana"/>
        </w:rPr>
        <w:t xml:space="preserve">         </w:t>
      </w:r>
      <w:r w:rsidRPr="006F52C7">
        <w:rPr>
          <w:rFonts w:ascii="Verdana" w:eastAsia="Calibri" w:hAnsi="Verdana" w:cs="Arial"/>
          <w:lang w:val="es-ES" w:eastAsia="es-ES"/>
        </w:rPr>
        <w:t xml:space="preserve">    </w:t>
      </w:r>
    </w:p>
    <w:p w14:paraId="782AD638" w14:textId="77777777" w:rsidR="00E74570" w:rsidRDefault="00E74570" w:rsidP="00E74570">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1E691E34" w14:textId="77777777" w:rsidR="00E74570" w:rsidRPr="00593A5F" w:rsidRDefault="00E74570" w:rsidP="00E74570">
      <w:pPr>
        <w:spacing w:after="0" w:line="240" w:lineRule="auto"/>
        <w:rPr>
          <w:rFonts w:ascii="Verdana" w:eastAsia="Calibri" w:hAnsi="Verdana" w:cs="Arial"/>
          <w:b/>
          <w:bCs/>
          <w:color w:val="000000"/>
          <w:lang w:val="es-ES_tradnl" w:eastAsia="es-ES_tradnl"/>
        </w:rPr>
      </w:pPr>
    </w:p>
    <w:p w14:paraId="41B86E1B" w14:textId="77777777" w:rsidR="00E74570" w:rsidRPr="00593A5F" w:rsidRDefault="00E74570" w:rsidP="00E7457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74570" w:rsidRPr="00593A5F" w14:paraId="7B6B5BCB" w14:textId="77777777" w:rsidTr="0065243C">
        <w:trPr>
          <w:trHeight w:val="884"/>
        </w:trPr>
        <w:tc>
          <w:tcPr>
            <w:tcW w:w="2689" w:type="dxa"/>
          </w:tcPr>
          <w:p w14:paraId="5B64EB02" w14:textId="77777777" w:rsidR="00E74570" w:rsidRPr="00C00976" w:rsidRDefault="00E74570" w:rsidP="0065243C">
            <w:pPr>
              <w:jc w:val="both"/>
              <w:rPr>
                <w:rFonts w:ascii="Verdana" w:eastAsia="Calibri" w:hAnsi="Verdana" w:cs="Arial"/>
                <w:b/>
                <w:bCs/>
                <w:color w:val="7030A0"/>
                <w:lang w:val="es-ES_tradnl" w:eastAsia="es-ES_tradnl"/>
              </w:rPr>
            </w:pPr>
          </w:p>
        </w:tc>
        <w:tc>
          <w:tcPr>
            <w:tcW w:w="6100" w:type="dxa"/>
          </w:tcPr>
          <w:p w14:paraId="49988677" w14:textId="1CD855F2" w:rsidR="00E74570" w:rsidRPr="00C00976" w:rsidRDefault="00E74570" w:rsidP="0065243C">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636823">
              <w:rPr>
                <w:rFonts w:ascii="Verdana" w:eastAsia="Calibri" w:hAnsi="Verdana" w:cs="Arial"/>
                <w:b/>
                <w:bCs/>
                <w:lang w:val="es-ES" w:eastAsia="es-ES"/>
              </w:rPr>
              <w:t>1310</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E74570" w:rsidRPr="00593A5F" w14:paraId="6E45A502" w14:textId="77777777" w:rsidTr="0065243C">
        <w:trPr>
          <w:trHeight w:val="884"/>
        </w:trPr>
        <w:tc>
          <w:tcPr>
            <w:tcW w:w="2689" w:type="dxa"/>
          </w:tcPr>
          <w:p w14:paraId="60AD6F68" w14:textId="77777777" w:rsidR="00E74570" w:rsidRPr="00593A5F" w:rsidRDefault="00E74570" w:rsidP="0065243C">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897E1F0" w14:textId="77777777" w:rsidR="00E74570" w:rsidRPr="00A11406" w:rsidRDefault="00E74570" w:rsidP="0065243C">
            <w:pPr>
              <w:spacing w:line="276" w:lineRule="auto"/>
              <w:jc w:val="both"/>
              <w:rPr>
                <w:rFonts w:ascii="Verdana" w:eastAsia="Calibri" w:hAnsi="Verdana" w:cs="Arial"/>
                <w:lang w:val="es-ES" w:eastAsia="es-ES"/>
              </w:rPr>
            </w:pPr>
            <w:r w:rsidRPr="00DD7928">
              <w:rPr>
                <w:rFonts w:ascii="Verdana" w:eastAsia="Calibri" w:hAnsi="Verdana" w:cs="Arial"/>
                <w:lang w:val="es-ES" w:eastAsia="es-ES"/>
              </w:rPr>
              <w:t>CESIÓN DEL CONTRATO ESTATAL – Noción / CESIÓN DEL CONTRATO ESTATAL – Régimen jurídico aplicable – EGCAP – Código de comercio / CESIÓN DEL CONTRATO ESTATAL – Requisitos – Restricciones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5C3A95F" w14:textId="77777777" w:rsidR="00E74570" w:rsidRPr="00593A5F" w:rsidRDefault="00E74570" w:rsidP="0065243C">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E74570" w:rsidRPr="008E6AD9" w14:paraId="411C6EDC" w14:textId="77777777" w:rsidTr="0065243C">
        <w:tc>
          <w:tcPr>
            <w:tcW w:w="2689" w:type="dxa"/>
          </w:tcPr>
          <w:p w14:paraId="00D8358B" w14:textId="77777777" w:rsidR="00E74570" w:rsidRPr="008E6AD9" w:rsidRDefault="00E74570" w:rsidP="0065243C">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18AB3B2" w14:textId="77777777" w:rsidR="00E74570" w:rsidRPr="00B92340" w:rsidRDefault="00E74570" w:rsidP="0065243C">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77279">
              <w:rPr>
                <w:rFonts w:ascii="Verdana" w:eastAsia="Calibri" w:hAnsi="Verdana" w:cs="Arial"/>
                <w:lang w:val="es-ES_tradnl" w:eastAsia="es-ES_tradnl"/>
              </w:rPr>
              <w:t>1_2025_09_12_010014</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7AD5BFED" w14:textId="77777777" w:rsidR="00E74570" w:rsidRPr="00593A5F" w:rsidRDefault="00E74570" w:rsidP="00E74570">
      <w:pPr>
        <w:spacing w:after="0" w:line="240" w:lineRule="auto"/>
        <w:jc w:val="both"/>
        <w:rPr>
          <w:rFonts w:ascii="Verdana" w:eastAsia="Calibri" w:hAnsi="Verdana" w:cs="Arial"/>
          <w:color w:val="000000"/>
          <w:lang w:val="es-ES_tradnl" w:eastAsia="es-ES_tradnl"/>
        </w:rPr>
      </w:pPr>
    </w:p>
    <w:p w14:paraId="7530DC0F" w14:textId="77777777" w:rsidR="00E74570" w:rsidRPr="00593A5F" w:rsidRDefault="00E74570" w:rsidP="00E74570">
      <w:pPr>
        <w:spacing w:after="0" w:line="240" w:lineRule="auto"/>
        <w:jc w:val="both"/>
        <w:rPr>
          <w:rFonts w:ascii="Verdana" w:eastAsia="Calibri" w:hAnsi="Verdana" w:cs="Arial"/>
          <w:color w:val="000000"/>
          <w:lang w:val="es-ES_tradnl" w:eastAsia="es-ES_tradnl"/>
        </w:rPr>
      </w:pPr>
    </w:p>
    <w:p w14:paraId="6E771A1E" w14:textId="77777777" w:rsidR="00E74570" w:rsidRPr="008E6AD9" w:rsidRDefault="00E74570" w:rsidP="00E74570">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5F751A">
        <w:rPr>
          <w:rFonts w:ascii="Verdana" w:eastAsia="Calibri" w:hAnsi="Verdana" w:cs="Arial"/>
          <w:lang w:val="es-ES" w:eastAsia="es-ES"/>
        </w:rPr>
        <w:t>Hernández González</w:t>
      </w:r>
      <w:r w:rsidRPr="008E6AD9">
        <w:rPr>
          <w:rFonts w:ascii="Verdana" w:eastAsia="Calibri" w:hAnsi="Verdana" w:cs="Arial"/>
          <w:lang w:val="es-ES" w:eastAsia="es-ES"/>
        </w:rPr>
        <w:t xml:space="preserve">: </w:t>
      </w:r>
    </w:p>
    <w:p w14:paraId="6A31D5AD" w14:textId="77777777" w:rsidR="00E74570" w:rsidRDefault="00E74570" w:rsidP="00E7457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4DF3387" w14:textId="77777777" w:rsidR="00E74570" w:rsidRPr="00593A5F" w:rsidRDefault="00E74570" w:rsidP="00E74570">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12 de septiembre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 xml:space="preserve">en </w:t>
      </w:r>
      <w:r>
        <w:rPr>
          <w:rFonts w:ascii="Verdana" w:eastAsia="Calibri" w:hAnsi="Verdana" w:cs="Arial"/>
          <w:lang w:val="es-ES" w:eastAsia="es-ES"/>
        </w:rPr>
        <w:t>la cual manifiesta lo siguiente</w:t>
      </w:r>
      <w:r w:rsidRPr="008E6AD9">
        <w:rPr>
          <w:rFonts w:ascii="Verdana" w:eastAsia="Calibri" w:hAnsi="Verdana" w:cs="Arial"/>
          <w:lang w:val="es-ES" w:eastAsia="es-ES"/>
        </w:rPr>
        <w:t xml:space="preserve">: </w:t>
      </w:r>
    </w:p>
    <w:p w14:paraId="51C8882D" w14:textId="77777777" w:rsidR="00E74570" w:rsidRPr="00272A7B" w:rsidRDefault="00E74570" w:rsidP="00E74570">
      <w:pPr>
        <w:pStyle w:val="Prrafodelista"/>
        <w:tabs>
          <w:tab w:val="left" w:pos="142"/>
          <w:tab w:val="left" w:pos="284"/>
        </w:tabs>
        <w:spacing w:after="0" w:line="276" w:lineRule="auto"/>
        <w:ind w:left="0"/>
        <w:jc w:val="both"/>
        <w:rPr>
          <w:rFonts w:ascii="Verdana" w:eastAsia="Century Gothic" w:hAnsi="Verdana" w:cs="Century Gothic"/>
          <w:b/>
          <w:bCs/>
        </w:rPr>
      </w:pPr>
    </w:p>
    <w:p w14:paraId="151D00CA" w14:textId="77777777" w:rsidR="00E74570" w:rsidRPr="005F751A" w:rsidRDefault="00E74570" w:rsidP="00E74570">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5F751A">
        <w:rPr>
          <w:rFonts w:ascii="Verdana" w:eastAsia="Century Gothic" w:hAnsi="Verdana" w:cs="Century Gothic"/>
          <w:sz w:val="21"/>
          <w:szCs w:val="21"/>
          <w:lang w:val="es-ES"/>
        </w:rPr>
        <w:t xml:space="preserve">El concepto C-228 de 2024 informa que </w:t>
      </w:r>
      <w:r>
        <w:rPr>
          <w:rFonts w:ascii="Verdana" w:eastAsia="Century Gothic" w:hAnsi="Verdana" w:cs="Century Gothic"/>
          <w:sz w:val="21"/>
          <w:szCs w:val="21"/>
          <w:lang w:val="es-ES"/>
        </w:rPr>
        <w:t>‘</w:t>
      </w:r>
      <w:r w:rsidRPr="000808CC">
        <w:rPr>
          <w:rFonts w:ascii="Verdana" w:eastAsia="Century Gothic" w:hAnsi="Verdana" w:cs="Century Gothic"/>
          <w:i/>
          <w:iCs/>
          <w:sz w:val="21"/>
          <w:szCs w:val="21"/>
          <w:lang w:val="es-ES"/>
        </w:rPr>
        <w:t>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r>
        <w:rPr>
          <w:rFonts w:ascii="Verdana" w:eastAsia="Century Gothic" w:hAnsi="Verdana" w:cs="Century Gothic"/>
          <w:sz w:val="21"/>
          <w:szCs w:val="21"/>
          <w:lang w:val="es-ES"/>
        </w:rPr>
        <w:t>’</w:t>
      </w:r>
      <w:r w:rsidRPr="005F751A">
        <w:rPr>
          <w:rFonts w:ascii="Verdana" w:eastAsia="Century Gothic" w:hAnsi="Verdana" w:cs="Century Gothic"/>
          <w:sz w:val="21"/>
          <w:szCs w:val="21"/>
          <w:lang w:val="es-ES"/>
        </w:rPr>
        <w:t>.</w:t>
      </w:r>
    </w:p>
    <w:p w14:paraId="14B40214" w14:textId="77777777" w:rsidR="00E74570" w:rsidRPr="005F751A" w:rsidRDefault="00E74570" w:rsidP="00E74570">
      <w:pPr>
        <w:spacing w:after="120" w:line="240" w:lineRule="auto"/>
        <w:ind w:left="709" w:right="709"/>
        <w:jc w:val="both"/>
        <w:rPr>
          <w:rFonts w:ascii="Verdana" w:eastAsia="Century Gothic" w:hAnsi="Verdana" w:cs="Century Gothic"/>
          <w:sz w:val="21"/>
          <w:szCs w:val="21"/>
          <w:lang w:val="es-ES"/>
        </w:rPr>
      </w:pPr>
      <w:r w:rsidRPr="005F751A">
        <w:rPr>
          <w:rFonts w:ascii="Verdana" w:eastAsia="Century Gothic" w:hAnsi="Verdana" w:cs="Century Gothic"/>
          <w:sz w:val="21"/>
          <w:szCs w:val="21"/>
          <w:lang w:val="es-ES"/>
        </w:rPr>
        <w:lastRenderedPageBreak/>
        <w:t xml:space="preserve">Es claro que la cesión debe ser autorizada por la entidad contratante, para ello, el mismo concepto indica que </w:t>
      </w:r>
      <w:r>
        <w:rPr>
          <w:rFonts w:ascii="Verdana" w:eastAsia="Century Gothic" w:hAnsi="Verdana" w:cs="Century Gothic"/>
          <w:sz w:val="21"/>
          <w:szCs w:val="21"/>
          <w:lang w:val="es-ES"/>
        </w:rPr>
        <w:t>‘</w:t>
      </w:r>
      <w:r w:rsidRPr="000808CC">
        <w:rPr>
          <w:rFonts w:ascii="Verdana" w:eastAsia="Century Gothic" w:hAnsi="Verdana" w:cs="Century Gothic"/>
          <w:i/>
          <w:iCs/>
          <w:sz w:val="21"/>
          <w:szCs w:val="21"/>
          <w:lang w:val="es-ES"/>
        </w:rPr>
        <w:t>Para expedir dicha autorización la Entidad Estatal deberá evaluar que el cesionario de la participación tenga la experiencia, capacidad jurídica, financiera, organizacional y en general que satisfaga todas las condiciones del negocio jurídico aportadas por el cesionario a la estructura plural, en virtud de las cuales se le adjudicó el contrato objeto de cesión</w:t>
      </w:r>
      <w:r>
        <w:rPr>
          <w:rFonts w:ascii="Verdana" w:eastAsia="Century Gothic" w:hAnsi="Verdana" w:cs="Century Gothic"/>
          <w:sz w:val="21"/>
          <w:szCs w:val="21"/>
          <w:lang w:val="es-ES"/>
        </w:rPr>
        <w:t>’</w:t>
      </w:r>
      <w:r w:rsidRPr="005F751A">
        <w:rPr>
          <w:rFonts w:ascii="Verdana" w:eastAsia="Century Gothic" w:hAnsi="Verdana" w:cs="Century Gothic"/>
          <w:sz w:val="21"/>
          <w:szCs w:val="21"/>
          <w:lang w:val="es-ES"/>
        </w:rPr>
        <w:t>.</w:t>
      </w:r>
    </w:p>
    <w:p w14:paraId="58C071AF" w14:textId="77777777" w:rsidR="00E74570" w:rsidRPr="005B7798" w:rsidRDefault="00E74570" w:rsidP="00E74570">
      <w:pPr>
        <w:spacing w:after="0" w:line="240" w:lineRule="auto"/>
        <w:ind w:left="709" w:right="709"/>
        <w:jc w:val="both"/>
        <w:rPr>
          <w:rFonts w:ascii="Verdana" w:eastAsia="Century Gothic" w:hAnsi="Verdana" w:cs="Century Gothic"/>
          <w:sz w:val="21"/>
          <w:szCs w:val="21"/>
          <w:lang w:val="es-ES"/>
        </w:rPr>
      </w:pPr>
      <w:r w:rsidRPr="005F751A">
        <w:rPr>
          <w:rFonts w:ascii="Verdana" w:eastAsia="Century Gothic" w:hAnsi="Verdana" w:cs="Century Gothic"/>
          <w:sz w:val="21"/>
          <w:szCs w:val="21"/>
          <w:lang w:val="es-ES"/>
        </w:rPr>
        <w:t>Surge la duda, sobre si la obligación del cesionario es cumplir con las condiciones mínimas del pliego de condiciones o debe superar las condiciones aportadas por el cedente en su momento, pues el concepto va en el orden de la última, pero resultaría algo tal vez desproporcionado, si lo que se busca es idoneidad y se demuestra a través del cumplimiento de los requisitos del pliego de condiciones</w:t>
      </w:r>
      <w:r w:rsidRPr="006040CE">
        <w:rPr>
          <w:rFonts w:ascii="Verdana" w:eastAsia="Century Gothic" w:hAnsi="Verdana" w:cs="Century Gothic"/>
          <w:sz w:val="21"/>
          <w:szCs w:val="21"/>
          <w:lang w:val="es-ES"/>
        </w:rPr>
        <w:t>”.</w:t>
      </w:r>
    </w:p>
    <w:p w14:paraId="69D63E28" w14:textId="77777777" w:rsidR="00E74570" w:rsidRPr="008E6AD9" w:rsidRDefault="00E74570" w:rsidP="00E74570">
      <w:pPr>
        <w:pStyle w:val="Prrafodelista"/>
        <w:tabs>
          <w:tab w:val="left" w:pos="142"/>
          <w:tab w:val="left" w:pos="284"/>
        </w:tabs>
        <w:spacing w:after="0" w:line="276" w:lineRule="auto"/>
        <w:ind w:left="0"/>
        <w:jc w:val="both"/>
        <w:rPr>
          <w:rFonts w:ascii="Verdana" w:eastAsia="Century Gothic" w:hAnsi="Verdana" w:cs="Century Gothic"/>
          <w:b/>
          <w:bCs/>
        </w:rPr>
      </w:pPr>
    </w:p>
    <w:p w14:paraId="5B1B80D6" w14:textId="77777777" w:rsidR="00E74570" w:rsidRPr="00A652FF" w:rsidRDefault="00E74570" w:rsidP="00E74570">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92A78B2" w14:textId="77777777" w:rsidR="00E74570" w:rsidRDefault="00E74570" w:rsidP="00E74570">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D650E2A" w14:textId="77777777" w:rsidR="00E74570" w:rsidRPr="00593A5F" w:rsidRDefault="00E74570" w:rsidP="00E74570">
      <w:pPr>
        <w:spacing w:after="0" w:line="276" w:lineRule="auto"/>
        <w:ind w:firstLine="709"/>
        <w:jc w:val="both"/>
        <w:rPr>
          <w:rFonts w:ascii="Verdana" w:eastAsia="Calibri" w:hAnsi="Verdana" w:cs="Arial"/>
          <w:color w:val="000000"/>
          <w:lang w:val="es-ES" w:eastAsia="es-ES"/>
        </w:rPr>
      </w:pPr>
    </w:p>
    <w:p w14:paraId="28DD68BB" w14:textId="77777777" w:rsidR="00E74570" w:rsidRPr="00593A5F" w:rsidRDefault="00E74570" w:rsidP="00E7457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10790FE" w14:textId="77777777" w:rsidR="00E74570" w:rsidRPr="00593A5F" w:rsidRDefault="00E74570" w:rsidP="00E74570">
      <w:pPr>
        <w:tabs>
          <w:tab w:val="left" w:pos="426"/>
        </w:tabs>
        <w:spacing w:after="0" w:line="276" w:lineRule="auto"/>
        <w:jc w:val="both"/>
        <w:rPr>
          <w:rFonts w:ascii="Verdana" w:eastAsia="Century Gothic" w:hAnsi="Verdana" w:cs="Century Gothic"/>
          <w:lang w:val="es-ES"/>
        </w:rPr>
      </w:pPr>
    </w:p>
    <w:p w14:paraId="2A524FEB" w14:textId="77777777" w:rsidR="00E74570" w:rsidRPr="00593A5F" w:rsidRDefault="00E74570" w:rsidP="00E74570">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¿cuál </w:t>
      </w:r>
      <w:r>
        <w:rPr>
          <w:rFonts w:ascii="Verdana" w:eastAsia="Century Gothic" w:hAnsi="Verdana" w:cs="Century Gothic"/>
        </w:rPr>
        <w:t xml:space="preserve">es marco normativo para la cesión de la posición contractual en el sistema de compras públicas?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32D0B693" w14:textId="77777777" w:rsidR="00E74570" w:rsidRPr="004B140F" w:rsidRDefault="00E74570" w:rsidP="00E74570">
      <w:pPr>
        <w:spacing w:after="0" w:line="276" w:lineRule="auto"/>
        <w:jc w:val="both"/>
        <w:rPr>
          <w:rFonts w:ascii="Verdana" w:eastAsia="Calibri" w:hAnsi="Verdana" w:cs="Arial"/>
          <w:color w:val="7030A0"/>
        </w:rPr>
      </w:pPr>
    </w:p>
    <w:p w14:paraId="0BF8F4D4" w14:textId="77777777" w:rsidR="00E74570" w:rsidRPr="00593A5F" w:rsidRDefault="00E74570" w:rsidP="00E7457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8D5312B" w14:textId="77777777" w:rsidR="00E74570" w:rsidRPr="00593A5F" w:rsidRDefault="00E74570" w:rsidP="00E7457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74570" w:rsidRPr="00593A5F" w14:paraId="38EF7569" w14:textId="77777777" w:rsidTr="0065243C">
        <w:trPr>
          <w:jc w:val="center"/>
        </w:trPr>
        <w:tc>
          <w:tcPr>
            <w:tcW w:w="8828" w:type="dxa"/>
          </w:tcPr>
          <w:p w14:paraId="55CC3BC0" w14:textId="768B0E8B" w:rsidR="00E74570" w:rsidRDefault="00E74570" w:rsidP="0065243C">
            <w:pPr>
              <w:spacing w:after="120" w:line="276" w:lineRule="auto"/>
              <w:ind w:right="51"/>
              <w:jc w:val="both"/>
              <w:rPr>
                <w:rFonts w:ascii="Verdana" w:eastAsia="Calibri" w:hAnsi="Verdana" w:cs="Arial"/>
                <w:color w:val="000000" w:themeColor="text1"/>
              </w:rPr>
            </w:pPr>
            <w:bookmarkStart w:id="1" w:name="_Hlk171694685"/>
            <w:r>
              <w:rPr>
                <w:rFonts w:ascii="Verdana" w:eastAsia="Calibri" w:hAnsi="Verdana" w:cs="Arial"/>
                <w:bCs/>
                <w:color w:val="000000" w:themeColor="text1"/>
              </w:rPr>
              <w:t>Conforme a la interpretación general de las normas del sistema de compras públicas,</w:t>
            </w:r>
            <w:r>
              <w:rPr>
                <w:rFonts w:ascii="Verdana" w:eastAsia="Calibri" w:hAnsi="Verdana" w:cs="Arial"/>
                <w:color w:val="000000" w:themeColor="text1"/>
              </w:rPr>
              <w:t xml:space="preserve"> </w:t>
            </w:r>
            <w:r w:rsidRPr="004C544B">
              <w:rPr>
                <w:rFonts w:ascii="Verdana" w:eastAsia="Calibri" w:hAnsi="Verdana" w:cs="Arial"/>
                <w:color w:val="000000" w:themeColor="text1"/>
              </w:rPr>
              <w:t>la cesión de contrato es una figura jurídica por la que terceros ajenos a los contratantes iniciales particip</w:t>
            </w:r>
            <w:r w:rsidR="0045187E">
              <w:rPr>
                <w:rFonts w:ascii="Verdana" w:eastAsia="Calibri" w:hAnsi="Verdana" w:cs="Arial"/>
                <w:color w:val="000000" w:themeColor="text1"/>
              </w:rPr>
              <w:t>e</w:t>
            </w:r>
            <w:r w:rsidRPr="004C544B">
              <w:rPr>
                <w:rFonts w:ascii="Verdana" w:eastAsia="Calibri" w:hAnsi="Verdana" w:cs="Arial"/>
                <w:color w:val="000000" w:themeColor="text1"/>
              </w:rPr>
              <w:t>n en negocios que están ejecutando cuando no se hayan cumplido la totalidad de las obligaciones, permitiendo que sean éstos quienes realicen las prestaciones faltantes</w:t>
            </w:r>
            <w:r>
              <w:rPr>
                <w:rFonts w:ascii="Verdana" w:eastAsia="Calibri" w:hAnsi="Verdana" w:cs="Arial"/>
                <w:color w:val="000000" w:themeColor="text1"/>
              </w:rPr>
              <w:t xml:space="preserve">. </w:t>
            </w:r>
            <w:r w:rsidRPr="000808CC">
              <w:rPr>
                <w:rFonts w:ascii="Verdana" w:eastAsia="Calibri" w:hAnsi="Verdana" w:cs="Arial"/>
                <w:color w:val="000000" w:themeColor="text1"/>
              </w:rPr>
              <w:t>Por tanto, si dicho tercero cumple los requisitos de capacidad jurídica, no está incurso en causales de inhabilidad o incompatibilidad y, de acuerdo con los criterios previstos en el pliego de condiciones, es idóneo desde el punto de vista técnico, económico y financiero para cumplir con las obligaciones, la entidad podrá analizar la posibilidad de autorizar la cesión</w:t>
            </w:r>
            <w:r>
              <w:rPr>
                <w:rFonts w:ascii="Verdana" w:eastAsia="Calibri" w:hAnsi="Verdana" w:cs="Arial"/>
                <w:color w:val="000000" w:themeColor="text1"/>
              </w:rPr>
              <w:t xml:space="preserve"> conforme al artículo 41 de la Ley 80 de 1993</w:t>
            </w:r>
            <w:r w:rsidRPr="000808CC">
              <w:rPr>
                <w:rFonts w:ascii="Verdana" w:eastAsia="Calibri" w:hAnsi="Verdana" w:cs="Arial"/>
                <w:color w:val="000000" w:themeColor="text1"/>
              </w:rPr>
              <w:t>.</w:t>
            </w:r>
          </w:p>
          <w:p w14:paraId="171D1BA1" w14:textId="77777777" w:rsidR="00E74570" w:rsidRPr="009B1432" w:rsidRDefault="00E74570" w:rsidP="0065243C">
            <w:pPr>
              <w:spacing w:after="120" w:line="276" w:lineRule="auto"/>
              <w:ind w:right="51" w:firstLine="737"/>
              <w:jc w:val="both"/>
              <w:rPr>
                <w:rFonts w:ascii="Verdana" w:eastAsia="Calibri" w:hAnsi="Verdana" w:cs="Arial"/>
                <w:color w:val="000000" w:themeColor="text1"/>
              </w:rPr>
            </w:pPr>
            <w:r>
              <w:rPr>
                <w:rFonts w:ascii="Verdana" w:eastAsia="Calibri" w:hAnsi="Verdana" w:cs="Arial"/>
                <w:color w:val="000000" w:themeColor="text1"/>
              </w:rPr>
              <w:t xml:space="preserve">En este contexto, </w:t>
            </w:r>
            <w:r w:rsidRPr="000808CC">
              <w:rPr>
                <w:rFonts w:ascii="Verdana" w:eastAsia="Calibri" w:hAnsi="Verdana" w:cs="Arial"/>
                <w:color w:val="000000" w:themeColor="text1"/>
              </w:rPr>
              <w:t>en la medida que el tercero cesionario asume la posición contractual del contratista cedente, las disposiciones, los pliegos de condiciones y el contrato mismo serán aplicables a quien asuma la nueva posición contractu</w:t>
            </w:r>
            <w:r>
              <w:rPr>
                <w:rFonts w:ascii="Verdana" w:eastAsia="Calibri" w:hAnsi="Verdana" w:cs="Arial"/>
                <w:color w:val="000000" w:themeColor="text1"/>
              </w:rPr>
              <w:t>al. Siempre que se cumpla este criterio mínimo, la entidad podrá valorar si el tercero cesionario debe tener las mismas o mayores aptitudes que el contratista cedente, pues la autorización para ceder es una potestad de naturaleza discrecional.</w:t>
            </w:r>
            <w:r w:rsidRPr="000808CC">
              <w:rPr>
                <w:rFonts w:ascii="Verdana" w:eastAsia="Calibri" w:hAnsi="Verdana" w:cs="Arial"/>
                <w:color w:val="000000" w:themeColor="text1"/>
              </w:rPr>
              <w:t xml:space="preserve">  </w:t>
            </w:r>
            <w:r>
              <w:rPr>
                <w:rFonts w:ascii="Verdana" w:eastAsia="Calibri" w:hAnsi="Verdana" w:cs="Arial"/>
                <w:color w:val="000000" w:themeColor="text1"/>
              </w:rPr>
              <w:t xml:space="preserve">    </w:t>
            </w:r>
          </w:p>
          <w:p w14:paraId="52B9B206" w14:textId="77777777" w:rsidR="00E74570" w:rsidRPr="001941FD" w:rsidRDefault="00E74570" w:rsidP="0065243C">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577FFD4" w14:textId="77777777" w:rsidR="00E74570" w:rsidRPr="00593A5F" w:rsidRDefault="00E74570" w:rsidP="00E74570">
      <w:pPr>
        <w:tabs>
          <w:tab w:val="left" w:pos="142"/>
          <w:tab w:val="left" w:pos="284"/>
        </w:tabs>
        <w:spacing w:after="0" w:line="276" w:lineRule="auto"/>
        <w:jc w:val="both"/>
        <w:rPr>
          <w:rFonts w:ascii="Verdana" w:eastAsia="Century Gothic" w:hAnsi="Verdana" w:cs="Century Gothic"/>
          <w:b/>
          <w:bCs/>
          <w:lang w:val="es-ES"/>
        </w:rPr>
      </w:pPr>
    </w:p>
    <w:bookmarkEnd w:id="1"/>
    <w:p w14:paraId="779E5B2D" w14:textId="77777777" w:rsidR="00E74570" w:rsidRPr="00593A5F" w:rsidRDefault="00E74570" w:rsidP="00E7457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11CD485" w14:textId="77777777" w:rsidR="00E74570" w:rsidRPr="00593A5F" w:rsidRDefault="00E74570" w:rsidP="00E74570">
      <w:pPr>
        <w:spacing w:after="0" w:line="276" w:lineRule="auto"/>
        <w:jc w:val="both"/>
        <w:rPr>
          <w:rFonts w:ascii="Verdana" w:eastAsia="Calibri" w:hAnsi="Verdana" w:cs="Arial"/>
          <w:color w:val="7030A0"/>
          <w:lang w:val="es-ES"/>
        </w:rPr>
      </w:pPr>
    </w:p>
    <w:p w14:paraId="1A11BFDF" w14:textId="77777777" w:rsidR="00E74570" w:rsidRDefault="00E74570" w:rsidP="00E74570">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5FA816A" w14:textId="77777777" w:rsidR="00E74570" w:rsidRPr="00415608" w:rsidRDefault="00E74570" w:rsidP="00E74570">
      <w:pPr>
        <w:spacing w:after="0" w:line="276" w:lineRule="auto"/>
        <w:jc w:val="both"/>
        <w:rPr>
          <w:rFonts w:ascii="Verdana" w:eastAsia="Calibri" w:hAnsi="Verdana" w:cs="Arial"/>
          <w:lang w:val="es-ES"/>
        </w:rPr>
      </w:pPr>
    </w:p>
    <w:p w14:paraId="66438A36" w14:textId="77777777" w:rsidR="00E74570" w:rsidRPr="004C544B" w:rsidRDefault="00E74570" w:rsidP="00E74570">
      <w:pPr>
        <w:spacing w:after="0" w:line="276" w:lineRule="auto"/>
        <w:jc w:val="both"/>
        <w:rPr>
          <w:rFonts w:ascii="Verdana" w:hAnsi="Verdana" w:cs="Arial"/>
        </w:rPr>
      </w:pPr>
      <w:r w:rsidRPr="004C544B">
        <w:rPr>
          <w:rFonts w:ascii="Verdana" w:eastAsia="Calibri" w:hAnsi="Verdana" w:cs="Arial"/>
          <w:bCs/>
          <w:color w:val="000000" w:themeColor="text1"/>
        </w:rPr>
        <w:t xml:space="preserve">Conforme a los artículos 887 y siguientes del Código de Comercio, la cesión de los contratos juega un papel importante en la gestión de los intereses </w:t>
      </w:r>
      <w:r w:rsidRPr="004C544B">
        <w:rPr>
          <w:rFonts w:ascii="Verdana" w:eastAsia="Calibri" w:hAnsi="Verdana" w:cs="Arial"/>
          <w:bCs/>
          <w:color w:val="000000" w:themeColor="text1"/>
        </w:rPr>
        <w:lastRenderedPageBreak/>
        <w:t>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4C544B">
        <w:rPr>
          <w:rStyle w:val="Refdenotaalpie"/>
          <w:rFonts w:ascii="Verdana" w:eastAsia="Calibri" w:hAnsi="Verdana" w:cs="Arial"/>
          <w:bCs/>
          <w:color w:val="000000" w:themeColor="text1"/>
        </w:rPr>
        <w:footnoteReference w:id="2"/>
      </w:r>
      <w:r w:rsidRPr="004C544B">
        <w:rPr>
          <w:rFonts w:ascii="Verdana" w:eastAsia="Calibri" w:hAnsi="Verdana" w:cs="Arial"/>
          <w:bCs/>
          <w:color w:val="000000" w:themeColor="text1"/>
        </w:rPr>
        <w:t>.</w:t>
      </w:r>
      <w:r w:rsidRPr="004C544B">
        <w:rPr>
          <w:rFonts w:ascii="Verdana" w:eastAsia="Calibri" w:hAnsi="Verdana" w:cs="Arial"/>
          <w:color w:val="000000" w:themeColor="text1"/>
        </w:rPr>
        <w:t xml:space="preserve"> </w:t>
      </w:r>
      <w:r w:rsidRPr="004C544B">
        <w:rPr>
          <w:rFonts w:ascii="Verdana" w:hAnsi="Verdana" w:cs="Arial"/>
        </w:rPr>
        <w:t>Para la doctrina:</w:t>
      </w:r>
    </w:p>
    <w:p w14:paraId="481A1721" w14:textId="77777777" w:rsidR="00E74570" w:rsidRPr="004C544B" w:rsidRDefault="00E74570" w:rsidP="00E74570">
      <w:pPr>
        <w:spacing w:after="0" w:line="276" w:lineRule="auto"/>
        <w:ind w:firstLine="708"/>
        <w:jc w:val="both"/>
        <w:rPr>
          <w:rFonts w:ascii="Verdana" w:hAnsi="Verdana" w:cs="Arial"/>
        </w:rPr>
      </w:pPr>
    </w:p>
    <w:p w14:paraId="2BF61AD7" w14:textId="77777777" w:rsidR="00E74570" w:rsidRPr="004C544B" w:rsidRDefault="00E74570" w:rsidP="00E74570">
      <w:pPr>
        <w:spacing w:after="120" w:line="240" w:lineRule="auto"/>
        <w:ind w:left="709" w:right="709"/>
        <w:jc w:val="both"/>
        <w:rPr>
          <w:rFonts w:ascii="Verdana" w:eastAsia="Calibri" w:hAnsi="Verdana" w:cs="Arial"/>
          <w:color w:val="000000" w:themeColor="text1"/>
          <w:sz w:val="21"/>
          <w:szCs w:val="21"/>
        </w:rPr>
      </w:pPr>
      <w:r w:rsidRPr="004C544B">
        <w:rPr>
          <w:rFonts w:ascii="Verdana" w:hAnsi="Verdana" w:cs="Arial"/>
          <w:sz w:val="21"/>
          <w:szCs w:val="21"/>
        </w:rPr>
        <w:t xml:space="preserve">“La cesión de contrato (presupuesto éste último como </w:t>
      </w:r>
      <w:r w:rsidRPr="004C544B">
        <w:rPr>
          <w:rFonts w:ascii="Verdana" w:hAnsi="Verdana" w:cs="Arial"/>
          <w:i/>
          <w:iCs/>
          <w:sz w:val="21"/>
          <w:szCs w:val="21"/>
        </w:rPr>
        <w:t>bilateral</w:t>
      </w:r>
      <w:r w:rsidRPr="004C544B">
        <w:rPr>
          <w:rFonts w:ascii="Verdana" w:hAnsi="Verdana" w:cs="Arial"/>
          <w:sz w:val="21"/>
          <w:szCs w:val="21"/>
        </w:rPr>
        <w:t xml:space="preserve">, al menos en la configuración típica de la institución) es el instrumento que permite realizar la llamada </w:t>
      </w:r>
      <w:r w:rsidRPr="004C544B">
        <w:rPr>
          <w:rFonts w:ascii="Verdana" w:hAnsi="Verdana" w:cs="Arial"/>
          <w:i/>
          <w:iCs/>
          <w:sz w:val="21"/>
          <w:szCs w:val="21"/>
        </w:rPr>
        <w:t>circulación del contrato</w:t>
      </w:r>
      <w:r w:rsidRPr="004C544B">
        <w:rPr>
          <w:rFonts w:ascii="Verdana" w:hAnsi="Verdana" w:cs="Arial"/>
          <w:sz w:val="21"/>
          <w:szCs w:val="21"/>
        </w:rPr>
        <w:t xml:space="preserve">, es decir, la transferencia negocial a un tercero (llamado </w:t>
      </w:r>
      <w:r w:rsidRPr="004C544B">
        <w:rPr>
          <w:rFonts w:ascii="Verdana" w:hAnsi="Verdana" w:cs="Arial"/>
          <w:i/>
          <w:iCs/>
          <w:sz w:val="21"/>
          <w:szCs w:val="21"/>
        </w:rPr>
        <w:t>cesionario</w:t>
      </w:r>
      <w:r w:rsidRPr="004C544B">
        <w:rPr>
          <w:rFonts w:ascii="Verdana" w:hAnsi="Verdana" w:cs="Arial"/>
          <w:sz w:val="21"/>
          <w:szCs w:val="21"/>
        </w:rPr>
        <w:t xml:space="preserve">) del conjunto de posiciones contractuales (entendido como resultante unitario de derechos y obligaciones orgánicamente interdependientes), constituida en la persona de uno de los originarios contratantes (llamado </w:t>
      </w:r>
      <w:r w:rsidRPr="004C544B">
        <w:rPr>
          <w:rFonts w:ascii="Verdana" w:hAnsi="Verdana" w:cs="Arial"/>
          <w:i/>
          <w:iCs/>
          <w:sz w:val="21"/>
          <w:szCs w:val="21"/>
        </w:rPr>
        <w:t>cedente</w:t>
      </w:r>
      <w:r w:rsidRPr="004C544B">
        <w:rPr>
          <w:rFonts w:ascii="Verdana" w:hAnsi="Verdana" w:cs="Arial"/>
          <w:sz w:val="21"/>
          <w:szCs w:val="21"/>
        </w:rPr>
        <w:t xml:space="preserve">); de tal forma que, a través de esa sustitución </w:t>
      </w:r>
      <w:r w:rsidRPr="004C544B">
        <w:rPr>
          <w:rFonts w:ascii="Verdana" w:hAnsi="Verdana" w:cs="Arial"/>
          <w:i/>
          <w:iCs/>
          <w:sz w:val="21"/>
          <w:szCs w:val="21"/>
        </w:rPr>
        <w:t>negocial</w:t>
      </w:r>
      <w:r w:rsidRPr="004C544B">
        <w:rPr>
          <w:rFonts w:ascii="Verdana" w:hAnsi="Verdana" w:cs="Arial"/>
          <w:sz w:val="21"/>
          <w:szCs w:val="21"/>
        </w:rPr>
        <w:t xml:space="preserve"> del tercero en la posición de ‘parte’ del contrato, en lugar del cedente, dicho tercero </w:t>
      </w:r>
      <w:proofErr w:type="spellStart"/>
      <w:r w:rsidRPr="004C544B">
        <w:rPr>
          <w:rFonts w:ascii="Verdana" w:hAnsi="Verdana" w:cs="Arial"/>
          <w:sz w:val="21"/>
          <w:szCs w:val="21"/>
        </w:rPr>
        <w:t>subentra</w:t>
      </w:r>
      <w:proofErr w:type="spellEnd"/>
      <w:r w:rsidRPr="004C544B">
        <w:rPr>
          <w:rFonts w:ascii="Verdana" w:hAnsi="Verdana" w:cs="Arial"/>
          <w:sz w:val="21"/>
          <w:szCs w:val="21"/>
        </w:rPr>
        <w:t xml:space="preserve"> en la totalidad de los derechos y obligaciones que en su orgánica interdependencia se derivan del contrato estipulado por el cedente.</w:t>
      </w:r>
    </w:p>
    <w:p w14:paraId="1B707962" w14:textId="77777777" w:rsidR="00E74570" w:rsidRPr="004C544B" w:rsidRDefault="00E74570" w:rsidP="00E74570">
      <w:pPr>
        <w:spacing w:after="0" w:line="240" w:lineRule="auto"/>
        <w:ind w:left="709" w:right="709"/>
        <w:jc w:val="both"/>
        <w:rPr>
          <w:rFonts w:ascii="Verdana" w:hAnsi="Verdana" w:cs="Arial"/>
          <w:sz w:val="21"/>
          <w:szCs w:val="21"/>
        </w:rPr>
      </w:pPr>
      <w:r w:rsidRPr="004C544B">
        <w:rPr>
          <w:rFonts w:ascii="Verdana" w:hAnsi="Verdana" w:cs="Arial"/>
          <w:sz w:val="21"/>
          <w:szCs w:val="21"/>
        </w:rPr>
        <w:t xml:space="preserve">A este respecto justamente se ha notado que el tráfico considera aquí los contratos sobre todo como </w:t>
      </w:r>
      <w:r w:rsidRPr="004C544B">
        <w:rPr>
          <w:rFonts w:ascii="Verdana" w:hAnsi="Verdana" w:cs="Arial"/>
          <w:i/>
          <w:iCs/>
          <w:sz w:val="21"/>
          <w:szCs w:val="21"/>
        </w:rPr>
        <w:t>valores económicos</w:t>
      </w:r>
      <w:r w:rsidRPr="004C544B">
        <w:rPr>
          <w:rFonts w:ascii="Verdana" w:hAnsi="Verdana" w:cs="Arial"/>
          <w:sz w:val="21"/>
          <w:szCs w:val="21"/>
        </w:rPr>
        <w:t xml:space="preserve">, idóneos como tales para una determinada forma de circulación: en consideración a la utilidad futura a que el contrato está encaminado a procurar, la práctica atribuye al mismo contrato un valor económico actual, considerándolo, por tanto, como un bien capaz de circular. Ahora bien; el Derecho apresta, precisamente, el instrumento para tal circulación en cuanto admite que uno de los originarios contratantes pueda transferir a un tercero, con el consentimiento imprescindible del otro contratante original (llamado </w:t>
      </w:r>
      <w:r w:rsidRPr="004C544B">
        <w:rPr>
          <w:rFonts w:ascii="Verdana" w:hAnsi="Verdana" w:cs="Arial"/>
          <w:i/>
          <w:iCs/>
          <w:sz w:val="21"/>
          <w:szCs w:val="21"/>
        </w:rPr>
        <w:t>contratante cedido</w:t>
      </w:r>
      <w:r w:rsidRPr="004C544B">
        <w:rPr>
          <w:rFonts w:ascii="Verdana" w:hAnsi="Verdana" w:cs="Arial"/>
          <w:sz w:val="21"/>
          <w:szCs w:val="21"/>
        </w:rPr>
        <w:t xml:space="preserve">), la relación </w:t>
      </w:r>
      <w:r w:rsidRPr="004C544B">
        <w:rPr>
          <w:rFonts w:ascii="Verdana" w:hAnsi="Verdana" w:cs="Arial"/>
          <w:sz w:val="21"/>
          <w:szCs w:val="21"/>
        </w:rPr>
        <w:lastRenderedPageBreak/>
        <w:t>contractual entera, como conjunto de derecho y obligaciones, como única resultante de elementos activos y pasivos […]”</w:t>
      </w:r>
      <w:r w:rsidRPr="004C544B">
        <w:rPr>
          <w:rStyle w:val="Refdenotaalpie"/>
          <w:rFonts w:ascii="Verdana" w:hAnsi="Verdana" w:cs="Arial"/>
          <w:color w:val="000000" w:themeColor="text1"/>
          <w:sz w:val="21"/>
          <w:szCs w:val="21"/>
        </w:rPr>
        <w:footnoteReference w:id="3"/>
      </w:r>
      <w:r w:rsidRPr="004C544B">
        <w:rPr>
          <w:rFonts w:ascii="Verdana" w:hAnsi="Verdana" w:cs="Arial"/>
          <w:sz w:val="21"/>
          <w:szCs w:val="21"/>
        </w:rPr>
        <w:t>.</w:t>
      </w:r>
    </w:p>
    <w:p w14:paraId="44ED5ED2" w14:textId="77777777" w:rsidR="00E74570" w:rsidRPr="004C544B" w:rsidRDefault="00E74570" w:rsidP="00E74570">
      <w:pPr>
        <w:spacing w:after="0" w:line="276" w:lineRule="auto"/>
        <w:ind w:left="709" w:right="709"/>
        <w:jc w:val="both"/>
        <w:rPr>
          <w:rFonts w:ascii="Verdana" w:eastAsia="Calibri" w:hAnsi="Verdana" w:cs="Arial"/>
          <w:color w:val="000000" w:themeColor="text1"/>
        </w:rPr>
      </w:pPr>
    </w:p>
    <w:p w14:paraId="615B7D4C" w14:textId="77777777" w:rsidR="00E74570" w:rsidRPr="004C544B" w:rsidRDefault="00E74570" w:rsidP="00E74570">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4C544B">
        <w:rPr>
          <w:rFonts w:ascii="Verdana" w:eastAsia="Calibri" w:hAnsi="Verdana" w:cs="Arial"/>
          <w:color w:val="000000" w:themeColor="text1"/>
        </w:rPr>
        <w:t>subentra</w:t>
      </w:r>
      <w:proofErr w:type="spellEnd"/>
      <w:r w:rsidRPr="004C544B">
        <w:rPr>
          <w:rFonts w:ascii="Verdana" w:eastAsia="Calibri" w:hAnsi="Verdana" w:cs="Arial"/>
          <w:color w:val="000000" w:themeColor="text1"/>
        </w:rPr>
        <w:t xml:space="preserve"> en la relación con el cedido […]”</w:t>
      </w:r>
      <w:r w:rsidRPr="004C544B">
        <w:rPr>
          <w:rStyle w:val="Refdenotaalpie"/>
          <w:rFonts w:ascii="Verdana" w:eastAsia="Calibri" w:hAnsi="Verdana" w:cs="Arial"/>
          <w:color w:val="000000" w:themeColor="text1"/>
        </w:rPr>
        <w:footnoteReference w:id="4"/>
      </w:r>
      <w:r w:rsidRPr="004C544B">
        <w:rPr>
          <w:rFonts w:ascii="Verdana" w:eastAsia="Calibri" w:hAnsi="Verdana" w:cs="Arial"/>
          <w:color w:val="000000" w:themeColor="text1"/>
        </w:rPr>
        <w:t xml:space="preserve">. Por otro, “[…] es la transferencia de la posición contractual de un contratante a otro sujeto, que le </w:t>
      </w:r>
      <w:proofErr w:type="spellStart"/>
      <w:r w:rsidRPr="004C544B">
        <w:rPr>
          <w:rFonts w:ascii="Verdana" w:eastAsia="Calibri" w:hAnsi="Verdana" w:cs="Arial"/>
          <w:color w:val="000000" w:themeColor="text1"/>
        </w:rPr>
        <w:t>subentra</w:t>
      </w:r>
      <w:proofErr w:type="spellEnd"/>
      <w:r w:rsidRPr="004C544B">
        <w:rPr>
          <w:rFonts w:ascii="Verdana" w:eastAsia="Calibri" w:hAnsi="Verdana" w:cs="Arial"/>
          <w:color w:val="000000" w:themeColor="text1"/>
        </w:rPr>
        <w:t xml:space="preserve"> en la relación con la contraparte […]”</w:t>
      </w:r>
      <w:r w:rsidRPr="004C544B">
        <w:rPr>
          <w:rStyle w:val="Refdenotaalpie"/>
          <w:rFonts w:ascii="Verdana" w:eastAsia="Calibri" w:hAnsi="Verdana" w:cs="Arial"/>
          <w:color w:val="000000" w:themeColor="text1"/>
        </w:rPr>
        <w:footnoteReference w:id="5"/>
      </w:r>
      <w:r w:rsidRPr="004C544B">
        <w:rPr>
          <w:rFonts w:ascii="Verdana" w:eastAsia="Calibri" w:hAnsi="Verdana" w:cs="Arial"/>
          <w:color w:val="000000" w:themeColor="text1"/>
        </w:rPr>
        <w:t xml:space="preserve">. De esta manera, </w:t>
      </w:r>
      <w:r w:rsidRPr="004C544B">
        <w:rPr>
          <w:rFonts w:ascii="Verdana" w:hAnsi="Verdana" w:cs="Arial"/>
          <w:color w:val="000000" w:themeColor="text1"/>
        </w:rPr>
        <w:t xml:space="preserve">concurren tres (3) sujetos: i) el cedente, esto es, el contratista inicial; </w:t>
      </w:r>
      <w:proofErr w:type="spellStart"/>
      <w:r w:rsidRPr="004C544B">
        <w:rPr>
          <w:rFonts w:ascii="Verdana" w:hAnsi="Verdana" w:cs="Arial"/>
          <w:color w:val="000000" w:themeColor="text1"/>
        </w:rPr>
        <w:t>ii</w:t>
      </w:r>
      <w:proofErr w:type="spellEnd"/>
      <w:r w:rsidRPr="004C544B">
        <w:rPr>
          <w:rFonts w:ascii="Verdana" w:hAnsi="Verdana" w:cs="Arial"/>
          <w:color w:val="000000" w:themeColor="text1"/>
        </w:rPr>
        <w:t xml:space="preserve">) el cesionario, es decir, quien asume total o parcialmente los derechos y obligaciones de este último; y </w:t>
      </w:r>
      <w:proofErr w:type="spellStart"/>
      <w:r w:rsidRPr="004C544B">
        <w:rPr>
          <w:rFonts w:ascii="Verdana" w:hAnsi="Verdana" w:cs="Arial"/>
          <w:color w:val="000000" w:themeColor="text1"/>
        </w:rPr>
        <w:t>iii</w:t>
      </w:r>
      <w:proofErr w:type="spellEnd"/>
      <w:r w:rsidRPr="004C544B">
        <w:rPr>
          <w:rFonts w:ascii="Verdana" w:hAnsi="Verdana" w:cs="Arial"/>
          <w:color w:val="000000" w:themeColor="text1"/>
        </w:rPr>
        <w:t xml:space="preserve">) el cedido que, en el caso de los contratos estatales, sería la entidad que suscribió el contrato. </w:t>
      </w:r>
      <w:r w:rsidRPr="004C544B">
        <w:rPr>
          <w:rFonts w:ascii="Verdana" w:eastAsia="Calibri" w:hAnsi="Verdana" w:cs="Arial"/>
          <w:color w:val="000000" w:themeColor="text1"/>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0DE2B2BD" w14:textId="77777777" w:rsidR="00E74570" w:rsidRPr="004C544B" w:rsidRDefault="00E74570" w:rsidP="00E74570">
      <w:pPr>
        <w:spacing w:after="0" w:line="276" w:lineRule="auto"/>
        <w:ind w:firstLine="708"/>
        <w:jc w:val="both"/>
        <w:rPr>
          <w:rFonts w:ascii="Verdana" w:hAnsi="Verdana" w:cs="Arial"/>
          <w:color w:val="000000" w:themeColor="text1"/>
        </w:rPr>
      </w:pPr>
    </w:p>
    <w:p w14:paraId="4CEFC63D" w14:textId="77777777" w:rsidR="00E74570" w:rsidRPr="004C544B" w:rsidRDefault="00E74570" w:rsidP="00E74570">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4C544B">
        <w:rPr>
          <w:rStyle w:val="Refdenotaalpie"/>
          <w:rFonts w:ascii="Verdana" w:eastAsia="Calibri" w:hAnsi="Verdana" w:cs="Arial"/>
          <w:color w:val="000000" w:themeColor="text1"/>
          <w:sz w:val="21"/>
          <w:szCs w:val="21"/>
        </w:rPr>
        <w:footnoteReference w:id="6"/>
      </w:r>
      <w:r w:rsidRPr="004C544B">
        <w:rPr>
          <w:rFonts w:ascii="Verdana" w:eastAsia="Calibri" w:hAnsi="Verdana" w:cs="Arial"/>
          <w:color w:val="000000" w:themeColor="text1"/>
          <w:sz w:val="21"/>
          <w:szCs w:val="21"/>
        </w:rPr>
        <w:t>.</w:t>
      </w:r>
    </w:p>
    <w:p w14:paraId="2594FA3D" w14:textId="77777777" w:rsidR="00E74570" w:rsidRPr="004C544B" w:rsidRDefault="00E74570" w:rsidP="00E74570">
      <w:pPr>
        <w:tabs>
          <w:tab w:val="left" w:pos="709"/>
        </w:tabs>
        <w:spacing w:after="0" w:line="276" w:lineRule="auto"/>
        <w:ind w:left="709" w:right="709"/>
        <w:jc w:val="both"/>
        <w:rPr>
          <w:rFonts w:ascii="Verdana" w:eastAsia="Calibri" w:hAnsi="Verdana" w:cs="Arial"/>
          <w:color w:val="000000" w:themeColor="text1"/>
        </w:rPr>
      </w:pPr>
    </w:p>
    <w:p w14:paraId="5F50B519" w14:textId="77777777" w:rsidR="00E74570" w:rsidRPr="004C544B" w:rsidRDefault="00E74570" w:rsidP="00E74570">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4C544B">
        <w:rPr>
          <w:rFonts w:ascii="Verdana" w:eastAsia="Calibri" w:hAnsi="Verdana" w:cs="Arial"/>
          <w:color w:val="000000" w:themeColor="text1"/>
        </w:rPr>
        <w:t>ii</w:t>
      </w:r>
      <w:proofErr w:type="spellEnd"/>
      <w:r w:rsidRPr="004C544B">
        <w:rPr>
          <w:rFonts w:ascii="Verdana" w:eastAsia="Calibri" w:hAnsi="Verdana" w:cs="Arial"/>
          <w:color w:val="000000" w:themeColor="text1"/>
        </w:rPr>
        <w:t xml:space="preserve">) corresponderán como actos jurídicos bilaterales generadores de obligaciones, entre otros, a los previstos en el derecho privado, en los términos del artículo 32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y </w:t>
      </w:r>
      <w:proofErr w:type="spellStart"/>
      <w:r w:rsidRPr="004C544B">
        <w:rPr>
          <w:rFonts w:ascii="Verdana" w:eastAsia="Calibri" w:hAnsi="Verdana" w:cs="Arial"/>
          <w:color w:val="000000" w:themeColor="text1"/>
        </w:rPr>
        <w:t>iii</w:t>
      </w:r>
      <w:proofErr w:type="spellEnd"/>
      <w:r w:rsidRPr="004C544B">
        <w:rPr>
          <w:rFonts w:ascii="Verdana" w:eastAsia="Calibri" w:hAnsi="Verdana" w:cs="Arial"/>
          <w:color w:val="000000" w:themeColor="text1"/>
        </w:rPr>
        <w:t xml:space="preserve">) contendrán las estipulaciones que, de acuerdo con las normas civiles, comerciales y las previstas en esta ley, correspondan a su esencia y naturaleza, conforme a lo dispuesto por el artículo 40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w:t>
      </w:r>
    </w:p>
    <w:p w14:paraId="3640701A" w14:textId="77777777" w:rsidR="00E74570" w:rsidRPr="004C544B" w:rsidRDefault="00E74570" w:rsidP="00E74570">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En este sentido, el Estatuto General de Contratación de la Administración Pública establece disposiciones específicas relativas a la figura de la cesión contractual. En principio, si bien rigen las normas relativas a la cesión del contrato contenidas en sus artículos 887 y siguientes del Código de Comercio, su aplicación procede ante la ausencia de norma que de manera particular regule el asunto frente a la categoría especial del contrato estatal.</w:t>
      </w:r>
    </w:p>
    <w:p w14:paraId="61195E20" w14:textId="77777777" w:rsidR="00E74570" w:rsidRPr="004C544B" w:rsidRDefault="00E74570" w:rsidP="00E74570">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Por ello, es pertinente indicar que el Decreto Ley 410 de 1971 contempla ciertas disposiciones que no se encuentran en la Ley 80 de 1993, lo que conlleva su aplicación en materia de contratos estatales. Por ejemplo, el artículo 890 establece lo relativo a la responsabilidad del cedente frente al cesionario y en torno a la existencia, validez y garantías del contrato cedido</w:t>
      </w:r>
      <w:r w:rsidRPr="004C544B">
        <w:rPr>
          <w:rStyle w:val="Refdenotaalpie"/>
          <w:rFonts w:ascii="Verdana" w:eastAsia="Calibri" w:hAnsi="Verdana" w:cs="Arial"/>
          <w:color w:val="000000" w:themeColor="text1"/>
        </w:rPr>
        <w:footnoteReference w:id="7"/>
      </w:r>
      <w:r w:rsidRPr="004C544B">
        <w:rPr>
          <w:rFonts w:ascii="Verdana" w:eastAsia="Calibri" w:hAnsi="Verdana" w:cs="Arial"/>
          <w:color w:val="000000" w:themeColor="text1"/>
        </w:rPr>
        <w:t>. Por otra parte, el artículo 891 obliga al cesionario a avisar al cedente de la mora o el incumplimiento dentro de los 10 días siguientes, siempre y cuando este se haya obligado a garantizar el cumplimiento por parte del contratante cedido</w:t>
      </w:r>
      <w:r w:rsidRPr="004C544B">
        <w:rPr>
          <w:rStyle w:val="Refdenotaalpie"/>
          <w:rFonts w:ascii="Verdana" w:eastAsia="Calibri" w:hAnsi="Verdana" w:cs="Arial"/>
          <w:color w:val="000000" w:themeColor="text1"/>
        </w:rPr>
        <w:footnoteReference w:id="8"/>
      </w:r>
      <w:r w:rsidRPr="004C544B">
        <w:rPr>
          <w:rFonts w:ascii="Verdana" w:eastAsia="Calibri" w:hAnsi="Verdana" w:cs="Arial"/>
          <w:color w:val="000000" w:themeColor="text1"/>
        </w:rPr>
        <w:t xml:space="preserve">. Asimismo, los artículos 895 y 896 disponen que la cesión de un contrato implica la transferencia de las acciones, privilegios y beneficios legales inherentes a la naturaleza y condiciones del contrato, excluyendo a aquellas que sean extrañas </w:t>
      </w:r>
      <w:r w:rsidRPr="004C544B">
        <w:rPr>
          <w:rFonts w:ascii="Verdana" w:eastAsia="Calibri" w:hAnsi="Verdana" w:cs="Arial"/>
          <w:color w:val="000000" w:themeColor="text1"/>
        </w:rPr>
        <w:lastRenderedPageBreak/>
        <w:t>al mismo o que se funden en el estado o calidad particular de las partes, pudiendo, el contratante cedido, oponer contra el cesionario todas las excepciones que se deriven del contrato</w:t>
      </w:r>
      <w:r w:rsidRPr="004C544B">
        <w:rPr>
          <w:rStyle w:val="Refdenotaalpie"/>
          <w:rFonts w:ascii="Verdana" w:eastAsia="Calibri" w:hAnsi="Verdana" w:cs="Arial"/>
          <w:color w:val="000000" w:themeColor="text1"/>
        </w:rPr>
        <w:footnoteReference w:id="9"/>
      </w:r>
      <w:r w:rsidRPr="004C544B">
        <w:rPr>
          <w:rFonts w:ascii="Verdana" w:eastAsia="Calibri" w:hAnsi="Verdana" w:cs="Arial"/>
          <w:color w:val="000000" w:themeColor="text1"/>
        </w:rPr>
        <w:t xml:space="preserve">. </w:t>
      </w:r>
    </w:p>
    <w:p w14:paraId="253CD2CF" w14:textId="77777777" w:rsidR="00E74570" w:rsidRPr="004C544B" w:rsidRDefault="00E74570" w:rsidP="00E74570">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 xml:space="preserve">Al margen de estas y otras disposiciones que de manera particular consagra el Código de Comercio sobre la cesión del contrato, esta figura cuenta con algunas normas especiales en la Ley 80 de 1993. Por ejemplo, </w:t>
      </w:r>
      <w:bookmarkStart w:id="2" w:name="_Hlk79822251"/>
      <w:r w:rsidRPr="004C544B">
        <w:rPr>
          <w:rFonts w:ascii="Verdana" w:eastAsia="Calibri" w:hAnsi="Verdana" w:cs="Arial"/>
          <w:color w:val="000000" w:themeColor="text1"/>
        </w:rPr>
        <w:t>el artículo 41, inciso tercero</w:t>
      </w:r>
      <w:bookmarkEnd w:id="2"/>
      <w:r w:rsidRPr="004C544B">
        <w:rPr>
          <w:rFonts w:ascii="Verdana" w:eastAsia="Calibri" w:hAnsi="Verdana" w:cs="Arial"/>
          <w:color w:val="000000" w:themeColor="text1"/>
        </w:rPr>
        <w:t xml:space="preserve">, del EGCAP prescribe que “Los contratos estatales son </w:t>
      </w:r>
      <w:r w:rsidRPr="004C544B">
        <w:rPr>
          <w:rFonts w:ascii="Verdana" w:eastAsia="Calibri" w:hAnsi="Verdana" w:cs="Arial"/>
          <w:i/>
          <w:iCs/>
          <w:color w:val="000000" w:themeColor="text1"/>
        </w:rPr>
        <w:t xml:space="preserve">intuito </w:t>
      </w:r>
      <w:proofErr w:type="spellStart"/>
      <w:r w:rsidRPr="004C544B">
        <w:rPr>
          <w:rFonts w:ascii="Verdana" w:eastAsia="Calibri" w:hAnsi="Verdana" w:cs="Arial"/>
          <w:i/>
          <w:iCs/>
          <w:color w:val="000000" w:themeColor="text1"/>
        </w:rPr>
        <w:t>personae</w:t>
      </w:r>
      <w:proofErr w:type="spellEnd"/>
      <w:r w:rsidRPr="004C544B">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4C544B">
        <w:rPr>
          <w:rFonts w:ascii="Verdana" w:eastAsia="Calibri" w:hAnsi="Verdana" w:cs="Arial"/>
          <w:i/>
          <w:iCs/>
          <w:color w:val="000000" w:themeColor="text1"/>
        </w:rPr>
        <w:t>faceta negativa</w:t>
      </w:r>
      <w:r w:rsidRPr="004C544B">
        <w:rPr>
          <w:rFonts w:ascii="Verdana" w:eastAsia="Calibri" w:hAnsi="Verdana" w:cs="Arial"/>
          <w:color w:val="000000" w:themeColor="text1"/>
        </w:rPr>
        <w:t>– y una autorización excepcional –</w:t>
      </w:r>
      <w:r w:rsidRPr="004C544B">
        <w:rPr>
          <w:rFonts w:ascii="Verdana" w:eastAsia="Calibri" w:hAnsi="Verdana" w:cs="Arial"/>
          <w:i/>
          <w:iCs/>
          <w:color w:val="000000" w:themeColor="text1"/>
        </w:rPr>
        <w:t>faceta positiva</w:t>
      </w:r>
      <w:r w:rsidRPr="004C544B">
        <w:rPr>
          <w:rFonts w:ascii="Verdana" w:eastAsia="Calibri" w:hAnsi="Verdana" w:cs="Arial"/>
          <w:color w:val="000000" w:themeColor="text1"/>
        </w:rPr>
        <w:t>–.</w:t>
      </w:r>
    </w:p>
    <w:p w14:paraId="2970193B" w14:textId="77777777" w:rsidR="00E74570" w:rsidRPr="004C544B" w:rsidRDefault="00E74570" w:rsidP="00E74570">
      <w:pPr>
        <w:tabs>
          <w:tab w:val="left" w:pos="709"/>
        </w:tabs>
        <w:spacing w:after="120" w:line="276" w:lineRule="auto"/>
        <w:jc w:val="both"/>
        <w:rPr>
          <w:rFonts w:ascii="Verdana" w:eastAsia="Calibri" w:hAnsi="Verdana" w:cs="Arial"/>
          <w:bCs/>
          <w:color w:val="000000" w:themeColor="text1"/>
        </w:rPr>
      </w:pPr>
      <w:r w:rsidRPr="004C544B">
        <w:rPr>
          <w:rFonts w:ascii="Verdana" w:eastAsia="Calibri" w:hAnsi="Verdana" w:cs="Arial"/>
          <w:bCs/>
          <w:color w:val="000000" w:themeColor="text1"/>
        </w:rPr>
        <w:tab/>
        <w:t xml:space="preserve">En lo que respecta a la </w:t>
      </w:r>
      <w:r w:rsidRPr="004C544B">
        <w:rPr>
          <w:rFonts w:ascii="Verdana" w:eastAsia="Calibri" w:hAnsi="Verdana" w:cs="Arial"/>
          <w:bCs/>
          <w:i/>
          <w:iCs/>
          <w:color w:val="000000" w:themeColor="text1"/>
        </w:rPr>
        <w:t>faceta negativa</w:t>
      </w:r>
      <w:r w:rsidRPr="004C544B">
        <w:rPr>
          <w:rFonts w:ascii="Verdana" w:eastAsia="Calibri" w:hAnsi="Verdana" w:cs="Arial"/>
          <w:bCs/>
          <w:color w:val="000000" w:themeColor="text1"/>
        </w:rPr>
        <w:t>,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que no siendo esenciales en él, se entienden pertenecerle, sin necesidad de una cláusula especial […]”</w:t>
      </w:r>
      <w:r w:rsidRPr="004C544B">
        <w:rPr>
          <w:rStyle w:val="Refdenotaalpie"/>
          <w:rFonts w:ascii="Verdana" w:eastAsia="Calibri" w:hAnsi="Verdana" w:cs="Arial"/>
          <w:bCs/>
          <w:color w:val="000000" w:themeColor="text1"/>
        </w:rPr>
        <w:footnoteReference w:id="10"/>
      </w:r>
      <w:r w:rsidRPr="004C544B">
        <w:rPr>
          <w:rFonts w:ascii="Verdana" w:eastAsia="Calibri" w:hAnsi="Verdana" w:cs="Arial"/>
          <w:bCs/>
          <w:color w:val="000000" w:themeColor="text1"/>
        </w:rPr>
        <w:t xml:space="preserve">.  </w:t>
      </w:r>
    </w:p>
    <w:p w14:paraId="4C84B198" w14:textId="77777777" w:rsidR="00E74570" w:rsidRPr="004C544B" w:rsidRDefault="00E74570" w:rsidP="00E74570">
      <w:pPr>
        <w:spacing w:after="0" w:line="276" w:lineRule="auto"/>
        <w:ind w:firstLine="708"/>
        <w:jc w:val="both"/>
        <w:rPr>
          <w:rFonts w:ascii="Verdana" w:eastAsia="Calibri" w:hAnsi="Verdana" w:cs="Arial"/>
          <w:bCs/>
          <w:color w:val="000000" w:themeColor="text1"/>
        </w:rPr>
      </w:pPr>
      <w:r w:rsidRPr="004C544B">
        <w:rPr>
          <w:rFonts w:ascii="Verdana" w:eastAsia="Calibri" w:hAnsi="Verdana" w:cs="Arial"/>
          <w:bCs/>
          <w:color w:val="000000" w:themeColor="text1"/>
        </w:rPr>
        <w:t xml:space="preserve">En su </w:t>
      </w:r>
      <w:r w:rsidRPr="004C544B">
        <w:rPr>
          <w:rFonts w:ascii="Verdana" w:eastAsia="Calibri" w:hAnsi="Verdana" w:cs="Arial"/>
          <w:bCs/>
          <w:i/>
          <w:iCs/>
          <w:color w:val="000000" w:themeColor="text1"/>
        </w:rPr>
        <w:t>faceta positiva</w:t>
      </w:r>
      <w:r w:rsidRPr="004C544B">
        <w:rPr>
          <w:rFonts w:ascii="Verdana" w:eastAsia="Calibri" w:hAnsi="Verdana" w:cs="Arial"/>
          <w:bCs/>
          <w:color w:val="000000" w:themeColor="text1"/>
        </w:rPr>
        <w:t xml:space="preserve">, la Ley 80 de 1993 permite excepcionalmente la cesión del contrato estatal siempre que exista autorización previa escrita de la entidad contratante. Por ello, “[…] El cocontratante que </w:t>
      </w:r>
      <w:r w:rsidRPr="00DE5DE4">
        <w:rPr>
          <w:rFonts w:ascii="Verdana" w:eastAsia="Calibri" w:hAnsi="Verdana" w:cs="Arial"/>
          <w:bCs/>
          <w:color w:val="000000" w:themeColor="text1"/>
          <w:sz w:val="24"/>
          <w:szCs w:val="24"/>
        </w:rPr>
        <w:t>‘</w:t>
      </w:r>
      <w:r w:rsidRPr="004C544B">
        <w:rPr>
          <w:rFonts w:ascii="Verdana" w:eastAsia="Calibri" w:hAnsi="Verdana" w:cs="Arial"/>
          <w:bCs/>
          <w:i/>
          <w:iCs/>
          <w:color w:val="000000" w:themeColor="text1"/>
        </w:rPr>
        <w:t>ceda</w:t>
      </w:r>
      <w:r w:rsidRPr="00DE5DE4">
        <w:rPr>
          <w:rFonts w:ascii="Verdana" w:eastAsia="Calibri" w:hAnsi="Verdana" w:cs="Arial"/>
          <w:bCs/>
          <w:color w:val="000000" w:themeColor="text1"/>
        </w:rPr>
        <w:t>’</w:t>
      </w:r>
      <w:r w:rsidRPr="004C544B">
        <w:rPr>
          <w:rFonts w:ascii="Verdana" w:eastAsia="Calibri" w:hAnsi="Verdana" w:cs="Arial"/>
          <w:bCs/>
          <w:color w:val="000000" w:themeColor="text1"/>
        </w:rPr>
        <w:t xml:space="preserve"> el contrato sin estar autorizado para ello incurre en grave responsabilidad: su actitud implica </w:t>
      </w:r>
      <w:r>
        <w:rPr>
          <w:rFonts w:ascii="Verdana" w:eastAsia="Calibri" w:hAnsi="Verdana" w:cs="Arial"/>
          <w:bCs/>
          <w:color w:val="000000" w:themeColor="text1"/>
        </w:rPr>
        <w:t>‘</w:t>
      </w:r>
      <w:r w:rsidRPr="004C544B">
        <w:rPr>
          <w:rFonts w:ascii="Verdana" w:eastAsia="Calibri" w:hAnsi="Verdana" w:cs="Arial"/>
          <w:bCs/>
          <w:i/>
          <w:iCs/>
          <w:color w:val="000000" w:themeColor="text1"/>
        </w:rPr>
        <w:t>incumplimiento</w:t>
      </w:r>
      <w:r>
        <w:rPr>
          <w:rFonts w:ascii="Verdana" w:eastAsia="Calibri" w:hAnsi="Verdana" w:cs="Arial"/>
          <w:bCs/>
          <w:color w:val="000000" w:themeColor="text1"/>
        </w:rPr>
        <w:t>’</w:t>
      </w:r>
      <w:r w:rsidRPr="004C544B">
        <w:rPr>
          <w:rFonts w:ascii="Verdana" w:eastAsia="Calibri" w:hAnsi="Verdana" w:cs="Arial"/>
          <w:bCs/>
          <w:color w:val="000000" w:themeColor="text1"/>
        </w:rPr>
        <w:t xml:space="preserve"> del contrato; de ahí que esa cesión ilícita no resulte oponible a </w:t>
      </w:r>
      <w:r w:rsidRPr="004C544B">
        <w:rPr>
          <w:rFonts w:ascii="Verdana" w:eastAsia="Calibri" w:hAnsi="Verdana" w:cs="Arial"/>
          <w:bCs/>
          <w:color w:val="000000" w:themeColor="text1"/>
        </w:rPr>
        <w:lastRenderedPageBreak/>
        <w:t>la Administración Pública […]”</w:t>
      </w:r>
      <w:r w:rsidRPr="004C544B">
        <w:rPr>
          <w:rStyle w:val="Refdenotaalpie"/>
          <w:rFonts w:ascii="Verdana" w:eastAsia="Calibri" w:hAnsi="Verdana" w:cs="Arial"/>
          <w:bCs/>
          <w:color w:val="000000" w:themeColor="text1"/>
        </w:rPr>
        <w:footnoteReference w:id="11"/>
      </w:r>
      <w:r w:rsidRPr="004C544B">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r w:rsidRPr="004C544B">
        <w:rPr>
          <w:rFonts w:ascii="Verdana" w:eastAsia="Calibri" w:hAnsi="Verdana" w:cs="Arial"/>
          <w:color w:val="000000" w:themeColor="text1"/>
        </w:rPr>
        <w:t>En relación con lo anterior la doctrina define la cesión en los contratos estatales de la siguiente manera:</w:t>
      </w:r>
    </w:p>
    <w:p w14:paraId="199DE0CC" w14:textId="77777777" w:rsidR="00E74570" w:rsidRPr="004C544B" w:rsidRDefault="00E74570" w:rsidP="00E74570">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 </w:t>
      </w:r>
    </w:p>
    <w:p w14:paraId="58C5BE03" w14:textId="77777777" w:rsidR="00E74570" w:rsidRPr="004C544B" w:rsidRDefault="00E74570" w:rsidP="00E74570">
      <w:pPr>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xml:space="preserve">“La cesión en la contratación estatal supone, previa autorización de la entidad contratante, la sustitución </w:t>
      </w:r>
      <w:r w:rsidRPr="004C544B">
        <w:rPr>
          <w:rFonts w:ascii="Verdana" w:eastAsia="Calibri" w:hAnsi="Verdana" w:cs="Arial"/>
          <w:i/>
          <w:iCs/>
          <w:color w:val="000000" w:themeColor="text1"/>
          <w:sz w:val="21"/>
          <w:szCs w:val="21"/>
        </w:rPr>
        <w:t>in genere</w:t>
      </w:r>
      <w:r w:rsidRPr="004C544B">
        <w:rPr>
          <w:rFonts w:ascii="Verdana" w:eastAsia="Calibri" w:hAnsi="Verdana" w:cs="Arial"/>
          <w:color w:val="000000" w:themeColor="text1"/>
          <w:sz w:val="21"/>
          <w:szCs w:val="21"/>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4C544B">
        <w:rPr>
          <w:rStyle w:val="Refdenotaalpie"/>
          <w:rFonts w:ascii="Verdana" w:hAnsi="Verdana" w:cs="Arial"/>
          <w:color w:val="000000" w:themeColor="text1"/>
          <w:sz w:val="21"/>
          <w:szCs w:val="21"/>
        </w:rPr>
        <w:footnoteReference w:id="12"/>
      </w:r>
      <w:r w:rsidRPr="004C544B">
        <w:rPr>
          <w:rFonts w:ascii="Verdana" w:eastAsia="Calibri" w:hAnsi="Verdana" w:cs="Arial"/>
          <w:color w:val="000000" w:themeColor="text1"/>
          <w:sz w:val="21"/>
          <w:szCs w:val="21"/>
        </w:rPr>
        <w:t>.</w:t>
      </w:r>
    </w:p>
    <w:p w14:paraId="35175301" w14:textId="77777777" w:rsidR="00E74570" w:rsidRPr="004C544B" w:rsidRDefault="00E74570" w:rsidP="00E74570">
      <w:pPr>
        <w:spacing w:after="0" w:line="276" w:lineRule="auto"/>
        <w:jc w:val="both"/>
        <w:rPr>
          <w:rFonts w:ascii="Verdana" w:eastAsia="Calibri" w:hAnsi="Verdana" w:cs="Arial"/>
          <w:color w:val="000000" w:themeColor="text1"/>
        </w:rPr>
      </w:pPr>
    </w:p>
    <w:p w14:paraId="5AD82601" w14:textId="77777777" w:rsidR="00E74570" w:rsidRPr="004C544B" w:rsidRDefault="00E74570" w:rsidP="00E74570">
      <w:pPr>
        <w:spacing w:after="120" w:line="276" w:lineRule="auto"/>
        <w:ind w:firstLine="709"/>
        <w:jc w:val="both"/>
        <w:rPr>
          <w:rFonts w:ascii="Verdana" w:eastAsia="Calibri" w:hAnsi="Verdana" w:cs="Arial"/>
          <w:bCs/>
          <w:color w:val="000000" w:themeColor="text1"/>
        </w:rPr>
      </w:pPr>
      <w:r w:rsidRPr="004C544B">
        <w:rPr>
          <w:rFonts w:ascii="Verdana" w:eastAsia="Calibri" w:hAnsi="Verdana" w:cs="Arial"/>
          <w:bCs/>
          <w:color w:val="000000" w:themeColor="text1"/>
        </w:rPr>
        <w:t>Autorizada previamente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w:t>
      </w:r>
      <w:r w:rsidRPr="004C544B">
        <w:rPr>
          <w:rFonts w:ascii="Verdana" w:hAnsi="Verdana"/>
        </w:rPr>
        <w:t xml:space="preserve"> </w:t>
      </w:r>
      <w:r w:rsidRPr="004C544B">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4C544B">
        <w:rPr>
          <w:rFonts w:ascii="Verdana" w:eastAsia="Calibri" w:hAnsi="Verdana" w:cs="Arial"/>
          <w:color w:val="000000" w:themeColor="text1"/>
        </w:rPr>
        <w:t xml:space="preserve">. </w:t>
      </w:r>
    </w:p>
    <w:p w14:paraId="3136C9A2" w14:textId="77777777" w:rsidR="00E74570" w:rsidRPr="004C544B" w:rsidRDefault="00E74570" w:rsidP="00E74570">
      <w:pPr>
        <w:tabs>
          <w:tab w:val="left" w:pos="709"/>
        </w:tabs>
        <w:spacing w:after="120" w:line="276" w:lineRule="auto"/>
        <w:jc w:val="both"/>
        <w:rPr>
          <w:rFonts w:ascii="Verdana" w:eastAsia="Calibri" w:hAnsi="Verdana" w:cs="Arial"/>
          <w:color w:val="000000" w:themeColor="text1"/>
        </w:rPr>
      </w:pPr>
      <w:bookmarkStart w:id="3" w:name="_Hlk80369799"/>
      <w:r w:rsidRPr="004C544B">
        <w:rPr>
          <w:rFonts w:ascii="Verdana" w:eastAsia="Calibri" w:hAnsi="Verdana" w:cs="Arial"/>
          <w:color w:val="000000" w:themeColor="text1"/>
        </w:rPr>
        <w:tab/>
        <w:t xml:space="preserve">Por lo demás, el Consejo de Estado ha precisado como requisitos de la cesión del contrato estatal los siguientes: i) debe recaer en un tercero; </w:t>
      </w:r>
      <w:proofErr w:type="spellStart"/>
      <w:r w:rsidRPr="004C544B">
        <w:rPr>
          <w:rFonts w:ascii="Verdana" w:eastAsia="Calibri" w:hAnsi="Verdana" w:cs="Arial"/>
          <w:color w:val="000000" w:themeColor="text1"/>
        </w:rPr>
        <w:t>ii</w:t>
      </w:r>
      <w:proofErr w:type="spellEnd"/>
      <w:r w:rsidRPr="004C544B">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 </w:t>
      </w:r>
      <w:proofErr w:type="spellStart"/>
      <w:r w:rsidRPr="004C544B">
        <w:rPr>
          <w:rFonts w:ascii="Verdana" w:eastAsia="Calibri" w:hAnsi="Verdana" w:cs="Arial"/>
          <w:color w:val="000000" w:themeColor="text1"/>
        </w:rPr>
        <w:t>iii</w:t>
      </w:r>
      <w:proofErr w:type="spellEnd"/>
      <w:r w:rsidRPr="004C544B">
        <w:rPr>
          <w:rFonts w:ascii="Verdana" w:eastAsia="Calibri" w:hAnsi="Verdana" w:cs="Arial"/>
          <w:color w:val="000000" w:themeColor="text1"/>
        </w:rPr>
        <w:t xml:space="preserve">) el cesionario debe contar con capacidad técnica, económica y financiera suficientes para el cumplimiento de las obligaciones emanadas del contrato cedido. Al respecto, la Sección Tercera del Consejo de Estado ha explicado que, en la medida que el tercero cesionario </w:t>
      </w:r>
      <w:r w:rsidRPr="004C544B">
        <w:rPr>
          <w:rFonts w:ascii="Verdana" w:eastAsia="Calibri" w:hAnsi="Verdana" w:cs="Arial"/>
          <w:color w:val="000000" w:themeColor="text1"/>
        </w:rPr>
        <w:lastRenderedPageBreak/>
        <w:t>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4" w:name="_Hlk80369829"/>
      <w:bookmarkEnd w:id="3"/>
      <w:r w:rsidRPr="004C544B">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4"/>
      <w:r w:rsidRPr="004C544B">
        <w:rPr>
          <w:rFonts w:ascii="Verdana" w:eastAsia="Calibri" w:hAnsi="Verdana" w:cs="Arial"/>
          <w:color w:val="000000" w:themeColor="text1"/>
        </w:rPr>
        <w:t>”</w:t>
      </w:r>
      <w:r w:rsidRPr="004C544B">
        <w:rPr>
          <w:rStyle w:val="Refdenotaalpie"/>
          <w:rFonts w:ascii="Verdana" w:eastAsia="Calibri" w:hAnsi="Verdana" w:cs="Arial"/>
          <w:color w:val="000000" w:themeColor="text1"/>
        </w:rPr>
        <w:footnoteReference w:id="13"/>
      </w:r>
      <w:r w:rsidRPr="004C544B">
        <w:rPr>
          <w:rFonts w:ascii="Verdana" w:eastAsia="Calibri" w:hAnsi="Verdana" w:cs="Arial"/>
          <w:color w:val="000000" w:themeColor="text1"/>
        </w:rPr>
        <w:t>.</w:t>
      </w:r>
    </w:p>
    <w:p w14:paraId="1DE21A74" w14:textId="77777777" w:rsidR="00E74570" w:rsidRPr="004C544B" w:rsidRDefault="00E74570" w:rsidP="00E74570">
      <w:pPr>
        <w:tabs>
          <w:tab w:val="left" w:pos="709"/>
        </w:tabs>
        <w:spacing w:after="120" w:line="276" w:lineRule="auto"/>
        <w:ind w:firstLine="709"/>
        <w:jc w:val="both"/>
        <w:rPr>
          <w:rFonts w:ascii="Verdana" w:eastAsia="Calibri" w:hAnsi="Verdana" w:cs="Arial"/>
          <w:color w:val="000000" w:themeColor="text1"/>
        </w:rPr>
      </w:pPr>
      <w:bookmarkStart w:id="5" w:name="_Hlk80369857"/>
      <w:r w:rsidRPr="004C544B">
        <w:rPr>
          <w:rFonts w:ascii="Verdana" w:eastAsia="Calibri" w:hAnsi="Verdana" w:cs="Arial"/>
          <w:color w:val="000000" w:themeColor="text1"/>
        </w:rPr>
        <w:t>Por lo tanto, la entidad estatal en el trámite de autorización de una cesión de posición contractual está obligada a respetar y dar cabal cumplimiento a los principios y normas rectoras de la contratación pública que resulten aplicables al proceso de contratación, entre otros, los principios de transparencia, selección objetiva e igualdad. En otros términos, so pretexto de una cesión contractual, no pueden vulnerarse las reglas y principios de la contratación estatal.</w:t>
      </w:r>
    </w:p>
    <w:bookmarkEnd w:id="5"/>
    <w:p w14:paraId="061D9C60" w14:textId="77777777" w:rsidR="00E74570" w:rsidRPr="004C544B" w:rsidRDefault="00E74570" w:rsidP="00E74570">
      <w:pPr>
        <w:tabs>
          <w:tab w:val="left" w:pos="709"/>
        </w:tabs>
        <w:spacing w:after="0" w:line="276" w:lineRule="auto"/>
        <w:ind w:firstLine="709"/>
        <w:jc w:val="both"/>
        <w:rPr>
          <w:rFonts w:ascii="Verdana" w:eastAsia="Calibri" w:hAnsi="Verdana" w:cs="Arial"/>
          <w:color w:val="000000" w:themeColor="text1"/>
        </w:rPr>
      </w:pPr>
      <w:r w:rsidRPr="004C544B">
        <w:rPr>
          <w:rFonts w:ascii="Verdana" w:eastAsia="Calibri" w:hAnsi="Verdana" w:cs="Arial"/>
          <w:color w:val="000000" w:themeColor="text1"/>
        </w:rPr>
        <w:t>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En esta última hipótesis, para la doctrina no existe un tercero como requisito de la cesión, y agrega lo siguiente:</w:t>
      </w:r>
    </w:p>
    <w:p w14:paraId="3904C63F" w14:textId="77777777" w:rsidR="00E74570" w:rsidRPr="004C544B" w:rsidRDefault="00E74570" w:rsidP="00E74570">
      <w:pPr>
        <w:tabs>
          <w:tab w:val="left" w:pos="709"/>
        </w:tabs>
        <w:spacing w:after="0" w:line="276" w:lineRule="auto"/>
        <w:jc w:val="both"/>
        <w:rPr>
          <w:rFonts w:ascii="Verdana" w:eastAsia="Calibri" w:hAnsi="Verdana" w:cs="Arial"/>
          <w:color w:val="000000" w:themeColor="text1"/>
        </w:rPr>
      </w:pPr>
    </w:p>
    <w:p w14:paraId="073641A5" w14:textId="77777777" w:rsidR="00E74570" w:rsidRPr="004C544B" w:rsidRDefault="00E74570" w:rsidP="00E74570">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xml:space="preserve">“[…] supóngase que no existiera la restricción aludida; en este caso tampoco es válida la cesión en un integrante de un consorcio o unión temporal dado que los consorcios o uniones temporales no tienen personalidad jurídica, sino solo capacidad para celebrar contratos estatales, en virtud de la habilitación contenida en el artículo 6 de la Ley 80 de 1993. En estos casos se está en presencia, por tanto, de un contratista plural; esto es, la calidad de contratista se predica de cada </w:t>
      </w:r>
      <w:r w:rsidRPr="004C544B">
        <w:rPr>
          <w:rFonts w:ascii="Verdana" w:eastAsia="Calibri" w:hAnsi="Verdana" w:cs="Arial"/>
          <w:color w:val="000000" w:themeColor="text1"/>
          <w:sz w:val="21"/>
          <w:szCs w:val="21"/>
        </w:rPr>
        <w:lastRenderedPageBreak/>
        <w:t>uno de los integrantes del consorcio o unión temporal, de allí que […] no es válida la cesión en el propio contratista”</w:t>
      </w:r>
      <w:r w:rsidRPr="004C544B">
        <w:rPr>
          <w:rStyle w:val="Refdenotaalpie"/>
          <w:rFonts w:ascii="Verdana" w:eastAsia="Calibri" w:hAnsi="Verdana" w:cs="Arial"/>
          <w:color w:val="000000" w:themeColor="text1"/>
          <w:sz w:val="21"/>
          <w:szCs w:val="21"/>
        </w:rPr>
        <w:footnoteReference w:id="14"/>
      </w:r>
      <w:r w:rsidRPr="004C544B">
        <w:rPr>
          <w:rFonts w:ascii="Verdana" w:eastAsia="Calibri" w:hAnsi="Verdana" w:cs="Arial"/>
          <w:color w:val="000000" w:themeColor="text1"/>
          <w:sz w:val="21"/>
          <w:szCs w:val="21"/>
        </w:rPr>
        <w:t xml:space="preserve">.   </w:t>
      </w:r>
    </w:p>
    <w:p w14:paraId="478119DA" w14:textId="77777777" w:rsidR="00E74570" w:rsidRPr="004C544B" w:rsidRDefault="00E74570" w:rsidP="00E74570">
      <w:pPr>
        <w:tabs>
          <w:tab w:val="left" w:pos="709"/>
        </w:tabs>
        <w:spacing w:after="0" w:line="276" w:lineRule="auto"/>
        <w:ind w:firstLine="709"/>
        <w:jc w:val="both"/>
        <w:rPr>
          <w:rFonts w:ascii="Verdana" w:eastAsia="Calibri" w:hAnsi="Verdana" w:cs="Arial"/>
          <w:color w:val="000000" w:themeColor="text1"/>
        </w:rPr>
      </w:pPr>
    </w:p>
    <w:p w14:paraId="3EC9A1E7" w14:textId="77777777" w:rsidR="00E74570" w:rsidRDefault="00E74570" w:rsidP="00E74570">
      <w:pPr>
        <w:spacing w:line="276" w:lineRule="auto"/>
        <w:ind w:right="51" w:firstLine="709"/>
        <w:jc w:val="both"/>
        <w:rPr>
          <w:rFonts w:ascii="Verdana" w:eastAsia="Calibri" w:hAnsi="Verdana" w:cs="Arial"/>
          <w:color w:val="000000" w:themeColor="text1"/>
        </w:rPr>
      </w:pPr>
      <w:bookmarkStart w:id="6" w:name="_Hlk79797430"/>
      <w:r>
        <w:rPr>
          <w:rFonts w:ascii="Verdana" w:eastAsia="Calibri" w:hAnsi="Verdana" w:cs="Arial"/>
          <w:color w:val="000000" w:themeColor="text1"/>
        </w:rPr>
        <w:t xml:space="preserve">De esta manera, si está prohibida la cesión entre quienes integren el proponente plural, significa que está permitida la cesión de sus integrantes a un tercero distinto a los miembros del consorcio o la unión temporal. Esto no es más que la aplicación del argumento </w:t>
      </w:r>
      <w:r w:rsidRPr="00E377B4">
        <w:rPr>
          <w:rFonts w:ascii="Verdana" w:eastAsia="Calibri" w:hAnsi="Verdana" w:cs="Arial"/>
          <w:i/>
          <w:iCs/>
          <w:color w:val="000000" w:themeColor="text1"/>
        </w:rPr>
        <w:t>a contrario</w:t>
      </w:r>
      <w:r>
        <w:rPr>
          <w:rFonts w:ascii="Verdana" w:eastAsia="Calibri" w:hAnsi="Verdana" w:cs="Arial"/>
          <w:color w:val="000000" w:themeColor="text1"/>
        </w:rPr>
        <w:t xml:space="preserve">, criterio hermenéutico por el cual </w:t>
      </w:r>
      <w:r w:rsidRPr="003A34AF">
        <w:rPr>
          <w:rFonts w:ascii="Verdana" w:eastAsia="Calibri" w:hAnsi="Verdana" w:cs="Arial"/>
          <w:color w:val="000000" w:themeColor="text1"/>
        </w:rPr>
        <w:t>“[…] dado un enunciado normativo que predica una cualificación normativa respecto a un término en él incluido que está por un sujeto o una clase de sujetos, debe evitarse extender el significado de ese término de modo tal que llegue a comprender a sujetos o clases de sujetos no estricta y literalmente incluidos en él de conformidad con el primer enunciado normativo</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15"/>
      </w:r>
      <w:r w:rsidRPr="003A34AF">
        <w:rPr>
          <w:rFonts w:ascii="Verdana" w:eastAsia="Calibri" w:hAnsi="Verdana" w:cs="Arial"/>
          <w:color w:val="000000" w:themeColor="text1"/>
        </w:rPr>
        <w:t>.</w:t>
      </w:r>
      <w:r>
        <w:rPr>
          <w:rFonts w:ascii="Verdana" w:eastAsia="Calibri" w:hAnsi="Verdana" w:cs="Arial"/>
          <w:color w:val="000000" w:themeColor="text1"/>
        </w:rPr>
        <w:t xml:space="preserve"> </w:t>
      </w:r>
    </w:p>
    <w:p w14:paraId="5854EF5C" w14:textId="77777777" w:rsidR="00E74570" w:rsidRPr="003A34AF" w:rsidRDefault="00E74570" w:rsidP="00E74570">
      <w:pPr>
        <w:spacing w:line="276" w:lineRule="auto"/>
        <w:ind w:right="51" w:firstLine="709"/>
        <w:jc w:val="both"/>
        <w:rPr>
          <w:rFonts w:ascii="Verdana" w:eastAsia="Calibri" w:hAnsi="Verdana" w:cs="Arial"/>
          <w:color w:val="000000" w:themeColor="text1"/>
          <w:sz w:val="20"/>
          <w:szCs w:val="20"/>
        </w:rPr>
      </w:pPr>
      <w:r>
        <w:rPr>
          <w:rFonts w:ascii="Verdana" w:eastAsia="Calibri" w:hAnsi="Verdana" w:cs="Arial"/>
          <w:color w:val="000000" w:themeColor="text1"/>
        </w:rPr>
        <w:t>Por tanto, si dicho tercero cumple los requisitos de capacidad jurídica, no está incurso en causales de inhabilidad o incompatibilidad y, de acuerdo con los criterios previstos en el pliego de condiciones, es idóneo desde el punto de vista técnico, económico y financiero para cumplir con las obligaciones, la entidad podrá analizar la posibilidad de autorizar la cesión. Siempre que se cumpla este criterio mínimo, la entidad podrá valorar si el tercero cesionario debe tener las mismas o mayores aptitudes que el contratista cedente, pues la autorización para ceder es una potestad de naturaleza discrecional</w:t>
      </w:r>
      <w:r>
        <w:rPr>
          <w:rStyle w:val="Refdenotaalpie"/>
          <w:rFonts w:ascii="Verdana" w:eastAsia="Calibri" w:hAnsi="Verdana" w:cs="Arial"/>
          <w:color w:val="000000" w:themeColor="text1"/>
        </w:rPr>
        <w:footnoteReference w:id="16"/>
      </w:r>
      <w:r>
        <w:rPr>
          <w:rFonts w:ascii="Verdana" w:eastAsia="Calibri" w:hAnsi="Verdana" w:cs="Arial"/>
          <w:color w:val="000000" w:themeColor="text1"/>
        </w:rPr>
        <w:t xml:space="preserve">.   </w:t>
      </w:r>
    </w:p>
    <w:p w14:paraId="4D6F9176" w14:textId="77777777" w:rsidR="00E74570" w:rsidRPr="004C544B" w:rsidRDefault="00E74570" w:rsidP="00E74570">
      <w:pPr>
        <w:spacing w:line="276" w:lineRule="auto"/>
        <w:ind w:right="51" w:firstLine="709"/>
        <w:jc w:val="both"/>
        <w:rPr>
          <w:rFonts w:ascii="Verdana" w:eastAsia="Calibri" w:hAnsi="Verdana" w:cs="Arial"/>
          <w:color w:val="000000" w:themeColor="text1"/>
        </w:rPr>
      </w:pPr>
      <w:r w:rsidRPr="004C544B">
        <w:rPr>
          <w:rFonts w:ascii="Verdana" w:eastAsia="Calibri" w:hAnsi="Verdana" w:cs="Arial"/>
          <w:color w:val="000000" w:themeColor="text1"/>
        </w:rPr>
        <w:t xml:space="preserve">En suma, la Ley 80 de 1993 no reguló en su integridad la cesión del contrato, como tampoco lo hizo el Código Civil en el que se consagra la figura de la cesión de créditos –arts. 1959 y ss.–. En cambio, </w:t>
      </w:r>
      <w:bookmarkStart w:id="7" w:name="_Hlk79799730"/>
      <w:r w:rsidRPr="004C544B">
        <w:rPr>
          <w:rFonts w:ascii="Verdana" w:eastAsia="Calibri" w:hAnsi="Verdana" w:cs="Arial"/>
          <w:color w:val="000000" w:themeColor="text1"/>
        </w:rPr>
        <w:t xml:space="preserve">los artículos 887 a 896 </w:t>
      </w:r>
      <w:bookmarkEnd w:id="7"/>
      <w:r w:rsidRPr="004C544B">
        <w:rPr>
          <w:rFonts w:ascii="Verdana" w:eastAsia="Calibri" w:hAnsi="Verdana" w:cs="Arial"/>
          <w:color w:val="000000" w:themeColor="text1"/>
        </w:rPr>
        <w:t>del Código de Comercio definen la cesión del contrato. Por consiguiente, resultan aplicables las normas del derecho civil y comercial pertinentes, sobre cesión del crédito y cesión de contratos respectivamente, salvo en las materias particularmente reguladas por el Estatuto General de Contratación de la Administración Pública, como lo señala el artículo 13 de la Ley 80 de 1993.</w:t>
      </w:r>
      <w:r w:rsidRPr="004C544B">
        <w:rPr>
          <w:rFonts w:ascii="Verdana" w:hAnsi="Verdana" w:cs="Arial"/>
          <w:color w:val="000000" w:themeColor="text1"/>
        </w:rPr>
        <w:t xml:space="preserve"> </w:t>
      </w:r>
    </w:p>
    <w:bookmarkEnd w:id="6"/>
    <w:p w14:paraId="4C2C2B11" w14:textId="77777777" w:rsidR="00E74570" w:rsidRPr="00DE5DE4" w:rsidRDefault="00E74570" w:rsidP="00E74570">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De conformidad con los requisitos y las restricciones explicadas </w:t>
      </w:r>
      <w:r w:rsidRPr="004C544B">
        <w:rPr>
          <w:rFonts w:ascii="Verdana" w:eastAsia="Calibri" w:hAnsi="Verdana" w:cs="Arial"/>
          <w:i/>
          <w:iCs/>
          <w:color w:val="000000" w:themeColor="text1"/>
        </w:rPr>
        <w:t>ut supra</w:t>
      </w:r>
      <w:r w:rsidRPr="004C544B">
        <w:rPr>
          <w:rFonts w:ascii="Verdana" w:eastAsia="Calibri" w:hAnsi="Verdana" w:cs="Arial"/>
          <w:color w:val="000000" w:themeColor="text1"/>
        </w:rPr>
        <w:t>, en los contratos estatales cuya ejecución aún no haya sido cumplida en todo o en parte, el contratista podrá hacerse sustituir por un tercero en la relación derivada del contrato, quien en adelante ocupará su posición jurídica.</w:t>
      </w:r>
      <w:r w:rsidRPr="004C544B">
        <w:rPr>
          <w:rFonts w:ascii="Verdana" w:hAnsi="Verdana" w:cs="Arial"/>
          <w:color w:val="000000" w:themeColor="text1"/>
        </w:rPr>
        <w:t xml:space="preserve"> Es una de las posibilidades en las cuales existe una modificación de uno de los extremos </w:t>
      </w:r>
      <w:r w:rsidRPr="004C544B">
        <w:rPr>
          <w:rFonts w:ascii="Verdana" w:hAnsi="Verdana" w:cs="Arial"/>
          <w:color w:val="000000" w:themeColor="text1"/>
        </w:rPr>
        <w:lastRenderedPageBreak/>
        <w:t>de la relación contractual, es decir de uno de los sujetos, siempre que sea autorizada previamente por la entidad cedida, en cuyo caso requiere la suscripción de un contrato entre el cedente y el cesionario, de manera que es de carácter bilateral en la medida en que es el resultado de un acuerdo voluntades. Con fundamento en el contrato de cesión, el cesionario reemplaza –en todo o en parte– al contratista cedente en la ejecución del contrato estatal, respondiendo por el cumplimiento de las obligaciones frente a la Administración.</w:t>
      </w:r>
    </w:p>
    <w:p w14:paraId="557D04CA" w14:textId="77777777" w:rsidR="00E74570" w:rsidRDefault="00E74570" w:rsidP="00E74570">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82D9C84" w14:textId="77777777" w:rsidR="00E74570" w:rsidRPr="00185EE9" w:rsidRDefault="00E74570" w:rsidP="00E74570">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48DA3358" w14:textId="77777777" w:rsidR="00E74570" w:rsidRPr="00182C89" w:rsidRDefault="00E74570" w:rsidP="00E74570">
      <w:pPr>
        <w:tabs>
          <w:tab w:val="left" w:pos="709"/>
        </w:tabs>
        <w:spacing w:after="0" w:line="276" w:lineRule="auto"/>
        <w:jc w:val="both"/>
        <w:rPr>
          <w:rFonts w:ascii="Verdana" w:eastAsia="Calibri" w:hAnsi="Verdana" w:cs="Arial"/>
          <w:color w:val="000000" w:themeColor="text1"/>
        </w:rPr>
      </w:pPr>
    </w:p>
    <w:p w14:paraId="75F08411" w14:textId="77777777" w:rsidR="00E74570" w:rsidRPr="00593A5F" w:rsidRDefault="00E74570" w:rsidP="00E7457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7077CDC" w14:textId="77777777" w:rsidR="00E74570" w:rsidRPr="00593A5F" w:rsidRDefault="00E74570" w:rsidP="00E7457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74570" w:rsidRPr="002407CE" w14:paraId="1F339AA0" w14:textId="77777777" w:rsidTr="0065243C">
        <w:trPr>
          <w:trHeight w:val="870"/>
          <w:jc w:val="center"/>
        </w:trPr>
        <w:tc>
          <w:tcPr>
            <w:tcW w:w="8647" w:type="dxa"/>
          </w:tcPr>
          <w:p w14:paraId="654DC0FD" w14:textId="77777777" w:rsidR="00E74570" w:rsidRPr="00185EE9" w:rsidRDefault="00E74570" w:rsidP="0065243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13, 32, 40 y 41.</w:t>
            </w:r>
          </w:p>
          <w:p w14:paraId="72F1852C" w14:textId="77777777" w:rsidR="00E74570" w:rsidRPr="004923A3" w:rsidRDefault="00E74570" w:rsidP="0065243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185EE9">
              <w:rPr>
                <w:rFonts w:ascii="Verdana" w:hAnsi="Verdana" w:cs="Arial"/>
              </w:rPr>
              <w:t xml:space="preserve">Código Civil, artículos </w:t>
            </w:r>
            <w:r>
              <w:rPr>
                <w:rFonts w:ascii="Verdana" w:hAnsi="Verdana" w:cs="Arial"/>
              </w:rPr>
              <w:t>1501, 1959 y ss</w:t>
            </w:r>
            <w:r w:rsidRPr="00185EE9">
              <w:rPr>
                <w:rFonts w:ascii="Verdana" w:hAnsi="Verdana" w:cs="Arial"/>
              </w:rPr>
              <w:t>.</w:t>
            </w:r>
          </w:p>
          <w:p w14:paraId="368ECBF7" w14:textId="77777777" w:rsidR="00E74570" w:rsidRPr="00DA543F" w:rsidRDefault="00E74570" w:rsidP="0065243C">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Código de Comercio, artículos 887 y ss.</w:t>
            </w:r>
          </w:p>
        </w:tc>
      </w:tr>
    </w:tbl>
    <w:p w14:paraId="19BFA213" w14:textId="77777777" w:rsidR="00E74570" w:rsidRPr="002407CE" w:rsidRDefault="00E74570" w:rsidP="00E74570">
      <w:pPr>
        <w:widowControl w:val="0"/>
        <w:autoSpaceDE w:val="0"/>
        <w:autoSpaceDN w:val="0"/>
        <w:spacing w:after="0" w:line="276" w:lineRule="auto"/>
        <w:jc w:val="both"/>
        <w:rPr>
          <w:rFonts w:ascii="Verdana" w:hAnsi="Verdana" w:cs="Arial"/>
        </w:rPr>
      </w:pPr>
    </w:p>
    <w:p w14:paraId="67B98459" w14:textId="77777777" w:rsidR="00E74570" w:rsidRPr="00593A5F" w:rsidRDefault="00E74570" w:rsidP="00E7457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317352E" w14:textId="77777777" w:rsidR="00E74570" w:rsidRPr="00593A5F" w:rsidRDefault="00E74570" w:rsidP="00E74570">
      <w:pPr>
        <w:widowControl w:val="0"/>
        <w:autoSpaceDE w:val="0"/>
        <w:autoSpaceDN w:val="0"/>
        <w:spacing w:after="0" w:line="276" w:lineRule="auto"/>
        <w:jc w:val="both"/>
        <w:rPr>
          <w:rFonts w:ascii="Verdana" w:hAnsi="Verdana" w:cs="Arial"/>
        </w:rPr>
      </w:pPr>
    </w:p>
    <w:p w14:paraId="3C60004D" w14:textId="77777777" w:rsidR="00E74570" w:rsidRPr="00ED0098" w:rsidRDefault="00E74570" w:rsidP="00E74570">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cesión de contratos en los </w:t>
      </w:r>
      <w:r>
        <w:rPr>
          <w:rFonts w:ascii="Verdana" w:hAnsi="Verdana" w:cs="Arial"/>
          <w:shd w:val="clear" w:color="auto" w:fill="FFFFFF"/>
        </w:rPr>
        <w:lastRenderedPageBreak/>
        <w:t xml:space="preserve">Conceptos </w:t>
      </w:r>
      <w:r w:rsidRPr="00DE2AC7">
        <w:rPr>
          <w:rFonts w:ascii="Verdana" w:hAnsi="Verdana" w:cs="Arial"/>
          <w:shd w:val="clear" w:color="auto" w:fill="FFFFFF"/>
        </w:rPr>
        <w:t>4201913000007643 y 4201913000007669 del 26 de diciembre de 2019, así como en los Conceptos C-551 del 24 de septiembre de 2020, C-572 del 27 de agosto de 2020, C-582 del 28 de agosto de 2020, C-385 del 20 de agosto de 2021, C-069 del 24 de abril de 2023</w:t>
      </w:r>
      <w:r>
        <w:rPr>
          <w:rFonts w:ascii="Verdana" w:hAnsi="Verdana" w:cs="Arial"/>
          <w:shd w:val="clear" w:color="auto" w:fill="FFFFFF"/>
        </w:rPr>
        <w:t>,</w:t>
      </w:r>
      <w:r w:rsidRPr="00DE2AC7">
        <w:rPr>
          <w:rFonts w:ascii="Verdana" w:hAnsi="Verdana" w:cs="Arial"/>
          <w:shd w:val="clear" w:color="auto" w:fill="FFFFFF"/>
        </w:rPr>
        <w:t xml:space="preserve"> C-868 del 20 de diciembre de 2024</w:t>
      </w:r>
      <w:r>
        <w:rPr>
          <w:rFonts w:ascii="Verdana" w:hAnsi="Verdana" w:cs="Arial"/>
          <w:shd w:val="clear" w:color="auto" w:fill="FFFFFF"/>
        </w:rPr>
        <w:t>, C-880 del 30 de diciembre de 2024, C-214 del 25 de marzo de 2025 y C-675 del 4 de junio de 2025</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9F8549A" w14:textId="77777777" w:rsidR="00E74570" w:rsidRPr="00096788" w:rsidRDefault="00E74570" w:rsidP="00E74570">
      <w:pPr>
        <w:widowControl w:val="0"/>
        <w:autoSpaceDE w:val="0"/>
        <w:autoSpaceDN w:val="0"/>
        <w:spacing w:after="0" w:line="276" w:lineRule="auto"/>
        <w:jc w:val="both"/>
        <w:rPr>
          <w:rFonts w:ascii="Verdana" w:hAnsi="Verdana" w:cs="Arial"/>
          <w:color w:val="000000" w:themeColor="text1"/>
          <w:shd w:val="clear" w:color="auto" w:fill="FFFFFF"/>
        </w:rPr>
      </w:pPr>
    </w:p>
    <w:p w14:paraId="56D26E7D" w14:textId="77777777" w:rsidR="00E74570" w:rsidRPr="00E440FD" w:rsidRDefault="00E74570" w:rsidP="00E74570">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61E58361" w14:textId="77777777" w:rsidR="00E74570" w:rsidRPr="009C4035" w:rsidRDefault="00E74570" w:rsidP="00E74570">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CEE1580" w14:textId="77777777" w:rsidR="00E74570" w:rsidRPr="00593A5F" w:rsidRDefault="00E74570" w:rsidP="00E74570">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4BBB39B" w14:textId="77777777" w:rsidR="00E74570" w:rsidRPr="00593A5F" w:rsidRDefault="00E74570" w:rsidP="00E74570">
      <w:pPr>
        <w:widowControl w:val="0"/>
        <w:autoSpaceDE w:val="0"/>
        <w:autoSpaceDN w:val="0"/>
        <w:spacing w:after="0" w:line="276" w:lineRule="auto"/>
        <w:jc w:val="both"/>
        <w:rPr>
          <w:rFonts w:ascii="Verdana" w:hAnsi="Verdana" w:cs="Arial"/>
        </w:rPr>
      </w:pPr>
    </w:p>
    <w:p w14:paraId="7FE60E8E" w14:textId="77777777" w:rsidR="00E74570" w:rsidRPr="00593A5F" w:rsidRDefault="00E74570" w:rsidP="00E7457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7C96834" w14:textId="654488BC" w:rsidR="00E74570" w:rsidRPr="00593A5F" w:rsidRDefault="00DF30F1" w:rsidP="00E74570">
      <w:pPr>
        <w:spacing w:line="276" w:lineRule="auto"/>
        <w:jc w:val="center"/>
        <w:rPr>
          <w:rFonts w:ascii="Verdana" w:hAnsi="Verdana" w:cs="Arial"/>
          <w:color w:val="000000"/>
          <w:lang w:val="es-ES_tradnl" w:eastAsia="es-CO"/>
        </w:rPr>
      </w:pPr>
      <w:r>
        <w:rPr>
          <w:noProof/>
        </w:rPr>
        <w:drawing>
          <wp:inline distT="0" distB="0" distL="0" distR="0" wp14:anchorId="113E7F99" wp14:editId="25B1C84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74570" w:rsidRPr="00593A5F" w14:paraId="580B16E7" w14:textId="77777777" w:rsidTr="0065243C">
        <w:trPr>
          <w:trHeight w:val="315"/>
        </w:trPr>
        <w:tc>
          <w:tcPr>
            <w:tcW w:w="893" w:type="dxa"/>
            <w:vAlign w:val="center"/>
            <w:hideMark/>
          </w:tcPr>
          <w:p w14:paraId="44AF6E14" w14:textId="77777777" w:rsidR="00E74570" w:rsidRPr="003751C7" w:rsidRDefault="00E74570" w:rsidP="0065243C">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91ED148" w14:textId="77777777" w:rsidR="00E74570" w:rsidRPr="00254A7A" w:rsidRDefault="00E74570" w:rsidP="0065243C">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E4F6CBB" w14:textId="77777777" w:rsidR="00E74570" w:rsidRPr="00254A7A" w:rsidRDefault="00E74570" w:rsidP="0065243C">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E74570" w:rsidRPr="00593A5F" w14:paraId="367BF65D" w14:textId="77777777" w:rsidTr="0065243C">
        <w:trPr>
          <w:trHeight w:val="330"/>
        </w:trPr>
        <w:tc>
          <w:tcPr>
            <w:tcW w:w="893" w:type="dxa"/>
            <w:vAlign w:val="center"/>
            <w:hideMark/>
          </w:tcPr>
          <w:p w14:paraId="3C7A7502" w14:textId="77777777" w:rsidR="00E74570" w:rsidRPr="003751C7" w:rsidRDefault="00E74570" w:rsidP="0065243C">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0E7A671" w14:textId="77777777" w:rsidR="00E74570" w:rsidRPr="001B6B73" w:rsidRDefault="00E74570" w:rsidP="0065243C">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11E9194A" w14:textId="77777777" w:rsidR="00E74570" w:rsidRPr="00254A7A" w:rsidRDefault="00E74570" w:rsidP="0065243C">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E74570" w:rsidRPr="00593A5F" w14:paraId="1EB5F317" w14:textId="77777777" w:rsidTr="0065243C">
        <w:trPr>
          <w:trHeight w:val="300"/>
        </w:trPr>
        <w:tc>
          <w:tcPr>
            <w:tcW w:w="893" w:type="dxa"/>
            <w:vAlign w:val="center"/>
          </w:tcPr>
          <w:p w14:paraId="4CA71664" w14:textId="77777777" w:rsidR="00E74570" w:rsidRPr="003751C7" w:rsidRDefault="00E74570" w:rsidP="0065243C">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112D48B" w14:textId="77777777" w:rsidR="00E74570" w:rsidRPr="003751C7" w:rsidRDefault="00E74570" w:rsidP="0065243C">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A70A6A6" w14:textId="77777777" w:rsidR="00E74570" w:rsidRPr="003751C7" w:rsidRDefault="00E74570" w:rsidP="0065243C">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453B8974" w14:textId="77777777" w:rsidR="00E74570" w:rsidRPr="00543BFE" w:rsidRDefault="00E74570" w:rsidP="00E74570"/>
    <w:p w14:paraId="0F293BF4" w14:textId="4E4306FF" w:rsidR="00127233" w:rsidRPr="00781ECA" w:rsidRDefault="00127233" w:rsidP="00781ECA"/>
    <w:sectPr w:rsidR="00127233" w:rsidRPr="00781EC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6BAF6" w14:textId="77777777" w:rsidR="00610AB5" w:rsidRDefault="00610AB5" w:rsidP="004A1847">
      <w:pPr>
        <w:spacing w:after="0" w:line="240" w:lineRule="auto"/>
      </w:pPr>
      <w:r>
        <w:separator/>
      </w:r>
    </w:p>
  </w:endnote>
  <w:endnote w:type="continuationSeparator" w:id="0">
    <w:p w14:paraId="6DB7B6BD" w14:textId="77777777" w:rsidR="00610AB5" w:rsidRDefault="00610AB5" w:rsidP="004A1847">
      <w:pPr>
        <w:spacing w:after="0" w:line="240" w:lineRule="auto"/>
      </w:pPr>
      <w:r>
        <w:continuationSeparator/>
      </w:r>
    </w:p>
  </w:endnote>
  <w:endnote w:type="continuationNotice" w:id="1">
    <w:p w14:paraId="2B40A84F" w14:textId="77777777" w:rsidR="00610AB5" w:rsidRDefault="00610A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6B410" w14:textId="77777777" w:rsidR="00610AB5" w:rsidRDefault="00610AB5" w:rsidP="004A1847">
      <w:pPr>
        <w:spacing w:after="0" w:line="240" w:lineRule="auto"/>
      </w:pPr>
      <w:r>
        <w:separator/>
      </w:r>
    </w:p>
  </w:footnote>
  <w:footnote w:type="continuationSeparator" w:id="0">
    <w:p w14:paraId="74A5C5C4" w14:textId="77777777" w:rsidR="00610AB5" w:rsidRDefault="00610AB5" w:rsidP="004A1847">
      <w:pPr>
        <w:spacing w:after="0" w:line="240" w:lineRule="auto"/>
      </w:pPr>
      <w:r>
        <w:continuationSeparator/>
      </w:r>
    </w:p>
  </w:footnote>
  <w:footnote w:type="continuationNotice" w:id="1">
    <w:p w14:paraId="376D2055" w14:textId="77777777" w:rsidR="00610AB5" w:rsidRDefault="00610AB5">
      <w:pPr>
        <w:spacing w:after="0" w:line="240" w:lineRule="auto"/>
      </w:pPr>
    </w:p>
  </w:footnote>
  <w:footnote w:id="2">
    <w:p w14:paraId="38CB7138" w14:textId="77777777" w:rsidR="00E74570" w:rsidRPr="004C544B" w:rsidRDefault="00E74570" w:rsidP="00E74570">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6FC33A8C" w14:textId="77777777" w:rsidR="00E74570" w:rsidRPr="004C544B" w:rsidRDefault="00E74570" w:rsidP="00E74570">
      <w:pPr>
        <w:pStyle w:val="Textonotapie"/>
        <w:ind w:firstLine="708"/>
        <w:jc w:val="both"/>
        <w:rPr>
          <w:rFonts w:ascii="Verdana" w:hAnsi="Verdana" w:cs="Arial"/>
          <w:sz w:val="16"/>
          <w:szCs w:val="16"/>
        </w:rPr>
      </w:pPr>
      <w:r w:rsidRPr="004C544B">
        <w:rPr>
          <w:rFonts w:ascii="Verdana" w:hAnsi="Verdana" w:cs="Arial"/>
          <w:sz w:val="16"/>
          <w:szCs w:val="16"/>
        </w:rPr>
        <w:t xml:space="preserve">La misma sustitución podrá hacerse en los contratos mercantiles de ejecución instantánea que aún no hayan sido cumplidos en todo o en parte, y en los celebrados </w:t>
      </w:r>
      <w:r w:rsidRPr="004C544B">
        <w:rPr>
          <w:rFonts w:ascii="Verdana" w:hAnsi="Verdana" w:cs="Arial"/>
          <w:i/>
          <w:iCs/>
          <w:sz w:val="16"/>
          <w:szCs w:val="16"/>
        </w:rPr>
        <w:t>intuitu personae</w:t>
      </w:r>
      <w:r w:rsidRPr="004C544B">
        <w:rPr>
          <w:rFonts w:ascii="Verdana" w:hAnsi="Verdana" w:cs="Arial"/>
          <w:sz w:val="16"/>
          <w:szCs w:val="16"/>
        </w:rPr>
        <w:t>, pero en estos casos será necesaria la aceptación del contratante cedido”.</w:t>
      </w:r>
    </w:p>
    <w:p w14:paraId="2FA9F875" w14:textId="77777777" w:rsidR="00E74570" w:rsidRPr="004C544B" w:rsidRDefault="00E74570" w:rsidP="00E74570">
      <w:pPr>
        <w:pStyle w:val="Textonotapie"/>
        <w:ind w:firstLine="708"/>
        <w:jc w:val="both"/>
        <w:rPr>
          <w:rFonts w:ascii="Verdana" w:hAnsi="Verdana" w:cs="Arial"/>
          <w:sz w:val="16"/>
          <w:szCs w:val="16"/>
        </w:rPr>
      </w:pPr>
      <w:r w:rsidRPr="004C544B">
        <w:rPr>
          <w:rFonts w:ascii="Verdana" w:hAnsi="Verdana" w:cs="Arial"/>
          <w:sz w:val="16"/>
          <w:szCs w:val="16"/>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footnote>
  <w:footnote w:id="3">
    <w:p w14:paraId="26AD740D" w14:textId="77777777" w:rsidR="00E74570" w:rsidRPr="004C544B" w:rsidRDefault="00E74570" w:rsidP="00E74570">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ANDREOLI, Marcello. La cesión del contrato. Santiago: Ediciones Olejnik, 2019. p. 12. Énfasis dentro del texto. En este contexto, “La cesión del contrato sirve para hacer posible la </w:t>
      </w:r>
      <w:r w:rsidRPr="004C544B">
        <w:rPr>
          <w:rFonts w:ascii="Verdana" w:hAnsi="Verdana" w:cs="Arial"/>
          <w:i/>
          <w:iCs/>
          <w:sz w:val="16"/>
          <w:szCs w:val="16"/>
        </w:rPr>
        <w:t>circulación del contrato en su integridad</w:t>
      </w:r>
      <w:r w:rsidRPr="004C544B">
        <w:rPr>
          <w:rFonts w:ascii="Verdana" w:hAnsi="Verdana" w:cs="Arial"/>
          <w:sz w:val="16"/>
          <w:szCs w:val="16"/>
        </w:rPr>
        <w:t xml:space="preserve">, es decir, para hacer </w:t>
      </w:r>
      <w:r w:rsidRPr="004C544B">
        <w:rPr>
          <w:rFonts w:ascii="Verdana" w:hAnsi="Verdana" w:cs="Arial"/>
          <w:i/>
          <w:iCs/>
          <w:sz w:val="16"/>
          <w:szCs w:val="16"/>
        </w:rPr>
        <w:t>subintrar</w:t>
      </w:r>
      <w:r w:rsidRPr="004C544B">
        <w:rPr>
          <w:rFonts w:ascii="Verdana" w:hAnsi="Verdana" w:cs="Arial"/>
          <w:sz w:val="16"/>
          <w:szCs w:val="16"/>
        </w:rPr>
        <w:t xml:space="preserve"> un extraño en la categoría de </w:t>
      </w:r>
      <w:r w:rsidRPr="004C544B">
        <w:rPr>
          <w:rFonts w:ascii="Verdana" w:hAnsi="Verdana" w:cs="Arial"/>
          <w:i/>
          <w:iCs/>
          <w:sz w:val="16"/>
          <w:szCs w:val="16"/>
        </w:rPr>
        <w:t>parte</w:t>
      </w:r>
      <w:r w:rsidRPr="004C544B">
        <w:rPr>
          <w:rFonts w:ascii="Verdana" w:hAnsi="Verdana" w:cs="Arial"/>
          <w:sz w:val="16"/>
          <w:szCs w:val="16"/>
        </w:rPr>
        <w:t xml:space="preserve"> contractual, </w:t>
      </w:r>
      <w:r w:rsidRPr="004C544B">
        <w:rPr>
          <w:rFonts w:ascii="Verdana" w:hAnsi="Verdana" w:cs="Arial"/>
          <w:i/>
          <w:iCs/>
          <w:sz w:val="16"/>
          <w:szCs w:val="16"/>
        </w:rPr>
        <w:t>en lugar</w:t>
      </w:r>
      <w:r w:rsidRPr="004C544B">
        <w:rPr>
          <w:rFonts w:ascii="Verdana" w:hAnsi="Verdana" w:cs="Arial"/>
          <w:sz w:val="16"/>
          <w:szCs w:val="16"/>
        </w:rPr>
        <w:t xml:space="preserve"> de uno de los contratantes originarios” (MESSINEO, Francesco. Doctrina general del contrato. Santiago: Olejnik, 2018. p. 633. Énfasis dentro del texto).</w:t>
      </w:r>
    </w:p>
  </w:footnote>
  <w:footnote w:id="4">
    <w:p w14:paraId="6749DE80" w14:textId="77777777" w:rsidR="00E74570" w:rsidRPr="004C544B" w:rsidRDefault="00E74570" w:rsidP="00E74570">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ROPPO, Vincenzo. El contrato. Lima: Gaceta Jurídica, 2009. p. 547.</w:t>
      </w:r>
    </w:p>
  </w:footnote>
  <w:footnote w:id="5">
    <w:p w14:paraId="17E9D528" w14:textId="77777777" w:rsidR="00E74570" w:rsidRPr="004C544B" w:rsidRDefault="00E74570" w:rsidP="00E74570">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4C544B">
        <w:rPr>
          <w:rFonts w:ascii="Verdana" w:hAnsi="Verdana" w:cs="Arial"/>
          <w:i/>
          <w:iCs/>
          <w:sz w:val="16"/>
          <w:szCs w:val="16"/>
        </w:rPr>
        <w:t>Ibidem</w:t>
      </w:r>
      <w:r w:rsidRPr="004C544B">
        <w:rPr>
          <w:rFonts w:ascii="Verdana" w:hAnsi="Verdana" w:cs="Arial"/>
          <w:sz w:val="16"/>
          <w:szCs w:val="16"/>
        </w:rPr>
        <w:t>.</w:t>
      </w:r>
    </w:p>
  </w:footnote>
  <w:footnote w:id="6">
    <w:p w14:paraId="00A30E4A" w14:textId="77777777" w:rsidR="00E74570" w:rsidRPr="004C544B" w:rsidRDefault="00E74570" w:rsidP="00E74570">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   </w:t>
      </w:r>
    </w:p>
  </w:footnote>
  <w:footnote w:id="7">
    <w:p w14:paraId="0A67ED8D" w14:textId="77777777" w:rsidR="00E74570" w:rsidRPr="004C544B" w:rsidRDefault="00E74570" w:rsidP="00E74570">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890. El que cede un contrato se obliga a responder de la existencia y validez del mismo y de sus garantías, pero, salvo estipulación expresa en contrario, no responderá de su cumplimiento por parte del otro contratante y de los garantes”.</w:t>
      </w:r>
    </w:p>
  </w:footnote>
  <w:footnote w:id="8">
    <w:p w14:paraId="5010E455" w14:textId="77777777" w:rsidR="00E74570" w:rsidRPr="004C544B" w:rsidRDefault="00E74570" w:rsidP="00E74570">
      <w:pPr>
        <w:pStyle w:val="Textonotapie"/>
        <w:ind w:firstLine="709"/>
        <w:jc w:val="both"/>
        <w:rPr>
          <w:rFonts w:ascii="Verdana" w:hAnsi="Verdana" w:cs="Arial"/>
          <w:sz w:val="16"/>
          <w:szCs w:val="16"/>
          <w:lang w:val="es-CO"/>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footnote>
  <w:footnote w:id="9">
    <w:p w14:paraId="3314795E" w14:textId="77777777" w:rsidR="00E74570" w:rsidRPr="004C544B" w:rsidRDefault="00E74570" w:rsidP="00E74570">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3380DD45" w14:textId="77777777" w:rsidR="00E74570" w:rsidRPr="004C544B" w:rsidRDefault="00E74570" w:rsidP="00E74570">
      <w:pPr>
        <w:pStyle w:val="Textonotapie"/>
        <w:ind w:firstLine="709"/>
        <w:jc w:val="both"/>
        <w:rPr>
          <w:rFonts w:ascii="Verdana" w:hAnsi="Verdana" w:cs="Arial"/>
          <w:sz w:val="16"/>
          <w:szCs w:val="16"/>
        </w:rPr>
      </w:pPr>
      <w:r w:rsidRPr="004C544B">
        <w:rPr>
          <w:rFonts w:ascii="Verdana" w:hAnsi="Verdana" w:cs="Arial"/>
          <w:sz w:val="16"/>
          <w:szCs w:val="16"/>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footnote>
  <w:footnote w:id="10">
    <w:p w14:paraId="71B57CE6" w14:textId="77777777" w:rsidR="00E74570" w:rsidRPr="004C544B" w:rsidRDefault="00E74570" w:rsidP="00E74570">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5A8585C7" w14:textId="77777777" w:rsidR="00E74570" w:rsidRPr="004C544B" w:rsidRDefault="00E74570" w:rsidP="00E74570">
      <w:pPr>
        <w:pStyle w:val="Textonotapie"/>
        <w:ind w:firstLine="708"/>
        <w:jc w:val="both"/>
        <w:rPr>
          <w:rFonts w:ascii="Verdana" w:hAnsi="Verdana" w:cs="Arial"/>
          <w:sz w:val="16"/>
          <w:szCs w:val="16"/>
        </w:rPr>
      </w:pPr>
      <w:r w:rsidRPr="004C544B">
        <w:rPr>
          <w:rFonts w:ascii="Verdana" w:hAnsi="Verdana" w:cs="Arial"/>
          <w:sz w:val="16"/>
          <w:szCs w:val="16"/>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footnote>
  <w:footnote w:id="11">
    <w:p w14:paraId="4F6A17A8" w14:textId="77777777" w:rsidR="00E74570" w:rsidRPr="004C544B" w:rsidRDefault="00E74570" w:rsidP="00E74570">
      <w:pPr>
        <w:pStyle w:val="Textonotapie"/>
        <w:ind w:firstLine="708"/>
        <w:jc w:val="both"/>
        <w:rPr>
          <w:rFonts w:ascii="Verdana" w:hAnsi="Verdana" w:cs="Arial"/>
          <w:sz w:val="16"/>
          <w:szCs w:val="16"/>
          <w:lang w:val="es-ES"/>
        </w:rPr>
      </w:pPr>
      <w:r w:rsidRPr="004C544B">
        <w:rPr>
          <w:rStyle w:val="Refdenotaalpie"/>
          <w:rFonts w:ascii="Verdana" w:hAnsi="Verdana" w:cs="Arial"/>
          <w:sz w:val="16"/>
          <w:szCs w:val="16"/>
        </w:rPr>
        <w:footnoteRef/>
      </w:r>
      <w:r w:rsidRPr="004C544B">
        <w:rPr>
          <w:rFonts w:ascii="Verdana" w:hAnsi="Verdana" w:cs="Arial"/>
          <w:sz w:val="16"/>
          <w:szCs w:val="16"/>
        </w:rPr>
        <w:t xml:space="preserve"> MARIENHOFF, Miguel S. Tratado de derecho administrativo. Tomo IIIA. Cuarta Edición. Buenos Aires: Abeledo Perrot, 1998. p. 318. Énfasis dentro del texto.</w:t>
      </w:r>
    </w:p>
  </w:footnote>
  <w:footnote w:id="12">
    <w:p w14:paraId="341A653E" w14:textId="77777777" w:rsidR="00E74570" w:rsidRPr="004C544B" w:rsidRDefault="00E74570" w:rsidP="00E74570">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RAMÍREZ GRISALES, Richard. La cesión. Serie: Las cláusulas del contrato estatal. Medellín: Centro de Estudios de Derecho Administrativo –CEDA– y Librería Jurídica Sánchez R., 2014. pp. 71-72.</w:t>
      </w:r>
    </w:p>
  </w:footnote>
  <w:footnote w:id="13">
    <w:p w14:paraId="73AAD3DC" w14:textId="77777777" w:rsidR="00E74570" w:rsidRPr="004C544B" w:rsidRDefault="00E74570" w:rsidP="00E74570">
      <w:pPr>
        <w:pStyle w:val="Textonotapie"/>
        <w:ind w:firstLine="709"/>
        <w:jc w:val="both"/>
        <w:rPr>
          <w:rFonts w:ascii="Verdana" w:hAnsi="Verdana" w:cs="Arial"/>
          <w:sz w:val="16"/>
          <w:szCs w:val="16"/>
          <w:lang w:val="es-ES"/>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4C544B">
        <w:rPr>
          <w:rFonts w:ascii="Verdana" w:hAnsi="Verdana" w:cs="Arial"/>
          <w:sz w:val="16"/>
          <w:szCs w:val="16"/>
          <w:lang w:val="es-ES"/>
        </w:rPr>
        <w:t>CONSEJO DE ESTADO</w:t>
      </w:r>
      <w:r>
        <w:rPr>
          <w:rFonts w:ascii="Verdana" w:hAnsi="Verdana" w:cs="Arial"/>
          <w:sz w:val="16"/>
          <w:szCs w:val="16"/>
          <w:lang w:val="es-ES"/>
        </w:rPr>
        <w:t>.</w:t>
      </w:r>
      <w:r w:rsidRPr="004C544B">
        <w:rPr>
          <w:rFonts w:ascii="Verdana" w:hAnsi="Verdana" w:cs="Arial"/>
          <w:sz w:val="16"/>
          <w:szCs w:val="16"/>
          <w:lang w:val="es-ES"/>
        </w:rPr>
        <w:t xml:space="preserve"> Sección Tercera</w:t>
      </w:r>
      <w:r>
        <w:rPr>
          <w:rFonts w:ascii="Verdana" w:hAnsi="Verdana" w:cs="Arial"/>
          <w:sz w:val="16"/>
          <w:szCs w:val="16"/>
          <w:lang w:val="es-ES"/>
        </w:rPr>
        <w:t>.</w:t>
      </w:r>
      <w:r w:rsidRPr="004C544B">
        <w:rPr>
          <w:rFonts w:ascii="Verdana" w:hAnsi="Verdana" w:cs="Arial"/>
          <w:sz w:val="16"/>
          <w:szCs w:val="16"/>
          <w:lang w:val="es-ES"/>
        </w:rPr>
        <w:t xml:space="preserve"> Sentencia del 16 de marzo de 2015</w:t>
      </w:r>
      <w:r>
        <w:rPr>
          <w:rFonts w:ascii="Verdana" w:hAnsi="Verdana" w:cs="Arial"/>
          <w:sz w:val="16"/>
          <w:szCs w:val="16"/>
          <w:lang w:val="es-ES"/>
        </w:rPr>
        <w:t>.</w:t>
      </w:r>
      <w:r w:rsidRPr="004C544B">
        <w:rPr>
          <w:rFonts w:ascii="Verdana" w:hAnsi="Verdana" w:cs="Arial"/>
          <w:sz w:val="16"/>
          <w:szCs w:val="16"/>
          <w:lang w:val="es-ES"/>
        </w:rPr>
        <w:t xml:space="preserve"> Rad. 1999-03028, M.P. Jaime Orlando Santofimio Gamboa.</w:t>
      </w:r>
    </w:p>
  </w:footnote>
  <w:footnote w:id="14">
    <w:p w14:paraId="7B8EA50A" w14:textId="77777777" w:rsidR="00E74570" w:rsidRPr="004C544B" w:rsidRDefault="00E74570" w:rsidP="00E74570">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RAMÍREZ GRISALES, La cesión… Op. cit., pp.162-163. </w:t>
      </w:r>
    </w:p>
  </w:footnote>
  <w:footnote w:id="15">
    <w:p w14:paraId="2A5E7615" w14:textId="77777777" w:rsidR="00E74570" w:rsidRPr="003A34AF" w:rsidRDefault="00E74570" w:rsidP="00E74570">
      <w:pPr>
        <w:pStyle w:val="Textonotapie"/>
        <w:ind w:firstLine="708"/>
        <w:jc w:val="both"/>
        <w:rPr>
          <w:rFonts w:ascii="Verdana" w:hAnsi="Verdana"/>
          <w:sz w:val="16"/>
          <w:szCs w:val="16"/>
          <w:lang w:val="es-CO"/>
        </w:rPr>
      </w:pPr>
      <w:r w:rsidRPr="003A34AF">
        <w:rPr>
          <w:rStyle w:val="Refdenotaalpie"/>
          <w:rFonts w:ascii="Verdana" w:hAnsi="Verdana"/>
          <w:sz w:val="16"/>
          <w:szCs w:val="16"/>
        </w:rPr>
        <w:footnoteRef/>
      </w:r>
      <w:r w:rsidRPr="003A34AF">
        <w:rPr>
          <w:rFonts w:ascii="Verdana" w:hAnsi="Verdana"/>
          <w:sz w:val="16"/>
          <w:szCs w:val="16"/>
        </w:rPr>
        <w:t xml:space="preserve"> </w:t>
      </w:r>
      <w:r>
        <w:rPr>
          <w:rFonts w:ascii="Verdana" w:hAnsi="Verdana"/>
          <w:sz w:val="16"/>
          <w:szCs w:val="16"/>
        </w:rPr>
        <w:t>TARELLO, Govanni. La interpretación de la ley. Lima: Palestra Editores, 2013. p. 313.</w:t>
      </w:r>
    </w:p>
  </w:footnote>
  <w:footnote w:id="16">
    <w:p w14:paraId="04E4CA71" w14:textId="77777777" w:rsidR="00E74570" w:rsidRPr="00796439" w:rsidRDefault="00E74570" w:rsidP="00E74570">
      <w:pPr>
        <w:pStyle w:val="Textonotapie"/>
        <w:ind w:firstLine="708"/>
        <w:jc w:val="both"/>
        <w:rPr>
          <w:rFonts w:ascii="Verdana" w:hAnsi="Verdana"/>
          <w:sz w:val="16"/>
          <w:szCs w:val="16"/>
          <w:lang w:val="es-CO"/>
        </w:rPr>
      </w:pPr>
      <w:r w:rsidRPr="009C68A8">
        <w:rPr>
          <w:rStyle w:val="Refdenotaalpie"/>
          <w:rFonts w:ascii="Verdana" w:hAnsi="Verdana"/>
          <w:sz w:val="16"/>
          <w:szCs w:val="16"/>
        </w:rPr>
        <w:footnoteRef/>
      </w:r>
      <w:r w:rsidRPr="009C68A8">
        <w:rPr>
          <w:rFonts w:ascii="Verdana" w:hAnsi="Verdana"/>
          <w:sz w:val="16"/>
          <w:szCs w:val="16"/>
        </w:rPr>
        <w:t xml:space="preserve"> </w:t>
      </w:r>
      <w:r w:rsidRPr="00796439">
        <w:rPr>
          <w:rFonts w:ascii="Verdana" w:hAnsi="Verdana"/>
          <w:sz w:val="16"/>
          <w:szCs w:val="16"/>
        </w:rPr>
        <w:t>RAMÍREZ GRISALES,</w:t>
      </w:r>
      <w:r w:rsidRPr="004C544B">
        <w:rPr>
          <w:rFonts w:ascii="Verdana" w:hAnsi="Verdana" w:cs="Arial"/>
          <w:sz w:val="16"/>
          <w:szCs w:val="16"/>
        </w:rPr>
        <w:t xml:space="preserve"> La cesión… </w:t>
      </w:r>
      <w:r w:rsidRPr="00796439">
        <w:rPr>
          <w:rFonts w:ascii="Verdana" w:hAnsi="Verdana"/>
          <w:sz w:val="16"/>
          <w:szCs w:val="16"/>
        </w:rPr>
        <w:t>Op cit., p. 146.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6C2A"/>
    <w:rsid w:val="0005646C"/>
    <w:rsid w:val="00061B2A"/>
    <w:rsid w:val="00082362"/>
    <w:rsid w:val="000A683E"/>
    <w:rsid w:val="000B19B9"/>
    <w:rsid w:val="000D0334"/>
    <w:rsid w:val="000F6486"/>
    <w:rsid w:val="00125105"/>
    <w:rsid w:val="00127233"/>
    <w:rsid w:val="00182398"/>
    <w:rsid w:val="001E4177"/>
    <w:rsid w:val="001F7DC6"/>
    <w:rsid w:val="002421BB"/>
    <w:rsid w:val="0025796E"/>
    <w:rsid w:val="002707A2"/>
    <w:rsid w:val="002925C4"/>
    <w:rsid w:val="002951A0"/>
    <w:rsid w:val="002962BC"/>
    <w:rsid w:val="002A093D"/>
    <w:rsid w:val="002A0DD0"/>
    <w:rsid w:val="002A49AC"/>
    <w:rsid w:val="002A64FD"/>
    <w:rsid w:val="002C7A84"/>
    <w:rsid w:val="002E4FD9"/>
    <w:rsid w:val="00322A85"/>
    <w:rsid w:val="00324168"/>
    <w:rsid w:val="003448F4"/>
    <w:rsid w:val="00374F5E"/>
    <w:rsid w:val="00377E3E"/>
    <w:rsid w:val="0039664D"/>
    <w:rsid w:val="003A779E"/>
    <w:rsid w:val="003D0F4D"/>
    <w:rsid w:val="003D5B0D"/>
    <w:rsid w:val="003E0499"/>
    <w:rsid w:val="003F3941"/>
    <w:rsid w:val="003F63DE"/>
    <w:rsid w:val="00405EE4"/>
    <w:rsid w:val="00406575"/>
    <w:rsid w:val="00414C74"/>
    <w:rsid w:val="0042722E"/>
    <w:rsid w:val="0044528D"/>
    <w:rsid w:val="0045187E"/>
    <w:rsid w:val="004A1847"/>
    <w:rsid w:val="004A305D"/>
    <w:rsid w:val="004D3383"/>
    <w:rsid w:val="004F21C4"/>
    <w:rsid w:val="004F685F"/>
    <w:rsid w:val="0052058F"/>
    <w:rsid w:val="005566E8"/>
    <w:rsid w:val="00574867"/>
    <w:rsid w:val="00591460"/>
    <w:rsid w:val="005C3777"/>
    <w:rsid w:val="005C5CDC"/>
    <w:rsid w:val="005D476C"/>
    <w:rsid w:val="00610AB5"/>
    <w:rsid w:val="006219F8"/>
    <w:rsid w:val="006302F7"/>
    <w:rsid w:val="00636823"/>
    <w:rsid w:val="00665D70"/>
    <w:rsid w:val="006900D9"/>
    <w:rsid w:val="006A760C"/>
    <w:rsid w:val="00701491"/>
    <w:rsid w:val="00706C16"/>
    <w:rsid w:val="00756841"/>
    <w:rsid w:val="007649AB"/>
    <w:rsid w:val="00771D0C"/>
    <w:rsid w:val="00781ECA"/>
    <w:rsid w:val="007833AC"/>
    <w:rsid w:val="007B268C"/>
    <w:rsid w:val="007B7171"/>
    <w:rsid w:val="007C0C0F"/>
    <w:rsid w:val="007C3DC2"/>
    <w:rsid w:val="007E5497"/>
    <w:rsid w:val="00806F5F"/>
    <w:rsid w:val="00820278"/>
    <w:rsid w:val="00867F95"/>
    <w:rsid w:val="008843B6"/>
    <w:rsid w:val="00891928"/>
    <w:rsid w:val="00897A3A"/>
    <w:rsid w:val="008A446D"/>
    <w:rsid w:val="008A5C21"/>
    <w:rsid w:val="008D180B"/>
    <w:rsid w:val="008E5014"/>
    <w:rsid w:val="008F0EA7"/>
    <w:rsid w:val="00923EEF"/>
    <w:rsid w:val="009419F9"/>
    <w:rsid w:val="0095685E"/>
    <w:rsid w:val="00961B09"/>
    <w:rsid w:val="00965334"/>
    <w:rsid w:val="0097093E"/>
    <w:rsid w:val="009A0DFA"/>
    <w:rsid w:val="009B25A8"/>
    <w:rsid w:val="009B2D26"/>
    <w:rsid w:val="009C71FA"/>
    <w:rsid w:val="009C72E7"/>
    <w:rsid w:val="009D22E5"/>
    <w:rsid w:val="009D3058"/>
    <w:rsid w:val="009F3A13"/>
    <w:rsid w:val="00A122D3"/>
    <w:rsid w:val="00A17F13"/>
    <w:rsid w:val="00A20739"/>
    <w:rsid w:val="00A33C78"/>
    <w:rsid w:val="00A718F0"/>
    <w:rsid w:val="00AB0ADB"/>
    <w:rsid w:val="00AE45EC"/>
    <w:rsid w:val="00B00C0E"/>
    <w:rsid w:val="00B01B1A"/>
    <w:rsid w:val="00B27323"/>
    <w:rsid w:val="00B30F8D"/>
    <w:rsid w:val="00B44A47"/>
    <w:rsid w:val="00B54B4A"/>
    <w:rsid w:val="00B72CD3"/>
    <w:rsid w:val="00B72FFF"/>
    <w:rsid w:val="00B9542F"/>
    <w:rsid w:val="00BC3D36"/>
    <w:rsid w:val="00BD7F72"/>
    <w:rsid w:val="00C04FB3"/>
    <w:rsid w:val="00C330EB"/>
    <w:rsid w:val="00C754BE"/>
    <w:rsid w:val="00C76B1C"/>
    <w:rsid w:val="00CB6357"/>
    <w:rsid w:val="00CC1B26"/>
    <w:rsid w:val="00D423A2"/>
    <w:rsid w:val="00D520D8"/>
    <w:rsid w:val="00D63AC2"/>
    <w:rsid w:val="00D7383B"/>
    <w:rsid w:val="00D90A85"/>
    <w:rsid w:val="00D94016"/>
    <w:rsid w:val="00DA231B"/>
    <w:rsid w:val="00DC39FC"/>
    <w:rsid w:val="00DF30F1"/>
    <w:rsid w:val="00DF5254"/>
    <w:rsid w:val="00E16408"/>
    <w:rsid w:val="00E16962"/>
    <w:rsid w:val="00E20894"/>
    <w:rsid w:val="00E245AB"/>
    <w:rsid w:val="00E2764C"/>
    <w:rsid w:val="00E27F2E"/>
    <w:rsid w:val="00E3706D"/>
    <w:rsid w:val="00E50AFE"/>
    <w:rsid w:val="00E74570"/>
    <w:rsid w:val="00E75C92"/>
    <w:rsid w:val="00E771DC"/>
    <w:rsid w:val="00E8772A"/>
    <w:rsid w:val="00E90F6B"/>
    <w:rsid w:val="00E92C27"/>
    <w:rsid w:val="00EA0E3D"/>
    <w:rsid w:val="00EC38A7"/>
    <w:rsid w:val="00EE1AA8"/>
    <w:rsid w:val="00EF649F"/>
    <w:rsid w:val="00F31EDC"/>
    <w:rsid w:val="00F462B3"/>
    <w:rsid w:val="00F5664F"/>
    <w:rsid w:val="00F666C4"/>
    <w:rsid w:val="00F71AB8"/>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7457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74570"/>
    <w:rPr>
      <w:rFonts w:ascii="Geomanist Light" w:hAnsi="Geomanist Light"/>
      <w:lang w:val="es-ES"/>
    </w:rPr>
  </w:style>
  <w:style w:type="character" w:customStyle="1" w:styleId="s15">
    <w:name w:val="s15"/>
    <w:basedOn w:val="Fuentedeprrafopredeter"/>
    <w:rsid w:val="00E74570"/>
  </w:style>
  <w:style w:type="character" w:customStyle="1" w:styleId="apple-converted-space">
    <w:name w:val="apple-converted-space"/>
    <w:basedOn w:val="Fuentedeprrafopredeter"/>
    <w:rsid w:val="00E74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hg93@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9883D43-3576-4E5E-875C-1A7645216DD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2d8fa925-bec2-4809-ba96-82bda3c0030e"/>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4688</Words>
  <Characters>25790</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2025-09-25T15:57:00Z</dcterms:created>
  <dcterms:modified xsi:type="dcterms:W3CDTF">2025-09-26T15:00:00Z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