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B0114" w14:textId="26BC85B3" w:rsidR="0095613A" w:rsidRDefault="0095613A" w:rsidP="0095613A">
      <w:pPr>
        <w:jc w:val="right"/>
        <w:rPr>
          <w:rFonts w:ascii="Arial" w:hAnsi="Arial" w:cs="Arial"/>
          <w:b/>
          <w:color w:val="000000" w:themeColor="text1"/>
          <w:sz w:val="16"/>
          <w:szCs w:val="16"/>
          <w:lang w:eastAsia="es-ES"/>
        </w:rPr>
      </w:pPr>
      <w:r w:rsidRPr="00287B9E">
        <w:rPr>
          <w:rFonts w:ascii="Arial" w:hAnsi="Arial" w:cs="Arial"/>
          <w:b/>
          <w:color w:val="000000" w:themeColor="text1"/>
          <w:sz w:val="16"/>
          <w:szCs w:val="16"/>
          <w:lang w:eastAsia="es-ES"/>
        </w:rPr>
        <w:t>CCE-DES-FM-17</w:t>
      </w:r>
    </w:p>
    <w:p w14:paraId="2961F3D4" w14:textId="77777777" w:rsidR="00287B9E" w:rsidRPr="00287B9E" w:rsidRDefault="00287B9E" w:rsidP="0095613A">
      <w:pPr>
        <w:jc w:val="right"/>
        <w:rPr>
          <w:rFonts w:ascii="Arial" w:hAnsi="Arial" w:cs="Arial"/>
          <w:b/>
          <w:color w:val="000000" w:themeColor="text1"/>
          <w:sz w:val="20"/>
          <w:szCs w:val="20"/>
          <w:lang w:eastAsia="es-ES"/>
        </w:rPr>
      </w:pPr>
    </w:p>
    <w:p w14:paraId="4232661F" w14:textId="321697D4" w:rsidR="007B0854" w:rsidRPr="005B4965" w:rsidRDefault="00A90F9A" w:rsidP="00915817">
      <w:pPr>
        <w:jc w:val="both"/>
        <w:rPr>
          <w:rFonts w:ascii="Arial" w:eastAsia="Calibri" w:hAnsi="Arial" w:cs="Arial"/>
          <w:b/>
          <w:color w:val="000000" w:themeColor="text1"/>
          <w:sz w:val="22"/>
        </w:rPr>
      </w:pPr>
      <w:r w:rsidRPr="00287B9E">
        <w:rPr>
          <w:rFonts w:ascii="Arial" w:eastAsia="Calibri" w:hAnsi="Arial" w:cs="Arial"/>
          <w:b/>
          <w:color w:val="000000" w:themeColor="text1"/>
          <w:sz w:val="22"/>
        </w:rPr>
        <w:t xml:space="preserve">DECLARACIÓN DE BIENES, RENTA Y CONFLICTOS DE INTERÉS </w:t>
      </w:r>
      <w:r w:rsidR="0091028F" w:rsidRPr="006C15D5">
        <w:rPr>
          <w:rFonts w:ascii="Arial" w:eastAsia="Calibri" w:hAnsi="Arial" w:cs="Arial"/>
          <w:b/>
          <w:color w:val="000000" w:themeColor="text1"/>
          <w:sz w:val="22"/>
        </w:rPr>
        <w:t>–</w:t>
      </w:r>
      <w:r w:rsidR="005B4965">
        <w:rPr>
          <w:rFonts w:ascii="Arial" w:eastAsia="Calibri" w:hAnsi="Arial" w:cs="Arial"/>
          <w:b/>
          <w:color w:val="000000" w:themeColor="text1"/>
          <w:sz w:val="22"/>
        </w:rPr>
        <w:t xml:space="preserve"> Ley</w:t>
      </w:r>
      <w:r w:rsidRPr="00287B9E">
        <w:rPr>
          <w:rFonts w:ascii="Arial" w:eastAsia="Calibri" w:hAnsi="Arial" w:cs="Arial"/>
          <w:b/>
          <w:color w:val="000000" w:themeColor="text1"/>
          <w:sz w:val="22"/>
        </w:rPr>
        <w:t xml:space="preserve"> 2013 </w:t>
      </w:r>
      <w:r w:rsidR="005B4965">
        <w:rPr>
          <w:rFonts w:ascii="Arial" w:eastAsia="Calibri" w:hAnsi="Arial" w:cs="Arial"/>
          <w:b/>
          <w:color w:val="000000" w:themeColor="text1"/>
          <w:sz w:val="22"/>
        </w:rPr>
        <w:t>de</w:t>
      </w:r>
      <w:r w:rsidRPr="00287B9E">
        <w:rPr>
          <w:rFonts w:ascii="Arial" w:eastAsia="Calibri" w:hAnsi="Arial" w:cs="Arial"/>
          <w:b/>
          <w:color w:val="000000" w:themeColor="text1"/>
          <w:sz w:val="22"/>
        </w:rPr>
        <w:t xml:space="preserve"> 2019 </w:t>
      </w:r>
      <w:r w:rsidR="0091028F" w:rsidRPr="006C15D5">
        <w:rPr>
          <w:rFonts w:ascii="Arial" w:eastAsia="Calibri" w:hAnsi="Arial" w:cs="Arial"/>
          <w:b/>
          <w:color w:val="000000" w:themeColor="text1"/>
          <w:sz w:val="22"/>
        </w:rPr>
        <w:t>–</w:t>
      </w:r>
      <w:r w:rsidR="00A91D8B" w:rsidRPr="00287B9E">
        <w:rPr>
          <w:rFonts w:ascii="Arial" w:eastAsia="Calibri" w:hAnsi="Arial" w:cs="Arial"/>
          <w:b/>
          <w:color w:val="000000" w:themeColor="text1"/>
          <w:sz w:val="22"/>
        </w:rPr>
        <w:t xml:space="preserve"> </w:t>
      </w:r>
      <w:r w:rsidR="002C6843">
        <w:rPr>
          <w:rFonts w:ascii="Arial" w:eastAsia="Calibri" w:hAnsi="Arial" w:cs="Arial"/>
          <w:b/>
          <w:color w:val="000000" w:themeColor="text1"/>
          <w:sz w:val="22"/>
        </w:rPr>
        <w:t xml:space="preserve">Publicación </w:t>
      </w:r>
      <w:r w:rsidR="002C6843" w:rsidRPr="006C15D5">
        <w:rPr>
          <w:rFonts w:ascii="Arial" w:eastAsia="Calibri" w:hAnsi="Arial" w:cs="Arial"/>
          <w:b/>
          <w:color w:val="000000" w:themeColor="text1"/>
          <w:sz w:val="22"/>
        </w:rPr>
        <w:t>–</w:t>
      </w:r>
      <w:r w:rsidR="002C6843">
        <w:rPr>
          <w:rFonts w:ascii="Arial" w:eastAsia="Calibri" w:hAnsi="Arial" w:cs="Arial"/>
          <w:b/>
          <w:color w:val="000000" w:themeColor="text1"/>
          <w:sz w:val="22"/>
        </w:rPr>
        <w:t xml:space="preserve"> </w:t>
      </w:r>
      <w:r w:rsidR="00A91D8B" w:rsidRPr="00287B9E">
        <w:rPr>
          <w:rFonts w:ascii="Arial" w:eastAsia="Calibri" w:hAnsi="Arial" w:cs="Arial"/>
          <w:b/>
          <w:color w:val="000000" w:themeColor="text1"/>
          <w:sz w:val="22"/>
        </w:rPr>
        <w:t xml:space="preserve">Obligaciones </w:t>
      </w:r>
      <w:r w:rsidR="0091028F" w:rsidRPr="006C15D5">
        <w:rPr>
          <w:rFonts w:ascii="Arial" w:eastAsia="Calibri" w:hAnsi="Arial" w:cs="Arial"/>
          <w:b/>
          <w:color w:val="000000" w:themeColor="text1"/>
          <w:sz w:val="22"/>
        </w:rPr>
        <w:t>–</w:t>
      </w:r>
      <w:r w:rsidR="00A91D8B" w:rsidRPr="00287B9E">
        <w:rPr>
          <w:rFonts w:ascii="Arial" w:eastAsia="Calibri" w:hAnsi="Arial" w:cs="Arial"/>
          <w:b/>
          <w:color w:val="000000" w:themeColor="text1"/>
          <w:sz w:val="22"/>
        </w:rPr>
        <w:t xml:space="preserve"> Finalidad</w:t>
      </w:r>
    </w:p>
    <w:p w14:paraId="22848024" w14:textId="3BEFFF3A" w:rsidR="007B0854" w:rsidRPr="00287B9E" w:rsidRDefault="007B0854" w:rsidP="00915817">
      <w:pPr>
        <w:jc w:val="both"/>
        <w:rPr>
          <w:rFonts w:ascii="Arial" w:hAnsi="Arial" w:cs="Arial"/>
          <w:color w:val="000000" w:themeColor="text1"/>
          <w:sz w:val="20"/>
          <w:szCs w:val="20"/>
        </w:rPr>
      </w:pPr>
    </w:p>
    <w:p w14:paraId="28F3B7A0" w14:textId="77777777" w:rsidR="00857168" w:rsidRDefault="00915817" w:rsidP="00857168">
      <w:pPr>
        <w:spacing w:after="120"/>
        <w:jc w:val="both"/>
        <w:rPr>
          <w:rFonts w:ascii="Arial" w:hAnsi="Arial" w:cs="Arial"/>
          <w:color w:val="000000" w:themeColor="text1"/>
          <w:sz w:val="20"/>
          <w:szCs w:val="20"/>
          <w:lang w:val="es-ES"/>
        </w:rPr>
      </w:pPr>
      <w:r w:rsidRPr="0091028F">
        <w:rPr>
          <w:rFonts w:ascii="Arial" w:hAnsi="Arial" w:cs="Arial"/>
          <w:color w:val="000000" w:themeColor="text1"/>
          <w:sz w:val="20"/>
          <w:szCs w:val="20"/>
          <w:lang w:val="es-ES"/>
        </w:rPr>
        <w:t>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ii) el registro de conflictos de interés, y iii) la declaración sobre la renta y complementarios ―art. 1―.</w:t>
      </w:r>
      <w:r w:rsidR="00C35251" w:rsidRPr="0091028F">
        <w:rPr>
          <w:rFonts w:ascii="Arial" w:hAnsi="Arial" w:cs="Arial"/>
          <w:color w:val="000000" w:themeColor="text1"/>
          <w:sz w:val="20"/>
          <w:szCs w:val="20"/>
          <w:lang w:val="es-ES"/>
        </w:rPr>
        <w:t xml:space="preserve"> </w:t>
      </w:r>
    </w:p>
    <w:p w14:paraId="5506404E" w14:textId="2A88817C" w:rsidR="007B0854" w:rsidRPr="0091028F" w:rsidRDefault="00915817" w:rsidP="00ED39F9">
      <w:pPr>
        <w:jc w:val="both"/>
        <w:rPr>
          <w:rFonts w:ascii="Arial" w:hAnsi="Arial" w:cs="Arial"/>
          <w:color w:val="000000" w:themeColor="text1"/>
          <w:sz w:val="20"/>
          <w:szCs w:val="20"/>
          <w:lang w:val="es-ES"/>
        </w:rPr>
      </w:pPr>
      <w:r w:rsidRPr="0091028F">
        <w:rPr>
          <w:rFonts w:ascii="Arial" w:hAnsi="Arial" w:cs="Arial"/>
          <w:color w:val="000000" w:themeColor="text1"/>
          <w:sz w:val="20"/>
          <w:szCs w:val="20"/>
          <w:lang w:val="es-ES"/>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además, durante el trámite del proyecto se amplió paulatinamente el ámbito de aplicación de la ley, al incluirse nuevos sujetos obligados, entre ellos a algunos particulares.</w:t>
      </w:r>
    </w:p>
    <w:p w14:paraId="33A25583" w14:textId="77777777" w:rsidR="00915817" w:rsidRPr="00ED39F9" w:rsidRDefault="00915817" w:rsidP="00915817">
      <w:pPr>
        <w:jc w:val="both"/>
        <w:rPr>
          <w:rFonts w:ascii="Arial" w:hAnsi="Arial" w:cs="Arial"/>
          <w:color w:val="000000" w:themeColor="text1"/>
          <w:sz w:val="20"/>
          <w:szCs w:val="20"/>
        </w:rPr>
      </w:pPr>
    </w:p>
    <w:p w14:paraId="68325126" w14:textId="5D8D5B04" w:rsidR="00A91D8B" w:rsidRPr="00287B9E" w:rsidRDefault="005B4965" w:rsidP="00915817">
      <w:pPr>
        <w:jc w:val="both"/>
        <w:rPr>
          <w:rFonts w:ascii="Arial" w:eastAsia="Calibri" w:hAnsi="Arial" w:cs="Arial"/>
          <w:b/>
          <w:color w:val="000000" w:themeColor="text1"/>
          <w:sz w:val="22"/>
        </w:rPr>
      </w:pPr>
      <w:r w:rsidRPr="00287B9E">
        <w:rPr>
          <w:rFonts w:ascii="Arial" w:eastAsia="Calibri" w:hAnsi="Arial" w:cs="Arial"/>
          <w:b/>
          <w:color w:val="000000" w:themeColor="text1"/>
          <w:sz w:val="22"/>
        </w:rPr>
        <w:t xml:space="preserve">DECLARACIÓN DE BIENES, RENTA Y CONFLICTOS DE INTERÉS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Ley</w:t>
      </w:r>
      <w:r w:rsidRPr="00287B9E">
        <w:rPr>
          <w:rFonts w:ascii="Arial" w:eastAsia="Calibri" w:hAnsi="Arial" w:cs="Arial"/>
          <w:b/>
          <w:color w:val="000000" w:themeColor="text1"/>
          <w:sz w:val="22"/>
        </w:rPr>
        <w:t xml:space="preserve"> 2013 </w:t>
      </w:r>
      <w:r>
        <w:rPr>
          <w:rFonts w:ascii="Arial" w:eastAsia="Calibri" w:hAnsi="Arial" w:cs="Arial"/>
          <w:b/>
          <w:color w:val="000000" w:themeColor="text1"/>
          <w:sz w:val="22"/>
        </w:rPr>
        <w:t>de</w:t>
      </w:r>
      <w:r w:rsidRPr="00287B9E">
        <w:rPr>
          <w:rFonts w:ascii="Arial" w:eastAsia="Calibri" w:hAnsi="Arial" w:cs="Arial"/>
          <w:b/>
          <w:color w:val="000000" w:themeColor="text1"/>
          <w:sz w:val="22"/>
        </w:rPr>
        <w:t xml:space="preserve"> 2019 </w:t>
      </w:r>
      <w:r w:rsidR="0091028F" w:rsidRPr="006C15D5">
        <w:rPr>
          <w:rFonts w:ascii="Arial" w:eastAsia="Calibri" w:hAnsi="Arial" w:cs="Arial"/>
          <w:b/>
          <w:color w:val="000000" w:themeColor="text1"/>
          <w:sz w:val="22"/>
        </w:rPr>
        <w:t>–</w:t>
      </w:r>
      <w:r w:rsidR="00A91D8B" w:rsidRPr="00287B9E">
        <w:rPr>
          <w:rFonts w:ascii="Arial" w:eastAsia="Calibri" w:hAnsi="Arial" w:cs="Arial"/>
          <w:b/>
          <w:color w:val="000000" w:themeColor="text1"/>
          <w:sz w:val="22"/>
        </w:rPr>
        <w:t xml:space="preserve"> </w:t>
      </w:r>
      <w:r w:rsidR="00C36685" w:rsidRPr="00287B9E">
        <w:rPr>
          <w:rFonts w:ascii="Arial" w:eastAsia="Calibri" w:hAnsi="Arial" w:cs="Arial"/>
          <w:b/>
          <w:color w:val="000000" w:themeColor="text1"/>
          <w:sz w:val="22"/>
        </w:rPr>
        <w:t xml:space="preserve">Ámbito de aplicación </w:t>
      </w:r>
      <w:r w:rsidR="0091028F" w:rsidRPr="006C15D5">
        <w:rPr>
          <w:rFonts w:ascii="Arial" w:eastAsia="Calibri" w:hAnsi="Arial" w:cs="Arial"/>
          <w:b/>
          <w:color w:val="000000" w:themeColor="text1"/>
          <w:sz w:val="22"/>
        </w:rPr>
        <w:t>–</w:t>
      </w:r>
      <w:r w:rsidR="00C36685" w:rsidRPr="00287B9E">
        <w:rPr>
          <w:rFonts w:ascii="Arial" w:eastAsia="Calibri" w:hAnsi="Arial" w:cs="Arial"/>
          <w:b/>
          <w:color w:val="000000" w:themeColor="text1"/>
          <w:sz w:val="22"/>
        </w:rPr>
        <w:t xml:space="preserve"> </w:t>
      </w:r>
      <w:r w:rsidR="00A91D8B" w:rsidRPr="00287B9E">
        <w:rPr>
          <w:rFonts w:ascii="Arial" w:eastAsia="Calibri" w:hAnsi="Arial" w:cs="Arial"/>
          <w:b/>
          <w:color w:val="000000" w:themeColor="text1"/>
          <w:sz w:val="22"/>
        </w:rPr>
        <w:t xml:space="preserve">Sujetos obligados </w:t>
      </w:r>
      <w:r w:rsidR="0091028F" w:rsidRPr="006C15D5">
        <w:rPr>
          <w:rFonts w:ascii="Arial" w:eastAsia="Calibri" w:hAnsi="Arial" w:cs="Arial"/>
          <w:b/>
          <w:color w:val="000000" w:themeColor="text1"/>
          <w:sz w:val="22"/>
        </w:rPr>
        <w:t>–</w:t>
      </w:r>
      <w:r w:rsidR="00C36685" w:rsidRPr="00287B9E">
        <w:rPr>
          <w:rFonts w:ascii="Arial" w:eastAsia="Calibri" w:hAnsi="Arial" w:cs="Arial"/>
          <w:b/>
          <w:color w:val="000000" w:themeColor="text1"/>
          <w:sz w:val="22"/>
        </w:rPr>
        <w:t xml:space="preserve"> </w:t>
      </w:r>
      <w:r w:rsidR="00A91D8B" w:rsidRPr="00287B9E">
        <w:rPr>
          <w:rFonts w:ascii="Arial" w:eastAsia="Calibri" w:hAnsi="Arial" w:cs="Arial"/>
          <w:b/>
          <w:color w:val="000000" w:themeColor="text1"/>
          <w:sz w:val="22"/>
        </w:rPr>
        <w:t>Particulares</w:t>
      </w:r>
    </w:p>
    <w:p w14:paraId="48BBD522" w14:textId="68EC4AA6" w:rsidR="00A91D8B" w:rsidRPr="00287B9E" w:rsidRDefault="00A91D8B" w:rsidP="00915817">
      <w:pPr>
        <w:jc w:val="both"/>
        <w:rPr>
          <w:rFonts w:ascii="Arial" w:eastAsia="Calibri" w:hAnsi="Arial" w:cs="Arial"/>
          <w:b/>
          <w:color w:val="000000" w:themeColor="text1"/>
          <w:sz w:val="22"/>
        </w:rPr>
      </w:pPr>
    </w:p>
    <w:p w14:paraId="4BF89F37" w14:textId="1DAD90BA" w:rsidR="00A91D8B" w:rsidRPr="0091028F" w:rsidRDefault="00CA4F8E" w:rsidP="00915817">
      <w:pPr>
        <w:jc w:val="both"/>
        <w:rPr>
          <w:rFonts w:ascii="Arial" w:eastAsia="Calibri" w:hAnsi="Arial" w:cs="Arial"/>
          <w:b/>
          <w:color w:val="000000" w:themeColor="text1"/>
          <w:sz w:val="20"/>
          <w:szCs w:val="20"/>
        </w:rPr>
      </w:pPr>
      <w:r w:rsidRPr="0091028F">
        <w:rPr>
          <w:rFonts w:ascii="Arial" w:hAnsi="Arial" w:cs="Arial"/>
          <w:color w:val="000000" w:themeColor="text1"/>
          <w:sz w:val="20"/>
          <w:szCs w:val="20"/>
          <w:lang w:val="es-ES"/>
        </w:rPr>
        <w:t>[</w:t>
      </w:r>
      <w:r w:rsidR="00A91D8B" w:rsidRPr="0091028F">
        <w:rPr>
          <w:rFonts w:ascii="Arial" w:hAnsi="Arial" w:cs="Arial"/>
          <w:color w:val="000000" w:themeColor="text1"/>
          <w:sz w:val="20"/>
          <w:szCs w:val="20"/>
          <w:lang w:val="es-ES"/>
        </w:rPr>
        <w:t>Dicha</w:t>
      </w:r>
      <w:r w:rsidRPr="0091028F">
        <w:rPr>
          <w:rFonts w:ascii="Arial" w:hAnsi="Arial" w:cs="Arial"/>
          <w:color w:val="000000" w:themeColor="text1"/>
          <w:sz w:val="20"/>
          <w:szCs w:val="20"/>
          <w:lang w:val="es-ES"/>
        </w:rPr>
        <w:t>]</w:t>
      </w:r>
      <w:r w:rsidR="00A91D8B" w:rsidRPr="0091028F">
        <w:rPr>
          <w:rFonts w:ascii="Arial" w:hAnsi="Arial" w:cs="Arial"/>
          <w:color w:val="000000" w:themeColor="text1"/>
          <w:sz w:val="20"/>
          <w:szCs w:val="20"/>
          <w:lang w:val="es-ES"/>
        </w:rPr>
        <w:t xml:space="preserve"> </w:t>
      </w:r>
      <w:r w:rsidRPr="0091028F">
        <w:rPr>
          <w:rFonts w:ascii="Arial" w:hAnsi="Arial" w:cs="Arial"/>
          <w:color w:val="000000" w:themeColor="text1"/>
          <w:sz w:val="20"/>
          <w:szCs w:val="20"/>
          <w:lang w:val="es-ES"/>
        </w:rPr>
        <w:t>interpretación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parágrafo concreta la obligación en relación con los sujetos obligados de los literales f) y g). Interpretada la propia ley con dichos apartes, tratándose de particulares, su ámbito de aplicación incluye solo a aquellos que ejerzan función pública, presten servicios públicos ―literal f)― o administren bienes o recursos públicos ―literal g)―. De manera que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14:paraId="1895C3CD" w14:textId="77777777" w:rsidR="00A91D8B" w:rsidRPr="004C6805" w:rsidRDefault="00A91D8B" w:rsidP="00A91D8B">
      <w:pPr>
        <w:jc w:val="both"/>
        <w:rPr>
          <w:rFonts w:ascii="Arial" w:eastAsia="Calibri" w:hAnsi="Arial" w:cs="Arial"/>
          <w:b/>
          <w:color w:val="000000" w:themeColor="text1"/>
          <w:sz w:val="20"/>
          <w:szCs w:val="20"/>
        </w:rPr>
      </w:pPr>
    </w:p>
    <w:p w14:paraId="34D53C3E" w14:textId="40906D7D" w:rsidR="00585E81" w:rsidRPr="00287B9E" w:rsidRDefault="005B4965" w:rsidP="00A91D8B">
      <w:pPr>
        <w:jc w:val="both"/>
        <w:rPr>
          <w:rFonts w:ascii="Arial" w:hAnsi="Arial" w:cs="Arial"/>
          <w:b/>
          <w:bCs/>
          <w:color w:val="000000" w:themeColor="text1"/>
          <w:sz w:val="22"/>
        </w:rPr>
      </w:pPr>
      <w:r w:rsidRPr="00287B9E">
        <w:rPr>
          <w:rFonts w:ascii="Arial" w:eastAsia="Calibri" w:hAnsi="Arial" w:cs="Arial"/>
          <w:b/>
          <w:color w:val="000000" w:themeColor="text1"/>
          <w:sz w:val="22"/>
        </w:rPr>
        <w:t xml:space="preserve">DECLARACIÓN DE BIENES, RENTA Y CONFLICTOS DE INTERÉS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Ley</w:t>
      </w:r>
      <w:r w:rsidRPr="00287B9E">
        <w:rPr>
          <w:rFonts w:ascii="Arial" w:eastAsia="Calibri" w:hAnsi="Arial" w:cs="Arial"/>
          <w:b/>
          <w:color w:val="000000" w:themeColor="text1"/>
          <w:sz w:val="22"/>
        </w:rPr>
        <w:t xml:space="preserve"> 2013 </w:t>
      </w:r>
      <w:r>
        <w:rPr>
          <w:rFonts w:ascii="Arial" w:eastAsia="Calibri" w:hAnsi="Arial" w:cs="Arial"/>
          <w:b/>
          <w:color w:val="000000" w:themeColor="text1"/>
          <w:sz w:val="22"/>
        </w:rPr>
        <w:t>de</w:t>
      </w:r>
      <w:r w:rsidRPr="00287B9E">
        <w:rPr>
          <w:rFonts w:ascii="Arial" w:eastAsia="Calibri" w:hAnsi="Arial" w:cs="Arial"/>
          <w:b/>
          <w:color w:val="000000" w:themeColor="text1"/>
          <w:sz w:val="22"/>
        </w:rPr>
        <w:t xml:space="preserve"> 2019 </w:t>
      </w:r>
      <w:r w:rsidR="0091028F" w:rsidRPr="006C15D5">
        <w:rPr>
          <w:rFonts w:ascii="Arial" w:eastAsia="Calibri" w:hAnsi="Arial" w:cs="Arial"/>
          <w:b/>
          <w:color w:val="000000" w:themeColor="text1"/>
          <w:sz w:val="22"/>
        </w:rPr>
        <w:t>–</w:t>
      </w:r>
      <w:r w:rsidR="00A91D8B" w:rsidRPr="00287B9E">
        <w:rPr>
          <w:rFonts w:ascii="Arial" w:hAnsi="Arial" w:cs="Arial"/>
          <w:b/>
          <w:bCs/>
          <w:color w:val="000000" w:themeColor="text1"/>
          <w:sz w:val="22"/>
        </w:rPr>
        <w:t xml:space="preserve"> Ámbito de aplicación </w:t>
      </w:r>
      <w:r w:rsidR="0091028F" w:rsidRPr="006C15D5">
        <w:rPr>
          <w:rFonts w:ascii="Arial" w:eastAsia="Calibri" w:hAnsi="Arial" w:cs="Arial"/>
          <w:b/>
          <w:color w:val="000000" w:themeColor="text1"/>
          <w:sz w:val="22"/>
        </w:rPr>
        <w:t>–</w:t>
      </w:r>
      <w:r w:rsidR="00A91D8B" w:rsidRPr="00287B9E">
        <w:rPr>
          <w:rFonts w:ascii="Arial" w:hAnsi="Arial" w:cs="Arial"/>
          <w:b/>
          <w:bCs/>
          <w:color w:val="000000" w:themeColor="text1"/>
          <w:sz w:val="22"/>
        </w:rPr>
        <w:t xml:space="preserve"> Contratistas incluidos </w:t>
      </w:r>
      <w:r w:rsidR="0091028F" w:rsidRPr="006C15D5">
        <w:rPr>
          <w:rFonts w:ascii="Arial" w:eastAsia="Calibri" w:hAnsi="Arial" w:cs="Arial"/>
          <w:b/>
          <w:color w:val="000000" w:themeColor="text1"/>
          <w:sz w:val="22"/>
        </w:rPr>
        <w:t>–</w:t>
      </w:r>
      <w:r w:rsidR="00A91D8B" w:rsidRPr="00287B9E">
        <w:rPr>
          <w:rFonts w:ascii="Arial" w:hAnsi="Arial" w:cs="Arial"/>
          <w:b/>
          <w:bCs/>
          <w:color w:val="000000" w:themeColor="text1"/>
          <w:sz w:val="22"/>
        </w:rPr>
        <w:t xml:space="preserve"> contratistas excluidos</w:t>
      </w:r>
    </w:p>
    <w:p w14:paraId="65BD8DE8" w14:textId="77777777" w:rsidR="00585E81" w:rsidRPr="004C6805" w:rsidRDefault="00585E81" w:rsidP="00A91D8B">
      <w:pPr>
        <w:jc w:val="both"/>
        <w:rPr>
          <w:rFonts w:ascii="Arial" w:hAnsi="Arial" w:cs="Arial"/>
          <w:b/>
          <w:bCs/>
          <w:color w:val="000000" w:themeColor="text1"/>
          <w:sz w:val="20"/>
          <w:szCs w:val="20"/>
        </w:rPr>
      </w:pPr>
    </w:p>
    <w:p w14:paraId="067D830A" w14:textId="1828841E" w:rsidR="00585E81" w:rsidRPr="0091028F" w:rsidRDefault="004C6805" w:rsidP="00315E58">
      <w:pPr>
        <w:jc w:val="both"/>
        <w:rPr>
          <w:rFonts w:ascii="Arial" w:hAnsi="Arial" w:cs="Arial"/>
          <w:color w:val="000000" w:themeColor="text1"/>
          <w:sz w:val="20"/>
          <w:szCs w:val="20"/>
        </w:rPr>
      </w:pPr>
      <w:r w:rsidRPr="0242E479">
        <w:rPr>
          <w:rFonts w:ascii="Arial" w:hAnsi="Arial" w:cs="Arial"/>
          <w:color w:val="000000" w:themeColor="text1"/>
          <w:sz w:val="20"/>
          <w:szCs w:val="20"/>
        </w:rPr>
        <w:t>L</w:t>
      </w:r>
      <w:r w:rsidR="00984EBB" w:rsidRPr="0242E479">
        <w:rPr>
          <w:rFonts w:ascii="Arial" w:hAnsi="Arial" w:cs="Arial"/>
          <w:color w:val="000000" w:themeColor="text1"/>
          <w:sz w:val="20"/>
          <w:szCs w:val="20"/>
        </w:rPr>
        <w:t>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43E35266" w14:textId="39B6A0CA" w:rsidR="00A91D8B" w:rsidRPr="00287B9E" w:rsidRDefault="00A91D8B" w:rsidP="00315E58">
      <w:pPr>
        <w:jc w:val="both"/>
        <w:rPr>
          <w:rFonts w:ascii="Arial" w:hAnsi="Arial" w:cs="Arial"/>
          <w:color w:val="000000" w:themeColor="text1"/>
          <w:sz w:val="22"/>
        </w:rPr>
      </w:pPr>
    </w:p>
    <w:p w14:paraId="2E4331D0" w14:textId="28DC9B4E" w:rsidR="00984EBB" w:rsidRPr="00287B9E" w:rsidRDefault="003A462A" w:rsidP="00315E58">
      <w:pPr>
        <w:jc w:val="both"/>
        <w:rPr>
          <w:rFonts w:ascii="Arial" w:hAnsi="Arial" w:cs="Arial"/>
          <w:color w:val="000000" w:themeColor="text1"/>
          <w:sz w:val="22"/>
        </w:rPr>
      </w:pPr>
      <w:r w:rsidRPr="00287B9E">
        <w:rPr>
          <w:rFonts w:ascii="Arial" w:eastAsia="Calibri" w:hAnsi="Arial" w:cs="Arial"/>
          <w:b/>
          <w:color w:val="000000" w:themeColor="text1"/>
          <w:sz w:val="22"/>
        </w:rPr>
        <w:lastRenderedPageBreak/>
        <w:t xml:space="preserve">DECLARACIÓN DE BIENES, RENTA Y CONFLICTOS DE INTERÉS </w:t>
      </w:r>
      <w:r w:rsidR="0091028F" w:rsidRPr="006C15D5">
        <w:rPr>
          <w:rFonts w:ascii="Arial" w:eastAsia="Calibri" w:hAnsi="Arial" w:cs="Arial"/>
          <w:b/>
          <w:color w:val="000000" w:themeColor="text1"/>
          <w:sz w:val="22"/>
        </w:rPr>
        <w:t>–</w:t>
      </w:r>
      <w:r w:rsidRPr="00287B9E">
        <w:rPr>
          <w:rFonts w:ascii="Arial" w:eastAsia="Calibri" w:hAnsi="Arial" w:cs="Arial"/>
          <w:b/>
          <w:color w:val="000000" w:themeColor="text1"/>
          <w:sz w:val="22"/>
        </w:rPr>
        <w:t xml:space="preserve"> </w:t>
      </w:r>
      <w:r w:rsidR="005B4965">
        <w:rPr>
          <w:rFonts w:ascii="Arial" w:eastAsia="Calibri" w:hAnsi="Arial" w:cs="Arial"/>
          <w:b/>
          <w:color w:val="000000" w:themeColor="text1"/>
          <w:sz w:val="22"/>
        </w:rPr>
        <w:t>Oportunidad</w:t>
      </w:r>
      <w:bookmarkStart w:id="0" w:name="_GoBack"/>
      <w:bookmarkEnd w:id="0"/>
      <w:r w:rsidRPr="00287B9E">
        <w:rPr>
          <w:rFonts w:ascii="Arial" w:eastAsia="Calibri" w:hAnsi="Arial" w:cs="Arial"/>
          <w:b/>
          <w:color w:val="000000" w:themeColor="text1"/>
          <w:sz w:val="22"/>
        </w:rPr>
        <w:t xml:space="preserve"> </w:t>
      </w:r>
      <w:r w:rsidR="0091028F" w:rsidRPr="006C15D5">
        <w:rPr>
          <w:rFonts w:ascii="Arial" w:eastAsia="Calibri" w:hAnsi="Arial" w:cs="Arial"/>
          <w:b/>
          <w:color w:val="000000" w:themeColor="text1"/>
          <w:sz w:val="22"/>
        </w:rPr>
        <w:t>–</w:t>
      </w:r>
      <w:r w:rsidRPr="00287B9E">
        <w:rPr>
          <w:rFonts w:ascii="Arial" w:eastAsia="Calibri" w:hAnsi="Arial" w:cs="Arial"/>
          <w:b/>
          <w:color w:val="000000" w:themeColor="text1"/>
          <w:sz w:val="22"/>
        </w:rPr>
        <w:t xml:space="preserve"> </w:t>
      </w:r>
      <w:r w:rsidR="009B3C6B" w:rsidRPr="00287B9E">
        <w:rPr>
          <w:rFonts w:ascii="Arial" w:eastAsia="Calibri" w:hAnsi="Arial" w:cs="Arial"/>
          <w:b/>
          <w:color w:val="000000" w:themeColor="text1"/>
          <w:sz w:val="22"/>
        </w:rPr>
        <w:t>N</w:t>
      </w:r>
      <w:r w:rsidRPr="00287B9E">
        <w:rPr>
          <w:rFonts w:ascii="Arial" w:eastAsia="Calibri" w:hAnsi="Arial" w:cs="Arial"/>
          <w:b/>
          <w:color w:val="000000" w:themeColor="text1"/>
          <w:sz w:val="22"/>
        </w:rPr>
        <w:t>o es requisito habilitante</w:t>
      </w:r>
    </w:p>
    <w:p w14:paraId="7B993B32" w14:textId="32ABE447" w:rsidR="00984EBB" w:rsidRPr="00287B9E" w:rsidRDefault="00984EBB" w:rsidP="00315E58">
      <w:pPr>
        <w:jc w:val="both"/>
        <w:rPr>
          <w:rFonts w:ascii="Arial" w:hAnsi="Arial" w:cs="Arial"/>
          <w:color w:val="000000" w:themeColor="text1"/>
          <w:sz w:val="22"/>
        </w:rPr>
      </w:pPr>
    </w:p>
    <w:p w14:paraId="27A9BF8A" w14:textId="62935877" w:rsidR="003A462A" w:rsidRPr="0091028F" w:rsidRDefault="003A462A" w:rsidP="00914507">
      <w:pPr>
        <w:spacing w:after="120"/>
        <w:jc w:val="both"/>
        <w:rPr>
          <w:rFonts w:ascii="Arial" w:hAnsi="Arial" w:cs="Arial"/>
          <w:color w:val="000000" w:themeColor="text1"/>
          <w:sz w:val="20"/>
          <w:szCs w:val="20"/>
        </w:rPr>
      </w:pPr>
      <w:r w:rsidRPr="0091028F">
        <w:rPr>
          <w:rFonts w:ascii="Arial" w:hAnsi="Arial" w:cs="Arial"/>
          <w:color w:val="000000" w:themeColor="text1"/>
          <w:sz w:val="20"/>
          <w:szCs w:val="20"/>
        </w:rPr>
        <w:t>En los casos en que excepcionalmente aplique la Ley 2013 de 2019 a un proceso contractual, por implicar el objeto del contrato el ejercicio de función pública, prestación de servicios públicos o administración de bienes y recursos públicos, las obligaciones en materia de publicidad se deben cumplir de conformidad con el parágrafo 1 del artículo 2 de dicha ley.</w:t>
      </w:r>
      <w:r w:rsidR="00AA69AF" w:rsidRPr="0091028F">
        <w:rPr>
          <w:rFonts w:ascii="Arial" w:hAnsi="Arial" w:cs="Arial"/>
          <w:color w:val="000000" w:themeColor="text1"/>
          <w:sz w:val="20"/>
          <w:szCs w:val="20"/>
        </w:rPr>
        <w:t xml:space="preserve"> </w:t>
      </w:r>
    </w:p>
    <w:p w14:paraId="7C396938" w14:textId="77777777" w:rsidR="006B7E58" w:rsidRDefault="003A462A" w:rsidP="006B7E58">
      <w:pPr>
        <w:spacing w:after="120"/>
        <w:jc w:val="both"/>
        <w:rPr>
          <w:rFonts w:ascii="Arial" w:hAnsi="Arial" w:cs="Arial"/>
          <w:color w:val="000000" w:themeColor="text1"/>
          <w:sz w:val="20"/>
          <w:szCs w:val="20"/>
        </w:rPr>
      </w:pPr>
      <w:r w:rsidRPr="0091028F">
        <w:rPr>
          <w:rFonts w:ascii="Arial" w:hAnsi="Arial" w:cs="Arial"/>
          <w:color w:val="000000" w:themeColor="text1"/>
          <w:sz w:val="20"/>
          <w:szCs w:val="20"/>
        </w:rPr>
        <w:t>En tal sentido, en los casos en que el contratista se seleccionen mediante un procedimiento de contratación directa, el requisito sería exigible a más tardar antes del inicio de la ejecución del contrato, por lo que las entidades pueden estructurar en cada proceso la forma como piden cumplir este requisito, el cual debe acreditarse, en todo caso, previo al inicio de la ejecución, pues la norma establece que debe cumplirse antes del ejercicio de dichas funciones; de modo que por orden en la estructuración de los procesos también lo podrían exigir antes de la celebración del contrato.</w:t>
      </w:r>
    </w:p>
    <w:p w14:paraId="07614AF8" w14:textId="56CEC221" w:rsidR="003A462A" w:rsidRPr="0091028F" w:rsidRDefault="003A462A" w:rsidP="001967FB">
      <w:pPr>
        <w:jc w:val="both"/>
        <w:rPr>
          <w:rFonts w:ascii="Arial" w:hAnsi="Arial" w:cs="Arial"/>
          <w:color w:val="000000" w:themeColor="text1"/>
          <w:sz w:val="20"/>
          <w:szCs w:val="20"/>
        </w:rPr>
      </w:pPr>
      <w:r w:rsidRPr="0091028F">
        <w:rPr>
          <w:rFonts w:ascii="Arial" w:hAnsi="Arial" w:cs="Arial"/>
          <w:color w:val="000000" w:themeColor="text1"/>
          <w:sz w:val="20"/>
          <w:szCs w:val="20"/>
        </w:rPr>
        <w:t>En los casos en que la selección del contratista se realice a través de un procedimiento de selección mediante convocatoria pública, como son los demás procedimientos establecidos en el Estatuto General de Contratación de la Administración Pública, el requisito debe cumplirse en términos similares, de manera que solo se exigirá frente al proponente con quien se vaya a celebrar el contrato, o una vez celebrado, a más tardar antes del inicio de la ejecución. En este sentido, no se debe exigir su cumplimiento frente a todos los proponentes durante el procedimiento de selección como un requisito habilitante, pues el particular que ejercerá función pública, prestará servicios públicos o administrará bienes del estado será solo aquel que resulte seleccionado en el procedimiento de selección.</w:t>
      </w:r>
    </w:p>
    <w:p w14:paraId="2CD44442" w14:textId="664B7064" w:rsidR="00984EBB" w:rsidRPr="001967FB" w:rsidRDefault="00984EBB" w:rsidP="00315E58">
      <w:pPr>
        <w:jc w:val="both"/>
        <w:rPr>
          <w:rFonts w:ascii="Arial" w:hAnsi="Arial" w:cs="Arial"/>
          <w:color w:val="000000" w:themeColor="text1"/>
          <w:sz w:val="20"/>
          <w:szCs w:val="20"/>
        </w:rPr>
      </w:pPr>
    </w:p>
    <w:p w14:paraId="2E3B35E1" w14:textId="77777777" w:rsidR="00287B9E" w:rsidRPr="001967FB" w:rsidRDefault="00287B9E" w:rsidP="00287B9E">
      <w:pPr>
        <w:pStyle w:val="Default"/>
        <w:rPr>
          <w:color w:val="000000" w:themeColor="text1"/>
          <w:sz w:val="20"/>
          <w:szCs w:val="20"/>
        </w:rPr>
      </w:pPr>
    </w:p>
    <w:p w14:paraId="308ECCA9" w14:textId="6CD33A99" w:rsidR="00287B9E" w:rsidRPr="00287B9E" w:rsidRDefault="00287B9E" w:rsidP="00287B9E">
      <w:pPr>
        <w:pStyle w:val="Default"/>
        <w:rPr>
          <w:color w:val="000000" w:themeColor="text1"/>
          <w:sz w:val="22"/>
          <w:szCs w:val="22"/>
        </w:rPr>
      </w:pPr>
      <w:r w:rsidRPr="00287B9E">
        <w:rPr>
          <w:color w:val="000000" w:themeColor="text1"/>
          <w:sz w:val="22"/>
          <w:szCs w:val="22"/>
        </w:rPr>
        <w:t xml:space="preserve">Bogotá D.C., </w:t>
      </w:r>
      <w:r w:rsidRPr="00287B9E">
        <w:rPr>
          <w:b/>
          <w:bCs/>
          <w:color w:val="000000" w:themeColor="text1"/>
          <w:sz w:val="22"/>
          <w:szCs w:val="22"/>
        </w:rPr>
        <w:t xml:space="preserve">30/03/2020 Hora 17:50:13s </w:t>
      </w:r>
    </w:p>
    <w:p w14:paraId="66692B9F" w14:textId="714E33A7" w:rsidR="009D2478" w:rsidRPr="0052552C" w:rsidRDefault="00287B9E" w:rsidP="00287B9E">
      <w:pPr>
        <w:jc w:val="right"/>
        <w:rPr>
          <w:rFonts w:ascii="Arial" w:eastAsia="Calibri" w:hAnsi="Arial" w:cs="Arial"/>
          <w:color w:val="000000" w:themeColor="text1"/>
          <w:sz w:val="22"/>
        </w:rPr>
      </w:pPr>
      <w:r w:rsidRPr="0052552C">
        <w:rPr>
          <w:rFonts w:ascii="Arial" w:hAnsi="Arial" w:cs="Arial"/>
          <w:b/>
          <w:bCs/>
          <w:color w:val="000000" w:themeColor="text1"/>
          <w:sz w:val="22"/>
        </w:rPr>
        <w:t>N° Radicado: 2202013000002302</w:t>
      </w:r>
    </w:p>
    <w:p w14:paraId="6119A54E" w14:textId="706C1AE2" w:rsidR="0078122E" w:rsidRPr="00287B9E" w:rsidRDefault="00DB6213" w:rsidP="006064EC">
      <w:pPr>
        <w:rPr>
          <w:rFonts w:ascii="Arial" w:eastAsia="Calibri" w:hAnsi="Arial" w:cs="Arial"/>
          <w:color w:val="000000" w:themeColor="text1"/>
          <w:sz w:val="22"/>
        </w:rPr>
      </w:pPr>
      <w:r w:rsidRPr="00287B9E">
        <w:rPr>
          <w:rFonts w:ascii="Arial" w:eastAsia="Calibri" w:hAnsi="Arial" w:cs="Arial"/>
          <w:color w:val="000000" w:themeColor="text1"/>
          <w:sz w:val="22"/>
        </w:rPr>
        <w:t>Doctor</w:t>
      </w:r>
      <w:r w:rsidR="00E03FAB" w:rsidRPr="00287B9E">
        <w:rPr>
          <w:rFonts w:ascii="Arial" w:eastAsia="Calibri" w:hAnsi="Arial" w:cs="Arial"/>
          <w:color w:val="000000" w:themeColor="text1"/>
          <w:sz w:val="22"/>
        </w:rPr>
        <w:t>a</w:t>
      </w:r>
    </w:p>
    <w:p w14:paraId="3FA3B74F" w14:textId="0A5816B7" w:rsidR="00F82F1F" w:rsidRPr="00287B9E" w:rsidRDefault="00E03FAB" w:rsidP="006064EC">
      <w:pPr>
        <w:rPr>
          <w:rFonts w:ascii="Arial" w:hAnsi="Arial" w:cs="Arial"/>
          <w:color w:val="000000" w:themeColor="text1"/>
          <w:sz w:val="22"/>
        </w:rPr>
      </w:pPr>
      <w:r w:rsidRPr="00287B9E">
        <w:rPr>
          <w:rFonts w:ascii="Arial" w:hAnsi="Arial" w:cs="Arial"/>
          <w:color w:val="000000" w:themeColor="text1"/>
          <w:sz w:val="22"/>
        </w:rPr>
        <w:t>Claudia María Arroyave López</w:t>
      </w:r>
    </w:p>
    <w:p w14:paraId="5FB4F046" w14:textId="01E9D683" w:rsidR="0078122E" w:rsidRPr="00287B9E" w:rsidRDefault="0078122E" w:rsidP="006064EC">
      <w:pPr>
        <w:rPr>
          <w:rFonts w:ascii="Arial" w:eastAsia="Calibri" w:hAnsi="Arial" w:cs="Arial"/>
          <w:color w:val="000000" w:themeColor="text1"/>
          <w:sz w:val="22"/>
        </w:rPr>
      </w:pPr>
      <w:r w:rsidRPr="00287B9E">
        <w:rPr>
          <w:rFonts w:ascii="Arial" w:eastAsia="Calibri" w:hAnsi="Arial" w:cs="Arial"/>
          <w:color w:val="000000" w:themeColor="text1"/>
          <w:sz w:val="22"/>
        </w:rPr>
        <w:t>Ciudad</w:t>
      </w:r>
    </w:p>
    <w:p w14:paraId="02D7025C" w14:textId="52779839" w:rsidR="00622D34" w:rsidRPr="00287B9E" w:rsidRDefault="00622D34" w:rsidP="006064EC">
      <w:pPr>
        <w:rPr>
          <w:rFonts w:ascii="Arial" w:eastAsia="Calibri" w:hAnsi="Arial" w:cs="Arial"/>
          <w:color w:val="000000" w:themeColor="text1"/>
          <w:sz w:val="22"/>
        </w:rPr>
      </w:pPr>
    </w:p>
    <w:p w14:paraId="738CBD52" w14:textId="36DB0E86" w:rsidR="007B0854" w:rsidRPr="00287B9E" w:rsidRDefault="007B0854" w:rsidP="006064EC">
      <w:pPr>
        <w:jc w:val="center"/>
        <w:rPr>
          <w:rFonts w:ascii="Arial" w:eastAsia="Calibri" w:hAnsi="Arial" w:cs="Arial"/>
          <w:b/>
          <w:color w:val="000000" w:themeColor="text1"/>
          <w:sz w:val="22"/>
        </w:rPr>
      </w:pPr>
      <w:bookmarkStart w:id="1" w:name="_Hlk29890381"/>
      <w:r w:rsidRPr="00287B9E">
        <w:rPr>
          <w:rFonts w:ascii="Arial" w:eastAsia="Calibri" w:hAnsi="Arial" w:cs="Arial"/>
          <w:b/>
          <w:color w:val="000000" w:themeColor="text1"/>
          <w:sz w:val="22"/>
        </w:rPr>
        <w:t xml:space="preserve">Concepto C ─ </w:t>
      </w:r>
      <w:r w:rsidR="00E03FAB" w:rsidRPr="00287B9E">
        <w:rPr>
          <w:rFonts w:ascii="Arial" w:eastAsia="Calibri" w:hAnsi="Arial" w:cs="Arial"/>
          <w:b/>
          <w:color w:val="000000" w:themeColor="text1"/>
          <w:sz w:val="22"/>
        </w:rPr>
        <w:t>132</w:t>
      </w:r>
      <w:r w:rsidRPr="00287B9E">
        <w:rPr>
          <w:rFonts w:ascii="Arial" w:eastAsia="Calibri" w:hAnsi="Arial" w:cs="Arial"/>
          <w:b/>
          <w:color w:val="000000" w:themeColor="text1"/>
          <w:sz w:val="22"/>
        </w:rPr>
        <w:t xml:space="preserve"> de 2020</w:t>
      </w:r>
    </w:p>
    <w:p w14:paraId="7947F6BC" w14:textId="77777777" w:rsidR="007B0854" w:rsidRPr="00287B9E" w:rsidRDefault="007B0854" w:rsidP="006064EC">
      <w:pPr>
        <w:rPr>
          <w:rFonts w:ascii="Arial" w:eastAsia="Calibri" w:hAnsi="Arial" w:cs="Arial"/>
          <w:color w:val="000000" w:themeColor="text1"/>
          <w:sz w:val="22"/>
        </w:rPr>
      </w:pPr>
    </w:p>
    <w:tbl>
      <w:tblPr>
        <w:tblStyle w:val="Tablaconcuadrcula"/>
        <w:tblW w:w="8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0"/>
        <w:gridCol w:w="6009"/>
      </w:tblGrid>
      <w:tr w:rsidR="00287B9E" w:rsidRPr="00287B9E" w14:paraId="0292AC9D" w14:textId="77777777" w:rsidTr="001967FB">
        <w:trPr>
          <w:trHeight w:val="1547"/>
        </w:trPr>
        <w:tc>
          <w:tcPr>
            <w:tcW w:w="2590" w:type="dxa"/>
            <w:hideMark/>
          </w:tcPr>
          <w:p w14:paraId="58D1858D" w14:textId="024D95C0" w:rsidR="007B0854" w:rsidRPr="00287B9E" w:rsidRDefault="007B0854" w:rsidP="006064EC">
            <w:pPr>
              <w:rPr>
                <w:rFonts w:ascii="Arial" w:eastAsia="Calibri" w:hAnsi="Arial" w:cs="Arial"/>
                <w:color w:val="000000" w:themeColor="text1"/>
                <w:sz w:val="22"/>
              </w:rPr>
            </w:pPr>
            <w:r w:rsidRPr="00287B9E">
              <w:rPr>
                <w:rFonts w:ascii="Arial" w:eastAsia="Calibri" w:hAnsi="Arial" w:cs="Arial"/>
                <w:b/>
                <w:color w:val="000000" w:themeColor="text1"/>
                <w:sz w:val="22"/>
              </w:rPr>
              <w:t>Temas:</w:t>
            </w:r>
            <w:r w:rsidR="00E03FAB" w:rsidRPr="00287B9E">
              <w:rPr>
                <w:rFonts w:ascii="Arial" w:eastAsia="Calibri" w:hAnsi="Arial" w:cs="Arial"/>
                <w:color w:val="000000" w:themeColor="text1"/>
                <w:sz w:val="22"/>
              </w:rPr>
              <w:t xml:space="preserve"> </w:t>
            </w:r>
          </w:p>
          <w:p w14:paraId="78FD6AC7" w14:textId="2FDF0E99" w:rsidR="007B0854" w:rsidRPr="00287B9E" w:rsidRDefault="00E03FAB" w:rsidP="006064EC">
            <w:pPr>
              <w:rPr>
                <w:rFonts w:ascii="Arial" w:eastAsia="Calibri" w:hAnsi="Arial" w:cs="Arial"/>
                <w:color w:val="000000" w:themeColor="text1"/>
                <w:sz w:val="22"/>
              </w:rPr>
            </w:pPr>
            <w:r w:rsidRPr="00287B9E">
              <w:rPr>
                <w:rFonts w:ascii="Arial" w:eastAsia="Calibri" w:hAnsi="Arial" w:cs="Arial"/>
                <w:color w:val="000000" w:themeColor="text1"/>
                <w:sz w:val="22"/>
              </w:rPr>
              <w:t xml:space="preserve"> </w:t>
            </w:r>
          </w:p>
        </w:tc>
        <w:tc>
          <w:tcPr>
            <w:tcW w:w="6009" w:type="dxa"/>
            <w:hideMark/>
          </w:tcPr>
          <w:p w14:paraId="2CF65E76" w14:textId="64C79CB8" w:rsidR="008144C9" w:rsidRPr="00287B9E" w:rsidRDefault="00A90F9A" w:rsidP="006064EC">
            <w:pPr>
              <w:jc w:val="both"/>
              <w:rPr>
                <w:rFonts w:ascii="Arial" w:eastAsia="Calibri" w:hAnsi="Arial" w:cs="Arial"/>
                <w:bCs/>
                <w:color w:val="000000" w:themeColor="text1"/>
                <w:sz w:val="22"/>
              </w:rPr>
            </w:pPr>
            <w:r w:rsidRPr="00287B9E">
              <w:rPr>
                <w:rFonts w:ascii="Arial" w:eastAsia="Calibri" w:hAnsi="Arial" w:cs="Arial"/>
                <w:bCs/>
                <w:color w:val="000000" w:themeColor="text1"/>
                <w:sz w:val="22"/>
              </w:rPr>
              <w:t xml:space="preserve">DECLARACIÓN DE BIENES, RENTA Y CONFLICTOS DE INTERÉS / LEY 2013 DE 2019 </w:t>
            </w:r>
            <w:r w:rsidR="00C36685" w:rsidRPr="00287B9E">
              <w:rPr>
                <w:rFonts w:ascii="Arial" w:eastAsia="Calibri" w:hAnsi="Arial" w:cs="Arial"/>
                <w:bCs/>
                <w:color w:val="000000" w:themeColor="text1"/>
                <w:sz w:val="22"/>
              </w:rPr>
              <w:t xml:space="preserve">― </w:t>
            </w:r>
            <w:r w:rsidR="002C6843">
              <w:rPr>
                <w:rFonts w:ascii="Arial" w:eastAsia="Calibri" w:hAnsi="Arial" w:cs="Arial"/>
                <w:bCs/>
                <w:color w:val="000000" w:themeColor="text1"/>
                <w:sz w:val="22"/>
              </w:rPr>
              <w:t xml:space="preserve">Publicación - </w:t>
            </w:r>
            <w:r w:rsidR="00C36685" w:rsidRPr="00287B9E">
              <w:rPr>
                <w:rFonts w:ascii="Arial" w:eastAsia="Calibri" w:hAnsi="Arial" w:cs="Arial"/>
                <w:bCs/>
                <w:color w:val="000000" w:themeColor="text1"/>
                <w:sz w:val="22"/>
              </w:rPr>
              <w:t>Obligaciones ― Finalidad ― Ámbito de aplicación ― Sujetos obligados ― Particulares ― Contratistas incluidos ― Contratistas excluidos</w:t>
            </w:r>
            <w:r w:rsidR="00BE49B5" w:rsidRPr="00287B9E">
              <w:rPr>
                <w:rFonts w:ascii="Arial" w:eastAsia="Calibri" w:hAnsi="Arial" w:cs="Arial"/>
                <w:bCs/>
                <w:color w:val="000000" w:themeColor="text1"/>
                <w:sz w:val="22"/>
              </w:rPr>
              <w:t xml:space="preserve"> </w:t>
            </w:r>
            <w:r w:rsidR="002C6843">
              <w:rPr>
                <w:rFonts w:ascii="Arial" w:eastAsia="Calibri" w:hAnsi="Arial" w:cs="Arial"/>
                <w:bCs/>
                <w:color w:val="000000" w:themeColor="text1"/>
                <w:sz w:val="22"/>
              </w:rPr>
              <w:t xml:space="preserve">/ </w:t>
            </w:r>
            <w:r w:rsidR="002C6843" w:rsidRPr="002C6843">
              <w:rPr>
                <w:rFonts w:ascii="Arial" w:eastAsia="Calibri" w:hAnsi="Arial" w:cs="Arial"/>
                <w:bCs/>
                <w:color w:val="000000" w:themeColor="text1"/>
                <w:sz w:val="22"/>
              </w:rPr>
              <w:t xml:space="preserve">DECLARACIÓN DE BIENES, RENTA Y CONFLICTOS DE INTERÉS </w:t>
            </w:r>
            <w:r w:rsidR="00BE49B5" w:rsidRPr="00287B9E">
              <w:rPr>
                <w:rFonts w:ascii="Arial" w:eastAsia="Calibri" w:hAnsi="Arial" w:cs="Arial"/>
                <w:bCs/>
                <w:color w:val="000000" w:themeColor="text1"/>
                <w:sz w:val="22"/>
              </w:rPr>
              <w:t xml:space="preserve">― Momento para hacerlo ― </w:t>
            </w:r>
            <w:r w:rsidR="009B3C6B" w:rsidRPr="00287B9E">
              <w:rPr>
                <w:rFonts w:ascii="Arial" w:eastAsia="Calibri" w:hAnsi="Arial" w:cs="Arial"/>
                <w:bCs/>
                <w:color w:val="000000" w:themeColor="text1"/>
                <w:sz w:val="22"/>
              </w:rPr>
              <w:t>N</w:t>
            </w:r>
            <w:r w:rsidR="00BE49B5" w:rsidRPr="00287B9E">
              <w:rPr>
                <w:rFonts w:ascii="Arial" w:eastAsia="Calibri" w:hAnsi="Arial" w:cs="Arial"/>
                <w:bCs/>
                <w:color w:val="000000" w:themeColor="text1"/>
                <w:sz w:val="22"/>
              </w:rPr>
              <w:t>o es  requisito habilitante</w:t>
            </w:r>
          </w:p>
        </w:tc>
      </w:tr>
      <w:tr w:rsidR="001967FB" w:rsidRPr="00287B9E" w14:paraId="1A5E5E77" w14:textId="77777777" w:rsidTr="001967FB">
        <w:trPr>
          <w:trHeight w:val="255"/>
        </w:trPr>
        <w:tc>
          <w:tcPr>
            <w:tcW w:w="2590" w:type="dxa"/>
          </w:tcPr>
          <w:p w14:paraId="4FF4AB0C" w14:textId="781EF7F1" w:rsidR="007B0854" w:rsidRPr="00287B9E" w:rsidRDefault="007B0854" w:rsidP="006064EC">
            <w:pPr>
              <w:rPr>
                <w:rFonts w:ascii="Arial" w:eastAsia="Calibri" w:hAnsi="Arial" w:cs="Arial"/>
                <w:b/>
                <w:color w:val="000000" w:themeColor="text1"/>
                <w:sz w:val="22"/>
              </w:rPr>
            </w:pPr>
            <w:r w:rsidRPr="00287B9E">
              <w:rPr>
                <w:rFonts w:ascii="Arial" w:eastAsia="Calibri" w:hAnsi="Arial" w:cs="Arial"/>
                <w:b/>
                <w:color w:val="000000" w:themeColor="text1"/>
                <w:sz w:val="22"/>
              </w:rPr>
              <w:t>Radicación:</w:t>
            </w:r>
            <w:r w:rsidR="00E03FAB" w:rsidRPr="00287B9E">
              <w:rPr>
                <w:rFonts w:ascii="Arial" w:eastAsia="Calibri" w:hAnsi="Arial" w:cs="Arial"/>
                <w:color w:val="000000" w:themeColor="text1"/>
                <w:sz w:val="22"/>
              </w:rPr>
              <w:t xml:space="preserve"> </w:t>
            </w:r>
          </w:p>
        </w:tc>
        <w:tc>
          <w:tcPr>
            <w:tcW w:w="6009" w:type="dxa"/>
          </w:tcPr>
          <w:p w14:paraId="7852C50C" w14:textId="0D7E16B8" w:rsidR="007B0854" w:rsidRPr="00287B9E" w:rsidRDefault="007B0854" w:rsidP="006064EC">
            <w:pPr>
              <w:jc w:val="both"/>
              <w:rPr>
                <w:rFonts w:ascii="Arial" w:eastAsia="Calibri" w:hAnsi="Arial" w:cs="Arial"/>
                <w:color w:val="000000" w:themeColor="text1"/>
                <w:sz w:val="22"/>
              </w:rPr>
            </w:pPr>
            <w:r w:rsidRPr="00287B9E">
              <w:rPr>
                <w:rFonts w:ascii="Arial" w:eastAsia="Calibri" w:hAnsi="Arial" w:cs="Arial"/>
                <w:color w:val="000000" w:themeColor="text1"/>
                <w:sz w:val="22"/>
              </w:rPr>
              <w:t xml:space="preserve">Respuesta consulta # </w:t>
            </w:r>
            <w:r w:rsidR="00E03FAB" w:rsidRPr="00287B9E">
              <w:rPr>
                <w:rFonts w:ascii="Arial" w:hAnsi="Arial" w:cs="Arial"/>
                <w:color w:val="000000" w:themeColor="text1"/>
                <w:sz w:val="22"/>
              </w:rPr>
              <w:t>4202013000001075</w:t>
            </w:r>
          </w:p>
        </w:tc>
      </w:tr>
    </w:tbl>
    <w:p w14:paraId="4D0D821E" w14:textId="343DC919" w:rsidR="004A34D2" w:rsidRPr="00287B9E" w:rsidRDefault="004A34D2" w:rsidP="006064EC">
      <w:pPr>
        <w:spacing w:before="120" w:after="120" w:line="276" w:lineRule="auto"/>
        <w:jc w:val="both"/>
        <w:rPr>
          <w:rFonts w:ascii="Arial" w:eastAsia="Calibri" w:hAnsi="Arial" w:cs="Arial"/>
          <w:color w:val="000000" w:themeColor="text1"/>
          <w:sz w:val="22"/>
        </w:rPr>
      </w:pPr>
    </w:p>
    <w:p w14:paraId="50D511B2" w14:textId="1CCA86DF" w:rsidR="004A34D2" w:rsidRPr="00287B9E" w:rsidRDefault="004A34D2" w:rsidP="00647CE7">
      <w:pPr>
        <w:spacing w:line="276" w:lineRule="auto"/>
        <w:rPr>
          <w:rFonts w:ascii="Arial" w:eastAsia="Calibri" w:hAnsi="Arial" w:cs="Arial"/>
          <w:color w:val="000000" w:themeColor="text1"/>
          <w:sz w:val="22"/>
        </w:rPr>
      </w:pPr>
      <w:r w:rsidRPr="00287B9E">
        <w:rPr>
          <w:rFonts w:ascii="Arial" w:eastAsia="Calibri" w:hAnsi="Arial" w:cs="Arial"/>
          <w:color w:val="000000" w:themeColor="text1"/>
          <w:sz w:val="22"/>
        </w:rPr>
        <w:t>Estimad</w:t>
      </w:r>
      <w:r w:rsidR="00E03FAB" w:rsidRPr="00287B9E">
        <w:rPr>
          <w:rFonts w:ascii="Arial" w:eastAsia="Calibri" w:hAnsi="Arial" w:cs="Arial"/>
          <w:color w:val="000000" w:themeColor="text1"/>
          <w:sz w:val="22"/>
        </w:rPr>
        <w:t>a</w:t>
      </w:r>
      <w:r w:rsidRPr="00287B9E">
        <w:rPr>
          <w:rFonts w:ascii="Arial" w:eastAsia="Calibri" w:hAnsi="Arial" w:cs="Arial"/>
          <w:color w:val="000000" w:themeColor="text1"/>
          <w:sz w:val="22"/>
        </w:rPr>
        <w:t xml:space="preserve"> </w:t>
      </w:r>
      <w:r w:rsidR="00812707" w:rsidRPr="00287B9E">
        <w:rPr>
          <w:rFonts w:ascii="Arial" w:eastAsia="Calibri" w:hAnsi="Arial" w:cs="Arial"/>
          <w:color w:val="000000" w:themeColor="text1"/>
          <w:sz w:val="22"/>
        </w:rPr>
        <w:t>doctor</w:t>
      </w:r>
      <w:r w:rsidR="00E03FAB" w:rsidRPr="00287B9E">
        <w:rPr>
          <w:rFonts w:ascii="Arial" w:eastAsia="Calibri" w:hAnsi="Arial" w:cs="Arial"/>
          <w:color w:val="000000" w:themeColor="text1"/>
          <w:sz w:val="22"/>
        </w:rPr>
        <w:t>a</w:t>
      </w:r>
      <w:r w:rsidRPr="00287B9E">
        <w:rPr>
          <w:rFonts w:ascii="Arial" w:eastAsia="Calibri" w:hAnsi="Arial" w:cs="Arial"/>
          <w:color w:val="000000" w:themeColor="text1"/>
          <w:sz w:val="22"/>
        </w:rPr>
        <w:t>,</w:t>
      </w:r>
    </w:p>
    <w:p w14:paraId="2729A440" w14:textId="77777777" w:rsidR="00647CE7" w:rsidRPr="00287B9E" w:rsidRDefault="00647CE7" w:rsidP="00647CE7">
      <w:pPr>
        <w:spacing w:line="276" w:lineRule="auto"/>
        <w:ind w:right="49"/>
        <w:jc w:val="both"/>
        <w:rPr>
          <w:rFonts w:ascii="Arial" w:eastAsia="Calibri" w:hAnsi="Arial" w:cs="Arial"/>
          <w:color w:val="000000" w:themeColor="text1"/>
          <w:sz w:val="22"/>
        </w:rPr>
      </w:pPr>
    </w:p>
    <w:p w14:paraId="4BD23B0B" w14:textId="7C101369" w:rsidR="004A34D2" w:rsidRPr="00287B9E" w:rsidRDefault="004A34D2" w:rsidP="00647CE7">
      <w:pPr>
        <w:spacing w:line="276" w:lineRule="auto"/>
        <w:ind w:right="49"/>
        <w:jc w:val="both"/>
        <w:rPr>
          <w:rFonts w:ascii="Arial" w:eastAsia="Calibri" w:hAnsi="Arial" w:cs="Arial"/>
          <w:color w:val="000000" w:themeColor="text1"/>
          <w:sz w:val="22"/>
        </w:rPr>
      </w:pPr>
      <w:r w:rsidRPr="00287B9E">
        <w:rPr>
          <w:rFonts w:ascii="Arial" w:eastAsia="Calibri" w:hAnsi="Arial" w:cs="Arial"/>
          <w:color w:val="000000" w:themeColor="text1"/>
          <w:sz w:val="22"/>
        </w:rPr>
        <w:lastRenderedPageBreak/>
        <w:t xml:space="preserve">La Agencia Nacional de Contratación Pública </w:t>
      </w:r>
      <w:r w:rsidR="00E03FAB" w:rsidRPr="00287B9E">
        <w:rPr>
          <w:rFonts w:ascii="Arial" w:eastAsia="Calibri" w:hAnsi="Arial" w:cs="Arial"/>
          <w:color w:val="000000" w:themeColor="text1"/>
          <w:sz w:val="22"/>
        </w:rPr>
        <w:t>―</w:t>
      </w:r>
      <w:r w:rsidR="009A6A7A" w:rsidRPr="00287B9E">
        <w:rPr>
          <w:rFonts w:ascii="Arial" w:eastAsia="Calibri" w:hAnsi="Arial" w:cs="Arial"/>
          <w:color w:val="000000" w:themeColor="text1"/>
          <w:sz w:val="22"/>
        </w:rPr>
        <w:t xml:space="preserve"> </w:t>
      </w:r>
      <w:r w:rsidRPr="00287B9E">
        <w:rPr>
          <w:rFonts w:ascii="Arial" w:eastAsia="Calibri" w:hAnsi="Arial" w:cs="Arial"/>
          <w:color w:val="000000" w:themeColor="text1"/>
          <w:sz w:val="22"/>
        </w:rPr>
        <w:t xml:space="preserve">Colombia Compra Eficiente responde su consulta del </w:t>
      </w:r>
      <w:r w:rsidR="00E03FAB" w:rsidRPr="00287B9E">
        <w:rPr>
          <w:rFonts w:ascii="Arial" w:hAnsi="Arial" w:cs="Arial"/>
          <w:color w:val="000000" w:themeColor="text1"/>
          <w:sz w:val="22"/>
        </w:rPr>
        <w:t>14</w:t>
      </w:r>
      <w:r w:rsidR="00192A10" w:rsidRPr="00287B9E">
        <w:rPr>
          <w:rFonts w:ascii="Arial" w:hAnsi="Arial" w:cs="Arial"/>
          <w:color w:val="000000" w:themeColor="text1"/>
          <w:sz w:val="22"/>
        </w:rPr>
        <w:t xml:space="preserve"> de </w:t>
      </w:r>
      <w:r w:rsidR="00E03FAB" w:rsidRPr="00287B9E">
        <w:rPr>
          <w:rFonts w:ascii="Arial" w:hAnsi="Arial" w:cs="Arial"/>
          <w:color w:val="000000" w:themeColor="text1"/>
          <w:sz w:val="22"/>
        </w:rPr>
        <w:t>febrero</w:t>
      </w:r>
      <w:r w:rsidR="00192A10" w:rsidRPr="00287B9E">
        <w:rPr>
          <w:rFonts w:ascii="Arial" w:hAnsi="Arial" w:cs="Arial"/>
          <w:color w:val="000000" w:themeColor="text1"/>
          <w:sz w:val="22"/>
        </w:rPr>
        <w:t xml:space="preserve"> </w:t>
      </w:r>
      <w:r w:rsidR="00E03FAB" w:rsidRPr="00287B9E">
        <w:rPr>
          <w:rFonts w:ascii="Arial" w:hAnsi="Arial" w:cs="Arial"/>
          <w:color w:val="000000" w:themeColor="text1"/>
          <w:sz w:val="22"/>
        </w:rPr>
        <w:t>de</w:t>
      </w:r>
      <w:r w:rsidR="00192A10" w:rsidRPr="00287B9E">
        <w:rPr>
          <w:rFonts w:ascii="Arial" w:hAnsi="Arial" w:cs="Arial"/>
          <w:color w:val="000000" w:themeColor="text1"/>
          <w:sz w:val="22"/>
        </w:rPr>
        <w:t xml:space="preserve"> 2020</w:t>
      </w:r>
      <w:r w:rsidRPr="00287B9E">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B2FE086" w14:textId="1DBD8893" w:rsidR="004A34D2" w:rsidRPr="00287B9E" w:rsidRDefault="004A34D2" w:rsidP="00647CE7">
      <w:pPr>
        <w:jc w:val="both"/>
        <w:rPr>
          <w:rFonts w:ascii="Arial" w:eastAsia="Calibri" w:hAnsi="Arial" w:cs="Arial"/>
          <w:color w:val="000000" w:themeColor="text1"/>
          <w:sz w:val="22"/>
        </w:rPr>
      </w:pPr>
    </w:p>
    <w:p w14:paraId="56C5521D" w14:textId="77777777" w:rsidR="004A34D2" w:rsidRPr="00287B9E" w:rsidRDefault="004A34D2" w:rsidP="00647CE7">
      <w:pPr>
        <w:pStyle w:val="Prrafodelista"/>
        <w:numPr>
          <w:ilvl w:val="0"/>
          <w:numId w:val="6"/>
        </w:numPr>
        <w:tabs>
          <w:tab w:val="left" w:pos="284"/>
        </w:tabs>
        <w:ind w:left="0" w:firstLine="0"/>
        <w:jc w:val="both"/>
        <w:rPr>
          <w:rFonts w:ascii="Arial" w:eastAsia="Calibri" w:hAnsi="Arial" w:cs="Arial"/>
          <w:b/>
          <w:color w:val="000000" w:themeColor="text1"/>
          <w:sz w:val="22"/>
        </w:rPr>
      </w:pPr>
      <w:r w:rsidRPr="00287B9E">
        <w:rPr>
          <w:rFonts w:ascii="Arial" w:eastAsia="Calibri" w:hAnsi="Arial" w:cs="Arial"/>
          <w:b/>
          <w:color w:val="000000" w:themeColor="text1"/>
          <w:sz w:val="22"/>
        </w:rPr>
        <w:t xml:space="preserve">Problemas planteados </w:t>
      </w:r>
    </w:p>
    <w:p w14:paraId="6AEC0FC7" w14:textId="77777777" w:rsidR="004A34D2" w:rsidRPr="00287B9E" w:rsidRDefault="004A34D2" w:rsidP="00647CE7">
      <w:pPr>
        <w:tabs>
          <w:tab w:val="left" w:pos="426"/>
        </w:tabs>
        <w:jc w:val="both"/>
        <w:rPr>
          <w:rFonts w:ascii="Arial" w:eastAsia="Calibri" w:hAnsi="Arial" w:cs="Arial"/>
          <w:b/>
          <w:color w:val="000000" w:themeColor="text1"/>
          <w:sz w:val="22"/>
        </w:rPr>
      </w:pPr>
    </w:p>
    <w:p w14:paraId="246A3007" w14:textId="2097BDD8" w:rsidR="00E03FAB" w:rsidRPr="00287B9E" w:rsidRDefault="004A34D2" w:rsidP="00E03FAB">
      <w:pPr>
        <w:spacing w:line="276" w:lineRule="auto"/>
        <w:jc w:val="both"/>
        <w:rPr>
          <w:rFonts w:ascii="Arial" w:eastAsia="Calibri" w:hAnsi="Arial" w:cs="Arial"/>
          <w:color w:val="000000" w:themeColor="text1"/>
          <w:sz w:val="22"/>
        </w:rPr>
      </w:pPr>
      <w:r w:rsidRPr="00287B9E">
        <w:rPr>
          <w:rFonts w:ascii="Arial" w:eastAsia="Calibri" w:hAnsi="Arial" w:cs="Arial"/>
          <w:color w:val="000000" w:themeColor="text1"/>
          <w:sz w:val="22"/>
        </w:rPr>
        <w:t>Usted realiz</w:t>
      </w:r>
      <w:r w:rsidR="00FD6E82" w:rsidRPr="00287B9E">
        <w:rPr>
          <w:rFonts w:ascii="Arial" w:eastAsia="Calibri" w:hAnsi="Arial" w:cs="Arial"/>
          <w:color w:val="000000" w:themeColor="text1"/>
          <w:sz w:val="22"/>
        </w:rPr>
        <w:t>ó</w:t>
      </w:r>
      <w:r w:rsidRPr="00287B9E">
        <w:rPr>
          <w:rFonts w:ascii="Arial" w:eastAsia="Calibri" w:hAnsi="Arial" w:cs="Arial"/>
          <w:color w:val="000000" w:themeColor="text1"/>
          <w:sz w:val="22"/>
        </w:rPr>
        <w:t xml:space="preserve"> la siguiente</w:t>
      </w:r>
      <w:r w:rsidR="00E03FAB" w:rsidRPr="00287B9E">
        <w:rPr>
          <w:rFonts w:ascii="Arial" w:eastAsia="Calibri" w:hAnsi="Arial" w:cs="Arial"/>
          <w:color w:val="000000" w:themeColor="text1"/>
          <w:sz w:val="22"/>
        </w:rPr>
        <w:t>s</w:t>
      </w:r>
      <w:r w:rsidRPr="00287B9E">
        <w:rPr>
          <w:rFonts w:ascii="Arial" w:eastAsia="Calibri" w:hAnsi="Arial" w:cs="Arial"/>
          <w:color w:val="000000" w:themeColor="text1"/>
          <w:sz w:val="22"/>
        </w:rPr>
        <w:t xml:space="preserve"> pregunta</w:t>
      </w:r>
      <w:r w:rsidR="00E03FAB" w:rsidRPr="00287B9E">
        <w:rPr>
          <w:rFonts w:ascii="Arial" w:eastAsia="Calibri" w:hAnsi="Arial" w:cs="Arial"/>
          <w:color w:val="000000" w:themeColor="text1"/>
          <w:sz w:val="22"/>
        </w:rPr>
        <w:t>s en relación con la aplicación de la Ley 2013 de 2019 a los procedimientos de selección de contratistas</w:t>
      </w:r>
      <w:r w:rsidRPr="00287B9E">
        <w:rPr>
          <w:rFonts w:ascii="Arial" w:eastAsia="Calibri" w:hAnsi="Arial" w:cs="Arial"/>
          <w:color w:val="000000" w:themeColor="text1"/>
          <w:sz w:val="22"/>
        </w:rPr>
        <w:t xml:space="preserve">: </w:t>
      </w:r>
      <w:r w:rsidR="00E03FAB" w:rsidRPr="00287B9E">
        <w:rPr>
          <w:rFonts w:ascii="Arial" w:eastAsia="Calibri" w:hAnsi="Arial" w:cs="Arial"/>
          <w:color w:val="000000" w:themeColor="text1"/>
          <w:sz w:val="22"/>
        </w:rPr>
        <w:t>i) «¿Se debe establecer como requisito habilitante en todos los procesos contractuales […] el diligenciamiento del formato de publicación proactiva declaración de bienes y rentas y registro de conflictos de interés y declaración del impuesto sobre la renta y complementarios (Ley 2013/2019)?» ii) «En caso que la respuesta a la pregunta anterior sea afirmativa, ¿el formato debe ser diligenciado por todos los oferentes (proveedores) que participen en los procesos de contratación? O en su defecto ¿el formato debe ser diligenciado únicamente por el oferente adjudicatario?» iii) «En caso que la respuesta a la pregunta número 1 sea negativa ¿a quién o en qué caso es aplicable el literal g) del artículo 2 de la 2013 de</w:t>
      </w:r>
      <w:r w:rsidR="007B18C0" w:rsidRPr="00287B9E">
        <w:rPr>
          <w:rFonts w:ascii="Arial" w:eastAsia="Calibri" w:hAnsi="Arial" w:cs="Arial"/>
          <w:color w:val="000000" w:themeColor="text1"/>
          <w:sz w:val="22"/>
        </w:rPr>
        <w:t xml:space="preserve"> </w:t>
      </w:r>
      <w:r w:rsidR="00E03FAB" w:rsidRPr="00287B9E">
        <w:rPr>
          <w:rFonts w:ascii="Arial" w:eastAsia="Calibri" w:hAnsi="Arial" w:cs="Arial"/>
          <w:color w:val="000000" w:themeColor="text1"/>
          <w:sz w:val="22"/>
        </w:rPr>
        <w:t>2019?»</w:t>
      </w:r>
      <w:r w:rsidR="00CF5BD1" w:rsidRPr="00287B9E">
        <w:rPr>
          <w:rFonts w:ascii="Arial" w:eastAsia="Calibri" w:hAnsi="Arial" w:cs="Arial"/>
          <w:color w:val="000000" w:themeColor="text1"/>
          <w:sz w:val="22"/>
        </w:rPr>
        <w:t>.</w:t>
      </w:r>
    </w:p>
    <w:p w14:paraId="27402A81" w14:textId="77777777" w:rsidR="00E03FAB" w:rsidRPr="00287B9E" w:rsidRDefault="00E03FAB" w:rsidP="00962798">
      <w:pPr>
        <w:tabs>
          <w:tab w:val="left" w:pos="426"/>
        </w:tabs>
        <w:jc w:val="both"/>
        <w:rPr>
          <w:rFonts w:ascii="Arial" w:eastAsia="Calibri" w:hAnsi="Arial" w:cs="Arial"/>
          <w:color w:val="000000" w:themeColor="text1"/>
          <w:sz w:val="22"/>
        </w:rPr>
      </w:pPr>
    </w:p>
    <w:p w14:paraId="234C2DF0" w14:textId="77777777" w:rsidR="004A34D2" w:rsidRPr="00287B9E" w:rsidRDefault="004A34D2" w:rsidP="00962798">
      <w:pPr>
        <w:pStyle w:val="Prrafodelista"/>
        <w:numPr>
          <w:ilvl w:val="0"/>
          <w:numId w:val="6"/>
        </w:numPr>
        <w:tabs>
          <w:tab w:val="left" w:pos="426"/>
        </w:tabs>
        <w:ind w:left="284" w:hanging="284"/>
        <w:jc w:val="both"/>
        <w:rPr>
          <w:rFonts w:ascii="Arial" w:eastAsia="Calibri" w:hAnsi="Arial" w:cs="Arial"/>
          <w:b/>
          <w:color w:val="000000" w:themeColor="text1"/>
          <w:sz w:val="22"/>
        </w:rPr>
      </w:pPr>
      <w:r w:rsidRPr="00287B9E">
        <w:rPr>
          <w:rFonts w:ascii="Arial" w:eastAsia="Calibri" w:hAnsi="Arial" w:cs="Arial"/>
          <w:b/>
          <w:color w:val="000000" w:themeColor="text1"/>
          <w:sz w:val="22"/>
        </w:rPr>
        <w:t>Consideraciones</w:t>
      </w:r>
    </w:p>
    <w:p w14:paraId="2CE10F28" w14:textId="62F18C7B" w:rsidR="006D6823" w:rsidRPr="00287B9E" w:rsidRDefault="006D6823" w:rsidP="003E33F6">
      <w:pPr>
        <w:pStyle w:val="Sinespaciado"/>
        <w:spacing w:line="276" w:lineRule="auto"/>
        <w:jc w:val="both"/>
        <w:rPr>
          <w:rFonts w:ascii="Arial" w:hAnsi="Arial" w:cs="Arial"/>
          <w:iCs/>
          <w:color w:val="000000" w:themeColor="text1"/>
          <w:sz w:val="22"/>
        </w:rPr>
      </w:pPr>
    </w:p>
    <w:p w14:paraId="7E159820" w14:textId="77777777" w:rsidR="00E6633F" w:rsidRPr="00287B9E" w:rsidRDefault="00E6633F" w:rsidP="00E6633F">
      <w:pPr>
        <w:spacing w:after="120" w:line="276" w:lineRule="auto"/>
        <w:jc w:val="both"/>
        <w:rPr>
          <w:rFonts w:ascii="Arial" w:hAnsi="Arial" w:cs="Arial"/>
          <w:color w:val="000000" w:themeColor="text1"/>
          <w:sz w:val="22"/>
          <w:lang w:val="es-ES"/>
        </w:rPr>
      </w:pPr>
      <w:r w:rsidRPr="00287B9E">
        <w:rPr>
          <w:rFonts w:ascii="Arial" w:hAnsi="Arial" w:cs="Arial"/>
          <w:color w:val="000000" w:themeColor="text1"/>
          <w:sz w:val="22"/>
          <w:lang w:val="es-ES"/>
        </w:rPr>
        <w:t>Para resolver la pregunta objeto de la consulta, se estudiarán los sujetos obligados a cumplir con las obligaciones impuestas por la Ley 2013 de 2019, para definir si algunos de ellos son, en términos generales, los contratistas del Estado. En tal sentido, se estudiará cuáles son los particulares obligados a publicar dicha información, teniendo en cuenta que casi todos los sujetos obligados son servidores públicos.</w:t>
      </w:r>
    </w:p>
    <w:p w14:paraId="46160C7B" w14:textId="4B3C129C" w:rsidR="00E03FAB" w:rsidRPr="00287B9E" w:rsidRDefault="00E03FAB" w:rsidP="00E6633F">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La </w:t>
      </w:r>
      <w:r w:rsidRPr="00287B9E">
        <w:rPr>
          <w:rFonts w:ascii="Arial" w:eastAsia="Calibri" w:hAnsi="Arial" w:cs="Arial"/>
          <w:color w:val="000000" w:themeColor="text1"/>
          <w:sz w:val="22"/>
        </w:rPr>
        <w:t>Agencia Nacional de Contratación Pública ― Colombia Compra Eficiente</w:t>
      </w:r>
      <w:r w:rsidR="00E6633F" w:rsidRPr="00287B9E">
        <w:rPr>
          <w:rFonts w:ascii="Arial" w:eastAsia="Calibri" w:hAnsi="Arial" w:cs="Arial"/>
          <w:color w:val="000000" w:themeColor="text1"/>
          <w:sz w:val="22"/>
        </w:rPr>
        <w:t xml:space="preserve"> en el concepto C―075 del 26 de marzo de 2020</w:t>
      </w:r>
      <w:r w:rsidRPr="00287B9E">
        <w:rPr>
          <w:rFonts w:ascii="Arial" w:eastAsia="Calibri" w:hAnsi="Arial" w:cs="Arial"/>
          <w:color w:val="000000" w:themeColor="text1"/>
          <w:sz w:val="22"/>
        </w:rPr>
        <w:t xml:space="preserve"> se pronunció sobre la aplicación de la Ley 2013 de 2019 en los contratos estatales. En particular desarrolló cuáles son los sujetos obligados </w:t>
      </w:r>
      <w:r w:rsidR="00E6633F" w:rsidRPr="00287B9E">
        <w:rPr>
          <w:rFonts w:ascii="Arial" w:eastAsia="Calibri" w:hAnsi="Arial" w:cs="Arial"/>
          <w:color w:val="000000" w:themeColor="text1"/>
          <w:sz w:val="22"/>
        </w:rPr>
        <w:t>bajo dicha ley y en qué supuestos aplicaría frente a los contratistas del Estado, por lo que dichas consideraciones se reiteran a continuación.</w:t>
      </w:r>
    </w:p>
    <w:p w14:paraId="6971F22D" w14:textId="77777777" w:rsidR="003D3F6B" w:rsidRPr="00287B9E" w:rsidRDefault="003D3F6B" w:rsidP="003D3F6B">
      <w:pPr>
        <w:contextualSpacing/>
        <w:jc w:val="both"/>
        <w:rPr>
          <w:rFonts w:ascii="Arial" w:hAnsi="Arial" w:cs="Arial"/>
          <w:color w:val="000000" w:themeColor="text1"/>
          <w:sz w:val="22"/>
          <w:lang w:val="es-ES"/>
        </w:rPr>
      </w:pPr>
    </w:p>
    <w:p w14:paraId="0BBAC7C6" w14:textId="113FEBDE" w:rsidR="003D3F6B" w:rsidRPr="00287B9E" w:rsidRDefault="00A666C9" w:rsidP="003D3F6B">
      <w:pPr>
        <w:contextualSpacing/>
        <w:jc w:val="both"/>
        <w:rPr>
          <w:rFonts w:ascii="Arial" w:hAnsi="Arial" w:cs="Arial"/>
          <w:b/>
          <w:bCs/>
          <w:color w:val="000000" w:themeColor="text1"/>
          <w:sz w:val="22"/>
          <w:lang w:val="es-ES"/>
        </w:rPr>
      </w:pPr>
      <w:r w:rsidRPr="00287B9E">
        <w:rPr>
          <w:rFonts w:ascii="Arial" w:hAnsi="Arial" w:cs="Arial"/>
          <w:b/>
          <w:bCs/>
          <w:color w:val="000000" w:themeColor="text1"/>
          <w:sz w:val="22"/>
          <w:lang w:val="es-ES"/>
        </w:rPr>
        <w:t>2.1.</w:t>
      </w:r>
      <w:r w:rsidR="00E03FAB" w:rsidRPr="00287B9E">
        <w:rPr>
          <w:rFonts w:ascii="Arial" w:hAnsi="Arial" w:cs="Arial"/>
          <w:b/>
          <w:bCs/>
          <w:color w:val="000000" w:themeColor="text1"/>
          <w:sz w:val="22"/>
          <w:lang w:val="es-ES"/>
        </w:rPr>
        <w:t xml:space="preserve"> </w:t>
      </w:r>
      <w:r w:rsidR="003D3F6B" w:rsidRPr="00287B9E">
        <w:rPr>
          <w:rFonts w:ascii="Arial" w:hAnsi="Arial" w:cs="Arial"/>
          <w:b/>
          <w:bCs/>
          <w:color w:val="000000" w:themeColor="text1"/>
          <w:sz w:val="22"/>
          <w:lang w:val="es-ES"/>
        </w:rPr>
        <w:t xml:space="preserve">Ámbito de aplicación de la Ley 2013 de 2019. Sujetos obligados. </w:t>
      </w:r>
    </w:p>
    <w:p w14:paraId="53674BA6" w14:textId="77777777" w:rsidR="003D3F6B" w:rsidRPr="00287B9E" w:rsidRDefault="003D3F6B" w:rsidP="003D3F6B">
      <w:pPr>
        <w:contextualSpacing/>
        <w:jc w:val="both"/>
        <w:rPr>
          <w:rFonts w:ascii="Arial" w:hAnsi="Arial" w:cs="Arial"/>
          <w:color w:val="000000" w:themeColor="text1"/>
          <w:sz w:val="22"/>
          <w:lang w:val="es-ES"/>
        </w:rPr>
      </w:pPr>
    </w:p>
    <w:p w14:paraId="48699C25" w14:textId="3B8F32D8" w:rsidR="006F667A" w:rsidRPr="00287B9E" w:rsidRDefault="006F667A" w:rsidP="003D3F6B">
      <w:pPr>
        <w:spacing w:after="120" w:line="276" w:lineRule="auto"/>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La Ley 2013 </w:t>
      </w:r>
      <w:r w:rsidR="006328C4" w:rsidRPr="00287B9E">
        <w:rPr>
          <w:rFonts w:ascii="Arial" w:hAnsi="Arial" w:cs="Arial"/>
          <w:color w:val="000000" w:themeColor="text1"/>
          <w:sz w:val="22"/>
          <w:lang w:val="es-ES"/>
        </w:rPr>
        <w:t>se expidió</w:t>
      </w:r>
      <w:r w:rsidRPr="00287B9E">
        <w:rPr>
          <w:rFonts w:ascii="Arial" w:hAnsi="Arial" w:cs="Arial"/>
          <w:color w:val="000000" w:themeColor="text1"/>
          <w:sz w:val="22"/>
          <w:lang w:val="es-ES"/>
        </w:rPr>
        <w:t xml:space="preserve"> el 30 de diciembre</w:t>
      </w:r>
      <w:r w:rsidR="003D3F6B" w:rsidRPr="00287B9E">
        <w:rPr>
          <w:rFonts w:ascii="Arial" w:hAnsi="Arial" w:cs="Arial"/>
          <w:color w:val="000000" w:themeColor="text1"/>
          <w:sz w:val="22"/>
          <w:lang w:val="es-ES"/>
        </w:rPr>
        <w:t xml:space="preserve"> de 2019, luego de tramitarse mediante el proyecto de Ley 147 de 2018 Senado y 254 de 2018 Cámara.</w:t>
      </w:r>
      <w:r w:rsidRPr="00287B9E">
        <w:rPr>
          <w:rFonts w:ascii="Arial" w:hAnsi="Arial" w:cs="Arial"/>
          <w:color w:val="000000" w:themeColor="text1"/>
          <w:sz w:val="22"/>
          <w:lang w:val="es-ES"/>
        </w:rPr>
        <w:t xml:space="preserve"> El objeto de dicha ley consiste en dar cumplimiento a los principios de transparencia, publicidad, promoción de la participación y control social mediante la publica</w:t>
      </w:r>
      <w:r w:rsidR="003E33F6" w:rsidRPr="00287B9E">
        <w:rPr>
          <w:rFonts w:ascii="Arial" w:hAnsi="Arial" w:cs="Arial"/>
          <w:color w:val="000000" w:themeColor="text1"/>
          <w:sz w:val="22"/>
          <w:lang w:val="es-ES"/>
        </w:rPr>
        <w:t>ción</w:t>
      </w:r>
      <w:r w:rsidRPr="00287B9E">
        <w:rPr>
          <w:rFonts w:ascii="Arial" w:hAnsi="Arial" w:cs="Arial"/>
          <w:color w:val="000000" w:themeColor="text1"/>
          <w:sz w:val="22"/>
          <w:lang w:val="es-ES"/>
        </w:rPr>
        <w:t xml:space="preserve"> y divulga</w:t>
      </w:r>
      <w:r w:rsidR="003E33F6" w:rsidRPr="00287B9E">
        <w:rPr>
          <w:rFonts w:ascii="Arial" w:hAnsi="Arial" w:cs="Arial"/>
          <w:color w:val="000000" w:themeColor="text1"/>
          <w:sz w:val="22"/>
          <w:lang w:val="es-ES"/>
        </w:rPr>
        <w:t>ción</w:t>
      </w:r>
      <w:r w:rsidRPr="00287B9E">
        <w:rPr>
          <w:rFonts w:ascii="Arial" w:hAnsi="Arial" w:cs="Arial"/>
          <w:color w:val="000000" w:themeColor="text1"/>
          <w:sz w:val="22"/>
          <w:lang w:val="es-ES"/>
        </w:rPr>
        <w:t xml:space="preserve"> proactiva</w:t>
      </w:r>
      <w:r w:rsidR="003E33F6" w:rsidRPr="00287B9E">
        <w:rPr>
          <w:rFonts w:ascii="Arial" w:hAnsi="Arial" w:cs="Arial"/>
          <w:color w:val="000000" w:themeColor="text1"/>
          <w:sz w:val="22"/>
          <w:lang w:val="es-ES"/>
        </w:rPr>
        <w:t xml:space="preserve"> de</w:t>
      </w:r>
      <w:r w:rsidRPr="00287B9E">
        <w:rPr>
          <w:rFonts w:ascii="Arial" w:hAnsi="Arial" w:cs="Arial"/>
          <w:color w:val="000000" w:themeColor="text1"/>
          <w:sz w:val="22"/>
          <w:lang w:val="es-ES"/>
        </w:rPr>
        <w:t>: i) la declaración de bienes y rentas, ii) el registro de conflictos de interés, y iii) la declaración sobre la renta y complementarios ―art. 1―.</w:t>
      </w:r>
    </w:p>
    <w:p w14:paraId="1C904B5D" w14:textId="4992E1D3" w:rsidR="00967435" w:rsidRPr="00287B9E" w:rsidRDefault="00967435" w:rsidP="003D3F6B">
      <w:pPr>
        <w:spacing w:after="120" w:line="276" w:lineRule="auto"/>
        <w:jc w:val="both"/>
        <w:rPr>
          <w:rFonts w:ascii="Arial" w:hAnsi="Arial" w:cs="Arial"/>
          <w:color w:val="000000" w:themeColor="text1"/>
          <w:sz w:val="22"/>
          <w:lang w:val="es-ES"/>
        </w:rPr>
      </w:pPr>
      <w:r w:rsidRPr="00287B9E">
        <w:rPr>
          <w:rFonts w:ascii="Arial" w:hAnsi="Arial" w:cs="Arial"/>
          <w:color w:val="000000" w:themeColor="text1"/>
          <w:sz w:val="22"/>
          <w:lang w:val="es-ES"/>
        </w:rPr>
        <w:lastRenderedPageBreak/>
        <w:tab/>
        <w:t xml:space="preserve">La finalidad que justificó la presentación del proyecto de ley fue incentivar la participación y el control social por parte de los colombianos, de manera que se evitara la comisión de conductas de corrupción, al </w:t>
      </w:r>
      <w:r w:rsidR="002B657B" w:rsidRPr="00287B9E">
        <w:rPr>
          <w:rFonts w:ascii="Arial" w:hAnsi="Arial" w:cs="Arial"/>
          <w:color w:val="000000" w:themeColor="text1"/>
          <w:sz w:val="22"/>
          <w:lang w:val="es-ES"/>
        </w:rPr>
        <w:t>propiciarse</w:t>
      </w:r>
      <w:r w:rsidRPr="00287B9E">
        <w:rPr>
          <w:rFonts w:ascii="Arial" w:hAnsi="Arial" w:cs="Arial"/>
          <w:color w:val="000000" w:themeColor="text1"/>
          <w:sz w:val="22"/>
          <w:lang w:val="es-ES"/>
        </w:rPr>
        <w:t xml:space="preserve"> la publicidad y </w:t>
      </w:r>
      <w:r w:rsidR="002B657B" w:rsidRPr="00287B9E">
        <w:rPr>
          <w:rFonts w:ascii="Arial" w:hAnsi="Arial" w:cs="Arial"/>
          <w:color w:val="000000" w:themeColor="text1"/>
          <w:sz w:val="22"/>
          <w:lang w:val="es-ES"/>
        </w:rPr>
        <w:t>transparencia</w:t>
      </w:r>
      <w:r w:rsidRPr="00287B9E">
        <w:rPr>
          <w:rFonts w:ascii="Arial" w:hAnsi="Arial" w:cs="Arial"/>
          <w:color w:val="000000" w:themeColor="text1"/>
          <w:sz w:val="22"/>
          <w:lang w:val="es-ES"/>
        </w:rPr>
        <w:t xml:space="preserve"> en la información de los patrimonios de algunos servidores públicos</w:t>
      </w:r>
      <w:r w:rsidR="007E704D" w:rsidRPr="00287B9E">
        <w:rPr>
          <w:rFonts w:ascii="Arial" w:hAnsi="Arial" w:cs="Arial"/>
          <w:color w:val="000000" w:themeColor="text1"/>
          <w:sz w:val="22"/>
          <w:lang w:val="es-ES"/>
        </w:rPr>
        <w:t>, particularmente aquellos con altos cargos dentro de la estructura del Estado; además</w:t>
      </w:r>
      <w:r w:rsidR="003E33F6" w:rsidRPr="00287B9E">
        <w:rPr>
          <w:rFonts w:ascii="Arial" w:hAnsi="Arial" w:cs="Arial"/>
          <w:color w:val="000000" w:themeColor="text1"/>
          <w:sz w:val="22"/>
          <w:lang w:val="es-ES"/>
        </w:rPr>
        <w:t>,</w:t>
      </w:r>
      <w:r w:rsidR="007E704D" w:rsidRPr="00287B9E">
        <w:rPr>
          <w:rFonts w:ascii="Arial" w:hAnsi="Arial" w:cs="Arial"/>
          <w:color w:val="000000" w:themeColor="text1"/>
          <w:sz w:val="22"/>
          <w:lang w:val="es-ES"/>
        </w:rPr>
        <w:t xml:space="preserve"> durante el trámite de</w:t>
      </w:r>
      <w:r w:rsidR="003E33F6" w:rsidRPr="00287B9E">
        <w:rPr>
          <w:rFonts w:ascii="Arial" w:hAnsi="Arial" w:cs="Arial"/>
          <w:color w:val="000000" w:themeColor="text1"/>
          <w:sz w:val="22"/>
          <w:lang w:val="es-ES"/>
        </w:rPr>
        <w:t xml:space="preserve">l proyecto se </w:t>
      </w:r>
      <w:r w:rsidR="007E704D" w:rsidRPr="00287B9E">
        <w:rPr>
          <w:rFonts w:ascii="Arial" w:hAnsi="Arial" w:cs="Arial"/>
          <w:color w:val="000000" w:themeColor="text1"/>
          <w:sz w:val="22"/>
          <w:lang w:val="es-ES"/>
        </w:rPr>
        <w:t>amplió paulatinamente el ámbito de aplicación de la ley, al incluirse nuevos sujetos obligados</w:t>
      </w:r>
      <w:r w:rsidR="003E33F6" w:rsidRPr="00287B9E">
        <w:rPr>
          <w:rFonts w:ascii="Arial" w:hAnsi="Arial" w:cs="Arial"/>
          <w:color w:val="000000" w:themeColor="text1"/>
          <w:sz w:val="22"/>
          <w:lang w:val="es-ES"/>
        </w:rPr>
        <w:t>, entre ellos a algunos particul</w:t>
      </w:r>
      <w:r w:rsidR="00A91D8B" w:rsidRPr="00287B9E">
        <w:rPr>
          <w:rFonts w:ascii="Arial" w:hAnsi="Arial" w:cs="Arial"/>
          <w:color w:val="000000" w:themeColor="text1"/>
          <w:sz w:val="22"/>
          <w:lang w:val="es-ES"/>
        </w:rPr>
        <w:t>a</w:t>
      </w:r>
      <w:r w:rsidR="003E33F6" w:rsidRPr="00287B9E">
        <w:rPr>
          <w:rFonts w:ascii="Arial" w:hAnsi="Arial" w:cs="Arial"/>
          <w:color w:val="000000" w:themeColor="text1"/>
          <w:sz w:val="22"/>
          <w:lang w:val="es-ES"/>
        </w:rPr>
        <w:t>res</w:t>
      </w:r>
      <w:r w:rsidR="007E704D" w:rsidRPr="00287B9E">
        <w:rPr>
          <w:rFonts w:ascii="Arial" w:hAnsi="Arial" w:cs="Arial"/>
          <w:color w:val="000000" w:themeColor="text1"/>
          <w:sz w:val="22"/>
          <w:lang w:val="es-ES"/>
        </w:rPr>
        <w:t>.</w:t>
      </w:r>
    </w:p>
    <w:p w14:paraId="4B1501F7" w14:textId="08C1B8C7" w:rsidR="007D7AD2" w:rsidRPr="00287B9E" w:rsidRDefault="006F667A" w:rsidP="00996F07">
      <w:pPr>
        <w:spacing w:line="276" w:lineRule="auto"/>
        <w:ind w:firstLine="709"/>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Las obligaciones </w:t>
      </w:r>
      <w:r w:rsidR="007E704D" w:rsidRPr="00287B9E">
        <w:rPr>
          <w:rFonts w:ascii="Arial" w:hAnsi="Arial" w:cs="Arial"/>
          <w:color w:val="000000" w:themeColor="text1"/>
          <w:sz w:val="22"/>
          <w:lang w:val="es-ES"/>
        </w:rPr>
        <w:t>indicadas previamente</w:t>
      </w:r>
      <w:r w:rsidR="003655FF" w:rsidRPr="00287B9E">
        <w:rPr>
          <w:rFonts w:ascii="Arial" w:hAnsi="Arial" w:cs="Arial"/>
          <w:color w:val="000000" w:themeColor="text1"/>
          <w:sz w:val="22"/>
          <w:lang w:val="es-ES"/>
        </w:rPr>
        <w:t>,</w:t>
      </w:r>
      <w:r w:rsidR="007E704D" w:rsidRPr="00287B9E">
        <w:rPr>
          <w:rFonts w:ascii="Arial" w:hAnsi="Arial" w:cs="Arial"/>
          <w:color w:val="000000" w:themeColor="text1"/>
          <w:sz w:val="22"/>
          <w:lang w:val="es-ES"/>
        </w:rPr>
        <w:t xml:space="preserve"> en materia de publicidad</w:t>
      </w:r>
      <w:r w:rsidR="003655FF" w:rsidRPr="00287B9E">
        <w:rPr>
          <w:rFonts w:ascii="Arial" w:hAnsi="Arial" w:cs="Arial"/>
          <w:color w:val="000000" w:themeColor="text1"/>
          <w:sz w:val="22"/>
          <w:lang w:val="es-ES"/>
        </w:rPr>
        <w:t>,</w:t>
      </w:r>
      <w:r w:rsidR="007E704D" w:rsidRPr="00287B9E">
        <w:rPr>
          <w:rFonts w:ascii="Arial" w:hAnsi="Arial" w:cs="Arial"/>
          <w:color w:val="000000" w:themeColor="text1"/>
          <w:sz w:val="22"/>
          <w:lang w:val="es-ES"/>
        </w:rPr>
        <w:t xml:space="preserve"> </w:t>
      </w:r>
      <w:r w:rsidRPr="00287B9E">
        <w:rPr>
          <w:rFonts w:ascii="Arial" w:hAnsi="Arial" w:cs="Arial"/>
          <w:color w:val="000000" w:themeColor="text1"/>
          <w:sz w:val="22"/>
          <w:lang w:val="es-ES"/>
        </w:rPr>
        <w:t xml:space="preserve">fueron </w:t>
      </w:r>
      <w:r w:rsidR="006328C4" w:rsidRPr="00287B9E">
        <w:rPr>
          <w:rFonts w:ascii="Arial" w:hAnsi="Arial" w:cs="Arial"/>
          <w:color w:val="000000" w:themeColor="text1"/>
          <w:sz w:val="22"/>
          <w:lang w:val="es-ES"/>
        </w:rPr>
        <w:t>impuestas</w:t>
      </w:r>
      <w:r w:rsidRPr="00287B9E">
        <w:rPr>
          <w:rFonts w:ascii="Arial" w:hAnsi="Arial" w:cs="Arial"/>
          <w:color w:val="000000" w:themeColor="text1"/>
          <w:sz w:val="22"/>
          <w:lang w:val="es-ES"/>
        </w:rPr>
        <w:t xml:space="preserve"> a los sujetos señalados en el artículo 2, que constituye la disposición que define el ámbito de aplicación de la propia ley. </w:t>
      </w:r>
      <w:r w:rsidR="006328C4" w:rsidRPr="00287B9E">
        <w:rPr>
          <w:rFonts w:ascii="Arial" w:hAnsi="Arial" w:cs="Arial"/>
          <w:color w:val="000000" w:themeColor="text1"/>
          <w:sz w:val="22"/>
          <w:lang w:val="es-ES"/>
        </w:rPr>
        <w:t xml:space="preserve">En tal sentido, </w:t>
      </w:r>
      <w:r w:rsidR="007E704D" w:rsidRPr="00287B9E">
        <w:rPr>
          <w:rFonts w:ascii="Arial" w:hAnsi="Arial" w:cs="Arial"/>
          <w:color w:val="000000" w:themeColor="text1"/>
          <w:sz w:val="22"/>
          <w:lang w:val="es-ES"/>
        </w:rPr>
        <w:t>dicho artículo finalmente se expidió con 11 literales, siendo la mayoría de los sujetos obligados servidores públicos, de los cuales s</w:t>
      </w:r>
      <w:r w:rsidR="00D535FD" w:rsidRPr="00287B9E">
        <w:rPr>
          <w:rFonts w:ascii="Arial" w:hAnsi="Arial" w:cs="Arial"/>
          <w:color w:val="000000" w:themeColor="text1"/>
          <w:sz w:val="22"/>
          <w:lang w:val="es-ES"/>
        </w:rPr>
        <w:t>e</w:t>
      </w:r>
      <w:r w:rsidR="007E704D" w:rsidRPr="00287B9E">
        <w:rPr>
          <w:rFonts w:ascii="Arial" w:hAnsi="Arial" w:cs="Arial"/>
          <w:color w:val="000000" w:themeColor="text1"/>
          <w:sz w:val="22"/>
          <w:lang w:val="es-ES"/>
        </w:rPr>
        <w:t xml:space="preserve"> realizó un listado extenso; sin embargo, dicha obligación no se extendió a cualquier servidor público, sino exclusivamente a los contenidos en </w:t>
      </w:r>
      <w:r w:rsidR="003655FF" w:rsidRPr="00287B9E">
        <w:rPr>
          <w:rFonts w:ascii="Arial" w:hAnsi="Arial" w:cs="Arial"/>
          <w:color w:val="000000" w:themeColor="text1"/>
          <w:sz w:val="22"/>
          <w:lang w:val="es-ES"/>
        </w:rPr>
        <w:t>la</w:t>
      </w:r>
      <w:r w:rsidR="007E704D" w:rsidRPr="00287B9E">
        <w:rPr>
          <w:rFonts w:ascii="Arial" w:hAnsi="Arial" w:cs="Arial"/>
          <w:color w:val="000000" w:themeColor="text1"/>
          <w:sz w:val="22"/>
          <w:lang w:val="es-ES"/>
        </w:rPr>
        <w:t xml:space="preserve"> lista.</w:t>
      </w:r>
      <w:r w:rsidR="00E03FAB" w:rsidRPr="00287B9E">
        <w:rPr>
          <w:rFonts w:ascii="Arial" w:hAnsi="Arial" w:cs="Arial"/>
          <w:color w:val="000000" w:themeColor="text1"/>
          <w:sz w:val="22"/>
          <w:lang w:val="es-ES"/>
        </w:rPr>
        <w:t xml:space="preserve"> </w:t>
      </w:r>
      <w:r w:rsidR="007E704D" w:rsidRPr="00287B9E">
        <w:rPr>
          <w:rFonts w:ascii="Arial" w:hAnsi="Arial" w:cs="Arial"/>
          <w:color w:val="000000" w:themeColor="text1"/>
          <w:sz w:val="22"/>
          <w:lang w:val="es-ES"/>
        </w:rPr>
        <w:t>Dentro de este se destacan los literales f) y g)</w:t>
      </w:r>
      <w:r w:rsidR="003655FF" w:rsidRPr="00287B9E">
        <w:rPr>
          <w:rFonts w:ascii="Arial" w:hAnsi="Arial" w:cs="Arial"/>
          <w:color w:val="000000" w:themeColor="text1"/>
          <w:sz w:val="22"/>
          <w:lang w:val="es-ES"/>
        </w:rPr>
        <w:t>,</w:t>
      </w:r>
      <w:r w:rsidR="007E704D" w:rsidRPr="00287B9E">
        <w:rPr>
          <w:rFonts w:ascii="Arial" w:hAnsi="Arial" w:cs="Arial"/>
          <w:color w:val="000000" w:themeColor="text1"/>
          <w:sz w:val="22"/>
          <w:lang w:val="es-ES"/>
        </w:rPr>
        <w:t xml:space="preserve"> por ser los únicos que </w:t>
      </w:r>
      <w:r w:rsidR="007D7AD2" w:rsidRPr="00287B9E">
        <w:rPr>
          <w:rFonts w:ascii="Arial" w:hAnsi="Arial" w:cs="Arial"/>
          <w:color w:val="000000" w:themeColor="text1"/>
          <w:sz w:val="22"/>
          <w:lang w:val="es-ES"/>
        </w:rPr>
        <w:t>aplican frente a particulares:</w:t>
      </w:r>
    </w:p>
    <w:p w14:paraId="0049F19F" w14:textId="2FC71297" w:rsidR="007D7AD2" w:rsidRPr="00287B9E" w:rsidRDefault="007D7AD2" w:rsidP="00996F07">
      <w:pPr>
        <w:ind w:firstLine="709"/>
        <w:contextualSpacing/>
        <w:jc w:val="both"/>
        <w:rPr>
          <w:rFonts w:ascii="Arial" w:hAnsi="Arial" w:cs="Arial"/>
          <w:color w:val="000000" w:themeColor="text1"/>
          <w:sz w:val="22"/>
          <w:lang w:val="es-ES"/>
        </w:rPr>
      </w:pPr>
    </w:p>
    <w:p w14:paraId="238A6E90" w14:textId="77777777" w:rsidR="007D7AD2" w:rsidRPr="00287B9E" w:rsidRDefault="007D7AD2" w:rsidP="00996F07">
      <w:pPr>
        <w:pStyle w:val="NormalWeb"/>
        <w:spacing w:before="0" w:beforeAutospacing="0" w:after="0" w:afterAutospacing="0"/>
        <w:ind w:left="709" w:right="709"/>
        <w:contextualSpacing/>
        <w:jc w:val="both"/>
        <w:rPr>
          <w:rFonts w:ascii="Arial" w:hAnsi="Arial" w:cs="Arial"/>
          <w:color w:val="000000" w:themeColor="text1"/>
          <w:sz w:val="21"/>
          <w:szCs w:val="21"/>
        </w:rPr>
      </w:pPr>
      <w:r w:rsidRPr="00287B9E">
        <w:rPr>
          <w:rFonts w:ascii="Arial" w:hAnsi="Arial" w:cs="Arial"/>
          <w:color w:val="000000" w:themeColor="text1"/>
          <w:sz w:val="21"/>
          <w:szCs w:val="21"/>
        </w:rPr>
        <w:t>«Artículo 2</w:t>
      </w:r>
      <w:r w:rsidRPr="00287B9E">
        <w:rPr>
          <w:rFonts w:ascii="Arial" w:hAnsi="Arial" w:cs="Arial"/>
          <w:i/>
          <w:iCs/>
          <w:color w:val="000000" w:themeColor="text1"/>
          <w:sz w:val="21"/>
          <w:szCs w:val="21"/>
        </w:rPr>
        <w:t>º</w:t>
      </w:r>
      <w:r w:rsidRPr="00287B9E">
        <w:rPr>
          <w:rFonts w:ascii="Arial" w:hAnsi="Arial" w:cs="Arial"/>
          <w:color w:val="000000" w:themeColor="text1"/>
          <w:sz w:val="21"/>
          <w:szCs w:val="21"/>
        </w:rPr>
        <w:t>. </w:t>
      </w:r>
      <w:r w:rsidRPr="00287B9E">
        <w:rPr>
          <w:rFonts w:ascii="Arial" w:hAnsi="Arial" w:cs="Arial"/>
          <w:i/>
          <w:iCs/>
          <w:color w:val="000000" w:themeColor="text1"/>
          <w:sz w:val="21"/>
          <w:szCs w:val="21"/>
        </w:rPr>
        <w:t>Ámbito de aplicación.</w:t>
      </w:r>
      <w:r w:rsidRPr="00287B9E">
        <w:rPr>
          <w:rFonts w:ascii="Arial" w:hAnsi="Arial" w:cs="Arial"/>
          <w:color w:val="000000" w:themeColor="text1"/>
          <w:sz w:val="21"/>
          <w:szCs w:val="21"/>
        </w:rPr>
        <w:t> La publicación y divulgación de la declaración de bienes y rentas, del registro de conflictos de interés y la declaración del impuesto sobre la renta y complementarios, serán aplicables a las siguientes personas en calidad de sujetos obligados: </w:t>
      </w:r>
    </w:p>
    <w:p w14:paraId="479EF259"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10C04B81" w14:textId="52B6BDDF"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a) Los servidores públicos electos mediante voto popular; </w:t>
      </w:r>
    </w:p>
    <w:p w14:paraId="775E107A"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3C1D5F64" w14:textId="37C40E1C"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b) Los magistrados de las Altas Cortes; Tribunales y de la Justicia Especial para la Paz, el Fiscal General de la Nación, fiscales locales, seccionales y jueces de la República; </w:t>
      </w:r>
    </w:p>
    <w:p w14:paraId="30B9ADD1"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4DE15CC3" w14:textId="6EAAFD05"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c) Los magistrados del Consejo Nacional Electoral; </w:t>
      </w:r>
    </w:p>
    <w:p w14:paraId="6EBB4BAC"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9B09216" w14:textId="5E4DEE49"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d) EI Procurador General de la Nación, el Auditor General de la República, el Defensor del Pueblo, el Contralor General de la República y el Registrador Nacional del Estado Civil; </w:t>
      </w:r>
    </w:p>
    <w:p w14:paraId="618A76AC"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65E12963" w14:textId="2252E791"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e) Los Ministros de Despacho, los Superintendentes, Directores de Departamentos Administrativos, Directores de Unidades Administrativas Especiales y, en general, quienes ejerzan cargos directivos y gerenciales en el Estado; </w:t>
      </w:r>
    </w:p>
    <w:p w14:paraId="0EBE506B" w14:textId="77777777" w:rsidR="007D7AD2" w:rsidRPr="00287B9E"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09FD9B2D" w14:textId="17F78BE3" w:rsidR="007D7AD2" w:rsidRPr="00287B9E"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287B9E">
        <w:rPr>
          <w:rFonts w:ascii="Arial" w:eastAsia="Times New Roman" w:hAnsi="Arial" w:cs="Arial"/>
          <w:i/>
          <w:iCs/>
          <w:color w:val="000000" w:themeColor="text1"/>
          <w:sz w:val="21"/>
          <w:szCs w:val="21"/>
          <w:lang w:val="es-CO" w:eastAsia="es-CO"/>
        </w:rPr>
        <w:t>f) Las personas naturales y jurídicas, públicas o privadas, que presten función pública, que presten servicios públicos respecto de la información directamente relacionada con la prestación del servicio público; </w:t>
      </w:r>
    </w:p>
    <w:p w14:paraId="00113FED" w14:textId="77777777" w:rsidR="007D7AD2" w:rsidRPr="00287B9E" w:rsidRDefault="007D7AD2" w:rsidP="00996F07">
      <w:pPr>
        <w:ind w:left="709" w:right="709"/>
        <w:contextualSpacing/>
        <w:jc w:val="both"/>
        <w:rPr>
          <w:rFonts w:ascii="Arial" w:eastAsia="Times New Roman" w:hAnsi="Arial" w:cs="Arial"/>
          <w:i/>
          <w:iCs/>
          <w:color w:val="000000" w:themeColor="text1"/>
          <w:sz w:val="21"/>
          <w:szCs w:val="21"/>
          <w:lang w:val="es-CO" w:eastAsia="es-CO"/>
        </w:rPr>
      </w:pPr>
    </w:p>
    <w:p w14:paraId="6136C983" w14:textId="361FE141" w:rsidR="007D7AD2" w:rsidRPr="00287B9E" w:rsidRDefault="007D7AD2" w:rsidP="00996F07">
      <w:pPr>
        <w:ind w:left="709" w:right="709"/>
        <w:contextualSpacing/>
        <w:jc w:val="both"/>
        <w:rPr>
          <w:rFonts w:ascii="Arial" w:eastAsia="Times New Roman" w:hAnsi="Arial" w:cs="Arial"/>
          <w:i/>
          <w:iCs/>
          <w:color w:val="000000" w:themeColor="text1"/>
          <w:sz w:val="21"/>
          <w:szCs w:val="21"/>
          <w:lang w:val="es-CO" w:eastAsia="es-CO"/>
        </w:rPr>
      </w:pPr>
      <w:r w:rsidRPr="00287B9E">
        <w:rPr>
          <w:rFonts w:ascii="Arial" w:eastAsia="Times New Roman" w:hAnsi="Arial" w:cs="Arial"/>
          <w:i/>
          <w:iCs/>
          <w:color w:val="000000" w:themeColor="text1"/>
          <w:sz w:val="21"/>
          <w:szCs w:val="21"/>
          <w:lang w:val="es-CO" w:eastAsia="es-CO"/>
        </w:rPr>
        <w:t>g) Las personas naturales y jurídicas, públicas o privadas que administren, celebren contratos y ejecuten bienes o recursos públicos respecto de la información directamente relacionada con el desempeño de su función; </w:t>
      </w:r>
    </w:p>
    <w:p w14:paraId="6DF829E9"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DDDA153" w14:textId="30CE1B40"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h) El Presidente de la República; </w:t>
      </w:r>
    </w:p>
    <w:p w14:paraId="39D992C2"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0A82B4DD" w14:textId="646CB7F1"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i) Al Gerente General del Banco de la República, de las CAR y los Consejos Directivos y Rectores y Directores de Universidades Públicas; </w:t>
      </w:r>
    </w:p>
    <w:p w14:paraId="2E71E228"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3612F3E" w14:textId="6AE00021"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j) Los Directivos de las entidades adscritas o vinculadas a los Ministerios y Departamentos Administrativos, con personería jurídica; </w:t>
      </w:r>
    </w:p>
    <w:p w14:paraId="65CF3D9D" w14:textId="77777777"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p>
    <w:p w14:paraId="525E36C3" w14:textId="61FDEF39"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k) Embajadores y Cónsules de Colombia en el Exterior. </w:t>
      </w:r>
    </w:p>
    <w:p w14:paraId="534506F0" w14:textId="77777777" w:rsidR="007D7AD2" w:rsidRPr="00287B9E" w:rsidRDefault="007D7AD2" w:rsidP="00996F07">
      <w:pPr>
        <w:ind w:left="709" w:right="709"/>
        <w:contextualSpacing/>
        <w:jc w:val="both"/>
        <w:rPr>
          <w:rFonts w:ascii="Arial" w:eastAsia="Times New Roman" w:hAnsi="Arial" w:cs="Arial"/>
          <w:b/>
          <w:bCs/>
          <w:color w:val="000000" w:themeColor="text1"/>
          <w:sz w:val="21"/>
          <w:szCs w:val="21"/>
          <w:lang w:val="es-CO" w:eastAsia="es-CO"/>
        </w:rPr>
      </w:pPr>
    </w:p>
    <w:p w14:paraId="0367BD7F" w14:textId="5A7B9D0E" w:rsidR="007D7AD2" w:rsidRPr="00287B9E" w:rsidRDefault="007D7AD2" w:rsidP="00996F07">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287B9E">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 </w:t>
      </w:r>
    </w:p>
    <w:p w14:paraId="0E3E20E3" w14:textId="77777777" w:rsidR="007D7AD2" w:rsidRPr="00287B9E" w:rsidRDefault="007D7AD2" w:rsidP="00996F07">
      <w:pPr>
        <w:spacing w:after="120"/>
        <w:ind w:left="709" w:right="709"/>
        <w:contextualSpacing/>
        <w:jc w:val="both"/>
        <w:rPr>
          <w:rFonts w:ascii="Arial" w:eastAsia="Times New Roman" w:hAnsi="Arial" w:cs="Arial"/>
          <w:b/>
          <w:bCs/>
          <w:color w:val="000000" w:themeColor="text1"/>
          <w:sz w:val="21"/>
          <w:szCs w:val="21"/>
          <w:lang w:val="es-CO" w:eastAsia="es-CO"/>
        </w:rPr>
      </w:pPr>
    </w:p>
    <w:p w14:paraId="0320FCAF" w14:textId="3644ED49" w:rsidR="007D7AD2" w:rsidRPr="00287B9E" w:rsidRDefault="007D7AD2" w:rsidP="00996F07">
      <w:pPr>
        <w:spacing w:after="120"/>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Parágrafo 2º. 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(Cursiva fuera del original)</w:t>
      </w:r>
    </w:p>
    <w:p w14:paraId="74A98EFE" w14:textId="6E7C48AD" w:rsidR="00996F07" w:rsidRPr="00287B9E" w:rsidRDefault="00996F07" w:rsidP="00996F07">
      <w:pPr>
        <w:spacing w:after="120"/>
        <w:ind w:right="709"/>
        <w:jc w:val="both"/>
        <w:rPr>
          <w:rFonts w:ascii="Arial" w:eastAsia="Times New Roman" w:hAnsi="Arial" w:cs="Arial"/>
          <w:b/>
          <w:bCs/>
          <w:color w:val="000000" w:themeColor="text1"/>
          <w:sz w:val="21"/>
          <w:szCs w:val="21"/>
          <w:lang w:val="es-CO" w:eastAsia="es-CO"/>
        </w:rPr>
      </w:pPr>
    </w:p>
    <w:p w14:paraId="30FD0624" w14:textId="3EB4936C" w:rsidR="000A3102" w:rsidRPr="00287B9E" w:rsidRDefault="000A3102" w:rsidP="000A3102">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Teniendo en cuenta que el interrogante </w:t>
      </w:r>
      <w:r w:rsidR="003655FF" w:rsidRPr="00287B9E">
        <w:rPr>
          <w:rFonts w:ascii="Arial" w:hAnsi="Arial" w:cs="Arial"/>
          <w:color w:val="000000" w:themeColor="text1"/>
          <w:sz w:val="22"/>
          <w:lang w:val="es-ES"/>
        </w:rPr>
        <w:t>de la petición</w:t>
      </w:r>
      <w:r w:rsidRPr="00287B9E">
        <w:rPr>
          <w:rFonts w:ascii="Arial" w:hAnsi="Arial" w:cs="Arial"/>
          <w:color w:val="000000" w:themeColor="text1"/>
          <w:sz w:val="22"/>
          <w:lang w:val="es-ES"/>
        </w:rPr>
        <w:t xml:space="preserve"> tiene relación</w:t>
      </w:r>
      <w:r w:rsidR="007B18C0" w:rsidRPr="00287B9E">
        <w:rPr>
          <w:rFonts w:ascii="Arial" w:hAnsi="Arial" w:cs="Arial"/>
          <w:color w:val="000000" w:themeColor="text1"/>
          <w:sz w:val="22"/>
          <w:lang w:val="es-ES"/>
        </w:rPr>
        <w:t>, entre otras cosas,</w:t>
      </w:r>
      <w:r w:rsidRPr="00287B9E">
        <w:rPr>
          <w:rFonts w:ascii="Arial" w:hAnsi="Arial" w:cs="Arial"/>
          <w:color w:val="000000" w:themeColor="text1"/>
          <w:sz w:val="22"/>
          <w:lang w:val="es-ES"/>
        </w:rPr>
        <w:t xml:space="preserve"> con si los contratistas del Estado se encuentran o no dentro del ámbito de aplicación de la Ley 2013 de 2019, es necesario estudiar cuáles son los particulares que se enmarcan dentro de los literales f) y g), </w:t>
      </w:r>
      <w:r w:rsidR="00D964D4" w:rsidRPr="00287B9E">
        <w:rPr>
          <w:rFonts w:ascii="Arial" w:hAnsi="Arial" w:cs="Arial"/>
          <w:color w:val="000000" w:themeColor="text1"/>
          <w:sz w:val="22"/>
          <w:lang w:val="es-ES"/>
        </w:rPr>
        <w:t xml:space="preserve">particularmente en el segundo, </w:t>
      </w:r>
      <w:r w:rsidRPr="00287B9E">
        <w:rPr>
          <w:rFonts w:ascii="Arial" w:hAnsi="Arial" w:cs="Arial"/>
          <w:color w:val="000000" w:themeColor="text1"/>
          <w:sz w:val="22"/>
          <w:lang w:val="es-ES"/>
        </w:rPr>
        <w:t xml:space="preserve">por ser los que tendrían una relación más cercana con los contratistas del Estado, </w:t>
      </w:r>
      <w:r w:rsidR="00DF658A" w:rsidRPr="00287B9E">
        <w:rPr>
          <w:rFonts w:ascii="Arial" w:hAnsi="Arial" w:cs="Arial"/>
          <w:color w:val="000000" w:themeColor="text1"/>
          <w:sz w:val="22"/>
          <w:lang w:val="es-ES"/>
        </w:rPr>
        <w:t>por</w:t>
      </w:r>
      <w:r w:rsidRPr="00287B9E">
        <w:rPr>
          <w:rFonts w:ascii="Arial" w:hAnsi="Arial" w:cs="Arial"/>
          <w:color w:val="000000" w:themeColor="text1"/>
          <w:sz w:val="22"/>
          <w:lang w:val="es-ES"/>
        </w:rPr>
        <w:t xml:space="preserve">que es evidente que no existe </w:t>
      </w:r>
      <w:r w:rsidR="007B18C0" w:rsidRPr="00287B9E">
        <w:rPr>
          <w:rFonts w:ascii="Arial" w:hAnsi="Arial" w:cs="Arial"/>
          <w:color w:val="000000" w:themeColor="text1"/>
          <w:sz w:val="22"/>
          <w:lang w:val="es-ES"/>
        </w:rPr>
        <w:t>vínculo</w:t>
      </w:r>
      <w:r w:rsidRPr="00287B9E">
        <w:rPr>
          <w:rFonts w:ascii="Arial" w:hAnsi="Arial" w:cs="Arial"/>
          <w:color w:val="000000" w:themeColor="text1"/>
          <w:sz w:val="22"/>
          <w:lang w:val="es-ES"/>
        </w:rPr>
        <w:t xml:space="preserve"> frente a los demás sujetos enlistados en el artículo 2.</w:t>
      </w:r>
    </w:p>
    <w:p w14:paraId="164A79F1" w14:textId="6FD9866C" w:rsidR="000A3102" w:rsidRPr="00287B9E" w:rsidRDefault="000A3102" w:rsidP="000A3102">
      <w:pPr>
        <w:spacing w:after="120" w:line="276" w:lineRule="auto"/>
        <w:jc w:val="both"/>
        <w:rPr>
          <w:rFonts w:ascii="Arial" w:hAnsi="Arial" w:cs="Arial"/>
          <w:color w:val="000000" w:themeColor="text1"/>
          <w:sz w:val="22"/>
          <w:lang w:val="es-ES"/>
        </w:rPr>
      </w:pPr>
      <w:r w:rsidRPr="00287B9E">
        <w:rPr>
          <w:rFonts w:ascii="Arial" w:hAnsi="Arial" w:cs="Arial"/>
          <w:color w:val="000000" w:themeColor="text1"/>
          <w:sz w:val="22"/>
          <w:lang w:val="es-ES"/>
        </w:rPr>
        <w:tab/>
        <w:t xml:space="preserve">El literal f) </w:t>
      </w:r>
      <w:r w:rsidR="00D964D4" w:rsidRPr="00287B9E">
        <w:rPr>
          <w:rFonts w:ascii="Arial" w:hAnsi="Arial" w:cs="Arial"/>
          <w:color w:val="000000" w:themeColor="text1"/>
          <w:sz w:val="22"/>
          <w:lang w:val="es-ES"/>
        </w:rPr>
        <w:t xml:space="preserve">es uno de los que </w:t>
      </w:r>
      <w:r w:rsidR="00DF658A" w:rsidRPr="00287B9E">
        <w:rPr>
          <w:rFonts w:ascii="Arial" w:hAnsi="Arial" w:cs="Arial"/>
          <w:color w:val="000000" w:themeColor="text1"/>
          <w:sz w:val="22"/>
          <w:lang w:val="es-ES"/>
        </w:rPr>
        <w:t>enuncia a</w:t>
      </w:r>
      <w:r w:rsidR="00D964D4" w:rsidRPr="00287B9E">
        <w:rPr>
          <w:rFonts w:ascii="Arial" w:hAnsi="Arial" w:cs="Arial"/>
          <w:color w:val="000000" w:themeColor="text1"/>
          <w:sz w:val="22"/>
          <w:lang w:val="es-ES"/>
        </w:rPr>
        <w:t xml:space="preserve"> personas naturales y jurídicas particulares ―aunque también públicas―. Si bien </w:t>
      </w:r>
      <w:r w:rsidR="00B420BB" w:rsidRPr="00287B9E">
        <w:rPr>
          <w:rFonts w:ascii="Arial" w:hAnsi="Arial" w:cs="Arial"/>
          <w:color w:val="000000" w:themeColor="text1"/>
          <w:sz w:val="22"/>
          <w:lang w:val="es-ES"/>
        </w:rPr>
        <w:t xml:space="preserve">no supedita </w:t>
      </w:r>
      <w:r w:rsidR="00DF658A" w:rsidRPr="00287B9E">
        <w:rPr>
          <w:rFonts w:ascii="Arial" w:hAnsi="Arial" w:cs="Arial"/>
          <w:color w:val="000000" w:themeColor="text1"/>
          <w:sz w:val="22"/>
          <w:lang w:val="es-ES"/>
        </w:rPr>
        <w:t>la</w:t>
      </w:r>
      <w:r w:rsidR="00B420BB" w:rsidRPr="00287B9E">
        <w:rPr>
          <w:rFonts w:ascii="Arial" w:hAnsi="Arial" w:cs="Arial"/>
          <w:color w:val="000000" w:themeColor="text1"/>
          <w:sz w:val="22"/>
          <w:lang w:val="es-ES"/>
        </w:rPr>
        <w:t xml:space="preserve"> aplicación </w:t>
      </w:r>
      <w:r w:rsidR="00D964D4" w:rsidRPr="00287B9E">
        <w:rPr>
          <w:rFonts w:ascii="Arial" w:hAnsi="Arial" w:cs="Arial"/>
          <w:color w:val="000000" w:themeColor="text1"/>
          <w:sz w:val="22"/>
          <w:lang w:val="es-ES"/>
        </w:rPr>
        <w:t xml:space="preserve">a que exista una relación contractual, se enfoca </w:t>
      </w:r>
      <w:r w:rsidR="00DF658A" w:rsidRPr="00287B9E">
        <w:rPr>
          <w:rFonts w:ascii="Arial" w:hAnsi="Arial" w:cs="Arial"/>
          <w:color w:val="000000" w:themeColor="text1"/>
          <w:sz w:val="22"/>
          <w:lang w:val="es-ES"/>
        </w:rPr>
        <w:t>en</w:t>
      </w:r>
      <w:r w:rsidR="00D964D4" w:rsidRPr="00287B9E">
        <w:rPr>
          <w:rFonts w:ascii="Arial" w:hAnsi="Arial" w:cs="Arial"/>
          <w:color w:val="000000" w:themeColor="text1"/>
          <w:sz w:val="22"/>
          <w:lang w:val="es-ES"/>
        </w:rPr>
        <w:t xml:space="preserve"> </w:t>
      </w:r>
      <w:r w:rsidR="00DF658A" w:rsidRPr="00287B9E">
        <w:rPr>
          <w:rFonts w:ascii="Arial" w:hAnsi="Arial" w:cs="Arial"/>
          <w:color w:val="000000" w:themeColor="text1"/>
          <w:sz w:val="22"/>
          <w:lang w:val="es-ES"/>
        </w:rPr>
        <w:t>definir</w:t>
      </w:r>
      <w:r w:rsidR="00D964D4" w:rsidRPr="00287B9E">
        <w:rPr>
          <w:rFonts w:ascii="Arial" w:hAnsi="Arial" w:cs="Arial"/>
          <w:color w:val="000000" w:themeColor="text1"/>
          <w:sz w:val="22"/>
          <w:lang w:val="es-ES"/>
        </w:rPr>
        <w:t xml:space="preserve"> algunos sujetos obligados por la ejecución de ciertas actividades, es decir, desde un criterio funcional. En este sentido, dichas actividades se podrían realizar directamente por un particular en virtud de una autorización legal u otro mecanismo, pero también podría </w:t>
      </w:r>
      <w:r w:rsidR="00DF658A" w:rsidRPr="00287B9E">
        <w:rPr>
          <w:rFonts w:ascii="Arial" w:hAnsi="Arial" w:cs="Arial"/>
          <w:color w:val="000000" w:themeColor="text1"/>
          <w:sz w:val="22"/>
          <w:lang w:val="es-ES"/>
        </w:rPr>
        <w:t>aplicar</w:t>
      </w:r>
      <w:r w:rsidR="00D964D4" w:rsidRPr="00287B9E">
        <w:rPr>
          <w:rFonts w:ascii="Arial" w:hAnsi="Arial" w:cs="Arial"/>
          <w:color w:val="000000" w:themeColor="text1"/>
          <w:sz w:val="22"/>
          <w:lang w:val="es-ES"/>
        </w:rPr>
        <w:t xml:space="preserve"> a particulares que cumplan dichas actividades con fundamento en una relación contractual.</w:t>
      </w:r>
    </w:p>
    <w:p w14:paraId="78985754" w14:textId="30885D6B" w:rsidR="00D964D4" w:rsidRPr="00287B9E" w:rsidRDefault="00D964D4" w:rsidP="007B18C0">
      <w:pPr>
        <w:spacing w:line="276" w:lineRule="auto"/>
        <w:jc w:val="both"/>
        <w:rPr>
          <w:rFonts w:ascii="Arial" w:hAnsi="Arial" w:cs="Arial"/>
          <w:color w:val="000000" w:themeColor="text1"/>
          <w:sz w:val="22"/>
          <w:lang w:val="es-ES"/>
        </w:rPr>
      </w:pPr>
      <w:r w:rsidRPr="00287B9E">
        <w:rPr>
          <w:rFonts w:ascii="Arial" w:hAnsi="Arial" w:cs="Arial"/>
          <w:color w:val="000000" w:themeColor="text1"/>
          <w:sz w:val="22"/>
          <w:lang w:val="es-ES"/>
        </w:rPr>
        <w:tab/>
        <w:t>Ahora bien, las actividades mediante las cuales se podría vincular a un particular al ámbito de aplicación sería por la prestación de función pública o servicios públicos.</w:t>
      </w:r>
      <w:r w:rsidR="00331A69" w:rsidRPr="00287B9E">
        <w:rPr>
          <w:rFonts w:ascii="Arial" w:hAnsi="Arial" w:cs="Arial"/>
          <w:color w:val="000000" w:themeColor="text1"/>
          <w:sz w:val="22"/>
          <w:lang w:val="es-ES"/>
        </w:rPr>
        <w:t xml:space="preserve"> </w:t>
      </w:r>
      <w:r w:rsidR="00B420BB" w:rsidRPr="00287B9E">
        <w:rPr>
          <w:rFonts w:ascii="Arial" w:hAnsi="Arial" w:cs="Arial"/>
          <w:color w:val="000000" w:themeColor="text1"/>
          <w:sz w:val="22"/>
          <w:lang w:val="es-ES"/>
        </w:rPr>
        <w:t>E</w:t>
      </w:r>
      <w:r w:rsidR="00331A69" w:rsidRPr="00287B9E">
        <w:rPr>
          <w:rFonts w:ascii="Arial" w:hAnsi="Arial" w:cs="Arial"/>
          <w:color w:val="000000" w:themeColor="text1"/>
          <w:sz w:val="22"/>
          <w:lang w:val="es-ES"/>
        </w:rPr>
        <w:t xml:space="preserve">n relación con el ejercicio de funciones públicas por parte de particulares y, en específico, por </w:t>
      </w:r>
      <w:r w:rsidR="00B420BB" w:rsidRPr="00287B9E">
        <w:rPr>
          <w:rFonts w:ascii="Arial" w:hAnsi="Arial" w:cs="Arial"/>
          <w:color w:val="000000" w:themeColor="text1"/>
          <w:sz w:val="22"/>
          <w:lang w:val="es-ES"/>
        </w:rPr>
        <w:t>los</w:t>
      </w:r>
      <w:r w:rsidR="00331A69" w:rsidRPr="00287B9E">
        <w:rPr>
          <w:rFonts w:ascii="Arial" w:hAnsi="Arial" w:cs="Arial"/>
          <w:color w:val="000000" w:themeColor="text1"/>
          <w:sz w:val="22"/>
          <w:lang w:val="es-ES"/>
        </w:rPr>
        <w:t xml:space="preserve"> contratistas del Estado, la Corte Constitucional en sentencia C-563 de 1998</w:t>
      </w:r>
      <w:r w:rsidR="00C95456" w:rsidRPr="00287B9E">
        <w:rPr>
          <w:rFonts w:ascii="Arial" w:hAnsi="Arial" w:cs="Arial"/>
          <w:color w:val="000000" w:themeColor="text1"/>
          <w:sz w:val="22"/>
          <w:lang w:val="es-ES"/>
        </w:rPr>
        <w:t xml:space="preserve"> expresó que por regla general no cumplen función pública, salvo supuesto</w:t>
      </w:r>
      <w:r w:rsidR="007B18C0" w:rsidRPr="00287B9E">
        <w:rPr>
          <w:rFonts w:ascii="Arial" w:hAnsi="Arial" w:cs="Arial"/>
          <w:color w:val="000000" w:themeColor="text1"/>
          <w:sz w:val="22"/>
          <w:lang w:val="es-ES"/>
        </w:rPr>
        <w:t>s</w:t>
      </w:r>
      <w:r w:rsidR="00C95456" w:rsidRPr="00287B9E">
        <w:rPr>
          <w:rFonts w:ascii="Arial" w:hAnsi="Arial" w:cs="Arial"/>
          <w:color w:val="000000" w:themeColor="text1"/>
          <w:sz w:val="22"/>
          <w:lang w:val="es-ES"/>
        </w:rPr>
        <w:t xml:space="preserve"> </w:t>
      </w:r>
      <w:r w:rsidR="00C95456" w:rsidRPr="00287B9E">
        <w:rPr>
          <w:rFonts w:ascii="Arial" w:hAnsi="Arial" w:cs="Arial"/>
          <w:color w:val="000000" w:themeColor="text1"/>
          <w:sz w:val="22"/>
          <w:lang w:val="es-ES"/>
        </w:rPr>
        <w:lastRenderedPageBreak/>
        <w:t xml:space="preserve">excepcionales, ya que lo normal es que con la relación contractual no se transfieren funciones públicas a los particulares, sino que se les encomienda la ejecución material de un objeto contractual; sin embargo, reconoce que en </w:t>
      </w:r>
      <w:r w:rsidR="00B420BB" w:rsidRPr="00287B9E">
        <w:rPr>
          <w:rFonts w:ascii="Arial" w:hAnsi="Arial" w:cs="Arial"/>
          <w:color w:val="000000" w:themeColor="text1"/>
          <w:sz w:val="22"/>
          <w:lang w:val="es-ES"/>
        </w:rPr>
        <w:t>casos</w:t>
      </w:r>
      <w:r w:rsidR="00C95456" w:rsidRPr="00287B9E">
        <w:rPr>
          <w:rFonts w:ascii="Arial" w:hAnsi="Arial" w:cs="Arial"/>
          <w:color w:val="000000" w:themeColor="text1"/>
          <w:sz w:val="22"/>
          <w:lang w:val="es-ES"/>
        </w:rPr>
        <w:t xml:space="preserve"> muy concretos se puede atribuir función pública mediante un contrato con un particular:</w:t>
      </w:r>
    </w:p>
    <w:p w14:paraId="36E3CFF1" w14:textId="244EB953" w:rsidR="00C95456" w:rsidRPr="00287B9E" w:rsidRDefault="00C95456" w:rsidP="007B18C0">
      <w:pPr>
        <w:spacing w:line="276" w:lineRule="auto"/>
        <w:jc w:val="both"/>
        <w:rPr>
          <w:rFonts w:ascii="Arial" w:hAnsi="Arial" w:cs="Arial"/>
          <w:color w:val="000000" w:themeColor="text1"/>
          <w:sz w:val="22"/>
          <w:lang w:val="es-ES"/>
        </w:rPr>
      </w:pPr>
    </w:p>
    <w:p w14:paraId="7B287B9E" w14:textId="75942883" w:rsidR="00C95456" w:rsidRPr="00287B9E" w:rsidRDefault="00C95456" w:rsidP="00C95456">
      <w:pPr>
        <w:spacing w:after="120"/>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público, </w:t>
      </w:r>
      <w:r w:rsidRPr="00287B9E">
        <w:rPr>
          <w:rFonts w:ascii="Arial" w:eastAsia="Times New Roman" w:hAnsi="Arial" w:cs="Arial"/>
          <w:i/>
          <w:iCs/>
          <w:color w:val="000000" w:themeColor="text1"/>
          <w:sz w:val="21"/>
          <w:szCs w:val="21"/>
          <w:lang w:val="es-CO" w:eastAsia="es-CO"/>
        </w:rPr>
        <w:t>como ocurre en los casos en que adquiere el carácter de concesionario, o administrador delegado o se le encomienda</w:t>
      </w:r>
      <w:r w:rsidR="00E03FAB" w:rsidRPr="00287B9E">
        <w:rPr>
          <w:rFonts w:ascii="Arial" w:eastAsia="Times New Roman" w:hAnsi="Arial" w:cs="Arial"/>
          <w:i/>
          <w:iCs/>
          <w:color w:val="000000" w:themeColor="text1"/>
          <w:sz w:val="21"/>
          <w:szCs w:val="21"/>
          <w:lang w:val="es-CO" w:eastAsia="es-CO"/>
        </w:rPr>
        <w:t xml:space="preserve"> </w:t>
      </w:r>
      <w:r w:rsidRPr="00287B9E">
        <w:rPr>
          <w:rFonts w:ascii="Arial" w:eastAsia="Times New Roman" w:hAnsi="Arial" w:cs="Arial"/>
          <w:i/>
          <w:iCs/>
          <w:color w:val="000000" w:themeColor="text1"/>
          <w:sz w:val="21"/>
          <w:szCs w:val="21"/>
          <w:lang w:val="es-CO" w:eastAsia="es-CO"/>
        </w:rPr>
        <w:t>la prestación de un servicio público a cargo del Estado, o el recaudo de caudales o el manejo de bienes públicos, etc</w:t>
      </w:r>
      <w:r w:rsidRPr="00287B9E">
        <w:rPr>
          <w:rStyle w:val="Refdenotaalpie"/>
          <w:rFonts w:ascii="Arial" w:eastAsia="Times New Roman" w:hAnsi="Arial" w:cs="Arial"/>
          <w:color w:val="000000" w:themeColor="text1"/>
          <w:sz w:val="21"/>
          <w:szCs w:val="21"/>
          <w:lang w:val="es-CO" w:eastAsia="es-CO"/>
        </w:rPr>
        <w:footnoteReference w:id="1"/>
      </w:r>
      <w:r w:rsidRPr="00287B9E">
        <w:rPr>
          <w:rFonts w:ascii="Arial" w:eastAsia="Times New Roman" w:hAnsi="Arial" w:cs="Arial"/>
          <w:color w:val="000000" w:themeColor="text1"/>
          <w:sz w:val="21"/>
          <w:szCs w:val="21"/>
          <w:lang w:val="es-CO" w:eastAsia="es-CO"/>
        </w:rPr>
        <w:t>.</w:t>
      </w:r>
    </w:p>
    <w:p w14:paraId="7903DE39" w14:textId="6A3CBC59" w:rsidR="00C95456" w:rsidRPr="00287B9E" w:rsidRDefault="00C95456" w:rsidP="000A3102">
      <w:pPr>
        <w:spacing w:after="120" w:line="276" w:lineRule="auto"/>
        <w:jc w:val="both"/>
        <w:rPr>
          <w:rFonts w:ascii="Arial" w:hAnsi="Arial" w:cs="Arial"/>
          <w:color w:val="000000" w:themeColor="text1"/>
          <w:sz w:val="22"/>
          <w:lang w:val="es-ES"/>
        </w:rPr>
      </w:pPr>
    </w:p>
    <w:p w14:paraId="37129B91" w14:textId="7A344802" w:rsidR="00C95456" w:rsidRPr="00287B9E" w:rsidRDefault="000675F6" w:rsidP="000675F6">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Ahora bien, se reitera que lo expresado en la cita anterior es lo excepcional, pues lo normal es que mediante los contratos que celebra el Estado no exist</w:t>
      </w:r>
      <w:r w:rsidR="00B420BB" w:rsidRPr="00287B9E">
        <w:rPr>
          <w:rFonts w:ascii="Arial" w:hAnsi="Arial" w:cs="Arial"/>
          <w:color w:val="000000" w:themeColor="text1"/>
          <w:sz w:val="22"/>
          <w:lang w:val="es-ES"/>
        </w:rPr>
        <w:t>a</w:t>
      </w:r>
      <w:r w:rsidRPr="00287B9E">
        <w:rPr>
          <w:rFonts w:ascii="Arial" w:hAnsi="Arial" w:cs="Arial"/>
          <w:color w:val="000000" w:themeColor="text1"/>
          <w:sz w:val="22"/>
          <w:lang w:val="es-ES"/>
        </w:rPr>
        <w:t xml:space="preserve"> atribución de funciones públicas</w:t>
      </w:r>
      <w:r w:rsidR="00672E46" w:rsidRPr="00287B9E">
        <w:rPr>
          <w:rFonts w:ascii="Arial" w:hAnsi="Arial" w:cs="Arial"/>
          <w:color w:val="000000" w:themeColor="text1"/>
          <w:sz w:val="22"/>
          <w:lang w:val="es-ES"/>
        </w:rPr>
        <w:t xml:space="preserve">, constituyéndose el particular en un colaborador de la entidad, pero sin </w:t>
      </w:r>
      <w:r w:rsidR="00013FBB" w:rsidRPr="00287B9E">
        <w:rPr>
          <w:rFonts w:ascii="Arial" w:hAnsi="Arial" w:cs="Arial"/>
          <w:color w:val="000000" w:themeColor="text1"/>
          <w:sz w:val="22"/>
          <w:lang w:val="es-ES"/>
        </w:rPr>
        <w:t>ser</w:t>
      </w:r>
      <w:r w:rsidR="00672E46" w:rsidRPr="00287B9E">
        <w:rPr>
          <w:rFonts w:ascii="Arial" w:hAnsi="Arial" w:cs="Arial"/>
          <w:color w:val="000000" w:themeColor="text1"/>
          <w:sz w:val="22"/>
          <w:lang w:val="es-ES"/>
        </w:rPr>
        <w:t xml:space="preserve"> un delegatario o receptor de </w:t>
      </w:r>
      <w:r w:rsidR="00C45229" w:rsidRPr="00287B9E">
        <w:rPr>
          <w:rFonts w:ascii="Arial" w:hAnsi="Arial" w:cs="Arial"/>
          <w:color w:val="000000" w:themeColor="text1"/>
          <w:sz w:val="22"/>
          <w:lang w:val="es-ES"/>
        </w:rPr>
        <w:t>tales funciones</w:t>
      </w:r>
      <w:r w:rsidR="00672E46" w:rsidRPr="00287B9E">
        <w:rPr>
          <w:rStyle w:val="Refdenotaalpie"/>
          <w:rFonts w:ascii="Arial" w:hAnsi="Arial" w:cs="Arial"/>
          <w:color w:val="000000" w:themeColor="text1"/>
          <w:sz w:val="22"/>
          <w:lang w:val="es-ES"/>
        </w:rPr>
        <w:footnoteReference w:id="2"/>
      </w:r>
      <w:r w:rsidR="00672E46" w:rsidRPr="00287B9E">
        <w:rPr>
          <w:rFonts w:ascii="Arial" w:hAnsi="Arial" w:cs="Arial"/>
          <w:color w:val="000000" w:themeColor="text1"/>
          <w:sz w:val="22"/>
          <w:lang w:val="es-ES"/>
        </w:rPr>
        <w:t>.</w:t>
      </w:r>
      <w:r w:rsidR="00013FBB" w:rsidRPr="00287B9E">
        <w:rPr>
          <w:rFonts w:ascii="Arial" w:hAnsi="Arial" w:cs="Arial"/>
          <w:color w:val="000000" w:themeColor="text1"/>
          <w:sz w:val="22"/>
          <w:lang w:val="es-ES"/>
        </w:rPr>
        <w:t xml:space="preserve"> En este sentido, solo en los supuestos en que el contratista cumpla funciones públicas o preste servicios públicos, que son casos excepcionales, </w:t>
      </w:r>
      <w:r w:rsidR="00DF658A" w:rsidRPr="00287B9E">
        <w:rPr>
          <w:rFonts w:ascii="Arial" w:hAnsi="Arial" w:cs="Arial"/>
          <w:color w:val="000000" w:themeColor="text1"/>
          <w:sz w:val="22"/>
          <w:lang w:val="es-ES"/>
        </w:rPr>
        <w:t>será un</w:t>
      </w:r>
      <w:r w:rsidR="00013FBB" w:rsidRPr="00287B9E">
        <w:rPr>
          <w:rFonts w:ascii="Arial" w:hAnsi="Arial" w:cs="Arial"/>
          <w:color w:val="000000" w:themeColor="text1"/>
          <w:sz w:val="22"/>
          <w:lang w:val="es-ES"/>
        </w:rPr>
        <w:t xml:space="preserve"> sujeto obligado en los términos de la Ley 2013 de 2019.</w:t>
      </w:r>
    </w:p>
    <w:p w14:paraId="0930C6D3" w14:textId="699DCDD7" w:rsidR="005F5ABD" w:rsidRPr="00287B9E" w:rsidRDefault="007B18C0"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A modo de ejemplo</w:t>
      </w:r>
      <w:r w:rsidR="000417AD" w:rsidRPr="00287B9E">
        <w:rPr>
          <w:rFonts w:ascii="Arial" w:hAnsi="Arial" w:cs="Arial"/>
          <w:color w:val="000000" w:themeColor="text1"/>
          <w:sz w:val="22"/>
          <w:lang w:val="es-ES"/>
        </w:rPr>
        <w:t xml:space="preserve">, frente a los contratos de prestación de servicios profesionales y de apoyo a la gestión, </w:t>
      </w:r>
      <w:r w:rsidRPr="00287B9E">
        <w:rPr>
          <w:rFonts w:ascii="Arial" w:hAnsi="Arial" w:cs="Arial"/>
          <w:color w:val="000000" w:themeColor="text1"/>
          <w:sz w:val="22"/>
          <w:lang w:val="es-ES"/>
        </w:rPr>
        <w:t xml:space="preserve">aspecto dudoso frente al tipos de actividades que cumplen estos </w:t>
      </w:r>
      <w:r w:rsidRPr="00287B9E">
        <w:rPr>
          <w:rFonts w:ascii="Arial" w:hAnsi="Arial" w:cs="Arial"/>
          <w:color w:val="000000" w:themeColor="text1"/>
          <w:sz w:val="22"/>
          <w:lang w:val="es-ES"/>
        </w:rPr>
        <w:lastRenderedPageBreak/>
        <w:t xml:space="preserve">contratistas, </w:t>
      </w:r>
      <w:r w:rsidR="005F5ABD" w:rsidRPr="00287B9E">
        <w:rPr>
          <w:rFonts w:ascii="Arial" w:hAnsi="Arial" w:cs="Arial"/>
          <w:color w:val="000000" w:themeColor="text1"/>
          <w:sz w:val="22"/>
          <w:lang w:val="es-ES"/>
        </w:rPr>
        <w:t xml:space="preserve">el Consejo de Estado </w:t>
      </w:r>
      <w:r w:rsidR="00C45229" w:rsidRPr="00287B9E">
        <w:rPr>
          <w:rFonts w:ascii="Arial" w:hAnsi="Arial" w:cs="Arial"/>
          <w:color w:val="000000" w:themeColor="text1"/>
          <w:sz w:val="22"/>
          <w:lang w:val="es-ES"/>
        </w:rPr>
        <w:t>es</w:t>
      </w:r>
      <w:r w:rsidR="005F5ABD" w:rsidRPr="00287B9E">
        <w:rPr>
          <w:rFonts w:ascii="Arial" w:hAnsi="Arial" w:cs="Arial"/>
          <w:color w:val="000000" w:themeColor="text1"/>
          <w:sz w:val="22"/>
          <w:lang w:val="es-ES"/>
        </w:rPr>
        <w:t xml:space="preserve"> </w:t>
      </w:r>
      <w:r w:rsidR="000417AD" w:rsidRPr="00287B9E">
        <w:rPr>
          <w:rFonts w:ascii="Arial" w:hAnsi="Arial" w:cs="Arial"/>
          <w:color w:val="000000" w:themeColor="text1"/>
          <w:sz w:val="22"/>
          <w:lang w:val="es-ES"/>
        </w:rPr>
        <w:t>enfátic</w:t>
      </w:r>
      <w:r w:rsidR="005F5ABD" w:rsidRPr="00287B9E">
        <w:rPr>
          <w:rFonts w:ascii="Arial" w:hAnsi="Arial" w:cs="Arial"/>
          <w:color w:val="000000" w:themeColor="text1"/>
          <w:sz w:val="22"/>
          <w:lang w:val="es-ES"/>
        </w:rPr>
        <w:t>o</w:t>
      </w:r>
      <w:r w:rsidR="000417AD" w:rsidRPr="00287B9E">
        <w:rPr>
          <w:rFonts w:ascii="Arial" w:hAnsi="Arial" w:cs="Arial"/>
          <w:color w:val="000000" w:themeColor="text1"/>
          <w:sz w:val="22"/>
          <w:lang w:val="es-ES"/>
        </w:rPr>
        <w:t xml:space="preserve"> en señalar que dichos particulares no cumplen funciones públicas, ni administrativas, sino que simplemente colaboran en su ejercicio, pero sin ejercer directamente este tipo de funciones</w:t>
      </w:r>
      <w:r w:rsidR="005F5ABD" w:rsidRPr="00287B9E">
        <w:rPr>
          <w:rFonts w:ascii="Arial" w:hAnsi="Arial" w:cs="Arial"/>
          <w:color w:val="000000" w:themeColor="text1"/>
          <w:sz w:val="22"/>
          <w:lang w:val="es-ES"/>
        </w:rPr>
        <w:t>,</w:t>
      </w:r>
      <w:r w:rsidR="000417AD" w:rsidRPr="00287B9E">
        <w:rPr>
          <w:rFonts w:ascii="Arial" w:hAnsi="Arial" w:cs="Arial"/>
          <w:color w:val="000000" w:themeColor="text1"/>
          <w:sz w:val="22"/>
          <w:lang w:val="es-ES"/>
        </w:rPr>
        <w:t xml:space="preserve"> que se mantienen </w:t>
      </w:r>
      <w:r w:rsidR="001659B6" w:rsidRPr="00287B9E">
        <w:rPr>
          <w:rFonts w:ascii="Arial" w:hAnsi="Arial" w:cs="Arial"/>
          <w:color w:val="000000" w:themeColor="text1"/>
          <w:sz w:val="22"/>
          <w:lang w:val="es-ES"/>
        </w:rPr>
        <w:t>radicadas en las entidades contratantes</w:t>
      </w:r>
      <w:r w:rsidR="00A61C3B" w:rsidRPr="00287B9E">
        <w:rPr>
          <w:rStyle w:val="Refdenotaalpie"/>
          <w:rFonts w:ascii="Arial" w:hAnsi="Arial" w:cs="Arial"/>
          <w:color w:val="000000" w:themeColor="text1"/>
          <w:sz w:val="22"/>
          <w:lang w:val="es-ES"/>
        </w:rPr>
        <w:footnoteReference w:id="3"/>
      </w:r>
      <w:r w:rsidR="001659B6" w:rsidRPr="00287B9E">
        <w:rPr>
          <w:rFonts w:ascii="Arial" w:hAnsi="Arial" w:cs="Arial"/>
          <w:color w:val="000000" w:themeColor="text1"/>
          <w:sz w:val="22"/>
          <w:lang w:val="es-ES"/>
        </w:rPr>
        <w:t>.</w:t>
      </w:r>
      <w:r w:rsidR="002C54BC" w:rsidRPr="00287B9E">
        <w:rPr>
          <w:rFonts w:ascii="Arial" w:hAnsi="Arial" w:cs="Arial"/>
          <w:color w:val="000000" w:themeColor="text1"/>
          <w:sz w:val="22"/>
          <w:lang w:val="es-ES"/>
        </w:rPr>
        <w:t xml:space="preserve"> </w:t>
      </w:r>
    </w:p>
    <w:p w14:paraId="4B856A2C" w14:textId="4272CCE8" w:rsidR="00EA28A5" w:rsidRPr="00287B9E" w:rsidRDefault="00DF658A"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Analizado que </w:t>
      </w:r>
      <w:r w:rsidR="00EA28A5" w:rsidRPr="00287B9E">
        <w:rPr>
          <w:rFonts w:ascii="Arial" w:hAnsi="Arial" w:cs="Arial"/>
          <w:color w:val="000000" w:themeColor="text1"/>
          <w:sz w:val="22"/>
          <w:lang w:val="es-ES"/>
        </w:rPr>
        <w:t>por regla general los contratistas del Estado</w:t>
      </w:r>
      <w:r w:rsidR="007B18C0" w:rsidRPr="00287B9E">
        <w:rPr>
          <w:rFonts w:ascii="Arial" w:hAnsi="Arial" w:cs="Arial"/>
          <w:color w:val="000000" w:themeColor="text1"/>
          <w:sz w:val="22"/>
          <w:lang w:val="es-ES"/>
        </w:rPr>
        <w:t xml:space="preserve"> </w:t>
      </w:r>
      <w:r w:rsidRPr="00287B9E">
        <w:rPr>
          <w:rFonts w:ascii="Arial" w:hAnsi="Arial" w:cs="Arial"/>
          <w:color w:val="000000" w:themeColor="text1"/>
          <w:sz w:val="22"/>
          <w:lang w:val="es-ES"/>
        </w:rPr>
        <w:t>no son</w:t>
      </w:r>
      <w:r w:rsidR="00EA28A5" w:rsidRPr="00287B9E">
        <w:rPr>
          <w:rFonts w:ascii="Arial" w:hAnsi="Arial" w:cs="Arial"/>
          <w:color w:val="000000" w:themeColor="text1"/>
          <w:sz w:val="22"/>
          <w:lang w:val="es-ES"/>
        </w:rPr>
        <w:t xml:space="preserve"> sujetos obligados en virtud del literal f) del artículo 2,</w:t>
      </w:r>
      <w:r w:rsidR="00E03FAB" w:rsidRPr="00287B9E">
        <w:rPr>
          <w:rFonts w:ascii="Arial" w:hAnsi="Arial" w:cs="Arial"/>
          <w:color w:val="000000" w:themeColor="text1"/>
          <w:sz w:val="22"/>
          <w:lang w:val="es-ES"/>
        </w:rPr>
        <w:t xml:space="preserve"> </w:t>
      </w:r>
      <w:r w:rsidR="00EA28A5" w:rsidRPr="00287B9E">
        <w:rPr>
          <w:rFonts w:ascii="Arial" w:hAnsi="Arial" w:cs="Arial"/>
          <w:color w:val="000000" w:themeColor="text1"/>
          <w:sz w:val="22"/>
          <w:lang w:val="es-ES"/>
        </w:rPr>
        <w:t>corresponde realizar el mismo estudio en relación con el literal g), que establece: «Las personas naturales y jurídicas, públicas o privadas que administren, celebren contratos y ejecuten bienes o recursos públicos respecto de la información directamente relacionada con el desempeño de su función».</w:t>
      </w:r>
    </w:p>
    <w:p w14:paraId="48301AB1" w14:textId="64649C10" w:rsidR="00B46CEB" w:rsidRPr="00287B9E" w:rsidRDefault="00EA28A5"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De una interpretación desprevenida de la norma se podría interpretar que cualquier contratista del Estado sería un sujeto obligado, lo que se derivaría de una lectura aislada efectuada en los siguientes términos: «Las personas naturales y jurídicas que celebren contratos». </w:t>
      </w:r>
      <w:r w:rsidR="00DF658A" w:rsidRPr="00287B9E">
        <w:rPr>
          <w:rFonts w:ascii="Arial" w:hAnsi="Arial" w:cs="Arial"/>
          <w:color w:val="000000" w:themeColor="text1"/>
          <w:sz w:val="22"/>
          <w:lang w:val="es-ES"/>
        </w:rPr>
        <w:t>Sin embargo,</w:t>
      </w:r>
      <w:r w:rsidRPr="00287B9E">
        <w:rPr>
          <w:rFonts w:ascii="Arial" w:hAnsi="Arial" w:cs="Arial"/>
          <w:color w:val="000000" w:themeColor="text1"/>
          <w:sz w:val="22"/>
          <w:lang w:val="es-ES"/>
        </w:rPr>
        <w:t xml:space="preserve"> dicha interpretación es errada, por las razones que se expondrán; sin embargo, primero se anticipará la conclusión</w:t>
      </w:r>
      <w:r w:rsidR="00C45229" w:rsidRPr="00287B9E">
        <w:rPr>
          <w:rFonts w:ascii="Arial" w:hAnsi="Arial" w:cs="Arial"/>
          <w:color w:val="000000" w:themeColor="text1"/>
          <w:sz w:val="22"/>
          <w:lang w:val="es-ES"/>
        </w:rPr>
        <w:t>:</w:t>
      </w:r>
      <w:r w:rsidRPr="00287B9E">
        <w:rPr>
          <w:rFonts w:ascii="Arial" w:hAnsi="Arial" w:cs="Arial"/>
          <w:color w:val="000000" w:themeColor="text1"/>
          <w:sz w:val="22"/>
          <w:lang w:val="es-ES"/>
        </w:rPr>
        <w:t xml:space="preserve"> </w:t>
      </w:r>
      <w:r w:rsidR="00B46CEB" w:rsidRPr="00287B9E">
        <w:rPr>
          <w:rFonts w:ascii="Arial" w:hAnsi="Arial" w:cs="Arial"/>
          <w:color w:val="000000" w:themeColor="text1"/>
          <w:sz w:val="22"/>
          <w:lang w:val="es-ES"/>
        </w:rPr>
        <w:t xml:space="preserve">los sujetos obligados </w:t>
      </w:r>
      <w:r w:rsidR="00DF658A" w:rsidRPr="00287B9E">
        <w:rPr>
          <w:rFonts w:ascii="Arial" w:hAnsi="Arial" w:cs="Arial"/>
          <w:color w:val="000000" w:themeColor="text1"/>
          <w:sz w:val="22"/>
          <w:lang w:val="es-ES"/>
        </w:rPr>
        <w:t>por</w:t>
      </w:r>
      <w:r w:rsidR="00B46CEB" w:rsidRPr="00287B9E">
        <w:rPr>
          <w:rFonts w:ascii="Arial" w:hAnsi="Arial" w:cs="Arial"/>
          <w:color w:val="000000" w:themeColor="text1"/>
          <w:sz w:val="22"/>
          <w:lang w:val="es-ES"/>
        </w:rPr>
        <w:t xml:space="preserve"> dicho literal son las personas naturales o jurídicas que administren bienes o recursos públicos. A continuación se desarrollarán las razones para llegar a dicha conclusión, lo que implica excluir</w:t>
      </w:r>
      <w:r w:rsidR="00C45229" w:rsidRPr="00287B9E">
        <w:rPr>
          <w:rFonts w:ascii="Arial" w:hAnsi="Arial" w:cs="Arial"/>
          <w:color w:val="000000" w:themeColor="text1"/>
          <w:sz w:val="22"/>
          <w:lang w:val="es-ES"/>
        </w:rPr>
        <w:t>,</w:t>
      </w:r>
      <w:r w:rsidR="00B46CEB" w:rsidRPr="00287B9E">
        <w:rPr>
          <w:rFonts w:ascii="Arial" w:hAnsi="Arial" w:cs="Arial"/>
          <w:color w:val="000000" w:themeColor="text1"/>
          <w:sz w:val="22"/>
          <w:lang w:val="es-ES"/>
        </w:rPr>
        <w:t xml:space="preserve"> en términos generales</w:t>
      </w:r>
      <w:r w:rsidR="00C45229" w:rsidRPr="00287B9E">
        <w:rPr>
          <w:rFonts w:ascii="Arial" w:hAnsi="Arial" w:cs="Arial"/>
          <w:color w:val="000000" w:themeColor="text1"/>
          <w:sz w:val="22"/>
          <w:lang w:val="es-ES"/>
        </w:rPr>
        <w:t>,</w:t>
      </w:r>
      <w:r w:rsidR="00B46CEB" w:rsidRPr="00287B9E">
        <w:rPr>
          <w:rFonts w:ascii="Arial" w:hAnsi="Arial" w:cs="Arial"/>
          <w:color w:val="000000" w:themeColor="text1"/>
          <w:sz w:val="22"/>
          <w:lang w:val="es-ES"/>
        </w:rPr>
        <w:t xml:space="preserve"> a los contratistas del Estado, para incluir solo a aquellos que administren recursos públicos. </w:t>
      </w:r>
    </w:p>
    <w:p w14:paraId="59273F41" w14:textId="1F43FD2F" w:rsidR="00B46CEB" w:rsidRPr="00287B9E" w:rsidRDefault="00B46CEB"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i) Tal es la interpretación </w:t>
      </w:r>
      <w:r w:rsidR="00D237F3" w:rsidRPr="00287B9E">
        <w:rPr>
          <w:rFonts w:ascii="Arial" w:hAnsi="Arial" w:cs="Arial"/>
          <w:color w:val="000000" w:themeColor="text1"/>
          <w:sz w:val="22"/>
          <w:lang w:val="es-ES"/>
        </w:rPr>
        <w:t xml:space="preserve">más ajustada de la regulación, lo que se armonizará con las demás razones que se expondrán. En este sentido, si se realiza una interpretación ligera y aislada del contexto de la norma, se llega a la conclusión absurda de que cualquier persona natural o jurídica que «celebre contratos» sería un sujeto obligado. En efecto, </w:t>
      </w:r>
      <w:r w:rsidR="00DF658A" w:rsidRPr="00287B9E">
        <w:rPr>
          <w:rFonts w:ascii="Arial" w:hAnsi="Arial" w:cs="Arial"/>
          <w:color w:val="000000" w:themeColor="text1"/>
          <w:sz w:val="22"/>
          <w:lang w:val="es-ES"/>
        </w:rPr>
        <w:t>esta</w:t>
      </w:r>
      <w:r w:rsidR="00D237F3" w:rsidRPr="00287B9E">
        <w:rPr>
          <w:rFonts w:ascii="Arial" w:hAnsi="Arial" w:cs="Arial"/>
          <w:color w:val="000000" w:themeColor="text1"/>
          <w:sz w:val="22"/>
          <w:lang w:val="es-ES"/>
        </w:rPr>
        <w:t xml:space="preserve"> interpretación incluiría a los particulares que celebren contratos entre sí, incluso en ausencia del Estado, mediante alguna de sus entidades, como una de las partes del contrato.</w:t>
      </w:r>
    </w:p>
    <w:p w14:paraId="5050E24E" w14:textId="3CCD3F8F" w:rsidR="00D237F3" w:rsidRPr="00287B9E" w:rsidRDefault="00D237F3"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Como se observa, </w:t>
      </w:r>
      <w:r w:rsidR="00DF658A" w:rsidRPr="00287B9E">
        <w:rPr>
          <w:rFonts w:ascii="Arial" w:hAnsi="Arial" w:cs="Arial"/>
          <w:color w:val="000000" w:themeColor="text1"/>
          <w:sz w:val="22"/>
          <w:lang w:val="es-ES"/>
        </w:rPr>
        <w:t>esta</w:t>
      </w:r>
      <w:r w:rsidRPr="00287B9E">
        <w:rPr>
          <w:rFonts w:ascii="Arial" w:hAnsi="Arial" w:cs="Arial"/>
          <w:color w:val="000000" w:themeColor="text1"/>
          <w:sz w:val="22"/>
          <w:lang w:val="es-ES"/>
        </w:rPr>
        <w:t xml:space="preserve"> sería la conclusión </w:t>
      </w:r>
      <w:r w:rsidR="00C45229" w:rsidRPr="00287B9E">
        <w:rPr>
          <w:rFonts w:ascii="Arial" w:hAnsi="Arial" w:cs="Arial"/>
          <w:color w:val="000000" w:themeColor="text1"/>
          <w:sz w:val="22"/>
          <w:lang w:val="es-ES"/>
        </w:rPr>
        <w:t xml:space="preserve">de </w:t>
      </w:r>
      <w:r w:rsidRPr="00287B9E">
        <w:rPr>
          <w:rFonts w:ascii="Arial" w:hAnsi="Arial" w:cs="Arial"/>
          <w:color w:val="000000" w:themeColor="text1"/>
          <w:sz w:val="22"/>
          <w:lang w:val="es-ES"/>
        </w:rPr>
        <w:t xml:space="preserve">interpretar de forma aislada el aparte de la norma referido a quienes «celebren contratos». En tal sentido, se considera </w:t>
      </w:r>
      <w:r w:rsidRPr="00287B9E">
        <w:rPr>
          <w:rFonts w:ascii="Arial" w:hAnsi="Arial" w:cs="Arial"/>
          <w:color w:val="000000" w:themeColor="text1"/>
          <w:sz w:val="22"/>
          <w:lang w:val="es-ES"/>
        </w:rPr>
        <w:lastRenderedPageBreak/>
        <w:t xml:space="preserve">que la norma al referirse a aquellos sujetos que celebren contratos </w:t>
      </w:r>
      <w:r w:rsidR="00DF658A" w:rsidRPr="00287B9E">
        <w:rPr>
          <w:rFonts w:ascii="Arial" w:hAnsi="Arial" w:cs="Arial"/>
          <w:color w:val="000000" w:themeColor="text1"/>
          <w:sz w:val="22"/>
          <w:lang w:val="es-ES"/>
        </w:rPr>
        <w:t>alude</w:t>
      </w:r>
      <w:r w:rsidRPr="00287B9E">
        <w:rPr>
          <w:rFonts w:ascii="Arial" w:hAnsi="Arial" w:cs="Arial"/>
          <w:color w:val="000000" w:themeColor="text1"/>
          <w:sz w:val="22"/>
          <w:lang w:val="es-ES"/>
        </w:rPr>
        <w:t xml:space="preserve"> únicamente a </w:t>
      </w:r>
      <w:r w:rsidR="00DF658A" w:rsidRPr="00287B9E">
        <w:rPr>
          <w:rFonts w:ascii="Arial" w:hAnsi="Arial" w:cs="Arial"/>
          <w:color w:val="000000" w:themeColor="text1"/>
          <w:sz w:val="22"/>
          <w:lang w:val="es-ES"/>
        </w:rPr>
        <w:t>lo</w:t>
      </w:r>
      <w:r w:rsidRPr="00287B9E">
        <w:rPr>
          <w:rFonts w:ascii="Arial" w:hAnsi="Arial" w:cs="Arial"/>
          <w:color w:val="000000" w:themeColor="text1"/>
          <w:sz w:val="22"/>
          <w:lang w:val="es-ES"/>
        </w:rPr>
        <w:t>s que en virtud de dichos negocios jurídicos administren bienes o recursos públicos, que es el contenido material en torno al cual gira el literal g).</w:t>
      </w:r>
    </w:p>
    <w:p w14:paraId="368AF9B0" w14:textId="1AFFA6DE" w:rsidR="00D237F3" w:rsidRPr="00287B9E" w:rsidRDefault="00D237F3"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ii) </w:t>
      </w:r>
      <w:r w:rsidR="00DF658A" w:rsidRPr="00287B9E">
        <w:rPr>
          <w:rFonts w:ascii="Arial" w:hAnsi="Arial" w:cs="Arial"/>
          <w:color w:val="000000" w:themeColor="text1"/>
          <w:sz w:val="22"/>
          <w:lang w:val="es-ES"/>
        </w:rPr>
        <w:t>La anterior</w:t>
      </w:r>
      <w:r w:rsidRPr="00287B9E">
        <w:rPr>
          <w:rFonts w:ascii="Arial" w:hAnsi="Arial" w:cs="Arial"/>
          <w:color w:val="000000" w:themeColor="text1"/>
          <w:sz w:val="22"/>
          <w:lang w:val="es-ES"/>
        </w:rPr>
        <w:t xml:space="preserve"> interpretación se hace más evidente si se revisa el parágrafo primero del artículo 2</w:t>
      </w:r>
      <w:r w:rsidR="00714E1B" w:rsidRPr="00287B9E">
        <w:rPr>
          <w:rFonts w:ascii="Arial" w:hAnsi="Arial" w:cs="Arial"/>
          <w:color w:val="000000" w:themeColor="text1"/>
          <w:sz w:val="22"/>
          <w:lang w:val="es-ES"/>
        </w:rPr>
        <w:t>, que concreta la forma como se cumple la obligación de public</w:t>
      </w:r>
      <w:r w:rsidR="00DF658A" w:rsidRPr="00287B9E">
        <w:rPr>
          <w:rFonts w:ascii="Arial" w:hAnsi="Arial" w:cs="Arial"/>
          <w:color w:val="000000" w:themeColor="text1"/>
          <w:sz w:val="22"/>
          <w:lang w:val="es-ES"/>
        </w:rPr>
        <w:t>ar</w:t>
      </w:r>
      <w:r w:rsidR="00714E1B" w:rsidRPr="00287B9E">
        <w:rPr>
          <w:rFonts w:ascii="Arial" w:hAnsi="Arial" w:cs="Arial"/>
          <w:color w:val="000000" w:themeColor="text1"/>
          <w:sz w:val="22"/>
          <w:lang w:val="es-ES"/>
        </w:rPr>
        <w:t xml:space="preserve"> la información proactiva</w:t>
      </w:r>
      <w:r w:rsidR="00DF658A" w:rsidRPr="00287B9E">
        <w:rPr>
          <w:rFonts w:ascii="Arial" w:hAnsi="Arial" w:cs="Arial"/>
          <w:color w:val="000000" w:themeColor="text1"/>
          <w:sz w:val="22"/>
          <w:lang w:val="es-ES"/>
        </w:rPr>
        <w:t>mente</w:t>
      </w:r>
      <w:r w:rsidR="00714E1B" w:rsidRPr="00287B9E">
        <w:rPr>
          <w:rFonts w:ascii="Arial" w:hAnsi="Arial" w:cs="Arial"/>
          <w:color w:val="000000" w:themeColor="text1"/>
          <w:sz w:val="22"/>
          <w:lang w:val="es-ES"/>
        </w:rPr>
        <w:t>.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w:t>
      </w:r>
      <w:r w:rsidR="00DF658A" w:rsidRPr="00287B9E">
        <w:rPr>
          <w:rFonts w:ascii="Arial" w:hAnsi="Arial" w:cs="Arial"/>
          <w:color w:val="000000" w:themeColor="text1"/>
          <w:sz w:val="22"/>
          <w:lang w:val="es-ES"/>
        </w:rPr>
        <w:t>ó</w:t>
      </w:r>
      <w:r w:rsidR="00714E1B" w:rsidRPr="00287B9E">
        <w:rPr>
          <w:rFonts w:ascii="Arial" w:hAnsi="Arial" w:cs="Arial"/>
          <w:color w:val="000000" w:themeColor="text1"/>
          <w:sz w:val="22"/>
          <w:lang w:val="es-ES"/>
        </w:rPr>
        <w:t>mo el parágrafo concreta la obligación en relación con los sujetos obligados de los literales f) y g)</w:t>
      </w:r>
      <w:r w:rsidR="00F21CF1" w:rsidRPr="00287B9E">
        <w:rPr>
          <w:rFonts w:ascii="Arial" w:hAnsi="Arial" w:cs="Arial"/>
          <w:color w:val="000000" w:themeColor="text1"/>
          <w:sz w:val="22"/>
          <w:lang w:val="es-ES"/>
        </w:rPr>
        <w:t>.</w:t>
      </w:r>
      <w:r w:rsidR="00714E1B" w:rsidRPr="00287B9E">
        <w:rPr>
          <w:rFonts w:ascii="Arial" w:hAnsi="Arial" w:cs="Arial"/>
          <w:color w:val="000000" w:themeColor="text1"/>
          <w:sz w:val="22"/>
          <w:lang w:val="es-ES"/>
        </w:rPr>
        <w:t xml:space="preserve"> </w:t>
      </w:r>
      <w:r w:rsidR="00F21CF1" w:rsidRPr="00287B9E">
        <w:rPr>
          <w:rFonts w:ascii="Arial" w:hAnsi="Arial" w:cs="Arial"/>
          <w:color w:val="000000" w:themeColor="text1"/>
          <w:sz w:val="22"/>
          <w:lang w:val="es-ES"/>
        </w:rPr>
        <w:t>I</w:t>
      </w:r>
      <w:r w:rsidR="00714E1B" w:rsidRPr="00287B9E">
        <w:rPr>
          <w:rFonts w:ascii="Arial" w:hAnsi="Arial" w:cs="Arial"/>
          <w:color w:val="000000" w:themeColor="text1"/>
          <w:sz w:val="22"/>
          <w:lang w:val="es-ES"/>
        </w:rPr>
        <w:t>nterpreta</w:t>
      </w:r>
      <w:r w:rsidR="00F21CF1" w:rsidRPr="00287B9E">
        <w:rPr>
          <w:rFonts w:ascii="Arial" w:hAnsi="Arial" w:cs="Arial"/>
          <w:color w:val="000000" w:themeColor="text1"/>
          <w:sz w:val="22"/>
          <w:lang w:val="es-ES"/>
        </w:rPr>
        <w:t>da</w:t>
      </w:r>
      <w:r w:rsidR="00714E1B" w:rsidRPr="00287B9E">
        <w:rPr>
          <w:rFonts w:ascii="Arial" w:hAnsi="Arial" w:cs="Arial"/>
          <w:color w:val="000000" w:themeColor="text1"/>
          <w:sz w:val="22"/>
          <w:lang w:val="es-ES"/>
        </w:rPr>
        <w:t xml:space="preserve"> la propia ley</w:t>
      </w:r>
      <w:r w:rsidR="00C45229" w:rsidRPr="00287B9E">
        <w:rPr>
          <w:rFonts w:ascii="Arial" w:hAnsi="Arial" w:cs="Arial"/>
          <w:color w:val="000000" w:themeColor="text1"/>
          <w:sz w:val="22"/>
          <w:lang w:val="es-ES"/>
        </w:rPr>
        <w:t xml:space="preserve"> </w:t>
      </w:r>
      <w:r w:rsidR="00F21CF1" w:rsidRPr="00287B9E">
        <w:rPr>
          <w:rFonts w:ascii="Arial" w:hAnsi="Arial" w:cs="Arial"/>
          <w:color w:val="000000" w:themeColor="text1"/>
          <w:sz w:val="22"/>
          <w:lang w:val="es-ES"/>
        </w:rPr>
        <w:t xml:space="preserve">con </w:t>
      </w:r>
      <w:r w:rsidR="00C45229" w:rsidRPr="00287B9E">
        <w:rPr>
          <w:rFonts w:ascii="Arial" w:hAnsi="Arial" w:cs="Arial"/>
          <w:color w:val="000000" w:themeColor="text1"/>
          <w:sz w:val="22"/>
          <w:lang w:val="es-ES"/>
        </w:rPr>
        <w:t>dichos apartes,</w:t>
      </w:r>
      <w:r w:rsidR="00714E1B" w:rsidRPr="00287B9E">
        <w:rPr>
          <w:rFonts w:ascii="Arial" w:hAnsi="Arial" w:cs="Arial"/>
          <w:color w:val="000000" w:themeColor="text1"/>
          <w:sz w:val="22"/>
          <w:lang w:val="es-ES"/>
        </w:rPr>
        <w:t xml:space="preserve"> tratándose de particulares</w:t>
      </w:r>
      <w:r w:rsidR="00F21CF1" w:rsidRPr="00287B9E">
        <w:rPr>
          <w:rFonts w:ascii="Arial" w:hAnsi="Arial" w:cs="Arial"/>
          <w:color w:val="000000" w:themeColor="text1"/>
          <w:sz w:val="22"/>
          <w:lang w:val="es-ES"/>
        </w:rPr>
        <w:t>,</w:t>
      </w:r>
      <w:r w:rsidR="00714E1B" w:rsidRPr="00287B9E">
        <w:rPr>
          <w:rFonts w:ascii="Arial" w:hAnsi="Arial" w:cs="Arial"/>
          <w:color w:val="000000" w:themeColor="text1"/>
          <w:sz w:val="22"/>
          <w:lang w:val="es-ES"/>
        </w:rPr>
        <w:t xml:space="preserve"> su ámbito de aplicación </w:t>
      </w:r>
      <w:r w:rsidR="00F21CF1" w:rsidRPr="00287B9E">
        <w:rPr>
          <w:rFonts w:ascii="Arial" w:hAnsi="Arial" w:cs="Arial"/>
          <w:color w:val="000000" w:themeColor="text1"/>
          <w:sz w:val="22"/>
          <w:lang w:val="es-ES"/>
        </w:rPr>
        <w:t>incluye</w:t>
      </w:r>
      <w:r w:rsidR="00714E1B" w:rsidRPr="00287B9E">
        <w:rPr>
          <w:rFonts w:ascii="Arial" w:hAnsi="Arial" w:cs="Arial"/>
          <w:color w:val="000000" w:themeColor="text1"/>
          <w:sz w:val="22"/>
          <w:lang w:val="es-ES"/>
        </w:rPr>
        <w:t xml:space="preserve"> solo a aquellos que ejerzan función pública, </w:t>
      </w:r>
      <w:r w:rsidR="00F21CF1" w:rsidRPr="00287B9E">
        <w:rPr>
          <w:rFonts w:ascii="Arial" w:hAnsi="Arial" w:cs="Arial"/>
          <w:color w:val="000000" w:themeColor="text1"/>
          <w:sz w:val="22"/>
          <w:lang w:val="es-ES"/>
        </w:rPr>
        <w:t>presten</w:t>
      </w:r>
      <w:r w:rsidR="00714E1B" w:rsidRPr="00287B9E">
        <w:rPr>
          <w:rFonts w:ascii="Arial" w:hAnsi="Arial" w:cs="Arial"/>
          <w:color w:val="000000" w:themeColor="text1"/>
          <w:sz w:val="22"/>
          <w:lang w:val="es-ES"/>
        </w:rPr>
        <w:t xml:space="preserve"> servicios públicos ―literal f)― o administren bienes o recursos públicos ―literal g)―. De manera que la norma solo </w:t>
      </w:r>
      <w:r w:rsidR="00F21CF1" w:rsidRPr="00287B9E">
        <w:rPr>
          <w:rFonts w:ascii="Arial" w:hAnsi="Arial" w:cs="Arial"/>
          <w:color w:val="000000" w:themeColor="text1"/>
          <w:sz w:val="22"/>
          <w:lang w:val="es-ES"/>
        </w:rPr>
        <w:t>es</w:t>
      </w:r>
      <w:r w:rsidR="00714E1B" w:rsidRPr="00287B9E">
        <w:rPr>
          <w:rFonts w:ascii="Arial" w:hAnsi="Arial" w:cs="Arial"/>
          <w:color w:val="000000" w:themeColor="text1"/>
          <w:sz w:val="22"/>
          <w:lang w:val="es-ES"/>
        </w:rPr>
        <w:t xml:space="preserve"> susceptible de aplicarse frente a esos tres tipos de particulares, </w:t>
      </w:r>
      <w:r w:rsidR="00F21CF1" w:rsidRPr="00287B9E">
        <w:rPr>
          <w:rFonts w:ascii="Arial" w:hAnsi="Arial" w:cs="Arial"/>
          <w:color w:val="000000" w:themeColor="text1"/>
          <w:sz w:val="22"/>
          <w:lang w:val="es-ES"/>
        </w:rPr>
        <w:t xml:space="preserve">siendo </w:t>
      </w:r>
      <w:r w:rsidR="00714E1B" w:rsidRPr="00287B9E">
        <w:rPr>
          <w:rFonts w:ascii="Arial" w:hAnsi="Arial" w:cs="Arial"/>
          <w:color w:val="000000" w:themeColor="text1"/>
          <w:sz w:val="22"/>
          <w:lang w:val="es-ES"/>
        </w:rPr>
        <w:t xml:space="preserve">la interpretación más plausible de la </w:t>
      </w:r>
      <w:r w:rsidR="00C45229" w:rsidRPr="00287B9E">
        <w:rPr>
          <w:rFonts w:ascii="Arial" w:hAnsi="Arial" w:cs="Arial"/>
          <w:color w:val="000000" w:themeColor="text1"/>
          <w:sz w:val="22"/>
          <w:lang w:val="es-ES"/>
        </w:rPr>
        <w:t>disposición</w:t>
      </w:r>
      <w:r w:rsidR="00714E1B" w:rsidRPr="00287B9E">
        <w:rPr>
          <w:rFonts w:ascii="Arial" w:hAnsi="Arial" w:cs="Arial"/>
          <w:color w:val="000000" w:themeColor="text1"/>
          <w:sz w:val="22"/>
          <w:lang w:val="es-ES"/>
        </w:rPr>
        <w:t xml:space="preserve">, </w:t>
      </w:r>
      <w:r w:rsidR="00F21CF1" w:rsidRPr="00287B9E">
        <w:rPr>
          <w:rFonts w:ascii="Arial" w:hAnsi="Arial" w:cs="Arial"/>
          <w:color w:val="000000" w:themeColor="text1"/>
          <w:sz w:val="22"/>
          <w:lang w:val="es-ES"/>
        </w:rPr>
        <w:t>pues lo</w:t>
      </w:r>
      <w:r w:rsidR="00714E1B" w:rsidRPr="00287B9E">
        <w:rPr>
          <w:rFonts w:ascii="Arial" w:hAnsi="Arial" w:cs="Arial"/>
          <w:color w:val="000000" w:themeColor="text1"/>
          <w:sz w:val="22"/>
          <w:lang w:val="es-ES"/>
        </w:rPr>
        <w:t xml:space="preserve"> que derivaría de interpretar extensiva</w:t>
      </w:r>
      <w:r w:rsidR="00F21CF1" w:rsidRPr="00287B9E">
        <w:rPr>
          <w:rFonts w:ascii="Arial" w:hAnsi="Arial" w:cs="Arial"/>
          <w:color w:val="000000" w:themeColor="text1"/>
          <w:sz w:val="22"/>
          <w:lang w:val="es-ES"/>
        </w:rPr>
        <w:t>mente</w:t>
      </w:r>
      <w:r w:rsidR="00714E1B" w:rsidRPr="00287B9E">
        <w:rPr>
          <w:rFonts w:ascii="Arial" w:hAnsi="Arial" w:cs="Arial"/>
          <w:color w:val="000000" w:themeColor="text1"/>
          <w:sz w:val="22"/>
          <w:lang w:val="es-ES"/>
        </w:rPr>
        <w:t xml:space="preserve"> el </w:t>
      </w:r>
      <w:r w:rsidR="00F21CF1" w:rsidRPr="00287B9E">
        <w:rPr>
          <w:rFonts w:ascii="Arial" w:hAnsi="Arial" w:cs="Arial"/>
          <w:color w:val="000000" w:themeColor="text1"/>
          <w:sz w:val="22"/>
          <w:lang w:val="es-ES"/>
        </w:rPr>
        <w:t xml:space="preserve">literal g), sería </w:t>
      </w:r>
      <w:r w:rsidR="00714E1B" w:rsidRPr="00287B9E">
        <w:rPr>
          <w:rFonts w:ascii="Arial" w:hAnsi="Arial" w:cs="Arial"/>
          <w:color w:val="000000" w:themeColor="text1"/>
          <w:sz w:val="22"/>
          <w:lang w:val="es-ES"/>
        </w:rPr>
        <w:t>que el parágrafo 1 contiene un vacío protuberante.</w:t>
      </w:r>
    </w:p>
    <w:p w14:paraId="10734460" w14:textId="492BC7C2" w:rsidR="00714E1B" w:rsidRPr="00287B9E" w:rsidRDefault="00714E1B"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iii) Otro argumento para considerar que el literal g) no </w:t>
      </w:r>
      <w:r w:rsidR="00AC22DF" w:rsidRPr="00287B9E">
        <w:rPr>
          <w:rFonts w:ascii="Arial" w:hAnsi="Arial" w:cs="Arial"/>
          <w:color w:val="000000" w:themeColor="text1"/>
          <w:sz w:val="22"/>
          <w:lang w:val="es-ES"/>
        </w:rPr>
        <w:t>incluye</w:t>
      </w:r>
      <w:r w:rsidRPr="00287B9E">
        <w:rPr>
          <w:rFonts w:ascii="Arial" w:hAnsi="Arial" w:cs="Arial"/>
          <w:color w:val="000000" w:themeColor="text1"/>
          <w:sz w:val="22"/>
          <w:lang w:val="es-ES"/>
        </w:rPr>
        <w:t xml:space="preserve"> a cualquier contratista del Estado, </w:t>
      </w:r>
      <w:r w:rsidR="00AC22DF" w:rsidRPr="00287B9E">
        <w:rPr>
          <w:rFonts w:ascii="Arial" w:hAnsi="Arial" w:cs="Arial"/>
          <w:color w:val="000000" w:themeColor="text1"/>
          <w:sz w:val="22"/>
          <w:lang w:val="es-ES"/>
        </w:rPr>
        <w:t>en general,</w:t>
      </w:r>
      <w:r w:rsidRPr="00287B9E">
        <w:rPr>
          <w:rFonts w:ascii="Arial" w:hAnsi="Arial" w:cs="Arial"/>
          <w:color w:val="000000" w:themeColor="text1"/>
          <w:sz w:val="22"/>
          <w:lang w:val="es-ES"/>
        </w:rPr>
        <w:t xml:space="preserve"> consiste en que la obligación de publicación proactiva ni siquiera se estableció para todos los servidores públicos, sino para los concretamente </w:t>
      </w:r>
      <w:r w:rsidR="00C64F99" w:rsidRPr="00287B9E">
        <w:rPr>
          <w:rFonts w:ascii="Arial" w:hAnsi="Arial" w:cs="Arial"/>
          <w:color w:val="000000" w:themeColor="text1"/>
          <w:sz w:val="22"/>
          <w:lang w:val="es-ES"/>
        </w:rPr>
        <w:t>relacionados</w:t>
      </w:r>
      <w:r w:rsidRPr="00287B9E">
        <w:rPr>
          <w:rFonts w:ascii="Arial" w:hAnsi="Arial" w:cs="Arial"/>
          <w:color w:val="000000" w:themeColor="text1"/>
          <w:sz w:val="22"/>
          <w:lang w:val="es-ES"/>
        </w:rPr>
        <w:t xml:space="preserve"> en el </w:t>
      </w:r>
      <w:r w:rsidR="00B310D2" w:rsidRPr="00287B9E">
        <w:rPr>
          <w:rFonts w:ascii="Arial" w:hAnsi="Arial" w:cs="Arial"/>
          <w:color w:val="000000" w:themeColor="text1"/>
          <w:sz w:val="22"/>
          <w:lang w:val="es-ES"/>
        </w:rPr>
        <w:t>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14:paraId="6C454793" w14:textId="59C5F100" w:rsidR="00B310D2" w:rsidRPr="00287B9E" w:rsidRDefault="00B310D2"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Lo anterior</w:t>
      </w:r>
      <w:r w:rsidR="00C45229" w:rsidRPr="00287B9E">
        <w:rPr>
          <w:rFonts w:ascii="Arial" w:hAnsi="Arial" w:cs="Arial"/>
          <w:color w:val="000000" w:themeColor="text1"/>
          <w:sz w:val="22"/>
          <w:lang w:val="es-ES"/>
        </w:rPr>
        <w:t xml:space="preserve"> se sustentaría, incluso,</w:t>
      </w:r>
      <w:r w:rsidRPr="00287B9E">
        <w:rPr>
          <w:rFonts w:ascii="Arial" w:hAnsi="Arial" w:cs="Arial"/>
          <w:color w:val="000000" w:themeColor="text1"/>
          <w:sz w:val="22"/>
          <w:lang w:val="es-ES"/>
        </w:rPr>
        <w:t xml:space="preserve"> si se argumentara que el literal estudiado pretendía incluir a todos los contratistas del </w:t>
      </w:r>
      <w:r w:rsidR="00C45229" w:rsidRPr="00287B9E">
        <w:rPr>
          <w:rFonts w:ascii="Arial" w:hAnsi="Arial" w:cs="Arial"/>
          <w:color w:val="000000" w:themeColor="text1"/>
          <w:sz w:val="22"/>
          <w:lang w:val="es-ES"/>
        </w:rPr>
        <w:t>E</w:t>
      </w:r>
      <w:r w:rsidRPr="00287B9E">
        <w:rPr>
          <w:rFonts w:ascii="Arial" w:hAnsi="Arial" w:cs="Arial"/>
          <w:color w:val="000000" w:themeColor="text1"/>
          <w:sz w:val="22"/>
          <w:lang w:val="es-ES"/>
        </w:rPr>
        <w:t>stado, dado que a ellos se le</w:t>
      </w:r>
      <w:r w:rsidR="00C45229" w:rsidRPr="00287B9E">
        <w:rPr>
          <w:rFonts w:ascii="Arial" w:hAnsi="Arial" w:cs="Arial"/>
          <w:color w:val="000000" w:themeColor="text1"/>
          <w:sz w:val="22"/>
          <w:lang w:val="es-ES"/>
        </w:rPr>
        <w:t>s</w:t>
      </w:r>
      <w:r w:rsidRPr="00287B9E">
        <w:rPr>
          <w:rFonts w:ascii="Arial" w:hAnsi="Arial" w:cs="Arial"/>
          <w:color w:val="000000" w:themeColor="text1"/>
          <w:sz w:val="22"/>
          <w:lang w:val="es-ES"/>
        </w:rPr>
        <w:t xml:space="preserve"> paga su contraprestación con recursos públicos, pues a los servidores públicos también se les remunera con dichos recursos.</w:t>
      </w:r>
    </w:p>
    <w:p w14:paraId="4EAF8389" w14:textId="12611464" w:rsidR="00B310D2" w:rsidRPr="00287B9E" w:rsidRDefault="00B310D2"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t xml:space="preserve">iv) Otro fundamento </w:t>
      </w:r>
      <w:r w:rsidR="00C64F99" w:rsidRPr="00287B9E">
        <w:rPr>
          <w:rFonts w:ascii="Arial" w:hAnsi="Arial" w:cs="Arial"/>
          <w:color w:val="000000" w:themeColor="text1"/>
          <w:sz w:val="22"/>
          <w:lang w:val="es-ES"/>
        </w:rPr>
        <w:t xml:space="preserve">de </w:t>
      </w:r>
      <w:r w:rsidRPr="00287B9E">
        <w:rPr>
          <w:rFonts w:ascii="Arial" w:hAnsi="Arial" w:cs="Arial"/>
          <w:color w:val="000000" w:themeColor="text1"/>
          <w:sz w:val="22"/>
          <w:lang w:val="es-ES"/>
        </w:rPr>
        <w:t xml:space="preserve">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 dichos recursos son ajenos, por no hacer parte de su patrimonio, de manera que no se hiciera una indebida gestión de los mismos </w:t>
      </w:r>
      <w:r w:rsidR="00C45229" w:rsidRPr="00287B9E">
        <w:rPr>
          <w:rFonts w:ascii="Arial" w:hAnsi="Arial" w:cs="Arial"/>
          <w:color w:val="000000" w:themeColor="text1"/>
          <w:sz w:val="22"/>
          <w:lang w:val="es-ES"/>
        </w:rPr>
        <w:t xml:space="preserve">y </w:t>
      </w:r>
      <w:r w:rsidRPr="00287B9E">
        <w:rPr>
          <w:rFonts w:ascii="Arial" w:hAnsi="Arial" w:cs="Arial"/>
          <w:color w:val="000000" w:themeColor="text1"/>
          <w:sz w:val="22"/>
          <w:lang w:val="es-ES"/>
        </w:rPr>
        <w:t>terminaran incrementando el patrimonio de sus administradores.</w:t>
      </w:r>
    </w:p>
    <w:p w14:paraId="008F165E" w14:textId="2EB4D6C2" w:rsidR="00B310D2" w:rsidRPr="00287B9E" w:rsidRDefault="00C64F99" w:rsidP="006F667A">
      <w:pPr>
        <w:spacing w:after="120" w:line="276" w:lineRule="auto"/>
        <w:ind w:firstLine="708"/>
        <w:jc w:val="both"/>
        <w:rPr>
          <w:rFonts w:ascii="Arial" w:hAnsi="Arial" w:cs="Arial"/>
          <w:color w:val="000000" w:themeColor="text1"/>
          <w:sz w:val="22"/>
          <w:lang w:val="es-ES"/>
        </w:rPr>
      </w:pPr>
      <w:r w:rsidRPr="00287B9E">
        <w:rPr>
          <w:rFonts w:ascii="Arial" w:hAnsi="Arial" w:cs="Arial"/>
          <w:color w:val="000000" w:themeColor="text1"/>
          <w:sz w:val="22"/>
          <w:lang w:val="es-ES"/>
        </w:rPr>
        <w:lastRenderedPageBreak/>
        <w:t>Esta c</w:t>
      </w:r>
      <w:r w:rsidR="00B310D2" w:rsidRPr="00287B9E">
        <w:rPr>
          <w:rFonts w:ascii="Arial" w:hAnsi="Arial" w:cs="Arial"/>
          <w:color w:val="000000" w:themeColor="text1"/>
          <w:sz w:val="22"/>
          <w:lang w:val="es-ES"/>
        </w:rPr>
        <w:t xml:space="preserve">ircunstancia no ocurre con la mayoría de los contratistas del Estado, quienes si bien reciben recursos del Estado, como contraprestación </w:t>
      </w:r>
      <w:r w:rsidR="00C45229" w:rsidRPr="00287B9E">
        <w:rPr>
          <w:rFonts w:ascii="Arial" w:hAnsi="Arial" w:cs="Arial"/>
          <w:color w:val="000000" w:themeColor="text1"/>
          <w:sz w:val="22"/>
          <w:lang w:val="es-ES"/>
        </w:rPr>
        <w:t>por el</w:t>
      </w:r>
      <w:r w:rsidR="00B310D2" w:rsidRPr="00287B9E">
        <w:rPr>
          <w:rFonts w:ascii="Arial" w:hAnsi="Arial" w:cs="Arial"/>
          <w:color w:val="000000" w:themeColor="text1"/>
          <w:sz w:val="22"/>
          <w:lang w:val="es-ES"/>
        </w:rPr>
        <w:t xml:space="preserve"> cumplimiento de sus </w:t>
      </w:r>
      <w:r w:rsidR="00C45229" w:rsidRPr="00287B9E">
        <w:rPr>
          <w:rFonts w:ascii="Arial" w:hAnsi="Arial" w:cs="Arial"/>
          <w:color w:val="000000" w:themeColor="text1"/>
          <w:sz w:val="22"/>
          <w:lang w:val="es-ES"/>
        </w:rPr>
        <w:t>obligaciones</w:t>
      </w:r>
      <w:r w:rsidR="00B310D2" w:rsidRPr="00287B9E">
        <w:rPr>
          <w:rFonts w:ascii="Arial" w:hAnsi="Arial" w:cs="Arial"/>
          <w:color w:val="000000" w:themeColor="text1"/>
          <w:sz w:val="22"/>
          <w:lang w:val="es-ES"/>
        </w:rPr>
        <w:t xml:space="preserve">, </w:t>
      </w:r>
      <w:r w:rsidRPr="00287B9E">
        <w:rPr>
          <w:rFonts w:ascii="Arial" w:hAnsi="Arial" w:cs="Arial"/>
          <w:color w:val="000000" w:themeColor="text1"/>
          <w:sz w:val="22"/>
          <w:lang w:val="es-ES"/>
        </w:rPr>
        <w:t>esos</w:t>
      </w:r>
      <w:r w:rsidR="00B310D2" w:rsidRPr="00287B9E">
        <w:rPr>
          <w:rFonts w:ascii="Arial" w:hAnsi="Arial" w:cs="Arial"/>
          <w:color w:val="000000" w:themeColor="text1"/>
          <w:sz w:val="22"/>
          <w:lang w:val="es-ES"/>
        </w:rPr>
        <w:t xml:space="preserve"> recursos ingresan y se convierten en propios de </w:t>
      </w:r>
      <w:r w:rsidRPr="00287B9E">
        <w:rPr>
          <w:rFonts w:ascii="Arial" w:hAnsi="Arial" w:cs="Arial"/>
          <w:color w:val="000000" w:themeColor="text1"/>
          <w:sz w:val="22"/>
          <w:lang w:val="es-ES"/>
        </w:rPr>
        <w:t>los</w:t>
      </w:r>
      <w:r w:rsidR="00B310D2" w:rsidRPr="00287B9E">
        <w:rPr>
          <w:rFonts w:ascii="Arial" w:hAnsi="Arial" w:cs="Arial"/>
          <w:color w:val="000000" w:themeColor="text1"/>
          <w:sz w:val="22"/>
          <w:lang w:val="es-ES"/>
        </w:rPr>
        <w:t xml:space="preserve"> </w:t>
      </w:r>
      <w:r w:rsidRPr="00287B9E">
        <w:rPr>
          <w:rFonts w:ascii="Arial" w:hAnsi="Arial" w:cs="Arial"/>
          <w:color w:val="000000" w:themeColor="text1"/>
          <w:sz w:val="22"/>
          <w:lang w:val="es-ES"/>
        </w:rPr>
        <w:t>ellos</w:t>
      </w:r>
      <w:r w:rsidR="00B310D2" w:rsidRPr="00287B9E">
        <w:rPr>
          <w:rFonts w:ascii="Arial" w:hAnsi="Arial" w:cs="Arial"/>
          <w:color w:val="000000" w:themeColor="text1"/>
          <w:sz w:val="22"/>
          <w:lang w:val="es-ES"/>
        </w:rPr>
        <w:t>, pudiendo realizar actos de disposición con libertad.</w:t>
      </w:r>
    </w:p>
    <w:p w14:paraId="77729DC9" w14:textId="2269822F" w:rsidR="00B310D2" w:rsidRPr="00287B9E" w:rsidRDefault="00B310D2" w:rsidP="004C119B">
      <w:pPr>
        <w:pStyle w:val="Sinespaciado"/>
        <w:spacing w:before="120" w:after="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 xml:space="preserve">v) Finalmente, si se analizan los antecedentes del proyecto de ley que culminó </w:t>
      </w:r>
      <w:r w:rsidR="004C119B" w:rsidRPr="00287B9E">
        <w:rPr>
          <w:rFonts w:ascii="Arial" w:hAnsi="Arial" w:cs="Arial"/>
          <w:iCs/>
          <w:color w:val="000000" w:themeColor="text1"/>
          <w:sz w:val="22"/>
        </w:rPr>
        <w:t xml:space="preserve">con la expedición de la Ley 2013 de 2019, se confirma que la finalidad del literal g) </w:t>
      </w:r>
      <w:r w:rsidR="00267E5C" w:rsidRPr="00287B9E">
        <w:rPr>
          <w:rFonts w:ascii="Arial" w:hAnsi="Arial" w:cs="Arial"/>
          <w:iCs/>
          <w:color w:val="000000" w:themeColor="text1"/>
          <w:sz w:val="22"/>
        </w:rPr>
        <w:t xml:space="preserve">solo </w:t>
      </w:r>
      <w:r w:rsidR="00C64F99" w:rsidRPr="00287B9E">
        <w:rPr>
          <w:rFonts w:ascii="Arial" w:hAnsi="Arial" w:cs="Arial"/>
          <w:iCs/>
          <w:color w:val="000000" w:themeColor="text1"/>
          <w:sz w:val="22"/>
        </w:rPr>
        <w:t>fue</w:t>
      </w:r>
      <w:r w:rsidR="004C119B" w:rsidRPr="00287B9E">
        <w:rPr>
          <w:rFonts w:ascii="Arial" w:hAnsi="Arial" w:cs="Arial"/>
          <w:iCs/>
          <w:color w:val="000000" w:themeColor="text1"/>
          <w:sz w:val="22"/>
        </w:rPr>
        <w:t xml:space="preserve"> incluir a los sujetos que administraran recursos públicos. En este sentido, el proyecto de ley presentado inicialmente solo tenía servidores públicos en su ámbito de aplicación</w:t>
      </w:r>
      <w:r w:rsidR="004C119B" w:rsidRPr="00287B9E">
        <w:rPr>
          <w:rStyle w:val="Refdenotaalpie"/>
          <w:rFonts w:ascii="Arial" w:hAnsi="Arial" w:cs="Arial"/>
          <w:iCs/>
          <w:color w:val="000000" w:themeColor="text1"/>
          <w:sz w:val="22"/>
        </w:rPr>
        <w:footnoteReference w:id="4"/>
      </w:r>
      <w:r w:rsidR="004C119B" w:rsidRPr="00287B9E">
        <w:rPr>
          <w:rFonts w:ascii="Arial" w:hAnsi="Arial" w:cs="Arial"/>
          <w:iCs/>
          <w:color w:val="000000" w:themeColor="text1"/>
          <w:sz w:val="22"/>
        </w:rPr>
        <w:t xml:space="preserve">; no obstante, durante el trámite del proyecto se modificaron y ampliaron los sujetos obligados para incluir a nuevos servidores públicos y a algunos particulares en supuestos concretos. Incluso en el texto propuesto para </w:t>
      </w:r>
      <w:r w:rsidR="00C45229" w:rsidRPr="00287B9E">
        <w:rPr>
          <w:rFonts w:ascii="Arial" w:hAnsi="Arial" w:cs="Arial"/>
          <w:iCs/>
          <w:color w:val="000000" w:themeColor="text1"/>
          <w:sz w:val="22"/>
        </w:rPr>
        <w:t xml:space="preserve">el </w:t>
      </w:r>
      <w:r w:rsidR="004C119B" w:rsidRPr="00287B9E">
        <w:rPr>
          <w:rFonts w:ascii="Arial" w:hAnsi="Arial" w:cs="Arial"/>
          <w:iCs/>
          <w:color w:val="000000" w:themeColor="text1"/>
          <w:sz w:val="22"/>
        </w:rPr>
        <w:t xml:space="preserve">segundo debate de </w:t>
      </w:r>
      <w:r w:rsidR="009E0C6F" w:rsidRPr="00287B9E">
        <w:rPr>
          <w:rFonts w:ascii="Arial" w:hAnsi="Arial" w:cs="Arial"/>
          <w:iCs/>
          <w:color w:val="000000" w:themeColor="text1"/>
          <w:sz w:val="22"/>
        </w:rPr>
        <w:t xml:space="preserve">la </w:t>
      </w:r>
      <w:r w:rsidR="004C119B" w:rsidRPr="00287B9E">
        <w:rPr>
          <w:rFonts w:ascii="Arial" w:hAnsi="Arial" w:cs="Arial"/>
          <w:iCs/>
          <w:color w:val="000000" w:themeColor="text1"/>
          <w:sz w:val="22"/>
        </w:rPr>
        <w:t xml:space="preserve">Cámara de </w:t>
      </w:r>
      <w:r w:rsidR="009E0C6F" w:rsidRPr="00287B9E">
        <w:rPr>
          <w:rFonts w:ascii="Arial" w:hAnsi="Arial" w:cs="Arial"/>
          <w:iCs/>
          <w:color w:val="000000" w:themeColor="text1"/>
          <w:sz w:val="22"/>
        </w:rPr>
        <w:t>Representantes</w:t>
      </w:r>
      <w:r w:rsidR="004C119B" w:rsidRPr="00287B9E">
        <w:rPr>
          <w:rFonts w:ascii="Arial" w:hAnsi="Arial" w:cs="Arial"/>
          <w:iCs/>
          <w:color w:val="000000" w:themeColor="text1"/>
          <w:sz w:val="22"/>
        </w:rPr>
        <w:t xml:space="preserve"> se </w:t>
      </w:r>
      <w:r w:rsidR="009E0C6F" w:rsidRPr="00287B9E">
        <w:rPr>
          <w:rFonts w:ascii="Arial" w:hAnsi="Arial" w:cs="Arial"/>
          <w:iCs/>
          <w:color w:val="000000" w:themeColor="text1"/>
          <w:sz w:val="22"/>
        </w:rPr>
        <w:t>sugirió</w:t>
      </w:r>
      <w:r w:rsidR="004C119B" w:rsidRPr="00287B9E">
        <w:rPr>
          <w:rFonts w:ascii="Arial" w:hAnsi="Arial" w:cs="Arial"/>
          <w:iCs/>
          <w:color w:val="000000" w:themeColor="text1"/>
          <w:sz w:val="22"/>
        </w:rPr>
        <w:t xml:space="preserve"> eliminar el listado y dejar una noción más general de los sujetos obligados, donde se pretendía incluir a todos los servidores públicos y a algunos particulares: «[…]</w:t>
      </w:r>
      <w:r w:rsidR="00E03FAB" w:rsidRPr="00287B9E">
        <w:rPr>
          <w:rFonts w:ascii="Arial" w:hAnsi="Arial" w:cs="Arial"/>
          <w:iCs/>
          <w:color w:val="000000" w:themeColor="text1"/>
          <w:sz w:val="22"/>
        </w:rPr>
        <w:t xml:space="preserve"> </w:t>
      </w:r>
      <w:r w:rsidR="004C119B" w:rsidRPr="00287B9E">
        <w:rPr>
          <w:rFonts w:ascii="Arial" w:hAnsi="Arial" w:cs="Arial"/>
          <w:iCs/>
          <w:color w:val="000000" w:themeColor="text1"/>
          <w:sz w:val="22"/>
        </w:rPr>
        <w:t>para todos los funcionarios y servidores públicos y para los particulares que desempeñen funciones públicas o presten servicios públicos o administren, a cualquier título, bienes o recursos públicos»</w:t>
      </w:r>
      <w:r w:rsidR="004C119B" w:rsidRPr="00287B9E">
        <w:rPr>
          <w:rStyle w:val="Refdenotaalpie"/>
          <w:rFonts w:ascii="Arial" w:hAnsi="Arial" w:cs="Arial"/>
          <w:iCs/>
          <w:color w:val="000000" w:themeColor="text1"/>
          <w:sz w:val="22"/>
        </w:rPr>
        <w:footnoteReference w:id="5"/>
      </w:r>
      <w:r w:rsidR="004C119B" w:rsidRPr="00287B9E">
        <w:rPr>
          <w:rFonts w:ascii="Arial" w:hAnsi="Arial" w:cs="Arial"/>
          <w:iCs/>
          <w:color w:val="000000" w:themeColor="text1"/>
          <w:sz w:val="22"/>
        </w:rPr>
        <w:t>.</w:t>
      </w:r>
    </w:p>
    <w:p w14:paraId="0A273581" w14:textId="14290D59" w:rsidR="001913E3" w:rsidRPr="00287B9E" w:rsidRDefault="001913E3" w:rsidP="00C64F99">
      <w:pPr>
        <w:pStyle w:val="Sinespaciado"/>
        <w:spacing w:before="120" w:after="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 xml:space="preserve">Con lo anterior se pretende demostrar que la finalidad durante el todo el trámite del proyecto fue incluir solo a algunos particulares, concretamente a aquellos que desempeñen funciones públicas, presten servicios públicos o administren </w:t>
      </w:r>
      <w:r w:rsidR="00C45229" w:rsidRPr="00287B9E">
        <w:rPr>
          <w:rFonts w:ascii="Arial" w:hAnsi="Arial" w:cs="Arial"/>
          <w:iCs/>
          <w:color w:val="000000" w:themeColor="text1"/>
          <w:sz w:val="22"/>
        </w:rPr>
        <w:t>bienes</w:t>
      </w:r>
      <w:r w:rsidRPr="00287B9E">
        <w:rPr>
          <w:rFonts w:ascii="Arial" w:hAnsi="Arial" w:cs="Arial"/>
          <w:iCs/>
          <w:color w:val="000000" w:themeColor="text1"/>
          <w:sz w:val="22"/>
        </w:rPr>
        <w:t xml:space="preserve"> o recursos públicos. </w:t>
      </w:r>
      <w:r w:rsidR="00C64F99" w:rsidRPr="00287B9E">
        <w:rPr>
          <w:rFonts w:ascii="Arial" w:hAnsi="Arial" w:cs="Arial"/>
          <w:iCs/>
          <w:color w:val="000000" w:themeColor="text1"/>
          <w:sz w:val="22"/>
        </w:rPr>
        <w:t xml:space="preserve">Esto </w:t>
      </w:r>
      <w:r w:rsidRPr="00287B9E">
        <w:rPr>
          <w:rFonts w:ascii="Arial" w:hAnsi="Arial" w:cs="Arial"/>
          <w:iCs/>
          <w:color w:val="000000" w:themeColor="text1"/>
          <w:sz w:val="22"/>
        </w:rPr>
        <w:t xml:space="preserve">se hace más evidente si se revisan los informes de conciliación de los textos definitivos en Senado y Cámara. En efecto, aunque finalmente se acogió el texto de la Cámara de Representantes en cuanto al contenido del artículo 2, el listado propuesto </w:t>
      </w:r>
      <w:r w:rsidR="00C64F99" w:rsidRPr="00287B9E">
        <w:rPr>
          <w:rFonts w:ascii="Arial" w:hAnsi="Arial" w:cs="Arial"/>
          <w:iCs/>
          <w:color w:val="000000" w:themeColor="text1"/>
          <w:sz w:val="22"/>
        </w:rPr>
        <w:t xml:space="preserve">por </w:t>
      </w:r>
      <w:r w:rsidRPr="00287B9E">
        <w:rPr>
          <w:rFonts w:ascii="Arial" w:hAnsi="Arial" w:cs="Arial"/>
          <w:iCs/>
          <w:color w:val="000000" w:themeColor="text1"/>
          <w:sz w:val="22"/>
        </w:rPr>
        <w:t xml:space="preserve">el </w:t>
      </w:r>
      <w:r w:rsidR="00C64F99" w:rsidRPr="00287B9E">
        <w:rPr>
          <w:rFonts w:ascii="Arial" w:hAnsi="Arial" w:cs="Arial"/>
          <w:iCs/>
          <w:color w:val="000000" w:themeColor="text1"/>
          <w:sz w:val="22"/>
        </w:rPr>
        <w:t>S</w:t>
      </w:r>
      <w:r w:rsidRPr="00287B9E">
        <w:rPr>
          <w:rFonts w:ascii="Arial" w:hAnsi="Arial" w:cs="Arial"/>
          <w:iCs/>
          <w:color w:val="000000" w:themeColor="text1"/>
          <w:sz w:val="22"/>
        </w:rPr>
        <w:t>enado</w:t>
      </w:r>
      <w:r w:rsidR="00C64F99" w:rsidRPr="00287B9E">
        <w:rPr>
          <w:rFonts w:ascii="Arial" w:hAnsi="Arial" w:cs="Arial"/>
          <w:iCs/>
          <w:color w:val="000000" w:themeColor="text1"/>
          <w:sz w:val="22"/>
        </w:rPr>
        <w:t xml:space="preserve"> de</w:t>
      </w:r>
      <w:r w:rsidRPr="00287B9E">
        <w:rPr>
          <w:rFonts w:ascii="Arial" w:hAnsi="Arial" w:cs="Arial"/>
          <w:iCs/>
          <w:color w:val="000000" w:themeColor="text1"/>
          <w:sz w:val="22"/>
        </w:rPr>
        <w:t xml:space="preserve"> los literales f) y g), que contenía la misma finalidad y frente a los cuales no existió disputa, tenía una redacción más diáfana y menos confusa de la disposición; en particular</w:t>
      </w:r>
      <w:r w:rsidR="00C64F99" w:rsidRPr="00287B9E">
        <w:rPr>
          <w:rFonts w:ascii="Arial" w:hAnsi="Arial" w:cs="Arial"/>
          <w:iCs/>
          <w:color w:val="000000" w:themeColor="text1"/>
          <w:sz w:val="22"/>
        </w:rPr>
        <w:t>,</w:t>
      </w:r>
      <w:r w:rsidRPr="00287B9E">
        <w:rPr>
          <w:rFonts w:ascii="Arial" w:hAnsi="Arial" w:cs="Arial"/>
          <w:iCs/>
          <w:color w:val="000000" w:themeColor="text1"/>
          <w:sz w:val="22"/>
        </w:rPr>
        <w:t xml:space="preserve"> el literal g) proponía acoger a: «Las personas naturales y jurídicas, públicas o privadas que administren bienes o recursos públicos respecto de la información directamente relacionada con el desempeño de su función». </w:t>
      </w:r>
    </w:p>
    <w:p w14:paraId="662E6BBB" w14:textId="29BD9994" w:rsidR="00E61377" w:rsidRPr="00287B9E" w:rsidRDefault="001913E3" w:rsidP="00E61377">
      <w:pPr>
        <w:pStyle w:val="Sinespaciado"/>
        <w:spacing w:before="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 xml:space="preserve">Incluso, aunque finalmente se acogieron los literales f) y g) en la forma propuesta por la Cámara de Representantes, si se revisa el título de la ley que </w:t>
      </w:r>
      <w:r w:rsidR="00267E5C" w:rsidRPr="00287B9E">
        <w:rPr>
          <w:rFonts w:ascii="Arial" w:hAnsi="Arial" w:cs="Arial"/>
          <w:iCs/>
          <w:color w:val="000000" w:themeColor="text1"/>
          <w:sz w:val="22"/>
        </w:rPr>
        <w:t>formulaba</w:t>
      </w:r>
      <w:r w:rsidRPr="00287B9E">
        <w:rPr>
          <w:rFonts w:ascii="Arial" w:hAnsi="Arial" w:cs="Arial"/>
          <w:iCs/>
          <w:color w:val="000000" w:themeColor="text1"/>
          <w:sz w:val="22"/>
        </w:rPr>
        <w:t xml:space="preserve"> esta cámara legislativa, se llega a la conclusión </w:t>
      </w:r>
      <w:r w:rsidR="00267E5C" w:rsidRPr="00287B9E">
        <w:rPr>
          <w:rFonts w:ascii="Arial" w:hAnsi="Arial" w:cs="Arial"/>
          <w:iCs/>
          <w:color w:val="000000" w:themeColor="text1"/>
          <w:sz w:val="22"/>
        </w:rPr>
        <w:t>indicada</w:t>
      </w:r>
      <w:r w:rsidRPr="00287B9E">
        <w:rPr>
          <w:rFonts w:ascii="Arial" w:hAnsi="Arial" w:cs="Arial"/>
          <w:iCs/>
          <w:color w:val="000000" w:themeColor="text1"/>
          <w:sz w:val="22"/>
        </w:rPr>
        <w:t xml:space="preserve"> respecto a la interpretación del literal g), ya que el titulo fue</w:t>
      </w:r>
      <w:r w:rsidRPr="00287B9E">
        <w:rPr>
          <w:rStyle w:val="Refdenotaalpie"/>
          <w:rFonts w:ascii="Arial" w:hAnsi="Arial" w:cs="Arial"/>
          <w:iCs/>
          <w:color w:val="000000" w:themeColor="text1"/>
          <w:sz w:val="22"/>
        </w:rPr>
        <w:footnoteReference w:id="6"/>
      </w:r>
      <w:r w:rsidRPr="00287B9E">
        <w:rPr>
          <w:rFonts w:ascii="Arial" w:hAnsi="Arial" w:cs="Arial"/>
          <w:iCs/>
          <w:color w:val="000000" w:themeColor="text1"/>
          <w:sz w:val="22"/>
        </w:rPr>
        <w:t xml:space="preserve">: </w:t>
      </w:r>
    </w:p>
    <w:p w14:paraId="4274505A" w14:textId="77777777" w:rsidR="00E61377" w:rsidRPr="00287B9E" w:rsidRDefault="00E61377" w:rsidP="00E61377">
      <w:pPr>
        <w:pStyle w:val="Sinespaciado"/>
        <w:spacing w:before="120"/>
        <w:ind w:firstLine="709"/>
        <w:contextualSpacing/>
        <w:jc w:val="both"/>
        <w:rPr>
          <w:rFonts w:ascii="Arial" w:hAnsi="Arial" w:cs="Arial"/>
          <w:iCs/>
          <w:color w:val="000000" w:themeColor="text1"/>
          <w:sz w:val="22"/>
        </w:rPr>
      </w:pPr>
    </w:p>
    <w:p w14:paraId="766BE195" w14:textId="33541D81" w:rsidR="00E61377" w:rsidRPr="00287B9E" w:rsidRDefault="00E61377" w:rsidP="00E61377">
      <w:pPr>
        <w:spacing w:after="120"/>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lastRenderedPageBreak/>
        <w:t xml:space="preserve">Por medio de la cual se busca garantizar el cumplimiento de los principios de transparencia, participación y control social mediante la publicación de las declaraciones de bienes y rentas, el registro de los conflictos de interés y la declaración del impuesto sobre la renta y complementarios de los funcionarios y servidores públicos </w:t>
      </w:r>
      <w:r w:rsidRPr="00287B9E">
        <w:rPr>
          <w:rFonts w:ascii="Arial" w:eastAsia="Times New Roman" w:hAnsi="Arial" w:cs="Arial"/>
          <w:i/>
          <w:iCs/>
          <w:color w:val="000000" w:themeColor="text1"/>
          <w:sz w:val="21"/>
          <w:szCs w:val="21"/>
          <w:lang w:val="es-CO" w:eastAsia="es-CO"/>
        </w:rPr>
        <w:t xml:space="preserve">y los particulares que desempeñen funciones públicas o presten servicios públicos o administren, a cualquier título, bienes o recursos públicos. </w:t>
      </w:r>
      <w:r w:rsidRPr="00287B9E">
        <w:rPr>
          <w:rFonts w:ascii="Arial" w:eastAsia="Times New Roman" w:hAnsi="Arial" w:cs="Arial"/>
          <w:color w:val="000000" w:themeColor="text1"/>
          <w:sz w:val="21"/>
          <w:szCs w:val="21"/>
          <w:lang w:val="es-CO" w:eastAsia="es-CO"/>
        </w:rPr>
        <w:t xml:space="preserve">(Cursiva fuera del original). </w:t>
      </w:r>
    </w:p>
    <w:p w14:paraId="7E91BDD2" w14:textId="77777777" w:rsidR="004C119B" w:rsidRPr="00287B9E" w:rsidRDefault="004C119B" w:rsidP="00E61377">
      <w:pPr>
        <w:pStyle w:val="Sinespaciado"/>
        <w:spacing w:before="120" w:after="120"/>
        <w:ind w:firstLine="708"/>
        <w:contextualSpacing/>
        <w:jc w:val="both"/>
        <w:rPr>
          <w:rFonts w:ascii="Arial" w:hAnsi="Arial" w:cs="Arial"/>
          <w:iCs/>
          <w:color w:val="000000" w:themeColor="text1"/>
          <w:sz w:val="22"/>
        </w:rPr>
      </w:pPr>
    </w:p>
    <w:p w14:paraId="136C6C76" w14:textId="1C924B6D" w:rsidR="004C119B" w:rsidRPr="00287B9E" w:rsidRDefault="00E61377" w:rsidP="00E61377">
      <w:pPr>
        <w:pStyle w:val="Sinespaciado"/>
        <w:spacing w:before="120" w:after="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Como se advierte</w:t>
      </w:r>
      <w:r w:rsidR="00C45229" w:rsidRPr="00287B9E">
        <w:rPr>
          <w:rFonts w:ascii="Arial" w:hAnsi="Arial" w:cs="Arial"/>
          <w:iCs/>
          <w:color w:val="000000" w:themeColor="text1"/>
          <w:sz w:val="22"/>
        </w:rPr>
        <w:t>,</w:t>
      </w:r>
      <w:r w:rsidRPr="00287B9E">
        <w:rPr>
          <w:rFonts w:ascii="Arial" w:hAnsi="Arial" w:cs="Arial"/>
          <w:iCs/>
          <w:color w:val="000000" w:themeColor="text1"/>
          <w:sz w:val="22"/>
        </w:rPr>
        <w:t xml:space="preserv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w:t>
      </w:r>
    </w:p>
    <w:p w14:paraId="5DD252AE" w14:textId="3EFB5506" w:rsidR="000036A8" w:rsidRPr="00287B9E" w:rsidRDefault="00E61377" w:rsidP="00E61377">
      <w:pPr>
        <w:pStyle w:val="Sinespaciado"/>
        <w:spacing w:before="120" w:after="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 xml:space="preserve">vi) Finalmente, expuesto el sentido y la forma en </w:t>
      </w:r>
      <w:r w:rsidR="00C64F99" w:rsidRPr="00287B9E">
        <w:rPr>
          <w:rFonts w:ascii="Arial" w:hAnsi="Arial" w:cs="Arial"/>
          <w:iCs/>
          <w:color w:val="000000" w:themeColor="text1"/>
          <w:sz w:val="22"/>
        </w:rPr>
        <w:t xml:space="preserve">la </w:t>
      </w:r>
      <w:r w:rsidRPr="00287B9E">
        <w:rPr>
          <w:rFonts w:ascii="Arial" w:hAnsi="Arial" w:cs="Arial"/>
          <w:iCs/>
          <w:color w:val="000000" w:themeColor="text1"/>
          <w:sz w:val="22"/>
        </w:rPr>
        <w:t xml:space="preserve">que se debe entender el literal g), </w:t>
      </w:r>
      <w:r w:rsidR="00C64F99" w:rsidRPr="00287B9E">
        <w:rPr>
          <w:rFonts w:ascii="Arial" w:hAnsi="Arial" w:cs="Arial"/>
          <w:iCs/>
          <w:color w:val="000000" w:themeColor="text1"/>
          <w:sz w:val="22"/>
        </w:rPr>
        <w:t>se</w:t>
      </w:r>
      <w:r w:rsidRPr="00287B9E">
        <w:rPr>
          <w:rFonts w:ascii="Arial" w:hAnsi="Arial" w:cs="Arial"/>
          <w:iCs/>
          <w:color w:val="000000" w:themeColor="text1"/>
          <w:sz w:val="22"/>
        </w:rPr>
        <w:t xml:space="preserve"> aclara que</w:t>
      </w:r>
      <w:r w:rsidR="00C64F99" w:rsidRPr="00287B9E">
        <w:rPr>
          <w:rFonts w:ascii="Arial" w:hAnsi="Arial" w:cs="Arial"/>
          <w:iCs/>
          <w:color w:val="000000" w:themeColor="text1"/>
          <w:sz w:val="22"/>
        </w:rPr>
        <w:t>,</w:t>
      </w:r>
      <w:r w:rsidRPr="00287B9E">
        <w:rPr>
          <w:rFonts w:ascii="Arial" w:hAnsi="Arial" w:cs="Arial"/>
          <w:iCs/>
          <w:color w:val="000000" w:themeColor="text1"/>
          <w:sz w:val="22"/>
        </w:rPr>
        <w:t xml:space="preserve"> por regla general</w:t>
      </w:r>
      <w:r w:rsidR="00C64F99" w:rsidRPr="00287B9E">
        <w:rPr>
          <w:rFonts w:ascii="Arial" w:hAnsi="Arial" w:cs="Arial"/>
          <w:iCs/>
          <w:color w:val="000000" w:themeColor="text1"/>
          <w:sz w:val="22"/>
        </w:rPr>
        <w:t>,</w:t>
      </w:r>
      <w:r w:rsidRPr="00287B9E">
        <w:rPr>
          <w:rFonts w:ascii="Arial" w:hAnsi="Arial" w:cs="Arial"/>
          <w:iCs/>
          <w:color w:val="000000" w:themeColor="text1"/>
          <w:sz w:val="22"/>
        </w:rPr>
        <w:t xml:space="preserve"> los contratistas del Estado no administran recursos públicos y son excepcionales los supuestos en que </w:t>
      </w:r>
      <w:r w:rsidR="000036A8" w:rsidRPr="00287B9E">
        <w:rPr>
          <w:rFonts w:ascii="Arial" w:hAnsi="Arial" w:cs="Arial"/>
          <w:iCs/>
          <w:color w:val="000000" w:themeColor="text1"/>
          <w:sz w:val="22"/>
        </w:rPr>
        <w:t>lo hacen</w:t>
      </w:r>
      <w:r w:rsidRPr="00287B9E">
        <w:rPr>
          <w:rFonts w:ascii="Arial" w:hAnsi="Arial" w:cs="Arial"/>
          <w:iCs/>
          <w:color w:val="000000" w:themeColor="text1"/>
          <w:sz w:val="22"/>
        </w:rPr>
        <w:t>. En efecto, este aspecto ha sido estudiado en términos generales por la doctrina</w:t>
      </w:r>
      <w:r w:rsidR="000036A8" w:rsidRPr="00287B9E">
        <w:rPr>
          <w:rFonts w:ascii="Arial" w:hAnsi="Arial" w:cs="Arial"/>
          <w:iCs/>
          <w:color w:val="000000" w:themeColor="text1"/>
          <w:sz w:val="22"/>
        </w:rPr>
        <w:t>,</w:t>
      </w:r>
      <w:r w:rsidRPr="00287B9E">
        <w:rPr>
          <w:rFonts w:ascii="Arial" w:hAnsi="Arial" w:cs="Arial"/>
          <w:iCs/>
          <w:color w:val="000000" w:themeColor="text1"/>
          <w:sz w:val="22"/>
        </w:rPr>
        <w:t xml:space="preserve"> para determinar si los contratistas del Estado son responsables fiscalmente, ya que la administración de recursos públicos es uno de los supuestos que contiene la Ley 610 de 2000 para </w:t>
      </w:r>
      <w:r w:rsidR="007F216D" w:rsidRPr="00287B9E">
        <w:rPr>
          <w:rFonts w:ascii="Arial" w:hAnsi="Arial" w:cs="Arial"/>
          <w:iCs/>
          <w:color w:val="000000" w:themeColor="text1"/>
          <w:sz w:val="22"/>
        </w:rPr>
        <w:t xml:space="preserve">considerar que un particular es </w:t>
      </w:r>
      <w:r w:rsidR="00C64F99" w:rsidRPr="00287B9E">
        <w:rPr>
          <w:rFonts w:ascii="Arial" w:hAnsi="Arial" w:cs="Arial"/>
          <w:iCs/>
          <w:color w:val="000000" w:themeColor="text1"/>
          <w:sz w:val="22"/>
        </w:rPr>
        <w:t>un sujeto pasivo</w:t>
      </w:r>
      <w:r w:rsidR="007F216D" w:rsidRPr="00287B9E">
        <w:rPr>
          <w:rFonts w:ascii="Arial" w:hAnsi="Arial" w:cs="Arial"/>
          <w:iCs/>
          <w:color w:val="000000" w:themeColor="text1"/>
          <w:sz w:val="22"/>
        </w:rPr>
        <w:t xml:space="preserve"> de este tipo de responsabilidad. En efecto, los particulares </w:t>
      </w:r>
      <w:r w:rsidR="00C64F99" w:rsidRPr="00287B9E">
        <w:rPr>
          <w:rFonts w:ascii="Arial" w:hAnsi="Arial" w:cs="Arial"/>
          <w:iCs/>
          <w:color w:val="000000" w:themeColor="text1"/>
          <w:sz w:val="22"/>
        </w:rPr>
        <w:t>son</w:t>
      </w:r>
      <w:r w:rsidR="007F216D" w:rsidRPr="00287B9E">
        <w:rPr>
          <w:rFonts w:ascii="Arial" w:hAnsi="Arial" w:cs="Arial"/>
          <w:iCs/>
          <w:color w:val="000000" w:themeColor="text1"/>
          <w:sz w:val="22"/>
        </w:rPr>
        <w:t xml:space="preserve"> responsable</w:t>
      </w:r>
      <w:r w:rsidR="000036A8" w:rsidRPr="00287B9E">
        <w:rPr>
          <w:rFonts w:ascii="Arial" w:hAnsi="Arial" w:cs="Arial"/>
          <w:iCs/>
          <w:color w:val="000000" w:themeColor="text1"/>
          <w:sz w:val="22"/>
        </w:rPr>
        <w:t>s</w:t>
      </w:r>
      <w:r w:rsidR="007F216D" w:rsidRPr="00287B9E">
        <w:rPr>
          <w:rFonts w:ascii="Arial" w:hAnsi="Arial" w:cs="Arial"/>
          <w:iCs/>
          <w:color w:val="000000" w:themeColor="text1"/>
          <w:sz w:val="22"/>
        </w:rPr>
        <w:t xml:space="preserve"> fiscalmente</w:t>
      </w:r>
      <w:r w:rsidR="000036A8" w:rsidRPr="00287B9E">
        <w:rPr>
          <w:rFonts w:ascii="Arial" w:hAnsi="Arial" w:cs="Arial"/>
          <w:iCs/>
          <w:color w:val="000000" w:themeColor="text1"/>
          <w:sz w:val="22"/>
        </w:rPr>
        <w:t>, entre otros eventos,</w:t>
      </w:r>
      <w:r w:rsidR="007F216D" w:rsidRPr="00287B9E">
        <w:rPr>
          <w:rFonts w:ascii="Arial" w:hAnsi="Arial" w:cs="Arial"/>
          <w:iCs/>
          <w:color w:val="000000" w:themeColor="text1"/>
          <w:sz w:val="22"/>
        </w:rPr>
        <w:t xml:space="preserve"> cuando «manejen o administren recursos o fondos públicos»</w:t>
      </w:r>
      <w:r w:rsidR="000036A8" w:rsidRPr="00287B9E">
        <w:rPr>
          <w:rFonts w:ascii="Arial" w:hAnsi="Arial" w:cs="Arial"/>
          <w:iCs/>
          <w:color w:val="000000" w:themeColor="text1"/>
          <w:sz w:val="22"/>
        </w:rPr>
        <w:t xml:space="preserve"> ―art. 1 y 3―. En relación </w:t>
      </w:r>
      <w:r w:rsidR="00C64F99" w:rsidRPr="00287B9E">
        <w:rPr>
          <w:rFonts w:ascii="Arial" w:hAnsi="Arial" w:cs="Arial"/>
          <w:iCs/>
          <w:color w:val="000000" w:themeColor="text1"/>
          <w:sz w:val="22"/>
        </w:rPr>
        <w:t>el tema</w:t>
      </w:r>
      <w:r w:rsidR="000036A8" w:rsidRPr="00287B9E">
        <w:rPr>
          <w:rFonts w:ascii="Arial" w:hAnsi="Arial" w:cs="Arial"/>
          <w:iCs/>
          <w:color w:val="000000" w:themeColor="text1"/>
          <w:sz w:val="22"/>
        </w:rPr>
        <w:t xml:space="preserve"> DÁVILA VINUEZA expresa:</w:t>
      </w:r>
    </w:p>
    <w:p w14:paraId="61463A47" w14:textId="77777777" w:rsidR="000036A8" w:rsidRPr="00287B9E" w:rsidRDefault="000036A8" w:rsidP="000036A8">
      <w:pPr>
        <w:pStyle w:val="Sinespaciado"/>
        <w:spacing w:line="276" w:lineRule="auto"/>
        <w:ind w:firstLine="708"/>
        <w:contextualSpacing/>
        <w:jc w:val="both"/>
        <w:rPr>
          <w:rFonts w:ascii="Arial" w:hAnsi="Arial" w:cs="Arial"/>
          <w:iCs/>
          <w:color w:val="000000" w:themeColor="text1"/>
          <w:sz w:val="22"/>
        </w:rPr>
      </w:pPr>
    </w:p>
    <w:p w14:paraId="143F8082" w14:textId="237AF39A" w:rsidR="00EA28A5" w:rsidRPr="00287B9E"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que aunque no estén encargados propiamente de una función pública, sí pueden manejar recursos estatales.</w:t>
      </w:r>
    </w:p>
    <w:p w14:paraId="6331BB4A" w14:textId="71B2951C" w:rsidR="00EA28A5" w:rsidRPr="00287B9E" w:rsidRDefault="00EA28A5" w:rsidP="000036A8">
      <w:pPr>
        <w:ind w:left="709" w:right="709"/>
        <w:contextualSpacing/>
        <w:jc w:val="both"/>
        <w:rPr>
          <w:rFonts w:ascii="Arial" w:eastAsia="Times New Roman" w:hAnsi="Arial" w:cs="Arial"/>
          <w:color w:val="000000" w:themeColor="text1"/>
          <w:sz w:val="21"/>
          <w:szCs w:val="21"/>
          <w:lang w:val="es-CO" w:eastAsia="es-CO"/>
        </w:rPr>
      </w:pPr>
    </w:p>
    <w:p w14:paraId="6B0F3806" w14:textId="3513B6A0" w:rsidR="000036A8" w:rsidRPr="00287B9E" w:rsidRDefault="000036A8" w:rsidP="000036A8">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 xml:space="preserve">Dado dicho presupuesto como constitutivo de la responsabilidad fiscal, </w:t>
      </w:r>
      <w:r w:rsidRPr="00287B9E">
        <w:rPr>
          <w:rFonts w:ascii="Arial" w:eastAsia="Times New Roman" w:hAnsi="Arial" w:cs="Arial"/>
          <w:i/>
          <w:iCs/>
          <w:color w:val="000000" w:themeColor="text1"/>
          <w:sz w:val="21"/>
          <w:szCs w:val="21"/>
          <w:lang w:val="es-CO" w:eastAsia="es-CO"/>
        </w:rPr>
        <w:t>la vinculación del contratista es excepcional en cuanto extraño es que administre recursos públicos, así ocurre, por ejemplo, cuando recibe anticipos o custodia peajes o tarifas que pagan los usuarios de la obra o servicio concesionado y que deben ser entregados, en todo o parte, a la entidad</w:t>
      </w:r>
      <w:r w:rsidRPr="00287B9E">
        <w:rPr>
          <w:rFonts w:ascii="Arial" w:eastAsia="Times New Roman" w:hAnsi="Arial" w:cs="Arial"/>
          <w:color w:val="000000" w:themeColor="text1"/>
          <w:sz w:val="21"/>
          <w:szCs w:val="21"/>
          <w:lang w:val="es-CO" w:eastAsia="es-CO"/>
        </w:rPr>
        <w:t>.</w:t>
      </w:r>
    </w:p>
    <w:p w14:paraId="1FDCB904" w14:textId="77777777" w:rsidR="000036A8" w:rsidRPr="00287B9E" w:rsidRDefault="000036A8" w:rsidP="000036A8">
      <w:pPr>
        <w:ind w:left="709" w:right="709"/>
        <w:contextualSpacing/>
        <w:jc w:val="both"/>
        <w:rPr>
          <w:rFonts w:ascii="Arial" w:eastAsia="Times New Roman" w:hAnsi="Arial" w:cs="Arial"/>
          <w:color w:val="000000" w:themeColor="text1"/>
          <w:sz w:val="21"/>
          <w:szCs w:val="21"/>
          <w:lang w:val="es-CO" w:eastAsia="es-CO"/>
        </w:rPr>
      </w:pPr>
    </w:p>
    <w:p w14:paraId="5D25F547" w14:textId="7577F2D5" w:rsidR="00EA28A5" w:rsidRPr="00287B9E" w:rsidRDefault="00EA28A5" w:rsidP="000036A8">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 xml:space="preserve">Sobre el particular es preciso advertir que las sumas de dinero una vez salen del patrimonio estatal para ser recibidas por los contratistas como contraprestación de sus servicios o las que se le entregan a título de restablecimiento del equilibrio económico y financiero del contrato, en manera alguna encuadran dentro del concepto de manejo de recursos oficiales, lo que, </w:t>
      </w:r>
      <w:r w:rsidRPr="00287B9E">
        <w:rPr>
          <w:rFonts w:ascii="Arial" w:eastAsia="Times New Roman" w:hAnsi="Arial" w:cs="Arial"/>
          <w:color w:val="000000" w:themeColor="text1"/>
          <w:sz w:val="21"/>
          <w:szCs w:val="21"/>
          <w:lang w:val="es-CO" w:eastAsia="es-CO"/>
        </w:rPr>
        <w:lastRenderedPageBreak/>
        <w:t>en consecuencia, derivaría en la imposibilidad de perseguir fiscalmente por tales conceptos</w:t>
      </w:r>
      <w:r w:rsidR="000036A8" w:rsidRPr="00287B9E">
        <w:rPr>
          <w:rFonts w:ascii="Arial" w:eastAsia="Times New Roman" w:hAnsi="Arial" w:cs="Arial"/>
          <w:color w:val="000000" w:themeColor="text1"/>
          <w:sz w:val="21"/>
          <w:szCs w:val="21"/>
          <w:lang w:val="es-CO" w:eastAsia="es-CO"/>
        </w:rPr>
        <w:t xml:space="preserve"> […]</w:t>
      </w:r>
      <w:r w:rsidR="000036A8" w:rsidRPr="00287B9E">
        <w:rPr>
          <w:rStyle w:val="Refdenotaalpie"/>
          <w:rFonts w:ascii="Arial" w:eastAsia="Times New Roman" w:hAnsi="Arial" w:cs="Arial"/>
          <w:color w:val="000000" w:themeColor="text1"/>
          <w:sz w:val="21"/>
          <w:szCs w:val="21"/>
          <w:lang w:val="es-CO" w:eastAsia="es-CO"/>
        </w:rPr>
        <w:footnoteReference w:id="7"/>
      </w:r>
      <w:r w:rsidR="000036A8" w:rsidRPr="00287B9E">
        <w:rPr>
          <w:rFonts w:ascii="Arial" w:eastAsia="Times New Roman" w:hAnsi="Arial" w:cs="Arial"/>
          <w:color w:val="000000" w:themeColor="text1"/>
          <w:sz w:val="21"/>
          <w:szCs w:val="21"/>
          <w:lang w:val="es-CO" w:eastAsia="es-CO"/>
        </w:rPr>
        <w:t>.</w:t>
      </w:r>
    </w:p>
    <w:p w14:paraId="1C2BF5A1" w14:textId="466E2E8A" w:rsidR="00C539DC" w:rsidRPr="00287B9E" w:rsidRDefault="00C539DC" w:rsidP="000036A8">
      <w:pPr>
        <w:pStyle w:val="Sinespaciado"/>
        <w:spacing w:line="276" w:lineRule="auto"/>
        <w:contextualSpacing/>
        <w:jc w:val="both"/>
        <w:rPr>
          <w:rFonts w:ascii="Arial" w:hAnsi="Arial" w:cs="Arial"/>
          <w:iCs/>
          <w:color w:val="000000" w:themeColor="text1"/>
          <w:sz w:val="22"/>
        </w:rPr>
      </w:pPr>
    </w:p>
    <w:p w14:paraId="0BFC374F" w14:textId="6A7B799D" w:rsidR="000036A8" w:rsidRPr="00287B9E" w:rsidRDefault="000036A8" w:rsidP="00AD169E">
      <w:pPr>
        <w:pStyle w:val="Sinespaciado"/>
        <w:spacing w:before="120" w:after="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 xml:space="preserve">En efecto, en los contratos que normalmente celebra la </w:t>
      </w:r>
      <w:r w:rsidR="00C64F99" w:rsidRPr="00287B9E">
        <w:rPr>
          <w:rFonts w:ascii="Arial" w:hAnsi="Arial" w:cs="Arial"/>
          <w:iCs/>
          <w:color w:val="000000" w:themeColor="text1"/>
          <w:sz w:val="22"/>
        </w:rPr>
        <w:t>A</w:t>
      </w:r>
      <w:r w:rsidRPr="00287B9E">
        <w:rPr>
          <w:rFonts w:ascii="Arial" w:hAnsi="Arial" w:cs="Arial"/>
          <w:iCs/>
          <w:color w:val="000000" w:themeColor="text1"/>
          <w:sz w:val="22"/>
        </w:rPr>
        <w:t xml:space="preserve">dministración, el pago de la contraprestación, pese a que se realiza con </w:t>
      </w:r>
      <w:r w:rsidR="00AD169E" w:rsidRPr="00287B9E">
        <w:rPr>
          <w:rFonts w:ascii="Arial" w:hAnsi="Arial" w:cs="Arial"/>
          <w:iCs/>
          <w:color w:val="000000" w:themeColor="text1"/>
          <w:sz w:val="22"/>
        </w:rPr>
        <w:t>recursos</w:t>
      </w:r>
      <w:r w:rsidRPr="00287B9E">
        <w:rPr>
          <w:rFonts w:ascii="Arial" w:hAnsi="Arial" w:cs="Arial"/>
          <w:iCs/>
          <w:color w:val="000000" w:themeColor="text1"/>
          <w:sz w:val="22"/>
        </w:rPr>
        <w:t xml:space="preserve"> públicos, no implica que el contrato involucre la administración de </w:t>
      </w:r>
      <w:r w:rsidR="00C64F99" w:rsidRPr="00287B9E">
        <w:rPr>
          <w:rFonts w:ascii="Arial" w:hAnsi="Arial" w:cs="Arial"/>
          <w:iCs/>
          <w:color w:val="000000" w:themeColor="text1"/>
          <w:sz w:val="22"/>
        </w:rPr>
        <w:t xml:space="preserve">dichos </w:t>
      </w:r>
      <w:r w:rsidR="00AD169E" w:rsidRPr="00287B9E">
        <w:rPr>
          <w:rFonts w:ascii="Arial" w:hAnsi="Arial" w:cs="Arial"/>
          <w:iCs/>
          <w:color w:val="000000" w:themeColor="text1"/>
          <w:sz w:val="22"/>
        </w:rPr>
        <w:t>recursos</w:t>
      </w:r>
      <w:r w:rsidRPr="00287B9E">
        <w:rPr>
          <w:rFonts w:ascii="Arial" w:hAnsi="Arial" w:cs="Arial"/>
          <w:iCs/>
          <w:color w:val="000000" w:themeColor="text1"/>
          <w:sz w:val="22"/>
        </w:rPr>
        <w:t xml:space="preserve">, toda vez que </w:t>
      </w:r>
      <w:r w:rsidR="0098631A" w:rsidRPr="00287B9E">
        <w:rPr>
          <w:rFonts w:ascii="Arial" w:hAnsi="Arial" w:cs="Arial"/>
          <w:iCs/>
          <w:color w:val="000000" w:themeColor="text1"/>
          <w:sz w:val="22"/>
        </w:rPr>
        <w:t xml:space="preserve">el valor pagado por la Administración es la </w:t>
      </w:r>
      <w:r w:rsidR="00AD169E" w:rsidRPr="00287B9E">
        <w:rPr>
          <w:rFonts w:ascii="Arial" w:hAnsi="Arial" w:cs="Arial"/>
          <w:iCs/>
          <w:color w:val="000000" w:themeColor="text1"/>
          <w:sz w:val="22"/>
        </w:rPr>
        <w:t xml:space="preserve">contraprestación </w:t>
      </w:r>
      <w:r w:rsidR="0098631A" w:rsidRPr="00287B9E">
        <w:rPr>
          <w:rFonts w:ascii="Arial" w:hAnsi="Arial" w:cs="Arial"/>
          <w:iCs/>
          <w:color w:val="000000" w:themeColor="text1"/>
          <w:sz w:val="22"/>
        </w:rPr>
        <w:t>normal por la</w:t>
      </w:r>
      <w:r w:rsidR="00C45229" w:rsidRPr="00287B9E">
        <w:rPr>
          <w:rFonts w:ascii="Arial" w:hAnsi="Arial" w:cs="Arial"/>
          <w:iCs/>
          <w:color w:val="000000" w:themeColor="text1"/>
          <w:sz w:val="22"/>
        </w:rPr>
        <w:t>s</w:t>
      </w:r>
      <w:r w:rsidR="0098631A" w:rsidRPr="00287B9E">
        <w:rPr>
          <w:rFonts w:ascii="Arial" w:hAnsi="Arial" w:cs="Arial"/>
          <w:iCs/>
          <w:color w:val="000000" w:themeColor="text1"/>
          <w:sz w:val="22"/>
        </w:rPr>
        <w:t xml:space="preserve"> obligaciones cumplidas por el particular en favor de aquella</w:t>
      </w:r>
      <w:r w:rsidR="00C64F99" w:rsidRPr="00287B9E">
        <w:rPr>
          <w:rFonts w:ascii="Arial" w:hAnsi="Arial" w:cs="Arial"/>
          <w:iCs/>
          <w:color w:val="000000" w:themeColor="text1"/>
          <w:sz w:val="22"/>
        </w:rPr>
        <w:t>,</w:t>
      </w:r>
      <w:r w:rsidR="0098631A" w:rsidRPr="00287B9E">
        <w:rPr>
          <w:rFonts w:ascii="Arial" w:hAnsi="Arial" w:cs="Arial"/>
          <w:iCs/>
          <w:color w:val="000000" w:themeColor="text1"/>
          <w:sz w:val="22"/>
        </w:rPr>
        <w:t xml:space="preserve"> y una vez recibido el pago dichos recursos </w:t>
      </w:r>
      <w:r w:rsidR="00C64F99" w:rsidRPr="00287B9E">
        <w:rPr>
          <w:rFonts w:ascii="Arial" w:hAnsi="Arial" w:cs="Arial"/>
          <w:iCs/>
          <w:color w:val="000000" w:themeColor="text1"/>
          <w:sz w:val="22"/>
        </w:rPr>
        <w:t>forman parte del</w:t>
      </w:r>
      <w:r w:rsidR="0098631A" w:rsidRPr="00287B9E">
        <w:rPr>
          <w:rFonts w:ascii="Arial" w:hAnsi="Arial" w:cs="Arial"/>
          <w:iCs/>
          <w:color w:val="000000" w:themeColor="text1"/>
          <w:sz w:val="22"/>
        </w:rPr>
        <w:t xml:space="preserve"> patrimonio del particular, por lo que dejan de ser recursos públicos y el contratista puede disponer de ellos libremente.</w:t>
      </w:r>
    </w:p>
    <w:p w14:paraId="0D74BC0F" w14:textId="4F9027A6" w:rsidR="00C539DC" w:rsidRPr="00287B9E" w:rsidRDefault="00AD169E" w:rsidP="009D2478">
      <w:pPr>
        <w:pStyle w:val="Sinespaciado"/>
        <w:spacing w:before="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 xml:space="preserve">En conclusión, los contratistas que se encuentran dentro del ámbito de aplicación de la Ley 2013 de 2019 son los que </w:t>
      </w:r>
      <w:r w:rsidR="0089370A" w:rsidRPr="00287B9E">
        <w:rPr>
          <w:rFonts w:ascii="Arial" w:hAnsi="Arial" w:cs="Arial"/>
          <w:iCs/>
          <w:color w:val="000000" w:themeColor="text1"/>
          <w:sz w:val="22"/>
        </w:rPr>
        <w:t xml:space="preserve">ejercen </w:t>
      </w:r>
      <w:r w:rsidRPr="00287B9E">
        <w:rPr>
          <w:rFonts w:ascii="Arial" w:hAnsi="Arial" w:cs="Arial"/>
          <w:iCs/>
          <w:color w:val="000000" w:themeColor="text1"/>
          <w:sz w:val="22"/>
        </w:rPr>
        <w:t>función pública, presente</w:t>
      </w:r>
      <w:r w:rsidR="00A91D8B" w:rsidRPr="00287B9E">
        <w:rPr>
          <w:rFonts w:ascii="Arial" w:hAnsi="Arial" w:cs="Arial"/>
          <w:iCs/>
          <w:color w:val="000000" w:themeColor="text1"/>
          <w:sz w:val="22"/>
        </w:rPr>
        <w:t>n</w:t>
      </w:r>
      <w:r w:rsidRPr="00287B9E">
        <w:rPr>
          <w:rFonts w:ascii="Arial" w:hAnsi="Arial" w:cs="Arial"/>
          <w:iCs/>
          <w:color w:val="000000" w:themeColor="text1"/>
          <w:sz w:val="22"/>
        </w:rPr>
        <w:t xml:space="preserve"> servicios públicos o administren bienes y recursos públicos. Teniendo en cuenta lo anterior, solo cuando el contrato implique el ejercicio de alguna de las actividades anteriores, se considerará </w:t>
      </w:r>
      <w:r w:rsidR="00C64F99" w:rsidRPr="00287B9E">
        <w:rPr>
          <w:rFonts w:ascii="Arial" w:hAnsi="Arial" w:cs="Arial"/>
          <w:iCs/>
          <w:color w:val="000000" w:themeColor="text1"/>
          <w:sz w:val="22"/>
        </w:rPr>
        <w:t>vinculado</w:t>
      </w:r>
      <w:r w:rsidRPr="00287B9E">
        <w:rPr>
          <w:rFonts w:ascii="Arial" w:hAnsi="Arial" w:cs="Arial"/>
          <w:iCs/>
          <w:color w:val="000000" w:themeColor="text1"/>
          <w:sz w:val="22"/>
        </w:rPr>
        <w:t xml:space="preserve"> a las obligaciones contenidas en dicha ley. Además, </w:t>
      </w:r>
      <w:r w:rsidR="00C45229" w:rsidRPr="00287B9E">
        <w:rPr>
          <w:rFonts w:ascii="Arial" w:hAnsi="Arial" w:cs="Arial"/>
          <w:iCs/>
          <w:color w:val="000000" w:themeColor="text1"/>
          <w:sz w:val="22"/>
        </w:rPr>
        <w:t>considerando</w:t>
      </w:r>
      <w:r w:rsidRPr="00287B9E">
        <w:rPr>
          <w:rFonts w:ascii="Arial" w:hAnsi="Arial" w:cs="Arial"/>
          <w:iCs/>
          <w:color w:val="000000" w:themeColor="text1"/>
          <w:sz w:val="22"/>
        </w:rPr>
        <w:t xml:space="preserve"> que en la mayoría de los casos esto no ocurre, estos no están sujetos a la Ley 2013 de 2019; sin embargo, en cada contrato en particular se deberá analizar la realización de alguna de las actividades</w:t>
      </w:r>
      <w:r w:rsidR="00A91D8B" w:rsidRPr="00287B9E">
        <w:rPr>
          <w:rFonts w:ascii="Arial" w:hAnsi="Arial" w:cs="Arial"/>
          <w:iCs/>
          <w:color w:val="000000" w:themeColor="text1"/>
          <w:sz w:val="22"/>
        </w:rPr>
        <w:t xml:space="preserve"> indicadas</w:t>
      </w:r>
      <w:r w:rsidRPr="00287B9E">
        <w:rPr>
          <w:rFonts w:ascii="Arial" w:hAnsi="Arial" w:cs="Arial"/>
          <w:iCs/>
          <w:color w:val="000000" w:themeColor="text1"/>
          <w:sz w:val="22"/>
        </w:rPr>
        <w:t xml:space="preserve">, conforme a las </w:t>
      </w:r>
      <w:r w:rsidR="000661EF" w:rsidRPr="00287B9E">
        <w:rPr>
          <w:rFonts w:ascii="Arial" w:hAnsi="Arial" w:cs="Arial"/>
          <w:iCs/>
          <w:color w:val="000000" w:themeColor="text1"/>
          <w:sz w:val="22"/>
        </w:rPr>
        <w:t>consideraciones</w:t>
      </w:r>
      <w:r w:rsidRPr="00287B9E">
        <w:rPr>
          <w:rFonts w:ascii="Arial" w:hAnsi="Arial" w:cs="Arial"/>
          <w:iCs/>
          <w:color w:val="000000" w:themeColor="text1"/>
          <w:sz w:val="22"/>
        </w:rPr>
        <w:t xml:space="preserve"> señaladas en este concepto, </w:t>
      </w:r>
      <w:r w:rsidR="000661EF" w:rsidRPr="00287B9E">
        <w:rPr>
          <w:rFonts w:ascii="Arial" w:hAnsi="Arial" w:cs="Arial"/>
          <w:iCs/>
          <w:color w:val="000000" w:themeColor="text1"/>
          <w:sz w:val="22"/>
        </w:rPr>
        <w:t xml:space="preserve">para definir la aplicación o no de </w:t>
      </w:r>
      <w:r w:rsidR="00A91D8B" w:rsidRPr="00287B9E">
        <w:rPr>
          <w:rFonts w:ascii="Arial" w:hAnsi="Arial" w:cs="Arial"/>
          <w:iCs/>
          <w:color w:val="000000" w:themeColor="text1"/>
          <w:sz w:val="22"/>
        </w:rPr>
        <w:t>las obligaciones contenidas en dicha ley</w:t>
      </w:r>
      <w:r w:rsidR="000661EF" w:rsidRPr="00287B9E">
        <w:rPr>
          <w:rFonts w:ascii="Arial" w:hAnsi="Arial" w:cs="Arial"/>
          <w:iCs/>
          <w:color w:val="000000" w:themeColor="text1"/>
          <w:sz w:val="22"/>
        </w:rPr>
        <w:t>.</w:t>
      </w:r>
    </w:p>
    <w:p w14:paraId="03E6C242" w14:textId="2B92B9E8" w:rsidR="00A666C9" w:rsidRPr="00287B9E" w:rsidRDefault="00A666C9" w:rsidP="00A666C9">
      <w:pPr>
        <w:pStyle w:val="Sinespaciado"/>
        <w:spacing w:line="276" w:lineRule="auto"/>
        <w:ind w:firstLine="709"/>
        <w:jc w:val="both"/>
        <w:rPr>
          <w:rFonts w:ascii="Arial" w:hAnsi="Arial" w:cs="Arial"/>
          <w:iCs/>
          <w:color w:val="000000" w:themeColor="text1"/>
          <w:sz w:val="22"/>
        </w:rPr>
      </w:pPr>
    </w:p>
    <w:p w14:paraId="5E49C5E3" w14:textId="7FCF5535" w:rsidR="00A666C9" w:rsidRPr="00287B9E" w:rsidRDefault="00A666C9" w:rsidP="00A666C9">
      <w:pPr>
        <w:contextualSpacing/>
        <w:jc w:val="both"/>
        <w:rPr>
          <w:rFonts w:ascii="Arial" w:hAnsi="Arial" w:cs="Arial"/>
          <w:b/>
          <w:bCs/>
          <w:color w:val="000000" w:themeColor="text1"/>
          <w:sz w:val="22"/>
          <w:lang w:val="es-ES"/>
        </w:rPr>
      </w:pPr>
      <w:r w:rsidRPr="00287B9E">
        <w:rPr>
          <w:rFonts w:ascii="Arial" w:hAnsi="Arial" w:cs="Arial"/>
          <w:b/>
          <w:bCs/>
          <w:color w:val="000000" w:themeColor="text1"/>
          <w:sz w:val="22"/>
          <w:lang w:val="es-ES"/>
        </w:rPr>
        <w:t xml:space="preserve">2.2. </w:t>
      </w:r>
      <w:r w:rsidR="00B8079C" w:rsidRPr="00287B9E">
        <w:rPr>
          <w:rFonts w:ascii="Arial" w:hAnsi="Arial" w:cs="Arial"/>
          <w:b/>
          <w:bCs/>
          <w:color w:val="000000" w:themeColor="text1"/>
          <w:sz w:val="22"/>
          <w:lang w:val="es-ES"/>
        </w:rPr>
        <w:t>Oportunidad para el c</w:t>
      </w:r>
      <w:r w:rsidRPr="00287B9E">
        <w:rPr>
          <w:rFonts w:ascii="Arial" w:hAnsi="Arial" w:cs="Arial"/>
          <w:b/>
          <w:bCs/>
          <w:color w:val="000000" w:themeColor="text1"/>
          <w:sz w:val="22"/>
          <w:lang w:val="es-ES"/>
        </w:rPr>
        <w:t xml:space="preserve">umplimiento de las obligaciones de publicidad </w:t>
      </w:r>
    </w:p>
    <w:p w14:paraId="6BBB4294" w14:textId="09F61889" w:rsidR="00A666C9" w:rsidRPr="00287B9E" w:rsidRDefault="00A666C9" w:rsidP="00344907">
      <w:pPr>
        <w:spacing w:line="276" w:lineRule="auto"/>
        <w:contextualSpacing/>
        <w:jc w:val="both"/>
        <w:rPr>
          <w:rFonts w:ascii="Arial" w:hAnsi="Arial" w:cs="Arial"/>
          <w:b/>
          <w:bCs/>
          <w:color w:val="000000" w:themeColor="text1"/>
          <w:sz w:val="22"/>
          <w:lang w:val="es-ES"/>
        </w:rPr>
      </w:pPr>
    </w:p>
    <w:p w14:paraId="4118017B" w14:textId="6F76C041" w:rsidR="00A666C9" w:rsidRPr="00287B9E" w:rsidRDefault="00A666C9" w:rsidP="00344907">
      <w:pPr>
        <w:spacing w:line="276" w:lineRule="auto"/>
        <w:contextualSpacing/>
        <w:jc w:val="both"/>
        <w:rPr>
          <w:rFonts w:ascii="Arial" w:hAnsi="Arial" w:cs="Arial"/>
          <w:color w:val="000000" w:themeColor="text1"/>
          <w:sz w:val="22"/>
          <w:lang w:val="es-ES"/>
        </w:rPr>
      </w:pPr>
      <w:r w:rsidRPr="00287B9E">
        <w:rPr>
          <w:rFonts w:ascii="Arial" w:hAnsi="Arial" w:cs="Arial"/>
          <w:color w:val="000000" w:themeColor="text1"/>
          <w:sz w:val="22"/>
          <w:lang w:val="es-ES"/>
        </w:rPr>
        <w:t>En los casos en que excepcionalmente</w:t>
      </w:r>
      <w:r w:rsidR="00344907" w:rsidRPr="00287B9E">
        <w:rPr>
          <w:rFonts w:ascii="Arial" w:hAnsi="Arial" w:cs="Arial"/>
          <w:color w:val="000000" w:themeColor="text1"/>
          <w:sz w:val="22"/>
          <w:lang w:val="es-ES"/>
        </w:rPr>
        <w:t xml:space="preserve"> aplique la Ley 2013 de 2019</w:t>
      </w:r>
      <w:r w:rsidR="002E38EA" w:rsidRPr="00287B9E">
        <w:rPr>
          <w:rFonts w:ascii="Arial" w:hAnsi="Arial" w:cs="Arial"/>
          <w:color w:val="000000" w:themeColor="text1"/>
          <w:sz w:val="22"/>
          <w:lang w:val="es-ES"/>
        </w:rPr>
        <w:t xml:space="preserve"> a un proceso contractual,</w:t>
      </w:r>
      <w:r w:rsidR="00344907" w:rsidRPr="00287B9E">
        <w:rPr>
          <w:rFonts w:ascii="Arial" w:hAnsi="Arial" w:cs="Arial"/>
          <w:color w:val="000000" w:themeColor="text1"/>
          <w:sz w:val="22"/>
          <w:lang w:val="es-ES"/>
        </w:rPr>
        <w:t xml:space="preserve"> por implicar el objeto </w:t>
      </w:r>
      <w:r w:rsidR="002E38EA" w:rsidRPr="00287B9E">
        <w:rPr>
          <w:rFonts w:ascii="Arial" w:hAnsi="Arial" w:cs="Arial"/>
          <w:color w:val="000000" w:themeColor="text1"/>
          <w:sz w:val="22"/>
          <w:lang w:val="es-ES"/>
        </w:rPr>
        <w:t xml:space="preserve">del contrato el ejercicio de </w:t>
      </w:r>
      <w:r w:rsidR="002E38EA" w:rsidRPr="00287B9E">
        <w:rPr>
          <w:rFonts w:ascii="Arial" w:hAnsi="Arial" w:cs="Arial"/>
          <w:iCs/>
          <w:color w:val="000000" w:themeColor="text1"/>
          <w:sz w:val="22"/>
        </w:rPr>
        <w:t xml:space="preserve">función pública, prestación de servicios públicos o administración de bienes y recursos públicos, las obligaciones en materia de </w:t>
      </w:r>
      <w:r w:rsidR="001B72FE" w:rsidRPr="00287B9E">
        <w:rPr>
          <w:rFonts w:ascii="Arial" w:hAnsi="Arial" w:cs="Arial"/>
          <w:iCs/>
          <w:color w:val="000000" w:themeColor="text1"/>
          <w:sz w:val="22"/>
        </w:rPr>
        <w:t>publicidad</w:t>
      </w:r>
      <w:r w:rsidR="002E38EA" w:rsidRPr="00287B9E">
        <w:rPr>
          <w:rFonts w:ascii="Arial" w:hAnsi="Arial" w:cs="Arial"/>
          <w:iCs/>
          <w:color w:val="000000" w:themeColor="text1"/>
          <w:sz w:val="22"/>
        </w:rPr>
        <w:t xml:space="preserve"> se deben cumplir de conformidad con el parágrafo 1 del artículo </w:t>
      </w:r>
      <w:r w:rsidR="001B72FE" w:rsidRPr="00287B9E">
        <w:rPr>
          <w:rFonts w:ascii="Arial" w:hAnsi="Arial" w:cs="Arial"/>
          <w:iCs/>
          <w:color w:val="000000" w:themeColor="text1"/>
          <w:sz w:val="22"/>
        </w:rPr>
        <w:t xml:space="preserve">2 </w:t>
      </w:r>
      <w:r w:rsidR="002E38EA" w:rsidRPr="00287B9E">
        <w:rPr>
          <w:rFonts w:ascii="Arial" w:hAnsi="Arial" w:cs="Arial"/>
          <w:iCs/>
          <w:color w:val="000000" w:themeColor="text1"/>
          <w:sz w:val="22"/>
        </w:rPr>
        <w:t>de dicha ley, que establece:</w:t>
      </w:r>
    </w:p>
    <w:p w14:paraId="6E243ED1" w14:textId="7F3E305D" w:rsidR="00A666C9" w:rsidRPr="00287B9E" w:rsidRDefault="00A666C9" w:rsidP="002E38EA">
      <w:pPr>
        <w:pStyle w:val="Sinespaciado"/>
        <w:spacing w:line="276" w:lineRule="auto"/>
        <w:jc w:val="both"/>
        <w:rPr>
          <w:rFonts w:ascii="Arial" w:hAnsi="Arial" w:cs="Arial"/>
          <w:iCs/>
          <w:color w:val="000000" w:themeColor="text1"/>
          <w:sz w:val="22"/>
        </w:rPr>
      </w:pPr>
    </w:p>
    <w:p w14:paraId="0FD25E1E" w14:textId="48131CEB" w:rsidR="00A666C9" w:rsidRPr="00287B9E" w:rsidRDefault="00A666C9" w:rsidP="002E38EA">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 xml:space="preserve">Parágrafo 1º. La publicación de esta información será requisito para posesionarse, ejercer y retirarse del cargo. </w:t>
      </w:r>
      <w:r w:rsidRPr="00287B9E">
        <w:rPr>
          <w:rFonts w:ascii="Arial" w:eastAsia="Times New Roman" w:hAnsi="Arial" w:cs="Arial"/>
          <w:i/>
          <w:iCs/>
          <w:color w:val="000000" w:themeColor="text1"/>
          <w:sz w:val="21"/>
          <w:szCs w:val="21"/>
          <w:lang w:val="es-CO" w:eastAsia="es-CO"/>
        </w:rPr>
        <w:t>A quienes no aplica el ingreso y retiro del cargo, será requisito antes, durante y al término del ejercicio de la función pública, prestación de servicios públicos o administración de bienes o recursos públicos</w:t>
      </w:r>
      <w:r w:rsidRPr="00287B9E">
        <w:rPr>
          <w:rFonts w:ascii="Arial" w:eastAsia="Times New Roman" w:hAnsi="Arial" w:cs="Arial"/>
          <w:color w:val="000000" w:themeColor="text1"/>
          <w:sz w:val="21"/>
          <w:szCs w:val="21"/>
          <w:lang w:val="es-CO" w:eastAsia="es-CO"/>
        </w:rPr>
        <w:t>.</w:t>
      </w:r>
      <w:r w:rsidR="00984EBB" w:rsidRPr="00287B9E">
        <w:rPr>
          <w:rFonts w:ascii="Arial" w:eastAsia="Times New Roman" w:hAnsi="Arial" w:cs="Arial"/>
          <w:color w:val="000000" w:themeColor="text1"/>
          <w:sz w:val="21"/>
          <w:szCs w:val="21"/>
          <w:lang w:val="es-CO" w:eastAsia="es-CO"/>
        </w:rPr>
        <w:t xml:space="preserve"> (Cursiva fuera del original).</w:t>
      </w:r>
    </w:p>
    <w:p w14:paraId="2B32659D" w14:textId="4770F301" w:rsidR="002E38EA" w:rsidRPr="00287B9E" w:rsidRDefault="002E38EA" w:rsidP="00B8079C">
      <w:pPr>
        <w:spacing w:line="276" w:lineRule="auto"/>
        <w:ind w:left="708" w:right="709"/>
        <w:contextualSpacing/>
        <w:jc w:val="both"/>
        <w:rPr>
          <w:rFonts w:ascii="Arial" w:eastAsia="Times New Roman" w:hAnsi="Arial" w:cs="Arial"/>
          <w:color w:val="000000" w:themeColor="text1"/>
          <w:sz w:val="22"/>
          <w:lang w:val="es-CO" w:eastAsia="es-CO"/>
        </w:rPr>
      </w:pPr>
    </w:p>
    <w:p w14:paraId="50D3097C" w14:textId="424B8EBE" w:rsidR="0044301C" w:rsidRPr="00287B9E" w:rsidRDefault="00984EBB" w:rsidP="00B8079C">
      <w:pPr>
        <w:spacing w:after="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 xml:space="preserve">Como se observa, la segunda parte de la disposición sería </w:t>
      </w:r>
      <w:r w:rsidR="0044301C" w:rsidRPr="00287B9E">
        <w:rPr>
          <w:rFonts w:ascii="Arial" w:hAnsi="Arial" w:cs="Arial"/>
          <w:iCs/>
          <w:color w:val="000000" w:themeColor="text1"/>
          <w:sz w:val="22"/>
        </w:rPr>
        <w:t>la que</w:t>
      </w:r>
      <w:r w:rsidRPr="00287B9E">
        <w:rPr>
          <w:rFonts w:ascii="Arial" w:hAnsi="Arial" w:cs="Arial"/>
          <w:iCs/>
          <w:color w:val="000000" w:themeColor="text1"/>
          <w:sz w:val="22"/>
        </w:rPr>
        <w:t xml:space="preserve"> excepcionalmente aplica</w:t>
      </w:r>
      <w:r w:rsidR="0044301C" w:rsidRPr="00287B9E">
        <w:rPr>
          <w:rFonts w:ascii="Arial" w:hAnsi="Arial" w:cs="Arial"/>
          <w:iCs/>
          <w:color w:val="000000" w:themeColor="text1"/>
          <w:sz w:val="22"/>
        </w:rPr>
        <w:t>ría</w:t>
      </w:r>
      <w:r w:rsidRPr="00287B9E">
        <w:rPr>
          <w:rFonts w:ascii="Arial" w:hAnsi="Arial" w:cs="Arial"/>
          <w:iCs/>
          <w:color w:val="000000" w:themeColor="text1"/>
          <w:sz w:val="22"/>
        </w:rPr>
        <w:t xml:space="preserve"> a los contratistas del Estado. En tal sentido, </w:t>
      </w:r>
      <w:r w:rsidR="0044301C" w:rsidRPr="00287B9E">
        <w:rPr>
          <w:rFonts w:ascii="Arial" w:hAnsi="Arial" w:cs="Arial"/>
          <w:iCs/>
          <w:color w:val="000000" w:themeColor="text1"/>
          <w:sz w:val="22"/>
        </w:rPr>
        <w:t xml:space="preserve">en los casos en que </w:t>
      </w:r>
      <w:r w:rsidR="005556ED" w:rsidRPr="00287B9E">
        <w:rPr>
          <w:rFonts w:ascii="Arial" w:hAnsi="Arial" w:cs="Arial"/>
          <w:iCs/>
          <w:color w:val="000000" w:themeColor="text1"/>
          <w:sz w:val="22"/>
        </w:rPr>
        <w:t>estos</w:t>
      </w:r>
      <w:r w:rsidR="0044301C" w:rsidRPr="00287B9E">
        <w:rPr>
          <w:rFonts w:ascii="Arial" w:hAnsi="Arial" w:cs="Arial"/>
          <w:iCs/>
          <w:color w:val="000000" w:themeColor="text1"/>
          <w:sz w:val="22"/>
        </w:rPr>
        <w:t xml:space="preserve"> se seleccione</w:t>
      </w:r>
      <w:r w:rsidR="005556ED" w:rsidRPr="00287B9E">
        <w:rPr>
          <w:rFonts w:ascii="Arial" w:hAnsi="Arial" w:cs="Arial"/>
          <w:iCs/>
          <w:color w:val="000000" w:themeColor="text1"/>
          <w:sz w:val="22"/>
        </w:rPr>
        <w:t>n</w:t>
      </w:r>
      <w:r w:rsidR="0044301C" w:rsidRPr="00287B9E">
        <w:rPr>
          <w:rFonts w:ascii="Arial" w:hAnsi="Arial" w:cs="Arial"/>
          <w:iCs/>
          <w:color w:val="000000" w:themeColor="text1"/>
          <w:sz w:val="22"/>
        </w:rPr>
        <w:t xml:space="preserve"> mediante un procedimiento de contratación directa, el requisito </w:t>
      </w:r>
      <w:r w:rsidR="0044301C" w:rsidRPr="00287B9E">
        <w:rPr>
          <w:rFonts w:ascii="Arial" w:hAnsi="Arial" w:cs="Arial"/>
          <w:iCs/>
          <w:color w:val="000000" w:themeColor="text1"/>
          <w:sz w:val="22"/>
        </w:rPr>
        <w:lastRenderedPageBreak/>
        <w:t xml:space="preserve">sería exigible a más tardar antes del inicio de la ejecución del contrato, por lo que las entidades pueden estructurar en cada proceso la forma como </w:t>
      </w:r>
      <w:r w:rsidR="005556ED" w:rsidRPr="00287B9E">
        <w:rPr>
          <w:rFonts w:ascii="Arial" w:hAnsi="Arial" w:cs="Arial"/>
          <w:iCs/>
          <w:color w:val="000000" w:themeColor="text1"/>
          <w:sz w:val="22"/>
        </w:rPr>
        <w:t>piden cumplir</w:t>
      </w:r>
      <w:r w:rsidR="0044301C" w:rsidRPr="00287B9E">
        <w:rPr>
          <w:rFonts w:ascii="Arial" w:hAnsi="Arial" w:cs="Arial"/>
          <w:iCs/>
          <w:color w:val="000000" w:themeColor="text1"/>
          <w:sz w:val="22"/>
        </w:rPr>
        <w:t xml:space="preserve"> este requisito</w:t>
      </w:r>
      <w:r w:rsidR="00B8079C" w:rsidRPr="00287B9E">
        <w:rPr>
          <w:rFonts w:ascii="Arial" w:hAnsi="Arial" w:cs="Arial"/>
          <w:iCs/>
          <w:color w:val="000000" w:themeColor="text1"/>
          <w:sz w:val="22"/>
        </w:rPr>
        <w:t>,</w:t>
      </w:r>
      <w:r w:rsidR="0044301C" w:rsidRPr="00287B9E">
        <w:rPr>
          <w:rFonts w:ascii="Arial" w:hAnsi="Arial" w:cs="Arial"/>
          <w:iCs/>
          <w:color w:val="000000" w:themeColor="text1"/>
          <w:sz w:val="22"/>
        </w:rPr>
        <w:t xml:space="preserve"> el cual debe acreditarse, en todo caso, previo al inicio de la ejecución</w:t>
      </w:r>
      <w:r w:rsidR="00B8079C" w:rsidRPr="00287B9E">
        <w:rPr>
          <w:rFonts w:ascii="Arial" w:hAnsi="Arial" w:cs="Arial"/>
          <w:iCs/>
          <w:color w:val="000000" w:themeColor="text1"/>
          <w:sz w:val="22"/>
        </w:rPr>
        <w:t>,</w:t>
      </w:r>
      <w:r w:rsidR="0044301C" w:rsidRPr="00287B9E">
        <w:rPr>
          <w:rFonts w:ascii="Arial" w:hAnsi="Arial" w:cs="Arial"/>
          <w:iCs/>
          <w:color w:val="000000" w:themeColor="text1"/>
          <w:sz w:val="22"/>
        </w:rPr>
        <w:t xml:space="preserve"> pues la norma establece que debe cumplirse </w:t>
      </w:r>
      <w:r w:rsidR="0044301C" w:rsidRPr="00287B9E">
        <w:rPr>
          <w:rFonts w:ascii="Arial" w:hAnsi="Arial" w:cs="Arial"/>
          <w:i/>
          <w:color w:val="000000" w:themeColor="text1"/>
          <w:sz w:val="22"/>
        </w:rPr>
        <w:t xml:space="preserve">antes </w:t>
      </w:r>
      <w:r w:rsidR="00B8079C" w:rsidRPr="00287B9E">
        <w:rPr>
          <w:rFonts w:ascii="Arial" w:hAnsi="Arial" w:cs="Arial"/>
          <w:iCs/>
          <w:color w:val="000000" w:themeColor="text1"/>
          <w:sz w:val="22"/>
        </w:rPr>
        <w:t>del ejercicio de dichas funciones</w:t>
      </w:r>
      <w:r w:rsidR="001B72FE" w:rsidRPr="00287B9E">
        <w:rPr>
          <w:rFonts w:ascii="Arial" w:hAnsi="Arial" w:cs="Arial"/>
          <w:iCs/>
          <w:color w:val="000000" w:themeColor="text1"/>
          <w:sz w:val="22"/>
        </w:rPr>
        <w:t>;</w:t>
      </w:r>
      <w:r w:rsidR="00B8079C" w:rsidRPr="00287B9E">
        <w:rPr>
          <w:rFonts w:ascii="Arial" w:hAnsi="Arial" w:cs="Arial"/>
          <w:iCs/>
          <w:color w:val="000000" w:themeColor="text1"/>
          <w:sz w:val="22"/>
        </w:rPr>
        <w:t xml:space="preserve"> de modo que por orden en la estructuración de los procesos también lo podría</w:t>
      </w:r>
      <w:r w:rsidR="005556ED" w:rsidRPr="00287B9E">
        <w:rPr>
          <w:rFonts w:ascii="Arial" w:hAnsi="Arial" w:cs="Arial"/>
          <w:iCs/>
          <w:color w:val="000000" w:themeColor="text1"/>
          <w:sz w:val="22"/>
        </w:rPr>
        <w:t>n</w:t>
      </w:r>
      <w:r w:rsidR="00B8079C" w:rsidRPr="00287B9E">
        <w:rPr>
          <w:rFonts w:ascii="Arial" w:hAnsi="Arial" w:cs="Arial"/>
          <w:iCs/>
          <w:color w:val="000000" w:themeColor="text1"/>
          <w:sz w:val="22"/>
        </w:rPr>
        <w:t xml:space="preserve"> exigir antes de la celebración del contrato.</w:t>
      </w:r>
    </w:p>
    <w:p w14:paraId="2AAB28AF" w14:textId="678FF55D" w:rsidR="00B8079C" w:rsidRPr="00287B9E" w:rsidRDefault="00B8079C" w:rsidP="00B8079C">
      <w:pPr>
        <w:spacing w:before="120" w:after="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 xml:space="preserve">Ahora bien, en los casos en que la selección del contratista </w:t>
      </w:r>
      <w:r w:rsidR="00043999" w:rsidRPr="00287B9E">
        <w:rPr>
          <w:rFonts w:ascii="Arial" w:hAnsi="Arial" w:cs="Arial"/>
          <w:iCs/>
          <w:color w:val="000000" w:themeColor="text1"/>
          <w:sz w:val="22"/>
        </w:rPr>
        <w:t xml:space="preserve">se </w:t>
      </w:r>
      <w:r w:rsidR="005556ED" w:rsidRPr="00287B9E">
        <w:rPr>
          <w:rFonts w:ascii="Arial" w:hAnsi="Arial" w:cs="Arial"/>
          <w:iCs/>
          <w:color w:val="000000" w:themeColor="text1"/>
          <w:sz w:val="22"/>
        </w:rPr>
        <w:t>realice</w:t>
      </w:r>
      <w:r w:rsidRPr="00287B9E">
        <w:rPr>
          <w:rFonts w:ascii="Arial" w:hAnsi="Arial" w:cs="Arial"/>
          <w:iCs/>
          <w:color w:val="000000" w:themeColor="text1"/>
          <w:sz w:val="22"/>
        </w:rPr>
        <w:t xml:space="preserve"> </w:t>
      </w:r>
      <w:r w:rsidR="005556ED" w:rsidRPr="00287B9E">
        <w:rPr>
          <w:rFonts w:ascii="Arial" w:hAnsi="Arial" w:cs="Arial"/>
          <w:iCs/>
          <w:color w:val="000000" w:themeColor="text1"/>
          <w:sz w:val="22"/>
        </w:rPr>
        <w:t>a través de</w:t>
      </w:r>
      <w:r w:rsidRPr="00287B9E">
        <w:rPr>
          <w:rFonts w:ascii="Arial" w:hAnsi="Arial" w:cs="Arial"/>
          <w:iCs/>
          <w:color w:val="000000" w:themeColor="text1"/>
          <w:sz w:val="22"/>
        </w:rPr>
        <w:t xml:space="preserve"> un procedimiento de selección mediante convocatoria pública, como son los demás procedimientos establecidos en el Estatuto General de Contratación de la Administración Pública, el requisito debe cumplirse en términos similares, de manera que solo se exigirá frente al proponente con quien se vaya a celebrar el contrato</w:t>
      </w:r>
      <w:r w:rsidR="00B34A7D" w:rsidRPr="00287B9E">
        <w:rPr>
          <w:rFonts w:ascii="Arial" w:hAnsi="Arial" w:cs="Arial"/>
          <w:iCs/>
          <w:color w:val="000000" w:themeColor="text1"/>
          <w:sz w:val="22"/>
        </w:rPr>
        <w:t>,</w:t>
      </w:r>
      <w:r w:rsidRPr="00287B9E">
        <w:rPr>
          <w:rFonts w:ascii="Arial" w:hAnsi="Arial" w:cs="Arial"/>
          <w:iCs/>
          <w:color w:val="000000" w:themeColor="text1"/>
          <w:sz w:val="22"/>
        </w:rPr>
        <w:t xml:space="preserve"> o una vez celebrado, a más tardar antes del inicio de la ejecución. En este sentido, no se debe exigir su cumplimiento frente a todos los proponente</w:t>
      </w:r>
      <w:r w:rsidR="008D526E" w:rsidRPr="00287B9E">
        <w:rPr>
          <w:rFonts w:ascii="Arial" w:hAnsi="Arial" w:cs="Arial"/>
          <w:iCs/>
          <w:color w:val="000000" w:themeColor="text1"/>
          <w:sz w:val="22"/>
        </w:rPr>
        <w:t>s</w:t>
      </w:r>
      <w:r w:rsidRPr="00287B9E">
        <w:rPr>
          <w:rFonts w:ascii="Arial" w:hAnsi="Arial" w:cs="Arial"/>
          <w:iCs/>
          <w:color w:val="000000" w:themeColor="text1"/>
          <w:sz w:val="22"/>
        </w:rPr>
        <w:t xml:space="preserve"> durante el procedimiento de selección como un requisito habilitante, pues el particular que </w:t>
      </w:r>
      <w:r w:rsidR="008D526E" w:rsidRPr="00287B9E">
        <w:rPr>
          <w:rFonts w:ascii="Arial" w:hAnsi="Arial" w:cs="Arial"/>
          <w:iCs/>
          <w:color w:val="000000" w:themeColor="text1"/>
          <w:sz w:val="22"/>
        </w:rPr>
        <w:t>ejercerá función pública, prestará servicios públicos o administrará bienes del estado será solo aquel que resulte seleccionado en el procedimiento de selección.</w:t>
      </w:r>
    </w:p>
    <w:p w14:paraId="425CC396" w14:textId="157DAF1A" w:rsidR="0044301C" w:rsidRPr="00287B9E" w:rsidRDefault="008D526E" w:rsidP="008D526E">
      <w:pPr>
        <w:spacing w:before="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Ahora bien, durante el término de ejecución del contrato debe mantenerse actualizada la información objeto de publicidad, de manera que, en los contratos en que excepcionalmente aplique la Ley 2013 de 2019, debe cumplirse con lo prescrito en el artículo tercero:</w:t>
      </w:r>
    </w:p>
    <w:p w14:paraId="1BAD25AD" w14:textId="77777777" w:rsidR="008D526E" w:rsidRPr="00287B9E" w:rsidRDefault="008D526E" w:rsidP="008D526E">
      <w:pPr>
        <w:spacing w:before="120"/>
        <w:ind w:firstLine="709"/>
        <w:jc w:val="both"/>
        <w:rPr>
          <w:rFonts w:ascii="Arial" w:hAnsi="Arial" w:cs="Arial"/>
          <w:iCs/>
          <w:color w:val="000000" w:themeColor="text1"/>
          <w:sz w:val="22"/>
        </w:rPr>
      </w:pPr>
    </w:p>
    <w:p w14:paraId="4FC50F00" w14:textId="075532EE" w:rsidR="00B8079C" w:rsidRPr="00287B9E" w:rsidRDefault="00B8079C" w:rsidP="008D526E">
      <w:pPr>
        <w:ind w:left="709" w:right="709"/>
        <w:contextualSpacing/>
        <w:jc w:val="both"/>
        <w:rPr>
          <w:rFonts w:ascii="Arial" w:eastAsia="Times New Roman" w:hAnsi="Arial" w:cs="Arial"/>
          <w:color w:val="000000" w:themeColor="text1"/>
          <w:sz w:val="21"/>
          <w:szCs w:val="21"/>
          <w:lang w:val="es-CO" w:eastAsia="es-CO"/>
        </w:rPr>
      </w:pPr>
      <w:bookmarkStart w:id="2" w:name="3"/>
      <w:r w:rsidRPr="00287B9E">
        <w:rPr>
          <w:rFonts w:ascii="Arial" w:eastAsia="Times New Roman" w:hAnsi="Arial" w:cs="Arial"/>
          <w:color w:val="000000" w:themeColor="text1"/>
          <w:sz w:val="21"/>
          <w:szCs w:val="21"/>
          <w:lang w:val="es-CO" w:eastAsia="es-CO"/>
        </w:rPr>
        <w:t>A</w:t>
      </w:r>
      <w:r w:rsidR="008D526E" w:rsidRPr="00287B9E">
        <w:rPr>
          <w:rFonts w:ascii="Arial" w:eastAsia="Times New Roman" w:hAnsi="Arial" w:cs="Arial"/>
          <w:color w:val="000000" w:themeColor="text1"/>
          <w:sz w:val="21"/>
          <w:szCs w:val="21"/>
          <w:lang w:val="es-CO" w:eastAsia="es-CO"/>
        </w:rPr>
        <w:t>rtículo</w:t>
      </w:r>
      <w:r w:rsidRPr="00287B9E">
        <w:rPr>
          <w:rFonts w:ascii="Arial" w:eastAsia="Times New Roman" w:hAnsi="Arial" w:cs="Arial"/>
          <w:color w:val="000000" w:themeColor="text1"/>
          <w:sz w:val="21"/>
          <w:szCs w:val="21"/>
          <w:lang w:val="es-CO" w:eastAsia="es-CO"/>
        </w:rPr>
        <w:t xml:space="preserve"> 3.</w:t>
      </w:r>
      <w:bookmarkEnd w:id="2"/>
      <w:r w:rsidRPr="00287B9E">
        <w:rPr>
          <w:rFonts w:ascii="Arial" w:eastAsia="Times New Roman" w:hAnsi="Arial" w:cs="Arial"/>
          <w:color w:val="000000" w:themeColor="text1"/>
          <w:sz w:val="21"/>
          <w:szCs w:val="21"/>
          <w:lang w:val="es-CO" w:eastAsia="es-CO"/>
        </w:rPr>
        <w:t> La presentación y registro de la declaración de bienes y rentas, del registro de conflictos de interés y la declaración del impuesto sobre la renta y complementarios deberá ser actualizada cada año mientras subsista la calidad de sujetos obligados de acuerdo con el artículo </w:t>
      </w:r>
      <w:hyperlink r:id="rId11" w:anchor="2" w:history="1">
        <w:r w:rsidRPr="00287B9E">
          <w:rPr>
            <w:rFonts w:ascii="Arial" w:eastAsia="Times New Roman" w:hAnsi="Arial" w:cs="Arial"/>
            <w:color w:val="000000" w:themeColor="text1"/>
            <w:sz w:val="21"/>
            <w:szCs w:val="21"/>
            <w:lang w:val="es-CO" w:eastAsia="es-CO"/>
          </w:rPr>
          <w:t>2o</w:t>
        </w:r>
      </w:hyperlink>
      <w:r w:rsidRPr="00287B9E">
        <w:rPr>
          <w:rFonts w:ascii="Arial" w:eastAsia="Times New Roman" w:hAnsi="Arial" w:cs="Arial"/>
          <w:color w:val="000000" w:themeColor="text1"/>
          <w:sz w:val="21"/>
          <w:szCs w:val="21"/>
          <w:lang w:val="es-CO" w:eastAsia="es-CO"/>
        </w:rPr>
        <w:t> de la presente ley.</w:t>
      </w:r>
    </w:p>
    <w:p w14:paraId="6A8F8DDB" w14:textId="77777777" w:rsidR="008D526E" w:rsidRPr="00287B9E" w:rsidRDefault="008D526E" w:rsidP="008D526E">
      <w:pPr>
        <w:ind w:left="709" w:right="709"/>
        <w:contextualSpacing/>
        <w:jc w:val="both"/>
        <w:rPr>
          <w:rFonts w:ascii="Arial" w:eastAsia="Times New Roman" w:hAnsi="Arial" w:cs="Arial"/>
          <w:color w:val="000000" w:themeColor="text1"/>
          <w:sz w:val="21"/>
          <w:szCs w:val="21"/>
          <w:lang w:val="es-CO" w:eastAsia="es-CO"/>
        </w:rPr>
      </w:pPr>
    </w:p>
    <w:p w14:paraId="55DD6604" w14:textId="7BDFE459" w:rsidR="00B8079C" w:rsidRPr="00287B9E" w:rsidRDefault="00B8079C" w:rsidP="008D526E">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Todo cambio que modifique la información contenida en la declaración de bienes y rentas, y en el registro de conflictos de interés, deberá ser comunicado a la respectiva entidad y registrado dentro de los dos (2) meses siguientes al cambio.</w:t>
      </w:r>
    </w:p>
    <w:p w14:paraId="57482F8E" w14:textId="77777777" w:rsidR="008D526E" w:rsidRPr="00287B9E" w:rsidRDefault="008D526E" w:rsidP="008D526E">
      <w:pPr>
        <w:ind w:left="709" w:right="709"/>
        <w:contextualSpacing/>
        <w:jc w:val="both"/>
        <w:rPr>
          <w:rFonts w:ascii="Arial" w:eastAsia="Times New Roman" w:hAnsi="Arial" w:cs="Arial"/>
          <w:color w:val="000000" w:themeColor="text1"/>
          <w:sz w:val="21"/>
          <w:szCs w:val="21"/>
          <w:lang w:val="es-CO" w:eastAsia="es-CO"/>
        </w:rPr>
      </w:pPr>
    </w:p>
    <w:p w14:paraId="299F7A53" w14:textId="77777777" w:rsidR="00B8079C" w:rsidRPr="00287B9E" w:rsidRDefault="00B8079C" w:rsidP="008D526E">
      <w:pPr>
        <w:ind w:left="709" w:right="709"/>
        <w:contextualSpacing/>
        <w:jc w:val="both"/>
        <w:rPr>
          <w:rFonts w:ascii="Arial" w:eastAsia="Times New Roman" w:hAnsi="Arial" w:cs="Arial"/>
          <w:color w:val="000000" w:themeColor="text1"/>
          <w:sz w:val="21"/>
          <w:szCs w:val="21"/>
          <w:lang w:val="es-CO" w:eastAsia="es-CO"/>
        </w:rPr>
      </w:pPr>
      <w:r w:rsidRPr="00287B9E">
        <w:rPr>
          <w:rFonts w:ascii="Arial" w:eastAsia="Times New Roman" w:hAnsi="Arial" w:cs="Arial"/>
          <w:color w:val="000000" w:themeColor="text1"/>
          <w:sz w:val="21"/>
          <w:szCs w:val="21"/>
          <w:lang w:val="es-CO" w:eastAsia="es-CO"/>
        </w:rPr>
        <w:t>La copia de la declaración del impuesto sobre la renta y complementarios se deberá actualizar dentro del mes siguiente a la presentación de la última declaración del año gravable ante la DIAN.</w:t>
      </w:r>
    </w:p>
    <w:p w14:paraId="2055571A" w14:textId="747FC104" w:rsidR="00B8079C" w:rsidRPr="00287B9E" w:rsidRDefault="00B8079C" w:rsidP="0044301C">
      <w:pPr>
        <w:spacing w:line="276" w:lineRule="auto"/>
        <w:contextualSpacing/>
        <w:jc w:val="both"/>
        <w:rPr>
          <w:rFonts w:ascii="Arial" w:hAnsi="Arial" w:cs="Arial"/>
          <w:iCs/>
          <w:color w:val="000000" w:themeColor="text1"/>
          <w:sz w:val="22"/>
        </w:rPr>
      </w:pPr>
    </w:p>
    <w:p w14:paraId="13F59AE0" w14:textId="0F617F4E" w:rsidR="004A34D2" w:rsidRPr="00287B9E" w:rsidRDefault="009D2478" w:rsidP="009D2478">
      <w:pPr>
        <w:pStyle w:val="Prrafodelista"/>
        <w:tabs>
          <w:tab w:val="left" w:pos="284"/>
        </w:tabs>
        <w:ind w:left="0"/>
        <w:jc w:val="both"/>
        <w:rPr>
          <w:rFonts w:ascii="Arial" w:eastAsia="Calibri" w:hAnsi="Arial" w:cs="Arial"/>
          <w:color w:val="000000" w:themeColor="text1"/>
          <w:sz w:val="22"/>
        </w:rPr>
      </w:pPr>
      <w:r w:rsidRPr="00287B9E">
        <w:rPr>
          <w:rFonts w:ascii="Arial" w:eastAsia="Calibri" w:hAnsi="Arial" w:cs="Arial"/>
          <w:b/>
          <w:color w:val="000000" w:themeColor="text1"/>
          <w:sz w:val="22"/>
        </w:rPr>
        <w:t xml:space="preserve">4. </w:t>
      </w:r>
      <w:r w:rsidR="004A34D2" w:rsidRPr="00287B9E">
        <w:rPr>
          <w:rFonts w:ascii="Arial" w:eastAsia="Calibri" w:hAnsi="Arial" w:cs="Arial"/>
          <w:b/>
          <w:color w:val="000000" w:themeColor="text1"/>
          <w:sz w:val="22"/>
        </w:rPr>
        <w:t>Respuesta</w:t>
      </w:r>
    </w:p>
    <w:p w14:paraId="504346E2" w14:textId="2908D7C2" w:rsidR="004A34D2" w:rsidRPr="00287B9E" w:rsidRDefault="004A34D2" w:rsidP="007B0B43">
      <w:pPr>
        <w:ind w:right="709"/>
        <w:jc w:val="both"/>
        <w:rPr>
          <w:rFonts w:ascii="Arial" w:eastAsia="Calibri" w:hAnsi="Arial" w:cs="Arial"/>
          <w:i/>
          <w:color w:val="000000" w:themeColor="text1"/>
          <w:sz w:val="22"/>
        </w:rPr>
      </w:pPr>
    </w:p>
    <w:p w14:paraId="5349ED04" w14:textId="2416B6DE" w:rsidR="007B0B43" w:rsidRPr="00287B9E" w:rsidRDefault="007B0B43" w:rsidP="007B0B43">
      <w:pPr>
        <w:spacing w:before="120" w:after="120" w:line="276" w:lineRule="auto"/>
        <w:jc w:val="both"/>
        <w:rPr>
          <w:rFonts w:ascii="Arial" w:hAnsi="Arial" w:cs="Arial"/>
          <w:iCs/>
          <w:color w:val="000000" w:themeColor="text1"/>
          <w:sz w:val="22"/>
        </w:rPr>
      </w:pPr>
      <w:r w:rsidRPr="00287B9E">
        <w:rPr>
          <w:rFonts w:ascii="Arial" w:hAnsi="Arial" w:cs="Arial"/>
          <w:iCs/>
          <w:color w:val="000000" w:themeColor="text1"/>
          <w:sz w:val="22"/>
        </w:rPr>
        <w:t>Para efectos de responder en forma más ordenada cada uno de los interrogantes del peticionario, estas se desarrollarán en un orden distinto al propuesto por este:</w:t>
      </w:r>
    </w:p>
    <w:p w14:paraId="3A3EE8D9" w14:textId="77777777" w:rsidR="007B0B43" w:rsidRPr="00287B9E" w:rsidRDefault="007B0B43" w:rsidP="007B0B43">
      <w:pPr>
        <w:ind w:right="709"/>
        <w:jc w:val="both"/>
        <w:rPr>
          <w:rFonts w:ascii="Arial" w:eastAsia="Calibri" w:hAnsi="Arial" w:cs="Arial"/>
          <w:i/>
          <w:color w:val="000000" w:themeColor="text1"/>
          <w:sz w:val="22"/>
        </w:rPr>
      </w:pPr>
    </w:p>
    <w:p w14:paraId="579C14A4" w14:textId="299A3FB0" w:rsidR="004A34D2" w:rsidRPr="00287B9E" w:rsidRDefault="008D526E" w:rsidP="00C46D73">
      <w:pPr>
        <w:ind w:left="708" w:right="709"/>
        <w:jc w:val="both"/>
        <w:rPr>
          <w:rFonts w:ascii="Arial" w:eastAsia="Calibri" w:hAnsi="Arial" w:cs="Arial"/>
          <w:color w:val="000000" w:themeColor="text1"/>
          <w:sz w:val="21"/>
          <w:szCs w:val="21"/>
        </w:rPr>
      </w:pPr>
      <w:r w:rsidRPr="00287B9E">
        <w:rPr>
          <w:rFonts w:ascii="Arial" w:eastAsia="Calibri" w:hAnsi="Arial" w:cs="Arial"/>
          <w:color w:val="000000" w:themeColor="text1"/>
          <w:sz w:val="21"/>
          <w:szCs w:val="21"/>
        </w:rPr>
        <w:lastRenderedPageBreak/>
        <w:t>iii) «En caso que la respuesta a la pregunta número 1 sea negativa ¿a quién o en qué caso es aplicable el literal g) del artículo 2 de la 2013 de 2019?»</w:t>
      </w:r>
      <w:r w:rsidR="000E3645" w:rsidRPr="00287B9E">
        <w:rPr>
          <w:rFonts w:ascii="Arial" w:eastAsia="Calibri" w:hAnsi="Arial" w:cs="Arial"/>
          <w:color w:val="000000" w:themeColor="text1"/>
          <w:sz w:val="21"/>
          <w:szCs w:val="21"/>
        </w:rPr>
        <w:t>.</w:t>
      </w:r>
    </w:p>
    <w:p w14:paraId="3A199C73" w14:textId="77777777" w:rsidR="006757DC" w:rsidRPr="00287B9E" w:rsidRDefault="006757DC" w:rsidP="00C46D73">
      <w:pPr>
        <w:ind w:left="708" w:right="709"/>
        <w:jc w:val="both"/>
        <w:rPr>
          <w:rFonts w:ascii="Arial" w:eastAsia="Calibri" w:hAnsi="Arial" w:cs="Arial"/>
          <w:color w:val="000000" w:themeColor="text1"/>
          <w:sz w:val="22"/>
        </w:rPr>
      </w:pPr>
    </w:p>
    <w:p w14:paraId="05A508C5" w14:textId="5248280E" w:rsidR="001C167B" w:rsidRPr="00287B9E" w:rsidRDefault="0089370A" w:rsidP="001C167B">
      <w:pPr>
        <w:spacing w:before="120" w:after="120" w:line="276" w:lineRule="auto"/>
        <w:jc w:val="both"/>
        <w:rPr>
          <w:rFonts w:ascii="Arial" w:hAnsi="Arial" w:cs="Arial"/>
          <w:iCs/>
          <w:color w:val="000000" w:themeColor="text1"/>
          <w:sz w:val="22"/>
        </w:rPr>
      </w:pPr>
      <w:r w:rsidRPr="00287B9E">
        <w:rPr>
          <w:rFonts w:ascii="Arial" w:hAnsi="Arial" w:cs="Arial"/>
          <w:iCs/>
          <w:color w:val="000000" w:themeColor="text1"/>
          <w:sz w:val="22"/>
        </w:rPr>
        <w:t>L</w:t>
      </w:r>
      <w:r w:rsidR="00A91D8B" w:rsidRPr="00287B9E">
        <w:rPr>
          <w:rFonts w:ascii="Arial" w:hAnsi="Arial" w:cs="Arial"/>
          <w:iCs/>
          <w:color w:val="000000" w:themeColor="text1"/>
          <w:sz w:val="22"/>
        </w:rPr>
        <w:t xml:space="preserve">os contratistas que se encuentran dentro del ámbito de aplicación de la Ley 2013 de 2019 son aquellos que </w:t>
      </w:r>
      <w:r w:rsidRPr="00287B9E">
        <w:rPr>
          <w:rFonts w:ascii="Arial" w:hAnsi="Arial" w:cs="Arial"/>
          <w:iCs/>
          <w:color w:val="000000" w:themeColor="text1"/>
          <w:sz w:val="22"/>
        </w:rPr>
        <w:t>ejercen</w:t>
      </w:r>
      <w:r w:rsidR="00A91D8B" w:rsidRPr="00287B9E">
        <w:rPr>
          <w:rFonts w:ascii="Arial" w:hAnsi="Arial" w:cs="Arial"/>
          <w:iCs/>
          <w:color w:val="000000" w:themeColor="text1"/>
          <w:sz w:val="22"/>
        </w:rPr>
        <w:t xml:space="preserve"> función pública, presente</w:t>
      </w:r>
      <w:r w:rsidR="00B34A7D" w:rsidRPr="00287B9E">
        <w:rPr>
          <w:rFonts w:ascii="Arial" w:hAnsi="Arial" w:cs="Arial"/>
          <w:iCs/>
          <w:color w:val="000000" w:themeColor="text1"/>
          <w:sz w:val="22"/>
        </w:rPr>
        <w:t>n</w:t>
      </w:r>
      <w:r w:rsidR="00A91D8B" w:rsidRPr="00287B9E">
        <w:rPr>
          <w:rFonts w:ascii="Arial" w:hAnsi="Arial" w:cs="Arial"/>
          <w:iCs/>
          <w:color w:val="000000" w:themeColor="text1"/>
          <w:sz w:val="22"/>
        </w:rPr>
        <w:t xml:space="preserve"> servicios públicos o administren bienes y recursos públicos. Teniendo en cuenta lo anterior, solo cuando el contrato celebrado con el particular implique el ejercicio de alguna de las actividades anteriores, se considerará sujeto a las obligaciones contenidas en dicha ley. Además, considerando que en la mayoría de los casos esto no ocurre, </w:t>
      </w:r>
      <w:r w:rsidRPr="00287B9E">
        <w:rPr>
          <w:rFonts w:ascii="Arial" w:hAnsi="Arial" w:cs="Arial"/>
          <w:iCs/>
          <w:color w:val="000000" w:themeColor="text1"/>
          <w:sz w:val="22"/>
        </w:rPr>
        <w:t xml:space="preserve">estos </w:t>
      </w:r>
      <w:r w:rsidR="00A91D8B" w:rsidRPr="00287B9E">
        <w:rPr>
          <w:rFonts w:ascii="Arial" w:hAnsi="Arial" w:cs="Arial"/>
          <w:iCs/>
          <w:color w:val="000000" w:themeColor="text1"/>
          <w:sz w:val="22"/>
        </w:rPr>
        <w:t>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14:paraId="019D3D88" w14:textId="1D8A00FB" w:rsidR="004F3119" w:rsidRPr="00287B9E" w:rsidRDefault="004F3119" w:rsidP="00414E21">
      <w:pPr>
        <w:spacing w:before="120" w:line="276" w:lineRule="auto"/>
        <w:jc w:val="both"/>
        <w:rPr>
          <w:rFonts w:ascii="Arial" w:hAnsi="Arial" w:cs="Arial"/>
          <w:iCs/>
          <w:color w:val="000000" w:themeColor="text1"/>
          <w:sz w:val="22"/>
        </w:rPr>
      </w:pPr>
      <w:r w:rsidRPr="00287B9E">
        <w:rPr>
          <w:rFonts w:ascii="Arial" w:hAnsi="Arial" w:cs="Arial"/>
          <w:iCs/>
          <w:color w:val="000000" w:themeColor="text1"/>
          <w:sz w:val="22"/>
        </w:rPr>
        <w:tab/>
      </w:r>
    </w:p>
    <w:p w14:paraId="5E6033A3" w14:textId="78506F58" w:rsidR="004F3119" w:rsidRPr="00287B9E" w:rsidRDefault="004F3119" w:rsidP="004F3119">
      <w:pPr>
        <w:ind w:left="708" w:right="709"/>
        <w:jc w:val="both"/>
        <w:rPr>
          <w:rFonts w:ascii="Arial" w:eastAsia="Calibri" w:hAnsi="Arial" w:cs="Arial"/>
          <w:color w:val="000000" w:themeColor="text1"/>
          <w:sz w:val="21"/>
          <w:szCs w:val="21"/>
        </w:rPr>
      </w:pPr>
      <w:r w:rsidRPr="00287B9E">
        <w:rPr>
          <w:rFonts w:ascii="Arial" w:eastAsia="Calibri" w:hAnsi="Arial" w:cs="Arial"/>
          <w:color w:val="000000" w:themeColor="text1"/>
          <w:sz w:val="21"/>
          <w:szCs w:val="21"/>
        </w:rPr>
        <w:t xml:space="preserve">i) </w:t>
      </w:r>
      <w:r w:rsidR="007B0B43" w:rsidRPr="00287B9E">
        <w:rPr>
          <w:rFonts w:ascii="Arial" w:eastAsia="Calibri" w:hAnsi="Arial" w:cs="Arial"/>
          <w:color w:val="000000" w:themeColor="text1"/>
          <w:sz w:val="21"/>
          <w:szCs w:val="21"/>
        </w:rPr>
        <w:t>«</w:t>
      </w:r>
      <w:r w:rsidRPr="00287B9E">
        <w:rPr>
          <w:rFonts w:ascii="Arial" w:eastAsia="Calibri" w:hAnsi="Arial" w:cs="Arial"/>
          <w:color w:val="000000" w:themeColor="text1"/>
          <w:sz w:val="21"/>
          <w:szCs w:val="21"/>
        </w:rPr>
        <w:t>¿Se debe establecer como requisito habilitante en todos los procesos contractuales […] el diligenciamiento del formato de publicación proactiva declaración de bienes y rentas y registro de conflictos de interés y declaración del impuesto sobre la renta y complementarios (Ley 2013/2019)?</w:t>
      </w:r>
      <w:r w:rsidR="007B0B43" w:rsidRPr="00287B9E">
        <w:rPr>
          <w:rFonts w:ascii="Arial" w:eastAsia="Calibri" w:hAnsi="Arial" w:cs="Arial"/>
          <w:color w:val="000000" w:themeColor="text1"/>
          <w:sz w:val="21"/>
          <w:szCs w:val="21"/>
        </w:rPr>
        <w:t>»</w:t>
      </w:r>
    </w:p>
    <w:p w14:paraId="487F2FE3" w14:textId="77777777" w:rsidR="004F3119" w:rsidRPr="00287B9E" w:rsidRDefault="004F3119" w:rsidP="004F3119">
      <w:pPr>
        <w:ind w:left="708" w:right="709"/>
        <w:jc w:val="both"/>
        <w:rPr>
          <w:rFonts w:ascii="Arial" w:eastAsia="Calibri" w:hAnsi="Arial" w:cs="Arial"/>
          <w:color w:val="000000" w:themeColor="text1"/>
          <w:sz w:val="21"/>
          <w:szCs w:val="21"/>
        </w:rPr>
      </w:pPr>
    </w:p>
    <w:p w14:paraId="52545FF2" w14:textId="52713135" w:rsidR="004F3119" w:rsidRPr="00287B9E" w:rsidRDefault="004F3119" w:rsidP="004F3119">
      <w:pPr>
        <w:ind w:left="708" w:right="709"/>
        <w:jc w:val="both"/>
        <w:rPr>
          <w:rFonts w:ascii="Arial" w:eastAsia="Calibri" w:hAnsi="Arial" w:cs="Arial"/>
          <w:color w:val="000000" w:themeColor="text1"/>
          <w:sz w:val="21"/>
          <w:szCs w:val="21"/>
        </w:rPr>
      </w:pPr>
      <w:r w:rsidRPr="00287B9E">
        <w:rPr>
          <w:rFonts w:ascii="Arial" w:eastAsia="Calibri" w:hAnsi="Arial" w:cs="Arial"/>
          <w:color w:val="000000" w:themeColor="text1"/>
          <w:sz w:val="21"/>
          <w:szCs w:val="21"/>
        </w:rPr>
        <w:t>ii) «En caso que la respuesta a la pregunta anterior sea afirmativa, ¿el formato debe ser diligenciado por todos los oferentes (proveedores) que participen en los procesos de contratación? O en su defecto ¿el formato debe ser diligenciado únicamente por el oferente adjudicatario?</w:t>
      </w:r>
    </w:p>
    <w:p w14:paraId="59A7AFBE" w14:textId="4C517DCE" w:rsidR="004F3119" w:rsidRPr="00287B9E" w:rsidRDefault="004F3119" w:rsidP="004F3119">
      <w:pPr>
        <w:ind w:left="708" w:right="709"/>
        <w:jc w:val="both"/>
        <w:rPr>
          <w:rFonts w:ascii="Arial" w:eastAsia="Calibri" w:hAnsi="Arial" w:cs="Arial"/>
          <w:color w:val="000000" w:themeColor="text1"/>
          <w:sz w:val="21"/>
          <w:szCs w:val="21"/>
        </w:rPr>
      </w:pPr>
    </w:p>
    <w:p w14:paraId="0337715C" w14:textId="353D0BD7" w:rsidR="001B72FE" w:rsidRPr="00287B9E" w:rsidRDefault="001B72FE" w:rsidP="00043999">
      <w:pPr>
        <w:spacing w:after="120" w:line="276" w:lineRule="auto"/>
        <w:jc w:val="both"/>
        <w:rPr>
          <w:rFonts w:ascii="Arial" w:hAnsi="Arial" w:cs="Arial"/>
          <w:iCs/>
          <w:color w:val="000000" w:themeColor="text1"/>
          <w:sz w:val="22"/>
        </w:rPr>
      </w:pPr>
      <w:r w:rsidRPr="00287B9E">
        <w:rPr>
          <w:rFonts w:ascii="Arial" w:hAnsi="Arial" w:cs="Arial"/>
          <w:color w:val="000000" w:themeColor="text1"/>
          <w:sz w:val="22"/>
          <w:lang w:val="es-ES"/>
        </w:rPr>
        <w:t xml:space="preserve">En los casos en que excepcionalmente aplique la Ley 2013 de 2019 a un proceso contractual, por implicar el objeto del contrato el ejercicio de </w:t>
      </w:r>
      <w:r w:rsidRPr="00287B9E">
        <w:rPr>
          <w:rFonts w:ascii="Arial" w:hAnsi="Arial" w:cs="Arial"/>
          <w:iCs/>
          <w:color w:val="000000" w:themeColor="text1"/>
          <w:sz w:val="22"/>
        </w:rPr>
        <w:t>función pública, prestación de servicios públicos o administración de bienes y recursos públicos, las obligaciones en materia de publicidad se deben cumplir de conformidad con el parágrafo 1 del artículo 2 de dicha ley.</w:t>
      </w:r>
    </w:p>
    <w:p w14:paraId="6D722EC9" w14:textId="7B215FE2" w:rsidR="00043999" w:rsidRPr="00287B9E" w:rsidRDefault="00043999" w:rsidP="00043999">
      <w:pPr>
        <w:spacing w:after="120" w:line="276" w:lineRule="auto"/>
        <w:ind w:firstLine="709"/>
        <w:jc w:val="both"/>
        <w:rPr>
          <w:rFonts w:ascii="Arial" w:hAnsi="Arial" w:cs="Arial"/>
          <w:iCs/>
          <w:color w:val="000000" w:themeColor="text1"/>
          <w:sz w:val="22"/>
        </w:rPr>
      </w:pPr>
      <w:r w:rsidRPr="00287B9E">
        <w:rPr>
          <w:rFonts w:ascii="Arial" w:hAnsi="Arial" w:cs="Arial"/>
          <w:iCs/>
          <w:color w:val="000000" w:themeColor="text1"/>
          <w:sz w:val="22"/>
        </w:rPr>
        <w:t xml:space="preserve">En tal sentido, en los casos en que el contratista se seleccionen mediante un procedimiento de contratación directa, el requisito sería exigible a más tardar antes del inicio de la ejecución del contrato, por lo que las entidades pueden estructurar en cada proceso la forma como piden cumplir este requisito, el cual debe acreditarse, en todo caso, previo al inicio de la ejecución, pues la norma establece que debe cumplirse </w:t>
      </w:r>
      <w:r w:rsidRPr="00287B9E">
        <w:rPr>
          <w:rFonts w:ascii="Arial" w:hAnsi="Arial" w:cs="Arial"/>
          <w:i/>
          <w:color w:val="000000" w:themeColor="text1"/>
          <w:sz w:val="22"/>
        </w:rPr>
        <w:t xml:space="preserve">antes </w:t>
      </w:r>
      <w:r w:rsidRPr="00287B9E">
        <w:rPr>
          <w:rFonts w:ascii="Arial" w:hAnsi="Arial" w:cs="Arial"/>
          <w:iCs/>
          <w:color w:val="000000" w:themeColor="text1"/>
          <w:sz w:val="22"/>
        </w:rPr>
        <w:t>del ejercicio de dichas funciones; de modo que por orden en la estructuración de los procesos también lo podrían exigir antes de la celebración del contrato.</w:t>
      </w:r>
    </w:p>
    <w:p w14:paraId="240EA68B" w14:textId="1DC1B858" w:rsidR="001B72FE" w:rsidRPr="00287B9E" w:rsidRDefault="00043999" w:rsidP="00043999">
      <w:pPr>
        <w:spacing w:before="120" w:line="276" w:lineRule="auto"/>
        <w:ind w:firstLine="708"/>
        <w:jc w:val="both"/>
        <w:rPr>
          <w:rFonts w:ascii="Arial" w:hAnsi="Arial" w:cs="Arial"/>
          <w:iCs/>
          <w:color w:val="000000" w:themeColor="text1"/>
          <w:sz w:val="22"/>
        </w:rPr>
      </w:pPr>
      <w:r w:rsidRPr="00287B9E">
        <w:rPr>
          <w:rFonts w:ascii="Arial" w:hAnsi="Arial" w:cs="Arial"/>
          <w:iCs/>
          <w:color w:val="000000" w:themeColor="text1"/>
          <w:sz w:val="22"/>
        </w:rPr>
        <w:t xml:space="preserve">En los casos en que la selección del contratista se realice a través de un procedimiento de selección mediante convocatoria pública, como son los demás procedimientos establecidos en el Estatuto General de Contratación de la Administración Pública, el requisito debe cumplirse en términos similares, de manera que solo se exigirá </w:t>
      </w:r>
      <w:r w:rsidRPr="00287B9E">
        <w:rPr>
          <w:rFonts w:ascii="Arial" w:hAnsi="Arial" w:cs="Arial"/>
          <w:iCs/>
          <w:color w:val="000000" w:themeColor="text1"/>
          <w:sz w:val="22"/>
        </w:rPr>
        <w:lastRenderedPageBreak/>
        <w:t>frente al proponente con quien se vaya a celebrar el contrato, o una vez celebrado, a más tardar antes del inicio de la ejecución. En este sentido, no se debe exigir su cumplimiento frente a todos los proponentes durante el procedimiento de selección como un requisito habilitante, pues el particular que ejercerá función pública, prestará servicios públicos o administrará bienes del estado será solo aquel que resulte seleccionado en el procedimiento de selección.</w:t>
      </w:r>
    </w:p>
    <w:p w14:paraId="0E276824" w14:textId="77777777" w:rsidR="00AD4ED1" w:rsidRPr="00287B9E" w:rsidRDefault="00AD4ED1" w:rsidP="00414E21">
      <w:pPr>
        <w:spacing w:line="276" w:lineRule="auto"/>
        <w:jc w:val="both"/>
        <w:rPr>
          <w:rFonts w:ascii="Arial" w:hAnsi="Arial" w:cs="Arial"/>
          <w:color w:val="000000" w:themeColor="text1"/>
          <w:sz w:val="22"/>
        </w:rPr>
      </w:pPr>
    </w:p>
    <w:p w14:paraId="282AD8BE" w14:textId="75B72585" w:rsidR="00E42A8F" w:rsidRPr="00287B9E" w:rsidRDefault="00E42A8F" w:rsidP="001C167B">
      <w:pPr>
        <w:spacing w:before="120" w:after="120" w:line="276" w:lineRule="auto"/>
        <w:jc w:val="both"/>
        <w:rPr>
          <w:rFonts w:ascii="Arial" w:hAnsi="Arial" w:cs="Arial"/>
          <w:color w:val="000000" w:themeColor="text1"/>
          <w:sz w:val="22"/>
        </w:rPr>
      </w:pPr>
      <w:r w:rsidRPr="00287B9E">
        <w:rPr>
          <w:rFonts w:ascii="Arial" w:hAnsi="Arial" w:cs="Arial"/>
          <w:color w:val="000000" w:themeColor="text1"/>
          <w:sz w:val="22"/>
        </w:rPr>
        <w:t>Este concepto tiene el alcance previsto en el artículo 28 del Código de Procedimiento Administrativo y de lo Contencioso Administrativo.</w:t>
      </w:r>
    </w:p>
    <w:p w14:paraId="03A1C8C2" w14:textId="5E49FDDF" w:rsidR="004A34D2" w:rsidRPr="00287B9E" w:rsidRDefault="004A34D2" w:rsidP="006064EC">
      <w:pPr>
        <w:spacing w:before="120" w:after="120" w:line="276" w:lineRule="auto"/>
        <w:jc w:val="both"/>
        <w:rPr>
          <w:rFonts w:ascii="Arial" w:eastAsia="Calibri" w:hAnsi="Arial" w:cs="Arial"/>
          <w:color w:val="000000" w:themeColor="text1"/>
          <w:sz w:val="22"/>
        </w:rPr>
      </w:pPr>
      <w:r w:rsidRPr="00287B9E">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xmlns:a14="http://schemas.microsoft.com/office/drawing/2010/main" xmlns:pic="http://schemas.openxmlformats.org/drawingml/2006/picture"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6C85559">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47FA519A" w14:textId="236866AD" w:rsidR="008C4554" w:rsidRPr="00287B9E" w:rsidRDefault="004A34D2" w:rsidP="0052552C">
      <w:pPr>
        <w:spacing w:before="120" w:after="120" w:line="276" w:lineRule="auto"/>
        <w:rPr>
          <w:rFonts w:ascii="Arial" w:eastAsia="Times New Roman" w:hAnsi="Arial" w:cs="Arial"/>
          <w:color w:val="000000" w:themeColor="text1"/>
          <w:sz w:val="22"/>
          <w:lang w:eastAsia="es-CO"/>
        </w:rPr>
      </w:pPr>
      <w:r w:rsidRPr="0242E479">
        <w:rPr>
          <w:rFonts w:ascii="Arial" w:eastAsia="Times New Roman" w:hAnsi="Arial" w:cs="Arial"/>
          <w:color w:val="000000" w:themeColor="text1"/>
          <w:sz w:val="22"/>
          <w:lang w:eastAsia="es-CO"/>
        </w:rPr>
        <w:t>Atentamente,</w:t>
      </w:r>
    </w:p>
    <w:p w14:paraId="66B45645" w14:textId="67D42F34" w:rsidR="008C4554" w:rsidRPr="00287B9E" w:rsidRDefault="008C4554" w:rsidP="004A34D2">
      <w:pPr>
        <w:rPr>
          <w:rFonts w:ascii="Arial" w:eastAsia="Times New Roman" w:hAnsi="Arial" w:cs="Arial"/>
          <w:color w:val="000000" w:themeColor="text1"/>
          <w:sz w:val="22"/>
          <w:lang w:eastAsia="es-CO"/>
        </w:rPr>
      </w:pPr>
    </w:p>
    <w:p w14:paraId="734513C4" w14:textId="5FBE33DB" w:rsidR="008C4554" w:rsidRPr="00287B9E" w:rsidRDefault="0052552C" w:rsidP="0052552C">
      <w:pPr>
        <w:jc w:val="center"/>
        <w:rPr>
          <w:rFonts w:ascii="Arial" w:eastAsia="Times New Roman" w:hAnsi="Arial" w:cs="Arial"/>
          <w:color w:val="000000" w:themeColor="text1"/>
          <w:sz w:val="22"/>
          <w:lang w:eastAsia="es-CO"/>
        </w:rPr>
      </w:pPr>
      <w:r>
        <w:rPr>
          <w:noProof/>
          <w:lang w:val="en-US"/>
        </w:rPr>
        <w:drawing>
          <wp:inline distT="0" distB="0" distL="0" distR="0" wp14:anchorId="74FB6757" wp14:editId="6BB870E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F087E03" w14:textId="77777777" w:rsidR="008C4554" w:rsidRPr="00287B9E" w:rsidRDefault="008C4554" w:rsidP="004A34D2">
      <w:pP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87B9E" w:rsidRPr="00287B9E" w14:paraId="065C490C" w14:textId="77777777" w:rsidTr="001913E3">
        <w:trPr>
          <w:trHeight w:val="315"/>
        </w:trPr>
        <w:tc>
          <w:tcPr>
            <w:tcW w:w="812" w:type="dxa"/>
            <w:vAlign w:val="center"/>
          </w:tcPr>
          <w:bookmarkEnd w:id="1"/>
          <w:p w14:paraId="1B73AA25" w14:textId="6048282D"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Sebastián Ramírez Grisales</w:t>
            </w:r>
          </w:p>
          <w:p w14:paraId="6E45C9D1"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Contratista – Subdirección de Gestión Contractual</w:t>
            </w:r>
          </w:p>
        </w:tc>
      </w:tr>
      <w:tr w:rsidR="00287B9E" w:rsidRPr="00287B9E" w14:paraId="2A93DE79" w14:textId="77777777" w:rsidTr="001913E3">
        <w:trPr>
          <w:trHeight w:val="330"/>
        </w:trPr>
        <w:tc>
          <w:tcPr>
            <w:tcW w:w="812" w:type="dxa"/>
            <w:vAlign w:val="center"/>
          </w:tcPr>
          <w:p w14:paraId="1D6AF70D"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Fabián Gonzalo Marín Cortés</w:t>
            </w:r>
          </w:p>
          <w:p w14:paraId="787B3B03"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Subdirector de Gestión Contractual</w:t>
            </w:r>
          </w:p>
        </w:tc>
      </w:tr>
      <w:tr w:rsidR="009A6A7A" w:rsidRPr="00287B9E" w14:paraId="07F1531D" w14:textId="77777777" w:rsidTr="001913E3">
        <w:trPr>
          <w:trHeight w:val="300"/>
        </w:trPr>
        <w:tc>
          <w:tcPr>
            <w:tcW w:w="812" w:type="dxa"/>
            <w:vAlign w:val="center"/>
          </w:tcPr>
          <w:p w14:paraId="05CA8F84"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Fabián Gonzalo Marín Cortés</w:t>
            </w:r>
          </w:p>
          <w:p w14:paraId="137844BA" w14:textId="77777777" w:rsidR="009A6A7A" w:rsidRPr="00287B9E" w:rsidRDefault="009A6A7A" w:rsidP="001913E3">
            <w:pPr>
              <w:rPr>
                <w:rFonts w:ascii="Arial" w:eastAsia="Times New Roman" w:hAnsi="Arial" w:cs="Arial"/>
                <w:color w:val="000000" w:themeColor="text1"/>
                <w:sz w:val="16"/>
                <w:szCs w:val="16"/>
                <w:lang w:eastAsia="es-ES"/>
              </w:rPr>
            </w:pPr>
            <w:r w:rsidRPr="00287B9E">
              <w:rPr>
                <w:rFonts w:ascii="Arial" w:eastAsia="Times New Roman" w:hAnsi="Arial" w:cs="Arial"/>
                <w:color w:val="000000" w:themeColor="text1"/>
                <w:sz w:val="16"/>
                <w:szCs w:val="16"/>
                <w:lang w:eastAsia="es-ES"/>
              </w:rPr>
              <w:t>Subdirector de Gestión Contractual</w:t>
            </w:r>
          </w:p>
        </w:tc>
      </w:tr>
    </w:tbl>
    <w:p w14:paraId="7EBF297E" w14:textId="54C4C2D8" w:rsidR="007B0854" w:rsidRPr="00287B9E" w:rsidRDefault="007B0854" w:rsidP="007B0854">
      <w:pPr>
        <w:rPr>
          <w:rFonts w:ascii="Arial" w:eastAsia="Times New Roman" w:hAnsi="Arial" w:cs="Arial"/>
          <w:color w:val="000000" w:themeColor="text1"/>
          <w:sz w:val="22"/>
          <w:lang w:eastAsia="es-CO"/>
        </w:rPr>
      </w:pPr>
    </w:p>
    <w:sectPr w:rsidR="007B0854" w:rsidRPr="00287B9E" w:rsidSect="00BA263D">
      <w:headerReference w:type="default" r:id="rId13"/>
      <w:footerReference w:type="default" r:id="rId14"/>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39515" w14:textId="77777777" w:rsidR="004809BE" w:rsidRDefault="004809BE">
      <w:r>
        <w:separator/>
      </w:r>
    </w:p>
  </w:endnote>
  <w:endnote w:type="continuationSeparator" w:id="0">
    <w:p w14:paraId="1BC1CD84" w14:textId="77777777" w:rsidR="004809BE" w:rsidRDefault="00480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84F5" w14:textId="7A2A05FE" w:rsidR="001913E3" w:rsidRDefault="001913E3" w:rsidP="00CF4B11">
    <w:pPr>
      <w:pStyle w:val="Sinespaciado"/>
      <w:jc w:val="right"/>
      <w:rPr>
        <w:rFonts w:ascii="Arial" w:hAnsi="Arial" w:cs="Arial"/>
        <w:sz w:val="18"/>
        <w:szCs w:val="18"/>
      </w:rPr>
    </w:pPr>
  </w:p>
  <w:p w14:paraId="3934EB5E" w14:textId="77777777" w:rsidR="001967FB" w:rsidRDefault="001967FB" w:rsidP="00CF4B11">
    <w:pPr>
      <w:pStyle w:val="Sinespaciado"/>
      <w:jc w:val="right"/>
      <w:rPr>
        <w:rFonts w:ascii="Arial" w:hAnsi="Arial" w:cs="Arial"/>
        <w:sz w:val="18"/>
        <w:szCs w:val="18"/>
      </w:rPr>
    </w:pPr>
  </w:p>
  <w:p w14:paraId="3A7E92EE" w14:textId="0D194416" w:rsidR="001913E3" w:rsidRPr="008217B7" w:rsidRDefault="001913E3"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B496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B4965">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4D78BD4" w14:textId="77777777" w:rsidR="001913E3" w:rsidRDefault="0242E479" w:rsidP="00CF4B11">
    <w:pPr>
      <w:pStyle w:val="Piedepgina"/>
      <w:jc w:val="center"/>
      <w:rPr>
        <w:lang w:val="es-ES"/>
      </w:rPr>
    </w:pPr>
    <w:r>
      <w:rPr>
        <w:noProof/>
        <w:lang w:val="en-US"/>
      </w:rPr>
      <w:drawing>
        <wp:inline distT="0" distB="0" distL="0" distR="0" wp14:anchorId="6E2FD469" wp14:editId="710A935E">
          <wp:extent cx="3700130" cy="519139"/>
          <wp:effectExtent l="0" t="0" r="0" b="0"/>
          <wp:docPr id="14148940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1913E3" w:rsidRDefault="001913E3" w:rsidP="00CF4B11">
    <w:pPr>
      <w:pStyle w:val="Piedepgina"/>
      <w:jc w:val="center"/>
      <w:rPr>
        <w:lang w:val="es-ES"/>
      </w:rPr>
    </w:pPr>
  </w:p>
  <w:p w14:paraId="5C8179F0" w14:textId="77777777" w:rsidR="001913E3" w:rsidRPr="007B0854" w:rsidRDefault="001913E3"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D29DB" w14:textId="77777777" w:rsidR="004809BE" w:rsidRDefault="004809BE">
      <w:r>
        <w:separator/>
      </w:r>
    </w:p>
  </w:footnote>
  <w:footnote w:type="continuationSeparator" w:id="0">
    <w:p w14:paraId="0196B02A" w14:textId="77777777" w:rsidR="004809BE" w:rsidRDefault="004809BE">
      <w:r>
        <w:continuationSeparator/>
      </w:r>
    </w:p>
  </w:footnote>
  <w:footnote w:id="1">
    <w:p w14:paraId="3717D79C" w14:textId="25B2839F" w:rsidR="001913E3" w:rsidRPr="00287B9E" w:rsidRDefault="001913E3" w:rsidP="003E33F6">
      <w:pPr>
        <w:pStyle w:val="Textonotapie"/>
        <w:ind w:firstLine="708"/>
        <w:jc w:val="both"/>
        <w:rPr>
          <w:rFonts w:ascii="Arial" w:hAnsi="Arial" w:cs="Arial"/>
          <w:color w:val="000000" w:themeColor="text1"/>
          <w:sz w:val="19"/>
          <w:szCs w:val="19"/>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Corte Constitucional. Sentencia C-563 de 1998. M.P. Antonio Barrera Carbonell y Carlos Gaviria Diaz.</w:t>
      </w:r>
    </w:p>
    <w:p w14:paraId="4C702F05" w14:textId="77777777" w:rsidR="001913E3" w:rsidRPr="00287B9E" w:rsidRDefault="001913E3" w:rsidP="003E33F6">
      <w:pPr>
        <w:pStyle w:val="Textonotapie"/>
        <w:ind w:firstLine="708"/>
        <w:jc w:val="both"/>
        <w:rPr>
          <w:rFonts w:ascii="Arial" w:hAnsi="Arial" w:cs="Arial"/>
          <w:color w:val="000000" w:themeColor="text1"/>
          <w:sz w:val="19"/>
          <w:szCs w:val="19"/>
          <w:lang w:val="es-CO"/>
        </w:rPr>
      </w:pPr>
    </w:p>
  </w:footnote>
  <w:footnote w:id="2">
    <w:p w14:paraId="301A94C6" w14:textId="7CFECDF6" w:rsidR="001913E3" w:rsidRPr="00287B9E" w:rsidRDefault="001913E3" w:rsidP="003E33F6">
      <w:pPr>
        <w:pStyle w:val="Textonotapie"/>
        <w:ind w:firstLine="708"/>
        <w:jc w:val="both"/>
        <w:rPr>
          <w:rFonts w:ascii="Arial" w:hAnsi="Arial" w:cs="Arial"/>
          <w:color w:val="000000" w:themeColor="text1"/>
          <w:sz w:val="19"/>
          <w:szCs w:val="19"/>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w:t>
      </w:r>
      <w:r w:rsidR="00DF658A" w:rsidRPr="00287B9E">
        <w:rPr>
          <w:rFonts w:ascii="Arial" w:hAnsi="Arial" w:cs="Arial"/>
          <w:color w:val="000000" w:themeColor="text1"/>
          <w:sz w:val="19"/>
          <w:szCs w:val="19"/>
        </w:rPr>
        <w:t xml:space="preserve">La </w:t>
      </w:r>
      <w:r w:rsidRPr="00287B9E">
        <w:rPr>
          <w:rFonts w:ascii="Arial" w:hAnsi="Arial" w:cs="Arial"/>
          <w:color w:val="000000" w:themeColor="text1"/>
          <w:sz w:val="19"/>
          <w:szCs w:val="19"/>
        </w:rPr>
        <w:t xml:space="preserve">misma sentencia expresó: «Los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1979FC5F" w14:textId="2E0B94D8" w:rsidR="001913E3" w:rsidRPr="00287B9E" w:rsidRDefault="001913E3" w:rsidP="003E33F6">
      <w:pPr>
        <w:pStyle w:val="Textonotapie"/>
        <w:ind w:firstLine="708"/>
        <w:jc w:val="both"/>
        <w:rPr>
          <w:rFonts w:ascii="Arial" w:hAnsi="Arial" w:cs="Arial"/>
          <w:color w:val="000000" w:themeColor="text1"/>
          <w:sz w:val="19"/>
          <w:szCs w:val="19"/>
        </w:rPr>
      </w:pPr>
      <w:r w:rsidRPr="00287B9E">
        <w:rPr>
          <w:rFonts w:ascii="Arial" w:hAnsi="Arial" w:cs="Arial"/>
          <w:color w:val="000000" w:themeColor="text1"/>
          <w:sz w:val="19"/>
          <w:szCs w:val="19"/>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jurídica,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14:paraId="7442F7FA" w14:textId="6A5CCDA1" w:rsidR="001913E3" w:rsidRPr="00287B9E" w:rsidRDefault="001913E3" w:rsidP="003E33F6">
      <w:pPr>
        <w:pStyle w:val="Textonotapie"/>
        <w:ind w:firstLine="708"/>
        <w:jc w:val="both"/>
        <w:rPr>
          <w:rFonts w:ascii="Arial" w:hAnsi="Arial" w:cs="Arial"/>
          <w:color w:val="000000" w:themeColor="text1"/>
          <w:sz w:val="19"/>
          <w:szCs w:val="19"/>
        </w:rPr>
      </w:pPr>
      <w:r w:rsidRPr="00287B9E">
        <w:rPr>
          <w:rFonts w:ascii="Arial" w:hAnsi="Arial" w:cs="Arial"/>
          <w:color w:val="000000" w:themeColor="text1"/>
          <w:sz w:val="19"/>
          <w:szCs w:val="19"/>
        </w:rPr>
        <w:t>»En las circunstancias descritas, el contratista se constituye en un colaborador o instrumento de la entidad estatal para la realización de actividades o prestaciones que interesan a los fines públicos, pero no en un delegatario o depositario de sus funciones».</w:t>
      </w:r>
    </w:p>
    <w:p w14:paraId="05499007" w14:textId="77777777" w:rsidR="001913E3" w:rsidRPr="00287B9E" w:rsidRDefault="001913E3" w:rsidP="003E33F6">
      <w:pPr>
        <w:pStyle w:val="Textonotapie"/>
        <w:ind w:firstLine="708"/>
        <w:jc w:val="both"/>
        <w:rPr>
          <w:rFonts w:ascii="Arial" w:hAnsi="Arial" w:cs="Arial"/>
          <w:color w:val="000000" w:themeColor="text1"/>
          <w:sz w:val="19"/>
          <w:szCs w:val="19"/>
          <w:lang w:val="es-CO"/>
        </w:rPr>
      </w:pPr>
    </w:p>
  </w:footnote>
  <w:footnote w:id="3">
    <w:p w14:paraId="0FCFA496" w14:textId="33A76A7A" w:rsidR="001913E3" w:rsidRPr="00287B9E" w:rsidRDefault="001913E3" w:rsidP="003E33F6">
      <w:pPr>
        <w:pStyle w:val="Textonotapie"/>
        <w:ind w:firstLine="708"/>
        <w:jc w:val="both"/>
        <w:rPr>
          <w:rFonts w:ascii="Arial" w:hAnsi="Arial" w:cs="Arial"/>
          <w:color w:val="000000" w:themeColor="text1"/>
          <w:sz w:val="19"/>
          <w:szCs w:val="19"/>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Sección Tercera. Sentencia del 16 de agosto de 2012. Exp. 22.822).</w:t>
      </w:r>
    </w:p>
  </w:footnote>
  <w:footnote w:id="4">
    <w:p w14:paraId="165689C6" w14:textId="52B43B5A" w:rsidR="001913E3" w:rsidRPr="00287B9E" w:rsidRDefault="001913E3" w:rsidP="003E33F6">
      <w:pPr>
        <w:pStyle w:val="Textonotapie"/>
        <w:ind w:firstLine="708"/>
        <w:jc w:val="both"/>
        <w:rPr>
          <w:rFonts w:ascii="Arial" w:hAnsi="Arial" w:cs="Arial"/>
          <w:color w:val="000000" w:themeColor="text1"/>
          <w:sz w:val="19"/>
          <w:szCs w:val="19"/>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Congreso de la República. Gaceta 740 del 20 de septiembre de 2018. p. 28 y ss.</w:t>
      </w:r>
    </w:p>
    <w:p w14:paraId="6755D9B0" w14:textId="77777777" w:rsidR="00D75B6E" w:rsidRPr="00287B9E" w:rsidRDefault="00D75B6E" w:rsidP="003E33F6">
      <w:pPr>
        <w:pStyle w:val="Textonotapie"/>
        <w:ind w:firstLine="708"/>
        <w:jc w:val="both"/>
        <w:rPr>
          <w:rFonts w:ascii="Arial" w:hAnsi="Arial" w:cs="Arial"/>
          <w:color w:val="000000" w:themeColor="text1"/>
          <w:sz w:val="19"/>
          <w:szCs w:val="19"/>
          <w:lang w:val="es-CO"/>
        </w:rPr>
      </w:pPr>
    </w:p>
  </w:footnote>
  <w:footnote w:id="5">
    <w:p w14:paraId="400D416A" w14:textId="69B99795" w:rsidR="001913E3" w:rsidRPr="00287B9E" w:rsidRDefault="001913E3" w:rsidP="006002A6">
      <w:pPr>
        <w:pStyle w:val="Textonotapie"/>
        <w:tabs>
          <w:tab w:val="left" w:pos="5245"/>
        </w:tabs>
        <w:ind w:firstLine="708"/>
        <w:jc w:val="both"/>
        <w:rPr>
          <w:rFonts w:ascii="Arial" w:hAnsi="Arial" w:cs="Arial"/>
          <w:color w:val="000000" w:themeColor="text1"/>
          <w:sz w:val="19"/>
          <w:szCs w:val="19"/>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Congreso de la República. Gaceta 1098 del 7 de diciembre de 2018. p. 24 y ss.</w:t>
      </w:r>
    </w:p>
    <w:p w14:paraId="0FF920A6" w14:textId="77777777" w:rsidR="00267E5C" w:rsidRPr="00287B9E" w:rsidRDefault="00267E5C" w:rsidP="003E33F6">
      <w:pPr>
        <w:pStyle w:val="Textonotapie"/>
        <w:ind w:firstLine="708"/>
        <w:jc w:val="both"/>
        <w:rPr>
          <w:rFonts w:ascii="Arial" w:hAnsi="Arial" w:cs="Arial"/>
          <w:color w:val="000000" w:themeColor="text1"/>
          <w:sz w:val="19"/>
          <w:szCs w:val="19"/>
          <w:lang w:val="es-CO"/>
        </w:rPr>
      </w:pPr>
    </w:p>
  </w:footnote>
  <w:footnote w:id="6">
    <w:p w14:paraId="345F567F" w14:textId="2DC018F2" w:rsidR="001913E3" w:rsidRPr="00287B9E" w:rsidRDefault="001913E3" w:rsidP="003E33F6">
      <w:pPr>
        <w:pStyle w:val="Textonotapie"/>
        <w:ind w:firstLine="708"/>
        <w:jc w:val="both"/>
        <w:rPr>
          <w:rFonts w:ascii="Arial" w:hAnsi="Arial" w:cs="Arial"/>
          <w:color w:val="000000" w:themeColor="text1"/>
          <w:sz w:val="19"/>
          <w:szCs w:val="19"/>
          <w:lang w:val="es-CO"/>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w:t>
      </w:r>
      <w:r w:rsidR="00E61377" w:rsidRPr="00287B9E">
        <w:rPr>
          <w:rFonts w:ascii="Arial" w:hAnsi="Arial" w:cs="Arial"/>
          <w:color w:val="000000" w:themeColor="text1"/>
          <w:sz w:val="19"/>
          <w:szCs w:val="19"/>
        </w:rPr>
        <w:t xml:space="preserve">En todo caso se aclara que el título de la ley acogido fue el propuesto </w:t>
      </w:r>
      <w:r w:rsidR="008144C9" w:rsidRPr="00287B9E">
        <w:rPr>
          <w:rFonts w:ascii="Arial" w:hAnsi="Arial" w:cs="Arial"/>
          <w:color w:val="000000" w:themeColor="text1"/>
          <w:sz w:val="19"/>
          <w:szCs w:val="19"/>
        </w:rPr>
        <w:t xml:space="preserve">por </w:t>
      </w:r>
      <w:r w:rsidR="00E61377" w:rsidRPr="00287B9E">
        <w:rPr>
          <w:rFonts w:ascii="Arial" w:hAnsi="Arial" w:cs="Arial"/>
          <w:color w:val="000000" w:themeColor="text1"/>
          <w:sz w:val="19"/>
          <w:szCs w:val="19"/>
        </w:rPr>
        <w:t>el Senado. (Congreso de la República. Gaceta 1211 del 11 de diciembre de 2019. p. 2</w:t>
      </w:r>
      <w:r w:rsidR="008144C9" w:rsidRPr="00287B9E">
        <w:rPr>
          <w:rFonts w:ascii="Arial" w:hAnsi="Arial" w:cs="Arial"/>
          <w:color w:val="000000" w:themeColor="text1"/>
          <w:sz w:val="19"/>
          <w:szCs w:val="19"/>
        </w:rPr>
        <w:t>)</w:t>
      </w:r>
      <w:r w:rsidR="00E61377" w:rsidRPr="00287B9E">
        <w:rPr>
          <w:rFonts w:ascii="Arial" w:hAnsi="Arial" w:cs="Arial"/>
          <w:color w:val="000000" w:themeColor="text1"/>
          <w:sz w:val="19"/>
          <w:szCs w:val="19"/>
        </w:rPr>
        <w:t>.</w:t>
      </w:r>
    </w:p>
  </w:footnote>
  <w:footnote w:id="7">
    <w:p w14:paraId="03DB7AF7" w14:textId="25E4E6B5" w:rsidR="000036A8" w:rsidRPr="00287B9E" w:rsidRDefault="000036A8" w:rsidP="003E33F6">
      <w:pPr>
        <w:pStyle w:val="Textonotapie"/>
        <w:ind w:firstLine="708"/>
        <w:jc w:val="both"/>
        <w:rPr>
          <w:rFonts w:ascii="Arial" w:hAnsi="Arial" w:cs="Arial"/>
          <w:color w:val="000000" w:themeColor="text1"/>
          <w:sz w:val="19"/>
          <w:szCs w:val="19"/>
          <w:lang w:val="es-CO"/>
        </w:rPr>
      </w:pPr>
      <w:r w:rsidRPr="00287B9E">
        <w:rPr>
          <w:rStyle w:val="Refdenotaalpie"/>
          <w:rFonts w:ascii="Arial" w:hAnsi="Arial" w:cs="Arial"/>
          <w:color w:val="000000" w:themeColor="text1"/>
          <w:sz w:val="19"/>
          <w:szCs w:val="19"/>
        </w:rPr>
        <w:footnoteRef/>
      </w:r>
      <w:r w:rsidRPr="00287B9E">
        <w:rPr>
          <w:rFonts w:ascii="Arial" w:hAnsi="Arial" w:cs="Arial"/>
          <w:color w:val="000000" w:themeColor="text1"/>
          <w:sz w:val="19"/>
          <w:szCs w:val="19"/>
        </w:rPr>
        <w:t xml:space="preserve"> DÁVILA VINUEZA. Luis Guillermo. Régimen Jurídico de la contratación estatal. </w:t>
      </w:r>
      <w:r w:rsidR="00AE2DE1" w:rsidRPr="00287B9E">
        <w:rPr>
          <w:rFonts w:ascii="Arial" w:hAnsi="Arial" w:cs="Arial"/>
          <w:color w:val="000000" w:themeColor="text1"/>
          <w:sz w:val="19"/>
          <w:szCs w:val="19"/>
        </w:rPr>
        <w:t>Terc</w:t>
      </w:r>
      <w:r w:rsidR="00AB337E" w:rsidRPr="00287B9E">
        <w:rPr>
          <w:rFonts w:ascii="Arial" w:hAnsi="Arial" w:cs="Arial"/>
          <w:color w:val="000000" w:themeColor="text1"/>
          <w:sz w:val="19"/>
          <w:szCs w:val="19"/>
        </w:rPr>
        <w:t>e</w:t>
      </w:r>
      <w:r w:rsidR="00AE2DE1" w:rsidRPr="00287B9E">
        <w:rPr>
          <w:rFonts w:ascii="Arial" w:hAnsi="Arial" w:cs="Arial"/>
          <w:color w:val="000000" w:themeColor="text1"/>
          <w:sz w:val="19"/>
          <w:szCs w:val="19"/>
        </w:rPr>
        <w:t>ra edición. Bogot</w:t>
      </w:r>
      <w:r w:rsidR="00AD169E" w:rsidRPr="00287B9E">
        <w:rPr>
          <w:rFonts w:ascii="Arial" w:hAnsi="Arial" w:cs="Arial"/>
          <w:color w:val="000000" w:themeColor="text1"/>
          <w:sz w:val="19"/>
          <w:szCs w:val="19"/>
        </w:rPr>
        <w:t>á</w:t>
      </w:r>
      <w:r w:rsidR="00AE2DE1" w:rsidRPr="00287B9E">
        <w:rPr>
          <w:rFonts w:ascii="Arial" w:hAnsi="Arial" w:cs="Arial"/>
          <w:color w:val="000000" w:themeColor="text1"/>
          <w:sz w:val="19"/>
          <w:szCs w:val="19"/>
        </w:rPr>
        <w:t>: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913E3" w:rsidRDefault="001913E3">
    <w:pPr>
      <w:pStyle w:val="Encabezado"/>
    </w:pPr>
    <w:r>
      <w:rPr>
        <w:noProof/>
        <w:lang w:val="en-US"/>
      </w:rPr>
      <w:drawing>
        <wp:anchor distT="0" distB="0" distL="114300" distR="114300" simplePos="0" relativeHeight="251659264" behindDoc="1" locked="0" layoutInCell="1" allowOverlap="1" wp14:anchorId="1A706351" wp14:editId="714DDC04">
          <wp:simplePos x="0" y="0"/>
          <wp:positionH relativeFrom="margin">
            <wp:align>right</wp:align>
          </wp:positionH>
          <wp:positionV relativeFrom="paragraph">
            <wp:posOffset>462915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32C786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6A8"/>
    <w:rsid w:val="00013FBB"/>
    <w:rsid w:val="000417AD"/>
    <w:rsid w:val="00043999"/>
    <w:rsid w:val="00050422"/>
    <w:rsid w:val="00061464"/>
    <w:rsid w:val="000661EF"/>
    <w:rsid w:val="000675F6"/>
    <w:rsid w:val="00067DF9"/>
    <w:rsid w:val="000942EB"/>
    <w:rsid w:val="000A3102"/>
    <w:rsid w:val="000B103F"/>
    <w:rsid w:val="000C29B8"/>
    <w:rsid w:val="000E3645"/>
    <w:rsid w:val="000E3679"/>
    <w:rsid w:val="000F14E8"/>
    <w:rsid w:val="000F5C20"/>
    <w:rsid w:val="00103915"/>
    <w:rsid w:val="00121C71"/>
    <w:rsid w:val="00122B23"/>
    <w:rsid w:val="00125A9C"/>
    <w:rsid w:val="00126FA4"/>
    <w:rsid w:val="00137215"/>
    <w:rsid w:val="00137FFA"/>
    <w:rsid w:val="001428E9"/>
    <w:rsid w:val="00146488"/>
    <w:rsid w:val="001659B6"/>
    <w:rsid w:val="00165FA9"/>
    <w:rsid w:val="00177C61"/>
    <w:rsid w:val="001913E3"/>
    <w:rsid w:val="00192A10"/>
    <w:rsid w:val="001967FB"/>
    <w:rsid w:val="001A4E6A"/>
    <w:rsid w:val="001B72FE"/>
    <w:rsid w:val="001C167B"/>
    <w:rsid w:val="001C2A09"/>
    <w:rsid w:val="00224353"/>
    <w:rsid w:val="00227285"/>
    <w:rsid w:val="002327D7"/>
    <w:rsid w:val="00234B84"/>
    <w:rsid w:val="00265160"/>
    <w:rsid w:val="00267E5C"/>
    <w:rsid w:val="00287B9E"/>
    <w:rsid w:val="002B657B"/>
    <w:rsid w:val="002C54BC"/>
    <w:rsid w:val="002C6843"/>
    <w:rsid w:val="002D54AA"/>
    <w:rsid w:val="002E1917"/>
    <w:rsid w:val="002E38EA"/>
    <w:rsid w:val="003033BA"/>
    <w:rsid w:val="00315E58"/>
    <w:rsid w:val="00322937"/>
    <w:rsid w:val="00326997"/>
    <w:rsid w:val="00331A69"/>
    <w:rsid w:val="00344907"/>
    <w:rsid w:val="0034680A"/>
    <w:rsid w:val="0035013E"/>
    <w:rsid w:val="003655FF"/>
    <w:rsid w:val="00371D9E"/>
    <w:rsid w:val="00386456"/>
    <w:rsid w:val="003A462A"/>
    <w:rsid w:val="003A581E"/>
    <w:rsid w:val="003B1CB8"/>
    <w:rsid w:val="003D3F6B"/>
    <w:rsid w:val="003D5E59"/>
    <w:rsid w:val="003D7868"/>
    <w:rsid w:val="003E33F6"/>
    <w:rsid w:val="00400B75"/>
    <w:rsid w:val="00414E21"/>
    <w:rsid w:val="00427ED8"/>
    <w:rsid w:val="004422D6"/>
    <w:rsid w:val="0044301C"/>
    <w:rsid w:val="00451B80"/>
    <w:rsid w:val="00457A75"/>
    <w:rsid w:val="004809BE"/>
    <w:rsid w:val="00482D27"/>
    <w:rsid w:val="0049364B"/>
    <w:rsid w:val="004A34D2"/>
    <w:rsid w:val="004C0A2C"/>
    <w:rsid w:val="004C119B"/>
    <w:rsid w:val="004C6805"/>
    <w:rsid w:val="004D5CBF"/>
    <w:rsid w:val="004F3119"/>
    <w:rsid w:val="0051074C"/>
    <w:rsid w:val="00513AF2"/>
    <w:rsid w:val="0052552C"/>
    <w:rsid w:val="0053054B"/>
    <w:rsid w:val="00532178"/>
    <w:rsid w:val="005331CF"/>
    <w:rsid w:val="0054384C"/>
    <w:rsid w:val="0054413A"/>
    <w:rsid w:val="005556ED"/>
    <w:rsid w:val="005564CA"/>
    <w:rsid w:val="00573D2A"/>
    <w:rsid w:val="005778C7"/>
    <w:rsid w:val="00585E81"/>
    <w:rsid w:val="005B4965"/>
    <w:rsid w:val="005D5DB2"/>
    <w:rsid w:val="005F5ABD"/>
    <w:rsid w:val="006002A6"/>
    <w:rsid w:val="006064EC"/>
    <w:rsid w:val="00622D34"/>
    <w:rsid w:val="00625A87"/>
    <w:rsid w:val="006328C4"/>
    <w:rsid w:val="006331D5"/>
    <w:rsid w:val="00634FA9"/>
    <w:rsid w:val="00647CE7"/>
    <w:rsid w:val="00655371"/>
    <w:rsid w:val="00672E46"/>
    <w:rsid w:val="006757DC"/>
    <w:rsid w:val="00697665"/>
    <w:rsid w:val="006A7FD0"/>
    <w:rsid w:val="006B7E58"/>
    <w:rsid w:val="006D6823"/>
    <w:rsid w:val="006D7687"/>
    <w:rsid w:val="006E0572"/>
    <w:rsid w:val="006E4256"/>
    <w:rsid w:val="006F667A"/>
    <w:rsid w:val="00705631"/>
    <w:rsid w:val="00714E1B"/>
    <w:rsid w:val="00721851"/>
    <w:rsid w:val="00742DD2"/>
    <w:rsid w:val="007438EF"/>
    <w:rsid w:val="0075647A"/>
    <w:rsid w:val="007634AD"/>
    <w:rsid w:val="0076716C"/>
    <w:rsid w:val="0078122E"/>
    <w:rsid w:val="007B0854"/>
    <w:rsid w:val="007B0B43"/>
    <w:rsid w:val="007B18C0"/>
    <w:rsid w:val="007D7AD2"/>
    <w:rsid w:val="007E704D"/>
    <w:rsid w:val="007F216D"/>
    <w:rsid w:val="007F72CB"/>
    <w:rsid w:val="008063DC"/>
    <w:rsid w:val="00812707"/>
    <w:rsid w:val="008144C9"/>
    <w:rsid w:val="0083119B"/>
    <w:rsid w:val="00836EAB"/>
    <w:rsid w:val="0085092D"/>
    <w:rsid w:val="008524B7"/>
    <w:rsid w:val="008563B0"/>
    <w:rsid w:val="00857168"/>
    <w:rsid w:val="0087048F"/>
    <w:rsid w:val="00877591"/>
    <w:rsid w:val="0089370A"/>
    <w:rsid w:val="0089774F"/>
    <w:rsid w:val="008C4554"/>
    <w:rsid w:val="008D526E"/>
    <w:rsid w:val="008E1C15"/>
    <w:rsid w:val="009047C5"/>
    <w:rsid w:val="00907CDD"/>
    <w:rsid w:val="0091028F"/>
    <w:rsid w:val="00912287"/>
    <w:rsid w:val="00914507"/>
    <w:rsid w:val="00915817"/>
    <w:rsid w:val="0095385A"/>
    <w:rsid w:val="0095613A"/>
    <w:rsid w:val="00962798"/>
    <w:rsid w:val="00967435"/>
    <w:rsid w:val="00984EBB"/>
    <w:rsid w:val="0098631A"/>
    <w:rsid w:val="00991855"/>
    <w:rsid w:val="00996F07"/>
    <w:rsid w:val="009A6A7A"/>
    <w:rsid w:val="009B3C6B"/>
    <w:rsid w:val="009D2478"/>
    <w:rsid w:val="009D41DD"/>
    <w:rsid w:val="009E0C6F"/>
    <w:rsid w:val="009F2A2F"/>
    <w:rsid w:val="00A01435"/>
    <w:rsid w:val="00A24560"/>
    <w:rsid w:val="00A34538"/>
    <w:rsid w:val="00A46BC3"/>
    <w:rsid w:val="00A56AC1"/>
    <w:rsid w:val="00A61C3B"/>
    <w:rsid w:val="00A6400E"/>
    <w:rsid w:val="00A666C9"/>
    <w:rsid w:val="00A734DB"/>
    <w:rsid w:val="00A90F9A"/>
    <w:rsid w:val="00A912EA"/>
    <w:rsid w:val="00A91D8B"/>
    <w:rsid w:val="00AA1526"/>
    <w:rsid w:val="00AA442B"/>
    <w:rsid w:val="00AA69AF"/>
    <w:rsid w:val="00AB337E"/>
    <w:rsid w:val="00AC22DF"/>
    <w:rsid w:val="00AD169E"/>
    <w:rsid w:val="00AD4ED1"/>
    <w:rsid w:val="00AE2DE1"/>
    <w:rsid w:val="00AE3C2D"/>
    <w:rsid w:val="00AF0B66"/>
    <w:rsid w:val="00B031E8"/>
    <w:rsid w:val="00B22E22"/>
    <w:rsid w:val="00B310D2"/>
    <w:rsid w:val="00B34A7D"/>
    <w:rsid w:val="00B40BE9"/>
    <w:rsid w:val="00B420BB"/>
    <w:rsid w:val="00B46CEB"/>
    <w:rsid w:val="00B525CB"/>
    <w:rsid w:val="00B63CB2"/>
    <w:rsid w:val="00B8079C"/>
    <w:rsid w:val="00B81D26"/>
    <w:rsid w:val="00BA263D"/>
    <w:rsid w:val="00BA70CC"/>
    <w:rsid w:val="00BC5335"/>
    <w:rsid w:val="00BD78FE"/>
    <w:rsid w:val="00BE49B5"/>
    <w:rsid w:val="00C32A4F"/>
    <w:rsid w:val="00C35251"/>
    <w:rsid w:val="00C36685"/>
    <w:rsid w:val="00C45229"/>
    <w:rsid w:val="00C46D73"/>
    <w:rsid w:val="00C539DC"/>
    <w:rsid w:val="00C64F99"/>
    <w:rsid w:val="00C95456"/>
    <w:rsid w:val="00C97480"/>
    <w:rsid w:val="00CA4F8E"/>
    <w:rsid w:val="00CC00CD"/>
    <w:rsid w:val="00CF3D72"/>
    <w:rsid w:val="00CF4B11"/>
    <w:rsid w:val="00CF5BD1"/>
    <w:rsid w:val="00CF5D6A"/>
    <w:rsid w:val="00D06384"/>
    <w:rsid w:val="00D14EEC"/>
    <w:rsid w:val="00D16E39"/>
    <w:rsid w:val="00D237F3"/>
    <w:rsid w:val="00D35F82"/>
    <w:rsid w:val="00D53332"/>
    <w:rsid w:val="00D535FD"/>
    <w:rsid w:val="00D62035"/>
    <w:rsid w:val="00D72E9D"/>
    <w:rsid w:val="00D75B6E"/>
    <w:rsid w:val="00D81422"/>
    <w:rsid w:val="00D82CE5"/>
    <w:rsid w:val="00D862D6"/>
    <w:rsid w:val="00D964D4"/>
    <w:rsid w:val="00D976D1"/>
    <w:rsid w:val="00DA5AB1"/>
    <w:rsid w:val="00DA5F58"/>
    <w:rsid w:val="00DB3264"/>
    <w:rsid w:val="00DB6213"/>
    <w:rsid w:val="00DC62E5"/>
    <w:rsid w:val="00DD735D"/>
    <w:rsid w:val="00DE3119"/>
    <w:rsid w:val="00DF236B"/>
    <w:rsid w:val="00DF658A"/>
    <w:rsid w:val="00E03FAB"/>
    <w:rsid w:val="00E07037"/>
    <w:rsid w:val="00E13AB8"/>
    <w:rsid w:val="00E33B62"/>
    <w:rsid w:val="00E34798"/>
    <w:rsid w:val="00E42A8F"/>
    <w:rsid w:val="00E46364"/>
    <w:rsid w:val="00E6021F"/>
    <w:rsid w:val="00E61377"/>
    <w:rsid w:val="00E6633F"/>
    <w:rsid w:val="00E7313C"/>
    <w:rsid w:val="00EA28A5"/>
    <w:rsid w:val="00EA5DFB"/>
    <w:rsid w:val="00ED39F9"/>
    <w:rsid w:val="00ED6853"/>
    <w:rsid w:val="00F023C8"/>
    <w:rsid w:val="00F21CF1"/>
    <w:rsid w:val="00F8229E"/>
    <w:rsid w:val="00F82F1F"/>
    <w:rsid w:val="00F84899"/>
    <w:rsid w:val="00F859F0"/>
    <w:rsid w:val="00FA775D"/>
    <w:rsid w:val="00FC6DF2"/>
    <w:rsid w:val="00FD6E82"/>
    <w:rsid w:val="00FE141E"/>
    <w:rsid w:val="0242E479"/>
    <w:rsid w:val="6B7A0A36"/>
    <w:rsid w:val="7B18016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287B9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2013_2019.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995E692-D9B6-4930-A9E4-1231D4DCD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CE3EF5-C394-44D2-B844-00C44C988E4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A2D6F3F-6C47-48E8-A142-0491AB4F8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5179</Words>
  <Characters>29521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2020-08-10T09:30:00Z</dcterms:created>
  <dcterms:modified xsi:type="dcterms:W3CDTF">2020-08-10T09:30:00Z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